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4BC6" w14:textId="77777777" w:rsidR="00470720" w:rsidRPr="00E80B3F" w:rsidRDefault="00B22478">
      <w:pPr>
        <w:pStyle w:val="Title"/>
        <w:rPr>
          <w:rFonts w:ascii="Times New Roman" w:hAnsi="Times New Roman"/>
          <w:sz w:val="28"/>
          <w:szCs w:val="28"/>
          <w:u w:val="none"/>
        </w:rPr>
      </w:pPr>
      <w:bookmarkStart w:id="0" w:name="_GoBack"/>
      <w:bookmarkEnd w:id="0"/>
      <w:r>
        <w:rPr>
          <w:rFonts w:ascii="Times New Roman" w:hAnsi="Times New Roman"/>
          <w:sz w:val="28"/>
          <w:szCs w:val="28"/>
          <w:u w:val="none"/>
        </w:rPr>
        <w:br/>
      </w:r>
      <w:r w:rsidRPr="00E80B3F">
        <w:rPr>
          <w:rFonts w:ascii="Times New Roman" w:hAnsi="Times New Roman"/>
          <w:sz w:val="28"/>
          <w:szCs w:val="28"/>
          <w:u w:val="none"/>
        </w:rPr>
        <w:br/>
      </w:r>
      <w:r w:rsidR="00470720" w:rsidRPr="00E80B3F">
        <w:rPr>
          <w:rFonts w:ascii="Times New Roman" w:hAnsi="Times New Roman"/>
          <w:sz w:val="28"/>
          <w:szCs w:val="28"/>
          <w:u w:val="none"/>
        </w:rPr>
        <w:t>Department of Transportation</w:t>
      </w:r>
    </w:p>
    <w:p w14:paraId="202EBF3A" w14:textId="0758C2D7" w:rsidR="00470720" w:rsidRPr="00E80B3F" w:rsidRDefault="005853E3">
      <w:pPr>
        <w:pStyle w:val="Title"/>
        <w:rPr>
          <w:rFonts w:ascii="Arial Narrow" w:hAnsi="Arial Narrow" w:cs="Arial"/>
        </w:rPr>
      </w:pPr>
      <w:r w:rsidRPr="00E80B3F">
        <w:rPr>
          <w:rFonts w:ascii="Times New Roman" w:hAnsi="Times New Roman"/>
          <w:u w:val="none"/>
        </w:rPr>
        <w:t>Federal Aviation Administration</w:t>
      </w:r>
    </w:p>
    <w:p w14:paraId="3C6AD4CF" w14:textId="77777777" w:rsidR="00470720" w:rsidRPr="00E80B3F" w:rsidRDefault="00470720">
      <w:pPr>
        <w:pStyle w:val="Title"/>
        <w:rPr>
          <w:rFonts w:ascii="Times New Roman" w:hAnsi="Times New Roman"/>
        </w:rPr>
      </w:pPr>
    </w:p>
    <w:p w14:paraId="6972E0A3" w14:textId="77777777" w:rsidR="00470720" w:rsidRPr="00E80B3F" w:rsidRDefault="00470720">
      <w:pPr>
        <w:pStyle w:val="Title"/>
        <w:rPr>
          <w:rFonts w:ascii="Times New Roman" w:hAnsi="Times New Roman"/>
        </w:rPr>
      </w:pPr>
    </w:p>
    <w:p w14:paraId="7720CC71" w14:textId="77777777" w:rsidR="0004749E" w:rsidRPr="00E80B3F" w:rsidRDefault="0004749E">
      <w:pPr>
        <w:pStyle w:val="Title"/>
        <w:rPr>
          <w:rFonts w:ascii="Times New Roman" w:hAnsi="Times New Roman"/>
        </w:rPr>
      </w:pPr>
      <w:r w:rsidRPr="00E80B3F">
        <w:rPr>
          <w:rFonts w:ascii="Times New Roman" w:hAnsi="Times New Roman"/>
        </w:rPr>
        <w:t>SUPPORTING STATEMENT</w:t>
      </w:r>
    </w:p>
    <w:p w14:paraId="404FF539" w14:textId="38514D53" w:rsidR="0004749E" w:rsidRPr="00B338AE" w:rsidRDefault="00A959DE" w:rsidP="00B338AE">
      <w:pPr>
        <w:pStyle w:val="Title"/>
        <w:rPr>
          <w:rFonts w:ascii="Times New Roman" w:hAnsi="Times New Roman"/>
          <w:u w:val="none"/>
        </w:rPr>
      </w:pPr>
      <w:r w:rsidRPr="00E80B3F">
        <w:rPr>
          <w:rFonts w:ascii="Times New Roman" w:hAnsi="Times New Roman"/>
        </w:rPr>
        <w:t>Emissions Monitoring and Reporting for Annex 16 Vol. IV of the Chicago Convention</w:t>
      </w:r>
    </w:p>
    <w:p w14:paraId="567F7461" w14:textId="77777777" w:rsidR="0004749E" w:rsidRPr="00E80B3F" w:rsidRDefault="0004749E">
      <w:pPr>
        <w:rPr>
          <w:rFonts w:ascii="Times New Roman" w:hAnsi="Times New Roman"/>
          <w:b/>
          <w:bCs/>
          <w:sz w:val="24"/>
          <w:szCs w:val="24"/>
        </w:rPr>
      </w:pPr>
    </w:p>
    <w:p w14:paraId="72A0A3EC" w14:textId="77777777" w:rsidR="00105F8E" w:rsidRPr="00E80B3F" w:rsidRDefault="00105F8E">
      <w:pPr>
        <w:rPr>
          <w:rFonts w:ascii="Times New Roman" w:hAnsi="Times New Roman"/>
          <w:b/>
          <w:bCs/>
          <w:sz w:val="24"/>
          <w:szCs w:val="24"/>
        </w:rPr>
      </w:pPr>
    </w:p>
    <w:p w14:paraId="17BD8A26" w14:textId="77777777" w:rsidR="0004749E" w:rsidRPr="00E80B3F" w:rsidRDefault="0004749E">
      <w:pPr>
        <w:pStyle w:val="Subtitle"/>
        <w:rPr>
          <w:rFonts w:ascii="Times New Roman" w:hAnsi="Times New Roman"/>
        </w:rPr>
      </w:pPr>
      <w:r w:rsidRPr="00E80B3F">
        <w:rPr>
          <w:rFonts w:ascii="Times New Roman" w:hAnsi="Times New Roman"/>
        </w:rPr>
        <w:t>INTRODUCTION</w:t>
      </w:r>
    </w:p>
    <w:p w14:paraId="5D699F8E" w14:textId="77777777" w:rsidR="0004749E" w:rsidRPr="00E80B3F" w:rsidRDefault="0004749E">
      <w:pPr>
        <w:rPr>
          <w:rFonts w:ascii="Times New Roman" w:hAnsi="Times New Roman"/>
          <w:b/>
          <w:bCs/>
          <w:sz w:val="24"/>
          <w:szCs w:val="24"/>
        </w:rPr>
      </w:pPr>
    </w:p>
    <w:p w14:paraId="381AFCED" w14:textId="08F0FBF7" w:rsidR="0004749E" w:rsidRPr="00E80B3F" w:rsidRDefault="0004749E">
      <w:pPr>
        <w:rPr>
          <w:rFonts w:ascii="Times New Roman" w:hAnsi="Times New Roman"/>
          <w:b/>
          <w:sz w:val="24"/>
          <w:szCs w:val="24"/>
        </w:rPr>
      </w:pPr>
      <w:r w:rsidRPr="00E80B3F">
        <w:rPr>
          <w:rFonts w:ascii="Times New Roman" w:hAnsi="Times New Roman"/>
          <w:b/>
          <w:sz w:val="24"/>
          <w:szCs w:val="24"/>
        </w:rPr>
        <w:t xml:space="preserve">This </w:t>
      </w:r>
      <w:r w:rsidR="00984FC4" w:rsidRPr="00E80B3F">
        <w:rPr>
          <w:rFonts w:ascii="Times New Roman" w:hAnsi="Times New Roman"/>
          <w:b/>
          <w:sz w:val="24"/>
          <w:szCs w:val="24"/>
        </w:rPr>
        <w:t xml:space="preserve">information collection </w:t>
      </w:r>
      <w:r w:rsidRPr="00E80B3F">
        <w:rPr>
          <w:rFonts w:ascii="Times New Roman" w:hAnsi="Times New Roman"/>
          <w:b/>
          <w:sz w:val="24"/>
          <w:szCs w:val="24"/>
        </w:rPr>
        <w:t xml:space="preserve">is </w:t>
      </w:r>
      <w:r w:rsidR="00984FC4" w:rsidRPr="00E80B3F">
        <w:rPr>
          <w:rFonts w:ascii="Times New Roman" w:hAnsi="Times New Roman"/>
          <w:b/>
          <w:sz w:val="24"/>
          <w:szCs w:val="24"/>
        </w:rPr>
        <w:t xml:space="preserve">submitted </w:t>
      </w:r>
      <w:r w:rsidRPr="00E80B3F">
        <w:rPr>
          <w:rFonts w:ascii="Times New Roman" w:hAnsi="Times New Roman"/>
          <w:b/>
          <w:sz w:val="24"/>
          <w:szCs w:val="24"/>
        </w:rPr>
        <w:t>to the Office of Management and Budget</w:t>
      </w:r>
      <w:r w:rsidR="002F72A6" w:rsidRPr="00E80B3F">
        <w:rPr>
          <w:rFonts w:ascii="Times New Roman" w:hAnsi="Times New Roman"/>
          <w:b/>
          <w:sz w:val="24"/>
          <w:szCs w:val="24"/>
        </w:rPr>
        <w:t xml:space="preserve"> (OMB) to request a </w:t>
      </w:r>
      <w:r w:rsidRPr="00E80B3F">
        <w:rPr>
          <w:rFonts w:ascii="Times New Roman" w:hAnsi="Times New Roman"/>
          <w:b/>
          <w:sz w:val="24"/>
          <w:szCs w:val="24"/>
        </w:rPr>
        <w:t>three-year approv</w:t>
      </w:r>
      <w:r w:rsidR="00984FC4" w:rsidRPr="00E80B3F">
        <w:rPr>
          <w:rFonts w:ascii="Times New Roman" w:hAnsi="Times New Roman"/>
          <w:b/>
          <w:sz w:val="24"/>
          <w:szCs w:val="24"/>
        </w:rPr>
        <w:t>al</w:t>
      </w:r>
      <w:r w:rsidRPr="00E80B3F">
        <w:rPr>
          <w:rFonts w:ascii="Times New Roman" w:hAnsi="Times New Roman"/>
          <w:b/>
          <w:sz w:val="24"/>
          <w:szCs w:val="24"/>
        </w:rPr>
        <w:t xml:space="preserve"> clearance for the information collection entitled, </w:t>
      </w:r>
      <w:r w:rsidR="00D858D1" w:rsidRPr="00E80B3F">
        <w:rPr>
          <w:rFonts w:ascii="Times New Roman" w:hAnsi="Times New Roman"/>
          <w:b/>
          <w:sz w:val="24"/>
          <w:szCs w:val="24"/>
        </w:rPr>
        <w:t>Emissions Monitoring and Reporting for Annex 16 Vol. IV of the Chicago Convention</w:t>
      </w:r>
      <w:r w:rsidR="00984FC4" w:rsidRPr="00E80B3F">
        <w:rPr>
          <w:rFonts w:ascii="Times New Roman" w:hAnsi="Times New Roman"/>
          <w:b/>
          <w:sz w:val="24"/>
          <w:szCs w:val="24"/>
        </w:rPr>
        <w:t xml:space="preserve">, </w:t>
      </w:r>
      <w:r w:rsidRPr="00E80B3F">
        <w:rPr>
          <w:rFonts w:ascii="Times New Roman" w:hAnsi="Times New Roman"/>
          <w:b/>
          <w:sz w:val="24"/>
          <w:szCs w:val="24"/>
        </w:rPr>
        <w:t xml:space="preserve">(OMB Control No. </w:t>
      </w:r>
      <w:r w:rsidRPr="008F44A7">
        <w:rPr>
          <w:rFonts w:ascii="Times New Roman" w:hAnsi="Times New Roman"/>
          <w:b/>
          <w:sz w:val="24"/>
          <w:szCs w:val="24"/>
          <w:highlight w:val="yellow"/>
        </w:rPr>
        <w:t>21</w:t>
      </w:r>
      <w:r w:rsidR="00105F8E" w:rsidRPr="008F44A7">
        <w:rPr>
          <w:rFonts w:ascii="Times New Roman" w:hAnsi="Times New Roman"/>
          <w:b/>
          <w:sz w:val="24"/>
          <w:szCs w:val="24"/>
          <w:highlight w:val="yellow"/>
        </w:rPr>
        <w:t>XX</w:t>
      </w:r>
      <w:r w:rsidRPr="008F44A7">
        <w:rPr>
          <w:rFonts w:ascii="Times New Roman" w:hAnsi="Times New Roman"/>
          <w:b/>
          <w:sz w:val="24"/>
          <w:szCs w:val="24"/>
          <w:highlight w:val="yellow"/>
        </w:rPr>
        <w:t>-XXXX</w:t>
      </w:r>
      <w:r w:rsidR="00EF62DA">
        <w:rPr>
          <w:rFonts w:ascii="Times New Roman" w:hAnsi="Times New Roman"/>
          <w:b/>
          <w:sz w:val="24"/>
          <w:szCs w:val="24"/>
        </w:rPr>
        <w:t>)</w:t>
      </w:r>
      <w:r w:rsidRPr="00E80B3F">
        <w:rPr>
          <w:rFonts w:ascii="Times New Roman" w:hAnsi="Times New Roman"/>
          <w:b/>
          <w:sz w:val="24"/>
          <w:szCs w:val="24"/>
        </w:rPr>
        <w:t>.</w:t>
      </w:r>
    </w:p>
    <w:p w14:paraId="7E65F0FA" w14:textId="77777777" w:rsidR="0004749E" w:rsidRPr="00984FC4" w:rsidRDefault="0004749E">
      <w:pPr>
        <w:rPr>
          <w:rFonts w:ascii="Times New Roman" w:hAnsi="Times New Roman"/>
          <w:b/>
          <w:bCs/>
          <w:sz w:val="24"/>
          <w:szCs w:val="24"/>
        </w:rPr>
      </w:pPr>
    </w:p>
    <w:p w14:paraId="27DAA1B4" w14:textId="272D8C36" w:rsidR="0004749E" w:rsidRPr="00984FC4"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984FC4">
        <w:rPr>
          <w:rFonts w:ascii="Times New Roman" w:hAnsi="Times New Roman"/>
          <w:b/>
          <w:bCs/>
          <w:sz w:val="24"/>
          <w:szCs w:val="24"/>
          <w:u w:val="single"/>
        </w:rPr>
        <w:t>Part A.</w:t>
      </w:r>
      <w:r w:rsidR="00F200EA">
        <w:rPr>
          <w:rFonts w:ascii="Times New Roman" w:hAnsi="Times New Roman"/>
          <w:b/>
          <w:bCs/>
          <w:sz w:val="24"/>
          <w:szCs w:val="24"/>
          <w:u w:val="single"/>
        </w:rPr>
        <w:t xml:space="preserve"> </w:t>
      </w:r>
      <w:r w:rsidRPr="00984FC4">
        <w:rPr>
          <w:rFonts w:ascii="Times New Roman" w:hAnsi="Times New Roman"/>
          <w:b/>
          <w:bCs/>
          <w:sz w:val="24"/>
          <w:szCs w:val="24"/>
          <w:u w:val="single"/>
        </w:rPr>
        <w:t>Justification</w:t>
      </w:r>
    </w:p>
    <w:p w14:paraId="097A4C0A" w14:textId="77777777" w:rsidR="0004749E" w:rsidRPr="00984FC4"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33C3C059" w14:textId="047CC842"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i/>
          <w:sz w:val="24"/>
          <w:szCs w:val="24"/>
        </w:rPr>
      </w:pPr>
      <w:r w:rsidRPr="00984FC4">
        <w:rPr>
          <w:rFonts w:ascii="Times New Roman" w:hAnsi="Times New Roman"/>
          <w:bCs/>
          <w:sz w:val="24"/>
          <w:szCs w:val="24"/>
          <w:u w:val="single"/>
        </w:rPr>
        <w:t>1. Circumstances that make collection of information necessary.</w:t>
      </w:r>
      <w:r w:rsidR="00F200EA">
        <w:rPr>
          <w:rFonts w:ascii="Times New Roman" w:hAnsi="Times New Roman"/>
          <w:b/>
          <w:bCs/>
          <w:sz w:val="24"/>
          <w:szCs w:val="24"/>
        </w:rPr>
        <w:t xml:space="preserve"> </w:t>
      </w:r>
      <w:r w:rsidR="002B5F72" w:rsidRPr="00F30543">
        <w:rPr>
          <w:rFonts w:ascii="Times New Roman" w:hAnsi="Times New Roman"/>
          <w:b/>
          <w:i/>
          <w:sz w:val="24"/>
          <w:szCs w:val="24"/>
        </w:rPr>
        <w:t>Explain the circumstances that make the collection of information necessary.</w:t>
      </w:r>
      <w:r w:rsidR="00F200EA">
        <w:rPr>
          <w:rFonts w:ascii="Times New Roman" w:hAnsi="Times New Roman"/>
          <w:b/>
          <w:i/>
          <w:sz w:val="24"/>
          <w:szCs w:val="24"/>
        </w:rPr>
        <w:t xml:space="preserve"> </w:t>
      </w:r>
      <w:r w:rsidR="002B5F72" w:rsidRPr="00F30543">
        <w:rPr>
          <w:rFonts w:ascii="Times New Roman" w:hAnsi="Times New Roman"/>
          <w:b/>
          <w:i/>
          <w:sz w:val="24"/>
          <w:szCs w:val="24"/>
        </w:rPr>
        <w:t>Identify any legal or administrative requirements that necessitate the collection.</w:t>
      </w:r>
      <w:r w:rsidR="00F200EA">
        <w:rPr>
          <w:rFonts w:ascii="Times New Roman" w:hAnsi="Times New Roman"/>
          <w:b/>
          <w:i/>
          <w:sz w:val="24"/>
          <w:szCs w:val="24"/>
        </w:rPr>
        <w:t xml:space="preserve"> </w:t>
      </w:r>
      <w:r w:rsidR="002B5F72" w:rsidRPr="00F30543">
        <w:rPr>
          <w:rFonts w:ascii="Times New Roman" w:hAnsi="Times New Roman"/>
          <w:b/>
          <w:i/>
          <w:sz w:val="24"/>
          <w:szCs w:val="24"/>
        </w:rPr>
        <w:t>Attach a copy of the appropriate section of each statute and regulation mandating or authorizing the collection of information.</w:t>
      </w:r>
    </w:p>
    <w:p w14:paraId="77B6F051" w14:textId="77777777" w:rsidR="004C660E" w:rsidRDefault="004C660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402E5966" w14:textId="71ADE33D" w:rsidR="005853E3" w:rsidRDefault="005853E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On June 27, 2018 the United States (through its International Civil Aviation Organization [ICAO] Council Member) voted to adopt Annex 16, Vol. IV of the Chicago Convention. Annex 16, Vol. IV contains the Standards and Recommended Practices (SARPs) relating to the implementation of the Carbon Offsetting and Reduction Scheme for Int</w:t>
      </w:r>
      <w:r w:rsidR="003D3652">
        <w:rPr>
          <w:rFonts w:ascii="Times New Roman" w:hAnsi="Times New Roman"/>
          <w:bCs/>
          <w:sz w:val="24"/>
          <w:szCs w:val="24"/>
        </w:rPr>
        <w:t xml:space="preserve">ernational Aviation (CORSIA). Annex 16, Vol. IV is a direct result of implementation of the “European Union Emissions Trading Scheme Prohibition Act of 2011” (PL 112-200), which includes a provision instructing the Secretary of Transportation and the FAA Administrator to use their authority to conduct international negotiations to pursue a worldwide approach to aircraft emissions. Additionally, FAA is </w:t>
      </w:r>
      <w:r w:rsidR="00FB2313">
        <w:rPr>
          <w:rFonts w:ascii="Times New Roman" w:hAnsi="Times New Roman"/>
          <w:bCs/>
          <w:sz w:val="24"/>
          <w:szCs w:val="24"/>
        </w:rPr>
        <w:t>instructed</w:t>
      </w:r>
      <w:r w:rsidR="003D3652">
        <w:rPr>
          <w:rFonts w:ascii="Times New Roman" w:hAnsi="Times New Roman"/>
          <w:bCs/>
          <w:sz w:val="24"/>
          <w:szCs w:val="24"/>
        </w:rPr>
        <w:t xml:space="preserve"> by 49 USC </w:t>
      </w:r>
      <w:r w:rsidR="00295F3A">
        <w:rPr>
          <w:rFonts w:ascii="Times New Roman" w:hAnsi="Times New Roman"/>
          <w:bCs/>
          <w:sz w:val="24"/>
          <w:szCs w:val="24"/>
        </w:rPr>
        <w:t xml:space="preserve">§ </w:t>
      </w:r>
      <w:r w:rsidR="003D3652">
        <w:rPr>
          <w:rFonts w:ascii="Times New Roman" w:hAnsi="Times New Roman"/>
          <w:bCs/>
          <w:sz w:val="24"/>
          <w:szCs w:val="24"/>
        </w:rPr>
        <w:t xml:space="preserve">40105(b)(A) to act consistently with the obligations of the United States Government under an international agreement. Annex 16, Vol. IV implements a single market-based measure for international aviation emissions and ensures a fair playing field for all operators. It also avoids a patchwork of country- or regionally-based regulatory measures that are inconsistently applied, bureaucratically costly, and economically damaging. To implement Annex 16, Vol. IV, U.S. </w:t>
      </w:r>
      <w:r w:rsidR="00AB5F53">
        <w:rPr>
          <w:rFonts w:ascii="Times New Roman" w:hAnsi="Times New Roman"/>
          <w:bCs/>
          <w:sz w:val="24"/>
          <w:szCs w:val="24"/>
        </w:rPr>
        <w:t xml:space="preserve">aircraft </w:t>
      </w:r>
      <w:r w:rsidR="003D3652">
        <w:rPr>
          <w:rFonts w:ascii="Times New Roman" w:hAnsi="Times New Roman"/>
          <w:bCs/>
          <w:sz w:val="24"/>
          <w:szCs w:val="24"/>
        </w:rPr>
        <w:t>operators are required to file an Emissions Monitoring Plan (EMP) if they emit more than 10,000 tonnes of emissions on international flights with fixed wing aircraft that have a maximum takeoff mass (MTOM) of greater than 5,700 kg. Flights for Heads of State, military, customs and police, and humanitarian, firefighting, and medical purposes are fully excluded.</w:t>
      </w:r>
      <w:r w:rsidR="004A4FAE">
        <w:rPr>
          <w:rFonts w:ascii="Times New Roman" w:hAnsi="Times New Roman"/>
          <w:bCs/>
          <w:sz w:val="24"/>
          <w:szCs w:val="24"/>
        </w:rPr>
        <w:t xml:space="preserve"> U.S. operators that have filed an EMP are also required to file an annual Emissions Report (ER).</w:t>
      </w:r>
      <w:r w:rsidR="0091309D">
        <w:rPr>
          <w:rFonts w:ascii="Times New Roman" w:hAnsi="Times New Roman"/>
          <w:bCs/>
          <w:sz w:val="24"/>
          <w:szCs w:val="24"/>
        </w:rPr>
        <w:t xml:space="preserve"> Together, an operator’s EMP and annual ERs allow an operator and the FAA to fulfill the emissions monitoring, reporting, and verification (MRV) requirements of Annex 16 Vol. IV.</w:t>
      </w:r>
      <w:r w:rsidR="00295F3A">
        <w:rPr>
          <w:rFonts w:ascii="Times New Roman" w:hAnsi="Times New Roman"/>
          <w:bCs/>
          <w:sz w:val="24"/>
          <w:szCs w:val="24"/>
        </w:rPr>
        <w:t xml:space="preserve"> Pursuant to ICAO processes and procedures, ICAO Member States had until 22 </w:t>
      </w:r>
      <w:r w:rsidR="007D17E5">
        <w:rPr>
          <w:rFonts w:ascii="Times New Roman" w:hAnsi="Times New Roman"/>
          <w:bCs/>
          <w:sz w:val="24"/>
          <w:szCs w:val="24"/>
        </w:rPr>
        <w:t xml:space="preserve">October 2018 to register disapproval </w:t>
      </w:r>
      <w:r w:rsidR="003A6657">
        <w:rPr>
          <w:rFonts w:ascii="Times New Roman" w:hAnsi="Times New Roman"/>
          <w:bCs/>
          <w:sz w:val="24"/>
          <w:szCs w:val="24"/>
        </w:rPr>
        <w:t xml:space="preserve">in whole or </w:t>
      </w:r>
      <w:r w:rsidR="003A6657">
        <w:rPr>
          <w:rFonts w:ascii="Times New Roman" w:hAnsi="Times New Roman"/>
          <w:bCs/>
          <w:sz w:val="24"/>
          <w:szCs w:val="24"/>
        </w:rPr>
        <w:lastRenderedPageBreak/>
        <w:t xml:space="preserve">in part </w:t>
      </w:r>
      <w:r w:rsidR="007D17E5">
        <w:rPr>
          <w:rFonts w:ascii="Times New Roman" w:hAnsi="Times New Roman"/>
          <w:bCs/>
          <w:sz w:val="24"/>
          <w:szCs w:val="24"/>
        </w:rPr>
        <w:t>with Annex 16, Vol. IV</w:t>
      </w:r>
      <w:r w:rsidR="003A6657">
        <w:rPr>
          <w:rFonts w:ascii="Times New Roman" w:hAnsi="Times New Roman"/>
          <w:bCs/>
          <w:sz w:val="24"/>
          <w:szCs w:val="24"/>
        </w:rPr>
        <w:t>.</w:t>
      </w:r>
      <w:r w:rsidR="003A6657">
        <w:rPr>
          <w:rStyle w:val="FootnoteReference"/>
          <w:rFonts w:ascii="Times New Roman" w:hAnsi="Times New Roman"/>
          <w:bCs/>
          <w:sz w:val="24"/>
          <w:szCs w:val="24"/>
        </w:rPr>
        <w:footnoteReference w:id="1"/>
      </w:r>
      <w:r w:rsidR="003A6657">
        <w:rPr>
          <w:rFonts w:ascii="Times New Roman" w:hAnsi="Times New Roman"/>
          <w:bCs/>
          <w:sz w:val="24"/>
          <w:szCs w:val="24"/>
        </w:rPr>
        <w:t xml:space="preserve"> In addition, Member States had until 18 December 2019 to file differences with Annex 16, Vol. IV.</w:t>
      </w:r>
      <w:r w:rsidR="003A6657">
        <w:rPr>
          <w:rStyle w:val="FootnoteReference"/>
          <w:rFonts w:ascii="Times New Roman" w:hAnsi="Times New Roman"/>
          <w:bCs/>
          <w:sz w:val="24"/>
          <w:szCs w:val="24"/>
        </w:rPr>
        <w:footnoteReference w:id="2"/>
      </w:r>
      <w:r w:rsidR="003E7850">
        <w:rPr>
          <w:rFonts w:ascii="Times New Roman" w:hAnsi="Times New Roman"/>
          <w:bCs/>
          <w:sz w:val="24"/>
          <w:szCs w:val="24"/>
        </w:rPr>
        <w:t xml:space="preserve"> Given the possibility for disapproval or significant filing of differences, the FAA is only now taking this action.</w:t>
      </w:r>
    </w:p>
    <w:p w14:paraId="4D286F34" w14:textId="77777777" w:rsidR="00FB2313" w:rsidRDefault="00FB23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233EECDE" w14:textId="77777777" w:rsidR="00FB2313" w:rsidRDefault="00FB23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Attachments:</w:t>
      </w:r>
    </w:p>
    <w:p w14:paraId="4011C55C" w14:textId="6FD1BE46" w:rsidR="00FB2313" w:rsidRDefault="00FB2313" w:rsidP="00F91C28">
      <w:pPr>
        <w:pStyle w:val="ListParagraph"/>
        <w:numPr>
          <w:ilvl w:val="0"/>
          <w:numId w:val="10"/>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European Union Emissions Trading</w:t>
      </w:r>
      <w:r w:rsidR="00D965BB">
        <w:rPr>
          <w:rFonts w:ascii="Times New Roman" w:hAnsi="Times New Roman"/>
          <w:bCs/>
          <w:sz w:val="24"/>
          <w:szCs w:val="24"/>
        </w:rPr>
        <w:t xml:space="preserve"> Scheme Prohibition Act of 2011</w:t>
      </w:r>
      <w:r>
        <w:rPr>
          <w:rFonts w:ascii="Times New Roman" w:hAnsi="Times New Roman"/>
          <w:bCs/>
          <w:sz w:val="24"/>
          <w:szCs w:val="24"/>
        </w:rPr>
        <w:t xml:space="preserve"> (PL 112-200)</w:t>
      </w:r>
    </w:p>
    <w:p w14:paraId="04CD238E" w14:textId="380BF79D" w:rsidR="00FB2313" w:rsidRDefault="00FB2313" w:rsidP="00F91C28">
      <w:pPr>
        <w:pStyle w:val="ListParagraph"/>
        <w:numPr>
          <w:ilvl w:val="0"/>
          <w:numId w:val="10"/>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49 USC</w:t>
      </w:r>
      <w:r w:rsidR="003E7850">
        <w:rPr>
          <w:rFonts w:ascii="Times New Roman" w:hAnsi="Times New Roman"/>
          <w:bCs/>
          <w:sz w:val="24"/>
          <w:szCs w:val="24"/>
        </w:rPr>
        <w:t xml:space="preserve"> §</w:t>
      </w:r>
      <w:r>
        <w:rPr>
          <w:rFonts w:ascii="Times New Roman" w:hAnsi="Times New Roman"/>
          <w:bCs/>
          <w:sz w:val="24"/>
          <w:szCs w:val="24"/>
        </w:rPr>
        <w:t xml:space="preserve"> 40105 (b)(A)</w:t>
      </w:r>
    </w:p>
    <w:p w14:paraId="582ECEDC" w14:textId="382BBC0C" w:rsidR="0004749E" w:rsidRPr="00984FC4" w:rsidRDefault="00F12057">
      <w:pPr>
        <w:rPr>
          <w:rFonts w:ascii="Times New Roman" w:hAnsi="Times New Roman"/>
          <w:sz w:val="24"/>
          <w:szCs w:val="24"/>
        </w:rPr>
      </w:pPr>
      <w:r w:rsidRPr="00F12057">
        <w:rPr>
          <w:rFonts w:ascii="Times New Roman" w:hAnsi="Times New Roman"/>
          <w:bCs/>
          <w:sz w:val="24"/>
          <w:szCs w:val="24"/>
        </w:rPr>
        <w:t>Annex 16, Volume IV</w:t>
      </w:r>
      <w:r>
        <w:rPr>
          <w:rFonts w:ascii="Times New Roman" w:hAnsi="Times New Roman"/>
          <w:bCs/>
          <w:sz w:val="24"/>
          <w:szCs w:val="24"/>
        </w:rPr>
        <w:t xml:space="preserve"> – </w:t>
      </w:r>
      <w:r w:rsidRPr="00F12057">
        <w:rPr>
          <w:rFonts w:ascii="Times New Roman" w:hAnsi="Times New Roman"/>
          <w:bCs/>
          <w:sz w:val="24"/>
          <w:szCs w:val="24"/>
        </w:rPr>
        <w:t>Carbon Offsetting and Reduction Scheme for International Aviation (CORSIA) of the Convention on Civil Aviation (hereinafter the ‘‘Chicago Convention’’)</w:t>
      </w:r>
      <w:r>
        <w:rPr>
          <w:rFonts w:ascii="Times New Roman" w:hAnsi="Times New Roman"/>
          <w:bCs/>
          <w:sz w:val="24"/>
          <w:szCs w:val="24"/>
        </w:rPr>
        <w:t>.</w:t>
      </w:r>
      <w:r w:rsidR="0004749E" w:rsidRPr="00984FC4">
        <w:rPr>
          <w:rFonts w:ascii="Times New Roman" w:hAnsi="Times New Roman"/>
          <w:sz w:val="24"/>
          <w:szCs w:val="24"/>
        </w:rPr>
        <w:br/>
      </w:r>
    </w:p>
    <w:p w14:paraId="16C2BBB2" w14:textId="6EA78CC1" w:rsidR="00470720" w:rsidRPr="00984FC4" w:rsidRDefault="0004749E" w:rsidP="00470720">
      <w:pPr>
        <w:rPr>
          <w:rFonts w:ascii="Times New Roman" w:hAnsi="Times New Roman"/>
          <w:sz w:val="24"/>
          <w:szCs w:val="24"/>
        </w:rPr>
      </w:pPr>
      <w:r w:rsidRPr="00984FC4">
        <w:rPr>
          <w:rFonts w:ascii="Times New Roman" w:hAnsi="Times New Roman"/>
          <w:bCs/>
          <w:sz w:val="24"/>
          <w:szCs w:val="24"/>
        </w:rPr>
        <w:t xml:space="preserve">2. </w:t>
      </w:r>
      <w:r w:rsidRPr="00984FC4">
        <w:rPr>
          <w:rFonts w:ascii="Times New Roman" w:hAnsi="Times New Roman"/>
          <w:bCs/>
          <w:sz w:val="24"/>
          <w:szCs w:val="24"/>
          <w:u w:val="single"/>
        </w:rPr>
        <w:t>How, by whom, and for what purpose is the information used.</w:t>
      </w:r>
      <w:r w:rsidR="00F200EA">
        <w:rPr>
          <w:rFonts w:ascii="Times New Roman" w:hAnsi="Times New Roman"/>
          <w:b/>
          <w:bCs/>
          <w:sz w:val="24"/>
          <w:szCs w:val="24"/>
        </w:rPr>
        <w:t xml:space="preserve"> </w:t>
      </w:r>
      <w:r w:rsidR="002B5F72" w:rsidRPr="00F30543">
        <w:rPr>
          <w:rFonts w:ascii="Times New Roman" w:hAnsi="Times New Roman"/>
          <w:b/>
          <w:i/>
          <w:sz w:val="24"/>
          <w:szCs w:val="24"/>
        </w:rPr>
        <w:t>Indicate how, by whom, and for what purpose the information is to be used.</w:t>
      </w:r>
      <w:r w:rsidR="00F200EA">
        <w:rPr>
          <w:rFonts w:ascii="Times New Roman" w:hAnsi="Times New Roman"/>
          <w:b/>
          <w:i/>
          <w:sz w:val="24"/>
          <w:szCs w:val="24"/>
        </w:rPr>
        <w:t xml:space="preserve"> </w:t>
      </w:r>
      <w:r w:rsidR="002B5F72" w:rsidRPr="00F30543">
        <w:rPr>
          <w:rFonts w:ascii="Times New Roman" w:hAnsi="Times New Roman"/>
          <w:b/>
          <w:i/>
          <w:sz w:val="24"/>
          <w:szCs w:val="24"/>
        </w:rPr>
        <w:t>Except for a new collection, indicate the actual use the agency has made of the information received from the current collection.</w:t>
      </w:r>
    </w:p>
    <w:p w14:paraId="5AFE97E1" w14:textId="77777777" w:rsidR="00E80B3F" w:rsidRDefault="00E80B3F" w:rsidP="0031601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47A7531C" w14:textId="349B3153" w:rsidR="004C660E" w:rsidRPr="00E80B3F" w:rsidRDefault="00316016" w:rsidP="0031601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0B3F">
        <w:rPr>
          <w:rFonts w:ascii="Times New Roman" w:hAnsi="Times New Roman"/>
          <w:color w:val="auto"/>
        </w:rPr>
        <w:t xml:space="preserve">Operators that </w:t>
      </w:r>
      <w:r w:rsidR="00D04BD8">
        <w:rPr>
          <w:rFonts w:ascii="Times New Roman" w:hAnsi="Times New Roman"/>
          <w:color w:val="auto"/>
        </w:rPr>
        <w:t>are subject to the applicability</w:t>
      </w:r>
      <w:r w:rsidRPr="00E80B3F">
        <w:rPr>
          <w:rFonts w:ascii="Times New Roman" w:hAnsi="Times New Roman"/>
          <w:color w:val="auto"/>
        </w:rPr>
        <w:t xml:space="preserve"> of Annex 16 Vol</w:t>
      </w:r>
      <w:r w:rsidR="00F12057">
        <w:rPr>
          <w:rFonts w:ascii="Times New Roman" w:hAnsi="Times New Roman"/>
          <w:color w:val="auto"/>
        </w:rPr>
        <w:t>.</w:t>
      </w:r>
      <w:r w:rsidRPr="00E80B3F">
        <w:rPr>
          <w:rFonts w:ascii="Times New Roman" w:hAnsi="Times New Roman"/>
          <w:color w:val="auto"/>
        </w:rPr>
        <w:t xml:space="preserve"> IV. (i.e., they emit </w:t>
      </w:r>
      <w:r w:rsidRPr="00E80B3F">
        <w:rPr>
          <w:rFonts w:ascii="Times New Roman" w:hAnsi="Times New Roman"/>
          <w:bCs/>
          <w:color w:val="auto"/>
        </w:rPr>
        <w:t>more than 10,000 tonnes of emissions on international flights with fixed wing aircraft that have a maximum takeoff mass (MTOM) of greater than 5,700 kg)</w:t>
      </w:r>
      <w:r w:rsidR="00F12057">
        <w:rPr>
          <w:rFonts w:ascii="Times New Roman" w:hAnsi="Times New Roman"/>
          <w:bCs/>
          <w:color w:val="auto"/>
        </w:rPr>
        <w:t xml:space="preserve"> and choose to participate in the FAA program</w:t>
      </w:r>
      <w:r w:rsidRPr="00E80B3F">
        <w:rPr>
          <w:rFonts w:ascii="Times New Roman" w:hAnsi="Times New Roman"/>
          <w:bCs/>
          <w:color w:val="auto"/>
        </w:rPr>
        <w:t xml:space="preserve"> will submit their EMP</w:t>
      </w:r>
      <w:r w:rsidR="00752C80" w:rsidRPr="00E80B3F">
        <w:rPr>
          <w:rFonts w:ascii="Times New Roman" w:hAnsi="Times New Roman"/>
          <w:bCs/>
          <w:color w:val="auto"/>
        </w:rPr>
        <w:t>s</w:t>
      </w:r>
      <w:r w:rsidRPr="00E80B3F">
        <w:rPr>
          <w:rFonts w:ascii="Times New Roman" w:hAnsi="Times New Roman"/>
          <w:bCs/>
          <w:color w:val="auto"/>
        </w:rPr>
        <w:t xml:space="preserve"> and ER</w:t>
      </w:r>
      <w:r w:rsidR="00752C80" w:rsidRPr="00E80B3F">
        <w:rPr>
          <w:rFonts w:ascii="Times New Roman" w:hAnsi="Times New Roman"/>
          <w:bCs/>
          <w:color w:val="auto"/>
        </w:rPr>
        <w:t>s</w:t>
      </w:r>
      <w:r w:rsidRPr="00E80B3F">
        <w:rPr>
          <w:rFonts w:ascii="Times New Roman" w:hAnsi="Times New Roman"/>
          <w:bCs/>
          <w:color w:val="auto"/>
        </w:rPr>
        <w:t xml:space="preserve"> electronically. Both documents use Microsoft Excel-based templates and can be transmitted via email or uploaded to a web portal. EMPs that are submitted by operators will be used as a collaborative tool between the operator and FAA</w:t>
      </w:r>
      <w:r w:rsidR="0066440E" w:rsidRPr="00E80B3F">
        <w:rPr>
          <w:rFonts w:ascii="Times New Roman" w:hAnsi="Times New Roman"/>
          <w:bCs/>
          <w:color w:val="auto"/>
        </w:rPr>
        <w:t xml:space="preserve"> to document</w:t>
      </w:r>
      <w:r w:rsidRPr="00E80B3F">
        <w:rPr>
          <w:rFonts w:ascii="Times New Roman" w:hAnsi="Times New Roman"/>
          <w:bCs/>
          <w:color w:val="auto"/>
        </w:rPr>
        <w:t xml:space="preserve"> a given operator’s chosen fuel use monitoring procedures. FAA will retain a copy of the EMP and will share </w:t>
      </w:r>
      <w:r w:rsidR="00EE6D74" w:rsidRPr="00E80B3F">
        <w:rPr>
          <w:rFonts w:ascii="Times New Roman" w:hAnsi="Times New Roman"/>
          <w:bCs/>
          <w:color w:val="auto"/>
        </w:rPr>
        <w:t>with</w:t>
      </w:r>
      <w:r w:rsidR="00F200EA">
        <w:rPr>
          <w:rFonts w:ascii="Times New Roman" w:hAnsi="Times New Roman"/>
          <w:bCs/>
          <w:color w:val="auto"/>
        </w:rPr>
        <w:t xml:space="preserve"> </w:t>
      </w:r>
      <w:r w:rsidR="00EE6D74" w:rsidRPr="00E80B3F">
        <w:rPr>
          <w:rFonts w:ascii="Times New Roman" w:hAnsi="Times New Roman"/>
          <w:bCs/>
          <w:color w:val="auto"/>
        </w:rPr>
        <w:t xml:space="preserve">ICAO </w:t>
      </w:r>
      <w:r w:rsidRPr="00E80B3F">
        <w:rPr>
          <w:rFonts w:ascii="Times New Roman" w:hAnsi="Times New Roman"/>
          <w:bCs/>
          <w:color w:val="auto"/>
        </w:rPr>
        <w:t xml:space="preserve">a list of operators that </w:t>
      </w:r>
      <w:r w:rsidR="0066440E" w:rsidRPr="00E80B3F">
        <w:rPr>
          <w:rFonts w:ascii="Times New Roman" w:hAnsi="Times New Roman"/>
          <w:bCs/>
          <w:color w:val="auto"/>
        </w:rPr>
        <w:t>are obligated to submit</w:t>
      </w:r>
      <w:r w:rsidR="00D965BB">
        <w:rPr>
          <w:rFonts w:ascii="Times New Roman" w:hAnsi="Times New Roman"/>
          <w:bCs/>
          <w:color w:val="auto"/>
        </w:rPr>
        <w:t xml:space="preserve"> EMPs</w:t>
      </w:r>
      <w:r w:rsidR="00D85734" w:rsidRPr="00E80B3F">
        <w:rPr>
          <w:rFonts w:ascii="Times New Roman" w:hAnsi="Times New Roman"/>
          <w:bCs/>
          <w:color w:val="auto"/>
        </w:rPr>
        <w:t xml:space="preserve">. This will </w:t>
      </w:r>
      <w:r w:rsidRPr="00E80B3F">
        <w:rPr>
          <w:rFonts w:ascii="Times New Roman" w:hAnsi="Times New Roman"/>
          <w:bCs/>
          <w:color w:val="auto"/>
        </w:rPr>
        <w:t>demonstrate U.S. implementation of Annex 16 Vol. IV</w:t>
      </w:r>
      <w:r w:rsidR="0066440E" w:rsidRPr="00E80B3F">
        <w:rPr>
          <w:rFonts w:ascii="Times New Roman" w:hAnsi="Times New Roman"/>
          <w:bCs/>
          <w:color w:val="auto"/>
        </w:rPr>
        <w:t xml:space="preserve">. FAA </w:t>
      </w:r>
      <w:r w:rsidRPr="00E80B3F">
        <w:rPr>
          <w:rFonts w:ascii="Times New Roman" w:hAnsi="Times New Roman"/>
          <w:bCs/>
          <w:color w:val="auto"/>
        </w:rPr>
        <w:t xml:space="preserve">will not submit any </w:t>
      </w:r>
      <w:r w:rsidR="0066440E" w:rsidRPr="00E80B3F">
        <w:rPr>
          <w:rFonts w:ascii="Times New Roman" w:hAnsi="Times New Roman"/>
          <w:bCs/>
          <w:color w:val="auto"/>
        </w:rPr>
        <w:t>specific</w:t>
      </w:r>
      <w:r w:rsidRPr="00E80B3F">
        <w:rPr>
          <w:rFonts w:ascii="Times New Roman" w:hAnsi="Times New Roman"/>
          <w:bCs/>
          <w:color w:val="auto"/>
        </w:rPr>
        <w:t xml:space="preserve"> EMPs from U.S. operators to ICAO. Annual ERs that are submitted to FAA by operators and verifiers will be used to document each operators’ international emissions. FAA will use the ERs to calculate aggregated emissions data for </w:t>
      </w:r>
      <w:r w:rsidR="00D85734" w:rsidRPr="00E80B3F">
        <w:rPr>
          <w:rFonts w:ascii="Times New Roman" w:hAnsi="Times New Roman"/>
          <w:bCs/>
          <w:color w:val="auto"/>
        </w:rPr>
        <w:t xml:space="preserve">all </w:t>
      </w:r>
      <w:r w:rsidRPr="00E80B3F">
        <w:rPr>
          <w:rFonts w:ascii="Times New Roman" w:hAnsi="Times New Roman"/>
          <w:bCs/>
          <w:color w:val="auto"/>
        </w:rPr>
        <w:t xml:space="preserve">U.S. operators at the </w:t>
      </w:r>
      <w:r w:rsidR="0066440E" w:rsidRPr="00E80B3F">
        <w:rPr>
          <w:rFonts w:ascii="Times New Roman" w:hAnsi="Times New Roman"/>
          <w:bCs/>
          <w:color w:val="auto"/>
        </w:rPr>
        <w:t>airport</w:t>
      </w:r>
      <w:r w:rsidRPr="00E80B3F">
        <w:rPr>
          <w:rFonts w:ascii="Times New Roman" w:hAnsi="Times New Roman"/>
          <w:bCs/>
          <w:color w:val="auto"/>
        </w:rPr>
        <w:t>-pair level</w:t>
      </w:r>
      <w:r w:rsidR="00D85734" w:rsidRPr="00E80B3F">
        <w:rPr>
          <w:rFonts w:ascii="Times New Roman" w:hAnsi="Times New Roman"/>
          <w:bCs/>
          <w:color w:val="auto"/>
        </w:rPr>
        <w:t>. FAA will</w:t>
      </w:r>
      <w:r w:rsidRPr="00E80B3F">
        <w:rPr>
          <w:rFonts w:ascii="Times New Roman" w:hAnsi="Times New Roman"/>
          <w:bCs/>
          <w:color w:val="auto"/>
        </w:rPr>
        <w:t xml:space="preserve"> submit the aggregated </w:t>
      </w:r>
      <w:r w:rsidR="00607238" w:rsidRPr="00E80B3F">
        <w:rPr>
          <w:rFonts w:ascii="Times New Roman" w:hAnsi="Times New Roman"/>
          <w:bCs/>
          <w:color w:val="auto"/>
        </w:rPr>
        <w:t>country</w:t>
      </w:r>
      <w:r w:rsidR="0044683C" w:rsidRPr="00E80B3F">
        <w:rPr>
          <w:rFonts w:ascii="Times New Roman" w:hAnsi="Times New Roman"/>
          <w:bCs/>
          <w:color w:val="auto"/>
        </w:rPr>
        <w:t xml:space="preserve">-pair </w:t>
      </w:r>
      <w:r w:rsidRPr="00E80B3F">
        <w:rPr>
          <w:rFonts w:ascii="Times New Roman" w:hAnsi="Times New Roman"/>
          <w:bCs/>
          <w:color w:val="auto"/>
        </w:rPr>
        <w:t>emissions data to ICAO to demonstrate U.S. implementation of Annex 16 Vol. IV.</w:t>
      </w:r>
    </w:p>
    <w:p w14:paraId="792C42E4" w14:textId="77777777" w:rsidR="0004749E" w:rsidRPr="00984FC4" w:rsidRDefault="0004749E">
      <w:pPr>
        <w:rPr>
          <w:rFonts w:ascii="Times New Roman" w:hAnsi="Times New Roman"/>
          <w:sz w:val="24"/>
          <w:szCs w:val="24"/>
        </w:rPr>
      </w:pPr>
    </w:p>
    <w:p w14:paraId="320F3059" w14:textId="130D9078" w:rsidR="00470720" w:rsidRPr="00984FC4" w:rsidRDefault="0004749E" w:rsidP="00470720">
      <w:pPr>
        <w:rPr>
          <w:rFonts w:ascii="Times New Roman" w:hAnsi="Times New Roman"/>
          <w:sz w:val="24"/>
          <w:szCs w:val="24"/>
        </w:rPr>
      </w:pPr>
      <w:r w:rsidRPr="00984FC4">
        <w:rPr>
          <w:rFonts w:ascii="Times New Roman" w:hAnsi="Times New Roman"/>
          <w:bCs/>
          <w:sz w:val="24"/>
          <w:szCs w:val="24"/>
        </w:rPr>
        <w:t xml:space="preserve">3. </w:t>
      </w:r>
      <w:r w:rsidRPr="00984FC4">
        <w:rPr>
          <w:rFonts w:ascii="Times New Roman" w:hAnsi="Times New Roman"/>
          <w:bCs/>
          <w:sz w:val="24"/>
          <w:szCs w:val="24"/>
          <w:u w:val="single"/>
        </w:rPr>
        <w:t>Extent of automated information collection.</w:t>
      </w:r>
      <w:r w:rsidR="00F200EA">
        <w:rPr>
          <w:rFonts w:ascii="Times New Roman" w:hAnsi="Times New Roman"/>
          <w:b/>
          <w:bCs/>
          <w:sz w:val="24"/>
          <w:szCs w:val="24"/>
        </w:rPr>
        <w:t xml:space="preserve"> </w:t>
      </w:r>
      <w:r w:rsidR="002B5F72" w:rsidRPr="00B24894">
        <w:rPr>
          <w:rFonts w:ascii="Times New Roman" w:hAnsi="Times New Roman"/>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200EA">
        <w:rPr>
          <w:rFonts w:ascii="Times New Roman" w:hAnsi="Times New Roman"/>
          <w:b/>
          <w:i/>
          <w:sz w:val="24"/>
          <w:szCs w:val="24"/>
        </w:rPr>
        <w:t xml:space="preserve"> </w:t>
      </w:r>
      <w:r w:rsidR="002B5F72" w:rsidRPr="00B24894">
        <w:rPr>
          <w:rFonts w:ascii="Times New Roman" w:hAnsi="Times New Roman"/>
          <w:b/>
          <w:i/>
          <w:sz w:val="24"/>
          <w:szCs w:val="24"/>
        </w:rPr>
        <w:t>Also describe any consideration of using information technology to reduce burden.</w:t>
      </w:r>
    </w:p>
    <w:p w14:paraId="28C2BC74" w14:textId="77777777" w:rsidR="00E80B3F" w:rsidRDefault="00E80B3F" w:rsidP="004644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14:paraId="0BBE8234" w14:textId="29FFB19F" w:rsidR="0004749E" w:rsidRPr="00E80B3F" w:rsidRDefault="004644C1" w:rsidP="004644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0B3F">
        <w:rPr>
          <w:rFonts w:ascii="Times New Roman" w:hAnsi="Times New Roman"/>
          <w:bCs/>
          <w:color w:val="auto"/>
        </w:rPr>
        <w:lastRenderedPageBreak/>
        <w:t>Both EMP and ER templates use Microsoft Excel-based templates</w:t>
      </w:r>
      <w:r w:rsidR="00287483" w:rsidRPr="00E80B3F">
        <w:rPr>
          <w:rFonts w:ascii="Times New Roman" w:hAnsi="Times New Roman"/>
          <w:bCs/>
          <w:color w:val="auto"/>
        </w:rPr>
        <w:t>, which maximizes convenience for operators given the application’s widespread use and ease of data entry</w:t>
      </w:r>
      <w:r w:rsidR="002109B2" w:rsidRPr="00E80B3F">
        <w:rPr>
          <w:rFonts w:ascii="Times New Roman" w:hAnsi="Times New Roman"/>
          <w:bCs/>
          <w:color w:val="auto"/>
        </w:rPr>
        <w:t>. FAA will allow operators to submit their completed EMPs and ERs electronically via either email or an FAA</w:t>
      </w:r>
      <w:r w:rsidR="00FF72AA">
        <w:rPr>
          <w:rFonts w:ascii="Times New Roman" w:hAnsi="Times New Roman"/>
          <w:bCs/>
          <w:color w:val="auto"/>
        </w:rPr>
        <w:t>-</w:t>
      </w:r>
      <w:r w:rsidR="002109B2" w:rsidRPr="00E80B3F">
        <w:rPr>
          <w:rFonts w:ascii="Times New Roman" w:hAnsi="Times New Roman"/>
          <w:bCs/>
          <w:color w:val="auto"/>
        </w:rPr>
        <w:t xml:space="preserve">developed </w:t>
      </w:r>
      <w:r w:rsidR="00607238" w:rsidRPr="00E80B3F">
        <w:rPr>
          <w:rFonts w:ascii="Times New Roman" w:hAnsi="Times New Roman"/>
          <w:bCs/>
          <w:color w:val="auto"/>
        </w:rPr>
        <w:t xml:space="preserve">secure </w:t>
      </w:r>
      <w:r w:rsidR="002109B2" w:rsidRPr="00E80B3F">
        <w:rPr>
          <w:rFonts w:ascii="Times New Roman" w:hAnsi="Times New Roman"/>
          <w:bCs/>
          <w:color w:val="auto"/>
        </w:rPr>
        <w:t>submission portal</w:t>
      </w:r>
      <w:r w:rsidR="00287483" w:rsidRPr="00E80B3F">
        <w:rPr>
          <w:rFonts w:ascii="Times New Roman" w:hAnsi="Times New Roman"/>
          <w:bCs/>
          <w:color w:val="auto"/>
        </w:rPr>
        <w:t>, depending on each</w:t>
      </w:r>
      <w:r w:rsidR="002109B2" w:rsidRPr="00E80B3F">
        <w:rPr>
          <w:rFonts w:ascii="Times New Roman" w:hAnsi="Times New Roman"/>
          <w:bCs/>
          <w:color w:val="auto"/>
        </w:rPr>
        <w:t xml:space="preserve"> operator’s preference. </w:t>
      </w:r>
      <w:r w:rsidR="008F2CDB" w:rsidRPr="00E80B3F">
        <w:rPr>
          <w:rFonts w:ascii="Times New Roman" w:hAnsi="Times New Roman"/>
          <w:color w:val="auto"/>
        </w:rPr>
        <w:br/>
      </w:r>
    </w:p>
    <w:p w14:paraId="2695BD63" w14:textId="3395F2C0" w:rsidR="0004749E" w:rsidRPr="00984FC4" w:rsidRDefault="0004749E" w:rsidP="00470720">
      <w:pPr>
        <w:pStyle w:val="NormalWeb"/>
        <w:rPr>
          <w:rFonts w:ascii="Times New Roman" w:hAnsi="Times New Roman" w:cs="Times New Roman"/>
          <w:b/>
          <w:bCs/>
          <w:u w:val="single"/>
        </w:rPr>
      </w:pPr>
      <w:r w:rsidRPr="00984FC4">
        <w:rPr>
          <w:rFonts w:ascii="Times New Roman" w:hAnsi="Times New Roman" w:cs="Times New Roman"/>
          <w:bCs/>
        </w:rPr>
        <w:t xml:space="preserve">4. </w:t>
      </w:r>
      <w:r w:rsidRPr="00984FC4">
        <w:rPr>
          <w:rFonts w:ascii="Times New Roman" w:hAnsi="Times New Roman" w:cs="Times New Roman"/>
          <w:bCs/>
          <w:u w:val="single"/>
        </w:rPr>
        <w:t>Efforts to identify duplication.</w:t>
      </w:r>
      <w:r w:rsidR="00F200EA">
        <w:rPr>
          <w:rFonts w:ascii="Times New Roman" w:hAnsi="Times New Roman" w:cs="Times New Roman"/>
          <w:bCs/>
        </w:rPr>
        <w:t xml:space="preserve"> </w:t>
      </w:r>
      <w:r w:rsidR="002B5F72" w:rsidRPr="00B24894">
        <w:rPr>
          <w:rFonts w:ascii="Times New Roman" w:hAnsi="Times New Roman" w:cs="Times New Roman"/>
          <w:b/>
          <w:i/>
        </w:rPr>
        <w:t>Describe efforts to identify duplication.</w:t>
      </w:r>
      <w:r w:rsidR="00F200EA">
        <w:rPr>
          <w:rFonts w:ascii="Times New Roman" w:hAnsi="Times New Roman" w:cs="Times New Roman"/>
          <w:b/>
          <w:i/>
        </w:rPr>
        <w:t xml:space="preserve"> </w:t>
      </w:r>
      <w:r w:rsidR="002B5F72" w:rsidRPr="00B24894">
        <w:rPr>
          <w:rFonts w:ascii="Times New Roman" w:hAnsi="Times New Roman" w:cs="Times New Roman"/>
          <w:b/>
          <w:i/>
        </w:rPr>
        <w:t>Show specifically why any similar information already available cannot be used or modified for use for the purposes described in item 2 above.</w:t>
      </w:r>
    </w:p>
    <w:p w14:paraId="6B0F6B5A" w14:textId="3266933D" w:rsidR="0004749E" w:rsidRDefault="004644C1">
      <w:pPr>
        <w:rPr>
          <w:rFonts w:ascii="Times New Roman" w:hAnsi="Times New Roman"/>
          <w:sz w:val="24"/>
          <w:szCs w:val="24"/>
        </w:rPr>
      </w:pPr>
      <w:r w:rsidRPr="00295F3A">
        <w:rPr>
          <w:rFonts w:ascii="Times New Roman" w:hAnsi="Times New Roman"/>
          <w:sz w:val="24"/>
          <w:szCs w:val="24"/>
        </w:rPr>
        <w:t xml:space="preserve">Information </w:t>
      </w:r>
      <w:r w:rsidR="00A92595" w:rsidRPr="00295F3A">
        <w:rPr>
          <w:rFonts w:ascii="Times New Roman" w:hAnsi="Times New Roman"/>
          <w:sz w:val="24"/>
          <w:szCs w:val="24"/>
        </w:rPr>
        <w:t xml:space="preserve">currently submitted to and collected by FAA </w:t>
      </w:r>
      <w:r w:rsidR="00607238" w:rsidRPr="00295F3A">
        <w:rPr>
          <w:rFonts w:ascii="Times New Roman" w:hAnsi="Times New Roman"/>
          <w:sz w:val="24"/>
          <w:szCs w:val="24"/>
        </w:rPr>
        <w:t xml:space="preserve">or DOT (e.g., BTS Form 41 fuel burn data) </w:t>
      </w:r>
      <w:r w:rsidR="00A92595" w:rsidRPr="00295F3A">
        <w:rPr>
          <w:rFonts w:ascii="Times New Roman" w:hAnsi="Times New Roman"/>
          <w:sz w:val="24"/>
          <w:szCs w:val="24"/>
        </w:rPr>
        <w:t>does not provide the necessary level of fidelity on emissions and fuel data to enable the United States to meet its obligations under Annex 16, Vol. IV</w:t>
      </w:r>
      <w:r w:rsidR="0091309D" w:rsidRPr="00295F3A">
        <w:rPr>
          <w:rFonts w:ascii="Times New Roman" w:hAnsi="Times New Roman"/>
          <w:sz w:val="24"/>
          <w:szCs w:val="24"/>
        </w:rPr>
        <w:t>.</w:t>
      </w:r>
    </w:p>
    <w:p w14:paraId="4B421766" w14:textId="77777777" w:rsidR="00295F3A" w:rsidRPr="00295F3A" w:rsidRDefault="00295F3A">
      <w:pPr>
        <w:rPr>
          <w:rFonts w:ascii="Times New Roman" w:hAnsi="Times New Roman"/>
          <w:sz w:val="24"/>
          <w:szCs w:val="24"/>
        </w:rPr>
      </w:pPr>
    </w:p>
    <w:p w14:paraId="49964305" w14:textId="693897EA" w:rsidR="004A4FAE" w:rsidRDefault="0004749E" w:rsidP="00470720">
      <w:pPr>
        <w:rPr>
          <w:rFonts w:ascii="Times New Roman" w:hAnsi="Times New Roman"/>
          <w:b/>
          <w:i/>
          <w:sz w:val="24"/>
          <w:szCs w:val="24"/>
        </w:rPr>
      </w:pPr>
      <w:r w:rsidRPr="00984FC4">
        <w:rPr>
          <w:rFonts w:ascii="Times New Roman" w:hAnsi="Times New Roman"/>
          <w:bCs/>
          <w:sz w:val="24"/>
          <w:szCs w:val="24"/>
        </w:rPr>
        <w:t xml:space="preserve">5. </w:t>
      </w:r>
      <w:r w:rsidRPr="00984FC4">
        <w:rPr>
          <w:rFonts w:ascii="Times New Roman" w:hAnsi="Times New Roman"/>
          <w:bCs/>
          <w:sz w:val="24"/>
          <w:szCs w:val="24"/>
          <w:u w:val="single"/>
        </w:rPr>
        <w:t>Efforts to minimize the burden on small businesses</w:t>
      </w:r>
      <w:r w:rsidRPr="00984FC4">
        <w:rPr>
          <w:rFonts w:ascii="Times New Roman" w:hAnsi="Times New Roman"/>
          <w:b/>
          <w:bCs/>
          <w:sz w:val="24"/>
          <w:szCs w:val="24"/>
          <w:u w:val="single"/>
        </w:rPr>
        <w:t>.</w:t>
      </w:r>
      <w:r w:rsidR="00F200EA">
        <w:rPr>
          <w:rFonts w:ascii="Times New Roman" w:hAnsi="Times New Roman"/>
          <w:b/>
          <w:bCs/>
          <w:sz w:val="24"/>
          <w:szCs w:val="24"/>
        </w:rPr>
        <w:t xml:space="preserve"> </w:t>
      </w:r>
      <w:r w:rsidR="002B5F72" w:rsidRPr="00B24894">
        <w:rPr>
          <w:rFonts w:ascii="Times New Roman" w:hAnsi="Times New Roman"/>
          <w:b/>
          <w:i/>
          <w:sz w:val="24"/>
          <w:szCs w:val="24"/>
        </w:rPr>
        <w:t>If the collection of information impacts small businesses or other small entities (item 5 of OMB form 83-I), describe any methods used to minimize burden.</w:t>
      </w:r>
    </w:p>
    <w:p w14:paraId="2496033D" w14:textId="77777777" w:rsidR="004A4FAE" w:rsidRDefault="004A4FAE" w:rsidP="00470720">
      <w:pPr>
        <w:rPr>
          <w:rFonts w:ascii="Times New Roman" w:hAnsi="Times New Roman"/>
          <w:b/>
          <w:i/>
          <w:sz w:val="24"/>
          <w:szCs w:val="24"/>
        </w:rPr>
      </w:pPr>
    </w:p>
    <w:p w14:paraId="2A070EA2" w14:textId="18FD64BF" w:rsidR="00470720" w:rsidRPr="00F91C28" w:rsidRDefault="002C5F48" w:rsidP="00F91C28">
      <w:pPr>
        <w:pStyle w:val="ListParagraph"/>
        <w:rPr>
          <w:rFonts w:ascii="Times New Roman" w:hAnsi="Times New Roman"/>
          <w:sz w:val="24"/>
          <w:szCs w:val="24"/>
        </w:rPr>
      </w:pPr>
      <w:r>
        <w:rPr>
          <w:rFonts w:ascii="Times New Roman" w:hAnsi="Times New Roman"/>
          <w:sz w:val="24"/>
          <w:szCs w:val="24"/>
        </w:rPr>
        <w:t>This collection will not involve small businesses or small entities.</w:t>
      </w:r>
      <w:r w:rsidR="002C27AD">
        <w:rPr>
          <w:rFonts w:ascii="Times New Roman" w:hAnsi="Times New Roman"/>
          <w:sz w:val="24"/>
          <w:szCs w:val="24"/>
        </w:rPr>
        <w:t xml:space="preserve"> </w:t>
      </w:r>
      <w:r w:rsidR="00E56D2D">
        <w:rPr>
          <w:rFonts w:ascii="Times New Roman" w:hAnsi="Times New Roman"/>
          <w:sz w:val="24"/>
          <w:szCs w:val="24"/>
        </w:rPr>
        <w:br/>
      </w:r>
      <w:r w:rsidR="00E56D2D" w:rsidRPr="00626E83">
        <w:rPr>
          <w:rFonts w:ascii="Times New Roman" w:hAnsi="Times New Roman"/>
          <w:i/>
          <w:sz w:val="24"/>
          <w:szCs w:val="24"/>
        </w:rPr>
        <w:t xml:space="preserve">Note: </w:t>
      </w:r>
      <w:r w:rsidR="00B86700">
        <w:rPr>
          <w:rFonts w:ascii="Times New Roman" w:hAnsi="Times New Roman"/>
          <w:i/>
          <w:sz w:val="24"/>
          <w:szCs w:val="24"/>
        </w:rPr>
        <w:t>A</w:t>
      </w:r>
      <w:r w:rsidR="002C27AD" w:rsidRPr="00626E83">
        <w:rPr>
          <w:rFonts w:ascii="Times New Roman" w:hAnsi="Times New Roman"/>
          <w:i/>
          <w:sz w:val="24"/>
          <w:szCs w:val="24"/>
        </w:rPr>
        <w:t xml:space="preserve">s described in 1., there </w:t>
      </w:r>
      <w:r w:rsidR="00E25C2D">
        <w:rPr>
          <w:rFonts w:ascii="Times New Roman" w:hAnsi="Times New Roman"/>
          <w:i/>
          <w:sz w:val="24"/>
          <w:szCs w:val="24"/>
        </w:rPr>
        <w:t>are</w:t>
      </w:r>
      <w:r w:rsidR="002C27AD" w:rsidRPr="00626E83">
        <w:rPr>
          <w:rFonts w:ascii="Times New Roman" w:hAnsi="Times New Roman"/>
          <w:i/>
          <w:sz w:val="24"/>
          <w:szCs w:val="24"/>
        </w:rPr>
        <w:t xml:space="preserve"> no filing requirements for </w:t>
      </w:r>
      <w:r w:rsidR="002F6F7E" w:rsidRPr="00626E83">
        <w:rPr>
          <w:rFonts w:ascii="Times New Roman" w:hAnsi="Times New Roman"/>
          <w:i/>
          <w:sz w:val="24"/>
          <w:szCs w:val="24"/>
        </w:rPr>
        <w:t xml:space="preserve">small </w:t>
      </w:r>
      <w:r w:rsidR="002C27AD" w:rsidRPr="00626E83">
        <w:rPr>
          <w:rFonts w:ascii="Times New Roman" w:hAnsi="Times New Roman"/>
          <w:bCs/>
          <w:i/>
          <w:sz w:val="24"/>
          <w:szCs w:val="24"/>
        </w:rPr>
        <w:t>U.S. aircraft operators</w:t>
      </w:r>
      <w:r w:rsidR="002F6F7E" w:rsidRPr="00626E83">
        <w:rPr>
          <w:rFonts w:ascii="Times New Roman" w:hAnsi="Times New Roman"/>
          <w:bCs/>
          <w:i/>
          <w:sz w:val="24"/>
          <w:szCs w:val="24"/>
        </w:rPr>
        <w:t xml:space="preserve"> since only operator</w:t>
      </w:r>
      <w:r w:rsidR="00B86700">
        <w:rPr>
          <w:rFonts w:ascii="Times New Roman" w:hAnsi="Times New Roman"/>
          <w:bCs/>
          <w:i/>
          <w:sz w:val="24"/>
          <w:szCs w:val="24"/>
        </w:rPr>
        <w:t>s</w:t>
      </w:r>
      <w:r w:rsidR="002F6F7E" w:rsidRPr="00626E83">
        <w:rPr>
          <w:rFonts w:ascii="Times New Roman" w:hAnsi="Times New Roman"/>
          <w:bCs/>
          <w:i/>
          <w:sz w:val="24"/>
          <w:szCs w:val="24"/>
        </w:rPr>
        <w:t xml:space="preserve"> who</w:t>
      </w:r>
      <w:r w:rsidR="002C27AD" w:rsidRPr="00626E83">
        <w:rPr>
          <w:rFonts w:ascii="Times New Roman" w:hAnsi="Times New Roman"/>
          <w:bCs/>
          <w:i/>
          <w:sz w:val="24"/>
          <w:szCs w:val="24"/>
        </w:rPr>
        <w:t xml:space="preserve"> emit more than 10,000 tonnes of emissions on international flights</w:t>
      </w:r>
      <w:r w:rsidR="002F6F7E" w:rsidRPr="00626E83">
        <w:rPr>
          <w:rFonts w:ascii="Times New Roman" w:hAnsi="Times New Roman"/>
          <w:bCs/>
          <w:i/>
          <w:sz w:val="24"/>
          <w:szCs w:val="24"/>
        </w:rPr>
        <w:t xml:space="preserve"> are required to file</w:t>
      </w:r>
      <w:r w:rsidR="00E25C2D">
        <w:rPr>
          <w:rFonts w:ascii="Times New Roman" w:hAnsi="Times New Roman"/>
          <w:bCs/>
          <w:i/>
          <w:sz w:val="24"/>
          <w:szCs w:val="24"/>
        </w:rPr>
        <w:t xml:space="preserve"> an EMP and annual ERs</w:t>
      </w:r>
      <w:r w:rsidR="002F6F7E" w:rsidRPr="00626E83">
        <w:rPr>
          <w:rFonts w:ascii="Times New Roman" w:hAnsi="Times New Roman"/>
          <w:bCs/>
          <w:i/>
          <w:sz w:val="24"/>
          <w:szCs w:val="24"/>
        </w:rPr>
        <w:t xml:space="preserve">. </w:t>
      </w:r>
      <w:r w:rsidR="008F2CDB" w:rsidRPr="00626E83">
        <w:rPr>
          <w:rFonts w:ascii="Times New Roman" w:hAnsi="Times New Roman"/>
          <w:i/>
          <w:sz w:val="24"/>
          <w:szCs w:val="24"/>
        </w:rPr>
        <w:br/>
      </w:r>
    </w:p>
    <w:p w14:paraId="6BC91DAA" w14:textId="77777777" w:rsidR="0004749E" w:rsidRPr="00984FC4" w:rsidRDefault="0004749E">
      <w:pPr>
        <w:rPr>
          <w:rFonts w:ascii="Times New Roman" w:hAnsi="Times New Roman"/>
          <w:sz w:val="24"/>
          <w:szCs w:val="24"/>
        </w:rPr>
      </w:pPr>
    </w:p>
    <w:p w14:paraId="1D83E12B" w14:textId="2803F2F1" w:rsidR="004A4FAE" w:rsidRDefault="0004749E" w:rsidP="00470720">
      <w:pPr>
        <w:rPr>
          <w:rFonts w:ascii="Times New Roman" w:hAnsi="Times New Roman"/>
          <w:b/>
          <w:i/>
          <w:sz w:val="24"/>
          <w:szCs w:val="24"/>
        </w:rPr>
      </w:pPr>
      <w:r w:rsidRPr="00984FC4">
        <w:rPr>
          <w:rFonts w:ascii="Times New Roman" w:hAnsi="Times New Roman"/>
          <w:bCs/>
          <w:sz w:val="24"/>
          <w:szCs w:val="24"/>
        </w:rPr>
        <w:t xml:space="preserve">6. </w:t>
      </w:r>
      <w:r w:rsidRPr="00984FC4">
        <w:rPr>
          <w:rFonts w:ascii="Times New Roman" w:hAnsi="Times New Roman"/>
          <w:bCs/>
          <w:sz w:val="24"/>
          <w:szCs w:val="24"/>
          <w:u w:val="single"/>
        </w:rPr>
        <w:t>Impact of less frequent collection of information</w:t>
      </w:r>
      <w:r w:rsidRPr="00984FC4">
        <w:rPr>
          <w:rFonts w:ascii="Times New Roman" w:hAnsi="Times New Roman"/>
          <w:b/>
          <w:bCs/>
          <w:sz w:val="24"/>
          <w:szCs w:val="24"/>
          <w:u w:val="single"/>
        </w:rPr>
        <w:t>.</w:t>
      </w:r>
      <w:r w:rsidR="00F200EA">
        <w:rPr>
          <w:rFonts w:ascii="Times New Roman" w:hAnsi="Times New Roman"/>
          <w:b/>
          <w:bCs/>
          <w:sz w:val="24"/>
          <w:szCs w:val="24"/>
        </w:rPr>
        <w:t xml:space="preserve"> </w:t>
      </w:r>
      <w:r w:rsidR="008526C9" w:rsidRPr="00B24894">
        <w:rPr>
          <w:rFonts w:ascii="Times New Roman" w:hAnsi="Times New Roman"/>
          <w:b/>
          <w:i/>
          <w:sz w:val="24"/>
          <w:szCs w:val="24"/>
        </w:rPr>
        <w:t>Describe the consequence to F</w:t>
      </w:r>
      <w:r w:rsidR="002B5F72" w:rsidRPr="00B24894">
        <w:rPr>
          <w:rFonts w:ascii="Times New Roman" w:hAnsi="Times New Roman"/>
          <w:b/>
          <w:i/>
          <w:sz w:val="24"/>
          <w:szCs w:val="24"/>
        </w:rPr>
        <w:t>ederal program or policy activities if the collection is not conducted or is conducted less frequently, as well as any technical or legal obstacles to reducing burden.</w:t>
      </w:r>
    </w:p>
    <w:p w14:paraId="54C3D130" w14:textId="77777777" w:rsidR="00EE5C97" w:rsidRDefault="00EE5C97" w:rsidP="00470720">
      <w:pPr>
        <w:rPr>
          <w:rFonts w:ascii="Times New Roman" w:hAnsi="Times New Roman"/>
          <w:b/>
          <w:i/>
          <w:sz w:val="24"/>
          <w:szCs w:val="24"/>
        </w:rPr>
      </w:pPr>
    </w:p>
    <w:p w14:paraId="3627F156" w14:textId="00D9F8F2" w:rsidR="00470720" w:rsidRPr="00295F3A" w:rsidRDefault="002C5F48" w:rsidP="00295F3A">
      <w:pPr>
        <w:rPr>
          <w:rFonts w:ascii="Times New Roman" w:hAnsi="Times New Roman"/>
          <w:sz w:val="24"/>
          <w:szCs w:val="24"/>
        </w:rPr>
      </w:pPr>
      <w:r>
        <w:rPr>
          <w:rFonts w:ascii="Times New Roman" w:hAnsi="Times New Roman"/>
          <w:sz w:val="24"/>
          <w:szCs w:val="24"/>
        </w:rPr>
        <w:t>Annex 16 Vol</w:t>
      </w:r>
      <w:r w:rsidR="00370645">
        <w:rPr>
          <w:rFonts w:ascii="Times New Roman" w:hAnsi="Times New Roman"/>
          <w:sz w:val="24"/>
          <w:szCs w:val="24"/>
        </w:rPr>
        <w:t>.</w:t>
      </w:r>
      <w:r>
        <w:rPr>
          <w:rFonts w:ascii="Times New Roman" w:hAnsi="Times New Roman"/>
          <w:sz w:val="24"/>
          <w:szCs w:val="24"/>
        </w:rPr>
        <w:t xml:space="preserve"> IV requires operators submit a single EMP to document its monitoring plans (i.e., the first step of the MRV process), and must only submit an updated EMP if there are substantive changes to their operations. Annex 16 Vol. IV also requires operators to submit an ER annually to report its emissions and have them verified (i.e., the subsequent steps of the MRV process). If an operator does not submit an EMP, nor its annual ERs, the U</w:t>
      </w:r>
      <w:r w:rsidR="00295F3A">
        <w:rPr>
          <w:rFonts w:ascii="Times New Roman" w:hAnsi="Times New Roman"/>
          <w:sz w:val="24"/>
          <w:szCs w:val="24"/>
        </w:rPr>
        <w:t xml:space="preserve">nited </w:t>
      </w:r>
      <w:r>
        <w:rPr>
          <w:rFonts w:ascii="Times New Roman" w:hAnsi="Times New Roman"/>
          <w:sz w:val="24"/>
          <w:szCs w:val="24"/>
        </w:rPr>
        <w:t>S</w:t>
      </w:r>
      <w:r w:rsidR="00295F3A">
        <w:rPr>
          <w:rFonts w:ascii="Times New Roman" w:hAnsi="Times New Roman"/>
          <w:sz w:val="24"/>
          <w:szCs w:val="24"/>
        </w:rPr>
        <w:t>tates</w:t>
      </w:r>
      <w:r>
        <w:rPr>
          <w:rFonts w:ascii="Times New Roman" w:hAnsi="Times New Roman"/>
          <w:sz w:val="24"/>
          <w:szCs w:val="24"/>
        </w:rPr>
        <w:t xml:space="preserve"> will not be in compliance with Annex 16 Vol. IV.</w:t>
      </w:r>
    </w:p>
    <w:p w14:paraId="35622EF5" w14:textId="22CB7115" w:rsidR="00470720" w:rsidRDefault="00B22478" w:rsidP="00984FC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000000"/>
        </w:rPr>
      </w:pPr>
      <w:r w:rsidRPr="00984FC4">
        <w:rPr>
          <w:rFonts w:ascii="Times New Roman" w:hAnsi="Times New Roman"/>
        </w:rPr>
        <w:br/>
      </w:r>
      <w:r w:rsidR="009D4F72" w:rsidRPr="00984FC4">
        <w:rPr>
          <w:rFonts w:ascii="Times New Roman" w:hAnsi="Times New Roman"/>
          <w:bCs/>
          <w:color w:val="000000"/>
        </w:rPr>
        <w:t>7</w:t>
      </w:r>
      <w:r w:rsidR="0004749E" w:rsidRPr="00984FC4">
        <w:rPr>
          <w:rFonts w:ascii="Times New Roman" w:hAnsi="Times New Roman"/>
          <w:bCs/>
          <w:color w:val="000000"/>
        </w:rPr>
        <w:t xml:space="preserve">. </w:t>
      </w:r>
      <w:r w:rsidR="0004749E" w:rsidRPr="00984FC4">
        <w:rPr>
          <w:rFonts w:ascii="Times New Roman" w:hAnsi="Times New Roman"/>
          <w:bCs/>
          <w:color w:val="000000"/>
          <w:u w:val="single"/>
        </w:rPr>
        <w:t>Special circumstances.</w:t>
      </w:r>
      <w:r w:rsidR="00F200EA">
        <w:rPr>
          <w:rFonts w:ascii="Times New Roman" w:hAnsi="Times New Roman"/>
          <w:b/>
          <w:bCs/>
          <w:color w:val="000000"/>
        </w:rPr>
        <w:t xml:space="preserve"> </w:t>
      </w:r>
      <w:r w:rsidR="002B5F72" w:rsidRPr="00B24894">
        <w:rPr>
          <w:rFonts w:ascii="Times New Roman" w:hAnsi="Times New Roman"/>
          <w:b/>
          <w:i/>
          <w:color w:val="000000"/>
        </w:rPr>
        <w:t>Explain any special circumstance</w:t>
      </w:r>
      <w:r w:rsidR="008526C9" w:rsidRPr="00B24894">
        <w:rPr>
          <w:rFonts w:ascii="Times New Roman" w:hAnsi="Times New Roman"/>
          <w:b/>
          <w:i/>
          <w:color w:val="000000"/>
        </w:rPr>
        <w:t xml:space="preserve">s that would </w:t>
      </w:r>
      <w:r w:rsidR="002B5F72" w:rsidRPr="00B24894">
        <w:rPr>
          <w:rFonts w:ascii="Times New Roman" w:hAnsi="Times New Roman"/>
          <w:b/>
          <w:i/>
          <w:color w:val="000000"/>
        </w:rPr>
        <w:t>cause an information collection to be conducted in a manner:</w:t>
      </w:r>
    </w:p>
    <w:p w14:paraId="5D548DED" w14:textId="77777777" w:rsidR="00E80B3F" w:rsidRPr="00984FC4" w:rsidRDefault="00E80B3F" w:rsidP="00984FC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000000"/>
        </w:rPr>
      </w:pPr>
    </w:p>
    <w:p w14:paraId="0567E286" w14:textId="751B91B4" w:rsidR="00E80B3F" w:rsidRPr="00E80B3F" w:rsidRDefault="003E6F53" w:rsidP="00E80B3F">
      <w:pPr>
        <w:ind w:left="720"/>
        <w:rPr>
          <w:rFonts w:ascii="Times New Roman" w:hAnsi="Times New Roman"/>
          <w:color w:val="000000"/>
          <w:sz w:val="24"/>
          <w:szCs w:val="24"/>
        </w:rPr>
      </w:pPr>
      <w:r w:rsidRPr="00E80B3F">
        <w:rPr>
          <w:rFonts w:ascii="Times New Roman" w:hAnsi="Times New Roman"/>
          <w:color w:val="000000"/>
          <w:sz w:val="24"/>
          <w:szCs w:val="24"/>
        </w:rPr>
        <w:t>Annex 16 Vol. IV requires operators to keep records relevant to demonstrating their comp</w:t>
      </w:r>
      <w:r w:rsidR="00CA37E0" w:rsidRPr="00E80B3F">
        <w:rPr>
          <w:rFonts w:ascii="Times New Roman" w:hAnsi="Times New Roman"/>
          <w:color w:val="000000"/>
          <w:sz w:val="24"/>
          <w:szCs w:val="24"/>
        </w:rPr>
        <w:t>liance for a period of 10 years, which is considered a “special circumstance” in the list below. This information collection results in no other “special circumstances</w:t>
      </w:r>
      <w:r w:rsidR="00FF72AA">
        <w:rPr>
          <w:rFonts w:ascii="Times New Roman" w:hAnsi="Times New Roman"/>
          <w:color w:val="000000"/>
          <w:sz w:val="24"/>
          <w:szCs w:val="24"/>
        </w:rPr>
        <w:t>.</w:t>
      </w:r>
      <w:r w:rsidR="00CA37E0" w:rsidRPr="00E80B3F">
        <w:rPr>
          <w:rFonts w:ascii="Times New Roman" w:hAnsi="Times New Roman"/>
          <w:color w:val="000000"/>
          <w:sz w:val="24"/>
          <w:szCs w:val="24"/>
        </w:rPr>
        <w:t>”</w:t>
      </w:r>
      <w:r w:rsidR="007260B7" w:rsidRPr="00E80B3F">
        <w:rPr>
          <w:rFonts w:ascii="Times New Roman" w:hAnsi="Times New Roman"/>
          <w:color w:val="000000"/>
          <w:sz w:val="24"/>
          <w:szCs w:val="24"/>
        </w:rPr>
        <w:t xml:space="preserve"> </w:t>
      </w:r>
    </w:p>
    <w:p w14:paraId="17AD9D53" w14:textId="77777777" w:rsidR="00E80B3F" w:rsidRDefault="00E80B3F" w:rsidP="00E80B3F">
      <w:pPr>
        <w:ind w:left="720"/>
        <w:rPr>
          <w:rFonts w:ascii="Times New Roman" w:hAnsi="Times New Roman"/>
          <w:color w:val="000000"/>
          <w:sz w:val="24"/>
          <w:szCs w:val="24"/>
          <w:u w:val="single"/>
        </w:rPr>
      </w:pPr>
    </w:p>
    <w:p w14:paraId="0FCB7BF2" w14:textId="75E61B2E" w:rsidR="00470720" w:rsidRDefault="002B5F72" w:rsidP="00E80B3F">
      <w:pPr>
        <w:numPr>
          <w:ilvl w:val="0"/>
          <w:numId w:val="1"/>
        </w:numPr>
        <w:rPr>
          <w:rFonts w:ascii="Times New Roman" w:hAnsi="Times New Roman"/>
          <w:b/>
          <w:i/>
          <w:sz w:val="24"/>
          <w:szCs w:val="24"/>
        </w:rPr>
      </w:pPr>
      <w:r w:rsidRPr="00B24894">
        <w:rPr>
          <w:rFonts w:ascii="Times New Roman" w:hAnsi="Times New Roman"/>
          <w:b/>
          <w:i/>
          <w:sz w:val="24"/>
          <w:szCs w:val="24"/>
        </w:rPr>
        <w:t>Requiring respondents to report information to the agency more often than quarterly;</w:t>
      </w:r>
    </w:p>
    <w:p w14:paraId="0C5EAC9D" w14:textId="77777777" w:rsidR="00550360" w:rsidRPr="00B24894" w:rsidRDefault="00550360" w:rsidP="00F91C28">
      <w:pPr>
        <w:numPr>
          <w:ilvl w:val="1"/>
          <w:numId w:val="1"/>
        </w:numPr>
        <w:rPr>
          <w:rFonts w:ascii="Times New Roman" w:hAnsi="Times New Roman"/>
          <w:b/>
          <w:i/>
          <w:sz w:val="24"/>
          <w:szCs w:val="24"/>
        </w:rPr>
      </w:pPr>
      <w:r>
        <w:rPr>
          <w:rFonts w:ascii="Times New Roman" w:hAnsi="Times New Roman"/>
          <w:b/>
          <w:i/>
          <w:sz w:val="24"/>
          <w:szCs w:val="24"/>
        </w:rPr>
        <w:t>None</w:t>
      </w:r>
    </w:p>
    <w:p w14:paraId="2710B145" w14:textId="77777777" w:rsidR="00470720" w:rsidRPr="00B24894" w:rsidRDefault="00470720" w:rsidP="00470720">
      <w:pPr>
        <w:rPr>
          <w:rFonts w:ascii="Times New Roman" w:hAnsi="Times New Roman"/>
          <w:b/>
          <w:i/>
          <w:sz w:val="24"/>
          <w:szCs w:val="24"/>
        </w:rPr>
      </w:pPr>
    </w:p>
    <w:p w14:paraId="466D5A50" w14:textId="77777777" w:rsidR="00470720" w:rsidRDefault="002B5F72" w:rsidP="008F2CDB">
      <w:pPr>
        <w:numPr>
          <w:ilvl w:val="0"/>
          <w:numId w:val="1"/>
        </w:numPr>
        <w:rPr>
          <w:rFonts w:ascii="Times New Roman" w:hAnsi="Times New Roman"/>
          <w:b/>
          <w:i/>
          <w:sz w:val="24"/>
          <w:szCs w:val="24"/>
        </w:rPr>
      </w:pPr>
      <w:r w:rsidRPr="00B24894">
        <w:rPr>
          <w:rFonts w:ascii="Times New Roman" w:hAnsi="Times New Roman"/>
          <w:b/>
          <w:i/>
          <w:sz w:val="24"/>
          <w:szCs w:val="24"/>
        </w:rPr>
        <w:t>Requiring respondents to prepare a written response to a collection of information in fewer than 30 days after receipt of it;</w:t>
      </w:r>
    </w:p>
    <w:p w14:paraId="6C2E9C61" w14:textId="77777777" w:rsidR="00550360" w:rsidRPr="00B24894" w:rsidRDefault="00550360" w:rsidP="00F91C28">
      <w:pPr>
        <w:numPr>
          <w:ilvl w:val="1"/>
          <w:numId w:val="1"/>
        </w:numPr>
        <w:rPr>
          <w:rFonts w:ascii="Times New Roman" w:hAnsi="Times New Roman"/>
          <w:b/>
          <w:i/>
          <w:sz w:val="24"/>
          <w:szCs w:val="24"/>
        </w:rPr>
      </w:pPr>
      <w:r>
        <w:rPr>
          <w:rFonts w:ascii="Times New Roman" w:hAnsi="Times New Roman"/>
          <w:b/>
          <w:i/>
          <w:sz w:val="24"/>
          <w:szCs w:val="24"/>
        </w:rPr>
        <w:t>None</w:t>
      </w:r>
    </w:p>
    <w:p w14:paraId="533235F7" w14:textId="77777777" w:rsidR="00470720" w:rsidRPr="00B24894" w:rsidRDefault="00470720" w:rsidP="00470720">
      <w:pPr>
        <w:rPr>
          <w:rFonts w:ascii="Times New Roman" w:hAnsi="Times New Roman"/>
          <w:b/>
          <w:i/>
          <w:sz w:val="24"/>
          <w:szCs w:val="24"/>
        </w:rPr>
      </w:pPr>
    </w:p>
    <w:p w14:paraId="484D20F8" w14:textId="77777777" w:rsidR="00470720" w:rsidRDefault="002B5F72" w:rsidP="008F2CDB">
      <w:pPr>
        <w:numPr>
          <w:ilvl w:val="0"/>
          <w:numId w:val="1"/>
        </w:numPr>
        <w:rPr>
          <w:rFonts w:ascii="Times New Roman" w:hAnsi="Times New Roman"/>
          <w:b/>
          <w:i/>
          <w:sz w:val="24"/>
          <w:szCs w:val="24"/>
        </w:rPr>
      </w:pPr>
      <w:r w:rsidRPr="00B24894">
        <w:rPr>
          <w:rFonts w:ascii="Times New Roman" w:hAnsi="Times New Roman"/>
          <w:b/>
          <w:i/>
          <w:sz w:val="24"/>
          <w:szCs w:val="24"/>
        </w:rPr>
        <w:t>Requiring respondents to submit more than an original and two copies of any document;</w:t>
      </w:r>
    </w:p>
    <w:p w14:paraId="51F69492" w14:textId="77777777" w:rsidR="00550360" w:rsidRPr="00B24894" w:rsidRDefault="00550360" w:rsidP="00F91C28">
      <w:pPr>
        <w:numPr>
          <w:ilvl w:val="1"/>
          <w:numId w:val="1"/>
        </w:numPr>
        <w:rPr>
          <w:rFonts w:ascii="Times New Roman" w:hAnsi="Times New Roman"/>
          <w:b/>
          <w:i/>
          <w:sz w:val="24"/>
          <w:szCs w:val="24"/>
        </w:rPr>
      </w:pPr>
      <w:r>
        <w:rPr>
          <w:rFonts w:ascii="Times New Roman" w:hAnsi="Times New Roman"/>
          <w:b/>
          <w:i/>
          <w:sz w:val="24"/>
          <w:szCs w:val="24"/>
        </w:rPr>
        <w:t>None</w:t>
      </w:r>
    </w:p>
    <w:p w14:paraId="7BAE9401" w14:textId="77777777" w:rsidR="00470720" w:rsidRPr="00B24894" w:rsidRDefault="00470720" w:rsidP="00470720">
      <w:pPr>
        <w:rPr>
          <w:rFonts w:ascii="Times New Roman" w:hAnsi="Times New Roman"/>
          <w:b/>
          <w:i/>
          <w:sz w:val="24"/>
          <w:szCs w:val="24"/>
        </w:rPr>
      </w:pPr>
    </w:p>
    <w:p w14:paraId="7370EAF0" w14:textId="77777777" w:rsidR="00470720" w:rsidRDefault="002B5F72" w:rsidP="008F2CDB">
      <w:pPr>
        <w:numPr>
          <w:ilvl w:val="0"/>
          <w:numId w:val="1"/>
        </w:numPr>
        <w:rPr>
          <w:rFonts w:ascii="Times New Roman" w:hAnsi="Times New Roman"/>
          <w:b/>
          <w:i/>
          <w:sz w:val="24"/>
          <w:szCs w:val="24"/>
        </w:rPr>
      </w:pPr>
      <w:r w:rsidRPr="00B24894">
        <w:rPr>
          <w:rFonts w:ascii="Times New Roman" w:hAnsi="Times New Roman"/>
          <w:b/>
          <w:i/>
          <w:sz w:val="24"/>
          <w:szCs w:val="24"/>
        </w:rPr>
        <w:t>Requiring respondents to retain records, other than health, medical, government contract, grant-in-aid, or tax records for more than three years;</w:t>
      </w:r>
    </w:p>
    <w:p w14:paraId="4DF1EDB3" w14:textId="54A52A39" w:rsidR="00550360" w:rsidRPr="00F91C28" w:rsidRDefault="003E6F53" w:rsidP="00F91C28">
      <w:pPr>
        <w:numPr>
          <w:ilvl w:val="1"/>
          <w:numId w:val="1"/>
        </w:numPr>
        <w:rPr>
          <w:rFonts w:ascii="Times New Roman" w:hAnsi="Times New Roman"/>
          <w:sz w:val="24"/>
          <w:szCs w:val="24"/>
        </w:rPr>
      </w:pPr>
      <w:r w:rsidRPr="00F91C28">
        <w:rPr>
          <w:rFonts w:ascii="Times New Roman" w:hAnsi="Times New Roman"/>
          <w:sz w:val="24"/>
          <w:szCs w:val="24"/>
        </w:rPr>
        <w:t>Annex 16 Vol. IV requires operators to keep records relevant to demonstrating their compliance for a period of 10 years.</w:t>
      </w:r>
    </w:p>
    <w:p w14:paraId="5538D740" w14:textId="77777777" w:rsidR="00470720" w:rsidRPr="00B24894" w:rsidRDefault="00470720" w:rsidP="00470720">
      <w:pPr>
        <w:rPr>
          <w:rFonts w:ascii="Times New Roman" w:hAnsi="Times New Roman"/>
          <w:b/>
          <w:i/>
          <w:sz w:val="24"/>
          <w:szCs w:val="24"/>
        </w:rPr>
      </w:pPr>
    </w:p>
    <w:p w14:paraId="00A68952" w14:textId="77777777" w:rsidR="00470720" w:rsidRDefault="002B5F72" w:rsidP="008F2CDB">
      <w:pPr>
        <w:numPr>
          <w:ilvl w:val="0"/>
          <w:numId w:val="1"/>
        </w:numPr>
        <w:rPr>
          <w:rFonts w:ascii="Times New Roman" w:hAnsi="Times New Roman"/>
          <w:b/>
          <w:i/>
          <w:sz w:val="24"/>
          <w:szCs w:val="24"/>
        </w:rPr>
      </w:pPr>
      <w:r w:rsidRPr="00B24894">
        <w:rPr>
          <w:rFonts w:ascii="Times New Roman" w:hAnsi="Times New Roman"/>
          <w:b/>
          <w:i/>
          <w:sz w:val="24"/>
          <w:szCs w:val="24"/>
        </w:rPr>
        <w:t>In connection with a statistical survey, that is not designed to produce valid and reliable results that can be generalized to the universe of study;</w:t>
      </w:r>
    </w:p>
    <w:p w14:paraId="0FEEC4D1" w14:textId="77777777" w:rsidR="00550360" w:rsidRPr="00B24894" w:rsidRDefault="00550360" w:rsidP="00F91C28">
      <w:pPr>
        <w:numPr>
          <w:ilvl w:val="1"/>
          <w:numId w:val="1"/>
        </w:numPr>
        <w:rPr>
          <w:rFonts w:ascii="Times New Roman" w:hAnsi="Times New Roman"/>
          <w:b/>
          <w:i/>
          <w:sz w:val="24"/>
          <w:szCs w:val="24"/>
        </w:rPr>
      </w:pPr>
      <w:r>
        <w:rPr>
          <w:rFonts w:ascii="Times New Roman" w:hAnsi="Times New Roman"/>
          <w:b/>
          <w:i/>
          <w:sz w:val="24"/>
          <w:szCs w:val="24"/>
        </w:rPr>
        <w:t>None</w:t>
      </w:r>
    </w:p>
    <w:p w14:paraId="560137FA" w14:textId="77777777" w:rsidR="00470720" w:rsidRPr="00B24894" w:rsidRDefault="00470720" w:rsidP="00470720">
      <w:pPr>
        <w:rPr>
          <w:rFonts w:ascii="Times New Roman" w:hAnsi="Times New Roman"/>
          <w:b/>
          <w:i/>
          <w:sz w:val="24"/>
          <w:szCs w:val="24"/>
        </w:rPr>
      </w:pPr>
    </w:p>
    <w:p w14:paraId="07CD640D" w14:textId="77777777" w:rsidR="00470720" w:rsidRDefault="002B5F72" w:rsidP="008F2CDB">
      <w:pPr>
        <w:numPr>
          <w:ilvl w:val="0"/>
          <w:numId w:val="1"/>
        </w:numPr>
        <w:rPr>
          <w:rFonts w:ascii="Times New Roman" w:hAnsi="Times New Roman"/>
          <w:b/>
          <w:i/>
          <w:sz w:val="24"/>
          <w:szCs w:val="24"/>
        </w:rPr>
      </w:pPr>
      <w:r w:rsidRPr="00B24894">
        <w:rPr>
          <w:rFonts w:ascii="Times New Roman" w:hAnsi="Times New Roman"/>
          <w:b/>
          <w:i/>
          <w:sz w:val="24"/>
          <w:szCs w:val="24"/>
        </w:rPr>
        <w:t>Requiring the use of a statistical data classification that has not been reviewed and approved by OMB;</w:t>
      </w:r>
    </w:p>
    <w:p w14:paraId="6D840A01" w14:textId="77777777" w:rsidR="00550360" w:rsidRPr="00B24894" w:rsidRDefault="00550360" w:rsidP="00F91C28">
      <w:pPr>
        <w:numPr>
          <w:ilvl w:val="1"/>
          <w:numId w:val="1"/>
        </w:numPr>
        <w:rPr>
          <w:rFonts w:ascii="Times New Roman" w:hAnsi="Times New Roman"/>
          <w:b/>
          <w:i/>
          <w:sz w:val="24"/>
          <w:szCs w:val="24"/>
        </w:rPr>
      </w:pPr>
      <w:r>
        <w:rPr>
          <w:rFonts w:ascii="Times New Roman" w:hAnsi="Times New Roman"/>
          <w:b/>
          <w:i/>
          <w:sz w:val="24"/>
          <w:szCs w:val="24"/>
        </w:rPr>
        <w:t>None</w:t>
      </w:r>
    </w:p>
    <w:p w14:paraId="7D80CCE8" w14:textId="77777777" w:rsidR="00470720" w:rsidRPr="00B24894" w:rsidRDefault="00470720" w:rsidP="00470720">
      <w:pPr>
        <w:rPr>
          <w:rFonts w:ascii="Times New Roman" w:hAnsi="Times New Roman"/>
          <w:b/>
          <w:i/>
          <w:sz w:val="24"/>
          <w:szCs w:val="24"/>
        </w:rPr>
      </w:pPr>
    </w:p>
    <w:p w14:paraId="5141ECEC" w14:textId="77777777" w:rsidR="00470720" w:rsidRDefault="002B5F72" w:rsidP="008F2CDB">
      <w:pPr>
        <w:numPr>
          <w:ilvl w:val="0"/>
          <w:numId w:val="1"/>
        </w:numPr>
        <w:rPr>
          <w:rFonts w:ascii="Times New Roman" w:hAnsi="Times New Roman"/>
          <w:b/>
          <w:i/>
          <w:sz w:val="24"/>
          <w:szCs w:val="24"/>
        </w:rPr>
      </w:pPr>
      <w:r w:rsidRPr="00B24894">
        <w:rPr>
          <w:rFonts w:ascii="Times New Roman" w:hAnsi="Times New Roman"/>
          <w:b/>
          <w:i/>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92AF153" w14:textId="323E1B3C" w:rsidR="00550360" w:rsidRPr="00B24894" w:rsidRDefault="00CA37E0" w:rsidP="00F91C28">
      <w:pPr>
        <w:numPr>
          <w:ilvl w:val="1"/>
          <w:numId w:val="1"/>
        </w:numPr>
        <w:rPr>
          <w:rFonts w:ascii="Times New Roman" w:hAnsi="Times New Roman"/>
          <w:b/>
          <w:i/>
          <w:sz w:val="24"/>
          <w:szCs w:val="24"/>
        </w:rPr>
      </w:pPr>
      <w:r>
        <w:rPr>
          <w:rFonts w:ascii="Times New Roman" w:hAnsi="Times New Roman"/>
          <w:b/>
          <w:i/>
          <w:sz w:val="24"/>
          <w:szCs w:val="24"/>
        </w:rPr>
        <w:t>None</w:t>
      </w:r>
    </w:p>
    <w:p w14:paraId="2F78E3F5" w14:textId="77777777" w:rsidR="00470720" w:rsidRPr="00B24894" w:rsidRDefault="00470720" w:rsidP="00470720">
      <w:pPr>
        <w:rPr>
          <w:rFonts w:ascii="Times New Roman" w:hAnsi="Times New Roman"/>
          <w:b/>
          <w:i/>
          <w:sz w:val="24"/>
          <w:szCs w:val="24"/>
        </w:rPr>
      </w:pPr>
    </w:p>
    <w:p w14:paraId="4BCDE992" w14:textId="77777777" w:rsidR="00470720" w:rsidRPr="00F91C28" w:rsidRDefault="002B5F72" w:rsidP="008F2CDB">
      <w:pPr>
        <w:numPr>
          <w:ilvl w:val="0"/>
          <w:numId w:val="1"/>
        </w:numPr>
        <w:rPr>
          <w:rFonts w:ascii="Times New Roman" w:hAnsi="Times New Roman"/>
          <w:i/>
          <w:sz w:val="24"/>
          <w:szCs w:val="24"/>
        </w:rPr>
      </w:pPr>
      <w:r w:rsidRPr="00B24894">
        <w:rPr>
          <w:rFonts w:ascii="Times New Roman" w:hAnsi="Times New Roman"/>
          <w:b/>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35866F64" w14:textId="4A7D2820" w:rsidR="00550360" w:rsidRPr="00B24894" w:rsidRDefault="00CA37E0" w:rsidP="00F91C28">
      <w:pPr>
        <w:numPr>
          <w:ilvl w:val="1"/>
          <w:numId w:val="1"/>
        </w:numPr>
        <w:rPr>
          <w:rFonts w:ascii="Times New Roman" w:hAnsi="Times New Roman"/>
          <w:i/>
          <w:sz w:val="24"/>
          <w:szCs w:val="24"/>
        </w:rPr>
      </w:pPr>
      <w:r>
        <w:rPr>
          <w:rFonts w:ascii="Times New Roman" w:hAnsi="Times New Roman"/>
          <w:b/>
          <w:i/>
          <w:sz w:val="24"/>
          <w:szCs w:val="24"/>
        </w:rPr>
        <w:t>None</w:t>
      </w:r>
    </w:p>
    <w:p w14:paraId="016C11A5" w14:textId="77777777" w:rsidR="008526C9" w:rsidRPr="00984FC4" w:rsidRDefault="008526C9">
      <w:pPr>
        <w:pStyle w:val="NormalWeb"/>
        <w:rPr>
          <w:rFonts w:ascii="Times New Roman" w:hAnsi="Times New Roman" w:cs="Times New Roman"/>
        </w:rPr>
      </w:pPr>
    </w:p>
    <w:p w14:paraId="29ED90E7" w14:textId="1D680907" w:rsidR="006C714E" w:rsidRPr="00984FC4" w:rsidRDefault="0004749E" w:rsidP="006C714E">
      <w:pPr>
        <w:rPr>
          <w:rFonts w:ascii="Times New Roman" w:hAnsi="Times New Roman"/>
          <w:b/>
          <w:sz w:val="24"/>
          <w:szCs w:val="24"/>
        </w:rPr>
      </w:pPr>
      <w:r w:rsidRPr="00984FC4">
        <w:rPr>
          <w:rFonts w:ascii="Times New Roman" w:hAnsi="Times New Roman"/>
          <w:bCs/>
          <w:sz w:val="24"/>
          <w:szCs w:val="24"/>
        </w:rPr>
        <w:t xml:space="preserve">8. </w:t>
      </w:r>
      <w:r w:rsidRPr="00984FC4">
        <w:rPr>
          <w:rFonts w:ascii="Times New Roman" w:hAnsi="Times New Roman"/>
          <w:bCs/>
          <w:sz w:val="24"/>
          <w:szCs w:val="24"/>
          <w:u w:val="single"/>
        </w:rPr>
        <w:t>Compliance with 5 CFR 1320.8</w:t>
      </w:r>
      <w:r w:rsidRPr="00984FC4">
        <w:rPr>
          <w:rFonts w:ascii="Times New Roman" w:hAnsi="Times New Roman"/>
          <w:bCs/>
          <w:sz w:val="24"/>
          <w:szCs w:val="24"/>
        </w:rPr>
        <w:t>:</w:t>
      </w:r>
      <w:r w:rsidR="00F200EA">
        <w:rPr>
          <w:rFonts w:ascii="Times New Roman" w:hAnsi="Times New Roman"/>
          <w:b/>
          <w:bCs/>
          <w:sz w:val="24"/>
          <w:szCs w:val="24"/>
        </w:rPr>
        <w:t xml:space="preserve"> </w:t>
      </w:r>
      <w:r w:rsidR="002B5F72" w:rsidRPr="00B24894">
        <w:rPr>
          <w:rFonts w:ascii="Times New Roman" w:hAnsi="Times New Roman"/>
          <w:b/>
          <w:i/>
          <w:sz w:val="24"/>
          <w:szCs w:val="24"/>
        </w:rPr>
        <w:t>Provide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r w:rsidR="002B5F72" w:rsidRPr="00984FC4">
        <w:rPr>
          <w:rFonts w:ascii="Times New Roman" w:hAnsi="Times New Roman"/>
          <w:b/>
          <w:sz w:val="24"/>
          <w:szCs w:val="24"/>
        </w:rPr>
        <w:t xml:space="preserve"> </w:t>
      </w:r>
      <w:r w:rsidR="006C714E" w:rsidRPr="00984FC4">
        <w:rPr>
          <w:rFonts w:ascii="Times New Roman" w:hAnsi="Times New Roman"/>
          <w:b/>
          <w:sz w:val="24"/>
          <w:szCs w:val="24"/>
        </w:rPr>
        <w:br/>
      </w:r>
    </w:p>
    <w:p w14:paraId="19DCBCF9" w14:textId="1595A5DB" w:rsidR="006C714E" w:rsidRPr="00B24894" w:rsidRDefault="002B5F72" w:rsidP="006C714E">
      <w:pPr>
        <w:numPr>
          <w:ilvl w:val="0"/>
          <w:numId w:val="1"/>
        </w:numPr>
        <w:rPr>
          <w:rFonts w:ascii="Times New Roman" w:hAnsi="Times New Roman"/>
          <w:b/>
          <w:i/>
          <w:sz w:val="24"/>
          <w:szCs w:val="24"/>
        </w:rPr>
      </w:pPr>
      <w:r w:rsidRPr="00B24894">
        <w:rPr>
          <w:rFonts w:ascii="Times New Roman" w:hAnsi="Times New Roman"/>
          <w:b/>
          <w:i/>
          <w:sz w:val="24"/>
          <w:szCs w:val="24"/>
        </w:rPr>
        <w:t>Summarize public comments received in response to that notice and describe actions taken by the agency in response to those comments.</w:t>
      </w:r>
      <w:r w:rsidR="00F200EA">
        <w:rPr>
          <w:rFonts w:ascii="Times New Roman" w:hAnsi="Times New Roman"/>
          <w:b/>
          <w:i/>
          <w:sz w:val="24"/>
          <w:szCs w:val="24"/>
        </w:rPr>
        <w:t xml:space="preserve"> </w:t>
      </w:r>
      <w:r w:rsidRPr="00B24894">
        <w:rPr>
          <w:rFonts w:ascii="Times New Roman" w:hAnsi="Times New Roman"/>
          <w:b/>
          <w:i/>
          <w:sz w:val="24"/>
          <w:szCs w:val="24"/>
        </w:rPr>
        <w:t>Specifically address comments received on cost and hour burden.</w:t>
      </w:r>
    </w:p>
    <w:p w14:paraId="444A4D46" w14:textId="77777777" w:rsidR="00470720" w:rsidRPr="00B24894" w:rsidRDefault="00470720" w:rsidP="006C714E">
      <w:pPr>
        <w:ind w:left="360" w:firstLine="360"/>
        <w:rPr>
          <w:rFonts w:ascii="Times New Roman" w:hAnsi="Times New Roman"/>
          <w:b/>
          <w:i/>
          <w:sz w:val="24"/>
          <w:szCs w:val="24"/>
        </w:rPr>
      </w:pPr>
    </w:p>
    <w:p w14:paraId="71834A16" w14:textId="77777777" w:rsidR="00470720" w:rsidRPr="00B24894" w:rsidRDefault="002B5F72" w:rsidP="006C714E">
      <w:pPr>
        <w:numPr>
          <w:ilvl w:val="0"/>
          <w:numId w:val="1"/>
        </w:numPr>
        <w:rPr>
          <w:rFonts w:ascii="Times New Roman" w:hAnsi="Times New Roman"/>
          <w:b/>
          <w:i/>
          <w:sz w:val="24"/>
          <w:szCs w:val="24"/>
        </w:rPr>
      </w:pPr>
      <w:r w:rsidRPr="00B24894">
        <w:rPr>
          <w:rFonts w:ascii="Times New Roman" w:hAnsi="Times New Roman"/>
          <w:b/>
          <w:i/>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54BE1372" w14:textId="77777777" w:rsidR="00470720" w:rsidRPr="00B24894" w:rsidRDefault="00470720" w:rsidP="006C714E">
      <w:pPr>
        <w:ind w:left="360" w:firstLine="360"/>
        <w:rPr>
          <w:rFonts w:ascii="Times New Roman" w:hAnsi="Times New Roman"/>
          <w:b/>
          <w:i/>
          <w:sz w:val="24"/>
          <w:szCs w:val="24"/>
        </w:rPr>
      </w:pPr>
    </w:p>
    <w:p w14:paraId="1AFCD428" w14:textId="0D1DB518" w:rsidR="00470720" w:rsidRPr="00B24894" w:rsidRDefault="002B5F72" w:rsidP="006C714E">
      <w:pPr>
        <w:numPr>
          <w:ilvl w:val="0"/>
          <w:numId w:val="1"/>
        </w:numPr>
        <w:rPr>
          <w:rFonts w:ascii="Times New Roman" w:hAnsi="Times New Roman"/>
          <w:i/>
          <w:sz w:val="24"/>
          <w:szCs w:val="24"/>
        </w:rPr>
      </w:pPr>
      <w:r w:rsidRPr="00B24894">
        <w:rPr>
          <w:rFonts w:ascii="Times New Roman" w:hAnsi="Times New Roman"/>
          <w:b/>
          <w:i/>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00F200EA">
        <w:rPr>
          <w:rFonts w:ascii="Times New Roman" w:hAnsi="Times New Roman"/>
          <w:b/>
          <w:i/>
          <w:sz w:val="24"/>
          <w:szCs w:val="24"/>
        </w:rPr>
        <w:t xml:space="preserve"> </w:t>
      </w:r>
      <w:r w:rsidRPr="00B24894">
        <w:rPr>
          <w:rFonts w:ascii="Times New Roman" w:hAnsi="Times New Roman"/>
          <w:b/>
          <w:i/>
          <w:sz w:val="24"/>
          <w:szCs w:val="24"/>
        </w:rPr>
        <w:t>There may be circumstances that may preclude consultation in a specific situation.</w:t>
      </w:r>
      <w:r w:rsidR="00F200EA">
        <w:rPr>
          <w:rFonts w:ascii="Times New Roman" w:hAnsi="Times New Roman"/>
          <w:b/>
          <w:i/>
          <w:sz w:val="24"/>
          <w:szCs w:val="24"/>
        </w:rPr>
        <w:t xml:space="preserve"> </w:t>
      </w:r>
      <w:r w:rsidRPr="00B24894">
        <w:rPr>
          <w:rFonts w:ascii="Times New Roman" w:hAnsi="Times New Roman"/>
          <w:b/>
          <w:i/>
          <w:sz w:val="24"/>
          <w:szCs w:val="24"/>
        </w:rPr>
        <w:t>These circumstances should be explained.</w:t>
      </w:r>
    </w:p>
    <w:p w14:paraId="7063D0E7" w14:textId="2002CBB0" w:rsidR="00470720" w:rsidRDefault="00470720" w:rsidP="00470720">
      <w:pPr>
        <w:rPr>
          <w:rFonts w:ascii="Times New Roman" w:hAnsi="Times New Roman"/>
          <w:sz w:val="24"/>
          <w:szCs w:val="24"/>
        </w:rPr>
      </w:pPr>
    </w:p>
    <w:p w14:paraId="264CD6E9" w14:textId="1E7AE164" w:rsidR="00F12057" w:rsidRDefault="00D843ED" w:rsidP="00470720">
      <w:pPr>
        <w:rPr>
          <w:rFonts w:ascii="Times New Roman" w:hAnsi="Times New Roman"/>
          <w:sz w:val="24"/>
          <w:szCs w:val="24"/>
        </w:rPr>
      </w:pPr>
      <w:r w:rsidRPr="00D843ED">
        <w:rPr>
          <w:rFonts w:ascii="Times New Roman" w:hAnsi="Times New Roman"/>
          <w:sz w:val="24"/>
          <w:szCs w:val="24"/>
        </w:rPr>
        <w:t>The Federal Register Notice with a 60-day comment period soliciting comments on the following collection of information was published on April 30, 2019 (84 FR 18334). FAA received two comments in response to this notice.</w:t>
      </w:r>
      <w:r>
        <w:rPr>
          <w:rFonts w:ascii="Times New Roman" w:hAnsi="Times New Roman"/>
          <w:sz w:val="24"/>
          <w:szCs w:val="24"/>
        </w:rPr>
        <w:t xml:space="preserve"> In response to those comments, FAA revised the burden estimates in line with the input received. </w:t>
      </w:r>
    </w:p>
    <w:p w14:paraId="2177AC4F" w14:textId="77777777" w:rsidR="00F12057" w:rsidRPr="00984FC4" w:rsidRDefault="00F12057" w:rsidP="00470720">
      <w:pPr>
        <w:rPr>
          <w:rFonts w:ascii="Times New Roman" w:hAnsi="Times New Roman"/>
          <w:sz w:val="24"/>
          <w:szCs w:val="24"/>
        </w:rPr>
      </w:pPr>
    </w:p>
    <w:p w14:paraId="40522DF9" w14:textId="22FF5489" w:rsidR="00470720" w:rsidRDefault="0004749E" w:rsidP="00470720">
      <w:pPr>
        <w:rPr>
          <w:rFonts w:ascii="Times New Roman" w:hAnsi="Times New Roman"/>
          <w:sz w:val="24"/>
          <w:szCs w:val="24"/>
        </w:rPr>
      </w:pPr>
      <w:r w:rsidRPr="00984FC4">
        <w:rPr>
          <w:rFonts w:ascii="Times New Roman" w:hAnsi="Times New Roman"/>
          <w:bCs/>
          <w:sz w:val="24"/>
          <w:szCs w:val="24"/>
        </w:rPr>
        <w:t xml:space="preserve">9. </w:t>
      </w:r>
      <w:r w:rsidRPr="00984FC4">
        <w:rPr>
          <w:rFonts w:ascii="Times New Roman" w:hAnsi="Times New Roman"/>
          <w:bCs/>
          <w:sz w:val="24"/>
          <w:szCs w:val="24"/>
          <w:u w:val="single"/>
        </w:rPr>
        <w:t>Payments or gifts to respondents.</w:t>
      </w:r>
      <w:r w:rsidR="00F200EA">
        <w:rPr>
          <w:rFonts w:ascii="Times New Roman" w:hAnsi="Times New Roman"/>
          <w:b/>
          <w:bCs/>
          <w:sz w:val="24"/>
          <w:szCs w:val="24"/>
        </w:rPr>
        <w:t xml:space="preserve"> </w:t>
      </w:r>
      <w:r w:rsidR="002B5F72" w:rsidRPr="00B24894">
        <w:rPr>
          <w:rFonts w:ascii="Times New Roman" w:hAnsi="Times New Roman"/>
          <w:b/>
          <w:i/>
          <w:sz w:val="24"/>
          <w:szCs w:val="24"/>
        </w:rPr>
        <w:t>Explain any decision to provide a payment or gift to respondents, other than enumeration of contractors or grantees.</w:t>
      </w:r>
      <w:r w:rsidR="008F2CDB" w:rsidRPr="00984FC4">
        <w:rPr>
          <w:rFonts w:ascii="Times New Roman" w:hAnsi="Times New Roman"/>
          <w:b/>
          <w:sz w:val="24"/>
          <w:szCs w:val="24"/>
        </w:rPr>
        <w:br/>
      </w:r>
    </w:p>
    <w:p w14:paraId="2BBA6D45" w14:textId="4F766A21" w:rsidR="00550360" w:rsidRDefault="00F904A1" w:rsidP="00470720">
      <w:pPr>
        <w:rPr>
          <w:rFonts w:ascii="Times New Roman" w:hAnsi="Times New Roman"/>
          <w:sz w:val="24"/>
          <w:szCs w:val="24"/>
        </w:rPr>
      </w:pPr>
      <w:r>
        <w:rPr>
          <w:rFonts w:ascii="Times New Roman" w:hAnsi="Times New Roman"/>
          <w:sz w:val="24"/>
          <w:szCs w:val="24"/>
        </w:rPr>
        <w:t>N/A. The FAA will not be providing any payments or gifts to respondents.</w:t>
      </w:r>
    </w:p>
    <w:p w14:paraId="29FEB24E" w14:textId="77777777" w:rsidR="008526C9" w:rsidRPr="00984FC4" w:rsidRDefault="008526C9" w:rsidP="00470720">
      <w:pPr>
        <w:rPr>
          <w:rFonts w:ascii="Times New Roman" w:hAnsi="Times New Roman"/>
          <w:sz w:val="24"/>
          <w:szCs w:val="24"/>
        </w:rPr>
      </w:pPr>
    </w:p>
    <w:p w14:paraId="2B0B23B1" w14:textId="0D1CBD6A" w:rsidR="00470720" w:rsidRPr="00984FC4" w:rsidRDefault="0004749E" w:rsidP="00470720">
      <w:pPr>
        <w:rPr>
          <w:rFonts w:ascii="Times New Roman" w:hAnsi="Times New Roman"/>
          <w:sz w:val="24"/>
          <w:szCs w:val="24"/>
        </w:rPr>
      </w:pPr>
      <w:r w:rsidRPr="00984FC4">
        <w:rPr>
          <w:rFonts w:ascii="Times New Roman" w:hAnsi="Times New Roman"/>
          <w:bCs/>
          <w:sz w:val="24"/>
          <w:szCs w:val="24"/>
        </w:rPr>
        <w:t xml:space="preserve">10. </w:t>
      </w:r>
      <w:r w:rsidRPr="00984FC4">
        <w:rPr>
          <w:rFonts w:ascii="Times New Roman" w:hAnsi="Times New Roman"/>
          <w:bCs/>
          <w:sz w:val="24"/>
          <w:szCs w:val="24"/>
          <w:u w:val="single"/>
        </w:rPr>
        <w:t>Assurance of confidentiality</w:t>
      </w:r>
      <w:r w:rsidRPr="00984FC4">
        <w:rPr>
          <w:rFonts w:ascii="Times New Roman" w:hAnsi="Times New Roman"/>
          <w:sz w:val="24"/>
          <w:szCs w:val="24"/>
        </w:rPr>
        <w:t>:</w:t>
      </w:r>
      <w:r w:rsidR="00F200EA">
        <w:rPr>
          <w:rFonts w:ascii="Times New Roman" w:hAnsi="Times New Roman"/>
          <w:sz w:val="24"/>
          <w:szCs w:val="24"/>
        </w:rPr>
        <w:t xml:space="preserve"> </w:t>
      </w:r>
      <w:r w:rsidR="002B5F72" w:rsidRPr="00B24894">
        <w:rPr>
          <w:rFonts w:ascii="Times New Roman" w:hAnsi="Times New Roman"/>
          <w:b/>
          <w:i/>
          <w:sz w:val="24"/>
          <w:szCs w:val="24"/>
        </w:rPr>
        <w:t>Describe any assurance of confidentiality provided to respondents and the basis for the assurance in statute, regulation, or agency policy.</w:t>
      </w:r>
    </w:p>
    <w:p w14:paraId="5E6F2111" w14:textId="77777777" w:rsidR="00B279CA" w:rsidRDefault="00B279CA"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135BD42" w14:textId="3E010ED7" w:rsidR="00550360" w:rsidRPr="00EF62DA" w:rsidRDefault="00B279CA"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CG Times (W1)" w:hAnsi="CG Times (W1)"/>
          <w:color w:val="auto"/>
        </w:rPr>
        <w:t>N</w:t>
      </w:r>
      <w:r w:rsidR="007D17E5" w:rsidRPr="00EF62DA">
        <w:rPr>
          <w:rFonts w:ascii="CG Times (W1)" w:hAnsi="CG Times (W1)"/>
          <w:color w:val="auto"/>
        </w:rPr>
        <w:t>o assurance of confidentiality to respondents</w:t>
      </w:r>
      <w:r>
        <w:rPr>
          <w:rFonts w:ascii="CG Times (W1)" w:hAnsi="CG Times (W1)"/>
          <w:color w:val="auto"/>
        </w:rPr>
        <w:t>.</w:t>
      </w:r>
      <w:r w:rsidR="007D17E5" w:rsidRPr="00EF62DA">
        <w:rPr>
          <w:rFonts w:ascii="CG Times (W1)" w:hAnsi="CG Times (W1)"/>
          <w:color w:val="auto"/>
        </w:rPr>
        <w:t xml:space="preserve"> </w:t>
      </w:r>
    </w:p>
    <w:p w14:paraId="35AA7BDF" w14:textId="77777777" w:rsidR="008526C9" w:rsidRPr="00984FC4" w:rsidRDefault="008526C9"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14:paraId="69C0B4C1" w14:textId="77777777" w:rsidR="00B279CA" w:rsidRDefault="0004749E" w:rsidP="00470720">
      <w:pPr>
        <w:rPr>
          <w:rFonts w:ascii="Times New Roman" w:hAnsi="Times New Roman"/>
          <w:b/>
          <w:sz w:val="24"/>
          <w:szCs w:val="24"/>
        </w:rPr>
      </w:pPr>
      <w:r w:rsidRPr="00984FC4">
        <w:rPr>
          <w:rFonts w:ascii="Times New Roman" w:hAnsi="Times New Roman"/>
          <w:bCs/>
          <w:sz w:val="24"/>
          <w:szCs w:val="24"/>
        </w:rPr>
        <w:t xml:space="preserve">11. </w:t>
      </w:r>
      <w:r w:rsidRPr="00984FC4">
        <w:rPr>
          <w:rFonts w:ascii="Times New Roman" w:hAnsi="Times New Roman"/>
          <w:bCs/>
          <w:sz w:val="24"/>
          <w:szCs w:val="24"/>
          <w:u w:val="single"/>
        </w:rPr>
        <w:t>Justification for collection of sensitive information</w:t>
      </w:r>
      <w:r w:rsidRPr="00984FC4">
        <w:rPr>
          <w:rFonts w:ascii="Times New Roman" w:hAnsi="Times New Roman"/>
          <w:sz w:val="24"/>
          <w:szCs w:val="24"/>
        </w:rPr>
        <w:t>:</w:t>
      </w:r>
      <w:r w:rsidR="00F200EA">
        <w:rPr>
          <w:rFonts w:ascii="Times New Roman" w:hAnsi="Times New Roman"/>
          <w:sz w:val="24"/>
          <w:szCs w:val="24"/>
        </w:rPr>
        <w:t xml:space="preserve"> </w:t>
      </w:r>
      <w:r w:rsidR="002B5F72" w:rsidRPr="00B24894">
        <w:rPr>
          <w:rFonts w:ascii="Times New Roman" w:hAnsi="Times New Roman"/>
          <w:b/>
          <w:i/>
          <w:sz w:val="24"/>
          <w:szCs w:val="24"/>
        </w:rPr>
        <w:t>Provide additional justification for any questions of a sensitive nature, such as sexual behavior and attitudes, religious beliefs, and other matters that are commonly considered private.</w:t>
      </w:r>
      <w:r w:rsidR="00F200EA">
        <w:rPr>
          <w:rFonts w:ascii="Times New Roman" w:hAnsi="Times New Roman"/>
          <w:b/>
          <w:i/>
          <w:sz w:val="24"/>
          <w:szCs w:val="24"/>
        </w:rPr>
        <w:t xml:space="preserve"> </w:t>
      </w:r>
      <w:r w:rsidR="002B5F72" w:rsidRPr="00B24894">
        <w:rPr>
          <w:rFonts w:ascii="Times New Roman" w:hAnsi="Times New Roman"/>
          <w:b/>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25AD6F" w14:textId="77777777" w:rsidR="00B279CA" w:rsidRDefault="00B279CA" w:rsidP="00470720">
      <w:pPr>
        <w:rPr>
          <w:rFonts w:ascii="Times New Roman" w:hAnsi="Times New Roman"/>
          <w:b/>
          <w:sz w:val="24"/>
          <w:szCs w:val="24"/>
        </w:rPr>
      </w:pPr>
    </w:p>
    <w:p w14:paraId="685EED41" w14:textId="5598B82E" w:rsidR="00470720" w:rsidRPr="00B279CA" w:rsidRDefault="00292540" w:rsidP="00470720">
      <w:pPr>
        <w:rPr>
          <w:rFonts w:ascii="Times New Roman" w:hAnsi="Times New Roman"/>
          <w:b/>
          <w:sz w:val="24"/>
          <w:szCs w:val="24"/>
        </w:rPr>
      </w:pPr>
      <w:r>
        <w:rPr>
          <w:rFonts w:ascii="Times New Roman" w:hAnsi="Times New Roman"/>
          <w:sz w:val="24"/>
          <w:szCs w:val="24"/>
        </w:rPr>
        <w:t xml:space="preserve"> This collection does not contain any questions of a sensitive nature.</w:t>
      </w:r>
    </w:p>
    <w:p w14:paraId="1CC0CF40" w14:textId="77777777" w:rsidR="008526C9" w:rsidRPr="00984FC4" w:rsidRDefault="008526C9" w:rsidP="00470720">
      <w:pPr>
        <w:rPr>
          <w:rFonts w:ascii="Times New Roman" w:hAnsi="Times New Roman"/>
          <w:sz w:val="24"/>
          <w:szCs w:val="24"/>
        </w:rPr>
      </w:pPr>
    </w:p>
    <w:p w14:paraId="2BDB8EA9" w14:textId="15077064" w:rsidR="00470720" w:rsidRPr="00984FC4" w:rsidRDefault="0004749E" w:rsidP="006C714E">
      <w:pPr>
        <w:rPr>
          <w:rFonts w:ascii="Times New Roman" w:hAnsi="Times New Roman"/>
          <w:b/>
          <w:sz w:val="24"/>
          <w:szCs w:val="24"/>
        </w:rPr>
      </w:pPr>
      <w:r w:rsidRPr="00984FC4">
        <w:rPr>
          <w:rFonts w:ascii="Times New Roman" w:hAnsi="Times New Roman"/>
          <w:bCs/>
          <w:sz w:val="24"/>
          <w:szCs w:val="24"/>
        </w:rPr>
        <w:t xml:space="preserve">12. </w:t>
      </w:r>
      <w:r w:rsidRPr="00984FC4">
        <w:rPr>
          <w:rFonts w:ascii="Times New Roman" w:hAnsi="Times New Roman"/>
          <w:bCs/>
          <w:sz w:val="24"/>
          <w:szCs w:val="24"/>
          <w:u w:val="single"/>
        </w:rPr>
        <w:t>Estimate of burden hours for information requested</w:t>
      </w:r>
      <w:r w:rsidRPr="00984FC4">
        <w:rPr>
          <w:rFonts w:ascii="Times New Roman" w:hAnsi="Times New Roman"/>
          <w:sz w:val="24"/>
          <w:szCs w:val="24"/>
        </w:rPr>
        <w:t>:</w:t>
      </w:r>
      <w:r w:rsidR="00F200EA">
        <w:rPr>
          <w:rFonts w:ascii="Times New Roman" w:hAnsi="Times New Roman"/>
          <w:sz w:val="24"/>
          <w:szCs w:val="24"/>
        </w:rPr>
        <w:t xml:space="preserve"> </w:t>
      </w:r>
      <w:r w:rsidR="002B5F72" w:rsidRPr="00B24894">
        <w:rPr>
          <w:rFonts w:ascii="Times New Roman" w:hAnsi="Times New Roman"/>
          <w:b/>
          <w:i/>
          <w:sz w:val="24"/>
          <w:szCs w:val="24"/>
        </w:rPr>
        <w:t>Provide estimates of the hour burden of the collection of information.</w:t>
      </w:r>
      <w:r w:rsidR="00F200EA">
        <w:rPr>
          <w:rFonts w:ascii="Times New Roman" w:hAnsi="Times New Roman"/>
          <w:b/>
          <w:i/>
          <w:sz w:val="24"/>
          <w:szCs w:val="24"/>
        </w:rPr>
        <w:t xml:space="preserve"> </w:t>
      </w:r>
      <w:r w:rsidR="002B5F72" w:rsidRPr="00B24894">
        <w:rPr>
          <w:rFonts w:ascii="Times New Roman" w:hAnsi="Times New Roman"/>
          <w:b/>
          <w:i/>
          <w:sz w:val="24"/>
          <w:szCs w:val="24"/>
        </w:rPr>
        <w:t>The statement should:</w:t>
      </w:r>
    </w:p>
    <w:p w14:paraId="20FCBD04" w14:textId="77777777" w:rsidR="00470720" w:rsidRPr="00984FC4" w:rsidRDefault="00470720" w:rsidP="00470720">
      <w:pPr>
        <w:rPr>
          <w:rFonts w:ascii="Times New Roman" w:hAnsi="Times New Roman"/>
          <w:b/>
          <w:sz w:val="24"/>
          <w:szCs w:val="24"/>
        </w:rPr>
      </w:pPr>
    </w:p>
    <w:p w14:paraId="1AEC1135" w14:textId="175FA7EB" w:rsidR="00470720" w:rsidRPr="007A607D" w:rsidRDefault="002B5F72" w:rsidP="008F2CDB">
      <w:pPr>
        <w:numPr>
          <w:ilvl w:val="0"/>
          <w:numId w:val="2"/>
        </w:numPr>
        <w:rPr>
          <w:rFonts w:ascii="Times New Roman" w:hAnsi="Times New Roman"/>
          <w:b/>
          <w:i/>
          <w:sz w:val="24"/>
          <w:szCs w:val="24"/>
        </w:rPr>
      </w:pPr>
      <w:r w:rsidRPr="007A607D">
        <w:rPr>
          <w:rFonts w:ascii="Times New Roman" w:hAnsi="Times New Roman"/>
          <w:b/>
          <w:i/>
          <w:sz w:val="24"/>
          <w:szCs w:val="24"/>
        </w:rPr>
        <w:t>Indicate the number of respondents, frequency of responses</w:t>
      </w:r>
      <w:r w:rsidR="00470720" w:rsidRPr="007A607D">
        <w:rPr>
          <w:rFonts w:ascii="Times New Roman" w:hAnsi="Times New Roman"/>
          <w:b/>
          <w:i/>
          <w:sz w:val="24"/>
          <w:szCs w:val="24"/>
        </w:rPr>
        <w:t xml:space="preserve">, </w:t>
      </w:r>
      <w:r w:rsidRPr="007A607D">
        <w:rPr>
          <w:rFonts w:ascii="Times New Roman" w:hAnsi="Times New Roman"/>
          <w:b/>
          <w:i/>
          <w:sz w:val="24"/>
          <w:szCs w:val="24"/>
        </w:rPr>
        <w:t>calculation for the individual burdens and for the total annual hour burden</w:t>
      </w:r>
      <w:r w:rsidRPr="009C24D9">
        <w:rPr>
          <w:rFonts w:ascii="Times New Roman" w:hAnsi="Times New Roman"/>
          <w:b/>
          <w:i/>
          <w:sz w:val="24"/>
          <w:szCs w:val="24"/>
        </w:rPr>
        <w:t>, and an explanation of how the burden was estimated.</w:t>
      </w:r>
      <w:r w:rsidR="00F200EA">
        <w:rPr>
          <w:rFonts w:ascii="Times New Roman" w:hAnsi="Times New Roman"/>
          <w:b/>
          <w:i/>
          <w:sz w:val="24"/>
          <w:szCs w:val="24"/>
        </w:rPr>
        <w:t xml:space="preserve"> </w:t>
      </w:r>
      <w:r w:rsidRPr="009C24D9">
        <w:rPr>
          <w:rFonts w:ascii="Times New Roman" w:hAnsi="Times New Roman"/>
          <w:b/>
          <w:i/>
          <w:sz w:val="24"/>
          <w:szCs w:val="24"/>
        </w:rPr>
        <w:t>Unless directed to do so, agencies should not conduct special surveys to obtain information on which to base hour burden estimates.</w:t>
      </w:r>
      <w:r w:rsidR="00F200EA">
        <w:rPr>
          <w:rFonts w:ascii="Times New Roman" w:hAnsi="Times New Roman"/>
          <w:b/>
          <w:i/>
          <w:sz w:val="24"/>
          <w:szCs w:val="24"/>
        </w:rPr>
        <w:t xml:space="preserve"> </w:t>
      </w:r>
      <w:r w:rsidRPr="009C24D9">
        <w:rPr>
          <w:rFonts w:ascii="Times New Roman" w:hAnsi="Times New Roman"/>
          <w:b/>
          <w:i/>
          <w:sz w:val="24"/>
          <w:szCs w:val="24"/>
        </w:rPr>
        <w:t xml:space="preserve">Consultation with a sample (fewer than 10) of potential respondents </w:t>
      </w:r>
      <w:r w:rsidRPr="007A607D">
        <w:rPr>
          <w:rFonts w:ascii="Times New Roman" w:hAnsi="Times New Roman"/>
          <w:b/>
          <w:i/>
          <w:sz w:val="24"/>
          <w:szCs w:val="24"/>
        </w:rPr>
        <w:t>is desirable.</w:t>
      </w:r>
      <w:r w:rsidR="00F200EA">
        <w:rPr>
          <w:rFonts w:ascii="Times New Roman" w:hAnsi="Times New Roman"/>
          <w:b/>
          <w:i/>
          <w:sz w:val="24"/>
          <w:szCs w:val="24"/>
        </w:rPr>
        <w:t xml:space="preserve"> </w:t>
      </w:r>
      <w:r w:rsidRPr="007A607D">
        <w:rPr>
          <w:rFonts w:ascii="Times New Roman" w:hAnsi="Times New Roman"/>
          <w:b/>
          <w:i/>
          <w:sz w:val="24"/>
          <w:szCs w:val="24"/>
        </w:rPr>
        <w:t>If the hour burden on respondents is expected to vary widely because of differences in activity, size, or complexity, show the range of estimated hour burden, and explain the reasons for the variance.</w:t>
      </w:r>
      <w:r w:rsidR="00F200EA">
        <w:rPr>
          <w:rFonts w:ascii="Times New Roman" w:hAnsi="Times New Roman"/>
          <w:b/>
          <w:i/>
          <w:sz w:val="24"/>
          <w:szCs w:val="24"/>
        </w:rPr>
        <w:t xml:space="preserve"> </w:t>
      </w:r>
      <w:r w:rsidRPr="007A607D">
        <w:rPr>
          <w:rFonts w:ascii="Times New Roman" w:hAnsi="Times New Roman"/>
          <w:b/>
          <w:i/>
          <w:sz w:val="24"/>
          <w:szCs w:val="24"/>
        </w:rPr>
        <w:t>Generally, estimates should not include burden hour for customary and usual business practices</w:t>
      </w:r>
    </w:p>
    <w:p w14:paraId="6D5CCE0E" w14:textId="77777777" w:rsidR="00470720" w:rsidRPr="007A607D" w:rsidRDefault="00470720" w:rsidP="00470720">
      <w:pPr>
        <w:rPr>
          <w:rFonts w:ascii="Times New Roman" w:hAnsi="Times New Roman"/>
          <w:b/>
          <w:i/>
          <w:sz w:val="24"/>
          <w:szCs w:val="24"/>
        </w:rPr>
      </w:pPr>
    </w:p>
    <w:p w14:paraId="1C59EAF2" w14:textId="77777777" w:rsidR="00470720" w:rsidRPr="007A607D" w:rsidRDefault="002B5F72" w:rsidP="008F2CDB">
      <w:pPr>
        <w:numPr>
          <w:ilvl w:val="0"/>
          <w:numId w:val="2"/>
        </w:numPr>
        <w:rPr>
          <w:rFonts w:ascii="Times New Roman" w:hAnsi="Times New Roman"/>
          <w:b/>
          <w:i/>
          <w:sz w:val="24"/>
          <w:szCs w:val="24"/>
        </w:rPr>
      </w:pPr>
      <w:r w:rsidRPr="007A607D">
        <w:rPr>
          <w:rFonts w:ascii="Times New Roman" w:hAnsi="Times New Roman"/>
          <w:b/>
          <w:i/>
          <w:sz w:val="24"/>
          <w:szCs w:val="24"/>
        </w:rPr>
        <w:t>If this request for approval covers more than one form, provide separate hour burden estimates for each form and agg</w:t>
      </w:r>
      <w:r w:rsidR="008526C9" w:rsidRPr="007A607D">
        <w:rPr>
          <w:rFonts w:ascii="Times New Roman" w:hAnsi="Times New Roman"/>
          <w:b/>
          <w:i/>
          <w:sz w:val="24"/>
          <w:szCs w:val="24"/>
        </w:rPr>
        <w:t>regate the hour burdens in item</w:t>
      </w:r>
      <w:r w:rsidRPr="007A607D">
        <w:rPr>
          <w:rFonts w:ascii="Times New Roman" w:hAnsi="Times New Roman"/>
          <w:b/>
          <w:i/>
          <w:sz w:val="24"/>
          <w:szCs w:val="24"/>
        </w:rPr>
        <w:t xml:space="preserve"> 13 of OMB form 83-I.</w:t>
      </w:r>
    </w:p>
    <w:p w14:paraId="40970321" w14:textId="77777777" w:rsidR="00470720" w:rsidRPr="007A607D" w:rsidRDefault="00470720" w:rsidP="00470720">
      <w:pPr>
        <w:rPr>
          <w:rFonts w:ascii="Times New Roman" w:hAnsi="Times New Roman"/>
          <w:b/>
          <w:i/>
          <w:sz w:val="24"/>
          <w:szCs w:val="24"/>
        </w:rPr>
      </w:pPr>
    </w:p>
    <w:p w14:paraId="7C5FF22F" w14:textId="7661803F" w:rsidR="00470720" w:rsidRPr="007A607D" w:rsidRDefault="002B5F72" w:rsidP="008F2CDB">
      <w:pPr>
        <w:numPr>
          <w:ilvl w:val="0"/>
          <w:numId w:val="2"/>
        </w:numPr>
        <w:rPr>
          <w:rFonts w:ascii="Times New Roman" w:hAnsi="Times New Roman"/>
          <w:b/>
          <w:i/>
          <w:sz w:val="24"/>
          <w:szCs w:val="24"/>
        </w:rPr>
      </w:pPr>
      <w:r w:rsidRPr="007A607D">
        <w:rPr>
          <w:rFonts w:ascii="Times New Roman" w:hAnsi="Times New Roman"/>
          <w:b/>
          <w:i/>
          <w:sz w:val="24"/>
          <w:szCs w:val="24"/>
        </w:rPr>
        <w:t>Provide estimates of annualized cost to respondents for the hourly burdens for collections of information, identifying and using appropriate wage rate categories.</w:t>
      </w:r>
      <w:r w:rsidR="00F200EA">
        <w:rPr>
          <w:rFonts w:ascii="Times New Roman" w:hAnsi="Times New Roman"/>
          <w:b/>
          <w:i/>
          <w:sz w:val="24"/>
          <w:szCs w:val="24"/>
        </w:rPr>
        <w:t xml:space="preserve"> </w:t>
      </w:r>
      <w:r w:rsidRPr="007A607D">
        <w:rPr>
          <w:rFonts w:ascii="Times New Roman" w:hAnsi="Times New Roman"/>
          <w:b/>
          <w:i/>
          <w:sz w:val="24"/>
          <w:szCs w:val="24"/>
        </w:rPr>
        <w:t>The cost of contracting out or paying outside parties for information collection activities should not be included here.</w:t>
      </w:r>
      <w:r w:rsidR="00F200EA">
        <w:rPr>
          <w:rFonts w:ascii="Times New Roman" w:hAnsi="Times New Roman"/>
          <w:b/>
          <w:i/>
          <w:sz w:val="24"/>
          <w:szCs w:val="24"/>
        </w:rPr>
        <w:t xml:space="preserve"> </w:t>
      </w:r>
      <w:r w:rsidRPr="007A607D">
        <w:rPr>
          <w:rFonts w:ascii="Times New Roman" w:hAnsi="Times New Roman"/>
          <w:b/>
          <w:i/>
          <w:sz w:val="24"/>
          <w:szCs w:val="24"/>
        </w:rPr>
        <w:t>Instead, this cost should be included in item 14.</w:t>
      </w:r>
    </w:p>
    <w:p w14:paraId="07DAF62E" w14:textId="2DBA7532" w:rsidR="00470720"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14:paraId="103DD543" w14:textId="67FB08B1" w:rsidR="007A607D" w:rsidRPr="00C116CE" w:rsidRDefault="0047617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r w:rsidRPr="00C116CE">
        <w:rPr>
          <w:rFonts w:ascii="Times New Roman" w:hAnsi="Times New Roman"/>
          <w:color w:val="auto"/>
          <w:u w:val="single"/>
        </w:rPr>
        <w:t>Overall, this collection is estimated to result in the following</w:t>
      </w:r>
      <w:r w:rsidR="008476CA" w:rsidRPr="00C116CE">
        <w:rPr>
          <w:rFonts w:ascii="Times New Roman" w:hAnsi="Times New Roman"/>
          <w:color w:val="auto"/>
          <w:u w:val="single"/>
        </w:rPr>
        <w:t xml:space="preserve"> for EMPs</w:t>
      </w:r>
      <w:r w:rsidRPr="00C116CE">
        <w:rPr>
          <w:rFonts w:ascii="Times New Roman" w:hAnsi="Times New Roman"/>
          <w:color w:val="auto"/>
          <w:u w:val="single"/>
        </w:rPr>
        <w:t>:</w:t>
      </w:r>
    </w:p>
    <w:p w14:paraId="5599F295" w14:textId="36C06729" w:rsidR="00476175" w:rsidRPr="00D868BD" w:rsidRDefault="00476175" w:rsidP="00D868BD">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EMP Number of respondents (total):</w:t>
      </w:r>
      <w:r w:rsidR="00DF1E19" w:rsidRPr="00F251F4">
        <w:rPr>
          <w:rFonts w:ascii="Times New Roman" w:hAnsi="Times New Roman"/>
          <w:b/>
          <w:i/>
          <w:color w:val="auto"/>
        </w:rPr>
        <w:t xml:space="preserve"> </w:t>
      </w:r>
      <w:r w:rsidR="00D868BD">
        <w:rPr>
          <w:rFonts w:ascii="Times New Roman" w:hAnsi="Times New Roman"/>
          <w:color w:val="auto"/>
        </w:rPr>
        <w:t>From the outset, between 11 and 49 operators are expected to submit an EMP. B</w:t>
      </w:r>
      <w:r w:rsidR="00023D75">
        <w:rPr>
          <w:rFonts w:ascii="Times New Roman" w:hAnsi="Times New Roman"/>
          <w:color w:val="auto"/>
        </w:rPr>
        <w:t xml:space="preserve">ased on assessment of the </w:t>
      </w:r>
      <w:r w:rsidR="00D868BD">
        <w:rPr>
          <w:rFonts w:ascii="Times New Roman" w:hAnsi="Times New Roman"/>
          <w:color w:val="auto"/>
        </w:rPr>
        <w:t>operators</w:t>
      </w:r>
      <w:r w:rsidR="00D868BD" w:rsidRPr="00295F3A">
        <w:rPr>
          <w:rFonts w:ascii="Times New Roman" w:hAnsi="Times New Roman"/>
          <w:color w:val="auto"/>
        </w:rPr>
        <w:t>’</w:t>
      </w:r>
      <w:r w:rsidR="00D868BD">
        <w:rPr>
          <w:rFonts w:ascii="Times New Roman" w:hAnsi="Times New Roman"/>
          <w:b/>
          <w:i/>
          <w:color w:val="auto"/>
        </w:rPr>
        <w:t xml:space="preserve"> </w:t>
      </w:r>
      <w:r w:rsidR="00023D75" w:rsidRPr="00D868BD">
        <w:rPr>
          <w:rFonts w:ascii="Times New Roman" w:hAnsi="Times New Roman"/>
          <w:color w:val="auto"/>
        </w:rPr>
        <w:t>likelihood of be</w:t>
      </w:r>
      <w:r w:rsidR="00D868BD">
        <w:rPr>
          <w:rFonts w:ascii="Times New Roman" w:hAnsi="Times New Roman"/>
          <w:color w:val="auto"/>
        </w:rPr>
        <w:t>ing</w:t>
      </w:r>
      <w:r w:rsidR="00023D75" w:rsidRPr="00D868BD">
        <w:rPr>
          <w:rFonts w:ascii="Times New Roman" w:hAnsi="Times New Roman"/>
          <w:color w:val="auto"/>
        </w:rPr>
        <w:t xml:space="preserve"> subject to CORSIA, it was estimated that </w:t>
      </w:r>
      <w:r w:rsidR="00BD120B" w:rsidRPr="00D868BD">
        <w:rPr>
          <w:rFonts w:ascii="Times New Roman" w:hAnsi="Times New Roman"/>
          <w:color w:val="auto"/>
        </w:rPr>
        <w:t xml:space="preserve">approximately 49 </w:t>
      </w:r>
      <w:r w:rsidR="00023D75" w:rsidRPr="00D868BD">
        <w:rPr>
          <w:rFonts w:ascii="Times New Roman" w:hAnsi="Times New Roman"/>
          <w:color w:val="auto"/>
        </w:rPr>
        <w:t xml:space="preserve">are </w:t>
      </w:r>
      <w:r w:rsidR="00BD120B" w:rsidRPr="00D868BD">
        <w:rPr>
          <w:rFonts w:ascii="Times New Roman" w:hAnsi="Times New Roman"/>
          <w:color w:val="auto"/>
        </w:rPr>
        <w:t xml:space="preserve">expected to be </w:t>
      </w:r>
      <w:r w:rsidR="00023D75" w:rsidRPr="00D868BD">
        <w:rPr>
          <w:rFonts w:ascii="Times New Roman" w:hAnsi="Times New Roman"/>
          <w:color w:val="auto"/>
        </w:rPr>
        <w:t>subject to CORSIA</w:t>
      </w:r>
      <w:r w:rsidR="00BD120B" w:rsidRPr="00D868BD">
        <w:rPr>
          <w:rFonts w:ascii="Times New Roman" w:hAnsi="Times New Roman"/>
          <w:color w:val="auto"/>
        </w:rPr>
        <w:t xml:space="preserve"> (i.e., 30 certain and 19 likely)</w:t>
      </w:r>
      <w:r w:rsidR="00023D75" w:rsidRPr="00D868BD">
        <w:rPr>
          <w:rFonts w:ascii="Times New Roman" w:hAnsi="Times New Roman"/>
          <w:color w:val="auto"/>
        </w:rPr>
        <w:t>.</w:t>
      </w:r>
      <w:r w:rsidR="00D868BD" w:rsidRPr="00D868BD">
        <w:rPr>
          <w:rFonts w:ascii="Times New Roman" w:hAnsi="Times New Roman"/>
          <w:color w:val="auto"/>
        </w:rPr>
        <w:t xml:space="preserve"> From the outset, approximately 11 operators would trigger the voluntary reporting agreement</w:t>
      </w:r>
      <w:r w:rsidR="00BE1559">
        <w:rPr>
          <w:rFonts w:ascii="Times New Roman" w:hAnsi="Times New Roman"/>
          <w:color w:val="auto"/>
        </w:rPr>
        <w:t xml:space="preserve"> (i.e., </w:t>
      </w:r>
      <w:r w:rsidR="00BE1559" w:rsidRPr="00295F3A">
        <w:rPr>
          <w:rFonts w:ascii="Times New Roman" w:hAnsi="Times New Roman"/>
          <w:bCs/>
          <w:color w:val="auto"/>
        </w:rPr>
        <w:t xml:space="preserve">95% </w:t>
      </w:r>
      <w:r w:rsidR="00A70F72">
        <w:rPr>
          <w:rFonts w:ascii="Times New Roman" w:hAnsi="Times New Roman"/>
          <w:bCs/>
          <w:color w:val="auto"/>
        </w:rPr>
        <w:t xml:space="preserve">international fuel use </w:t>
      </w:r>
      <w:r w:rsidR="00750D7E">
        <w:rPr>
          <w:rFonts w:ascii="Times New Roman" w:hAnsi="Times New Roman"/>
          <w:bCs/>
          <w:color w:val="auto"/>
        </w:rPr>
        <w:t>t</w:t>
      </w:r>
      <w:r w:rsidR="00BE1559" w:rsidRPr="00295F3A">
        <w:rPr>
          <w:rFonts w:ascii="Times New Roman" w:hAnsi="Times New Roman"/>
          <w:bCs/>
          <w:color w:val="auto"/>
        </w:rPr>
        <w:t xml:space="preserve">hreshold for </w:t>
      </w:r>
      <w:r w:rsidR="00750D7E">
        <w:rPr>
          <w:rFonts w:ascii="Times New Roman" w:hAnsi="Times New Roman"/>
          <w:bCs/>
          <w:color w:val="auto"/>
        </w:rPr>
        <w:t>t</w:t>
      </w:r>
      <w:r w:rsidR="00BE1559" w:rsidRPr="00295F3A">
        <w:rPr>
          <w:rFonts w:ascii="Times New Roman" w:hAnsi="Times New Roman"/>
          <w:bCs/>
          <w:color w:val="auto"/>
        </w:rPr>
        <w:t xml:space="preserve">riggering the </w:t>
      </w:r>
      <w:r w:rsidR="00750D7E">
        <w:rPr>
          <w:rFonts w:ascii="Times New Roman" w:hAnsi="Times New Roman"/>
          <w:bCs/>
          <w:color w:val="auto"/>
        </w:rPr>
        <w:t>e</w:t>
      </w:r>
      <w:r w:rsidR="00BE1559" w:rsidRPr="00295F3A">
        <w:rPr>
          <w:rFonts w:ascii="Times New Roman" w:hAnsi="Times New Roman"/>
          <w:bCs/>
          <w:color w:val="auto"/>
        </w:rPr>
        <w:t xml:space="preserve">ffectiveness of the </w:t>
      </w:r>
      <w:r w:rsidR="00750D7E">
        <w:rPr>
          <w:rFonts w:ascii="Times New Roman" w:hAnsi="Times New Roman"/>
          <w:bCs/>
          <w:color w:val="auto"/>
        </w:rPr>
        <w:t>a</w:t>
      </w:r>
      <w:r w:rsidR="00BE1559" w:rsidRPr="00295F3A">
        <w:rPr>
          <w:rFonts w:ascii="Times New Roman" w:hAnsi="Times New Roman"/>
          <w:bCs/>
          <w:color w:val="auto"/>
        </w:rPr>
        <w:t>greement)</w:t>
      </w:r>
      <w:r w:rsidR="00D868BD" w:rsidRPr="00BE1559">
        <w:rPr>
          <w:rFonts w:ascii="Times New Roman" w:hAnsi="Times New Roman"/>
          <w:color w:val="auto"/>
        </w:rPr>
        <w:t>.</w:t>
      </w:r>
      <w:r w:rsidR="00023D75" w:rsidRPr="00D868BD">
        <w:rPr>
          <w:rFonts w:ascii="Times New Roman" w:hAnsi="Times New Roman"/>
          <w:color w:val="auto"/>
        </w:rPr>
        <w:t xml:space="preserve"> </w:t>
      </w:r>
      <w:r w:rsidR="000868A9" w:rsidRPr="00D868BD">
        <w:rPr>
          <w:rFonts w:ascii="Times New Roman" w:hAnsi="Times New Roman"/>
          <w:color w:val="auto"/>
        </w:rPr>
        <w:t xml:space="preserve">Some additional operators </w:t>
      </w:r>
      <w:r w:rsidR="00D75C7C">
        <w:rPr>
          <w:rFonts w:ascii="Times New Roman" w:hAnsi="Times New Roman"/>
          <w:color w:val="auto"/>
        </w:rPr>
        <w:t xml:space="preserve">could </w:t>
      </w:r>
      <w:r w:rsidR="000868A9" w:rsidRPr="00D868BD">
        <w:rPr>
          <w:rFonts w:ascii="Times New Roman" w:hAnsi="Times New Roman"/>
          <w:color w:val="auto"/>
        </w:rPr>
        <w:t>submit an EMP over time (as CORSIA moves from voluntary to mandated reporting).</w:t>
      </w:r>
    </w:p>
    <w:p w14:paraId="7372057F" w14:textId="0E425A9A" w:rsidR="000868A9" w:rsidRPr="00F251F4" w:rsidRDefault="000868A9"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b/>
          <w:i/>
          <w:color w:val="auto"/>
        </w:rPr>
      </w:pPr>
    </w:p>
    <w:p w14:paraId="710483D7" w14:textId="5BD0E350" w:rsidR="007F0737" w:rsidRDefault="008476CA" w:rsidP="008476CA">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251F4">
        <w:rPr>
          <w:rFonts w:ascii="Times New Roman" w:hAnsi="Times New Roman"/>
          <w:b/>
          <w:i/>
          <w:color w:val="auto"/>
        </w:rPr>
        <w:t>EMP submission frequency per respondent:</w:t>
      </w:r>
      <w:r w:rsidR="00451FDF" w:rsidRPr="00C116CE">
        <w:rPr>
          <w:rFonts w:ascii="Times New Roman" w:hAnsi="Times New Roman"/>
          <w:color w:val="auto"/>
        </w:rPr>
        <w:t xml:space="preserve"> </w:t>
      </w:r>
    </w:p>
    <w:p w14:paraId="2FE54EAC" w14:textId="43A56B5C" w:rsidR="008476CA" w:rsidRPr="00C116CE" w:rsidRDefault="007F0737" w:rsidP="007F0737">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7F0737">
        <w:rPr>
          <w:rFonts w:ascii="Times New Roman" w:hAnsi="Times New Roman"/>
          <w:b/>
          <w:i/>
          <w:color w:val="auto"/>
        </w:rPr>
        <w:t>Initial EMP submission:</w:t>
      </w:r>
      <w:r>
        <w:rPr>
          <w:rFonts w:ascii="Times New Roman" w:hAnsi="Times New Roman"/>
          <w:color w:val="auto"/>
        </w:rPr>
        <w:t xml:space="preserve"> </w:t>
      </w:r>
      <w:r w:rsidR="00451FDF" w:rsidRPr="00C116CE">
        <w:rPr>
          <w:rFonts w:ascii="Times New Roman" w:hAnsi="Times New Roman"/>
          <w:color w:val="auto"/>
        </w:rPr>
        <w:t>1 per respondent</w:t>
      </w:r>
    </w:p>
    <w:p w14:paraId="229409DF" w14:textId="3C14907F" w:rsidR="00A040C9" w:rsidRPr="00C116CE" w:rsidRDefault="00A040C9"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color w:val="auto"/>
        </w:rPr>
      </w:pPr>
    </w:p>
    <w:p w14:paraId="14103DD9" w14:textId="12FF7CBC" w:rsidR="008476CA" w:rsidRDefault="008476CA" w:rsidP="008476CA">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EMP hour burden per year (total):</w:t>
      </w:r>
      <w:r w:rsidR="00A040C9">
        <w:rPr>
          <w:rFonts w:ascii="Times New Roman" w:hAnsi="Times New Roman"/>
          <w:b/>
          <w:i/>
          <w:color w:val="auto"/>
        </w:rPr>
        <w:t xml:space="preserve"> </w:t>
      </w:r>
      <w:r w:rsidR="00FA3AD1">
        <w:rPr>
          <w:rFonts w:ascii="Times New Roman" w:hAnsi="Times New Roman"/>
          <w:color w:val="auto"/>
        </w:rPr>
        <w:t xml:space="preserve">It is expected that filling and submitting an EMP could </w:t>
      </w:r>
      <w:r w:rsidR="005000D6">
        <w:rPr>
          <w:rFonts w:ascii="Times New Roman" w:hAnsi="Times New Roman"/>
          <w:color w:val="auto"/>
        </w:rPr>
        <w:t xml:space="preserve">on average </w:t>
      </w:r>
      <w:r w:rsidR="00FA3AD1">
        <w:rPr>
          <w:rFonts w:ascii="Times New Roman" w:hAnsi="Times New Roman"/>
          <w:color w:val="auto"/>
        </w:rPr>
        <w:t xml:space="preserve">take approximately </w:t>
      </w:r>
      <w:r w:rsidR="005000D6">
        <w:rPr>
          <w:rFonts w:ascii="Times New Roman" w:hAnsi="Times New Roman"/>
          <w:color w:val="auto"/>
        </w:rPr>
        <w:t xml:space="preserve">22.5 </w:t>
      </w:r>
      <w:r w:rsidR="00FA3AD1">
        <w:rPr>
          <w:rFonts w:ascii="Times New Roman" w:hAnsi="Times New Roman"/>
          <w:color w:val="auto"/>
        </w:rPr>
        <w:t>hours</w:t>
      </w:r>
      <w:r w:rsidR="005000D6">
        <w:rPr>
          <w:rFonts w:ascii="Times New Roman" w:hAnsi="Times New Roman"/>
          <w:color w:val="auto"/>
        </w:rPr>
        <w:t xml:space="preserve"> per operator. This assumes </w:t>
      </w:r>
      <w:r w:rsidR="005000D6" w:rsidRPr="005000D6">
        <w:rPr>
          <w:rFonts w:ascii="Times New Roman" w:hAnsi="Times New Roman"/>
          <w:color w:val="auto"/>
        </w:rPr>
        <w:t xml:space="preserve">47.5 hours for </w:t>
      </w:r>
      <w:r w:rsidR="005000D6" w:rsidRPr="00F200EA">
        <w:rPr>
          <w:rFonts w:ascii="Times New Roman" w:hAnsi="Times New Roman"/>
          <w:bCs/>
          <w:iCs/>
          <w:color w:val="auto"/>
        </w:rPr>
        <w:t>respondents using Fuel Use Monitoring Methods</w:t>
      </w:r>
      <w:r w:rsidR="005000D6" w:rsidRPr="005000D6">
        <w:rPr>
          <w:rFonts w:ascii="Times New Roman" w:hAnsi="Times New Roman"/>
          <w:color w:val="auto"/>
        </w:rPr>
        <w:t xml:space="preserve"> and 16 hours for </w:t>
      </w:r>
      <w:r w:rsidR="005000D6" w:rsidRPr="00F200EA">
        <w:rPr>
          <w:rFonts w:ascii="Times New Roman" w:hAnsi="Times New Roman"/>
          <w:color w:val="auto"/>
        </w:rPr>
        <w:t>respondents using simplified Monitoring Methods</w:t>
      </w:r>
      <w:r w:rsidR="005000D6">
        <w:rPr>
          <w:rFonts w:ascii="Times New Roman" w:hAnsi="Times New Roman"/>
          <w:color w:val="auto"/>
        </w:rPr>
        <w:t>.</w:t>
      </w:r>
    </w:p>
    <w:p w14:paraId="7FF74D3F" w14:textId="6E60E10E" w:rsidR="00A040C9" w:rsidRPr="00F251F4" w:rsidRDefault="00A040C9"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b/>
          <w:i/>
          <w:color w:val="auto"/>
        </w:rPr>
      </w:pPr>
    </w:p>
    <w:p w14:paraId="1ABA1CE9" w14:textId="350ABF70" w:rsidR="005000D6" w:rsidRDefault="00E20E36" w:rsidP="005000D6">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EMP annualized cost (total):</w:t>
      </w:r>
      <w:r w:rsidR="00FA3AD1">
        <w:rPr>
          <w:rFonts w:ascii="Times New Roman" w:hAnsi="Times New Roman"/>
          <w:b/>
          <w:i/>
          <w:color w:val="auto"/>
        </w:rPr>
        <w:t xml:space="preserve"> </w:t>
      </w:r>
      <w:r w:rsidR="003D5292">
        <w:rPr>
          <w:rFonts w:ascii="Times New Roman" w:hAnsi="Times New Roman"/>
          <w:color w:val="auto"/>
        </w:rPr>
        <w:t>Based on hourly cost</w:t>
      </w:r>
      <w:r w:rsidR="00432913">
        <w:rPr>
          <w:rFonts w:ascii="Times New Roman" w:hAnsi="Times New Roman"/>
          <w:color w:val="auto"/>
        </w:rPr>
        <w:t xml:space="preserve"> assumptions</w:t>
      </w:r>
      <w:r w:rsidR="003D5292">
        <w:rPr>
          <w:rFonts w:ascii="Times New Roman" w:hAnsi="Times New Roman"/>
          <w:color w:val="auto"/>
        </w:rPr>
        <w:t xml:space="preserve"> described in the section below:</w:t>
      </w:r>
      <w:r w:rsidR="00EC2C99">
        <w:rPr>
          <w:rFonts w:ascii="Times New Roman" w:hAnsi="Times New Roman"/>
          <w:color w:val="auto"/>
        </w:rPr>
        <w:t xml:space="preserve"> </w:t>
      </w:r>
      <w:r w:rsidR="003D5292" w:rsidRPr="00F251F4">
        <w:rPr>
          <w:rFonts w:ascii="Times New Roman" w:hAnsi="Times New Roman"/>
          <w:i/>
          <w:color w:val="auto"/>
        </w:rPr>
        <w:t>“Explanation of how ER and EMP burdens</w:t>
      </w:r>
      <w:r w:rsidR="007D17E5">
        <w:rPr>
          <w:rFonts w:ascii="Times New Roman" w:hAnsi="Times New Roman"/>
          <w:i/>
          <w:color w:val="auto"/>
        </w:rPr>
        <w:t>,</w:t>
      </w:r>
      <w:r w:rsidR="003D5292" w:rsidRPr="00F251F4">
        <w:rPr>
          <w:rFonts w:ascii="Times New Roman" w:hAnsi="Times New Roman"/>
          <w:i/>
          <w:color w:val="auto"/>
        </w:rPr>
        <w:t>”</w:t>
      </w:r>
      <w:r w:rsidR="003D5292">
        <w:rPr>
          <w:rFonts w:ascii="Times New Roman" w:hAnsi="Times New Roman"/>
          <w:color w:val="auto"/>
        </w:rPr>
        <w:t xml:space="preserve"> the total estimated cost for filling and submitting an EMP is approximately $</w:t>
      </w:r>
      <w:r w:rsidR="005000D6">
        <w:rPr>
          <w:rFonts w:ascii="Times New Roman" w:hAnsi="Times New Roman"/>
          <w:color w:val="auto"/>
        </w:rPr>
        <w:t xml:space="preserve">3560 </w:t>
      </w:r>
      <w:r w:rsidR="003D5292">
        <w:rPr>
          <w:rFonts w:ascii="Times New Roman" w:hAnsi="Times New Roman"/>
          <w:color w:val="auto"/>
        </w:rPr>
        <w:t>per operator and per submission</w:t>
      </w:r>
      <w:r w:rsidR="005000D6">
        <w:rPr>
          <w:rFonts w:ascii="Times New Roman" w:hAnsi="Times New Roman"/>
          <w:color w:val="auto"/>
        </w:rPr>
        <w:t xml:space="preserve"> for </w:t>
      </w:r>
      <w:r w:rsidR="005000D6" w:rsidRPr="00874CEE">
        <w:rPr>
          <w:rFonts w:ascii="Times New Roman" w:hAnsi="Times New Roman"/>
          <w:bCs/>
          <w:iCs/>
          <w:color w:val="auto"/>
        </w:rPr>
        <w:t>respondents using Fuel Use Monitoring Methods</w:t>
      </w:r>
      <w:r w:rsidR="005000D6" w:rsidRPr="005000D6">
        <w:rPr>
          <w:rFonts w:ascii="Times New Roman" w:hAnsi="Times New Roman"/>
          <w:color w:val="auto"/>
        </w:rPr>
        <w:t xml:space="preserve"> and</w:t>
      </w:r>
      <w:r w:rsidR="005000D6">
        <w:rPr>
          <w:rFonts w:ascii="Times New Roman" w:hAnsi="Times New Roman"/>
          <w:color w:val="auto"/>
        </w:rPr>
        <w:t xml:space="preserve"> $1200 per operator and per submission</w:t>
      </w:r>
      <w:r w:rsidR="005000D6" w:rsidRPr="005000D6">
        <w:rPr>
          <w:rFonts w:ascii="Times New Roman" w:hAnsi="Times New Roman"/>
          <w:color w:val="auto"/>
        </w:rPr>
        <w:t xml:space="preserve"> for </w:t>
      </w:r>
      <w:r w:rsidR="005000D6" w:rsidRPr="00874CEE">
        <w:rPr>
          <w:rFonts w:ascii="Times New Roman" w:hAnsi="Times New Roman"/>
          <w:color w:val="auto"/>
        </w:rPr>
        <w:t>respondents using simplified Monitoring Methods</w:t>
      </w:r>
      <w:r w:rsidR="005000D6">
        <w:rPr>
          <w:rFonts w:ascii="Times New Roman" w:hAnsi="Times New Roman"/>
          <w:color w:val="auto"/>
        </w:rPr>
        <w:t>.</w:t>
      </w:r>
    </w:p>
    <w:p w14:paraId="5D1300EC" w14:textId="0210BBC0" w:rsidR="00E20E36" w:rsidRPr="00F251F4" w:rsidRDefault="00E20E36" w:rsidP="00F200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b/>
          <w:i/>
          <w:color w:val="auto"/>
        </w:rPr>
      </w:pPr>
    </w:p>
    <w:p w14:paraId="18629833" w14:textId="56FF75F0" w:rsidR="008476CA" w:rsidRPr="00C116CE" w:rsidRDefault="008476CA" w:rsidP="008476C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1E2C6090" w14:textId="6DEBFD68" w:rsidR="00476175" w:rsidRPr="00C116CE" w:rsidRDefault="008476CA" w:rsidP="0047617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r w:rsidRPr="00C116CE">
        <w:rPr>
          <w:rFonts w:ascii="Times New Roman" w:hAnsi="Times New Roman"/>
          <w:color w:val="auto"/>
          <w:u w:val="single"/>
        </w:rPr>
        <w:t>Overall, this collection is estimated to result in the following for ERs:</w:t>
      </w:r>
    </w:p>
    <w:p w14:paraId="7D468044" w14:textId="3151303D" w:rsidR="00476175" w:rsidRPr="00F251F4" w:rsidRDefault="00476175" w:rsidP="00476175">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ER Number of respondents (total):</w:t>
      </w:r>
      <w:r w:rsidR="00001B66" w:rsidRPr="00001B66">
        <w:rPr>
          <w:rFonts w:ascii="Times New Roman" w:hAnsi="Times New Roman"/>
          <w:color w:val="auto"/>
        </w:rPr>
        <w:t xml:space="preserve"> </w:t>
      </w:r>
    </w:p>
    <w:p w14:paraId="28BA086E" w14:textId="758847F6" w:rsidR="0011019C" w:rsidRPr="007D6000" w:rsidRDefault="00476175">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 xml:space="preserve">Number of respondents using Fuel </w:t>
      </w:r>
      <w:r w:rsidR="007B6E01">
        <w:rPr>
          <w:rFonts w:ascii="Times New Roman" w:hAnsi="Times New Roman"/>
          <w:b/>
          <w:i/>
          <w:color w:val="auto"/>
        </w:rPr>
        <w:t xml:space="preserve">Use </w:t>
      </w:r>
      <w:r w:rsidRPr="00F251F4">
        <w:rPr>
          <w:rFonts w:ascii="Times New Roman" w:hAnsi="Times New Roman"/>
          <w:b/>
          <w:i/>
          <w:color w:val="auto"/>
        </w:rPr>
        <w:t>Monitoring Methods:</w:t>
      </w:r>
      <w:r w:rsidR="006C3506" w:rsidRPr="006C3506">
        <w:rPr>
          <w:rFonts w:ascii="Times New Roman" w:hAnsi="Times New Roman"/>
          <w:color w:val="auto"/>
        </w:rPr>
        <w:t xml:space="preserve"> </w:t>
      </w:r>
      <w:r w:rsidR="006C3506">
        <w:rPr>
          <w:rFonts w:ascii="Times New Roman" w:hAnsi="Times New Roman"/>
          <w:color w:val="auto"/>
        </w:rPr>
        <w:t xml:space="preserve">In the </w:t>
      </w:r>
      <w:r w:rsidR="007C1178">
        <w:rPr>
          <w:rFonts w:ascii="Times New Roman" w:hAnsi="Times New Roman"/>
          <w:color w:val="auto"/>
        </w:rPr>
        <w:t xml:space="preserve">low </w:t>
      </w:r>
      <w:r w:rsidR="0011019C">
        <w:rPr>
          <w:rFonts w:ascii="Times New Roman" w:hAnsi="Times New Roman"/>
          <w:color w:val="auto"/>
        </w:rPr>
        <w:t xml:space="preserve">and high </w:t>
      </w:r>
      <w:r w:rsidR="006C3506">
        <w:rPr>
          <w:rFonts w:ascii="Times New Roman" w:hAnsi="Times New Roman"/>
          <w:color w:val="auto"/>
        </w:rPr>
        <w:t>scenario</w:t>
      </w:r>
      <w:r w:rsidR="0011019C">
        <w:rPr>
          <w:rFonts w:ascii="Times New Roman" w:hAnsi="Times New Roman"/>
          <w:color w:val="auto"/>
        </w:rPr>
        <w:t>s</w:t>
      </w:r>
      <w:r w:rsidR="006C3506">
        <w:rPr>
          <w:rFonts w:ascii="Times New Roman" w:hAnsi="Times New Roman"/>
          <w:color w:val="auto"/>
        </w:rPr>
        <w:t xml:space="preserve">, it is expected that approximately </w:t>
      </w:r>
      <w:r w:rsidR="007C1178">
        <w:rPr>
          <w:rFonts w:ascii="Times New Roman" w:hAnsi="Times New Roman"/>
          <w:color w:val="auto"/>
        </w:rPr>
        <w:t xml:space="preserve">10 </w:t>
      </w:r>
      <w:r w:rsidR="006C3506">
        <w:rPr>
          <w:rFonts w:ascii="Times New Roman" w:hAnsi="Times New Roman"/>
          <w:color w:val="auto"/>
        </w:rPr>
        <w:t>operators</w:t>
      </w:r>
      <w:r w:rsidR="007B6E01">
        <w:rPr>
          <w:rFonts w:ascii="Times New Roman" w:hAnsi="Times New Roman"/>
          <w:color w:val="auto"/>
        </w:rPr>
        <w:t xml:space="preserve"> </w:t>
      </w:r>
      <w:r w:rsidR="007B6E01" w:rsidRPr="007B6E01">
        <w:rPr>
          <w:rFonts w:ascii="Times New Roman" w:hAnsi="Times New Roman"/>
          <w:color w:val="auto"/>
        </w:rPr>
        <w:t xml:space="preserve">using Fuel </w:t>
      </w:r>
      <w:r w:rsidR="007B6E01">
        <w:rPr>
          <w:rFonts w:ascii="Times New Roman" w:hAnsi="Times New Roman"/>
          <w:color w:val="auto"/>
        </w:rPr>
        <w:t xml:space="preserve">Use </w:t>
      </w:r>
      <w:r w:rsidR="007B6E01" w:rsidRPr="007B6E01">
        <w:rPr>
          <w:rFonts w:ascii="Times New Roman" w:hAnsi="Times New Roman"/>
          <w:color w:val="auto"/>
        </w:rPr>
        <w:t>Monitoring Methods</w:t>
      </w:r>
      <w:r w:rsidR="006C3506">
        <w:rPr>
          <w:rFonts w:ascii="Times New Roman" w:hAnsi="Times New Roman"/>
          <w:color w:val="auto"/>
        </w:rPr>
        <w:t xml:space="preserve"> </w:t>
      </w:r>
      <w:r w:rsidR="007C1178">
        <w:rPr>
          <w:rFonts w:ascii="Times New Roman" w:hAnsi="Times New Roman"/>
          <w:color w:val="auto"/>
        </w:rPr>
        <w:t>are expected to</w:t>
      </w:r>
      <w:r w:rsidR="006C3506">
        <w:rPr>
          <w:rFonts w:ascii="Times New Roman" w:hAnsi="Times New Roman"/>
          <w:color w:val="auto"/>
        </w:rPr>
        <w:t xml:space="preserve"> submit an ER from the outset (2019). </w:t>
      </w:r>
    </w:p>
    <w:p w14:paraId="065FA2CD" w14:textId="083D9611" w:rsidR="006C3506" w:rsidRPr="00F251F4" w:rsidRDefault="006C3506"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b/>
          <w:i/>
          <w:color w:val="auto"/>
        </w:rPr>
      </w:pPr>
    </w:p>
    <w:p w14:paraId="467E9B74" w14:textId="69F61D96" w:rsidR="009D4A4B" w:rsidRDefault="00476175" w:rsidP="009D4A4B">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251F4">
        <w:rPr>
          <w:rFonts w:ascii="Times New Roman" w:hAnsi="Times New Roman"/>
          <w:b/>
          <w:i/>
          <w:color w:val="auto"/>
        </w:rPr>
        <w:t xml:space="preserve">Number of respondents using </w:t>
      </w:r>
      <w:r w:rsidR="009D4914">
        <w:rPr>
          <w:rFonts w:ascii="Times New Roman" w:hAnsi="Times New Roman"/>
          <w:b/>
          <w:i/>
          <w:color w:val="auto"/>
        </w:rPr>
        <w:t>simplified</w:t>
      </w:r>
      <w:r w:rsidRPr="00F251F4">
        <w:rPr>
          <w:rFonts w:ascii="Times New Roman" w:hAnsi="Times New Roman"/>
          <w:b/>
          <w:i/>
          <w:color w:val="auto"/>
        </w:rPr>
        <w:t xml:space="preserve"> Monitoring Methods:</w:t>
      </w:r>
      <w:r w:rsidR="006C3506">
        <w:rPr>
          <w:rFonts w:ascii="Times New Roman" w:hAnsi="Times New Roman"/>
          <w:b/>
          <w:i/>
          <w:color w:val="auto"/>
        </w:rPr>
        <w:t xml:space="preserve"> </w:t>
      </w:r>
      <w:r w:rsidR="009D4A4B">
        <w:rPr>
          <w:rFonts w:ascii="Times New Roman" w:hAnsi="Times New Roman"/>
          <w:color w:val="auto"/>
        </w:rPr>
        <w:t xml:space="preserve">In the </w:t>
      </w:r>
      <w:r w:rsidR="0011019C">
        <w:rPr>
          <w:rFonts w:ascii="Times New Roman" w:hAnsi="Times New Roman"/>
          <w:color w:val="auto"/>
        </w:rPr>
        <w:t xml:space="preserve">low </w:t>
      </w:r>
      <w:r w:rsidR="009D4A4B">
        <w:rPr>
          <w:rFonts w:ascii="Times New Roman" w:hAnsi="Times New Roman"/>
          <w:color w:val="auto"/>
        </w:rPr>
        <w:t xml:space="preserve">scenario, </w:t>
      </w:r>
      <w:r w:rsidR="0011019C">
        <w:rPr>
          <w:rFonts w:ascii="Times New Roman" w:hAnsi="Times New Roman"/>
          <w:color w:val="auto"/>
        </w:rPr>
        <w:t xml:space="preserve">one operator would be eligible to use </w:t>
      </w:r>
      <w:r w:rsidR="009D4914">
        <w:rPr>
          <w:rFonts w:ascii="Times New Roman" w:hAnsi="Times New Roman"/>
          <w:color w:val="auto"/>
        </w:rPr>
        <w:t>simplified</w:t>
      </w:r>
      <w:r w:rsidR="009D4A4B">
        <w:rPr>
          <w:rFonts w:ascii="Times New Roman" w:hAnsi="Times New Roman"/>
          <w:color w:val="auto"/>
        </w:rPr>
        <w:t xml:space="preserve"> </w:t>
      </w:r>
      <w:r w:rsidR="009D4A4B" w:rsidRPr="007B6E01">
        <w:rPr>
          <w:rFonts w:ascii="Times New Roman" w:hAnsi="Times New Roman"/>
          <w:color w:val="auto"/>
        </w:rPr>
        <w:t>Monitoring Methods</w:t>
      </w:r>
      <w:r w:rsidR="009D4A4B">
        <w:rPr>
          <w:rFonts w:ascii="Times New Roman" w:hAnsi="Times New Roman"/>
          <w:color w:val="auto"/>
        </w:rPr>
        <w:t xml:space="preserve"> </w:t>
      </w:r>
      <w:r w:rsidR="0011019C">
        <w:rPr>
          <w:rFonts w:ascii="Times New Roman" w:hAnsi="Times New Roman"/>
          <w:color w:val="auto"/>
        </w:rPr>
        <w:t xml:space="preserve">and </w:t>
      </w:r>
      <w:r w:rsidR="009D4A4B">
        <w:rPr>
          <w:rFonts w:ascii="Times New Roman" w:hAnsi="Times New Roman"/>
          <w:color w:val="auto"/>
        </w:rPr>
        <w:t xml:space="preserve">will submit an ER from the outset (2019). </w:t>
      </w:r>
      <w:r w:rsidR="0011019C">
        <w:rPr>
          <w:rFonts w:ascii="Times New Roman" w:hAnsi="Times New Roman"/>
          <w:color w:val="auto"/>
        </w:rPr>
        <w:t xml:space="preserve">In the high scenario, approximately 39 operators eligible to </w:t>
      </w:r>
      <w:r w:rsidR="009D4A4B" w:rsidRPr="007B6E01">
        <w:rPr>
          <w:rFonts w:ascii="Times New Roman" w:hAnsi="Times New Roman"/>
          <w:color w:val="auto"/>
        </w:rPr>
        <w:t>us</w:t>
      </w:r>
      <w:r w:rsidR="0011019C">
        <w:rPr>
          <w:rFonts w:ascii="Times New Roman" w:hAnsi="Times New Roman"/>
          <w:color w:val="auto"/>
        </w:rPr>
        <w:t>e</w:t>
      </w:r>
      <w:r w:rsidR="009D4A4B" w:rsidRPr="007B6E01">
        <w:rPr>
          <w:rFonts w:ascii="Times New Roman" w:hAnsi="Times New Roman"/>
          <w:color w:val="auto"/>
        </w:rPr>
        <w:t xml:space="preserve"> </w:t>
      </w:r>
      <w:r w:rsidR="009D4914">
        <w:rPr>
          <w:rFonts w:ascii="Times New Roman" w:hAnsi="Times New Roman"/>
          <w:color w:val="auto"/>
        </w:rPr>
        <w:t>simplified</w:t>
      </w:r>
      <w:r w:rsidR="009D4A4B">
        <w:rPr>
          <w:rFonts w:ascii="Times New Roman" w:hAnsi="Times New Roman"/>
          <w:color w:val="auto"/>
        </w:rPr>
        <w:t xml:space="preserve"> </w:t>
      </w:r>
      <w:r w:rsidR="009D4A4B" w:rsidRPr="007B6E01">
        <w:rPr>
          <w:rFonts w:ascii="Times New Roman" w:hAnsi="Times New Roman"/>
          <w:color w:val="auto"/>
        </w:rPr>
        <w:t>Monitoring Methods</w:t>
      </w:r>
      <w:r w:rsidR="009D4A4B">
        <w:rPr>
          <w:rFonts w:ascii="Times New Roman" w:hAnsi="Times New Roman"/>
          <w:color w:val="auto"/>
        </w:rPr>
        <w:t xml:space="preserve"> could submit an ER.</w:t>
      </w:r>
    </w:p>
    <w:p w14:paraId="57F03DBB" w14:textId="4176B03C" w:rsidR="006C3506" w:rsidRPr="00C116CE" w:rsidRDefault="009D4A4B"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C116CE">
        <w:rPr>
          <w:rFonts w:ascii="Times New Roman" w:hAnsi="Times New Roman"/>
          <w:color w:val="auto"/>
        </w:rPr>
        <w:t xml:space="preserve"> </w:t>
      </w:r>
    </w:p>
    <w:p w14:paraId="3EE7AEA1" w14:textId="617520A6" w:rsidR="008476CA" w:rsidRPr="00B279CA" w:rsidRDefault="008476CA" w:rsidP="008476CA">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ER submission frequency per respondent:</w:t>
      </w:r>
      <w:r w:rsidR="00451FDF" w:rsidRPr="002375D6">
        <w:rPr>
          <w:rFonts w:ascii="Times New Roman" w:hAnsi="Times New Roman"/>
          <w:color w:val="auto"/>
        </w:rPr>
        <w:t xml:space="preserve"> 1 per respondent</w:t>
      </w:r>
      <w:r w:rsidR="00EC3AA9" w:rsidRPr="00F251F4">
        <w:rPr>
          <w:rFonts w:ascii="Times New Roman" w:hAnsi="Times New Roman"/>
          <w:color w:val="auto"/>
        </w:rPr>
        <w:t xml:space="preserve"> for any given year (y)</w:t>
      </w:r>
      <w:r w:rsidR="00FC1529">
        <w:rPr>
          <w:rFonts w:ascii="Times New Roman" w:hAnsi="Times New Roman"/>
          <w:color w:val="auto"/>
        </w:rPr>
        <w:t>.</w:t>
      </w:r>
    </w:p>
    <w:p w14:paraId="0EE77F4B" w14:textId="77777777" w:rsidR="00EC3AA9" w:rsidRPr="00F251F4" w:rsidRDefault="00EC3AA9"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b/>
          <w:i/>
          <w:color w:val="auto"/>
        </w:rPr>
      </w:pPr>
    </w:p>
    <w:p w14:paraId="37B104CA" w14:textId="0BB55158" w:rsidR="008476CA" w:rsidRDefault="008476CA" w:rsidP="008476CA">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ER hour burden per year (total):</w:t>
      </w:r>
    </w:p>
    <w:p w14:paraId="6BBBA060" w14:textId="45FE4295" w:rsidR="00C64928" w:rsidRDefault="00C64928" w:rsidP="00F251F4">
      <w:pPr>
        <w:pStyle w:val="ListParagraph"/>
        <w:rPr>
          <w:rFonts w:ascii="Times New Roman" w:hAnsi="Times New Roman"/>
          <w:i/>
        </w:rPr>
      </w:pPr>
    </w:p>
    <w:p w14:paraId="49835866" w14:textId="2D89CEAE" w:rsidR="00023BD9" w:rsidRDefault="00023BD9" w:rsidP="00023BD9">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 xml:space="preserve">ER </w:t>
      </w:r>
      <w:r>
        <w:rPr>
          <w:rFonts w:ascii="Times New Roman" w:hAnsi="Times New Roman"/>
          <w:b/>
          <w:i/>
          <w:color w:val="auto"/>
        </w:rPr>
        <w:t>hour</w:t>
      </w:r>
      <w:r w:rsidRPr="00F251F4">
        <w:rPr>
          <w:rFonts w:ascii="Times New Roman" w:hAnsi="Times New Roman"/>
          <w:b/>
          <w:i/>
          <w:color w:val="auto"/>
        </w:rPr>
        <w:t xml:space="preserve"> burden per </w:t>
      </w:r>
      <w:r>
        <w:rPr>
          <w:rFonts w:ascii="Times New Roman" w:hAnsi="Times New Roman"/>
          <w:b/>
          <w:i/>
          <w:color w:val="auto"/>
        </w:rPr>
        <w:t>year</w:t>
      </w:r>
      <w:r w:rsidRPr="00F251F4">
        <w:rPr>
          <w:rFonts w:ascii="Times New Roman" w:hAnsi="Times New Roman"/>
          <w:b/>
          <w:i/>
          <w:color w:val="auto"/>
        </w:rPr>
        <w:t xml:space="preserve"> </w:t>
      </w:r>
      <w:r>
        <w:rPr>
          <w:rFonts w:ascii="Times New Roman" w:hAnsi="Times New Roman"/>
          <w:b/>
          <w:i/>
          <w:color w:val="auto"/>
        </w:rPr>
        <w:t>for respondents</w:t>
      </w:r>
      <w:r w:rsidRPr="00F251F4">
        <w:rPr>
          <w:rFonts w:ascii="Times New Roman" w:hAnsi="Times New Roman"/>
          <w:b/>
          <w:i/>
          <w:color w:val="auto"/>
        </w:rPr>
        <w:t xml:space="preserve"> using Fuel</w:t>
      </w:r>
      <w:r>
        <w:rPr>
          <w:rFonts w:ascii="Times New Roman" w:hAnsi="Times New Roman"/>
          <w:b/>
          <w:i/>
          <w:color w:val="auto"/>
        </w:rPr>
        <w:t xml:space="preserve"> Use</w:t>
      </w:r>
      <w:r w:rsidRPr="00F251F4">
        <w:rPr>
          <w:rFonts w:ascii="Times New Roman" w:hAnsi="Times New Roman"/>
          <w:b/>
          <w:i/>
          <w:color w:val="auto"/>
        </w:rPr>
        <w:t xml:space="preserve"> Monitoring Methods:</w:t>
      </w:r>
      <w:r>
        <w:rPr>
          <w:rFonts w:ascii="Times New Roman" w:hAnsi="Times New Roman"/>
          <w:b/>
          <w:i/>
          <w:color w:val="auto"/>
        </w:rPr>
        <w:t xml:space="preserve"> </w:t>
      </w:r>
      <w:r w:rsidR="00BB1E75">
        <w:rPr>
          <w:rFonts w:ascii="Times New Roman" w:hAnsi="Times New Roman"/>
          <w:color w:val="auto"/>
        </w:rPr>
        <w:t>Filling and reporting an Emissions Report would take on the order of 60 hours per operator and per year f</w:t>
      </w:r>
      <w:r>
        <w:rPr>
          <w:rFonts w:ascii="Times New Roman" w:hAnsi="Times New Roman"/>
          <w:color w:val="auto"/>
        </w:rPr>
        <w:t>or operators using a Fuel Use Monitoring Method (i.e., monitoring fuel at individual flight level)</w:t>
      </w:r>
      <w:r w:rsidR="00BB1E75">
        <w:rPr>
          <w:rFonts w:ascii="Times New Roman" w:hAnsi="Times New Roman"/>
          <w:color w:val="auto"/>
        </w:rPr>
        <w:t>.</w:t>
      </w:r>
    </w:p>
    <w:p w14:paraId="4EE31C2B" w14:textId="1ACAA801" w:rsidR="00023BD9" w:rsidRPr="00F251F4" w:rsidRDefault="00023BD9" w:rsidP="00023BD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b/>
          <w:i/>
          <w:color w:val="auto"/>
        </w:rPr>
      </w:pPr>
    </w:p>
    <w:p w14:paraId="6C6FFDAB" w14:textId="1C6EDBB1" w:rsidR="00023BD9" w:rsidRPr="00F200EA" w:rsidRDefault="00023BD9" w:rsidP="00023BD9">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color w:val="auto"/>
        </w:rPr>
      </w:pPr>
      <w:r w:rsidRPr="00F251F4">
        <w:rPr>
          <w:rFonts w:ascii="Times New Roman" w:hAnsi="Times New Roman"/>
          <w:b/>
          <w:i/>
          <w:color w:val="auto"/>
        </w:rPr>
        <w:t xml:space="preserve">ER </w:t>
      </w:r>
      <w:r>
        <w:rPr>
          <w:rFonts w:ascii="Times New Roman" w:hAnsi="Times New Roman"/>
          <w:b/>
          <w:i/>
          <w:color w:val="auto"/>
        </w:rPr>
        <w:t>hour</w:t>
      </w:r>
      <w:r w:rsidRPr="00F251F4">
        <w:rPr>
          <w:rFonts w:ascii="Times New Roman" w:hAnsi="Times New Roman"/>
          <w:b/>
          <w:i/>
          <w:color w:val="auto"/>
        </w:rPr>
        <w:t xml:space="preserve"> burden per </w:t>
      </w:r>
      <w:r>
        <w:rPr>
          <w:rFonts w:ascii="Times New Roman" w:hAnsi="Times New Roman"/>
          <w:b/>
          <w:i/>
          <w:color w:val="auto"/>
        </w:rPr>
        <w:t>year</w:t>
      </w:r>
      <w:r w:rsidRPr="00F251F4">
        <w:rPr>
          <w:rFonts w:ascii="Times New Roman" w:hAnsi="Times New Roman"/>
          <w:b/>
          <w:i/>
          <w:color w:val="auto"/>
        </w:rPr>
        <w:t xml:space="preserve"> </w:t>
      </w:r>
      <w:r>
        <w:rPr>
          <w:rFonts w:ascii="Times New Roman" w:hAnsi="Times New Roman"/>
          <w:b/>
          <w:i/>
          <w:color w:val="auto"/>
        </w:rPr>
        <w:t>for respondents</w:t>
      </w:r>
      <w:r w:rsidRPr="00F251F4">
        <w:rPr>
          <w:rFonts w:ascii="Times New Roman" w:hAnsi="Times New Roman"/>
          <w:b/>
          <w:i/>
          <w:color w:val="auto"/>
        </w:rPr>
        <w:t xml:space="preserve"> using</w:t>
      </w:r>
      <w:r>
        <w:rPr>
          <w:rFonts w:ascii="Times New Roman" w:hAnsi="Times New Roman"/>
          <w:b/>
          <w:i/>
          <w:color w:val="auto"/>
        </w:rPr>
        <w:t xml:space="preserve"> </w:t>
      </w:r>
      <w:r w:rsidRPr="0027180B">
        <w:rPr>
          <w:rFonts w:ascii="Times New Roman" w:hAnsi="Times New Roman"/>
          <w:b/>
          <w:i/>
          <w:color w:val="auto"/>
        </w:rPr>
        <w:t>s</w:t>
      </w:r>
      <w:r>
        <w:rPr>
          <w:rFonts w:ascii="Times New Roman" w:hAnsi="Times New Roman"/>
          <w:b/>
          <w:i/>
          <w:color w:val="auto"/>
        </w:rPr>
        <w:t>implified</w:t>
      </w:r>
      <w:r w:rsidRPr="002375D6">
        <w:rPr>
          <w:rFonts w:ascii="Times New Roman" w:hAnsi="Times New Roman"/>
          <w:b/>
          <w:i/>
          <w:color w:val="auto"/>
        </w:rPr>
        <w:t xml:space="preserve"> </w:t>
      </w:r>
      <w:r w:rsidRPr="00F251F4">
        <w:rPr>
          <w:rFonts w:ascii="Times New Roman" w:hAnsi="Times New Roman"/>
          <w:b/>
          <w:i/>
          <w:color w:val="auto"/>
        </w:rPr>
        <w:t>Monitoring Methods:</w:t>
      </w:r>
      <w:r w:rsidRPr="003645AC">
        <w:rPr>
          <w:rFonts w:ascii="Times New Roman" w:hAnsi="Times New Roman"/>
          <w:color w:val="auto"/>
        </w:rPr>
        <w:t xml:space="preserve"> </w:t>
      </w:r>
      <w:r w:rsidR="00BB1E75">
        <w:rPr>
          <w:rFonts w:ascii="Times New Roman" w:hAnsi="Times New Roman"/>
          <w:color w:val="auto"/>
        </w:rPr>
        <w:t>Filling and reporting an Emissions Report would take on the order of 17.5 hours per operator and per year for</w:t>
      </w:r>
      <w:r>
        <w:rPr>
          <w:rFonts w:ascii="Times New Roman" w:hAnsi="Times New Roman"/>
          <w:color w:val="auto"/>
        </w:rPr>
        <w:t xml:space="preserve"> operators using a simplified Monitoring Methods (i.e., using the ICAO CORSIA CERT)</w:t>
      </w:r>
      <w:r w:rsidR="00BB1E75">
        <w:rPr>
          <w:rFonts w:ascii="Times New Roman" w:hAnsi="Times New Roman"/>
          <w:color w:val="auto"/>
        </w:rPr>
        <w:t>.</w:t>
      </w:r>
    </w:p>
    <w:p w14:paraId="1F6373AC" w14:textId="63EECF85" w:rsidR="00023BD9" w:rsidRDefault="00023BD9" w:rsidP="00F200EA">
      <w:pPr>
        <w:pStyle w:val="ListParagraph"/>
        <w:rPr>
          <w:rFonts w:ascii="Times New Roman" w:hAnsi="Times New Roman"/>
          <w:i/>
        </w:rPr>
      </w:pPr>
    </w:p>
    <w:p w14:paraId="541A9B67" w14:textId="5B9C0053" w:rsidR="005A3C0A" w:rsidRPr="00F251F4" w:rsidRDefault="005A3C0A"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52C531D6" w14:textId="4F8BD1BC" w:rsidR="00E20E36" w:rsidRPr="00F251F4" w:rsidRDefault="00E20E36" w:rsidP="00E20E36">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ER annualized cost (total):</w:t>
      </w:r>
    </w:p>
    <w:p w14:paraId="355219D3" w14:textId="18A47DE8" w:rsidR="00E20E36" w:rsidRDefault="00E20E36" w:rsidP="00E20E36">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ER annualized cost per submission per operator</w:t>
      </w:r>
      <w:r w:rsidR="00451FDF" w:rsidRPr="00F251F4">
        <w:rPr>
          <w:rFonts w:ascii="Times New Roman" w:hAnsi="Times New Roman"/>
          <w:b/>
          <w:i/>
          <w:color w:val="auto"/>
        </w:rPr>
        <w:t xml:space="preserve"> using Fuel</w:t>
      </w:r>
      <w:r w:rsidR="00B40C47">
        <w:rPr>
          <w:rFonts w:ascii="Times New Roman" w:hAnsi="Times New Roman"/>
          <w:b/>
          <w:i/>
          <w:color w:val="auto"/>
        </w:rPr>
        <w:t xml:space="preserve"> Use</w:t>
      </w:r>
      <w:r w:rsidR="00451FDF" w:rsidRPr="00F251F4">
        <w:rPr>
          <w:rFonts w:ascii="Times New Roman" w:hAnsi="Times New Roman"/>
          <w:b/>
          <w:i/>
          <w:color w:val="auto"/>
        </w:rPr>
        <w:t xml:space="preserve"> Monitoring Methods</w:t>
      </w:r>
      <w:r w:rsidRPr="00F251F4">
        <w:rPr>
          <w:rFonts w:ascii="Times New Roman" w:hAnsi="Times New Roman"/>
          <w:b/>
          <w:i/>
          <w:color w:val="auto"/>
        </w:rPr>
        <w:t>:</w:t>
      </w:r>
      <w:r w:rsidR="00E04302">
        <w:rPr>
          <w:rFonts w:ascii="Times New Roman" w:hAnsi="Times New Roman"/>
          <w:b/>
          <w:i/>
          <w:color w:val="auto"/>
        </w:rPr>
        <w:t xml:space="preserve"> </w:t>
      </w:r>
      <w:r w:rsidR="00E04302">
        <w:rPr>
          <w:rFonts w:ascii="Times New Roman" w:hAnsi="Times New Roman"/>
          <w:color w:val="auto"/>
        </w:rPr>
        <w:t xml:space="preserve">For operators using a Fuel Use Monitoring Method (i.e., monitoring fuel at individual flight level), </w:t>
      </w:r>
      <w:r w:rsidR="00FD6188">
        <w:rPr>
          <w:rFonts w:ascii="Times New Roman" w:hAnsi="Times New Roman"/>
          <w:color w:val="auto"/>
        </w:rPr>
        <w:t>reporting cost could be on the order of $</w:t>
      </w:r>
      <w:r w:rsidR="00BB1E75">
        <w:rPr>
          <w:rFonts w:ascii="Times New Roman" w:hAnsi="Times New Roman"/>
          <w:color w:val="auto"/>
        </w:rPr>
        <w:t>4</w:t>
      </w:r>
      <w:r w:rsidR="00D04BD8">
        <w:rPr>
          <w:rFonts w:ascii="Times New Roman" w:hAnsi="Times New Roman"/>
          <w:color w:val="auto"/>
        </w:rPr>
        <w:t>,</w:t>
      </w:r>
      <w:r w:rsidR="00BB1E75">
        <w:rPr>
          <w:rFonts w:ascii="Times New Roman" w:hAnsi="Times New Roman"/>
          <w:color w:val="auto"/>
        </w:rPr>
        <w:t xml:space="preserve">500 </w:t>
      </w:r>
      <w:r w:rsidR="00FD6188">
        <w:rPr>
          <w:rFonts w:ascii="Times New Roman" w:hAnsi="Times New Roman"/>
          <w:color w:val="auto"/>
        </w:rPr>
        <w:t xml:space="preserve">per operator and per year. </w:t>
      </w:r>
    </w:p>
    <w:p w14:paraId="55EDA478" w14:textId="797EEC71" w:rsidR="004D5599" w:rsidRPr="00F251F4" w:rsidRDefault="004D5599" w:rsidP="00F251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b/>
          <w:i/>
          <w:color w:val="auto"/>
        </w:rPr>
      </w:pPr>
    </w:p>
    <w:p w14:paraId="0C0172E5" w14:textId="2A38EE80" w:rsidR="00451FDF" w:rsidRPr="00670D1D" w:rsidRDefault="00451FDF" w:rsidP="00451FDF">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F251F4">
        <w:rPr>
          <w:rFonts w:ascii="Times New Roman" w:hAnsi="Times New Roman"/>
          <w:b/>
          <w:i/>
          <w:color w:val="auto"/>
        </w:rPr>
        <w:t xml:space="preserve">ER annualized cost per submission per operator using </w:t>
      </w:r>
      <w:r w:rsidR="00B40C47" w:rsidRPr="0027180B">
        <w:rPr>
          <w:rFonts w:ascii="Times New Roman" w:hAnsi="Times New Roman"/>
          <w:b/>
          <w:i/>
          <w:color w:val="auto"/>
        </w:rPr>
        <w:t>s</w:t>
      </w:r>
      <w:r w:rsidR="00B40C47">
        <w:rPr>
          <w:rFonts w:ascii="Times New Roman" w:hAnsi="Times New Roman"/>
          <w:b/>
          <w:i/>
          <w:color w:val="auto"/>
        </w:rPr>
        <w:t>implified</w:t>
      </w:r>
      <w:r w:rsidR="00B40C47" w:rsidRPr="002375D6">
        <w:rPr>
          <w:rFonts w:ascii="Times New Roman" w:hAnsi="Times New Roman"/>
          <w:b/>
          <w:i/>
          <w:color w:val="auto"/>
        </w:rPr>
        <w:t xml:space="preserve"> </w:t>
      </w:r>
      <w:r w:rsidRPr="00F251F4">
        <w:rPr>
          <w:rFonts w:ascii="Times New Roman" w:hAnsi="Times New Roman"/>
          <w:b/>
          <w:i/>
          <w:color w:val="auto"/>
        </w:rPr>
        <w:t>Monitoring Methods:</w:t>
      </w:r>
      <w:r w:rsidR="003645AC" w:rsidRPr="003645AC">
        <w:rPr>
          <w:rFonts w:ascii="Times New Roman" w:hAnsi="Times New Roman"/>
          <w:color w:val="auto"/>
        </w:rPr>
        <w:t xml:space="preserve"> </w:t>
      </w:r>
      <w:r w:rsidR="003645AC">
        <w:rPr>
          <w:rFonts w:ascii="Times New Roman" w:hAnsi="Times New Roman"/>
          <w:color w:val="auto"/>
        </w:rPr>
        <w:t xml:space="preserve">For operators using a simplified Monitoring Methods (i.e., using the ICAO CORSIA CERT), </w:t>
      </w:r>
      <w:r w:rsidR="007C5CA8">
        <w:rPr>
          <w:rFonts w:ascii="Times New Roman" w:hAnsi="Times New Roman"/>
          <w:color w:val="auto"/>
        </w:rPr>
        <w:t>reporting cost could be on the order of $</w:t>
      </w:r>
      <w:r w:rsidR="00BB1E75">
        <w:rPr>
          <w:rFonts w:ascii="Times New Roman" w:hAnsi="Times New Roman"/>
          <w:color w:val="auto"/>
        </w:rPr>
        <w:t>1</w:t>
      </w:r>
      <w:r w:rsidR="00D04BD8">
        <w:rPr>
          <w:rFonts w:ascii="Times New Roman" w:hAnsi="Times New Roman"/>
          <w:color w:val="auto"/>
        </w:rPr>
        <w:t>,</w:t>
      </w:r>
      <w:r w:rsidR="00BB1E75">
        <w:rPr>
          <w:rFonts w:ascii="Times New Roman" w:hAnsi="Times New Roman"/>
          <w:color w:val="auto"/>
        </w:rPr>
        <w:t xml:space="preserve">310 </w:t>
      </w:r>
      <w:r w:rsidR="007C5CA8">
        <w:rPr>
          <w:rFonts w:ascii="Times New Roman" w:hAnsi="Times New Roman"/>
          <w:color w:val="auto"/>
        </w:rPr>
        <w:t>per operator and per year.</w:t>
      </w:r>
    </w:p>
    <w:p w14:paraId="2350B19E" w14:textId="77777777" w:rsidR="00136F80" w:rsidRDefault="00136F80" w:rsidP="00670D1D">
      <w:pPr>
        <w:pStyle w:val="ListParagraph"/>
        <w:rPr>
          <w:rFonts w:ascii="Times New Roman" w:hAnsi="Times New Roman"/>
          <w:b/>
          <w:i/>
        </w:rPr>
      </w:pPr>
    </w:p>
    <w:p w14:paraId="6522792B" w14:textId="6E030A41" w:rsidR="00136F80"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tbl>
      <w:tblPr>
        <w:tblpPr w:leftFromText="180" w:rightFromText="180" w:vertAnchor="text" w:horzAnchor="margin" w:tblpXSpec="center" w:tblpY="158"/>
        <w:tblW w:w="4597" w:type="dxa"/>
        <w:tblLook w:val="04A0" w:firstRow="1" w:lastRow="0" w:firstColumn="1" w:lastColumn="0" w:noHBand="0" w:noVBand="1"/>
      </w:tblPr>
      <w:tblGrid>
        <w:gridCol w:w="1900"/>
        <w:gridCol w:w="1118"/>
        <w:gridCol w:w="1579"/>
      </w:tblGrid>
      <w:tr w:rsidR="00136F80" w:rsidRPr="00D843ED" w14:paraId="30EBB315" w14:textId="77777777" w:rsidTr="00670D1D">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C4984"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B7D40DE"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7F2E5E7C"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Recordkeeping</w:t>
            </w:r>
          </w:p>
        </w:tc>
      </w:tr>
      <w:tr w:rsidR="00136F80" w:rsidRPr="00D843ED" w14:paraId="3FE09188" w14:textId="77777777" w:rsidTr="00670D1D">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42062B" w14:textId="77777777" w:rsidR="00136F80" w:rsidRPr="00D843ED" w:rsidRDefault="00136F80" w:rsidP="00136F80">
            <w:pPr>
              <w:jc w:val="center"/>
              <w:rPr>
                <w:rFonts w:ascii="Times New Roman" w:hAnsi="Times New Roman"/>
                <w:noProof/>
                <w:color w:val="000000"/>
                <w:sz w:val="24"/>
                <w:szCs w:val="24"/>
              </w:rPr>
            </w:pPr>
            <w:r w:rsidRPr="00D843ED">
              <w:rPr>
                <w:rFonts w:ascii="Times New Roman" w:hAnsi="Times New Roman"/>
                <w:noProof/>
                <w:color w:val="000000"/>
                <w:sz w:val="24"/>
                <w:szCs w:val="24"/>
              </w:rPr>
              <w:t>IC 1)</w:t>
            </w:r>
            <w:r>
              <w:rPr>
                <w:rFonts w:ascii="Times New Roman" w:hAnsi="Times New Roman"/>
                <w:noProof/>
                <w:color w:val="000000"/>
                <w:sz w:val="24"/>
                <w:szCs w:val="24"/>
              </w:rPr>
              <w:t xml:space="preserve"> </w:t>
            </w:r>
            <w:r w:rsidRPr="00D843ED">
              <w:rPr>
                <w:rFonts w:ascii="Times New Roman" w:hAnsi="Times New Roman"/>
                <w:noProof/>
                <w:color w:val="000000"/>
                <w:sz w:val="24"/>
                <w:szCs w:val="24"/>
              </w:rPr>
              <w:t>Emission Monitoring Plan (EMP)</w:t>
            </w:r>
          </w:p>
          <w:p w14:paraId="48F37BC8" w14:textId="77777777" w:rsidR="00136F80" w:rsidRPr="00D843ED" w:rsidRDefault="00136F80" w:rsidP="00136F80">
            <w:pPr>
              <w:jc w:val="center"/>
              <w:rPr>
                <w:rFonts w:ascii="Times New Roman" w:hAnsi="Times New Roman"/>
                <w:color w:val="000000"/>
                <w:sz w:val="24"/>
                <w:szCs w:val="24"/>
              </w:rPr>
            </w:pPr>
            <w:r w:rsidRPr="00D843ED">
              <w:rPr>
                <w:rFonts w:ascii="Times New Roman" w:hAnsi="Times New Roman"/>
                <w:noProof/>
                <w:color w:val="000000"/>
                <w:sz w:val="18"/>
                <w:szCs w:val="24"/>
              </w:rPr>
              <w:t>Note: 49 respondents are expected to submit 1 EMP each in a 10 year window. These values are annualized below.</w:t>
            </w:r>
          </w:p>
        </w:tc>
      </w:tr>
      <w:tr w:rsidR="00136F80" w:rsidRPr="00D843ED" w14:paraId="7C8C2958" w14:textId="77777777" w:rsidTr="00670D1D">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53BDB23"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04528132"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5</w:t>
            </w:r>
          </w:p>
        </w:tc>
        <w:tc>
          <w:tcPr>
            <w:tcW w:w="1579" w:type="dxa"/>
            <w:tcBorders>
              <w:top w:val="nil"/>
              <w:left w:val="nil"/>
              <w:bottom w:val="single" w:sz="4" w:space="0" w:color="auto"/>
              <w:right w:val="single" w:sz="4" w:space="0" w:color="auto"/>
            </w:tcBorders>
            <w:shd w:val="clear" w:color="auto" w:fill="auto"/>
            <w:noWrap/>
            <w:vAlign w:val="bottom"/>
            <w:hideMark/>
          </w:tcPr>
          <w:p w14:paraId="6C330678"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5</w:t>
            </w:r>
          </w:p>
        </w:tc>
      </w:tr>
      <w:tr w:rsidR="00136F80" w:rsidRPr="00D843ED" w14:paraId="3CE13020" w14:textId="77777777" w:rsidTr="00670D1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81B09A2"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 of Responses</w:t>
            </w:r>
            <w:r w:rsidRPr="00D843ED">
              <w:rPr>
                <w:rFonts w:ascii="Times New Roman" w:hAnsi="Times New Roman"/>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304D5EA6"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 1</w:t>
            </w:r>
          </w:p>
        </w:tc>
        <w:tc>
          <w:tcPr>
            <w:tcW w:w="1579" w:type="dxa"/>
            <w:tcBorders>
              <w:top w:val="nil"/>
              <w:left w:val="nil"/>
              <w:bottom w:val="single" w:sz="4" w:space="0" w:color="auto"/>
              <w:right w:val="single" w:sz="4" w:space="0" w:color="auto"/>
            </w:tcBorders>
            <w:shd w:val="clear" w:color="auto" w:fill="auto"/>
            <w:noWrap/>
            <w:vAlign w:val="bottom"/>
            <w:hideMark/>
          </w:tcPr>
          <w:p w14:paraId="2334D522"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1</w:t>
            </w:r>
          </w:p>
        </w:tc>
      </w:tr>
      <w:tr w:rsidR="00136F80" w:rsidRPr="00D843ED" w14:paraId="75583802" w14:textId="77777777" w:rsidTr="00670D1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6000D00"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Time per Response (hours)</w:t>
            </w:r>
          </w:p>
        </w:tc>
        <w:tc>
          <w:tcPr>
            <w:tcW w:w="1118" w:type="dxa"/>
            <w:tcBorders>
              <w:top w:val="nil"/>
              <w:left w:val="nil"/>
              <w:bottom w:val="single" w:sz="4" w:space="0" w:color="auto"/>
              <w:right w:val="single" w:sz="4" w:space="0" w:color="auto"/>
            </w:tcBorders>
            <w:shd w:val="clear" w:color="auto" w:fill="auto"/>
            <w:noWrap/>
            <w:vAlign w:val="bottom"/>
            <w:hideMark/>
          </w:tcPr>
          <w:p w14:paraId="6AFF7684"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21.5</w:t>
            </w:r>
          </w:p>
        </w:tc>
        <w:tc>
          <w:tcPr>
            <w:tcW w:w="1579" w:type="dxa"/>
            <w:tcBorders>
              <w:top w:val="nil"/>
              <w:left w:val="nil"/>
              <w:bottom w:val="single" w:sz="4" w:space="0" w:color="auto"/>
              <w:right w:val="single" w:sz="4" w:space="0" w:color="auto"/>
            </w:tcBorders>
            <w:shd w:val="clear" w:color="auto" w:fill="auto"/>
            <w:noWrap/>
            <w:vAlign w:val="bottom"/>
            <w:hideMark/>
          </w:tcPr>
          <w:p w14:paraId="657284A9"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 1</w:t>
            </w:r>
          </w:p>
        </w:tc>
      </w:tr>
      <w:tr w:rsidR="00136F80" w:rsidRPr="00D843ED" w14:paraId="19F5BF28" w14:textId="77777777" w:rsidTr="00670D1D">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14:paraId="5469A527" w14:textId="77777777" w:rsidR="00136F80" w:rsidRPr="00D843ED" w:rsidRDefault="00136F80" w:rsidP="00136F80">
            <w:pPr>
              <w:jc w:val="center"/>
              <w:rPr>
                <w:rFonts w:ascii="Times New Roman" w:hAnsi="Times New Roman"/>
                <w:noProof/>
                <w:color w:val="000000"/>
                <w:sz w:val="24"/>
                <w:szCs w:val="24"/>
              </w:rPr>
            </w:pPr>
            <w:r w:rsidRPr="00D843ED">
              <w:rPr>
                <w:rFonts w:ascii="Times New Roman" w:hAnsi="Times New Roman"/>
                <w:noProof/>
                <w:color w:val="000000"/>
                <w:sz w:val="24"/>
                <w:szCs w:val="24"/>
              </w:rPr>
              <w:t>IC 2)</w:t>
            </w:r>
            <w:r>
              <w:rPr>
                <w:rFonts w:ascii="Times New Roman" w:hAnsi="Times New Roman"/>
                <w:noProof/>
                <w:color w:val="000000"/>
                <w:sz w:val="24"/>
                <w:szCs w:val="24"/>
              </w:rPr>
              <w:t xml:space="preserve"> </w:t>
            </w:r>
            <w:r w:rsidRPr="00D843ED">
              <w:rPr>
                <w:rFonts w:ascii="Times New Roman" w:hAnsi="Times New Roman"/>
                <w:noProof/>
                <w:color w:val="000000"/>
                <w:sz w:val="24"/>
                <w:szCs w:val="24"/>
              </w:rPr>
              <w:t>Emission Report (ER)</w:t>
            </w:r>
          </w:p>
          <w:p w14:paraId="73F1AFE4" w14:textId="77777777" w:rsidR="00136F80" w:rsidRPr="00D843ED" w:rsidRDefault="00136F80" w:rsidP="00136F80">
            <w:pPr>
              <w:jc w:val="center"/>
              <w:rPr>
                <w:rFonts w:ascii="Times New Roman" w:hAnsi="Times New Roman"/>
                <w:color w:val="000000"/>
                <w:sz w:val="24"/>
                <w:szCs w:val="24"/>
              </w:rPr>
            </w:pPr>
            <w:r w:rsidRPr="00D843ED">
              <w:rPr>
                <w:rFonts w:ascii="Times New Roman" w:hAnsi="Times New Roman"/>
                <w:noProof/>
                <w:color w:val="000000"/>
                <w:sz w:val="18"/>
                <w:szCs w:val="24"/>
              </w:rPr>
              <w:t>Note: 49 respondents are expected to submit 1 ER each, annually.</w:t>
            </w:r>
          </w:p>
        </w:tc>
      </w:tr>
      <w:tr w:rsidR="00136F80" w:rsidRPr="00D843ED" w14:paraId="206EEA2C" w14:textId="77777777" w:rsidTr="00670D1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B328CB"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0B309D43"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49</w:t>
            </w:r>
          </w:p>
        </w:tc>
        <w:tc>
          <w:tcPr>
            <w:tcW w:w="1579" w:type="dxa"/>
            <w:tcBorders>
              <w:top w:val="nil"/>
              <w:left w:val="nil"/>
              <w:bottom w:val="single" w:sz="4" w:space="0" w:color="auto"/>
              <w:right w:val="single" w:sz="4" w:space="0" w:color="auto"/>
            </w:tcBorders>
            <w:shd w:val="clear" w:color="auto" w:fill="auto"/>
            <w:noWrap/>
            <w:vAlign w:val="bottom"/>
            <w:hideMark/>
          </w:tcPr>
          <w:p w14:paraId="630DB894"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 49</w:t>
            </w:r>
          </w:p>
        </w:tc>
      </w:tr>
      <w:tr w:rsidR="00136F80" w:rsidRPr="00D843ED" w14:paraId="2646D845" w14:textId="77777777" w:rsidTr="00670D1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1A5CBF"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 of Responses</w:t>
            </w:r>
            <w:r w:rsidRPr="00D843ED">
              <w:rPr>
                <w:rFonts w:ascii="Times New Roman" w:hAnsi="Times New Roman"/>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4064DF28"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78D1DE37"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 1</w:t>
            </w:r>
          </w:p>
        </w:tc>
      </w:tr>
      <w:tr w:rsidR="00136F80" w:rsidRPr="00D843ED" w14:paraId="4D7DBE66" w14:textId="77777777" w:rsidTr="00670D1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E3A550" w14:textId="77777777" w:rsidR="00136F80" w:rsidRPr="00D843ED" w:rsidRDefault="00136F80" w:rsidP="00136F80">
            <w:pPr>
              <w:rPr>
                <w:rFonts w:ascii="Times New Roman" w:hAnsi="Times New Roman"/>
                <w:b/>
                <w:bCs/>
                <w:color w:val="000000"/>
              </w:rPr>
            </w:pPr>
            <w:r w:rsidRPr="00D843ED">
              <w:rPr>
                <w:rFonts w:ascii="Times New Roman" w:hAnsi="Times New Roman"/>
                <w:b/>
                <w:bCs/>
                <w:color w:val="000000"/>
              </w:rPr>
              <w:t>Time per Response (hours)</w:t>
            </w:r>
          </w:p>
        </w:tc>
        <w:tc>
          <w:tcPr>
            <w:tcW w:w="1118" w:type="dxa"/>
            <w:tcBorders>
              <w:top w:val="nil"/>
              <w:left w:val="nil"/>
              <w:bottom w:val="single" w:sz="4" w:space="0" w:color="auto"/>
              <w:right w:val="single" w:sz="4" w:space="0" w:color="auto"/>
            </w:tcBorders>
            <w:shd w:val="clear" w:color="auto" w:fill="auto"/>
            <w:noWrap/>
            <w:vAlign w:val="bottom"/>
            <w:hideMark/>
          </w:tcPr>
          <w:p w14:paraId="6649A429"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25.2</w:t>
            </w:r>
          </w:p>
        </w:tc>
        <w:tc>
          <w:tcPr>
            <w:tcW w:w="1579" w:type="dxa"/>
            <w:tcBorders>
              <w:top w:val="nil"/>
              <w:left w:val="nil"/>
              <w:bottom w:val="single" w:sz="4" w:space="0" w:color="auto"/>
              <w:right w:val="single" w:sz="4" w:space="0" w:color="auto"/>
            </w:tcBorders>
            <w:shd w:val="clear" w:color="auto" w:fill="auto"/>
            <w:noWrap/>
            <w:vAlign w:val="bottom"/>
            <w:hideMark/>
          </w:tcPr>
          <w:p w14:paraId="322B9848"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 1</w:t>
            </w:r>
          </w:p>
        </w:tc>
      </w:tr>
      <w:tr w:rsidR="00136F80" w:rsidRPr="00D843ED" w14:paraId="10AD2848" w14:textId="77777777" w:rsidTr="00670D1D">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BFE2A64" w14:textId="77777777" w:rsidR="00136F80" w:rsidRPr="00D843ED" w:rsidRDefault="00136F80" w:rsidP="00136F80">
            <w:pPr>
              <w:jc w:val="center"/>
              <w:rPr>
                <w:rFonts w:ascii="Times New Roman" w:hAnsi="Times New Roman"/>
                <w:color w:val="000000"/>
              </w:rPr>
            </w:pPr>
            <w:r w:rsidRPr="00D843ED">
              <w:rPr>
                <w:rFonts w:ascii="Times New Roman" w:hAnsi="Times New Roman"/>
                <w:color w:val="000000"/>
              </w:rPr>
              <w:t>All ICs</w:t>
            </w:r>
          </w:p>
        </w:tc>
      </w:tr>
      <w:tr w:rsidR="00136F80" w:rsidRPr="00D843ED" w14:paraId="1CEBD78C" w14:textId="77777777" w:rsidTr="00670D1D">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EFFA3" w14:textId="77777777" w:rsidR="00136F80" w:rsidRPr="00D843ED" w:rsidRDefault="00136F80" w:rsidP="00136F80">
            <w:pPr>
              <w:rPr>
                <w:rFonts w:ascii="Times New Roman" w:hAnsi="Times New Roman"/>
                <w:b/>
                <w:bCs/>
                <w:color w:val="000000"/>
                <w:highlight w:val="yellow"/>
              </w:rPr>
            </w:pPr>
            <w:r w:rsidRPr="00D843ED">
              <w:rPr>
                <w:rFonts w:ascii="Times New Roman" w:hAnsi="Times New Roman"/>
                <w:b/>
                <w:bCs/>
                <w:color w:val="000000"/>
              </w:rPr>
              <w:t>Total # of responses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34D1F3DF"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54</w:t>
            </w:r>
          </w:p>
        </w:tc>
        <w:tc>
          <w:tcPr>
            <w:tcW w:w="1579" w:type="dxa"/>
            <w:tcBorders>
              <w:top w:val="single" w:sz="4" w:space="0" w:color="auto"/>
              <w:left w:val="nil"/>
              <w:bottom w:val="single" w:sz="4" w:space="0" w:color="auto"/>
              <w:right w:val="single" w:sz="4" w:space="0" w:color="auto"/>
            </w:tcBorders>
            <w:shd w:val="clear" w:color="auto" w:fill="auto"/>
            <w:noWrap/>
            <w:vAlign w:val="bottom"/>
          </w:tcPr>
          <w:p w14:paraId="75857BD0" w14:textId="77777777" w:rsidR="00136F80" w:rsidRPr="00D843ED" w:rsidRDefault="00136F80" w:rsidP="00136F80">
            <w:pPr>
              <w:rPr>
                <w:rFonts w:ascii="Times New Roman" w:hAnsi="Times New Roman"/>
                <w:color w:val="000000"/>
              </w:rPr>
            </w:pPr>
            <w:r w:rsidRPr="00D843ED">
              <w:rPr>
                <w:rFonts w:ascii="Times New Roman" w:hAnsi="Times New Roman"/>
                <w:color w:val="000000"/>
              </w:rPr>
              <w:t>54</w:t>
            </w:r>
          </w:p>
        </w:tc>
      </w:tr>
      <w:tr w:rsidR="00136F80" w:rsidRPr="00D843ED" w14:paraId="1F6297D9" w14:textId="77777777" w:rsidTr="00670D1D">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EB8C870" w14:textId="77777777" w:rsidR="00136F80" w:rsidRPr="00D843ED" w:rsidRDefault="00136F80" w:rsidP="00136F80">
            <w:pPr>
              <w:rPr>
                <w:rFonts w:ascii="Times New Roman" w:hAnsi="Times New Roman"/>
                <w:b/>
                <w:bCs/>
                <w:color w:val="000000"/>
                <w:highlight w:val="yellow"/>
              </w:rPr>
            </w:pPr>
            <w:r w:rsidRPr="00D843ED">
              <w:rPr>
                <w:rFonts w:ascii="Times New Roman" w:hAnsi="Times New Roman"/>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31EE3B78" w14:textId="77777777" w:rsidR="00136F80" w:rsidRPr="00D843ED" w:rsidRDefault="00136F80" w:rsidP="00136F80">
            <w:pPr>
              <w:rPr>
                <w:rFonts w:ascii="Times New Roman" w:hAnsi="Times New Roman"/>
                <w:color w:val="000000"/>
              </w:rPr>
            </w:pPr>
            <w:r>
              <w:rPr>
                <w:rFonts w:ascii="Times New Roman" w:hAnsi="Times New Roman"/>
                <w:color w:val="000000"/>
              </w:rPr>
              <w:t>1,397</w:t>
            </w:r>
          </w:p>
        </w:tc>
        <w:tc>
          <w:tcPr>
            <w:tcW w:w="1579" w:type="dxa"/>
            <w:tcBorders>
              <w:top w:val="nil"/>
              <w:left w:val="nil"/>
              <w:bottom w:val="single" w:sz="4" w:space="0" w:color="auto"/>
              <w:right w:val="single" w:sz="4" w:space="0" w:color="auto"/>
            </w:tcBorders>
            <w:shd w:val="clear" w:color="auto" w:fill="auto"/>
            <w:noWrap/>
            <w:vAlign w:val="bottom"/>
          </w:tcPr>
          <w:p w14:paraId="1B6C28B6" w14:textId="77777777" w:rsidR="00136F80" w:rsidRPr="00D843ED" w:rsidRDefault="00136F80" w:rsidP="00136F80">
            <w:pPr>
              <w:rPr>
                <w:rFonts w:ascii="Times New Roman" w:hAnsi="Times New Roman"/>
                <w:color w:val="000000"/>
              </w:rPr>
            </w:pPr>
            <w:r>
              <w:rPr>
                <w:rFonts w:ascii="Times New Roman" w:hAnsi="Times New Roman"/>
                <w:color w:val="000000"/>
              </w:rPr>
              <w:t>54</w:t>
            </w:r>
          </w:p>
        </w:tc>
      </w:tr>
    </w:tbl>
    <w:p w14:paraId="05AD4FC9" w14:textId="29952697" w:rsidR="00136F80"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59F63FED" w14:textId="5B90F660" w:rsidR="00136F80"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6348B7A2" w14:textId="7E01FC99" w:rsidR="00136F80"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2D446328" w14:textId="63155338" w:rsidR="00136F80"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442668A1" w14:textId="683D8D33" w:rsidR="00136F80"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1C5EBF16" w14:textId="77777777" w:rsidR="00136F80" w:rsidRPr="00F251F4" w:rsidRDefault="00136F80" w:rsidP="00670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180482EE" w14:textId="6C852A32" w:rsidR="00C64928" w:rsidRDefault="00C64928" w:rsidP="00F251F4">
      <w:pPr>
        <w:pStyle w:val="ListParagraph"/>
        <w:rPr>
          <w:rFonts w:ascii="Times New Roman" w:hAnsi="Times New Roman"/>
        </w:rPr>
      </w:pPr>
    </w:p>
    <w:p w14:paraId="1E0A9093" w14:textId="77777777" w:rsidR="00476175" w:rsidRPr="00C116CE" w:rsidRDefault="00476175" w:rsidP="0047617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997F4A7"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2392D3D5"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76734200"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3B931FEE"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64D41CE1"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1D3FB388"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71EF9D8D"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2B627385"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05BCEF5D"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4B5DCA39"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7E4ECD1D"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39491141"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5D545E01"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331D0989"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4BC93903"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7056DC14"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04746DD1" w14:textId="77777777" w:rsidR="00136F80" w:rsidRDefault="00136F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59EB24A1" w14:textId="14E3DBD0" w:rsidR="00476175" w:rsidRDefault="00E20E3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r w:rsidRPr="00C116CE">
        <w:rPr>
          <w:rFonts w:ascii="Times New Roman" w:hAnsi="Times New Roman"/>
          <w:color w:val="auto"/>
          <w:u w:val="single"/>
        </w:rPr>
        <w:t>Explanation of how ER and EMP burdens were estimated:</w:t>
      </w:r>
    </w:p>
    <w:p w14:paraId="2EE7BAD3" w14:textId="77777777" w:rsidR="00530FEF" w:rsidRPr="00C116CE" w:rsidRDefault="00530FE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1F648180" w14:textId="3BD128B1" w:rsidR="00D57977" w:rsidRDefault="00BA7B69" w:rsidP="00D57977">
      <w:pPr>
        <w:jc w:val="both"/>
        <w:rPr>
          <w:rFonts w:ascii="Times New Roman" w:hAnsi="Times New Roman"/>
          <w:sz w:val="24"/>
          <w:szCs w:val="24"/>
        </w:rPr>
      </w:pPr>
      <w:r>
        <w:rPr>
          <w:rFonts w:ascii="Times New Roman" w:hAnsi="Times New Roman"/>
          <w:sz w:val="24"/>
          <w:szCs w:val="24"/>
        </w:rPr>
        <w:t>The</w:t>
      </w:r>
      <w:r w:rsidR="00773840" w:rsidRPr="00925966">
        <w:rPr>
          <w:rFonts w:ascii="Times New Roman" w:hAnsi="Times New Roman"/>
          <w:sz w:val="24"/>
          <w:szCs w:val="24"/>
        </w:rPr>
        <w:t xml:space="preserve"> </w:t>
      </w:r>
      <w:r w:rsidR="00F80416" w:rsidRPr="00925966">
        <w:rPr>
          <w:rFonts w:ascii="Times New Roman" w:hAnsi="Times New Roman"/>
          <w:sz w:val="24"/>
          <w:szCs w:val="24"/>
        </w:rPr>
        <w:t xml:space="preserve">number of </w:t>
      </w:r>
      <w:r w:rsidRPr="00BA7B69">
        <w:rPr>
          <w:rFonts w:ascii="Times New Roman" w:hAnsi="Times New Roman"/>
          <w:sz w:val="24"/>
          <w:szCs w:val="24"/>
        </w:rPr>
        <w:t xml:space="preserve">respondents </w:t>
      </w:r>
      <w:r>
        <w:rPr>
          <w:rFonts w:ascii="Times New Roman" w:hAnsi="Times New Roman"/>
          <w:sz w:val="24"/>
          <w:szCs w:val="24"/>
        </w:rPr>
        <w:t xml:space="preserve">was assessed using a global aircraft registration database </w:t>
      </w:r>
      <w:r w:rsidR="0060198E">
        <w:rPr>
          <w:rFonts w:ascii="Times New Roman" w:hAnsi="Times New Roman"/>
          <w:sz w:val="24"/>
          <w:szCs w:val="24"/>
        </w:rPr>
        <w:t>(</w:t>
      </w:r>
      <w:r>
        <w:rPr>
          <w:rFonts w:ascii="Times New Roman" w:hAnsi="Times New Roman"/>
          <w:sz w:val="24"/>
          <w:szCs w:val="24"/>
        </w:rPr>
        <w:t>ASCEND, 2015</w:t>
      </w:r>
      <w:r w:rsidR="0060198E">
        <w:rPr>
          <w:rFonts w:ascii="Times New Roman" w:hAnsi="Times New Roman"/>
          <w:sz w:val="24"/>
          <w:szCs w:val="24"/>
        </w:rPr>
        <w:t>)</w:t>
      </w:r>
      <w:r>
        <w:rPr>
          <w:rFonts w:ascii="Times New Roman" w:hAnsi="Times New Roman"/>
          <w:sz w:val="24"/>
          <w:szCs w:val="24"/>
        </w:rPr>
        <w:t xml:space="preserve"> to identify the potential number of </w:t>
      </w:r>
      <w:r w:rsidR="00925966">
        <w:rPr>
          <w:rFonts w:ascii="Times New Roman" w:hAnsi="Times New Roman"/>
          <w:sz w:val="24"/>
          <w:szCs w:val="24"/>
        </w:rPr>
        <w:t>U</w:t>
      </w:r>
      <w:r w:rsidR="0060198E">
        <w:rPr>
          <w:rFonts w:ascii="Times New Roman" w:hAnsi="Times New Roman"/>
          <w:sz w:val="24"/>
          <w:szCs w:val="24"/>
        </w:rPr>
        <w:t>.</w:t>
      </w:r>
      <w:r w:rsidR="00925966">
        <w:rPr>
          <w:rFonts w:ascii="Times New Roman" w:hAnsi="Times New Roman"/>
          <w:sz w:val="24"/>
          <w:szCs w:val="24"/>
        </w:rPr>
        <w:t>S</w:t>
      </w:r>
      <w:r w:rsidR="0060198E">
        <w:rPr>
          <w:rFonts w:ascii="Times New Roman" w:hAnsi="Times New Roman"/>
          <w:sz w:val="24"/>
          <w:szCs w:val="24"/>
        </w:rPr>
        <w:t>.</w:t>
      </w:r>
      <w:r w:rsidR="00925966">
        <w:rPr>
          <w:rFonts w:ascii="Times New Roman" w:hAnsi="Times New Roman"/>
          <w:sz w:val="24"/>
          <w:szCs w:val="24"/>
        </w:rPr>
        <w:t xml:space="preserve"> </w:t>
      </w:r>
      <w:r w:rsidR="0060198E">
        <w:rPr>
          <w:rFonts w:ascii="Times New Roman" w:hAnsi="Times New Roman"/>
          <w:sz w:val="24"/>
          <w:szCs w:val="24"/>
        </w:rPr>
        <w:t>aircraft</w:t>
      </w:r>
      <w:r>
        <w:rPr>
          <w:rFonts w:ascii="Times New Roman" w:hAnsi="Times New Roman"/>
          <w:sz w:val="24"/>
          <w:szCs w:val="24"/>
        </w:rPr>
        <w:t xml:space="preserve"> operators subject to </w:t>
      </w:r>
      <w:r w:rsidR="005243DE">
        <w:rPr>
          <w:rFonts w:ascii="Times New Roman" w:hAnsi="Times New Roman"/>
          <w:sz w:val="24"/>
          <w:szCs w:val="24"/>
        </w:rPr>
        <w:t>Annex 16, Vol. IV</w:t>
      </w:r>
      <w:r>
        <w:rPr>
          <w:rFonts w:ascii="Times New Roman" w:hAnsi="Times New Roman"/>
          <w:sz w:val="24"/>
          <w:szCs w:val="24"/>
        </w:rPr>
        <w:t xml:space="preserve"> (i.e., with annual emissions on international flights greater than 10,000 tonnes). </w:t>
      </w:r>
      <w:r w:rsidR="0060198E">
        <w:rPr>
          <w:rFonts w:ascii="Times New Roman" w:hAnsi="Times New Roman"/>
          <w:sz w:val="24"/>
          <w:szCs w:val="24"/>
        </w:rPr>
        <w:t>For this estimate, o</w:t>
      </w:r>
      <w:r>
        <w:rPr>
          <w:rFonts w:ascii="Times New Roman" w:hAnsi="Times New Roman"/>
          <w:sz w:val="24"/>
          <w:szCs w:val="24"/>
        </w:rPr>
        <w:t>perators’ annual emissions were assumed to grow at the average rate of the international aviation industry resulting in several new entrant operators (i.e., for which emissions gr</w:t>
      </w:r>
      <w:r w:rsidR="00925966">
        <w:rPr>
          <w:rFonts w:ascii="Times New Roman" w:hAnsi="Times New Roman"/>
          <w:sz w:val="24"/>
          <w:szCs w:val="24"/>
        </w:rPr>
        <w:t>o</w:t>
      </w:r>
      <w:r>
        <w:rPr>
          <w:rFonts w:ascii="Times New Roman" w:hAnsi="Times New Roman"/>
          <w:sz w:val="24"/>
          <w:szCs w:val="24"/>
        </w:rPr>
        <w:t xml:space="preserve">w above the 10,000 tonne threshold in a given year). </w:t>
      </w:r>
      <w:r w:rsidR="00D57977">
        <w:rPr>
          <w:rFonts w:ascii="Times New Roman" w:hAnsi="Times New Roman"/>
          <w:sz w:val="24"/>
          <w:szCs w:val="24"/>
        </w:rPr>
        <w:t>Operators were also categorized as “</w:t>
      </w:r>
      <w:r w:rsidR="00D57977" w:rsidRPr="00925966">
        <w:rPr>
          <w:rFonts w:ascii="Times New Roman" w:hAnsi="Times New Roman"/>
          <w:i/>
          <w:sz w:val="24"/>
          <w:szCs w:val="24"/>
        </w:rPr>
        <w:t>Operator using a Fuel Use Monitoring Method</w:t>
      </w:r>
      <w:r w:rsidR="00D57977">
        <w:rPr>
          <w:rFonts w:ascii="Times New Roman" w:hAnsi="Times New Roman"/>
          <w:sz w:val="24"/>
          <w:szCs w:val="24"/>
        </w:rPr>
        <w:t>” and “</w:t>
      </w:r>
      <w:r w:rsidR="00D57977" w:rsidRPr="00925966">
        <w:rPr>
          <w:rFonts w:ascii="Times New Roman" w:hAnsi="Times New Roman"/>
          <w:i/>
          <w:sz w:val="24"/>
          <w:szCs w:val="24"/>
        </w:rPr>
        <w:t>Operator using a Simplified Monitoring method (i.e., ICAO CORSIA CERT)</w:t>
      </w:r>
      <w:r w:rsidR="00D57977">
        <w:rPr>
          <w:rFonts w:ascii="Times New Roman" w:hAnsi="Times New Roman"/>
          <w:sz w:val="24"/>
          <w:szCs w:val="24"/>
        </w:rPr>
        <w:t>” depending on their level of emissions</w:t>
      </w:r>
      <w:r w:rsidR="00925966">
        <w:rPr>
          <w:rFonts w:ascii="Times New Roman" w:hAnsi="Times New Roman"/>
          <w:sz w:val="24"/>
          <w:szCs w:val="24"/>
        </w:rPr>
        <w:t xml:space="preserve"> and in accordance with Annex 16 Volume IV requirements. </w:t>
      </w:r>
      <w:r w:rsidR="00D57977">
        <w:rPr>
          <w:rFonts w:ascii="Times New Roman" w:hAnsi="Times New Roman"/>
          <w:sz w:val="24"/>
          <w:szCs w:val="24"/>
        </w:rPr>
        <w:t>Note: Operators eligible to use simplified monitoring procedures are expected to experience lower cost to generate the</w:t>
      </w:r>
      <w:r w:rsidR="00925966">
        <w:rPr>
          <w:rFonts w:ascii="Times New Roman" w:hAnsi="Times New Roman"/>
          <w:sz w:val="24"/>
          <w:szCs w:val="24"/>
        </w:rPr>
        <w:t>ir</w:t>
      </w:r>
      <w:r w:rsidR="00D57977">
        <w:rPr>
          <w:rFonts w:ascii="Times New Roman" w:hAnsi="Times New Roman"/>
          <w:sz w:val="24"/>
          <w:szCs w:val="24"/>
        </w:rPr>
        <w:t xml:space="preserve"> Emissions Report. </w:t>
      </w:r>
    </w:p>
    <w:p w14:paraId="26CBCB34" w14:textId="77777777" w:rsidR="005D329E" w:rsidRDefault="005D329E" w:rsidP="00D57977">
      <w:pPr>
        <w:jc w:val="both"/>
        <w:rPr>
          <w:rFonts w:ascii="Times New Roman" w:hAnsi="Times New Roman"/>
          <w:sz w:val="24"/>
          <w:szCs w:val="24"/>
        </w:rPr>
      </w:pPr>
    </w:p>
    <w:p w14:paraId="7E789C41" w14:textId="470397BE" w:rsidR="008B572C" w:rsidRDefault="008B572C" w:rsidP="00F72251">
      <w:pPr>
        <w:jc w:val="both"/>
        <w:rPr>
          <w:rFonts w:ascii="Times New Roman" w:hAnsi="Times New Roman"/>
          <w:sz w:val="24"/>
          <w:szCs w:val="24"/>
        </w:rPr>
      </w:pPr>
      <w:r>
        <w:rPr>
          <w:rFonts w:ascii="Times New Roman" w:hAnsi="Times New Roman"/>
          <w:sz w:val="24"/>
          <w:szCs w:val="24"/>
        </w:rPr>
        <w:t>The hourly rate</w:t>
      </w:r>
      <w:r w:rsidR="00D3712E">
        <w:rPr>
          <w:rFonts w:ascii="Times New Roman" w:hAnsi="Times New Roman"/>
          <w:sz w:val="24"/>
          <w:szCs w:val="24"/>
        </w:rPr>
        <w:t>s</w:t>
      </w:r>
      <w:r>
        <w:rPr>
          <w:rFonts w:ascii="Times New Roman" w:hAnsi="Times New Roman"/>
          <w:sz w:val="24"/>
          <w:szCs w:val="24"/>
        </w:rPr>
        <w:t xml:space="preserve"> for </w:t>
      </w:r>
      <w:r w:rsidR="00D3712E">
        <w:rPr>
          <w:rFonts w:ascii="Times New Roman" w:hAnsi="Times New Roman"/>
          <w:sz w:val="24"/>
          <w:szCs w:val="24"/>
        </w:rPr>
        <w:t xml:space="preserve">the </w:t>
      </w:r>
      <w:r>
        <w:rPr>
          <w:rFonts w:ascii="Times New Roman" w:hAnsi="Times New Roman"/>
          <w:sz w:val="24"/>
          <w:szCs w:val="24"/>
        </w:rPr>
        <w:t xml:space="preserve">preparation and submission of an Emissions Monitoring Plan are based on </w:t>
      </w:r>
      <w:r w:rsidR="00D3712E">
        <w:rPr>
          <w:rFonts w:ascii="Times New Roman" w:hAnsi="Times New Roman"/>
          <w:sz w:val="24"/>
          <w:szCs w:val="24"/>
        </w:rPr>
        <w:t xml:space="preserve">a mix of </w:t>
      </w:r>
      <w:r w:rsidR="00F72251" w:rsidRPr="00F72251">
        <w:rPr>
          <w:rFonts w:ascii="Times New Roman" w:hAnsi="Times New Roman"/>
          <w:sz w:val="24"/>
          <w:szCs w:val="24"/>
        </w:rPr>
        <w:t>wage rate</w:t>
      </w:r>
      <w:r w:rsidR="00F72251">
        <w:rPr>
          <w:rFonts w:ascii="Times New Roman" w:hAnsi="Times New Roman"/>
          <w:sz w:val="24"/>
          <w:szCs w:val="24"/>
        </w:rPr>
        <w:t xml:space="preserve">s </w:t>
      </w:r>
      <w:r w:rsidR="00D3712E">
        <w:rPr>
          <w:rFonts w:ascii="Times New Roman" w:hAnsi="Times New Roman"/>
          <w:sz w:val="24"/>
          <w:szCs w:val="24"/>
        </w:rPr>
        <w:t>that include; a</w:t>
      </w:r>
      <w:r w:rsidR="00F72251">
        <w:rPr>
          <w:rFonts w:ascii="Times New Roman" w:hAnsi="Times New Roman"/>
          <w:sz w:val="24"/>
          <w:szCs w:val="24"/>
        </w:rPr>
        <w:t xml:space="preserve"> 50% burden on </w:t>
      </w:r>
      <w:r w:rsidR="00F72251" w:rsidRPr="00F72251">
        <w:rPr>
          <w:rFonts w:ascii="Times New Roman" w:hAnsi="Times New Roman"/>
          <w:sz w:val="24"/>
          <w:szCs w:val="24"/>
        </w:rPr>
        <w:t>General and Operations Managers</w:t>
      </w:r>
      <w:r w:rsidR="00F72251">
        <w:rPr>
          <w:rFonts w:ascii="Times New Roman" w:hAnsi="Times New Roman"/>
          <w:sz w:val="24"/>
          <w:szCs w:val="24"/>
        </w:rPr>
        <w:t xml:space="preserve"> (</w:t>
      </w:r>
      <w:r w:rsidR="00F72251" w:rsidRPr="00F72251">
        <w:rPr>
          <w:rFonts w:ascii="Times New Roman" w:hAnsi="Times New Roman"/>
          <w:sz w:val="24"/>
          <w:szCs w:val="24"/>
        </w:rPr>
        <w:t>11-1021</w:t>
      </w:r>
      <w:r w:rsidR="00F72251">
        <w:rPr>
          <w:rFonts w:ascii="Times New Roman" w:hAnsi="Times New Roman"/>
          <w:sz w:val="24"/>
          <w:szCs w:val="24"/>
        </w:rPr>
        <w:t xml:space="preserve">) with hourly rate of $59.35 and 50 % burden on a </w:t>
      </w:r>
      <w:r w:rsidR="00F72251" w:rsidRPr="00F72251">
        <w:rPr>
          <w:rFonts w:ascii="Times New Roman" w:hAnsi="Times New Roman"/>
          <w:sz w:val="24"/>
          <w:szCs w:val="24"/>
        </w:rPr>
        <w:t>Management Analysts</w:t>
      </w:r>
      <w:r w:rsidR="00F72251">
        <w:rPr>
          <w:rFonts w:ascii="Times New Roman" w:hAnsi="Times New Roman"/>
          <w:sz w:val="24"/>
          <w:szCs w:val="24"/>
        </w:rPr>
        <w:t xml:space="preserve"> (</w:t>
      </w:r>
      <w:r w:rsidR="00F72251" w:rsidRPr="00F72251">
        <w:rPr>
          <w:rFonts w:ascii="Times New Roman" w:hAnsi="Times New Roman"/>
          <w:sz w:val="24"/>
          <w:szCs w:val="24"/>
        </w:rPr>
        <w:t>13-1110</w:t>
      </w:r>
      <w:r w:rsidR="00F72251">
        <w:rPr>
          <w:rFonts w:ascii="Times New Roman" w:hAnsi="Times New Roman"/>
          <w:sz w:val="24"/>
          <w:szCs w:val="24"/>
        </w:rPr>
        <w:t xml:space="preserve">) with hourly rate of $44.92. The fully loaded rate </w:t>
      </w:r>
      <w:r w:rsidR="00C64928">
        <w:rPr>
          <w:rFonts w:ascii="Times New Roman" w:hAnsi="Times New Roman"/>
          <w:sz w:val="24"/>
          <w:szCs w:val="24"/>
        </w:rPr>
        <w:t xml:space="preserve">of $74.96 </w:t>
      </w:r>
      <w:r w:rsidR="00F72251">
        <w:rPr>
          <w:rFonts w:ascii="Times New Roman" w:hAnsi="Times New Roman"/>
          <w:sz w:val="24"/>
          <w:szCs w:val="24"/>
        </w:rPr>
        <w:t xml:space="preserve">was calculated using </w:t>
      </w:r>
      <w:r w:rsidR="00D3712E">
        <w:rPr>
          <w:rFonts w:ascii="Times New Roman" w:hAnsi="Times New Roman"/>
          <w:sz w:val="24"/>
          <w:szCs w:val="24"/>
        </w:rPr>
        <w:t xml:space="preserve">a </w:t>
      </w:r>
      <w:r w:rsidR="00F72251">
        <w:rPr>
          <w:rFonts w:ascii="Times New Roman" w:hAnsi="Times New Roman"/>
          <w:sz w:val="24"/>
          <w:szCs w:val="24"/>
        </w:rPr>
        <w:t>multiplier of 1.44 based on the United States average of wage and salaries and benefits for Private industry workers</w:t>
      </w:r>
      <w:r w:rsidR="007972A1">
        <w:rPr>
          <w:rFonts w:ascii="Times New Roman" w:hAnsi="Times New Roman"/>
          <w:sz w:val="24"/>
          <w:szCs w:val="24"/>
        </w:rPr>
        <w:t xml:space="preserve"> [U</w:t>
      </w:r>
      <w:r w:rsidR="00804A6A">
        <w:rPr>
          <w:rFonts w:ascii="Times New Roman" w:hAnsi="Times New Roman"/>
          <w:sz w:val="24"/>
          <w:szCs w:val="24"/>
        </w:rPr>
        <w:t>.</w:t>
      </w:r>
      <w:r w:rsidR="007972A1">
        <w:rPr>
          <w:rFonts w:ascii="Times New Roman" w:hAnsi="Times New Roman"/>
          <w:sz w:val="24"/>
          <w:szCs w:val="24"/>
        </w:rPr>
        <w:t>S</w:t>
      </w:r>
      <w:r w:rsidR="00804A6A">
        <w:rPr>
          <w:rFonts w:ascii="Times New Roman" w:hAnsi="Times New Roman"/>
          <w:sz w:val="24"/>
          <w:szCs w:val="24"/>
        </w:rPr>
        <w:t>.</w:t>
      </w:r>
      <w:r w:rsidR="007972A1">
        <w:rPr>
          <w:rFonts w:ascii="Times New Roman" w:hAnsi="Times New Roman"/>
          <w:sz w:val="24"/>
          <w:szCs w:val="24"/>
        </w:rPr>
        <w:t xml:space="preserve"> BLS 2018]</w:t>
      </w:r>
      <w:r w:rsidR="00F72251">
        <w:rPr>
          <w:rFonts w:ascii="Times New Roman" w:hAnsi="Times New Roman"/>
          <w:sz w:val="24"/>
          <w:szCs w:val="24"/>
        </w:rPr>
        <w:t xml:space="preserve">. </w:t>
      </w:r>
    </w:p>
    <w:p w14:paraId="0DF3CD55" w14:textId="77777777" w:rsidR="008B572C" w:rsidRDefault="008B572C" w:rsidP="00D57977">
      <w:pPr>
        <w:jc w:val="both"/>
        <w:rPr>
          <w:rFonts w:ascii="Times New Roman" w:hAnsi="Times New Roman"/>
          <w:sz w:val="24"/>
          <w:szCs w:val="24"/>
        </w:rPr>
      </w:pPr>
    </w:p>
    <w:p w14:paraId="0A4BB18A" w14:textId="77777777" w:rsidR="009260B3" w:rsidRDefault="009260B3" w:rsidP="00D57977">
      <w:pPr>
        <w:jc w:val="both"/>
        <w:rPr>
          <w:rFonts w:ascii="Times New Roman" w:hAnsi="Times New Roman"/>
          <w:sz w:val="24"/>
          <w:szCs w:val="24"/>
        </w:rPr>
      </w:pPr>
    </w:p>
    <w:p w14:paraId="361D632E" w14:textId="39D52F41" w:rsidR="00105F8E" w:rsidRPr="007A607D" w:rsidRDefault="0004749E" w:rsidP="00105F8E">
      <w:pPr>
        <w:rPr>
          <w:rFonts w:ascii="Times New Roman" w:hAnsi="Times New Roman"/>
          <w:b/>
          <w:sz w:val="24"/>
          <w:szCs w:val="24"/>
        </w:rPr>
      </w:pPr>
      <w:r w:rsidRPr="007A607D">
        <w:rPr>
          <w:rFonts w:ascii="Times New Roman" w:hAnsi="Times New Roman"/>
          <w:bCs/>
          <w:sz w:val="24"/>
          <w:szCs w:val="24"/>
        </w:rPr>
        <w:t xml:space="preserve">13. </w:t>
      </w:r>
      <w:r w:rsidRPr="007A607D">
        <w:rPr>
          <w:rFonts w:ascii="Times New Roman" w:hAnsi="Times New Roman"/>
          <w:bCs/>
          <w:sz w:val="24"/>
          <w:szCs w:val="24"/>
          <w:u w:val="single"/>
        </w:rPr>
        <w:t>Estimate of total annual costs to respondents</w:t>
      </w:r>
      <w:r w:rsidR="00105F8E" w:rsidRPr="007A607D">
        <w:rPr>
          <w:rFonts w:ascii="Times New Roman" w:hAnsi="Times New Roman"/>
          <w:b/>
          <w:bCs/>
          <w:sz w:val="24"/>
          <w:szCs w:val="24"/>
          <w:u w:val="single"/>
        </w:rPr>
        <w:t>.</w:t>
      </w:r>
      <w:r w:rsidR="00F200EA">
        <w:rPr>
          <w:rFonts w:ascii="Times New Roman" w:hAnsi="Times New Roman"/>
          <w:b/>
          <w:bCs/>
          <w:sz w:val="24"/>
          <w:szCs w:val="24"/>
        </w:rPr>
        <w:t xml:space="preserve"> </w:t>
      </w:r>
      <w:r w:rsidR="002B5F72" w:rsidRPr="007A607D">
        <w:rPr>
          <w:rFonts w:ascii="Times New Roman" w:hAnsi="Times New Roman"/>
          <w:b/>
          <w:i/>
          <w:sz w:val="24"/>
          <w:szCs w:val="24"/>
        </w:rPr>
        <w:t>Provide an estimate of the total annual cost burden to respondents or recordkeepers resulting from the collection of information.</w:t>
      </w:r>
      <w:r w:rsidR="00F200EA">
        <w:rPr>
          <w:rFonts w:ascii="Times New Roman" w:hAnsi="Times New Roman"/>
          <w:b/>
          <w:i/>
          <w:sz w:val="24"/>
          <w:szCs w:val="24"/>
        </w:rPr>
        <w:t xml:space="preserve"> </w:t>
      </w:r>
      <w:r w:rsidR="002B5F72" w:rsidRPr="007A607D">
        <w:rPr>
          <w:rFonts w:ascii="Times New Roman" w:hAnsi="Times New Roman"/>
          <w:b/>
          <w:i/>
          <w:sz w:val="24"/>
          <w:szCs w:val="24"/>
        </w:rPr>
        <w:t>(Do not include the costs of any hour burden shown in items 12 and 14).</w:t>
      </w:r>
    </w:p>
    <w:p w14:paraId="2072AA76" w14:textId="77777777" w:rsidR="00F53FB7" w:rsidRPr="009C24D9" w:rsidRDefault="00F53FB7" w:rsidP="00F53FB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rPr>
      </w:pPr>
      <w:r w:rsidRPr="007A607D">
        <w:rPr>
          <w:rFonts w:ascii="Times New Roman" w:hAnsi="Times New Roman"/>
        </w:rPr>
        <w:t xml:space="preserve"> </w:t>
      </w:r>
    </w:p>
    <w:p w14:paraId="6A024708" w14:textId="4DAD2A59" w:rsidR="00105F8E" w:rsidRPr="007A607D" w:rsidRDefault="002B5F72" w:rsidP="00F53FB7">
      <w:pPr>
        <w:numPr>
          <w:ilvl w:val="0"/>
          <w:numId w:val="3"/>
        </w:numPr>
        <w:tabs>
          <w:tab w:val="clear" w:pos="1440"/>
          <w:tab w:val="num" w:pos="720"/>
        </w:tabs>
        <w:ind w:left="720"/>
        <w:rPr>
          <w:rFonts w:ascii="Times New Roman" w:hAnsi="Times New Roman"/>
          <w:b/>
          <w:i/>
          <w:sz w:val="24"/>
          <w:szCs w:val="24"/>
        </w:rPr>
      </w:pPr>
      <w:r w:rsidRPr="009C24D9">
        <w:rPr>
          <w:rFonts w:ascii="Times New Roman" w:hAnsi="Times New Roman"/>
          <w:b/>
          <w:i/>
          <w:sz w:val="24"/>
          <w:szCs w:val="24"/>
        </w:rPr>
        <w:t>Include a breakdown for total capital/start-up costs and operation/maintenance.</w:t>
      </w:r>
      <w:r w:rsidR="00F53FB7" w:rsidRPr="009C24D9">
        <w:rPr>
          <w:rFonts w:ascii="Times New Roman" w:hAnsi="Times New Roman"/>
          <w:b/>
          <w:i/>
          <w:sz w:val="24"/>
          <w:szCs w:val="24"/>
        </w:rPr>
        <w:t xml:space="preserve"> </w:t>
      </w:r>
      <w:r w:rsidRPr="009C24D9">
        <w:rPr>
          <w:rFonts w:ascii="Times New Roman" w:hAnsi="Times New Roman"/>
          <w:b/>
          <w:i/>
          <w:sz w:val="24"/>
          <w:szCs w:val="24"/>
        </w:rPr>
        <w:t>The cost estimates should be split into two components: (a) a total capital and start-up cost component (annualized over it expected useful life); and (b) a total operation and maintenance and purchase of services component.</w:t>
      </w:r>
      <w:r w:rsidR="00F200EA">
        <w:rPr>
          <w:rFonts w:ascii="Times New Roman" w:hAnsi="Times New Roman"/>
          <w:b/>
          <w:i/>
          <w:sz w:val="24"/>
          <w:szCs w:val="24"/>
        </w:rPr>
        <w:t xml:space="preserve"> </w:t>
      </w:r>
      <w:bookmarkStart w:id="1" w:name="_Hlk528920516"/>
      <w:r w:rsidRPr="009C24D9">
        <w:rPr>
          <w:rFonts w:ascii="Times New Roman" w:hAnsi="Times New Roman"/>
          <w:b/>
          <w:i/>
          <w:sz w:val="24"/>
          <w:szCs w:val="24"/>
        </w:rPr>
        <w:t xml:space="preserve">The </w:t>
      </w:r>
      <w:r w:rsidRPr="007A607D">
        <w:rPr>
          <w:rFonts w:ascii="Times New Roman" w:hAnsi="Times New Roman"/>
          <w:b/>
          <w:i/>
          <w:sz w:val="24"/>
          <w:szCs w:val="24"/>
        </w:rPr>
        <w:t>estimates should take into account costs associated with generating, maintaining, and disclosing or providing the information.</w:t>
      </w:r>
      <w:bookmarkEnd w:id="1"/>
      <w:r w:rsidR="00F200EA">
        <w:rPr>
          <w:rFonts w:ascii="Times New Roman" w:hAnsi="Times New Roman"/>
          <w:b/>
          <w:i/>
          <w:sz w:val="24"/>
          <w:szCs w:val="24"/>
        </w:rPr>
        <w:t xml:space="preserve"> </w:t>
      </w:r>
      <w:r w:rsidRPr="007A607D">
        <w:rPr>
          <w:rFonts w:ascii="Times New Roman" w:hAnsi="Times New Roman"/>
          <w:b/>
          <w:i/>
          <w:sz w:val="24"/>
          <w:szCs w:val="24"/>
        </w:rPr>
        <w:t>Include descriptions of methods used to estimate major costs factors including system and technology acquisition, expected useful life of capital equipment, the discount rate(s), and the time period over which costs will be incurred.</w:t>
      </w:r>
      <w:r w:rsidR="00F200EA">
        <w:rPr>
          <w:rFonts w:ascii="Times New Roman" w:hAnsi="Times New Roman"/>
          <w:b/>
          <w:i/>
          <w:sz w:val="24"/>
          <w:szCs w:val="24"/>
        </w:rPr>
        <w:t xml:space="preserve"> </w:t>
      </w:r>
      <w:r w:rsidRPr="007A607D">
        <w:rPr>
          <w:rFonts w:ascii="Times New Roman" w:hAnsi="Times New Roman"/>
          <w:b/>
          <w:i/>
          <w:sz w:val="24"/>
          <w:szCs w:val="24"/>
        </w:rPr>
        <w:t>Capital and start-up costs include, among other items, preparations for collecting information such as purchasing computers and software; monitoring, sampling, drilling and testing equipment; and record storage facilities.</w:t>
      </w:r>
      <w:r w:rsidR="00F53FB7" w:rsidRPr="007A607D">
        <w:rPr>
          <w:rFonts w:ascii="Times New Roman" w:hAnsi="Times New Roman"/>
          <w:b/>
          <w:i/>
          <w:sz w:val="24"/>
          <w:szCs w:val="24"/>
        </w:rPr>
        <w:br/>
      </w:r>
    </w:p>
    <w:p w14:paraId="746BF9C3" w14:textId="2F6DEA6F" w:rsidR="00105F8E" w:rsidRPr="007A607D" w:rsidRDefault="002B5F72" w:rsidP="00F53FB7">
      <w:pPr>
        <w:numPr>
          <w:ilvl w:val="0"/>
          <w:numId w:val="3"/>
        </w:numPr>
        <w:tabs>
          <w:tab w:val="clear" w:pos="1440"/>
          <w:tab w:val="num" w:pos="720"/>
        </w:tabs>
        <w:ind w:left="720"/>
        <w:rPr>
          <w:rFonts w:ascii="Times New Roman" w:hAnsi="Times New Roman"/>
          <w:b/>
          <w:i/>
          <w:sz w:val="24"/>
          <w:szCs w:val="24"/>
        </w:rPr>
      </w:pPr>
      <w:r w:rsidRPr="007A607D">
        <w:rPr>
          <w:rFonts w:ascii="Times New Roman" w:hAnsi="Times New Roman"/>
          <w:b/>
          <w:i/>
          <w:sz w:val="24"/>
          <w:szCs w:val="24"/>
        </w:rPr>
        <w:t>If cost estimates are expected to vary widely, agencies should</w:t>
      </w:r>
      <w:r w:rsidR="00F53FB7" w:rsidRPr="007A607D">
        <w:rPr>
          <w:rFonts w:ascii="Times New Roman" w:hAnsi="Times New Roman"/>
          <w:b/>
          <w:i/>
          <w:sz w:val="24"/>
          <w:szCs w:val="24"/>
        </w:rPr>
        <w:t xml:space="preserve"> </w:t>
      </w:r>
      <w:r w:rsidRPr="007A607D">
        <w:rPr>
          <w:rFonts w:ascii="Times New Roman" w:hAnsi="Times New Roman"/>
          <w:b/>
          <w:i/>
          <w:sz w:val="24"/>
          <w:szCs w:val="24"/>
        </w:rPr>
        <w:t>present ranges of cost burdens and explain the reasons for the</w:t>
      </w:r>
      <w:r w:rsidR="00F53FB7" w:rsidRPr="007A607D">
        <w:rPr>
          <w:rFonts w:ascii="Times New Roman" w:hAnsi="Times New Roman"/>
          <w:b/>
          <w:i/>
          <w:sz w:val="24"/>
          <w:szCs w:val="24"/>
        </w:rPr>
        <w:t xml:space="preserve"> </w:t>
      </w:r>
      <w:r w:rsidRPr="007A607D">
        <w:rPr>
          <w:rFonts w:ascii="Times New Roman" w:hAnsi="Times New Roman"/>
          <w:b/>
          <w:i/>
          <w:sz w:val="24"/>
          <w:szCs w:val="24"/>
        </w:rPr>
        <w:t>variance.</w:t>
      </w:r>
      <w:r w:rsidR="00F200EA">
        <w:rPr>
          <w:rFonts w:ascii="Times New Roman" w:hAnsi="Times New Roman"/>
          <w:b/>
          <w:i/>
          <w:sz w:val="24"/>
          <w:szCs w:val="24"/>
        </w:rPr>
        <w:t xml:space="preserve"> </w:t>
      </w:r>
      <w:r w:rsidRPr="007A607D">
        <w:rPr>
          <w:rFonts w:ascii="Times New Roman" w:hAnsi="Times New Roman"/>
          <w:b/>
          <w:i/>
          <w:sz w:val="24"/>
          <w:szCs w:val="24"/>
        </w:rPr>
        <w:t>The cost of purchasing or contracting out information collection services should be a part of this cost burden estimate.</w:t>
      </w:r>
      <w:r w:rsidR="00F200EA">
        <w:rPr>
          <w:rFonts w:ascii="Times New Roman" w:hAnsi="Times New Roman"/>
          <w:b/>
          <w:i/>
          <w:sz w:val="24"/>
          <w:szCs w:val="24"/>
        </w:rPr>
        <w:t xml:space="preserve"> </w:t>
      </w:r>
      <w:r w:rsidRPr="007A607D">
        <w:rPr>
          <w:rFonts w:ascii="Times New Roman" w:hAnsi="Times New Roman"/>
          <w:b/>
          <w:i/>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D599158" w14:textId="77777777" w:rsidR="00105F8E" w:rsidRPr="007A607D" w:rsidRDefault="00105F8E" w:rsidP="00F53FB7">
      <w:pPr>
        <w:ind w:left="360" w:firstLine="360"/>
        <w:rPr>
          <w:rFonts w:ascii="Times New Roman" w:hAnsi="Times New Roman"/>
          <w:b/>
          <w:i/>
          <w:sz w:val="24"/>
          <w:szCs w:val="24"/>
        </w:rPr>
      </w:pPr>
    </w:p>
    <w:p w14:paraId="2029BF34" w14:textId="77777777" w:rsidR="008526C9" w:rsidRPr="007A607D" w:rsidRDefault="002B5F72" w:rsidP="00F30543">
      <w:pPr>
        <w:pStyle w:val="NormalWeb"/>
        <w:numPr>
          <w:ilvl w:val="0"/>
          <w:numId w:val="7"/>
        </w:numPr>
        <w:tabs>
          <w:tab w:val="clear" w:pos="1440"/>
          <w:tab w:val="num" w:pos="720"/>
        </w:tabs>
        <w:ind w:left="720"/>
        <w:rPr>
          <w:rFonts w:ascii="Times New Roman" w:hAnsi="Times New Roman" w:cs="Times New Roman"/>
          <w:b/>
          <w:i/>
        </w:rPr>
      </w:pPr>
      <w:r w:rsidRPr="007A607D">
        <w:rPr>
          <w:rFonts w:ascii="Times New Roman" w:hAnsi="Times New Roman" w:cs="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B2C52E1" w14:textId="77777777" w:rsidR="00C116CE" w:rsidRPr="000255E9" w:rsidRDefault="00C116CE" w:rsidP="00C116C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u w:val="single"/>
        </w:rPr>
      </w:pPr>
      <w:r w:rsidRPr="000255E9">
        <w:rPr>
          <w:rFonts w:ascii="Times New Roman" w:hAnsi="Times New Roman"/>
          <w:b/>
          <w:i/>
          <w:color w:val="auto"/>
          <w:u w:val="single"/>
        </w:rPr>
        <w:t>Overall, this collection is estimated to result in the following for EMPs:</w:t>
      </w:r>
    </w:p>
    <w:p w14:paraId="16596D66" w14:textId="67D8CB42" w:rsidR="00C116CE" w:rsidRPr="002E2B13" w:rsidRDefault="00C116CE" w:rsidP="002E2B13">
      <w:pPr>
        <w:pStyle w:val="BodyText3"/>
        <w:numPr>
          <w:ilvl w:val="0"/>
          <w:numId w:val="1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0255E9">
        <w:rPr>
          <w:rFonts w:ascii="Times New Roman" w:hAnsi="Times New Roman"/>
          <w:b/>
          <w:i/>
          <w:color w:val="auto"/>
        </w:rPr>
        <w:t>EMP total startup costs:</w:t>
      </w:r>
      <w:r w:rsidR="00C8583A" w:rsidRPr="000255E9">
        <w:rPr>
          <w:rFonts w:ascii="Times New Roman" w:hAnsi="Times New Roman"/>
          <w:color w:val="auto"/>
        </w:rPr>
        <w:t xml:space="preserve"> </w:t>
      </w:r>
      <w:r w:rsidR="002E2B13">
        <w:rPr>
          <w:rFonts w:ascii="Times New Roman" w:hAnsi="Times New Roman"/>
          <w:color w:val="auto"/>
        </w:rPr>
        <w:t>T</w:t>
      </w:r>
      <w:r w:rsidR="002E2B13" w:rsidRPr="0027180B">
        <w:rPr>
          <w:rFonts w:ascii="Times New Roman" w:hAnsi="Times New Roman"/>
          <w:color w:val="auto"/>
        </w:rPr>
        <w:t>he</w:t>
      </w:r>
      <w:r w:rsidR="002E2B13">
        <w:rPr>
          <w:rFonts w:ascii="Times New Roman" w:hAnsi="Times New Roman"/>
          <w:color w:val="auto"/>
        </w:rPr>
        <w:t xml:space="preserve"> total cost to </w:t>
      </w:r>
      <w:r w:rsidR="00FF72AA">
        <w:rPr>
          <w:rFonts w:ascii="Times New Roman" w:hAnsi="Times New Roman"/>
          <w:color w:val="auto"/>
        </w:rPr>
        <w:t xml:space="preserve">all U.S. </w:t>
      </w:r>
      <w:r w:rsidR="002E2B13">
        <w:rPr>
          <w:rFonts w:ascii="Times New Roman" w:hAnsi="Times New Roman"/>
          <w:color w:val="auto"/>
        </w:rPr>
        <w:t xml:space="preserve">operators of filling and submitting an EMP (once per operator) </w:t>
      </w:r>
      <w:r w:rsidR="00F44617">
        <w:rPr>
          <w:rFonts w:ascii="Times New Roman" w:hAnsi="Times New Roman"/>
          <w:color w:val="auto"/>
        </w:rPr>
        <w:t>could range from $</w:t>
      </w:r>
      <w:r w:rsidR="0091167B">
        <w:rPr>
          <w:rFonts w:ascii="Times New Roman" w:hAnsi="Times New Roman"/>
          <w:color w:val="auto"/>
        </w:rPr>
        <w:t>3</w:t>
      </w:r>
      <w:r w:rsidR="00F44617">
        <w:rPr>
          <w:rFonts w:ascii="Times New Roman" w:hAnsi="Times New Roman"/>
          <w:color w:val="auto"/>
        </w:rPr>
        <w:t>6,</w:t>
      </w:r>
      <w:r w:rsidR="0091167B">
        <w:rPr>
          <w:rFonts w:ascii="Times New Roman" w:hAnsi="Times New Roman"/>
          <w:color w:val="auto"/>
        </w:rPr>
        <w:t xml:space="preserve">800 </w:t>
      </w:r>
      <w:r w:rsidR="00F44617">
        <w:rPr>
          <w:rFonts w:ascii="Times New Roman" w:hAnsi="Times New Roman"/>
          <w:color w:val="auto"/>
        </w:rPr>
        <w:t>and $</w:t>
      </w:r>
      <w:r w:rsidR="0091167B">
        <w:rPr>
          <w:rFonts w:ascii="Times New Roman" w:hAnsi="Times New Roman"/>
          <w:color w:val="auto"/>
        </w:rPr>
        <w:t>82</w:t>
      </w:r>
      <w:r w:rsidR="00F44617">
        <w:rPr>
          <w:rFonts w:ascii="Times New Roman" w:hAnsi="Times New Roman"/>
          <w:color w:val="auto"/>
        </w:rPr>
        <w:t>,</w:t>
      </w:r>
      <w:r w:rsidR="0091167B">
        <w:rPr>
          <w:rFonts w:ascii="Times New Roman" w:hAnsi="Times New Roman"/>
          <w:color w:val="auto"/>
        </w:rPr>
        <w:t>000</w:t>
      </w:r>
      <w:r w:rsidR="002E2B13">
        <w:rPr>
          <w:rFonts w:ascii="Times New Roman" w:hAnsi="Times New Roman"/>
          <w:color w:val="auto"/>
        </w:rPr>
        <w:t>.</w:t>
      </w:r>
      <w:r w:rsidR="00F200EA">
        <w:rPr>
          <w:rFonts w:ascii="Times New Roman" w:hAnsi="Times New Roman"/>
          <w:color w:val="auto"/>
        </w:rPr>
        <w:t xml:space="preserve"> </w:t>
      </w:r>
    </w:p>
    <w:p w14:paraId="0ACC8981" w14:textId="77777777" w:rsidR="00592AE0" w:rsidRPr="000255E9" w:rsidRDefault="00592AE0" w:rsidP="00C116C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p>
    <w:p w14:paraId="35745157" w14:textId="2EB9DA77" w:rsidR="00C116CE" w:rsidRPr="000255E9" w:rsidRDefault="00C116CE" w:rsidP="00C116C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u w:val="single"/>
        </w:rPr>
      </w:pPr>
      <w:r w:rsidRPr="000255E9">
        <w:rPr>
          <w:rFonts w:ascii="Times New Roman" w:hAnsi="Times New Roman"/>
          <w:b/>
          <w:i/>
          <w:color w:val="auto"/>
          <w:u w:val="single"/>
        </w:rPr>
        <w:t>Overall, this collection is estimated to result in the following for ERs:</w:t>
      </w:r>
    </w:p>
    <w:p w14:paraId="3B44A58E" w14:textId="5A0ACBB8" w:rsidR="002E2B13" w:rsidRDefault="00C116CE" w:rsidP="002E2B13">
      <w:pPr>
        <w:pStyle w:val="BodyText3"/>
        <w:numPr>
          <w:ilvl w:val="0"/>
          <w:numId w:val="1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0255E9">
        <w:rPr>
          <w:rFonts w:ascii="Times New Roman" w:hAnsi="Times New Roman"/>
          <w:b/>
          <w:i/>
          <w:color w:val="auto"/>
        </w:rPr>
        <w:t>ER total capital/startup costs (annualized):</w:t>
      </w:r>
      <w:r w:rsidR="002E2B13">
        <w:rPr>
          <w:rFonts w:ascii="Times New Roman" w:hAnsi="Times New Roman"/>
          <w:b/>
          <w:i/>
          <w:color w:val="auto"/>
        </w:rPr>
        <w:t xml:space="preserve"> </w:t>
      </w:r>
      <w:r w:rsidR="002E2B13" w:rsidRPr="0027180B">
        <w:rPr>
          <w:rFonts w:ascii="Times New Roman" w:hAnsi="Times New Roman"/>
          <w:color w:val="auto"/>
        </w:rPr>
        <w:t>Given that U.S. operators generally have sophisticated IT systems and fuel monitoring system already in place for other purposes (e.g., internal fuel management procedures or external reporting), it was assumed that the reporting requirements associated with Annex 16, Vol. IV should not require any new IT system/infrastructure to operators</w:t>
      </w:r>
      <w:r w:rsidR="002E2B13">
        <w:rPr>
          <w:rFonts w:ascii="Times New Roman" w:hAnsi="Times New Roman"/>
          <w:color w:val="auto"/>
        </w:rPr>
        <w:t>.</w:t>
      </w:r>
    </w:p>
    <w:p w14:paraId="12FC805C" w14:textId="5CAB861B" w:rsidR="00C116CE" w:rsidRPr="000255E9" w:rsidRDefault="00C116CE" w:rsidP="000255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b/>
          <w:i/>
          <w:color w:val="auto"/>
        </w:rPr>
      </w:pPr>
      <w:r w:rsidRPr="000255E9">
        <w:rPr>
          <w:rFonts w:ascii="Times New Roman" w:hAnsi="Times New Roman"/>
          <w:b/>
          <w:i/>
          <w:color w:val="auto"/>
        </w:rPr>
        <w:t xml:space="preserve"> </w:t>
      </w:r>
    </w:p>
    <w:p w14:paraId="0FEDF2E5" w14:textId="209172A3" w:rsidR="00C116CE" w:rsidRPr="000255E9" w:rsidRDefault="00C116CE" w:rsidP="00C116CE">
      <w:pPr>
        <w:pStyle w:val="BodyText3"/>
        <w:numPr>
          <w:ilvl w:val="0"/>
          <w:numId w:val="1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u w:val="single"/>
        </w:rPr>
      </w:pPr>
      <w:r w:rsidRPr="000255E9">
        <w:rPr>
          <w:rFonts w:ascii="Times New Roman" w:hAnsi="Times New Roman"/>
          <w:b/>
          <w:i/>
          <w:color w:val="auto"/>
          <w:u w:val="single"/>
        </w:rPr>
        <w:t>ER total operation and maintenance and purchase of services:</w:t>
      </w:r>
    </w:p>
    <w:p w14:paraId="67236CBA" w14:textId="1FE6392B" w:rsidR="003250DC" w:rsidRDefault="003250DC" w:rsidP="003250D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color w:val="auto"/>
        </w:rPr>
      </w:pPr>
    </w:p>
    <w:p w14:paraId="7A5A24E8" w14:textId="6A2383E8" w:rsidR="000D7C3D" w:rsidRDefault="00FB5CE7" w:rsidP="000D7C3D">
      <w:pPr>
        <w:pStyle w:val="BodyText3"/>
        <w:numPr>
          <w:ilvl w:val="1"/>
          <w:numId w:val="1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Pr>
          <w:rFonts w:ascii="Times New Roman" w:hAnsi="Times New Roman"/>
          <w:b/>
          <w:i/>
          <w:color w:val="auto"/>
        </w:rPr>
        <w:t>Low</w:t>
      </w:r>
      <w:r w:rsidR="000D7C3D">
        <w:rPr>
          <w:rFonts w:ascii="Times New Roman" w:hAnsi="Times New Roman"/>
          <w:b/>
          <w:i/>
          <w:color w:val="auto"/>
        </w:rPr>
        <w:t xml:space="preserve">: </w:t>
      </w:r>
      <w:r w:rsidR="000D7C3D">
        <w:rPr>
          <w:rFonts w:ascii="Times New Roman" w:hAnsi="Times New Roman"/>
          <w:color w:val="auto"/>
        </w:rPr>
        <w:t xml:space="preserve">Under the </w:t>
      </w:r>
      <w:r>
        <w:rPr>
          <w:rFonts w:ascii="Times New Roman" w:hAnsi="Times New Roman"/>
          <w:color w:val="auto"/>
        </w:rPr>
        <w:t xml:space="preserve">low </w:t>
      </w:r>
      <w:r w:rsidR="000D7C3D">
        <w:rPr>
          <w:rFonts w:ascii="Times New Roman" w:hAnsi="Times New Roman"/>
          <w:color w:val="auto"/>
        </w:rPr>
        <w:t xml:space="preserve">scenario, the total </w:t>
      </w:r>
      <w:r>
        <w:rPr>
          <w:rFonts w:ascii="Times New Roman" w:hAnsi="Times New Roman"/>
          <w:color w:val="auto"/>
        </w:rPr>
        <w:t xml:space="preserve">reporting </w:t>
      </w:r>
      <w:r w:rsidR="000D7C3D">
        <w:rPr>
          <w:rFonts w:ascii="Times New Roman" w:hAnsi="Times New Roman"/>
          <w:color w:val="auto"/>
        </w:rPr>
        <w:t xml:space="preserve">cost </w:t>
      </w:r>
      <w:r>
        <w:rPr>
          <w:rFonts w:ascii="Times New Roman" w:hAnsi="Times New Roman"/>
          <w:color w:val="auto"/>
        </w:rPr>
        <w:t>to</w:t>
      </w:r>
      <w:r w:rsidR="000D7C3D">
        <w:rPr>
          <w:rFonts w:ascii="Times New Roman" w:hAnsi="Times New Roman"/>
          <w:color w:val="auto"/>
        </w:rPr>
        <w:t xml:space="preserve"> </w:t>
      </w:r>
      <w:r w:rsidR="00FF72AA">
        <w:rPr>
          <w:rFonts w:ascii="Times New Roman" w:hAnsi="Times New Roman"/>
          <w:color w:val="auto"/>
        </w:rPr>
        <w:t xml:space="preserve">all U.S. </w:t>
      </w:r>
      <w:r w:rsidR="000D7C3D">
        <w:rPr>
          <w:rFonts w:ascii="Times New Roman" w:hAnsi="Times New Roman"/>
          <w:color w:val="auto"/>
        </w:rPr>
        <w:t xml:space="preserve">operators </w:t>
      </w:r>
      <w:r w:rsidR="00FF72AA">
        <w:rPr>
          <w:rFonts w:ascii="Times New Roman" w:hAnsi="Times New Roman"/>
          <w:color w:val="auto"/>
        </w:rPr>
        <w:t xml:space="preserve">combined </w:t>
      </w:r>
      <w:r w:rsidR="000D7C3D">
        <w:rPr>
          <w:rFonts w:ascii="Times New Roman" w:hAnsi="Times New Roman"/>
          <w:color w:val="auto"/>
        </w:rPr>
        <w:t>could be on the order of $</w:t>
      </w:r>
      <w:r w:rsidR="0091167B">
        <w:rPr>
          <w:rFonts w:ascii="Times New Roman" w:hAnsi="Times New Roman"/>
          <w:color w:val="auto"/>
        </w:rPr>
        <w:t>46</w:t>
      </w:r>
      <w:r>
        <w:rPr>
          <w:rFonts w:ascii="Times New Roman" w:hAnsi="Times New Roman"/>
          <w:color w:val="auto"/>
        </w:rPr>
        <w:t>,</w:t>
      </w:r>
      <w:r w:rsidR="0091167B">
        <w:rPr>
          <w:rFonts w:ascii="Times New Roman" w:hAnsi="Times New Roman"/>
          <w:color w:val="auto"/>
        </w:rPr>
        <w:t xml:space="preserve">300 </w:t>
      </w:r>
      <w:r>
        <w:rPr>
          <w:rFonts w:ascii="Times New Roman" w:hAnsi="Times New Roman"/>
          <w:color w:val="auto"/>
        </w:rPr>
        <w:t>per year</w:t>
      </w:r>
      <w:r w:rsidR="000D7C3D">
        <w:rPr>
          <w:rFonts w:ascii="Times New Roman" w:hAnsi="Times New Roman"/>
          <w:color w:val="auto"/>
        </w:rPr>
        <w:t>.</w:t>
      </w:r>
    </w:p>
    <w:p w14:paraId="20445BB1" w14:textId="77777777" w:rsidR="000D7C3D" w:rsidRPr="000255E9" w:rsidRDefault="000D7C3D" w:rsidP="000255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color w:val="auto"/>
        </w:rPr>
      </w:pPr>
    </w:p>
    <w:p w14:paraId="3845F4FA" w14:textId="59A3DE53" w:rsidR="00FB5CE7" w:rsidRDefault="00C116CE" w:rsidP="00FB5CE7">
      <w:pPr>
        <w:pStyle w:val="BodyText3"/>
        <w:numPr>
          <w:ilvl w:val="1"/>
          <w:numId w:val="1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i/>
          <w:color w:val="auto"/>
        </w:rPr>
      </w:pPr>
      <w:r w:rsidRPr="000255E9">
        <w:rPr>
          <w:rFonts w:ascii="Times New Roman" w:hAnsi="Times New Roman"/>
          <w:b/>
          <w:i/>
          <w:color w:val="auto"/>
        </w:rPr>
        <w:t>High:</w:t>
      </w:r>
      <w:r w:rsidR="00174B30" w:rsidRPr="00174B30">
        <w:rPr>
          <w:rFonts w:ascii="Times New Roman" w:hAnsi="Times New Roman"/>
          <w:color w:val="auto"/>
        </w:rPr>
        <w:t xml:space="preserve"> </w:t>
      </w:r>
      <w:r w:rsidR="00FB5CE7">
        <w:rPr>
          <w:rFonts w:ascii="Times New Roman" w:hAnsi="Times New Roman"/>
          <w:color w:val="auto"/>
        </w:rPr>
        <w:t xml:space="preserve">Under the high scenario, the total reporting cost to </w:t>
      </w:r>
      <w:r w:rsidR="00FF72AA">
        <w:rPr>
          <w:rFonts w:ascii="Times New Roman" w:hAnsi="Times New Roman"/>
          <w:color w:val="auto"/>
        </w:rPr>
        <w:t xml:space="preserve">all U.S. </w:t>
      </w:r>
      <w:r w:rsidR="00FB5CE7">
        <w:rPr>
          <w:rFonts w:ascii="Times New Roman" w:hAnsi="Times New Roman"/>
          <w:color w:val="auto"/>
        </w:rPr>
        <w:t>operators</w:t>
      </w:r>
      <w:r w:rsidR="00FF72AA">
        <w:rPr>
          <w:rFonts w:ascii="Times New Roman" w:hAnsi="Times New Roman"/>
          <w:color w:val="auto"/>
        </w:rPr>
        <w:t xml:space="preserve"> combined</w:t>
      </w:r>
      <w:r w:rsidR="00FB5CE7">
        <w:rPr>
          <w:rFonts w:ascii="Times New Roman" w:hAnsi="Times New Roman"/>
          <w:color w:val="auto"/>
        </w:rPr>
        <w:t xml:space="preserve"> could be on the order of $</w:t>
      </w:r>
      <w:r w:rsidR="0091167B">
        <w:rPr>
          <w:rFonts w:ascii="Times New Roman" w:hAnsi="Times New Roman"/>
          <w:color w:val="auto"/>
        </w:rPr>
        <w:t>96</w:t>
      </w:r>
      <w:r w:rsidR="00FB5CE7">
        <w:rPr>
          <w:rFonts w:ascii="Times New Roman" w:hAnsi="Times New Roman"/>
          <w:color w:val="auto"/>
        </w:rPr>
        <w:t>,</w:t>
      </w:r>
      <w:r w:rsidR="0091167B">
        <w:rPr>
          <w:rFonts w:ascii="Times New Roman" w:hAnsi="Times New Roman"/>
          <w:color w:val="auto"/>
        </w:rPr>
        <w:t xml:space="preserve">100 </w:t>
      </w:r>
      <w:r w:rsidR="00FB5CE7">
        <w:rPr>
          <w:rFonts w:ascii="Times New Roman" w:hAnsi="Times New Roman"/>
          <w:color w:val="auto"/>
        </w:rPr>
        <w:t>per year.</w:t>
      </w:r>
    </w:p>
    <w:p w14:paraId="766D1663" w14:textId="5D297C37" w:rsidR="00174B30" w:rsidRDefault="00174B30" w:rsidP="00295F3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b/>
          <w:i/>
          <w:color w:val="auto"/>
        </w:rPr>
      </w:pPr>
    </w:p>
    <w:p w14:paraId="653B8457" w14:textId="77777777" w:rsidR="00C116CE" w:rsidRPr="00C116CE" w:rsidRDefault="00C116CE" w:rsidP="00C116C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14:paraId="0CF751DC" w14:textId="72F9BF2C" w:rsidR="00C116CE" w:rsidRPr="00C116CE" w:rsidRDefault="00C116CE" w:rsidP="00C116C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r w:rsidRPr="00C116CE">
        <w:rPr>
          <w:rFonts w:ascii="Times New Roman" w:hAnsi="Times New Roman"/>
          <w:color w:val="auto"/>
          <w:u w:val="single"/>
        </w:rPr>
        <w:t>Explanation of how ER and EMP costs were estimated:</w:t>
      </w:r>
    </w:p>
    <w:p w14:paraId="72008298" w14:textId="77777777" w:rsidR="002668D8" w:rsidRDefault="002668D8" w:rsidP="0025358E">
      <w:pPr>
        <w:jc w:val="both"/>
        <w:rPr>
          <w:rFonts w:ascii="Times New Roman" w:hAnsi="Times New Roman"/>
          <w:sz w:val="24"/>
          <w:szCs w:val="24"/>
        </w:rPr>
      </w:pPr>
    </w:p>
    <w:p w14:paraId="2A113E05" w14:textId="3A8EA7FA" w:rsidR="00232866" w:rsidRDefault="0025358E" w:rsidP="0025358E">
      <w:pPr>
        <w:jc w:val="both"/>
        <w:rPr>
          <w:rFonts w:ascii="Times New Roman" w:hAnsi="Times New Roman"/>
          <w:sz w:val="24"/>
          <w:szCs w:val="24"/>
        </w:rPr>
      </w:pPr>
      <w:r>
        <w:rPr>
          <w:rFonts w:ascii="Times New Roman" w:hAnsi="Times New Roman"/>
          <w:sz w:val="24"/>
          <w:szCs w:val="24"/>
        </w:rPr>
        <w:t xml:space="preserve">Annual unit cost of </w:t>
      </w:r>
      <w:r w:rsidR="002668D8">
        <w:rPr>
          <w:rFonts w:ascii="Times New Roman" w:hAnsi="Times New Roman"/>
          <w:sz w:val="24"/>
          <w:szCs w:val="24"/>
        </w:rPr>
        <w:t>r</w:t>
      </w:r>
      <w:r>
        <w:rPr>
          <w:rFonts w:ascii="Times New Roman" w:hAnsi="Times New Roman"/>
          <w:sz w:val="24"/>
          <w:szCs w:val="24"/>
        </w:rPr>
        <w:t xml:space="preserve">eporting to the FAA, were based on analyses of cost of MRV conducted by the ICAO Global Market Based Measure technical Task Force (GMTF), with the support from U.S. experts. Given that U.S. operators generally have sophisticated IT systems and fuel monitoring system already in place for other purposes (e.g., internal fuel management procedures or external reporting), it was assumed that the reporting requirements associated with Annex 16, Vol. IV should not require any new IT system/infrastructure to operators. In addition, for operators eligible to use simplified procedures, the CERT tool required by Annex 16, Vol. IV is available free of charge and runs on commonly used laptops and/or desktop computers. </w:t>
      </w:r>
    </w:p>
    <w:p w14:paraId="471E53CA" w14:textId="77777777" w:rsidR="00A425EE" w:rsidRDefault="00A425EE" w:rsidP="00295F3A">
      <w:pPr>
        <w:jc w:val="both"/>
      </w:pPr>
    </w:p>
    <w:p w14:paraId="10CE1C08" w14:textId="44D78166" w:rsidR="00105F8E" w:rsidRPr="00984FC4" w:rsidRDefault="0004749E" w:rsidP="008F2CDB">
      <w:pPr>
        <w:rPr>
          <w:rFonts w:ascii="Times New Roman" w:hAnsi="Times New Roman"/>
          <w:b/>
          <w:sz w:val="24"/>
          <w:szCs w:val="24"/>
        </w:rPr>
      </w:pPr>
      <w:r w:rsidRPr="007A607D">
        <w:rPr>
          <w:rFonts w:ascii="Times New Roman" w:hAnsi="Times New Roman"/>
          <w:bCs/>
          <w:sz w:val="24"/>
          <w:szCs w:val="24"/>
        </w:rPr>
        <w:t xml:space="preserve">14. </w:t>
      </w:r>
      <w:bookmarkStart w:id="2" w:name="_Hlk528920593"/>
      <w:r w:rsidRPr="007A607D">
        <w:rPr>
          <w:rFonts w:ascii="Times New Roman" w:hAnsi="Times New Roman"/>
          <w:bCs/>
          <w:sz w:val="24"/>
          <w:szCs w:val="24"/>
          <w:u w:val="single"/>
        </w:rPr>
        <w:t>Estimate of cost to the Federal government</w:t>
      </w:r>
      <w:bookmarkEnd w:id="2"/>
      <w:r w:rsidRPr="007A607D">
        <w:rPr>
          <w:rFonts w:ascii="Times New Roman" w:hAnsi="Times New Roman"/>
          <w:bCs/>
          <w:sz w:val="24"/>
          <w:szCs w:val="24"/>
          <w:u w:val="single"/>
        </w:rPr>
        <w:t>.</w:t>
      </w:r>
      <w:r w:rsidR="00F200EA">
        <w:rPr>
          <w:rFonts w:ascii="Times New Roman" w:hAnsi="Times New Roman"/>
          <w:b/>
          <w:bCs/>
          <w:sz w:val="24"/>
          <w:szCs w:val="24"/>
        </w:rPr>
        <w:t xml:space="preserve"> </w:t>
      </w:r>
      <w:r w:rsidR="002B5F72" w:rsidRPr="007A607D">
        <w:rPr>
          <w:rFonts w:ascii="Times New Roman" w:hAnsi="Times New Roman"/>
          <w:b/>
          <w:i/>
          <w:sz w:val="24"/>
          <w:szCs w:val="24"/>
        </w:rPr>
        <w:t>Provide estimates of annualized cost to the Federal government.</w:t>
      </w:r>
      <w:r w:rsidR="00F200EA">
        <w:rPr>
          <w:rFonts w:ascii="Times New Roman" w:hAnsi="Times New Roman"/>
          <w:b/>
          <w:i/>
          <w:sz w:val="24"/>
          <w:szCs w:val="24"/>
        </w:rPr>
        <w:t xml:space="preserve"> </w:t>
      </w:r>
      <w:r w:rsidR="002B5F72" w:rsidRPr="007A607D">
        <w:rPr>
          <w:rFonts w:ascii="Times New Roman" w:hAnsi="Times New Roman"/>
          <w:b/>
          <w:i/>
          <w:sz w:val="24"/>
          <w:szCs w:val="24"/>
        </w:rPr>
        <w:t xml:space="preserve">Also, provide a description of the </w:t>
      </w:r>
      <w:r w:rsidR="002B5F72" w:rsidRPr="009C24D9">
        <w:rPr>
          <w:rFonts w:ascii="Times New Roman" w:hAnsi="Times New Roman"/>
          <w:b/>
          <w:i/>
          <w:sz w:val="24"/>
          <w:szCs w:val="24"/>
        </w:rPr>
        <w:t>method used to estimate costs, which should include quantification of hours, operational expenses such as equipment, overhead, printing, and support staff, and any other expense that would not have been incurred without this collection of information.</w:t>
      </w:r>
      <w:r w:rsidR="00F200EA">
        <w:rPr>
          <w:rFonts w:ascii="Times New Roman" w:hAnsi="Times New Roman"/>
          <w:b/>
          <w:i/>
          <w:sz w:val="24"/>
          <w:szCs w:val="24"/>
        </w:rPr>
        <w:t xml:space="preserve"> </w:t>
      </w:r>
      <w:r w:rsidR="002B5F72" w:rsidRPr="009C24D9">
        <w:rPr>
          <w:rFonts w:ascii="Times New Roman" w:hAnsi="Times New Roman"/>
          <w:b/>
          <w:i/>
          <w:sz w:val="24"/>
          <w:szCs w:val="24"/>
        </w:rPr>
        <w:t>Agencies also may aggregate cost estimates from items 12, 13, and 14 in a single table.</w:t>
      </w:r>
    </w:p>
    <w:p w14:paraId="4E160665" w14:textId="301B545C" w:rsidR="0004749E" w:rsidRDefault="0004749E">
      <w:pPr>
        <w:rPr>
          <w:rFonts w:ascii="Times New Roman" w:eastAsia="Arial Unicode MS" w:hAnsi="Times New Roman"/>
          <w:sz w:val="24"/>
          <w:szCs w:val="24"/>
        </w:rPr>
      </w:pPr>
    </w:p>
    <w:p w14:paraId="6D97F420" w14:textId="5DFFC98A" w:rsidR="00C116CE" w:rsidRDefault="00C116CE" w:rsidP="001F6C1C">
      <w:pPr>
        <w:rPr>
          <w:rFonts w:ascii="Times New Roman" w:eastAsia="Arial Unicode MS" w:hAnsi="Times New Roman"/>
          <w:sz w:val="24"/>
          <w:szCs w:val="24"/>
        </w:rPr>
      </w:pPr>
      <w:r w:rsidRPr="000255E9">
        <w:rPr>
          <w:rFonts w:ascii="Times New Roman" w:eastAsia="Arial Unicode MS" w:hAnsi="Times New Roman"/>
          <w:b/>
          <w:i/>
          <w:sz w:val="24"/>
          <w:szCs w:val="24"/>
        </w:rPr>
        <w:t xml:space="preserve">Estimated annualized cost to the Federal government: </w:t>
      </w:r>
      <w:r w:rsidR="00EE24F1">
        <w:rPr>
          <w:rFonts w:ascii="Times New Roman" w:eastAsia="Arial Unicode MS" w:hAnsi="Times New Roman"/>
          <w:sz w:val="24"/>
          <w:szCs w:val="24"/>
        </w:rPr>
        <w:t>The total estimated cost to the Federal government</w:t>
      </w:r>
      <w:r w:rsidR="001F6C1C">
        <w:rPr>
          <w:rFonts w:ascii="Times New Roman" w:eastAsia="Arial Unicode MS" w:hAnsi="Times New Roman"/>
          <w:sz w:val="24"/>
          <w:szCs w:val="24"/>
        </w:rPr>
        <w:t xml:space="preserve"> related to the EMP and ERs are expected to be approximately </w:t>
      </w:r>
      <w:r w:rsidR="00BD602C">
        <w:rPr>
          <w:rFonts w:ascii="Times New Roman" w:eastAsia="Arial Unicode MS" w:hAnsi="Times New Roman"/>
          <w:sz w:val="24"/>
          <w:szCs w:val="24"/>
        </w:rPr>
        <w:t xml:space="preserve">$380,000 per year. </w:t>
      </w:r>
    </w:p>
    <w:p w14:paraId="28A748B0" w14:textId="1DEC6079" w:rsidR="0010206C" w:rsidRDefault="0010206C" w:rsidP="001F6C1C">
      <w:pPr>
        <w:rPr>
          <w:rFonts w:ascii="Times New Roman" w:eastAsia="Arial Unicode MS" w:hAnsi="Times New Roman"/>
          <w:sz w:val="24"/>
          <w:szCs w:val="24"/>
        </w:rPr>
      </w:pPr>
    </w:p>
    <w:p w14:paraId="610CA2FF" w14:textId="0D3A5B84" w:rsidR="00C116CE" w:rsidRPr="00C116CE" w:rsidRDefault="00C116CE" w:rsidP="00C116C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r w:rsidRPr="00C116CE">
        <w:rPr>
          <w:rFonts w:ascii="Times New Roman" w:hAnsi="Times New Roman"/>
          <w:color w:val="auto"/>
          <w:u w:val="single"/>
        </w:rPr>
        <w:t xml:space="preserve">Explanation of how </w:t>
      </w:r>
      <w:r>
        <w:rPr>
          <w:rFonts w:ascii="Times New Roman" w:hAnsi="Times New Roman"/>
          <w:color w:val="auto"/>
          <w:u w:val="single"/>
        </w:rPr>
        <w:t>annualized cost to the Federal government was estimated:</w:t>
      </w:r>
    </w:p>
    <w:p w14:paraId="59B685C4" w14:textId="2A2907FF" w:rsidR="00C123C1" w:rsidRDefault="00634F13" w:rsidP="000255E9">
      <w:pPr>
        <w:pStyle w:val="NormalWeb"/>
        <w:jc w:val="both"/>
        <w:rPr>
          <w:rFonts w:ascii="Times New Roman" w:hAnsi="Times New Roman" w:cs="Times New Roman"/>
        </w:rPr>
      </w:pPr>
      <w:r>
        <w:rPr>
          <w:rFonts w:ascii="Times New Roman" w:hAnsi="Times New Roman" w:cs="Times New Roman"/>
        </w:rPr>
        <w:t>E</w:t>
      </w:r>
      <w:r w:rsidR="00FA1E6E" w:rsidRPr="004E7BA8">
        <w:rPr>
          <w:rFonts w:ascii="Times New Roman" w:hAnsi="Times New Roman" w:cs="Times New Roman"/>
        </w:rPr>
        <w:t xml:space="preserve">stimates </w:t>
      </w:r>
      <w:r>
        <w:rPr>
          <w:rFonts w:ascii="Times New Roman" w:hAnsi="Times New Roman" w:cs="Times New Roman"/>
        </w:rPr>
        <w:t>of cost</w:t>
      </w:r>
      <w:r w:rsidR="009C5183">
        <w:rPr>
          <w:rFonts w:ascii="Times New Roman" w:hAnsi="Times New Roman" w:cs="Times New Roman"/>
        </w:rPr>
        <w:t>s</w:t>
      </w:r>
      <w:r>
        <w:rPr>
          <w:rFonts w:ascii="Times New Roman" w:hAnsi="Times New Roman" w:cs="Times New Roman"/>
        </w:rPr>
        <w:t xml:space="preserve"> to the </w:t>
      </w:r>
      <w:r w:rsidR="00FA1E6E">
        <w:rPr>
          <w:rFonts w:ascii="Times New Roman" w:hAnsi="Times New Roman" w:cs="Times New Roman"/>
        </w:rPr>
        <w:t xml:space="preserve">Federal government </w:t>
      </w:r>
      <w:r>
        <w:rPr>
          <w:rFonts w:ascii="Times New Roman" w:hAnsi="Times New Roman" w:cs="Times New Roman"/>
        </w:rPr>
        <w:t>includ</w:t>
      </w:r>
      <w:r w:rsidR="00232866">
        <w:rPr>
          <w:rFonts w:ascii="Times New Roman" w:hAnsi="Times New Roman" w:cs="Times New Roman"/>
        </w:rPr>
        <w:t>e</w:t>
      </w:r>
      <w:r>
        <w:rPr>
          <w:rFonts w:ascii="Times New Roman" w:hAnsi="Times New Roman" w:cs="Times New Roman"/>
        </w:rPr>
        <w:t>; cost of managing</w:t>
      </w:r>
      <w:r w:rsidR="00C123C1">
        <w:rPr>
          <w:rFonts w:ascii="Times New Roman" w:hAnsi="Times New Roman" w:cs="Times New Roman"/>
        </w:rPr>
        <w:t xml:space="preserve"> </w:t>
      </w:r>
      <w:r w:rsidR="00C116CE">
        <w:rPr>
          <w:rFonts w:ascii="Times New Roman" w:hAnsi="Times New Roman" w:cs="Times New Roman"/>
        </w:rPr>
        <w:t>EMPs and ERs</w:t>
      </w:r>
      <w:r w:rsidR="00C123C1">
        <w:rPr>
          <w:rFonts w:ascii="Times New Roman" w:hAnsi="Times New Roman" w:cs="Times New Roman"/>
        </w:rPr>
        <w:t>, cost of supporting reporting systems</w:t>
      </w:r>
      <w:r w:rsidR="00152518">
        <w:rPr>
          <w:rFonts w:ascii="Times New Roman" w:hAnsi="Times New Roman" w:cs="Times New Roman"/>
        </w:rPr>
        <w:t xml:space="preserve"> (</w:t>
      </w:r>
      <w:r w:rsidR="0022133D">
        <w:rPr>
          <w:rFonts w:ascii="Times New Roman" w:hAnsi="Times New Roman" w:cs="Times New Roman"/>
        </w:rPr>
        <w:t>contracted out</w:t>
      </w:r>
      <w:r w:rsidR="00152518">
        <w:rPr>
          <w:rFonts w:ascii="Times New Roman" w:hAnsi="Times New Roman" w:cs="Times New Roman"/>
        </w:rPr>
        <w:t>)</w:t>
      </w:r>
      <w:r w:rsidR="00C123C1">
        <w:rPr>
          <w:rFonts w:ascii="Times New Roman" w:hAnsi="Times New Roman" w:cs="Times New Roman"/>
        </w:rPr>
        <w:t xml:space="preserve"> as well as the cost of reporting the list of operators and the aggregated emissions reports to ICAO.</w:t>
      </w:r>
    </w:p>
    <w:p w14:paraId="5624671B" w14:textId="3BFFB1B2" w:rsidR="00C123C1" w:rsidRDefault="00A53FC4" w:rsidP="00FA1E6E">
      <w:pPr>
        <w:pStyle w:val="NormalWeb"/>
        <w:jc w:val="both"/>
        <w:rPr>
          <w:rFonts w:ascii="Times New Roman" w:hAnsi="Times New Roman" w:cs="Times New Roman"/>
        </w:rPr>
      </w:pPr>
      <w:r>
        <w:rPr>
          <w:rFonts w:ascii="Times New Roman" w:hAnsi="Times New Roman" w:cs="Times New Roman"/>
        </w:rPr>
        <w:t xml:space="preserve">The collection and review of the Emissions Monitoring Plan </w:t>
      </w:r>
      <w:r w:rsidR="00B37F90">
        <w:rPr>
          <w:rFonts w:ascii="Times New Roman" w:hAnsi="Times New Roman" w:cs="Times New Roman"/>
        </w:rPr>
        <w:t xml:space="preserve">are </w:t>
      </w:r>
      <w:r>
        <w:rPr>
          <w:rFonts w:ascii="Times New Roman" w:hAnsi="Times New Roman" w:cs="Times New Roman"/>
        </w:rPr>
        <w:t xml:space="preserve">assumed </w:t>
      </w:r>
      <w:r w:rsidR="00B37F90">
        <w:rPr>
          <w:rFonts w:ascii="Times New Roman" w:hAnsi="Times New Roman" w:cs="Times New Roman"/>
        </w:rPr>
        <w:t xml:space="preserve">to take </w:t>
      </w:r>
      <w:r>
        <w:rPr>
          <w:rFonts w:ascii="Times New Roman" w:hAnsi="Times New Roman" w:cs="Times New Roman"/>
        </w:rPr>
        <w:t xml:space="preserve">20 hours per operator on the outset (2018-2019) with learning curve effects in the out years resulting in </w:t>
      </w:r>
      <w:r w:rsidR="001B3F69">
        <w:rPr>
          <w:rFonts w:ascii="Times New Roman" w:hAnsi="Times New Roman" w:cs="Times New Roman"/>
        </w:rPr>
        <w:t xml:space="preserve">12 hours per operator by the end of the reporting period. </w:t>
      </w:r>
    </w:p>
    <w:p w14:paraId="568BDC1A" w14:textId="450B81D7" w:rsidR="001B3F69" w:rsidRDefault="001B3F69" w:rsidP="00FA1E6E">
      <w:pPr>
        <w:pStyle w:val="NormalWeb"/>
        <w:jc w:val="both"/>
        <w:rPr>
          <w:rFonts w:ascii="Times New Roman" w:hAnsi="Times New Roman" w:cs="Times New Roman"/>
        </w:rPr>
      </w:pPr>
      <w:r>
        <w:rPr>
          <w:rFonts w:ascii="Times New Roman" w:hAnsi="Times New Roman" w:cs="Times New Roman"/>
        </w:rPr>
        <w:t xml:space="preserve">The collection and review (i.e., </w:t>
      </w:r>
      <w:r w:rsidRPr="001B3F69">
        <w:rPr>
          <w:rFonts w:ascii="Times New Roman" w:hAnsi="Times New Roman" w:cs="Times New Roman"/>
        </w:rPr>
        <w:t xml:space="preserve">order of magnitude check of the verified </w:t>
      </w:r>
      <w:r>
        <w:rPr>
          <w:rFonts w:ascii="Times New Roman" w:hAnsi="Times New Roman" w:cs="Times New Roman"/>
        </w:rPr>
        <w:t xml:space="preserve">emissions report) is estimated to require </w:t>
      </w:r>
      <w:r w:rsidR="000300A4">
        <w:rPr>
          <w:rFonts w:ascii="Times New Roman" w:hAnsi="Times New Roman" w:cs="Times New Roman"/>
        </w:rPr>
        <w:t xml:space="preserve">8 hours for operators that use a fuel use monitoring method and 5 hours for operators that use simplified monitoring procedures. These </w:t>
      </w:r>
      <w:r w:rsidR="00483091">
        <w:rPr>
          <w:rFonts w:ascii="Times New Roman" w:hAnsi="Times New Roman" w:cs="Times New Roman"/>
        </w:rPr>
        <w:t>estimates</w:t>
      </w:r>
      <w:r w:rsidR="000300A4">
        <w:rPr>
          <w:rFonts w:ascii="Times New Roman" w:hAnsi="Times New Roman" w:cs="Times New Roman"/>
        </w:rPr>
        <w:t xml:space="preserve"> reduce over time due to learning curve effects to 3 and 2 hours respectively by the end of the reporting period. </w:t>
      </w:r>
    </w:p>
    <w:p w14:paraId="70F29239" w14:textId="0D8C5950" w:rsidR="00483091" w:rsidRDefault="00483091" w:rsidP="00FA1E6E">
      <w:pPr>
        <w:pStyle w:val="NormalWeb"/>
        <w:jc w:val="both"/>
        <w:rPr>
          <w:rFonts w:ascii="Times New Roman" w:hAnsi="Times New Roman" w:cs="Times New Roman"/>
        </w:rPr>
      </w:pPr>
      <w:r>
        <w:rPr>
          <w:rFonts w:ascii="Times New Roman" w:hAnsi="Times New Roman" w:cs="Times New Roman"/>
        </w:rPr>
        <w:t xml:space="preserve">The reporting to ICAO is estimated to require; 10 hours per </w:t>
      </w:r>
      <w:r w:rsidRPr="00925966">
        <w:rPr>
          <w:rFonts w:ascii="Times New Roman" w:hAnsi="Times New Roman" w:cs="Times New Roman"/>
        </w:rPr>
        <w:t>year for notify</w:t>
      </w:r>
      <w:r w:rsidRPr="00F164D8">
        <w:rPr>
          <w:rFonts w:ascii="Times New Roman" w:hAnsi="Times New Roman" w:cs="Times New Roman"/>
        </w:rPr>
        <w:t>ing ICAO of t</w:t>
      </w:r>
      <w:r w:rsidRPr="00B37F90">
        <w:rPr>
          <w:rFonts w:ascii="Times New Roman" w:hAnsi="Times New Roman" w:cs="Times New Roman"/>
        </w:rPr>
        <w:t>he</w:t>
      </w:r>
      <w:r w:rsidRPr="00925966">
        <w:rPr>
          <w:rFonts w:ascii="Times New Roman" w:hAnsi="Times New Roman" w:cs="Times New Roman"/>
        </w:rPr>
        <w:t xml:space="preserve"> decision to voluntarily participate</w:t>
      </w:r>
      <w:r w:rsidRPr="00B37F90">
        <w:rPr>
          <w:rFonts w:ascii="Times New Roman" w:hAnsi="Times New Roman" w:cs="Times New Roman"/>
        </w:rPr>
        <w:t xml:space="preserve">, </w:t>
      </w:r>
      <w:r w:rsidRPr="00925966">
        <w:rPr>
          <w:rFonts w:ascii="Times New Roman" w:hAnsi="Times New Roman" w:cs="Times New Roman"/>
        </w:rPr>
        <w:t>160 hours per year for compil</w:t>
      </w:r>
      <w:r w:rsidRPr="00F164D8">
        <w:rPr>
          <w:rFonts w:ascii="Times New Roman" w:hAnsi="Times New Roman" w:cs="Times New Roman"/>
        </w:rPr>
        <w:t xml:space="preserve">ing </w:t>
      </w:r>
      <w:r w:rsidRPr="00A67827">
        <w:rPr>
          <w:rFonts w:ascii="Times New Roman" w:hAnsi="Times New Roman" w:cs="Times New Roman"/>
        </w:rPr>
        <w:t xml:space="preserve">the </w:t>
      </w:r>
      <w:r w:rsidRPr="00B37F90">
        <w:rPr>
          <w:rFonts w:ascii="Times New Roman" w:hAnsi="Times New Roman" w:cs="Times New Roman"/>
        </w:rPr>
        <w:t xml:space="preserve">aggregated emissions report from States to ICAO, </w:t>
      </w:r>
      <w:r w:rsidRPr="00AA4293">
        <w:rPr>
          <w:rFonts w:ascii="Times New Roman" w:hAnsi="Times New Roman" w:cs="Times New Roman"/>
        </w:rPr>
        <w:t>10</w:t>
      </w:r>
      <w:r w:rsidRPr="0053361E">
        <w:rPr>
          <w:rFonts w:ascii="Times New Roman" w:hAnsi="Times New Roman" w:cs="Times New Roman"/>
        </w:rPr>
        <w:t xml:space="preserve"> hours per year to submit CO</w:t>
      </w:r>
      <w:r w:rsidRPr="0053361E">
        <w:rPr>
          <w:rFonts w:ascii="Times New Roman" w:hAnsi="Times New Roman" w:cs="Times New Roman"/>
          <w:vertAlign w:val="subscript"/>
        </w:rPr>
        <w:t>2</w:t>
      </w:r>
      <w:r w:rsidRPr="00AA4293">
        <w:rPr>
          <w:rFonts w:ascii="Times New Roman" w:hAnsi="Times New Roman" w:cs="Times New Roman"/>
        </w:rPr>
        <w:t xml:space="preserve"> emissions </w:t>
      </w:r>
      <w:r w:rsidRPr="0053361E">
        <w:rPr>
          <w:rFonts w:ascii="Times New Roman" w:hAnsi="Times New Roman" w:cs="Times New Roman"/>
        </w:rPr>
        <w:t xml:space="preserve">to ICAO and </w:t>
      </w:r>
      <w:r>
        <w:rPr>
          <w:rFonts w:ascii="Times New Roman" w:hAnsi="Times New Roman" w:cs="Times New Roman"/>
        </w:rPr>
        <w:t xml:space="preserve">2 hours for </w:t>
      </w:r>
      <w:r w:rsidRPr="00483091">
        <w:rPr>
          <w:rFonts w:ascii="Times New Roman" w:hAnsi="Times New Roman" w:cs="Times New Roman"/>
        </w:rPr>
        <w:t>submit</w:t>
      </w:r>
      <w:r>
        <w:rPr>
          <w:rFonts w:ascii="Times New Roman" w:hAnsi="Times New Roman" w:cs="Times New Roman"/>
        </w:rPr>
        <w:t xml:space="preserve">ting the </w:t>
      </w:r>
      <w:r w:rsidRPr="00483091">
        <w:rPr>
          <w:rFonts w:ascii="Times New Roman" w:hAnsi="Times New Roman" w:cs="Times New Roman"/>
        </w:rPr>
        <w:t xml:space="preserve">updated list of </w:t>
      </w:r>
      <w:r w:rsidR="00F200EA">
        <w:rPr>
          <w:rFonts w:ascii="Times New Roman" w:hAnsi="Times New Roman" w:cs="Times New Roman"/>
        </w:rPr>
        <w:t>air</w:t>
      </w:r>
      <w:r>
        <w:rPr>
          <w:rFonts w:ascii="Times New Roman" w:hAnsi="Times New Roman" w:cs="Times New Roman"/>
        </w:rPr>
        <w:t xml:space="preserve">plane operators and verifiers </w:t>
      </w:r>
      <w:r w:rsidRPr="00483091">
        <w:rPr>
          <w:rFonts w:ascii="Times New Roman" w:hAnsi="Times New Roman" w:cs="Times New Roman"/>
        </w:rPr>
        <w:t>ICAO</w:t>
      </w:r>
      <w:r>
        <w:rPr>
          <w:rFonts w:ascii="Times New Roman" w:hAnsi="Times New Roman" w:cs="Times New Roman"/>
        </w:rPr>
        <w:t xml:space="preserve">. </w:t>
      </w:r>
    </w:p>
    <w:p w14:paraId="53A9FAC1" w14:textId="64C97EB5" w:rsidR="00483091" w:rsidRDefault="00483091" w:rsidP="00FA1E6E">
      <w:pPr>
        <w:pStyle w:val="NormalWeb"/>
        <w:jc w:val="both"/>
        <w:rPr>
          <w:rFonts w:ascii="Times New Roman" w:hAnsi="Times New Roman" w:cs="Times New Roman"/>
        </w:rPr>
      </w:pPr>
      <w:r>
        <w:rPr>
          <w:rFonts w:ascii="Times New Roman" w:hAnsi="Times New Roman"/>
        </w:rPr>
        <w:t xml:space="preserve">The hourly rate for </w:t>
      </w:r>
      <w:r w:rsidR="00C952D0">
        <w:rPr>
          <w:rFonts w:ascii="Times New Roman" w:hAnsi="Times New Roman"/>
        </w:rPr>
        <w:t xml:space="preserve">the </w:t>
      </w:r>
      <w:r>
        <w:rPr>
          <w:rFonts w:ascii="Times New Roman" w:hAnsi="Times New Roman"/>
        </w:rPr>
        <w:t>review of the Emissions Monitoring Plan</w:t>
      </w:r>
      <w:r w:rsidR="009D69B3">
        <w:rPr>
          <w:rFonts w:ascii="Times New Roman" w:hAnsi="Times New Roman"/>
        </w:rPr>
        <w:t>s</w:t>
      </w:r>
      <w:r>
        <w:rPr>
          <w:rFonts w:ascii="Times New Roman" w:hAnsi="Times New Roman"/>
        </w:rPr>
        <w:t xml:space="preserve"> and Emissions Reports as well as for reporting to ICAO are based on </w:t>
      </w:r>
      <w:r w:rsidR="0053361E">
        <w:rPr>
          <w:rFonts w:ascii="Times New Roman" w:hAnsi="Times New Roman"/>
        </w:rPr>
        <w:t xml:space="preserve">a </w:t>
      </w:r>
      <w:r>
        <w:rPr>
          <w:rFonts w:ascii="Times New Roman" w:hAnsi="Times New Roman"/>
        </w:rPr>
        <w:t xml:space="preserve">mix of </w:t>
      </w:r>
      <w:r w:rsidRPr="00F72251">
        <w:rPr>
          <w:rFonts w:ascii="Times New Roman" w:hAnsi="Times New Roman"/>
        </w:rPr>
        <w:t>wage rate</w:t>
      </w:r>
      <w:r>
        <w:rPr>
          <w:rFonts w:ascii="Times New Roman" w:hAnsi="Times New Roman"/>
        </w:rPr>
        <w:t>s including 10% burden on GS-15 with hourly rate of $57.09 and 90 % burden on a GS-13 with hourly rate of $41.07.</w:t>
      </w:r>
    </w:p>
    <w:p w14:paraId="27FDB360" w14:textId="77777777" w:rsidR="009C24D9" w:rsidRPr="00984FC4" w:rsidRDefault="009C24D9">
      <w:pPr>
        <w:rPr>
          <w:rFonts w:ascii="Times New Roman" w:hAnsi="Times New Roman"/>
          <w:sz w:val="24"/>
          <w:szCs w:val="24"/>
        </w:rPr>
      </w:pPr>
    </w:p>
    <w:p w14:paraId="25D72751" w14:textId="0926B762" w:rsidR="00105F8E" w:rsidRPr="00984FC4" w:rsidRDefault="0004749E" w:rsidP="008F2CDB">
      <w:pPr>
        <w:rPr>
          <w:rFonts w:ascii="Times New Roman" w:hAnsi="Times New Roman"/>
          <w:sz w:val="24"/>
          <w:szCs w:val="24"/>
        </w:rPr>
      </w:pPr>
      <w:r w:rsidRPr="00984FC4">
        <w:rPr>
          <w:rFonts w:ascii="Times New Roman" w:hAnsi="Times New Roman"/>
          <w:bCs/>
          <w:sz w:val="24"/>
          <w:szCs w:val="24"/>
        </w:rPr>
        <w:t xml:space="preserve">15. </w:t>
      </w:r>
      <w:r w:rsidRPr="00984FC4">
        <w:rPr>
          <w:rFonts w:ascii="Times New Roman" w:hAnsi="Times New Roman"/>
          <w:bCs/>
          <w:sz w:val="24"/>
          <w:szCs w:val="24"/>
          <w:u w:val="single"/>
        </w:rPr>
        <w:t>Explanation of program changes or adjustments.</w:t>
      </w:r>
      <w:r w:rsidR="00F200EA">
        <w:rPr>
          <w:rFonts w:ascii="Times New Roman" w:hAnsi="Times New Roman"/>
          <w:b/>
          <w:bCs/>
          <w:sz w:val="24"/>
          <w:szCs w:val="24"/>
        </w:rPr>
        <w:t xml:space="preserve"> </w:t>
      </w:r>
      <w:r w:rsidR="002B5F72" w:rsidRPr="00B24894">
        <w:rPr>
          <w:rFonts w:ascii="Times New Roman" w:hAnsi="Times New Roman"/>
          <w:b/>
          <w:i/>
          <w:sz w:val="24"/>
          <w:szCs w:val="24"/>
        </w:rPr>
        <w:t>Explain the reasons for any program changes or adjustments reported.</w:t>
      </w:r>
    </w:p>
    <w:p w14:paraId="2912AB74" w14:textId="77777777" w:rsidR="00E80B3F" w:rsidRDefault="00E80B3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14:paraId="4A0C0712" w14:textId="24B0AE12" w:rsidR="0004749E" w:rsidRPr="00984FC4" w:rsidRDefault="00F91C2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E80B3F">
        <w:rPr>
          <w:rFonts w:ascii="Times New Roman" w:hAnsi="Times New Roman"/>
          <w:color w:val="auto"/>
        </w:rPr>
        <w:t xml:space="preserve">This is a new </w:t>
      </w:r>
      <w:r w:rsidR="00B15393" w:rsidRPr="00E80B3F">
        <w:rPr>
          <w:rFonts w:ascii="Times New Roman" w:hAnsi="Times New Roman"/>
          <w:color w:val="auto"/>
        </w:rPr>
        <w:t>collection;</w:t>
      </w:r>
      <w:r w:rsidRPr="00E80B3F">
        <w:rPr>
          <w:rFonts w:ascii="Times New Roman" w:hAnsi="Times New Roman"/>
          <w:color w:val="auto"/>
        </w:rPr>
        <w:t xml:space="preserve"> therefore, it is a program change.</w:t>
      </w:r>
      <w:r w:rsidR="008F2CDB" w:rsidRPr="00E80B3F">
        <w:rPr>
          <w:rFonts w:ascii="Times New Roman" w:hAnsi="Times New Roman"/>
          <w:color w:val="auto"/>
        </w:rPr>
        <w:br/>
      </w:r>
    </w:p>
    <w:p w14:paraId="4A7823AA" w14:textId="31C53D53" w:rsidR="00105F8E" w:rsidRPr="00984FC4" w:rsidRDefault="0004749E" w:rsidP="008F2CDB">
      <w:pPr>
        <w:rPr>
          <w:rFonts w:ascii="Times New Roman" w:hAnsi="Times New Roman"/>
          <w:b/>
          <w:sz w:val="24"/>
          <w:szCs w:val="24"/>
        </w:rPr>
      </w:pPr>
      <w:r w:rsidRPr="00984FC4">
        <w:rPr>
          <w:rFonts w:ascii="Times New Roman" w:hAnsi="Times New Roman"/>
          <w:bCs/>
          <w:sz w:val="24"/>
          <w:szCs w:val="24"/>
        </w:rPr>
        <w:t xml:space="preserve">16. </w:t>
      </w:r>
      <w:r w:rsidRPr="00984FC4">
        <w:rPr>
          <w:rFonts w:ascii="Times New Roman" w:hAnsi="Times New Roman"/>
          <w:bCs/>
          <w:sz w:val="24"/>
          <w:szCs w:val="24"/>
          <w:u w:val="single"/>
        </w:rPr>
        <w:t>Publication of results of data collection.</w:t>
      </w:r>
      <w:r w:rsidR="00F200EA">
        <w:rPr>
          <w:rFonts w:ascii="Times New Roman" w:hAnsi="Times New Roman"/>
          <w:b/>
          <w:sz w:val="24"/>
          <w:szCs w:val="24"/>
        </w:rPr>
        <w:t xml:space="preserve"> </w:t>
      </w:r>
      <w:r w:rsidR="002B5F72" w:rsidRPr="00B24894">
        <w:rPr>
          <w:rFonts w:ascii="Times New Roman" w:hAnsi="Times New Roman"/>
          <w:b/>
          <w:i/>
          <w:sz w:val="24"/>
          <w:szCs w:val="24"/>
        </w:rPr>
        <w:t>For collections of information whose results will be published, outline plans for tabulation, and publication.</w:t>
      </w:r>
      <w:r w:rsidR="00F200EA">
        <w:rPr>
          <w:rFonts w:ascii="Times New Roman" w:hAnsi="Times New Roman"/>
          <w:b/>
          <w:i/>
          <w:sz w:val="24"/>
          <w:szCs w:val="24"/>
        </w:rPr>
        <w:t xml:space="preserve"> </w:t>
      </w:r>
      <w:r w:rsidR="002B5F72" w:rsidRPr="00B24894">
        <w:rPr>
          <w:rFonts w:ascii="Times New Roman" w:hAnsi="Times New Roman"/>
          <w:b/>
          <w:i/>
          <w:sz w:val="24"/>
          <w:szCs w:val="24"/>
        </w:rPr>
        <w:t>Address any complex analytical techniques that will be used.</w:t>
      </w:r>
      <w:r w:rsidR="00F200EA">
        <w:rPr>
          <w:rFonts w:ascii="Times New Roman" w:hAnsi="Times New Roman"/>
          <w:b/>
          <w:i/>
          <w:sz w:val="24"/>
          <w:szCs w:val="24"/>
        </w:rPr>
        <w:t xml:space="preserve"> </w:t>
      </w:r>
      <w:r w:rsidR="002B5F72" w:rsidRPr="00B24894">
        <w:rPr>
          <w:rFonts w:ascii="Times New Roman" w:hAnsi="Times New Roman"/>
          <w:b/>
          <w:i/>
          <w:sz w:val="24"/>
          <w:szCs w:val="24"/>
        </w:rPr>
        <w:t>Provide the time schedule for the entire project, including beginning and ending dates of the collection of information, completion of report, publication dates, and other actions.</w:t>
      </w:r>
    </w:p>
    <w:p w14:paraId="1E84E761" w14:textId="77777777" w:rsidR="00E80B3F" w:rsidRDefault="00E80B3F"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14:paraId="7DFD20B2" w14:textId="4FBA6BA8" w:rsidR="008526C9" w:rsidRPr="00E80B3F" w:rsidRDefault="00B15393"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0B3F">
        <w:rPr>
          <w:rFonts w:ascii="Times New Roman" w:hAnsi="Times New Roman"/>
          <w:color w:val="auto"/>
        </w:rPr>
        <w:t xml:space="preserve">The FAA does not plan to </w:t>
      </w:r>
      <w:r w:rsidR="007D75F5" w:rsidRPr="00E80B3F">
        <w:rPr>
          <w:rFonts w:ascii="Times New Roman" w:hAnsi="Times New Roman"/>
          <w:color w:val="auto"/>
        </w:rPr>
        <w:t xml:space="preserve">directly </w:t>
      </w:r>
      <w:r w:rsidRPr="00E80B3F">
        <w:rPr>
          <w:rFonts w:ascii="Times New Roman" w:hAnsi="Times New Roman"/>
          <w:color w:val="auto"/>
        </w:rPr>
        <w:t>publish the results of this data collection.</w:t>
      </w:r>
      <w:r w:rsidR="007D75F5" w:rsidRPr="00E80B3F">
        <w:rPr>
          <w:rFonts w:ascii="Times New Roman" w:hAnsi="Times New Roman"/>
          <w:color w:val="auto"/>
        </w:rPr>
        <w:t xml:space="preserve"> </w:t>
      </w:r>
      <w:r w:rsidR="007D75F5" w:rsidRPr="00E80B3F">
        <w:rPr>
          <w:rFonts w:ascii="Times New Roman" w:hAnsi="Times New Roman"/>
          <w:bCs/>
          <w:color w:val="auto"/>
        </w:rPr>
        <w:t>FAA will, however, share a list of operators that are obligated to submit EMPs with ICAO. FAA will also use the ERs to calculate aggregated emissions data for all U.S. operators at the airport-pair level and submit the aggregated country-pair emissions data to ICAO to demonstrate U.S. implementation of Annex 16 Vol. IV. FAA will not submit any individual operator’s EMPs or ERs to ICAO.</w:t>
      </w:r>
    </w:p>
    <w:p w14:paraId="72DC5B1A" w14:textId="64EB3C50" w:rsidR="0004749E" w:rsidRPr="00984FC4" w:rsidRDefault="00F92057"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984FC4">
        <w:rPr>
          <w:rFonts w:ascii="Times New Roman" w:hAnsi="Times New Roman"/>
        </w:rPr>
        <w:br/>
      </w:r>
      <w:r w:rsidR="0004749E" w:rsidRPr="00984FC4">
        <w:rPr>
          <w:rFonts w:ascii="Times New Roman" w:hAnsi="Times New Roman"/>
          <w:bCs/>
          <w:color w:val="auto"/>
        </w:rPr>
        <w:t xml:space="preserve">17. </w:t>
      </w:r>
      <w:r w:rsidR="0004749E" w:rsidRPr="00984FC4">
        <w:rPr>
          <w:rFonts w:ascii="Times New Roman" w:hAnsi="Times New Roman"/>
          <w:bCs/>
          <w:color w:val="auto"/>
          <w:u w:val="single"/>
        </w:rPr>
        <w:t>Approval for not displaying the expiration date of OMB approval.</w:t>
      </w:r>
      <w:r w:rsidR="00F200EA">
        <w:rPr>
          <w:rFonts w:ascii="Times New Roman" w:hAnsi="Times New Roman"/>
          <w:bCs/>
          <w:color w:val="auto"/>
        </w:rPr>
        <w:t xml:space="preserve"> </w:t>
      </w:r>
      <w:r w:rsidR="002B5F72" w:rsidRPr="00B24894">
        <w:rPr>
          <w:rFonts w:ascii="Times New Roman" w:hAnsi="Times New Roman"/>
          <w:b/>
          <w:i/>
          <w:color w:val="auto"/>
        </w:rPr>
        <w:t>If seeking approval to not display the expiration date for OMB approval of the information collection, explain the reasons that display would be inappropriate.</w:t>
      </w:r>
    </w:p>
    <w:p w14:paraId="6B80EEFE" w14:textId="77777777" w:rsidR="00E80B3F" w:rsidRDefault="00E80B3F"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0A9FD9D4" w14:textId="1A438FCE" w:rsidR="00105F8E" w:rsidRPr="00984FC4" w:rsidRDefault="00E80B3F"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sz w:val="24"/>
          <w:szCs w:val="24"/>
        </w:rPr>
        <w:tab/>
      </w:r>
      <w:r w:rsidR="00F91C28">
        <w:rPr>
          <w:rFonts w:ascii="Times New Roman" w:hAnsi="Times New Roman"/>
          <w:sz w:val="24"/>
          <w:szCs w:val="24"/>
        </w:rPr>
        <w:t>FAA is seeking approval not to display an expiration date fo</w:t>
      </w:r>
      <w:r>
        <w:rPr>
          <w:rFonts w:ascii="Times New Roman" w:hAnsi="Times New Roman"/>
          <w:sz w:val="24"/>
          <w:szCs w:val="24"/>
        </w:rPr>
        <w:t xml:space="preserve">r both the EMP and ER template. </w:t>
      </w:r>
      <w:r w:rsidR="00F91C28">
        <w:rPr>
          <w:rFonts w:ascii="Times New Roman" w:hAnsi="Times New Roman"/>
          <w:sz w:val="24"/>
          <w:szCs w:val="24"/>
        </w:rPr>
        <w:t>Annex 16 Vol. IV only requires an operator to file a single EMP at the start of the MRV process. If, however, an operator experiences substantive changes to its operations that impact the information contained in its EMP it is required to submit an updated EMP. Since the EMP template is not expected to change in future years, but operators may need to submit an updated EMP due to potential operational changes, FAA requests approval not to display an expiration date. Similarly, since Annex 16 Vol. IV requires an operator to submit an annual ER to FAA, and the ER template is not expected to change in future years, FAA requests approval not to display an expiration date.</w:t>
      </w:r>
    </w:p>
    <w:p w14:paraId="3174445A" w14:textId="4FE8BEBA" w:rsidR="00CD7543" w:rsidRPr="006E0ADA" w:rsidRDefault="006C714E" w:rsidP="006E0ADA">
      <w:pPr>
        <w:rPr>
          <w:rFonts w:ascii="Times New Roman" w:hAnsi="Times New Roman"/>
          <w:b/>
          <w:sz w:val="24"/>
          <w:szCs w:val="24"/>
        </w:rPr>
      </w:pPr>
      <w:r w:rsidRPr="00984FC4">
        <w:rPr>
          <w:rFonts w:ascii="Times New Roman" w:hAnsi="Times New Roman"/>
          <w:bCs/>
          <w:sz w:val="24"/>
          <w:szCs w:val="24"/>
        </w:rPr>
        <w:br/>
      </w:r>
      <w:r w:rsidR="0004749E" w:rsidRPr="00984FC4">
        <w:rPr>
          <w:rFonts w:ascii="Times New Roman" w:hAnsi="Times New Roman"/>
          <w:bCs/>
          <w:sz w:val="24"/>
          <w:szCs w:val="24"/>
        </w:rPr>
        <w:t xml:space="preserve">18. </w:t>
      </w:r>
      <w:r w:rsidR="0004749E" w:rsidRPr="00984FC4">
        <w:rPr>
          <w:rFonts w:ascii="Times New Roman" w:hAnsi="Times New Roman"/>
          <w:bCs/>
          <w:sz w:val="24"/>
          <w:szCs w:val="24"/>
          <w:u w:val="single"/>
        </w:rPr>
        <w:t>Exceptions to certification statement.</w:t>
      </w:r>
      <w:r w:rsidR="00F200EA">
        <w:rPr>
          <w:rFonts w:ascii="Times New Roman" w:hAnsi="Times New Roman"/>
          <w:b/>
          <w:bCs/>
          <w:sz w:val="24"/>
          <w:szCs w:val="24"/>
        </w:rPr>
        <w:t xml:space="preserve"> </w:t>
      </w:r>
      <w:r w:rsidR="002B5F72" w:rsidRPr="00B24894">
        <w:rPr>
          <w:rFonts w:ascii="Times New Roman" w:hAnsi="Times New Roman"/>
          <w:b/>
          <w:i/>
          <w:sz w:val="24"/>
          <w:szCs w:val="24"/>
        </w:rPr>
        <w:t>Explain each exception to the certification statement identified in question 19, "Certification for Paperwork Reduction Act Submissions" (attached).</w:t>
      </w:r>
    </w:p>
    <w:p w14:paraId="05B7AE64" w14:textId="77777777" w:rsidR="00E80B3F" w:rsidRDefault="00E80B3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p w14:paraId="7112D212" w14:textId="20295548" w:rsidR="0058152C" w:rsidRPr="00984FC4" w:rsidRDefault="002109B2" w:rsidP="00FF72A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There are no exceptions to the certification statement.</w:t>
      </w:r>
    </w:p>
    <w:sectPr w:rsidR="0058152C" w:rsidRPr="00984FC4" w:rsidSect="00EA5A93">
      <w:footerReference w:type="default" r:id="rId9"/>
      <w:footnotePr>
        <w:numRestart w:val="eachSect"/>
      </w:footnotePr>
      <w:endnotePr>
        <w:numFmt w:val="decimal"/>
      </w:endnotePr>
      <w:pgSz w:w="12240" w:h="15840" w:code="1"/>
      <w:pgMar w:top="1296" w:right="1440" w:bottom="1296"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AE813" w14:textId="77777777" w:rsidR="00775E6F" w:rsidRDefault="00775E6F">
      <w:r>
        <w:separator/>
      </w:r>
    </w:p>
  </w:endnote>
  <w:endnote w:type="continuationSeparator" w:id="0">
    <w:p w14:paraId="09933FE0" w14:textId="77777777" w:rsidR="00775E6F" w:rsidRDefault="0077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4DF5" w14:textId="7C93CCDB" w:rsidR="00172BC0" w:rsidRDefault="00172BC0">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63B4C">
      <w:rPr>
        <w:rStyle w:val="PageNumber"/>
        <w:noProof/>
      </w:rPr>
      <w:t>1</w:t>
    </w:r>
    <w:r>
      <w:rPr>
        <w:rStyle w:val="PageNumber"/>
      </w:rPr>
      <w:fldChar w:fldCharType="end"/>
    </w:r>
  </w:p>
  <w:p w14:paraId="3E267A2F" w14:textId="77777777" w:rsidR="00172BC0" w:rsidRDefault="00172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EAB14" w14:textId="77777777" w:rsidR="00775E6F" w:rsidRDefault="00775E6F">
      <w:r>
        <w:separator/>
      </w:r>
    </w:p>
  </w:footnote>
  <w:footnote w:type="continuationSeparator" w:id="0">
    <w:p w14:paraId="64F27811" w14:textId="77777777" w:rsidR="00775E6F" w:rsidRDefault="00775E6F">
      <w:r>
        <w:continuationSeparator/>
      </w:r>
    </w:p>
  </w:footnote>
  <w:footnote w:id="1">
    <w:p w14:paraId="75FA48F6" w14:textId="16623733" w:rsidR="003A6657" w:rsidRPr="00EF62DA" w:rsidRDefault="003A6657" w:rsidP="003A6657">
      <w:pPr>
        <w:pStyle w:val="FootnoteText"/>
        <w:rPr>
          <w:rFonts w:ascii="Times New Roman" w:hAnsi="Times New Roman"/>
        </w:rPr>
      </w:pPr>
      <w:r w:rsidRPr="00EF62DA">
        <w:rPr>
          <w:rStyle w:val="FootnoteReference"/>
          <w:rFonts w:ascii="Times New Roman" w:hAnsi="Times New Roman"/>
        </w:rPr>
        <w:footnoteRef/>
      </w:r>
      <w:r w:rsidRPr="00EF62DA">
        <w:rPr>
          <w:rFonts w:ascii="Times New Roman" w:hAnsi="Times New Roman"/>
        </w:rPr>
        <w:t xml:space="preserve"> Pursuant to Article 90 of the </w:t>
      </w:r>
      <w:r w:rsidRPr="00EF62DA">
        <w:rPr>
          <w:rFonts w:ascii="Times New Roman" w:hAnsi="Times New Roman"/>
          <w:i/>
          <w:u w:val="single"/>
        </w:rPr>
        <w:t>International Civil Aviation Organization (ICAO), Convention on Civil Aviation (Chicago Convention)</w:t>
      </w:r>
      <w:r w:rsidRPr="00EF62DA">
        <w:rPr>
          <w:rFonts w:ascii="Times New Roman" w:hAnsi="Times New Roman"/>
        </w:rPr>
        <w:t>, “The adoption by the Council of the Annexes … shall then be submitted by the Council to each contracting State. Any such Annex or any amendment of an Annex shall become effective within three months after its submission to the contracting States or at the end of such longer period of time as the Council may prescribe, unless in the meantime a majority of the contracting States register their disapproval with the Council.”</w:t>
      </w:r>
    </w:p>
  </w:footnote>
  <w:footnote w:id="2">
    <w:p w14:paraId="473C2857" w14:textId="268AA17C" w:rsidR="003A6657" w:rsidRPr="00EF62DA" w:rsidRDefault="003A6657" w:rsidP="003E7850">
      <w:pPr>
        <w:pStyle w:val="FootnoteText"/>
        <w:rPr>
          <w:rFonts w:ascii="Times New Roman" w:hAnsi="Times New Roman"/>
        </w:rPr>
      </w:pPr>
      <w:r w:rsidRPr="00EF62DA">
        <w:rPr>
          <w:rStyle w:val="FootnoteReference"/>
          <w:rFonts w:ascii="Times New Roman" w:hAnsi="Times New Roman"/>
        </w:rPr>
        <w:footnoteRef/>
      </w:r>
      <w:r w:rsidRPr="00EF62DA">
        <w:rPr>
          <w:rFonts w:ascii="Times New Roman" w:hAnsi="Times New Roman"/>
        </w:rPr>
        <w:t xml:space="preserve"> </w:t>
      </w:r>
      <w:r w:rsidR="003E7850">
        <w:rPr>
          <w:rFonts w:ascii="Times New Roman" w:hAnsi="Times New Roman"/>
        </w:rPr>
        <w:t xml:space="preserve">Pursuant to Article 38 of the </w:t>
      </w:r>
      <w:r w:rsidR="003E7850" w:rsidRPr="00EF62DA">
        <w:rPr>
          <w:rFonts w:ascii="Times New Roman" w:hAnsi="Times New Roman"/>
          <w:i/>
          <w:u w:val="single"/>
        </w:rPr>
        <w:t>Chicago Convention</w:t>
      </w:r>
      <w:r w:rsidR="003E7850">
        <w:rPr>
          <w:rFonts w:ascii="Times New Roman" w:hAnsi="Times New Roman"/>
        </w:rPr>
        <w:t>, “</w:t>
      </w:r>
      <w:r w:rsidR="003E7850" w:rsidRPr="003E7850">
        <w:rPr>
          <w:rFonts w:ascii="Times New Roman" w:hAnsi="Times New Roman"/>
        </w:rPr>
        <w:t>Any State which finds it impracticable to comply in all</w:t>
      </w:r>
      <w:r w:rsidR="00F200EA">
        <w:rPr>
          <w:rFonts w:ascii="Times New Roman" w:hAnsi="Times New Roman"/>
        </w:rPr>
        <w:t xml:space="preserve"> </w:t>
      </w:r>
      <w:r w:rsidR="003E7850" w:rsidRPr="003E7850">
        <w:rPr>
          <w:rFonts w:ascii="Times New Roman" w:hAnsi="Times New Roman"/>
        </w:rPr>
        <w:t>respects with any such inte</w:t>
      </w:r>
      <w:r w:rsidR="003E7850">
        <w:rPr>
          <w:rFonts w:ascii="Times New Roman" w:hAnsi="Times New Roman"/>
        </w:rPr>
        <w:t>rnational standard or procedure</w:t>
      </w:r>
      <w:r w:rsidR="003E7850" w:rsidRPr="003E7850">
        <w:rPr>
          <w:rFonts w:ascii="Times New Roman" w:hAnsi="Times New Roman"/>
        </w:rPr>
        <w:t xml:space="preserve"> </w:t>
      </w:r>
      <w:r w:rsidR="003E7850">
        <w:rPr>
          <w:rFonts w:ascii="Times New Roman" w:hAnsi="Times New Roman"/>
        </w:rPr>
        <w:t>…</w:t>
      </w:r>
      <w:r w:rsidR="003E7850" w:rsidRPr="003E7850">
        <w:rPr>
          <w:rFonts w:ascii="Times New Roman" w:hAnsi="Times New Roman"/>
        </w:rPr>
        <w:t xml:space="preserve"> or which deems it necessary to adopt regulations or</w:t>
      </w:r>
      <w:r w:rsidR="003E7850">
        <w:rPr>
          <w:rFonts w:ascii="Times New Roman" w:hAnsi="Times New Roman"/>
        </w:rPr>
        <w:t xml:space="preserve"> </w:t>
      </w:r>
      <w:r w:rsidR="003E7850" w:rsidRPr="003E7850">
        <w:rPr>
          <w:rFonts w:ascii="Times New Roman" w:hAnsi="Times New Roman"/>
        </w:rPr>
        <w:t>practices differing in any particular respect from those</w:t>
      </w:r>
      <w:r w:rsidR="003E7850">
        <w:rPr>
          <w:rFonts w:ascii="Times New Roman" w:hAnsi="Times New Roman"/>
        </w:rPr>
        <w:t xml:space="preserve"> </w:t>
      </w:r>
      <w:r w:rsidR="003E7850" w:rsidRPr="003E7850">
        <w:rPr>
          <w:rFonts w:ascii="Times New Roman" w:hAnsi="Times New Roman"/>
        </w:rPr>
        <w:t>established by an international standard, shall give immediate</w:t>
      </w:r>
      <w:r w:rsidR="003E7850">
        <w:rPr>
          <w:rFonts w:ascii="Times New Roman" w:hAnsi="Times New Roman"/>
        </w:rPr>
        <w:t xml:space="preserve"> </w:t>
      </w:r>
      <w:r w:rsidR="003E7850" w:rsidRPr="003E7850">
        <w:rPr>
          <w:rFonts w:ascii="Times New Roman" w:hAnsi="Times New Roman"/>
        </w:rPr>
        <w:t xml:space="preserve">notification </w:t>
      </w:r>
      <w:r w:rsidR="003E7850">
        <w:rPr>
          <w:rFonts w:ascii="Times New Roman" w:hAnsi="Times New Roman"/>
        </w:rPr>
        <w:t>…</w:t>
      </w:r>
      <w:r w:rsidR="003E7850" w:rsidRPr="003E7850">
        <w:rPr>
          <w:rFonts w:ascii="Times New Roman" w:hAnsi="Times New Roman"/>
        </w:rPr>
        <w:t xml:space="preserve"> of</w:t>
      </w:r>
      <w:r w:rsidR="003E7850">
        <w:rPr>
          <w:rFonts w:ascii="Times New Roman" w:hAnsi="Times New Roman"/>
        </w:rPr>
        <w:t xml:space="preserve"> </w:t>
      </w:r>
      <w:r w:rsidR="003E7850" w:rsidRPr="003E7850">
        <w:rPr>
          <w:rFonts w:ascii="Times New Roman" w:hAnsi="Times New Roman"/>
        </w:rPr>
        <w:t>the differences between its own practice and that established by</w:t>
      </w:r>
      <w:r w:rsidR="003E7850">
        <w:rPr>
          <w:rFonts w:ascii="Times New Roman" w:hAnsi="Times New Roman"/>
        </w:rPr>
        <w:t xml:space="preserve"> </w:t>
      </w:r>
      <w:r w:rsidR="003E7850" w:rsidRPr="003E7850">
        <w:rPr>
          <w:rFonts w:ascii="Times New Roman" w:hAnsi="Times New Roman"/>
        </w:rPr>
        <w:t>the international standard. In the case of amendments to</w:t>
      </w:r>
      <w:r w:rsidR="003E7850">
        <w:rPr>
          <w:rFonts w:ascii="Times New Roman" w:hAnsi="Times New Roman"/>
        </w:rPr>
        <w:t xml:space="preserve"> </w:t>
      </w:r>
      <w:r w:rsidR="003E7850" w:rsidRPr="003E7850">
        <w:rPr>
          <w:rFonts w:ascii="Times New Roman" w:hAnsi="Times New Roman"/>
        </w:rPr>
        <w:t>international standards, any State which does not make the</w:t>
      </w:r>
      <w:r w:rsidR="003E7850">
        <w:rPr>
          <w:rFonts w:ascii="Times New Roman" w:hAnsi="Times New Roman"/>
        </w:rPr>
        <w:t xml:space="preserve"> </w:t>
      </w:r>
      <w:r w:rsidR="003E7850" w:rsidRPr="003E7850">
        <w:rPr>
          <w:rFonts w:ascii="Times New Roman" w:hAnsi="Times New Roman"/>
        </w:rPr>
        <w:t>appropriate amendments to its own regulations or practices</w:t>
      </w:r>
      <w:r w:rsidR="003E7850">
        <w:rPr>
          <w:rFonts w:ascii="Times New Roman" w:hAnsi="Times New Roman"/>
        </w:rPr>
        <w:t xml:space="preserve"> </w:t>
      </w:r>
      <w:r w:rsidR="003E7850" w:rsidRPr="003E7850">
        <w:rPr>
          <w:rFonts w:ascii="Times New Roman" w:hAnsi="Times New Roman"/>
        </w:rPr>
        <w:t>shall give notice to the Council within sixty days of the</w:t>
      </w:r>
      <w:r w:rsidR="003E7850">
        <w:rPr>
          <w:rFonts w:ascii="Times New Roman" w:hAnsi="Times New Roman"/>
        </w:rPr>
        <w:t xml:space="preserve"> </w:t>
      </w:r>
      <w:r w:rsidR="003E7850" w:rsidRPr="003E7850">
        <w:rPr>
          <w:rFonts w:ascii="Times New Roman" w:hAnsi="Times New Roman"/>
        </w:rPr>
        <w:t>adoption of the amendment to the international standard, or</w:t>
      </w:r>
      <w:r w:rsidR="003E7850">
        <w:rPr>
          <w:rFonts w:ascii="Times New Roman" w:hAnsi="Times New Roman"/>
        </w:rPr>
        <w:t xml:space="preserve"> indicate the action which it proposes to take. In any such case, the Council shall make immediate notification to all other states of the difference which exists between one or more features of an international standard and the corresponding national practice of that State.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0D7EC0"/>
    <w:multiLevelType w:val="hybridMultilevel"/>
    <w:tmpl w:val="C842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D020D4"/>
    <w:multiLevelType w:val="hybridMultilevel"/>
    <w:tmpl w:val="5068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63261A1"/>
    <w:multiLevelType w:val="hybridMultilevel"/>
    <w:tmpl w:val="2C9C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0330497"/>
    <w:multiLevelType w:val="hybridMultilevel"/>
    <w:tmpl w:val="8534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A392CEB"/>
    <w:multiLevelType w:val="hybridMultilevel"/>
    <w:tmpl w:val="1D40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2"/>
  </w:num>
  <w:num w:numId="5">
    <w:abstractNumId w:val="11"/>
  </w:num>
  <w:num w:numId="6">
    <w:abstractNumId w:val="6"/>
  </w:num>
  <w:num w:numId="7">
    <w:abstractNumId w:val="10"/>
  </w:num>
  <w:num w:numId="8">
    <w:abstractNumId w:val="8"/>
  </w:num>
  <w:num w:numId="9">
    <w:abstractNumId w:val="2"/>
  </w:num>
  <w:num w:numId="10">
    <w:abstractNumId w:val="9"/>
  </w:num>
  <w:num w:numId="11">
    <w:abstractNumId w:val="1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1737"/>
    <w:rsid w:val="00001B66"/>
    <w:rsid w:val="00010672"/>
    <w:rsid w:val="000136A7"/>
    <w:rsid w:val="00017FFE"/>
    <w:rsid w:val="00023BD9"/>
    <w:rsid w:val="00023D75"/>
    <w:rsid w:val="000255E9"/>
    <w:rsid w:val="00026424"/>
    <w:rsid w:val="000300A4"/>
    <w:rsid w:val="000363CC"/>
    <w:rsid w:val="0004749E"/>
    <w:rsid w:val="0005225F"/>
    <w:rsid w:val="000819E6"/>
    <w:rsid w:val="00081F07"/>
    <w:rsid w:val="0008270D"/>
    <w:rsid w:val="0008640B"/>
    <w:rsid w:val="000868A9"/>
    <w:rsid w:val="000A1520"/>
    <w:rsid w:val="000C740B"/>
    <w:rsid w:val="000D7C3D"/>
    <w:rsid w:val="000E1417"/>
    <w:rsid w:val="0010206C"/>
    <w:rsid w:val="00103851"/>
    <w:rsid w:val="00105F8E"/>
    <w:rsid w:val="0011019C"/>
    <w:rsid w:val="001242C9"/>
    <w:rsid w:val="00124D16"/>
    <w:rsid w:val="00125488"/>
    <w:rsid w:val="0012676D"/>
    <w:rsid w:val="00134020"/>
    <w:rsid w:val="00136F80"/>
    <w:rsid w:val="0014050B"/>
    <w:rsid w:val="00144ABD"/>
    <w:rsid w:val="00150D21"/>
    <w:rsid w:val="00152518"/>
    <w:rsid w:val="00153C50"/>
    <w:rsid w:val="0015642C"/>
    <w:rsid w:val="00166B55"/>
    <w:rsid w:val="00172BC0"/>
    <w:rsid w:val="00173F30"/>
    <w:rsid w:val="00174B30"/>
    <w:rsid w:val="001760BA"/>
    <w:rsid w:val="001766D3"/>
    <w:rsid w:val="0018038A"/>
    <w:rsid w:val="00187C63"/>
    <w:rsid w:val="001900B2"/>
    <w:rsid w:val="00192619"/>
    <w:rsid w:val="001B3F69"/>
    <w:rsid w:val="001B506C"/>
    <w:rsid w:val="001B624B"/>
    <w:rsid w:val="001D0E92"/>
    <w:rsid w:val="001E165C"/>
    <w:rsid w:val="001E45C3"/>
    <w:rsid w:val="001E649F"/>
    <w:rsid w:val="001F04E0"/>
    <w:rsid w:val="001F3A57"/>
    <w:rsid w:val="001F6548"/>
    <w:rsid w:val="001F6C1C"/>
    <w:rsid w:val="00207228"/>
    <w:rsid w:val="002109B2"/>
    <w:rsid w:val="00215EFF"/>
    <w:rsid w:val="00217246"/>
    <w:rsid w:val="0022133D"/>
    <w:rsid w:val="00225F10"/>
    <w:rsid w:val="00232866"/>
    <w:rsid w:val="002375D6"/>
    <w:rsid w:val="0025358E"/>
    <w:rsid w:val="002668D8"/>
    <w:rsid w:val="00271726"/>
    <w:rsid w:val="00275D4C"/>
    <w:rsid w:val="00277D78"/>
    <w:rsid w:val="00281FE9"/>
    <w:rsid w:val="00287483"/>
    <w:rsid w:val="00292540"/>
    <w:rsid w:val="00292D93"/>
    <w:rsid w:val="00295F3A"/>
    <w:rsid w:val="002B5F72"/>
    <w:rsid w:val="002C27AD"/>
    <w:rsid w:val="002C5F48"/>
    <w:rsid w:val="002D3D23"/>
    <w:rsid w:val="002E2B13"/>
    <w:rsid w:val="002F1FB9"/>
    <w:rsid w:val="002F6900"/>
    <w:rsid w:val="002F6F7E"/>
    <w:rsid w:val="002F72A6"/>
    <w:rsid w:val="00316016"/>
    <w:rsid w:val="00316030"/>
    <w:rsid w:val="003203C2"/>
    <w:rsid w:val="003250DC"/>
    <w:rsid w:val="00326B0C"/>
    <w:rsid w:val="0034190F"/>
    <w:rsid w:val="003645AC"/>
    <w:rsid w:val="003646F3"/>
    <w:rsid w:val="00366718"/>
    <w:rsid w:val="00370645"/>
    <w:rsid w:val="003728FC"/>
    <w:rsid w:val="003768B4"/>
    <w:rsid w:val="003A6657"/>
    <w:rsid w:val="003C2514"/>
    <w:rsid w:val="003C52E8"/>
    <w:rsid w:val="003C5ECB"/>
    <w:rsid w:val="003D3652"/>
    <w:rsid w:val="003D5292"/>
    <w:rsid w:val="003E6F53"/>
    <w:rsid w:val="003E7850"/>
    <w:rsid w:val="0040781A"/>
    <w:rsid w:val="004212A3"/>
    <w:rsid w:val="004272E1"/>
    <w:rsid w:val="00432913"/>
    <w:rsid w:val="00433E89"/>
    <w:rsid w:val="0044001F"/>
    <w:rsid w:val="00442051"/>
    <w:rsid w:val="0044683C"/>
    <w:rsid w:val="00450B83"/>
    <w:rsid w:val="00451FDF"/>
    <w:rsid w:val="004644C1"/>
    <w:rsid w:val="00470720"/>
    <w:rsid w:val="00476175"/>
    <w:rsid w:val="00483091"/>
    <w:rsid w:val="00493389"/>
    <w:rsid w:val="004A2B18"/>
    <w:rsid w:val="004A4FAE"/>
    <w:rsid w:val="004C0239"/>
    <w:rsid w:val="004C3362"/>
    <w:rsid w:val="004C452B"/>
    <w:rsid w:val="004C660E"/>
    <w:rsid w:val="004D5599"/>
    <w:rsid w:val="004E08C2"/>
    <w:rsid w:val="004E7BA8"/>
    <w:rsid w:val="005000D6"/>
    <w:rsid w:val="0050711D"/>
    <w:rsid w:val="005243DE"/>
    <w:rsid w:val="00527C7B"/>
    <w:rsid w:val="00530FEF"/>
    <w:rsid w:val="0053361E"/>
    <w:rsid w:val="005404CF"/>
    <w:rsid w:val="00540D50"/>
    <w:rsid w:val="00544A68"/>
    <w:rsid w:val="00544EDF"/>
    <w:rsid w:val="00550360"/>
    <w:rsid w:val="005507EB"/>
    <w:rsid w:val="00552BB5"/>
    <w:rsid w:val="005534B5"/>
    <w:rsid w:val="0055396A"/>
    <w:rsid w:val="00560496"/>
    <w:rsid w:val="00563B4C"/>
    <w:rsid w:val="00563EA9"/>
    <w:rsid w:val="00565939"/>
    <w:rsid w:val="0057531E"/>
    <w:rsid w:val="005802B3"/>
    <w:rsid w:val="0058152C"/>
    <w:rsid w:val="005853E3"/>
    <w:rsid w:val="00592AE0"/>
    <w:rsid w:val="005952AE"/>
    <w:rsid w:val="005954C2"/>
    <w:rsid w:val="005A3C0A"/>
    <w:rsid w:val="005B58C2"/>
    <w:rsid w:val="005C763B"/>
    <w:rsid w:val="005D2E19"/>
    <w:rsid w:val="005D329E"/>
    <w:rsid w:val="005E5D46"/>
    <w:rsid w:val="005F3DDC"/>
    <w:rsid w:val="006016A1"/>
    <w:rsid w:val="0060198E"/>
    <w:rsid w:val="00607238"/>
    <w:rsid w:val="00615B53"/>
    <w:rsid w:val="0062343B"/>
    <w:rsid w:val="00626E83"/>
    <w:rsid w:val="0063132E"/>
    <w:rsid w:val="00634F13"/>
    <w:rsid w:val="00635113"/>
    <w:rsid w:val="006447B8"/>
    <w:rsid w:val="0066440E"/>
    <w:rsid w:val="00670D1D"/>
    <w:rsid w:val="0069354A"/>
    <w:rsid w:val="006B401F"/>
    <w:rsid w:val="006C3506"/>
    <w:rsid w:val="006C714E"/>
    <w:rsid w:val="006E0380"/>
    <w:rsid w:val="006E0ADA"/>
    <w:rsid w:val="006E5E21"/>
    <w:rsid w:val="00712B8E"/>
    <w:rsid w:val="007141CA"/>
    <w:rsid w:val="00725A65"/>
    <w:rsid w:val="007260B7"/>
    <w:rsid w:val="00742353"/>
    <w:rsid w:val="00743F2F"/>
    <w:rsid w:val="00750D7E"/>
    <w:rsid w:val="00752C80"/>
    <w:rsid w:val="00762C08"/>
    <w:rsid w:val="0076672C"/>
    <w:rsid w:val="007719E4"/>
    <w:rsid w:val="00773840"/>
    <w:rsid w:val="00775E6F"/>
    <w:rsid w:val="00781629"/>
    <w:rsid w:val="007972A1"/>
    <w:rsid w:val="007A607D"/>
    <w:rsid w:val="007B07F0"/>
    <w:rsid w:val="007B1C6D"/>
    <w:rsid w:val="007B4CE7"/>
    <w:rsid w:val="007B6E01"/>
    <w:rsid w:val="007B758D"/>
    <w:rsid w:val="007C0BDF"/>
    <w:rsid w:val="007C1178"/>
    <w:rsid w:val="007C59DE"/>
    <w:rsid w:val="007C5CA8"/>
    <w:rsid w:val="007D17E5"/>
    <w:rsid w:val="007D3F1B"/>
    <w:rsid w:val="007D6000"/>
    <w:rsid w:val="007D75F5"/>
    <w:rsid w:val="007F03C1"/>
    <w:rsid w:val="007F0737"/>
    <w:rsid w:val="007F50D1"/>
    <w:rsid w:val="00804A6A"/>
    <w:rsid w:val="00821A60"/>
    <w:rsid w:val="00830F5D"/>
    <w:rsid w:val="00836053"/>
    <w:rsid w:val="00846049"/>
    <w:rsid w:val="008476CA"/>
    <w:rsid w:val="008526C9"/>
    <w:rsid w:val="0088254B"/>
    <w:rsid w:val="00894956"/>
    <w:rsid w:val="008A4F60"/>
    <w:rsid w:val="008B572C"/>
    <w:rsid w:val="008D34A3"/>
    <w:rsid w:val="008F2CDB"/>
    <w:rsid w:val="008F44A7"/>
    <w:rsid w:val="00902DFA"/>
    <w:rsid w:val="0091167B"/>
    <w:rsid w:val="00912A66"/>
    <w:rsid w:val="0091309D"/>
    <w:rsid w:val="009222AF"/>
    <w:rsid w:val="00923E03"/>
    <w:rsid w:val="00925966"/>
    <w:rsid w:val="009260B3"/>
    <w:rsid w:val="00931A1A"/>
    <w:rsid w:val="00940932"/>
    <w:rsid w:val="009455A4"/>
    <w:rsid w:val="009513CB"/>
    <w:rsid w:val="00953E48"/>
    <w:rsid w:val="00960C75"/>
    <w:rsid w:val="00964A6D"/>
    <w:rsid w:val="0096745C"/>
    <w:rsid w:val="00984FC4"/>
    <w:rsid w:val="00992736"/>
    <w:rsid w:val="009C24D9"/>
    <w:rsid w:val="009C5183"/>
    <w:rsid w:val="009D06C7"/>
    <w:rsid w:val="009D4914"/>
    <w:rsid w:val="009D4A4B"/>
    <w:rsid w:val="009D4F72"/>
    <w:rsid w:val="009D69B3"/>
    <w:rsid w:val="009F4889"/>
    <w:rsid w:val="009F7099"/>
    <w:rsid w:val="00A040C9"/>
    <w:rsid w:val="00A06839"/>
    <w:rsid w:val="00A06EA6"/>
    <w:rsid w:val="00A0742B"/>
    <w:rsid w:val="00A30CB0"/>
    <w:rsid w:val="00A37EEA"/>
    <w:rsid w:val="00A4212E"/>
    <w:rsid w:val="00A425EE"/>
    <w:rsid w:val="00A53FC4"/>
    <w:rsid w:val="00A669DD"/>
    <w:rsid w:val="00A66C12"/>
    <w:rsid w:val="00A67827"/>
    <w:rsid w:val="00A70F72"/>
    <w:rsid w:val="00A72E59"/>
    <w:rsid w:val="00A77CC5"/>
    <w:rsid w:val="00A92595"/>
    <w:rsid w:val="00A959DE"/>
    <w:rsid w:val="00A95CDB"/>
    <w:rsid w:val="00AA151E"/>
    <w:rsid w:val="00AA4293"/>
    <w:rsid w:val="00AB5F53"/>
    <w:rsid w:val="00AC7F26"/>
    <w:rsid w:val="00AD31F2"/>
    <w:rsid w:val="00AE05F6"/>
    <w:rsid w:val="00AE0AA6"/>
    <w:rsid w:val="00AE3A29"/>
    <w:rsid w:val="00B00B82"/>
    <w:rsid w:val="00B15393"/>
    <w:rsid w:val="00B15C6A"/>
    <w:rsid w:val="00B22478"/>
    <w:rsid w:val="00B24894"/>
    <w:rsid w:val="00B279CA"/>
    <w:rsid w:val="00B338AE"/>
    <w:rsid w:val="00B37F90"/>
    <w:rsid w:val="00B40C47"/>
    <w:rsid w:val="00B47995"/>
    <w:rsid w:val="00B50A9B"/>
    <w:rsid w:val="00B604E8"/>
    <w:rsid w:val="00B861E4"/>
    <w:rsid w:val="00B86700"/>
    <w:rsid w:val="00B90196"/>
    <w:rsid w:val="00B91E6A"/>
    <w:rsid w:val="00BA051E"/>
    <w:rsid w:val="00BA0DB7"/>
    <w:rsid w:val="00BA2397"/>
    <w:rsid w:val="00BA7B69"/>
    <w:rsid w:val="00BB1E75"/>
    <w:rsid w:val="00BB357E"/>
    <w:rsid w:val="00BC0F57"/>
    <w:rsid w:val="00BC44AC"/>
    <w:rsid w:val="00BD120B"/>
    <w:rsid w:val="00BD602C"/>
    <w:rsid w:val="00BE1559"/>
    <w:rsid w:val="00C02C9A"/>
    <w:rsid w:val="00C07C38"/>
    <w:rsid w:val="00C116CE"/>
    <w:rsid w:val="00C123C1"/>
    <w:rsid w:val="00C25996"/>
    <w:rsid w:val="00C323E4"/>
    <w:rsid w:val="00C34EE9"/>
    <w:rsid w:val="00C35AE1"/>
    <w:rsid w:val="00C3698D"/>
    <w:rsid w:val="00C42ACD"/>
    <w:rsid w:val="00C45D36"/>
    <w:rsid w:val="00C5795F"/>
    <w:rsid w:val="00C64091"/>
    <w:rsid w:val="00C64928"/>
    <w:rsid w:val="00C64AEA"/>
    <w:rsid w:val="00C70896"/>
    <w:rsid w:val="00C73A70"/>
    <w:rsid w:val="00C75B1F"/>
    <w:rsid w:val="00C8583A"/>
    <w:rsid w:val="00C91203"/>
    <w:rsid w:val="00C952D0"/>
    <w:rsid w:val="00CA37E0"/>
    <w:rsid w:val="00CA520A"/>
    <w:rsid w:val="00CA6A61"/>
    <w:rsid w:val="00CB138C"/>
    <w:rsid w:val="00CD7543"/>
    <w:rsid w:val="00CE2949"/>
    <w:rsid w:val="00D04573"/>
    <w:rsid w:val="00D04BD8"/>
    <w:rsid w:val="00D21FEB"/>
    <w:rsid w:val="00D22957"/>
    <w:rsid w:val="00D24390"/>
    <w:rsid w:val="00D35399"/>
    <w:rsid w:val="00D3712E"/>
    <w:rsid w:val="00D57977"/>
    <w:rsid w:val="00D70A81"/>
    <w:rsid w:val="00D75C7C"/>
    <w:rsid w:val="00D843ED"/>
    <w:rsid w:val="00D85734"/>
    <w:rsid w:val="00D858D1"/>
    <w:rsid w:val="00D868BD"/>
    <w:rsid w:val="00D92D5D"/>
    <w:rsid w:val="00D965BB"/>
    <w:rsid w:val="00DB7060"/>
    <w:rsid w:val="00DC6054"/>
    <w:rsid w:val="00DF1E19"/>
    <w:rsid w:val="00E04302"/>
    <w:rsid w:val="00E11E2E"/>
    <w:rsid w:val="00E20E36"/>
    <w:rsid w:val="00E23E12"/>
    <w:rsid w:val="00E25C2D"/>
    <w:rsid w:val="00E378C2"/>
    <w:rsid w:val="00E40199"/>
    <w:rsid w:val="00E41AE0"/>
    <w:rsid w:val="00E42C3A"/>
    <w:rsid w:val="00E467D7"/>
    <w:rsid w:val="00E56D2D"/>
    <w:rsid w:val="00E672A1"/>
    <w:rsid w:val="00E70770"/>
    <w:rsid w:val="00E7734A"/>
    <w:rsid w:val="00E80B3F"/>
    <w:rsid w:val="00E82734"/>
    <w:rsid w:val="00EA5A93"/>
    <w:rsid w:val="00EB2A23"/>
    <w:rsid w:val="00EC2C99"/>
    <w:rsid w:val="00EC3AA9"/>
    <w:rsid w:val="00ED1E13"/>
    <w:rsid w:val="00EE24F1"/>
    <w:rsid w:val="00EE5C97"/>
    <w:rsid w:val="00EE6D74"/>
    <w:rsid w:val="00EF62DA"/>
    <w:rsid w:val="00F12057"/>
    <w:rsid w:val="00F164D8"/>
    <w:rsid w:val="00F200BA"/>
    <w:rsid w:val="00F200EA"/>
    <w:rsid w:val="00F251F4"/>
    <w:rsid w:val="00F30543"/>
    <w:rsid w:val="00F365ED"/>
    <w:rsid w:val="00F44617"/>
    <w:rsid w:val="00F52352"/>
    <w:rsid w:val="00F53FB7"/>
    <w:rsid w:val="00F6110B"/>
    <w:rsid w:val="00F72251"/>
    <w:rsid w:val="00F80416"/>
    <w:rsid w:val="00F82267"/>
    <w:rsid w:val="00F904A1"/>
    <w:rsid w:val="00F91C28"/>
    <w:rsid w:val="00F92057"/>
    <w:rsid w:val="00F93A39"/>
    <w:rsid w:val="00FA079D"/>
    <w:rsid w:val="00FA153C"/>
    <w:rsid w:val="00FA1E6E"/>
    <w:rsid w:val="00FA3AD1"/>
    <w:rsid w:val="00FA4BEE"/>
    <w:rsid w:val="00FB2313"/>
    <w:rsid w:val="00FB5CE7"/>
    <w:rsid w:val="00FC1529"/>
    <w:rsid w:val="00FD6188"/>
    <w:rsid w:val="00FE7F0F"/>
    <w:rsid w:val="00FF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0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semiHidden/>
    <w:unhideWhenUsed/>
    <w:rsid w:val="005853E3"/>
    <w:rPr>
      <w:rFonts w:ascii="Segoe UI" w:hAnsi="Segoe UI" w:cs="Segoe UI"/>
      <w:sz w:val="18"/>
      <w:szCs w:val="18"/>
    </w:rPr>
  </w:style>
  <w:style w:type="character" w:customStyle="1" w:styleId="BalloonTextChar">
    <w:name w:val="Balloon Text Char"/>
    <w:basedOn w:val="DefaultParagraphFont"/>
    <w:link w:val="BalloonText"/>
    <w:semiHidden/>
    <w:rsid w:val="005853E3"/>
    <w:rPr>
      <w:rFonts w:ascii="Segoe UI" w:hAnsi="Segoe UI" w:cs="Segoe UI"/>
      <w:sz w:val="18"/>
      <w:szCs w:val="18"/>
    </w:rPr>
  </w:style>
  <w:style w:type="paragraph" w:styleId="ListParagraph">
    <w:name w:val="List Paragraph"/>
    <w:basedOn w:val="Normal"/>
    <w:uiPriority w:val="34"/>
    <w:qFormat/>
    <w:rsid w:val="00FB2313"/>
    <w:pPr>
      <w:ind w:left="720"/>
      <w:contextualSpacing/>
    </w:pPr>
  </w:style>
  <w:style w:type="character" w:styleId="CommentReference">
    <w:name w:val="annotation reference"/>
    <w:basedOn w:val="DefaultParagraphFont"/>
    <w:semiHidden/>
    <w:unhideWhenUsed/>
    <w:rsid w:val="002C5F48"/>
    <w:rPr>
      <w:sz w:val="16"/>
      <w:szCs w:val="16"/>
    </w:rPr>
  </w:style>
  <w:style w:type="paragraph" w:styleId="CommentText">
    <w:name w:val="annotation text"/>
    <w:basedOn w:val="Normal"/>
    <w:link w:val="CommentTextChar"/>
    <w:semiHidden/>
    <w:unhideWhenUsed/>
    <w:rsid w:val="002C5F48"/>
  </w:style>
  <w:style w:type="character" w:customStyle="1" w:styleId="CommentTextChar">
    <w:name w:val="Comment Text Char"/>
    <w:basedOn w:val="DefaultParagraphFont"/>
    <w:link w:val="CommentText"/>
    <w:semiHidden/>
    <w:rsid w:val="002C5F48"/>
    <w:rPr>
      <w:rFonts w:ascii="Letter Gothic 12cpi" w:hAnsi="Letter Gothic 12cpi"/>
    </w:rPr>
  </w:style>
  <w:style w:type="paragraph" w:styleId="CommentSubject">
    <w:name w:val="annotation subject"/>
    <w:basedOn w:val="CommentText"/>
    <w:next w:val="CommentText"/>
    <w:link w:val="CommentSubjectChar"/>
    <w:semiHidden/>
    <w:unhideWhenUsed/>
    <w:rsid w:val="002C5F48"/>
    <w:rPr>
      <w:b/>
      <w:bCs/>
    </w:rPr>
  </w:style>
  <w:style w:type="character" w:customStyle="1" w:styleId="CommentSubjectChar">
    <w:name w:val="Comment Subject Char"/>
    <w:basedOn w:val="CommentTextChar"/>
    <w:link w:val="CommentSubject"/>
    <w:semiHidden/>
    <w:rsid w:val="002C5F48"/>
    <w:rPr>
      <w:rFonts w:ascii="Letter Gothic 12cpi" w:hAnsi="Letter Gothic 12cpi"/>
      <w:b/>
      <w:bCs/>
    </w:rPr>
  </w:style>
  <w:style w:type="paragraph" w:styleId="Revision">
    <w:name w:val="Revision"/>
    <w:hidden/>
    <w:uiPriority w:val="99"/>
    <w:semiHidden/>
    <w:rsid w:val="00773840"/>
    <w:rPr>
      <w:rFonts w:ascii="Letter Gothic 12cpi" w:hAnsi="Letter Gothic 12cpi"/>
    </w:rPr>
  </w:style>
  <w:style w:type="character" w:customStyle="1" w:styleId="BodyText3Char">
    <w:name w:val="Body Text 3 Char"/>
    <w:basedOn w:val="DefaultParagraphFont"/>
    <w:link w:val="BodyText3"/>
    <w:rsid w:val="00C116CE"/>
    <w:rPr>
      <w:rFonts w:ascii="Letter Gothic 12cpi" w:hAnsi="Letter Gothic 12cpi"/>
      <w:color w:val="FF0000"/>
      <w:sz w:val="24"/>
      <w:szCs w:val="24"/>
    </w:rPr>
  </w:style>
  <w:style w:type="paragraph" w:styleId="FootnoteText">
    <w:name w:val="footnote text"/>
    <w:basedOn w:val="Normal"/>
    <w:link w:val="FootnoteTextChar"/>
    <w:semiHidden/>
    <w:unhideWhenUsed/>
    <w:rsid w:val="003A6657"/>
  </w:style>
  <w:style w:type="character" w:customStyle="1" w:styleId="FootnoteTextChar">
    <w:name w:val="Footnote Text Char"/>
    <w:basedOn w:val="DefaultParagraphFont"/>
    <w:link w:val="FootnoteText"/>
    <w:semiHidden/>
    <w:rsid w:val="003A6657"/>
    <w:rPr>
      <w:rFonts w:ascii="Letter Gothic 12cpi" w:hAnsi="Letter Gothic 12cpi"/>
    </w:rPr>
  </w:style>
  <w:style w:type="character" w:styleId="FootnoteReference">
    <w:name w:val="footnote reference"/>
    <w:basedOn w:val="DefaultParagraphFont"/>
    <w:semiHidden/>
    <w:unhideWhenUsed/>
    <w:rsid w:val="003A66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semiHidden/>
    <w:unhideWhenUsed/>
    <w:rsid w:val="005853E3"/>
    <w:rPr>
      <w:rFonts w:ascii="Segoe UI" w:hAnsi="Segoe UI" w:cs="Segoe UI"/>
      <w:sz w:val="18"/>
      <w:szCs w:val="18"/>
    </w:rPr>
  </w:style>
  <w:style w:type="character" w:customStyle="1" w:styleId="BalloonTextChar">
    <w:name w:val="Balloon Text Char"/>
    <w:basedOn w:val="DefaultParagraphFont"/>
    <w:link w:val="BalloonText"/>
    <w:semiHidden/>
    <w:rsid w:val="005853E3"/>
    <w:rPr>
      <w:rFonts w:ascii="Segoe UI" w:hAnsi="Segoe UI" w:cs="Segoe UI"/>
      <w:sz w:val="18"/>
      <w:szCs w:val="18"/>
    </w:rPr>
  </w:style>
  <w:style w:type="paragraph" w:styleId="ListParagraph">
    <w:name w:val="List Paragraph"/>
    <w:basedOn w:val="Normal"/>
    <w:uiPriority w:val="34"/>
    <w:qFormat/>
    <w:rsid w:val="00FB2313"/>
    <w:pPr>
      <w:ind w:left="720"/>
      <w:contextualSpacing/>
    </w:pPr>
  </w:style>
  <w:style w:type="character" w:styleId="CommentReference">
    <w:name w:val="annotation reference"/>
    <w:basedOn w:val="DefaultParagraphFont"/>
    <w:semiHidden/>
    <w:unhideWhenUsed/>
    <w:rsid w:val="002C5F48"/>
    <w:rPr>
      <w:sz w:val="16"/>
      <w:szCs w:val="16"/>
    </w:rPr>
  </w:style>
  <w:style w:type="paragraph" w:styleId="CommentText">
    <w:name w:val="annotation text"/>
    <w:basedOn w:val="Normal"/>
    <w:link w:val="CommentTextChar"/>
    <w:semiHidden/>
    <w:unhideWhenUsed/>
    <w:rsid w:val="002C5F48"/>
  </w:style>
  <w:style w:type="character" w:customStyle="1" w:styleId="CommentTextChar">
    <w:name w:val="Comment Text Char"/>
    <w:basedOn w:val="DefaultParagraphFont"/>
    <w:link w:val="CommentText"/>
    <w:semiHidden/>
    <w:rsid w:val="002C5F48"/>
    <w:rPr>
      <w:rFonts w:ascii="Letter Gothic 12cpi" w:hAnsi="Letter Gothic 12cpi"/>
    </w:rPr>
  </w:style>
  <w:style w:type="paragraph" w:styleId="CommentSubject">
    <w:name w:val="annotation subject"/>
    <w:basedOn w:val="CommentText"/>
    <w:next w:val="CommentText"/>
    <w:link w:val="CommentSubjectChar"/>
    <w:semiHidden/>
    <w:unhideWhenUsed/>
    <w:rsid w:val="002C5F48"/>
    <w:rPr>
      <w:b/>
      <w:bCs/>
    </w:rPr>
  </w:style>
  <w:style w:type="character" w:customStyle="1" w:styleId="CommentSubjectChar">
    <w:name w:val="Comment Subject Char"/>
    <w:basedOn w:val="CommentTextChar"/>
    <w:link w:val="CommentSubject"/>
    <w:semiHidden/>
    <w:rsid w:val="002C5F48"/>
    <w:rPr>
      <w:rFonts w:ascii="Letter Gothic 12cpi" w:hAnsi="Letter Gothic 12cpi"/>
      <w:b/>
      <w:bCs/>
    </w:rPr>
  </w:style>
  <w:style w:type="paragraph" w:styleId="Revision">
    <w:name w:val="Revision"/>
    <w:hidden/>
    <w:uiPriority w:val="99"/>
    <w:semiHidden/>
    <w:rsid w:val="00773840"/>
    <w:rPr>
      <w:rFonts w:ascii="Letter Gothic 12cpi" w:hAnsi="Letter Gothic 12cpi"/>
    </w:rPr>
  </w:style>
  <w:style w:type="character" w:customStyle="1" w:styleId="BodyText3Char">
    <w:name w:val="Body Text 3 Char"/>
    <w:basedOn w:val="DefaultParagraphFont"/>
    <w:link w:val="BodyText3"/>
    <w:rsid w:val="00C116CE"/>
    <w:rPr>
      <w:rFonts w:ascii="Letter Gothic 12cpi" w:hAnsi="Letter Gothic 12cpi"/>
      <w:color w:val="FF0000"/>
      <w:sz w:val="24"/>
      <w:szCs w:val="24"/>
    </w:rPr>
  </w:style>
  <w:style w:type="paragraph" w:styleId="FootnoteText">
    <w:name w:val="footnote text"/>
    <w:basedOn w:val="Normal"/>
    <w:link w:val="FootnoteTextChar"/>
    <w:semiHidden/>
    <w:unhideWhenUsed/>
    <w:rsid w:val="003A6657"/>
  </w:style>
  <w:style w:type="character" w:customStyle="1" w:styleId="FootnoteTextChar">
    <w:name w:val="Footnote Text Char"/>
    <w:basedOn w:val="DefaultParagraphFont"/>
    <w:link w:val="FootnoteText"/>
    <w:semiHidden/>
    <w:rsid w:val="003A6657"/>
    <w:rPr>
      <w:rFonts w:ascii="Letter Gothic 12cpi" w:hAnsi="Letter Gothic 12cpi"/>
    </w:rPr>
  </w:style>
  <w:style w:type="character" w:styleId="FootnoteReference">
    <w:name w:val="footnote reference"/>
    <w:basedOn w:val="DefaultParagraphFont"/>
    <w:semiHidden/>
    <w:unhideWhenUsed/>
    <w:rsid w:val="003A6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B346-9DD5-46A5-90B5-D93D0A08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PRA Supporting Statement Template</vt:lpstr>
    </vt:vector>
  </TitlesOfParts>
  <Company>FHWA</Company>
  <LinksUpToDate>false</LinksUpToDate>
  <CharactersWithSpaces>26858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Template</dc:title>
  <dc:creator>AKENNEDY</dc:creator>
  <cp:lastModifiedBy>SYSTEM</cp:lastModifiedBy>
  <cp:revision>2</cp:revision>
  <cp:lastPrinted>2007-03-23T20:09:00Z</cp:lastPrinted>
  <dcterms:created xsi:type="dcterms:W3CDTF">2020-01-14T17:54:00Z</dcterms:created>
  <dcterms:modified xsi:type="dcterms:W3CDTF">2020-01-14T17:54:00Z</dcterms:modified>
</cp:coreProperties>
</file>