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71345" w14:textId="77777777" w:rsidR="009B633D" w:rsidRDefault="009B633D" w:rsidP="009B633D">
      <w:pPr>
        <w:jc w:val="center"/>
        <w:rPr>
          <w:sz w:val="28"/>
          <w:szCs w:val="28"/>
        </w:rPr>
      </w:pPr>
      <w:bookmarkStart w:id="0" w:name="_GoBack"/>
      <w:bookmarkEnd w:id="0"/>
    </w:p>
    <w:p w14:paraId="416B101D" w14:textId="77777777" w:rsidR="009B633D" w:rsidRDefault="009B633D" w:rsidP="009B633D">
      <w:pPr>
        <w:jc w:val="center"/>
        <w:rPr>
          <w:sz w:val="28"/>
          <w:szCs w:val="28"/>
        </w:rPr>
      </w:pPr>
    </w:p>
    <w:p w14:paraId="4355FE67" w14:textId="77777777" w:rsidR="009B633D" w:rsidRDefault="009B633D" w:rsidP="009B633D">
      <w:pPr>
        <w:jc w:val="center"/>
        <w:rPr>
          <w:sz w:val="28"/>
          <w:szCs w:val="28"/>
        </w:rPr>
      </w:pPr>
    </w:p>
    <w:p w14:paraId="550D9566" w14:textId="77777777" w:rsidR="009B633D" w:rsidRDefault="00456179" w:rsidP="009B633D">
      <w:pPr>
        <w:jc w:val="center"/>
        <w:rPr>
          <w:b/>
          <w:sz w:val="28"/>
          <w:szCs w:val="28"/>
        </w:rPr>
      </w:pPr>
      <w:r w:rsidRPr="00456179">
        <w:rPr>
          <w:b/>
          <w:sz w:val="28"/>
          <w:szCs w:val="28"/>
        </w:rPr>
        <w:t>SUPPORTING STATEMENT</w:t>
      </w:r>
    </w:p>
    <w:p w14:paraId="05295E0C" w14:textId="77777777" w:rsidR="00635119" w:rsidRDefault="00635119" w:rsidP="009B633D">
      <w:pPr>
        <w:jc w:val="center"/>
        <w:rPr>
          <w:b/>
          <w:sz w:val="28"/>
          <w:szCs w:val="28"/>
        </w:rPr>
      </w:pPr>
    </w:p>
    <w:p w14:paraId="1F09ACBB" w14:textId="77777777" w:rsidR="009B633D" w:rsidRDefault="00456179" w:rsidP="009B633D">
      <w:pPr>
        <w:jc w:val="center"/>
        <w:rPr>
          <w:sz w:val="28"/>
          <w:szCs w:val="28"/>
        </w:rPr>
      </w:pPr>
      <w:r>
        <w:rPr>
          <w:b/>
          <w:sz w:val="28"/>
          <w:szCs w:val="28"/>
        </w:rPr>
        <w:t>Part A</w:t>
      </w:r>
    </w:p>
    <w:p w14:paraId="51344884" w14:textId="77777777" w:rsidR="009B633D" w:rsidRDefault="009B633D" w:rsidP="009B633D">
      <w:pPr>
        <w:jc w:val="center"/>
        <w:rPr>
          <w:sz w:val="28"/>
          <w:szCs w:val="28"/>
        </w:rPr>
      </w:pPr>
    </w:p>
    <w:p w14:paraId="5DCECDD6" w14:textId="77777777" w:rsidR="009B633D" w:rsidRDefault="009B633D" w:rsidP="009B633D">
      <w:pPr>
        <w:jc w:val="center"/>
        <w:rPr>
          <w:sz w:val="28"/>
          <w:szCs w:val="28"/>
        </w:rPr>
      </w:pPr>
    </w:p>
    <w:p w14:paraId="61BB7B6F" w14:textId="77777777" w:rsidR="009B633D" w:rsidRDefault="009B633D" w:rsidP="009B633D">
      <w:pPr>
        <w:jc w:val="center"/>
        <w:rPr>
          <w:sz w:val="28"/>
          <w:szCs w:val="28"/>
        </w:rPr>
      </w:pPr>
    </w:p>
    <w:p w14:paraId="707B325B" w14:textId="77777777" w:rsidR="009B633D" w:rsidRDefault="009B633D" w:rsidP="009B633D">
      <w:pPr>
        <w:jc w:val="center"/>
        <w:rPr>
          <w:sz w:val="28"/>
          <w:szCs w:val="28"/>
        </w:rPr>
      </w:pPr>
    </w:p>
    <w:p w14:paraId="4147AF84" w14:textId="77777777" w:rsidR="009B633D" w:rsidRDefault="009B633D" w:rsidP="009B633D">
      <w:pPr>
        <w:jc w:val="center"/>
        <w:rPr>
          <w:sz w:val="28"/>
          <w:szCs w:val="28"/>
        </w:rPr>
      </w:pPr>
    </w:p>
    <w:p w14:paraId="76252880" w14:textId="247FC493" w:rsidR="007159E6" w:rsidRPr="00C84600" w:rsidRDefault="00432724" w:rsidP="00F1608F">
      <w:pP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 xml:space="preserve">Insurance Component </w:t>
      </w:r>
      <w:r w:rsidR="00A571D9">
        <w:rPr>
          <w:b/>
          <w:sz w:val="28"/>
          <w:szCs w:val="28"/>
        </w:rPr>
        <w:t>2020-2021</w:t>
      </w:r>
    </w:p>
    <w:p w14:paraId="0A8FB6A2" w14:textId="77777777" w:rsidR="00432724" w:rsidRPr="00C84600" w:rsidRDefault="00432724" w:rsidP="00432724">
      <w:pPr>
        <w:jc w:val="center"/>
        <w:rPr>
          <w:b/>
          <w:i/>
          <w:sz w:val="28"/>
          <w:szCs w:val="28"/>
        </w:rPr>
      </w:pPr>
    </w:p>
    <w:p w14:paraId="465E0957" w14:textId="77777777" w:rsidR="009B633D" w:rsidRPr="00082047" w:rsidRDefault="009B633D" w:rsidP="009B633D">
      <w:pPr>
        <w:jc w:val="center"/>
        <w:rPr>
          <w:i/>
          <w:sz w:val="28"/>
          <w:szCs w:val="28"/>
        </w:rPr>
      </w:pPr>
    </w:p>
    <w:p w14:paraId="20993A0E" w14:textId="77777777" w:rsidR="009B633D" w:rsidRDefault="00F1608F" w:rsidP="009B633D">
      <w:pPr>
        <w:jc w:val="center"/>
        <w:rPr>
          <w:sz w:val="28"/>
          <w:szCs w:val="28"/>
        </w:rPr>
      </w:pPr>
      <w:r>
        <w:t>Reauthorization of</w:t>
      </w:r>
      <w:r w:rsidRPr="00C309A6">
        <w:t xml:space="preserve"> OMB #0935-0110</w:t>
      </w:r>
    </w:p>
    <w:p w14:paraId="3154F0B2" w14:textId="77777777" w:rsidR="009B633D" w:rsidRDefault="009B633D" w:rsidP="009B633D">
      <w:pPr>
        <w:jc w:val="center"/>
        <w:rPr>
          <w:sz w:val="28"/>
          <w:szCs w:val="28"/>
        </w:rPr>
      </w:pPr>
    </w:p>
    <w:p w14:paraId="22A2ACB1" w14:textId="77777777" w:rsidR="009B633D" w:rsidRDefault="009B633D" w:rsidP="009B633D">
      <w:pPr>
        <w:jc w:val="center"/>
        <w:rPr>
          <w:sz w:val="28"/>
          <w:szCs w:val="28"/>
        </w:rPr>
      </w:pPr>
    </w:p>
    <w:p w14:paraId="55C7B57A" w14:textId="77777777" w:rsidR="009B633D" w:rsidRDefault="009B633D" w:rsidP="009B633D">
      <w:pPr>
        <w:jc w:val="center"/>
        <w:rPr>
          <w:sz w:val="28"/>
          <w:szCs w:val="28"/>
        </w:rPr>
      </w:pPr>
    </w:p>
    <w:p w14:paraId="6989E57B" w14:textId="77777777" w:rsidR="009B633D" w:rsidRDefault="009B633D" w:rsidP="009B633D">
      <w:pPr>
        <w:jc w:val="center"/>
        <w:rPr>
          <w:sz w:val="28"/>
          <w:szCs w:val="28"/>
        </w:rPr>
      </w:pPr>
    </w:p>
    <w:p w14:paraId="6A35898E" w14:textId="77777777" w:rsidR="009B633D" w:rsidRDefault="009B633D" w:rsidP="009B633D">
      <w:pPr>
        <w:jc w:val="center"/>
        <w:rPr>
          <w:sz w:val="28"/>
          <w:szCs w:val="28"/>
        </w:rPr>
      </w:pPr>
    </w:p>
    <w:p w14:paraId="22EAFFAE" w14:textId="77777777" w:rsidR="009B633D" w:rsidRDefault="009B633D" w:rsidP="009B633D">
      <w:pPr>
        <w:jc w:val="center"/>
        <w:rPr>
          <w:sz w:val="28"/>
          <w:szCs w:val="28"/>
        </w:rPr>
      </w:pPr>
    </w:p>
    <w:p w14:paraId="2C5F69B0" w14:textId="77777777" w:rsidR="009B633D" w:rsidRPr="00432724" w:rsidRDefault="009B633D" w:rsidP="009B633D">
      <w:pPr>
        <w:jc w:val="center"/>
        <w:rPr>
          <w:b/>
          <w:sz w:val="28"/>
          <w:szCs w:val="28"/>
        </w:rPr>
      </w:pPr>
      <w:r w:rsidRPr="00432724">
        <w:rPr>
          <w:b/>
          <w:sz w:val="28"/>
          <w:szCs w:val="28"/>
        </w:rPr>
        <w:t>Agency of Healthcare Research and Quality (AHRQ)</w:t>
      </w:r>
    </w:p>
    <w:p w14:paraId="6366569C" w14:textId="77777777" w:rsidR="009B633D" w:rsidRDefault="009B633D">
      <w:pPr>
        <w:rPr>
          <w:sz w:val="28"/>
          <w:szCs w:val="28"/>
        </w:rPr>
      </w:pPr>
    </w:p>
    <w:p w14:paraId="6815780F" w14:textId="77777777" w:rsidR="009B633D" w:rsidRDefault="009B633D">
      <w:pPr>
        <w:rPr>
          <w:sz w:val="28"/>
          <w:szCs w:val="28"/>
        </w:rPr>
      </w:pPr>
    </w:p>
    <w:p w14:paraId="1AABCC0A" w14:textId="4C0F7E59" w:rsidR="00F1608F" w:rsidRPr="00F1608F" w:rsidRDefault="00F1608F" w:rsidP="00F1608F">
      <w:pPr>
        <w:jc w:val="center"/>
      </w:pPr>
      <w:r w:rsidRPr="00F1608F">
        <w:t>Version</w:t>
      </w:r>
      <w:r>
        <w:t>:</w:t>
      </w:r>
      <w:r w:rsidR="000B48CE">
        <w:t xml:space="preserve"> </w:t>
      </w:r>
      <w:r w:rsidR="00A571D9">
        <w:t xml:space="preserve"> June 2</w:t>
      </w:r>
      <w:r w:rsidR="00554DDD">
        <w:t>8</w:t>
      </w:r>
      <w:r w:rsidR="00A571D9">
        <w:t>, 2019</w:t>
      </w:r>
    </w:p>
    <w:p w14:paraId="4BBF6763" w14:textId="77777777" w:rsidR="009B633D" w:rsidRDefault="009B633D" w:rsidP="008C580E">
      <w:pPr>
        <w:rPr>
          <w:b/>
        </w:rPr>
      </w:pPr>
      <w:r>
        <w:br w:type="page"/>
      </w:r>
      <w:r w:rsidRPr="001D0454">
        <w:rPr>
          <w:b/>
        </w:rPr>
        <w:lastRenderedPageBreak/>
        <w:t>Table of contents</w:t>
      </w:r>
    </w:p>
    <w:p w14:paraId="08EE0CF2" w14:textId="77777777" w:rsidR="00EB58F3" w:rsidRDefault="00EB58F3" w:rsidP="009B633D">
      <w:pPr>
        <w:jc w:val="center"/>
        <w:rPr>
          <w:b/>
        </w:rPr>
      </w:pPr>
    </w:p>
    <w:p w14:paraId="2F735A6F" w14:textId="77777777" w:rsidR="00EB58F3" w:rsidRDefault="008C580E" w:rsidP="007B3A8E">
      <w:pPr>
        <w:tabs>
          <w:tab w:val="left" w:leader="dot" w:pos="8280"/>
        </w:tabs>
      </w:pPr>
      <w:r w:rsidRPr="008C580E">
        <w:t>A. Justification</w:t>
      </w:r>
      <w:r w:rsidR="007B3A8E">
        <w:tab/>
        <w:t>3</w:t>
      </w:r>
    </w:p>
    <w:p w14:paraId="776128D7"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6568BC1C" w14:textId="77777777"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BB13B8">
        <w:t>4</w:t>
      </w:r>
    </w:p>
    <w:p w14:paraId="7E056FAF" w14:textId="77777777" w:rsidR="007B3A8E" w:rsidRDefault="007B3A8E" w:rsidP="007B3A8E">
      <w:pPr>
        <w:tabs>
          <w:tab w:val="left" w:pos="360"/>
          <w:tab w:val="left" w:leader="dot" w:pos="8280"/>
        </w:tabs>
      </w:pPr>
      <w:r>
        <w:tab/>
        <w:t xml:space="preserve">3. </w:t>
      </w:r>
      <w:r w:rsidRPr="007B3A8E">
        <w:t>Use of Improved Information Technology</w:t>
      </w:r>
      <w:r>
        <w:tab/>
      </w:r>
      <w:r w:rsidR="00E72E6D">
        <w:t>6</w:t>
      </w:r>
    </w:p>
    <w:p w14:paraId="319A93E5" w14:textId="77777777" w:rsidR="007B3A8E" w:rsidRDefault="007B3A8E" w:rsidP="007B3A8E">
      <w:pPr>
        <w:tabs>
          <w:tab w:val="left" w:pos="360"/>
          <w:tab w:val="left" w:leader="dot" w:pos="8280"/>
        </w:tabs>
      </w:pPr>
      <w:r>
        <w:tab/>
        <w:t xml:space="preserve">4. </w:t>
      </w:r>
      <w:r w:rsidRPr="007B3A8E">
        <w:t>Efforts to Identify Duplication</w:t>
      </w:r>
      <w:r>
        <w:tab/>
      </w:r>
      <w:r w:rsidR="00E72E6D">
        <w:t>6</w:t>
      </w:r>
    </w:p>
    <w:p w14:paraId="122893D5" w14:textId="77777777" w:rsidR="007B3A8E" w:rsidRDefault="007B3A8E" w:rsidP="007B3A8E">
      <w:pPr>
        <w:tabs>
          <w:tab w:val="left" w:pos="360"/>
          <w:tab w:val="left" w:leader="dot" w:pos="8280"/>
        </w:tabs>
      </w:pPr>
      <w:r>
        <w:tab/>
        <w:t xml:space="preserve">5. </w:t>
      </w:r>
      <w:r w:rsidR="00556066" w:rsidRPr="00556066">
        <w:t>Involvement of Small Entities</w:t>
      </w:r>
      <w:r w:rsidR="00556066">
        <w:tab/>
      </w:r>
      <w:r w:rsidR="00E72E6D">
        <w:t>7</w:t>
      </w:r>
    </w:p>
    <w:p w14:paraId="39BC0B7A"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FF117E">
        <w:t>7</w:t>
      </w:r>
    </w:p>
    <w:p w14:paraId="7E110A87" w14:textId="77777777" w:rsidR="00556066" w:rsidRDefault="00556066" w:rsidP="007B3A8E">
      <w:pPr>
        <w:tabs>
          <w:tab w:val="left" w:pos="360"/>
          <w:tab w:val="left" w:leader="dot" w:pos="8280"/>
        </w:tabs>
      </w:pPr>
      <w:r>
        <w:tab/>
        <w:t xml:space="preserve">7. </w:t>
      </w:r>
      <w:r w:rsidRPr="00556066">
        <w:t>Special Circumstances</w:t>
      </w:r>
      <w:r>
        <w:tab/>
      </w:r>
      <w:r w:rsidR="00E72E6D">
        <w:t>8</w:t>
      </w:r>
    </w:p>
    <w:p w14:paraId="6ECDDA9F" w14:textId="77777777"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E72E6D">
        <w:t>8</w:t>
      </w:r>
    </w:p>
    <w:p w14:paraId="6A48F015" w14:textId="77777777" w:rsidR="00556066" w:rsidRDefault="00556066" w:rsidP="007B3A8E">
      <w:pPr>
        <w:tabs>
          <w:tab w:val="left" w:pos="360"/>
          <w:tab w:val="left" w:leader="dot" w:pos="8280"/>
        </w:tabs>
      </w:pPr>
      <w:r>
        <w:tab/>
        <w:t xml:space="preserve">9. </w:t>
      </w:r>
      <w:r w:rsidRPr="00556066">
        <w:t>Payments/Gifts to Respondents</w:t>
      </w:r>
      <w:r>
        <w:tab/>
      </w:r>
      <w:r w:rsidR="00B73D51">
        <w:t>1</w:t>
      </w:r>
      <w:r w:rsidR="00E72E6D">
        <w:t>0</w:t>
      </w:r>
    </w:p>
    <w:p w14:paraId="0B2F4C3E" w14:textId="77777777" w:rsidR="00556066" w:rsidRDefault="00556066" w:rsidP="007B3A8E">
      <w:pPr>
        <w:tabs>
          <w:tab w:val="left" w:pos="360"/>
          <w:tab w:val="left" w:leader="dot" w:pos="8280"/>
        </w:tabs>
      </w:pPr>
      <w:r>
        <w:tab/>
        <w:t xml:space="preserve">10. </w:t>
      </w:r>
      <w:r w:rsidRPr="00556066">
        <w:t>Assurance of Confidentiality</w:t>
      </w:r>
      <w:r>
        <w:tab/>
      </w:r>
      <w:r w:rsidR="00B73D51">
        <w:t>1</w:t>
      </w:r>
      <w:r w:rsidR="00E72E6D">
        <w:t>0</w:t>
      </w:r>
    </w:p>
    <w:p w14:paraId="308CAE9B" w14:textId="77777777" w:rsidR="00556066" w:rsidRDefault="00556066" w:rsidP="007B3A8E">
      <w:pPr>
        <w:tabs>
          <w:tab w:val="left" w:pos="360"/>
          <w:tab w:val="left" w:leader="dot" w:pos="8280"/>
        </w:tabs>
      </w:pPr>
      <w:r>
        <w:tab/>
        <w:t xml:space="preserve">11. </w:t>
      </w:r>
      <w:r w:rsidRPr="00556066">
        <w:t>Questions of a Sensitive Nature</w:t>
      </w:r>
      <w:r>
        <w:tab/>
      </w:r>
      <w:r w:rsidR="00B73D51">
        <w:t>1</w:t>
      </w:r>
      <w:r w:rsidR="00FF117E">
        <w:t>0</w:t>
      </w:r>
    </w:p>
    <w:p w14:paraId="2013401C"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B73D51">
        <w:t>1</w:t>
      </w:r>
      <w:r w:rsidR="00FF117E">
        <w:t>0</w:t>
      </w:r>
    </w:p>
    <w:p w14:paraId="1D8F36CF"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w:t>
      </w:r>
      <w:r w:rsidR="00287A66">
        <w:t>1</w:t>
      </w:r>
    </w:p>
    <w:p w14:paraId="1A36655D"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B73D51">
        <w:t>1</w:t>
      </w:r>
      <w:r w:rsidR="00287A66">
        <w:t>1</w:t>
      </w:r>
    </w:p>
    <w:p w14:paraId="33DB632C" w14:textId="77777777" w:rsidR="00556066" w:rsidRDefault="00556066" w:rsidP="007B3A8E">
      <w:pPr>
        <w:tabs>
          <w:tab w:val="left" w:pos="360"/>
          <w:tab w:val="left" w:leader="dot" w:pos="8280"/>
        </w:tabs>
      </w:pPr>
      <w:r>
        <w:tab/>
        <w:t xml:space="preserve">15. </w:t>
      </w:r>
      <w:r w:rsidRPr="00556066">
        <w:t>Changes in Hour Burden</w:t>
      </w:r>
      <w:r>
        <w:tab/>
      </w:r>
      <w:r w:rsidR="008C630C">
        <w:t>1</w:t>
      </w:r>
      <w:r w:rsidR="00287A66">
        <w:t>2</w:t>
      </w:r>
    </w:p>
    <w:p w14:paraId="02786648" w14:textId="77777777"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287A66">
        <w:t>2</w:t>
      </w:r>
    </w:p>
    <w:p w14:paraId="5FF87CB8" w14:textId="77777777" w:rsidR="006014DB" w:rsidRDefault="006014DB" w:rsidP="007B3A8E">
      <w:pPr>
        <w:tabs>
          <w:tab w:val="left" w:pos="360"/>
          <w:tab w:val="left" w:leader="dot" w:pos="8280"/>
        </w:tabs>
      </w:pPr>
      <w:r>
        <w:tab/>
        <w:t xml:space="preserve">17. </w:t>
      </w:r>
      <w:r w:rsidRPr="006014DB">
        <w:t>Exemption for Display of Expiration Date</w:t>
      </w:r>
      <w:r>
        <w:tab/>
      </w:r>
      <w:r w:rsidR="00CA02B6">
        <w:t>1</w:t>
      </w:r>
      <w:r w:rsidR="00287A66">
        <w:t>4</w:t>
      </w:r>
    </w:p>
    <w:p w14:paraId="5AD59143" w14:textId="77777777" w:rsidR="00385678" w:rsidRDefault="00385678" w:rsidP="007B3A8E">
      <w:pPr>
        <w:tabs>
          <w:tab w:val="left" w:pos="360"/>
          <w:tab w:val="left" w:leader="dot" w:pos="8280"/>
        </w:tabs>
      </w:pPr>
      <w:r>
        <w:tab/>
        <w:t>List of Attachments</w:t>
      </w:r>
      <w:r>
        <w:tab/>
      </w:r>
      <w:r w:rsidR="00CA02B6">
        <w:t>1</w:t>
      </w:r>
      <w:r w:rsidR="00287A66">
        <w:t>4</w:t>
      </w:r>
    </w:p>
    <w:p w14:paraId="4E328FD4" w14:textId="77777777" w:rsidR="00556066" w:rsidRPr="00556066" w:rsidRDefault="006014DB" w:rsidP="007B3A8E">
      <w:pPr>
        <w:tabs>
          <w:tab w:val="left" w:pos="360"/>
          <w:tab w:val="left" w:leader="dot" w:pos="8280"/>
        </w:tabs>
      </w:pPr>
      <w:r>
        <w:tab/>
      </w:r>
    </w:p>
    <w:p w14:paraId="04C4A5B7" w14:textId="77777777" w:rsidR="00556066" w:rsidRPr="00556066" w:rsidRDefault="00556066" w:rsidP="007B3A8E">
      <w:pPr>
        <w:tabs>
          <w:tab w:val="left" w:pos="360"/>
          <w:tab w:val="left" w:leader="dot" w:pos="8280"/>
        </w:tabs>
      </w:pPr>
      <w:r>
        <w:tab/>
      </w:r>
    </w:p>
    <w:p w14:paraId="07160DF6" w14:textId="77777777" w:rsidR="009B633D" w:rsidRDefault="009B633D" w:rsidP="009B633D">
      <w:pPr>
        <w:jc w:val="center"/>
        <w:rPr>
          <w:b/>
        </w:rPr>
      </w:pPr>
    </w:p>
    <w:p w14:paraId="74225DD9" w14:textId="77777777"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6577329C" w14:textId="77777777" w:rsidR="009B633D" w:rsidRPr="001D0454" w:rsidRDefault="00EA25BB" w:rsidP="009B633D">
      <w:pPr>
        <w:jc w:val="center"/>
        <w:rPr>
          <w:b/>
        </w:rPr>
      </w:pPr>
      <w:r>
        <w:rPr>
          <w:b/>
        </w:rPr>
        <w:fldChar w:fldCharType="end"/>
      </w:r>
    </w:p>
    <w:p w14:paraId="28DD705A" w14:textId="77777777" w:rsidR="005F4AEF" w:rsidRDefault="009B633D" w:rsidP="009B633D">
      <w:pPr>
        <w:pStyle w:val="Heading1"/>
      </w:pPr>
      <w:r>
        <w:br w:type="page"/>
      </w:r>
      <w:bookmarkStart w:id="1" w:name="_Toc151782175"/>
      <w:bookmarkStart w:id="2" w:name="_Toc158526215"/>
    </w:p>
    <w:p w14:paraId="522BF2D4" w14:textId="77777777" w:rsidR="009B633D" w:rsidRPr="006014DB" w:rsidRDefault="009B633D" w:rsidP="009B633D">
      <w:pPr>
        <w:pStyle w:val="Heading1"/>
        <w:rPr>
          <w:sz w:val="24"/>
          <w:szCs w:val="24"/>
        </w:rPr>
      </w:pPr>
      <w:r w:rsidRPr="006014DB">
        <w:rPr>
          <w:sz w:val="24"/>
          <w:szCs w:val="24"/>
        </w:rPr>
        <w:lastRenderedPageBreak/>
        <w:t>A. Justification</w:t>
      </w:r>
      <w:bookmarkEnd w:id="1"/>
      <w:bookmarkEnd w:id="2"/>
    </w:p>
    <w:p w14:paraId="7B0F8973" w14:textId="77777777" w:rsidR="009B633D" w:rsidRPr="006014DB" w:rsidRDefault="009B633D" w:rsidP="009B633D"/>
    <w:p w14:paraId="1E190A33"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41A8FF19" w14:textId="77777777" w:rsidR="006014DB" w:rsidRDefault="006014DB" w:rsidP="006014DB"/>
    <w:p w14:paraId="0B4F413F" w14:textId="77777777" w:rsidR="000A140E" w:rsidRDefault="000A140E" w:rsidP="000A140E">
      <w:r>
        <w:t xml:space="preserve">The mission of the Agency for Healthcare Research and Quality (AHRQ) set out in its authorizing legislation, The Healthcare Research and Quality Act of 1999 (see </w:t>
      </w:r>
      <w:r w:rsidR="00F452EB" w:rsidRPr="00F452EB">
        <w:t>https://www.ahrq.gov/policymakers/hrqa99a.html</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7A86B539" w14:textId="77777777" w:rsidR="00606400" w:rsidRDefault="00606400" w:rsidP="00606400">
      <w:pPr>
        <w:tabs>
          <w:tab w:val="left" w:pos="360"/>
        </w:tabs>
      </w:pPr>
      <w:r>
        <w:tab/>
      </w:r>
    </w:p>
    <w:p w14:paraId="1CE33369" w14:textId="77777777"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14:paraId="5338059B" w14:textId="77777777" w:rsidR="00325B9C" w:rsidRDefault="00325B9C" w:rsidP="00606400">
      <w:pPr>
        <w:tabs>
          <w:tab w:val="left" w:pos="360"/>
        </w:tabs>
        <w:ind w:left="360"/>
      </w:pPr>
    </w:p>
    <w:p w14:paraId="273BE992" w14:textId="77777777"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14:paraId="407C4CD9" w14:textId="77777777" w:rsidR="00B645ED" w:rsidRDefault="00B645ED" w:rsidP="00606400">
      <w:pPr>
        <w:tabs>
          <w:tab w:val="left" w:pos="360"/>
        </w:tabs>
        <w:ind w:left="360"/>
      </w:pPr>
    </w:p>
    <w:p w14:paraId="7B9CED41" w14:textId="77777777" w:rsidR="00B645ED" w:rsidRDefault="00B645ED" w:rsidP="00606400">
      <w:pPr>
        <w:tabs>
          <w:tab w:val="left" w:pos="360"/>
        </w:tabs>
        <w:ind w:left="360"/>
      </w:pPr>
      <w:r>
        <w:t>3.</w:t>
      </w:r>
      <w:r>
        <w:tab/>
        <w:t>initiatives to advance private and public efforts to improve health care quality.</w:t>
      </w:r>
    </w:p>
    <w:p w14:paraId="4E46E14E" w14:textId="77777777" w:rsidR="00B645ED" w:rsidRDefault="00B645ED" w:rsidP="00B645ED">
      <w:pPr>
        <w:tabs>
          <w:tab w:val="left" w:pos="360"/>
        </w:tabs>
      </w:pPr>
    </w:p>
    <w:p w14:paraId="103E4F92"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417F4C89" w14:textId="77777777" w:rsidR="00432724" w:rsidRDefault="00432724" w:rsidP="00B645ED">
      <w:pPr>
        <w:tabs>
          <w:tab w:val="left" w:pos="360"/>
        </w:tabs>
        <w:rPr>
          <w:i/>
        </w:rPr>
      </w:pPr>
    </w:p>
    <w:p w14:paraId="4BA7FBF6" w14:textId="096EF20E" w:rsidR="00432724" w:rsidRDefault="00E81A87" w:rsidP="00432724">
      <w:pPr>
        <w:widowControl w:val="0"/>
      </w:pPr>
      <w:r>
        <w:t xml:space="preserve">In </w:t>
      </w:r>
      <w:r w:rsidR="00A571D9">
        <w:t xml:space="preserve">2017 </w:t>
      </w:r>
      <w:r>
        <w:t>e</w:t>
      </w:r>
      <w:r w:rsidR="00D2375B">
        <w:t>mployer-sponsored</w:t>
      </w:r>
      <w:r>
        <w:t xml:space="preserve"> health insurance was</w:t>
      </w:r>
      <w:r w:rsidR="00432724" w:rsidRPr="00EC7F9C">
        <w:t xml:space="preserve"> the source of coverage for </w:t>
      </w:r>
      <w:r w:rsidR="00493BEC">
        <w:t>84.4</w:t>
      </w:r>
      <w:r w:rsidR="00E52B7D" w:rsidRPr="00EC7F9C">
        <w:t xml:space="preserve"> </w:t>
      </w:r>
      <w:r w:rsidR="00432724" w:rsidRPr="00EC7F9C">
        <w:t xml:space="preserve">million </w:t>
      </w:r>
      <w:r w:rsidR="00D01B23">
        <w:t xml:space="preserve">current and former </w:t>
      </w:r>
      <w:r w:rsidR="00432724" w:rsidRPr="00EC7F9C">
        <w:t>workers</w:t>
      </w:r>
      <w:r w:rsidR="00D2375B">
        <w:t>,</w:t>
      </w:r>
      <w:r w:rsidR="00432724" w:rsidRPr="00EC7F9C">
        <w:t xml:space="preserve"> </w:t>
      </w:r>
      <w:r w:rsidR="00D2375B">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rsidR="00D2375B">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14:paraId="0679DE31" w14:textId="77777777" w:rsidR="006014DB" w:rsidRPr="00C4006D" w:rsidRDefault="006014DB" w:rsidP="006014DB"/>
    <w:p w14:paraId="0C4DBEC4" w14:textId="77777777" w:rsidR="00527BBD" w:rsidRDefault="00527BBD" w:rsidP="006014DB">
      <w:r>
        <w:t>This research has the following goals:</w:t>
      </w:r>
    </w:p>
    <w:p w14:paraId="1D9C2B30" w14:textId="77777777" w:rsidR="00D2375B" w:rsidRDefault="00D2375B" w:rsidP="00527BBD">
      <w:pPr>
        <w:tabs>
          <w:tab w:val="left" w:pos="360"/>
        </w:tabs>
        <w:ind w:left="360" w:hanging="360"/>
      </w:pPr>
    </w:p>
    <w:p w14:paraId="0B319CF1" w14:textId="77777777" w:rsidR="00527BBD" w:rsidRDefault="00527BBD" w:rsidP="00527BBD">
      <w:pPr>
        <w:tabs>
          <w:tab w:val="left" w:pos="360"/>
        </w:tabs>
        <w:ind w:left="360" w:hanging="360"/>
      </w:pPr>
      <w:r>
        <w:t>1)</w:t>
      </w:r>
      <w:r>
        <w:tab/>
      </w:r>
      <w:r w:rsidR="00432724" w:rsidRPr="00EC7F9C">
        <w:t xml:space="preserve">to provide data for </w:t>
      </w:r>
      <w:r w:rsidR="00432724">
        <w:t xml:space="preserve">Federal policymakers </w:t>
      </w:r>
      <w:r w:rsidR="00432724" w:rsidRPr="00EC7F9C">
        <w:t>evaluating the effects of Nationa</w:t>
      </w:r>
      <w:r w:rsidR="00432724">
        <w:t>l and State health care reforms.</w:t>
      </w:r>
    </w:p>
    <w:p w14:paraId="095E8E7D" w14:textId="77777777" w:rsidR="00527BBD" w:rsidRDefault="00527BBD" w:rsidP="00527BBD">
      <w:pPr>
        <w:tabs>
          <w:tab w:val="left" w:pos="360"/>
        </w:tabs>
        <w:ind w:left="360" w:hanging="360"/>
      </w:pPr>
      <w:r>
        <w:t>2)</w:t>
      </w:r>
      <w:r>
        <w:tab/>
      </w:r>
      <w:r w:rsidR="00432724">
        <w:t>to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14:paraId="0B8D0916" w14:textId="77777777" w:rsidR="0018689E" w:rsidRPr="00527BBD" w:rsidRDefault="00527BBD" w:rsidP="00BB13B8">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14:paraId="3CA242E5" w14:textId="77777777" w:rsidR="00527BBD" w:rsidRDefault="00527BBD" w:rsidP="006014DB"/>
    <w:p w14:paraId="37ED23FB" w14:textId="77777777"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14:paraId="1F8A3764" w14:textId="77777777" w:rsidR="00094A78" w:rsidRDefault="00094A78" w:rsidP="006014DB"/>
    <w:p w14:paraId="147BBDB0" w14:textId="77777777" w:rsidR="004F37D3" w:rsidRDefault="004F37D3" w:rsidP="004F37D3">
      <w:pPr>
        <w:tabs>
          <w:tab w:val="left" w:pos="360"/>
        </w:tabs>
        <w:ind w:left="360" w:hanging="360"/>
        <w:rPr>
          <w:bCs/>
        </w:rPr>
      </w:pPr>
      <w:r w:rsidRPr="004F37D3">
        <w:rPr>
          <w:bCs/>
        </w:rPr>
        <w:t>1)</w:t>
      </w:r>
      <w:r w:rsidRPr="004F37D3">
        <w:rPr>
          <w:bCs/>
        </w:rPr>
        <w:tab/>
        <w:t xml:space="preserve">Prescreener Questionnaire – The purpose of the Prescreener Questionnaire (Attachment A), which is collected via telephone, varies depending on the insurance status </w:t>
      </w:r>
      <w:r w:rsidR="0017772D">
        <w:rPr>
          <w:bCs/>
        </w:rPr>
        <w:t>of the establishment contacted (e</w:t>
      </w:r>
      <w:r w:rsidRPr="004F37D3">
        <w:rPr>
          <w:bCs/>
        </w:rPr>
        <w:t>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5543C9">
        <w:rPr>
          <w:bCs/>
        </w:rPr>
        <w:t xml:space="preserve"> </w:t>
      </w:r>
    </w:p>
    <w:p w14:paraId="6A28D1EA" w14:textId="77777777" w:rsidR="005543C9" w:rsidRPr="004F37D3" w:rsidRDefault="005543C9" w:rsidP="004F37D3">
      <w:pPr>
        <w:tabs>
          <w:tab w:val="left" w:pos="360"/>
        </w:tabs>
        <w:ind w:left="360" w:hanging="360"/>
        <w:rPr>
          <w:bCs/>
        </w:rPr>
      </w:pPr>
    </w:p>
    <w:p w14:paraId="3B09FB10" w14:textId="77777777" w:rsidR="004F37D3" w:rsidRPr="004F37D3" w:rsidRDefault="004F37D3" w:rsidP="004F37D3">
      <w:pPr>
        <w:tabs>
          <w:tab w:val="left" w:pos="360"/>
        </w:tabs>
        <w:ind w:left="360" w:hanging="360"/>
        <w:rPr>
          <w:bCs/>
        </w:rPr>
      </w:pPr>
      <w:r w:rsidRPr="004F37D3">
        <w:rPr>
          <w:bCs/>
        </w:rPr>
        <w:t>2)</w:t>
      </w:r>
      <w:r w:rsidRPr="004F37D3">
        <w:rPr>
          <w:bCs/>
        </w:rPr>
        <w:tab/>
        <w:t xml:space="preserve">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14:paraId="08F174B9" w14:textId="77777777" w:rsidR="004F37D3" w:rsidRPr="004F37D3" w:rsidRDefault="004F37D3" w:rsidP="004F37D3">
      <w:pPr>
        <w:tabs>
          <w:tab w:val="left" w:pos="360"/>
        </w:tabs>
        <w:ind w:left="360" w:hanging="360"/>
        <w:rPr>
          <w:bCs/>
        </w:rPr>
      </w:pPr>
    </w:p>
    <w:p w14:paraId="3217A3DE" w14:textId="77777777" w:rsidR="006F613F" w:rsidRPr="004F37D3" w:rsidRDefault="004F37D3" w:rsidP="006F613F">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14:paraId="4FF63A23" w14:textId="77777777" w:rsidR="003F1FA7" w:rsidRDefault="003F1FA7" w:rsidP="004F37D3">
      <w:pPr>
        <w:tabs>
          <w:tab w:val="left" w:pos="360"/>
        </w:tabs>
        <w:ind w:left="360" w:hanging="360"/>
        <w:rPr>
          <w:bCs/>
        </w:rPr>
      </w:pPr>
    </w:p>
    <w:p w14:paraId="34213D49" w14:textId="77777777"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w:t>
      </w:r>
      <w:r w:rsidR="00F452EB">
        <w:rPr>
          <w:bCs/>
          <w:color w:val="000000"/>
        </w:rPr>
        <w:t>42 U.S.C. 299b-2(a), and 42 U.S.C. 299a.</w:t>
      </w:r>
    </w:p>
    <w:p w14:paraId="7A38FAEC"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76FF3507" w14:textId="77777777" w:rsidR="003A1096" w:rsidRDefault="003A1096" w:rsidP="00F953C8">
      <w:pPr>
        <w:widowControl w:val="0"/>
      </w:pPr>
    </w:p>
    <w:p w14:paraId="37A25324" w14:textId="77777777"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14:paraId="695C60D2" w14:textId="77777777" w:rsidR="00F953C8" w:rsidRDefault="00F953C8" w:rsidP="00F953C8">
      <w:pPr>
        <w:widowControl w:val="0"/>
      </w:pPr>
      <w:r>
        <w:t xml:space="preserve">An annual survey conducted </w:t>
      </w:r>
      <w:r w:rsidR="00E43BF9">
        <w:t xml:space="preserve">primarily </w:t>
      </w:r>
      <w:r>
        <w:t>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14:paraId="17FB42D7" w14:textId="77777777" w:rsidR="001E02E4" w:rsidRPr="00EC7F9C" w:rsidRDefault="001E02E4" w:rsidP="00F953C8">
      <w:pPr>
        <w:widowControl w:val="0"/>
      </w:pPr>
    </w:p>
    <w:p w14:paraId="1D3FF0D3" w14:textId="77777777"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14:paraId="39068367" w14:textId="77777777" w:rsidR="00F953C8" w:rsidRDefault="00F953C8" w:rsidP="00F953C8">
      <w:pPr>
        <w:widowControl w:val="0"/>
      </w:pPr>
    </w:p>
    <w:p w14:paraId="49EBDB76" w14:textId="77777777" w:rsidR="00F953C8" w:rsidRDefault="00F953C8" w:rsidP="00F953C8">
      <w:pPr>
        <w:widowControl w:val="0"/>
      </w:pPr>
      <w:r>
        <w:t xml:space="preserve">MEPS-IC State-level premium estimates are the basis for determining the </w:t>
      </w:r>
      <w:r w:rsidR="0056555A">
        <w:t>average premium limits</w:t>
      </w:r>
      <w:r>
        <w:t xml:space="preserve"> </w:t>
      </w:r>
      <w:r w:rsidR="0056555A">
        <w:t>for</w:t>
      </w:r>
      <w:r>
        <w:t xml:space="preserve"> </w:t>
      </w:r>
      <w:r w:rsidRPr="00DA6E8A">
        <w:t>the federal tax credit available to</w:t>
      </w:r>
      <w:r>
        <w:t xml:space="preserve"> small businesses</w:t>
      </w:r>
      <w:r w:rsidR="00DD07A7">
        <w:t xml:space="preserve"> that provide health insurance to their employees</w:t>
      </w:r>
      <w:r>
        <w:t>.</w:t>
      </w:r>
    </w:p>
    <w:p w14:paraId="784F1DEC" w14:textId="77777777" w:rsidR="00F953C8" w:rsidRDefault="00F953C8" w:rsidP="00F953C8">
      <w:pPr>
        <w:widowControl w:val="0"/>
      </w:pPr>
    </w:p>
    <w:p w14:paraId="0E3BE1B2" w14:textId="77777777" w:rsidR="00F953C8" w:rsidRDefault="00F953C8" w:rsidP="00F953C8">
      <w:pPr>
        <w:widowControl w:val="0"/>
      </w:pPr>
      <w:r>
        <w:t xml:space="preserve">MEPS-IC estimates are used extensively for </w:t>
      </w:r>
      <w:r w:rsidR="00D21601">
        <w:t>additional</w:t>
      </w:r>
      <w:r>
        <w:t xml:space="preserve"> analyses by federal agencies including:</w:t>
      </w:r>
    </w:p>
    <w:p w14:paraId="2A4E1FFD" w14:textId="77777777" w:rsidR="00F953C8" w:rsidRDefault="00F953C8" w:rsidP="00F953C8">
      <w:pPr>
        <w:widowControl w:val="0"/>
      </w:pPr>
    </w:p>
    <w:p w14:paraId="122DFAD7" w14:textId="77777777" w:rsidR="00F953C8" w:rsidRPr="00EC7F9C" w:rsidRDefault="00F953C8" w:rsidP="00F953C8">
      <w:pPr>
        <w:widowControl w:val="0"/>
        <w:numPr>
          <w:ilvl w:val="0"/>
          <w:numId w:val="45"/>
        </w:numPr>
      </w:pPr>
      <w:r w:rsidRPr="00EC7F9C">
        <w:t>Department of Treasury;</w:t>
      </w:r>
    </w:p>
    <w:p w14:paraId="08FCB9FD" w14:textId="77777777" w:rsidR="00F953C8" w:rsidRPr="00DA6E8A" w:rsidRDefault="00F953C8" w:rsidP="00F953C8">
      <w:pPr>
        <w:widowControl w:val="0"/>
        <w:numPr>
          <w:ilvl w:val="0"/>
          <w:numId w:val="45"/>
        </w:numPr>
      </w:pPr>
      <w:r w:rsidRPr="00DA6E8A">
        <w:t xml:space="preserve">The </w:t>
      </w:r>
      <w:bookmarkStart w:id="7" w:name="OLE_LINK3"/>
      <w:bookmarkStart w:id="8" w:name="OLE_LINK4"/>
      <w:r w:rsidRPr="00DA6E8A">
        <w:t>U.S. Congress Joint Committee on Taxation</w:t>
      </w:r>
      <w:r w:rsidR="00BD5C5C" w:rsidRPr="00DA6E8A">
        <w:t xml:space="preserve"> </w:t>
      </w:r>
      <w:bookmarkEnd w:id="7"/>
      <w:bookmarkEnd w:id="8"/>
      <w:r w:rsidR="00BD5C5C" w:rsidRPr="00DA6E8A">
        <w:t>(JCT)</w:t>
      </w:r>
      <w:r w:rsidRPr="00DA6E8A">
        <w:t>;</w:t>
      </w:r>
    </w:p>
    <w:p w14:paraId="6277D502" w14:textId="77777777" w:rsidR="00F953C8" w:rsidRDefault="00F953C8" w:rsidP="00F953C8">
      <w:pPr>
        <w:widowControl w:val="0"/>
        <w:numPr>
          <w:ilvl w:val="0"/>
          <w:numId w:val="45"/>
        </w:numPr>
      </w:pPr>
      <w:r w:rsidRPr="00EC7F9C">
        <w:t>Department of Health and Human Services</w:t>
      </w:r>
      <w:r>
        <w:t xml:space="preserve"> (HHS)</w:t>
      </w:r>
      <w:r w:rsidRPr="00EC7F9C">
        <w:t>, including</w:t>
      </w:r>
    </w:p>
    <w:p w14:paraId="2A338D1D" w14:textId="77777777" w:rsidR="00F953C8" w:rsidRDefault="00F953C8" w:rsidP="00F953C8">
      <w:pPr>
        <w:widowControl w:val="0"/>
        <w:numPr>
          <w:ilvl w:val="1"/>
          <w:numId w:val="45"/>
        </w:numPr>
      </w:pPr>
      <w:r>
        <w:t>Assistant Secretary for Planning and Evaluation (ASPE)</w:t>
      </w:r>
    </w:p>
    <w:p w14:paraId="16B94DC8" w14:textId="77777777" w:rsidR="00F953C8" w:rsidRDefault="00F953C8" w:rsidP="00F953C8">
      <w:pPr>
        <w:widowControl w:val="0"/>
        <w:numPr>
          <w:ilvl w:val="1"/>
          <w:numId w:val="45"/>
        </w:numPr>
      </w:pPr>
      <w:r>
        <w:t>Centers for Medicare &amp; Medicaid Services (CMS)</w:t>
      </w:r>
    </w:p>
    <w:p w14:paraId="5DE9A6A1" w14:textId="77777777" w:rsidR="00F953C8" w:rsidRPr="00EC7F9C" w:rsidRDefault="00F953C8" w:rsidP="00F953C8">
      <w:pPr>
        <w:widowControl w:val="0"/>
        <w:numPr>
          <w:ilvl w:val="0"/>
          <w:numId w:val="45"/>
        </w:numPr>
      </w:pPr>
      <w:r w:rsidRPr="00EC7F9C">
        <w:t>Congressional Budget Office (CBO);</w:t>
      </w:r>
    </w:p>
    <w:p w14:paraId="67AA586F" w14:textId="77777777" w:rsidR="00F953C8" w:rsidRDefault="00F953C8" w:rsidP="00F953C8">
      <w:pPr>
        <w:widowControl w:val="0"/>
        <w:numPr>
          <w:ilvl w:val="0"/>
          <w:numId w:val="45"/>
        </w:numPr>
      </w:pPr>
      <w:r w:rsidRPr="00EC7F9C">
        <w:t>Congr</w:t>
      </w:r>
      <w:r w:rsidR="00D21601">
        <w:t>essional Research Service (CRS).</w:t>
      </w:r>
    </w:p>
    <w:p w14:paraId="0D0F9463" w14:textId="77777777" w:rsidR="0086348E" w:rsidRPr="00EC7F9C" w:rsidRDefault="0086348E" w:rsidP="0086348E">
      <w:pPr>
        <w:widowControl w:val="0"/>
        <w:ind w:left="360"/>
      </w:pPr>
    </w:p>
    <w:p w14:paraId="29BC4952" w14:textId="77777777" w:rsidR="00F953C8" w:rsidRDefault="00D21601" w:rsidP="00F953C8">
      <w:pPr>
        <w:widowControl w:val="0"/>
      </w:pPr>
      <w:r>
        <w:t>Other r</w:t>
      </w:r>
      <w:r w:rsidR="0086348E">
        <w:t>egular</w:t>
      </w:r>
      <w:r w:rsidR="00F953C8" w:rsidRPr="00EC7F9C">
        <w:t xml:space="preserve"> users of MEPS-IC data have been:</w:t>
      </w:r>
    </w:p>
    <w:p w14:paraId="3755A0D6" w14:textId="77777777" w:rsidR="00F953C8" w:rsidRDefault="00F953C8" w:rsidP="00F953C8">
      <w:pPr>
        <w:widowControl w:val="0"/>
      </w:pPr>
    </w:p>
    <w:p w14:paraId="6B08079C" w14:textId="77777777" w:rsidR="00CE2FBF" w:rsidRDefault="00CE2FBF" w:rsidP="00CE2FBF">
      <w:pPr>
        <w:widowControl w:val="0"/>
        <w:numPr>
          <w:ilvl w:val="0"/>
          <w:numId w:val="45"/>
        </w:numPr>
      </w:pPr>
      <w:r>
        <w:t>Council of Economic Advisors (CEA);</w:t>
      </w:r>
    </w:p>
    <w:p w14:paraId="2E18CBA8" w14:textId="77777777" w:rsidR="00F953C8" w:rsidRPr="00EC7F9C" w:rsidRDefault="00F953C8" w:rsidP="00F953C8">
      <w:pPr>
        <w:widowControl w:val="0"/>
        <w:numPr>
          <w:ilvl w:val="0"/>
          <w:numId w:val="45"/>
        </w:numPr>
      </w:pPr>
      <w:r>
        <w:t>HHS, Health Resources and Services Administration (HRSA);</w:t>
      </w:r>
      <w:r w:rsidRPr="00F953C8">
        <w:t xml:space="preserve"> </w:t>
      </w:r>
    </w:p>
    <w:p w14:paraId="0849B9BC" w14:textId="77777777" w:rsidR="00F953C8" w:rsidRPr="00EC7F9C" w:rsidRDefault="00F953C8" w:rsidP="00F953C8">
      <w:pPr>
        <w:widowControl w:val="0"/>
        <w:numPr>
          <w:ilvl w:val="0"/>
          <w:numId w:val="45"/>
        </w:numPr>
      </w:pPr>
      <w:r w:rsidRPr="00EC7F9C">
        <w:t>Department of Labor</w:t>
      </w:r>
      <w:r>
        <w:t xml:space="preserve"> (DOL)</w:t>
      </w:r>
      <w:r w:rsidRPr="00EC7F9C">
        <w:t xml:space="preserve">; </w:t>
      </w:r>
    </w:p>
    <w:p w14:paraId="0F6722A3" w14:textId="77777777" w:rsidR="00F953C8" w:rsidRPr="00EC7F9C" w:rsidRDefault="00F953C8" w:rsidP="00F953C8">
      <w:pPr>
        <w:widowControl w:val="0"/>
        <w:numPr>
          <w:ilvl w:val="0"/>
          <w:numId w:val="45"/>
        </w:numPr>
      </w:pPr>
      <w:r w:rsidRPr="00EC7F9C">
        <w:t xml:space="preserve">General Accounting Office (GAO); </w:t>
      </w:r>
    </w:p>
    <w:p w14:paraId="02A889AE" w14:textId="77777777"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14:paraId="16B6901C" w14:textId="77777777" w:rsidR="00F953C8" w:rsidRPr="00EC7F9C" w:rsidRDefault="00F953C8" w:rsidP="00F953C8">
      <w:pPr>
        <w:widowControl w:val="0"/>
        <w:numPr>
          <w:ilvl w:val="0"/>
          <w:numId w:val="45"/>
        </w:numPr>
      </w:pPr>
      <w:r w:rsidRPr="00EC7F9C">
        <w:t>Government age</w:t>
      </w:r>
      <w:r w:rsidR="00D22345">
        <w:t>ncies from almost every State.</w:t>
      </w:r>
    </w:p>
    <w:p w14:paraId="74C348FB" w14:textId="77777777" w:rsidR="00F953C8" w:rsidRPr="00EC7F9C" w:rsidRDefault="00F953C8" w:rsidP="00F953C8">
      <w:pPr>
        <w:widowControl w:val="0"/>
      </w:pPr>
    </w:p>
    <w:p w14:paraId="02D3A89E" w14:textId="77777777" w:rsidR="00F953C8" w:rsidRDefault="00F953C8" w:rsidP="00F953C8">
      <w:pPr>
        <w:widowControl w:val="0"/>
      </w:pPr>
      <w:r>
        <w:t>Examples of important uses of the MEPS-IC estimates include</w:t>
      </w:r>
      <w:r w:rsidRPr="00EC7F9C">
        <w:t>:</w:t>
      </w:r>
    </w:p>
    <w:p w14:paraId="0CF86A60" w14:textId="77777777"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14:paraId="3115A877" w14:textId="77777777"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14:paraId="26ECA18F" w14:textId="77777777"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14:paraId="5EFEA85A" w14:textId="77777777" w:rsidR="00F953C8" w:rsidRPr="00EC7F9C" w:rsidRDefault="00BD5C5C" w:rsidP="00F953C8">
      <w:pPr>
        <w:widowControl w:val="0"/>
        <w:numPr>
          <w:ilvl w:val="0"/>
          <w:numId w:val="46"/>
        </w:numPr>
      </w:pPr>
      <w:r>
        <w:t xml:space="preserve">Estimation of </w:t>
      </w:r>
      <w:r w:rsidR="00F953C8" w:rsidRPr="00EC7F9C">
        <w:t xml:space="preserve">the costs </w:t>
      </w:r>
      <w:r w:rsidR="00F953C8" w:rsidRPr="0093246C">
        <w:t>and tax</w:t>
      </w:r>
      <w:r w:rsidR="00F953C8" w:rsidRPr="00EC7F9C">
        <w:t xml:space="preserve">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14:paraId="6A8D6C22" w14:textId="77777777"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14:paraId="4E7A3801" w14:textId="77777777"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14:paraId="41C36E88" w14:textId="77777777" w:rsidR="00F953C8" w:rsidRPr="00EC7F9C" w:rsidRDefault="00CE2FBF" w:rsidP="00F953C8">
      <w:pPr>
        <w:widowControl w:val="0"/>
        <w:numPr>
          <w:ilvl w:val="0"/>
          <w:numId w:val="46"/>
        </w:numPr>
      </w:pPr>
      <w:r>
        <w:t>A</w:t>
      </w:r>
      <w:r w:rsidR="00F953C8">
        <w:t>ssessment of the cost of proposed COBRA subsidies (DOL, ASPE)</w:t>
      </w:r>
      <w:r w:rsidR="00D21601">
        <w:t>;</w:t>
      </w:r>
    </w:p>
    <w:p w14:paraId="01742E07" w14:textId="77777777"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14:paraId="6116751E" w14:textId="77777777" w:rsidR="009B633D" w:rsidRPr="00983636" w:rsidRDefault="009B633D" w:rsidP="009B633D">
      <w:pPr>
        <w:pStyle w:val="Heading2"/>
        <w:rPr>
          <w:sz w:val="24"/>
        </w:rPr>
      </w:pPr>
      <w:bookmarkStart w:id="9" w:name="_Toc151782178"/>
      <w:bookmarkStart w:id="10" w:name="_Toc158526218"/>
      <w:r w:rsidRPr="00983636">
        <w:rPr>
          <w:sz w:val="24"/>
        </w:rPr>
        <w:t>3. Use of Improved Information Technology</w:t>
      </w:r>
      <w:bookmarkEnd w:id="9"/>
      <w:bookmarkEnd w:id="10"/>
    </w:p>
    <w:p w14:paraId="3597F10B" w14:textId="77777777" w:rsidR="00B82513" w:rsidRDefault="00B82513" w:rsidP="009B633D">
      <w:pPr>
        <w:jc w:val="both"/>
        <w:rPr>
          <w:i/>
        </w:rPr>
      </w:pPr>
    </w:p>
    <w:p w14:paraId="2106FC94" w14:textId="77777777"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r w:rsidR="00180C02">
        <w:t xml:space="preserve">  The Establishment Questionnaire, mailed to each establishm</w:t>
      </w:r>
      <w:r w:rsidR="002D6EFE">
        <w:t>ent selected for the MEPS-IC,</w:t>
      </w:r>
      <w:r w:rsidR="00180C02">
        <w:t xml:space="preserve"> has the following information printed on the front cover:</w:t>
      </w:r>
    </w:p>
    <w:p w14:paraId="24147B7B" w14:textId="77777777" w:rsidR="0062463C" w:rsidRDefault="0062463C" w:rsidP="00B82513">
      <w:pPr>
        <w:autoSpaceDE w:val="0"/>
        <w:autoSpaceDN w:val="0"/>
        <w:adjustRightInd w:val="0"/>
      </w:pPr>
    </w:p>
    <w:p w14:paraId="40D1DCA0" w14:textId="77777777" w:rsidR="0062463C" w:rsidRDefault="0062463C" w:rsidP="00B82513">
      <w:pPr>
        <w:autoSpaceDE w:val="0"/>
        <w:autoSpaceDN w:val="0"/>
        <w:adjustRightInd w:val="0"/>
      </w:pPr>
      <w:r>
        <w:rPr>
          <w:noProof/>
        </w:rPr>
        <w:drawing>
          <wp:inline distT="0" distB="0" distL="0" distR="0" wp14:anchorId="72A2E847" wp14:editId="6EB5ECAB">
            <wp:extent cx="5486400" cy="928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928370"/>
                    </a:xfrm>
                    <a:prstGeom prst="rect">
                      <a:avLst/>
                    </a:prstGeom>
                    <a:noFill/>
                    <a:ln>
                      <a:noFill/>
                    </a:ln>
                  </pic:spPr>
                </pic:pic>
              </a:graphicData>
            </a:graphic>
          </wp:inline>
        </w:drawing>
      </w:r>
    </w:p>
    <w:p w14:paraId="4E09AFC7" w14:textId="77777777" w:rsidR="00B82513" w:rsidRDefault="00B82513" w:rsidP="00B82513">
      <w:pPr>
        <w:autoSpaceDE w:val="0"/>
        <w:autoSpaceDN w:val="0"/>
        <w:adjustRightInd w:val="0"/>
      </w:pPr>
    </w:p>
    <w:p w14:paraId="64A95456" w14:textId="77777777"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14:paraId="4F15486C" w14:textId="77777777" w:rsidR="00B82513" w:rsidRDefault="00B82513" w:rsidP="00B82513">
      <w:pPr>
        <w:autoSpaceDE w:val="0"/>
        <w:autoSpaceDN w:val="0"/>
        <w:adjustRightInd w:val="0"/>
      </w:pPr>
    </w:p>
    <w:p w14:paraId="7E8847A0" w14:textId="77777777"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14:paraId="4D30B0A6" w14:textId="77777777" w:rsidR="00AE4A62" w:rsidRDefault="009B633D" w:rsidP="003A1096">
      <w:pPr>
        <w:pStyle w:val="Heading2"/>
        <w:rPr>
          <w:sz w:val="24"/>
        </w:rPr>
      </w:pPr>
      <w:bookmarkStart w:id="11" w:name="_Toc151782179"/>
      <w:bookmarkStart w:id="12" w:name="_Toc158526219"/>
      <w:r w:rsidRPr="00983636">
        <w:rPr>
          <w:sz w:val="24"/>
        </w:rPr>
        <w:t>4. Efforts to Identify Duplication</w:t>
      </w:r>
      <w:bookmarkEnd w:id="11"/>
      <w:bookmarkEnd w:id="12"/>
    </w:p>
    <w:p w14:paraId="5FF59CF4" w14:textId="77777777" w:rsidR="003A1096" w:rsidRPr="003A1096" w:rsidRDefault="003A1096" w:rsidP="003A1096"/>
    <w:p w14:paraId="6C9335DF" w14:textId="77777777"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14:paraId="6686A82A" w14:textId="77777777" w:rsidR="00AE4A62" w:rsidRPr="00EC7F9C" w:rsidRDefault="00AE4A62" w:rsidP="00AE4A62">
      <w:pPr>
        <w:widowControl w:val="0"/>
      </w:pPr>
    </w:p>
    <w:p w14:paraId="56EE52B6" w14:textId="77777777"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14:paraId="0FE7E8D6" w14:textId="77777777" w:rsidR="00AE4A62" w:rsidRPr="00EC7F9C" w:rsidRDefault="00AE4A62" w:rsidP="00AE4A62">
      <w:pPr>
        <w:widowControl w:val="0"/>
      </w:pPr>
    </w:p>
    <w:p w14:paraId="4EDC0F9D" w14:textId="77777777"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14:paraId="6B4FEAE0" w14:textId="77777777" w:rsidR="00C968BB" w:rsidRDefault="00C968BB" w:rsidP="00AE4A62">
      <w:pPr>
        <w:widowControl w:val="0"/>
      </w:pPr>
    </w:p>
    <w:p w14:paraId="73F28257" w14:textId="77777777"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001B1FB6" w:rsidRPr="00EC7F9C">
        <w:t>gover</w:t>
      </w:r>
      <w:r w:rsidR="001B1FB6">
        <w:t>nments and private sector firms</w:t>
      </w:r>
      <w:r w:rsidR="001B1FB6" w:rsidRPr="00EC7F9C">
        <w:t xml:space="preserve"> reporting for multiple establishments</w:t>
      </w:r>
      <w:r w:rsidR="001B1FB6">
        <w:t>.</w:t>
      </w:r>
    </w:p>
    <w:p w14:paraId="397F4442" w14:textId="77777777" w:rsidR="00AE4A62" w:rsidRPr="00EC7F9C" w:rsidRDefault="00AE4A62" w:rsidP="00AE4A62">
      <w:pPr>
        <w:widowControl w:val="0"/>
      </w:pPr>
    </w:p>
    <w:p w14:paraId="626A6D2B" w14:textId="77777777"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14:paraId="27EAF89E" w14:textId="77777777" w:rsidR="00AE4A62" w:rsidRPr="00EC7F9C" w:rsidRDefault="00AE4A62" w:rsidP="00AE4A62">
      <w:pPr>
        <w:widowControl w:val="0"/>
      </w:pPr>
    </w:p>
    <w:p w14:paraId="7C5091BF" w14:textId="77777777"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14:paraId="39F4501D" w14:textId="77777777" w:rsidR="00AE4A62" w:rsidRPr="00D93C24" w:rsidRDefault="00AE4A62" w:rsidP="00AE4A62"/>
    <w:p w14:paraId="6CB22899" w14:textId="77777777"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14:paraId="09CC5B0A" w14:textId="77777777" w:rsidR="009B633D" w:rsidRPr="00983636" w:rsidRDefault="009B633D" w:rsidP="009B633D">
      <w:pPr>
        <w:pStyle w:val="Heading2"/>
        <w:rPr>
          <w:sz w:val="24"/>
        </w:rPr>
      </w:pPr>
      <w:bookmarkStart w:id="13" w:name="_Toc151782180"/>
      <w:bookmarkStart w:id="14" w:name="_Toc158526220"/>
      <w:r w:rsidRPr="00983636">
        <w:rPr>
          <w:sz w:val="24"/>
        </w:rPr>
        <w:t>5. Involvement of Small Entities</w:t>
      </w:r>
      <w:bookmarkEnd w:id="13"/>
      <w:bookmarkEnd w:id="14"/>
    </w:p>
    <w:p w14:paraId="7FCD4002" w14:textId="77777777" w:rsidR="00E224B5" w:rsidRDefault="00E224B5" w:rsidP="00E224B5">
      <w:pPr>
        <w:widowControl w:val="0"/>
        <w:ind w:left="360"/>
      </w:pPr>
    </w:p>
    <w:p w14:paraId="001D8178" w14:textId="77777777"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14:paraId="06FC8C13" w14:textId="77777777" w:rsidR="00E224B5" w:rsidRDefault="00E224B5" w:rsidP="00E224B5">
      <w:pPr>
        <w:widowControl w:val="0"/>
      </w:pPr>
    </w:p>
    <w:p w14:paraId="21966037" w14:textId="77777777"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14:paraId="20F5DF63" w14:textId="77777777" w:rsidR="00E224B5" w:rsidRDefault="00E224B5" w:rsidP="00E224B5">
      <w:pPr>
        <w:widowControl w:val="0"/>
      </w:pPr>
    </w:p>
    <w:p w14:paraId="13879326" w14:textId="77777777" w:rsidR="00E224B5"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14:paraId="5324E126" w14:textId="77777777" w:rsidR="00892636" w:rsidRDefault="00892636" w:rsidP="00E224B5">
      <w:pPr>
        <w:widowControl w:val="0"/>
      </w:pPr>
    </w:p>
    <w:p w14:paraId="48DE43D0" w14:textId="77777777" w:rsidR="009B633D" w:rsidRPr="00983636" w:rsidRDefault="009B633D" w:rsidP="009B633D">
      <w:pPr>
        <w:pStyle w:val="Heading2"/>
        <w:rPr>
          <w:sz w:val="24"/>
        </w:rPr>
      </w:pPr>
      <w:bookmarkStart w:id="15" w:name="_Toc151782181"/>
      <w:bookmarkStart w:id="16" w:name="_Toc158526221"/>
      <w:r w:rsidRPr="00983636">
        <w:rPr>
          <w:sz w:val="24"/>
        </w:rPr>
        <w:t>6. Consequences if Information Collected Less Frequently</w:t>
      </w:r>
      <w:bookmarkEnd w:id="15"/>
      <w:bookmarkEnd w:id="16"/>
    </w:p>
    <w:p w14:paraId="11DC4BFF" w14:textId="77777777" w:rsidR="00F82043" w:rsidRDefault="00F82043" w:rsidP="00E224B5">
      <w:pPr>
        <w:widowControl w:val="0"/>
      </w:pPr>
      <w:bookmarkStart w:id="17" w:name="_Toc151782182"/>
      <w:bookmarkStart w:id="18" w:name="_Toc158526222"/>
    </w:p>
    <w:p w14:paraId="4B5C2969" w14:textId="07E8C5CA"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C8744A">
        <w:t>2020 and 2021</w:t>
      </w:r>
      <w:r w:rsidRPr="00EC7F9C">
        <w:t xml:space="preserve">.  </w:t>
      </w:r>
    </w:p>
    <w:p w14:paraId="29AD8EB1" w14:textId="77777777" w:rsidR="00C968BB" w:rsidRDefault="00C968BB" w:rsidP="00E224B5">
      <w:pPr>
        <w:widowControl w:val="0"/>
      </w:pPr>
    </w:p>
    <w:p w14:paraId="0247E536" w14:textId="77777777"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14:paraId="1B30F1FB" w14:textId="77777777" w:rsidR="00E224B5" w:rsidRDefault="00E224B5" w:rsidP="00E224B5">
      <w:pPr>
        <w:widowControl w:val="0"/>
      </w:pPr>
    </w:p>
    <w:p w14:paraId="3FBFE7DA" w14:textId="77777777" w:rsidR="00E224B5" w:rsidRPr="00EC7F9C" w:rsidRDefault="00E224B5" w:rsidP="00E224B5">
      <w:pPr>
        <w:widowControl w:val="0"/>
      </w:pPr>
      <w:r>
        <w:t>In addition, l</w:t>
      </w:r>
      <w:r w:rsidRPr="00EC7F9C">
        <w:t>ess frequent data collection would also be harmful to the support of the Gross Domestic Product and National Health Accounts production</w:t>
      </w:r>
      <w:r>
        <w:t>, which are annual measures.</w:t>
      </w:r>
      <w:r w:rsidRPr="00EC7F9C">
        <w:t xml:space="preserve">  </w:t>
      </w:r>
    </w:p>
    <w:p w14:paraId="402E737B" w14:textId="77777777" w:rsidR="009B633D" w:rsidRDefault="009B633D" w:rsidP="009B633D">
      <w:pPr>
        <w:pStyle w:val="Heading2"/>
        <w:rPr>
          <w:sz w:val="24"/>
        </w:rPr>
      </w:pPr>
      <w:r w:rsidRPr="00412C6F">
        <w:rPr>
          <w:sz w:val="24"/>
        </w:rPr>
        <w:t>7. Special Circumstances</w:t>
      </w:r>
      <w:bookmarkEnd w:id="17"/>
      <w:bookmarkEnd w:id="18"/>
    </w:p>
    <w:p w14:paraId="511114FE"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175F2FEA" w14:textId="77777777" w:rsidR="004E3A1B" w:rsidRDefault="009B633D" w:rsidP="004E3A1B">
      <w:pPr>
        <w:pStyle w:val="Heading2"/>
        <w:rPr>
          <w:sz w:val="24"/>
          <w:szCs w:val="24"/>
        </w:rPr>
      </w:pPr>
      <w:bookmarkStart w:id="19" w:name="_Toc151782183"/>
      <w:bookmarkStart w:id="20" w:name="_Toc158526223"/>
      <w:r w:rsidRPr="00412C6F">
        <w:rPr>
          <w:sz w:val="24"/>
        </w:rPr>
        <w:t>8.</w:t>
      </w:r>
      <w:r w:rsidRPr="004E3A1B">
        <w:rPr>
          <w:sz w:val="24"/>
          <w:szCs w:val="24"/>
        </w:rPr>
        <w:t xml:space="preserve"> </w:t>
      </w:r>
      <w:bookmarkEnd w:id="19"/>
      <w:bookmarkEnd w:id="20"/>
      <w:r w:rsidR="004E3A1B" w:rsidRPr="004E3A1B">
        <w:rPr>
          <w:sz w:val="24"/>
          <w:szCs w:val="24"/>
        </w:rPr>
        <w:t>Federal Register Notice and Outside Consultations</w:t>
      </w:r>
    </w:p>
    <w:p w14:paraId="39BDDD1B" w14:textId="77777777" w:rsidR="004E3A1B" w:rsidRDefault="004E3A1B" w:rsidP="004E3A1B"/>
    <w:p w14:paraId="43D81805"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541E4F08" w14:textId="77777777" w:rsidR="007C1ECB" w:rsidRPr="007C1ECB" w:rsidRDefault="007C1ECB" w:rsidP="004E3A1B"/>
    <w:p w14:paraId="29CAD03B" w14:textId="3F8A389F" w:rsidR="004E3A1B" w:rsidRPr="004E3A1B" w:rsidRDefault="00A30D9A" w:rsidP="004E3A1B">
      <w:r>
        <w:t xml:space="preserve">As required by </w:t>
      </w:r>
      <w:r w:rsidR="0037771B">
        <w:t>5 CFR 1320.8(d), n</w:t>
      </w:r>
      <w:r w:rsidR="009374DF" w:rsidRPr="007B4120">
        <w:t>otice was publi</w:t>
      </w:r>
      <w:r w:rsidR="00F43B07">
        <w:t>shed in the Federal Register on</w:t>
      </w:r>
      <w:r w:rsidR="00F43B07" w:rsidRPr="00F43B07">
        <w:t xml:space="preserve"> August 8, </w:t>
      </w:r>
      <w:r w:rsidR="00F43B07">
        <w:t xml:space="preserve">2019 </w:t>
      </w:r>
      <w:r w:rsidR="002613C8">
        <w:t>for 60 days</w:t>
      </w:r>
      <w:r w:rsidR="007D27F6">
        <w:t xml:space="preserve"> on page </w:t>
      </w:r>
      <w:r w:rsidR="007D27F6" w:rsidRPr="007D27F6">
        <w:t>38984</w:t>
      </w:r>
      <w:r w:rsidR="0025221E">
        <w:t>.  No substantive comments were received.  S</w:t>
      </w:r>
      <w:r w:rsidR="00620B93">
        <w:t>ee A</w:t>
      </w:r>
      <w:r w:rsidR="00EE4455">
        <w:t xml:space="preserve">ttachment </w:t>
      </w:r>
      <w:r w:rsidR="00385678" w:rsidRPr="00385678">
        <w:t>D</w:t>
      </w:r>
      <w:r w:rsidR="009374DF">
        <w:t xml:space="preserve">.  </w:t>
      </w:r>
    </w:p>
    <w:p w14:paraId="64A3379B" w14:textId="77777777" w:rsidR="009B633D" w:rsidRPr="00412C6F" w:rsidRDefault="004E3A1B" w:rsidP="009B633D">
      <w:pPr>
        <w:pStyle w:val="Heading2"/>
        <w:rPr>
          <w:sz w:val="24"/>
        </w:rPr>
      </w:pPr>
      <w:r>
        <w:rPr>
          <w:sz w:val="24"/>
        </w:rPr>
        <w:t xml:space="preserve">8.b.  </w:t>
      </w:r>
      <w:r w:rsidRPr="004E3A1B">
        <w:rPr>
          <w:sz w:val="24"/>
          <w:szCs w:val="24"/>
        </w:rPr>
        <w:t>Outside Consultations</w:t>
      </w:r>
    </w:p>
    <w:p w14:paraId="64991CC8" w14:textId="77777777" w:rsidR="003A1096" w:rsidRDefault="003A1096" w:rsidP="00F70871">
      <w:pPr>
        <w:widowControl w:val="0"/>
      </w:pPr>
      <w:bookmarkStart w:id="21" w:name="_Toc457285506"/>
      <w:bookmarkStart w:id="22" w:name="_Toc58725294"/>
      <w:bookmarkStart w:id="23" w:name="_Toc151782184"/>
      <w:bookmarkStart w:id="24" w:name="_Toc158526224"/>
    </w:p>
    <w:p w14:paraId="60F21EF0" w14:textId="77777777" w:rsidR="008E5EAE"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w:t>
      </w:r>
    </w:p>
    <w:p w14:paraId="4399C7D0" w14:textId="77777777" w:rsidR="00885119" w:rsidRDefault="00210393" w:rsidP="00F70871">
      <w:pPr>
        <w:widowControl w:val="0"/>
      </w:pPr>
      <w:r>
        <w:t xml:space="preserve">  </w:t>
      </w:r>
    </w:p>
    <w:p w14:paraId="7D933C3E" w14:textId="77777777" w:rsidR="00210393" w:rsidRDefault="009D3BFC" w:rsidP="00F70871">
      <w:pPr>
        <w:widowControl w:val="0"/>
      </w:pPr>
      <w:r>
        <w:t>The MEPS-IC has contacts with</w:t>
      </w:r>
      <w:r w:rsidR="00E73E7B">
        <w:t>in</w:t>
      </w:r>
      <w:r>
        <w:t xml:space="preserve"> the Center for Consumer Information and Insurance Oversight (CCIIO).  CCIIO staff and MEPS-IC staff are determining the impact of the State Health Insurance Exchanges on MEPS-IC data collection for</w:t>
      </w:r>
      <w:r w:rsidR="00FA74F5">
        <w:t xml:space="preserve"> small businesses</w:t>
      </w:r>
      <w:r>
        <w:t>, and what assistance CCIIO might be able to provide to assist collection</w:t>
      </w:r>
      <w:r w:rsidR="0093246C">
        <w:t>.</w:t>
      </w:r>
    </w:p>
    <w:p w14:paraId="147B13E2" w14:textId="77777777" w:rsidR="006C54CE" w:rsidRDefault="006C54CE" w:rsidP="00F70871">
      <w:pPr>
        <w:widowControl w:val="0"/>
      </w:pPr>
    </w:p>
    <w:p w14:paraId="50B6743B" w14:textId="77777777"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14:paraId="0295DEF1" w14:textId="77777777" w:rsidR="00210393" w:rsidRDefault="00210393" w:rsidP="00F70871">
      <w:pPr>
        <w:widowControl w:val="0"/>
      </w:pPr>
    </w:p>
    <w:p w14:paraId="4A967F6B" w14:textId="77777777"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14:paraId="0AA30ABC" w14:textId="77777777" w:rsidR="00210393" w:rsidRPr="00EC7F9C" w:rsidRDefault="00210393" w:rsidP="00F70871">
      <w:pPr>
        <w:widowControl w:val="0"/>
      </w:pPr>
    </w:p>
    <w:p w14:paraId="2BDF9721" w14:textId="77777777"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14:paraId="3BB595BF" w14:textId="77777777" w:rsidR="00210393" w:rsidRPr="00EC7F9C" w:rsidRDefault="00210393" w:rsidP="00210393">
      <w:pPr>
        <w:widowControl w:val="0"/>
        <w:ind w:left="360"/>
      </w:pPr>
    </w:p>
    <w:p w14:paraId="403E822D" w14:textId="77777777" w:rsidR="00210393" w:rsidRPr="006F040F" w:rsidRDefault="00210393" w:rsidP="00B91836">
      <w:pPr>
        <w:widowControl w:val="0"/>
        <w:rPr>
          <w:b/>
          <w:i/>
        </w:rPr>
      </w:pPr>
      <w:r>
        <w:t>The following list includes MEPS-IC contacts at various Federal, State, and research organizations:</w:t>
      </w:r>
      <w:r w:rsidR="006F040F">
        <w:t xml:space="preserve">  </w:t>
      </w:r>
    </w:p>
    <w:p w14:paraId="3914BE42" w14:textId="77777777" w:rsidR="00210393" w:rsidRDefault="00210393" w:rsidP="00210393">
      <w:pPr>
        <w:widowControl w:val="0"/>
        <w:ind w:left="360"/>
      </w:pPr>
    </w:p>
    <w:p w14:paraId="6BD3AF82" w14:textId="77777777" w:rsidR="00210393" w:rsidRPr="00EC7F9C" w:rsidRDefault="00210393" w:rsidP="00210393">
      <w:pPr>
        <w:widowControl w:val="0"/>
        <w:ind w:left="360"/>
      </w:pPr>
      <w:r w:rsidRPr="00EC7F9C">
        <w:t>Bill Wiatrowski</w:t>
      </w:r>
    </w:p>
    <w:p w14:paraId="3300FDA5" w14:textId="77777777" w:rsidR="00210393" w:rsidRPr="00EC7F9C" w:rsidRDefault="00210393" w:rsidP="00210393">
      <w:pPr>
        <w:widowControl w:val="0"/>
        <w:ind w:left="360"/>
      </w:pPr>
      <w:r w:rsidRPr="00EC7F9C">
        <w:t>Associate Commissioner</w:t>
      </w:r>
    </w:p>
    <w:p w14:paraId="480F80AD" w14:textId="77777777" w:rsidR="00210393" w:rsidRPr="00EC7F9C" w:rsidRDefault="00210393" w:rsidP="00210393">
      <w:pPr>
        <w:widowControl w:val="0"/>
        <w:ind w:left="360"/>
      </w:pPr>
      <w:r w:rsidRPr="00EC7F9C">
        <w:t>Office of Compensation and Working Conditions</w:t>
      </w:r>
    </w:p>
    <w:p w14:paraId="15C84F9B" w14:textId="77777777" w:rsidR="00210393" w:rsidRPr="00EC7F9C" w:rsidRDefault="00210393" w:rsidP="00210393">
      <w:pPr>
        <w:widowControl w:val="0"/>
        <w:ind w:left="360"/>
      </w:pPr>
      <w:r w:rsidRPr="00EC7F9C">
        <w:t>Bureau of Labor Statistics</w:t>
      </w:r>
    </w:p>
    <w:p w14:paraId="40A2B038" w14:textId="77777777" w:rsidR="00210393" w:rsidRPr="00EC7F9C" w:rsidRDefault="00210393" w:rsidP="00210393">
      <w:pPr>
        <w:widowControl w:val="0"/>
        <w:ind w:left="360"/>
      </w:pPr>
    </w:p>
    <w:p w14:paraId="3C4F360D" w14:textId="77777777" w:rsidR="00210393" w:rsidRPr="00EC7F9C" w:rsidRDefault="00210393" w:rsidP="00210393">
      <w:pPr>
        <w:widowControl w:val="0"/>
        <w:ind w:left="360"/>
      </w:pPr>
      <w:r w:rsidRPr="00EC7F9C">
        <w:t>Cathy Cowan</w:t>
      </w:r>
    </w:p>
    <w:p w14:paraId="45D9652B" w14:textId="77777777" w:rsidR="00210393" w:rsidRPr="00EC7F9C" w:rsidRDefault="00210393" w:rsidP="00210393">
      <w:pPr>
        <w:widowControl w:val="0"/>
        <w:ind w:left="360"/>
      </w:pPr>
      <w:r w:rsidRPr="00EC7F9C">
        <w:t>Office of the Actuary</w:t>
      </w:r>
    </w:p>
    <w:p w14:paraId="400AF14C" w14:textId="77777777" w:rsidR="00210393" w:rsidRPr="00EC7F9C" w:rsidRDefault="00210393" w:rsidP="00210393">
      <w:pPr>
        <w:widowControl w:val="0"/>
        <w:ind w:left="360"/>
      </w:pPr>
      <w:r w:rsidRPr="00EC7F9C">
        <w:t>Center for Medicare and Medicaid Services</w:t>
      </w:r>
      <w:r w:rsidR="007A3DB6">
        <w:t>, DHHS</w:t>
      </w:r>
      <w:r w:rsidRPr="00EC7F9C">
        <w:t xml:space="preserve"> </w:t>
      </w:r>
    </w:p>
    <w:p w14:paraId="7ED7BFCE" w14:textId="77777777" w:rsidR="00210393" w:rsidRPr="00EC7F9C" w:rsidRDefault="00210393" w:rsidP="00210393">
      <w:pPr>
        <w:widowControl w:val="0"/>
        <w:ind w:left="360"/>
      </w:pPr>
    </w:p>
    <w:p w14:paraId="35E641D0" w14:textId="77777777" w:rsidR="00210393" w:rsidRPr="00EC7F9C" w:rsidRDefault="00153FC9" w:rsidP="00210393">
      <w:pPr>
        <w:widowControl w:val="0"/>
        <w:ind w:left="360"/>
      </w:pPr>
      <w:r>
        <w:t>Elaine Zimmerman</w:t>
      </w:r>
    </w:p>
    <w:p w14:paraId="5D77ABB1" w14:textId="77777777" w:rsidR="00210393" w:rsidRPr="00EC7F9C" w:rsidRDefault="00210393" w:rsidP="00210393">
      <w:pPr>
        <w:widowControl w:val="0"/>
        <w:ind w:left="360"/>
      </w:pPr>
      <w:r w:rsidRPr="00EC7F9C">
        <w:t>Office of Policy and Research</w:t>
      </w:r>
    </w:p>
    <w:p w14:paraId="53028B0D" w14:textId="77777777" w:rsidR="00210393" w:rsidRPr="00EC7F9C" w:rsidRDefault="00210393" w:rsidP="00210393">
      <w:pPr>
        <w:widowControl w:val="0"/>
        <w:ind w:left="360"/>
      </w:pPr>
      <w:r w:rsidRPr="00EC7F9C">
        <w:t>Employee Benefits and Security Administration</w:t>
      </w:r>
    </w:p>
    <w:p w14:paraId="239D6530" w14:textId="77777777" w:rsidR="00210393" w:rsidRPr="00EC7F9C" w:rsidRDefault="00210393" w:rsidP="00210393">
      <w:pPr>
        <w:widowControl w:val="0"/>
        <w:ind w:left="360"/>
      </w:pPr>
    </w:p>
    <w:p w14:paraId="683FB8C1" w14:textId="77777777" w:rsidR="00210393" w:rsidRPr="00EC7F9C" w:rsidRDefault="00153FC9" w:rsidP="00210393">
      <w:pPr>
        <w:widowControl w:val="0"/>
        <w:ind w:left="360"/>
      </w:pPr>
      <w:r>
        <w:t>Gillian Hunter</w:t>
      </w:r>
    </w:p>
    <w:p w14:paraId="6F9FA78A" w14:textId="77777777" w:rsidR="00210393" w:rsidRPr="00EC7F9C" w:rsidRDefault="00210393" w:rsidP="00210393">
      <w:pPr>
        <w:widowControl w:val="0"/>
        <w:ind w:left="360"/>
      </w:pPr>
      <w:r w:rsidRPr="00D45F46">
        <w:t>Office of Tax Analysis</w:t>
      </w:r>
    </w:p>
    <w:p w14:paraId="5AEB5AC2" w14:textId="77777777" w:rsidR="00210393" w:rsidRPr="00EC7F9C" w:rsidRDefault="00210393" w:rsidP="00210393">
      <w:pPr>
        <w:widowControl w:val="0"/>
        <w:ind w:left="360"/>
      </w:pPr>
      <w:r w:rsidRPr="00EC7F9C">
        <w:t>US Department of the Treasury</w:t>
      </w:r>
    </w:p>
    <w:p w14:paraId="1205A79C" w14:textId="77777777" w:rsidR="00210393" w:rsidRPr="00EC7F9C" w:rsidRDefault="00210393" w:rsidP="00210393">
      <w:pPr>
        <w:widowControl w:val="0"/>
        <w:ind w:left="360"/>
      </w:pPr>
    </w:p>
    <w:p w14:paraId="7DFBCB0F" w14:textId="77777777" w:rsidR="00210393" w:rsidRPr="00EC7F9C" w:rsidRDefault="00A71FE0" w:rsidP="00210393">
      <w:pPr>
        <w:widowControl w:val="0"/>
        <w:ind w:left="360"/>
      </w:pPr>
      <w:r>
        <w:t>Michael Berry</w:t>
      </w:r>
    </w:p>
    <w:p w14:paraId="3FA9F1EA" w14:textId="77777777" w:rsidR="00210393" w:rsidRPr="00EC7F9C" w:rsidRDefault="00210393" w:rsidP="00210393">
      <w:pPr>
        <w:widowControl w:val="0"/>
        <w:ind w:left="360"/>
      </w:pPr>
      <w:r w:rsidRPr="00EC7F9C">
        <w:t>Bureau of Economic Analysis</w:t>
      </w:r>
    </w:p>
    <w:p w14:paraId="75B27466" w14:textId="77777777" w:rsidR="00210393" w:rsidRPr="00EC7F9C" w:rsidRDefault="00210393" w:rsidP="00210393">
      <w:pPr>
        <w:widowControl w:val="0"/>
        <w:ind w:left="360"/>
      </w:pPr>
      <w:r w:rsidRPr="00EC7F9C">
        <w:t>U.S. Department of Commerce</w:t>
      </w:r>
    </w:p>
    <w:p w14:paraId="5A285774" w14:textId="77777777" w:rsidR="00210393" w:rsidRPr="00EC7F9C" w:rsidRDefault="00210393" w:rsidP="00210393">
      <w:pPr>
        <w:widowControl w:val="0"/>
        <w:ind w:left="360"/>
      </w:pPr>
    </w:p>
    <w:p w14:paraId="58AFD448" w14:textId="77777777" w:rsidR="00153FC9" w:rsidRPr="00EC7F9C" w:rsidRDefault="00A71FE0"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Alexandra Minicozzi</w:t>
      </w:r>
    </w:p>
    <w:p w14:paraId="6C6FB182" w14:textId="77777777"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14:paraId="13F9C2E3" w14:textId="77777777"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14:paraId="6FB63F46"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DA66534"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14:paraId="338550A3"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14:paraId="1C734167"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14:paraId="0CA0CB23"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0F9DB278" w14:textId="77777777" w:rsidR="00210393" w:rsidRPr="00EC7F9C" w:rsidRDefault="00A71FE0"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Jean Abraham</w:t>
      </w:r>
    </w:p>
    <w:p w14:paraId="2FD45447" w14:textId="77777777"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14:paraId="7FB1E17C"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14:paraId="66244D01"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9AAFC0D" w14:textId="53F50843" w:rsidR="00210393" w:rsidRPr="00EC7F9C" w:rsidRDefault="00FB44DD" w:rsidP="00210393">
      <w:pPr>
        <w:ind w:left="360"/>
      </w:pPr>
      <w:r>
        <w:rPr>
          <w:color w:val="000000"/>
        </w:rPr>
        <w:t>Kenneth Yeates-Trotman</w:t>
      </w:r>
    </w:p>
    <w:p w14:paraId="4F944CA6" w14:textId="7A4AD192" w:rsidR="00210393" w:rsidRPr="00EC7F9C" w:rsidRDefault="00FB44DD" w:rsidP="00210393">
      <w:pPr>
        <w:ind w:left="360"/>
      </w:pPr>
      <w:r>
        <w:rPr>
          <w:color w:val="000000"/>
        </w:rPr>
        <w:t>Acting Director, Center for Analysis and Information Systems</w:t>
      </w:r>
    </w:p>
    <w:p w14:paraId="074D528D" w14:textId="77777777" w:rsidR="00210393" w:rsidRPr="00EC7F9C" w:rsidRDefault="00210393" w:rsidP="00210393">
      <w:pPr>
        <w:ind w:left="360"/>
      </w:pPr>
      <w:r w:rsidRPr="00EC7F9C">
        <w:rPr>
          <w:color w:val="000000"/>
        </w:rPr>
        <w:t>Maryland Health Care Commission</w:t>
      </w:r>
    </w:p>
    <w:p w14:paraId="3C64A152" w14:textId="77777777" w:rsidR="00210393" w:rsidRDefault="00210393" w:rsidP="003A1096">
      <w:pPr>
        <w:rPr>
          <w:color w:val="000000"/>
        </w:rPr>
      </w:pPr>
    </w:p>
    <w:p w14:paraId="7B8DA62B" w14:textId="77777777" w:rsidR="00153FC9" w:rsidRDefault="00153FC9" w:rsidP="00210393">
      <w:pPr>
        <w:ind w:left="360"/>
        <w:rPr>
          <w:color w:val="000000"/>
        </w:rPr>
      </w:pPr>
      <w:r>
        <w:rPr>
          <w:color w:val="000000"/>
        </w:rPr>
        <w:t>Pamela Moomau</w:t>
      </w:r>
      <w:r w:rsidR="007A3DB6">
        <w:rPr>
          <w:color w:val="000000"/>
        </w:rPr>
        <w:t>, PhD.</w:t>
      </w:r>
    </w:p>
    <w:p w14:paraId="042CC898" w14:textId="77777777" w:rsidR="00153FC9" w:rsidRDefault="00153FC9" w:rsidP="00210393">
      <w:pPr>
        <w:ind w:left="360"/>
        <w:rPr>
          <w:color w:val="000000"/>
        </w:rPr>
      </w:pPr>
      <w:r w:rsidRPr="00D45F46">
        <w:rPr>
          <w:color w:val="000000"/>
        </w:rPr>
        <w:t>Joint House/Senate Taxation Committee</w:t>
      </w:r>
    </w:p>
    <w:p w14:paraId="45182431" w14:textId="77777777" w:rsidR="0038217D" w:rsidRPr="00722437" w:rsidRDefault="009B633D" w:rsidP="0038217D">
      <w:pPr>
        <w:pStyle w:val="Heading2"/>
        <w:rPr>
          <w:sz w:val="24"/>
          <w:szCs w:val="24"/>
        </w:rPr>
      </w:pPr>
      <w:r w:rsidRPr="00722437">
        <w:rPr>
          <w:sz w:val="24"/>
          <w:szCs w:val="24"/>
        </w:rPr>
        <w:t>9. Payments/Gifts to Respondents</w:t>
      </w:r>
      <w:bookmarkEnd w:id="21"/>
      <w:bookmarkEnd w:id="22"/>
      <w:bookmarkEnd w:id="23"/>
      <w:bookmarkEnd w:id="24"/>
    </w:p>
    <w:p w14:paraId="4A3155C0" w14:textId="77777777" w:rsidR="00210393" w:rsidRDefault="00210393" w:rsidP="009B633D">
      <w:pPr>
        <w:jc w:val="both"/>
        <w:rPr>
          <w:i/>
        </w:rPr>
      </w:pPr>
    </w:p>
    <w:p w14:paraId="61B37A71" w14:textId="77777777"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14:paraId="3D6D3D22" w14:textId="77777777"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14:paraId="22CF1366" w14:textId="77777777" w:rsidR="003A1096" w:rsidRDefault="003A1096" w:rsidP="008F0B8B">
      <w:pPr>
        <w:autoSpaceDE w:val="0"/>
        <w:autoSpaceDN w:val="0"/>
        <w:adjustRightInd w:val="0"/>
      </w:pPr>
    </w:p>
    <w:p w14:paraId="7D2805EB"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w:t>
      </w:r>
      <w:r w:rsidRPr="00C553A9">
        <w:t xml:space="preserve">Attachment </w:t>
      </w:r>
      <w:r w:rsidR="00E8264E" w:rsidRPr="00C553A9">
        <w:t>E</w:t>
      </w:r>
      <w:r w:rsidRPr="00C553A9">
        <w:t>.</w:t>
      </w:r>
      <w:r w:rsidRPr="00EC7F9C">
        <w:t xml:space="preserve">  </w:t>
      </w:r>
    </w:p>
    <w:p w14:paraId="03780EB9"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FD9768C" w14:textId="77777777" w:rsidR="00675649" w:rsidRDefault="00675649" w:rsidP="00675649">
      <w:r>
        <w:t xml:space="preserve">Because the Census frame is developed using Internal Revenue Service (IRS) </w:t>
      </w:r>
      <w:r w:rsidRPr="00D45F46">
        <w:t>tax</w:t>
      </w:r>
      <w:r>
        <w:t xml:space="preserve"> information, the data also fall under the review of the IRS which conducts regular audits of the data collection, storage, and use.</w:t>
      </w:r>
    </w:p>
    <w:p w14:paraId="44A59A32" w14:textId="77777777" w:rsidR="00675649" w:rsidRDefault="00675649"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01958FE"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14:paraId="0777C02C" w14:textId="77777777" w:rsidR="00064518" w:rsidRDefault="00064518"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8141ECB" w14:textId="77777777" w:rsidR="00064518" w:rsidRPr="00EC7F9C" w:rsidRDefault="00064518" w:rsidP="0006451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 w:rsidRPr="00547491">
        <w:rPr>
          <w:rFonts w:ascii="Arial" w:hAnsi="Arial" w:cs="Arial"/>
          <w:color w:val="000000"/>
          <w:sz w:val="20"/>
          <w:szCs w:val="20"/>
        </w:rPr>
        <w:t xml:space="preserve">The U.S.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required by Title 13 United States Code, Section 9, to </w:t>
      </w:r>
      <w:r w:rsidRPr="00547491">
        <w:rPr>
          <w:rFonts w:ascii="Arial" w:hAnsi="Arial" w:cs="Arial"/>
          <w:color w:val="000000"/>
          <w:sz w:val="20"/>
          <w:szCs w:val="20"/>
          <w:shd w:val="clear" w:color="auto" w:fill="FFFFFF"/>
        </w:rPr>
        <w:t>k</w:t>
      </w:r>
      <w:r w:rsidRPr="00547491">
        <w:rPr>
          <w:rFonts w:ascii="Arial" w:hAnsi="Arial" w:cs="Arial"/>
          <w:color w:val="000000"/>
          <w:sz w:val="20"/>
          <w:szCs w:val="20"/>
        </w:rPr>
        <w:t xml:space="preserve">eep your information confidential and can use your responses only to produce statistics. The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not permitted to publicly release your responses in a way that could identify your business, organization, or institution. Per the </w:t>
      </w:r>
      <w:r w:rsidRPr="00547491">
        <w:rPr>
          <w:rFonts w:ascii="Arial" w:hAnsi="Arial" w:cs="Arial"/>
          <w:color w:val="000000"/>
          <w:sz w:val="20"/>
          <w:szCs w:val="20"/>
          <w:shd w:val="clear" w:color="auto" w:fill="FFFFFF"/>
        </w:rPr>
        <w:t>Fed</w:t>
      </w:r>
      <w:r w:rsidRPr="00547491">
        <w:rPr>
          <w:rFonts w:ascii="Arial" w:hAnsi="Arial" w:cs="Arial"/>
          <w:color w:val="000000"/>
          <w:sz w:val="20"/>
          <w:szCs w:val="20"/>
        </w:rPr>
        <w:t>eral Cybersecurity Enhancement Act of 2015, your data are protected from cybersecurity risks through screening of the systems that transmit your data.</w:t>
      </w:r>
      <w:r>
        <w:rPr>
          <w:rFonts w:ascii="Arial" w:hAnsi="Arial" w:cs="Arial"/>
          <w:color w:val="000000"/>
          <w:sz w:val="20"/>
          <w:szCs w:val="20"/>
        </w:rPr>
        <w:t xml:space="preserve"> </w:t>
      </w:r>
    </w:p>
    <w:p w14:paraId="56EE1E2C"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08086251" w14:textId="77777777" w:rsidR="0041324E" w:rsidRDefault="0041324E" w:rsidP="00210393">
      <w:pPr>
        <w:autoSpaceDE w:val="0"/>
        <w:autoSpaceDN w:val="0"/>
        <w:adjustRightInd w:val="0"/>
      </w:pPr>
      <w:r>
        <w:t xml:space="preserve">Confidentiality is further protected by Sections 944(c) and 308(d) of the </w:t>
      </w:r>
      <w:r w:rsidRPr="00424BE6">
        <w:t>Public Health Service Act (42 U.S.C. 299c-3(c) and 42 U.S.C. 242m(d)).</w:t>
      </w:r>
      <w:r>
        <w:t>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14:paraId="44B07938"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4127313C" w14:textId="77777777"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14:paraId="1798A71C" w14:textId="77777777" w:rsidR="009B633D" w:rsidRPr="00412C6F" w:rsidRDefault="009B633D" w:rsidP="009B633D">
      <w:pPr>
        <w:pStyle w:val="Heading2"/>
        <w:rPr>
          <w:sz w:val="24"/>
        </w:rPr>
      </w:pPr>
      <w:bookmarkStart w:id="27" w:name="_Toc151782186"/>
      <w:bookmarkStart w:id="28" w:name="_Toc158526226"/>
      <w:r w:rsidRPr="00412C6F">
        <w:rPr>
          <w:sz w:val="24"/>
        </w:rPr>
        <w:t>11. Questions of a Sensitive Nature</w:t>
      </w:r>
      <w:bookmarkEnd w:id="27"/>
      <w:bookmarkEnd w:id="28"/>
    </w:p>
    <w:p w14:paraId="564FAE9E" w14:textId="77777777" w:rsidR="008F7368" w:rsidRDefault="008F7368" w:rsidP="00ED0EBB">
      <w:pPr>
        <w:rPr>
          <w:i/>
        </w:rPr>
      </w:pPr>
    </w:p>
    <w:p w14:paraId="49EACE3F" w14:textId="77777777"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14:paraId="4FF72179" w14:textId="77777777"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14:paraId="56CC0FF3" w14:textId="77777777" w:rsidR="003A1096" w:rsidRDefault="003A1096" w:rsidP="00574998">
      <w:pPr>
        <w:rPr>
          <w:rStyle w:val="Strong"/>
          <w:b w:val="0"/>
        </w:rPr>
      </w:pPr>
    </w:p>
    <w:p w14:paraId="6D8CB3D1" w14:textId="599B87BE" w:rsidR="00574998" w:rsidRDefault="00574998" w:rsidP="00574998">
      <w:pPr>
        <w:rPr>
          <w:rStyle w:val="Strong"/>
          <w:b w:val="0"/>
        </w:rPr>
      </w:pPr>
      <w:r>
        <w:rPr>
          <w:rStyle w:val="Strong"/>
          <w:b w:val="0"/>
        </w:rPr>
        <w:t xml:space="preserve">Exhibit 1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Prescreener questionnaire will be completed by </w:t>
      </w:r>
      <w:r w:rsidR="00554DDD">
        <w:rPr>
          <w:rStyle w:val="Strong"/>
          <w:b w:val="0"/>
        </w:rPr>
        <w:t>29,931</w:t>
      </w:r>
      <w:r>
        <w:rPr>
          <w:rStyle w:val="Strong"/>
          <w:b w:val="0"/>
        </w:rPr>
        <w:t xml:space="preserve"> respondents</w:t>
      </w:r>
      <w:r w:rsidR="00F06685">
        <w:rPr>
          <w:rStyle w:val="Strong"/>
          <w:b w:val="0"/>
        </w:rPr>
        <w:t xml:space="preserve"> </w:t>
      </w:r>
      <w:r w:rsidR="00514377">
        <w:rPr>
          <w:rStyle w:val="Strong"/>
          <w:b w:val="0"/>
        </w:rPr>
        <w:t>and takes 5</w:t>
      </w:r>
      <w:r>
        <w:rPr>
          <w:rStyle w:val="Strong"/>
          <w:b w:val="0"/>
        </w:rPr>
        <w:t xml:space="preserve"> minutes to complete.  The Establishment questionnaire will be completed </w:t>
      </w:r>
      <w:r w:rsidRPr="00DC22DD">
        <w:rPr>
          <w:rStyle w:val="Strong"/>
          <w:b w:val="0"/>
        </w:rPr>
        <w:t xml:space="preserve">by </w:t>
      </w:r>
      <w:r w:rsidR="00C02E20" w:rsidRPr="00DC22DD">
        <w:t>25,</w:t>
      </w:r>
      <w:r w:rsidR="00554DDD" w:rsidRPr="00DC22DD">
        <w:t>81</w:t>
      </w:r>
      <w:r w:rsidR="00C02E20" w:rsidRPr="00DC22DD">
        <w:t>9</w:t>
      </w:r>
      <w:r w:rsidRPr="00DC22DD">
        <w:rPr>
          <w:rStyle w:val="Strong"/>
          <w:b w:val="0"/>
        </w:rPr>
        <w:t xml:space="preserve"> respondents</w:t>
      </w:r>
      <w:r w:rsidR="00F06685" w:rsidRPr="00DC22DD">
        <w:rPr>
          <w:rStyle w:val="Strong"/>
          <w:b w:val="0"/>
        </w:rPr>
        <w:t xml:space="preserve"> </w:t>
      </w:r>
      <w:r w:rsidR="00514377" w:rsidRPr="00DC22DD">
        <w:rPr>
          <w:rStyle w:val="Strong"/>
          <w:b w:val="0"/>
        </w:rPr>
        <w:t xml:space="preserve">and takes </w:t>
      </w:r>
      <w:r w:rsidRPr="00DC22DD">
        <w:rPr>
          <w:rStyle w:val="Strong"/>
          <w:b w:val="0"/>
        </w:rPr>
        <w:t xml:space="preserve">23 minutes to complete.  The Plan questionnaire will be completed by </w:t>
      </w:r>
      <w:r w:rsidR="00E146A4" w:rsidRPr="00DC22DD">
        <w:t>22,</w:t>
      </w:r>
      <w:r w:rsidR="00554DDD" w:rsidRPr="00DC22DD">
        <w:t>85</w:t>
      </w:r>
      <w:r w:rsidR="00E146A4" w:rsidRPr="00DC22DD">
        <w:t>9</w:t>
      </w:r>
      <w:r w:rsidRPr="00DC22DD">
        <w:rPr>
          <w:rStyle w:val="Strong"/>
          <w:b w:val="0"/>
        </w:rPr>
        <w:t xml:space="preserve"> respondents</w:t>
      </w:r>
      <w:r w:rsidR="00F06685">
        <w:rPr>
          <w:rStyle w:val="Strong"/>
          <w:b w:val="0"/>
        </w:rPr>
        <w:t xml:space="preserve"> </w:t>
      </w:r>
      <w:r>
        <w:rPr>
          <w:rStyle w:val="Strong"/>
          <w:b w:val="0"/>
        </w:rPr>
        <w:t xml:space="preserve">and will require an average of </w:t>
      </w:r>
      <w:r w:rsidR="00514377">
        <w:rPr>
          <w:rStyle w:val="Strong"/>
          <w:b w:val="0"/>
        </w:rPr>
        <w:t>2.</w:t>
      </w:r>
      <w:r w:rsidR="00554DDD">
        <w:rPr>
          <w:rStyle w:val="Strong"/>
          <w:b w:val="0"/>
        </w:rPr>
        <w:t>2</w:t>
      </w:r>
      <w:r>
        <w:rPr>
          <w:rStyle w:val="Strong"/>
          <w:b w:val="0"/>
        </w:rPr>
        <w:t xml:space="preserve"> responses per respondent.  Each</w:t>
      </w:r>
      <w:r w:rsidR="00514377">
        <w:rPr>
          <w:rStyle w:val="Strong"/>
          <w:b w:val="0"/>
        </w:rPr>
        <w:t xml:space="preserve"> Plan questionnaire takes </w:t>
      </w:r>
      <w:r>
        <w:rPr>
          <w:rStyle w:val="Strong"/>
          <w:b w:val="0"/>
        </w:rPr>
        <w:t xml:space="preserve">11 minutes to complete.  The total annualized burden hours are estimated to </w:t>
      </w:r>
      <w:r w:rsidRPr="00554DDD">
        <w:rPr>
          <w:rStyle w:val="Strong"/>
          <w:b w:val="0"/>
        </w:rPr>
        <w:t xml:space="preserve">be </w:t>
      </w:r>
      <w:r w:rsidR="008C0B48" w:rsidRPr="00554DDD">
        <w:t>2</w:t>
      </w:r>
      <w:r w:rsidR="00554DDD" w:rsidRPr="00554DDD">
        <w:t>1,611</w:t>
      </w:r>
      <w:r>
        <w:rPr>
          <w:rStyle w:val="Strong"/>
          <w:b w:val="0"/>
        </w:rPr>
        <w:t xml:space="preserve"> hours.</w:t>
      </w:r>
    </w:p>
    <w:p w14:paraId="49DB5143" w14:textId="77777777" w:rsidR="008E5EAE" w:rsidRDefault="008E5EAE" w:rsidP="00574998">
      <w:pPr>
        <w:rPr>
          <w:rStyle w:val="Strong"/>
          <w:b w:val="0"/>
        </w:rPr>
      </w:pPr>
    </w:p>
    <w:p w14:paraId="7DC94663" w14:textId="005B7AE7" w:rsidR="00514377" w:rsidRDefault="00574998" w:rsidP="00514377">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rsidR="00CA7802">
        <w:t>$</w:t>
      </w:r>
      <w:r w:rsidR="005A0505" w:rsidRPr="00554DDD">
        <w:t>7</w:t>
      </w:r>
      <w:r w:rsidR="00554DDD" w:rsidRPr="00554DDD">
        <w:t>05,599</w:t>
      </w:r>
      <w:r w:rsidRPr="00554DDD">
        <w:rPr>
          <w:rStyle w:val="Strong"/>
          <w:b w:val="0"/>
        </w:rPr>
        <w:t>.</w:t>
      </w:r>
    </w:p>
    <w:p w14:paraId="2D9E3602" w14:textId="77777777" w:rsidR="00514377" w:rsidRDefault="00514377" w:rsidP="00514377">
      <w:pPr>
        <w:rPr>
          <w:rStyle w:val="Strong"/>
          <w:b w:val="0"/>
        </w:rPr>
      </w:pPr>
    </w:p>
    <w:p w14:paraId="298AAFE3" w14:textId="3EB357CB" w:rsidR="00514377" w:rsidRPr="00514377" w:rsidRDefault="00514377" w:rsidP="00514377">
      <w:pPr>
        <w:rPr>
          <w:bCs/>
        </w:rPr>
      </w:pPr>
      <w:r>
        <w:rPr>
          <w:b/>
          <w:bCs/>
          <w:color w:val="000000"/>
        </w:rPr>
        <w:t xml:space="preserve">Exhibit 1.  Estimated annualized burden hours for the </w:t>
      </w:r>
      <w:r w:rsidR="00FB44DD">
        <w:rPr>
          <w:b/>
          <w:bCs/>
          <w:color w:val="000000"/>
        </w:rPr>
        <w:t>2020-2021</w:t>
      </w:r>
      <w:r>
        <w:rPr>
          <w:b/>
          <w:bCs/>
          <w:color w:val="000000"/>
        </w:rPr>
        <w:t xml:space="preserve"> MEPS-IC</w:t>
      </w:r>
    </w:p>
    <w:tbl>
      <w:tblPr>
        <w:tblW w:w="0" w:type="auto"/>
        <w:tblCellMar>
          <w:left w:w="0" w:type="dxa"/>
          <w:right w:w="0" w:type="dxa"/>
        </w:tblCellMar>
        <w:tblLook w:val="04A0" w:firstRow="1" w:lastRow="0" w:firstColumn="1" w:lastColumn="0" w:noHBand="0" w:noVBand="1"/>
      </w:tblPr>
      <w:tblGrid>
        <w:gridCol w:w="3078"/>
        <w:gridCol w:w="1260"/>
        <w:gridCol w:w="1530"/>
        <w:gridCol w:w="1170"/>
        <w:gridCol w:w="900"/>
      </w:tblGrid>
      <w:tr w:rsidR="00514377" w14:paraId="7533C6F1" w14:textId="77777777" w:rsidTr="00514377">
        <w:tc>
          <w:tcPr>
            <w:tcW w:w="3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A640B" w14:textId="77777777" w:rsidR="00514377" w:rsidRDefault="00514377">
            <w:pPr>
              <w:spacing w:line="276" w:lineRule="auto"/>
              <w:jc w:val="center"/>
              <w:rPr>
                <w:rFonts w:eastAsiaTheme="minorHAnsi"/>
              </w:rPr>
            </w:pPr>
            <w:r>
              <w:rPr>
                <w:color w:val="000000"/>
                <w:sz w:val="20"/>
                <w:szCs w:val="2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2CC5E7" w14:textId="77777777" w:rsidR="00514377" w:rsidRDefault="00514377">
            <w:pPr>
              <w:spacing w:line="276" w:lineRule="auto"/>
              <w:jc w:val="center"/>
              <w:rPr>
                <w:rFonts w:eastAsiaTheme="minorHAnsi"/>
              </w:rP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B0E278" w14:textId="77777777" w:rsidR="00514377" w:rsidRDefault="00514377">
            <w:pPr>
              <w:spacing w:line="276" w:lineRule="auto"/>
              <w:jc w:val="center"/>
              <w:rPr>
                <w:rFonts w:eastAsiaTheme="minorHAnsi"/>
                <w:sz w:val="20"/>
                <w:szCs w:val="20"/>
              </w:rPr>
            </w:pPr>
            <w:r>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hideMark/>
          </w:tcPr>
          <w:p w14:paraId="2CECEE3D" w14:textId="77777777" w:rsidR="00514377" w:rsidRDefault="00514377">
            <w:pPr>
              <w:spacing w:line="276" w:lineRule="auto"/>
              <w:jc w:val="center"/>
              <w:rPr>
                <w:rFonts w:eastAsiaTheme="minorHAnsi"/>
              </w:rPr>
            </w:pPr>
            <w:r>
              <w:rPr>
                <w:color w:val="000000"/>
                <w:sz w:val="20"/>
                <w:szCs w:val="20"/>
              </w:rPr>
              <w:t>Hours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7C5774" w14:textId="77777777" w:rsidR="00514377" w:rsidRDefault="00514377">
            <w:pPr>
              <w:spacing w:line="276" w:lineRule="auto"/>
              <w:jc w:val="center"/>
              <w:rPr>
                <w:rFonts w:eastAsiaTheme="minorHAnsi"/>
              </w:rPr>
            </w:pPr>
            <w:r>
              <w:rPr>
                <w:color w:val="000000"/>
                <w:sz w:val="20"/>
                <w:szCs w:val="20"/>
              </w:rPr>
              <w:t>Total Burden hours</w:t>
            </w:r>
          </w:p>
        </w:tc>
      </w:tr>
      <w:tr w:rsidR="00514377" w14:paraId="0D9D55B5" w14:textId="777777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40888" w14:textId="77777777" w:rsidR="00514377" w:rsidRDefault="00514377">
            <w:pPr>
              <w:spacing w:line="276" w:lineRule="auto"/>
              <w:rPr>
                <w:rFonts w:eastAsiaTheme="minorHAnsi"/>
              </w:rPr>
            </w:pPr>
            <w:r>
              <w:t>Prescreener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82259" w14:textId="013BE370" w:rsidR="00514377" w:rsidRDefault="00554DDD">
            <w:pPr>
              <w:spacing w:line="276" w:lineRule="auto"/>
              <w:jc w:val="center"/>
              <w:rPr>
                <w:rFonts w:eastAsiaTheme="minorHAnsi"/>
              </w:rPr>
            </w:pPr>
            <w:r>
              <w:t>29,931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A7B1C" w14:textId="77777777" w:rsidR="00514377" w:rsidRDefault="005143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14:paraId="0591C5A8" w14:textId="77777777" w:rsidR="00514377" w:rsidRDefault="00514377">
            <w:pPr>
              <w:spacing w:line="276" w:lineRule="auto"/>
              <w:jc w:val="center"/>
              <w:rPr>
                <w:rFonts w:eastAsiaTheme="minorHAnsi"/>
              </w:rPr>
            </w:pPr>
            <w:r>
              <w:t>5/60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86166" w14:textId="06CB1EC6" w:rsidR="00514377" w:rsidRDefault="00514377" w:rsidP="00554DDD">
            <w:pPr>
              <w:spacing w:line="276" w:lineRule="auto"/>
              <w:jc w:val="right"/>
              <w:rPr>
                <w:rFonts w:eastAsiaTheme="minorHAnsi"/>
              </w:rPr>
            </w:pPr>
            <w:r>
              <w:t>2,</w:t>
            </w:r>
            <w:r w:rsidR="00554DDD">
              <w:t>494</w:t>
            </w:r>
          </w:p>
        </w:tc>
      </w:tr>
      <w:tr w:rsidR="00514377" w14:paraId="490E60C1" w14:textId="777777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DB773" w14:textId="77777777" w:rsidR="00514377" w:rsidRDefault="00514377">
            <w:pPr>
              <w:spacing w:line="276" w:lineRule="auto"/>
              <w:rPr>
                <w:rFonts w:eastAsiaTheme="minorHAnsi"/>
              </w:rPr>
            </w:pPr>
            <w:r>
              <w:t>Establishment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3A78C" w14:textId="3D9E7236" w:rsidR="00514377" w:rsidRDefault="00514377" w:rsidP="00554DDD">
            <w:pPr>
              <w:spacing w:line="276" w:lineRule="auto"/>
              <w:jc w:val="center"/>
              <w:rPr>
                <w:rFonts w:eastAsiaTheme="minorHAnsi"/>
              </w:rPr>
            </w:pPr>
            <w:r>
              <w:t>25,</w:t>
            </w:r>
            <w:r w:rsidR="00554DDD">
              <w:t>81</w:t>
            </w:r>
            <w:r>
              <w:t>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F6780" w14:textId="77777777" w:rsidR="00514377" w:rsidRDefault="005143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14:paraId="71125178" w14:textId="77777777" w:rsidR="00514377" w:rsidRPr="00514377" w:rsidRDefault="00514377">
            <w:pPr>
              <w:spacing w:line="276" w:lineRule="auto"/>
              <w:jc w:val="center"/>
              <w:rPr>
                <w:rFonts w:eastAsiaTheme="minorHAnsi"/>
                <w:vertAlign w:val="superscript"/>
              </w:rPr>
            </w:pPr>
            <w:r>
              <w:t>23/60</w:t>
            </w:r>
            <w:r>
              <w:rPr>
                <w:vertAlign w:val="superscript"/>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C5CBB" w14:textId="414B9909" w:rsidR="00514377" w:rsidRDefault="00514377" w:rsidP="00554DDD">
            <w:pPr>
              <w:spacing w:line="276" w:lineRule="auto"/>
              <w:jc w:val="right"/>
              <w:rPr>
                <w:rFonts w:eastAsiaTheme="minorHAnsi"/>
              </w:rPr>
            </w:pPr>
            <w:r>
              <w:t>9,</w:t>
            </w:r>
            <w:r w:rsidR="00554DDD">
              <w:t>897</w:t>
            </w:r>
          </w:p>
        </w:tc>
      </w:tr>
      <w:tr w:rsidR="00514377" w14:paraId="305979D5" w14:textId="777777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29864" w14:textId="77777777" w:rsidR="00514377" w:rsidRDefault="00514377">
            <w:pPr>
              <w:spacing w:line="276" w:lineRule="auto"/>
              <w:rPr>
                <w:rFonts w:eastAsiaTheme="minorHAnsi"/>
                <w:color w:val="000000"/>
              </w:rPr>
            </w:pPr>
            <w:r>
              <w:rPr>
                <w:color w:val="000000"/>
              </w:rPr>
              <w:t>Plan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0AB8" w14:textId="14EA08E6" w:rsidR="00514377" w:rsidRDefault="00514377" w:rsidP="00554DDD">
            <w:pPr>
              <w:spacing w:line="276" w:lineRule="auto"/>
              <w:jc w:val="center"/>
              <w:rPr>
                <w:rFonts w:eastAsiaTheme="minorHAnsi"/>
              </w:rPr>
            </w:pPr>
            <w:r>
              <w:t>22,</w:t>
            </w:r>
            <w:r w:rsidR="00554DDD">
              <w:t>859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11F3E" w14:textId="78B27DFA" w:rsidR="00514377" w:rsidRDefault="00514377" w:rsidP="00554DDD">
            <w:pPr>
              <w:spacing w:line="276" w:lineRule="auto"/>
              <w:jc w:val="center"/>
              <w:rPr>
                <w:rFonts w:eastAsiaTheme="minorHAnsi"/>
                <w:vertAlign w:val="superscript"/>
              </w:rPr>
            </w:pPr>
            <w:r>
              <w:t>2.</w:t>
            </w:r>
            <w:r w:rsidR="00554DDD">
              <w:t>2</w:t>
            </w:r>
          </w:p>
        </w:tc>
        <w:tc>
          <w:tcPr>
            <w:tcW w:w="1170" w:type="dxa"/>
            <w:tcBorders>
              <w:top w:val="nil"/>
              <w:left w:val="nil"/>
              <w:bottom w:val="single" w:sz="8" w:space="0" w:color="auto"/>
              <w:right w:val="single" w:sz="8" w:space="0" w:color="auto"/>
            </w:tcBorders>
            <w:hideMark/>
          </w:tcPr>
          <w:p w14:paraId="312864AB" w14:textId="77777777" w:rsidR="00514377" w:rsidRDefault="00514377">
            <w:pPr>
              <w:spacing w:line="276" w:lineRule="auto"/>
              <w:jc w:val="center"/>
              <w:rPr>
                <w:rFonts w:eastAsiaTheme="minorHAnsi"/>
              </w:rPr>
            </w:pPr>
            <w:r>
              <w:t>11/60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AB11C" w14:textId="3797491A" w:rsidR="00514377" w:rsidRDefault="00554DDD">
            <w:pPr>
              <w:spacing w:line="276" w:lineRule="auto"/>
              <w:jc w:val="right"/>
              <w:rPr>
                <w:rFonts w:eastAsiaTheme="minorHAnsi"/>
              </w:rPr>
            </w:pPr>
            <w:r>
              <w:t>9,220</w:t>
            </w:r>
          </w:p>
        </w:tc>
      </w:tr>
      <w:tr w:rsidR="00514377" w14:paraId="7D553018" w14:textId="777777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3A130" w14:textId="77777777" w:rsidR="00514377" w:rsidRDefault="00514377">
            <w:pPr>
              <w:spacing w:line="276" w:lineRule="auto"/>
              <w:rPr>
                <w:rFonts w:eastAsiaTheme="minorHAnsi"/>
              </w:rPr>
            </w:pPr>
            <w:r>
              <w:rPr>
                <w:color w:val="00000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BB335" w14:textId="567C4332" w:rsidR="00514377" w:rsidRDefault="00514377" w:rsidP="00554DDD">
            <w:pPr>
              <w:spacing w:line="276" w:lineRule="auto"/>
              <w:jc w:val="center"/>
              <w:rPr>
                <w:rFonts w:eastAsiaTheme="minorHAnsi"/>
              </w:rPr>
            </w:pPr>
            <w:r>
              <w:t>78,</w:t>
            </w:r>
            <w:r w:rsidR="00554DDD">
              <w:t>609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6F35D" w14:textId="77777777" w:rsidR="00514377" w:rsidRDefault="00514377">
            <w:pPr>
              <w:spacing w:line="276" w:lineRule="auto"/>
              <w:jc w:val="center"/>
              <w:rPr>
                <w:rFonts w:eastAsiaTheme="minorHAnsi"/>
              </w:rPr>
            </w:pPr>
            <w:r>
              <w:t>na</w:t>
            </w:r>
          </w:p>
        </w:tc>
        <w:tc>
          <w:tcPr>
            <w:tcW w:w="1170" w:type="dxa"/>
            <w:tcBorders>
              <w:top w:val="nil"/>
              <w:left w:val="nil"/>
              <w:bottom w:val="single" w:sz="8" w:space="0" w:color="auto"/>
              <w:right w:val="single" w:sz="8" w:space="0" w:color="auto"/>
            </w:tcBorders>
            <w:hideMark/>
          </w:tcPr>
          <w:p w14:paraId="5072FAF8" w14:textId="77777777" w:rsidR="00514377" w:rsidRDefault="00514377">
            <w:pPr>
              <w:spacing w:line="276" w:lineRule="auto"/>
              <w:jc w:val="center"/>
              <w:rPr>
                <w:rFonts w:eastAsiaTheme="minorHAnsi"/>
                <w:color w:val="000000"/>
              </w:rPr>
            </w:pPr>
            <w:r>
              <w:rPr>
                <w:color w:val="000000"/>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E12C" w14:textId="5B4D42E1" w:rsidR="00514377" w:rsidRDefault="00514377" w:rsidP="00554DDD">
            <w:pPr>
              <w:spacing w:line="276" w:lineRule="auto"/>
              <w:jc w:val="right"/>
              <w:rPr>
                <w:rFonts w:eastAsiaTheme="minorHAnsi"/>
              </w:rPr>
            </w:pPr>
            <w:r>
              <w:t>2</w:t>
            </w:r>
            <w:r w:rsidR="00554DDD">
              <w:t>1</w:t>
            </w:r>
            <w:r>
              <w:t>,</w:t>
            </w:r>
            <w:r w:rsidR="00554DDD">
              <w:t>611</w:t>
            </w:r>
          </w:p>
        </w:tc>
      </w:tr>
    </w:tbl>
    <w:p w14:paraId="48230420" w14:textId="7DB83BE0" w:rsidR="00514377" w:rsidRDefault="00514377" w:rsidP="00514377">
      <w:pPr>
        <w:ind w:left="180" w:hanging="180"/>
        <w:rPr>
          <w:rFonts w:eastAsiaTheme="minorHAnsi"/>
          <w:sz w:val="20"/>
          <w:szCs w:val="20"/>
        </w:rPr>
      </w:pPr>
      <w:r>
        <w:rPr>
          <w:b/>
          <w:bCs/>
          <w:color w:val="000000"/>
          <w:sz w:val="20"/>
          <w:szCs w:val="20"/>
        </w:rPr>
        <w:t>*</w:t>
      </w:r>
      <w:r>
        <w:rPr>
          <w:b/>
          <w:bCs/>
        </w:rPr>
        <w:t xml:space="preserve"> </w:t>
      </w:r>
      <w:r>
        <w:rPr>
          <w:sz w:val="20"/>
          <w:szCs w:val="20"/>
        </w:rPr>
        <w:t>The burden estimate printed on the establishment questionnaire is 45 minutes which includes the burden estimate for completing the establishment questionnaire and two plan questionnaires (on average, each establishment completes 2.</w:t>
      </w:r>
      <w:r w:rsidR="00554DDD">
        <w:rPr>
          <w:sz w:val="20"/>
          <w:szCs w:val="20"/>
        </w:rPr>
        <w:t>2</w:t>
      </w:r>
      <w:r>
        <w:rPr>
          <w:sz w:val="20"/>
          <w:szCs w:val="20"/>
        </w:rPr>
        <w:t xml:space="preserve"> plan questionnaires)  The establishment and plan questionnaires are sent to the respondent as a package and are completed by the respondent at the same time.</w:t>
      </w:r>
    </w:p>
    <w:p w14:paraId="02621FC3" w14:textId="77777777" w:rsidR="00514377" w:rsidRDefault="00514377" w:rsidP="00574998">
      <w:pPr>
        <w:rPr>
          <w:rStyle w:val="Strong"/>
          <w:b w:val="0"/>
        </w:rPr>
      </w:pPr>
    </w:p>
    <w:p w14:paraId="0969310B" w14:textId="7190E73F" w:rsidR="00574998" w:rsidRDefault="00574998" w:rsidP="00574998">
      <w:pPr>
        <w:rPr>
          <w:b/>
        </w:rPr>
      </w:pPr>
      <w:r w:rsidRPr="00037998">
        <w:rPr>
          <w:b/>
        </w:rPr>
        <w:t>Exhibit</w:t>
      </w:r>
      <w:r w:rsidR="00710E53">
        <w:rPr>
          <w:b/>
        </w:rPr>
        <w:t xml:space="preserve"> </w:t>
      </w:r>
      <w:r w:rsidR="00E335B7">
        <w:rPr>
          <w:b/>
        </w:rPr>
        <w:t>2</w:t>
      </w:r>
      <w:r w:rsidRPr="00037998">
        <w:rPr>
          <w:b/>
        </w:rPr>
        <w:t>.  Estimated annualized cost burden</w:t>
      </w:r>
      <w:r w:rsidR="00FD76DD" w:rsidRPr="00FD76DD">
        <w:rPr>
          <w:b/>
          <w:bCs/>
          <w:color w:val="000000"/>
        </w:rPr>
        <w:t xml:space="preserve"> </w:t>
      </w:r>
      <w:r w:rsidR="00F833AA">
        <w:rPr>
          <w:b/>
          <w:bCs/>
          <w:color w:val="000000"/>
        </w:rPr>
        <w:t xml:space="preserve">for the </w:t>
      </w:r>
      <w:r w:rsidR="00D6313B">
        <w:rPr>
          <w:b/>
          <w:bCs/>
          <w:color w:val="000000"/>
        </w:rPr>
        <w:t>2020-2021</w:t>
      </w:r>
      <w:r w:rsidR="00FD76DD">
        <w:rPr>
          <w:b/>
          <w:bCs/>
          <w:color w:val="000000"/>
        </w:rPr>
        <w:t xml:space="preserve"> MEPS-IC</w:t>
      </w:r>
    </w:p>
    <w:tbl>
      <w:tblPr>
        <w:tblW w:w="0" w:type="auto"/>
        <w:tblCellMar>
          <w:left w:w="0" w:type="dxa"/>
          <w:right w:w="0" w:type="dxa"/>
        </w:tblCellMar>
        <w:tblLook w:val="0000" w:firstRow="0" w:lastRow="0" w:firstColumn="0" w:lastColumn="0" w:noHBand="0" w:noVBand="0"/>
      </w:tblPr>
      <w:tblGrid>
        <w:gridCol w:w="3078"/>
        <w:gridCol w:w="1260"/>
        <w:gridCol w:w="990"/>
        <w:gridCol w:w="1440"/>
        <w:gridCol w:w="1170"/>
      </w:tblGrid>
      <w:tr w:rsidR="00574998" w14:paraId="1FF30029" w14:textId="77777777"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8B2521" w14:textId="77777777"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1C1AF4" w14:textId="77777777" w:rsidR="00574998" w:rsidRDefault="00574998" w:rsidP="00B84294">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42C12B" w14:textId="77777777" w:rsidR="00574998" w:rsidRDefault="00574998" w:rsidP="00B84294">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F96B7F" w14:textId="77777777" w:rsidR="00574998" w:rsidRDefault="00574998" w:rsidP="00B84294">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9DB344" w14:textId="77777777" w:rsidR="00574998" w:rsidRDefault="00574998" w:rsidP="00B84294">
            <w:pPr>
              <w:jc w:val="center"/>
            </w:pPr>
            <w:r>
              <w:rPr>
                <w:color w:val="000000"/>
                <w:sz w:val="20"/>
                <w:szCs w:val="20"/>
              </w:rPr>
              <w:t>Total  Cost Burden</w:t>
            </w:r>
          </w:p>
        </w:tc>
      </w:tr>
      <w:tr w:rsidR="00514377" w14:paraId="1F398B23" w14:textId="77777777" w:rsidTr="0007534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59F12C" w14:textId="77777777" w:rsidR="00514377" w:rsidRDefault="00514377" w:rsidP="00B84294">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85FB61" w14:textId="2E561CA1" w:rsidR="00514377" w:rsidRDefault="00554DDD" w:rsidP="009D5D82">
            <w:pPr>
              <w:jc w:val="center"/>
            </w:pPr>
            <w:r>
              <w:t>29,931</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097C46" w14:textId="6B95E8CF" w:rsidR="00514377" w:rsidRPr="006E5397" w:rsidRDefault="00514377" w:rsidP="00554DDD">
            <w:pPr>
              <w:jc w:val="right"/>
            </w:pPr>
            <w:r w:rsidRPr="006E5397">
              <w:t>2,</w:t>
            </w:r>
            <w:r w:rsidR="00554DDD">
              <w:t>494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F16091" w14:textId="44C3C1D9" w:rsidR="00514377" w:rsidRPr="0073565C" w:rsidRDefault="00D6313B" w:rsidP="0007534B">
            <w:pPr>
              <w:jc w:val="center"/>
            </w:pPr>
            <w:r>
              <w:t>32.65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12A466" w14:textId="65BE3593" w:rsidR="00514377" w:rsidRPr="0073565C" w:rsidRDefault="00514377" w:rsidP="00554DDD">
            <w:pPr>
              <w:jc w:val="right"/>
            </w:pPr>
            <w:r w:rsidRPr="0073565C">
              <w:t>$8</w:t>
            </w:r>
            <w:r w:rsidR="00554DDD">
              <w:t>1</w:t>
            </w:r>
            <w:r>
              <w:t>,</w:t>
            </w:r>
            <w:r w:rsidR="00554DDD">
              <w:t>429</w:t>
            </w:r>
          </w:p>
        </w:tc>
      </w:tr>
      <w:tr w:rsidR="00514377" w14:paraId="59FEEAAF" w14:textId="77777777" w:rsidTr="0007534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9B8C63" w14:textId="77777777" w:rsidR="00514377" w:rsidRDefault="00514377"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65A787" w14:textId="73BFE376" w:rsidR="00514377" w:rsidRDefault="00514377" w:rsidP="00554DDD">
            <w:pPr>
              <w:jc w:val="center"/>
            </w:pPr>
            <w:r>
              <w:t>25,</w:t>
            </w:r>
            <w:r w:rsidR="00554DDD">
              <w:t>81</w:t>
            </w:r>
            <w:r>
              <w:t>9</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D8BFBB" w14:textId="39F18DB8" w:rsidR="00514377" w:rsidRPr="006E5397" w:rsidRDefault="00514377" w:rsidP="00554DDD">
            <w:pPr>
              <w:jc w:val="right"/>
            </w:pPr>
            <w:r w:rsidRPr="006E5397">
              <w:t>9,</w:t>
            </w:r>
            <w:r w:rsidR="00554DDD">
              <w:t>897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405307" w14:textId="3A7D135F" w:rsidR="00514377" w:rsidRPr="0073565C" w:rsidRDefault="00D6313B" w:rsidP="0007534B">
            <w:pPr>
              <w:jc w:val="center"/>
            </w:pPr>
            <w:r>
              <w:t>32.65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BE3B89" w14:textId="502C3C9A" w:rsidR="00514377" w:rsidRPr="0073565C" w:rsidRDefault="00514377" w:rsidP="00554DDD">
            <w:pPr>
              <w:jc w:val="right"/>
            </w:pPr>
            <w:r w:rsidRPr="0073565C">
              <w:t>$3</w:t>
            </w:r>
            <w:r w:rsidR="00554DDD">
              <w:t>23</w:t>
            </w:r>
            <w:r>
              <w:t>,</w:t>
            </w:r>
            <w:r w:rsidR="00554DDD">
              <w:t>137</w:t>
            </w:r>
          </w:p>
        </w:tc>
      </w:tr>
      <w:tr w:rsidR="00514377" w14:paraId="00755D3C" w14:textId="77777777" w:rsidTr="0007534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7E1557" w14:textId="77777777" w:rsidR="00514377" w:rsidRPr="00CB619A" w:rsidRDefault="00514377" w:rsidP="00B84294">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05754F" w14:textId="0EE83C7A" w:rsidR="00514377" w:rsidRDefault="00514377" w:rsidP="00554DDD">
            <w:pPr>
              <w:jc w:val="center"/>
            </w:pPr>
            <w:r>
              <w:t>22,</w:t>
            </w:r>
            <w:r w:rsidR="00554DDD">
              <w:t>85</w:t>
            </w:r>
            <w:r>
              <w:t>9</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723535" w14:textId="3DD80A9B" w:rsidR="00514377" w:rsidRPr="006E5397" w:rsidRDefault="00554DDD" w:rsidP="00554DDD">
            <w:pPr>
              <w:jc w:val="right"/>
            </w:pPr>
            <w:r>
              <w:t>9</w:t>
            </w:r>
            <w:r w:rsidR="00514377" w:rsidRPr="006E5397">
              <w:t>,</w:t>
            </w:r>
            <w:r>
              <w:t>220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702678" w14:textId="66DDF4FB" w:rsidR="00514377" w:rsidRPr="0073565C" w:rsidRDefault="00D6313B" w:rsidP="0007534B">
            <w:pPr>
              <w:jc w:val="center"/>
            </w:pPr>
            <w:r>
              <w:t>32.65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8098DF" w14:textId="0551FDCF" w:rsidR="00514377" w:rsidRPr="0073565C" w:rsidRDefault="00514377" w:rsidP="00554DDD">
            <w:pPr>
              <w:jc w:val="right"/>
            </w:pPr>
            <w:r w:rsidRPr="0073565C">
              <w:t>$</w:t>
            </w:r>
            <w:r>
              <w:t>3</w:t>
            </w:r>
            <w:r w:rsidR="00554DDD">
              <w:t>01</w:t>
            </w:r>
            <w:r>
              <w:t>,</w:t>
            </w:r>
            <w:r w:rsidR="00554DDD">
              <w:t>033</w:t>
            </w:r>
          </w:p>
        </w:tc>
      </w:tr>
      <w:tr w:rsidR="00514377" w14:paraId="180E1F6B" w14:textId="77777777" w:rsidTr="0007534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867F72" w14:textId="77777777" w:rsidR="00514377" w:rsidRPr="002B1156" w:rsidRDefault="00514377" w:rsidP="00B84294">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D3F82F" w14:textId="76C72869" w:rsidR="00514377" w:rsidRDefault="00514377" w:rsidP="00554DDD">
            <w:pPr>
              <w:jc w:val="center"/>
            </w:pPr>
            <w:r>
              <w:t>78,</w:t>
            </w:r>
            <w:r w:rsidR="00554DDD">
              <w:t>609</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E4D1CB" w14:textId="1DF395FB" w:rsidR="00514377" w:rsidRDefault="00514377" w:rsidP="00554DDD">
            <w:pPr>
              <w:jc w:val="right"/>
            </w:pPr>
            <w:r w:rsidRPr="006E5397">
              <w:t>2</w:t>
            </w:r>
            <w:r w:rsidR="00554DDD">
              <w:t>1</w:t>
            </w:r>
            <w:r w:rsidRPr="006E5397">
              <w:t>,</w:t>
            </w:r>
            <w:r w:rsidR="00554DDD">
              <w:t>611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51291B" w14:textId="77777777" w:rsidR="00514377" w:rsidRPr="0073565C" w:rsidRDefault="00514377" w:rsidP="0007534B">
            <w:pPr>
              <w:jc w:val="center"/>
            </w:pPr>
            <w:r w:rsidRPr="0073565C">
              <w:t>na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A2D691" w14:textId="65D4E147" w:rsidR="00514377" w:rsidRPr="0073565C" w:rsidRDefault="00514377" w:rsidP="00554DDD">
            <w:pPr>
              <w:jc w:val="right"/>
            </w:pPr>
            <w:r w:rsidRPr="003C0781">
              <w:t>$</w:t>
            </w:r>
            <w:r>
              <w:t>7</w:t>
            </w:r>
            <w:r w:rsidR="00554DDD">
              <w:t>05</w:t>
            </w:r>
            <w:r>
              <w:t>,</w:t>
            </w:r>
            <w:r w:rsidR="00554DDD">
              <w:t>599</w:t>
            </w:r>
          </w:p>
        </w:tc>
      </w:tr>
    </w:tbl>
    <w:p w14:paraId="70D7FBD3" w14:textId="77777777" w:rsidR="00574998" w:rsidRDefault="00574998" w:rsidP="00574998">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10" w:history="1">
        <w:r w:rsidR="000474F1" w:rsidRPr="00513A1F">
          <w:rPr>
            <w:rStyle w:val="Hyperlink"/>
            <w:sz w:val="20"/>
            <w:szCs w:val="20"/>
          </w:rPr>
          <w:t>https://www.bls.gov/oes/current/oes131141.htm</w:t>
        </w:r>
      </w:hyperlink>
      <w:r w:rsidR="000474F1">
        <w:rPr>
          <w:color w:val="000000"/>
          <w:sz w:val="20"/>
          <w:szCs w:val="20"/>
        </w:rPr>
        <w:t xml:space="preserve">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14:paraId="28E4B115" w14:textId="77777777" w:rsidR="00710E53" w:rsidRDefault="00710E53" w:rsidP="00574998">
      <w:pPr>
        <w:rPr>
          <w:color w:val="000000"/>
          <w:sz w:val="20"/>
          <w:szCs w:val="20"/>
        </w:rPr>
      </w:pPr>
    </w:p>
    <w:p w14:paraId="686A4DF7" w14:textId="77777777" w:rsidR="009B633D" w:rsidRPr="00412C6F" w:rsidRDefault="009B633D" w:rsidP="009B633D">
      <w:pPr>
        <w:pStyle w:val="Heading2"/>
        <w:rPr>
          <w:sz w:val="24"/>
        </w:rPr>
      </w:pPr>
      <w:bookmarkStart w:id="31" w:name="_Toc151782188"/>
      <w:bookmarkStart w:id="32" w:name="_Toc158526228"/>
      <w:r w:rsidRPr="00412C6F">
        <w:rPr>
          <w:sz w:val="24"/>
        </w:rPr>
        <w:t>13. Estimates of Annualized Respondent Capital and Maintenance Costs</w:t>
      </w:r>
      <w:bookmarkEnd w:id="31"/>
      <w:bookmarkEnd w:id="32"/>
    </w:p>
    <w:p w14:paraId="513DE6AE" w14:textId="77777777" w:rsidR="00B339BE" w:rsidRDefault="00B339BE" w:rsidP="00B339BE">
      <w:pPr>
        <w:spacing w:before="120"/>
      </w:pPr>
      <w:r>
        <w:t>There are no direct costs to respondents other than their time to participate in the study.</w:t>
      </w:r>
    </w:p>
    <w:p w14:paraId="4EC774E8" w14:textId="77777777" w:rsidR="009B633D" w:rsidRPr="00412C6F" w:rsidRDefault="009B633D" w:rsidP="009B633D">
      <w:pPr>
        <w:pStyle w:val="Heading2"/>
        <w:rPr>
          <w:sz w:val="24"/>
        </w:rPr>
      </w:pPr>
      <w:bookmarkStart w:id="33" w:name="_Toc58725299"/>
      <w:bookmarkStart w:id="34" w:name="_Toc151782189"/>
      <w:bookmarkStart w:id="35" w:name="_Toc158526229"/>
      <w:r w:rsidRPr="00412C6F">
        <w:rPr>
          <w:sz w:val="24"/>
        </w:rPr>
        <w:t>14. Estimates of Annualized Cost to the Government</w:t>
      </w:r>
      <w:bookmarkEnd w:id="33"/>
      <w:bookmarkEnd w:id="34"/>
      <w:bookmarkEnd w:id="35"/>
    </w:p>
    <w:p w14:paraId="54DCBE00" w14:textId="77777777" w:rsidR="003A1096" w:rsidRDefault="003A1096" w:rsidP="00B339BE">
      <w:pPr>
        <w:rPr>
          <w:b/>
          <w:bCs/>
          <w:color w:val="000000"/>
        </w:rPr>
      </w:pPr>
      <w:bookmarkStart w:id="36" w:name="_Toc151782190"/>
      <w:bookmarkStart w:id="37" w:name="_Toc158526230"/>
    </w:p>
    <w:p w14:paraId="3371D80C" w14:textId="75638D7B" w:rsidR="0003126F" w:rsidRDefault="00304FD9" w:rsidP="00B339BE">
      <w:pPr>
        <w:rPr>
          <w:bCs/>
          <w:color w:val="000000"/>
        </w:rPr>
      </w:pPr>
      <w:r w:rsidRPr="0007534B">
        <w:rPr>
          <w:bCs/>
          <w:color w:val="000000"/>
        </w:rPr>
        <w:t>Exhibit 3 shows the estimated annualized cost of this data collec</w:t>
      </w:r>
      <w:r w:rsidR="004F37D3" w:rsidRPr="0007534B">
        <w:rPr>
          <w:bCs/>
          <w:color w:val="000000"/>
        </w:rPr>
        <w:t>tion</w:t>
      </w:r>
      <w:r w:rsidR="006F3D1C" w:rsidRPr="0007534B">
        <w:rPr>
          <w:bCs/>
          <w:color w:val="000000"/>
        </w:rPr>
        <w:t xml:space="preserve"> is </w:t>
      </w:r>
      <w:r w:rsidR="00241336" w:rsidRPr="0007534B">
        <w:t>$9,</w:t>
      </w:r>
      <w:r w:rsidR="0007534B" w:rsidRPr="0007534B">
        <w:t>707</w:t>
      </w:r>
      <w:r w:rsidR="00241336" w:rsidRPr="0007534B">
        <w:t>,</w:t>
      </w:r>
      <w:r w:rsidR="0007534B" w:rsidRPr="0007534B">
        <w:t>337</w:t>
      </w:r>
      <w:r w:rsidR="0018103B" w:rsidRPr="0007534B">
        <w:rPr>
          <w:bCs/>
          <w:color w:val="000000"/>
        </w:rPr>
        <w:t>.</w:t>
      </w:r>
      <w:r w:rsidR="004F37D3" w:rsidRPr="0007534B">
        <w:rPr>
          <w:bCs/>
          <w:color w:val="000000"/>
        </w:rPr>
        <w:t xml:space="preserve">  The total cost over the 2</w:t>
      </w:r>
      <w:r w:rsidRPr="0007534B">
        <w:rPr>
          <w:bCs/>
          <w:color w:val="000000"/>
        </w:rPr>
        <w:t xml:space="preserve"> years of this clearance is </w:t>
      </w:r>
      <w:r w:rsidR="00241336" w:rsidRPr="0007534B">
        <w:t>$1</w:t>
      </w:r>
      <w:r w:rsidR="0007534B" w:rsidRPr="0007534B">
        <w:t>9</w:t>
      </w:r>
      <w:r w:rsidR="00241336" w:rsidRPr="0007534B">
        <w:t>,</w:t>
      </w:r>
      <w:r w:rsidR="0007534B" w:rsidRPr="0007534B">
        <w:t>414</w:t>
      </w:r>
      <w:r w:rsidR="00241336" w:rsidRPr="0007534B">
        <w:t>,</w:t>
      </w:r>
      <w:r w:rsidR="0007534B" w:rsidRPr="0007534B">
        <w:t>6</w:t>
      </w:r>
      <w:r w:rsidR="00241336" w:rsidRPr="0007534B">
        <w:t>7</w:t>
      </w:r>
      <w:r w:rsidR="0007534B" w:rsidRPr="0007534B">
        <w:t>4</w:t>
      </w:r>
      <w:r w:rsidRPr="0007534B">
        <w:rPr>
          <w:bCs/>
          <w:color w:val="000000"/>
        </w:rPr>
        <w:t>.</w:t>
      </w:r>
      <w:r w:rsidR="0018040E">
        <w:rPr>
          <w:bCs/>
          <w:color w:val="000000"/>
        </w:rPr>
        <w:t xml:space="preserve">  </w:t>
      </w:r>
    </w:p>
    <w:p w14:paraId="317A1A3A" w14:textId="77777777" w:rsidR="0003126F" w:rsidRDefault="0003126F" w:rsidP="00B339BE">
      <w:pPr>
        <w:rPr>
          <w:bCs/>
          <w:color w:val="000000"/>
        </w:rPr>
      </w:pPr>
    </w:p>
    <w:p w14:paraId="344D030E" w14:textId="77777777" w:rsidR="00B339BE" w:rsidRDefault="00B339BE" w:rsidP="00B339BE">
      <w:r>
        <w:rPr>
          <w:b/>
          <w:bCs/>
          <w:color w:val="000000"/>
        </w:rPr>
        <w:t>Exhibit</w:t>
      </w:r>
      <w:r w:rsidR="00716C41">
        <w:rPr>
          <w:b/>
          <w:bCs/>
          <w:color w:val="000000"/>
        </w:rPr>
        <w:t xml:space="preserve"> </w:t>
      </w:r>
      <w:r>
        <w:rPr>
          <w:b/>
          <w:bCs/>
          <w:color w:val="000000"/>
        </w:rPr>
        <w:t xml:space="preserve">3.  Estimated Total and Annualized Cost </w:t>
      </w:r>
    </w:p>
    <w:tbl>
      <w:tblPr>
        <w:tblW w:w="0" w:type="auto"/>
        <w:tblCellMar>
          <w:left w:w="0" w:type="dxa"/>
          <w:right w:w="0" w:type="dxa"/>
        </w:tblCellMar>
        <w:tblLook w:val="0000" w:firstRow="0" w:lastRow="0" w:firstColumn="0" w:lastColumn="0" w:noHBand="0" w:noVBand="0"/>
      </w:tblPr>
      <w:tblGrid>
        <w:gridCol w:w="3708"/>
        <w:gridCol w:w="1440"/>
        <w:gridCol w:w="1980"/>
      </w:tblGrid>
      <w:tr w:rsidR="000C415C" w:rsidRPr="00012FB9" w14:paraId="5615842D" w14:textId="77777777" w:rsidTr="0007534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97AFDB7" w14:textId="77777777" w:rsidR="000C415C" w:rsidRPr="00012FB9" w:rsidRDefault="000C415C" w:rsidP="0007534B">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640FD9" w14:textId="77777777" w:rsidR="000C415C" w:rsidRPr="00012FB9" w:rsidRDefault="000C415C" w:rsidP="0007534B">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C0E4C6" w14:textId="77777777" w:rsidR="000C415C" w:rsidRPr="00012FB9" w:rsidRDefault="000C415C" w:rsidP="0007534B">
            <w:pPr>
              <w:jc w:val="center"/>
              <w:rPr>
                <w:b/>
              </w:rPr>
            </w:pPr>
            <w:r w:rsidRPr="00012FB9">
              <w:rPr>
                <w:b/>
              </w:rPr>
              <w:t>Annualized Cost</w:t>
            </w:r>
          </w:p>
        </w:tc>
      </w:tr>
      <w:tr w:rsidR="00AB7B91" w14:paraId="3CE95696"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7CA31E" w14:textId="77777777" w:rsidR="00AB7B91" w:rsidRDefault="00AB7B91" w:rsidP="0007534B">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8A7789" w14:textId="094BD6B1" w:rsidR="00AB7B91" w:rsidRPr="004E1BD9" w:rsidRDefault="00AB7B91" w:rsidP="005806FE">
            <w:pPr>
              <w:jc w:val="right"/>
            </w:pPr>
            <w:r w:rsidRPr="004E1BD9">
              <w:t>$2,</w:t>
            </w:r>
            <w:r w:rsidR="005806FE">
              <w:t>850</w:t>
            </w:r>
            <w:r w:rsidRPr="004E1BD9">
              <w:t>,</w:t>
            </w:r>
            <w:r w:rsidR="005806FE">
              <w:t>345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18A11B" w14:textId="427EC425" w:rsidR="00AB7B91" w:rsidRPr="00F23712" w:rsidRDefault="00AB7B91" w:rsidP="005806FE">
            <w:pPr>
              <w:jc w:val="right"/>
            </w:pPr>
            <w:r w:rsidRPr="00F23712">
              <w:t>$1,4</w:t>
            </w:r>
            <w:r w:rsidR="005806FE">
              <w:t>2</w:t>
            </w:r>
            <w:r w:rsidR="0007534B">
              <w:t>5</w:t>
            </w:r>
            <w:r w:rsidRPr="00F23712">
              <w:t>,</w:t>
            </w:r>
            <w:r w:rsidR="005806FE">
              <w:t>172</w:t>
            </w:r>
            <w:r w:rsidRPr="00F23712">
              <w:t xml:space="preserve"> </w:t>
            </w:r>
          </w:p>
        </w:tc>
      </w:tr>
      <w:tr w:rsidR="00AB7B91" w14:paraId="4E272FE3"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AB80CC" w14:textId="77777777" w:rsidR="00AB7B91" w:rsidRDefault="00AB7B91" w:rsidP="0007534B">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78F6CF" w14:textId="0A23372D" w:rsidR="00AB7B91" w:rsidRPr="004E1BD9" w:rsidRDefault="00AB7B91" w:rsidP="005806FE">
            <w:pPr>
              <w:jc w:val="right"/>
            </w:pPr>
            <w:r w:rsidRPr="004E1BD9">
              <w:t>$6,</w:t>
            </w:r>
            <w:r w:rsidR="005806FE">
              <w:t>650</w:t>
            </w:r>
            <w:r w:rsidRPr="004E1BD9">
              <w:t>,</w:t>
            </w:r>
            <w:r w:rsidR="005806FE">
              <w:t>804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A16832" w14:textId="0BD69400" w:rsidR="00AB7B91" w:rsidRPr="00F23712" w:rsidRDefault="00AB7B91" w:rsidP="005806FE">
            <w:pPr>
              <w:jc w:val="right"/>
            </w:pPr>
            <w:r w:rsidRPr="00F23712">
              <w:t>$3,</w:t>
            </w:r>
            <w:r w:rsidR="005806FE">
              <w:t>325</w:t>
            </w:r>
            <w:r w:rsidRPr="00F23712">
              <w:t>,</w:t>
            </w:r>
            <w:r w:rsidR="005806FE">
              <w:t>402</w:t>
            </w:r>
            <w:r w:rsidRPr="00F23712">
              <w:t xml:space="preserve"> </w:t>
            </w:r>
          </w:p>
        </w:tc>
      </w:tr>
      <w:tr w:rsidR="00AB7B91" w14:paraId="41F830BE"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64FC9E" w14:textId="77777777" w:rsidR="00AB7B91" w:rsidRDefault="00AB7B91" w:rsidP="0007534B">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3C1B7B" w14:textId="1B908572" w:rsidR="00AB7B91" w:rsidRPr="004E1BD9" w:rsidRDefault="00AB7B91" w:rsidP="005806FE">
            <w:pPr>
              <w:jc w:val="right"/>
            </w:pPr>
            <w:r w:rsidRPr="004E1BD9">
              <w:t>$6,</w:t>
            </w:r>
            <w:r w:rsidR="005806FE">
              <w:t>650</w:t>
            </w:r>
            <w:r w:rsidRPr="004E1BD9">
              <w:t>,</w:t>
            </w:r>
            <w:r w:rsidR="0007534B">
              <w:t>8</w:t>
            </w:r>
            <w:r w:rsidR="005806FE">
              <w:t>04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F70E9C" w14:textId="3B910430" w:rsidR="00AB7B91" w:rsidRPr="00F23712" w:rsidRDefault="00AB7B91" w:rsidP="005806FE">
            <w:pPr>
              <w:jc w:val="right"/>
            </w:pPr>
            <w:r w:rsidRPr="00F23712">
              <w:t>$3,</w:t>
            </w:r>
            <w:r w:rsidR="005806FE">
              <w:t>325</w:t>
            </w:r>
            <w:r w:rsidRPr="00F23712">
              <w:t>,</w:t>
            </w:r>
            <w:r w:rsidR="005806FE">
              <w:t>402</w:t>
            </w:r>
            <w:r w:rsidRPr="00F23712">
              <w:t xml:space="preserve"> </w:t>
            </w:r>
          </w:p>
        </w:tc>
      </w:tr>
      <w:tr w:rsidR="00AB7B91" w14:paraId="03EE0A32"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72BA18" w14:textId="77777777" w:rsidR="00AB7B91" w:rsidRDefault="00AB7B91" w:rsidP="0007534B">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5A1916" w14:textId="227786D0" w:rsidR="00AB7B91" w:rsidRPr="004E1BD9" w:rsidRDefault="0007534B" w:rsidP="005806FE">
            <w:pPr>
              <w:jc w:val="right"/>
            </w:pPr>
            <w:r>
              <w:t>$2</w:t>
            </w:r>
            <w:r w:rsidR="00AB7B91" w:rsidRPr="004E1BD9">
              <w:t>,</w:t>
            </w:r>
            <w:r>
              <w:t>3</w:t>
            </w:r>
            <w:r w:rsidR="005806FE">
              <w:t>1</w:t>
            </w:r>
            <w:r w:rsidR="00AB7B91" w:rsidRPr="004E1BD9">
              <w:t>2</w:t>
            </w:r>
            <w:r>
              <w:t>,</w:t>
            </w:r>
            <w:r w:rsidR="005806FE">
              <w:t>606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815030" w14:textId="6D6108A4" w:rsidR="00AB7B91" w:rsidRPr="00F23712" w:rsidRDefault="00AB7B91" w:rsidP="005806FE">
            <w:pPr>
              <w:jc w:val="right"/>
            </w:pPr>
            <w:r w:rsidRPr="00F23712">
              <w:t>$</w:t>
            </w:r>
            <w:r w:rsidR="0007534B">
              <w:t>1,1</w:t>
            </w:r>
            <w:r w:rsidR="005806FE">
              <w:t>5</w:t>
            </w:r>
            <w:r w:rsidRPr="00F23712">
              <w:t>6,</w:t>
            </w:r>
            <w:r w:rsidR="005806FE">
              <w:t>3</w:t>
            </w:r>
            <w:r w:rsidR="0007534B">
              <w:t>0</w:t>
            </w:r>
            <w:r w:rsidR="005806FE">
              <w:t>3</w:t>
            </w:r>
            <w:r w:rsidRPr="00F23712">
              <w:t xml:space="preserve"> </w:t>
            </w:r>
          </w:p>
        </w:tc>
      </w:tr>
      <w:tr w:rsidR="00AB7B91" w14:paraId="6FD25487"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09E1F3" w14:textId="77777777" w:rsidR="00AB7B91" w:rsidRDefault="00AB7B91" w:rsidP="0007534B">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2E138D" w14:textId="534DDD72" w:rsidR="00AB7B91" w:rsidRPr="004E1BD9" w:rsidRDefault="00AB7B91" w:rsidP="005806FE">
            <w:pPr>
              <w:jc w:val="right"/>
            </w:pPr>
            <w:r w:rsidRPr="004E1BD9">
              <w:t>$</w:t>
            </w:r>
            <w:r w:rsidR="005806FE">
              <w:t>950,115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B0CDC1" w14:textId="7A3FA33A" w:rsidR="00AB7B91" w:rsidRDefault="00AB7B91" w:rsidP="005806FE">
            <w:pPr>
              <w:jc w:val="right"/>
            </w:pPr>
            <w:r w:rsidRPr="00F23712">
              <w:t>$</w:t>
            </w:r>
            <w:r w:rsidR="005806FE">
              <w:t>475</w:t>
            </w:r>
            <w:r w:rsidRPr="00F23712">
              <w:t>,</w:t>
            </w:r>
            <w:r w:rsidR="005806FE">
              <w:t>058</w:t>
            </w:r>
            <w:r w:rsidRPr="00F23712">
              <w:t xml:space="preserve"> </w:t>
            </w:r>
          </w:p>
        </w:tc>
      </w:tr>
      <w:tr w:rsidR="00AB7B91" w14:paraId="0C4FDDD4" w14:textId="77777777" w:rsidTr="000753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01C310" w14:textId="77777777" w:rsidR="00AB7B91" w:rsidRPr="006D1C5E" w:rsidRDefault="00AB7B91" w:rsidP="0007534B">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A53F1D" w14:textId="5FECCC6A" w:rsidR="00AB7B91" w:rsidRDefault="00AB7B91" w:rsidP="0007534B">
            <w:pPr>
              <w:jc w:val="right"/>
            </w:pPr>
            <w:r w:rsidRPr="004E1BD9">
              <w:t>$1</w:t>
            </w:r>
            <w:r w:rsidR="0007534B">
              <w:t>9</w:t>
            </w:r>
            <w:r w:rsidRPr="004E1BD9">
              <w:t>,</w:t>
            </w:r>
            <w:r w:rsidR="0007534B">
              <w:t>414</w:t>
            </w:r>
            <w:r w:rsidRPr="004E1BD9">
              <w:t>,</w:t>
            </w:r>
            <w:r w:rsidR="0007534B">
              <w:t>674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731094" w14:textId="4E1EE854" w:rsidR="00AB7B91" w:rsidRDefault="00AB7B91" w:rsidP="0007534B">
            <w:pPr>
              <w:jc w:val="right"/>
            </w:pPr>
            <w:r w:rsidRPr="00AA5958">
              <w:t>$9,</w:t>
            </w:r>
            <w:r w:rsidR="0007534B">
              <w:t>707</w:t>
            </w:r>
            <w:r w:rsidRPr="00AA5958">
              <w:t>,</w:t>
            </w:r>
            <w:r w:rsidR="0007534B">
              <w:t>337</w:t>
            </w:r>
          </w:p>
        </w:tc>
      </w:tr>
    </w:tbl>
    <w:p w14:paraId="6EFDBC3E" w14:textId="77777777" w:rsidR="000C415C" w:rsidRDefault="000C415C" w:rsidP="000C6156">
      <w:pPr>
        <w:rPr>
          <w:rFonts w:ascii="Calibri" w:hAnsi="Calibri"/>
          <w:sz w:val="20"/>
          <w:szCs w:val="20"/>
        </w:rPr>
      </w:pPr>
    </w:p>
    <w:p w14:paraId="172B9980" w14:textId="77777777" w:rsidR="000C415C" w:rsidRDefault="000C415C" w:rsidP="000C6156">
      <w:pPr>
        <w:rPr>
          <w:rFonts w:ascii="Calibri" w:hAnsi="Calibri"/>
          <w:sz w:val="20"/>
          <w:szCs w:val="20"/>
        </w:rPr>
      </w:pPr>
    </w:p>
    <w:p w14:paraId="7EAC8A74" w14:textId="77777777" w:rsidR="00D45F46" w:rsidRDefault="00D45F46" w:rsidP="000C6156">
      <w:pPr>
        <w:rPr>
          <w:rFonts w:ascii="Calibri" w:hAnsi="Calibri"/>
          <w:sz w:val="20"/>
          <w:szCs w:val="20"/>
        </w:rPr>
      </w:pPr>
    </w:p>
    <w:p w14:paraId="3C4884DE" w14:textId="77777777" w:rsidR="00D45F46" w:rsidRDefault="00D45F46" w:rsidP="000C6156">
      <w:pPr>
        <w:rPr>
          <w:rFonts w:ascii="Calibri" w:hAnsi="Calibri"/>
          <w:sz w:val="20"/>
          <w:szCs w:val="20"/>
        </w:rPr>
      </w:pPr>
    </w:p>
    <w:p w14:paraId="451E14E3" w14:textId="77777777" w:rsidR="00D45F46" w:rsidRDefault="00D45F46" w:rsidP="000C6156">
      <w:pPr>
        <w:rPr>
          <w:rFonts w:ascii="Calibri" w:hAnsi="Calibri"/>
          <w:sz w:val="20"/>
          <w:szCs w:val="20"/>
        </w:rPr>
      </w:pPr>
    </w:p>
    <w:p w14:paraId="2E1412F2" w14:textId="77777777" w:rsidR="00D45F46" w:rsidRDefault="00D45F46" w:rsidP="000C6156">
      <w:pPr>
        <w:rPr>
          <w:rFonts w:ascii="Calibri" w:hAnsi="Calibri"/>
          <w:sz w:val="20"/>
          <w:szCs w:val="20"/>
        </w:rPr>
      </w:pPr>
    </w:p>
    <w:p w14:paraId="53279685" w14:textId="77777777" w:rsidR="000C6156" w:rsidRPr="00716C41" w:rsidRDefault="000C6156" w:rsidP="000C6156">
      <w:pPr>
        <w:rPr>
          <w:b/>
        </w:rPr>
      </w:pPr>
      <w:r w:rsidRPr="00716C41">
        <w:rPr>
          <w:b/>
        </w:rPr>
        <w:t>Exhibit 4: Annual Cost to AHRQ for IAA Oversight</w:t>
      </w:r>
    </w:p>
    <w:tbl>
      <w:tblPr>
        <w:tblW w:w="7831" w:type="dxa"/>
        <w:tblLayout w:type="fixed"/>
        <w:tblCellMar>
          <w:left w:w="0" w:type="dxa"/>
          <w:right w:w="0" w:type="dxa"/>
        </w:tblCellMar>
        <w:tblLook w:val="0000" w:firstRow="0" w:lastRow="0" w:firstColumn="0" w:lastColumn="0" w:noHBand="0" w:noVBand="0"/>
      </w:tblPr>
      <w:tblGrid>
        <w:gridCol w:w="3888"/>
        <w:gridCol w:w="810"/>
        <w:gridCol w:w="1153"/>
        <w:gridCol w:w="900"/>
        <w:gridCol w:w="1080"/>
      </w:tblGrid>
      <w:tr w:rsidR="00F12528" w:rsidRPr="00716C41" w14:paraId="7D2B872B" w14:textId="77777777" w:rsidTr="00F12528">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0C64688" w14:textId="77777777" w:rsidR="00F12528" w:rsidRPr="00F12528" w:rsidRDefault="00F12528" w:rsidP="000C6156">
            <w:pPr>
              <w:rPr>
                <w:b/>
              </w:rPr>
            </w:pPr>
            <w:r w:rsidRPr="00F12528">
              <w:rPr>
                <w:b/>
                <w:color w:val="000000"/>
              </w:rPr>
              <w:t>Tasks/Personnel</w:t>
            </w:r>
          </w:p>
        </w:tc>
        <w:tc>
          <w:tcPr>
            <w:tcW w:w="810" w:type="dxa"/>
            <w:tcBorders>
              <w:top w:val="single" w:sz="8" w:space="0" w:color="auto"/>
              <w:left w:val="nil"/>
              <w:bottom w:val="single" w:sz="8" w:space="0" w:color="auto"/>
              <w:right w:val="single" w:sz="8" w:space="0" w:color="auto"/>
            </w:tcBorders>
          </w:tcPr>
          <w:p w14:paraId="418C9D8F" w14:textId="77777777" w:rsidR="00F12528" w:rsidRPr="00F12528" w:rsidRDefault="00F12528" w:rsidP="000C6156">
            <w:pPr>
              <w:jc w:val="center"/>
              <w:rPr>
                <w:b/>
              </w:rPr>
            </w:pPr>
            <w:r w:rsidRPr="00F12528">
              <w:rPr>
                <w:b/>
              </w:rPr>
              <w:t>Staff</w:t>
            </w:r>
          </w:p>
          <w:p w14:paraId="4A853BBC" w14:textId="77777777" w:rsidR="00F12528" w:rsidRPr="00F12528" w:rsidRDefault="00F12528" w:rsidP="000C6156">
            <w:pPr>
              <w:jc w:val="center"/>
              <w:rPr>
                <w:b/>
              </w:rPr>
            </w:pPr>
            <w:r>
              <w:rPr>
                <w:b/>
              </w:rPr>
              <w:t>Coun</w:t>
            </w:r>
            <w:r w:rsidRPr="00F12528">
              <w:rPr>
                <w:b/>
              </w:rPr>
              <w:t>t</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516B64" w14:textId="77777777" w:rsidR="00F12528" w:rsidRPr="00F12528" w:rsidRDefault="00F12528" w:rsidP="000C6156">
            <w:pPr>
              <w:jc w:val="center"/>
              <w:rPr>
                <w:b/>
              </w:rPr>
            </w:pPr>
            <w:r w:rsidRPr="00F12528">
              <w:rPr>
                <w:b/>
              </w:rPr>
              <w:t>Annual Salary</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91E232" w14:textId="77777777" w:rsidR="00F12528" w:rsidRPr="00F12528" w:rsidRDefault="00F12528" w:rsidP="000C6156">
            <w:pPr>
              <w:jc w:val="center"/>
              <w:rPr>
                <w:b/>
              </w:rPr>
            </w:pPr>
            <w:r w:rsidRPr="00F12528">
              <w:rPr>
                <w:b/>
              </w:rPr>
              <w:t>% of Time</w:t>
            </w:r>
          </w:p>
        </w:tc>
        <w:tc>
          <w:tcPr>
            <w:tcW w:w="1080" w:type="dxa"/>
            <w:tcBorders>
              <w:top w:val="single" w:sz="8" w:space="0" w:color="auto"/>
              <w:left w:val="nil"/>
              <w:bottom w:val="single" w:sz="8" w:space="0" w:color="auto"/>
              <w:right w:val="single" w:sz="8" w:space="0" w:color="auto"/>
            </w:tcBorders>
          </w:tcPr>
          <w:p w14:paraId="619F9691" w14:textId="77777777" w:rsidR="00F12528" w:rsidRPr="00F12528" w:rsidRDefault="00F12528" w:rsidP="000C6156">
            <w:pPr>
              <w:jc w:val="center"/>
              <w:rPr>
                <w:b/>
              </w:rPr>
            </w:pPr>
          </w:p>
          <w:p w14:paraId="42602300" w14:textId="77777777" w:rsidR="00F12528" w:rsidRPr="00F12528" w:rsidRDefault="00F12528" w:rsidP="000C6156">
            <w:pPr>
              <w:jc w:val="center"/>
              <w:rPr>
                <w:b/>
              </w:rPr>
            </w:pPr>
            <w:r w:rsidRPr="00F12528">
              <w:rPr>
                <w:b/>
              </w:rPr>
              <w:t>Cost</w:t>
            </w:r>
          </w:p>
        </w:tc>
      </w:tr>
      <w:tr w:rsidR="00F12528" w:rsidRPr="00716C41" w14:paraId="1622D408" w14:textId="77777777" w:rsidTr="00F1252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ED8A77" w14:textId="77777777" w:rsidR="00F12528" w:rsidRPr="00F12528" w:rsidRDefault="00F12528" w:rsidP="000C6156">
            <w:r w:rsidRPr="00F12528">
              <w:t>Survey/Statistical Support: GS-14, Step 5 average</w:t>
            </w:r>
          </w:p>
        </w:tc>
        <w:tc>
          <w:tcPr>
            <w:tcW w:w="810" w:type="dxa"/>
            <w:tcBorders>
              <w:top w:val="nil"/>
              <w:left w:val="nil"/>
              <w:bottom w:val="single" w:sz="8" w:space="0" w:color="auto"/>
              <w:right w:val="single" w:sz="8" w:space="0" w:color="auto"/>
            </w:tcBorders>
          </w:tcPr>
          <w:p w14:paraId="78E5A4DC" w14:textId="77777777" w:rsidR="00F12528" w:rsidRPr="00F12528" w:rsidRDefault="00F12528" w:rsidP="00D76521">
            <w:pPr>
              <w:jc w:val="center"/>
            </w:pPr>
          </w:p>
          <w:p w14:paraId="1CF27D84" w14:textId="77777777" w:rsidR="00F12528" w:rsidRPr="00F12528" w:rsidRDefault="00F12528" w:rsidP="00D76521">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C5F285" w14:textId="77777777" w:rsidR="00F12528" w:rsidRPr="00F12528" w:rsidRDefault="00F12528" w:rsidP="007B2B79">
            <w:pPr>
              <w:jc w:val="right"/>
            </w:pPr>
          </w:p>
          <w:p w14:paraId="4DF58952" w14:textId="6C0C31A6" w:rsidR="00F12528" w:rsidRPr="00F12528" w:rsidRDefault="00F12528" w:rsidP="004D3FB6">
            <w:pPr>
              <w:jc w:val="right"/>
            </w:pPr>
            <w:r w:rsidRPr="00F12528">
              <w:t>$</w:t>
            </w:r>
            <w:r w:rsidR="004D3FB6">
              <w:t>132,818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A1E0AF" w14:textId="77777777" w:rsidR="00F12528" w:rsidRPr="00F12528" w:rsidRDefault="00F12528" w:rsidP="007B2B79">
            <w:pPr>
              <w:jc w:val="right"/>
            </w:pPr>
          </w:p>
          <w:p w14:paraId="603587DE" w14:textId="77777777" w:rsidR="00F12528" w:rsidRPr="00F12528" w:rsidRDefault="00F12528" w:rsidP="000C6156">
            <w:pPr>
              <w:jc w:val="right"/>
            </w:pPr>
            <w:r w:rsidRPr="00F12528">
              <w:t>50.0%</w:t>
            </w:r>
          </w:p>
        </w:tc>
        <w:tc>
          <w:tcPr>
            <w:tcW w:w="1080" w:type="dxa"/>
            <w:tcBorders>
              <w:top w:val="nil"/>
              <w:left w:val="nil"/>
              <w:bottom w:val="single" w:sz="8" w:space="0" w:color="auto"/>
              <w:right w:val="single" w:sz="8" w:space="0" w:color="auto"/>
            </w:tcBorders>
          </w:tcPr>
          <w:p w14:paraId="00AA37E1" w14:textId="77777777" w:rsidR="00F12528" w:rsidRPr="00F12528" w:rsidRDefault="00F12528" w:rsidP="007B2B79">
            <w:pPr>
              <w:jc w:val="right"/>
            </w:pPr>
          </w:p>
          <w:p w14:paraId="1D2E5941" w14:textId="2AD99FCC" w:rsidR="00F12528" w:rsidRPr="00F12528" w:rsidRDefault="00F12528" w:rsidP="004D3FB6">
            <w:pPr>
              <w:jc w:val="right"/>
            </w:pPr>
            <w:r w:rsidRPr="00F12528">
              <w:t>$</w:t>
            </w:r>
            <w:r w:rsidR="004D3FB6">
              <w:t xml:space="preserve"> 132,818</w:t>
            </w:r>
          </w:p>
        </w:tc>
      </w:tr>
      <w:tr w:rsidR="00F12528" w:rsidRPr="00716C41" w14:paraId="22BADBCC" w14:textId="77777777" w:rsidTr="00F12528">
        <w:trPr>
          <w:trHeight w:val="250"/>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2CE579" w14:textId="77777777" w:rsidR="00F12528" w:rsidRPr="00F12528" w:rsidRDefault="00F12528" w:rsidP="000C6156">
            <w:r w:rsidRPr="00F12528">
              <w:t>Management Support: GS-15, Step 5 average</w:t>
            </w:r>
          </w:p>
        </w:tc>
        <w:tc>
          <w:tcPr>
            <w:tcW w:w="810" w:type="dxa"/>
            <w:tcBorders>
              <w:top w:val="nil"/>
              <w:left w:val="nil"/>
              <w:bottom w:val="single" w:sz="8" w:space="0" w:color="auto"/>
              <w:right w:val="single" w:sz="8" w:space="0" w:color="auto"/>
            </w:tcBorders>
          </w:tcPr>
          <w:p w14:paraId="426C3BBF" w14:textId="77777777" w:rsidR="00F12528" w:rsidRPr="00F12528" w:rsidRDefault="00F12528" w:rsidP="00D76521">
            <w:pPr>
              <w:jc w:val="center"/>
            </w:pPr>
          </w:p>
          <w:p w14:paraId="4D3CD605" w14:textId="77777777" w:rsidR="00F12528" w:rsidRPr="00F12528" w:rsidRDefault="00F12528" w:rsidP="00D76521">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EB4A2B" w14:textId="77777777" w:rsidR="00F12528" w:rsidRPr="00F12528" w:rsidRDefault="00F12528" w:rsidP="007B2B79">
            <w:pPr>
              <w:jc w:val="right"/>
            </w:pPr>
          </w:p>
          <w:p w14:paraId="2A8930FC" w14:textId="79D41D90" w:rsidR="00F12528" w:rsidRPr="00F12528" w:rsidRDefault="00F12528" w:rsidP="004D3FB6">
            <w:pPr>
              <w:jc w:val="right"/>
            </w:pPr>
            <w:r w:rsidRPr="00F12528">
              <w:t>$</w:t>
            </w:r>
            <w:r w:rsidR="004D3FB6">
              <w:t>156,228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28F375" w14:textId="77777777" w:rsidR="00F12528" w:rsidRPr="00F12528" w:rsidRDefault="00F12528" w:rsidP="007B2B79">
            <w:pPr>
              <w:jc w:val="right"/>
            </w:pPr>
          </w:p>
          <w:p w14:paraId="7A10CD61" w14:textId="77777777" w:rsidR="00F12528" w:rsidRPr="00F12528" w:rsidRDefault="00F12528" w:rsidP="000C6156">
            <w:pPr>
              <w:jc w:val="right"/>
            </w:pPr>
            <w:r w:rsidRPr="00F12528">
              <w:t>12.5%</w:t>
            </w:r>
          </w:p>
        </w:tc>
        <w:tc>
          <w:tcPr>
            <w:tcW w:w="1080" w:type="dxa"/>
            <w:tcBorders>
              <w:top w:val="nil"/>
              <w:left w:val="nil"/>
              <w:bottom w:val="single" w:sz="8" w:space="0" w:color="auto"/>
              <w:right w:val="single" w:sz="8" w:space="0" w:color="auto"/>
            </w:tcBorders>
          </w:tcPr>
          <w:p w14:paraId="71A4086F" w14:textId="77777777" w:rsidR="00F12528" w:rsidRPr="00F12528" w:rsidRDefault="00F12528" w:rsidP="007B2B79">
            <w:pPr>
              <w:jc w:val="right"/>
            </w:pPr>
          </w:p>
          <w:p w14:paraId="3CE47074" w14:textId="597F0FF4" w:rsidR="00F12528" w:rsidRPr="00F12528" w:rsidRDefault="00F12528" w:rsidP="004D3FB6">
            <w:pPr>
              <w:jc w:val="right"/>
            </w:pPr>
            <w:r w:rsidRPr="00F12528">
              <w:t>$</w:t>
            </w:r>
            <w:r w:rsidR="004D3FB6">
              <w:t xml:space="preserve">   39,057</w:t>
            </w:r>
          </w:p>
        </w:tc>
      </w:tr>
      <w:tr w:rsidR="00F12528" w:rsidRPr="00716C41" w14:paraId="4B11E962" w14:textId="77777777" w:rsidTr="00F12528">
        <w:trPr>
          <w:trHeight w:val="376"/>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8EE9C9" w14:textId="77777777" w:rsidR="00F12528" w:rsidRPr="00F12528" w:rsidRDefault="00F12528" w:rsidP="000C6156">
            <w:r w:rsidRPr="00F12528">
              <w:t>Research Support: GS-14, Step 5 average</w:t>
            </w:r>
          </w:p>
        </w:tc>
        <w:tc>
          <w:tcPr>
            <w:tcW w:w="810" w:type="dxa"/>
            <w:tcBorders>
              <w:top w:val="nil"/>
              <w:left w:val="nil"/>
              <w:bottom w:val="single" w:sz="8" w:space="0" w:color="auto"/>
              <w:right w:val="single" w:sz="8" w:space="0" w:color="auto"/>
            </w:tcBorders>
          </w:tcPr>
          <w:p w14:paraId="06ABCB92" w14:textId="77777777" w:rsidR="00F12528" w:rsidRPr="00F12528" w:rsidRDefault="00F12528" w:rsidP="00D76521">
            <w:pPr>
              <w:jc w:val="center"/>
            </w:pPr>
          </w:p>
          <w:p w14:paraId="07AD43C9" w14:textId="77777777" w:rsidR="00F12528" w:rsidRPr="00F12528" w:rsidRDefault="00F12528" w:rsidP="00D76521">
            <w:pPr>
              <w:jc w:val="center"/>
            </w:pPr>
            <w:r w:rsidRPr="00F12528">
              <w:t>3</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0E1BC9" w14:textId="77777777" w:rsidR="00F12528" w:rsidRPr="00F12528" w:rsidRDefault="00F12528" w:rsidP="007B2B79">
            <w:pPr>
              <w:jc w:val="right"/>
            </w:pPr>
          </w:p>
          <w:p w14:paraId="414CB67A" w14:textId="7A93DA2E" w:rsidR="00F12528" w:rsidRPr="00F12528" w:rsidRDefault="00F12528" w:rsidP="004D3FB6">
            <w:pPr>
              <w:jc w:val="right"/>
            </w:pPr>
            <w:r w:rsidRPr="00F12528">
              <w:t>$</w:t>
            </w:r>
            <w:r w:rsidR="004D3FB6">
              <w:t>132,818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013299" w14:textId="77777777" w:rsidR="00F12528" w:rsidRPr="00F12528" w:rsidRDefault="00F12528" w:rsidP="007B2B79">
            <w:pPr>
              <w:jc w:val="right"/>
            </w:pPr>
          </w:p>
          <w:p w14:paraId="43FEEDF9" w14:textId="77777777" w:rsidR="00F12528" w:rsidRPr="00F12528" w:rsidRDefault="00F12528" w:rsidP="000C6156">
            <w:pPr>
              <w:jc w:val="right"/>
            </w:pPr>
            <w:r w:rsidRPr="00F12528">
              <w:t>11.0%</w:t>
            </w:r>
          </w:p>
        </w:tc>
        <w:tc>
          <w:tcPr>
            <w:tcW w:w="1080" w:type="dxa"/>
            <w:tcBorders>
              <w:top w:val="nil"/>
              <w:left w:val="nil"/>
              <w:bottom w:val="single" w:sz="8" w:space="0" w:color="auto"/>
              <w:right w:val="single" w:sz="8" w:space="0" w:color="auto"/>
            </w:tcBorders>
          </w:tcPr>
          <w:p w14:paraId="25FC53DB" w14:textId="77777777" w:rsidR="00F12528" w:rsidRPr="00F12528" w:rsidRDefault="00F12528" w:rsidP="007B2B79">
            <w:pPr>
              <w:jc w:val="right"/>
            </w:pPr>
          </w:p>
          <w:p w14:paraId="5C29CFB3" w14:textId="15260F0C" w:rsidR="00F12528" w:rsidRPr="00F12528" w:rsidRDefault="00F12528" w:rsidP="004D3FB6">
            <w:pPr>
              <w:jc w:val="right"/>
            </w:pPr>
            <w:r w:rsidRPr="00F12528">
              <w:t>$</w:t>
            </w:r>
            <w:r w:rsidR="004D3FB6">
              <w:t xml:space="preserve"> 43,830</w:t>
            </w:r>
          </w:p>
        </w:tc>
      </w:tr>
      <w:tr w:rsidR="00F12528" w:rsidRPr="00716C41" w14:paraId="4C17988A" w14:textId="77777777" w:rsidTr="00F1252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3328E6" w14:textId="77777777" w:rsidR="00F12528" w:rsidRPr="00F12528" w:rsidRDefault="00F12528" w:rsidP="000C6156">
            <w:r w:rsidRPr="00F12528">
              <w:rPr>
                <w:b/>
                <w:bCs/>
                <w:color w:val="000000"/>
              </w:rPr>
              <w:t>Grand Total</w:t>
            </w:r>
          </w:p>
        </w:tc>
        <w:tc>
          <w:tcPr>
            <w:tcW w:w="810" w:type="dxa"/>
            <w:tcBorders>
              <w:top w:val="nil"/>
              <w:left w:val="nil"/>
              <w:bottom w:val="single" w:sz="8" w:space="0" w:color="auto"/>
              <w:right w:val="single" w:sz="8" w:space="0" w:color="auto"/>
            </w:tcBorders>
          </w:tcPr>
          <w:p w14:paraId="0AB4C04C" w14:textId="77777777" w:rsidR="00F12528" w:rsidRPr="00F12528" w:rsidRDefault="00F12528" w:rsidP="000C6156">
            <w:pPr>
              <w:jc w:val="right"/>
            </w:pP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41D4B0" w14:textId="77777777" w:rsidR="00F12528" w:rsidRPr="00F12528" w:rsidRDefault="00F12528" w:rsidP="000C6156">
            <w:pPr>
              <w:jc w:val="right"/>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893CCE" w14:textId="77777777" w:rsidR="00F12528" w:rsidRPr="00F12528" w:rsidRDefault="00F12528" w:rsidP="000C6156">
            <w:pPr>
              <w:jc w:val="right"/>
            </w:pPr>
          </w:p>
        </w:tc>
        <w:tc>
          <w:tcPr>
            <w:tcW w:w="1080" w:type="dxa"/>
            <w:tcBorders>
              <w:top w:val="nil"/>
              <w:left w:val="nil"/>
              <w:bottom w:val="single" w:sz="8" w:space="0" w:color="auto"/>
              <w:right w:val="single" w:sz="8" w:space="0" w:color="auto"/>
            </w:tcBorders>
          </w:tcPr>
          <w:p w14:paraId="6EEE6EA5" w14:textId="701C0E68" w:rsidR="00F12528" w:rsidRPr="00F12528" w:rsidRDefault="00F12528" w:rsidP="004D3FB6">
            <w:pPr>
              <w:jc w:val="right"/>
            </w:pPr>
            <w:r w:rsidRPr="00F12528">
              <w:t>$</w:t>
            </w:r>
            <w:r w:rsidR="004D3FB6">
              <w:t xml:space="preserve"> 215,705</w:t>
            </w:r>
          </w:p>
        </w:tc>
      </w:tr>
    </w:tbl>
    <w:p w14:paraId="4043D5DA" w14:textId="488B3437" w:rsidR="000C6156" w:rsidRPr="000C6156" w:rsidRDefault="000C6156" w:rsidP="000C6156">
      <w:pPr>
        <w:rPr>
          <w:rFonts w:ascii="Calibri" w:hAnsi="Calibri"/>
          <w:sz w:val="22"/>
          <w:szCs w:val="22"/>
        </w:rPr>
      </w:pPr>
      <w:r w:rsidRPr="000C6156">
        <w:rPr>
          <w:rFonts w:ascii="Calibri" w:hAnsi="Calibri"/>
          <w:color w:val="000000"/>
          <w:sz w:val="20"/>
          <w:szCs w:val="22"/>
        </w:rPr>
        <w:t xml:space="preserve">Annual salaries based on </w:t>
      </w:r>
      <w:r w:rsidR="00D6313B">
        <w:rPr>
          <w:rFonts w:ascii="Calibri" w:hAnsi="Calibri"/>
          <w:color w:val="000000"/>
          <w:sz w:val="20"/>
          <w:szCs w:val="22"/>
        </w:rPr>
        <w:t>2019</w:t>
      </w:r>
      <w:r w:rsidR="00D6313B" w:rsidRPr="000C6156">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r w:rsidR="00B42DB0" w:rsidRPr="00B42DB0">
        <w:rPr>
          <w:sz w:val="20"/>
          <w:szCs w:val="20"/>
        </w:rPr>
        <w:t>https://www.opm.gov/policy-data-oversight/pay-leave/salaries-wages/salary-tables/pdf/</w:t>
      </w:r>
      <w:r w:rsidR="00D6313B">
        <w:rPr>
          <w:sz w:val="20"/>
          <w:szCs w:val="20"/>
        </w:rPr>
        <w:t>2019</w:t>
      </w:r>
      <w:r w:rsidR="00B42DB0" w:rsidRPr="00B42DB0">
        <w:rPr>
          <w:sz w:val="20"/>
          <w:szCs w:val="20"/>
        </w:rPr>
        <w:t>/DCB.pdf</w:t>
      </w:r>
    </w:p>
    <w:p w14:paraId="056FDF5F" w14:textId="77777777" w:rsidR="000C6156" w:rsidRPr="000C6156" w:rsidRDefault="000C6156" w:rsidP="000C6156">
      <w:pPr>
        <w:rPr>
          <w:rFonts w:ascii="Calibri" w:hAnsi="Calibri"/>
          <w:sz w:val="22"/>
          <w:szCs w:val="22"/>
        </w:rPr>
      </w:pPr>
    </w:p>
    <w:p w14:paraId="2FD8E474" w14:textId="77777777" w:rsidR="000C6156" w:rsidRPr="000C6156" w:rsidRDefault="000C6156" w:rsidP="000C6156">
      <w:pPr>
        <w:rPr>
          <w:rFonts w:ascii="Calibri" w:hAnsi="Calibri"/>
          <w:sz w:val="20"/>
          <w:szCs w:val="20"/>
        </w:rPr>
      </w:pPr>
      <w:r w:rsidRPr="000C6156">
        <w:rPr>
          <w:rFonts w:ascii="Calibri" w:hAnsi="Calibri"/>
          <w:sz w:val="20"/>
          <w:szCs w:val="20"/>
        </w:rPr>
        <w:t>Note that these oversight costs are included in “Overhead” in Exhibit 3.</w:t>
      </w:r>
    </w:p>
    <w:p w14:paraId="2EC0FEAC" w14:textId="77777777" w:rsidR="009B633D" w:rsidRPr="00412C6F" w:rsidRDefault="009B633D" w:rsidP="009B633D">
      <w:pPr>
        <w:pStyle w:val="Heading2"/>
        <w:rPr>
          <w:sz w:val="24"/>
        </w:rPr>
      </w:pPr>
      <w:r w:rsidRPr="007B1C91">
        <w:rPr>
          <w:sz w:val="24"/>
        </w:rPr>
        <w:t>15. Changes in Hour Burden</w:t>
      </w:r>
      <w:bookmarkEnd w:id="36"/>
      <w:bookmarkEnd w:id="37"/>
    </w:p>
    <w:p w14:paraId="3CF6DFBB" w14:textId="57B1BD10" w:rsidR="00075C5C" w:rsidRDefault="003F0466" w:rsidP="00C663D9">
      <w:bookmarkStart w:id="38" w:name="_Toc151782191"/>
      <w:bookmarkStart w:id="39" w:name="_Toc158526231"/>
      <w:r>
        <w:t xml:space="preserve">Total </w:t>
      </w:r>
      <w:r w:rsidR="00DC7EA5">
        <w:t xml:space="preserve">burden hours </w:t>
      </w:r>
      <w:r w:rsidR="00787212" w:rsidRPr="00DC22DD">
        <w:t xml:space="preserve">will </w:t>
      </w:r>
      <w:r w:rsidR="009E1E8A" w:rsidRPr="00DC22DD">
        <w:t xml:space="preserve">go </w:t>
      </w:r>
      <w:r w:rsidR="00E04D10" w:rsidRPr="00DC22DD">
        <w:t>down</w:t>
      </w:r>
      <w:r w:rsidR="00787212" w:rsidRPr="00DC22DD">
        <w:t xml:space="preserve"> by</w:t>
      </w:r>
      <w:r w:rsidR="00740843" w:rsidRPr="00DC22DD">
        <w:t xml:space="preserve"> an estimated </w:t>
      </w:r>
      <w:r w:rsidR="00E04D10" w:rsidRPr="00DC22DD">
        <w:t>1,</w:t>
      </w:r>
      <w:r w:rsidR="00DC22DD" w:rsidRPr="00DC22DD">
        <w:t>3</w:t>
      </w:r>
      <w:r w:rsidR="00E04D10" w:rsidRPr="00DC22DD">
        <w:t>4</w:t>
      </w:r>
      <w:r w:rsidR="00DC22DD" w:rsidRPr="00DC22DD">
        <w:t>2</w:t>
      </w:r>
      <w:r w:rsidR="00787212" w:rsidRPr="00DC22DD">
        <w:t xml:space="preserve"> hours, about </w:t>
      </w:r>
      <w:r w:rsidR="00E04D10" w:rsidRPr="00DC22DD">
        <w:t>6.</w:t>
      </w:r>
      <w:r w:rsidR="00DC22DD" w:rsidRPr="00DC22DD">
        <w:t>2</w:t>
      </w:r>
      <w:r w:rsidR="005B14F8" w:rsidRPr="00DC22DD">
        <w:t xml:space="preserve"> </w:t>
      </w:r>
      <w:r w:rsidR="00DC7EA5" w:rsidRPr="00DC22DD">
        <w:t xml:space="preserve">percent from the </w:t>
      </w:r>
      <w:r w:rsidR="00D6313B" w:rsidRPr="00DC22DD">
        <w:t>2018-2019</w:t>
      </w:r>
      <w:r w:rsidR="00DC7EA5" w:rsidRPr="00DC22DD">
        <w:t xml:space="preserve"> clearance estimates</w:t>
      </w:r>
      <w:r w:rsidR="008F43D8">
        <w:t xml:space="preserve">.  </w:t>
      </w:r>
      <w:r w:rsidR="00D96B69">
        <w:t xml:space="preserve">The change reflects a </w:t>
      </w:r>
      <w:r w:rsidR="002A198A">
        <w:t>smaller sample of</w:t>
      </w:r>
      <w:r w:rsidR="00D96B69">
        <w:t xml:space="preserve"> </w:t>
      </w:r>
      <w:r w:rsidR="002A198A">
        <w:t>State and Local Government</w:t>
      </w:r>
      <w:r w:rsidR="00D96B69">
        <w:t xml:space="preserve"> questionnaires and a small decrease in the average number of plan questionnaires completed by each establishment offering insurance. </w:t>
      </w:r>
    </w:p>
    <w:p w14:paraId="65F1DB34" w14:textId="77777777" w:rsidR="009B633D" w:rsidRPr="00412C6F" w:rsidRDefault="009B633D" w:rsidP="009B633D">
      <w:pPr>
        <w:pStyle w:val="Heading2"/>
        <w:rPr>
          <w:sz w:val="24"/>
        </w:rPr>
      </w:pPr>
      <w:r w:rsidRPr="00412C6F">
        <w:rPr>
          <w:sz w:val="24"/>
        </w:rPr>
        <w:t>16. Time Schedule, Publication and Analysis Plans</w:t>
      </w:r>
      <w:bookmarkEnd w:id="38"/>
      <w:bookmarkEnd w:id="39"/>
    </w:p>
    <w:p w14:paraId="0A7344AB" w14:textId="77777777" w:rsidR="0010757A" w:rsidRDefault="0010757A" w:rsidP="009B633D">
      <w:pPr>
        <w:spacing w:before="120"/>
        <w:rPr>
          <w:i/>
        </w:rPr>
      </w:pPr>
      <w:bookmarkStart w:id="40" w:name="_Toc151782192"/>
    </w:p>
    <w:p w14:paraId="031E0162" w14:textId="2EFE17AD" w:rsidR="00FE63E0"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D6313B">
        <w:t xml:space="preserve">2020 </w:t>
      </w:r>
      <w:r w:rsidRPr="00EC7F9C">
        <w:t xml:space="preserve">data collection.  The schedule for </w:t>
      </w:r>
      <w:r w:rsidR="00D6313B">
        <w:t>2021</w:t>
      </w:r>
      <w:r w:rsidR="00D6313B" w:rsidRPr="00EC7F9C">
        <w:t xml:space="preserve"> </w:t>
      </w:r>
      <w:r w:rsidRPr="00EC7F9C">
        <w:t xml:space="preserve">data collection </w:t>
      </w:r>
      <w:r>
        <w:t>will</w:t>
      </w:r>
      <w:r w:rsidRPr="00EC7F9C">
        <w:t xml:space="preserve"> be similar.</w:t>
      </w:r>
    </w:p>
    <w:p w14:paraId="3127B4FD" w14:textId="77777777" w:rsidR="00431C65" w:rsidRDefault="00431C65"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B572414" w14:textId="5B001DF1"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Select sample</w:t>
      </w:r>
      <w:r w:rsidRPr="00EC7F9C">
        <w:tab/>
      </w:r>
      <w:r w:rsidRPr="00EC7F9C">
        <w:tab/>
      </w:r>
      <w:r w:rsidRPr="00EC7F9C">
        <w:tab/>
      </w:r>
      <w:r w:rsidRPr="00EC7F9C">
        <w:tab/>
        <w:t>Jan</w:t>
      </w:r>
      <w:r>
        <w:t>uary</w:t>
      </w:r>
      <w:r w:rsidRPr="00EC7F9C">
        <w:t xml:space="preserve"> </w:t>
      </w:r>
      <w:r w:rsidR="00D6313B">
        <w:t>2020</w:t>
      </w:r>
      <w:r w:rsidRPr="00EC7F9C">
        <w:t>-Mar</w:t>
      </w:r>
      <w:r>
        <w:t>ch</w:t>
      </w:r>
      <w:r w:rsidRPr="00EC7F9C">
        <w:t xml:space="preserve"> </w:t>
      </w:r>
      <w:r w:rsidR="00D6313B">
        <w:t>2020</w:t>
      </w:r>
    </w:p>
    <w:p w14:paraId="390FFFC3" w14:textId="77777777" w:rsidR="00431C65"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D3B647" w14:textId="77777777" w:rsidR="00431C65" w:rsidRPr="00EC7F9C" w:rsidRDefault="00431C65" w:rsidP="00431C65">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Telephone number research</w:t>
      </w:r>
    </w:p>
    <w:p w14:paraId="1604A4DA" w14:textId="6DCFB9D3" w:rsidR="00431C65" w:rsidRDefault="00431C65" w:rsidP="00431C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D6313B">
        <w:t>2020</w:t>
      </w:r>
      <w:r w:rsidRPr="00EC7F9C">
        <w:t xml:space="preserve">-June </w:t>
      </w:r>
      <w:r w:rsidR="00D6313B">
        <w:t>2020</w:t>
      </w:r>
    </w:p>
    <w:p w14:paraId="4B34F79E" w14:textId="77777777" w:rsidR="00431C65" w:rsidRPr="00EC7F9C" w:rsidRDefault="00431C65" w:rsidP="00431C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0C399F" w14:textId="3017BD43"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Prescreener</w:t>
      </w:r>
      <w:r w:rsidRPr="00EC7F9C">
        <w:tab/>
      </w:r>
      <w:r w:rsidRPr="00EC7F9C">
        <w:tab/>
        <w:t xml:space="preserve">June </w:t>
      </w:r>
      <w:r w:rsidR="00D6313B">
        <w:t>2020</w:t>
      </w:r>
      <w:r w:rsidRPr="00EC7F9C">
        <w:t>-Aug</w:t>
      </w:r>
      <w:r>
        <w:t>ust</w:t>
      </w:r>
      <w:r w:rsidRPr="00EC7F9C">
        <w:t xml:space="preserve"> </w:t>
      </w:r>
      <w:r w:rsidR="00D6313B">
        <w:t>2020</w:t>
      </w:r>
    </w:p>
    <w:p w14:paraId="520B5EB4" w14:textId="77777777" w:rsidR="00431C65"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3D0658" w14:textId="218070E1"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First mailout</w:t>
      </w:r>
      <w:r w:rsidRPr="00EC7F9C">
        <w:tab/>
      </w:r>
      <w:r w:rsidRPr="00EC7F9C">
        <w:tab/>
      </w:r>
      <w:r w:rsidRPr="00EC7F9C">
        <w:tab/>
      </w:r>
      <w:r w:rsidRPr="00EC7F9C">
        <w:tab/>
        <w:t xml:space="preserve">June </w:t>
      </w:r>
      <w:r w:rsidR="00D6313B">
        <w:t>2020</w:t>
      </w:r>
      <w:r w:rsidRPr="00EC7F9C">
        <w:t>-Aug</w:t>
      </w:r>
      <w:r>
        <w:t>ust</w:t>
      </w:r>
      <w:r w:rsidRPr="00EC7F9C">
        <w:t xml:space="preserve"> </w:t>
      </w:r>
      <w:r w:rsidR="00D6313B">
        <w:t>2020</w:t>
      </w:r>
    </w:p>
    <w:p w14:paraId="55292779" w14:textId="77777777"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6DC2E11" w14:textId="1404C8FC"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Follow-up mailout</w:t>
      </w:r>
      <w:r w:rsidRPr="00EC7F9C">
        <w:tab/>
      </w:r>
      <w:r w:rsidRPr="00EC7F9C">
        <w:tab/>
      </w:r>
      <w:r w:rsidRPr="00EC7F9C">
        <w:tab/>
        <w:t>Aug</w:t>
      </w:r>
      <w:r>
        <w:t>ust</w:t>
      </w:r>
      <w:r w:rsidRPr="00EC7F9C">
        <w:t xml:space="preserve"> </w:t>
      </w:r>
      <w:r w:rsidR="00D6313B">
        <w:t>2020</w:t>
      </w:r>
      <w:r w:rsidRPr="00EC7F9C">
        <w:t>-Oct</w:t>
      </w:r>
      <w:r>
        <w:t>ober</w:t>
      </w:r>
      <w:r w:rsidRPr="00EC7F9C">
        <w:t xml:space="preserve"> </w:t>
      </w:r>
      <w:r w:rsidR="00D6313B">
        <w:t>2020</w:t>
      </w:r>
    </w:p>
    <w:p w14:paraId="67E0053C" w14:textId="77777777"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35BE71" w14:textId="73CEBFD2"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follow-up</w:t>
      </w:r>
      <w:r w:rsidRPr="00EC7F9C">
        <w:tab/>
      </w:r>
      <w:r w:rsidRPr="00EC7F9C">
        <w:tab/>
      </w:r>
      <w:r w:rsidRPr="00EC7F9C">
        <w:tab/>
        <w:t>Sept</w:t>
      </w:r>
      <w:r>
        <w:t>ember</w:t>
      </w:r>
      <w:r w:rsidRPr="00EC7F9C">
        <w:t xml:space="preserve"> </w:t>
      </w:r>
      <w:r w:rsidR="00D6313B">
        <w:t>2020</w:t>
      </w:r>
      <w:r w:rsidRPr="00EC7F9C">
        <w:t>-Dec</w:t>
      </w:r>
      <w:r>
        <w:t>ember</w:t>
      </w:r>
      <w:r w:rsidRPr="00EC7F9C">
        <w:t xml:space="preserve"> </w:t>
      </w:r>
      <w:r w:rsidR="00D6313B">
        <w:t>2020</w:t>
      </w:r>
    </w:p>
    <w:p w14:paraId="60D7C140" w14:textId="77777777"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1DAA09" w14:textId="22C5013F" w:rsidR="00431C65" w:rsidRPr="00EC7F9C" w:rsidRDefault="00431C65" w:rsidP="00431C65">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Analyst review, edits and</w:t>
      </w:r>
      <w:r w:rsidRPr="00EC7F9C">
        <w:rPr>
          <w:szCs w:val="24"/>
        </w:rPr>
        <w:tab/>
      </w:r>
      <w:r w:rsidRPr="00EC7F9C">
        <w:rPr>
          <w:szCs w:val="24"/>
        </w:rPr>
        <w:tab/>
        <w:t>Aug</w:t>
      </w:r>
      <w:r>
        <w:rPr>
          <w:szCs w:val="24"/>
        </w:rPr>
        <w:t>ust</w:t>
      </w:r>
      <w:r w:rsidRPr="00EC7F9C">
        <w:rPr>
          <w:szCs w:val="24"/>
        </w:rPr>
        <w:t xml:space="preserve"> </w:t>
      </w:r>
      <w:r w:rsidR="00D6313B">
        <w:rPr>
          <w:szCs w:val="24"/>
        </w:rPr>
        <w:t>2020</w:t>
      </w:r>
      <w:r w:rsidRPr="00EC7F9C">
        <w:rPr>
          <w:szCs w:val="24"/>
        </w:rPr>
        <w:t>-Apr</w:t>
      </w:r>
      <w:r>
        <w:rPr>
          <w:szCs w:val="24"/>
        </w:rPr>
        <w:t>il</w:t>
      </w:r>
      <w:r w:rsidRPr="00EC7F9C">
        <w:rPr>
          <w:szCs w:val="24"/>
        </w:rPr>
        <w:t xml:space="preserve"> </w:t>
      </w:r>
      <w:r w:rsidR="00D6313B">
        <w:rPr>
          <w:szCs w:val="24"/>
        </w:rPr>
        <w:t>2021</w:t>
      </w:r>
    </w:p>
    <w:p w14:paraId="1D1109CB" w14:textId="77777777" w:rsidR="00431C65" w:rsidRPr="00EC7F9C"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EC7F9C">
        <w:t>allbacks</w:t>
      </w:r>
    </w:p>
    <w:p w14:paraId="31B16127" w14:textId="77777777" w:rsidR="00FE63E0" w:rsidRPr="00EC7F9C" w:rsidRDefault="00FE63E0" w:rsidP="002E6D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E8D5AE" w14:textId="77777777"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14:paraId="0B5A5D1D"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B2E067" w14:textId="3D9188CA" w:rsidR="00FE63E0" w:rsidRPr="00EC7F9C" w:rsidRDefault="00FE63E0" w:rsidP="007664CC">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Imputation and reweighting</w:t>
      </w:r>
      <w:r w:rsidRPr="00EC7F9C">
        <w:rPr>
          <w:szCs w:val="24"/>
        </w:rPr>
        <w:tab/>
      </w:r>
      <w:r w:rsidRPr="00EC7F9C">
        <w:rPr>
          <w:szCs w:val="24"/>
        </w:rPr>
        <w:tab/>
        <w:t>Apr</w:t>
      </w:r>
      <w:r>
        <w:rPr>
          <w:szCs w:val="24"/>
        </w:rPr>
        <w:t>il</w:t>
      </w:r>
      <w:r w:rsidRPr="00EC7F9C">
        <w:rPr>
          <w:szCs w:val="24"/>
        </w:rPr>
        <w:t xml:space="preserve"> </w:t>
      </w:r>
      <w:r w:rsidR="00D6313B">
        <w:rPr>
          <w:szCs w:val="24"/>
        </w:rPr>
        <w:t>2021</w:t>
      </w:r>
      <w:r w:rsidRPr="00EC7F9C">
        <w:rPr>
          <w:szCs w:val="24"/>
        </w:rPr>
        <w:t xml:space="preserve">-May </w:t>
      </w:r>
      <w:r w:rsidR="00D6313B">
        <w:rPr>
          <w:szCs w:val="24"/>
        </w:rPr>
        <w:t>2021</w:t>
      </w:r>
    </w:p>
    <w:p w14:paraId="7D57921A"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38CE29D" w14:textId="77777777" w:rsidR="00FE63E0" w:rsidRPr="00EC7F9C" w:rsidRDefault="00FE63E0" w:rsidP="007664CC">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Produce and format</w:t>
      </w:r>
    </w:p>
    <w:p w14:paraId="6EDE5B8D" w14:textId="1DA14E70"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D6313B">
        <w:t>2021</w:t>
      </w:r>
      <w:r w:rsidRPr="00EC7F9C">
        <w:t xml:space="preserve">-July </w:t>
      </w:r>
      <w:r w:rsidR="00D6313B">
        <w:t>2021</w:t>
      </w:r>
    </w:p>
    <w:p w14:paraId="636B2B1A"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1618074" w14:textId="504AE2A6" w:rsidR="00FE63E0" w:rsidRPr="00EC7F9C" w:rsidRDefault="00FE63E0" w:rsidP="007664CC">
      <w:pPr>
        <w:pStyle w:val="Level1"/>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D6313B">
        <w:rPr>
          <w:szCs w:val="24"/>
        </w:rPr>
        <w:t>2021</w:t>
      </w:r>
    </w:p>
    <w:p w14:paraId="3489AD38" w14:textId="77777777"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0C71756" w14:textId="77777777"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14:paraId="10D6F77E" w14:textId="77777777"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1E1478F" w14:textId="019591CD"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D6313B">
        <w:rPr>
          <w:szCs w:val="24"/>
        </w:rPr>
        <w:t>2021</w:t>
      </w:r>
      <w:r w:rsidRPr="00EC7F9C">
        <w:rPr>
          <w:szCs w:val="24"/>
        </w:rPr>
        <w:t xml:space="preserve">-September </w:t>
      </w:r>
      <w:r w:rsidR="00D6313B">
        <w:rPr>
          <w:szCs w:val="24"/>
        </w:rPr>
        <w:t>2021</w:t>
      </w:r>
    </w:p>
    <w:p w14:paraId="5A8307EC"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FD3D3CE" w14:textId="77777777"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14:paraId="2C717555" w14:textId="4471DE2B"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D6313B">
        <w:t>2021</w:t>
      </w:r>
      <w:r w:rsidRPr="00EC7F9C">
        <w:t xml:space="preserve">-November </w:t>
      </w:r>
      <w:r w:rsidR="00D6313B">
        <w:t>2021</w:t>
      </w:r>
    </w:p>
    <w:p w14:paraId="17AEFC26"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F0BEF1C" w14:textId="5F64E8C4" w:rsidR="00FE63E0" w:rsidRPr="00EC7F9C" w:rsidRDefault="002B1681"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t>Spring</w:t>
      </w:r>
      <w:r w:rsidR="00FE63E0" w:rsidRPr="00EC7F9C">
        <w:rPr>
          <w:szCs w:val="24"/>
        </w:rPr>
        <w:t xml:space="preserve"> </w:t>
      </w:r>
      <w:r w:rsidR="00D6313B">
        <w:rPr>
          <w:szCs w:val="24"/>
        </w:rPr>
        <w:t>2021</w:t>
      </w:r>
    </w:p>
    <w:p w14:paraId="77E0CC93" w14:textId="77777777"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152794" w14:textId="4B45577E"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D6313B">
        <w:t>201</w:t>
      </w:r>
      <w:r w:rsidR="00DC22DD">
        <w:t>8</w:t>
      </w:r>
      <w:r w:rsidR="00D6313B">
        <w:t xml:space="preserve"> </w:t>
      </w:r>
      <w:r w:rsidRPr="00EC7F9C">
        <w:t>MEPS-IC</w:t>
      </w:r>
      <w:r w:rsidR="0010757A">
        <w:t xml:space="preserve"> (the most recently released)</w:t>
      </w:r>
      <w:r w:rsidRPr="00EC7F9C">
        <w:t xml:space="preserve">, approximately </w:t>
      </w:r>
      <w:r w:rsidR="00EF1701">
        <w:t>420</w:t>
      </w:r>
      <w:r w:rsidR="00EF1701" w:rsidRPr="00EC7F9C">
        <w:t xml:space="preserve"> </w:t>
      </w:r>
      <w:r w:rsidRPr="00EC7F9C">
        <w:t xml:space="preserve">tables of estimates were produced for the private sector and </w:t>
      </w:r>
      <w:r>
        <w:t xml:space="preserve">approximately </w:t>
      </w:r>
      <w:r w:rsidR="00EF1701">
        <w:t xml:space="preserve">60 </w:t>
      </w:r>
      <w:r>
        <w:t>tables</w:t>
      </w:r>
      <w:r w:rsidRPr="00EC7F9C">
        <w:t xml:space="preserve"> for governments.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14:paraId="749C1C20"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EFDCC8"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14:paraId="43F5A086"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1C138A" w14:textId="35C56ADA"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FB72F8">
        <w:t xml:space="preserve"> Twenty-</w:t>
      </w:r>
      <w:r w:rsidR="00EF1701">
        <w:t xml:space="preserve">six </w:t>
      </w:r>
      <w:r w:rsidR="00885119">
        <w:t>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14:paraId="6D266D52"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3CDAF9"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14:paraId="17A969C9"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4C0A14"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14:paraId="552B74BC"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2A3778"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14:paraId="119EFB5F"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E19E5"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p>
    <w:p w14:paraId="6CD42A60" w14:textId="77777777" w:rsidR="009B633D" w:rsidRPr="00424E6E" w:rsidRDefault="009B633D" w:rsidP="009B633D">
      <w:pPr>
        <w:pStyle w:val="Heading2"/>
        <w:rPr>
          <w:sz w:val="24"/>
        </w:rPr>
      </w:pPr>
      <w:bookmarkStart w:id="41" w:name="_Toc151782196"/>
      <w:bookmarkStart w:id="42" w:name="_Toc158526232"/>
      <w:bookmarkEnd w:id="40"/>
      <w:r w:rsidRPr="00424E6E">
        <w:rPr>
          <w:sz w:val="24"/>
        </w:rPr>
        <w:t>17. Exemption for Display of Expiration Date</w:t>
      </w:r>
      <w:bookmarkEnd w:id="41"/>
      <w:bookmarkEnd w:id="42"/>
    </w:p>
    <w:p w14:paraId="226A89F5" w14:textId="77777777" w:rsidR="0010757A" w:rsidRDefault="0010757A" w:rsidP="009B633D"/>
    <w:p w14:paraId="6C3B30D3" w14:textId="77777777" w:rsidR="009B633D" w:rsidRDefault="009B633D" w:rsidP="009B633D">
      <w:r w:rsidRPr="004F03D2">
        <w:t>AHRQ does not seek this exemption</w:t>
      </w:r>
      <w:r>
        <w:t>.</w:t>
      </w:r>
    </w:p>
    <w:p w14:paraId="35CD1107" w14:textId="77777777"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1713157C" w14:textId="77777777" w:rsidR="00955553" w:rsidRDefault="00A15D49" w:rsidP="007208E0">
      <w:r>
        <w:t>Attachment A</w:t>
      </w:r>
      <w:r w:rsidR="00870EAB">
        <w:t xml:space="preserve"> -- </w:t>
      </w:r>
      <w:r w:rsidR="00385678">
        <w:t>Prescreener Questionnaire</w:t>
      </w:r>
    </w:p>
    <w:p w14:paraId="522BE4A7" w14:textId="77777777" w:rsidR="00385678" w:rsidRDefault="00385678" w:rsidP="007208E0">
      <w:r>
        <w:t>Attachment B -- Establishment Questionnaire</w:t>
      </w:r>
    </w:p>
    <w:p w14:paraId="78EFB3C1" w14:textId="77777777"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14:paraId="1ECFF232" w14:textId="77777777" w:rsidR="00385678" w:rsidRDefault="00385678" w:rsidP="007208E0">
      <w:r>
        <w:rPr>
          <w:bCs/>
          <w:color w:val="000000"/>
        </w:rPr>
        <w:t>Attachment D – Federal Register Notice</w:t>
      </w:r>
    </w:p>
    <w:p w14:paraId="2A8B1E0A" w14:textId="77777777" w:rsidR="00955553" w:rsidRDefault="00E1249B" w:rsidP="007208E0">
      <w:r>
        <w:t>Attachment</w:t>
      </w:r>
      <w:r w:rsidRPr="00E1249B">
        <w:t xml:space="preserve"> E -- Confidentiality Form</w:t>
      </w:r>
    </w:p>
    <w:p w14:paraId="360C301D" w14:textId="77777777" w:rsidR="00E1249B" w:rsidRDefault="00E1249B" w:rsidP="007208E0">
      <w:r>
        <w:t>Attachment</w:t>
      </w:r>
      <w:r w:rsidRPr="00E1249B">
        <w:t xml:space="preserve"> F -- Sample Allocation</w:t>
      </w:r>
    </w:p>
    <w:p w14:paraId="0C9E9125" w14:textId="77777777" w:rsidR="00E1249B" w:rsidRDefault="00E1249B" w:rsidP="007208E0">
      <w:r>
        <w:t>Attachment</w:t>
      </w:r>
      <w:r w:rsidRPr="00E1249B">
        <w:t xml:space="preserve"> G -- Sample Strata</w:t>
      </w:r>
    </w:p>
    <w:p w14:paraId="3A32EC4B" w14:textId="77777777" w:rsidR="000B48CE" w:rsidRDefault="00C41921" w:rsidP="007208E0">
      <w:r>
        <w:t>Attachment H -- Noncertain</w:t>
      </w:r>
      <w:r w:rsidR="000B48CE" w:rsidRPr="000B48CE">
        <w:t>ty Government Initial Letter</w:t>
      </w:r>
    </w:p>
    <w:p w14:paraId="4E9FC765" w14:textId="77777777" w:rsidR="00E1249B" w:rsidRDefault="000B48CE" w:rsidP="007208E0">
      <w:r w:rsidRPr="000B48CE">
        <w:t xml:space="preserve">Attachment I -- </w:t>
      </w:r>
      <w:r w:rsidR="00C41921" w:rsidRPr="000B48CE">
        <w:t>Certainty</w:t>
      </w:r>
      <w:r w:rsidRPr="000B48CE">
        <w:t xml:space="preserve"> Government Advance Letter</w:t>
      </w:r>
    </w:p>
    <w:p w14:paraId="62B158D6" w14:textId="77777777" w:rsidR="00E1249B" w:rsidRDefault="000B48CE" w:rsidP="007208E0">
      <w:r w:rsidRPr="000B48CE">
        <w:t xml:space="preserve">Attachment J -- </w:t>
      </w:r>
      <w:r w:rsidR="00C41921" w:rsidRPr="000B48CE">
        <w:t>Certainty</w:t>
      </w:r>
      <w:r w:rsidRPr="000B48CE">
        <w:t xml:space="preserve"> Government Initial Letter</w:t>
      </w:r>
    </w:p>
    <w:p w14:paraId="48AA0034" w14:textId="77777777" w:rsidR="00E1249B" w:rsidRDefault="000B48CE" w:rsidP="007208E0">
      <w:r w:rsidRPr="000B48CE">
        <w:t>Attachment K -- CMU Advance Letter</w:t>
      </w:r>
    </w:p>
    <w:p w14:paraId="3CD6AB66" w14:textId="77777777" w:rsidR="00E1249B" w:rsidRDefault="000B48CE" w:rsidP="007208E0">
      <w:r w:rsidRPr="000B48CE">
        <w:t>Attachment L -- Initial Letter for Single Unit Private Sector</w:t>
      </w:r>
    </w:p>
    <w:p w14:paraId="127A4019" w14:textId="77777777" w:rsidR="00E1249B" w:rsidRDefault="000B48CE" w:rsidP="007208E0">
      <w:r w:rsidRPr="000B48CE">
        <w:t xml:space="preserve">Attachment M -- Initial Letter for </w:t>
      </w:r>
      <w:r w:rsidR="00C41921" w:rsidRPr="000B48CE">
        <w:t>Multi-Unit</w:t>
      </w:r>
      <w:r w:rsidRPr="000B48CE">
        <w:t xml:space="preserve"> Private Sector</w:t>
      </w:r>
    </w:p>
    <w:p w14:paraId="76F9C2F7" w14:textId="77777777" w:rsidR="00C62BEB" w:rsidRDefault="00C41921" w:rsidP="00C62BEB">
      <w:r>
        <w:t>Attachment N</w:t>
      </w:r>
      <w:r w:rsidR="00E1249B" w:rsidRPr="006B1CA9">
        <w:t xml:space="preserve"> </w:t>
      </w:r>
      <w:r w:rsidR="00296DB8" w:rsidRPr="006B1CA9">
        <w:t>–</w:t>
      </w:r>
      <w:r w:rsidR="00E1249B" w:rsidRPr="006B1CA9">
        <w:t xml:space="preserve"> Definitions</w:t>
      </w:r>
      <w:r w:rsidR="007A4B0A" w:rsidRPr="006B1CA9">
        <w:t xml:space="preserve"> </w:t>
      </w:r>
    </w:p>
    <w:p w14:paraId="66B96D4C" w14:textId="77777777" w:rsidR="00A2437F" w:rsidRDefault="00C41921" w:rsidP="00C62BEB">
      <w:r>
        <w:t>Attachment O</w:t>
      </w:r>
      <w:r w:rsidR="00A2437F">
        <w:t xml:space="preserve"> -- </w:t>
      </w:r>
      <w:r w:rsidR="00DF691E">
        <w:t>Non-response Bias Analysis</w:t>
      </w:r>
    </w:p>
    <w:sectPr w:rsidR="00A2437F"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9BCC2" w14:textId="77777777" w:rsidR="00332522" w:rsidRDefault="00332522">
      <w:r>
        <w:separator/>
      </w:r>
    </w:p>
  </w:endnote>
  <w:endnote w:type="continuationSeparator" w:id="0">
    <w:p w14:paraId="7FE66C52" w14:textId="77777777" w:rsidR="00332522" w:rsidRDefault="0033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6EA3" w14:textId="77777777" w:rsidR="0007534B" w:rsidRDefault="0007534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91258" w14:textId="77777777" w:rsidR="0007534B" w:rsidRDefault="00075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0D31" w14:textId="5037CB7E" w:rsidR="0007534B" w:rsidRDefault="0007534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A1">
      <w:rPr>
        <w:rStyle w:val="PageNumber"/>
        <w:noProof/>
      </w:rPr>
      <w:t>- 2 -</w:t>
    </w:r>
    <w:r>
      <w:rPr>
        <w:rStyle w:val="PageNumber"/>
      </w:rPr>
      <w:fldChar w:fldCharType="end"/>
    </w:r>
  </w:p>
  <w:p w14:paraId="64BDC94B" w14:textId="77777777" w:rsidR="0007534B" w:rsidRDefault="0007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827FC" w14:textId="77777777" w:rsidR="00332522" w:rsidRDefault="00332522">
      <w:r>
        <w:separator/>
      </w:r>
    </w:p>
  </w:footnote>
  <w:footnote w:type="continuationSeparator" w:id="0">
    <w:p w14:paraId="6888FBB8" w14:textId="77777777" w:rsidR="00332522" w:rsidRDefault="00332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A7264"/>
    <w:multiLevelType w:val="hybridMultilevel"/>
    <w:tmpl w:val="59C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66B82"/>
    <w:multiLevelType w:val="hybridMultilevel"/>
    <w:tmpl w:val="4CBC3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36A7CCF"/>
    <w:multiLevelType w:val="hybridMultilevel"/>
    <w:tmpl w:val="D9D0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2">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7">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7">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6A087DD7"/>
    <w:multiLevelType w:val="hybridMultilevel"/>
    <w:tmpl w:val="ED4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54"/>
  </w:num>
  <w:num w:numId="7">
    <w:abstractNumId w:val="42"/>
  </w:num>
  <w:num w:numId="8">
    <w:abstractNumId w:val="38"/>
  </w:num>
  <w:num w:numId="9">
    <w:abstractNumId w:val="41"/>
  </w:num>
  <w:num w:numId="10">
    <w:abstractNumId w:val="16"/>
  </w:num>
  <w:num w:numId="11">
    <w:abstractNumId w:val="37"/>
  </w:num>
  <w:num w:numId="12">
    <w:abstractNumId w:val="53"/>
  </w:num>
  <w:num w:numId="13">
    <w:abstractNumId w:val="12"/>
  </w:num>
  <w:num w:numId="14">
    <w:abstractNumId w:val="23"/>
  </w:num>
  <w:num w:numId="15">
    <w:abstractNumId w:val="35"/>
  </w:num>
  <w:num w:numId="16">
    <w:abstractNumId w:val="51"/>
  </w:num>
  <w:num w:numId="17">
    <w:abstractNumId w:val="44"/>
  </w:num>
  <w:num w:numId="18">
    <w:abstractNumId w:val="25"/>
  </w:num>
  <w:num w:numId="19">
    <w:abstractNumId w:val="34"/>
  </w:num>
  <w:num w:numId="20">
    <w:abstractNumId w:val="13"/>
  </w:num>
  <w:num w:numId="21">
    <w:abstractNumId w:val="48"/>
  </w:num>
  <w:num w:numId="22">
    <w:abstractNumId w:val="2"/>
  </w:num>
  <w:num w:numId="23">
    <w:abstractNumId w:val="43"/>
  </w:num>
  <w:num w:numId="24">
    <w:abstractNumId w:val="40"/>
  </w:num>
  <w:num w:numId="25">
    <w:abstractNumId w:val="5"/>
  </w:num>
  <w:num w:numId="26">
    <w:abstractNumId w:val="14"/>
  </w:num>
  <w:num w:numId="27">
    <w:abstractNumId w:val="36"/>
  </w:num>
  <w:num w:numId="28">
    <w:abstractNumId w:val="1"/>
  </w:num>
  <w:num w:numId="29">
    <w:abstractNumId w:val="26"/>
  </w:num>
  <w:num w:numId="30">
    <w:abstractNumId w:val="21"/>
  </w:num>
  <w:num w:numId="31">
    <w:abstractNumId w:val="49"/>
  </w:num>
  <w:num w:numId="32">
    <w:abstractNumId w:val="46"/>
  </w:num>
  <w:num w:numId="33">
    <w:abstractNumId w:val="55"/>
  </w:num>
  <w:num w:numId="34">
    <w:abstractNumId w:val="27"/>
  </w:num>
  <w:num w:numId="35">
    <w:abstractNumId w:val="33"/>
  </w:num>
  <w:num w:numId="36">
    <w:abstractNumId w:val="28"/>
  </w:num>
  <w:num w:numId="37">
    <w:abstractNumId w:val="39"/>
  </w:num>
  <w:num w:numId="38">
    <w:abstractNumId w:val="17"/>
  </w:num>
  <w:num w:numId="39">
    <w:abstractNumId w:val="4"/>
  </w:num>
  <w:num w:numId="40">
    <w:abstractNumId w:val="32"/>
  </w:num>
  <w:num w:numId="41">
    <w:abstractNumId w:val="6"/>
  </w:num>
  <w:num w:numId="42">
    <w:abstractNumId w:val="11"/>
  </w:num>
  <w:num w:numId="43">
    <w:abstractNumId w:val="29"/>
  </w:num>
  <w:num w:numId="44">
    <w:abstractNumId w:val="47"/>
  </w:num>
  <w:num w:numId="45">
    <w:abstractNumId w:val="18"/>
  </w:num>
  <w:num w:numId="46">
    <w:abstractNumId w:val="52"/>
  </w:num>
  <w:num w:numId="47">
    <w:abstractNumId w:val="50"/>
  </w:num>
  <w:num w:numId="48">
    <w:abstractNumId w:val="19"/>
  </w:num>
  <w:num w:numId="49">
    <w:abstractNumId w:val="0"/>
  </w:num>
  <w:num w:numId="50">
    <w:abstractNumId w:val="20"/>
  </w:num>
  <w:num w:numId="51">
    <w:abstractNumId w:val="22"/>
  </w:num>
  <w:num w:numId="52">
    <w:abstractNumId w:val="7"/>
  </w:num>
  <w:num w:numId="53">
    <w:abstractNumId w:val="10"/>
  </w:num>
  <w:num w:numId="54">
    <w:abstractNumId w:val="9"/>
  </w:num>
  <w:num w:numId="55">
    <w:abstractNumId w:val="45"/>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93"/>
    <w:rsid w:val="00004902"/>
    <w:rsid w:val="00011E85"/>
    <w:rsid w:val="00012FB9"/>
    <w:rsid w:val="00015AAF"/>
    <w:rsid w:val="00016560"/>
    <w:rsid w:val="00023228"/>
    <w:rsid w:val="00023786"/>
    <w:rsid w:val="00023E00"/>
    <w:rsid w:val="00024FEE"/>
    <w:rsid w:val="0003126F"/>
    <w:rsid w:val="00037998"/>
    <w:rsid w:val="00043473"/>
    <w:rsid w:val="00045959"/>
    <w:rsid w:val="00045EB9"/>
    <w:rsid w:val="00046359"/>
    <w:rsid w:val="000474F1"/>
    <w:rsid w:val="000518BE"/>
    <w:rsid w:val="000603F9"/>
    <w:rsid w:val="0006207D"/>
    <w:rsid w:val="00064518"/>
    <w:rsid w:val="00065E93"/>
    <w:rsid w:val="00071979"/>
    <w:rsid w:val="000729C6"/>
    <w:rsid w:val="00073D63"/>
    <w:rsid w:val="0007534B"/>
    <w:rsid w:val="00075C5C"/>
    <w:rsid w:val="000769F7"/>
    <w:rsid w:val="000779A9"/>
    <w:rsid w:val="00080E3F"/>
    <w:rsid w:val="00082047"/>
    <w:rsid w:val="00093C95"/>
    <w:rsid w:val="00094169"/>
    <w:rsid w:val="00094648"/>
    <w:rsid w:val="00094A78"/>
    <w:rsid w:val="00096D06"/>
    <w:rsid w:val="000A140E"/>
    <w:rsid w:val="000A3475"/>
    <w:rsid w:val="000A7EBF"/>
    <w:rsid w:val="000B072D"/>
    <w:rsid w:val="000B48CE"/>
    <w:rsid w:val="000B4B13"/>
    <w:rsid w:val="000B6897"/>
    <w:rsid w:val="000B78CB"/>
    <w:rsid w:val="000C02AF"/>
    <w:rsid w:val="000C1510"/>
    <w:rsid w:val="000C415C"/>
    <w:rsid w:val="000C6156"/>
    <w:rsid w:val="000D429E"/>
    <w:rsid w:val="000D5B60"/>
    <w:rsid w:val="000E01D1"/>
    <w:rsid w:val="000E0586"/>
    <w:rsid w:val="000E4300"/>
    <w:rsid w:val="000F1328"/>
    <w:rsid w:val="000F2B59"/>
    <w:rsid w:val="000F3E7F"/>
    <w:rsid w:val="000F6F5F"/>
    <w:rsid w:val="001024A4"/>
    <w:rsid w:val="00103A49"/>
    <w:rsid w:val="001047EF"/>
    <w:rsid w:val="001048FA"/>
    <w:rsid w:val="0010757A"/>
    <w:rsid w:val="00112DF2"/>
    <w:rsid w:val="00120A0C"/>
    <w:rsid w:val="00124917"/>
    <w:rsid w:val="001301AA"/>
    <w:rsid w:val="00131443"/>
    <w:rsid w:val="00133BE2"/>
    <w:rsid w:val="001443DF"/>
    <w:rsid w:val="00147C6F"/>
    <w:rsid w:val="0015212C"/>
    <w:rsid w:val="00153FC9"/>
    <w:rsid w:val="001547AE"/>
    <w:rsid w:val="00157A30"/>
    <w:rsid w:val="00161C2A"/>
    <w:rsid w:val="001629B2"/>
    <w:rsid w:val="00166A69"/>
    <w:rsid w:val="00170A0B"/>
    <w:rsid w:val="0017335A"/>
    <w:rsid w:val="00173DA1"/>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1C61"/>
    <w:rsid w:val="001B1FB6"/>
    <w:rsid w:val="001C0770"/>
    <w:rsid w:val="001C2C87"/>
    <w:rsid w:val="001C59E4"/>
    <w:rsid w:val="001C6A18"/>
    <w:rsid w:val="001E02E4"/>
    <w:rsid w:val="001E2278"/>
    <w:rsid w:val="001F2A4C"/>
    <w:rsid w:val="001F319C"/>
    <w:rsid w:val="001F4041"/>
    <w:rsid w:val="001F48D1"/>
    <w:rsid w:val="00206AE4"/>
    <w:rsid w:val="0021007C"/>
    <w:rsid w:val="00210393"/>
    <w:rsid w:val="0022366A"/>
    <w:rsid w:val="00235EA2"/>
    <w:rsid w:val="002370C1"/>
    <w:rsid w:val="00241336"/>
    <w:rsid w:val="002419B1"/>
    <w:rsid w:val="0025221E"/>
    <w:rsid w:val="002569B4"/>
    <w:rsid w:val="002613C8"/>
    <w:rsid w:val="0026424E"/>
    <w:rsid w:val="00264BA6"/>
    <w:rsid w:val="00272E29"/>
    <w:rsid w:val="00273DA7"/>
    <w:rsid w:val="00275046"/>
    <w:rsid w:val="00287A66"/>
    <w:rsid w:val="00291B73"/>
    <w:rsid w:val="00293228"/>
    <w:rsid w:val="00296DB8"/>
    <w:rsid w:val="0029734C"/>
    <w:rsid w:val="002A0BD6"/>
    <w:rsid w:val="002A198A"/>
    <w:rsid w:val="002A28C5"/>
    <w:rsid w:val="002A64F7"/>
    <w:rsid w:val="002B07C5"/>
    <w:rsid w:val="002B1156"/>
    <w:rsid w:val="002B1681"/>
    <w:rsid w:val="002B382B"/>
    <w:rsid w:val="002D0D21"/>
    <w:rsid w:val="002D3F18"/>
    <w:rsid w:val="002D682F"/>
    <w:rsid w:val="002D6EFE"/>
    <w:rsid w:val="002E1830"/>
    <w:rsid w:val="002E193F"/>
    <w:rsid w:val="002E54EF"/>
    <w:rsid w:val="002E57AE"/>
    <w:rsid w:val="002E6D14"/>
    <w:rsid w:val="002F4DE8"/>
    <w:rsid w:val="002F7FA0"/>
    <w:rsid w:val="00303E8F"/>
    <w:rsid w:val="0030476A"/>
    <w:rsid w:val="00304FD9"/>
    <w:rsid w:val="00325B9C"/>
    <w:rsid w:val="00326CAF"/>
    <w:rsid w:val="00332522"/>
    <w:rsid w:val="00333871"/>
    <w:rsid w:val="00340D86"/>
    <w:rsid w:val="00340D97"/>
    <w:rsid w:val="003471D3"/>
    <w:rsid w:val="00354B72"/>
    <w:rsid w:val="00357F46"/>
    <w:rsid w:val="00361F52"/>
    <w:rsid w:val="00365B7B"/>
    <w:rsid w:val="0037132E"/>
    <w:rsid w:val="003733F0"/>
    <w:rsid w:val="00373947"/>
    <w:rsid w:val="0037427A"/>
    <w:rsid w:val="00375222"/>
    <w:rsid w:val="00377301"/>
    <w:rsid w:val="0037771B"/>
    <w:rsid w:val="0038217D"/>
    <w:rsid w:val="00385678"/>
    <w:rsid w:val="00386F70"/>
    <w:rsid w:val="00396B15"/>
    <w:rsid w:val="003A1096"/>
    <w:rsid w:val="003A4239"/>
    <w:rsid w:val="003A7F1D"/>
    <w:rsid w:val="003B14ED"/>
    <w:rsid w:val="003B1922"/>
    <w:rsid w:val="003B4E9F"/>
    <w:rsid w:val="003B5859"/>
    <w:rsid w:val="003B6B41"/>
    <w:rsid w:val="003B7602"/>
    <w:rsid w:val="003C1784"/>
    <w:rsid w:val="003C3D8E"/>
    <w:rsid w:val="003C4DD5"/>
    <w:rsid w:val="003C5972"/>
    <w:rsid w:val="003C60BD"/>
    <w:rsid w:val="003D21A7"/>
    <w:rsid w:val="003D266E"/>
    <w:rsid w:val="003D3937"/>
    <w:rsid w:val="003D5DE6"/>
    <w:rsid w:val="003D73D8"/>
    <w:rsid w:val="003E2801"/>
    <w:rsid w:val="003E4BF1"/>
    <w:rsid w:val="003F0466"/>
    <w:rsid w:val="003F1FA7"/>
    <w:rsid w:val="003F5921"/>
    <w:rsid w:val="003F5CF0"/>
    <w:rsid w:val="0041324E"/>
    <w:rsid w:val="00414C80"/>
    <w:rsid w:val="004155E1"/>
    <w:rsid w:val="0041624E"/>
    <w:rsid w:val="00422027"/>
    <w:rsid w:val="00425974"/>
    <w:rsid w:val="00431C65"/>
    <w:rsid w:val="00432724"/>
    <w:rsid w:val="0043596B"/>
    <w:rsid w:val="00441D47"/>
    <w:rsid w:val="0044769A"/>
    <w:rsid w:val="00450538"/>
    <w:rsid w:val="00452268"/>
    <w:rsid w:val="00456179"/>
    <w:rsid w:val="004638FC"/>
    <w:rsid w:val="00466ABA"/>
    <w:rsid w:val="00467163"/>
    <w:rsid w:val="00470E5E"/>
    <w:rsid w:val="0047504D"/>
    <w:rsid w:val="00475144"/>
    <w:rsid w:val="004811AD"/>
    <w:rsid w:val="00493BEC"/>
    <w:rsid w:val="0049670D"/>
    <w:rsid w:val="0049750F"/>
    <w:rsid w:val="004A11C4"/>
    <w:rsid w:val="004A12B1"/>
    <w:rsid w:val="004A624D"/>
    <w:rsid w:val="004A7132"/>
    <w:rsid w:val="004B4759"/>
    <w:rsid w:val="004C14E0"/>
    <w:rsid w:val="004C1C06"/>
    <w:rsid w:val="004C3BA7"/>
    <w:rsid w:val="004C4A74"/>
    <w:rsid w:val="004D3FB6"/>
    <w:rsid w:val="004D74BC"/>
    <w:rsid w:val="004E3A1B"/>
    <w:rsid w:val="004E4546"/>
    <w:rsid w:val="004F33CD"/>
    <w:rsid w:val="004F37D3"/>
    <w:rsid w:val="004F3C93"/>
    <w:rsid w:val="005066F1"/>
    <w:rsid w:val="00507032"/>
    <w:rsid w:val="00510909"/>
    <w:rsid w:val="005128F8"/>
    <w:rsid w:val="005132F5"/>
    <w:rsid w:val="00514377"/>
    <w:rsid w:val="00520CE0"/>
    <w:rsid w:val="00527BBD"/>
    <w:rsid w:val="00531531"/>
    <w:rsid w:val="00531857"/>
    <w:rsid w:val="00535B56"/>
    <w:rsid w:val="00540E77"/>
    <w:rsid w:val="00542C25"/>
    <w:rsid w:val="005437CD"/>
    <w:rsid w:val="005543C9"/>
    <w:rsid w:val="00554DDD"/>
    <w:rsid w:val="00556066"/>
    <w:rsid w:val="00560CA5"/>
    <w:rsid w:val="0056555A"/>
    <w:rsid w:val="00571F5D"/>
    <w:rsid w:val="005737A3"/>
    <w:rsid w:val="00574998"/>
    <w:rsid w:val="005806FE"/>
    <w:rsid w:val="00581FD2"/>
    <w:rsid w:val="00583913"/>
    <w:rsid w:val="0058574A"/>
    <w:rsid w:val="005900D6"/>
    <w:rsid w:val="005911BC"/>
    <w:rsid w:val="005931F8"/>
    <w:rsid w:val="00593E67"/>
    <w:rsid w:val="005A00C0"/>
    <w:rsid w:val="005A0505"/>
    <w:rsid w:val="005A0EAA"/>
    <w:rsid w:val="005B14F8"/>
    <w:rsid w:val="005B2955"/>
    <w:rsid w:val="005B3C01"/>
    <w:rsid w:val="005B62CF"/>
    <w:rsid w:val="005B6FAA"/>
    <w:rsid w:val="005B715B"/>
    <w:rsid w:val="005C52A5"/>
    <w:rsid w:val="005C5671"/>
    <w:rsid w:val="005D50A9"/>
    <w:rsid w:val="005E49B8"/>
    <w:rsid w:val="005E5915"/>
    <w:rsid w:val="005E6EAE"/>
    <w:rsid w:val="005F4AEF"/>
    <w:rsid w:val="005F4B12"/>
    <w:rsid w:val="005F4E4D"/>
    <w:rsid w:val="005F5630"/>
    <w:rsid w:val="00600133"/>
    <w:rsid w:val="0060047D"/>
    <w:rsid w:val="006014DB"/>
    <w:rsid w:val="00606400"/>
    <w:rsid w:val="00611E40"/>
    <w:rsid w:val="00613C05"/>
    <w:rsid w:val="00620B93"/>
    <w:rsid w:val="006235C7"/>
    <w:rsid w:val="0062463C"/>
    <w:rsid w:val="00625734"/>
    <w:rsid w:val="00625C1B"/>
    <w:rsid w:val="00631C81"/>
    <w:rsid w:val="006347E0"/>
    <w:rsid w:val="00635119"/>
    <w:rsid w:val="00636A0C"/>
    <w:rsid w:val="00655A17"/>
    <w:rsid w:val="00660319"/>
    <w:rsid w:val="006715B0"/>
    <w:rsid w:val="00673146"/>
    <w:rsid w:val="00675649"/>
    <w:rsid w:val="00677575"/>
    <w:rsid w:val="00677CF1"/>
    <w:rsid w:val="006818FA"/>
    <w:rsid w:val="00684805"/>
    <w:rsid w:val="006863AF"/>
    <w:rsid w:val="00695254"/>
    <w:rsid w:val="00697C40"/>
    <w:rsid w:val="006A28E1"/>
    <w:rsid w:val="006A4D4E"/>
    <w:rsid w:val="006A6D31"/>
    <w:rsid w:val="006B1CA9"/>
    <w:rsid w:val="006B2C58"/>
    <w:rsid w:val="006C54CE"/>
    <w:rsid w:val="006C690F"/>
    <w:rsid w:val="006D1C5E"/>
    <w:rsid w:val="006F040F"/>
    <w:rsid w:val="006F17BC"/>
    <w:rsid w:val="006F3D1C"/>
    <w:rsid w:val="006F5172"/>
    <w:rsid w:val="006F613F"/>
    <w:rsid w:val="0070072D"/>
    <w:rsid w:val="007033F8"/>
    <w:rsid w:val="00703573"/>
    <w:rsid w:val="007109B1"/>
    <w:rsid w:val="00710E53"/>
    <w:rsid w:val="007159E6"/>
    <w:rsid w:val="00716B32"/>
    <w:rsid w:val="00716C41"/>
    <w:rsid w:val="00717755"/>
    <w:rsid w:val="007208E0"/>
    <w:rsid w:val="00722437"/>
    <w:rsid w:val="00723075"/>
    <w:rsid w:val="00724FB4"/>
    <w:rsid w:val="00726B63"/>
    <w:rsid w:val="00733CB3"/>
    <w:rsid w:val="00737253"/>
    <w:rsid w:val="0074016F"/>
    <w:rsid w:val="00740843"/>
    <w:rsid w:val="00744D19"/>
    <w:rsid w:val="00747A7E"/>
    <w:rsid w:val="00747D2F"/>
    <w:rsid w:val="00753CF4"/>
    <w:rsid w:val="0075646A"/>
    <w:rsid w:val="007641F5"/>
    <w:rsid w:val="007647E1"/>
    <w:rsid w:val="007658C8"/>
    <w:rsid w:val="00765D1A"/>
    <w:rsid w:val="007664CC"/>
    <w:rsid w:val="007700A7"/>
    <w:rsid w:val="007721F3"/>
    <w:rsid w:val="00776654"/>
    <w:rsid w:val="00776BE4"/>
    <w:rsid w:val="0078072D"/>
    <w:rsid w:val="00787212"/>
    <w:rsid w:val="00790DF4"/>
    <w:rsid w:val="007A3DB6"/>
    <w:rsid w:val="007A3E43"/>
    <w:rsid w:val="007A4B0A"/>
    <w:rsid w:val="007B0CF3"/>
    <w:rsid w:val="007B1C91"/>
    <w:rsid w:val="007B2B79"/>
    <w:rsid w:val="007B3A8E"/>
    <w:rsid w:val="007C0030"/>
    <w:rsid w:val="007C1ECB"/>
    <w:rsid w:val="007D27F6"/>
    <w:rsid w:val="007D48C5"/>
    <w:rsid w:val="007D4F9F"/>
    <w:rsid w:val="007D73AC"/>
    <w:rsid w:val="007E1171"/>
    <w:rsid w:val="007E4359"/>
    <w:rsid w:val="007F4D8D"/>
    <w:rsid w:val="00804D48"/>
    <w:rsid w:val="0080612B"/>
    <w:rsid w:val="0080701F"/>
    <w:rsid w:val="00817DA0"/>
    <w:rsid w:val="00825DA9"/>
    <w:rsid w:val="00830202"/>
    <w:rsid w:val="00833DB5"/>
    <w:rsid w:val="008450C0"/>
    <w:rsid w:val="00861E61"/>
    <w:rsid w:val="0086348E"/>
    <w:rsid w:val="00864800"/>
    <w:rsid w:val="0086496F"/>
    <w:rsid w:val="00866FA3"/>
    <w:rsid w:val="00870EAB"/>
    <w:rsid w:val="00873F74"/>
    <w:rsid w:val="00880DFE"/>
    <w:rsid w:val="00885119"/>
    <w:rsid w:val="008865B8"/>
    <w:rsid w:val="00887F65"/>
    <w:rsid w:val="00892636"/>
    <w:rsid w:val="00892655"/>
    <w:rsid w:val="008A30B9"/>
    <w:rsid w:val="008B593F"/>
    <w:rsid w:val="008B6770"/>
    <w:rsid w:val="008C0B48"/>
    <w:rsid w:val="008C1780"/>
    <w:rsid w:val="008C580E"/>
    <w:rsid w:val="008C630C"/>
    <w:rsid w:val="008D4D51"/>
    <w:rsid w:val="008E1B8B"/>
    <w:rsid w:val="008E2AAB"/>
    <w:rsid w:val="008E3DCC"/>
    <w:rsid w:val="008E567E"/>
    <w:rsid w:val="008E5EAE"/>
    <w:rsid w:val="008F0B8B"/>
    <w:rsid w:val="008F115C"/>
    <w:rsid w:val="008F234B"/>
    <w:rsid w:val="008F2420"/>
    <w:rsid w:val="008F2832"/>
    <w:rsid w:val="008F43D8"/>
    <w:rsid w:val="008F7368"/>
    <w:rsid w:val="00930336"/>
    <w:rsid w:val="0093246C"/>
    <w:rsid w:val="009374DF"/>
    <w:rsid w:val="009409B0"/>
    <w:rsid w:val="0094701B"/>
    <w:rsid w:val="00950417"/>
    <w:rsid w:val="00953E32"/>
    <w:rsid w:val="00955553"/>
    <w:rsid w:val="009666A0"/>
    <w:rsid w:val="00973027"/>
    <w:rsid w:val="009746A1"/>
    <w:rsid w:val="009779DD"/>
    <w:rsid w:val="00982F62"/>
    <w:rsid w:val="00986928"/>
    <w:rsid w:val="009943E2"/>
    <w:rsid w:val="009943E4"/>
    <w:rsid w:val="00994C16"/>
    <w:rsid w:val="00995976"/>
    <w:rsid w:val="009A237A"/>
    <w:rsid w:val="009A49A7"/>
    <w:rsid w:val="009B072A"/>
    <w:rsid w:val="009B2CEC"/>
    <w:rsid w:val="009B633D"/>
    <w:rsid w:val="009B6B53"/>
    <w:rsid w:val="009C4881"/>
    <w:rsid w:val="009D3BFC"/>
    <w:rsid w:val="009D3DBB"/>
    <w:rsid w:val="009D4D72"/>
    <w:rsid w:val="009D5D82"/>
    <w:rsid w:val="009E1E8A"/>
    <w:rsid w:val="009F143B"/>
    <w:rsid w:val="009F597D"/>
    <w:rsid w:val="00A12641"/>
    <w:rsid w:val="00A13072"/>
    <w:rsid w:val="00A13D8D"/>
    <w:rsid w:val="00A15D49"/>
    <w:rsid w:val="00A20F99"/>
    <w:rsid w:val="00A213E1"/>
    <w:rsid w:val="00A2437F"/>
    <w:rsid w:val="00A30D9A"/>
    <w:rsid w:val="00A4694A"/>
    <w:rsid w:val="00A46987"/>
    <w:rsid w:val="00A50D97"/>
    <w:rsid w:val="00A571D9"/>
    <w:rsid w:val="00A70B45"/>
    <w:rsid w:val="00A71C27"/>
    <w:rsid w:val="00A71FE0"/>
    <w:rsid w:val="00A82708"/>
    <w:rsid w:val="00A835E4"/>
    <w:rsid w:val="00A905D8"/>
    <w:rsid w:val="00A94219"/>
    <w:rsid w:val="00AA1DDC"/>
    <w:rsid w:val="00AA3F0B"/>
    <w:rsid w:val="00AA5357"/>
    <w:rsid w:val="00AA788A"/>
    <w:rsid w:val="00AB565E"/>
    <w:rsid w:val="00AB7B91"/>
    <w:rsid w:val="00AC144B"/>
    <w:rsid w:val="00AC2E89"/>
    <w:rsid w:val="00AD1153"/>
    <w:rsid w:val="00AD6516"/>
    <w:rsid w:val="00AD6638"/>
    <w:rsid w:val="00AD68CB"/>
    <w:rsid w:val="00AE2B7A"/>
    <w:rsid w:val="00AE4702"/>
    <w:rsid w:val="00AE4A62"/>
    <w:rsid w:val="00AF472B"/>
    <w:rsid w:val="00AF4D4A"/>
    <w:rsid w:val="00B0075E"/>
    <w:rsid w:val="00B17B21"/>
    <w:rsid w:val="00B22031"/>
    <w:rsid w:val="00B238AD"/>
    <w:rsid w:val="00B2472A"/>
    <w:rsid w:val="00B257FE"/>
    <w:rsid w:val="00B339BE"/>
    <w:rsid w:val="00B42DB0"/>
    <w:rsid w:val="00B45B3C"/>
    <w:rsid w:val="00B51657"/>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915F1"/>
    <w:rsid w:val="00B91836"/>
    <w:rsid w:val="00B927A2"/>
    <w:rsid w:val="00B96FB6"/>
    <w:rsid w:val="00BA1050"/>
    <w:rsid w:val="00BA13A5"/>
    <w:rsid w:val="00BA7DEC"/>
    <w:rsid w:val="00BB13B8"/>
    <w:rsid w:val="00BB1C2F"/>
    <w:rsid w:val="00BB2479"/>
    <w:rsid w:val="00BB28E0"/>
    <w:rsid w:val="00BB66C3"/>
    <w:rsid w:val="00BB7136"/>
    <w:rsid w:val="00BC040E"/>
    <w:rsid w:val="00BC28E7"/>
    <w:rsid w:val="00BC2E2E"/>
    <w:rsid w:val="00BC3FD6"/>
    <w:rsid w:val="00BC667A"/>
    <w:rsid w:val="00BD357C"/>
    <w:rsid w:val="00BD5C5C"/>
    <w:rsid w:val="00BD5ED8"/>
    <w:rsid w:val="00BE0430"/>
    <w:rsid w:val="00BE17DB"/>
    <w:rsid w:val="00BF087A"/>
    <w:rsid w:val="00BF122D"/>
    <w:rsid w:val="00BF415C"/>
    <w:rsid w:val="00BF735E"/>
    <w:rsid w:val="00C02E20"/>
    <w:rsid w:val="00C0644C"/>
    <w:rsid w:val="00C205C8"/>
    <w:rsid w:val="00C309A6"/>
    <w:rsid w:val="00C4006D"/>
    <w:rsid w:val="00C41921"/>
    <w:rsid w:val="00C43026"/>
    <w:rsid w:val="00C47B9C"/>
    <w:rsid w:val="00C47DC9"/>
    <w:rsid w:val="00C47FD8"/>
    <w:rsid w:val="00C50BD1"/>
    <w:rsid w:val="00C5239E"/>
    <w:rsid w:val="00C553A9"/>
    <w:rsid w:val="00C60094"/>
    <w:rsid w:val="00C619BE"/>
    <w:rsid w:val="00C61F8D"/>
    <w:rsid w:val="00C62BEB"/>
    <w:rsid w:val="00C65B05"/>
    <w:rsid w:val="00C663D9"/>
    <w:rsid w:val="00C73F08"/>
    <w:rsid w:val="00C760A6"/>
    <w:rsid w:val="00C77433"/>
    <w:rsid w:val="00C84911"/>
    <w:rsid w:val="00C8744A"/>
    <w:rsid w:val="00C91065"/>
    <w:rsid w:val="00C929D4"/>
    <w:rsid w:val="00C933ED"/>
    <w:rsid w:val="00C968BB"/>
    <w:rsid w:val="00CA02B6"/>
    <w:rsid w:val="00CA136B"/>
    <w:rsid w:val="00CA4818"/>
    <w:rsid w:val="00CA7470"/>
    <w:rsid w:val="00CA7802"/>
    <w:rsid w:val="00CB5013"/>
    <w:rsid w:val="00CC1A00"/>
    <w:rsid w:val="00CD4F03"/>
    <w:rsid w:val="00CE11B4"/>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45F46"/>
    <w:rsid w:val="00D543D5"/>
    <w:rsid w:val="00D6313B"/>
    <w:rsid w:val="00D667C5"/>
    <w:rsid w:val="00D66E74"/>
    <w:rsid w:val="00D677CE"/>
    <w:rsid w:val="00D71264"/>
    <w:rsid w:val="00D712F4"/>
    <w:rsid w:val="00D71D7F"/>
    <w:rsid w:val="00D76521"/>
    <w:rsid w:val="00D83564"/>
    <w:rsid w:val="00D859A6"/>
    <w:rsid w:val="00D91154"/>
    <w:rsid w:val="00D91A5F"/>
    <w:rsid w:val="00D95458"/>
    <w:rsid w:val="00D96B69"/>
    <w:rsid w:val="00DA097F"/>
    <w:rsid w:val="00DA3E7C"/>
    <w:rsid w:val="00DA6E8A"/>
    <w:rsid w:val="00DA73A3"/>
    <w:rsid w:val="00DB12D7"/>
    <w:rsid w:val="00DB3948"/>
    <w:rsid w:val="00DB49A0"/>
    <w:rsid w:val="00DB626D"/>
    <w:rsid w:val="00DC196D"/>
    <w:rsid w:val="00DC22DD"/>
    <w:rsid w:val="00DC7EA5"/>
    <w:rsid w:val="00DD07A7"/>
    <w:rsid w:val="00DD0A49"/>
    <w:rsid w:val="00DE24D1"/>
    <w:rsid w:val="00DF4F3C"/>
    <w:rsid w:val="00DF4F6F"/>
    <w:rsid w:val="00DF691E"/>
    <w:rsid w:val="00DF6CDC"/>
    <w:rsid w:val="00DF6EDD"/>
    <w:rsid w:val="00DF7ABB"/>
    <w:rsid w:val="00E0078F"/>
    <w:rsid w:val="00E04D10"/>
    <w:rsid w:val="00E1249B"/>
    <w:rsid w:val="00E12644"/>
    <w:rsid w:val="00E146A4"/>
    <w:rsid w:val="00E14B77"/>
    <w:rsid w:val="00E14FC3"/>
    <w:rsid w:val="00E17389"/>
    <w:rsid w:val="00E212EE"/>
    <w:rsid w:val="00E224B5"/>
    <w:rsid w:val="00E2592B"/>
    <w:rsid w:val="00E329EE"/>
    <w:rsid w:val="00E335B7"/>
    <w:rsid w:val="00E43BF9"/>
    <w:rsid w:val="00E4473E"/>
    <w:rsid w:val="00E456E1"/>
    <w:rsid w:val="00E47851"/>
    <w:rsid w:val="00E52235"/>
    <w:rsid w:val="00E52B7D"/>
    <w:rsid w:val="00E706B3"/>
    <w:rsid w:val="00E70FE3"/>
    <w:rsid w:val="00E72E6D"/>
    <w:rsid w:val="00E73E7B"/>
    <w:rsid w:val="00E7422B"/>
    <w:rsid w:val="00E801B2"/>
    <w:rsid w:val="00E80364"/>
    <w:rsid w:val="00E81A87"/>
    <w:rsid w:val="00E8264E"/>
    <w:rsid w:val="00E86A3A"/>
    <w:rsid w:val="00E87CE9"/>
    <w:rsid w:val="00E90C30"/>
    <w:rsid w:val="00E963A4"/>
    <w:rsid w:val="00E97584"/>
    <w:rsid w:val="00EA25BB"/>
    <w:rsid w:val="00EA540D"/>
    <w:rsid w:val="00EB1F88"/>
    <w:rsid w:val="00EB40E0"/>
    <w:rsid w:val="00EB58F3"/>
    <w:rsid w:val="00ED0EBB"/>
    <w:rsid w:val="00ED653A"/>
    <w:rsid w:val="00EE1501"/>
    <w:rsid w:val="00EE4455"/>
    <w:rsid w:val="00EE7F57"/>
    <w:rsid w:val="00EF1701"/>
    <w:rsid w:val="00EF2D49"/>
    <w:rsid w:val="00F00EF3"/>
    <w:rsid w:val="00F03035"/>
    <w:rsid w:val="00F04055"/>
    <w:rsid w:val="00F064FC"/>
    <w:rsid w:val="00F06685"/>
    <w:rsid w:val="00F1184F"/>
    <w:rsid w:val="00F122B9"/>
    <w:rsid w:val="00F12528"/>
    <w:rsid w:val="00F1608F"/>
    <w:rsid w:val="00F21CD9"/>
    <w:rsid w:val="00F3164A"/>
    <w:rsid w:val="00F3207F"/>
    <w:rsid w:val="00F3541A"/>
    <w:rsid w:val="00F43B07"/>
    <w:rsid w:val="00F452EB"/>
    <w:rsid w:val="00F46275"/>
    <w:rsid w:val="00F538CB"/>
    <w:rsid w:val="00F5665F"/>
    <w:rsid w:val="00F60488"/>
    <w:rsid w:val="00F631B6"/>
    <w:rsid w:val="00F63BC0"/>
    <w:rsid w:val="00F640FB"/>
    <w:rsid w:val="00F65E85"/>
    <w:rsid w:val="00F70871"/>
    <w:rsid w:val="00F719B8"/>
    <w:rsid w:val="00F76053"/>
    <w:rsid w:val="00F819F7"/>
    <w:rsid w:val="00F82043"/>
    <w:rsid w:val="00F829A5"/>
    <w:rsid w:val="00F833AA"/>
    <w:rsid w:val="00F85D95"/>
    <w:rsid w:val="00F94B00"/>
    <w:rsid w:val="00F953C8"/>
    <w:rsid w:val="00FA03AD"/>
    <w:rsid w:val="00FA2E89"/>
    <w:rsid w:val="00FA352F"/>
    <w:rsid w:val="00FA52E0"/>
    <w:rsid w:val="00FA74F5"/>
    <w:rsid w:val="00FB44DD"/>
    <w:rsid w:val="00FB4BFF"/>
    <w:rsid w:val="00FB6500"/>
    <w:rsid w:val="00FB72F8"/>
    <w:rsid w:val="00FC0CF9"/>
    <w:rsid w:val="00FC3233"/>
    <w:rsid w:val="00FC430C"/>
    <w:rsid w:val="00FC635C"/>
    <w:rsid w:val="00FC7332"/>
    <w:rsid w:val="00FD062A"/>
    <w:rsid w:val="00FD1D9C"/>
    <w:rsid w:val="00FD46BC"/>
    <w:rsid w:val="00FD56F3"/>
    <w:rsid w:val="00FD5BD7"/>
    <w:rsid w:val="00FD6AB9"/>
    <w:rsid w:val="00FD76DD"/>
    <w:rsid w:val="00FE0D9B"/>
    <w:rsid w:val="00FE475B"/>
    <w:rsid w:val="00FE63E0"/>
    <w:rsid w:val="00FF117E"/>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2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8994568">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70814433">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14759707">
      <w:bodyDiv w:val="1"/>
      <w:marLeft w:val="0"/>
      <w:marRight w:val="0"/>
      <w:marTop w:val="0"/>
      <w:marBottom w:val="0"/>
      <w:divBdr>
        <w:top w:val="none" w:sz="0" w:space="0" w:color="auto"/>
        <w:left w:val="none" w:sz="0" w:space="0" w:color="auto"/>
        <w:bottom w:val="none" w:sz="0" w:space="0" w:color="auto"/>
        <w:right w:val="none" w:sz="0" w:space="0" w:color="auto"/>
      </w:divBdr>
    </w:div>
    <w:div w:id="193411993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131141.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E297-0C3A-4B94-B479-71920646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2017-05-26T15:49:00Z</cp:lastPrinted>
  <dcterms:created xsi:type="dcterms:W3CDTF">2019-11-04T19:00:00Z</dcterms:created>
  <dcterms:modified xsi:type="dcterms:W3CDTF">2019-11-04T19:00:00Z</dcterms:modified>
</cp:coreProperties>
</file>