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C1C4E" w14:textId="77777777" w:rsidR="00EB2E75" w:rsidRPr="00EA366E" w:rsidRDefault="00EB2E75" w:rsidP="00EB2E75">
      <w:pPr>
        <w:keepNext/>
        <w:keepLines/>
        <w:jc w:val="center"/>
        <w:outlineLvl w:val="6"/>
        <w:rPr>
          <w:rFonts w:asciiTheme="majorHAnsi" w:eastAsiaTheme="majorEastAsia" w:hAnsiTheme="majorHAnsi" w:cstheme="majorBidi"/>
          <w:i/>
          <w:iCs/>
          <w:color w:val="404040" w:themeColor="text1" w:themeTint="BF"/>
          <w:sz w:val="28"/>
          <w:szCs w:val="28"/>
        </w:rPr>
      </w:pPr>
      <w:bookmarkStart w:id="0" w:name="_GoBack"/>
      <w:bookmarkEnd w:id="0"/>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14:paraId="22F6E17C" w14:textId="77777777" w:rsidR="00EB2E75" w:rsidRPr="003D0462" w:rsidRDefault="00EB2E75" w:rsidP="00EB2E75">
      <w:pPr>
        <w:pStyle w:val="BalloonText"/>
        <w:jc w:val="center"/>
        <w:rPr>
          <w:rFonts w:ascii="Times New Roman" w:hAnsi="Times New Roman" w:cs="Times New Roman"/>
        </w:rPr>
      </w:pPr>
    </w:p>
    <w:p w14:paraId="74352357" w14:textId="77777777" w:rsidR="00EB2E75" w:rsidRPr="00C4585A" w:rsidRDefault="00EB2E75" w:rsidP="00EB2E75">
      <w:pPr>
        <w:autoSpaceDE w:val="0"/>
        <w:autoSpaceDN w:val="0"/>
        <w:adjustRightInd w:val="0"/>
        <w:jc w:val="center"/>
        <w:rPr>
          <w:b/>
          <w:bCs/>
        </w:rPr>
      </w:pPr>
    </w:p>
    <w:p w14:paraId="023951C4" w14:textId="77471729" w:rsidR="00E306CA" w:rsidRDefault="00E306CA" w:rsidP="00EB2E75">
      <w:pPr>
        <w:jc w:val="center"/>
        <w:rPr>
          <w:b/>
        </w:rPr>
      </w:pPr>
    </w:p>
    <w:p w14:paraId="7D5084E4" w14:textId="1507088E" w:rsidR="00ED6935" w:rsidRDefault="00ED6935" w:rsidP="00EB2E75">
      <w:pPr>
        <w:jc w:val="center"/>
        <w:rPr>
          <w:b/>
        </w:rPr>
      </w:pPr>
    </w:p>
    <w:p w14:paraId="49DFEE73" w14:textId="77777777" w:rsidR="00ED6935" w:rsidRDefault="00ED6935" w:rsidP="00EB2E75">
      <w:pPr>
        <w:jc w:val="center"/>
        <w:rPr>
          <w:b/>
        </w:rPr>
      </w:pPr>
    </w:p>
    <w:p w14:paraId="395E8B90" w14:textId="77777777" w:rsidR="00E306CA" w:rsidRDefault="00E306CA" w:rsidP="00EB2E75">
      <w:pPr>
        <w:jc w:val="center"/>
        <w:rPr>
          <w:b/>
        </w:rPr>
      </w:pPr>
    </w:p>
    <w:p w14:paraId="201EBEB4" w14:textId="77777777" w:rsidR="00E306CA" w:rsidRDefault="00E306CA" w:rsidP="00EB2E75">
      <w:pPr>
        <w:jc w:val="center"/>
        <w:rPr>
          <w:b/>
        </w:rPr>
      </w:pPr>
    </w:p>
    <w:p w14:paraId="3599C3E1" w14:textId="4F62242A" w:rsidR="00EB2E75" w:rsidRPr="007624C9" w:rsidRDefault="00EB2E75" w:rsidP="00EB2E75">
      <w:pPr>
        <w:jc w:val="center"/>
        <w:rPr>
          <w:b/>
        </w:rPr>
      </w:pPr>
      <w:r w:rsidRPr="00C4585A">
        <w:rPr>
          <w:b/>
        </w:rPr>
        <w:t xml:space="preserve">OMB# </w:t>
      </w:r>
    </w:p>
    <w:p w14:paraId="66FC7191" w14:textId="77777777" w:rsidR="00EB2E75" w:rsidRDefault="00EB2E75" w:rsidP="00EB2E75">
      <w:pPr>
        <w:jc w:val="center"/>
        <w:rPr>
          <w:b/>
        </w:rPr>
      </w:pPr>
    </w:p>
    <w:p w14:paraId="7D9DB7EA" w14:textId="77777777" w:rsidR="00EB2E75" w:rsidRDefault="00EB2E75" w:rsidP="00EB2E75">
      <w:pPr>
        <w:jc w:val="center"/>
        <w:rPr>
          <w:b/>
        </w:rPr>
      </w:pPr>
    </w:p>
    <w:p w14:paraId="26A58FF5" w14:textId="77777777" w:rsidR="00EB2E75" w:rsidRPr="00C4585A" w:rsidRDefault="00EB2E75" w:rsidP="00EB2E75">
      <w:pPr>
        <w:jc w:val="center"/>
        <w:rPr>
          <w:b/>
        </w:rPr>
      </w:pPr>
    </w:p>
    <w:p w14:paraId="38907EE6" w14:textId="77777777" w:rsidR="00EB2E75" w:rsidRDefault="00EB2E75" w:rsidP="00EB2E75">
      <w:pPr>
        <w:jc w:val="center"/>
      </w:pPr>
    </w:p>
    <w:p w14:paraId="1A610FAE" w14:textId="1915F2C4" w:rsidR="00EB2E75" w:rsidRPr="00C4585A" w:rsidRDefault="00ED6935" w:rsidP="00EB2E75">
      <w:pPr>
        <w:ind w:left="720"/>
        <w:jc w:val="center"/>
        <w:rPr>
          <w:b/>
        </w:rPr>
      </w:pPr>
      <w:r>
        <w:rPr>
          <w:b/>
        </w:rPr>
        <w:t>October 9</w:t>
      </w:r>
      <w:r w:rsidR="00EC3DDD">
        <w:rPr>
          <w:b/>
        </w:rPr>
        <w:t>, 2019</w:t>
      </w:r>
    </w:p>
    <w:p w14:paraId="18A33CB0" w14:textId="77777777" w:rsidR="00EB2E75" w:rsidRPr="00C4585A" w:rsidRDefault="00EB2E75" w:rsidP="00EB2E75">
      <w:pPr>
        <w:jc w:val="center"/>
      </w:pPr>
    </w:p>
    <w:p w14:paraId="495BE170" w14:textId="77777777" w:rsidR="00EB2E75" w:rsidRPr="00C4585A" w:rsidRDefault="00EB2E75" w:rsidP="00EB2E75">
      <w:pPr>
        <w:jc w:val="center"/>
      </w:pPr>
    </w:p>
    <w:p w14:paraId="0BB91B98" w14:textId="77777777" w:rsidR="00E306CA" w:rsidRDefault="00E306CA" w:rsidP="00EB2E75">
      <w:pPr>
        <w:jc w:val="center"/>
        <w:rPr>
          <w:rFonts w:ascii="Arial" w:hAnsi="Arial" w:cs="Arial"/>
          <w:b/>
          <w:noProof/>
        </w:rPr>
      </w:pPr>
    </w:p>
    <w:p w14:paraId="402F2386" w14:textId="77777777" w:rsidR="00E306CA" w:rsidRDefault="00E306CA" w:rsidP="00EB2E75">
      <w:pPr>
        <w:jc w:val="center"/>
        <w:rPr>
          <w:rFonts w:ascii="Arial" w:hAnsi="Arial" w:cs="Arial"/>
          <w:b/>
          <w:noProof/>
        </w:rPr>
      </w:pPr>
    </w:p>
    <w:p w14:paraId="2DF646FF" w14:textId="77777777" w:rsidR="00E10BC0" w:rsidRPr="00202FE2" w:rsidRDefault="00E10BC0" w:rsidP="00E10BC0">
      <w:pPr>
        <w:jc w:val="center"/>
      </w:pPr>
      <w:r w:rsidRPr="00202FE2">
        <w:rPr>
          <w:b/>
          <w:noProof/>
        </w:rPr>
        <w:t xml:space="preserve">Evaluating the implementation and impact of </w:t>
      </w:r>
      <w:r>
        <w:rPr>
          <w:b/>
          <w:noProof/>
        </w:rPr>
        <w:t xml:space="preserve">an </w:t>
      </w:r>
      <w:r w:rsidRPr="00202FE2">
        <w:rPr>
          <w:b/>
          <w:noProof/>
        </w:rPr>
        <w:t>opioid medication management</w:t>
      </w:r>
      <w:r>
        <w:rPr>
          <w:b/>
          <w:noProof/>
        </w:rPr>
        <w:t xml:space="preserve"> program</w:t>
      </w:r>
      <w:r w:rsidRPr="00202FE2">
        <w:rPr>
          <w:b/>
          <w:noProof/>
        </w:rPr>
        <w:t>, in a hospital discharge</w:t>
      </w:r>
      <w:r>
        <w:rPr>
          <w:b/>
          <w:noProof/>
        </w:rPr>
        <w:t xml:space="preserve"> setting, to reduce falls in older adults</w:t>
      </w:r>
      <w:r w:rsidRPr="00202FE2">
        <w:rPr>
          <w:b/>
          <w:noProof/>
        </w:rPr>
        <w:t>.</w:t>
      </w:r>
      <w:r w:rsidRPr="00202FE2">
        <w:t xml:space="preserve"> </w:t>
      </w:r>
    </w:p>
    <w:p w14:paraId="00EDDE26" w14:textId="77777777" w:rsidR="00EB2E75" w:rsidRPr="00C4585A" w:rsidRDefault="00EB2E75" w:rsidP="00EB2E75">
      <w:pPr>
        <w:jc w:val="center"/>
      </w:pPr>
    </w:p>
    <w:p w14:paraId="40701133" w14:textId="77777777" w:rsidR="00EB2E75" w:rsidRPr="00C4585A" w:rsidRDefault="00EB2E75" w:rsidP="00EB2E75">
      <w:pPr>
        <w:jc w:val="center"/>
      </w:pPr>
    </w:p>
    <w:p w14:paraId="2650B09D" w14:textId="77777777" w:rsidR="00EB2E75" w:rsidRPr="00C4585A" w:rsidRDefault="00EB2E75" w:rsidP="00EB2E75">
      <w:pPr>
        <w:jc w:val="center"/>
      </w:pPr>
    </w:p>
    <w:p w14:paraId="4698F185" w14:textId="2ECB9AD4" w:rsidR="00E306CA" w:rsidRDefault="00E306CA" w:rsidP="00EB2E75">
      <w:pPr>
        <w:jc w:val="center"/>
      </w:pPr>
    </w:p>
    <w:p w14:paraId="53FF83D1" w14:textId="0C70C9BD" w:rsidR="00ED6935" w:rsidRDefault="00ED6935" w:rsidP="00EB2E75">
      <w:pPr>
        <w:jc w:val="center"/>
      </w:pPr>
    </w:p>
    <w:p w14:paraId="5DF7FED9" w14:textId="77777777" w:rsidR="00ED6935" w:rsidRDefault="00ED6935" w:rsidP="00EB2E75">
      <w:pPr>
        <w:jc w:val="center"/>
      </w:pPr>
    </w:p>
    <w:p w14:paraId="7A96B23C" w14:textId="77777777" w:rsidR="00E306CA" w:rsidRDefault="00E306CA" w:rsidP="00EB2E75">
      <w:pPr>
        <w:jc w:val="center"/>
      </w:pPr>
    </w:p>
    <w:p w14:paraId="049F6394" w14:textId="77777777" w:rsidR="00E306CA" w:rsidRDefault="00E306CA" w:rsidP="00EB2E75">
      <w:pPr>
        <w:jc w:val="center"/>
      </w:pPr>
    </w:p>
    <w:p w14:paraId="504F3513" w14:textId="77777777" w:rsidR="00E306CA" w:rsidRDefault="00E306CA" w:rsidP="00EB2E75">
      <w:pPr>
        <w:jc w:val="center"/>
      </w:pPr>
    </w:p>
    <w:p w14:paraId="0094493C" w14:textId="71BBE50E" w:rsidR="00EB2E75" w:rsidRPr="00C4585A" w:rsidRDefault="00EB2E75" w:rsidP="00EB2E75">
      <w:pPr>
        <w:jc w:val="center"/>
      </w:pPr>
      <w:r w:rsidRPr="00C4585A">
        <w:t>Point of Contact:</w:t>
      </w:r>
    </w:p>
    <w:p w14:paraId="53CA403D" w14:textId="77777777" w:rsidR="00EB2E75" w:rsidRDefault="00EB2E75" w:rsidP="00EB2E75">
      <w:pPr>
        <w:jc w:val="center"/>
      </w:pPr>
      <w:r w:rsidRPr="00C4585A">
        <w:t>Gwen Bergen</w:t>
      </w:r>
    </w:p>
    <w:p w14:paraId="110F3BE8" w14:textId="77777777" w:rsidR="00EB2E75" w:rsidRPr="00C4585A" w:rsidRDefault="00EB2E75" w:rsidP="00EB2E75">
      <w:pPr>
        <w:jc w:val="center"/>
      </w:pPr>
      <w:r>
        <w:t>Behavioral Scientist</w:t>
      </w:r>
    </w:p>
    <w:p w14:paraId="1079E6C3" w14:textId="77777777" w:rsidR="00EB2E75" w:rsidRPr="00C4585A" w:rsidRDefault="00EB2E75" w:rsidP="00EB2E75">
      <w:pPr>
        <w:jc w:val="center"/>
      </w:pPr>
      <w:r w:rsidRPr="00C4585A">
        <w:t>Contact Information :</w:t>
      </w:r>
    </w:p>
    <w:p w14:paraId="2F967226" w14:textId="77777777" w:rsidR="00EB2E75" w:rsidRPr="00C4585A" w:rsidRDefault="00EB2E75" w:rsidP="00EB2E75">
      <w:pPr>
        <w:pStyle w:val="E-mailSignature"/>
        <w:jc w:val="center"/>
        <w:rPr>
          <w:noProof/>
        </w:rPr>
      </w:pPr>
      <w:r w:rsidRPr="00C4585A">
        <w:rPr>
          <w:noProof/>
        </w:rPr>
        <w:t>Centers for Disease Control and Prevention</w:t>
      </w:r>
    </w:p>
    <w:p w14:paraId="39A5F532" w14:textId="77777777" w:rsidR="00EB2E75" w:rsidRPr="00C4585A" w:rsidRDefault="00EB2E75" w:rsidP="00EB2E75">
      <w:pPr>
        <w:pStyle w:val="E-mailSignature"/>
        <w:jc w:val="center"/>
        <w:rPr>
          <w:noProof/>
        </w:rPr>
      </w:pPr>
      <w:r w:rsidRPr="00C4585A">
        <w:rPr>
          <w:noProof/>
        </w:rPr>
        <w:t>National Center for Injury Prevention and Control</w:t>
      </w:r>
    </w:p>
    <w:p w14:paraId="2EBC4D64" w14:textId="77777777" w:rsidR="00EB2E75" w:rsidRPr="00C4585A" w:rsidRDefault="00EB2E75" w:rsidP="00EB2E75">
      <w:pPr>
        <w:pStyle w:val="E-mailSignature"/>
        <w:jc w:val="center"/>
        <w:rPr>
          <w:noProof/>
        </w:rPr>
      </w:pPr>
      <w:r w:rsidRPr="00C4585A">
        <w:rPr>
          <w:noProof/>
        </w:rPr>
        <w:t>4770 Buford Highway NE  MS F-64</w:t>
      </w:r>
    </w:p>
    <w:p w14:paraId="08F1C116" w14:textId="77777777" w:rsidR="00EB2E75" w:rsidRPr="00C4585A" w:rsidRDefault="00EB2E75" w:rsidP="00EB2E75">
      <w:pPr>
        <w:pStyle w:val="E-mailSignature"/>
        <w:jc w:val="center"/>
        <w:rPr>
          <w:noProof/>
        </w:rPr>
      </w:pPr>
      <w:r w:rsidRPr="00C4585A">
        <w:rPr>
          <w:noProof/>
        </w:rPr>
        <w:t>Atlanta, GA 30341-3724</w:t>
      </w:r>
    </w:p>
    <w:p w14:paraId="3D890E9B" w14:textId="77777777" w:rsidR="00EB2E75" w:rsidRPr="00C4585A" w:rsidRDefault="00EB2E75" w:rsidP="00EB2E75">
      <w:pPr>
        <w:pStyle w:val="E-mailSignature"/>
        <w:jc w:val="center"/>
        <w:rPr>
          <w:noProof/>
        </w:rPr>
      </w:pPr>
      <w:r w:rsidRPr="00C4585A">
        <w:rPr>
          <w:noProof/>
        </w:rPr>
        <w:t>phone: 770.488.1394</w:t>
      </w:r>
    </w:p>
    <w:p w14:paraId="4E023131" w14:textId="77777777" w:rsidR="00EB2E75" w:rsidRPr="00C4585A" w:rsidRDefault="00EB2E75" w:rsidP="00EB2E75">
      <w:pPr>
        <w:pStyle w:val="E-mailSignature"/>
        <w:jc w:val="center"/>
        <w:rPr>
          <w:noProof/>
        </w:rPr>
      </w:pPr>
      <w:r w:rsidRPr="00C4585A">
        <w:rPr>
          <w:noProof/>
        </w:rPr>
        <w:t>fax: 770.488.1317</w:t>
      </w:r>
    </w:p>
    <w:p w14:paraId="4525F952" w14:textId="77777777" w:rsidR="00EB2E75" w:rsidRPr="00C4585A" w:rsidRDefault="00EB2E75" w:rsidP="00EB2E75">
      <w:pPr>
        <w:jc w:val="center"/>
        <w:rPr>
          <w:color w:val="000000" w:themeColor="text1"/>
        </w:rPr>
      </w:pPr>
      <w:r w:rsidRPr="00C4585A">
        <w:rPr>
          <w:noProof/>
        </w:rPr>
        <w:t xml:space="preserve">email:  </w:t>
      </w:r>
      <w:hyperlink r:id="rId6" w:history="1">
        <w:r w:rsidRPr="00C4585A">
          <w:rPr>
            <w:rStyle w:val="Hyperlink"/>
            <w:rFonts w:eastAsiaTheme="majorEastAsia"/>
            <w:color w:val="000000" w:themeColor="text1"/>
          </w:rPr>
          <w:t>gjb8@cdc.gov</w:t>
        </w:r>
      </w:hyperlink>
    </w:p>
    <w:p w14:paraId="5CDA946E" w14:textId="77777777" w:rsidR="00EB2E75" w:rsidRDefault="00EB2E75" w:rsidP="00EB2E75">
      <w:pPr>
        <w:jc w:val="center"/>
      </w:pPr>
    </w:p>
    <w:p w14:paraId="487D3167" w14:textId="77777777" w:rsidR="00EB2E75" w:rsidRDefault="00EB2E75" w:rsidP="00EB2E75">
      <w:pPr>
        <w:jc w:val="center"/>
      </w:pPr>
    </w:p>
    <w:p w14:paraId="05DD1669" w14:textId="77777777" w:rsidR="00EB2E75" w:rsidRDefault="00EB2E75" w:rsidP="00EB2E75">
      <w:pPr>
        <w:jc w:val="center"/>
      </w:pPr>
    </w:p>
    <w:p w14:paraId="0DB17365" w14:textId="77777777" w:rsidR="00EB2E75" w:rsidRDefault="00EB2E75" w:rsidP="00EB2E75">
      <w:pPr>
        <w:jc w:val="center"/>
      </w:pPr>
    </w:p>
    <w:p w14:paraId="6BA49479" w14:textId="5D9ECEBC" w:rsidR="00EB2E75" w:rsidRDefault="00EB2E75" w:rsidP="00EB2E75">
      <w:pPr>
        <w:jc w:val="center"/>
      </w:pPr>
    </w:p>
    <w:p w14:paraId="306DDAA3" w14:textId="77777777" w:rsidR="00B32280" w:rsidRDefault="00B32280" w:rsidP="00EB2E75">
      <w:pPr>
        <w:jc w:val="center"/>
      </w:pPr>
    </w:p>
    <w:p w14:paraId="23E0DB4C" w14:textId="283280BE" w:rsidR="00EB2E75" w:rsidRDefault="00EB2E75" w:rsidP="00EB2E75">
      <w:pPr>
        <w:jc w:val="center"/>
      </w:pPr>
    </w:p>
    <w:p w14:paraId="3481C946" w14:textId="77777777" w:rsidR="00E10BC0" w:rsidRDefault="00E10BC0" w:rsidP="00EB2E75">
      <w:pPr>
        <w:jc w:val="center"/>
      </w:pPr>
    </w:p>
    <w:p w14:paraId="0449B779" w14:textId="77777777" w:rsidR="00EB2E75" w:rsidRPr="00C4585A" w:rsidRDefault="00EB2E75" w:rsidP="00EB2E75">
      <w:pPr>
        <w:jc w:val="center"/>
      </w:pPr>
    </w:p>
    <w:p w14:paraId="5F1F852C" w14:textId="77777777" w:rsidR="00EB2E75" w:rsidRPr="00C4585A" w:rsidRDefault="00EB2E75" w:rsidP="00EB2E75">
      <w:pPr>
        <w:ind w:firstLine="720"/>
        <w:jc w:val="center"/>
        <w:rPr>
          <w:b/>
          <w:bCs/>
          <w:noProof/>
        </w:rPr>
      </w:pPr>
      <w:r w:rsidRPr="00C4585A">
        <w:rPr>
          <w:b/>
          <w:bCs/>
        </w:rPr>
        <w:t>CONTE</w:t>
      </w:r>
      <w:r w:rsidRPr="00C4585A">
        <w:rPr>
          <w:b/>
          <w:bCs/>
          <w:noProof/>
        </w:rPr>
        <w:t>NTS</w:t>
      </w:r>
    </w:p>
    <w:p w14:paraId="1E2D6634" w14:textId="28F2170B" w:rsidR="00EB2E75" w:rsidRDefault="00EB2E75" w:rsidP="00ED6935">
      <w:pPr>
        <w:pStyle w:val="T0-ChapPgHd"/>
        <w:jc w:val="left"/>
        <w:rPr>
          <w:noProof/>
        </w:rPr>
      </w:pPr>
      <w:r w:rsidRPr="00C4585A">
        <w:rPr>
          <w:noProof/>
        </w:rPr>
        <w:tab/>
      </w:r>
    </w:p>
    <w:p w14:paraId="6A6AD1FE" w14:textId="77777777" w:rsidR="00ED6935" w:rsidRPr="003F43D3" w:rsidRDefault="00ED6935" w:rsidP="00ED6935">
      <w:pPr>
        <w:pStyle w:val="T0-ChapPgHd"/>
        <w:jc w:val="left"/>
      </w:pPr>
    </w:p>
    <w:p w14:paraId="4EB68985" w14:textId="77777777" w:rsidR="00EB2E75" w:rsidRPr="00A46E5B" w:rsidRDefault="00EB2E75" w:rsidP="00EB2E75">
      <w:pPr>
        <w:autoSpaceDE w:val="0"/>
        <w:autoSpaceDN w:val="0"/>
        <w:adjustRightInd w:val="0"/>
        <w:rPr>
          <w:b/>
          <w:bCs/>
        </w:rPr>
      </w:pPr>
      <w:r w:rsidRPr="00A46E5B">
        <w:rPr>
          <w:b/>
          <w:bCs/>
        </w:rPr>
        <w:t xml:space="preserve">B. COLLECTIONS OF INFORMATION EMPLOYING STATISTICAL METHODS </w:t>
      </w:r>
    </w:p>
    <w:p w14:paraId="4BC688BC" w14:textId="77777777" w:rsidR="00EB2E75" w:rsidRPr="00A46E5B" w:rsidRDefault="00EB2E75" w:rsidP="00EB2E75">
      <w:pPr>
        <w:autoSpaceDE w:val="0"/>
        <w:autoSpaceDN w:val="0"/>
        <w:adjustRightInd w:val="0"/>
        <w:rPr>
          <w:b/>
          <w:bCs/>
        </w:rPr>
      </w:pPr>
    </w:p>
    <w:p w14:paraId="1A7870D6" w14:textId="77777777" w:rsidR="00EB2E75" w:rsidRPr="00C4585A" w:rsidRDefault="00EB2E75" w:rsidP="00EB2E75">
      <w:pPr>
        <w:pStyle w:val="TOC2"/>
        <w:ind w:left="0" w:firstLine="0"/>
        <w:rPr>
          <w:noProof/>
        </w:rPr>
      </w:pPr>
      <w:r>
        <w:rPr>
          <w:bCs/>
        </w:rPr>
        <w:t xml:space="preserve">            B.1.     </w:t>
      </w:r>
      <w:r w:rsidRPr="005E4D30">
        <w:rPr>
          <w:bCs/>
        </w:rPr>
        <w:t>Respondent Universe and Sampling Methods</w:t>
      </w:r>
      <w:r w:rsidRPr="005E4D30">
        <w:rPr>
          <w:bCs/>
          <w:color w:val="FF0000"/>
        </w:rPr>
        <w:t xml:space="preserve"> </w:t>
      </w:r>
      <w:r w:rsidRPr="00C4585A">
        <w:rPr>
          <w:noProof/>
        </w:rPr>
        <w:tab/>
      </w:r>
      <w:r w:rsidRPr="00C4585A">
        <w:rPr>
          <w:noProof/>
        </w:rPr>
        <w:tab/>
      </w:r>
      <w:r>
        <w:rPr>
          <w:noProof/>
        </w:rPr>
        <w:t>3</w:t>
      </w:r>
    </w:p>
    <w:p w14:paraId="198D81BC" w14:textId="77777777" w:rsidR="00EB2E75" w:rsidRPr="003F43D3" w:rsidRDefault="00EB2E75" w:rsidP="00EB2E75">
      <w:pPr>
        <w:pStyle w:val="TOC2"/>
        <w:ind w:left="0" w:firstLine="0"/>
        <w:rPr>
          <w:noProof/>
        </w:rPr>
      </w:pPr>
      <w:r>
        <w:rPr>
          <w:bCs/>
        </w:rPr>
        <w:t xml:space="preserve">            B.2.     </w:t>
      </w:r>
      <w:r w:rsidRPr="005E4D30">
        <w:rPr>
          <w:bCs/>
        </w:rPr>
        <w:t>Procedures for the Collection of Information</w:t>
      </w:r>
      <w:r w:rsidRPr="005E4D30">
        <w:rPr>
          <w:bCs/>
          <w:color w:val="FF0000"/>
        </w:rPr>
        <w:t xml:space="preserve"> </w:t>
      </w:r>
      <w:r w:rsidRPr="00C4585A">
        <w:rPr>
          <w:noProof/>
        </w:rPr>
        <w:tab/>
      </w:r>
      <w:r w:rsidRPr="00C4585A">
        <w:rPr>
          <w:noProof/>
        </w:rPr>
        <w:tab/>
      </w:r>
      <w:r>
        <w:rPr>
          <w:noProof/>
        </w:rPr>
        <w:t>5</w:t>
      </w:r>
    </w:p>
    <w:p w14:paraId="64B6C16B" w14:textId="77777777" w:rsidR="00EB2E75" w:rsidRPr="005E4D30" w:rsidRDefault="00EB2E75" w:rsidP="00EB2E75">
      <w:pPr>
        <w:outlineLvl w:val="1"/>
        <w:rPr>
          <w:bCs/>
        </w:rPr>
      </w:pPr>
      <w:r>
        <w:rPr>
          <w:bCs/>
        </w:rPr>
        <w:tab/>
      </w:r>
      <w:r w:rsidRPr="005E4D30">
        <w:rPr>
          <w:bCs/>
        </w:rPr>
        <w:t xml:space="preserve">B.3. </w:t>
      </w:r>
      <w:r>
        <w:rPr>
          <w:bCs/>
        </w:rPr>
        <w:tab/>
      </w:r>
      <w:r w:rsidRPr="005E4D30">
        <w:rPr>
          <w:bCs/>
        </w:rPr>
        <w:t>Methods to Maximize Response Rates and Deal with Nonresponse</w:t>
      </w:r>
      <w:r w:rsidRPr="00C4585A">
        <w:rPr>
          <w:noProof/>
        </w:rPr>
        <w:tab/>
      </w:r>
      <w:r w:rsidRPr="005E4D30">
        <w:rPr>
          <w:bCs/>
        </w:rPr>
        <w:t xml:space="preserve"> </w:t>
      </w:r>
      <w:r>
        <w:rPr>
          <w:bCs/>
        </w:rPr>
        <w:t>…</w:t>
      </w:r>
      <w:r w:rsidRPr="00C4585A">
        <w:rPr>
          <w:noProof/>
        </w:rPr>
        <w:tab/>
      </w:r>
      <w:r>
        <w:rPr>
          <w:noProof/>
        </w:rPr>
        <w:t>6</w:t>
      </w:r>
    </w:p>
    <w:p w14:paraId="52270195" w14:textId="77777777" w:rsidR="00EB2E75" w:rsidRPr="005E4D30" w:rsidRDefault="00EB2E75" w:rsidP="00EB2E75">
      <w:pPr>
        <w:autoSpaceDE w:val="0"/>
        <w:autoSpaceDN w:val="0"/>
        <w:adjustRightInd w:val="0"/>
        <w:outlineLvl w:val="1"/>
        <w:rPr>
          <w:bCs/>
        </w:rPr>
      </w:pPr>
      <w:r>
        <w:rPr>
          <w:bCs/>
        </w:rPr>
        <w:tab/>
      </w:r>
      <w:r w:rsidRPr="005E4D30">
        <w:rPr>
          <w:bCs/>
        </w:rPr>
        <w:t xml:space="preserve">B.4. </w:t>
      </w:r>
      <w:r>
        <w:rPr>
          <w:bCs/>
        </w:rPr>
        <w:tab/>
      </w:r>
      <w:r w:rsidRPr="005E4D30">
        <w:rPr>
          <w:bCs/>
        </w:rPr>
        <w:t>Tests of Procedures or Methods to be Undertaken</w:t>
      </w:r>
      <w:r>
        <w:rPr>
          <w:bCs/>
        </w:rPr>
        <w:t>……………………..</w:t>
      </w:r>
      <w:r>
        <w:rPr>
          <w:bCs/>
        </w:rPr>
        <w:tab/>
      </w:r>
      <w:r>
        <w:rPr>
          <w:noProof/>
        </w:rPr>
        <w:t>7</w:t>
      </w:r>
    </w:p>
    <w:p w14:paraId="3D74978E" w14:textId="77777777" w:rsidR="00EB2E75" w:rsidRDefault="00EB2E75" w:rsidP="00EB2E75">
      <w:pPr>
        <w:autoSpaceDE w:val="0"/>
        <w:autoSpaceDN w:val="0"/>
        <w:adjustRightInd w:val="0"/>
        <w:ind w:left="465" w:hanging="465"/>
        <w:outlineLvl w:val="1"/>
        <w:rPr>
          <w:bCs/>
        </w:rPr>
      </w:pPr>
      <w:r>
        <w:rPr>
          <w:bCs/>
        </w:rPr>
        <w:tab/>
      </w:r>
      <w:r>
        <w:rPr>
          <w:bCs/>
        </w:rPr>
        <w:tab/>
      </w:r>
      <w:r w:rsidRPr="005E4D30">
        <w:rPr>
          <w:bCs/>
        </w:rPr>
        <w:t xml:space="preserve">B.5. </w:t>
      </w:r>
      <w:r>
        <w:rPr>
          <w:bCs/>
        </w:rPr>
        <w:tab/>
      </w:r>
      <w:r w:rsidRPr="005E4D30">
        <w:rPr>
          <w:bCs/>
        </w:rPr>
        <w:t xml:space="preserve">Individuals Consulted on Statistical Aspects and Individuals </w:t>
      </w:r>
    </w:p>
    <w:p w14:paraId="3CE7080A" w14:textId="77777777" w:rsidR="00EB2E75" w:rsidRPr="00EC6E6A" w:rsidRDefault="00EB2E75" w:rsidP="00EB2E75">
      <w:pPr>
        <w:autoSpaceDE w:val="0"/>
        <w:autoSpaceDN w:val="0"/>
        <w:adjustRightInd w:val="0"/>
        <w:ind w:left="465" w:hanging="465"/>
        <w:outlineLvl w:val="1"/>
        <w:rPr>
          <w:bCs/>
        </w:rPr>
      </w:pPr>
      <w:r>
        <w:rPr>
          <w:bCs/>
        </w:rPr>
        <w:tab/>
      </w:r>
      <w:r>
        <w:rPr>
          <w:bCs/>
        </w:rPr>
        <w:tab/>
      </w:r>
      <w:r>
        <w:rPr>
          <w:bCs/>
        </w:rPr>
        <w:tab/>
      </w:r>
      <w:r w:rsidRPr="005E4D30">
        <w:rPr>
          <w:bCs/>
        </w:rPr>
        <w:t>Collecting and/or Analyzing Data</w:t>
      </w:r>
      <w:r>
        <w:rPr>
          <w:bCs/>
        </w:rPr>
        <w:t>………………………………………</w:t>
      </w:r>
      <w:r w:rsidRPr="003F43D3">
        <w:rPr>
          <w:noProof/>
        </w:rPr>
        <w:t xml:space="preserve"> </w:t>
      </w:r>
      <w:r w:rsidRPr="00C4585A">
        <w:rPr>
          <w:noProof/>
        </w:rPr>
        <w:tab/>
      </w:r>
      <w:r>
        <w:rPr>
          <w:noProof/>
        </w:rPr>
        <w:t>7</w:t>
      </w:r>
    </w:p>
    <w:p w14:paraId="062C3F3A" w14:textId="77777777" w:rsidR="00EB2E75" w:rsidRPr="005E4D30" w:rsidRDefault="00EB2E75" w:rsidP="00EB2E75">
      <w:pPr>
        <w:autoSpaceDE w:val="0"/>
        <w:autoSpaceDN w:val="0"/>
        <w:adjustRightInd w:val="0"/>
        <w:outlineLvl w:val="1"/>
        <w:rPr>
          <w:bCs/>
        </w:rPr>
      </w:pPr>
      <w:r w:rsidRPr="005E4D30">
        <w:rPr>
          <w:bCs/>
        </w:rPr>
        <w:t xml:space="preserve"> </w:t>
      </w:r>
      <w:r>
        <w:rPr>
          <w:bCs/>
        </w:rPr>
        <w:tab/>
      </w:r>
    </w:p>
    <w:p w14:paraId="6A825482" w14:textId="77777777" w:rsidR="00EB2E75" w:rsidRPr="00A46E5B" w:rsidRDefault="00EB2E75" w:rsidP="00EB2E75">
      <w:pPr>
        <w:rPr>
          <w:color w:val="000000"/>
          <w:lang w:val="de-DE"/>
        </w:rPr>
      </w:pPr>
    </w:p>
    <w:p w14:paraId="24F0E129" w14:textId="77777777" w:rsidR="00EB2E75" w:rsidRDefault="00EB2E75" w:rsidP="00EB2E75">
      <w:pPr>
        <w:rPr>
          <w:b/>
          <w:sz w:val="28"/>
          <w:szCs w:val="20"/>
        </w:rPr>
      </w:pPr>
      <w:r>
        <w:rPr>
          <w:b/>
        </w:rPr>
        <w:br w:type="page"/>
      </w:r>
    </w:p>
    <w:p w14:paraId="75943469" w14:textId="77777777" w:rsidR="00EB2E75" w:rsidRPr="000E4115" w:rsidRDefault="00EB2E75" w:rsidP="00EB2E75">
      <w:pPr>
        <w:pStyle w:val="Heading2"/>
        <w:rPr>
          <w:b/>
          <w:color w:val="auto"/>
        </w:rPr>
      </w:pPr>
      <w:r w:rsidRPr="000E4115">
        <w:rPr>
          <w:b/>
          <w:color w:val="auto"/>
        </w:rPr>
        <w:t>B.</w:t>
      </w:r>
      <w:r>
        <w:rPr>
          <w:b/>
        </w:rPr>
        <w:tab/>
      </w:r>
      <w:r w:rsidRPr="000E4115">
        <w:rPr>
          <w:b/>
          <w:color w:val="auto"/>
        </w:rPr>
        <w:t>COLLECTIONS OF INFORMATION EMPLOYING STATISTICAL METHODS</w:t>
      </w:r>
    </w:p>
    <w:p w14:paraId="51AB96D5" w14:textId="77777777" w:rsidR="00EB2E75" w:rsidRDefault="00EB2E75" w:rsidP="00EB2E75"/>
    <w:p w14:paraId="0A20B414" w14:textId="77777777" w:rsidR="00EB2E75" w:rsidRDefault="00EB2E75" w:rsidP="00EB2E75">
      <w:pPr>
        <w:tabs>
          <w:tab w:val="left" w:pos="360"/>
        </w:tabs>
        <w:ind w:left="360" w:hanging="360"/>
        <w:outlineLvl w:val="0"/>
        <w:rPr>
          <w:b/>
        </w:rPr>
      </w:pPr>
      <w:r>
        <w:rPr>
          <w:b/>
        </w:rPr>
        <w:t>B.1.</w:t>
      </w:r>
      <w:r>
        <w:rPr>
          <w:b/>
        </w:rPr>
        <w:tab/>
        <w:t>Respondent Universe and Sampling Methods</w:t>
      </w:r>
    </w:p>
    <w:p w14:paraId="23A907C2" w14:textId="77777777" w:rsidR="00EB2E75" w:rsidRDefault="00EB2E75" w:rsidP="00EB2E75">
      <w:pPr>
        <w:tabs>
          <w:tab w:val="left" w:pos="360"/>
        </w:tabs>
        <w:ind w:left="360" w:hanging="360"/>
        <w:outlineLvl w:val="0"/>
        <w:rPr>
          <w:b/>
        </w:rPr>
      </w:pPr>
    </w:p>
    <w:p w14:paraId="664F8076" w14:textId="016B2AC6" w:rsidR="00F64AF7" w:rsidRDefault="00E306CA" w:rsidP="00EB2E75">
      <w:r>
        <w:t>T</w:t>
      </w:r>
      <w:r w:rsidR="00EB2E75" w:rsidRPr="00F51264">
        <w:t xml:space="preserve">he respondent universe for this data collection will consist of </w:t>
      </w:r>
      <w:r w:rsidR="00EB2E75">
        <w:t>three groups</w:t>
      </w:r>
      <w:r w:rsidR="00F64AF7">
        <w:t xml:space="preserve"> (</w:t>
      </w:r>
      <w:r w:rsidR="00F64AF7" w:rsidRPr="00F64AF7">
        <w:t>Table 1)</w:t>
      </w:r>
      <w:r w:rsidR="00F64AF7">
        <w:t>:</w:t>
      </w:r>
    </w:p>
    <w:p w14:paraId="36865B63" w14:textId="1EC3674C" w:rsidR="00F64AF7" w:rsidRPr="00F64AF7" w:rsidRDefault="00715AB1" w:rsidP="00F64AF7">
      <w:pPr>
        <w:pStyle w:val="ListParagraph"/>
        <w:numPr>
          <w:ilvl w:val="0"/>
          <w:numId w:val="4"/>
        </w:numPr>
        <w:rPr>
          <w:rFonts w:ascii="Times New Roman" w:eastAsia="Times New Roman" w:hAnsi="Times New Roman"/>
          <w:sz w:val="24"/>
          <w:szCs w:val="24"/>
        </w:rPr>
      </w:pPr>
      <w:r w:rsidRPr="00F64AF7">
        <w:rPr>
          <w:rFonts w:ascii="Times New Roman" w:eastAsia="Times New Roman" w:hAnsi="Times New Roman"/>
          <w:sz w:val="24"/>
          <w:szCs w:val="24"/>
        </w:rPr>
        <w:t>Hospitalized o</w:t>
      </w:r>
      <w:r w:rsidR="00EB2E75" w:rsidRPr="00F64AF7">
        <w:rPr>
          <w:rFonts w:ascii="Times New Roman" w:eastAsia="Times New Roman" w:hAnsi="Times New Roman"/>
          <w:sz w:val="24"/>
          <w:szCs w:val="24"/>
        </w:rPr>
        <w:t>lder adult patients</w:t>
      </w:r>
      <w:r w:rsidR="00952BD5" w:rsidRPr="00F64AF7">
        <w:rPr>
          <w:rFonts w:ascii="Times New Roman" w:eastAsia="Times New Roman" w:hAnsi="Times New Roman"/>
          <w:sz w:val="24"/>
          <w:szCs w:val="24"/>
        </w:rPr>
        <w:t xml:space="preserve"> considered high risk </w:t>
      </w:r>
      <w:r w:rsidRPr="00F64AF7">
        <w:rPr>
          <w:rFonts w:ascii="Times New Roman" w:eastAsia="Times New Roman" w:hAnsi="Times New Roman"/>
          <w:sz w:val="24"/>
          <w:szCs w:val="24"/>
        </w:rPr>
        <w:t xml:space="preserve">for falls </w:t>
      </w:r>
      <w:r w:rsidR="00952BD5" w:rsidRPr="00F64AF7">
        <w:rPr>
          <w:rFonts w:ascii="Times New Roman" w:eastAsia="Times New Roman" w:hAnsi="Times New Roman"/>
          <w:sz w:val="24"/>
          <w:szCs w:val="24"/>
        </w:rPr>
        <w:t xml:space="preserve">due to opioid use </w:t>
      </w:r>
      <w:r w:rsidR="00EB2E75" w:rsidRPr="00F64AF7">
        <w:rPr>
          <w:rFonts w:ascii="Times New Roman" w:eastAsia="Times New Roman" w:hAnsi="Times New Roman"/>
          <w:sz w:val="24"/>
          <w:szCs w:val="24"/>
        </w:rPr>
        <w:t>(</w:t>
      </w:r>
      <w:r w:rsidR="00996AB6" w:rsidRPr="00F64AF7">
        <w:rPr>
          <w:rFonts w:ascii="Times New Roman" w:eastAsia="Times New Roman" w:hAnsi="Times New Roman"/>
          <w:sz w:val="24"/>
          <w:szCs w:val="24"/>
        </w:rPr>
        <w:t>Pre</w:t>
      </w:r>
      <w:r w:rsidR="00F64AF7" w:rsidRPr="00F64AF7">
        <w:rPr>
          <w:rFonts w:ascii="Times New Roman" w:eastAsia="Times New Roman" w:hAnsi="Times New Roman"/>
          <w:sz w:val="24"/>
          <w:szCs w:val="24"/>
        </w:rPr>
        <w:t>-Discharge Patient Questionnaire and Post-Discharge Patient Questionnaire</w:t>
      </w:r>
      <w:r w:rsidR="00EB2E75" w:rsidRPr="00F64AF7">
        <w:rPr>
          <w:rFonts w:ascii="Times New Roman" w:eastAsia="Times New Roman" w:hAnsi="Times New Roman"/>
          <w:sz w:val="24"/>
          <w:szCs w:val="24"/>
        </w:rPr>
        <w:t>)</w:t>
      </w:r>
    </w:p>
    <w:p w14:paraId="50197846" w14:textId="60001024" w:rsidR="00F64AF7" w:rsidRPr="00F64AF7" w:rsidRDefault="00952BD5" w:rsidP="00F64AF7">
      <w:pPr>
        <w:pStyle w:val="ListParagraph"/>
        <w:numPr>
          <w:ilvl w:val="0"/>
          <w:numId w:val="4"/>
        </w:numPr>
        <w:rPr>
          <w:rFonts w:ascii="Times New Roman" w:eastAsia="Times New Roman" w:hAnsi="Times New Roman"/>
          <w:sz w:val="24"/>
          <w:szCs w:val="24"/>
        </w:rPr>
      </w:pPr>
      <w:r w:rsidRPr="00F64AF7">
        <w:rPr>
          <w:rFonts w:ascii="Times New Roman" w:eastAsia="Times New Roman" w:hAnsi="Times New Roman"/>
          <w:sz w:val="24"/>
          <w:szCs w:val="24"/>
        </w:rPr>
        <w:t xml:space="preserve">UCSF </w:t>
      </w:r>
      <w:r w:rsidR="00EB2E75" w:rsidRPr="00F64AF7">
        <w:rPr>
          <w:rFonts w:ascii="Times New Roman" w:eastAsia="Times New Roman" w:hAnsi="Times New Roman"/>
          <w:sz w:val="24"/>
          <w:szCs w:val="24"/>
        </w:rPr>
        <w:t>clinical staff</w:t>
      </w:r>
      <w:r w:rsidRPr="00F64AF7">
        <w:rPr>
          <w:rFonts w:ascii="Times New Roman" w:eastAsia="Times New Roman" w:hAnsi="Times New Roman"/>
          <w:sz w:val="24"/>
          <w:szCs w:val="24"/>
        </w:rPr>
        <w:t xml:space="preserve"> (pharmacists, nurses, physicians)</w:t>
      </w:r>
      <w:r w:rsidR="00EB2E75" w:rsidRPr="00F64AF7">
        <w:rPr>
          <w:rFonts w:ascii="Times New Roman" w:eastAsia="Times New Roman" w:hAnsi="Times New Roman"/>
          <w:sz w:val="24"/>
          <w:szCs w:val="24"/>
        </w:rPr>
        <w:t xml:space="preserve"> (UCSF Clinical </w:t>
      </w:r>
      <w:r w:rsidR="00F64AF7" w:rsidRPr="00F64AF7">
        <w:rPr>
          <w:rFonts w:ascii="Times New Roman" w:eastAsia="Times New Roman" w:hAnsi="Times New Roman"/>
          <w:sz w:val="24"/>
          <w:szCs w:val="24"/>
        </w:rPr>
        <w:t>Staff Evaluation Questionnaires)</w:t>
      </w:r>
    </w:p>
    <w:p w14:paraId="3220F3EC" w14:textId="636B3FD6" w:rsidR="00EB2E75" w:rsidRPr="00F64AF7" w:rsidRDefault="00F64AF7" w:rsidP="00F64AF7">
      <w:pPr>
        <w:pStyle w:val="ListParagraph"/>
        <w:numPr>
          <w:ilvl w:val="0"/>
          <w:numId w:val="4"/>
        </w:numPr>
        <w:rPr>
          <w:rFonts w:ascii="Times New Roman" w:eastAsia="Times New Roman" w:hAnsi="Times New Roman"/>
          <w:sz w:val="24"/>
          <w:szCs w:val="24"/>
        </w:rPr>
      </w:pPr>
      <w:r w:rsidRPr="00F64AF7">
        <w:rPr>
          <w:rFonts w:ascii="Times New Roman" w:eastAsia="Times New Roman" w:hAnsi="Times New Roman"/>
          <w:sz w:val="24"/>
          <w:szCs w:val="24"/>
        </w:rPr>
        <w:t>P</w:t>
      </w:r>
      <w:r w:rsidR="00EB2E75" w:rsidRPr="00F64AF7">
        <w:rPr>
          <w:rFonts w:ascii="Times New Roman" w:eastAsia="Times New Roman" w:hAnsi="Times New Roman"/>
          <w:sz w:val="24"/>
          <w:szCs w:val="24"/>
        </w:rPr>
        <w:t xml:space="preserve">rimary care providers </w:t>
      </w:r>
      <w:r w:rsidRPr="00F64AF7">
        <w:rPr>
          <w:rFonts w:ascii="Times New Roman" w:eastAsia="Times New Roman" w:hAnsi="Times New Roman"/>
          <w:sz w:val="24"/>
          <w:szCs w:val="24"/>
        </w:rPr>
        <w:t>(PCP</w:t>
      </w:r>
      <w:r w:rsidR="00180771">
        <w:rPr>
          <w:rFonts w:ascii="Times New Roman" w:eastAsia="Times New Roman" w:hAnsi="Times New Roman"/>
          <w:sz w:val="24"/>
          <w:szCs w:val="24"/>
        </w:rPr>
        <w:t>s</w:t>
      </w:r>
      <w:r w:rsidRPr="00F64AF7">
        <w:rPr>
          <w:rFonts w:ascii="Times New Roman" w:eastAsia="Times New Roman" w:hAnsi="Times New Roman"/>
          <w:sz w:val="24"/>
          <w:szCs w:val="24"/>
        </w:rPr>
        <w:t xml:space="preserve">) </w:t>
      </w:r>
      <w:r w:rsidR="00952BD5" w:rsidRPr="00F64AF7">
        <w:rPr>
          <w:rFonts w:ascii="Times New Roman" w:eastAsia="Times New Roman" w:hAnsi="Times New Roman"/>
          <w:sz w:val="24"/>
          <w:szCs w:val="24"/>
        </w:rPr>
        <w:t xml:space="preserve">that care for older adults discharged from UCSF </w:t>
      </w:r>
      <w:r w:rsidR="00EB2E75" w:rsidRPr="00F64AF7">
        <w:rPr>
          <w:rFonts w:ascii="Times New Roman" w:eastAsia="Times New Roman" w:hAnsi="Times New Roman"/>
          <w:sz w:val="24"/>
          <w:szCs w:val="24"/>
        </w:rPr>
        <w:t>(</w:t>
      </w:r>
      <w:r w:rsidR="0075160C" w:rsidRPr="00F64AF7">
        <w:rPr>
          <w:rFonts w:ascii="Times New Roman" w:eastAsia="Times New Roman" w:hAnsi="Times New Roman"/>
          <w:sz w:val="24"/>
          <w:szCs w:val="24"/>
        </w:rPr>
        <w:t>Primary care providers</w:t>
      </w:r>
      <w:r w:rsidR="00EB2E75" w:rsidRPr="00F64AF7">
        <w:rPr>
          <w:rFonts w:ascii="Times New Roman" w:eastAsia="Times New Roman" w:hAnsi="Times New Roman"/>
          <w:sz w:val="24"/>
          <w:szCs w:val="24"/>
        </w:rPr>
        <w:t xml:space="preserve"> </w:t>
      </w:r>
      <w:r w:rsidRPr="00F64AF7">
        <w:rPr>
          <w:rFonts w:ascii="Times New Roman" w:eastAsia="Times New Roman" w:hAnsi="Times New Roman"/>
          <w:sz w:val="24"/>
          <w:szCs w:val="24"/>
        </w:rPr>
        <w:t>Post-Discharge Questionnaire</w:t>
      </w:r>
      <w:r w:rsidR="00952BD5" w:rsidRPr="00F64AF7">
        <w:rPr>
          <w:rFonts w:ascii="Times New Roman" w:eastAsia="Times New Roman" w:hAnsi="Times New Roman"/>
          <w:sz w:val="24"/>
          <w:szCs w:val="24"/>
        </w:rPr>
        <w:t xml:space="preserve">). </w:t>
      </w:r>
    </w:p>
    <w:p w14:paraId="353A74C2" w14:textId="77777777" w:rsidR="00EB2E75" w:rsidRPr="00F51264" w:rsidRDefault="00EB2E75" w:rsidP="00EB2E75"/>
    <w:p w14:paraId="1E9E1005" w14:textId="58CEFFF7" w:rsidR="00EB2E75" w:rsidRPr="00F51264" w:rsidRDefault="00EB2E75" w:rsidP="00EB2E75">
      <w:r w:rsidRPr="00F51264">
        <w:t xml:space="preserve">Study data for the </w:t>
      </w:r>
      <w:r w:rsidRPr="00314D4B">
        <w:rPr>
          <w:i/>
        </w:rPr>
        <w:t>patient surveys</w:t>
      </w:r>
      <w:r w:rsidRPr="00F51264">
        <w:t xml:space="preserve"> will be collected from older adults </w:t>
      </w:r>
      <w:r w:rsidR="00274D62">
        <w:t xml:space="preserve">identified as high risk </w:t>
      </w:r>
      <w:r w:rsidR="00715AB1">
        <w:t xml:space="preserve">for falls </w:t>
      </w:r>
      <w:r w:rsidR="00274D62">
        <w:t>due to opioid use</w:t>
      </w:r>
      <w:r w:rsidR="00314D4B">
        <w:t xml:space="preserve">. These include older adult </w:t>
      </w:r>
      <w:r w:rsidR="00274D62" w:rsidRPr="00202FE2">
        <w:t xml:space="preserve">patients admitted </w:t>
      </w:r>
      <w:r w:rsidR="00715AB1">
        <w:t xml:space="preserve">to inpatient units </w:t>
      </w:r>
      <w:r w:rsidR="00274D62" w:rsidRPr="00202FE2">
        <w:t>and started on</w:t>
      </w:r>
      <w:r w:rsidR="00F536DA">
        <w:t xml:space="preserve"> a</w:t>
      </w:r>
      <w:r w:rsidR="00274D62" w:rsidRPr="00202FE2">
        <w:t xml:space="preserve"> new long-acting opioid, patients on high oral morphine equivalent regimens, and those on combination opioids and benzodiazepines</w:t>
      </w:r>
      <w:r w:rsidR="00314D4B">
        <w:t xml:space="preserve">, </w:t>
      </w:r>
      <w:r w:rsidR="00274D62">
        <w:t xml:space="preserve">who </w:t>
      </w:r>
      <w:r w:rsidRPr="00F51264">
        <w:t>receive</w:t>
      </w:r>
      <w:r w:rsidR="00274D62">
        <w:t>d</w:t>
      </w:r>
      <w:r w:rsidRPr="00F51264">
        <w:t xml:space="preserve"> medication management for opioids </w:t>
      </w:r>
      <w:r>
        <w:t>as part of their discharge planning</w:t>
      </w:r>
      <w:r w:rsidRPr="00F51264">
        <w:t xml:space="preserve"> from the University of California San Francisco</w:t>
      </w:r>
      <w:r w:rsidR="00F64AF7">
        <w:t xml:space="preserve"> (UCSF)</w:t>
      </w:r>
      <w:r w:rsidRPr="00F51264">
        <w:t xml:space="preserve"> Medical Center.</w:t>
      </w:r>
      <w:r w:rsidR="00314D4B">
        <w:t xml:space="preserve"> Older adults who are receiving </w:t>
      </w:r>
      <w:r w:rsidR="00F64AF7">
        <w:t xml:space="preserve">hospice care, those with observation only, or same day admission are not included. Additionally, patients </w:t>
      </w:r>
      <w:r w:rsidR="00314D4B">
        <w:t>who are cognitively impaired</w:t>
      </w:r>
      <w:r w:rsidR="00F64AF7">
        <w:t xml:space="preserve"> or do not speak English</w:t>
      </w:r>
      <w:r w:rsidR="00314D4B">
        <w:t xml:space="preserve"> will be excluded. </w:t>
      </w:r>
      <w:r w:rsidRPr="00F51264">
        <w:t xml:space="preserve"> </w:t>
      </w:r>
      <w:r w:rsidR="00952BD5">
        <w:t>All eligible older adults will be invited to take the surveys (</w:t>
      </w:r>
      <w:r w:rsidR="00715AB1">
        <w:t xml:space="preserve">estimated </w:t>
      </w:r>
      <w:r w:rsidR="00952BD5">
        <w:t xml:space="preserve">6,897 over 3 years). The expected response rate is 35%. </w:t>
      </w:r>
      <w:r w:rsidRPr="00F51264">
        <w:t xml:space="preserve">The questionnaires </w:t>
      </w:r>
      <w:r w:rsidRPr="00F51264">
        <w:rPr>
          <w:b/>
        </w:rPr>
        <w:t>(Attachment E1 and E2)</w:t>
      </w:r>
      <w:r w:rsidRPr="00F51264">
        <w:t xml:space="preserve"> include questions about the patient’s health status, use of medication and non-medication therapies for pain</w:t>
      </w:r>
      <w:r w:rsidR="00715AB1">
        <w:t xml:space="preserve"> control</w:t>
      </w:r>
      <w:r w:rsidRPr="00F51264">
        <w:t xml:space="preserve">, follow through with recommendations on </w:t>
      </w:r>
      <w:r w:rsidR="00715AB1">
        <w:t xml:space="preserve">opioid </w:t>
      </w:r>
      <w:r w:rsidRPr="00F51264">
        <w:t xml:space="preserve">tapering efforts, referral to specialists and readmissions for falls or other conditions. The questionnaire is expected to take an average of 10 minutes to </w:t>
      </w:r>
      <w:r w:rsidR="00715AB1">
        <w:t>complete</w:t>
      </w:r>
      <w:r w:rsidRPr="00F51264">
        <w:t xml:space="preserve">. </w:t>
      </w:r>
      <w:r w:rsidR="00715AB1">
        <w:t xml:space="preserve"> </w:t>
      </w:r>
    </w:p>
    <w:p w14:paraId="30D9459E" w14:textId="77777777" w:rsidR="00EB2E75" w:rsidRPr="00F51264" w:rsidRDefault="00EB2E75" w:rsidP="00EB2E75"/>
    <w:p w14:paraId="65D8C2A3" w14:textId="77777777" w:rsidR="00DD6BCF" w:rsidRDefault="00EB2E75" w:rsidP="00DD6BCF">
      <w:r w:rsidRPr="00F51264" w:rsidDel="00C41D3A">
        <w:t xml:space="preserve">Study data </w:t>
      </w:r>
      <w:r w:rsidRPr="00F51264">
        <w:t xml:space="preserve">from the </w:t>
      </w:r>
      <w:r w:rsidR="00314D4B" w:rsidRPr="00314D4B">
        <w:rPr>
          <w:i/>
        </w:rPr>
        <w:t xml:space="preserve">UCSF </w:t>
      </w:r>
      <w:r w:rsidR="00F64AF7" w:rsidRPr="00314D4B">
        <w:rPr>
          <w:i/>
        </w:rPr>
        <w:t xml:space="preserve">Clinical Staff Evaluation </w:t>
      </w:r>
      <w:r w:rsidR="00F64AF7">
        <w:rPr>
          <w:i/>
        </w:rPr>
        <w:t>Questionnaire</w:t>
      </w:r>
      <w:r w:rsidR="00F64AF7" w:rsidRPr="00F51264">
        <w:t xml:space="preserve"> </w:t>
      </w:r>
      <w:r w:rsidRPr="00F51264" w:rsidDel="00C41D3A">
        <w:t xml:space="preserve">will be collected </w:t>
      </w:r>
      <w:r w:rsidRPr="00F51264">
        <w:t xml:space="preserve">by a </w:t>
      </w:r>
      <w:r w:rsidR="008467A6">
        <w:t xml:space="preserve">monthly </w:t>
      </w:r>
      <w:r w:rsidRPr="00F51264">
        <w:t xml:space="preserve">cross-sectional </w:t>
      </w:r>
      <w:r w:rsidR="00C75981">
        <w:t>survey</w:t>
      </w:r>
      <w:r w:rsidR="00314D4B">
        <w:t xml:space="preserve"> </w:t>
      </w:r>
      <w:r w:rsidRPr="00F51264">
        <w:t>of</w:t>
      </w:r>
      <w:r w:rsidRPr="00F51264" w:rsidDel="00C41D3A">
        <w:t xml:space="preserve"> clinical staff </w:t>
      </w:r>
      <w:r w:rsidRPr="00F51264">
        <w:t>(nurses, pharmacists, and physicians</w:t>
      </w:r>
      <w:r w:rsidRPr="00F51264" w:rsidDel="00C41D3A">
        <w:t xml:space="preserve">) at </w:t>
      </w:r>
      <w:r w:rsidR="00180771">
        <w:t xml:space="preserve">the </w:t>
      </w:r>
      <w:r w:rsidR="00BE457A">
        <w:t>UCSF</w:t>
      </w:r>
      <w:r w:rsidRPr="00F51264" w:rsidDel="00C41D3A">
        <w:t xml:space="preserve"> Medical Center</w:t>
      </w:r>
      <w:r w:rsidR="00DD6BCF">
        <w:t>,</w:t>
      </w:r>
      <w:r w:rsidRPr="00F51264" w:rsidDel="00C41D3A">
        <w:t xml:space="preserve"> </w:t>
      </w:r>
      <w:r w:rsidR="004249FC" w:rsidRPr="00202FE2" w:rsidDel="00C41D3A">
        <w:t xml:space="preserve">where </w:t>
      </w:r>
      <w:r w:rsidR="004249FC">
        <w:t xml:space="preserve">opioid </w:t>
      </w:r>
      <w:r w:rsidR="00F536DA">
        <w:t xml:space="preserve">prescribing protocols and decision support tools </w:t>
      </w:r>
      <w:r w:rsidR="004249FC" w:rsidRPr="00202FE2" w:rsidDel="00C41D3A">
        <w:t>ha</w:t>
      </w:r>
      <w:r w:rsidR="004249FC" w:rsidRPr="00202FE2">
        <w:t>ve</w:t>
      </w:r>
      <w:r w:rsidR="004249FC" w:rsidRPr="00202FE2" w:rsidDel="00C41D3A">
        <w:t xml:space="preserve"> been implemented into the hospital discharge </w:t>
      </w:r>
      <w:r w:rsidR="004249FC" w:rsidRPr="00202FE2">
        <w:t>process to reduce risk of opioid adverse events</w:t>
      </w:r>
      <w:r w:rsidR="00F536DA">
        <w:t xml:space="preserve"> and</w:t>
      </w:r>
      <w:r w:rsidR="00F64AF7">
        <w:t xml:space="preserve"> falls. </w:t>
      </w:r>
      <w:r w:rsidR="00314D4B">
        <w:t>U</w:t>
      </w:r>
      <w:r w:rsidR="009F3AE1">
        <w:t xml:space="preserve">sing electronic records of ordering and documentation activity in units targeted by our study, we will identify all nurses, pharmacists, and physicians who have had clinical contact </w:t>
      </w:r>
      <w:r w:rsidR="0064330D">
        <w:t xml:space="preserve">with </w:t>
      </w:r>
      <w:r w:rsidR="00952BD5">
        <w:t>older adult study patients</w:t>
      </w:r>
      <w:r w:rsidR="009F3AE1">
        <w:t xml:space="preserve">.  </w:t>
      </w:r>
      <w:r w:rsidR="0064330D">
        <w:t>We</w:t>
      </w:r>
      <w:r w:rsidR="009F3AE1">
        <w:t xml:space="preserve"> will then send an electronic survey </w:t>
      </w:r>
      <w:r w:rsidR="00B805E0">
        <w:t xml:space="preserve">with the correspondence letter </w:t>
      </w:r>
      <w:r w:rsidR="009F3AE1">
        <w:t xml:space="preserve">to a randomly selected </w:t>
      </w:r>
      <w:r w:rsidR="008467A6">
        <w:t xml:space="preserve">(using block randomization of digits we will then match to provider ID numbers) </w:t>
      </w:r>
      <w:r w:rsidR="009F3AE1">
        <w:t xml:space="preserve">sample of </w:t>
      </w:r>
      <w:r w:rsidR="008467A6">
        <w:t>recipients per mo</w:t>
      </w:r>
      <w:r w:rsidR="00B805E0">
        <w:t>nth</w:t>
      </w:r>
      <w:r w:rsidR="00AE1EBB">
        <w:t xml:space="preserve"> for a total of 300 over 3 years</w:t>
      </w:r>
      <w:r w:rsidR="00B805E0">
        <w:t xml:space="preserve">. </w:t>
      </w:r>
      <w:r w:rsidR="00AE1EBB">
        <w:t xml:space="preserve">We expect a 50% response rate. </w:t>
      </w:r>
      <w:r w:rsidRPr="00F51264" w:rsidDel="00C41D3A">
        <w:t xml:space="preserve">The questionnaire includes </w:t>
      </w:r>
      <w:r w:rsidRPr="00F51264">
        <w:t xml:space="preserve">questions </w:t>
      </w:r>
      <w:r w:rsidRPr="00F51264" w:rsidDel="00C41D3A">
        <w:t xml:space="preserve">about the respondent’s use and experience </w:t>
      </w:r>
      <w:r w:rsidRPr="00F51264">
        <w:t>with opioid prescribing guidance and their opinion of the effectiveness of the project to reduce falls and opioid adverse events</w:t>
      </w:r>
      <w:r w:rsidR="0075160C">
        <w:t xml:space="preserve"> </w:t>
      </w:r>
      <w:r w:rsidR="0064330D" w:rsidRPr="00F51264">
        <w:rPr>
          <w:b/>
        </w:rPr>
        <w:t>(Attachment E3</w:t>
      </w:r>
      <w:r w:rsidR="00ED6935">
        <w:rPr>
          <w:b/>
        </w:rPr>
        <w:t xml:space="preserve">). </w:t>
      </w:r>
      <w:r w:rsidRPr="00F51264" w:rsidDel="00C41D3A">
        <w:t xml:space="preserve">The questionnaire is expected to take approximately </w:t>
      </w:r>
      <w:r w:rsidRPr="00F51264">
        <w:t xml:space="preserve">5 </w:t>
      </w:r>
      <w:r w:rsidRPr="00F51264" w:rsidDel="00C41D3A">
        <w:t xml:space="preserve">minutes to fill out. </w:t>
      </w:r>
    </w:p>
    <w:p w14:paraId="3D517EF7" w14:textId="77777777" w:rsidR="00DD6BCF" w:rsidRDefault="00DD6BCF" w:rsidP="00DD6BCF"/>
    <w:p w14:paraId="5021805E" w14:textId="47AFC626" w:rsidR="00EB2E75" w:rsidRPr="000E122A" w:rsidRDefault="00EB2E75" w:rsidP="00DD6BCF">
      <w:r w:rsidRPr="000E122A">
        <w:t xml:space="preserve">Study data for the </w:t>
      </w:r>
      <w:r w:rsidR="0073302A" w:rsidRPr="0075160C">
        <w:rPr>
          <w:i/>
        </w:rPr>
        <w:t xml:space="preserve">Primary Care Providers </w:t>
      </w:r>
      <w:r w:rsidR="0075160C" w:rsidRPr="0075160C">
        <w:rPr>
          <w:i/>
        </w:rPr>
        <w:t>Post Discharge Questionnaire</w:t>
      </w:r>
      <w:r w:rsidR="0075160C" w:rsidRPr="000E122A">
        <w:t xml:space="preserve"> </w:t>
      </w:r>
      <w:r w:rsidRPr="000E122A">
        <w:t xml:space="preserve">will be collected from </w:t>
      </w:r>
      <w:r w:rsidR="0075160C">
        <w:t>PCPs</w:t>
      </w:r>
      <w:r w:rsidR="0073302A">
        <w:t xml:space="preserve"> </w:t>
      </w:r>
      <w:r w:rsidRPr="000E122A">
        <w:t xml:space="preserve">associated with the UCSF Medical Center. </w:t>
      </w:r>
      <w:r w:rsidR="00AE1EBB">
        <w:t xml:space="preserve">The providers will be identified using electronic record data listing PCPs for older adult study patients discharged from UCSF. Using block randomization schema matched to patient medical record numbers, we will invite a sample of 300 providers to be surveyed over the 3 years. We expect a 50% response rate. </w:t>
      </w:r>
      <w:r w:rsidRPr="000E122A">
        <w:t>The questionnaire includes questions about the usefulness of opioid management enhancements to the discharge summary</w:t>
      </w:r>
      <w:r w:rsidR="0075160C">
        <w:t xml:space="preserve"> and</w:t>
      </w:r>
      <w:r w:rsidRPr="000E122A">
        <w:t xml:space="preserve"> PCP’s ability to taper opioids</w:t>
      </w:r>
      <w:r w:rsidR="0075160C">
        <w:t xml:space="preserve"> </w:t>
      </w:r>
      <w:r w:rsidRPr="000E122A">
        <w:t xml:space="preserve">for their </w:t>
      </w:r>
      <w:r w:rsidR="00770F5C" w:rsidRPr="000E122A">
        <w:t>patients</w:t>
      </w:r>
      <w:r w:rsidR="00770F5C">
        <w:t xml:space="preserve"> </w:t>
      </w:r>
      <w:r w:rsidR="0064330D" w:rsidRPr="00F51264">
        <w:rPr>
          <w:b/>
        </w:rPr>
        <w:t>(Attachment E4</w:t>
      </w:r>
      <w:r w:rsidR="00944027">
        <w:rPr>
          <w:b/>
        </w:rPr>
        <w:t xml:space="preserve">) </w:t>
      </w:r>
      <w:r w:rsidR="0064330D" w:rsidRPr="00F51264">
        <w:rPr>
          <w:b/>
        </w:rPr>
        <w:t xml:space="preserve"> </w:t>
      </w:r>
    </w:p>
    <w:p w14:paraId="30466F8A" w14:textId="77777777" w:rsidR="00EB2E75" w:rsidRDefault="00EB2E75" w:rsidP="00EB2E75">
      <w:pPr>
        <w:pStyle w:val="BodyText21"/>
        <w:keepNext/>
        <w:keepLines/>
        <w:rPr>
          <w:rFonts w:ascii="Times New Roman" w:hAnsi="Times New Roman"/>
          <w:szCs w:val="24"/>
        </w:rPr>
      </w:pPr>
    </w:p>
    <w:p w14:paraId="1931CF5C" w14:textId="77777777" w:rsidR="00EB2E75" w:rsidRDefault="00EB2E75" w:rsidP="00EB2E75">
      <w:pPr>
        <w:pStyle w:val="BodyText21"/>
        <w:keepNext/>
        <w:keepLines/>
        <w:rPr>
          <w:rFonts w:ascii="Times New Roman" w:hAnsi="Times New Roman"/>
          <w:szCs w:val="24"/>
        </w:rPr>
      </w:pPr>
    </w:p>
    <w:p w14:paraId="26ECC82D" w14:textId="07CDC415" w:rsidR="00EB2E75" w:rsidRDefault="00EB2E75" w:rsidP="00EB2E75">
      <w:pPr>
        <w:spacing w:after="240"/>
        <w:rPr>
          <w:b/>
        </w:rPr>
      </w:pPr>
      <w:r>
        <w:rPr>
          <w:b/>
        </w:rPr>
        <w:t xml:space="preserve">Table </w:t>
      </w:r>
      <w:r w:rsidR="00F64AF7">
        <w:rPr>
          <w:b/>
        </w:rPr>
        <w:t>1</w:t>
      </w:r>
      <w:r>
        <w:rPr>
          <w:b/>
        </w:rPr>
        <w:t xml:space="preserve"> Summary of data collection activities </w:t>
      </w:r>
    </w:p>
    <w:tbl>
      <w:tblPr>
        <w:tblStyle w:val="TableGrid"/>
        <w:tblW w:w="10525" w:type="dxa"/>
        <w:tblLook w:val="04A0" w:firstRow="1" w:lastRow="0" w:firstColumn="1" w:lastColumn="0" w:noHBand="0" w:noVBand="1"/>
      </w:tblPr>
      <w:tblGrid>
        <w:gridCol w:w="2182"/>
        <w:gridCol w:w="2198"/>
        <w:gridCol w:w="2953"/>
        <w:gridCol w:w="3192"/>
      </w:tblGrid>
      <w:tr w:rsidR="009A64C0" w14:paraId="4D6862B2" w14:textId="77777777" w:rsidTr="00AE1EBB">
        <w:tc>
          <w:tcPr>
            <w:tcW w:w="2182" w:type="dxa"/>
          </w:tcPr>
          <w:p w14:paraId="64C83253" w14:textId="77777777" w:rsidR="00EB2E75" w:rsidRDefault="00EB2E75" w:rsidP="00B76C8D">
            <w:pPr>
              <w:spacing w:after="240"/>
              <w:rPr>
                <w:b/>
              </w:rPr>
            </w:pPr>
            <w:r>
              <w:rPr>
                <w:b/>
              </w:rPr>
              <w:t>Data collection method</w:t>
            </w:r>
          </w:p>
        </w:tc>
        <w:tc>
          <w:tcPr>
            <w:tcW w:w="2198" w:type="dxa"/>
          </w:tcPr>
          <w:p w14:paraId="6F3F7B08" w14:textId="6459A34F" w:rsidR="00EB2E75" w:rsidRDefault="00EB2E75" w:rsidP="00B76C8D">
            <w:pPr>
              <w:spacing w:after="240"/>
              <w:rPr>
                <w:b/>
              </w:rPr>
            </w:pPr>
            <w:r>
              <w:rPr>
                <w:b/>
              </w:rPr>
              <w:t xml:space="preserve">Respondent </w:t>
            </w:r>
            <w:r w:rsidR="00E306CA">
              <w:rPr>
                <w:b/>
              </w:rPr>
              <w:t>Universe</w:t>
            </w:r>
            <w:r>
              <w:rPr>
                <w:b/>
              </w:rPr>
              <w:t xml:space="preserve"> </w:t>
            </w:r>
          </w:p>
        </w:tc>
        <w:tc>
          <w:tcPr>
            <w:tcW w:w="2953" w:type="dxa"/>
          </w:tcPr>
          <w:p w14:paraId="715FDCC9" w14:textId="77777777" w:rsidR="00EB2E75" w:rsidRDefault="00EB2E75" w:rsidP="00B76C8D">
            <w:pPr>
              <w:spacing w:after="240"/>
              <w:rPr>
                <w:b/>
              </w:rPr>
            </w:pPr>
            <w:r>
              <w:rPr>
                <w:b/>
              </w:rPr>
              <w:t xml:space="preserve">Targeted respondents </w:t>
            </w:r>
          </w:p>
        </w:tc>
        <w:tc>
          <w:tcPr>
            <w:tcW w:w="3192" w:type="dxa"/>
          </w:tcPr>
          <w:p w14:paraId="05A60708" w14:textId="77777777" w:rsidR="00EB2E75" w:rsidRDefault="00EB2E75" w:rsidP="00B76C8D">
            <w:pPr>
              <w:spacing w:after="240"/>
              <w:rPr>
                <w:b/>
              </w:rPr>
            </w:pPr>
            <w:r>
              <w:rPr>
                <w:b/>
              </w:rPr>
              <w:t xml:space="preserve">Method for selection </w:t>
            </w:r>
          </w:p>
        </w:tc>
      </w:tr>
      <w:tr w:rsidR="009A64C0" w14:paraId="47C4BD68" w14:textId="77777777" w:rsidTr="00AE1EBB">
        <w:tc>
          <w:tcPr>
            <w:tcW w:w="2182" w:type="dxa"/>
          </w:tcPr>
          <w:p w14:paraId="389F279F" w14:textId="12BCF3FC" w:rsidR="00EB2E75" w:rsidRDefault="00EB2E75" w:rsidP="00B76C8D">
            <w:pPr>
              <w:spacing w:after="240"/>
              <w:rPr>
                <w:b/>
              </w:rPr>
            </w:pPr>
            <w:r>
              <w:rPr>
                <w:b/>
              </w:rPr>
              <w:t xml:space="preserve">Patient </w:t>
            </w:r>
            <w:r w:rsidR="00C75981">
              <w:rPr>
                <w:b/>
              </w:rPr>
              <w:t>Questionnaire</w:t>
            </w:r>
            <w:r>
              <w:rPr>
                <w:b/>
              </w:rPr>
              <w:t>s (</w:t>
            </w:r>
            <w:r w:rsidR="00996AB6">
              <w:rPr>
                <w:b/>
              </w:rPr>
              <w:t>pre-discharge</w:t>
            </w:r>
            <w:r>
              <w:rPr>
                <w:b/>
              </w:rPr>
              <w:t xml:space="preserve"> and post-discharge) </w:t>
            </w:r>
          </w:p>
        </w:tc>
        <w:tc>
          <w:tcPr>
            <w:tcW w:w="2198" w:type="dxa"/>
          </w:tcPr>
          <w:p w14:paraId="4CBFDA40" w14:textId="5C4BB3E7" w:rsidR="00EB2E75" w:rsidRDefault="00EB2E75" w:rsidP="00B76C8D">
            <w:pPr>
              <w:spacing w:after="240"/>
            </w:pPr>
            <w:r w:rsidRPr="00707181">
              <w:t xml:space="preserve">Older adult </w:t>
            </w:r>
            <w:r w:rsidR="0064330D">
              <w:t xml:space="preserve">patients </w:t>
            </w:r>
            <w:r w:rsidRPr="00707181">
              <w:t>(65+</w:t>
            </w:r>
            <w:r w:rsidR="0064330D">
              <w:t xml:space="preserve"> years old</w:t>
            </w:r>
            <w:r w:rsidRPr="00707181">
              <w:t xml:space="preserve">) </w:t>
            </w:r>
            <w:r>
              <w:t xml:space="preserve">treated </w:t>
            </w:r>
            <w:r w:rsidRPr="00707181">
              <w:t>at</w:t>
            </w:r>
            <w:r w:rsidR="00180771">
              <w:t xml:space="preserve"> the</w:t>
            </w:r>
            <w:r w:rsidRPr="00707181">
              <w:t xml:space="preserve"> USCF Medical Center</w:t>
            </w:r>
            <w:r>
              <w:t xml:space="preserve"> and identified at time of discharge</w:t>
            </w:r>
            <w:r w:rsidR="0064330D">
              <w:t>,</w:t>
            </w:r>
            <w:r>
              <w:t xml:space="preserve"> </w:t>
            </w:r>
            <w:r w:rsidRPr="007547BD">
              <w:t>considered</w:t>
            </w:r>
            <w:r>
              <w:t xml:space="preserve"> to be </w:t>
            </w:r>
            <w:r w:rsidR="00AE1EBB">
              <w:t xml:space="preserve">high risk </w:t>
            </w:r>
            <w:r w:rsidR="0064330D">
              <w:t xml:space="preserve">for falls </w:t>
            </w:r>
            <w:r w:rsidR="00AE1EBB">
              <w:t xml:space="preserve">due to opioid use. </w:t>
            </w:r>
          </w:p>
          <w:p w14:paraId="77249AC5" w14:textId="77777777" w:rsidR="00EB2E75" w:rsidRDefault="00EB2E75" w:rsidP="00B76C8D">
            <w:pPr>
              <w:spacing w:after="240"/>
              <w:rPr>
                <w:b/>
              </w:rPr>
            </w:pPr>
          </w:p>
        </w:tc>
        <w:tc>
          <w:tcPr>
            <w:tcW w:w="2953" w:type="dxa"/>
          </w:tcPr>
          <w:p w14:paraId="52526962" w14:textId="36E18FBA" w:rsidR="00EB2E75" w:rsidRDefault="00EB2E75" w:rsidP="00AA25C6">
            <w:pPr>
              <w:spacing w:after="240"/>
              <w:rPr>
                <w:b/>
              </w:rPr>
            </w:pPr>
            <w:r w:rsidRPr="00400FEE">
              <w:t xml:space="preserve">UCSF Medical Center inpatient older </w:t>
            </w:r>
            <w:r w:rsidR="00B805E0" w:rsidRPr="00400FEE">
              <w:t>adults</w:t>
            </w:r>
            <w:r w:rsidR="0075160C">
              <w:t xml:space="preserve"> (not hospice, observation only, or same day admission)</w:t>
            </w:r>
            <w:r w:rsidR="00B805E0" w:rsidRPr="00400FEE">
              <w:t>,</w:t>
            </w:r>
            <w:r w:rsidRPr="00400FEE">
              <w:t xml:space="preserve"> who speak English, </w:t>
            </w:r>
            <w:r w:rsidR="00B805E0">
              <w:t xml:space="preserve">are not cognitively impaired and considered high risk for </w:t>
            </w:r>
            <w:r w:rsidR="0064330D">
              <w:t xml:space="preserve">falls related </w:t>
            </w:r>
            <w:r w:rsidR="0075160C">
              <w:t>due to</w:t>
            </w:r>
            <w:r w:rsidR="0064330D">
              <w:t xml:space="preserve"> </w:t>
            </w:r>
            <w:r w:rsidR="00B805E0">
              <w:t xml:space="preserve">opioid use. These include patients that </w:t>
            </w:r>
            <w:r w:rsidRPr="00400FEE">
              <w:t xml:space="preserve">have an opioid prescription at time of </w:t>
            </w:r>
            <w:r w:rsidRPr="00AA25C6">
              <w:t xml:space="preserve">admission, </w:t>
            </w:r>
            <w:r w:rsidR="00AA25C6" w:rsidRPr="00AA25C6">
              <w:t>or are admitted and started on a new long-acting opioid, patients receiving</w:t>
            </w:r>
            <w:r w:rsidR="00B805E0" w:rsidRPr="00AA25C6">
              <w:t xml:space="preserve"> </w:t>
            </w:r>
            <w:r w:rsidRPr="00AA25C6">
              <w:t>high oral morphine equivalent regimens, and those on combination opioids and benzodiazepines</w:t>
            </w:r>
            <w:r w:rsidR="00AA25C6" w:rsidRPr="00AA25C6">
              <w:t>.</w:t>
            </w:r>
            <w:r w:rsidR="00B805E0">
              <w:t xml:space="preserve"> </w:t>
            </w:r>
          </w:p>
        </w:tc>
        <w:tc>
          <w:tcPr>
            <w:tcW w:w="3192" w:type="dxa"/>
          </w:tcPr>
          <w:p w14:paraId="65B4C34B" w14:textId="04766503" w:rsidR="00AE1EBB" w:rsidRDefault="00AE1EBB" w:rsidP="00B76C8D">
            <w:pPr>
              <w:spacing w:after="200" w:line="276" w:lineRule="auto"/>
              <w:contextualSpacing/>
            </w:pPr>
            <w:r>
              <w:t>All i</w:t>
            </w:r>
            <w:r w:rsidR="00B805E0">
              <w:t xml:space="preserve">dentified individuals that meet inclusion criteria </w:t>
            </w:r>
            <w:r>
              <w:t xml:space="preserve">are </w:t>
            </w:r>
            <w:r w:rsidR="00B805E0">
              <w:t>i</w:t>
            </w:r>
            <w:r w:rsidR="00EB2E75" w:rsidRPr="00BD5CB2">
              <w:t>nvited to participate</w:t>
            </w:r>
            <w:r w:rsidR="00B805E0">
              <w:t xml:space="preserve"> while still </w:t>
            </w:r>
            <w:r w:rsidR="0064330D">
              <w:t>hospitalized</w:t>
            </w:r>
            <w:r w:rsidR="00B805E0">
              <w:t xml:space="preserve"> </w:t>
            </w:r>
            <w:r>
              <w:t>during discharge planning. They will be invited in person or via electronic communication during their hospital stay</w:t>
            </w:r>
            <w:r w:rsidR="00EB2E75" w:rsidRPr="00BD5CB2">
              <w:t xml:space="preserve">. </w:t>
            </w:r>
          </w:p>
          <w:p w14:paraId="3EA1AB25" w14:textId="7EF8196B" w:rsidR="00EB2E75" w:rsidRPr="00400FEE" w:rsidRDefault="00EB2E75" w:rsidP="00B76C8D">
            <w:pPr>
              <w:spacing w:after="200" w:line="276" w:lineRule="auto"/>
              <w:contextualSpacing/>
            </w:pPr>
            <w:r>
              <w:t xml:space="preserve">We expect </w:t>
            </w:r>
            <w:r w:rsidR="00B805E0">
              <w:t>6,89</w:t>
            </w:r>
            <w:r w:rsidR="00AE1EBB">
              <w:t>7</w:t>
            </w:r>
            <w:r w:rsidRPr="00400FEE">
              <w:t xml:space="preserve"> individuals will be invited, of which a</w:t>
            </w:r>
            <w:r w:rsidR="00AE1EBB">
              <w:t xml:space="preserve">pproximately 2,400 will respond to consent forms and questionnaires. </w:t>
            </w:r>
            <w:r w:rsidRPr="00400FEE">
              <w:t xml:space="preserve"> </w:t>
            </w:r>
          </w:p>
          <w:p w14:paraId="5B2F7C69" w14:textId="77777777" w:rsidR="00EB2E75" w:rsidRDefault="00EB2E75" w:rsidP="00B76C8D">
            <w:pPr>
              <w:spacing w:after="240"/>
              <w:rPr>
                <w:b/>
              </w:rPr>
            </w:pPr>
          </w:p>
        </w:tc>
      </w:tr>
      <w:tr w:rsidR="009A64C0" w14:paraId="4CD6A30F" w14:textId="77777777" w:rsidTr="00AE1EBB">
        <w:tc>
          <w:tcPr>
            <w:tcW w:w="2182" w:type="dxa"/>
          </w:tcPr>
          <w:p w14:paraId="61A322E2" w14:textId="7B8CCC55" w:rsidR="00EB2E75" w:rsidRDefault="00EB2E75" w:rsidP="00B76C8D">
            <w:pPr>
              <w:spacing w:after="240"/>
              <w:rPr>
                <w:b/>
              </w:rPr>
            </w:pPr>
            <w:r>
              <w:rPr>
                <w:b/>
              </w:rPr>
              <w:t xml:space="preserve">Clinical Staff Evaluation </w:t>
            </w:r>
            <w:r w:rsidR="00C75981">
              <w:rPr>
                <w:b/>
              </w:rPr>
              <w:t>Questionnaire</w:t>
            </w:r>
          </w:p>
        </w:tc>
        <w:tc>
          <w:tcPr>
            <w:tcW w:w="2198" w:type="dxa"/>
          </w:tcPr>
          <w:p w14:paraId="4A7E2BB7" w14:textId="77777777" w:rsidR="00EB2E75" w:rsidRPr="00BD5CB2" w:rsidRDefault="00EB2E75" w:rsidP="00B76C8D">
            <w:pPr>
              <w:spacing w:after="240"/>
            </w:pPr>
            <w:r w:rsidRPr="00BD5CB2">
              <w:t>Clinical Staff at UCSF Medical Center</w:t>
            </w:r>
          </w:p>
        </w:tc>
        <w:tc>
          <w:tcPr>
            <w:tcW w:w="2953" w:type="dxa"/>
          </w:tcPr>
          <w:p w14:paraId="655FEFBC" w14:textId="7B414A82" w:rsidR="00EB2E75" w:rsidRDefault="0075160C" w:rsidP="0075160C">
            <w:pPr>
              <w:spacing w:after="240"/>
              <w:rPr>
                <w:b/>
              </w:rPr>
            </w:pPr>
            <w:r>
              <w:t>Clinical staff</w:t>
            </w:r>
            <w:r w:rsidR="00EB2E75">
              <w:t xml:space="preserve"> </w:t>
            </w:r>
            <w:r w:rsidR="00CC7934">
              <w:t>(</w:t>
            </w:r>
            <w:r>
              <w:t>doctors</w:t>
            </w:r>
            <w:r w:rsidR="00EB2E75">
              <w:t>, nurses,</w:t>
            </w:r>
            <w:r>
              <w:t xml:space="preserve"> and</w:t>
            </w:r>
            <w:r w:rsidR="00EB2E75">
              <w:t xml:space="preserve"> pharmacists</w:t>
            </w:r>
            <w:r w:rsidR="00CC7934">
              <w:t>)</w:t>
            </w:r>
            <w:r w:rsidR="00EB2E75">
              <w:t xml:space="preserve"> who work in the units where the </w:t>
            </w:r>
            <w:r w:rsidR="00AE1EBB">
              <w:t xml:space="preserve">opioids management and fall prevention </w:t>
            </w:r>
            <w:r w:rsidR="00EB2E75">
              <w:t>study initiative</w:t>
            </w:r>
            <w:r w:rsidR="00AE1EBB">
              <w:t>s</w:t>
            </w:r>
            <w:r w:rsidR="00EB2E75">
              <w:t xml:space="preserve"> </w:t>
            </w:r>
            <w:r w:rsidR="00AE1EBB">
              <w:t xml:space="preserve">are </w:t>
            </w:r>
            <w:r w:rsidR="00EB2E75">
              <w:t xml:space="preserve">being incorporated into the hospital discharge setting. </w:t>
            </w:r>
          </w:p>
        </w:tc>
        <w:tc>
          <w:tcPr>
            <w:tcW w:w="3192" w:type="dxa"/>
          </w:tcPr>
          <w:p w14:paraId="2C7CDA7C" w14:textId="46EB3AAB" w:rsidR="00EB2E75" w:rsidRPr="00EC7396" w:rsidRDefault="009370DA" w:rsidP="0075160C">
            <w:pPr>
              <w:spacing w:after="240"/>
            </w:pPr>
            <w:r>
              <w:t xml:space="preserve">Using electronic records of ordering and documentation activity in units targeted by our study we will identify eligible clinicians. We will invite </w:t>
            </w:r>
            <w:r w:rsidR="00EB2E75">
              <w:t>300</w:t>
            </w:r>
            <w:r w:rsidR="00EB2E75" w:rsidRPr="00EC7396">
              <w:t xml:space="preserve"> clinical staff to take </w:t>
            </w:r>
            <w:r w:rsidR="00EB2E75">
              <w:t>the</w:t>
            </w:r>
            <w:r w:rsidR="00EB2E75" w:rsidRPr="00EC7396">
              <w:t xml:space="preserve"> survey</w:t>
            </w:r>
            <w:r>
              <w:t xml:space="preserve"> </w:t>
            </w:r>
            <w:r w:rsidR="0075160C">
              <w:t>u</w:t>
            </w:r>
            <w:r>
              <w:t xml:space="preserve">sing block randomization of eligible providers. We expect a 50% response rate or </w:t>
            </w:r>
            <w:r w:rsidR="00EB2E75">
              <w:t>150</w:t>
            </w:r>
            <w:r w:rsidR="00EB2E75" w:rsidRPr="00EC7396">
              <w:t xml:space="preserve"> </w:t>
            </w:r>
            <w:r>
              <w:t xml:space="preserve">responses. </w:t>
            </w:r>
            <w:r w:rsidR="00EB2E75" w:rsidRPr="00EC7396">
              <w:t xml:space="preserve"> </w:t>
            </w:r>
          </w:p>
        </w:tc>
      </w:tr>
      <w:tr w:rsidR="009A64C0" w14:paraId="4F152F71" w14:textId="77777777" w:rsidTr="00AE1EBB">
        <w:tc>
          <w:tcPr>
            <w:tcW w:w="2182" w:type="dxa"/>
          </w:tcPr>
          <w:p w14:paraId="613A5262" w14:textId="6DC24AD2" w:rsidR="00EB2E75" w:rsidRDefault="00EB2E75" w:rsidP="00B76C8D">
            <w:pPr>
              <w:spacing w:after="240"/>
              <w:rPr>
                <w:b/>
              </w:rPr>
            </w:pPr>
            <w:r>
              <w:rPr>
                <w:b/>
              </w:rPr>
              <w:t xml:space="preserve">Primary Care Provider Post Discharge </w:t>
            </w:r>
            <w:r w:rsidR="00C75981">
              <w:rPr>
                <w:b/>
              </w:rPr>
              <w:t>Questionnaire</w:t>
            </w:r>
          </w:p>
        </w:tc>
        <w:tc>
          <w:tcPr>
            <w:tcW w:w="2198" w:type="dxa"/>
          </w:tcPr>
          <w:p w14:paraId="157774F0" w14:textId="77777777" w:rsidR="00EB2E75" w:rsidRPr="00EC7396" w:rsidRDefault="00EB2E75" w:rsidP="00B76C8D">
            <w:pPr>
              <w:spacing w:after="240"/>
            </w:pPr>
            <w:r w:rsidRPr="00EC7396">
              <w:t xml:space="preserve">Primary care providers </w:t>
            </w:r>
            <w:r>
              <w:t xml:space="preserve">(post –acute) directly related to UCSF </w:t>
            </w:r>
            <w:r w:rsidRPr="00EC7396">
              <w:t xml:space="preserve"> </w:t>
            </w:r>
          </w:p>
        </w:tc>
        <w:tc>
          <w:tcPr>
            <w:tcW w:w="2953" w:type="dxa"/>
          </w:tcPr>
          <w:p w14:paraId="22CDCDEB" w14:textId="4B3FBE13" w:rsidR="00EB2E75" w:rsidRPr="00EC7396" w:rsidRDefault="00EB2E75" w:rsidP="00BF6C76">
            <w:pPr>
              <w:spacing w:after="240"/>
            </w:pPr>
            <w:r w:rsidRPr="00EC7396">
              <w:t xml:space="preserve">Primary care providers </w:t>
            </w:r>
            <w:r w:rsidR="00BF6C76">
              <w:t>who</w:t>
            </w:r>
            <w:r w:rsidR="00BF6C76" w:rsidRPr="00EC7396">
              <w:t xml:space="preserve"> </w:t>
            </w:r>
            <w:r w:rsidR="009370DA">
              <w:t>care for o</w:t>
            </w:r>
            <w:r w:rsidRPr="00EC7396">
              <w:t xml:space="preserve">lder adult </w:t>
            </w:r>
            <w:r w:rsidR="009370DA">
              <w:t xml:space="preserve">study </w:t>
            </w:r>
            <w:r w:rsidRPr="00EC7396">
              <w:t>patients</w:t>
            </w:r>
            <w:r w:rsidR="009370DA">
              <w:t xml:space="preserve"> </w:t>
            </w:r>
            <w:r w:rsidR="00EC3066">
              <w:t xml:space="preserve">who </w:t>
            </w:r>
            <w:r w:rsidR="009370DA">
              <w:t xml:space="preserve">have received opioid management and fall prevention interventions during their hospital stay/ discharge planning. </w:t>
            </w:r>
            <w:r w:rsidRPr="00EC7396">
              <w:t xml:space="preserve"> </w:t>
            </w:r>
          </w:p>
        </w:tc>
        <w:tc>
          <w:tcPr>
            <w:tcW w:w="3192" w:type="dxa"/>
          </w:tcPr>
          <w:p w14:paraId="4C6162B9" w14:textId="676BC494" w:rsidR="00EB2E75" w:rsidRPr="00AE1EBB" w:rsidRDefault="009370DA" w:rsidP="009370DA">
            <w:pPr>
              <w:spacing w:after="240"/>
              <w:rPr>
                <w:color w:val="000000" w:themeColor="text1"/>
              </w:rPr>
            </w:pPr>
            <w:r>
              <w:t>Providers will be identified using electronic record data listing PCPs for older adult study patients discharged from UCSF</w:t>
            </w:r>
            <w:r>
              <w:rPr>
                <w:color w:val="000000" w:themeColor="text1"/>
              </w:rPr>
              <w:t xml:space="preserve">. </w:t>
            </w:r>
            <w:r w:rsidR="0040439A" w:rsidRPr="00AE1EBB">
              <w:rPr>
                <w:color w:val="000000" w:themeColor="text1"/>
              </w:rPr>
              <w:t xml:space="preserve">We will </w:t>
            </w:r>
            <w:r>
              <w:rPr>
                <w:color w:val="000000" w:themeColor="text1"/>
              </w:rPr>
              <w:t xml:space="preserve">invite </w:t>
            </w:r>
            <w:r w:rsidR="00EB2E75" w:rsidRPr="00AE1EBB">
              <w:rPr>
                <w:color w:val="000000" w:themeColor="text1"/>
              </w:rPr>
              <w:t>300</w:t>
            </w:r>
            <w:r w:rsidR="009A64C0" w:rsidRPr="00AE1EBB">
              <w:rPr>
                <w:color w:val="000000" w:themeColor="text1"/>
              </w:rPr>
              <w:t xml:space="preserve"> PCPs using block randomization schema matched to</w:t>
            </w:r>
            <w:r>
              <w:rPr>
                <w:color w:val="000000" w:themeColor="text1"/>
              </w:rPr>
              <w:t xml:space="preserve"> patient medical record numbers each month. We expect a 50% response rate or 150 total responses.  </w:t>
            </w:r>
          </w:p>
        </w:tc>
      </w:tr>
    </w:tbl>
    <w:p w14:paraId="7AC9F2E4" w14:textId="77777777" w:rsidR="00EB2E75" w:rsidRDefault="00EB2E75" w:rsidP="00EB2E75">
      <w:pPr>
        <w:spacing w:after="240"/>
        <w:rPr>
          <w:b/>
        </w:rPr>
      </w:pPr>
    </w:p>
    <w:p w14:paraId="58F65FC4" w14:textId="77777777" w:rsidR="00EB2E75" w:rsidRDefault="00EB2E75" w:rsidP="00EB2E75">
      <w:pPr>
        <w:rPr>
          <w:b/>
        </w:rPr>
      </w:pPr>
      <w:r>
        <w:rPr>
          <w:b/>
        </w:rPr>
        <w:t>B.2.</w:t>
      </w:r>
      <w:r>
        <w:rPr>
          <w:b/>
        </w:rPr>
        <w:tab/>
        <w:t>Procedures for the Collection of Information</w:t>
      </w:r>
    </w:p>
    <w:p w14:paraId="7EC4DA3C" w14:textId="77777777" w:rsidR="00EB2E75" w:rsidRDefault="00EB2E75" w:rsidP="00EB2E75">
      <w:pPr>
        <w:rPr>
          <w:bCs/>
          <w:iCs/>
        </w:rPr>
      </w:pPr>
    </w:p>
    <w:p w14:paraId="60F52F8C" w14:textId="2A2C730E" w:rsidR="00EB2E75" w:rsidRPr="00400FEE" w:rsidRDefault="00EB2E75"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secure and </w:t>
      </w:r>
      <w:r w:rsidRPr="00BF3390">
        <w:t>Health Insurance Por</w:t>
      </w:r>
      <w:r>
        <w:t xml:space="preserve">tability and Accountability Act/Protected Health Information (HIPAA/PHI) compliant platform will be used to manage both the </w:t>
      </w:r>
      <w:r w:rsidR="00996AB6">
        <w:rPr>
          <w:i/>
        </w:rPr>
        <w:t>Pre-discharge</w:t>
      </w:r>
      <w:r w:rsidRPr="00BF3390">
        <w:rPr>
          <w:i/>
        </w:rPr>
        <w:t xml:space="preserve"> and Post </w:t>
      </w:r>
      <w:r w:rsidRPr="00E5261C">
        <w:rPr>
          <w:i/>
        </w:rPr>
        <w:t xml:space="preserve">Discharge </w:t>
      </w:r>
      <w:r w:rsidR="00E5261C" w:rsidRPr="00E5261C">
        <w:rPr>
          <w:i/>
        </w:rPr>
        <w:t>Patient Questionnaire</w:t>
      </w:r>
      <w:r w:rsidR="00E5261C" w:rsidRPr="00E5261C">
        <w:t xml:space="preserve">s </w:t>
      </w:r>
      <w:r>
        <w:t xml:space="preserve">process to </w:t>
      </w:r>
      <w:r w:rsidRPr="00656CAD">
        <w:t>reduce burden on administering and responding to the survey</w:t>
      </w:r>
      <w:r>
        <w:t xml:space="preserve">. For the </w:t>
      </w:r>
      <w:r w:rsidR="00996AB6">
        <w:t>Pre-discharge</w:t>
      </w:r>
      <w:r>
        <w:t xml:space="preserve"> Patient </w:t>
      </w:r>
      <w:r w:rsidR="00C75981">
        <w:t>Questionnaire</w:t>
      </w:r>
      <w:r>
        <w:t>, the process may be initiated in one of two ways. The first is d</w:t>
      </w:r>
      <w:r w:rsidRPr="006C523F">
        <w:t>irect patient contact, where a Clinical Research Coordinator (CRC) approaches the patient directly to obtain informed consent and administer initial surveys, in person in hospital</w:t>
      </w:r>
      <w:r>
        <w:t>. The second is through e</w:t>
      </w:r>
      <w:r w:rsidRPr="006C523F">
        <w:t>lectronic contact, where a patient is sent an electronic invitation (via patient-portal message or email) to join</w:t>
      </w:r>
      <w:r>
        <w:t xml:space="preserve"> our study via a web interface. Patient will then </w:t>
      </w:r>
      <w:r w:rsidRPr="006C523F">
        <w:t xml:space="preserve">self-administer consent and carry out the survey using </w:t>
      </w:r>
      <w:r>
        <w:t xml:space="preserve">the same </w:t>
      </w:r>
      <w:r w:rsidRPr="006C523F">
        <w:t>platform</w:t>
      </w:r>
      <w:r w:rsidR="00C27F72">
        <w:t xml:space="preserve">. </w:t>
      </w:r>
      <w:r w:rsidRPr="00A52875">
        <w:t xml:space="preserve">An introductory </w:t>
      </w:r>
      <w:r>
        <w:t>letter and consent form</w:t>
      </w:r>
      <w:r w:rsidRPr="00A52875">
        <w:t xml:space="preserve"> (</w:t>
      </w:r>
      <w:r w:rsidRPr="00547471">
        <w:rPr>
          <w:b/>
        </w:rPr>
        <w:t>Attachment</w:t>
      </w:r>
      <w:r w:rsidRPr="00547471">
        <w:t xml:space="preserve"> </w:t>
      </w:r>
      <w:r w:rsidRPr="00944027">
        <w:rPr>
          <w:b/>
        </w:rPr>
        <w:t>G1 and Attachment H)</w:t>
      </w:r>
      <w:r w:rsidRPr="00F51264">
        <w:t xml:space="preserve"> will be presented to patients </w:t>
      </w:r>
      <w:r w:rsidR="0073302A">
        <w:t xml:space="preserve">within 48 hours of admission </w:t>
      </w:r>
      <w:r w:rsidRPr="00F51264">
        <w:t>for their initial assessmen</w:t>
      </w:r>
      <w:r>
        <w:t>t</w:t>
      </w:r>
      <w:r w:rsidR="00180771">
        <w:t>.</w:t>
      </w:r>
      <w:r>
        <w:t xml:space="preserve"> </w:t>
      </w:r>
      <w:r w:rsidR="00C27F72">
        <w:t xml:space="preserve">If the patient does not sign the consent form while still </w:t>
      </w:r>
      <w:r w:rsidR="00BF6C76">
        <w:t xml:space="preserve">admitted </w:t>
      </w:r>
      <w:r w:rsidR="00C27F72">
        <w:t xml:space="preserve">(during discharge planning), the invitation to take the </w:t>
      </w:r>
      <w:r w:rsidR="00E5261C" w:rsidRPr="00C27F72">
        <w:rPr>
          <w:i/>
        </w:rPr>
        <w:t>Pre-Discharge Patient Questionnaire</w:t>
      </w:r>
      <w:r w:rsidR="00E5261C">
        <w:t xml:space="preserve"> </w:t>
      </w:r>
      <w:r w:rsidR="00C27F72">
        <w:t xml:space="preserve">will be deactivated (in electronic communication). Patients that sign the consent form and complete the pre-discharge survey </w:t>
      </w:r>
      <w:r w:rsidRPr="00F51264">
        <w:t>will</w:t>
      </w:r>
      <w:r>
        <w:t xml:space="preserve"> </w:t>
      </w:r>
      <w:r w:rsidRPr="00F51264">
        <w:t xml:space="preserve">be followed up </w:t>
      </w:r>
      <w:r w:rsidR="00C27F72">
        <w:t xml:space="preserve">with </w:t>
      </w:r>
      <w:r w:rsidRPr="00F51264">
        <w:t xml:space="preserve">at 14, 30, and 60 days after </w:t>
      </w:r>
      <w:r w:rsidR="00C27F72">
        <w:t>discharge</w:t>
      </w:r>
      <w:r w:rsidRPr="00F51264">
        <w:t xml:space="preserve"> to assess for clinical outcomes and events.</w:t>
      </w:r>
      <w:r w:rsidRPr="00400FEE">
        <w:t xml:space="preserve"> The questions </w:t>
      </w:r>
      <w:r w:rsidR="00C27F72">
        <w:t xml:space="preserve">in the pre and post-discharge questionnaires </w:t>
      </w:r>
      <w:r w:rsidRPr="00400FEE">
        <w:t xml:space="preserve">are multiple-choice responses, easy to read and </w:t>
      </w:r>
      <w:r w:rsidR="0073302A">
        <w:t>can be answered</w:t>
      </w:r>
      <w:r w:rsidR="0073302A" w:rsidRPr="00400FEE">
        <w:t xml:space="preserve"> </w:t>
      </w:r>
      <w:r w:rsidRPr="00400FEE">
        <w:t>by a few clicks per question/answer</w:t>
      </w:r>
      <w:r>
        <w:t>. The</w:t>
      </w:r>
      <w:r w:rsidR="0075160C">
        <w:t xml:space="preserve"> questions will automatically a</w:t>
      </w:r>
      <w:r w:rsidRPr="00400FEE">
        <w:t xml:space="preserve">dvance after </w:t>
      </w:r>
      <w:r>
        <w:t xml:space="preserve">each </w:t>
      </w:r>
      <w:r w:rsidR="00C27F72">
        <w:t>answer and allows</w:t>
      </w:r>
      <w:r w:rsidR="0073302A">
        <w:t xml:space="preserve"> respondents</w:t>
      </w:r>
      <w:r w:rsidR="00C27F72">
        <w:t xml:space="preserve"> </w:t>
      </w:r>
      <w:r w:rsidRPr="00400FEE">
        <w:t xml:space="preserve">to skip questions that may not be applicable. </w:t>
      </w:r>
      <w:r>
        <w:t xml:space="preserve"> The platform is user-friendly. T</w:t>
      </w:r>
      <w:r w:rsidRPr="00400FEE">
        <w:t>he survey is presented in a comfortable font size</w:t>
      </w:r>
      <w:r w:rsidR="0073302A">
        <w:t>.</w:t>
      </w:r>
      <w:r w:rsidRPr="00400FEE">
        <w:t xml:space="preserve"> </w:t>
      </w:r>
      <w:r w:rsidR="0073302A">
        <w:t>It</w:t>
      </w:r>
      <w:r w:rsidRPr="00400FEE">
        <w:t xml:space="preserve"> is estimated that the survey will require an average of 10 minutes to complete.  The system tracks survey completion </w:t>
      </w:r>
      <w:r w:rsidR="0073302A">
        <w:t>for each</w:t>
      </w:r>
      <w:r w:rsidR="0073302A" w:rsidRPr="00400FEE">
        <w:t xml:space="preserve"> </w:t>
      </w:r>
      <w:r w:rsidRPr="00400FEE">
        <w:t xml:space="preserve">respondent and </w:t>
      </w:r>
      <w:r w:rsidR="00E5261C" w:rsidRPr="00400FEE">
        <w:t>auto</w:t>
      </w:r>
      <w:r w:rsidR="00E5261C">
        <w:t>matically</w:t>
      </w:r>
      <w:r w:rsidR="00751D30" w:rsidRPr="00400FEE">
        <w:t xml:space="preserve"> sends</w:t>
      </w:r>
      <w:r w:rsidRPr="00400FEE">
        <w:t xml:space="preserve"> a limited number of reminders only to those who have yet to complete the survey.</w:t>
      </w:r>
    </w:p>
    <w:p w14:paraId="392E0286" w14:textId="77777777" w:rsidR="00EB2E75" w:rsidRPr="00400FEE" w:rsidRDefault="00EB2E75"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23A167" w14:textId="687E0BA4" w:rsidR="00EB2E75" w:rsidRPr="00F3330E" w:rsidRDefault="00EB2E75" w:rsidP="00EB2E75">
      <w:pPr>
        <w:rPr>
          <w:color w:val="000000" w:themeColor="text1"/>
        </w:rPr>
      </w:pPr>
      <w:r>
        <w:t xml:space="preserve">The </w:t>
      </w:r>
      <w:r w:rsidRPr="00BF3390">
        <w:rPr>
          <w:i/>
        </w:rPr>
        <w:t xml:space="preserve">UCSF </w:t>
      </w:r>
      <w:r w:rsidR="00E5261C" w:rsidRPr="00BF3390">
        <w:rPr>
          <w:i/>
        </w:rPr>
        <w:t xml:space="preserve">Clinical Staff Evaluation </w:t>
      </w:r>
      <w:r w:rsidR="00E5261C">
        <w:rPr>
          <w:i/>
        </w:rPr>
        <w:t>Questionnaire</w:t>
      </w:r>
      <w:r w:rsidR="00E5261C" w:rsidRPr="00227F8C">
        <w:t xml:space="preserve"> Process </w:t>
      </w:r>
      <w:r w:rsidRPr="00227F8C">
        <w:t xml:space="preserve">will use </w:t>
      </w:r>
      <w:r>
        <w:t xml:space="preserve">a </w:t>
      </w:r>
      <w:r w:rsidRPr="00227F8C">
        <w:t>survey platform</w:t>
      </w:r>
      <w:r>
        <w:t xml:space="preserve"> commonly used a</w:t>
      </w:r>
      <w:r w:rsidR="00C27F72">
        <w:t>t UCSF by their clinical staff.</w:t>
      </w:r>
      <w:r w:rsidRPr="00400FEE">
        <w:t xml:space="preserve"> </w:t>
      </w:r>
      <w:r>
        <w:t xml:space="preserve">This </w:t>
      </w:r>
      <w:r w:rsidRPr="00C4585A">
        <w:rPr>
          <w:color w:val="000000" w:themeColor="text1"/>
        </w:rPr>
        <w:t xml:space="preserve">technology will reduce the burden on respondents because responses will be given </w:t>
      </w:r>
      <w:r>
        <w:rPr>
          <w:color w:val="000000" w:themeColor="text1"/>
        </w:rPr>
        <w:t>by “clicking” a few computer keys</w:t>
      </w:r>
      <w:r w:rsidRPr="00C4585A">
        <w:rPr>
          <w:color w:val="000000" w:themeColor="text1"/>
        </w:rPr>
        <w:t xml:space="preserve"> rather than by completing paper survey forms. </w:t>
      </w:r>
      <w:r>
        <w:rPr>
          <w:color w:val="000000" w:themeColor="text1"/>
        </w:rPr>
        <w:t xml:space="preserve">This survey is limited to </w:t>
      </w:r>
      <w:r w:rsidRPr="006F6695">
        <w:rPr>
          <w:color w:val="000000" w:themeColor="text1"/>
        </w:rPr>
        <w:t>31</w:t>
      </w:r>
      <w:r>
        <w:rPr>
          <w:color w:val="000000" w:themeColor="text1"/>
        </w:rPr>
        <w:t xml:space="preserve"> multiple choice questions and is expected to require five minutes to complete</w:t>
      </w:r>
      <w:r w:rsidRPr="00400FEE">
        <w:t>.</w:t>
      </w:r>
      <w:r>
        <w:t xml:space="preserve">  </w:t>
      </w:r>
      <w:r w:rsidRPr="00A52875">
        <w:t xml:space="preserve">An introductory </w:t>
      </w:r>
      <w:r>
        <w:t>letter</w:t>
      </w:r>
      <w:r w:rsidRPr="00A52875">
        <w:t xml:space="preserve"> (</w:t>
      </w:r>
      <w:r w:rsidRPr="00547471">
        <w:rPr>
          <w:b/>
        </w:rPr>
        <w:t>Attachment</w:t>
      </w:r>
      <w:r w:rsidRPr="00547471">
        <w:t xml:space="preserve"> </w:t>
      </w:r>
      <w:r w:rsidRPr="00944027">
        <w:rPr>
          <w:b/>
        </w:rPr>
        <w:t>G2</w:t>
      </w:r>
      <w:r w:rsidR="00944027">
        <w:rPr>
          <w:b/>
        </w:rPr>
        <w:t xml:space="preserve">) </w:t>
      </w:r>
      <w:r w:rsidRPr="00A52875">
        <w:t xml:space="preserve">will be sent to </w:t>
      </w:r>
      <w:r w:rsidR="00C27F72">
        <w:t>a randomly selected pool of</w:t>
      </w:r>
      <w:r w:rsidRPr="00A52875">
        <w:t xml:space="preserve"> </w:t>
      </w:r>
      <w:r>
        <w:t>participants one</w:t>
      </w:r>
      <w:r w:rsidRPr="00A52875">
        <w:t xml:space="preserve"> week in advance of data collection informing them of the planned assessment, </w:t>
      </w:r>
      <w:r>
        <w:t xml:space="preserve">the purpose, </w:t>
      </w:r>
      <w:r w:rsidR="00770F5C">
        <w:t>and dates</w:t>
      </w:r>
      <w:r>
        <w:t xml:space="preserve"> of assessment,</w:t>
      </w:r>
      <w:r w:rsidRPr="00A52875">
        <w:t xml:space="preserve"> and </w:t>
      </w:r>
      <w:r>
        <w:t xml:space="preserve">contacts for </w:t>
      </w:r>
      <w:r w:rsidR="00751D30">
        <w:t>further</w:t>
      </w:r>
      <w:r>
        <w:t xml:space="preserve"> information</w:t>
      </w:r>
      <w:r w:rsidRPr="00A52875">
        <w:t>. The online data collection instrument will remain open for a period of 3 weeks to allow ample time for completion by respondents.</w:t>
      </w:r>
    </w:p>
    <w:p w14:paraId="32F3B446" w14:textId="77777777" w:rsidR="00EB2E75" w:rsidRPr="00400FEE" w:rsidRDefault="00EB2E75"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57C2B0" w14:textId="5CBBBBE4" w:rsidR="00EB2E75" w:rsidRPr="00400FEE" w:rsidRDefault="00EB2E75"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00FEE">
        <w:t xml:space="preserve">The </w:t>
      </w:r>
      <w:r w:rsidRPr="00C27F72">
        <w:rPr>
          <w:i/>
        </w:rPr>
        <w:t xml:space="preserve">PCP </w:t>
      </w:r>
      <w:r w:rsidR="00E5261C" w:rsidRPr="00C27F72">
        <w:rPr>
          <w:i/>
        </w:rPr>
        <w:t>P</w:t>
      </w:r>
      <w:r w:rsidR="00E5261C">
        <w:rPr>
          <w:i/>
        </w:rPr>
        <w:t>ost-</w:t>
      </w:r>
      <w:r w:rsidR="00E5261C" w:rsidRPr="00C27F72">
        <w:rPr>
          <w:i/>
        </w:rPr>
        <w:t>Discharge Questionnaire</w:t>
      </w:r>
      <w:r w:rsidR="00E5261C" w:rsidRPr="00400FEE">
        <w:t xml:space="preserve"> </w:t>
      </w:r>
      <w:r w:rsidRPr="00400FEE">
        <w:t xml:space="preserve">process will be administered by email/fax based on </w:t>
      </w:r>
      <w:r w:rsidR="0073302A">
        <w:t xml:space="preserve">each </w:t>
      </w:r>
      <w:r w:rsidRPr="00400FEE">
        <w:t>PCP</w:t>
      </w:r>
      <w:r w:rsidR="0073302A">
        <w:t>’s preference</w:t>
      </w:r>
      <w:r w:rsidRPr="00400FEE">
        <w:t xml:space="preserve">. This survey is limited to </w:t>
      </w:r>
      <w:r w:rsidRPr="006F6695">
        <w:t>11</w:t>
      </w:r>
      <w:r w:rsidRPr="00400FEE">
        <w:t xml:space="preserve"> multiple choice questions</w:t>
      </w:r>
      <w:r w:rsidR="0073302A">
        <w:t>,</w:t>
      </w:r>
      <w:r w:rsidRPr="00400FEE">
        <w:t xml:space="preserve"> and is expected to require five minutes to complete.</w:t>
      </w:r>
      <w:r>
        <w:t xml:space="preserve">  </w:t>
      </w:r>
      <w:r w:rsidRPr="00A52875">
        <w:t xml:space="preserve">An introductory </w:t>
      </w:r>
      <w:r>
        <w:t>letter</w:t>
      </w:r>
      <w:r w:rsidRPr="00A52875">
        <w:t xml:space="preserve"> (</w:t>
      </w:r>
      <w:r w:rsidRPr="00547471">
        <w:rPr>
          <w:b/>
        </w:rPr>
        <w:t>Attachment</w:t>
      </w:r>
      <w:r w:rsidRPr="00547471">
        <w:t xml:space="preserve"> </w:t>
      </w:r>
      <w:r w:rsidRPr="00944027">
        <w:rPr>
          <w:b/>
        </w:rPr>
        <w:t>G3</w:t>
      </w:r>
      <w:r w:rsidR="00944027">
        <w:t xml:space="preserve">) </w:t>
      </w:r>
      <w:r w:rsidRPr="00A52875">
        <w:t>will be sent to a</w:t>
      </w:r>
      <w:r>
        <w:t xml:space="preserve"> random sample of PCP</w:t>
      </w:r>
      <w:r w:rsidRPr="00A52875">
        <w:t xml:space="preserve"> </w:t>
      </w:r>
      <w:r>
        <w:t>participants one</w:t>
      </w:r>
      <w:r w:rsidRPr="00A52875">
        <w:t xml:space="preserve"> week in advance of data collection informing them of the planned assessment, </w:t>
      </w:r>
      <w:r>
        <w:t xml:space="preserve">the purpose, </w:t>
      </w:r>
      <w:r w:rsidR="00770F5C">
        <w:t>and dates</w:t>
      </w:r>
      <w:r>
        <w:t xml:space="preserve"> of assessment,</w:t>
      </w:r>
      <w:r w:rsidRPr="00A52875">
        <w:t xml:space="preserve"> and </w:t>
      </w:r>
      <w:r>
        <w:t xml:space="preserve">contacts for </w:t>
      </w:r>
      <w:r w:rsidR="009E3B56">
        <w:t>further</w:t>
      </w:r>
      <w:r>
        <w:t xml:space="preserve"> information</w:t>
      </w:r>
      <w:r w:rsidRPr="00A52875">
        <w:t>. The online data collection instrument will remain open for a period of 3 weeks to allow ample time for completion by respondents.</w:t>
      </w:r>
    </w:p>
    <w:p w14:paraId="23D4AAF0" w14:textId="77777777" w:rsidR="00EB2E75" w:rsidRPr="00400FEE" w:rsidRDefault="00EB2E75"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0AE7A3A" w14:textId="3B83B921" w:rsidR="00EB2E75" w:rsidRPr="00400FEE" w:rsidRDefault="00EB2E75"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00FEE">
        <w:t>During the data collection process, a secure database will be used to track each individual respondent that will include the contact information for each respondent.  Upon survey completion, the database will update the tracking system so that no additional contact occurs. The system will reduce respondent burden by ensuring respondents are contacted at appropriate intervals</w:t>
      </w:r>
      <w:r w:rsidR="0073302A">
        <w:t>,</w:t>
      </w:r>
      <w:r w:rsidRPr="00400FEE">
        <w:t xml:space="preserve"> and not contacted more than needed.  Implementing the survey online will allow respondents to address the questions </w:t>
      </w:r>
      <w:r w:rsidR="0073302A">
        <w:t>when</w:t>
      </w:r>
      <w:r w:rsidRPr="00400FEE">
        <w:t xml:space="preserve"> convenient, so it does not </w:t>
      </w:r>
      <w:r w:rsidR="00770F5C" w:rsidRPr="00400FEE">
        <w:t>affect</w:t>
      </w:r>
      <w:r w:rsidRPr="00400FEE">
        <w:t xml:space="preserve"> their work routine. </w:t>
      </w:r>
    </w:p>
    <w:p w14:paraId="3093D006" w14:textId="77777777" w:rsidR="00EB2E75" w:rsidRPr="00400FEE" w:rsidRDefault="00EB2E75"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8CDF9E" w14:textId="5C53FD38" w:rsidR="00EB2E75" w:rsidRPr="00F804DB" w:rsidRDefault="00EB2E75" w:rsidP="00EB2E75">
      <w:r w:rsidRPr="00400FEE">
        <w:t>All data will be stored in secure environments</w:t>
      </w:r>
      <w:r w:rsidR="0073302A">
        <w:t>.</w:t>
      </w:r>
      <w:r w:rsidRPr="00400FEE">
        <w:t xml:space="preserve"> </w:t>
      </w:r>
      <w:r w:rsidR="0073302A">
        <w:t>A</w:t>
      </w:r>
      <w:r w:rsidRPr="00400FEE">
        <w:t>ccess to study data</w:t>
      </w:r>
      <w:r>
        <w:t xml:space="preserve"> </w:t>
      </w:r>
      <w:r w:rsidRPr="00400FEE">
        <w:t xml:space="preserve">will be restricted to study administrators only and will be password-protected. </w:t>
      </w:r>
      <w:r>
        <w:t>The</w:t>
      </w:r>
      <w:r w:rsidRPr="00400FEE">
        <w:t xml:space="preserve"> survey questions are validated tools that have been used in multiple research settings </w:t>
      </w:r>
      <w:r>
        <w:t>and</w:t>
      </w:r>
      <w:r w:rsidRPr="00400FEE">
        <w:t xml:space="preserve"> are</w:t>
      </w:r>
      <w:r>
        <w:t xml:space="preserve"> </w:t>
      </w:r>
      <w:r w:rsidRPr="00400FEE">
        <w:t>voluntary in nature</w:t>
      </w:r>
      <w:r>
        <w:t xml:space="preserve">. None of the surveys or individual questions to the surveys </w:t>
      </w:r>
      <w:r w:rsidRPr="00F804DB">
        <w:t>are required</w:t>
      </w:r>
      <w:r w:rsidR="0073302A">
        <w:t>;</w:t>
      </w:r>
      <w:r w:rsidRPr="00F804DB">
        <w:t xml:space="preserve"> </w:t>
      </w:r>
      <w:r>
        <w:t>respondents</w:t>
      </w:r>
      <w:r w:rsidRPr="00F804DB">
        <w:t xml:space="preserve"> are able to opt-out of any questions that are</w:t>
      </w:r>
      <w:r w:rsidR="007D35B8">
        <w:t xml:space="preserve"> </w:t>
      </w:r>
      <w:r w:rsidRPr="00F804DB">
        <w:t xml:space="preserve">confusing or may provoke </w:t>
      </w:r>
      <w:r>
        <w:t xml:space="preserve">an </w:t>
      </w:r>
      <w:r w:rsidRPr="00F804DB">
        <w:t>emotional response</w:t>
      </w:r>
      <w:r>
        <w:t xml:space="preserve">. </w:t>
      </w:r>
    </w:p>
    <w:p w14:paraId="166BB147" w14:textId="77777777" w:rsidR="00EB2E75" w:rsidRPr="00400FEE" w:rsidRDefault="00EB2E75"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7CB474" w14:textId="4708F21C" w:rsidR="00EB2E75" w:rsidRPr="00400FEE" w:rsidRDefault="00EB2E75"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00FEE">
        <w:t>The questionnaire</w:t>
      </w:r>
      <w:r w:rsidR="00C27F72">
        <w:t>s</w:t>
      </w:r>
      <w:r w:rsidRPr="00400FEE">
        <w:t xml:space="preserve"> w</w:t>
      </w:r>
      <w:r w:rsidR="00C27F72">
        <w:t>ere</w:t>
      </w:r>
      <w:r w:rsidRPr="00400FEE">
        <w:t xml:space="preserve"> designed to collect the minimum amount of information necessary to achieve the goals of the project.  The most important factors to measure with respect to the project goals were carefully considered and questions designed to measure those factors.    </w:t>
      </w:r>
    </w:p>
    <w:p w14:paraId="1723A0CF" w14:textId="77777777" w:rsidR="00EB2E75" w:rsidRPr="00400FEE" w:rsidRDefault="00EB2E75"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CDCD06F" w14:textId="77777777" w:rsidR="00EB2E75" w:rsidRDefault="00EB2E75" w:rsidP="00EB2E75">
      <w:pPr>
        <w:keepNext/>
        <w:tabs>
          <w:tab w:val="left" w:pos="360"/>
        </w:tabs>
        <w:ind w:left="360" w:hanging="360"/>
        <w:outlineLvl w:val="0"/>
        <w:rPr>
          <w:b/>
        </w:rPr>
      </w:pPr>
      <w:r w:rsidRPr="0017314F">
        <w:rPr>
          <w:b/>
        </w:rPr>
        <w:t>B.3</w:t>
      </w:r>
      <w:r w:rsidRPr="0017314F">
        <w:rPr>
          <w:b/>
        </w:rPr>
        <w:tab/>
      </w:r>
      <w:r w:rsidRPr="0017314F">
        <w:rPr>
          <w:b/>
        </w:rPr>
        <w:tab/>
        <w:t>Methods to Maximize Response Rates and Deal with Nonresponse</w:t>
      </w:r>
    </w:p>
    <w:p w14:paraId="4E3504BF" w14:textId="77777777" w:rsidR="00EB2E75" w:rsidRDefault="00EB2E75" w:rsidP="00EB2E75">
      <w:pPr>
        <w:keepNext/>
        <w:tabs>
          <w:tab w:val="left" w:pos="360"/>
        </w:tabs>
        <w:ind w:left="360" w:hanging="360"/>
        <w:outlineLvl w:val="0"/>
        <w:rPr>
          <w:b/>
        </w:rPr>
      </w:pPr>
    </w:p>
    <w:p w14:paraId="6303E5BB" w14:textId="1E1933F6" w:rsidR="00EB2E75" w:rsidRPr="00CF28C3" w:rsidRDefault="00EB2E75" w:rsidP="00EB2E75">
      <w:pPr>
        <w:keepNext/>
        <w:tabs>
          <w:tab w:val="left" w:pos="360"/>
        </w:tabs>
        <w:outlineLvl w:val="0"/>
      </w:pPr>
      <w:r w:rsidRPr="00220C4C">
        <w:t>For the</w:t>
      </w:r>
      <w:r w:rsidRPr="00770F5C">
        <w:rPr>
          <w:i/>
        </w:rPr>
        <w:t xml:space="preserve"> </w:t>
      </w:r>
      <w:r w:rsidR="00770F5C" w:rsidRPr="00770F5C">
        <w:rPr>
          <w:i/>
        </w:rPr>
        <w:t>Patient</w:t>
      </w:r>
      <w:r w:rsidR="00770F5C">
        <w:t xml:space="preserve"> </w:t>
      </w:r>
      <w:r w:rsidR="00770F5C" w:rsidRPr="00770F5C">
        <w:rPr>
          <w:i/>
        </w:rPr>
        <w:t xml:space="preserve">Pre-Discharge Questionnaire, </w:t>
      </w:r>
      <w:r>
        <w:t xml:space="preserve">the expected response rate is </w:t>
      </w:r>
      <w:r w:rsidR="00C27F72">
        <w:t>35</w:t>
      </w:r>
      <w:r>
        <w:t xml:space="preserve">%. We </w:t>
      </w:r>
      <w:r w:rsidR="0073302A">
        <w:t xml:space="preserve">estimate </w:t>
      </w:r>
      <w:r>
        <w:t xml:space="preserve">this anticipated survey completion rate based on previous work screening and enrolling patients at UCSF, where an approximately </w:t>
      </w:r>
      <w:r w:rsidR="00C27F72">
        <w:t>35</w:t>
      </w:r>
      <w:r>
        <w:t>% enrollment rate has been the norm</w:t>
      </w:r>
      <w:r w:rsidR="00C27F72">
        <w:t xml:space="preserve">. </w:t>
      </w:r>
      <w:r>
        <w:t>Collecting data by online survey was determined to be the best method for the UCSF older adult patient population. Using our direct patient enrollment approach (</w:t>
      </w:r>
      <w:r w:rsidR="00C27F72">
        <w:t xml:space="preserve">in person or electronically) </w:t>
      </w:r>
      <w:r>
        <w:t>during hospitalization, we will be able to follow</w:t>
      </w:r>
      <w:r w:rsidR="00770F5C">
        <w:t xml:space="preserve"> </w:t>
      </w:r>
      <w:r>
        <w:t>up in person with patients and promote the scientific and health benefits of participating in our study.  We will also follow-up with patients</w:t>
      </w:r>
      <w:r w:rsidR="00C27F72">
        <w:t xml:space="preserve"> that complete the pre-discharge questionnaire </w:t>
      </w:r>
      <w:r>
        <w:t>via phone or email</w:t>
      </w:r>
      <w:r w:rsidR="00C27F72">
        <w:t xml:space="preserve"> to ensure completion of the post-discharge questionnaires. </w:t>
      </w:r>
      <w:r>
        <w:t xml:space="preserve"> </w:t>
      </w:r>
      <w:r w:rsidRPr="00CF28C3">
        <w:t xml:space="preserve"> </w:t>
      </w:r>
    </w:p>
    <w:p w14:paraId="279128AD" w14:textId="77777777" w:rsidR="00EB2E75" w:rsidRDefault="00EB2E75" w:rsidP="00EB2E75"/>
    <w:p w14:paraId="28673027" w14:textId="3EC1F226" w:rsidR="00EB2E75" w:rsidRPr="00A3059E" w:rsidRDefault="00EB2E75" w:rsidP="00EB2E75">
      <w:r>
        <w:t>For other survey participants (</w:t>
      </w:r>
      <w:r w:rsidR="00C27F72">
        <w:t xml:space="preserve">UCSF clinical staff and outpatient </w:t>
      </w:r>
      <w:r>
        <w:t xml:space="preserve">PCPs), we anticipate an approximate 50% response rate. We </w:t>
      </w:r>
      <w:r w:rsidR="00E5261C">
        <w:t>aimed</w:t>
      </w:r>
      <w:r w:rsidR="0073302A">
        <w:t xml:space="preserve"> </w:t>
      </w:r>
      <w:r>
        <w:t xml:space="preserve">to keep our survey </w:t>
      </w:r>
      <w:r w:rsidR="0073302A">
        <w:t xml:space="preserve">brief </w:t>
      </w:r>
      <w:r>
        <w:t xml:space="preserve">and focused on clinically relevant questions. We will </w:t>
      </w:r>
      <w:r w:rsidRPr="00A52875">
        <w:t xml:space="preserve">send </w:t>
      </w:r>
      <w:r>
        <w:t>up to three</w:t>
      </w:r>
      <w:r w:rsidRPr="00A52875">
        <w:t xml:space="preserve"> reminder e-mail</w:t>
      </w:r>
      <w:r>
        <w:t>s</w:t>
      </w:r>
      <w:r w:rsidRPr="00A52875">
        <w:t xml:space="preserve"> to those </w:t>
      </w:r>
      <w:r w:rsidR="006F0630">
        <w:t>who</w:t>
      </w:r>
      <w:r w:rsidR="00C27F72">
        <w:t xml:space="preserve"> </w:t>
      </w:r>
      <w:r w:rsidRPr="00A52875">
        <w:t>have not yet completed the online data collection halfway through the collection period.</w:t>
      </w:r>
      <w:r>
        <w:t xml:space="preserve"> </w:t>
      </w:r>
      <w:r w:rsidR="00C27F72">
        <w:t xml:space="preserve">From previous experience, </w:t>
      </w:r>
      <w:r w:rsidRPr="00CF28C3">
        <w:t xml:space="preserve">clinicians </w:t>
      </w:r>
      <w:r w:rsidR="00C27F72">
        <w:t>prefer</w:t>
      </w:r>
      <w:r w:rsidRPr="00CF28C3">
        <w:t xml:space="preserve"> brief online survey</w:t>
      </w:r>
      <w:r w:rsidR="00C27F72">
        <w:t>s</w:t>
      </w:r>
      <w:r w:rsidRPr="00CF28C3">
        <w:t xml:space="preserve"> </w:t>
      </w:r>
      <w:r w:rsidR="00C27F72">
        <w:t xml:space="preserve">that require </w:t>
      </w:r>
      <w:r w:rsidRPr="00CF28C3">
        <w:t xml:space="preserve">less than 10 minutes </w:t>
      </w:r>
      <w:r w:rsidR="00C27F72">
        <w:t>to complete</w:t>
      </w:r>
      <w:r w:rsidR="006F0630">
        <w:t>,</w:t>
      </w:r>
      <w:r w:rsidR="00C27F72">
        <w:t xml:space="preserve"> in comparison to paper format</w:t>
      </w:r>
      <w:r w:rsidRPr="00CF28C3">
        <w:t xml:space="preserve">.  </w:t>
      </w:r>
      <w:r>
        <w:t>The study is backed by strong executive sponsorship throughout the UCSF clinical community</w:t>
      </w:r>
      <w:r w:rsidR="006F0630">
        <w:t>.</w:t>
      </w:r>
      <w:r>
        <w:t xml:space="preserve"> </w:t>
      </w:r>
      <w:r w:rsidR="006F0630">
        <w:t>W</w:t>
      </w:r>
      <w:r>
        <w:t>e will continue promotion of the study amongst healthcare providers during clinical team meetings, executive forums, and peer conferences.</w:t>
      </w:r>
    </w:p>
    <w:p w14:paraId="19AF090F" w14:textId="77777777" w:rsidR="00EB2E75" w:rsidRDefault="00EB2E75" w:rsidP="00EB2E75"/>
    <w:p w14:paraId="6AFB4376" w14:textId="3FCE8D04" w:rsidR="00EB2E75" w:rsidRDefault="00EB2E75" w:rsidP="00EB2E75">
      <w:pPr>
        <w:rPr>
          <w:b/>
          <w:iCs/>
        </w:rPr>
      </w:pPr>
      <w:r>
        <w:rPr>
          <w:b/>
          <w:iCs/>
        </w:rPr>
        <w:t>B.4.</w:t>
      </w:r>
      <w:r>
        <w:rPr>
          <w:b/>
          <w:iCs/>
        </w:rPr>
        <w:tab/>
        <w:t xml:space="preserve">Tests of Procedures or Methods to be </w:t>
      </w:r>
      <w:r w:rsidR="00770F5C">
        <w:rPr>
          <w:b/>
          <w:iCs/>
        </w:rPr>
        <w:t>Undertaken</w:t>
      </w:r>
    </w:p>
    <w:p w14:paraId="4457FCDA" w14:textId="77777777" w:rsidR="00EB2E75" w:rsidRDefault="00EB2E75" w:rsidP="00EB2E75">
      <w:pPr>
        <w:pStyle w:val="BodyText21"/>
        <w:rPr>
          <w:rFonts w:ascii="Times New Roman" w:hAnsi="Times New Roman"/>
        </w:rPr>
      </w:pPr>
    </w:p>
    <w:p w14:paraId="7E8C221D" w14:textId="5F368518" w:rsidR="00EB2E75" w:rsidRPr="00F51264" w:rsidRDefault="00EB2E75" w:rsidP="00EB2E75">
      <w:pPr>
        <w:autoSpaceDE w:val="0"/>
        <w:autoSpaceDN w:val="0"/>
        <w:adjustRightInd w:val="0"/>
        <w:rPr>
          <w:lang w:val="en"/>
        </w:rPr>
      </w:pPr>
      <w:r>
        <w:t xml:space="preserve">Multiple phases of survey design, review, and revision were conducted to finalize the instruments. The specific items included on the survey instruments </w:t>
      </w:r>
      <w:r w:rsidR="00E60BD3">
        <w:t xml:space="preserve">will be used </w:t>
      </w:r>
      <w:r w:rsidR="00F536DA">
        <w:t xml:space="preserve">for formative evaluation of </w:t>
      </w:r>
      <w:r w:rsidRPr="00F51264">
        <w:rPr>
          <w:lang w:val="en"/>
        </w:rPr>
        <w:t xml:space="preserve">the post-discharge effects of </w:t>
      </w:r>
      <w:r w:rsidR="00F536DA">
        <w:rPr>
          <w:lang w:val="en"/>
        </w:rPr>
        <w:t>an opioid prescribing protocol and decision support tools to reduce</w:t>
      </w:r>
      <w:r w:rsidR="00E60BD3">
        <w:rPr>
          <w:lang w:val="en"/>
        </w:rPr>
        <w:t xml:space="preserve"> opioid adverse events</w:t>
      </w:r>
      <w:r w:rsidR="00E5261C">
        <w:rPr>
          <w:lang w:val="en"/>
        </w:rPr>
        <w:t xml:space="preserve">, specifically </w:t>
      </w:r>
      <w:r w:rsidR="00E60BD3">
        <w:rPr>
          <w:lang w:val="en"/>
        </w:rPr>
        <w:t>falls,</w:t>
      </w:r>
      <w:r w:rsidR="00F536DA">
        <w:rPr>
          <w:lang w:val="en"/>
        </w:rPr>
        <w:t xml:space="preserve"> and improve</w:t>
      </w:r>
      <w:r w:rsidR="00E60BD3">
        <w:rPr>
          <w:lang w:val="en"/>
        </w:rPr>
        <w:t xml:space="preserve"> </w:t>
      </w:r>
      <w:r w:rsidRPr="00F51264">
        <w:rPr>
          <w:lang w:val="en"/>
        </w:rPr>
        <w:t>patient adherence to fall prevention interventions prescribed at discharge</w:t>
      </w:r>
      <w:r w:rsidR="00F536DA">
        <w:rPr>
          <w:lang w:val="en"/>
        </w:rPr>
        <w:t xml:space="preserve">. It will also </w:t>
      </w:r>
      <w:r w:rsidR="00E60BD3">
        <w:rPr>
          <w:lang w:val="en"/>
        </w:rPr>
        <w:t>inform us about required</w:t>
      </w:r>
      <w:r w:rsidRPr="00F51264">
        <w:rPr>
          <w:lang w:val="en"/>
        </w:rPr>
        <w:t xml:space="preserve"> improvements in the safety and effectiveness</w:t>
      </w:r>
      <w:r w:rsidR="00F536DA">
        <w:rPr>
          <w:lang w:val="en"/>
        </w:rPr>
        <w:t xml:space="preserve"> of tools developed</w:t>
      </w:r>
      <w:r w:rsidR="00E60BD3">
        <w:rPr>
          <w:lang w:val="en"/>
        </w:rPr>
        <w:t xml:space="preserve">. </w:t>
      </w:r>
      <w:r w:rsidRPr="00F51264">
        <w:rPr>
          <w:lang w:val="en"/>
        </w:rPr>
        <w:t xml:space="preserve"> </w:t>
      </w:r>
    </w:p>
    <w:p w14:paraId="6105BA74" w14:textId="77777777" w:rsidR="00EB2E75" w:rsidRDefault="00EB2E75" w:rsidP="00EB2E75">
      <w:pPr>
        <w:autoSpaceDE w:val="0"/>
        <w:autoSpaceDN w:val="0"/>
        <w:adjustRightInd w:val="0"/>
        <w:rPr>
          <w:color w:val="000000"/>
        </w:rPr>
      </w:pPr>
    </w:p>
    <w:p w14:paraId="0CF579F6" w14:textId="4030C153" w:rsidR="00EB2E75" w:rsidRPr="007B6400" w:rsidRDefault="00EB2E75" w:rsidP="00EB2E75">
      <w:r w:rsidRPr="007B6400">
        <w:t xml:space="preserve">All data collection procedures to be used in this study </w:t>
      </w:r>
      <w:r w:rsidR="00684DCE">
        <w:t>will be</w:t>
      </w:r>
      <w:r w:rsidRPr="007B6400">
        <w:t xml:space="preserve"> tested by the contractor who assisted with design of the study protocol and </w:t>
      </w:r>
      <w:r>
        <w:t>questionnaire (Intellix/UCSF)</w:t>
      </w:r>
      <w:r w:rsidRPr="007B6400">
        <w:t>. The</w:t>
      </w:r>
      <w:r>
        <w:t xml:space="preserve"> survey has been designed to be brief and </w:t>
      </w:r>
      <w:r w:rsidR="00E5261C">
        <w:t>ensure</w:t>
      </w:r>
      <w:r>
        <w:t xml:space="preserve"> the highest possible response rates by clinical participants</w:t>
      </w:r>
      <w:r w:rsidRPr="00B94087">
        <w:rPr>
          <w:color w:val="000000"/>
        </w:rPr>
        <w:t>.</w:t>
      </w:r>
      <w:r w:rsidR="00684DCE">
        <w:rPr>
          <w:color w:val="000000"/>
        </w:rPr>
        <w:t xml:space="preserve"> </w:t>
      </w:r>
    </w:p>
    <w:p w14:paraId="40548D69" w14:textId="77777777" w:rsidR="00EB2E75" w:rsidRDefault="00EB2E75" w:rsidP="00EB2E75"/>
    <w:p w14:paraId="06C1D415" w14:textId="6F89FDC2" w:rsidR="00EB2E75" w:rsidRDefault="00EB2E75" w:rsidP="00EB2E75">
      <w:pPr>
        <w:rPr>
          <w:b/>
        </w:rPr>
      </w:pPr>
      <w:r>
        <w:rPr>
          <w:b/>
        </w:rPr>
        <w:t>B.5</w:t>
      </w:r>
      <w:r w:rsidR="00770F5C">
        <w:rPr>
          <w:b/>
        </w:rPr>
        <w:t>. Individuals</w:t>
      </w:r>
      <w:r>
        <w:rPr>
          <w:b/>
        </w:rPr>
        <w:t xml:space="preserve"> Consulted on Statistical Aspects and Individuals Collecting and/or Analyzing Data</w:t>
      </w:r>
    </w:p>
    <w:p w14:paraId="54F1E26C" w14:textId="77777777" w:rsidR="00EB2E75" w:rsidRDefault="00EB2E75"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883D4C" w14:textId="5763BAA3" w:rsidR="00EB2E75" w:rsidRDefault="00E5261C" w:rsidP="00EB2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CDC collaborated with Intellix and </w:t>
      </w:r>
      <w:r w:rsidR="00EB2E75">
        <w:t>UCSF’s</w:t>
      </w:r>
      <w:r>
        <w:t xml:space="preserve"> </w:t>
      </w:r>
      <w:r w:rsidR="00EB2E75">
        <w:t>Health and Analytics staff to design the st</w:t>
      </w:r>
      <w:r>
        <w:t>udy protocol and questionnaires</w:t>
      </w:r>
      <w:r w:rsidR="00EB2E75">
        <w:t>. Andrew Auerbach</w:t>
      </w:r>
      <w:r w:rsidR="006F0630">
        <w:t xml:space="preserve"> MD MPH</w:t>
      </w:r>
      <w:r w:rsidR="008467A6">
        <w:t xml:space="preserve"> </w:t>
      </w:r>
      <w:r w:rsidR="00EB2E75">
        <w:t>and Martin Koenig, RN designed the implementation plan, evaluation plan and questionnaires. Intellix</w:t>
      </w:r>
      <w:r w:rsidR="006F0630">
        <w:t xml:space="preserve"> and </w:t>
      </w:r>
      <w:r w:rsidR="00EB2E75">
        <w:t>UCSF will be responsible for conducting the data collection and analysis.</w:t>
      </w:r>
    </w:p>
    <w:p w14:paraId="2BA47450" w14:textId="77777777" w:rsidR="00EB2E75" w:rsidRDefault="00EB2E75" w:rsidP="00EB2E75"/>
    <w:p w14:paraId="593B69F0" w14:textId="5300F38D" w:rsidR="00EB2E75" w:rsidRDefault="00EB2E75" w:rsidP="00EB2E75">
      <w:r>
        <w:t>Gwen Bergen, PhD, MPH, MS</w:t>
      </w:r>
      <w:r w:rsidR="000E3913">
        <w:t>, Jaswinder Legha, MD, MPH</w:t>
      </w:r>
      <w:r>
        <w:t xml:space="preserve"> </w:t>
      </w:r>
      <w:r w:rsidRPr="00506608">
        <w:t xml:space="preserve">and </w:t>
      </w:r>
      <w:r>
        <w:t>Terri Head</w:t>
      </w:r>
      <w:r w:rsidR="000E3913">
        <w:t xml:space="preserve"> MBA</w:t>
      </w:r>
      <w:r>
        <w:t xml:space="preserve">, </w:t>
      </w:r>
      <w:r w:rsidRPr="00506608">
        <w:t>National Center for Injury Prevention</w:t>
      </w:r>
      <w:r>
        <w:t xml:space="preserve"> </w:t>
      </w:r>
      <w:r w:rsidRPr="00506608">
        <w:t>and Control</w:t>
      </w:r>
      <w:r>
        <w:t xml:space="preserve"> (NCIPC)</w:t>
      </w:r>
      <w:r w:rsidRPr="00506608">
        <w:rPr>
          <w:color w:val="0D0D0D"/>
        </w:rPr>
        <w:t xml:space="preserve">, Division of Unintentional Injury Prevention, CDC are the technical contacts for this project, responsible for providing scientific guidance to the </w:t>
      </w:r>
      <w:r>
        <w:rPr>
          <w:color w:val="0D0D0D"/>
        </w:rPr>
        <w:t>Intellix</w:t>
      </w:r>
      <w:r w:rsidR="00770F5C">
        <w:rPr>
          <w:color w:val="0D0D0D"/>
        </w:rPr>
        <w:t xml:space="preserve"> and </w:t>
      </w:r>
      <w:r>
        <w:rPr>
          <w:color w:val="0D0D0D"/>
        </w:rPr>
        <w:t>UCSF</w:t>
      </w:r>
      <w:r w:rsidRPr="00506608">
        <w:rPr>
          <w:color w:val="0D0D0D"/>
        </w:rPr>
        <w:t xml:space="preserve"> team. Dr. Bergen</w:t>
      </w:r>
      <w:r w:rsidR="00965E88">
        <w:rPr>
          <w:color w:val="0D0D0D"/>
        </w:rPr>
        <w:t>, Dr. Legha,</w:t>
      </w:r>
      <w:r w:rsidRPr="00506608">
        <w:rPr>
          <w:color w:val="0D0D0D"/>
        </w:rPr>
        <w:t xml:space="preserve"> and Ms. </w:t>
      </w:r>
      <w:r>
        <w:rPr>
          <w:color w:val="0D0D0D"/>
        </w:rPr>
        <w:t>Head</w:t>
      </w:r>
      <w:r w:rsidRPr="00506608">
        <w:rPr>
          <w:color w:val="0D0D0D"/>
        </w:rPr>
        <w:t xml:space="preserve"> will approve and receive all contract deliverables</w:t>
      </w:r>
    </w:p>
    <w:p w14:paraId="575C095B" w14:textId="77777777" w:rsidR="0052635B" w:rsidRDefault="0052635B"/>
    <w:sectPr w:rsidR="00526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0917"/>
    <w:multiLevelType w:val="hybridMultilevel"/>
    <w:tmpl w:val="DBC0F4F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EAF3879"/>
    <w:multiLevelType w:val="hybridMultilevel"/>
    <w:tmpl w:val="2124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0BA5A97"/>
    <w:multiLevelType w:val="hybridMultilevel"/>
    <w:tmpl w:val="173EE3B2"/>
    <w:lvl w:ilvl="0" w:tplc="06E2755E">
      <w:numFmt w:val="bullet"/>
      <w:lvlText w:val="•"/>
      <w:lvlJc w:val="left"/>
      <w:pPr>
        <w:ind w:left="900" w:hanging="72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6CA308FD"/>
    <w:multiLevelType w:val="hybridMultilevel"/>
    <w:tmpl w:val="AE94CEE6"/>
    <w:lvl w:ilvl="0" w:tplc="5F44244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E75"/>
    <w:rsid w:val="00017144"/>
    <w:rsid w:val="00077304"/>
    <w:rsid w:val="000B5628"/>
    <w:rsid w:val="000E3913"/>
    <w:rsid w:val="00141EB6"/>
    <w:rsid w:val="0014769C"/>
    <w:rsid w:val="00180771"/>
    <w:rsid w:val="001C0E5E"/>
    <w:rsid w:val="001C1331"/>
    <w:rsid w:val="001D003D"/>
    <w:rsid w:val="00274D62"/>
    <w:rsid w:val="0027751E"/>
    <w:rsid w:val="00314D4B"/>
    <w:rsid w:val="00380C74"/>
    <w:rsid w:val="003D24DA"/>
    <w:rsid w:val="0040439A"/>
    <w:rsid w:val="004249FC"/>
    <w:rsid w:val="004C6E05"/>
    <w:rsid w:val="004F156F"/>
    <w:rsid w:val="0052635B"/>
    <w:rsid w:val="005A78EC"/>
    <w:rsid w:val="005D46DA"/>
    <w:rsid w:val="0064330D"/>
    <w:rsid w:val="00684DCE"/>
    <w:rsid w:val="006A01F6"/>
    <w:rsid w:val="006A3547"/>
    <w:rsid w:val="006F0630"/>
    <w:rsid w:val="00715AB1"/>
    <w:rsid w:val="00716BDE"/>
    <w:rsid w:val="0073302A"/>
    <w:rsid w:val="0075160C"/>
    <w:rsid w:val="00751D30"/>
    <w:rsid w:val="00770F5C"/>
    <w:rsid w:val="007D35B8"/>
    <w:rsid w:val="008467A6"/>
    <w:rsid w:val="008509BA"/>
    <w:rsid w:val="008F6A89"/>
    <w:rsid w:val="009370DA"/>
    <w:rsid w:val="00944027"/>
    <w:rsid w:val="00952BD5"/>
    <w:rsid w:val="00965E88"/>
    <w:rsid w:val="00996AB6"/>
    <w:rsid w:val="009A64C0"/>
    <w:rsid w:val="009E3B56"/>
    <w:rsid w:val="009F3AE1"/>
    <w:rsid w:val="00AA25C6"/>
    <w:rsid w:val="00AE1EBB"/>
    <w:rsid w:val="00B05E60"/>
    <w:rsid w:val="00B32280"/>
    <w:rsid w:val="00B76C8D"/>
    <w:rsid w:val="00B805E0"/>
    <w:rsid w:val="00BA563B"/>
    <w:rsid w:val="00BE457A"/>
    <w:rsid w:val="00BF13FB"/>
    <w:rsid w:val="00BF6C76"/>
    <w:rsid w:val="00C04531"/>
    <w:rsid w:val="00C123B6"/>
    <w:rsid w:val="00C27F72"/>
    <w:rsid w:val="00C75981"/>
    <w:rsid w:val="00CC7934"/>
    <w:rsid w:val="00D2599B"/>
    <w:rsid w:val="00DD6BCF"/>
    <w:rsid w:val="00DE4EF3"/>
    <w:rsid w:val="00E10BC0"/>
    <w:rsid w:val="00E146D8"/>
    <w:rsid w:val="00E147B9"/>
    <w:rsid w:val="00E306CA"/>
    <w:rsid w:val="00E5261C"/>
    <w:rsid w:val="00E60BD3"/>
    <w:rsid w:val="00EB0B8B"/>
    <w:rsid w:val="00EB2E75"/>
    <w:rsid w:val="00EC3066"/>
    <w:rsid w:val="00EC3DDD"/>
    <w:rsid w:val="00ED6935"/>
    <w:rsid w:val="00F13A25"/>
    <w:rsid w:val="00F536DA"/>
    <w:rsid w:val="00F6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E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B2E7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2E7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rsid w:val="00EB2E75"/>
    <w:rPr>
      <w:color w:val="0033CC"/>
      <w:u w:val="single"/>
    </w:rPr>
  </w:style>
  <w:style w:type="paragraph" w:styleId="BalloonText">
    <w:name w:val="Balloon Text"/>
    <w:basedOn w:val="Normal"/>
    <w:link w:val="BalloonTextChar"/>
    <w:uiPriority w:val="99"/>
    <w:rsid w:val="00EB2E75"/>
    <w:rPr>
      <w:rFonts w:ascii="Tahoma" w:hAnsi="Tahoma" w:cs="Tahoma"/>
      <w:sz w:val="16"/>
      <w:szCs w:val="16"/>
    </w:rPr>
  </w:style>
  <w:style w:type="character" w:customStyle="1" w:styleId="BalloonTextChar">
    <w:name w:val="Balloon Text Char"/>
    <w:basedOn w:val="DefaultParagraphFont"/>
    <w:link w:val="BalloonText"/>
    <w:uiPriority w:val="99"/>
    <w:rsid w:val="00EB2E75"/>
    <w:rPr>
      <w:rFonts w:ascii="Tahoma" w:eastAsia="Times New Roman" w:hAnsi="Tahoma" w:cs="Tahoma"/>
      <w:sz w:val="16"/>
      <w:szCs w:val="16"/>
    </w:rPr>
  </w:style>
  <w:style w:type="paragraph" w:styleId="E-mailSignature">
    <w:name w:val="E-mail Signature"/>
    <w:basedOn w:val="Normal"/>
    <w:link w:val="E-mailSignatureChar"/>
    <w:rsid w:val="00EB2E75"/>
  </w:style>
  <w:style w:type="character" w:customStyle="1" w:styleId="E-mailSignatureChar">
    <w:name w:val="E-mail Signature Char"/>
    <w:basedOn w:val="DefaultParagraphFont"/>
    <w:link w:val="E-mailSignature"/>
    <w:rsid w:val="00EB2E75"/>
    <w:rPr>
      <w:rFonts w:ascii="Times New Roman" w:eastAsia="Times New Roman" w:hAnsi="Times New Roman" w:cs="Times New Roman"/>
      <w:sz w:val="24"/>
      <w:szCs w:val="24"/>
    </w:rPr>
  </w:style>
  <w:style w:type="paragraph" w:styleId="ListParagraph">
    <w:name w:val="List Paragraph"/>
    <w:aliases w:val="Bullet List,FooterText,List Paragraph1,Proposal Bullet List,Paragraph"/>
    <w:basedOn w:val="Normal"/>
    <w:link w:val="ListParagraphChar"/>
    <w:uiPriority w:val="34"/>
    <w:qFormat/>
    <w:rsid w:val="00EB2E75"/>
    <w:pPr>
      <w:ind w:left="720"/>
    </w:pPr>
    <w:rPr>
      <w:rFonts w:ascii="Calibri" w:eastAsia="Calibri" w:hAnsi="Calibri"/>
      <w:sz w:val="22"/>
      <w:szCs w:val="22"/>
    </w:rPr>
  </w:style>
  <w:style w:type="paragraph" w:customStyle="1" w:styleId="T0-ChapPgHd">
    <w:name w:val="T0-Chap/Pg Hd"/>
    <w:rsid w:val="00EB2E75"/>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uiPriority w:val="39"/>
    <w:rsid w:val="00EB2E75"/>
    <w:pPr>
      <w:tabs>
        <w:tab w:val="left" w:pos="1440"/>
        <w:tab w:val="right" w:leader="dot" w:pos="8208"/>
        <w:tab w:val="left" w:pos="8640"/>
      </w:tabs>
      <w:spacing w:line="240" w:lineRule="atLeast"/>
      <w:ind w:left="1443"/>
    </w:pPr>
    <w:rPr>
      <w:caps/>
      <w:noProof/>
    </w:rPr>
  </w:style>
  <w:style w:type="paragraph" w:styleId="TOC2">
    <w:name w:val="toc 2"/>
    <w:basedOn w:val="Normal"/>
    <w:autoRedefine/>
    <w:uiPriority w:val="39"/>
    <w:semiHidden/>
    <w:rsid w:val="00EB2E75"/>
    <w:pPr>
      <w:tabs>
        <w:tab w:val="left" w:pos="2160"/>
        <w:tab w:val="right" w:leader="dot" w:pos="8208"/>
        <w:tab w:val="left" w:pos="8640"/>
      </w:tabs>
      <w:spacing w:line="240" w:lineRule="atLeast"/>
      <w:ind w:left="2160" w:hanging="720"/>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EB2E75"/>
    <w:rPr>
      <w:rFonts w:ascii="Calibri" w:eastAsia="Calibri" w:hAnsi="Calibri" w:cs="Times New Roman"/>
    </w:rPr>
  </w:style>
  <w:style w:type="character" w:styleId="CommentReference">
    <w:name w:val="annotation reference"/>
    <w:basedOn w:val="DefaultParagraphFont"/>
    <w:uiPriority w:val="99"/>
    <w:semiHidden/>
    <w:unhideWhenUsed/>
    <w:rsid w:val="00EB2E75"/>
    <w:rPr>
      <w:sz w:val="16"/>
      <w:szCs w:val="16"/>
    </w:rPr>
  </w:style>
  <w:style w:type="paragraph" w:styleId="CommentText">
    <w:name w:val="annotation text"/>
    <w:basedOn w:val="Normal"/>
    <w:link w:val="CommentTextChar"/>
    <w:uiPriority w:val="99"/>
    <w:unhideWhenUsed/>
    <w:rsid w:val="00EB2E75"/>
    <w:rPr>
      <w:sz w:val="20"/>
      <w:szCs w:val="20"/>
    </w:rPr>
  </w:style>
  <w:style w:type="character" w:customStyle="1" w:styleId="CommentTextChar">
    <w:name w:val="Comment Text Char"/>
    <w:basedOn w:val="DefaultParagraphFont"/>
    <w:link w:val="CommentText"/>
    <w:uiPriority w:val="99"/>
    <w:rsid w:val="00EB2E75"/>
    <w:rPr>
      <w:rFonts w:ascii="Times New Roman" w:eastAsia="Times New Roman" w:hAnsi="Times New Roman" w:cs="Times New Roman"/>
      <w:sz w:val="20"/>
      <w:szCs w:val="20"/>
    </w:rPr>
  </w:style>
  <w:style w:type="table" w:styleId="TableGrid">
    <w:name w:val="Table Grid"/>
    <w:basedOn w:val="TableNormal"/>
    <w:rsid w:val="00EB2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EB2E75"/>
    <w:rPr>
      <w:rFonts w:ascii="Times" w:hAnsi="Times"/>
      <w:szCs w:val="20"/>
    </w:rPr>
  </w:style>
  <w:style w:type="paragraph" w:styleId="CommentSubject">
    <w:name w:val="annotation subject"/>
    <w:basedOn w:val="CommentText"/>
    <w:next w:val="CommentText"/>
    <w:link w:val="CommentSubjectChar"/>
    <w:uiPriority w:val="99"/>
    <w:semiHidden/>
    <w:unhideWhenUsed/>
    <w:rsid w:val="00E306CA"/>
    <w:rPr>
      <w:b/>
      <w:bCs/>
    </w:rPr>
  </w:style>
  <w:style w:type="character" w:customStyle="1" w:styleId="CommentSubjectChar">
    <w:name w:val="Comment Subject Char"/>
    <w:basedOn w:val="CommentTextChar"/>
    <w:link w:val="CommentSubject"/>
    <w:uiPriority w:val="99"/>
    <w:semiHidden/>
    <w:rsid w:val="00E306C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E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B2E7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2E7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rsid w:val="00EB2E75"/>
    <w:rPr>
      <w:color w:val="0033CC"/>
      <w:u w:val="single"/>
    </w:rPr>
  </w:style>
  <w:style w:type="paragraph" w:styleId="BalloonText">
    <w:name w:val="Balloon Text"/>
    <w:basedOn w:val="Normal"/>
    <w:link w:val="BalloonTextChar"/>
    <w:uiPriority w:val="99"/>
    <w:rsid w:val="00EB2E75"/>
    <w:rPr>
      <w:rFonts w:ascii="Tahoma" w:hAnsi="Tahoma" w:cs="Tahoma"/>
      <w:sz w:val="16"/>
      <w:szCs w:val="16"/>
    </w:rPr>
  </w:style>
  <w:style w:type="character" w:customStyle="1" w:styleId="BalloonTextChar">
    <w:name w:val="Balloon Text Char"/>
    <w:basedOn w:val="DefaultParagraphFont"/>
    <w:link w:val="BalloonText"/>
    <w:uiPriority w:val="99"/>
    <w:rsid w:val="00EB2E75"/>
    <w:rPr>
      <w:rFonts w:ascii="Tahoma" w:eastAsia="Times New Roman" w:hAnsi="Tahoma" w:cs="Tahoma"/>
      <w:sz w:val="16"/>
      <w:szCs w:val="16"/>
    </w:rPr>
  </w:style>
  <w:style w:type="paragraph" w:styleId="E-mailSignature">
    <w:name w:val="E-mail Signature"/>
    <w:basedOn w:val="Normal"/>
    <w:link w:val="E-mailSignatureChar"/>
    <w:rsid w:val="00EB2E75"/>
  </w:style>
  <w:style w:type="character" w:customStyle="1" w:styleId="E-mailSignatureChar">
    <w:name w:val="E-mail Signature Char"/>
    <w:basedOn w:val="DefaultParagraphFont"/>
    <w:link w:val="E-mailSignature"/>
    <w:rsid w:val="00EB2E75"/>
    <w:rPr>
      <w:rFonts w:ascii="Times New Roman" w:eastAsia="Times New Roman" w:hAnsi="Times New Roman" w:cs="Times New Roman"/>
      <w:sz w:val="24"/>
      <w:szCs w:val="24"/>
    </w:rPr>
  </w:style>
  <w:style w:type="paragraph" w:styleId="ListParagraph">
    <w:name w:val="List Paragraph"/>
    <w:aliases w:val="Bullet List,FooterText,List Paragraph1,Proposal Bullet List,Paragraph"/>
    <w:basedOn w:val="Normal"/>
    <w:link w:val="ListParagraphChar"/>
    <w:uiPriority w:val="34"/>
    <w:qFormat/>
    <w:rsid w:val="00EB2E75"/>
    <w:pPr>
      <w:ind w:left="720"/>
    </w:pPr>
    <w:rPr>
      <w:rFonts w:ascii="Calibri" w:eastAsia="Calibri" w:hAnsi="Calibri"/>
      <w:sz w:val="22"/>
      <w:szCs w:val="22"/>
    </w:rPr>
  </w:style>
  <w:style w:type="paragraph" w:customStyle="1" w:styleId="T0-ChapPgHd">
    <w:name w:val="T0-Chap/Pg Hd"/>
    <w:rsid w:val="00EB2E75"/>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uiPriority w:val="39"/>
    <w:rsid w:val="00EB2E75"/>
    <w:pPr>
      <w:tabs>
        <w:tab w:val="left" w:pos="1440"/>
        <w:tab w:val="right" w:leader="dot" w:pos="8208"/>
        <w:tab w:val="left" w:pos="8640"/>
      </w:tabs>
      <w:spacing w:line="240" w:lineRule="atLeast"/>
      <w:ind w:left="1443"/>
    </w:pPr>
    <w:rPr>
      <w:caps/>
      <w:noProof/>
    </w:rPr>
  </w:style>
  <w:style w:type="paragraph" w:styleId="TOC2">
    <w:name w:val="toc 2"/>
    <w:basedOn w:val="Normal"/>
    <w:autoRedefine/>
    <w:uiPriority w:val="39"/>
    <w:semiHidden/>
    <w:rsid w:val="00EB2E75"/>
    <w:pPr>
      <w:tabs>
        <w:tab w:val="left" w:pos="2160"/>
        <w:tab w:val="right" w:leader="dot" w:pos="8208"/>
        <w:tab w:val="left" w:pos="8640"/>
      </w:tabs>
      <w:spacing w:line="240" w:lineRule="atLeast"/>
      <w:ind w:left="2160" w:hanging="720"/>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EB2E75"/>
    <w:rPr>
      <w:rFonts w:ascii="Calibri" w:eastAsia="Calibri" w:hAnsi="Calibri" w:cs="Times New Roman"/>
    </w:rPr>
  </w:style>
  <w:style w:type="character" w:styleId="CommentReference">
    <w:name w:val="annotation reference"/>
    <w:basedOn w:val="DefaultParagraphFont"/>
    <w:uiPriority w:val="99"/>
    <w:semiHidden/>
    <w:unhideWhenUsed/>
    <w:rsid w:val="00EB2E75"/>
    <w:rPr>
      <w:sz w:val="16"/>
      <w:szCs w:val="16"/>
    </w:rPr>
  </w:style>
  <w:style w:type="paragraph" w:styleId="CommentText">
    <w:name w:val="annotation text"/>
    <w:basedOn w:val="Normal"/>
    <w:link w:val="CommentTextChar"/>
    <w:uiPriority w:val="99"/>
    <w:unhideWhenUsed/>
    <w:rsid w:val="00EB2E75"/>
    <w:rPr>
      <w:sz w:val="20"/>
      <w:szCs w:val="20"/>
    </w:rPr>
  </w:style>
  <w:style w:type="character" w:customStyle="1" w:styleId="CommentTextChar">
    <w:name w:val="Comment Text Char"/>
    <w:basedOn w:val="DefaultParagraphFont"/>
    <w:link w:val="CommentText"/>
    <w:uiPriority w:val="99"/>
    <w:rsid w:val="00EB2E75"/>
    <w:rPr>
      <w:rFonts w:ascii="Times New Roman" w:eastAsia="Times New Roman" w:hAnsi="Times New Roman" w:cs="Times New Roman"/>
      <w:sz w:val="20"/>
      <w:szCs w:val="20"/>
    </w:rPr>
  </w:style>
  <w:style w:type="table" w:styleId="TableGrid">
    <w:name w:val="Table Grid"/>
    <w:basedOn w:val="TableNormal"/>
    <w:rsid w:val="00EB2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EB2E75"/>
    <w:rPr>
      <w:rFonts w:ascii="Times" w:hAnsi="Times"/>
      <w:szCs w:val="20"/>
    </w:rPr>
  </w:style>
  <w:style w:type="paragraph" w:styleId="CommentSubject">
    <w:name w:val="annotation subject"/>
    <w:basedOn w:val="CommentText"/>
    <w:next w:val="CommentText"/>
    <w:link w:val="CommentSubjectChar"/>
    <w:uiPriority w:val="99"/>
    <w:semiHidden/>
    <w:unhideWhenUsed/>
    <w:rsid w:val="00E306CA"/>
    <w:rPr>
      <w:b/>
      <w:bCs/>
    </w:rPr>
  </w:style>
  <w:style w:type="character" w:customStyle="1" w:styleId="CommentSubjectChar">
    <w:name w:val="Comment Subject Char"/>
    <w:basedOn w:val="CommentTextChar"/>
    <w:link w:val="CommentSubject"/>
    <w:uiPriority w:val="99"/>
    <w:semiHidden/>
    <w:rsid w:val="00E306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jb8@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2228</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dc:creator>
  <cp:keywords/>
  <dc:description/>
  <cp:lastModifiedBy>SYSTEM</cp:lastModifiedBy>
  <cp:revision>2</cp:revision>
  <dcterms:created xsi:type="dcterms:W3CDTF">2019-10-21T16:40:00Z</dcterms:created>
  <dcterms:modified xsi:type="dcterms:W3CDTF">2019-10-21T16:40:00Z</dcterms:modified>
</cp:coreProperties>
</file>