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7C6D3" w14:textId="77777777" w:rsidR="0016434D" w:rsidRDefault="0016434D" w:rsidP="008D770A">
      <w:pPr>
        <w:keepNext/>
        <w:keepLines/>
        <w:ind w:left="720"/>
        <w:jc w:val="center"/>
        <w:outlineLvl w:val="6"/>
        <w:rPr>
          <w:rFonts w:eastAsiaTheme="majorEastAsia"/>
          <w:b/>
          <w:i/>
          <w:color w:val="404040" w:themeColor="text1" w:themeTint="BF"/>
        </w:rPr>
      </w:pPr>
      <w:bookmarkStart w:id="0" w:name="_GoBack"/>
      <w:bookmarkEnd w:id="0"/>
    </w:p>
    <w:p w14:paraId="0C4B9C34" w14:textId="77777777" w:rsidR="0016434D" w:rsidRDefault="0016434D" w:rsidP="008D770A">
      <w:pPr>
        <w:keepNext/>
        <w:keepLines/>
        <w:ind w:left="720"/>
        <w:jc w:val="center"/>
        <w:outlineLvl w:val="6"/>
        <w:rPr>
          <w:rFonts w:eastAsiaTheme="majorEastAsia"/>
          <w:b/>
          <w:i/>
          <w:color w:val="404040" w:themeColor="text1" w:themeTint="BF"/>
        </w:rPr>
      </w:pPr>
    </w:p>
    <w:p w14:paraId="5A14E675" w14:textId="77777777" w:rsidR="0016434D" w:rsidRDefault="0016434D" w:rsidP="008D770A">
      <w:pPr>
        <w:keepNext/>
        <w:keepLines/>
        <w:ind w:left="720"/>
        <w:jc w:val="center"/>
        <w:outlineLvl w:val="6"/>
        <w:rPr>
          <w:rFonts w:eastAsiaTheme="majorEastAsia"/>
          <w:b/>
          <w:i/>
          <w:color w:val="404040" w:themeColor="text1" w:themeTint="BF"/>
        </w:rPr>
      </w:pPr>
    </w:p>
    <w:p w14:paraId="3B05A4B5" w14:textId="77777777" w:rsidR="0016434D" w:rsidRDefault="0016434D" w:rsidP="008D770A">
      <w:pPr>
        <w:keepNext/>
        <w:keepLines/>
        <w:ind w:left="720"/>
        <w:jc w:val="center"/>
        <w:outlineLvl w:val="6"/>
        <w:rPr>
          <w:rFonts w:eastAsiaTheme="majorEastAsia"/>
          <w:b/>
          <w:i/>
          <w:color w:val="404040" w:themeColor="text1" w:themeTint="BF"/>
        </w:rPr>
      </w:pPr>
    </w:p>
    <w:p w14:paraId="05DD5046" w14:textId="5ECD1DC9" w:rsidR="008D770A" w:rsidRPr="000155E9" w:rsidRDefault="008D770A" w:rsidP="008D770A">
      <w:pPr>
        <w:keepNext/>
        <w:keepLines/>
        <w:ind w:left="720"/>
        <w:jc w:val="center"/>
        <w:outlineLvl w:val="6"/>
        <w:rPr>
          <w:rFonts w:eastAsiaTheme="majorEastAsia"/>
          <w:i/>
          <w:color w:val="404040" w:themeColor="text1" w:themeTint="BF"/>
        </w:rPr>
      </w:pPr>
      <w:r w:rsidRPr="000155E9">
        <w:rPr>
          <w:rFonts w:eastAsiaTheme="majorEastAsia"/>
          <w:b/>
          <w:i/>
          <w:color w:val="404040" w:themeColor="text1" w:themeTint="BF"/>
        </w:rPr>
        <w:t xml:space="preserve">SUPPORTING </w:t>
      </w:r>
      <w:r w:rsidR="00EB7F71" w:rsidRPr="000155E9">
        <w:rPr>
          <w:rFonts w:eastAsiaTheme="majorEastAsia"/>
          <w:b/>
          <w:i/>
          <w:color w:val="404040" w:themeColor="text1" w:themeTint="BF"/>
        </w:rPr>
        <w:t>STATEMENT:</w:t>
      </w:r>
      <w:r w:rsidRPr="000155E9">
        <w:rPr>
          <w:rFonts w:eastAsiaTheme="majorEastAsia"/>
          <w:b/>
          <w:i/>
          <w:color w:val="404040" w:themeColor="text1" w:themeTint="BF"/>
        </w:rPr>
        <w:t xml:space="preserve"> </w:t>
      </w:r>
      <w:r w:rsidRPr="000155E9">
        <w:rPr>
          <w:rFonts w:eastAsiaTheme="majorEastAsia"/>
          <w:i/>
          <w:color w:val="404040" w:themeColor="text1" w:themeTint="BF"/>
        </w:rPr>
        <w:t>PART A</w:t>
      </w:r>
    </w:p>
    <w:p w14:paraId="165D4E65" w14:textId="77777777" w:rsidR="008D770A" w:rsidRPr="000155E9" w:rsidRDefault="008D770A" w:rsidP="008D770A">
      <w:pPr>
        <w:pStyle w:val="BalloonText"/>
        <w:ind w:left="720"/>
        <w:jc w:val="center"/>
        <w:rPr>
          <w:rFonts w:ascii="Times New Roman" w:hAnsi="Times New Roman"/>
          <w:sz w:val="24"/>
        </w:rPr>
      </w:pPr>
    </w:p>
    <w:p w14:paraId="14953EAD" w14:textId="77777777" w:rsidR="008D770A" w:rsidRPr="00202FE2" w:rsidRDefault="008D770A" w:rsidP="008D770A">
      <w:pPr>
        <w:autoSpaceDE w:val="0"/>
        <w:autoSpaceDN w:val="0"/>
        <w:adjustRightInd w:val="0"/>
        <w:ind w:left="720"/>
        <w:jc w:val="center"/>
        <w:rPr>
          <w:b/>
          <w:bCs/>
        </w:rPr>
      </w:pPr>
    </w:p>
    <w:p w14:paraId="7EA342F8" w14:textId="77777777" w:rsidR="008C3C55" w:rsidRPr="00202FE2" w:rsidRDefault="008C3C55" w:rsidP="008D770A">
      <w:pPr>
        <w:ind w:left="720"/>
        <w:jc w:val="center"/>
        <w:rPr>
          <w:b/>
        </w:rPr>
      </w:pPr>
    </w:p>
    <w:p w14:paraId="22B86675" w14:textId="77777777" w:rsidR="008C3C55" w:rsidRPr="00202FE2" w:rsidRDefault="008C3C55" w:rsidP="008D770A">
      <w:pPr>
        <w:ind w:left="720"/>
        <w:jc w:val="center"/>
        <w:rPr>
          <w:b/>
        </w:rPr>
      </w:pPr>
    </w:p>
    <w:p w14:paraId="77165987" w14:textId="77777777" w:rsidR="008C3C55" w:rsidRPr="00202FE2" w:rsidRDefault="008C3C55" w:rsidP="008D770A">
      <w:pPr>
        <w:ind w:left="720"/>
        <w:jc w:val="center"/>
        <w:rPr>
          <w:b/>
        </w:rPr>
      </w:pPr>
    </w:p>
    <w:p w14:paraId="3C923F5A" w14:textId="34BD4C22" w:rsidR="008D770A" w:rsidRPr="00202FE2" w:rsidRDefault="008D770A" w:rsidP="008D770A">
      <w:pPr>
        <w:ind w:left="720"/>
        <w:jc w:val="center"/>
        <w:rPr>
          <w:b/>
        </w:rPr>
      </w:pPr>
      <w:r w:rsidRPr="00202FE2">
        <w:rPr>
          <w:b/>
        </w:rPr>
        <w:t xml:space="preserve">OMB# </w:t>
      </w:r>
    </w:p>
    <w:p w14:paraId="519524A1" w14:textId="77777777" w:rsidR="008D770A" w:rsidRPr="00202FE2" w:rsidRDefault="008D770A" w:rsidP="008D770A">
      <w:pPr>
        <w:ind w:left="720"/>
        <w:jc w:val="center"/>
        <w:rPr>
          <w:b/>
        </w:rPr>
      </w:pPr>
    </w:p>
    <w:p w14:paraId="61AB1286" w14:textId="77777777" w:rsidR="008D770A" w:rsidRPr="00202FE2" w:rsidRDefault="008D770A" w:rsidP="008D770A">
      <w:pPr>
        <w:ind w:left="720"/>
        <w:jc w:val="center"/>
      </w:pPr>
    </w:p>
    <w:p w14:paraId="498810F3" w14:textId="77777777" w:rsidR="008C3C55" w:rsidRPr="00202FE2" w:rsidRDefault="008C3C55" w:rsidP="008D770A">
      <w:pPr>
        <w:ind w:left="720"/>
        <w:jc w:val="center"/>
        <w:rPr>
          <w:b/>
        </w:rPr>
      </w:pPr>
    </w:p>
    <w:p w14:paraId="6D09A52E" w14:textId="77777777" w:rsidR="008C3C55" w:rsidRPr="00202FE2" w:rsidRDefault="008C3C55" w:rsidP="008D770A">
      <w:pPr>
        <w:ind w:left="720"/>
        <w:jc w:val="center"/>
        <w:rPr>
          <w:b/>
        </w:rPr>
      </w:pPr>
    </w:p>
    <w:p w14:paraId="37135851" w14:textId="77777777" w:rsidR="008C3C55" w:rsidRPr="00202FE2" w:rsidRDefault="008C3C55" w:rsidP="008D770A">
      <w:pPr>
        <w:ind w:left="720"/>
        <w:jc w:val="center"/>
        <w:rPr>
          <w:b/>
        </w:rPr>
      </w:pPr>
    </w:p>
    <w:p w14:paraId="7AF276F1" w14:textId="3E4832A9" w:rsidR="008D770A" w:rsidRPr="00202FE2" w:rsidRDefault="00841030" w:rsidP="008D770A">
      <w:pPr>
        <w:ind w:left="720"/>
        <w:jc w:val="center"/>
        <w:rPr>
          <w:b/>
        </w:rPr>
      </w:pPr>
      <w:r>
        <w:rPr>
          <w:b/>
        </w:rPr>
        <w:t xml:space="preserve">October </w:t>
      </w:r>
      <w:r w:rsidR="00A73A35">
        <w:rPr>
          <w:b/>
        </w:rPr>
        <w:t>21</w:t>
      </w:r>
      <w:r w:rsidR="00EB7F71">
        <w:rPr>
          <w:b/>
        </w:rPr>
        <w:t>, 2019</w:t>
      </w:r>
    </w:p>
    <w:p w14:paraId="42C9FAB4" w14:textId="77777777" w:rsidR="008D770A" w:rsidRPr="00202FE2" w:rsidRDefault="008D770A" w:rsidP="008D770A">
      <w:pPr>
        <w:jc w:val="center"/>
      </w:pPr>
    </w:p>
    <w:p w14:paraId="59A3AEAB" w14:textId="77777777" w:rsidR="008D770A" w:rsidRPr="00202FE2" w:rsidRDefault="008D770A" w:rsidP="008D770A">
      <w:pPr>
        <w:jc w:val="center"/>
      </w:pPr>
    </w:p>
    <w:p w14:paraId="5534B6A5" w14:textId="77777777" w:rsidR="008C3C55" w:rsidRPr="000155E9" w:rsidRDefault="008C3C55" w:rsidP="008D770A">
      <w:pPr>
        <w:jc w:val="center"/>
        <w:rPr>
          <w:b/>
        </w:rPr>
      </w:pPr>
    </w:p>
    <w:p w14:paraId="265E5797" w14:textId="77777777" w:rsidR="008C3C55" w:rsidRPr="000155E9" w:rsidRDefault="008C3C55" w:rsidP="008D770A">
      <w:pPr>
        <w:jc w:val="center"/>
        <w:rPr>
          <w:b/>
        </w:rPr>
      </w:pPr>
    </w:p>
    <w:p w14:paraId="73B94276" w14:textId="706BC400" w:rsidR="00D92295" w:rsidRPr="00202FE2" w:rsidRDefault="00D92295" w:rsidP="00D92295">
      <w:pPr>
        <w:jc w:val="center"/>
        <w:rPr>
          <w:b/>
          <w:noProof/>
        </w:rPr>
      </w:pPr>
    </w:p>
    <w:p w14:paraId="2537900C" w14:textId="57A25B7F" w:rsidR="00D92295" w:rsidRPr="00202FE2" w:rsidRDefault="00D92295" w:rsidP="00D92295">
      <w:pPr>
        <w:jc w:val="center"/>
      </w:pPr>
      <w:r w:rsidRPr="00202FE2">
        <w:rPr>
          <w:b/>
          <w:noProof/>
        </w:rPr>
        <w:t xml:space="preserve">Evaluating the implementation and impact of </w:t>
      </w:r>
      <w:r w:rsidR="00D97236">
        <w:rPr>
          <w:b/>
          <w:noProof/>
        </w:rPr>
        <w:t xml:space="preserve">an </w:t>
      </w:r>
      <w:r w:rsidRPr="00202FE2">
        <w:rPr>
          <w:b/>
          <w:noProof/>
        </w:rPr>
        <w:t>opioid medication management</w:t>
      </w:r>
      <w:r w:rsidR="00D97236">
        <w:rPr>
          <w:b/>
          <w:noProof/>
        </w:rPr>
        <w:t xml:space="preserve"> program</w:t>
      </w:r>
      <w:r w:rsidRPr="00202FE2">
        <w:rPr>
          <w:b/>
          <w:noProof/>
        </w:rPr>
        <w:t>, in a hospital discharge</w:t>
      </w:r>
      <w:r w:rsidR="0018611A">
        <w:rPr>
          <w:b/>
          <w:noProof/>
        </w:rPr>
        <w:t xml:space="preserve"> setting</w:t>
      </w:r>
      <w:r w:rsidR="00D97236">
        <w:rPr>
          <w:b/>
          <w:noProof/>
        </w:rPr>
        <w:t>, to reduce falls in older adults</w:t>
      </w:r>
      <w:r w:rsidRPr="00202FE2">
        <w:rPr>
          <w:b/>
          <w:noProof/>
        </w:rPr>
        <w:t>.</w:t>
      </w:r>
      <w:r w:rsidRPr="00202FE2">
        <w:t xml:space="preserve"> </w:t>
      </w:r>
    </w:p>
    <w:p w14:paraId="7770C9CF" w14:textId="207EE75B" w:rsidR="008D770A" w:rsidRPr="00202FE2" w:rsidRDefault="008D770A" w:rsidP="008D770A">
      <w:pPr>
        <w:jc w:val="center"/>
      </w:pPr>
    </w:p>
    <w:p w14:paraId="3CFAF56C" w14:textId="77777777" w:rsidR="008D770A" w:rsidRPr="00202FE2" w:rsidRDefault="008D770A" w:rsidP="008D770A">
      <w:pPr>
        <w:jc w:val="center"/>
      </w:pPr>
    </w:p>
    <w:p w14:paraId="02A60761" w14:textId="77777777" w:rsidR="008D770A" w:rsidRPr="00202FE2" w:rsidRDefault="008D770A" w:rsidP="008D770A">
      <w:pPr>
        <w:jc w:val="center"/>
      </w:pPr>
    </w:p>
    <w:p w14:paraId="3675D13B" w14:textId="77777777" w:rsidR="008D770A" w:rsidRPr="00202FE2" w:rsidRDefault="008D770A" w:rsidP="008D770A">
      <w:pPr>
        <w:jc w:val="center"/>
      </w:pPr>
    </w:p>
    <w:p w14:paraId="60E898BB" w14:textId="77777777" w:rsidR="008D770A" w:rsidRPr="00202FE2" w:rsidRDefault="008D770A" w:rsidP="008D770A">
      <w:pPr>
        <w:jc w:val="center"/>
      </w:pPr>
    </w:p>
    <w:p w14:paraId="65DF5419" w14:textId="77777777" w:rsidR="008C3C55" w:rsidRPr="00202FE2" w:rsidRDefault="008C3C55" w:rsidP="008D770A">
      <w:pPr>
        <w:jc w:val="center"/>
      </w:pPr>
    </w:p>
    <w:p w14:paraId="74D5E558" w14:textId="77777777" w:rsidR="008C3C55" w:rsidRPr="00202FE2" w:rsidRDefault="008C3C55" w:rsidP="008D770A">
      <w:pPr>
        <w:jc w:val="center"/>
      </w:pPr>
    </w:p>
    <w:p w14:paraId="5837210A" w14:textId="77777777" w:rsidR="008C3C55" w:rsidRPr="00202FE2" w:rsidRDefault="008C3C55" w:rsidP="008D770A">
      <w:pPr>
        <w:jc w:val="center"/>
      </w:pPr>
    </w:p>
    <w:p w14:paraId="28BDB446" w14:textId="77777777" w:rsidR="008C3C55" w:rsidRPr="00202FE2" w:rsidRDefault="008C3C55" w:rsidP="008D770A">
      <w:pPr>
        <w:jc w:val="center"/>
      </w:pPr>
    </w:p>
    <w:p w14:paraId="3E0A91FE" w14:textId="77777777" w:rsidR="008C3C55" w:rsidRPr="00202FE2" w:rsidRDefault="008C3C55" w:rsidP="008D770A">
      <w:pPr>
        <w:jc w:val="center"/>
      </w:pPr>
    </w:p>
    <w:p w14:paraId="3C7732C9" w14:textId="77777777" w:rsidR="008C3C55" w:rsidRPr="00202FE2" w:rsidRDefault="008C3C55" w:rsidP="008D770A">
      <w:pPr>
        <w:jc w:val="center"/>
      </w:pPr>
    </w:p>
    <w:p w14:paraId="23A3F1E1" w14:textId="77777777" w:rsidR="008C3C55" w:rsidRPr="00202FE2" w:rsidRDefault="008C3C55" w:rsidP="008D770A">
      <w:pPr>
        <w:jc w:val="center"/>
      </w:pPr>
    </w:p>
    <w:p w14:paraId="563815AC" w14:textId="43E42D20" w:rsidR="008D770A" w:rsidRPr="00202FE2" w:rsidRDefault="008D770A" w:rsidP="008D770A">
      <w:pPr>
        <w:jc w:val="center"/>
      </w:pPr>
      <w:r w:rsidRPr="00202FE2">
        <w:t>Point of Contact:</w:t>
      </w:r>
    </w:p>
    <w:p w14:paraId="40A45C39" w14:textId="77777777" w:rsidR="008D770A" w:rsidRPr="00202FE2" w:rsidRDefault="008D770A" w:rsidP="008D770A">
      <w:pPr>
        <w:jc w:val="center"/>
      </w:pPr>
      <w:r w:rsidRPr="00202FE2">
        <w:t>Gwen Bergen</w:t>
      </w:r>
    </w:p>
    <w:p w14:paraId="7C72D065" w14:textId="77777777" w:rsidR="008D770A" w:rsidRPr="00202FE2" w:rsidRDefault="008D770A" w:rsidP="008D770A">
      <w:pPr>
        <w:jc w:val="center"/>
      </w:pPr>
      <w:r w:rsidRPr="00202FE2">
        <w:t>Behavioral Scientist</w:t>
      </w:r>
    </w:p>
    <w:p w14:paraId="5BB19CCA" w14:textId="77777777" w:rsidR="008D770A" w:rsidRPr="00202FE2" w:rsidRDefault="008D770A" w:rsidP="008D770A">
      <w:pPr>
        <w:jc w:val="center"/>
      </w:pPr>
      <w:r w:rsidRPr="00202FE2">
        <w:t>Contact Information:</w:t>
      </w:r>
    </w:p>
    <w:p w14:paraId="47D8D304" w14:textId="77777777" w:rsidR="008D770A" w:rsidRPr="00202FE2" w:rsidRDefault="008D770A" w:rsidP="008D770A">
      <w:pPr>
        <w:pStyle w:val="E-mailSignature"/>
        <w:jc w:val="center"/>
        <w:rPr>
          <w:noProof/>
        </w:rPr>
      </w:pPr>
      <w:r w:rsidRPr="00202FE2">
        <w:rPr>
          <w:noProof/>
        </w:rPr>
        <w:t>Centers for Disease Control and Prevention</w:t>
      </w:r>
    </w:p>
    <w:p w14:paraId="64240DED" w14:textId="77777777" w:rsidR="008D770A" w:rsidRPr="00202FE2" w:rsidRDefault="008D770A" w:rsidP="008D770A">
      <w:pPr>
        <w:pStyle w:val="E-mailSignature"/>
        <w:jc w:val="center"/>
        <w:rPr>
          <w:noProof/>
        </w:rPr>
      </w:pPr>
      <w:r w:rsidRPr="00202FE2">
        <w:rPr>
          <w:noProof/>
        </w:rPr>
        <w:t>National Center for Injury Prevention and Control</w:t>
      </w:r>
    </w:p>
    <w:p w14:paraId="56373641" w14:textId="77777777" w:rsidR="008D770A" w:rsidRPr="00202FE2" w:rsidRDefault="008D770A" w:rsidP="008D770A">
      <w:pPr>
        <w:pStyle w:val="E-mailSignature"/>
        <w:jc w:val="center"/>
        <w:rPr>
          <w:noProof/>
        </w:rPr>
      </w:pPr>
      <w:r w:rsidRPr="00202FE2">
        <w:rPr>
          <w:noProof/>
        </w:rPr>
        <w:t>4770 Buford Highway NE  MS F-64</w:t>
      </w:r>
    </w:p>
    <w:p w14:paraId="1F2950CE" w14:textId="77777777" w:rsidR="008D770A" w:rsidRPr="00202FE2" w:rsidRDefault="008D770A" w:rsidP="008D770A">
      <w:pPr>
        <w:pStyle w:val="E-mailSignature"/>
        <w:jc w:val="center"/>
        <w:rPr>
          <w:noProof/>
        </w:rPr>
      </w:pPr>
      <w:r w:rsidRPr="00202FE2">
        <w:rPr>
          <w:noProof/>
        </w:rPr>
        <w:t>Atlanta, GA 30341-3724</w:t>
      </w:r>
    </w:p>
    <w:p w14:paraId="0F0DA59D" w14:textId="77777777" w:rsidR="008D770A" w:rsidRPr="00202FE2" w:rsidRDefault="008D770A" w:rsidP="008D770A">
      <w:pPr>
        <w:pStyle w:val="E-mailSignature"/>
        <w:jc w:val="center"/>
        <w:rPr>
          <w:noProof/>
        </w:rPr>
      </w:pPr>
      <w:r w:rsidRPr="00202FE2">
        <w:rPr>
          <w:noProof/>
        </w:rPr>
        <w:t>phone: 770.488.1394</w:t>
      </w:r>
    </w:p>
    <w:p w14:paraId="1997230C" w14:textId="77777777" w:rsidR="008D770A" w:rsidRPr="00202FE2" w:rsidRDefault="008D770A" w:rsidP="008D770A">
      <w:pPr>
        <w:pStyle w:val="E-mailSignature"/>
        <w:jc w:val="center"/>
        <w:rPr>
          <w:noProof/>
        </w:rPr>
      </w:pPr>
      <w:r w:rsidRPr="00202FE2">
        <w:rPr>
          <w:noProof/>
        </w:rPr>
        <w:t>fax: 770.488.1317</w:t>
      </w:r>
    </w:p>
    <w:p w14:paraId="562840E0" w14:textId="77777777" w:rsidR="008D770A" w:rsidRPr="00202FE2" w:rsidRDefault="008D770A" w:rsidP="008D770A">
      <w:pPr>
        <w:jc w:val="center"/>
        <w:rPr>
          <w:color w:val="000000" w:themeColor="text1"/>
        </w:rPr>
      </w:pPr>
      <w:r w:rsidRPr="00202FE2">
        <w:rPr>
          <w:noProof/>
        </w:rPr>
        <w:t xml:space="preserve">email:  </w:t>
      </w:r>
      <w:hyperlink r:id="rId9" w:history="1">
        <w:r w:rsidRPr="00202FE2">
          <w:rPr>
            <w:rStyle w:val="Hyperlink"/>
            <w:color w:val="000000" w:themeColor="text1"/>
          </w:rPr>
          <w:t>gjb8@cdc.gov</w:t>
        </w:r>
      </w:hyperlink>
    </w:p>
    <w:p w14:paraId="614DB015" w14:textId="77777777" w:rsidR="008D770A" w:rsidRPr="00202FE2" w:rsidRDefault="008D770A" w:rsidP="008D770A"/>
    <w:p w14:paraId="7C69063E" w14:textId="77777777" w:rsidR="008D770A" w:rsidRPr="00202FE2" w:rsidRDefault="008D770A" w:rsidP="008D770A"/>
    <w:p w14:paraId="642178F3" w14:textId="6347459B" w:rsidR="0016434D" w:rsidRDefault="0016434D">
      <w:pPr>
        <w:spacing w:after="160" w:line="259" w:lineRule="auto"/>
      </w:pPr>
      <w:r>
        <w:br w:type="page"/>
      </w:r>
    </w:p>
    <w:p w14:paraId="40463376" w14:textId="77777777" w:rsidR="008D770A" w:rsidRPr="00202FE2" w:rsidRDefault="008D770A" w:rsidP="008D770A"/>
    <w:p w14:paraId="11268621" w14:textId="77777777" w:rsidR="008D770A" w:rsidRPr="00202FE2" w:rsidRDefault="008D770A" w:rsidP="008D770A">
      <w:pPr>
        <w:ind w:firstLine="720"/>
        <w:jc w:val="center"/>
        <w:rPr>
          <w:b/>
          <w:bCs/>
          <w:noProof/>
        </w:rPr>
      </w:pPr>
      <w:r w:rsidRPr="00202FE2">
        <w:rPr>
          <w:b/>
          <w:bCs/>
        </w:rPr>
        <w:t>CONTE</w:t>
      </w:r>
      <w:r w:rsidRPr="00202FE2">
        <w:rPr>
          <w:b/>
          <w:bCs/>
          <w:noProof/>
        </w:rPr>
        <w:t>NTS</w:t>
      </w:r>
    </w:p>
    <w:p w14:paraId="6FC5BE53" w14:textId="443324D2" w:rsidR="008D770A" w:rsidRPr="00202FE2" w:rsidRDefault="008D770A" w:rsidP="008D770A">
      <w:pPr>
        <w:pStyle w:val="T0-ChapPgHd"/>
        <w:jc w:val="left"/>
        <w:rPr>
          <w:noProof/>
        </w:rPr>
      </w:pPr>
      <w:r w:rsidRPr="00202FE2">
        <w:rPr>
          <w:noProof/>
        </w:rPr>
        <w:t xml:space="preserve">                        Section</w:t>
      </w:r>
      <w:r w:rsidRPr="00202FE2">
        <w:rPr>
          <w:noProof/>
        </w:rPr>
        <w:tab/>
        <w:t>Page</w:t>
      </w:r>
    </w:p>
    <w:p w14:paraId="10236832" w14:textId="77777777" w:rsidR="008D770A" w:rsidRPr="00202FE2" w:rsidRDefault="008D770A" w:rsidP="008D770A">
      <w:pPr>
        <w:pStyle w:val="TOC1"/>
      </w:pPr>
      <w:r w:rsidRPr="00202FE2">
        <w:t>Summary table</w:t>
      </w:r>
      <w:r w:rsidRPr="00202FE2">
        <w:tab/>
      </w:r>
      <w:r w:rsidRPr="00202FE2">
        <w:tab/>
        <w:t>3</w:t>
      </w:r>
    </w:p>
    <w:p w14:paraId="39610B53" w14:textId="77777777" w:rsidR="008D770A" w:rsidRPr="00202FE2" w:rsidRDefault="008D770A" w:rsidP="008D770A">
      <w:pPr>
        <w:pStyle w:val="TOC1"/>
        <w:ind w:left="0"/>
        <w:rPr>
          <w:b/>
        </w:rPr>
      </w:pPr>
      <w:r w:rsidRPr="00202FE2">
        <w:rPr>
          <w:b/>
          <w:caps w:val="0"/>
        </w:rPr>
        <w:tab/>
      </w:r>
      <w:r w:rsidRPr="00202FE2">
        <w:rPr>
          <w:b/>
          <w:caps w:val="0"/>
        </w:rPr>
        <w:br/>
      </w:r>
      <w:r w:rsidRPr="00202FE2">
        <w:rPr>
          <w:b/>
          <w:caps w:val="0"/>
        </w:rPr>
        <w:tab/>
        <w:t>A.</w:t>
      </w:r>
      <w:r w:rsidRPr="00202FE2">
        <w:rPr>
          <w:b/>
        </w:rPr>
        <w:t xml:space="preserve">  JUSTIFICATION</w:t>
      </w:r>
    </w:p>
    <w:p w14:paraId="5AFC3BBA" w14:textId="72CC4C71" w:rsidR="008D770A" w:rsidRPr="00DD11C4" w:rsidRDefault="008D770A" w:rsidP="008D770A">
      <w:pPr>
        <w:pStyle w:val="TOC2"/>
        <w:rPr>
          <w:noProof/>
          <w:sz w:val="22"/>
        </w:rPr>
      </w:pPr>
      <w:r w:rsidRPr="00DD11C4">
        <w:rPr>
          <w:noProof/>
          <w:sz w:val="22"/>
        </w:rPr>
        <w:t>A.1.</w:t>
      </w:r>
      <w:r w:rsidRPr="00DD11C4">
        <w:rPr>
          <w:noProof/>
          <w:sz w:val="22"/>
        </w:rPr>
        <w:tab/>
        <w:t>Circumstances Making the Collection of Information Necessary</w:t>
      </w:r>
      <w:r w:rsidRPr="00DD11C4">
        <w:rPr>
          <w:noProof/>
          <w:sz w:val="22"/>
        </w:rPr>
        <w:tab/>
      </w:r>
      <w:r w:rsidR="00A73A35">
        <w:rPr>
          <w:noProof/>
          <w:sz w:val="22"/>
        </w:rPr>
        <w:tab/>
      </w:r>
      <w:r w:rsidRPr="00DD11C4">
        <w:rPr>
          <w:noProof/>
          <w:sz w:val="22"/>
        </w:rPr>
        <w:t>4</w:t>
      </w:r>
    </w:p>
    <w:p w14:paraId="198C40D7" w14:textId="77777777" w:rsidR="008D770A" w:rsidRPr="00DD11C4" w:rsidRDefault="008D770A" w:rsidP="008D770A">
      <w:pPr>
        <w:pStyle w:val="TOC2"/>
        <w:rPr>
          <w:noProof/>
          <w:sz w:val="22"/>
        </w:rPr>
      </w:pPr>
      <w:r w:rsidRPr="00DD11C4">
        <w:rPr>
          <w:noProof/>
          <w:sz w:val="22"/>
        </w:rPr>
        <w:t>A.2.</w:t>
      </w:r>
      <w:r w:rsidRPr="00DD11C4">
        <w:rPr>
          <w:noProof/>
          <w:sz w:val="22"/>
        </w:rPr>
        <w:tab/>
        <w:t>Purpose and Use of Information Collection</w:t>
      </w:r>
      <w:r w:rsidRPr="00DD11C4">
        <w:rPr>
          <w:noProof/>
          <w:sz w:val="22"/>
        </w:rPr>
        <w:tab/>
      </w:r>
      <w:r w:rsidRPr="00DD11C4">
        <w:rPr>
          <w:noProof/>
          <w:sz w:val="22"/>
        </w:rPr>
        <w:tab/>
        <w:t>5</w:t>
      </w:r>
    </w:p>
    <w:p w14:paraId="34A02BA8" w14:textId="229D7D18" w:rsidR="008D770A" w:rsidRPr="00DD11C4" w:rsidRDefault="008D770A" w:rsidP="008D770A">
      <w:pPr>
        <w:pStyle w:val="TOC2"/>
        <w:rPr>
          <w:noProof/>
          <w:sz w:val="22"/>
        </w:rPr>
      </w:pPr>
      <w:r w:rsidRPr="00DD11C4">
        <w:rPr>
          <w:noProof/>
          <w:sz w:val="22"/>
        </w:rPr>
        <w:t>A.3.</w:t>
      </w:r>
      <w:r w:rsidRPr="00DD11C4">
        <w:rPr>
          <w:noProof/>
          <w:sz w:val="22"/>
        </w:rPr>
        <w:tab/>
        <w:t>Use of Improved Information Technology and Burden Reduction</w:t>
      </w:r>
      <w:r w:rsidRPr="00DD11C4">
        <w:rPr>
          <w:noProof/>
          <w:sz w:val="22"/>
        </w:rPr>
        <w:tab/>
      </w:r>
      <w:r w:rsidR="00A73A35">
        <w:rPr>
          <w:noProof/>
          <w:sz w:val="22"/>
        </w:rPr>
        <w:tab/>
      </w:r>
      <w:r w:rsidRPr="00DD11C4">
        <w:rPr>
          <w:noProof/>
          <w:sz w:val="22"/>
        </w:rPr>
        <w:t>5</w:t>
      </w:r>
    </w:p>
    <w:p w14:paraId="7FB7A4AB" w14:textId="77777777" w:rsidR="008D770A" w:rsidRPr="00DD11C4" w:rsidRDefault="008D770A" w:rsidP="008D770A">
      <w:pPr>
        <w:pStyle w:val="TOC2"/>
        <w:rPr>
          <w:noProof/>
          <w:sz w:val="22"/>
        </w:rPr>
      </w:pPr>
      <w:r w:rsidRPr="00DD11C4">
        <w:rPr>
          <w:noProof/>
          <w:sz w:val="22"/>
        </w:rPr>
        <w:t>A.4.</w:t>
      </w:r>
      <w:r w:rsidRPr="00DD11C4">
        <w:rPr>
          <w:noProof/>
          <w:sz w:val="22"/>
        </w:rPr>
        <w:tab/>
        <w:t>Efforts to Identify Duplication and Use of Similar Information</w:t>
      </w:r>
      <w:r w:rsidRPr="00DD11C4">
        <w:rPr>
          <w:noProof/>
          <w:sz w:val="22"/>
        </w:rPr>
        <w:tab/>
      </w:r>
      <w:r w:rsidRPr="00DD11C4">
        <w:rPr>
          <w:noProof/>
          <w:sz w:val="22"/>
        </w:rPr>
        <w:tab/>
        <w:t>6</w:t>
      </w:r>
    </w:p>
    <w:p w14:paraId="43352FC1" w14:textId="77777777" w:rsidR="008D770A" w:rsidRPr="00DD11C4" w:rsidRDefault="008D770A" w:rsidP="008D770A">
      <w:pPr>
        <w:pStyle w:val="TOC2"/>
        <w:rPr>
          <w:noProof/>
          <w:sz w:val="22"/>
        </w:rPr>
      </w:pPr>
      <w:r w:rsidRPr="00DD11C4">
        <w:rPr>
          <w:noProof/>
          <w:sz w:val="22"/>
        </w:rPr>
        <w:t>A.5.</w:t>
      </w:r>
      <w:r w:rsidRPr="00DD11C4">
        <w:rPr>
          <w:noProof/>
          <w:sz w:val="22"/>
        </w:rPr>
        <w:tab/>
        <w:t>Impact on Small Businesses or Other Small Entities</w:t>
      </w:r>
      <w:r w:rsidRPr="00DD11C4">
        <w:rPr>
          <w:noProof/>
          <w:sz w:val="22"/>
        </w:rPr>
        <w:tab/>
      </w:r>
      <w:r w:rsidRPr="00DD11C4">
        <w:rPr>
          <w:noProof/>
          <w:sz w:val="22"/>
        </w:rPr>
        <w:tab/>
        <w:t>6</w:t>
      </w:r>
    </w:p>
    <w:p w14:paraId="6A75CDDC" w14:textId="77777777" w:rsidR="008D770A" w:rsidRPr="00DD11C4" w:rsidRDefault="008D770A" w:rsidP="008D770A">
      <w:pPr>
        <w:pStyle w:val="TOC2"/>
        <w:rPr>
          <w:noProof/>
          <w:sz w:val="22"/>
        </w:rPr>
      </w:pPr>
      <w:r w:rsidRPr="00DD11C4">
        <w:rPr>
          <w:noProof/>
          <w:sz w:val="22"/>
        </w:rPr>
        <w:t>A.6.</w:t>
      </w:r>
      <w:r w:rsidRPr="00DD11C4">
        <w:rPr>
          <w:noProof/>
          <w:sz w:val="22"/>
        </w:rPr>
        <w:tab/>
        <w:t>Consequences of Collecting the Information Less Frequently</w:t>
      </w:r>
      <w:r w:rsidRPr="00DD11C4">
        <w:rPr>
          <w:noProof/>
          <w:sz w:val="22"/>
        </w:rPr>
        <w:tab/>
      </w:r>
      <w:r w:rsidRPr="00DD11C4">
        <w:rPr>
          <w:noProof/>
          <w:sz w:val="22"/>
        </w:rPr>
        <w:tab/>
        <w:t>6</w:t>
      </w:r>
    </w:p>
    <w:p w14:paraId="44676D74" w14:textId="77777777" w:rsidR="008D770A" w:rsidRPr="00DD11C4" w:rsidRDefault="008D770A" w:rsidP="008D770A">
      <w:pPr>
        <w:pStyle w:val="TOC2"/>
        <w:rPr>
          <w:noProof/>
          <w:sz w:val="22"/>
        </w:rPr>
      </w:pPr>
      <w:r w:rsidRPr="00DD11C4">
        <w:rPr>
          <w:noProof/>
          <w:sz w:val="22"/>
        </w:rPr>
        <w:t>A.7.</w:t>
      </w:r>
      <w:r w:rsidRPr="00DD11C4">
        <w:rPr>
          <w:noProof/>
          <w:sz w:val="22"/>
        </w:rPr>
        <w:tab/>
        <w:t xml:space="preserve">Special Circumstances Relating to the Guidelines of </w:t>
      </w:r>
    </w:p>
    <w:p w14:paraId="4EDED0A2" w14:textId="77777777" w:rsidR="008D770A" w:rsidRPr="00DD11C4" w:rsidRDefault="008D770A" w:rsidP="008D770A">
      <w:pPr>
        <w:pStyle w:val="TOC2"/>
        <w:rPr>
          <w:noProof/>
          <w:sz w:val="22"/>
        </w:rPr>
      </w:pPr>
      <w:r w:rsidRPr="00DD11C4">
        <w:rPr>
          <w:noProof/>
          <w:sz w:val="22"/>
        </w:rPr>
        <w:tab/>
        <w:t>5 CFR 1320.5(d)2</w:t>
      </w:r>
      <w:r w:rsidRPr="00DD11C4">
        <w:rPr>
          <w:noProof/>
          <w:sz w:val="22"/>
        </w:rPr>
        <w:tab/>
      </w:r>
      <w:r w:rsidRPr="00DD11C4">
        <w:rPr>
          <w:noProof/>
          <w:sz w:val="22"/>
        </w:rPr>
        <w:tab/>
        <w:t>7</w:t>
      </w:r>
    </w:p>
    <w:p w14:paraId="54F6BA5B" w14:textId="77777777" w:rsidR="008D770A" w:rsidRPr="00DD11C4" w:rsidRDefault="008D770A" w:rsidP="008D770A">
      <w:pPr>
        <w:pStyle w:val="TOC2"/>
        <w:rPr>
          <w:noProof/>
          <w:sz w:val="22"/>
        </w:rPr>
      </w:pPr>
      <w:r w:rsidRPr="00DD11C4">
        <w:rPr>
          <w:noProof/>
          <w:sz w:val="22"/>
        </w:rPr>
        <w:t>A.8.</w:t>
      </w:r>
      <w:r w:rsidRPr="00DD11C4">
        <w:rPr>
          <w:noProof/>
          <w:sz w:val="22"/>
        </w:rPr>
        <w:tab/>
        <w:t xml:space="preserve">Comments in Response to the Federal Register Notice and </w:t>
      </w:r>
    </w:p>
    <w:p w14:paraId="1858174B" w14:textId="77777777" w:rsidR="008D770A" w:rsidRPr="00DD11C4" w:rsidRDefault="008D770A" w:rsidP="008D770A">
      <w:pPr>
        <w:pStyle w:val="TOC2"/>
        <w:rPr>
          <w:noProof/>
          <w:sz w:val="22"/>
        </w:rPr>
      </w:pPr>
      <w:r w:rsidRPr="00DD11C4">
        <w:rPr>
          <w:noProof/>
          <w:sz w:val="22"/>
        </w:rPr>
        <w:tab/>
        <w:t>Efforts to Consult Outside the Agency</w:t>
      </w:r>
      <w:r w:rsidRPr="00DD11C4">
        <w:rPr>
          <w:noProof/>
          <w:sz w:val="22"/>
        </w:rPr>
        <w:tab/>
      </w:r>
      <w:r w:rsidRPr="00DD11C4">
        <w:rPr>
          <w:noProof/>
          <w:sz w:val="22"/>
        </w:rPr>
        <w:tab/>
        <w:t>7</w:t>
      </w:r>
    </w:p>
    <w:p w14:paraId="068250BF" w14:textId="77777777" w:rsidR="008D770A" w:rsidRPr="00DD11C4" w:rsidRDefault="008D770A" w:rsidP="008D770A">
      <w:pPr>
        <w:pStyle w:val="TOC2"/>
        <w:rPr>
          <w:noProof/>
          <w:sz w:val="22"/>
        </w:rPr>
      </w:pPr>
      <w:r w:rsidRPr="00DD11C4">
        <w:rPr>
          <w:noProof/>
          <w:sz w:val="22"/>
        </w:rPr>
        <w:t>A.9.</w:t>
      </w:r>
      <w:r w:rsidRPr="00DD11C4">
        <w:rPr>
          <w:noProof/>
          <w:sz w:val="22"/>
        </w:rPr>
        <w:tab/>
        <w:t>Explanation of Any Payment or Gift to Respondents</w:t>
      </w:r>
      <w:r w:rsidRPr="00DD11C4">
        <w:rPr>
          <w:noProof/>
          <w:sz w:val="22"/>
        </w:rPr>
        <w:tab/>
      </w:r>
      <w:r w:rsidRPr="00DD11C4">
        <w:rPr>
          <w:noProof/>
          <w:sz w:val="22"/>
        </w:rPr>
        <w:tab/>
        <w:t>7</w:t>
      </w:r>
    </w:p>
    <w:p w14:paraId="50606137" w14:textId="77777777" w:rsidR="008D770A" w:rsidRPr="00DD11C4" w:rsidRDefault="008D770A" w:rsidP="008D770A">
      <w:pPr>
        <w:pStyle w:val="TOC2"/>
        <w:rPr>
          <w:noProof/>
          <w:sz w:val="22"/>
        </w:rPr>
      </w:pPr>
      <w:r w:rsidRPr="00DD11C4">
        <w:rPr>
          <w:noProof/>
          <w:sz w:val="22"/>
        </w:rPr>
        <w:t>A.10.</w:t>
      </w:r>
      <w:r w:rsidRPr="00DD11C4">
        <w:rPr>
          <w:noProof/>
          <w:sz w:val="22"/>
        </w:rPr>
        <w:tab/>
        <w:t xml:space="preserve">Protection of the   Privacy  and Confidentiality of Information     </w:t>
      </w:r>
    </w:p>
    <w:p w14:paraId="1C7E4CCE" w14:textId="77777777" w:rsidR="008D770A" w:rsidRPr="00DD11C4" w:rsidRDefault="008D770A" w:rsidP="008D770A">
      <w:pPr>
        <w:pStyle w:val="TOC2"/>
        <w:rPr>
          <w:noProof/>
          <w:sz w:val="22"/>
        </w:rPr>
      </w:pPr>
      <w:r w:rsidRPr="00DD11C4">
        <w:rPr>
          <w:noProof/>
          <w:sz w:val="22"/>
        </w:rPr>
        <w:tab/>
        <w:t>Provided  by  Respondents</w:t>
      </w:r>
      <w:r w:rsidRPr="00DD11C4" w:rsidDel="008B4149">
        <w:rPr>
          <w:noProof/>
          <w:sz w:val="22"/>
        </w:rPr>
        <w:t xml:space="preserve"> </w:t>
      </w:r>
      <w:r w:rsidRPr="00DD11C4">
        <w:rPr>
          <w:noProof/>
          <w:sz w:val="22"/>
        </w:rPr>
        <w:tab/>
      </w:r>
      <w:r w:rsidRPr="00DD11C4">
        <w:rPr>
          <w:noProof/>
          <w:sz w:val="22"/>
        </w:rPr>
        <w:tab/>
        <w:t>7</w:t>
      </w:r>
    </w:p>
    <w:p w14:paraId="34553BCD" w14:textId="77777777" w:rsidR="008D770A" w:rsidRPr="00DD11C4" w:rsidRDefault="008D770A" w:rsidP="008D770A">
      <w:pPr>
        <w:pStyle w:val="TOC2"/>
        <w:rPr>
          <w:noProof/>
          <w:sz w:val="22"/>
        </w:rPr>
      </w:pPr>
      <w:r w:rsidRPr="00DD11C4">
        <w:rPr>
          <w:noProof/>
          <w:sz w:val="22"/>
        </w:rPr>
        <w:t>A.11.</w:t>
      </w:r>
      <w:r w:rsidRPr="00DD11C4">
        <w:rPr>
          <w:noProof/>
          <w:sz w:val="22"/>
        </w:rPr>
        <w:tab/>
        <w:t>Institutional Review Board (IRB) and  Justification for Sensitive</w:t>
      </w:r>
      <w:r w:rsidRPr="00DD11C4">
        <w:rPr>
          <w:noProof/>
          <w:sz w:val="22"/>
        </w:rPr>
        <w:br/>
        <w:t>Questions</w:t>
      </w:r>
      <w:r w:rsidRPr="00DD11C4">
        <w:rPr>
          <w:noProof/>
          <w:sz w:val="22"/>
        </w:rPr>
        <w:tab/>
      </w:r>
      <w:r w:rsidRPr="00DD11C4">
        <w:rPr>
          <w:noProof/>
          <w:sz w:val="22"/>
        </w:rPr>
        <w:tab/>
        <w:t>8</w:t>
      </w:r>
    </w:p>
    <w:p w14:paraId="44E3ED75" w14:textId="77777777" w:rsidR="008D770A" w:rsidRPr="00DD11C4" w:rsidRDefault="008D770A" w:rsidP="008D770A">
      <w:pPr>
        <w:pStyle w:val="TOC2"/>
        <w:rPr>
          <w:noProof/>
          <w:sz w:val="22"/>
        </w:rPr>
      </w:pPr>
      <w:r w:rsidRPr="00DD11C4">
        <w:rPr>
          <w:noProof/>
          <w:sz w:val="22"/>
        </w:rPr>
        <w:t>A.12.</w:t>
      </w:r>
      <w:r w:rsidRPr="00DD11C4">
        <w:rPr>
          <w:noProof/>
          <w:sz w:val="22"/>
        </w:rPr>
        <w:tab/>
        <w:t>Estimates of Annualized Burden Hours and Costs</w:t>
      </w:r>
      <w:r w:rsidRPr="00DD11C4">
        <w:rPr>
          <w:noProof/>
          <w:sz w:val="22"/>
        </w:rPr>
        <w:tab/>
      </w:r>
      <w:r w:rsidRPr="00DD11C4">
        <w:rPr>
          <w:noProof/>
          <w:sz w:val="22"/>
        </w:rPr>
        <w:tab/>
        <w:t>8</w:t>
      </w:r>
    </w:p>
    <w:p w14:paraId="77196E01" w14:textId="77777777" w:rsidR="008D770A" w:rsidRPr="00DD11C4" w:rsidRDefault="008D770A" w:rsidP="008D770A">
      <w:pPr>
        <w:pStyle w:val="TOC2"/>
        <w:rPr>
          <w:noProof/>
          <w:sz w:val="22"/>
        </w:rPr>
      </w:pPr>
      <w:r w:rsidRPr="00DD11C4">
        <w:rPr>
          <w:noProof/>
          <w:sz w:val="22"/>
        </w:rPr>
        <w:t>A.13.</w:t>
      </w:r>
      <w:r w:rsidRPr="00DD11C4">
        <w:rPr>
          <w:noProof/>
          <w:sz w:val="22"/>
        </w:rPr>
        <w:tab/>
        <w:t xml:space="preserve">Estimates of Other Total Annual Cost Burden to Respondents </w:t>
      </w:r>
    </w:p>
    <w:p w14:paraId="259E07AA" w14:textId="77777777" w:rsidR="008D770A" w:rsidRPr="00DD11C4" w:rsidRDefault="008D770A" w:rsidP="008D770A">
      <w:pPr>
        <w:pStyle w:val="TOC2"/>
        <w:rPr>
          <w:noProof/>
          <w:sz w:val="22"/>
        </w:rPr>
      </w:pPr>
      <w:r w:rsidRPr="00DD11C4">
        <w:rPr>
          <w:noProof/>
          <w:sz w:val="22"/>
        </w:rPr>
        <w:tab/>
        <w:t>or Record Keepers</w:t>
      </w:r>
      <w:r w:rsidRPr="00DD11C4">
        <w:rPr>
          <w:noProof/>
          <w:sz w:val="22"/>
        </w:rPr>
        <w:tab/>
      </w:r>
      <w:r w:rsidRPr="00DD11C4">
        <w:rPr>
          <w:noProof/>
          <w:sz w:val="22"/>
        </w:rPr>
        <w:tab/>
        <w:t>9</w:t>
      </w:r>
    </w:p>
    <w:p w14:paraId="3A98BC6E" w14:textId="77777777" w:rsidR="008D770A" w:rsidRPr="00DD11C4" w:rsidRDefault="008D770A" w:rsidP="008D770A">
      <w:pPr>
        <w:pStyle w:val="TOC2"/>
        <w:rPr>
          <w:noProof/>
          <w:sz w:val="22"/>
        </w:rPr>
      </w:pPr>
      <w:r w:rsidRPr="00DD11C4">
        <w:rPr>
          <w:noProof/>
          <w:sz w:val="22"/>
        </w:rPr>
        <w:t>A.14.</w:t>
      </w:r>
      <w:r w:rsidRPr="00DD11C4">
        <w:rPr>
          <w:noProof/>
          <w:sz w:val="22"/>
        </w:rPr>
        <w:tab/>
        <w:t>Annualized Cost to the Government</w:t>
      </w:r>
      <w:r w:rsidRPr="00DD11C4">
        <w:rPr>
          <w:noProof/>
          <w:sz w:val="22"/>
        </w:rPr>
        <w:tab/>
      </w:r>
      <w:r w:rsidRPr="00DD11C4">
        <w:rPr>
          <w:noProof/>
          <w:sz w:val="22"/>
        </w:rPr>
        <w:tab/>
        <w:t>9</w:t>
      </w:r>
    </w:p>
    <w:p w14:paraId="1081A03B" w14:textId="77777777" w:rsidR="008D770A" w:rsidRPr="00DD11C4" w:rsidRDefault="008D770A" w:rsidP="008D770A">
      <w:pPr>
        <w:pStyle w:val="TOC2"/>
        <w:rPr>
          <w:noProof/>
          <w:sz w:val="22"/>
        </w:rPr>
      </w:pPr>
      <w:r w:rsidRPr="00DD11C4">
        <w:rPr>
          <w:noProof/>
          <w:sz w:val="22"/>
        </w:rPr>
        <w:t>A.15.</w:t>
      </w:r>
      <w:r w:rsidRPr="00DD11C4">
        <w:rPr>
          <w:noProof/>
          <w:sz w:val="22"/>
        </w:rPr>
        <w:tab/>
        <w:t>Explanation for Program Changes or Adjustments</w:t>
      </w:r>
      <w:r w:rsidRPr="00DD11C4">
        <w:rPr>
          <w:noProof/>
          <w:sz w:val="22"/>
        </w:rPr>
        <w:tab/>
      </w:r>
      <w:r w:rsidRPr="00DD11C4">
        <w:rPr>
          <w:noProof/>
          <w:sz w:val="22"/>
        </w:rPr>
        <w:tab/>
        <w:t>10</w:t>
      </w:r>
    </w:p>
    <w:p w14:paraId="57ECA9DC" w14:textId="77777777" w:rsidR="008D770A" w:rsidRPr="00DD11C4" w:rsidRDefault="008D770A" w:rsidP="008D770A">
      <w:pPr>
        <w:pStyle w:val="TOC2"/>
        <w:rPr>
          <w:noProof/>
          <w:sz w:val="22"/>
        </w:rPr>
      </w:pPr>
      <w:r w:rsidRPr="00DD11C4">
        <w:rPr>
          <w:noProof/>
          <w:sz w:val="22"/>
        </w:rPr>
        <w:t>A.16.</w:t>
      </w:r>
      <w:r w:rsidRPr="00DD11C4">
        <w:rPr>
          <w:noProof/>
          <w:sz w:val="22"/>
        </w:rPr>
        <w:tab/>
        <w:t>Plans for Tabulation and Publication and Project Time Schedule</w:t>
      </w:r>
      <w:r w:rsidRPr="00DD11C4">
        <w:rPr>
          <w:noProof/>
          <w:sz w:val="22"/>
        </w:rPr>
        <w:tab/>
        <w:t>10</w:t>
      </w:r>
    </w:p>
    <w:p w14:paraId="2D3D4021" w14:textId="77777777" w:rsidR="008D770A" w:rsidRPr="00DD11C4" w:rsidRDefault="008D770A" w:rsidP="008D770A">
      <w:pPr>
        <w:pStyle w:val="TOC2"/>
        <w:rPr>
          <w:noProof/>
          <w:sz w:val="22"/>
        </w:rPr>
      </w:pPr>
      <w:r w:rsidRPr="00DD11C4">
        <w:rPr>
          <w:noProof/>
          <w:sz w:val="22"/>
        </w:rPr>
        <w:t>A.17.</w:t>
      </w:r>
      <w:r w:rsidRPr="00DD11C4">
        <w:rPr>
          <w:noProof/>
          <w:sz w:val="22"/>
        </w:rPr>
        <w:tab/>
        <w:t>Reason(s) Display of OMB Expiration Date is Inappropriate</w:t>
      </w:r>
      <w:r w:rsidRPr="00DD11C4">
        <w:rPr>
          <w:noProof/>
          <w:sz w:val="22"/>
        </w:rPr>
        <w:tab/>
      </w:r>
      <w:r w:rsidRPr="00DD11C4">
        <w:rPr>
          <w:noProof/>
          <w:sz w:val="22"/>
        </w:rPr>
        <w:tab/>
        <w:t>10</w:t>
      </w:r>
    </w:p>
    <w:p w14:paraId="21D1F859" w14:textId="77777777" w:rsidR="008D770A" w:rsidRPr="00DD11C4" w:rsidRDefault="008D770A" w:rsidP="008D770A">
      <w:pPr>
        <w:pStyle w:val="TOC2"/>
        <w:rPr>
          <w:noProof/>
          <w:sz w:val="22"/>
        </w:rPr>
      </w:pPr>
      <w:r w:rsidRPr="00DD11C4">
        <w:rPr>
          <w:noProof/>
          <w:sz w:val="22"/>
        </w:rPr>
        <w:t>A.18.</w:t>
      </w:r>
      <w:r w:rsidRPr="00DD11C4">
        <w:rPr>
          <w:noProof/>
          <w:sz w:val="22"/>
        </w:rPr>
        <w:tab/>
        <w:t xml:space="preserve">Exceptions to Certification for Paperwork Reducation Act </w:t>
      </w:r>
    </w:p>
    <w:p w14:paraId="0F313751" w14:textId="77777777" w:rsidR="008D770A" w:rsidRPr="00DD11C4" w:rsidRDefault="008D770A" w:rsidP="008D770A">
      <w:pPr>
        <w:pStyle w:val="TOC2"/>
        <w:rPr>
          <w:noProof/>
          <w:sz w:val="22"/>
        </w:rPr>
      </w:pPr>
      <w:r w:rsidRPr="00DD11C4">
        <w:rPr>
          <w:noProof/>
          <w:sz w:val="22"/>
        </w:rPr>
        <w:tab/>
        <w:t>Submissions</w:t>
      </w:r>
      <w:r w:rsidRPr="00DD11C4">
        <w:rPr>
          <w:noProof/>
          <w:sz w:val="22"/>
        </w:rPr>
        <w:tab/>
      </w:r>
      <w:r w:rsidRPr="00DD11C4">
        <w:rPr>
          <w:noProof/>
          <w:sz w:val="22"/>
        </w:rPr>
        <w:tab/>
        <w:t>11</w:t>
      </w:r>
    </w:p>
    <w:p w14:paraId="6E23CEC1" w14:textId="77777777" w:rsidR="008D770A" w:rsidRPr="00DD11C4" w:rsidRDefault="008D770A" w:rsidP="008D770A">
      <w:pPr>
        <w:pStyle w:val="TOC2"/>
        <w:rPr>
          <w:noProof/>
          <w:sz w:val="22"/>
        </w:rPr>
      </w:pPr>
      <w:r w:rsidRPr="00DD11C4">
        <w:rPr>
          <w:noProof/>
          <w:sz w:val="22"/>
        </w:rPr>
        <w:t>REFERENCES</w:t>
      </w:r>
      <w:r w:rsidRPr="00DD11C4">
        <w:rPr>
          <w:noProof/>
          <w:sz w:val="22"/>
        </w:rPr>
        <w:tab/>
      </w:r>
      <w:r w:rsidRPr="00DD11C4">
        <w:rPr>
          <w:noProof/>
          <w:sz w:val="22"/>
        </w:rPr>
        <w:tab/>
        <w:t>12</w:t>
      </w:r>
    </w:p>
    <w:p w14:paraId="6EBFA205" w14:textId="58D0BD3F" w:rsidR="008D770A" w:rsidRPr="00202FE2" w:rsidRDefault="008D770A" w:rsidP="0016434D">
      <w:pPr>
        <w:pStyle w:val="C2-CtrSglSp"/>
        <w:jc w:val="left"/>
        <w:rPr>
          <w:b/>
        </w:rPr>
      </w:pPr>
      <w:r w:rsidRPr="00202FE2">
        <w:rPr>
          <w:b/>
        </w:rPr>
        <w:t>ATTACHMENTS</w:t>
      </w:r>
    </w:p>
    <w:p w14:paraId="48B786D6" w14:textId="77777777" w:rsidR="008D770A" w:rsidRPr="00DD11C4" w:rsidRDefault="008D770A" w:rsidP="0016434D">
      <w:pPr>
        <w:ind w:firstLine="720"/>
        <w:rPr>
          <w:sz w:val="22"/>
        </w:rPr>
      </w:pPr>
      <w:r w:rsidRPr="00DD11C4">
        <w:rPr>
          <w:sz w:val="22"/>
        </w:rPr>
        <w:t>A</w:t>
      </w:r>
      <w:r w:rsidRPr="00DD11C4">
        <w:rPr>
          <w:sz w:val="22"/>
        </w:rPr>
        <w:tab/>
        <w:t>Authorizing Legislation: Public Health Service Act</w:t>
      </w:r>
    </w:p>
    <w:p w14:paraId="43BCA4AC" w14:textId="77777777" w:rsidR="008D770A" w:rsidRPr="00DD11C4" w:rsidRDefault="008D770A" w:rsidP="0016434D">
      <w:pPr>
        <w:ind w:firstLine="720"/>
        <w:rPr>
          <w:sz w:val="22"/>
        </w:rPr>
      </w:pPr>
      <w:r w:rsidRPr="00DD11C4">
        <w:rPr>
          <w:sz w:val="22"/>
        </w:rPr>
        <w:t>B</w:t>
      </w:r>
      <w:r w:rsidRPr="00DD11C4">
        <w:rPr>
          <w:sz w:val="22"/>
        </w:rPr>
        <w:tab/>
        <w:t>Published 60-Day Federal Register Notice</w:t>
      </w:r>
    </w:p>
    <w:p w14:paraId="370627A9" w14:textId="2B93906B" w:rsidR="008D770A" w:rsidRPr="00DD11C4" w:rsidRDefault="008D770A" w:rsidP="008D770A">
      <w:pPr>
        <w:ind w:firstLine="720"/>
        <w:rPr>
          <w:sz w:val="22"/>
        </w:rPr>
      </w:pPr>
      <w:r w:rsidRPr="00DD11C4">
        <w:rPr>
          <w:sz w:val="22"/>
        </w:rPr>
        <w:tab/>
        <w:t>B1</w:t>
      </w:r>
      <w:r w:rsidR="00B54AB5" w:rsidRPr="00DD11C4">
        <w:rPr>
          <w:sz w:val="22"/>
        </w:rPr>
        <w:t xml:space="preserve">-3 Public </w:t>
      </w:r>
      <w:r w:rsidRPr="00DD11C4">
        <w:rPr>
          <w:sz w:val="22"/>
        </w:rPr>
        <w:t xml:space="preserve">Comment in response to the Federal Register Notice </w:t>
      </w:r>
    </w:p>
    <w:p w14:paraId="022C5BAF" w14:textId="3F7E3F49" w:rsidR="008D770A" w:rsidRPr="00DD11C4" w:rsidRDefault="008D770A" w:rsidP="008D770A">
      <w:pPr>
        <w:ind w:left="1440" w:hanging="720"/>
        <w:rPr>
          <w:sz w:val="22"/>
        </w:rPr>
      </w:pPr>
      <w:r w:rsidRPr="00DD11C4">
        <w:rPr>
          <w:sz w:val="22"/>
        </w:rPr>
        <w:t>C</w:t>
      </w:r>
      <w:r w:rsidRPr="00DD11C4">
        <w:rPr>
          <w:sz w:val="22"/>
        </w:rPr>
        <w:tab/>
      </w:r>
      <w:r w:rsidR="00173F7E" w:rsidRPr="00DD11C4">
        <w:rPr>
          <w:sz w:val="22"/>
        </w:rPr>
        <w:t>Privacy Impact Assessment (PIA)</w:t>
      </w:r>
    </w:p>
    <w:p w14:paraId="2724551B" w14:textId="5C9B6D35" w:rsidR="008D770A" w:rsidRPr="00DD11C4" w:rsidRDefault="008D770A" w:rsidP="008D770A">
      <w:pPr>
        <w:rPr>
          <w:sz w:val="22"/>
        </w:rPr>
      </w:pPr>
      <w:r w:rsidRPr="00DD11C4">
        <w:rPr>
          <w:sz w:val="22"/>
        </w:rPr>
        <w:t xml:space="preserve">      </w:t>
      </w:r>
      <w:r w:rsidRPr="00DD11C4">
        <w:rPr>
          <w:sz w:val="22"/>
        </w:rPr>
        <w:tab/>
        <w:t>D</w:t>
      </w:r>
      <w:r w:rsidRPr="00DD11C4">
        <w:rPr>
          <w:sz w:val="22"/>
        </w:rPr>
        <w:tab/>
        <w:t xml:space="preserve">Institutional Review Board (IRB) </w:t>
      </w:r>
      <w:r w:rsidR="009A16D4" w:rsidRPr="00DD11C4">
        <w:rPr>
          <w:sz w:val="22"/>
        </w:rPr>
        <w:t>approval letter</w:t>
      </w:r>
    </w:p>
    <w:p w14:paraId="37E1A6F4" w14:textId="4F98C339" w:rsidR="008D770A" w:rsidRPr="00DD11C4" w:rsidRDefault="00D92295" w:rsidP="008D770A">
      <w:pPr>
        <w:ind w:firstLine="720"/>
        <w:rPr>
          <w:sz w:val="22"/>
        </w:rPr>
      </w:pPr>
      <w:r w:rsidRPr="00DD11C4">
        <w:rPr>
          <w:sz w:val="22"/>
        </w:rPr>
        <w:t>E</w:t>
      </w:r>
      <w:r w:rsidRPr="00DD11C4">
        <w:rPr>
          <w:sz w:val="22"/>
        </w:rPr>
        <w:tab/>
        <w:t>Questionnaires</w:t>
      </w:r>
      <w:r w:rsidR="008D770A" w:rsidRPr="00DD11C4">
        <w:rPr>
          <w:sz w:val="22"/>
        </w:rPr>
        <w:t xml:space="preserve"> </w:t>
      </w:r>
    </w:p>
    <w:p w14:paraId="66CEB6AE" w14:textId="327B68EA" w:rsidR="008D770A" w:rsidRPr="00DD11C4" w:rsidRDefault="008D770A" w:rsidP="008D770A">
      <w:pPr>
        <w:ind w:left="720" w:firstLine="720"/>
        <w:rPr>
          <w:sz w:val="22"/>
        </w:rPr>
      </w:pPr>
      <w:r w:rsidRPr="00DD11C4">
        <w:rPr>
          <w:sz w:val="22"/>
        </w:rPr>
        <w:t>E1</w:t>
      </w:r>
      <w:r w:rsidR="006D610A">
        <w:rPr>
          <w:sz w:val="22"/>
        </w:rPr>
        <w:t xml:space="preserve"> </w:t>
      </w:r>
      <w:r w:rsidR="0039239B" w:rsidRPr="00DD11C4">
        <w:rPr>
          <w:sz w:val="22"/>
        </w:rPr>
        <w:t>Pre-discharge</w:t>
      </w:r>
      <w:r w:rsidRPr="00DD11C4">
        <w:rPr>
          <w:sz w:val="22"/>
        </w:rPr>
        <w:t xml:space="preserve"> Patient Questionnaire </w:t>
      </w:r>
    </w:p>
    <w:p w14:paraId="23431B76" w14:textId="5D2C4344" w:rsidR="008D770A" w:rsidRPr="00DD11C4" w:rsidRDefault="008D770A" w:rsidP="008D770A">
      <w:pPr>
        <w:ind w:firstLine="720"/>
        <w:rPr>
          <w:sz w:val="22"/>
        </w:rPr>
      </w:pPr>
      <w:r w:rsidRPr="00DD11C4">
        <w:rPr>
          <w:sz w:val="22"/>
        </w:rPr>
        <w:tab/>
        <w:t>E2</w:t>
      </w:r>
      <w:r w:rsidR="006D610A">
        <w:rPr>
          <w:sz w:val="22"/>
        </w:rPr>
        <w:t xml:space="preserve"> </w:t>
      </w:r>
      <w:r w:rsidRPr="00DD11C4">
        <w:rPr>
          <w:sz w:val="22"/>
        </w:rPr>
        <w:t>Post-discharge Patient Questionnaire</w:t>
      </w:r>
    </w:p>
    <w:p w14:paraId="60814712" w14:textId="33D38024" w:rsidR="008D770A" w:rsidRPr="00DD11C4" w:rsidRDefault="008D770A" w:rsidP="006D610A">
      <w:pPr>
        <w:ind w:left="720" w:firstLine="720"/>
        <w:rPr>
          <w:sz w:val="22"/>
        </w:rPr>
      </w:pPr>
      <w:r w:rsidRPr="00DD11C4">
        <w:rPr>
          <w:sz w:val="22"/>
        </w:rPr>
        <w:t>E3</w:t>
      </w:r>
      <w:r w:rsidR="006D610A">
        <w:rPr>
          <w:sz w:val="22"/>
        </w:rPr>
        <w:t xml:space="preserve"> </w:t>
      </w:r>
      <w:r w:rsidR="00FA345F" w:rsidRPr="00DD11C4">
        <w:rPr>
          <w:sz w:val="22"/>
        </w:rPr>
        <w:t>Clinical Staff Evaluation Questionnaire</w:t>
      </w:r>
    </w:p>
    <w:p w14:paraId="5A906923" w14:textId="70095479" w:rsidR="008D770A" w:rsidRPr="00DD11C4" w:rsidRDefault="008D770A" w:rsidP="008D770A">
      <w:pPr>
        <w:ind w:left="720" w:firstLine="720"/>
        <w:rPr>
          <w:sz w:val="22"/>
        </w:rPr>
      </w:pPr>
      <w:r w:rsidRPr="00DD11C4">
        <w:rPr>
          <w:sz w:val="22"/>
        </w:rPr>
        <w:t>E4</w:t>
      </w:r>
      <w:r w:rsidR="006D610A">
        <w:rPr>
          <w:sz w:val="22"/>
        </w:rPr>
        <w:t xml:space="preserve"> </w:t>
      </w:r>
      <w:r w:rsidRPr="00DD11C4">
        <w:rPr>
          <w:sz w:val="22"/>
        </w:rPr>
        <w:t xml:space="preserve">PCP </w:t>
      </w:r>
      <w:r w:rsidR="00500A10" w:rsidRPr="00DD11C4">
        <w:rPr>
          <w:sz w:val="22"/>
        </w:rPr>
        <w:t>post-discharge</w:t>
      </w:r>
      <w:r w:rsidRPr="00DD11C4">
        <w:rPr>
          <w:sz w:val="22"/>
        </w:rPr>
        <w:t xml:space="preserve"> </w:t>
      </w:r>
      <w:r w:rsidR="009D1759" w:rsidRPr="00DD11C4">
        <w:rPr>
          <w:sz w:val="22"/>
        </w:rPr>
        <w:t>Questionnaire</w:t>
      </w:r>
      <w:r w:rsidRPr="00DD11C4">
        <w:rPr>
          <w:sz w:val="22"/>
        </w:rPr>
        <w:tab/>
      </w:r>
      <w:r w:rsidRPr="00DD11C4">
        <w:rPr>
          <w:sz w:val="22"/>
        </w:rPr>
        <w:tab/>
      </w:r>
    </w:p>
    <w:p w14:paraId="1D4EDA91" w14:textId="14B01353" w:rsidR="008D770A" w:rsidRDefault="008D770A" w:rsidP="00D97236">
      <w:pPr>
        <w:rPr>
          <w:sz w:val="22"/>
        </w:rPr>
      </w:pPr>
      <w:r w:rsidRPr="00DD11C4">
        <w:rPr>
          <w:sz w:val="22"/>
        </w:rPr>
        <w:tab/>
        <w:t>F</w:t>
      </w:r>
      <w:r w:rsidRPr="00DD11C4">
        <w:rPr>
          <w:sz w:val="22"/>
        </w:rPr>
        <w:tab/>
        <w:t>Analytic Pl</w:t>
      </w:r>
      <w:r w:rsidR="002449F6">
        <w:rPr>
          <w:sz w:val="22"/>
        </w:rPr>
        <w:t xml:space="preserve">an </w:t>
      </w:r>
    </w:p>
    <w:p w14:paraId="369F22C7" w14:textId="142C4CCC" w:rsidR="008D770A" w:rsidRPr="00DD11C4" w:rsidRDefault="002449F6" w:rsidP="00F31C5B">
      <w:pPr>
        <w:rPr>
          <w:sz w:val="22"/>
        </w:rPr>
      </w:pPr>
      <w:r>
        <w:rPr>
          <w:sz w:val="22"/>
        </w:rPr>
        <w:tab/>
      </w:r>
      <w:r>
        <w:rPr>
          <w:sz w:val="22"/>
        </w:rPr>
        <w:tab/>
        <w:t xml:space="preserve">F1 </w:t>
      </w:r>
      <w:r w:rsidRPr="002449F6">
        <w:rPr>
          <w:sz w:val="22"/>
        </w:rPr>
        <w:t>Illustrative table shells</w:t>
      </w:r>
      <w:r w:rsidR="008D770A" w:rsidRPr="00DD11C4">
        <w:rPr>
          <w:sz w:val="22"/>
        </w:rPr>
        <w:t xml:space="preserve"> </w:t>
      </w:r>
    </w:p>
    <w:p w14:paraId="33189126" w14:textId="77777777" w:rsidR="00587C4F" w:rsidRPr="00DD11C4" w:rsidRDefault="00587C4F" w:rsidP="00587C4F">
      <w:pPr>
        <w:rPr>
          <w:sz w:val="22"/>
        </w:rPr>
      </w:pPr>
      <w:r w:rsidRPr="00DD11C4">
        <w:rPr>
          <w:sz w:val="22"/>
        </w:rPr>
        <w:t>G</w:t>
      </w:r>
      <w:r w:rsidRPr="00DD11C4">
        <w:rPr>
          <w:sz w:val="22"/>
        </w:rPr>
        <w:tab/>
        <w:t xml:space="preserve">Survey Correspondence </w:t>
      </w:r>
    </w:p>
    <w:p w14:paraId="50851CC5" w14:textId="790EF673" w:rsidR="00587C4F" w:rsidRPr="00DD11C4" w:rsidRDefault="00587C4F" w:rsidP="00587C4F">
      <w:pPr>
        <w:ind w:left="720" w:firstLine="720"/>
        <w:rPr>
          <w:sz w:val="22"/>
        </w:rPr>
      </w:pPr>
      <w:r>
        <w:rPr>
          <w:sz w:val="22"/>
        </w:rPr>
        <w:t xml:space="preserve">G1 </w:t>
      </w:r>
      <w:r w:rsidR="00031B82">
        <w:rPr>
          <w:sz w:val="22"/>
        </w:rPr>
        <w:t>C</w:t>
      </w:r>
      <w:r w:rsidRPr="00DD11C4">
        <w:rPr>
          <w:sz w:val="22"/>
        </w:rPr>
        <w:t xml:space="preserve">orrespondence to patients </w:t>
      </w:r>
    </w:p>
    <w:p w14:paraId="1DAD93BA" w14:textId="266A075A" w:rsidR="00587C4F" w:rsidRPr="00DD11C4" w:rsidRDefault="00587C4F" w:rsidP="00587C4F">
      <w:pPr>
        <w:ind w:left="720" w:firstLine="720"/>
        <w:rPr>
          <w:sz w:val="22"/>
        </w:rPr>
      </w:pPr>
      <w:r>
        <w:rPr>
          <w:sz w:val="22"/>
        </w:rPr>
        <w:t xml:space="preserve">G2 </w:t>
      </w:r>
      <w:r w:rsidR="00031B82">
        <w:rPr>
          <w:sz w:val="22"/>
        </w:rPr>
        <w:t>C</w:t>
      </w:r>
      <w:r w:rsidRPr="00DD11C4">
        <w:rPr>
          <w:sz w:val="22"/>
        </w:rPr>
        <w:t>orrespondence to UCSF clinical staff</w:t>
      </w:r>
    </w:p>
    <w:p w14:paraId="2708F81A" w14:textId="14D0BA0F" w:rsidR="00587C4F" w:rsidRPr="00DD11C4" w:rsidRDefault="00587C4F" w:rsidP="00587C4F">
      <w:pPr>
        <w:ind w:left="1440"/>
        <w:rPr>
          <w:sz w:val="22"/>
        </w:rPr>
      </w:pPr>
      <w:r>
        <w:rPr>
          <w:sz w:val="22"/>
        </w:rPr>
        <w:t xml:space="preserve">G3 </w:t>
      </w:r>
      <w:r w:rsidR="00031B82">
        <w:rPr>
          <w:sz w:val="22"/>
        </w:rPr>
        <w:t>C</w:t>
      </w:r>
      <w:r w:rsidRPr="00DD11C4">
        <w:rPr>
          <w:sz w:val="22"/>
        </w:rPr>
        <w:t xml:space="preserve">orrespondence to primary care providers  </w:t>
      </w:r>
    </w:p>
    <w:p w14:paraId="1E22B365" w14:textId="77777777" w:rsidR="00587C4F" w:rsidRPr="00DD11C4" w:rsidRDefault="00587C4F" w:rsidP="00587C4F">
      <w:pPr>
        <w:rPr>
          <w:sz w:val="22"/>
        </w:rPr>
      </w:pPr>
      <w:r w:rsidRPr="00DD11C4">
        <w:rPr>
          <w:sz w:val="22"/>
        </w:rPr>
        <w:tab/>
        <w:t>H</w:t>
      </w:r>
      <w:r w:rsidRPr="00DD11C4">
        <w:rPr>
          <w:sz w:val="22"/>
        </w:rPr>
        <w:tab/>
        <w:t xml:space="preserve">Patient Consent Form </w:t>
      </w:r>
    </w:p>
    <w:p w14:paraId="3448FB24" w14:textId="77777777" w:rsidR="00587C4F" w:rsidRPr="00DD11C4" w:rsidRDefault="00587C4F" w:rsidP="00587C4F">
      <w:pPr>
        <w:rPr>
          <w:sz w:val="22"/>
        </w:rPr>
      </w:pPr>
      <w:r w:rsidRPr="00DD11C4">
        <w:rPr>
          <w:sz w:val="22"/>
        </w:rPr>
        <w:tab/>
        <w:t>I</w:t>
      </w:r>
      <w:r w:rsidRPr="00DD11C4">
        <w:rPr>
          <w:sz w:val="22"/>
        </w:rPr>
        <w:tab/>
        <w:t xml:space="preserve">Screen Prints of Questionnaires </w:t>
      </w:r>
    </w:p>
    <w:p w14:paraId="6ED7588F" w14:textId="77777777" w:rsidR="00587C4F" w:rsidRPr="00DD11C4" w:rsidRDefault="00587C4F" w:rsidP="00587C4F">
      <w:pPr>
        <w:ind w:left="720" w:firstLine="720"/>
        <w:rPr>
          <w:sz w:val="22"/>
        </w:rPr>
      </w:pPr>
      <w:r>
        <w:rPr>
          <w:sz w:val="22"/>
        </w:rPr>
        <w:t xml:space="preserve">I1 </w:t>
      </w:r>
      <w:r w:rsidRPr="00DD11C4">
        <w:rPr>
          <w:sz w:val="22"/>
        </w:rPr>
        <w:t xml:space="preserve">Pre-discharge Patient Questionnaire </w:t>
      </w:r>
    </w:p>
    <w:p w14:paraId="566D66E6" w14:textId="77777777" w:rsidR="00587C4F" w:rsidRPr="00DD11C4" w:rsidRDefault="00587C4F" w:rsidP="00587C4F">
      <w:pPr>
        <w:ind w:firstLine="720"/>
        <w:rPr>
          <w:sz w:val="22"/>
        </w:rPr>
      </w:pPr>
      <w:r>
        <w:rPr>
          <w:sz w:val="22"/>
        </w:rPr>
        <w:tab/>
        <w:t xml:space="preserve">I2 </w:t>
      </w:r>
      <w:r w:rsidRPr="00DD11C4">
        <w:rPr>
          <w:sz w:val="22"/>
        </w:rPr>
        <w:t>Post-discharge Patient Questionnaire</w:t>
      </w:r>
    </w:p>
    <w:p w14:paraId="3E11769F" w14:textId="77777777" w:rsidR="00587C4F" w:rsidRPr="00DD11C4" w:rsidRDefault="00587C4F" w:rsidP="00587C4F">
      <w:pPr>
        <w:ind w:left="720" w:firstLine="720"/>
        <w:rPr>
          <w:sz w:val="22"/>
        </w:rPr>
      </w:pPr>
      <w:r>
        <w:rPr>
          <w:sz w:val="22"/>
        </w:rPr>
        <w:t xml:space="preserve">I3 </w:t>
      </w:r>
      <w:r w:rsidRPr="00DD11C4">
        <w:rPr>
          <w:sz w:val="22"/>
        </w:rPr>
        <w:t>Clinical Staff Evaluation Questionnaire</w:t>
      </w:r>
    </w:p>
    <w:p w14:paraId="3694BF7D" w14:textId="008EFBBF" w:rsidR="00F31C5B" w:rsidRDefault="00587C4F" w:rsidP="00587C4F">
      <w:pPr>
        <w:ind w:left="720" w:firstLine="720"/>
        <w:rPr>
          <w:sz w:val="22"/>
        </w:rPr>
      </w:pPr>
      <w:r>
        <w:rPr>
          <w:sz w:val="22"/>
        </w:rPr>
        <w:t xml:space="preserve">I4 </w:t>
      </w:r>
      <w:r w:rsidRPr="00DD11C4">
        <w:rPr>
          <w:sz w:val="22"/>
        </w:rPr>
        <w:t>PCP post-discharge Questionnair</w:t>
      </w:r>
      <w:r>
        <w:rPr>
          <w:sz w:val="22"/>
        </w:rPr>
        <w:t xml:space="preserve">e </w:t>
      </w:r>
    </w:p>
    <w:p w14:paraId="535D96B4" w14:textId="486B647C" w:rsidR="00F31C5B" w:rsidRDefault="00F31C5B" w:rsidP="00DD11C4">
      <w:pPr>
        <w:ind w:left="720" w:firstLine="720"/>
        <w:rPr>
          <w:sz w:val="22"/>
        </w:rPr>
      </w:pPr>
    </w:p>
    <w:p w14:paraId="0514661F" w14:textId="3898EA03" w:rsidR="008D770A" w:rsidRPr="00202FE2" w:rsidRDefault="008D770A" w:rsidP="008D770A">
      <w:pPr>
        <w:rPr>
          <w:b/>
        </w:rPr>
      </w:pPr>
      <w:r w:rsidRPr="00202FE2">
        <w:rPr>
          <w:b/>
        </w:rPr>
        <w:t>SUMMARY TABLE</w:t>
      </w:r>
    </w:p>
    <w:p w14:paraId="7A9E593F" w14:textId="17609855" w:rsidR="008D770A" w:rsidRPr="00202FE2" w:rsidRDefault="0016434D" w:rsidP="008D770A">
      <w:pPr>
        <w:rPr>
          <w:b/>
        </w:rPr>
      </w:pPr>
      <w:r w:rsidRPr="00202FE2">
        <w:rPr>
          <w:noProof/>
        </w:rPr>
        <mc:AlternateContent>
          <mc:Choice Requires="wps">
            <w:drawing>
              <wp:anchor distT="0" distB="0" distL="114300" distR="114300" simplePos="0" relativeHeight="251659264" behindDoc="0" locked="0" layoutInCell="1" allowOverlap="1" wp14:anchorId="6E6CCEE1" wp14:editId="5B5CDBF9">
                <wp:simplePos x="0" y="0"/>
                <wp:positionH relativeFrom="margin">
                  <wp:posOffset>-193431</wp:posOffset>
                </wp:positionH>
                <wp:positionV relativeFrom="paragraph">
                  <wp:posOffset>185225</wp:posOffset>
                </wp:positionV>
                <wp:extent cx="7112977" cy="3165230"/>
                <wp:effectExtent l="0" t="0" r="1206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977" cy="3165230"/>
                        </a:xfrm>
                        <a:prstGeom prst="rect">
                          <a:avLst/>
                        </a:prstGeom>
                        <a:solidFill>
                          <a:srgbClr val="FFFFFF"/>
                        </a:solidFill>
                        <a:ln w="9525">
                          <a:solidFill>
                            <a:srgbClr val="000000"/>
                          </a:solidFill>
                          <a:miter lim="800000"/>
                          <a:headEnd/>
                          <a:tailEnd/>
                        </a:ln>
                      </wps:spPr>
                      <wps:txbx>
                        <w:txbxContent>
                          <w:p w14:paraId="5485CEA4" w14:textId="54792CBF" w:rsidR="00A73A35" w:rsidRDefault="00A73A35" w:rsidP="0085082A">
                            <w:pPr>
                              <w:pStyle w:val="ListParagraph"/>
                              <w:numPr>
                                <w:ilvl w:val="0"/>
                                <w:numId w:val="1"/>
                              </w:numPr>
                            </w:pPr>
                            <w:r w:rsidRPr="00A260FC">
                              <w:rPr>
                                <w:rFonts w:ascii="Times New Roman" w:hAnsi="Times New Roman"/>
                                <w:b/>
                                <w:sz w:val="24"/>
                                <w:szCs w:val="24"/>
                              </w:rPr>
                              <w:t>Goal of the Study:</w:t>
                            </w:r>
                            <w:r w:rsidRPr="00DF0A56">
                              <w:rPr>
                                <w:rFonts w:ascii="Times New Roman" w:hAnsi="Times New Roman"/>
                                <w:sz w:val="24"/>
                                <w:szCs w:val="24"/>
                              </w:rPr>
                              <w:t xml:space="preserve"> </w:t>
                            </w:r>
                            <w:r>
                              <w:rPr>
                                <w:rFonts w:ascii="Times New Roman" w:hAnsi="Times New Roman"/>
                                <w:sz w:val="24"/>
                                <w:szCs w:val="24"/>
                              </w:rPr>
                              <w:t xml:space="preserve">To </w:t>
                            </w:r>
                            <w:r w:rsidRPr="00A260FC">
                              <w:rPr>
                                <w:rFonts w:ascii="Times New Roman" w:hAnsi="Times New Roman"/>
                                <w:sz w:val="24"/>
                                <w:szCs w:val="24"/>
                              </w:rPr>
                              <w:t xml:space="preserve">perform a formative evaluation to inform CDC of best practices for implementation of </w:t>
                            </w:r>
                            <w:r>
                              <w:rPr>
                                <w:rFonts w:ascii="Times New Roman" w:hAnsi="Times New Roman"/>
                                <w:sz w:val="24"/>
                                <w:szCs w:val="24"/>
                              </w:rPr>
                              <w:t xml:space="preserve">opioid </w:t>
                            </w:r>
                            <w:r w:rsidRPr="00A260FC">
                              <w:rPr>
                                <w:rFonts w:ascii="Times New Roman" w:hAnsi="Times New Roman"/>
                                <w:sz w:val="24"/>
                                <w:szCs w:val="24"/>
                              </w:rPr>
                              <w:t>prescribing program in a hospital discharge setting at University of California, San Francisco (UCSF) to reduce risk of falls in older adults.</w:t>
                            </w:r>
                            <w:r>
                              <w:t xml:space="preserve"> </w:t>
                            </w:r>
                          </w:p>
                          <w:p w14:paraId="608C3002" w14:textId="437E759C" w:rsidR="00A73A35" w:rsidRPr="00DF0A56" w:rsidRDefault="00A73A35" w:rsidP="0085082A">
                            <w:pPr>
                              <w:pStyle w:val="ListParagraph"/>
                              <w:numPr>
                                <w:ilvl w:val="0"/>
                                <w:numId w:val="1"/>
                              </w:numPr>
                              <w:suppressOverlap/>
                            </w:pPr>
                            <w:r w:rsidRPr="00A260FC">
                              <w:rPr>
                                <w:rFonts w:ascii="Times New Roman" w:hAnsi="Times New Roman"/>
                                <w:b/>
                                <w:sz w:val="24"/>
                                <w:szCs w:val="24"/>
                              </w:rPr>
                              <w:t xml:space="preserve">Intended use of the resulting data: </w:t>
                            </w:r>
                            <w:r w:rsidRPr="00A260FC">
                              <w:rPr>
                                <w:rFonts w:ascii="Times New Roman" w:hAnsi="Times New Roman"/>
                                <w:sz w:val="24"/>
                                <w:szCs w:val="24"/>
                              </w:rPr>
                              <w:t>To provide information on ways to improve opioid prescribing to reduce risk of falls in older adults including provider practice changes</w:t>
                            </w:r>
                            <w:r>
                              <w:rPr>
                                <w:rFonts w:ascii="Times New Roman" w:hAnsi="Times New Roman"/>
                                <w:sz w:val="24"/>
                                <w:szCs w:val="24"/>
                              </w:rPr>
                              <w:t>,</w:t>
                            </w:r>
                            <w:r w:rsidRPr="00A260FC">
                              <w:rPr>
                                <w:rFonts w:ascii="Times New Roman" w:hAnsi="Times New Roman"/>
                                <w:sz w:val="24"/>
                                <w:szCs w:val="24"/>
                              </w:rPr>
                              <w:t xml:space="preserve"> prescribing protocols</w:t>
                            </w:r>
                            <w:r>
                              <w:rPr>
                                <w:rFonts w:ascii="Times New Roman" w:hAnsi="Times New Roman"/>
                                <w:sz w:val="24"/>
                                <w:szCs w:val="24"/>
                              </w:rPr>
                              <w:t>,</w:t>
                            </w:r>
                            <w:r w:rsidRPr="00A260FC">
                              <w:rPr>
                                <w:rFonts w:ascii="Times New Roman" w:hAnsi="Times New Roman"/>
                                <w:sz w:val="24"/>
                                <w:szCs w:val="24"/>
                              </w:rPr>
                              <w:t xml:space="preserve"> and decision support tools.</w:t>
                            </w:r>
                            <w:r w:rsidRPr="00DF0A56">
                              <w:t xml:space="preserve"> </w:t>
                            </w:r>
                          </w:p>
                          <w:p w14:paraId="756FC509" w14:textId="2F806BB3" w:rsidR="00A73A35" w:rsidRPr="0085082A" w:rsidRDefault="00A73A35" w:rsidP="00A260FC">
                            <w:pPr>
                              <w:pStyle w:val="ListParagraph"/>
                              <w:numPr>
                                <w:ilvl w:val="0"/>
                                <w:numId w:val="1"/>
                              </w:numPr>
                              <w:contextualSpacing/>
                              <w:rPr>
                                <w:rFonts w:ascii="Times New Roman" w:hAnsi="Times New Roman"/>
                                <w:sz w:val="24"/>
                                <w:szCs w:val="24"/>
                              </w:rPr>
                            </w:pPr>
                            <w:r w:rsidRPr="00DF0A56">
                              <w:rPr>
                                <w:rFonts w:ascii="Times New Roman" w:hAnsi="Times New Roman"/>
                                <w:b/>
                                <w:sz w:val="24"/>
                                <w:szCs w:val="24"/>
                              </w:rPr>
                              <w:t>Methods to be used to collect:</w:t>
                            </w:r>
                            <w:r w:rsidRPr="00DF0A56">
                              <w:rPr>
                                <w:rFonts w:ascii="Times New Roman" w:hAnsi="Times New Roman"/>
                                <w:sz w:val="24"/>
                                <w:szCs w:val="24"/>
                              </w:rPr>
                              <w:t xml:space="preserve"> </w:t>
                            </w:r>
                            <w:r>
                              <w:rPr>
                                <w:rFonts w:ascii="Times New Roman" w:hAnsi="Times New Roman"/>
                                <w:sz w:val="24"/>
                                <w:szCs w:val="24"/>
                              </w:rPr>
                              <w:t xml:space="preserve">A set of cross-sectional surveys of patients at 0,14,30,60 days after discharge, UCSF clinical staff, and outpatient primary care providers (PCP) involved in discharged patient care. </w:t>
                            </w:r>
                          </w:p>
                          <w:p w14:paraId="0D4E8194" w14:textId="6CB079BB" w:rsidR="00A73A35" w:rsidRPr="00A260FC" w:rsidRDefault="00A73A35" w:rsidP="00A260FC">
                            <w:pPr>
                              <w:pStyle w:val="ListParagraph"/>
                              <w:numPr>
                                <w:ilvl w:val="0"/>
                                <w:numId w:val="1"/>
                              </w:numPr>
                              <w:contextualSpacing/>
                              <w:rPr>
                                <w:rFonts w:ascii="Times New Roman" w:hAnsi="Times New Roman"/>
                                <w:sz w:val="24"/>
                                <w:szCs w:val="24"/>
                              </w:rPr>
                            </w:pPr>
                            <w:r w:rsidRPr="00DF0A56">
                              <w:rPr>
                                <w:rFonts w:ascii="Times New Roman" w:hAnsi="Times New Roman"/>
                                <w:b/>
                                <w:sz w:val="24"/>
                                <w:szCs w:val="24"/>
                              </w:rPr>
                              <w:t>The subpopulation to be studied:</w:t>
                            </w:r>
                            <w:r w:rsidRPr="00DF0A56">
                              <w:rPr>
                                <w:rFonts w:ascii="Times New Roman" w:eastAsia="Times New Roman" w:hAnsi="Times New Roman"/>
                                <w:sz w:val="24"/>
                                <w:szCs w:val="24"/>
                              </w:rPr>
                              <w:t xml:space="preserve"> </w:t>
                            </w:r>
                            <w:r w:rsidRPr="006C618E">
                              <w:rPr>
                                <w:rFonts w:ascii="Times New Roman" w:hAnsi="Times New Roman"/>
                                <w:sz w:val="24"/>
                                <w:szCs w:val="24"/>
                              </w:rPr>
                              <w:t xml:space="preserve">Patient surveys will be limited to UCSF Medical Center inpatient older adults (65 years and older) considered high risk for falls and high dose opioid use. The UCSF clinical staff will be limited to nurses, pharmacists, and physicians involved in older adult patient pain management and post-discharge planning. </w:t>
                            </w:r>
                            <w:r>
                              <w:rPr>
                                <w:rFonts w:ascii="Times New Roman" w:hAnsi="Times New Roman"/>
                                <w:sz w:val="24"/>
                                <w:szCs w:val="24"/>
                              </w:rPr>
                              <w:t>The</w:t>
                            </w:r>
                            <w:r w:rsidRPr="006C618E">
                              <w:rPr>
                                <w:rFonts w:ascii="Times New Roman" w:hAnsi="Times New Roman"/>
                                <w:sz w:val="24"/>
                                <w:szCs w:val="24"/>
                              </w:rPr>
                              <w:t xml:space="preserve"> PCP survey will be limited to </w:t>
                            </w:r>
                            <w:r>
                              <w:rPr>
                                <w:rFonts w:ascii="Times New Roman" w:hAnsi="Times New Roman"/>
                                <w:sz w:val="24"/>
                                <w:szCs w:val="24"/>
                              </w:rPr>
                              <w:t xml:space="preserve">outpatient </w:t>
                            </w:r>
                            <w:r w:rsidRPr="006C618E">
                              <w:rPr>
                                <w:rFonts w:ascii="Times New Roman" w:hAnsi="Times New Roman"/>
                                <w:sz w:val="24"/>
                                <w:szCs w:val="24"/>
                              </w:rPr>
                              <w:t>PCP</w:t>
                            </w:r>
                            <w:r>
                              <w:rPr>
                                <w:rFonts w:ascii="Times New Roman" w:hAnsi="Times New Roman"/>
                                <w:sz w:val="24"/>
                                <w:szCs w:val="24"/>
                              </w:rPr>
                              <w:t>s</w:t>
                            </w:r>
                            <w:r w:rsidRPr="006C618E">
                              <w:rPr>
                                <w:rFonts w:ascii="Times New Roman" w:hAnsi="Times New Roman"/>
                                <w:sz w:val="24"/>
                                <w:szCs w:val="24"/>
                              </w:rPr>
                              <w:t xml:space="preserve"> associated with UCSF Medical Center who care for older adult study patients discharged from UCSF.</w:t>
                            </w:r>
                          </w:p>
                          <w:p w14:paraId="4DD9A1BC" w14:textId="3CA2BB86" w:rsidR="00A73A35" w:rsidRPr="006C618E" w:rsidRDefault="00A73A35" w:rsidP="0084266C">
                            <w:pPr>
                              <w:pStyle w:val="ListParagraph"/>
                              <w:widowControl w:val="0"/>
                              <w:numPr>
                                <w:ilvl w:val="0"/>
                                <w:numId w:val="1"/>
                              </w:numPr>
                              <w:contextualSpacing/>
                              <w:rPr>
                                <w:rFonts w:ascii="Times New Roman" w:hAnsi="Times New Roman"/>
                                <w:sz w:val="24"/>
                                <w:szCs w:val="24"/>
                              </w:rPr>
                            </w:pPr>
                            <w:r w:rsidRPr="006C618E">
                              <w:rPr>
                                <w:rFonts w:ascii="Times New Roman" w:hAnsi="Times New Roman"/>
                                <w:b/>
                                <w:color w:val="000000" w:themeColor="text1"/>
                                <w:sz w:val="24"/>
                                <w:szCs w:val="24"/>
                              </w:rPr>
                              <w:t>How the data will be analyzed:</w:t>
                            </w:r>
                            <w:r w:rsidRPr="006C618E">
                              <w:rPr>
                                <w:rFonts w:ascii="Times New Roman" w:hAnsi="Times New Roman"/>
                                <w:color w:val="000000" w:themeColor="text1"/>
                                <w:sz w:val="24"/>
                                <w:szCs w:val="24"/>
                              </w:rPr>
                              <w:t xml:space="preserve">  </w:t>
                            </w:r>
                            <w:r w:rsidRPr="006C618E">
                              <w:rPr>
                                <w:rFonts w:ascii="Times New Roman" w:hAnsi="Times New Roman"/>
                                <w:sz w:val="24"/>
                                <w:szCs w:val="24"/>
                              </w:rPr>
                              <w:t xml:space="preserve">Categorical questions will be analyzed using frequencies, cross-tabulations, and regression analysis.  The open-ended questions will be analyzed to identify themes. Results will be presented by theme.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5pt;margin-top:14.6pt;width:560.1pt;height:2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JHJAIAAEUEAAAOAAAAZHJzL2Uyb0RvYy54bWysU9uO2yAQfa/Uf0C8N469yWZjxVlts01V&#10;aXuRdvsBGOMYFRgKJHb69R1wNo227UtVHhDDDIeZc2ZWt4NW5CCcl2Aqmk+mlAjDoZFmV9GvT9s3&#10;N5T4wEzDFBhR0aPw9Hb9+tWqt6UooAPVCEcQxPiytxXtQrBllnneCc38BKww6GzBaRbQdLuscaxH&#10;dK2yYjq9znpwjXXAhfd4ez866Trht63g4XPbehGIqijmFtLu0l7HPVuvWLlzzHaSn9Jg/5CFZtLg&#10;p2eoexYY2Tv5G5SW3IGHNkw46AzaVnKRasBq8umLah47ZkWqBcnx9kyT/3+w/NPhiyOyqWhBiWEa&#10;JXoSQyBvYSBFZKe3vsSgR4thYcBrVDlV6u0D8G+eGNh0zOzEnXPQd4I1mF0eX2YXT0ccH0Hq/iM0&#10;+A3bB0hAQ+t0pA7JIIiOKh3PysRUOF4u8rxYLhaUcPRd5dfz4ippl7Hy+bl1PrwXoEk8VNSh9Ame&#10;HR58iOmw8jkk/uZByWYrlUqG29Ub5ciBYZts00oVvAhThvQVXc6L+cjAXyGmaf0JQsuA/a6krujN&#10;OYiVkbd3pkndGJhU4xlTVuZEZORuZDEM9XASpobmiJQ6GPsa5xAPHbgflPTY0xX13/fMCUrUB4Oy&#10;LPPZLA5BMmbzRYGGu/TUlx5mOEJVNFAyHjchDU4kzMAdytfKRGzUeczklCv2auL7NFdxGC7tFPVr&#10;+tc/AQAA//8DAFBLAwQUAAYACAAAACEAD8+mBuEAAAALAQAADwAAAGRycy9kb3ducmV2LnhtbEyP&#10;y07DMBBF90j8gzVIbFBrk9LmQSYVQgLBDkpVtm7sJhHxONhuGv4edwXL0T2690y5nkzPRu18Zwnh&#10;di6Aaaqt6qhB2H48zTJgPkhSsrekEX60h3V1eVHKQtkTvetxExoWS8gXEqENYSg493WrjfRzO2iK&#10;2cE6I0M8XcOVk6dYbnqeCLHiRnYUF1o56MdW11+bo0HI7l7GT/+6eNvVq0Ofh5t0fP52iNdX08M9&#10;sKCn8AfDWT+qQxWd9vZIyrMeYbYQy4giJHkC7AyILE+B7RGWSZoCr0r+/4fqFwAA//8DAFBLAQIt&#10;ABQABgAIAAAAIQC2gziS/gAAAOEBAAATAAAAAAAAAAAAAAAAAAAAAABbQ29udGVudF9UeXBlc10u&#10;eG1sUEsBAi0AFAAGAAgAAAAhADj9If/WAAAAlAEAAAsAAAAAAAAAAAAAAAAALwEAAF9yZWxzLy5y&#10;ZWxzUEsBAi0AFAAGAAgAAAAhADR4YkckAgAARQQAAA4AAAAAAAAAAAAAAAAALgIAAGRycy9lMm9E&#10;b2MueG1sUEsBAi0AFAAGAAgAAAAhAA/PpgbhAAAACwEAAA8AAAAAAAAAAAAAAAAAfgQAAGRycy9k&#10;b3ducmV2LnhtbFBLBQYAAAAABAAEAPMAAACMBQAAAAA=&#10;">
                <v:textbox>
                  <w:txbxContent>
                    <w:p w14:paraId="5485CEA4" w14:textId="54792CBF" w:rsidR="00A73A35" w:rsidRDefault="00A73A35" w:rsidP="0085082A">
                      <w:pPr>
                        <w:pStyle w:val="ListParagraph"/>
                        <w:numPr>
                          <w:ilvl w:val="0"/>
                          <w:numId w:val="1"/>
                        </w:numPr>
                      </w:pPr>
                      <w:r w:rsidRPr="00A260FC">
                        <w:rPr>
                          <w:rFonts w:ascii="Times New Roman" w:hAnsi="Times New Roman"/>
                          <w:b/>
                          <w:sz w:val="24"/>
                          <w:szCs w:val="24"/>
                        </w:rPr>
                        <w:t>Goal of the Study:</w:t>
                      </w:r>
                      <w:r w:rsidRPr="00DF0A56">
                        <w:rPr>
                          <w:rFonts w:ascii="Times New Roman" w:hAnsi="Times New Roman"/>
                          <w:sz w:val="24"/>
                          <w:szCs w:val="24"/>
                        </w:rPr>
                        <w:t xml:space="preserve"> </w:t>
                      </w:r>
                      <w:r>
                        <w:rPr>
                          <w:rFonts w:ascii="Times New Roman" w:hAnsi="Times New Roman"/>
                          <w:sz w:val="24"/>
                          <w:szCs w:val="24"/>
                        </w:rPr>
                        <w:t xml:space="preserve">To </w:t>
                      </w:r>
                      <w:r w:rsidRPr="00A260FC">
                        <w:rPr>
                          <w:rFonts w:ascii="Times New Roman" w:hAnsi="Times New Roman"/>
                          <w:sz w:val="24"/>
                          <w:szCs w:val="24"/>
                        </w:rPr>
                        <w:t xml:space="preserve">perform a formative evaluation to inform CDC of best practices for implementation of </w:t>
                      </w:r>
                      <w:r>
                        <w:rPr>
                          <w:rFonts w:ascii="Times New Roman" w:hAnsi="Times New Roman"/>
                          <w:sz w:val="24"/>
                          <w:szCs w:val="24"/>
                        </w:rPr>
                        <w:t xml:space="preserve">opioid </w:t>
                      </w:r>
                      <w:r w:rsidRPr="00A260FC">
                        <w:rPr>
                          <w:rFonts w:ascii="Times New Roman" w:hAnsi="Times New Roman"/>
                          <w:sz w:val="24"/>
                          <w:szCs w:val="24"/>
                        </w:rPr>
                        <w:t>prescribing program in a hospital discharge setting at University of California, San Francisco (UCSF) to reduce risk of falls in older adults.</w:t>
                      </w:r>
                      <w:r>
                        <w:t xml:space="preserve"> </w:t>
                      </w:r>
                    </w:p>
                    <w:p w14:paraId="608C3002" w14:textId="437E759C" w:rsidR="00A73A35" w:rsidRPr="00DF0A56" w:rsidRDefault="00A73A35" w:rsidP="0085082A">
                      <w:pPr>
                        <w:pStyle w:val="ListParagraph"/>
                        <w:numPr>
                          <w:ilvl w:val="0"/>
                          <w:numId w:val="1"/>
                        </w:numPr>
                        <w:suppressOverlap/>
                      </w:pPr>
                      <w:r w:rsidRPr="00A260FC">
                        <w:rPr>
                          <w:rFonts w:ascii="Times New Roman" w:hAnsi="Times New Roman"/>
                          <w:b/>
                          <w:sz w:val="24"/>
                          <w:szCs w:val="24"/>
                        </w:rPr>
                        <w:t xml:space="preserve">Intended use of the resulting data: </w:t>
                      </w:r>
                      <w:r w:rsidRPr="00A260FC">
                        <w:rPr>
                          <w:rFonts w:ascii="Times New Roman" w:hAnsi="Times New Roman"/>
                          <w:sz w:val="24"/>
                          <w:szCs w:val="24"/>
                        </w:rPr>
                        <w:t>To provide information on ways to improve opioid prescribing to reduce risk of falls in older adults including provider practice changes</w:t>
                      </w:r>
                      <w:r>
                        <w:rPr>
                          <w:rFonts w:ascii="Times New Roman" w:hAnsi="Times New Roman"/>
                          <w:sz w:val="24"/>
                          <w:szCs w:val="24"/>
                        </w:rPr>
                        <w:t>,</w:t>
                      </w:r>
                      <w:r w:rsidRPr="00A260FC">
                        <w:rPr>
                          <w:rFonts w:ascii="Times New Roman" w:hAnsi="Times New Roman"/>
                          <w:sz w:val="24"/>
                          <w:szCs w:val="24"/>
                        </w:rPr>
                        <w:t xml:space="preserve"> prescribing protocols</w:t>
                      </w:r>
                      <w:r>
                        <w:rPr>
                          <w:rFonts w:ascii="Times New Roman" w:hAnsi="Times New Roman"/>
                          <w:sz w:val="24"/>
                          <w:szCs w:val="24"/>
                        </w:rPr>
                        <w:t>,</w:t>
                      </w:r>
                      <w:r w:rsidRPr="00A260FC">
                        <w:rPr>
                          <w:rFonts w:ascii="Times New Roman" w:hAnsi="Times New Roman"/>
                          <w:sz w:val="24"/>
                          <w:szCs w:val="24"/>
                        </w:rPr>
                        <w:t xml:space="preserve"> and decision support tools.</w:t>
                      </w:r>
                      <w:r w:rsidRPr="00DF0A56">
                        <w:t xml:space="preserve"> </w:t>
                      </w:r>
                    </w:p>
                    <w:p w14:paraId="756FC509" w14:textId="2F806BB3" w:rsidR="00A73A35" w:rsidRPr="0085082A" w:rsidRDefault="00A73A35" w:rsidP="00A260FC">
                      <w:pPr>
                        <w:pStyle w:val="ListParagraph"/>
                        <w:numPr>
                          <w:ilvl w:val="0"/>
                          <w:numId w:val="1"/>
                        </w:numPr>
                        <w:contextualSpacing/>
                        <w:rPr>
                          <w:rFonts w:ascii="Times New Roman" w:hAnsi="Times New Roman"/>
                          <w:sz w:val="24"/>
                          <w:szCs w:val="24"/>
                        </w:rPr>
                      </w:pPr>
                      <w:r w:rsidRPr="00DF0A56">
                        <w:rPr>
                          <w:rFonts w:ascii="Times New Roman" w:hAnsi="Times New Roman"/>
                          <w:b/>
                          <w:sz w:val="24"/>
                          <w:szCs w:val="24"/>
                        </w:rPr>
                        <w:t>Methods to be used to collect:</w:t>
                      </w:r>
                      <w:r w:rsidRPr="00DF0A56">
                        <w:rPr>
                          <w:rFonts w:ascii="Times New Roman" w:hAnsi="Times New Roman"/>
                          <w:sz w:val="24"/>
                          <w:szCs w:val="24"/>
                        </w:rPr>
                        <w:t xml:space="preserve"> </w:t>
                      </w:r>
                      <w:r>
                        <w:rPr>
                          <w:rFonts w:ascii="Times New Roman" w:hAnsi="Times New Roman"/>
                          <w:sz w:val="24"/>
                          <w:szCs w:val="24"/>
                        </w:rPr>
                        <w:t xml:space="preserve">A set of cross-sectional surveys of patients at 0,14,30,60 days after discharge, UCSF clinical staff, and outpatient primary care providers (PCP) involved in discharged patient care. </w:t>
                      </w:r>
                    </w:p>
                    <w:p w14:paraId="0D4E8194" w14:textId="6CB079BB" w:rsidR="00A73A35" w:rsidRPr="00A260FC" w:rsidRDefault="00A73A35" w:rsidP="00A260FC">
                      <w:pPr>
                        <w:pStyle w:val="ListParagraph"/>
                        <w:numPr>
                          <w:ilvl w:val="0"/>
                          <w:numId w:val="1"/>
                        </w:numPr>
                        <w:contextualSpacing/>
                        <w:rPr>
                          <w:rFonts w:ascii="Times New Roman" w:hAnsi="Times New Roman"/>
                          <w:sz w:val="24"/>
                          <w:szCs w:val="24"/>
                        </w:rPr>
                      </w:pPr>
                      <w:r w:rsidRPr="00DF0A56">
                        <w:rPr>
                          <w:rFonts w:ascii="Times New Roman" w:hAnsi="Times New Roman"/>
                          <w:b/>
                          <w:sz w:val="24"/>
                          <w:szCs w:val="24"/>
                        </w:rPr>
                        <w:t>The subpopulation to be studied:</w:t>
                      </w:r>
                      <w:r w:rsidRPr="00DF0A56">
                        <w:rPr>
                          <w:rFonts w:ascii="Times New Roman" w:eastAsia="Times New Roman" w:hAnsi="Times New Roman"/>
                          <w:sz w:val="24"/>
                          <w:szCs w:val="24"/>
                        </w:rPr>
                        <w:t xml:space="preserve"> </w:t>
                      </w:r>
                      <w:r w:rsidRPr="006C618E">
                        <w:rPr>
                          <w:rFonts w:ascii="Times New Roman" w:hAnsi="Times New Roman"/>
                          <w:sz w:val="24"/>
                          <w:szCs w:val="24"/>
                        </w:rPr>
                        <w:t xml:space="preserve">Patient surveys will be limited to UCSF Medical Center inpatient older adults (65 years and older) considered high risk for falls and high dose opioid use. The UCSF clinical staff will be limited to nurses, pharmacists, and physicians involved in older adult patient pain management and post-discharge planning. </w:t>
                      </w:r>
                      <w:r>
                        <w:rPr>
                          <w:rFonts w:ascii="Times New Roman" w:hAnsi="Times New Roman"/>
                          <w:sz w:val="24"/>
                          <w:szCs w:val="24"/>
                        </w:rPr>
                        <w:t>The</w:t>
                      </w:r>
                      <w:r w:rsidRPr="006C618E">
                        <w:rPr>
                          <w:rFonts w:ascii="Times New Roman" w:hAnsi="Times New Roman"/>
                          <w:sz w:val="24"/>
                          <w:szCs w:val="24"/>
                        </w:rPr>
                        <w:t xml:space="preserve"> PCP survey will be limited to </w:t>
                      </w:r>
                      <w:r>
                        <w:rPr>
                          <w:rFonts w:ascii="Times New Roman" w:hAnsi="Times New Roman"/>
                          <w:sz w:val="24"/>
                          <w:szCs w:val="24"/>
                        </w:rPr>
                        <w:t xml:space="preserve">outpatient </w:t>
                      </w:r>
                      <w:r w:rsidRPr="006C618E">
                        <w:rPr>
                          <w:rFonts w:ascii="Times New Roman" w:hAnsi="Times New Roman"/>
                          <w:sz w:val="24"/>
                          <w:szCs w:val="24"/>
                        </w:rPr>
                        <w:t>PCP</w:t>
                      </w:r>
                      <w:r>
                        <w:rPr>
                          <w:rFonts w:ascii="Times New Roman" w:hAnsi="Times New Roman"/>
                          <w:sz w:val="24"/>
                          <w:szCs w:val="24"/>
                        </w:rPr>
                        <w:t>s</w:t>
                      </w:r>
                      <w:r w:rsidRPr="006C618E">
                        <w:rPr>
                          <w:rFonts w:ascii="Times New Roman" w:hAnsi="Times New Roman"/>
                          <w:sz w:val="24"/>
                          <w:szCs w:val="24"/>
                        </w:rPr>
                        <w:t xml:space="preserve"> associated with UCSF Medical Center who care for older adult study patients discharged from UCSF.</w:t>
                      </w:r>
                    </w:p>
                    <w:p w14:paraId="4DD9A1BC" w14:textId="3CA2BB86" w:rsidR="00A73A35" w:rsidRPr="006C618E" w:rsidRDefault="00A73A35" w:rsidP="0084266C">
                      <w:pPr>
                        <w:pStyle w:val="ListParagraph"/>
                        <w:widowControl w:val="0"/>
                        <w:numPr>
                          <w:ilvl w:val="0"/>
                          <w:numId w:val="1"/>
                        </w:numPr>
                        <w:contextualSpacing/>
                        <w:rPr>
                          <w:rFonts w:ascii="Times New Roman" w:hAnsi="Times New Roman"/>
                          <w:sz w:val="24"/>
                          <w:szCs w:val="24"/>
                        </w:rPr>
                      </w:pPr>
                      <w:r w:rsidRPr="006C618E">
                        <w:rPr>
                          <w:rFonts w:ascii="Times New Roman" w:hAnsi="Times New Roman"/>
                          <w:b/>
                          <w:color w:val="000000" w:themeColor="text1"/>
                          <w:sz w:val="24"/>
                          <w:szCs w:val="24"/>
                        </w:rPr>
                        <w:t>How the data will be analyzed:</w:t>
                      </w:r>
                      <w:r w:rsidRPr="006C618E">
                        <w:rPr>
                          <w:rFonts w:ascii="Times New Roman" w:hAnsi="Times New Roman"/>
                          <w:color w:val="000000" w:themeColor="text1"/>
                          <w:sz w:val="24"/>
                          <w:szCs w:val="24"/>
                        </w:rPr>
                        <w:t xml:space="preserve">  </w:t>
                      </w:r>
                      <w:r w:rsidRPr="006C618E">
                        <w:rPr>
                          <w:rFonts w:ascii="Times New Roman" w:hAnsi="Times New Roman"/>
                          <w:sz w:val="24"/>
                          <w:szCs w:val="24"/>
                        </w:rPr>
                        <w:t xml:space="preserve">Categorical questions will be analyzed using frequencies, cross-tabulations, and regression analysis.  The open-ended questions will be analyzed to identify themes. Results will be presented by theme.  </w:t>
                      </w:r>
                    </w:p>
                  </w:txbxContent>
                </v:textbox>
                <w10:wrap anchorx="margin"/>
              </v:shape>
            </w:pict>
          </mc:Fallback>
        </mc:AlternateContent>
      </w:r>
    </w:p>
    <w:p w14:paraId="0873C56F" w14:textId="77777777" w:rsidR="00A73A35" w:rsidRDefault="00A73A35" w:rsidP="00A73A35">
      <w:pPr>
        <w:spacing w:after="160" w:line="259" w:lineRule="auto"/>
        <w:rPr>
          <w:b/>
        </w:rPr>
      </w:pPr>
    </w:p>
    <w:p w14:paraId="659A1A36" w14:textId="77777777" w:rsidR="00A73A35" w:rsidRDefault="00A73A35" w:rsidP="00A73A35">
      <w:pPr>
        <w:spacing w:after="160" w:line="259" w:lineRule="auto"/>
        <w:rPr>
          <w:b/>
        </w:rPr>
      </w:pPr>
    </w:p>
    <w:p w14:paraId="02C0E25D" w14:textId="77777777" w:rsidR="00A73A35" w:rsidRDefault="00A73A35" w:rsidP="00A73A35">
      <w:pPr>
        <w:spacing w:after="160" w:line="259" w:lineRule="auto"/>
        <w:rPr>
          <w:b/>
        </w:rPr>
      </w:pPr>
    </w:p>
    <w:p w14:paraId="16D6FE4B" w14:textId="77777777" w:rsidR="00A73A35" w:rsidRDefault="00A73A35" w:rsidP="00A73A35">
      <w:pPr>
        <w:spacing w:after="160" w:line="259" w:lineRule="auto"/>
        <w:rPr>
          <w:b/>
        </w:rPr>
      </w:pPr>
    </w:p>
    <w:p w14:paraId="2AD108C0" w14:textId="77777777" w:rsidR="00A73A35" w:rsidRDefault="00A73A35" w:rsidP="00A73A35">
      <w:pPr>
        <w:spacing w:after="160" w:line="259" w:lineRule="auto"/>
        <w:rPr>
          <w:b/>
        </w:rPr>
      </w:pPr>
    </w:p>
    <w:p w14:paraId="0F34256B" w14:textId="77777777" w:rsidR="00A73A35" w:rsidRDefault="00A73A35" w:rsidP="00A73A35">
      <w:pPr>
        <w:spacing w:after="160" w:line="259" w:lineRule="auto"/>
        <w:rPr>
          <w:b/>
        </w:rPr>
      </w:pPr>
    </w:p>
    <w:p w14:paraId="45D0BD2E" w14:textId="77777777" w:rsidR="00A73A35" w:rsidRDefault="00A73A35" w:rsidP="00A73A35">
      <w:pPr>
        <w:spacing w:after="160" w:line="259" w:lineRule="auto"/>
        <w:rPr>
          <w:b/>
        </w:rPr>
      </w:pPr>
    </w:p>
    <w:p w14:paraId="50456E81" w14:textId="77777777" w:rsidR="00A73A35" w:rsidRDefault="00A73A35" w:rsidP="00A73A35">
      <w:pPr>
        <w:spacing w:after="160" w:line="259" w:lineRule="auto"/>
        <w:rPr>
          <w:b/>
        </w:rPr>
      </w:pPr>
    </w:p>
    <w:p w14:paraId="1896915B" w14:textId="77777777" w:rsidR="00A73A35" w:rsidRDefault="00A73A35" w:rsidP="00A73A35">
      <w:pPr>
        <w:spacing w:after="160" w:line="259" w:lineRule="auto"/>
        <w:rPr>
          <w:b/>
        </w:rPr>
      </w:pPr>
    </w:p>
    <w:p w14:paraId="0630C89D" w14:textId="77777777" w:rsidR="00A73A35" w:rsidRDefault="00A73A35" w:rsidP="00A73A35">
      <w:pPr>
        <w:spacing w:after="160" w:line="259" w:lineRule="auto"/>
        <w:rPr>
          <w:b/>
        </w:rPr>
      </w:pPr>
    </w:p>
    <w:p w14:paraId="6F4AD3BA" w14:textId="77777777" w:rsidR="00A73A35" w:rsidRDefault="00A73A35" w:rsidP="00A73A35">
      <w:pPr>
        <w:spacing w:after="160" w:line="259" w:lineRule="auto"/>
        <w:rPr>
          <w:b/>
        </w:rPr>
      </w:pPr>
    </w:p>
    <w:p w14:paraId="12F55619" w14:textId="77777777" w:rsidR="00A73A35" w:rsidRDefault="00A73A35" w:rsidP="00A73A35">
      <w:pPr>
        <w:spacing w:after="160" w:line="259" w:lineRule="auto"/>
        <w:rPr>
          <w:b/>
        </w:rPr>
      </w:pPr>
    </w:p>
    <w:p w14:paraId="5C8D4C19" w14:textId="24A96E33" w:rsidR="008D770A" w:rsidRDefault="008D770A" w:rsidP="00A73A35">
      <w:pPr>
        <w:spacing w:after="160" w:line="259" w:lineRule="auto"/>
        <w:rPr>
          <w:b/>
        </w:rPr>
      </w:pPr>
      <w:r w:rsidRPr="000155E9">
        <w:rPr>
          <w:b/>
        </w:rPr>
        <w:t>JUSTIFICATION</w:t>
      </w:r>
    </w:p>
    <w:p w14:paraId="35B2B04A" w14:textId="77777777" w:rsidR="00DF0A56" w:rsidRPr="00DF0A56" w:rsidRDefault="00DF0A56" w:rsidP="00DF0A56"/>
    <w:p w14:paraId="18919F5D" w14:textId="77777777" w:rsidR="008D770A" w:rsidRPr="00202FE2" w:rsidRDefault="008D770A" w:rsidP="008D770A">
      <w:pPr>
        <w:tabs>
          <w:tab w:val="left" w:pos="360"/>
        </w:tabs>
        <w:ind w:left="360" w:hanging="360"/>
        <w:outlineLvl w:val="0"/>
        <w:rPr>
          <w:b/>
        </w:rPr>
      </w:pPr>
      <w:r w:rsidRPr="00202FE2">
        <w:rPr>
          <w:b/>
        </w:rPr>
        <w:t>A.1.</w:t>
      </w:r>
      <w:r w:rsidRPr="00202FE2">
        <w:rPr>
          <w:b/>
        </w:rPr>
        <w:tab/>
        <w:t>Circumstances Making the Collection of Information Necessary</w:t>
      </w:r>
    </w:p>
    <w:p w14:paraId="259B733A" w14:textId="77777777" w:rsidR="008D770A" w:rsidRPr="00202FE2" w:rsidRDefault="008D770A" w:rsidP="008D770A">
      <w:pPr>
        <w:tabs>
          <w:tab w:val="left" w:pos="360"/>
        </w:tabs>
        <w:outlineLvl w:val="0"/>
        <w:rPr>
          <w:b/>
        </w:rPr>
      </w:pPr>
    </w:p>
    <w:p w14:paraId="25860EAB" w14:textId="5153E6FD" w:rsidR="00DA79A5" w:rsidRDefault="008D770A" w:rsidP="00DA79A5">
      <w:pPr>
        <w:pStyle w:val="Default"/>
        <w:rPr>
          <w:rFonts w:ascii="Times New Roman" w:hAnsi="Times New Roman" w:cs="Times New Roman"/>
        </w:rPr>
      </w:pPr>
      <w:r w:rsidRPr="00202FE2">
        <w:rPr>
          <w:rFonts w:ascii="Times New Roman" w:hAnsi="Times New Roman" w:cs="Times New Roman"/>
        </w:rPr>
        <w:t xml:space="preserve">The Centers for Disease Control and Prevention (CDC) requests Office of Management and Budget (OMB) approval for three years for this </w:t>
      </w:r>
      <w:r w:rsidR="00410AAF" w:rsidRPr="00202FE2">
        <w:rPr>
          <w:rFonts w:ascii="Times New Roman" w:hAnsi="Times New Roman" w:cs="Times New Roman"/>
        </w:rPr>
        <w:t xml:space="preserve">new </w:t>
      </w:r>
      <w:r w:rsidRPr="00202FE2">
        <w:rPr>
          <w:rFonts w:ascii="Times New Roman" w:hAnsi="Times New Roman" w:cs="Times New Roman"/>
        </w:rPr>
        <w:t xml:space="preserve">data collection to </w:t>
      </w:r>
      <w:r w:rsidR="00A73A35" w:rsidRPr="00A260FC">
        <w:rPr>
          <w:rFonts w:ascii="Times New Roman" w:hAnsi="Times New Roman"/>
        </w:rPr>
        <w:t xml:space="preserve">perform a formative evaluation </w:t>
      </w:r>
      <w:r w:rsidR="00A73A35">
        <w:rPr>
          <w:rFonts w:ascii="Times New Roman" w:hAnsi="Times New Roman"/>
        </w:rPr>
        <w:t xml:space="preserve">of </w:t>
      </w:r>
      <w:r w:rsidRPr="00202FE2">
        <w:rPr>
          <w:rFonts w:ascii="Times New Roman" w:hAnsi="Times New Roman" w:cs="Times New Roman"/>
        </w:rPr>
        <w:t xml:space="preserve">the implementation </w:t>
      </w:r>
      <w:r w:rsidR="008051D6" w:rsidRPr="00202FE2">
        <w:rPr>
          <w:rFonts w:ascii="Times New Roman" w:hAnsi="Times New Roman" w:cs="Times New Roman"/>
        </w:rPr>
        <w:t xml:space="preserve">and impact </w:t>
      </w:r>
      <w:r w:rsidRPr="00202FE2">
        <w:rPr>
          <w:rFonts w:ascii="Times New Roman" w:hAnsi="Times New Roman" w:cs="Times New Roman"/>
        </w:rPr>
        <w:t>of a</w:t>
      </w:r>
      <w:r w:rsidR="005505A9">
        <w:rPr>
          <w:rFonts w:ascii="Times New Roman" w:hAnsi="Times New Roman" w:cs="Times New Roman"/>
        </w:rPr>
        <w:t>n</w:t>
      </w:r>
      <w:r w:rsidRPr="00202FE2">
        <w:rPr>
          <w:rFonts w:ascii="Times New Roman" w:hAnsi="Times New Roman" w:cs="Times New Roman"/>
        </w:rPr>
        <w:t xml:space="preserve"> </w:t>
      </w:r>
      <w:r w:rsidR="00E321D2">
        <w:rPr>
          <w:rFonts w:ascii="Times New Roman" w:hAnsi="Times New Roman" w:cs="Times New Roman"/>
        </w:rPr>
        <w:t>opioid prescribing program</w:t>
      </w:r>
      <w:r w:rsidRPr="00202FE2">
        <w:rPr>
          <w:rFonts w:ascii="Times New Roman" w:hAnsi="Times New Roman" w:cs="Times New Roman"/>
        </w:rPr>
        <w:t xml:space="preserve"> in a hospital discharge setting at University of California, San Francisco (UCSF)</w:t>
      </w:r>
      <w:r w:rsidR="00E321D2">
        <w:rPr>
          <w:rFonts w:ascii="Times New Roman" w:hAnsi="Times New Roman" w:cs="Times New Roman"/>
        </w:rPr>
        <w:t xml:space="preserve"> to reduce risk of falls in older adults</w:t>
      </w:r>
      <w:r w:rsidRPr="00202FE2">
        <w:rPr>
          <w:rFonts w:ascii="Times New Roman" w:hAnsi="Times New Roman" w:cs="Times New Roman"/>
        </w:rPr>
        <w:t xml:space="preserve">. Components of the program will </w:t>
      </w:r>
      <w:r w:rsidR="00E321D2">
        <w:rPr>
          <w:rFonts w:ascii="Times New Roman" w:hAnsi="Times New Roman" w:cs="Times New Roman"/>
        </w:rPr>
        <w:t xml:space="preserve">include </w:t>
      </w:r>
      <w:r w:rsidRPr="00202FE2">
        <w:rPr>
          <w:rFonts w:ascii="Times New Roman" w:hAnsi="Times New Roman" w:cs="Times New Roman"/>
        </w:rPr>
        <w:t xml:space="preserve">opioid medication </w:t>
      </w:r>
      <w:r w:rsidR="00DA79A5">
        <w:rPr>
          <w:rFonts w:ascii="Times New Roman" w:hAnsi="Times New Roman" w:cs="Times New Roman"/>
        </w:rPr>
        <w:t xml:space="preserve">prescribing practices to reduce high dose opioid prescribing and </w:t>
      </w:r>
      <w:r w:rsidR="00F20281">
        <w:rPr>
          <w:rFonts w:ascii="Times New Roman" w:hAnsi="Times New Roman" w:cs="Times New Roman"/>
        </w:rPr>
        <w:t xml:space="preserve">reduce </w:t>
      </w:r>
      <w:r w:rsidR="00DA79A5">
        <w:rPr>
          <w:rFonts w:ascii="Times New Roman" w:hAnsi="Times New Roman" w:cs="Times New Roman"/>
        </w:rPr>
        <w:t>readmissions for falls</w:t>
      </w:r>
      <w:r w:rsidR="0016434D">
        <w:rPr>
          <w:rFonts w:ascii="Times New Roman" w:hAnsi="Times New Roman" w:cs="Times New Roman"/>
        </w:rPr>
        <w:t xml:space="preserve"> </w:t>
      </w:r>
      <w:r w:rsidR="00DA79A5">
        <w:rPr>
          <w:rFonts w:ascii="Times New Roman" w:hAnsi="Times New Roman" w:cs="Times New Roman"/>
        </w:rPr>
        <w:t xml:space="preserve">in older adults </w:t>
      </w:r>
      <w:r w:rsidR="009F0515">
        <w:rPr>
          <w:rFonts w:ascii="Times New Roman" w:hAnsi="Times New Roman" w:cs="Times New Roman"/>
        </w:rPr>
        <w:t>after discharge</w:t>
      </w:r>
      <w:r w:rsidR="00DA79A5">
        <w:rPr>
          <w:rFonts w:ascii="Times New Roman" w:hAnsi="Times New Roman" w:cs="Times New Roman"/>
        </w:rPr>
        <w:t xml:space="preserve">. </w:t>
      </w:r>
    </w:p>
    <w:p w14:paraId="21E5C5FD" w14:textId="0F7F6659" w:rsidR="008D770A" w:rsidRPr="00202FE2" w:rsidRDefault="008D770A" w:rsidP="008D770A">
      <w:pPr>
        <w:pStyle w:val="Default"/>
        <w:rPr>
          <w:rFonts w:ascii="Times New Roman" w:hAnsi="Times New Roman" w:cs="Times New Roman"/>
        </w:rPr>
      </w:pPr>
    </w:p>
    <w:p w14:paraId="3EF80BD9" w14:textId="3C4E9100" w:rsidR="008D770A" w:rsidRPr="00202FE2" w:rsidRDefault="008D770A" w:rsidP="008D770A">
      <w:pPr>
        <w:pStyle w:val="NormalSS"/>
        <w:spacing w:after="0"/>
        <w:ind w:firstLine="0"/>
        <w:rPr>
          <w:szCs w:val="24"/>
        </w:rPr>
      </w:pPr>
      <w:r w:rsidRPr="00202FE2">
        <w:rPr>
          <w:szCs w:val="24"/>
        </w:rPr>
        <w:t>CDC will use the information collected to</w:t>
      </w:r>
      <w:r w:rsidR="00152595">
        <w:rPr>
          <w:szCs w:val="24"/>
        </w:rPr>
        <w:t xml:space="preserve"> help inform best practices</w:t>
      </w:r>
      <w:r w:rsidR="00E321D2">
        <w:rPr>
          <w:szCs w:val="24"/>
        </w:rPr>
        <w:t xml:space="preserve"> and material development of </w:t>
      </w:r>
      <w:r w:rsidR="00152595">
        <w:rPr>
          <w:szCs w:val="24"/>
        </w:rPr>
        <w:t>opioid prescribing protocol</w:t>
      </w:r>
      <w:r w:rsidR="003835A3">
        <w:rPr>
          <w:szCs w:val="24"/>
        </w:rPr>
        <w:t>s</w:t>
      </w:r>
      <w:r w:rsidR="00152595">
        <w:rPr>
          <w:szCs w:val="24"/>
        </w:rPr>
        <w:t xml:space="preserve"> </w:t>
      </w:r>
      <w:r w:rsidR="00E321D2">
        <w:rPr>
          <w:szCs w:val="24"/>
        </w:rPr>
        <w:t xml:space="preserve">and decision support tools </w:t>
      </w:r>
      <w:r w:rsidR="00152595">
        <w:rPr>
          <w:szCs w:val="24"/>
        </w:rPr>
        <w:t xml:space="preserve">at post-discharge setting </w:t>
      </w:r>
      <w:r w:rsidR="003835A3">
        <w:rPr>
          <w:szCs w:val="24"/>
        </w:rPr>
        <w:t xml:space="preserve">to reduce </w:t>
      </w:r>
      <w:r w:rsidR="00E321D2">
        <w:rPr>
          <w:szCs w:val="24"/>
        </w:rPr>
        <w:t xml:space="preserve">opioid use and risk of </w:t>
      </w:r>
      <w:r w:rsidR="003835A3">
        <w:rPr>
          <w:szCs w:val="24"/>
        </w:rPr>
        <w:t xml:space="preserve">falls in older adults </w:t>
      </w:r>
      <w:r w:rsidR="00152595">
        <w:rPr>
          <w:szCs w:val="24"/>
        </w:rPr>
        <w:t xml:space="preserve">by: </w:t>
      </w:r>
    </w:p>
    <w:p w14:paraId="4CEB4F82" w14:textId="58DFCA19" w:rsidR="008D770A" w:rsidRPr="00202FE2" w:rsidRDefault="008D770A" w:rsidP="008D770A">
      <w:pPr>
        <w:pStyle w:val="ListParagraph"/>
        <w:numPr>
          <w:ilvl w:val="0"/>
          <w:numId w:val="2"/>
        </w:numPr>
        <w:rPr>
          <w:rFonts w:ascii="Times New Roman" w:eastAsia="Times New Roman" w:hAnsi="Times New Roman"/>
          <w:sz w:val="24"/>
          <w:szCs w:val="24"/>
        </w:rPr>
      </w:pPr>
      <w:r w:rsidRPr="00202FE2">
        <w:rPr>
          <w:rFonts w:ascii="Times New Roman" w:eastAsia="Times New Roman" w:hAnsi="Times New Roman"/>
          <w:sz w:val="24"/>
          <w:szCs w:val="24"/>
        </w:rPr>
        <w:t>Evaluat</w:t>
      </w:r>
      <w:r w:rsidR="00152595">
        <w:rPr>
          <w:rFonts w:ascii="Times New Roman" w:eastAsia="Times New Roman" w:hAnsi="Times New Roman"/>
          <w:sz w:val="24"/>
          <w:szCs w:val="24"/>
        </w:rPr>
        <w:t>ing</w:t>
      </w:r>
      <w:r w:rsidRPr="00202FE2">
        <w:rPr>
          <w:rFonts w:ascii="Times New Roman" w:eastAsia="Times New Roman" w:hAnsi="Times New Roman"/>
          <w:sz w:val="24"/>
          <w:szCs w:val="24"/>
        </w:rPr>
        <w:t xml:space="preserve"> the impact of </w:t>
      </w:r>
      <w:r w:rsidR="009F0515">
        <w:rPr>
          <w:rFonts w:ascii="Times New Roman" w:eastAsia="Times New Roman" w:hAnsi="Times New Roman"/>
          <w:sz w:val="24"/>
          <w:szCs w:val="24"/>
        </w:rPr>
        <w:t xml:space="preserve">a </w:t>
      </w:r>
      <w:r w:rsidRPr="00202FE2">
        <w:rPr>
          <w:rFonts w:ascii="Times New Roman" w:eastAsia="Times New Roman" w:hAnsi="Times New Roman"/>
          <w:sz w:val="24"/>
          <w:szCs w:val="24"/>
        </w:rPr>
        <w:t>modified intervention on opioid prescribing patterns (e.g. use of non-opioid medications)</w:t>
      </w:r>
      <w:r w:rsidR="006E4989" w:rsidRPr="00202FE2">
        <w:rPr>
          <w:rFonts w:ascii="Times New Roman" w:eastAsia="Times New Roman" w:hAnsi="Times New Roman"/>
          <w:sz w:val="24"/>
          <w:szCs w:val="24"/>
        </w:rPr>
        <w:t>;</w:t>
      </w:r>
      <w:r w:rsidRPr="00202FE2">
        <w:rPr>
          <w:rFonts w:ascii="Times New Roman" w:eastAsia="Times New Roman" w:hAnsi="Times New Roman"/>
          <w:sz w:val="24"/>
          <w:szCs w:val="24"/>
        </w:rPr>
        <w:t xml:space="preserve"> opioid refills prescribed at discharge</w:t>
      </w:r>
      <w:r w:rsidR="006E4989">
        <w:rPr>
          <w:rFonts w:ascii="Times New Roman" w:eastAsia="Times New Roman" w:hAnsi="Times New Roman"/>
          <w:sz w:val="24"/>
          <w:szCs w:val="24"/>
        </w:rPr>
        <w:t>;</w:t>
      </w:r>
      <w:r w:rsidRPr="00202FE2">
        <w:rPr>
          <w:rFonts w:ascii="Times New Roman" w:eastAsia="Times New Roman" w:hAnsi="Times New Roman"/>
          <w:sz w:val="24"/>
          <w:szCs w:val="24"/>
        </w:rPr>
        <w:t xml:space="preserve"> readmissions</w:t>
      </w:r>
      <w:r w:rsidR="009E611D">
        <w:rPr>
          <w:rFonts w:ascii="Times New Roman" w:eastAsia="Times New Roman" w:hAnsi="Times New Roman"/>
          <w:sz w:val="24"/>
          <w:szCs w:val="24"/>
        </w:rPr>
        <w:t xml:space="preserve"> for falls</w:t>
      </w:r>
      <w:r w:rsidR="006E4989">
        <w:rPr>
          <w:rFonts w:ascii="Times New Roman" w:eastAsia="Times New Roman" w:hAnsi="Times New Roman"/>
          <w:sz w:val="24"/>
          <w:szCs w:val="24"/>
        </w:rPr>
        <w:t>;</w:t>
      </w:r>
      <w:r w:rsidRPr="00202FE2">
        <w:rPr>
          <w:rFonts w:ascii="Times New Roman" w:eastAsia="Times New Roman" w:hAnsi="Times New Roman"/>
          <w:sz w:val="24"/>
          <w:szCs w:val="24"/>
        </w:rPr>
        <w:t xml:space="preserve"> </w:t>
      </w:r>
      <w:r w:rsidR="0016434D">
        <w:rPr>
          <w:rFonts w:ascii="Times New Roman" w:eastAsia="Times New Roman" w:hAnsi="Times New Roman"/>
          <w:sz w:val="24"/>
          <w:szCs w:val="24"/>
        </w:rPr>
        <w:t xml:space="preserve">and </w:t>
      </w:r>
      <w:r w:rsidR="00D3738D">
        <w:rPr>
          <w:rFonts w:ascii="Times New Roman" w:eastAsia="Times New Roman" w:hAnsi="Times New Roman"/>
          <w:sz w:val="24"/>
          <w:szCs w:val="24"/>
        </w:rPr>
        <w:t>incidence of falls and/</w:t>
      </w:r>
      <w:r w:rsidR="0016434D">
        <w:rPr>
          <w:rFonts w:ascii="Times New Roman" w:eastAsia="Times New Roman" w:hAnsi="Times New Roman"/>
          <w:sz w:val="24"/>
          <w:szCs w:val="24"/>
        </w:rPr>
        <w:t xml:space="preserve">or </w:t>
      </w:r>
      <w:r w:rsidR="0016434D" w:rsidRPr="00202FE2">
        <w:rPr>
          <w:rFonts w:ascii="Times New Roman" w:eastAsia="Times New Roman" w:hAnsi="Times New Roman"/>
          <w:sz w:val="24"/>
          <w:szCs w:val="24"/>
        </w:rPr>
        <w:t>medically treated</w:t>
      </w:r>
      <w:r w:rsidRPr="00202FE2">
        <w:rPr>
          <w:rFonts w:ascii="Times New Roman" w:eastAsia="Times New Roman" w:hAnsi="Times New Roman"/>
          <w:sz w:val="24"/>
          <w:szCs w:val="24"/>
        </w:rPr>
        <w:t xml:space="preserve"> falls.  </w:t>
      </w:r>
    </w:p>
    <w:p w14:paraId="7A561998" w14:textId="6EDA5580" w:rsidR="008D770A" w:rsidRPr="00202FE2" w:rsidRDefault="008D770A" w:rsidP="008D770A">
      <w:pPr>
        <w:pStyle w:val="ListParagraph"/>
        <w:numPr>
          <w:ilvl w:val="0"/>
          <w:numId w:val="2"/>
        </w:numPr>
        <w:rPr>
          <w:rFonts w:ascii="Times New Roman" w:eastAsia="Times New Roman" w:hAnsi="Times New Roman"/>
          <w:sz w:val="24"/>
          <w:szCs w:val="24"/>
        </w:rPr>
      </w:pPr>
      <w:r w:rsidRPr="00202FE2">
        <w:rPr>
          <w:rFonts w:ascii="Times New Roman" w:eastAsia="Times New Roman" w:hAnsi="Times New Roman"/>
          <w:sz w:val="24"/>
          <w:szCs w:val="24"/>
        </w:rPr>
        <w:t>Describ</w:t>
      </w:r>
      <w:r w:rsidR="00152595">
        <w:rPr>
          <w:rFonts w:ascii="Times New Roman" w:eastAsia="Times New Roman" w:hAnsi="Times New Roman"/>
          <w:sz w:val="24"/>
          <w:szCs w:val="24"/>
        </w:rPr>
        <w:t>ing</w:t>
      </w:r>
      <w:r w:rsidRPr="00202FE2">
        <w:rPr>
          <w:rFonts w:ascii="Times New Roman" w:eastAsia="Times New Roman" w:hAnsi="Times New Roman"/>
          <w:sz w:val="24"/>
          <w:szCs w:val="24"/>
        </w:rPr>
        <w:t xml:space="preserve"> post-discharge use of opioids or alternative therapies for pain management and their impact on the above listed outcomes.</w:t>
      </w:r>
    </w:p>
    <w:p w14:paraId="5420E796" w14:textId="494EA283" w:rsidR="008D770A" w:rsidRPr="00202FE2" w:rsidRDefault="008D770A" w:rsidP="008D770A">
      <w:pPr>
        <w:pStyle w:val="ListParagraph"/>
        <w:numPr>
          <w:ilvl w:val="0"/>
          <w:numId w:val="2"/>
        </w:numPr>
        <w:rPr>
          <w:rFonts w:ascii="Times New Roman" w:eastAsia="Times New Roman" w:hAnsi="Times New Roman"/>
          <w:sz w:val="24"/>
          <w:szCs w:val="24"/>
        </w:rPr>
      </w:pPr>
      <w:r w:rsidRPr="00202FE2">
        <w:rPr>
          <w:rFonts w:ascii="Times New Roman" w:eastAsia="Times New Roman" w:hAnsi="Times New Roman"/>
          <w:sz w:val="24"/>
          <w:szCs w:val="24"/>
        </w:rPr>
        <w:t>Describ</w:t>
      </w:r>
      <w:r w:rsidR="00152595">
        <w:rPr>
          <w:rFonts w:ascii="Times New Roman" w:eastAsia="Times New Roman" w:hAnsi="Times New Roman"/>
          <w:sz w:val="24"/>
          <w:szCs w:val="24"/>
        </w:rPr>
        <w:t>ing</w:t>
      </w:r>
      <w:r w:rsidRPr="00202FE2">
        <w:rPr>
          <w:rFonts w:ascii="Times New Roman" w:eastAsia="Times New Roman" w:hAnsi="Times New Roman"/>
          <w:sz w:val="24"/>
          <w:szCs w:val="24"/>
        </w:rPr>
        <w:t xml:space="preserve"> post-discharge </w:t>
      </w:r>
      <w:r w:rsidR="00950944">
        <w:rPr>
          <w:rFonts w:ascii="Times New Roman" w:eastAsia="Times New Roman" w:hAnsi="Times New Roman"/>
          <w:sz w:val="24"/>
          <w:szCs w:val="24"/>
        </w:rPr>
        <w:t>adherence</w:t>
      </w:r>
      <w:r w:rsidRPr="00202FE2">
        <w:rPr>
          <w:rFonts w:ascii="Times New Roman" w:eastAsia="Times New Roman" w:hAnsi="Times New Roman"/>
          <w:sz w:val="24"/>
          <w:szCs w:val="24"/>
        </w:rPr>
        <w:t xml:space="preserve"> and follow up by older adults with primary care doctors and/or specialist referrals (e.g. physical therapy, occupational therapy, exercise therapy, op</w:t>
      </w:r>
      <w:r w:rsidR="00DA79A5">
        <w:rPr>
          <w:rFonts w:ascii="Times New Roman" w:eastAsia="Times New Roman" w:hAnsi="Times New Roman"/>
          <w:sz w:val="24"/>
          <w:szCs w:val="24"/>
        </w:rPr>
        <w:t>hthalmology</w:t>
      </w:r>
      <w:r w:rsidRPr="00202FE2">
        <w:rPr>
          <w:rFonts w:ascii="Times New Roman" w:eastAsia="Times New Roman" w:hAnsi="Times New Roman"/>
          <w:sz w:val="24"/>
          <w:szCs w:val="24"/>
        </w:rPr>
        <w:t xml:space="preserve">, </w:t>
      </w:r>
      <w:r w:rsidR="0016434D" w:rsidRPr="00202FE2">
        <w:rPr>
          <w:rFonts w:ascii="Times New Roman" w:eastAsia="Times New Roman" w:hAnsi="Times New Roman"/>
          <w:sz w:val="24"/>
          <w:szCs w:val="24"/>
        </w:rPr>
        <w:t>and podiatry</w:t>
      </w:r>
      <w:r w:rsidRPr="00202FE2">
        <w:rPr>
          <w:rFonts w:ascii="Times New Roman" w:eastAsia="Times New Roman" w:hAnsi="Times New Roman"/>
          <w:sz w:val="24"/>
          <w:szCs w:val="24"/>
        </w:rPr>
        <w:t>) for pain management and fall prevention efforts</w:t>
      </w:r>
      <w:r w:rsidR="000D634A">
        <w:rPr>
          <w:rFonts w:ascii="Times New Roman" w:eastAsia="Times New Roman" w:hAnsi="Times New Roman"/>
          <w:sz w:val="24"/>
          <w:szCs w:val="24"/>
        </w:rPr>
        <w:t xml:space="preserve"> and their impact on the above listed outcomes.</w:t>
      </w:r>
    </w:p>
    <w:p w14:paraId="5A245769" w14:textId="77777777" w:rsidR="006E2132" w:rsidRPr="00E321D2" w:rsidRDefault="008D770A" w:rsidP="006E2132">
      <w:pPr>
        <w:pStyle w:val="ListParagraph"/>
        <w:numPr>
          <w:ilvl w:val="0"/>
          <w:numId w:val="2"/>
        </w:numPr>
        <w:rPr>
          <w:rFonts w:ascii="Times New Roman" w:hAnsi="Times New Roman"/>
          <w:sz w:val="24"/>
        </w:rPr>
      </w:pPr>
      <w:r w:rsidRPr="00202FE2">
        <w:rPr>
          <w:rFonts w:ascii="Times New Roman" w:eastAsia="Times New Roman" w:hAnsi="Times New Roman"/>
          <w:sz w:val="24"/>
          <w:szCs w:val="24"/>
        </w:rPr>
        <w:t>Identify</w:t>
      </w:r>
      <w:r w:rsidR="00152595">
        <w:rPr>
          <w:rFonts w:ascii="Times New Roman" w:eastAsia="Times New Roman" w:hAnsi="Times New Roman"/>
          <w:sz w:val="24"/>
          <w:szCs w:val="24"/>
        </w:rPr>
        <w:t>ing</w:t>
      </w:r>
      <w:r w:rsidRPr="00202FE2">
        <w:rPr>
          <w:rFonts w:ascii="Times New Roman" w:eastAsia="Times New Roman" w:hAnsi="Times New Roman"/>
          <w:sz w:val="24"/>
          <w:szCs w:val="24"/>
        </w:rPr>
        <w:t xml:space="preserve"> </w:t>
      </w:r>
      <w:r w:rsidR="007908BF">
        <w:rPr>
          <w:rFonts w:ascii="Times New Roman" w:eastAsia="Times New Roman" w:hAnsi="Times New Roman"/>
          <w:sz w:val="24"/>
          <w:szCs w:val="24"/>
        </w:rPr>
        <w:t>fidelity</w:t>
      </w:r>
      <w:r w:rsidR="00223530">
        <w:rPr>
          <w:rFonts w:ascii="Times New Roman" w:eastAsia="Times New Roman" w:hAnsi="Times New Roman"/>
          <w:sz w:val="24"/>
          <w:szCs w:val="24"/>
        </w:rPr>
        <w:t xml:space="preserve"> of</w:t>
      </w:r>
      <w:r w:rsidR="007908BF">
        <w:rPr>
          <w:rFonts w:ascii="Times New Roman" w:eastAsia="Times New Roman" w:hAnsi="Times New Roman"/>
          <w:sz w:val="24"/>
          <w:szCs w:val="24"/>
        </w:rPr>
        <w:t xml:space="preserve"> and improvement </w:t>
      </w:r>
      <w:r w:rsidRPr="00202FE2">
        <w:rPr>
          <w:rFonts w:ascii="Times New Roman" w:eastAsia="Times New Roman" w:hAnsi="Times New Roman"/>
          <w:sz w:val="24"/>
          <w:szCs w:val="24"/>
        </w:rPr>
        <w:t xml:space="preserve">opportunities for </w:t>
      </w:r>
      <w:r w:rsidR="0039239B" w:rsidRPr="00202FE2">
        <w:rPr>
          <w:rFonts w:ascii="Times New Roman" w:eastAsia="Times New Roman" w:hAnsi="Times New Roman"/>
          <w:sz w:val="24"/>
          <w:szCs w:val="24"/>
        </w:rPr>
        <w:t xml:space="preserve">the implemented fall prevention </w:t>
      </w:r>
      <w:r w:rsidRPr="00202FE2">
        <w:rPr>
          <w:rFonts w:ascii="Times New Roman" w:eastAsia="Times New Roman" w:hAnsi="Times New Roman"/>
          <w:sz w:val="24"/>
          <w:szCs w:val="24"/>
        </w:rPr>
        <w:t>program</w:t>
      </w:r>
      <w:r w:rsidR="007908BF">
        <w:rPr>
          <w:rFonts w:ascii="Times New Roman" w:eastAsia="Times New Roman" w:hAnsi="Times New Roman"/>
          <w:sz w:val="24"/>
          <w:szCs w:val="24"/>
        </w:rPr>
        <w:t>.</w:t>
      </w:r>
      <w:r w:rsidRPr="00202FE2">
        <w:rPr>
          <w:rFonts w:ascii="Times New Roman" w:eastAsia="Times New Roman" w:hAnsi="Times New Roman"/>
          <w:sz w:val="24"/>
          <w:szCs w:val="24"/>
        </w:rPr>
        <w:t xml:space="preserve"> </w:t>
      </w:r>
    </w:p>
    <w:p w14:paraId="13E7AD74" w14:textId="77777777" w:rsidR="006E2132" w:rsidRDefault="006E2132" w:rsidP="006E2132"/>
    <w:p w14:paraId="69E510F8" w14:textId="77D07A10" w:rsidR="006E2132" w:rsidRPr="006E2132" w:rsidRDefault="006E2132" w:rsidP="00E321D2">
      <w:r w:rsidRPr="006E2132">
        <w:t>The proposed new information collection will complement secondary data collection and analysis using the patients’ electronic health records (EHR).</w:t>
      </w:r>
    </w:p>
    <w:p w14:paraId="4F7497EC" w14:textId="77777777" w:rsidR="008D770A" w:rsidRPr="00202FE2" w:rsidRDefault="008D770A" w:rsidP="008D770A">
      <w:pPr>
        <w:pStyle w:val="Default"/>
        <w:rPr>
          <w:rFonts w:ascii="Times New Roman" w:hAnsi="Times New Roman" w:cs="Times New Roman"/>
        </w:rPr>
      </w:pPr>
    </w:p>
    <w:p w14:paraId="46F510DA" w14:textId="3C02AD05" w:rsidR="008D770A" w:rsidRPr="00202FE2" w:rsidRDefault="008D770A" w:rsidP="008D770A">
      <w:pPr>
        <w:pStyle w:val="NormalWeb"/>
        <w:spacing w:before="0" w:beforeAutospacing="0" w:after="0" w:afterAutospacing="0"/>
      </w:pPr>
      <w:r w:rsidRPr="00202FE2">
        <w:t xml:space="preserve">Authority for CDC’s </w:t>
      </w:r>
      <w:r w:rsidR="00950944">
        <w:t>National Center for Injury Prevention and Control (</w:t>
      </w:r>
      <w:r w:rsidRPr="00202FE2">
        <w:t>NCIPC</w:t>
      </w:r>
      <w:r w:rsidR="00950944">
        <w:t>)</w:t>
      </w:r>
      <w:r w:rsidRPr="00202FE2">
        <w:t xml:space="preserve"> to collect these data is granted by Section 301 of the Public Health Service Act (42 U.S.C. 241). This act gives federal health agencies, such as CDC, broad authority to collect data and </w:t>
      </w:r>
      <w:r w:rsidR="00950944">
        <w:t>participate in</w:t>
      </w:r>
      <w:r w:rsidR="00950944" w:rsidRPr="00202FE2">
        <w:t xml:space="preserve"> </w:t>
      </w:r>
      <w:r w:rsidRPr="00202FE2">
        <w:t xml:space="preserve">other public health activities, including this type of study (Attachment A). </w:t>
      </w:r>
    </w:p>
    <w:p w14:paraId="4294460D" w14:textId="77777777" w:rsidR="008D770A" w:rsidRPr="00202FE2" w:rsidRDefault="008D770A" w:rsidP="008D770A">
      <w:pPr>
        <w:pStyle w:val="NormalWeb"/>
        <w:spacing w:before="0" w:beforeAutospacing="0" w:after="0" w:afterAutospacing="0"/>
      </w:pPr>
    </w:p>
    <w:p w14:paraId="4F8912B2" w14:textId="5A7D6B94" w:rsidR="00E12BBC" w:rsidRPr="00877AF1" w:rsidRDefault="008051D6" w:rsidP="000155E9">
      <w:pPr>
        <w:pStyle w:val="Default"/>
        <w:rPr>
          <w:rFonts w:ascii="Times New Roman" w:hAnsi="Times New Roman"/>
          <w:color w:val="auto"/>
          <w:lang w:val="en"/>
        </w:rPr>
      </w:pPr>
      <w:r w:rsidRPr="00877AF1">
        <w:rPr>
          <w:rFonts w:ascii="Times New Roman" w:hAnsi="Times New Roman"/>
          <w:color w:val="auto"/>
          <w:lang w:val="en"/>
        </w:rPr>
        <w:t xml:space="preserve">Over 1 in 4 older adults report a fall </w:t>
      </w:r>
      <w:r w:rsidR="00CC649D" w:rsidRPr="00877AF1">
        <w:rPr>
          <w:rFonts w:ascii="Times New Roman" w:hAnsi="Times New Roman"/>
          <w:color w:val="auto"/>
          <w:lang w:val="en"/>
        </w:rPr>
        <w:t>and 1 in 10 report a fall injury each year</w:t>
      </w:r>
      <w:r w:rsidR="00FB087B" w:rsidRPr="00877AF1">
        <w:rPr>
          <w:rFonts w:ascii="Times New Roman" w:hAnsi="Times New Roman" w:cs="Times New Roman"/>
          <w:color w:val="auto"/>
          <w:lang w:val="en"/>
        </w:rPr>
        <w:t xml:space="preserve"> (</w:t>
      </w:r>
      <w:r w:rsidRPr="00877AF1">
        <w:rPr>
          <w:rFonts w:ascii="Times New Roman" w:hAnsi="Times New Roman" w:cs="Times New Roman"/>
          <w:color w:val="auto"/>
          <w:lang w:val="en"/>
        </w:rPr>
        <w:t xml:space="preserve">Bergen et al., </w:t>
      </w:r>
      <w:r w:rsidR="00FB087B" w:rsidRPr="00877AF1">
        <w:rPr>
          <w:rFonts w:ascii="Times New Roman" w:hAnsi="Times New Roman" w:cs="Times New Roman"/>
          <w:color w:val="auto"/>
          <w:lang w:val="en"/>
        </w:rPr>
        <w:t>2016)</w:t>
      </w:r>
      <w:r w:rsidRPr="00877AF1">
        <w:rPr>
          <w:rFonts w:ascii="Times New Roman" w:hAnsi="Times New Roman" w:cs="Times New Roman"/>
          <w:color w:val="auto"/>
          <w:lang w:val="en"/>
        </w:rPr>
        <w:t>.</w:t>
      </w:r>
      <w:r w:rsidRPr="00877AF1">
        <w:rPr>
          <w:rFonts w:ascii="Times New Roman" w:hAnsi="Times New Roman"/>
          <w:color w:val="auto"/>
          <w:lang w:val="en"/>
        </w:rPr>
        <w:t xml:space="preserve"> </w:t>
      </w:r>
      <w:r w:rsidR="003835A3" w:rsidRPr="00877AF1">
        <w:rPr>
          <w:rFonts w:ascii="Times New Roman" w:hAnsi="Times New Roman"/>
          <w:color w:val="auto"/>
          <w:lang w:val="en"/>
        </w:rPr>
        <w:t xml:space="preserve">Falls </w:t>
      </w:r>
      <w:r w:rsidR="00CC649D" w:rsidRPr="00877AF1">
        <w:rPr>
          <w:rFonts w:ascii="Times New Roman" w:hAnsi="Times New Roman"/>
          <w:color w:val="auto"/>
          <w:lang w:val="en"/>
        </w:rPr>
        <w:t>result in serious injuries. They are</w:t>
      </w:r>
      <w:r w:rsidR="00BC44E9" w:rsidRPr="00877AF1">
        <w:rPr>
          <w:rFonts w:ascii="Times New Roman" w:hAnsi="Times New Roman"/>
          <w:color w:val="auto"/>
          <w:lang w:val="en"/>
        </w:rPr>
        <w:t xml:space="preserve"> the</w:t>
      </w:r>
      <w:r w:rsidR="003835A3" w:rsidRPr="00877AF1">
        <w:rPr>
          <w:rFonts w:ascii="Times New Roman" w:hAnsi="Times New Roman"/>
          <w:color w:val="auto"/>
          <w:lang w:val="en"/>
        </w:rPr>
        <w:t xml:space="preserve"> leading cause of traumatic brain injuries</w:t>
      </w:r>
      <w:r w:rsidR="006845D0" w:rsidRPr="00877AF1">
        <w:rPr>
          <w:rFonts w:ascii="Times New Roman" w:hAnsi="Times New Roman"/>
          <w:color w:val="auto"/>
          <w:lang w:val="en"/>
        </w:rPr>
        <w:t xml:space="preserve"> in older adults (</w:t>
      </w:r>
      <w:r w:rsidR="00460E6F" w:rsidRPr="00877AF1">
        <w:rPr>
          <w:rFonts w:ascii="Times New Roman" w:hAnsi="Times New Roman"/>
          <w:color w:val="auto"/>
          <w:lang w:val="en"/>
        </w:rPr>
        <w:t>Tayler et al., 2017</w:t>
      </w:r>
      <w:r w:rsidR="00CC649D" w:rsidRPr="00877AF1">
        <w:rPr>
          <w:rFonts w:ascii="Times New Roman" w:hAnsi="Times New Roman"/>
          <w:color w:val="auto"/>
          <w:lang w:val="en"/>
        </w:rPr>
        <w:t xml:space="preserve">) and </w:t>
      </w:r>
      <w:r w:rsidR="006845D0" w:rsidRPr="00877AF1">
        <w:rPr>
          <w:rFonts w:ascii="Times New Roman" w:hAnsi="Times New Roman"/>
          <w:color w:val="auto"/>
          <w:lang w:val="en"/>
        </w:rPr>
        <w:t>95% of hip fractures in older adults are due to falls (</w:t>
      </w:r>
      <w:r w:rsidR="00460E6F" w:rsidRPr="00877AF1">
        <w:rPr>
          <w:rFonts w:ascii="Times New Roman" w:hAnsi="Times New Roman"/>
          <w:color w:val="auto"/>
          <w:lang w:val="en"/>
        </w:rPr>
        <w:t>Parkkari et al., 1999</w:t>
      </w:r>
      <w:r w:rsidR="006845D0" w:rsidRPr="00877AF1">
        <w:rPr>
          <w:rFonts w:ascii="Times New Roman" w:hAnsi="Times New Roman"/>
          <w:color w:val="auto"/>
          <w:lang w:val="en"/>
        </w:rPr>
        <w:t xml:space="preserve">). </w:t>
      </w:r>
      <w:r w:rsidR="00CC649D" w:rsidRPr="00877AF1">
        <w:rPr>
          <w:rFonts w:ascii="Times New Roman" w:hAnsi="Times New Roman"/>
          <w:color w:val="auto"/>
          <w:lang w:val="en"/>
        </w:rPr>
        <w:t>Additionally, falls are the leading cause of injury related death in older adults</w:t>
      </w:r>
      <w:r w:rsidR="00CC649D" w:rsidRPr="00877AF1">
        <w:rPr>
          <w:rFonts w:ascii="Times New Roman" w:hAnsi="Times New Roman" w:cs="Times New Roman"/>
          <w:color w:val="auto"/>
          <w:lang w:val="en"/>
        </w:rPr>
        <w:t xml:space="preserve"> (WISQARS, 2016).</w:t>
      </w:r>
      <w:r w:rsidR="00CC649D" w:rsidRPr="00877AF1">
        <w:rPr>
          <w:rFonts w:ascii="Times New Roman" w:hAnsi="Times New Roman"/>
          <w:color w:val="auto"/>
          <w:lang w:val="en"/>
        </w:rPr>
        <w:t xml:space="preserve">  </w:t>
      </w:r>
      <w:r w:rsidR="00502872" w:rsidRPr="00877AF1">
        <w:rPr>
          <w:rFonts w:ascii="Times New Roman" w:hAnsi="Times New Roman"/>
          <w:color w:val="auto"/>
          <w:lang w:val="en"/>
        </w:rPr>
        <w:t xml:space="preserve">Older adult falls are due to multiple and varied risk factors </w:t>
      </w:r>
      <w:r w:rsidR="004F2EE4" w:rsidRPr="00877AF1">
        <w:rPr>
          <w:rFonts w:ascii="Times New Roman" w:hAnsi="Times New Roman"/>
          <w:color w:val="auto"/>
          <w:lang w:val="en"/>
        </w:rPr>
        <w:t>includ</w:t>
      </w:r>
      <w:r w:rsidR="00BC44E9" w:rsidRPr="00877AF1">
        <w:rPr>
          <w:rFonts w:ascii="Times New Roman" w:hAnsi="Times New Roman"/>
          <w:color w:val="auto"/>
          <w:lang w:val="en"/>
        </w:rPr>
        <w:t xml:space="preserve">ing decreased muscle strength, </w:t>
      </w:r>
      <w:r w:rsidR="004F2EE4" w:rsidRPr="00877AF1">
        <w:rPr>
          <w:rFonts w:ascii="Times New Roman" w:hAnsi="Times New Roman"/>
          <w:color w:val="auto"/>
          <w:lang w:val="en"/>
        </w:rPr>
        <w:t>impaired balance</w:t>
      </w:r>
      <w:r w:rsidR="00BC44E9" w:rsidRPr="00877AF1">
        <w:rPr>
          <w:rFonts w:ascii="Times New Roman" w:hAnsi="Times New Roman"/>
          <w:color w:val="auto"/>
          <w:lang w:val="en"/>
        </w:rPr>
        <w:t xml:space="preserve">, changes in </w:t>
      </w:r>
      <w:r w:rsidR="004F2EE4" w:rsidRPr="00877AF1">
        <w:rPr>
          <w:rFonts w:ascii="Times New Roman" w:hAnsi="Times New Roman"/>
          <w:color w:val="auto"/>
          <w:lang w:val="en"/>
        </w:rPr>
        <w:t>vision</w:t>
      </w:r>
      <w:r w:rsidR="00BC44E9" w:rsidRPr="00877AF1">
        <w:rPr>
          <w:rFonts w:ascii="Times New Roman" w:hAnsi="Times New Roman"/>
          <w:color w:val="auto"/>
          <w:lang w:val="en"/>
        </w:rPr>
        <w:t xml:space="preserve"> and hearing,</w:t>
      </w:r>
      <w:r w:rsidR="00621575" w:rsidRPr="00877AF1">
        <w:rPr>
          <w:rFonts w:ascii="Times New Roman" w:hAnsi="Times New Roman"/>
          <w:color w:val="auto"/>
          <w:lang w:val="en"/>
        </w:rPr>
        <w:t xml:space="preserve"> foot problems, unsafe</w:t>
      </w:r>
      <w:r w:rsidR="004F2EE4" w:rsidRPr="00877AF1">
        <w:rPr>
          <w:rFonts w:ascii="Times New Roman" w:hAnsi="Times New Roman"/>
          <w:color w:val="auto"/>
          <w:lang w:val="en"/>
        </w:rPr>
        <w:t xml:space="preserve"> home environment</w:t>
      </w:r>
      <w:r w:rsidR="00BC44E9" w:rsidRPr="00877AF1">
        <w:rPr>
          <w:rFonts w:ascii="Times New Roman" w:hAnsi="Times New Roman"/>
          <w:color w:val="auto"/>
          <w:lang w:val="en"/>
        </w:rPr>
        <w:t>,</w:t>
      </w:r>
      <w:r w:rsidR="00621575" w:rsidRPr="00877AF1">
        <w:rPr>
          <w:rFonts w:ascii="Times New Roman" w:hAnsi="Times New Roman"/>
          <w:color w:val="auto"/>
          <w:lang w:val="en"/>
        </w:rPr>
        <w:t xml:space="preserve"> certain</w:t>
      </w:r>
      <w:r w:rsidR="004F2EE4" w:rsidRPr="00877AF1">
        <w:rPr>
          <w:rFonts w:ascii="Times New Roman" w:hAnsi="Times New Roman"/>
          <w:color w:val="auto"/>
          <w:lang w:val="en"/>
        </w:rPr>
        <w:t xml:space="preserve"> chronic diseases</w:t>
      </w:r>
      <w:r w:rsidR="00BC44E9" w:rsidRPr="00877AF1">
        <w:rPr>
          <w:rFonts w:ascii="Times New Roman" w:hAnsi="Times New Roman"/>
          <w:color w:val="auto"/>
          <w:lang w:val="en"/>
        </w:rPr>
        <w:t>,</w:t>
      </w:r>
      <w:r w:rsidR="004F2EE4" w:rsidRPr="00877AF1">
        <w:rPr>
          <w:rFonts w:ascii="Times New Roman" w:hAnsi="Times New Roman"/>
          <w:color w:val="auto"/>
          <w:lang w:val="en"/>
        </w:rPr>
        <w:t xml:space="preserve"> and medication</w:t>
      </w:r>
      <w:r w:rsidR="0051629F" w:rsidRPr="00877AF1">
        <w:rPr>
          <w:rFonts w:ascii="Times New Roman" w:hAnsi="Times New Roman"/>
          <w:color w:val="auto"/>
          <w:lang w:val="en"/>
        </w:rPr>
        <w:t xml:space="preserve"> adverse effects</w:t>
      </w:r>
      <w:r w:rsidR="004F2EE4" w:rsidRPr="00877AF1">
        <w:rPr>
          <w:rFonts w:ascii="Times New Roman" w:hAnsi="Times New Roman"/>
          <w:color w:val="auto"/>
          <w:lang w:val="en"/>
        </w:rPr>
        <w:t xml:space="preserve"> (Ambrose, 2013).</w:t>
      </w:r>
      <w:r w:rsidR="00016F6F" w:rsidRPr="00877AF1">
        <w:rPr>
          <w:rFonts w:ascii="Times New Roman" w:hAnsi="Times New Roman"/>
          <w:color w:val="auto"/>
          <w:lang w:val="en"/>
        </w:rPr>
        <w:t xml:space="preserve"> </w:t>
      </w:r>
      <w:r w:rsidR="004F2EE4" w:rsidRPr="00877AF1">
        <w:rPr>
          <w:rFonts w:ascii="Times New Roman" w:hAnsi="Times New Roman"/>
          <w:color w:val="auto"/>
          <w:lang w:val="en"/>
        </w:rPr>
        <w:t>E</w:t>
      </w:r>
      <w:r w:rsidR="00016F6F" w:rsidRPr="00877AF1">
        <w:rPr>
          <w:rFonts w:ascii="Times New Roman" w:hAnsi="Times New Roman"/>
          <w:color w:val="auto"/>
          <w:lang w:val="en"/>
        </w:rPr>
        <w:t xml:space="preserve">vidence-based interventions </w:t>
      </w:r>
      <w:r w:rsidR="00BC44E9" w:rsidRPr="00877AF1">
        <w:rPr>
          <w:rFonts w:ascii="Times New Roman" w:hAnsi="Times New Roman"/>
          <w:color w:val="auto"/>
          <w:lang w:val="en"/>
        </w:rPr>
        <w:t>targeting modifiable risk factors can lower the risk of falls in older adult</w:t>
      </w:r>
      <w:r w:rsidR="00016F6F" w:rsidRPr="00877AF1">
        <w:rPr>
          <w:rFonts w:ascii="Times New Roman" w:hAnsi="Times New Roman"/>
          <w:color w:val="auto"/>
          <w:lang w:val="en"/>
        </w:rPr>
        <w:t xml:space="preserve"> (Gillespie, 2012).  </w:t>
      </w:r>
    </w:p>
    <w:p w14:paraId="02458100" w14:textId="77777777" w:rsidR="00CC649D" w:rsidRPr="00877AF1" w:rsidRDefault="00CC649D" w:rsidP="000155E9">
      <w:pPr>
        <w:pStyle w:val="Default"/>
        <w:rPr>
          <w:rFonts w:ascii="Times New Roman" w:hAnsi="Times New Roman"/>
          <w:color w:val="auto"/>
          <w:lang w:val="en"/>
        </w:rPr>
      </w:pPr>
    </w:p>
    <w:p w14:paraId="2A42442A" w14:textId="5418B8FC" w:rsidR="006845D0" w:rsidRPr="00877AF1" w:rsidRDefault="006845D0" w:rsidP="000155E9">
      <w:pPr>
        <w:pStyle w:val="Default"/>
        <w:rPr>
          <w:rFonts w:ascii="Times New Roman" w:hAnsi="Times New Roman"/>
          <w:color w:val="auto"/>
          <w:lang w:val="en"/>
        </w:rPr>
      </w:pPr>
      <w:r w:rsidRPr="00877AF1">
        <w:rPr>
          <w:rFonts w:ascii="Times New Roman" w:hAnsi="Times New Roman"/>
          <w:color w:val="auto"/>
          <w:lang w:val="en"/>
        </w:rPr>
        <w:t>Certain types of medications</w:t>
      </w:r>
      <w:r w:rsidR="00CC649D" w:rsidRPr="00877AF1">
        <w:rPr>
          <w:rFonts w:ascii="Times New Roman" w:hAnsi="Times New Roman"/>
          <w:color w:val="auto"/>
          <w:lang w:val="en"/>
        </w:rPr>
        <w:t>,</w:t>
      </w:r>
      <w:r w:rsidRPr="00877AF1">
        <w:rPr>
          <w:rFonts w:ascii="Times New Roman" w:hAnsi="Times New Roman"/>
          <w:color w:val="auto"/>
          <w:lang w:val="en"/>
        </w:rPr>
        <w:t xml:space="preserve"> </w:t>
      </w:r>
      <w:r w:rsidR="00CC649D" w:rsidRPr="00877AF1">
        <w:rPr>
          <w:rFonts w:ascii="Times New Roman" w:hAnsi="Times New Roman"/>
          <w:color w:val="auto"/>
          <w:lang w:val="en"/>
        </w:rPr>
        <w:t xml:space="preserve">known as psychoactive medications, </w:t>
      </w:r>
      <w:r w:rsidRPr="00877AF1">
        <w:rPr>
          <w:rFonts w:ascii="Times New Roman" w:hAnsi="Times New Roman"/>
          <w:color w:val="auto"/>
          <w:lang w:val="en"/>
        </w:rPr>
        <w:t xml:space="preserve">have been associated with an increased </w:t>
      </w:r>
      <w:r w:rsidR="00621575" w:rsidRPr="00877AF1">
        <w:rPr>
          <w:rFonts w:ascii="Times New Roman" w:hAnsi="Times New Roman"/>
          <w:color w:val="auto"/>
          <w:lang w:val="en"/>
        </w:rPr>
        <w:t>fall risk</w:t>
      </w:r>
      <w:r w:rsidR="00CC649D" w:rsidRPr="00877AF1">
        <w:rPr>
          <w:rFonts w:ascii="Times New Roman" w:hAnsi="Times New Roman"/>
          <w:color w:val="auto"/>
          <w:lang w:val="en"/>
        </w:rPr>
        <w:t xml:space="preserve"> in older adults</w:t>
      </w:r>
      <w:r w:rsidRPr="00877AF1">
        <w:rPr>
          <w:rFonts w:ascii="Times New Roman" w:hAnsi="Times New Roman" w:cs="Times New Roman"/>
          <w:color w:val="auto"/>
          <w:lang w:val="en"/>
        </w:rPr>
        <w:t xml:space="preserve"> (American Geriatric Society Beers Criteria, 2015).</w:t>
      </w:r>
      <w:r w:rsidR="008051D6" w:rsidRPr="00877AF1">
        <w:rPr>
          <w:rFonts w:ascii="Times New Roman" w:hAnsi="Times New Roman"/>
          <w:color w:val="auto"/>
          <w:lang w:val="en"/>
        </w:rPr>
        <w:t xml:space="preserve"> </w:t>
      </w:r>
      <w:r w:rsidR="00CC649D" w:rsidRPr="00877AF1">
        <w:rPr>
          <w:rFonts w:ascii="Times New Roman" w:hAnsi="Times New Roman"/>
          <w:color w:val="auto"/>
          <w:lang w:val="en"/>
        </w:rPr>
        <w:t>Psychoactive m</w:t>
      </w:r>
      <w:r w:rsidR="008051D6" w:rsidRPr="00877AF1">
        <w:rPr>
          <w:rFonts w:ascii="Times New Roman" w:hAnsi="Times New Roman"/>
          <w:color w:val="auto"/>
          <w:lang w:val="en"/>
        </w:rPr>
        <w:t>edications</w:t>
      </w:r>
      <w:r w:rsidR="00E06311" w:rsidRPr="00877AF1">
        <w:rPr>
          <w:rFonts w:ascii="Times New Roman" w:hAnsi="Times New Roman"/>
          <w:color w:val="auto"/>
          <w:lang w:val="en"/>
        </w:rPr>
        <w:t xml:space="preserve">, including opioids and </w:t>
      </w:r>
      <w:r w:rsidR="004D5D7A" w:rsidRPr="00877AF1">
        <w:rPr>
          <w:rFonts w:ascii="Times New Roman" w:hAnsi="Times New Roman"/>
          <w:color w:val="auto"/>
          <w:lang w:val="en"/>
        </w:rPr>
        <w:t>benzodiazepines</w:t>
      </w:r>
      <w:r w:rsidR="00E06311" w:rsidRPr="00877AF1">
        <w:rPr>
          <w:rFonts w:ascii="Times New Roman" w:hAnsi="Times New Roman"/>
          <w:color w:val="auto"/>
          <w:lang w:val="en"/>
        </w:rPr>
        <w:t>,</w:t>
      </w:r>
      <w:r w:rsidR="00CC649D" w:rsidRPr="00877AF1">
        <w:rPr>
          <w:rFonts w:ascii="Times New Roman" w:hAnsi="Times New Roman"/>
          <w:color w:val="auto"/>
          <w:lang w:val="en"/>
        </w:rPr>
        <w:t xml:space="preserve"> </w:t>
      </w:r>
      <w:r w:rsidR="008051D6" w:rsidRPr="00877AF1">
        <w:rPr>
          <w:rFonts w:ascii="Times New Roman" w:hAnsi="Times New Roman"/>
          <w:color w:val="auto"/>
          <w:lang w:val="en"/>
        </w:rPr>
        <w:t>affect the central nervous system</w:t>
      </w:r>
      <w:r w:rsidR="00CC649D" w:rsidRPr="00877AF1">
        <w:rPr>
          <w:rFonts w:ascii="Times New Roman" w:hAnsi="Times New Roman"/>
          <w:color w:val="auto"/>
          <w:lang w:val="en"/>
        </w:rPr>
        <w:t xml:space="preserve"> and</w:t>
      </w:r>
      <w:r w:rsidR="008051D6" w:rsidRPr="00877AF1">
        <w:rPr>
          <w:rFonts w:ascii="Times New Roman" w:hAnsi="Times New Roman"/>
          <w:color w:val="auto"/>
          <w:lang w:val="en"/>
        </w:rPr>
        <w:t xml:space="preserve"> can cause side effects such as dizziness, sedation, confusion, blurred visio</w:t>
      </w:r>
      <w:r w:rsidR="00EA4EF1" w:rsidRPr="00877AF1">
        <w:rPr>
          <w:rFonts w:ascii="Times New Roman" w:hAnsi="Times New Roman"/>
          <w:color w:val="auto"/>
          <w:lang w:val="en"/>
        </w:rPr>
        <w:t xml:space="preserve">n, and orthostatic hypotension </w:t>
      </w:r>
      <w:r w:rsidR="003939B6" w:rsidRPr="00877AF1">
        <w:rPr>
          <w:rFonts w:ascii="Times New Roman" w:hAnsi="Times New Roman" w:cs="Times New Roman"/>
          <w:color w:val="auto"/>
          <w:lang w:val="en"/>
        </w:rPr>
        <w:t>(Gerlach et al., 2017)</w:t>
      </w:r>
      <w:r w:rsidR="008051D6" w:rsidRPr="00877AF1">
        <w:rPr>
          <w:rFonts w:ascii="Times New Roman" w:hAnsi="Times New Roman" w:cs="Times New Roman"/>
          <w:color w:val="auto"/>
          <w:lang w:val="en"/>
        </w:rPr>
        <w:t>.</w:t>
      </w:r>
      <w:r w:rsidR="008051D6" w:rsidRPr="00877AF1">
        <w:rPr>
          <w:rFonts w:ascii="Times New Roman" w:hAnsi="Times New Roman"/>
          <w:color w:val="auto"/>
          <w:lang w:val="en"/>
        </w:rPr>
        <w:t xml:space="preserve">  </w:t>
      </w:r>
      <w:r w:rsidR="004D5D7A" w:rsidRPr="00877AF1">
        <w:rPr>
          <w:rFonts w:ascii="Times New Roman" w:hAnsi="Times New Roman"/>
          <w:color w:val="auto"/>
          <w:lang w:val="en"/>
        </w:rPr>
        <w:t xml:space="preserve">When taken together, psychoactive medications </w:t>
      </w:r>
      <w:r w:rsidR="008051D6" w:rsidRPr="00877AF1">
        <w:rPr>
          <w:rFonts w:ascii="Times New Roman" w:hAnsi="Times New Roman"/>
          <w:color w:val="auto"/>
          <w:lang w:val="en"/>
        </w:rPr>
        <w:t xml:space="preserve">can </w:t>
      </w:r>
      <w:r w:rsidR="004D5D7A" w:rsidRPr="00877AF1">
        <w:rPr>
          <w:rFonts w:ascii="Times New Roman" w:hAnsi="Times New Roman"/>
          <w:color w:val="auto"/>
          <w:lang w:val="en"/>
        </w:rPr>
        <w:t>have</w:t>
      </w:r>
      <w:r w:rsidR="008051D6" w:rsidRPr="00877AF1">
        <w:rPr>
          <w:rFonts w:ascii="Times New Roman" w:hAnsi="Times New Roman"/>
          <w:color w:val="auto"/>
          <w:lang w:val="en"/>
        </w:rPr>
        <w:t xml:space="preserve"> a synergistic effect on cognition and physical function, potentially leading to </w:t>
      </w:r>
      <w:r w:rsidR="00621575" w:rsidRPr="00877AF1">
        <w:rPr>
          <w:rFonts w:ascii="Times New Roman" w:hAnsi="Times New Roman"/>
          <w:color w:val="auto"/>
          <w:lang w:val="en"/>
        </w:rPr>
        <w:t xml:space="preserve">a </w:t>
      </w:r>
      <w:r w:rsidR="008051D6" w:rsidRPr="00877AF1">
        <w:rPr>
          <w:rFonts w:ascii="Times New Roman" w:hAnsi="Times New Roman"/>
          <w:color w:val="auto"/>
          <w:lang w:val="en"/>
        </w:rPr>
        <w:t>more pronounced injury or unintentional overdose</w:t>
      </w:r>
      <w:r w:rsidR="00FB087B" w:rsidRPr="00877AF1">
        <w:rPr>
          <w:rFonts w:ascii="Times New Roman" w:hAnsi="Times New Roman" w:cs="Times New Roman"/>
          <w:color w:val="auto"/>
          <w:lang w:val="en"/>
        </w:rPr>
        <w:t xml:space="preserve"> (W</w:t>
      </w:r>
      <w:r w:rsidR="00EA4EF1" w:rsidRPr="00877AF1">
        <w:rPr>
          <w:rFonts w:ascii="Times New Roman" w:hAnsi="Times New Roman" w:cs="Times New Roman"/>
          <w:color w:val="auto"/>
          <w:lang w:val="en"/>
        </w:rPr>
        <w:t>r</w:t>
      </w:r>
      <w:r w:rsidR="00FB087B" w:rsidRPr="00877AF1">
        <w:rPr>
          <w:rFonts w:ascii="Times New Roman" w:hAnsi="Times New Roman" w:cs="Times New Roman"/>
          <w:color w:val="auto"/>
          <w:lang w:val="en"/>
        </w:rPr>
        <w:t>ight et al., 2009; Pratt et al., 2014)</w:t>
      </w:r>
      <w:r w:rsidR="008051D6" w:rsidRPr="00877AF1">
        <w:rPr>
          <w:rFonts w:ascii="Times New Roman" w:hAnsi="Times New Roman" w:cs="Times New Roman"/>
          <w:color w:val="auto"/>
          <w:lang w:val="en"/>
        </w:rPr>
        <w:t>.</w:t>
      </w:r>
      <w:r w:rsidR="008051D6" w:rsidRPr="00877AF1">
        <w:rPr>
          <w:rFonts w:ascii="Times New Roman" w:hAnsi="Times New Roman"/>
          <w:color w:val="auto"/>
          <w:lang w:val="en"/>
        </w:rPr>
        <w:t xml:space="preserve"> </w:t>
      </w:r>
    </w:p>
    <w:p w14:paraId="64725221" w14:textId="10C5B11B" w:rsidR="006E4989" w:rsidRPr="00877AF1" w:rsidRDefault="006E4989" w:rsidP="000155E9">
      <w:pPr>
        <w:pStyle w:val="Default"/>
        <w:rPr>
          <w:rFonts w:ascii="Times New Roman" w:hAnsi="Times New Roman"/>
          <w:color w:val="auto"/>
          <w:lang w:val="en"/>
        </w:rPr>
      </w:pPr>
    </w:p>
    <w:p w14:paraId="537D7589" w14:textId="0E91B0D4" w:rsidR="00303AC7" w:rsidRPr="00877AF1" w:rsidRDefault="006E4989" w:rsidP="00303AC7">
      <w:pPr>
        <w:pStyle w:val="Default"/>
        <w:rPr>
          <w:rFonts w:ascii="Times New Roman" w:hAnsi="Times New Roman"/>
          <w:color w:val="auto"/>
          <w:lang w:val="en"/>
        </w:rPr>
      </w:pPr>
      <w:r w:rsidRPr="00877AF1">
        <w:rPr>
          <w:rFonts w:ascii="Times New Roman" w:hAnsi="Times New Roman"/>
          <w:color w:val="auto"/>
          <w:lang w:val="en"/>
        </w:rPr>
        <w:t xml:space="preserve">Opioid prescribing in </w:t>
      </w:r>
      <w:r w:rsidR="0032704F" w:rsidRPr="00877AF1">
        <w:rPr>
          <w:rFonts w:ascii="Times New Roman" w:hAnsi="Times New Roman"/>
          <w:color w:val="auto"/>
          <w:lang w:val="en"/>
        </w:rPr>
        <w:t xml:space="preserve">emergency department settings, </w:t>
      </w:r>
      <w:r w:rsidRPr="00877AF1">
        <w:rPr>
          <w:rFonts w:ascii="Times New Roman" w:hAnsi="Times New Roman"/>
          <w:color w:val="auto"/>
          <w:lang w:val="en"/>
        </w:rPr>
        <w:t>inpatient settings</w:t>
      </w:r>
      <w:r w:rsidR="0032704F" w:rsidRPr="00877AF1">
        <w:rPr>
          <w:rFonts w:ascii="Times New Roman" w:hAnsi="Times New Roman"/>
          <w:color w:val="auto"/>
          <w:lang w:val="en"/>
        </w:rPr>
        <w:t>,</w:t>
      </w:r>
      <w:r w:rsidRPr="00877AF1">
        <w:rPr>
          <w:rFonts w:ascii="Times New Roman" w:hAnsi="Times New Roman"/>
          <w:color w:val="auto"/>
          <w:lang w:val="en"/>
        </w:rPr>
        <w:t xml:space="preserve"> and at hospital discharge setting is very common and </w:t>
      </w:r>
      <w:r w:rsidR="0032704F" w:rsidRPr="00877AF1">
        <w:rPr>
          <w:rFonts w:ascii="Times New Roman" w:hAnsi="Times New Roman"/>
          <w:color w:val="auto"/>
          <w:lang w:val="en"/>
        </w:rPr>
        <w:t xml:space="preserve">may increase future chronic opioid use (Calcaterra et al., 2016; Barnett et al., 2017). </w:t>
      </w:r>
      <w:r w:rsidR="00303AC7" w:rsidRPr="00877AF1">
        <w:rPr>
          <w:rFonts w:ascii="Times New Roman" w:hAnsi="Times New Roman"/>
          <w:color w:val="auto"/>
          <w:lang w:val="en"/>
        </w:rPr>
        <w:t xml:space="preserve">Studies have shown </w:t>
      </w:r>
      <w:r w:rsidR="00806C15" w:rsidRPr="00877AF1">
        <w:rPr>
          <w:rFonts w:ascii="Times New Roman" w:hAnsi="Times New Roman"/>
          <w:color w:val="auto"/>
          <w:lang w:val="en"/>
        </w:rPr>
        <w:t xml:space="preserve">that </w:t>
      </w:r>
      <w:r w:rsidR="00303AC7" w:rsidRPr="00877AF1">
        <w:rPr>
          <w:rFonts w:ascii="Times New Roman" w:hAnsi="Times New Roman"/>
          <w:color w:val="auto"/>
          <w:lang w:val="en"/>
        </w:rPr>
        <w:t>opi</w:t>
      </w:r>
      <w:r w:rsidR="00806C15" w:rsidRPr="00877AF1">
        <w:rPr>
          <w:rFonts w:ascii="Times New Roman" w:hAnsi="Times New Roman"/>
          <w:color w:val="auto"/>
          <w:lang w:val="en"/>
        </w:rPr>
        <w:t xml:space="preserve">oid treatments </w:t>
      </w:r>
      <w:r w:rsidR="00693F0A" w:rsidRPr="00877AF1">
        <w:rPr>
          <w:rFonts w:ascii="Times New Roman" w:hAnsi="Times New Roman"/>
          <w:color w:val="auto"/>
          <w:lang w:val="en"/>
        </w:rPr>
        <w:t xml:space="preserve">in older adults </w:t>
      </w:r>
      <w:r w:rsidR="00806C15" w:rsidRPr="00877AF1">
        <w:rPr>
          <w:rFonts w:ascii="Times New Roman" w:hAnsi="Times New Roman"/>
          <w:color w:val="auto"/>
          <w:lang w:val="en"/>
        </w:rPr>
        <w:t>are associated with significantly increased risk of falls, injurious falls, and fractures (Karin et al., 2013 and Rolita et al., 2013). Additionally, chronic use of opioids at doses higher than 50 morphine milligram equivalents are associated with a twofold increased risk of fractures in older adults (Saunders et al., 2010).</w:t>
      </w:r>
      <w:r w:rsidR="00303AC7" w:rsidRPr="00877AF1">
        <w:rPr>
          <w:rFonts w:ascii="Times New Roman" w:hAnsi="Times New Roman"/>
          <w:color w:val="auto"/>
          <w:lang w:val="en"/>
        </w:rPr>
        <w:t xml:space="preserve"> Between 2007 and 2012, the percent of Medicare Part D beneficiaries receiving a 90 day or more supply opioid prescription increased by approximately 60% in older adults (Kuo, 2015). Additionally, between 2010 and 2015, opioid-related hospital stays increased by 34% and opioid-related emergency department visits increased by 74% among older adults (Weiss, 2018). </w:t>
      </w:r>
      <w:r w:rsidR="00693F0A" w:rsidRPr="00877AF1">
        <w:rPr>
          <w:rFonts w:ascii="Times New Roman" w:hAnsi="Times New Roman"/>
          <w:color w:val="auto"/>
          <w:lang w:val="en"/>
        </w:rPr>
        <w:t>Older</w:t>
      </w:r>
      <w:r w:rsidR="00806C15" w:rsidRPr="00877AF1">
        <w:rPr>
          <w:rFonts w:ascii="Times New Roman" w:hAnsi="Times New Roman"/>
          <w:color w:val="auto"/>
          <w:lang w:val="en"/>
        </w:rPr>
        <w:t xml:space="preserve"> adults are more prone to medication adverse events due to physiological changes that occur with aging</w:t>
      </w:r>
      <w:r w:rsidR="00693F0A" w:rsidRPr="00877AF1">
        <w:rPr>
          <w:rFonts w:ascii="Times New Roman" w:hAnsi="Times New Roman"/>
          <w:color w:val="auto"/>
          <w:lang w:val="en"/>
        </w:rPr>
        <w:t xml:space="preserve"> (Klotz, 1981; Albala et al., 1994; Boss et al., 1981; Rowe et al., 1976; and Tan et al., 2015). Therefore, targeting opioid prescribing in older adults at the inpatient or hospital discharge setting may reduce</w:t>
      </w:r>
      <w:r w:rsidR="00303AC7" w:rsidRPr="00877AF1">
        <w:rPr>
          <w:rFonts w:ascii="Times New Roman" w:hAnsi="Times New Roman"/>
          <w:color w:val="auto"/>
          <w:lang w:val="en"/>
        </w:rPr>
        <w:t xml:space="preserve"> medication adverse events</w:t>
      </w:r>
      <w:r w:rsidR="00693F0A" w:rsidRPr="00877AF1">
        <w:rPr>
          <w:rFonts w:ascii="Times New Roman" w:hAnsi="Times New Roman"/>
          <w:color w:val="auto"/>
          <w:lang w:val="en"/>
        </w:rPr>
        <w:t xml:space="preserve"> -</w:t>
      </w:r>
      <w:r w:rsidR="00303AC7" w:rsidRPr="00877AF1">
        <w:rPr>
          <w:rFonts w:ascii="Times New Roman" w:hAnsi="Times New Roman"/>
          <w:color w:val="auto"/>
          <w:lang w:val="en"/>
        </w:rPr>
        <w:t xml:space="preserve"> specifically falls and unintentional injuries in older adults</w:t>
      </w:r>
      <w:r w:rsidR="00693F0A" w:rsidRPr="00877AF1">
        <w:rPr>
          <w:rFonts w:ascii="Times New Roman" w:hAnsi="Times New Roman"/>
          <w:color w:val="auto"/>
          <w:lang w:val="en"/>
        </w:rPr>
        <w:t xml:space="preserve"> – post hospitalization</w:t>
      </w:r>
      <w:r w:rsidR="00303AC7" w:rsidRPr="00877AF1">
        <w:rPr>
          <w:rFonts w:ascii="Times New Roman" w:hAnsi="Times New Roman"/>
          <w:color w:val="auto"/>
          <w:lang w:val="en"/>
        </w:rPr>
        <w:t xml:space="preserve">. </w:t>
      </w:r>
    </w:p>
    <w:p w14:paraId="0B28089E" w14:textId="660BBB5D" w:rsidR="006E4989" w:rsidRPr="00877AF1" w:rsidRDefault="006E4989" w:rsidP="000155E9">
      <w:pPr>
        <w:pStyle w:val="Default"/>
        <w:rPr>
          <w:rFonts w:ascii="Times New Roman" w:hAnsi="Times New Roman"/>
          <w:color w:val="auto"/>
          <w:lang w:val="en"/>
        </w:rPr>
      </w:pPr>
    </w:p>
    <w:p w14:paraId="00B44539" w14:textId="7A794059" w:rsidR="00BC12C8" w:rsidRDefault="008051D6" w:rsidP="00231E70">
      <w:pPr>
        <w:pStyle w:val="Default"/>
        <w:rPr>
          <w:rFonts w:ascii="Times New Roman" w:hAnsi="Times New Roman"/>
          <w:lang w:val="en"/>
        </w:rPr>
      </w:pPr>
      <w:r w:rsidRPr="000155E9">
        <w:rPr>
          <w:rFonts w:ascii="Times New Roman" w:hAnsi="Times New Roman"/>
          <w:lang w:val="en"/>
        </w:rPr>
        <w:t xml:space="preserve">A key intervention in </w:t>
      </w:r>
      <w:r w:rsidR="00FB087B" w:rsidRPr="00202FE2">
        <w:rPr>
          <w:rFonts w:ascii="Times New Roman" w:hAnsi="Times New Roman" w:cs="Times New Roman"/>
          <w:lang w:val="en"/>
        </w:rPr>
        <w:t xml:space="preserve">the </w:t>
      </w:r>
      <w:r w:rsidR="00E45161">
        <w:rPr>
          <w:rFonts w:ascii="Times New Roman" w:hAnsi="Times New Roman" w:cs="Times New Roman"/>
          <w:lang w:val="en"/>
        </w:rPr>
        <w:t>CDC’s</w:t>
      </w:r>
      <w:r w:rsidRPr="000155E9">
        <w:rPr>
          <w:rFonts w:ascii="Times New Roman" w:hAnsi="Times New Roman"/>
          <w:lang w:val="en"/>
        </w:rPr>
        <w:t xml:space="preserve"> </w:t>
      </w:r>
      <w:r w:rsidR="00E45161">
        <w:rPr>
          <w:rFonts w:ascii="Times New Roman" w:hAnsi="Times New Roman"/>
          <w:lang w:val="en"/>
        </w:rPr>
        <w:t xml:space="preserve">fall prevention program </w:t>
      </w:r>
      <w:r w:rsidR="00E45161" w:rsidRPr="000155E9">
        <w:rPr>
          <w:rFonts w:ascii="Times New Roman" w:hAnsi="Times New Roman"/>
          <w:lang w:val="en"/>
        </w:rPr>
        <w:t xml:space="preserve">is medication management to reduce fall </w:t>
      </w:r>
      <w:r w:rsidR="00E45161" w:rsidRPr="00202FE2">
        <w:rPr>
          <w:rFonts w:ascii="Times New Roman" w:hAnsi="Times New Roman" w:cs="Times New Roman"/>
          <w:lang w:val="en"/>
        </w:rPr>
        <w:t>risk</w:t>
      </w:r>
      <w:r w:rsidR="00E45161">
        <w:rPr>
          <w:rFonts w:ascii="Times New Roman" w:hAnsi="Times New Roman" w:cs="Times New Roman"/>
          <w:lang w:val="en"/>
        </w:rPr>
        <w:t xml:space="preserve"> in older adults</w:t>
      </w:r>
      <w:r w:rsidR="00E45161">
        <w:rPr>
          <w:rFonts w:ascii="Times New Roman" w:hAnsi="Times New Roman"/>
          <w:lang w:val="en"/>
        </w:rPr>
        <w:t xml:space="preserve">. </w:t>
      </w:r>
      <w:r w:rsidRPr="000155E9">
        <w:rPr>
          <w:rFonts w:ascii="Times New Roman" w:hAnsi="Times New Roman"/>
        </w:rPr>
        <w:t xml:space="preserve">Medication review and management, especially upon care transitions, can reduce inappropriate opioid use, the risk of </w:t>
      </w:r>
      <w:r w:rsidR="00E45161">
        <w:rPr>
          <w:rFonts w:ascii="Times New Roman" w:hAnsi="Times New Roman"/>
        </w:rPr>
        <w:t xml:space="preserve">falls and </w:t>
      </w:r>
      <w:r w:rsidRPr="000155E9">
        <w:rPr>
          <w:rFonts w:ascii="Times New Roman" w:hAnsi="Times New Roman"/>
        </w:rPr>
        <w:t>injury, and improve patient health</w:t>
      </w:r>
      <w:r w:rsidR="00FB087B" w:rsidRPr="00202FE2">
        <w:rPr>
          <w:rFonts w:ascii="Times New Roman" w:hAnsi="Times New Roman" w:cs="Times New Roman"/>
        </w:rPr>
        <w:t xml:space="preserve"> (AGS/BGS, 2001)</w:t>
      </w:r>
      <w:r w:rsidRPr="00202FE2">
        <w:rPr>
          <w:rFonts w:ascii="Times New Roman" w:hAnsi="Times New Roman" w:cs="Times New Roman"/>
        </w:rPr>
        <w:t>.</w:t>
      </w:r>
      <w:r w:rsidRPr="000155E9">
        <w:rPr>
          <w:rFonts w:ascii="Times New Roman" w:hAnsi="Times New Roman"/>
        </w:rPr>
        <w:t xml:space="preserve"> </w:t>
      </w:r>
      <w:r w:rsidR="00877AF1">
        <w:rPr>
          <w:rFonts w:ascii="Times New Roman" w:hAnsi="Times New Roman"/>
        </w:rPr>
        <w:t xml:space="preserve">Certain intervention </w:t>
      </w:r>
      <w:r w:rsidRPr="000155E9">
        <w:rPr>
          <w:rFonts w:ascii="Times New Roman" w:hAnsi="Times New Roman"/>
          <w:lang w:val="en"/>
        </w:rPr>
        <w:t xml:space="preserve">such as </w:t>
      </w:r>
      <w:r w:rsidR="002D2F38">
        <w:rPr>
          <w:rFonts w:ascii="Times New Roman" w:hAnsi="Times New Roman"/>
          <w:lang w:val="en"/>
        </w:rPr>
        <w:t>physical or occupational therapy</w:t>
      </w:r>
      <w:r w:rsidR="00877AF1">
        <w:rPr>
          <w:rFonts w:ascii="Times New Roman" w:hAnsi="Times New Roman"/>
          <w:lang w:val="en"/>
        </w:rPr>
        <w:t xml:space="preserve">, </w:t>
      </w:r>
      <w:r w:rsidRPr="000155E9">
        <w:rPr>
          <w:rFonts w:ascii="Times New Roman" w:hAnsi="Times New Roman"/>
          <w:lang w:val="en"/>
        </w:rPr>
        <w:t xml:space="preserve">serve a dual role of preventing falls, as well as serving as a non-opioid treatment for pain.  </w:t>
      </w:r>
    </w:p>
    <w:p w14:paraId="3A353BD5" w14:textId="2FD21875" w:rsidR="00BC12C8" w:rsidRDefault="00BC12C8" w:rsidP="00231E70">
      <w:pPr>
        <w:pStyle w:val="Default"/>
        <w:rPr>
          <w:rFonts w:ascii="Times New Roman" w:hAnsi="Times New Roman"/>
          <w:lang w:val="en"/>
        </w:rPr>
      </w:pPr>
    </w:p>
    <w:p w14:paraId="6D88D1D5" w14:textId="0D608876" w:rsidR="005B6778" w:rsidRDefault="00501DA0" w:rsidP="002C436D">
      <w:r>
        <w:t>For this</w:t>
      </w:r>
      <w:r w:rsidR="00E70FC5">
        <w:t xml:space="preserve"> current</w:t>
      </w:r>
      <w:r>
        <w:t xml:space="preserve"> project, o</w:t>
      </w:r>
      <w:r w:rsidR="002C436D">
        <w:t xml:space="preserve">pioid </w:t>
      </w:r>
      <w:r w:rsidR="00EB2C4D">
        <w:t xml:space="preserve">prescribing protocols and decision support tools to reduce opioid prescribing were </w:t>
      </w:r>
      <w:r w:rsidR="002C436D">
        <w:t xml:space="preserve">incorporated into the inpatient care process and workflow using the Electronic Health Record (EHR). Older adults on high opioid doses or those on a combination opioid benzodiazepine </w:t>
      </w:r>
      <w:r>
        <w:t xml:space="preserve">will be </w:t>
      </w:r>
      <w:r w:rsidR="002C436D">
        <w:t xml:space="preserve">identified through the EHR </w:t>
      </w:r>
      <w:r w:rsidR="005B6778">
        <w:t>as high risk for adverse events and falls.</w:t>
      </w:r>
      <w:r w:rsidR="005B6778" w:rsidRPr="005B6778">
        <w:rPr>
          <w:b/>
        </w:rPr>
        <w:t xml:space="preserve"> </w:t>
      </w:r>
      <w:r w:rsidR="005B6778" w:rsidRPr="002C436D">
        <w:rPr>
          <w:b/>
        </w:rPr>
        <w:t xml:space="preserve">Figure </w:t>
      </w:r>
      <w:r w:rsidR="00A54268">
        <w:rPr>
          <w:b/>
        </w:rPr>
        <w:t>A.</w:t>
      </w:r>
      <w:r w:rsidR="00213828">
        <w:rPr>
          <w:b/>
        </w:rPr>
        <w:t>2</w:t>
      </w:r>
      <w:r w:rsidR="005B6778">
        <w:t xml:space="preserve"> shows </w:t>
      </w:r>
      <w:r w:rsidR="00877AF1">
        <w:t>the intervention components specific to the opioid management</w:t>
      </w:r>
      <w:r w:rsidR="00213828">
        <w:t xml:space="preserve"> and</w:t>
      </w:r>
      <w:r w:rsidR="00877AF1">
        <w:t xml:space="preserve"> </w:t>
      </w:r>
      <w:r w:rsidR="005B6778">
        <w:t xml:space="preserve">how these components will be implemented into the workflow. An oral morphine equivalent (OME) calculator was developed to determine if the older adult patient meets the threshold for opioid management. The OME calculator </w:t>
      </w:r>
      <w:r w:rsidR="00CB3F79">
        <w:t>determines</w:t>
      </w:r>
      <w:r>
        <w:t xml:space="preserve"> the</w:t>
      </w:r>
      <w:r w:rsidR="00CB3F79">
        <w:t xml:space="preserve"> total daily dose of all opioids and doses the patient takes over 24 hours. </w:t>
      </w:r>
      <w:r w:rsidR="005B6778">
        <w:t xml:space="preserve"> Higher </w:t>
      </w:r>
      <w:r w:rsidR="00CB3F79">
        <w:t xml:space="preserve">OME </w:t>
      </w:r>
      <w:r w:rsidR="005B6778">
        <w:t>doses are associated with higher risks of adverse drug events including overdose and orthostatic hypotension that may further increase risk of falls and injuries. The new recommendations around morphine milligram equivalents is to avoid total daily doses equal to or greater than 90 MME/day</w:t>
      </w:r>
      <w:r w:rsidR="00451980">
        <w:t xml:space="preserve"> and to monitor patients closely with tapering considerations for doses equal to or greater than 50MME/day</w:t>
      </w:r>
      <w:r w:rsidR="005B6778">
        <w:t xml:space="preserve">. </w:t>
      </w:r>
      <w:r w:rsidR="00CB3F79">
        <w:t xml:space="preserve">For our purposes, patients on doses equal to or higher than 50 were included in this study (intervention and data collection). </w:t>
      </w:r>
    </w:p>
    <w:p w14:paraId="2A011E04" w14:textId="3DE88D64" w:rsidR="002C436D" w:rsidRDefault="002C436D" w:rsidP="00231E70">
      <w:pPr>
        <w:pStyle w:val="Default"/>
        <w:rPr>
          <w:rFonts w:ascii="Times New Roman" w:hAnsi="Times New Roman"/>
          <w:lang w:val="en"/>
        </w:rPr>
      </w:pPr>
    </w:p>
    <w:p w14:paraId="3FFA60B3" w14:textId="61634057" w:rsidR="00D32D06" w:rsidRDefault="008051D6" w:rsidP="00D32D06">
      <w:r w:rsidRPr="001A2016">
        <w:rPr>
          <w:lang w:val="en"/>
        </w:rPr>
        <w:t>The intent of this data collection</w:t>
      </w:r>
      <w:r w:rsidR="00E45161" w:rsidRPr="001A2016">
        <w:rPr>
          <w:lang w:val="en"/>
        </w:rPr>
        <w:t xml:space="preserve"> </w:t>
      </w:r>
      <w:r w:rsidR="00451980" w:rsidRPr="001A2016">
        <w:rPr>
          <w:lang w:val="en"/>
        </w:rPr>
        <w:t>is</w:t>
      </w:r>
      <w:r w:rsidR="00E23173" w:rsidRPr="001A2016">
        <w:rPr>
          <w:lang w:val="en"/>
        </w:rPr>
        <w:t xml:space="preserve"> to </w:t>
      </w:r>
      <w:r w:rsidR="00A73A35">
        <w:rPr>
          <w:lang w:val="en"/>
        </w:rPr>
        <w:t xml:space="preserve">perform </w:t>
      </w:r>
      <w:r w:rsidR="001714F6">
        <w:rPr>
          <w:lang w:val="en"/>
        </w:rPr>
        <w:t>a</w:t>
      </w:r>
      <w:r w:rsidR="00E23173" w:rsidRPr="001A2016">
        <w:rPr>
          <w:lang w:val="en"/>
        </w:rPr>
        <w:t xml:space="preserve"> </w:t>
      </w:r>
      <w:r w:rsidR="00E321D2">
        <w:rPr>
          <w:lang w:val="en"/>
        </w:rPr>
        <w:t>formative evaluation</w:t>
      </w:r>
      <w:r w:rsidR="00D32D06" w:rsidRPr="001A2016">
        <w:rPr>
          <w:lang w:val="en"/>
        </w:rPr>
        <w:t xml:space="preserve"> to inform CDC of</w:t>
      </w:r>
      <w:r w:rsidR="00D32D06" w:rsidRPr="001A2016">
        <w:t xml:space="preserve"> best practices for implementation of </w:t>
      </w:r>
      <w:r w:rsidR="00850465">
        <w:t xml:space="preserve">a </w:t>
      </w:r>
      <w:r w:rsidR="00D32D06" w:rsidRPr="001A2016">
        <w:t>fall prevention program into the hospital discharge process targeting opioid prescribing and management. The data collection from this questionnaire will i</w:t>
      </w:r>
      <w:r w:rsidR="00E23173" w:rsidRPr="001A2016">
        <w:t>nform whether provider practices</w:t>
      </w:r>
      <w:r w:rsidR="00D32D06" w:rsidRPr="001A2016">
        <w:t xml:space="preserve"> </w:t>
      </w:r>
      <w:r w:rsidR="00E23173" w:rsidRPr="001A2016">
        <w:t>change</w:t>
      </w:r>
      <w:r w:rsidR="00D32D06" w:rsidRPr="001A2016">
        <w:t xml:space="preserve"> in response to education and </w:t>
      </w:r>
      <w:r w:rsidR="00E23173" w:rsidRPr="001A2016">
        <w:t xml:space="preserve">availability of prescribing protocols and </w:t>
      </w:r>
      <w:r w:rsidR="00D32D06" w:rsidRPr="001A2016">
        <w:t xml:space="preserve">decision support tools </w:t>
      </w:r>
      <w:r w:rsidR="00E23173" w:rsidRPr="001A2016">
        <w:t>to reduce opioid prescribing to older adults</w:t>
      </w:r>
      <w:r w:rsidR="009B3F33" w:rsidRPr="001A2016">
        <w:t xml:space="preserve"> and reduce fall risk</w:t>
      </w:r>
      <w:r w:rsidR="00213828" w:rsidRPr="001A2016">
        <w:t xml:space="preserve"> after discharge</w:t>
      </w:r>
      <w:r w:rsidR="009B3F33" w:rsidRPr="001A2016">
        <w:t xml:space="preserve">. </w:t>
      </w:r>
    </w:p>
    <w:p w14:paraId="05B7982B" w14:textId="77777777" w:rsidR="00213828" w:rsidRPr="00440180" w:rsidRDefault="00213828" w:rsidP="00D32D06"/>
    <w:p w14:paraId="47AF6D44" w14:textId="7BFFE354" w:rsidR="008D770A" w:rsidRPr="00EB2C4D" w:rsidRDefault="008D770A" w:rsidP="00E23173">
      <w:pPr>
        <w:pStyle w:val="Default"/>
        <w:rPr>
          <w:rFonts w:ascii="Times New Roman" w:hAnsi="Times New Roman" w:cs="Times New Roman"/>
        </w:rPr>
      </w:pPr>
      <w:r w:rsidRPr="00EB2C4D">
        <w:rPr>
          <w:rFonts w:ascii="Times New Roman" w:hAnsi="Times New Roman" w:cs="Times New Roman"/>
        </w:rPr>
        <w:t xml:space="preserve">This information collection is unique as there are no other funded efforts to design, implement and evaluate CDC’s fall prevention initiative in a hospital discharge setting with the goal of preventing post-discharge opioid adverse effects </w:t>
      </w:r>
      <w:r w:rsidR="00E0441E" w:rsidRPr="00EB2C4D">
        <w:rPr>
          <w:rFonts w:ascii="Times New Roman" w:hAnsi="Times New Roman" w:cs="Times New Roman"/>
        </w:rPr>
        <w:t>and readmission for</w:t>
      </w:r>
      <w:r w:rsidRPr="00EB2C4D">
        <w:rPr>
          <w:rFonts w:ascii="Times New Roman" w:hAnsi="Times New Roman" w:cs="Times New Roman"/>
        </w:rPr>
        <w:t xml:space="preserve"> falls. </w:t>
      </w:r>
    </w:p>
    <w:p w14:paraId="2FFF9203" w14:textId="77777777" w:rsidR="008D770A" w:rsidRPr="00440180" w:rsidRDefault="008D770A" w:rsidP="008D770A"/>
    <w:p w14:paraId="7A913B6D" w14:textId="77777777" w:rsidR="008D770A" w:rsidRPr="00202FE2" w:rsidRDefault="008D770A" w:rsidP="008D770A">
      <w:pPr>
        <w:rPr>
          <w:b/>
        </w:rPr>
      </w:pPr>
      <w:r w:rsidRPr="00202FE2">
        <w:rPr>
          <w:b/>
        </w:rPr>
        <w:t>A.2.</w:t>
      </w:r>
      <w:r w:rsidRPr="00202FE2">
        <w:rPr>
          <w:b/>
        </w:rPr>
        <w:tab/>
        <w:t>Purpose and Use of Information Collection</w:t>
      </w:r>
    </w:p>
    <w:p w14:paraId="30A1C999" w14:textId="77777777" w:rsidR="008D770A" w:rsidRPr="00202FE2" w:rsidRDefault="008D770A" w:rsidP="008D770A"/>
    <w:p w14:paraId="0FF8E401" w14:textId="1F1AFB83" w:rsidR="005505A9" w:rsidRPr="00783B88" w:rsidRDefault="00213828" w:rsidP="00213828">
      <w:r w:rsidRPr="001A2016">
        <w:rPr>
          <w:lang w:val="en"/>
        </w:rPr>
        <w:t xml:space="preserve">The goal of the data collection is to do </w:t>
      </w:r>
      <w:r w:rsidR="00E5217D">
        <w:rPr>
          <w:lang w:val="en"/>
        </w:rPr>
        <w:t xml:space="preserve">a </w:t>
      </w:r>
      <w:r w:rsidR="00E321D2">
        <w:rPr>
          <w:lang w:val="en"/>
        </w:rPr>
        <w:t>formative evaluation</w:t>
      </w:r>
      <w:r w:rsidRPr="001A2016">
        <w:rPr>
          <w:lang w:val="en"/>
        </w:rPr>
        <w:t xml:space="preserve"> to inform CDC of</w:t>
      </w:r>
      <w:r w:rsidRPr="001A2016">
        <w:t xml:space="preserve"> best practices for </w:t>
      </w:r>
      <w:r w:rsidR="00E5217D">
        <w:t xml:space="preserve">the </w:t>
      </w:r>
      <w:r w:rsidRPr="001A2016">
        <w:t xml:space="preserve">implementation </w:t>
      </w:r>
      <w:r w:rsidRPr="00783B88">
        <w:t xml:space="preserve">of </w:t>
      </w:r>
      <w:r w:rsidR="00E5217D">
        <w:t xml:space="preserve">adding a </w:t>
      </w:r>
      <w:r w:rsidRPr="00783B88">
        <w:t xml:space="preserve">fall prevention program into the hospital discharge process targeting opioid prescribing and management. </w:t>
      </w:r>
    </w:p>
    <w:p w14:paraId="5A4FC045" w14:textId="77777777" w:rsidR="005505A9" w:rsidRPr="00A64981" w:rsidRDefault="005505A9" w:rsidP="005505A9">
      <w:pPr>
        <w:spacing w:after="200" w:line="276" w:lineRule="auto"/>
        <w:contextualSpacing/>
      </w:pPr>
      <w:r w:rsidRPr="00A64981">
        <w:t xml:space="preserve">The information collection will consist of four questionnaires: (1) </w:t>
      </w:r>
      <w:r w:rsidRPr="00A64981">
        <w:rPr>
          <w:i/>
        </w:rPr>
        <w:t xml:space="preserve">Pre-Discharge Patient Questionnaire, (2) Post-Discharge Patient Questionnaire, (3) UCSF Clinical Staff Evaluation Questionnaire, </w:t>
      </w:r>
      <w:r w:rsidRPr="00A64981">
        <w:t>and</w:t>
      </w:r>
      <w:r w:rsidRPr="00A64981">
        <w:rPr>
          <w:i/>
        </w:rPr>
        <w:t xml:space="preserve"> (4) Primary Care Provider (PCP) Post-Discharge Questionnaire</w:t>
      </w:r>
      <w:r w:rsidRPr="00A64981">
        <w:t xml:space="preserve">. </w:t>
      </w:r>
    </w:p>
    <w:p w14:paraId="409002F7" w14:textId="77777777" w:rsidR="005505A9" w:rsidRPr="00A64981" w:rsidRDefault="005505A9" w:rsidP="005505A9">
      <w:pPr>
        <w:spacing w:after="200" w:line="276" w:lineRule="auto"/>
        <w:contextualSpacing/>
        <w:rPr>
          <w:iCs/>
        </w:rPr>
      </w:pPr>
    </w:p>
    <w:p w14:paraId="6FCE86C8" w14:textId="77777777" w:rsidR="005505A9" w:rsidRPr="00A64981" w:rsidRDefault="005505A9" w:rsidP="005505A9">
      <w:pPr>
        <w:spacing w:after="200" w:line="276" w:lineRule="auto"/>
        <w:contextualSpacing/>
      </w:pPr>
      <w:r w:rsidRPr="00A64981">
        <w:rPr>
          <w:iCs/>
        </w:rPr>
        <w:t xml:space="preserve">The study population for the </w:t>
      </w:r>
      <w:r w:rsidRPr="00A64981">
        <w:rPr>
          <w:i/>
        </w:rPr>
        <w:t>Pre-Discharge and Post-Discharge Patient Questionnaires</w:t>
      </w:r>
      <w:r w:rsidRPr="00A64981">
        <w:rPr>
          <w:iCs/>
        </w:rPr>
        <w:t xml:space="preserve"> will be older adults (age 65 years and over). Inclusion criteria includes being English speaking, not cognitively impaired, currently hospitalized at UCSF with plan to be discharged. Older adults will be excluded if they are on hospice, currently in ICU, reside in a prison or correctional facility, or are seen for same day admission or observation only. Older adults qualify for the intervention and data collection if they are c</w:t>
      </w:r>
      <w:r w:rsidRPr="00A64981">
        <w:t xml:space="preserve">onsidered high risk for falls due to high dose opioid use defined as patients admitted and started on new long-acting opioid, patients on high oral morphine equivalent regimens, or those on combination opioids and benzodiazepines. </w:t>
      </w:r>
    </w:p>
    <w:p w14:paraId="6115AAAE" w14:textId="77777777" w:rsidR="005505A9" w:rsidRPr="00A64981" w:rsidRDefault="005505A9" w:rsidP="005505A9">
      <w:pPr>
        <w:spacing w:after="200" w:line="276" w:lineRule="auto"/>
        <w:contextualSpacing/>
      </w:pPr>
    </w:p>
    <w:p w14:paraId="1741B127" w14:textId="77777777" w:rsidR="005505A9" w:rsidRPr="00A64981" w:rsidRDefault="005505A9" w:rsidP="005505A9">
      <w:pPr>
        <w:spacing w:after="200" w:line="276" w:lineRule="auto"/>
        <w:contextualSpacing/>
      </w:pPr>
      <w:r w:rsidRPr="00A64981">
        <w:t xml:space="preserve">The study population for the </w:t>
      </w:r>
      <w:r w:rsidRPr="00A64981">
        <w:rPr>
          <w:i/>
        </w:rPr>
        <w:t xml:space="preserve">UCSF Clinical Staff Evaluation Questionnaire </w:t>
      </w:r>
      <w:r w:rsidRPr="00A64981">
        <w:t xml:space="preserve">will include UCSF Medical Center clinical staff (i.e., nurses, pharmacists, physicians) involved in patient pain management and post-discharge planning who work in hospital units where the opioid management program has been implemented. </w:t>
      </w:r>
    </w:p>
    <w:p w14:paraId="4E35D3C6" w14:textId="77777777" w:rsidR="005505A9" w:rsidRPr="00A64981" w:rsidRDefault="005505A9" w:rsidP="005505A9">
      <w:pPr>
        <w:spacing w:after="200" w:line="276" w:lineRule="auto"/>
        <w:contextualSpacing/>
      </w:pPr>
    </w:p>
    <w:p w14:paraId="020A2C06" w14:textId="77777777" w:rsidR="005505A9" w:rsidRDefault="005505A9" w:rsidP="005505A9">
      <w:pPr>
        <w:spacing w:after="200" w:line="276" w:lineRule="auto"/>
        <w:contextualSpacing/>
      </w:pPr>
      <w:r w:rsidRPr="00A64981">
        <w:t xml:space="preserve">The study population for the </w:t>
      </w:r>
      <w:r w:rsidRPr="00A64981">
        <w:rPr>
          <w:i/>
        </w:rPr>
        <w:t>Primary Care Provider Post-Discharge Questionnaire</w:t>
      </w:r>
      <w:r w:rsidRPr="00A64981">
        <w:t xml:space="preserve"> will be outpatient </w:t>
      </w:r>
      <w:r w:rsidRPr="00A64981">
        <w:rPr>
          <w:color w:val="000000" w:themeColor="text1"/>
        </w:rPr>
        <w:t>Primary Care Providers (PCPs) associated with the UCSF Medical Center who provide outpatient care for</w:t>
      </w:r>
      <w:r w:rsidRPr="00A64981">
        <w:t xml:space="preserve"> older-adult study patients discharged from UCSF each month.</w:t>
      </w:r>
    </w:p>
    <w:p w14:paraId="16B5669F" w14:textId="77777777" w:rsidR="005505A9" w:rsidRDefault="005505A9" w:rsidP="00213828"/>
    <w:p w14:paraId="7B3F1E53" w14:textId="143AD5C4" w:rsidR="006C7121" w:rsidRPr="00213828" w:rsidRDefault="00213828" w:rsidP="00213828">
      <w:r w:rsidRPr="001A2016">
        <w:t xml:space="preserve">The data collection from the patient questionnaires will inform whether patient education about pain management alternatives and controlled opioid prescribing during inpatient stay reduce risk of falls in older </w:t>
      </w:r>
      <w:r w:rsidR="005505A9" w:rsidRPr="001A2016">
        <w:t>adults’</w:t>
      </w:r>
      <w:r w:rsidRPr="001A2016">
        <w:t xml:space="preserve"> post discharge. The provider questionnaires will inform whether provider practices change in response to education and availability of prescribing protocols and decision support tools to reduce opioid prescribing to older adults and provide non-opioid options for pain management to reduce fall risk</w:t>
      </w:r>
      <w:r w:rsidR="005505A9">
        <w:t>.</w:t>
      </w:r>
      <w:r w:rsidR="00F531E3" w:rsidRPr="001A2016">
        <w:t xml:space="preserve"> </w:t>
      </w:r>
      <w:r w:rsidR="006C7121" w:rsidRPr="001A2016">
        <w:t xml:space="preserve">CDC will use the information collected to help inform best practices to implement opioid prescribing protocols at post-discharge setting </w:t>
      </w:r>
      <w:r w:rsidR="002D2F38">
        <w:t xml:space="preserve">to reduce falls in older adults. Possible components of the opioid prescribing protocols and decision support tools will be adapted and modified to include in the </w:t>
      </w:r>
      <w:r w:rsidR="00E97F5E">
        <w:t xml:space="preserve">CDC fall prevention </w:t>
      </w:r>
      <w:r w:rsidR="002D2F38">
        <w:t xml:space="preserve">initiative tools and resources. </w:t>
      </w:r>
    </w:p>
    <w:p w14:paraId="77E9672E" w14:textId="77777777" w:rsidR="006C7121" w:rsidRDefault="006C7121" w:rsidP="006C7121">
      <w:pPr>
        <w:pStyle w:val="Default"/>
        <w:rPr>
          <w:rFonts w:ascii="Times New Roman" w:hAnsi="Times New Roman"/>
        </w:rPr>
      </w:pPr>
    </w:p>
    <w:p w14:paraId="4F9F6991" w14:textId="77777777" w:rsidR="001A2016" w:rsidRPr="00792EDD" w:rsidRDefault="001A2016" w:rsidP="001A2016">
      <w:pPr>
        <w:rPr>
          <w:i/>
        </w:rPr>
      </w:pPr>
      <w:r w:rsidRPr="00792EDD">
        <w:rPr>
          <w:i/>
        </w:rPr>
        <w:t>Conceptual Framework for Analysis</w:t>
      </w:r>
    </w:p>
    <w:p w14:paraId="245C8E5E" w14:textId="77777777" w:rsidR="001A2016" w:rsidRDefault="001A2016" w:rsidP="001A2016">
      <w:pPr>
        <w:rPr>
          <w:rFonts w:cstheme="minorHAnsi"/>
        </w:rPr>
      </w:pPr>
      <w:r>
        <w:rPr>
          <w:rFonts w:cstheme="minorHAnsi"/>
        </w:rPr>
        <w:t>For the patient questionnaires our impact analysis plan and patient-focused data collection tools recognize the complex relationships between pre-hospital (or baseline) patient factors, factors that take place in the hospital, and post-hospital clinical events and factors, as influences on patients’ clinical outcomes as measured at 14, 30, and 60 days post discharge. Post-hospital outcomes of interest in this study include falls, fall-related healthcare encounters, access to community support programs, and various measures related to pain and opioid use. We provide selected examples of references supporting this well-established conceptual model below.</w:t>
      </w:r>
    </w:p>
    <w:p w14:paraId="0DCE7D4D" w14:textId="77777777" w:rsidR="001A2016" w:rsidRDefault="001A2016" w:rsidP="001A2016">
      <w:pPr>
        <w:rPr>
          <w:rFonts w:cstheme="minorHAnsi"/>
        </w:rPr>
      </w:pPr>
    </w:p>
    <w:p w14:paraId="129B8236" w14:textId="3015FD91" w:rsidR="002D2F38" w:rsidRDefault="001A2016" w:rsidP="002D2F38">
      <w:pPr>
        <w:rPr>
          <w:rFonts w:cstheme="minorHAnsi"/>
        </w:rPr>
      </w:pPr>
      <w:r>
        <w:rPr>
          <w:rFonts w:cstheme="minorHAnsi"/>
        </w:rPr>
        <w:t xml:space="preserve">A large and well-developed literature has firmly established the complex relationships between these factors (Pines et al., 2011; Covinski et al., 2003; Mamikonian-Zarpas et al., 2015). We will approach this by treating some issues (such as baseline functional status) as </w:t>
      </w:r>
      <w:r w:rsidRPr="00C84359">
        <w:rPr>
          <w:rFonts w:cstheme="minorHAnsi"/>
          <w:i/>
          <w:u w:val="single"/>
        </w:rPr>
        <w:t>adjusters</w:t>
      </w:r>
      <w:r>
        <w:rPr>
          <w:rFonts w:cstheme="minorHAnsi"/>
        </w:rPr>
        <w:t xml:space="preserve"> in logistic models, and others (that take place after the active exposure to our intervention) as mediators, thereby permitting us the ability to carry out mediation analyses (</w:t>
      </w:r>
      <w:r w:rsidRPr="00C02B98">
        <w:rPr>
          <w:noProof/>
        </w:rPr>
        <w:t>Orive</w:t>
      </w:r>
      <w:r>
        <w:rPr>
          <w:noProof/>
        </w:rPr>
        <w:t xml:space="preserve"> et al., 2015; Goldman et al., 2018</w:t>
      </w:r>
      <w:r>
        <w:rPr>
          <w:rFonts w:cstheme="minorHAnsi"/>
        </w:rPr>
        <w:t xml:space="preserve">).  These relationships and the connectedness of our longitudinal approach are well suited to the mediation analytic approach. </w:t>
      </w:r>
    </w:p>
    <w:p w14:paraId="56AD69BC" w14:textId="77777777" w:rsidR="002D2F38" w:rsidRDefault="002D2F38" w:rsidP="002D2F38">
      <w:pPr>
        <w:rPr>
          <w:rFonts w:cstheme="minorHAnsi"/>
        </w:rPr>
      </w:pPr>
    </w:p>
    <w:p w14:paraId="09DB9A51" w14:textId="77777777" w:rsidR="005505A9" w:rsidRDefault="001A2016" w:rsidP="002D2F38">
      <w:pPr>
        <w:rPr>
          <w:rFonts w:cstheme="minorHAnsi"/>
        </w:rPr>
      </w:pPr>
      <w:r w:rsidRPr="002D2F38">
        <w:rPr>
          <w:rFonts w:cstheme="minorHAnsi"/>
        </w:rPr>
        <w:t>For example, a patients’ likelihood of falls, may be partially predicted by their pre-hospital activities of daily living (ADL) and instrumental activities of daily living (IADL) dependencies</w:t>
      </w:r>
      <w:r w:rsidR="004D5E4B">
        <w:rPr>
          <w:rFonts w:cstheme="minorHAnsi"/>
        </w:rPr>
        <w:t xml:space="preserve"> (Clough-Gorr et al.,2008; Tinetti et al., 1998)</w:t>
      </w:r>
      <w:r w:rsidRPr="002D2F38">
        <w:rPr>
          <w:rFonts w:cstheme="minorHAnsi"/>
        </w:rPr>
        <w:t>. This is powerfully modified by whether they have a post-hospital complication (such as a urinary tract infection); a patient’s functional status, fall risk, or pain at 30 days is also influenced by these same factors as measured at 14 days.  A patient’s pre-hospital level of depression (as measured by PHQ-9) may be associated with ongoing opioid use</w:t>
      </w:r>
      <w:r w:rsidR="0027147F">
        <w:rPr>
          <w:rFonts w:cstheme="minorHAnsi"/>
        </w:rPr>
        <w:t xml:space="preserve"> </w:t>
      </w:r>
      <w:r w:rsidRPr="002D2F38">
        <w:rPr>
          <w:rFonts w:cstheme="minorHAnsi"/>
        </w:rPr>
        <w:t>but influenced further by post-hospital changes in anxiety or difficulties with identifying social supports after discharge</w:t>
      </w:r>
      <w:r w:rsidR="0027147F">
        <w:rPr>
          <w:rFonts w:cstheme="minorHAnsi"/>
        </w:rPr>
        <w:t xml:space="preserve"> (Woo, 2010, Min et al., 2011).</w:t>
      </w:r>
    </w:p>
    <w:p w14:paraId="6884272A" w14:textId="77777777" w:rsidR="005505A9" w:rsidRDefault="005505A9" w:rsidP="002D2F38">
      <w:pPr>
        <w:rPr>
          <w:rFonts w:cstheme="minorHAnsi"/>
        </w:rPr>
      </w:pPr>
    </w:p>
    <w:p w14:paraId="30DF5D5C" w14:textId="77777777" w:rsidR="005505A9" w:rsidRDefault="005505A9" w:rsidP="005505A9">
      <w:pPr>
        <w:rPr>
          <w:rFonts w:cstheme="minorHAnsi"/>
        </w:rPr>
      </w:pPr>
      <w:r>
        <w:rPr>
          <w:rFonts w:cstheme="minorHAnsi"/>
        </w:rPr>
        <w:t>An expanded description of our modeling approach: Adjusters + Key Predictor + Mediators = Outcomes</w:t>
      </w:r>
    </w:p>
    <w:p w14:paraId="040D69DE" w14:textId="77777777" w:rsidR="005505A9" w:rsidRDefault="005505A9" w:rsidP="005505A9">
      <w:pPr>
        <w:rPr>
          <w:rFonts w:cstheme="minorHAnsi"/>
        </w:rPr>
      </w:pPr>
      <w:r>
        <w:rPr>
          <w:rFonts w:cstheme="minorHAnsi"/>
        </w:rPr>
        <w:br/>
        <w:t xml:space="preserve">Using this general schema, we can further expand on both the types of adjusters, predictors, and mediators, as well as describe specific data to be tested in models. </w:t>
      </w:r>
    </w:p>
    <w:p w14:paraId="11A31C27" w14:textId="77777777" w:rsidR="005505A9" w:rsidRDefault="005505A9" w:rsidP="005505A9">
      <w:pPr>
        <w:rPr>
          <w:rFonts w:cstheme="minorHAnsi"/>
        </w:rPr>
      </w:pPr>
    </w:p>
    <w:p w14:paraId="397BC7FB" w14:textId="77777777" w:rsidR="005505A9" w:rsidRPr="005242DD" w:rsidRDefault="005505A9" w:rsidP="005505A9">
      <w:pPr>
        <w:rPr>
          <w:rFonts w:cstheme="minorHAnsi"/>
        </w:rPr>
      </w:pPr>
      <w:r>
        <w:rPr>
          <w:rFonts w:cstheme="minorHAnsi"/>
        </w:rPr>
        <w:t>We will approach other analyses (such as PCP and clinical staff surveys, as well as patient-collected questions regarding receipt of post-hospital education from providers) using a simpler model, as the influences of clinical outcomes g</w:t>
      </w:r>
      <w:r w:rsidRPr="005242DD">
        <w:rPr>
          <w:rFonts w:cstheme="minorHAnsi"/>
        </w:rPr>
        <w:t>eneral model components</w:t>
      </w:r>
      <w:r>
        <w:rPr>
          <w:rFonts w:cstheme="minorHAnsi"/>
        </w:rPr>
        <w:t xml:space="preserve"> for patient perceptions of educational receipt in hospital or from post-acute provider (</w:t>
      </w:r>
      <w:r w:rsidRPr="00C86CB5">
        <w:rPr>
          <w:rFonts w:cstheme="minorHAnsi"/>
          <w:b/>
        </w:rPr>
        <w:t xml:space="preserve">Table </w:t>
      </w:r>
      <w:r>
        <w:rPr>
          <w:rFonts w:cstheme="minorHAnsi"/>
          <w:b/>
        </w:rPr>
        <w:t>A.1</w:t>
      </w:r>
      <w:r w:rsidRPr="00C86CB5">
        <w:rPr>
          <w:rFonts w:cstheme="minorHAnsi"/>
          <w:b/>
        </w:rPr>
        <w:t>)</w:t>
      </w:r>
    </w:p>
    <w:p w14:paraId="545CFED6" w14:textId="77777777" w:rsidR="00635AC4" w:rsidRDefault="0027147F" w:rsidP="002D2F38">
      <w:pPr>
        <w:rPr>
          <w:rFonts w:cstheme="minorHAnsi"/>
        </w:rPr>
      </w:pPr>
      <w:r>
        <w:rPr>
          <w:rFonts w:cstheme="minorHAnsi"/>
        </w:rPr>
        <w:t xml:space="preserve"> </w:t>
      </w:r>
    </w:p>
    <w:p w14:paraId="3CBAB18B" w14:textId="77777777" w:rsidR="005505A9" w:rsidRDefault="005505A9" w:rsidP="005505A9">
      <w:pPr>
        <w:rPr>
          <w:rFonts w:cstheme="minorHAnsi"/>
        </w:rPr>
      </w:pPr>
    </w:p>
    <w:p w14:paraId="613A0599" w14:textId="77777777" w:rsidR="005505A9" w:rsidRDefault="005505A9" w:rsidP="005505A9">
      <w:pPr>
        <w:rPr>
          <w:rFonts w:cstheme="minorHAnsi"/>
        </w:rPr>
      </w:pPr>
      <w:r w:rsidRPr="00ED5B56">
        <w:rPr>
          <w:rFonts w:cstheme="minorHAnsi"/>
          <w:b/>
        </w:rPr>
        <w:t xml:space="preserve">Table </w:t>
      </w:r>
      <w:r>
        <w:rPr>
          <w:rFonts w:cstheme="minorHAnsi"/>
          <w:b/>
        </w:rPr>
        <w:t>A.1</w:t>
      </w:r>
      <w:r w:rsidRPr="00ED5B56">
        <w:rPr>
          <w:rFonts w:cstheme="minorHAnsi"/>
          <w:b/>
        </w:rPr>
        <w:t>:</w:t>
      </w:r>
      <w:r>
        <w:rPr>
          <w:rFonts w:cstheme="minorHAnsi"/>
        </w:rPr>
        <w:t xml:space="preserve"> General model components for study predictors and outcomes </w:t>
      </w:r>
    </w:p>
    <w:p w14:paraId="09F5B233" w14:textId="77777777" w:rsidR="005505A9" w:rsidRDefault="005505A9" w:rsidP="005505A9">
      <w:pPr>
        <w:rPr>
          <w:rFonts w:cstheme="minorHAnsi"/>
        </w:rPr>
      </w:pPr>
    </w:p>
    <w:p w14:paraId="31C20C6B" w14:textId="77777777" w:rsidR="005505A9" w:rsidRDefault="005505A9" w:rsidP="005505A9">
      <w:pPr>
        <w:rPr>
          <w:rFonts w:cstheme="minorHAnsi"/>
        </w:rPr>
      </w:pPr>
    </w:p>
    <w:tbl>
      <w:tblPr>
        <w:tblStyle w:val="TableGrid"/>
        <w:tblW w:w="3376" w:type="pct"/>
        <w:tblInd w:w="1345" w:type="dxa"/>
        <w:tblLayout w:type="fixed"/>
        <w:tblLook w:val="04A0" w:firstRow="1" w:lastRow="0" w:firstColumn="1" w:lastColumn="0" w:noHBand="0" w:noVBand="1"/>
      </w:tblPr>
      <w:tblGrid>
        <w:gridCol w:w="3947"/>
        <w:gridCol w:w="3491"/>
      </w:tblGrid>
      <w:tr w:rsidR="005505A9" w:rsidRPr="001D50E1" w14:paraId="5DCA99CD" w14:textId="77777777" w:rsidTr="00A260FC">
        <w:tc>
          <w:tcPr>
            <w:tcW w:w="2653" w:type="pct"/>
          </w:tcPr>
          <w:p w14:paraId="7C63400E" w14:textId="77777777" w:rsidR="005505A9" w:rsidRPr="00AF4C3B" w:rsidRDefault="005505A9" w:rsidP="00A260FC">
            <w:pPr>
              <w:jc w:val="center"/>
              <w:rPr>
                <w:i/>
                <w:sz w:val="18"/>
                <w:szCs w:val="18"/>
                <w:u w:val="single"/>
              </w:rPr>
            </w:pPr>
            <w:r w:rsidRPr="00440180">
              <w:rPr>
                <w:i/>
                <w:sz w:val="18"/>
                <w:szCs w:val="18"/>
                <w:u w:val="single"/>
              </w:rPr>
              <w:t>Study predictors</w:t>
            </w:r>
          </w:p>
        </w:tc>
        <w:tc>
          <w:tcPr>
            <w:tcW w:w="2347" w:type="pct"/>
          </w:tcPr>
          <w:p w14:paraId="069D5B77" w14:textId="77777777" w:rsidR="005505A9" w:rsidRPr="00AF4C3B" w:rsidRDefault="005505A9" w:rsidP="00A260FC">
            <w:pPr>
              <w:jc w:val="center"/>
              <w:rPr>
                <w:i/>
                <w:sz w:val="18"/>
                <w:szCs w:val="18"/>
                <w:u w:val="single"/>
              </w:rPr>
            </w:pPr>
            <w:r w:rsidRPr="00AF4C3B">
              <w:rPr>
                <w:i/>
                <w:sz w:val="18"/>
                <w:szCs w:val="18"/>
                <w:u w:val="single"/>
              </w:rPr>
              <w:t>Outcome</w:t>
            </w:r>
          </w:p>
        </w:tc>
      </w:tr>
      <w:tr w:rsidR="005505A9" w:rsidRPr="005242DD" w14:paraId="542F5FD0" w14:textId="77777777" w:rsidTr="00A260FC">
        <w:trPr>
          <w:trHeight w:val="953"/>
        </w:trPr>
        <w:tc>
          <w:tcPr>
            <w:tcW w:w="2653" w:type="pct"/>
            <w:vAlign w:val="center"/>
          </w:tcPr>
          <w:p w14:paraId="407B48CE" w14:textId="77777777" w:rsidR="005505A9" w:rsidRPr="00AF4C3B" w:rsidRDefault="005505A9" w:rsidP="00A260FC">
            <w:pPr>
              <w:jc w:val="center"/>
              <w:rPr>
                <w:b/>
                <w:sz w:val="18"/>
                <w:szCs w:val="18"/>
              </w:rPr>
            </w:pPr>
            <w:r w:rsidRPr="00440180">
              <w:rPr>
                <w:b/>
                <w:sz w:val="18"/>
                <w:szCs w:val="18"/>
              </w:rPr>
              <w:t>Time and location of care</w:t>
            </w:r>
          </w:p>
        </w:tc>
        <w:tc>
          <w:tcPr>
            <w:tcW w:w="2347" w:type="pct"/>
            <w:vAlign w:val="center"/>
          </w:tcPr>
          <w:p w14:paraId="54A4DFED" w14:textId="77777777" w:rsidR="005505A9" w:rsidRPr="00AF4C3B" w:rsidRDefault="005505A9" w:rsidP="00A260FC">
            <w:pPr>
              <w:jc w:val="center"/>
              <w:rPr>
                <w:b/>
                <w:sz w:val="18"/>
                <w:szCs w:val="18"/>
              </w:rPr>
            </w:pPr>
            <w:r w:rsidRPr="00AF4C3B">
              <w:rPr>
                <w:b/>
                <w:sz w:val="18"/>
                <w:szCs w:val="18"/>
              </w:rPr>
              <w:t>Example patient reported educational outcomes</w:t>
            </w:r>
          </w:p>
        </w:tc>
      </w:tr>
      <w:tr w:rsidR="005505A9" w:rsidRPr="005242DD" w14:paraId="2D8DE78B" w14:textId="77777777" w:rsidTr="00A260FC">
        <w:trPr>
          <w:trHeight w:val="1106"/>
        </w:trPr>
        <w:tc>
          <w:tcPr>
            <w:tcW w:w="2653" w:type="pct"/>
          </w:tcPr>
          <w:p w14:paraId="387B8ACD" w14:textId="77777777" w:rsidR="005505A9" w:rsidRPr="00AF4C3B" w:rsidRDefault="005505A9" w:rsidP="00A260FC">
            <w:pPr>
              <w:ind w:left="244" w:hanging="180"/>
              <w:rPr>
                <w:sz w:val="18"/>
                <w:szCs w:val="18"/>
              </w:rPr>
            </w:pPr>
            <w:r w:rsidRPr="00440180">
              <w:rPr>
                <w:sz w:val="18"/>
                <w:szCs w:val="18"/>
              </w:rPr>
              <w:t>Patient cared for on unit with active intervention at time of stay</w:t>
            </w:r>
          </w:p>
        </w:tc>
        <w:tc>
          <w:tcPr>
            <w:tcW w:w="2347" w:type="pct"/>
          </w:tcPr>
          <w:p w14:paraId="7688A4F3" w14:textId="77777777" w:rsidR="005505A9" w:rsidRPr="00AF4C3B" w:rsidRDefault="005505A9" w:rsidP="00A260FC">
            <w:pPr>
              <w:pStyle w:val="ListParagraph"/>
              <w:numPr>
                <w:ilvl w:val="0"/>
                <w:numId w:val="10"/>
              </w:numPr>
              <w:ind w:left="399" w:hanging="270"/>
              <w:contextualSpacing/>
              <w:rPr>
                <w:rFonts w:ascii="Times New Roman" w:hAnsi="Times New Roman"/>
                <w:sz w:val="18"/>
                <w:szCs w:val="18"/>
              </w:rPr>
            </w:pPr>
            <w:r w:rsidRPr="00AF4C3B">
              <w:rPr>
                <w:rFonts w:ascii="Times New Roman" w:hAnsi="Times New Roman"/>
                <w:sz w:val="18"/>
                <w:szCs w:val="18"/>
              </w:rPr>
              <w:t>Report they received teaching about community supports from PCP</w:t>
            </w:r>
          </w:p>
          <w:p w14:paraId="732CED3E" w14:textId="77777777" w:rsidR="005505A9" w:rsidRPr="00AF4C3B" w:rsidRDefault="005505A9" w:rsidP="00A260FC">
            <w:pPr>
              <w:pStyle w:val="ListParagraph"/>
              <w:numPr>
                <w:ilvl w:val="0"/>
                <w:numId w:val="10"/>
              </w:numPr>
              <w:ind w:left="399" w:hanging="270"/>
              <w:contextualSpacing/>
              <w:rPr>
                <w:rFonts w:ascii="Times New Roman" w:hAnsi="Times New Roman"/>
                <w:sz w:val="18"/>
                <w:szCs w:val="18"/>
              </w:rPr>
            </w:pPr>
            <w:r w:rsidRPr="00AF4C3B">
              <w:rPr>
                <w:rFonts w:ascii="Times New Roman" w:hAnsi="Times New Roman"/>
                <w:sz w:val="18"/>
                <w:szCs w:val="18"/>
              </w:rPr>
              <w:t xml:space="preserve">Report that they were instructed to taper </w:t>
            </w:r>
            <w:r w:rsidRPr="00440180">
              <w:rPr>
                <w:rFonts w:ascii="Times New Roman" w:hAnsi="Times New Roman"/>
                <w:sz w:val="18"/>
                <w:szCs w:val="18"/>
              </w:rPr>
              <w:t>opioids</w:t>
            </w:r>
          </w:p>
          <w:p w14:paraId="1D96642E" w14:textId="77777777" w:rsidR="005505A9" w:rsidRPr="00AF4C3B" w:rsidRDefault="005505A9" w:rsidP="00A260FC">
            <w:pPr>
              <w:rPr>
                <w:sz w:val="18"/>
                <w:szCs w:val="18"/>
              </w:rPr>
            </w:pPr>
          </w:p>
        </w:tc>
      </w:tr>
    </w:tbl>
    <w:p w14:paraId="04840FB8" w14:textId="29DB1262" w:rsidR="005505A9" w:rsidRPr="002D2F38" w:rsidRDefault="005505A9" w:rsidP="002D2F38">
      <w:pPr>
        <w:rPr>
          <w:rFonts w:cstheme="minorHAnsi"/>
        </w:rPr>
        <w:sectPr w:rsidR="005505A9" w:rsidRPr="002D2F38" w:rsidSect="00B122A3">
          <w:footerReference w:type="default" r:id="rId10"/>
          <w:pgSz w:w="12240" w:h="15840"/>
          <w:pgMar w:top="720" w:right="720" w:bottom="720" w:left="720" w:header="720" w:footer="720" w:gutter="0"/>
          <w:cols w:space="720"/>
          <w:docGrid w:linePitch="360"/>
        </w:sectPr>
      </w:pPr>
    </w:p>
    <w:p w14:paraId="772953BA" w14:textId="3CD89C3A" w:rsidR="00B60D09" w:rsidRPr="00BC12C8" w:rsidRDefault="002C436D" w:rsidP="00D74607">
      <w:r w:rsidRPr="002C436D">
        <w:rPr>
          <w:b/>
        </w:rPr>
        <w:t xml:space="preserve">Figure </w:t>
      </w:r>
      <w:r w:rsidR="00A54268">
        <w:rPr>
          <w:b/>
        </w:rPr>
        <w:t>A.</w:t>
      </w:r>
      <w:r w:rsidR="00213828">
        <w:rPr>
          <w:b/>
        </w:rPr>
        <w:t>2</w:t>
      </w:r>
      <w:r w:rsidRPr="002C436D">
        <w:rPr>
          <w:b/>
        </w:rPr>
        <w:t>:</w:t>
      </w:r>
      <w:r>
        <w:t xml:space="preserve"> Implementation of opioid management components of </w:t>
      </w:r>
      <w:r w:rsidR="00E97F5E">
        <w:t xml:space="preserve">a fall prevention initiative </w:t>
      </w:r>
      <w:r>
        <w:t xml:space="preserve">into the inpatient workflow </w:t>
      </w:r>
    </w:p>
    <w:p w14:paraId="2262A156" w14:textId="620B1363" w:rsidR="008D770A" w:rsidRPr="00202FE2" w:rsidRDefault="002014C9" w:rsidP="008D770A">
      <w:pPr>
        <w:pStyle w:val="ListParagraph"/>
        <w:ind w:left="900"/>
        <w:rPr>
          <w:rFonts w:ascii="Times New Roman" w:hAnsi="Times New Roman"/>
          <w:sz w:val="24"/>
          <w:szCs w:val="24"/>
        </w:rPr>
      </w:pPr>
      <w:r>
        <w:rPr>
          <w:rFonts w:asciiTheme="minorHAnsi" w:hAnsiTheme="minorHAnsi" w:cstheme="minorHAnsi"/>
          <w:noProof/>
        </w:rPr>
        <w:drawing>
          <wp:inline distT="0" distB="0" distL="0" distR="0" wp14:anchorId="5DF3AC75" wp14:editId="12E56D40">
            <wp:extent cx="8563334" cy="5643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ioid Screening and alerts schema - Page 1 (2).png"/>
                    <pic:cNvPicPr/>
                  </pic:nvPicPr>
                  <pic:blipFill rotWithShape="1">
                    <a:blip r:embed="rId11" cstate="print">
                      <a:extLst>
                        <a:ext uri="{28A0092B-C50C-407E-A947-70E740481C1C}">
                          <a14:useLocalDpi xmlns:a14="http://schemas.microsoft.com/office/drawing/2010/main" val="0"/>
                        </a:ext>
                      </a:extLst>
                    </a:blip>
                    <a:srcRect l="2216" t="8614" r="2506" b="9553"/>
                    <a:stretch/>
                  </pic:blipFill>
                  <pic:spPr bwMode="auto">
                    <a:xfrm>
                      <a:off x="0" y="0"/>
                      <a:ext cx="8569477" cy="5647828"/>
                    </a:xfrm>
                    <a:prstGeom prst="rect">
                      <a:avLst/>
                    </a:prstGeom>
                    <a:ln>
                      <a:noFill/>
                    </a:ln>
                    <a:extLst>
                      <a:ext uri="{53640926-AAD7-44D8-BBD7-CCE9431645EC}">
                        <a14:shadowObscured xmlns:a14="http://schemas.microsoft.com/office/drawing/2010/main"/>
                      </a:ext>
                    </a:extLst>
                  </pic:spPr>
                </pic:pic>
              </a:graphicData>
            </a:graphic>
          </wp:inline>
        </w:drawing>
      </w:r>
    </w:p>
    <w:p w14:paraId="2F838A52" w14:textId="77777777" w:rsidR="002014C9" w:rsidRDefault="002014C9" w:rsidP="008D770A">
      <w:pPr>
        <w:rPr>
          <w:b/>
        </w:rPr>
        <w:sectPr w:rsidR="002014C9" w:rsidSect="00B60D09">
          <w:pgSz w:w="15840" w:h="12240" w:orient="landscape"/>
          <w:pgMar w:top="720" w:right="720" w:bottom="720" w:left="720" w:header="720" w:footer="720" w:gutter="0"/>
          <w:cols w:space="720"/>
          <w:docGrid w:linePitch="360"/>
        </w:sectPr>
      </w:pPr>
    </w:p>
    <w:p w14:paraId="72F2CE55" w14:textId="0A277715" w:rsidR="00F2652A" w:rsidRPr="000155E9" w:rsidRDefault="002E397A" w:rsidP="008343E5">
      <w:r w:rsidRPr="008343E5">
        <w:rPr>
          <w:i/>
        </w:rPr>
        <w:t>Data Collection Description</w:t>
      </w:r>
      <w:r w:rsidR="003339ED">
        <w:rPr>
          <w:b/>
        </w:rPr>
        <w:br/>
      </w:r>
      <w:r w:rsidR="00C86CB5">
        <w:t xml:space="preserve">The </w:t>
      </w:r>
      <w:r w:rsidR="008D770A" w:rsidRPr="00202FE2">
        <w:t xml:space="preserve">data collection will </w:t>
      </w:r>
      <w:r w:rsidR="00317C97">
        <w:t>include four</w:t>
      </w:r>
      <w:r w:rsidR="008D770A" w:rsidRPr="00202FE2">
        <w:t xml:space="preserve"> components: </w:t>
      </w:r>
      <w:r w:rsidR="0039239B" w:rsidRPr="00202FE2">
        <w:rPr>
          <w:i/>
        </w:rPr>
        <w:t>Pre</w:t>
      </w:r>
      <w:r w:rsidR="0065259C" w:rsidRPr="00202FE2">
        <w:rPr>
          <w:i/>
        </w:rPr>
        <w:t xml:space="preserve">-Discharge Patient </w:t>
      </w:r>
      <w:r w:rsidR="0065259C">
        <w:rPr>
          <w:i/>
        </w:rPr>
        <w:t>Questionnaire</w:t>
      </w:r>
      <w:r w:rsidR="0065259C" w:rsidRPr="00202FE2">
        <w:rPr>
          <w:i/>
        </w:rPr>
        <w:t xml:space="preserve">, Post-Discharge Patient </w:t>
      </w:r>
      <w:r w:rsidR="0065259C">
        <w:rPr>
          <w:i/>
        </w:rPr>
        <w:t>Questionnaire</w:t>
      </w:r>
      <w:r w:rsidR="0065259C" w:rsidRPr="00202FE2">
        <w:t xml:space="preserve">, </w:t>
      </w:r>
      <w:r w:rsidR="008D770A" w:rsidRPr="00202FE2">
        <w:rPr>
          <w:i/>
        </w:rPr>
        <w:t xml:space="preserve">UCSF </w:t>
      </w:r>
      <w:r w:rsidR="00FA345F">
        <w:rPr>
          <w:i/>
        </w:rPr>
        <w:t>Clinical Staff Evaluation Questionnaire</w:t>
      </w:r>
      <w:r w:rsidR="0065259C" w:rsidRPr="00202FE2">
        <w:rPr>
          <w:i/>
        </w:rPr>
        <w:t>,</w:t>
      </w:r>
      <w:r w:rsidR="0065259C" w:rsidRPr="00202FE2">
        <w:t xml:space="preserve"> </w:t>
      </w:r>
      <w:r w:rsidR="0065259C">
        <w:t>a</w:t>
      </w:r>
      <w:r w:rsidR="0065259C" w:rsidRPr="00202FE2">
        <w:t xml:space="preserve">nd </w:t>
      </w:r>
      <w:r w:rsidR="0065259C" w:rsidRPr="00202FE2">
        <w:rPr>
          <w:i/>
        </w:rPr>
        <w:t>Primary Care Pro</w:t>
      </w:r>
      <w:r w:rsidR="0065259C">
        <w:rPr>
          <w:i/>
        </w:rPr>
        <w:t>vider (</w:t>
      </w:r>
      <w:r w:rsidR="00202FE2">
        <w:rPr>
          <w:i/>
        </w:rPr>
        <w:t>PCP</w:t>
      </w:r>
      <w:r w:rsidR="0065259C">
        <w:rPr>
          <w:i/>
        </w:rPr>
        <w:t>) Post-</w:t>
      </w:r>
      <w:r w:rsidR="0065259C" w:rsidRPr="00202FE2">
        <w:rPr>
          <w:i/>
        </w:rPr>
        <w:t xml:space="preserve">Discharge </w:t>
      </w:r>
      <w:r w:rsidR="0065259C">
        <w:rPr>
          <w:i/>
        </w:rPr>
        <w:t>Questionnaire</w:t>
      </w:r>
      <w:r w:rsidR="00F2652A" w:rsidRPr="00F2652A">
        <w:rPr>
          <w:b/>
          <w:i/>
        </w:rPr>
        <w:t xml:space="preserve">. </w:t>
      </w:r>
      <w:r w:rsidR="00F2652A" w:rsidRPr="00F2652A">
        <w:rPr>
          <w:b/>
        </w:rPr>
        <w:t xml:space="preserve">Table </w:t>
      </w:r>
      <w:r w:rsidR="00A54268">
        <w:rPr>
          <w:b/>
        </w:rPr>
        <w:t>A.</w:t>
      </w:r>
      <w:r w:rsidR="000956AE">
        <w:rPr>
          <w:b/>
        </w:rPr>
        <w:t>2</w:t>
      </w:r>
      <w:r w:rsidR="00F2652A">
        <w:t xml:space="preserve"> shows a s</w:t>
      </w:r>
      <w:r w:rsidR="00F2652A" w:rsidRPr="00F2652A">
        <w:t>ummary of data collection methods under this OMB request.</w:t>
      </w:r>
      <w:r w:rsidR="00F2652A">
        <w:rPr>
          <w:i/>
        </w:rPr>
        <w:t xml:space="preserve"> </w:t>
      </w:r>
      <w:r w:rsidR="00F2652A">
        <w:rPr>
          <w:b/>
          <w:color w:val="000000" w:themeColor="text1"/>
        </w:rPr>
        <w:t xml:space="preserve">Table </w:t>
      </w:r>
      <w:r w:rsidR="00A54268">
        <w:rPr>
          <w:b/>
          <w:color w:val="000000" w:themeColor="text1"/>
        </w:rPr>
        <w:t>A.</w:t>
      </w:r>
      <w:r w:rsidR="000956AE">
        <w:rPr>
          <w:b/>
          <w:color w:val="000000" w:themeColor="text1"/>
        </w:rPr>
        <w:t>3</w:t>
      </w:r>
      <w:r w:rsidR="00F2652A">
        <w:rPr>
          <w:b/>
          <w:color w:val="000000" w:themeColor="text1"/>
        </w:rPr>
        <w:t xml:space="preserve"> </w:t>
      </w:r>
      <w:r w:rsidR="00F2652A" w:rsidRPr="00202FE2">
        <w:rPr>
          <w:color w:val="000000" w:themeColor="text1"/>
        </w:rPr>
        <w:t>shows a crosswalk of each survey</w:t>
      </w:r>
      <w:r w:rsidR="00F2652A">
        <w:rPr>
          <w:color w:val="000000" w:themeColor="text1"/>
        </w:rPr>
        <w:t xml:space="preserve"> and </w:t>
      </w:r>
      <w:r w:rsidR="00F2652A" w:rsidRPr="00202FE2">
        <w:rPr>
          <w:color w:val="000000" w:themeColor="text1"/>
        </w:rPr>
        <w:t>the evaluation (</w:t>
      </w:r>
      <w:r w:rsidR="00F2652A">
        <w:rPr>
          <w:color w:val="000000" w:themeColor="text1"/>
        </w:rPr>
        <w:t>implementation and impact</w:t>
      </w:r>
      <w:r w:rsidR="00F2652A" w:rsidRPr="00202FE2">
        <w:rPr>
          <w:color w:val="000000" w:themeColor="text1"/>
        </w:rPr>
        <w:t xml:space="preserve">) it will support.  </w:t>
      </w:r>
      <w:r w:rsidR="00F2652A" w:rsidRPr="000155E9">
        <w:rPr>
          <w:b/>
          <w:color w:val="000000" w:themeColor="text1"/>
        </w:rPr>
        <w:t>Table</w:t>
      </w:r>
      <w:r w:rsidR="00420D12">
        <w:rPr>
          <w:b/>
          <w:color w:val="000000" w:themeColor="text1"/>
        </w:rPr>
        <w:t>s</w:t>
      </w:r>
      <w:r w:rsidR="00F2652A" w:rsidRPr="000155E9">
        <w:rPr>
          <w:b/>
          <w:color w:val="000000" w:themeColor="text1"/>
        </w:rPr>
        <w:t xml:space="preserve"> </w:t>
      </w:r>
      <w:r w:rsidR="00A54268">
        <w:rPr>
          <w:b/>
          <w:color w:val="000000" w:themeColor="text1"/>
        </w:rPr>
        <w:t>A.</w:t>
      </w:r>
      <w:r w:rsidR="000956AE">
        <w:rPr>
          <w:b/>
          <w:color w:val="000000" w:themeColor="text1"/>
        </w:rPr>
        <w:t>4</w:t>
      </w:r>
      <w:r w:rsidR="00420D12">
        <w:rPr>
          <w:b/>
          <w:color w:val="000000" w:themeColor="text1"/>
        </w:rPr>
        <w:t>.</w:t>
      </w:r>
      <w:r w:rsidR="00A54268">
        <w:rPr>
          <w:b/>
          <w:color w:val="000000" w:themeColor="text1"/>
        </w:rPr>
        <w:t>a-d</w:t>
      </w:r>
      <w:r w:rsidR="00420D12">
        <w:rPr>
          <w:color w:val="000000" w:themeColor="text1"/>
        </w:rPr>
        <w:t xml:space="preserve"> show</w:t>
      </w:r>
      <w:r w:rsidR="00F2652A" w:rsidRPr="00202FE2">
        <w:rPr>
          <w:color w:val="000000" w:themeColor="text1"/>
        </w:rPr>
        <w:t xml:space="preserve"> a crosswalk of the survey questions and the specific indicators that they will support.</w:t>
      </w:r>
      <w:r w:rsidR="00F2652A">
        <w:rPr>
          <w:color w:val="000000" w:themeColor="text1"/>
        </w:rPr>
        <w:t xml:space="preserve"> </w:t>
      </w:r>
    </w:p>
    <w:p w14:paraId="35BD9EBC" w14:textId="3198DF4B" w:rsidR="00A54268" w:rsidRDefault="008D770A" w:rsidP="008D770A">
      <w:pPr>
        <w:spacing w:after="200" w:line="276" w:lineRule="auto"/>
      </w:pPr>
      <w:r w:rsidRPr="00202FE2">
        <w:t xml:space="preserve">Study data for the </w:t>
      </w:r>
      <w:r w:rsidR="00ED5B56" w:rsidRPr="00202FE2">
        <w:rPr>
          <w:bCs/>
          <w:i/>
          <w:iCs/>
        </w:rPr>
        <w:t xml:space="preserve">Patient </w:t>
      </w:r>
      <w:r w:rsidR="00ED5B56">
        <w:rPr>
          <w:i/>
        </w:rPr>
        <w:t>Questionnaire</w:t>
      </w:r>
      <w:r w:rsidR="00ED5B56" w:rsidRPr="00202FE2">
        <w:rPr>
          <w:bCs/>
          <w:i/>
          <w:iCs/>
        </w:rPr>
        <w:t>s</w:t>
      </w:r>
      <w:r w:rsidR="00ED5B56" w:rsidRPr="00202FE2">
        <w:t xml:space="preserve"> </w:t>
      </w:r>
      <w:r w:rsidRPr="00202FE2">
        <w:t xml:space="preserve">will be collected from older adults identified as high risk </w:t>
      </w:r>
      <w:r w:rsidR="00231E70">
        <w:t>for falls due</w:t>
      </w:r>
      <w:r w:rsidRPr="00202FE2">
        <w:t xml:space="preserve"> to</w:t>
      </w:r>
      <w:r w:rsidR="00231E70">
        <w:t xml:space="preserve"> their</w:t>
      </w:r>
      <w:r w:rsidRPr="00202FE2">
        <w:t xml:space="preserve"> opioid use (e.g. patients started on </w:t>
      </w:r>
      <w:r w:rsidR="00440180">
        <w:t xml:space="preserve">a </w:t>
      </w:r>
      <w:r w:rsidRPr="00202FE2">
        <w:t>new long-acting opioid</w:t>
      </w:r>
      <w:r w:rsidR="00A4641D">
        <w:t xml:space="preserve"> during admission</w:t>
      </w:r>
      <w:r w:rsidRPr="00202FE2">
        <w:t xml:space="preserve">, patients on high </w:t>
      </w:r>
      <w:r w:rsidR="00ED5B56">
        <w:t>OME</w:t>
      </w:r>
      <w:r w:rsidRPr="00202FE2">
        <w:t xml:space="preserve"> regimens, and those on </w:t>
      </w:r>
      <w:r w:rsidR="00440180">
        <w:t xml:space="preserve">a </w:t>
      </w:r>
      <w:r w:rsidRPr="00202FE2">
        <w:t xml:space="preserve">combination </w:t>
      </w:r>
      <w:r w:rsidR="00A4641D">
        <w:t xml:space="preserve">of </w:t>
      </w:r>
      <w:r w:rsidRPr="00202FE2">
        <w:t>opioids and benzodiazepines)</w:t>
      </w:r>
      <w:r w:rsidR="00F23186">
        <w:t xml:space="preserve">. </w:t>
      </w:r>
      <w:r w:rsidR="00625840">
        <w:t>Patients will be included in the data collection if they</w:t>
      </w:r>
      <w:r w:rsidRPr="00202FE2">
        <w:t xml:space="preserve"> receive</w:t>
      </w:r>
      <w:r w:rsidR="00625840">
        <w:t>d</w:t>
      </w:r>
      <w:r w:rsidRPr="00202FE2">
        <w:t xml:space="preserve"> medication management for opioids during their discharge</w:t>
      </w:r>
      <w:r w:rsidR="00202FE2">
        <w:t xml:space="preserve"> planning</w:t>
      </w:r>
      <w:r w:rsidRPr="00202FE2">
        <w:t xml:space="preserve"> from the UCSF Medical Center</w:t>
      </w:r>
      <w:r w:rsidR="00E0441E">
        <w:t xml:space="preserve">, </w:t>
      </w:r>
      <w:r w:rsidR="00625840">
        <w:t>are</w:t>
      </w:r>
      <w:r w:rsidR="00E0441E">
        <w:t xml:space="preserve"> English</w:t>
      </w:r>
      <w:r w:rsidR="00625840">
        <w:t xml:space="preserve"> speaking,</w:t>
      </w:r>
      <w:r w:rsidR="00E0441E">
        <w:t xml:space="preserve"> and are not cognitively impaired</w:t>
      </w:r>
      <w:r w:rsidRPr="00202FE2">
        <w:t xml:space="preserve">. </w:t>
      </w:r>
      <w:r w:rsidR="00A4641D">
        <w:t xml:space="preserve"> </w:t>
      </w:r>
      <w:r w:rsidR="0039239B" w:rsidRPr="00202FE2">
        <w:t xml:space="preserve">The patient </w:t>
      </w:r>
      <w:r w:rsidR="009D1759">
        <w:rPr>
          <w:i/>
        </w:rPr>
        <w:t>questionnaire</w:t>
      </w:r>
      <w:r w:rsidR="0039239B" w:rsidRPr="00202FE2">
        <w:t>s will be conducted once prior to discharge (</w:t>
      </w:r>
      <w:r w:rsidR="0039239B" w:rsidRPr="00202FE2">
        <w:rPr>
          <w:i/>
        </w:rPr>
        <w:t>Pre-</w:t>
      </w:r>
      <w:r w:rsidR="00625840">
        <w:rPr>
          <w:i/>
        </w:rPr>
        <w:t>D</w:t>
      </w:r>
      <w:r w:rsidR="0039239B" w:rsidRPr="00202FE2">
        <w:rPr>
          <w:i/>
        </w:rPr>
        <w:t xml:space="preserve">ischarge Patient </w:t>
      </w:r>
      <w:r w:rsidR="00625840">
        <w:rPr>
          <w:i/>
        </w:rPr>
        <w:t>Q</w:t>
      </w:r>
      <w:r w:rsidR="009D1759">
        <w:rPr>
          <w:i/>
        </w:rPr>
        <w:t>uestionnaire</w:t>
      </w:r>
      <w:r w:rsidR="0039239B" w:rsidRPr="00202FE2">
        <w:t>) and 3 times after discharge (</w:t>
      </w:r>
      <w:r w:rsidR="0039239B" w:rsidRPr="00202FE2">
        <w:rPr>
          <w:i/>
        </w:rPr>
        <w:t>14</w:t>
      </w:r>
      <w:r w:rsidR="00420D12" w:rsidRPr="00202FE2">
        <w:rPr>
          <w:i/>
        </w:rPr>
        <w:t>, 30</w:t>
      </w:r>
      <w:r w:rsidR="00420D12">
        <w:rPr>
          <w:i/>
        </w:rPr>
        <w:t>, and</w:t>
      </w:r>
      <w:r w:rsidR="0039239B" w:rsidRPr="00202FE2">
        <w:rPr>
          <w:i/>
        </w:rPr>
        <w:t xml:space="preserve"> 60 days Patient Post-</w:t>
      </w:r>
      <w:r w:rsidR="00625840">
        <w:rPr>
          <w:i/>
        </w:rPr>
        <w:t>D</w:t>
      </w:r>
      <w:r w:rsidR="0039239B" w:rsidRPr="00202FE2">
        <w:rPr>
          <w:i/>
        </w:rPr>
        <w:t xml:space="preserve">ischarge </w:t>
      </w:r>
      <w:r w:rsidR="00625840">
        <w:rPr>
          <w:i/>
        </w:rPr>
        <w:t>Q</w:t>
      </w:r>
      <w:r w:rsidR="009D1759">
        <w:rPr>
          <w:i/>
        </w:rPr>
        <w:t>uestionnair</w:t>
      </w:r>
      <w:r w:rsidR="00A4641D">
        <w:rPr>
          <w:i/>
        </w:rPr>
        <w:t>e</w:t>
      </w:r>
      <w:r w:rsidR="00202FE2">
        <w:rPr>
          <w:i/>
        </w:rPr>
        <w:t>s</w:t>
      </w:r>
      <w:r w:rsidR="0039239B" w:rsidRPr="00202FE2">
        <w:t>).</w:t>
      </w:r>
      <w:r w:rsidR="003339ED">
        <w:t xml:space="preserve"> The questionnaires can be self-administered online or facilitated by </w:t>
      </w:r>
      <w:r w:rsidR="00440180">
        <w:t xml:space="preserve">the </w:t>
      </w:r>
      <w:r w:rsidR="003339ED">
        <w:t xml:space="preserve">clinical research coordinator (CRC) in person for the </w:t>
      </w:r>
      <w:r w:rsidR="003339ED" w:rsidRPr="003339ED">
        <w:t>pre-discharge and via phone for the post-discharge</w:t>
      </w:r>
      <w:r w:rsidR="003339ED">
        <w:t xml:space="preserve">. </w:t>
      </w:r>
    </w:p>
    <w:p w14:paraId="78918AE6" w14:textId="32BE10D9" w:rsidR="00A54268" w:rsidRDefault="0039239B" w:rsidP="008D770A">
      <w:pPr>
        <w:spacing w:after="200" w:line="276" w:lineRule="auto"/>
        <w:rPr>
          <w:color w:val="000000" w:themeColor="text1"/>
        </w:rPr>
      </w:pPr>
      <w:r w:rsidRPr="00202FE2">
        <w:t xml:space="preserve"> </w:t>
      </w:r>
      <w:r w:rsidR="008D770A" w:rsidRPr="00202FE2">
        <w:t>The questionnaires (</w:t>
      </w:r>
      <w:r w:rsidR="008D770A" w:rsidRPr="000155E9">
        <w:rPr>
          <w:b/>
        </w:rPr>
        <w:t>Attachments E1</w:t>
      </w:r>
      <w:r w:rsidR="006D610A">
        <w:rPr>
          <w:b/>
        </w:rPr>
        <w:t xml:space="preserve">&amp; </w:t>
      </w:r>
      <w:r w:rsidR="00587C4F">
        <w:rPr>
          <w:b/>
        </w:rPr>
        <w:t>I</w:t>
      </w:r>
      <w:r w:rsidR="006D610A">
        <w:rPr>
          <w:b/>
        </w:rPr>
        <w:t>1</w:t>
      </w:r>
      <w:r w:rsidR="008D770A" w:rsidRPr="000155E9">
        <w:rPr>
          <w:b/>
        </w:rPr>
        <w:t>, E2</w:t>
      </w:r>
      <w:r w:rsidR="006D610A">
        <w:rPr>
          <w:b/>
        </w:rPr>
        <w:t xml:space="preserve"> &amp; </w:t>
      </w:r>
      <w:r w:rsidR="00587C4F">
        <w:rPr>
          <w:b/>
        </w:rPr>
        <w:t>I</w:t>
      </w:r>
      <w:r w:rsidR="006D610A">
        <w:rPr>
          <w:b/>
        </w:rPr>
        <w:t>2</w:t>
      </w:r>
      <w:r w:rsidR="008D770A" w:rsidRPr="00202FE2">
        <w:t>) include questions about the patient’s health status, use</w:t>
      </w:r>
      <w:r w:rsidR="00ED5B56">
        <w:t xml:space="preserve"> of medication</w:t>
      </w:r>
      <w:r w:rsidR="008D770A" w:rsidRPr="00202FE2">
        <w:t xml:space="preserve"> and non-medication therapies for pain, follow through with </w:t>
      </w:r>
      <w:r w:rsidR="00625840">
        <w:t xml:space="preserve">and adherence to </w:t>
      </w:r>
      <w:r w:rsidR="008D770A" w:rsidRPr="00202FE2">
        <w:t xml:space="preserve">recommendations on tapering efforts, </w:t>
      </w:r>
      <w:r w:rsidR="00B40E8C">
        <w:t xml:space="preserve">and </w:t>
      </w:r>
      <w:r w:rsidR="008D770A" w:rsidRPr="00202FE2">
        <w:t>referral to specialists and readmissions for falls</w:t>
      </w:r>
      <w:r w:rsidR="00625840">
        <w:t xml:space="preserve"> </w:t>
      </w:r>
      <w:r w:rsidR="008D770A" w:rsidRPr="00202FE2">
        <w:t>or other conditions. The questionnaire</w:t>
      </w:r>
      <w:r w:rsidR="00E0441E">
        <w:t xml:space="preserve">s are </w:t>
      </w:r>
      <w:r w:rsidR="008D770A" w:rsidRPr="00202FE2">
        <w:t xml:space="preserve">expected to take an average </w:t>
      </w:r>
      <w:r w:rsidR="00202FE2" w:rsidRPr="00202FE2">
        <w:t>of</w:t>
      </w:r>
      <w:r w:rsidR="00202FE2" w:rsidRPr="000155E9">
        <w:t xml:space="preserve"> </w:t>
      </w:r>
      <w:r w:rsidR="00202FE2" w:rsidRPr="00202FE2">
        <w:rPr>
          <w:color w:val="000000" w:themeColor="text1"/>
        </w:rPr>
        <w:t>10</w:t>
      </w:r>
      <w:r w:rsidR="008D770A" w:rsidRPr="00202FE2">
        <w:rPr>
          <w:color w:val="000000" w:themeColor="text1"/>
        </w:rPr>
        <w:t xml:space="preserve"> minutes to fill out. </w:t>
      </w:r>
      <w:r w:rsidR="006255C5">
        <w:rPr>
          <w:color w:val="000000" w:themeColor="text1"/>
        </w:rPr>
        <w:t xml:space="preserve">The information collection will supplement </w:t>
      </w:r>
      <w:r w:rsidR="00420D12">
        <w:rPr>
          <w:color w:val="000000" w:themeColor="text1"/>
        </w:rPr>
        <w:t>information (</w:t>
      </w:r>
      <w:r w:rsidR="006255C5">
        <w:rPr>
          <w:color w:val="000000" w:themeColor="text1"/>
        </w:rPr>
        <w:t>e.g. discrete clinical data, medication administration)</w:t>
      </w:r>
      <w:r w:rsidR="003339ED">
        <w:rPr>
          <w:color w:val="000000" w:themeColor="text1"/>
        </w:rPr>
        <w:t xml:space="preserve"> </w:t>
      </w:r>
      <w:r w:rsidR="008D770A" w:rsidRPr="00202FE2">
        <w:rPr>
          <w:color w:val="000000" w:themeColor="text1"/>
        </w:rPr>
        <w:t>obtained from the electronic health records at</w:t>
      </w:r>
      <w:r w:rsidR="00440180">
        <w:rPr>
          <w:color w:val="000000" w:themeColor="text1"/>
        </w:rPr>
        <w:t xml:space="preserve"> the</w:t>
      </w:r>
      <w:r w:rsidR="008D770A" w:rsidRPr="00202FE2">
        <w:rPr>
          <w:color w:val="000000" w:themeColor="text1"/>
        </w:rPr>
        <w:t xml:space="preserve"> UCSF medical center </w:t>
      </w:r>
      <w:r w:rsidR="006255C5">
        <w:rPr>
          <w:color w:val="000000" w:themeColor="text1"/>
        </w:rPr>
        <w:t>which</w:t>
      </w:r>
      <w:r w:rsidR="00D3746D">
        <w:rPr>
          <w:color w:val="000000" w:themeColor="text1"/>
        </w:rPr>
        <w:t xml:space="preserve"> will be linked to the survey results</w:t>
      </w:r>
      <w:r w:rsidR="00A54268">
        <w:rPr>
          <w:color w:val="000000" w:themeColor="text1"/>
        </w:rPr>
        <w:t>.</w:t>
      </w:r>
    </w:p>
    <w:p w14:paraId="3F0A57C8" w14:textId="4B450056" w:rsidR="008D770A" w:rsidRPr="00A54268" w:rsidRDefault="008D770A" w:rsidP="008D770A">
      <w:pPr>
        <w:spacing w:after="200" w:line="276" w:lineRule="auto"/>
        <w:rPr>
          <w:color w:val="000000" w:themeColor="text1"/>
        </w:rPr>
      </w:pPr>
      <w:r w:rsidRPr="00202FE2" w:rsidDel="00C41D3A">
        <w:t xml:space="preserve">Study data </w:t>
      </w:r>
      <w:r w:rsidRPr="00202FE2">
        <w:t xml:space="preserve">from the </w:t>
      </w:r>
      <w:r w:rsidRPr="00202FE2">
        <w:rPr>
          <w:i/>
        </w:rPr>
        <w:t>UCSF</w:t>
      </w:r>
      <w:r w:rsidRPr="00202FE2">
        <w:t xml:space="preserve"> </w:t>
      </w:r>
      <w:r w:rsidR="00FA345F">
        <w:rPr>
          <w:i/>
        </w:rPr>
        <w:t>Clinical Staff Evaluation Questionnaire</w:t>
      </w:r>
      <w:r w:rsidR="00625840" w:rsidRPr="00202FE2" w:rsidDel="00C41D3A">
        <w:t xml:space="preserve"> </w:t>
      </w:r>
      <w:r w:rsidRPr="00202FE2" w:rsidDel="00C41D3A">
        <w:t xml:space="preserve">will be collected </w:t>
      </w:r>
      <w:r w:rsidRPr="00202FE2">
        <w:t>by a</w:t>
      </w:r>
      <w:r w:rsidR="003A60E5">
        <w:t xml:space="preserve"> monthly</w:t>
      </w:r>
      <w:r w:rsidRPr="00202FE2">
        <w:t xml:space="preserve"> cross-sectional survey of</w:t>
      </w:r>
      <w:r w:rsidRPr="00202FE2" w:rsidDel="00C41D3A">
        <w:t xml:space="preserve"> clinical staff </w:t>
      </w:r>
      <w:r w:rsidRPr="00202FE2">
        <w:t>(nurses, pharmacists, and physicians</w:t>
      </w:r>
      <w:r w:rsidRPr="00202FE2" w:rsidDel="00C41D3A">
        <w:t xml:space="preserve">) at the </w:t>
      </w:r>
      <w:r w:rsidRPr="00202FE2">
        <w:t>UCSF</w:t>
      </w:r>
      <w:r w:rsidRPr="00202FE2" w:rsidDel="00C41D3A">
        <w:t xml:space="preserve"> Medical Center where </w:t>
      </w:r>
      <w:r w:rsidR="00AF4C3B">
        <w:t xml:space="preserve">the </w:t>
      </w:r>
      <w:r w:rsidR="00202FE2">
        <w:t xml:space="preserve">opioid </w:t>
      </w:r>
      <w:r w:rsidR="00AF4C3B">
        <w:t xml:space="preserve">prescribing protocol and decision support tools have </w:t>
      </w:r>
      <w:r w:rsidRPr="00202FE2" w:rsidDel="00C41D3A">
        <w:t xml:space="preserve">been implemented into the hospital discharge </w:t>
      </w:r>
      <w:r w:rsidRPr="00202FE2">
        <w:t xml:space="preserve">process to reduce </w:t>
      </w:r>
      <w:r w:rsidR="00202FE2">
        <w:t xml:space="preserve">falls and </w:t>
      </w:r>
      <w:r w:rsidRPr="00202FE2">
        <w:t xml:space="preserve">risk of opioid adverse events. </w:t>
      </w:r>
      <w:r w:rsidRPr="00202FE2" w:rsidDel="00C41D3A">
        <w:t xml:space="preserve">The questionnaire </w:t>
      </w:r>
      <w:r w:rsidRPr="00202FE2">
        <w:t>(</w:t>
      </w:r>
      <w:r w:rsidRPr="000155E9">
        <w:rPr>
          <w:b/>
        </w:rPr>
        <w:t>Attachment E3</w:t>
      </w:r>
      <w:r w:rsidR="006D610A">
        <w:rPr>
          <w:b/>
        </w:rPr>
        <w:t xml:space="preserve"> &amp; </w:t>
      </w:r>
      <w:r w:rsidR="00587C4F">
        <w:rPr>
          <w:b/>
        </w:rPr>
        <w:t>I</w:t>
      </w:r>
      <w:r w:rsidR="006D610A">
        <w:rPr>
          <w:b/>
        </w:rPr>
        <w:t>3</w:t>
      </w:r>
      <w:r w:rsidR="00EB64DA" w:rsidRPr="00202FE2">
        <w:t>)</w:t>
      </w:r>
      <w:r w:rsidR="00EB64DA" w:rsidRPr="00202FE2" w:rsidDel="00C41D3A">
        <w:t xml:space="preserve"> includes</w:t>
      </w:r>
      <w:r w:rsidRPr="00202FE2" w:rsidDel="00C41D3A">
        <w:t xml:space="preserve"> </w:t>
      </w:r>
      <w:r w:rsidRPr="00202FE2">
        <w:t xml:space="preserve">questions </w:t>
      </w:r>
      <w:r w:rsidRPr="00202FE2" w:rsidDel="00C41D3A">
        <w:t xml:space="preserve">about the respondent’s use and experience </w:t>
      </w:r>
      <w:r w:rsidRPr="00202FE2">
        <w:t xml:space="preserve">with opioid prescribing guidance and their opinion of the effectiveness of the </w:t>
      </w:r>
      <w:r w:rsidR="003A60E5">
        <w:t>program</w:t>
      </w:r>
      <w:r w:rsidRPr="00202FE2">
        <w:t xml:space="preserve"> to reduce falls and opioid adverse events. </w:t>
      </w:r>
      <w:r w:rsidRPr="00202FE2" w:rsidDel="00C41D3A">
        <w:t xml:space="preserve"> The questionnaire is expected to take approximately </w:t>
      </w:r>
      <w:r w:rsidRPr="00202FE2">
        <w:t xml:space="preserve">5 </w:t>
      </w:r>
      <w:r w:rsidRPr="00202FE2" w:rsidDel="00C41D3A">
        <w:t xml:space="preserve">minutes to </w:t>
      </w:r>
      <w:r w:rsidR="00A4641D">
        <w:t>complete.</w:t>
      </w:r>
      <w:r w:rsidRPr="00202FE2" w:rsidDel="00C41D3A">
        <w:t xml:space="preserve"> </w:t>
      </w:r>
    </w:p>
    <w:p w14:paraId="5CAF8FC7" w14:textId="4DBBF649" w:rsidR="008D770A" w:rsidRDefault="008D770A" w:rsidP="000155E9">
      <w:pPr>
        <w:spacing w:after="200" w:line="276" w:lineRule="auto"/>
        <w:contextualSpacing/>
        <w:rPr>
          <w:color w:val="000000" w:themeColor="text1"/>
        </w:rPr>
      </w:pPr>
      <w:r w:rsidRPr="00202FE2">
        <w:rPr>
          <w:color w:val="000000" w:themeColor="text1"/>
        </w:rPr>
        <w:t xml:space="preserve">Study data for the </w:t>
      </w:r>
      <w:r w:rsidR="00500A10">
        <w:rPr>
          <w:i/>
          <w:color w:val="000000" w:themeColor="text1"/>
        </w:rPr>
        <w:t xml:space="preserve">PCP </w:t>
      </w:r>
      <w:r w:rsidR="00ED5B56">
        <w:rPr>
          <w:i/>
          <w:color w:val="000000" w:themeColor="text1"/>
        </w:rPr>
        <w:t>Post-</w:t>
      </w:r>
      <w:r w:rsidR="00ED5B56" w:rsidRPr="00202FE2">
        <w:rPr>
          <w:i/>
          <w:color w:val="000000" w:themeColor="text1"/>
        </w:rPr>
        <w:t xml:space="preserve">Discharge </w:t>
      </w:r>
      <w:r w:rsidR="00ED5B56">
        <w:rPr>
          <w:i/>
        </w:rPr>
        <w:t>Questionnaire</w:t>
      </w:r>
      <w:r w:rsidR="00ED5B56" w:rsidRPr="00202FE2">
        <w:rPr>
          <w:color w:val="000000" w:themeColor="text1"/>
        </w:rPr>
        <w:t xml:space="preserve"> </w:t>
      </w:r>
      <w:r w:rsidRPr="00202FE2">
        <w:rPr>
          <w:color w:val="000000" w:themeColor="text1"/>
        </w:rPr>
        <w:t xml:space="preserve">will be collected from </w:t>
      </w:r>
      <w:r w:rsidR="003D1C87">
        <w:rPr>
          <w:color w:val="000000" w:themeColor="text1"/>
        </w:rPr>
        <w:t xml:space="preserve">study patients’ </w:t>
      </w:r>
      <w:r w:rsidR="00ED5B56">
        <w:rPr>
          <w:color w:val="000000" w:themeColor="text1"/>
        </w:rPr>
        <w:t>outpatient</w:t>
      </w:r>
      <w:r w:rsidR="00ED5B56" w:rsidRPr="00202FE2">
        <w:rPr>
          <w:color w:val="000000" w:themeColor="text1"/>
        </w:rPr>
        <w:t xml:space="preserve"> </w:t>
      </w:r>
      <w:r w:rsidR="00ED5B56">
        <w:rPr>
          <w:color w:val="000000" w:themeColor="text1"/>
        </w:rPr>
        <w:t>PCPs</w:t>
      </w:r>
      <w:r w:rsidRPr="00202FE2">
        <w:rPr>
          <w:color w:val="000000" w:themeColor="text1"/>
        </w:rPr>
        <w:t xml:space="preserve"> </w:t>
      </w:r>
      <w:r w:rsidR="003D1C87">
        <w:rPr>
          <w:color w:val="000000" w:themeColor="text1"/>
        </w:rPr>
        <w:t xml:space="preserve">who are </w:t>
      </w:r>
      <w:r w:rsidRPr="00202FE2">
        <w:rPr>
          <w:color w:val="000000" w:themeColor="text1"/>
        </w:rPr>
        <w:t>associate</w:t>
      </w:r>
      <w:r w:rsidR="00ED5B56">
        <w:rPr>
          <w:color w:val="000000" w:themeColor="text1"/>
        </w:rPr>
        <w:t xml:space="preserve">d with the UCSF Medical Center </w:t>
      </w:r>
      <w:r w:rsidR="003D1C87">
        <w:rPr>
          <w:color w:val="000000" w:themeColor="text1"/>
        </w:rPr>
        <w:t xml:space="preserve">as </w:t>
      </w:r>
      <w:r w:rsidRPr="00202FE2">
        <w:rPr>
          <w:color w:val="000000" w:themeColor="text1"/>
        </w:rPr>
        <w:t>identified in the patient’s electronic health record</w:t>
      </w:r>
      <w:r w:rsidR="003A60E5">
        <w:t>.</w:t>
      </w:r>
      <w:r w:rsidR="003A60E5" w:rsidRPr="000155E9">
        <w:t xml:space="preserve"> </w:t>
      </w:r>
      <w:r w:rsidR="00AE6E89">
        <w:t xml:space="preserve">An average of 25% of </w:t>
      </w:r>
      <w:r w:rsidR="004335EB">
        <w:t xml:space="preserve">these </w:t>
      </w:r>
      <w:r w:rsidR="00AE6E89">
        <w:t xml:space="preserve">older adults see a PCP affiliated with UCSF Medical Center. </w:t>
      </w:r>
      <w:r w:rsidR="00216C6E">
        <w:t xml:space="preserve">As a part of the implementation, </w:t>
      </w:r>
      <w:r w:rsidR="00AE6E89">
        <w:t xml:space="preserve">all </w:t>
      </w:r>
      <w:r w:rsidR="00216C6E">
        <w:t>patient</w:t>
      </w:r>
      <w:r w:rsidR="00ED5B56">
        <w:t>’s</w:t>
      </w:r>
      <w:r w:rsidR="00216C6E">
        <w:t xml:space="preserve"> </w:t>
      </w:r>
      <w:r w:rsidR="00ED5B56">
        <w:rPr>
          <w:color w:val="000000" w:themeColor="text1"/>
        </w:rPr>
        <w:t>PCP</w:t>
      </w:r>
      <w:r w:rsidRPr="00202FE2">
        <w:rPr>
          <w:color w:val="000000" w:themeColor="text1"/>
        </w:rPr>
        <w:t xml:space="preserve"> will receive</w:t>
      </w:r>
      <w:r w:rsidR="000D0CD9">
        <w:rPr>
          <w:color w:val="000000" w:themeColor="text1"/>
        </w:rPr>
        <w:t xml:space="preserve"> (either electronically or from their patient at the first post-discharge visit)</w:t>
      </w:r>
      <w:r w:rsidRPr="00202FE2">
        <w:rPr>
          <w:color w:val="000000" w:themeColor="text1"/>
        </w:rPr>
        <w:t xml:space="preserve"> a discharge summa</w:t>
      </w:r>
      <w:r w:rsidR="00202FE2">
        <w:rPr>
          <w:color w:val="000000" w:themeColor="text1"/>
        </w:rPr>
        <w:t>ry and post-</w:t>
      </w:r>
      <w:r w:rsidRPr="00202FE2">
        <w:rPr>
          <w:color w:val="000000" w:themeColor="text1"/>
        </w:rPr>
        <w:t xml:space="preserve">acute </w:t>
      </w:r>
      <w:r w:rsidR="00EB64DA" w:rsidRPr="00202FE2">
        <w:rPr>
          <w:color w:val="000000" w:themeColor="text1"/>
        </w:rPr>
        <w:t>care plan</w:t>
      </w:r>
      <w:r w:rsidRPr="00202FE2">
        <w:rPr>
          <w:color w:val="000000" w:themeColor="text1"/>
        </w:rPr>
        <w:t xml:space="preserve"> recommendation for each identified patient. </w:t>
      </w:r>
      <w:r w:rsidR="000D0CD9">
        <w:rPr>
          <w:color w:val="000000" w:themeColor="text1"/>
        </w:rPr>
        <w:t xml:space="preserve">The UCSF-associated PCPs </w:t>
      </w:r>
      <w:r w:rsidR="00AE6E89">
        <w:rPr>
          <w:color w:val="000000" w:themeColor="text1"/>
        </w:rPr>
        <w:t xml:space="preserve">(for about 25% of older adults) </w:t>
      </w:r>
      <w:r w:rsidR="000D0CD9">
        <w:rPr>
          <w:color w:val="000000" w:themeColor="text1"/>
        </w:rPr>
        <w:t>will receive a</w:t>
      </w:r>
      <w:r w:rsidR="00ED5B56">
        <w:rPr>
          <w:color w:val="000000" w:themeColor="text1"/>
        </w:rPr>
        <w:t xml:space="preserve"> </w:t>
      </w:r>
      <w:r w:rsidRPr="00202FE2">
        <w:rPr>
          <w:color w:val="000000" w:themeColor="text1"/>
        </w:rPr>
        <w:t>questionnaire (</w:t>
      </w:r>
      <w:r w:rsidRPr="000155E9">
        <w:rPr>
          <w:b/>
          <w:color w:val="000000" w:themeColor="text1"/>
        </w:rPr>
        <w:t>Attachment E4</w:t>
      </w:r>
      <w:r w:rsidR="006D610A">
        <w:rPr>
          <w:b/>
          <w:color w:val="000000" w:themeColor="text1"/>
        </w:rPr>
        <w:t xml:space="preserve"> &amp; </w:t>
      </w:r>
      <w:r w:rsidR="00587C4F">
        <w:rPr>
          <w:b/>
          <w:color w:val="000000" w:themeColor="text1"/>
        </w:rPr>
        <w:t>I</w:t>
      </w:r>
      <w:r w:rsidR="006D610A">
        <w:rPr>
          <w:b/>
          <w:color w:val="000000" w:themeColor="text1"/>
        </w:rPr>
        <w:t>4</w:t>
      </w:r>
      <w:r w:rsidRPr="00202FE2">
        <w:rPr>
          <w:color w:val="000000" w:themeColor="text1"/>
        </w:rPr>
        <w:t>)</w:t>
      </w:r>
      <w:r w:rsidR="000D0CD9">
        <w:rPr>
          <w:color w:val="000000" w:themeColor="text1"/>
        </w:rPr>
        <w:t xml:space="preserve"> that</w:t>
      </w:r>
      <w:r w:rsidRPr="00202FE2">
        <w:rPr>
          <w:color w:val="000000" w:themeColor="text1"/>
        </w:rPr>
        <w:t xml:space="preserve"> includes questions about the usefulness of the discharge summary (e.g. information about patient functional status and fall risk) and usefulness of the clinical </w:t>
      </w:r>
      <w:r w:rsidR="002E4115">
        <w:rPr>
          <w:color w:val="000000" w:themeColor="text1"/>
        </w:rPr>
        <w:t>recommendations</w:t>
      </w:r>
      <w:r w:rsidR="002E4115" w:rsidRPr="00202FE2">
        <w:rPr>
          <w:color w:val="000000" w:themeColor="text1"/>
        </w:rPr>
        <w:t xml:space="preserve"> </w:t>
      </w:r>
      <w:r w:rsidRPr="00202FE2">
        <w:rPr>
          <w:color w:val="000000" w:themeColor="text1"/>
        </w:rPr>
        <w:t xml:space="preserve">(e.g. need for continued </w:t>
      </w:r>
      <w:r w:rsidR="003339ED">
        <w:rPr>
          <w:color w:val="000000" w:themeColor="text1"/>
        </w:rPr>
        <w:t>physical or occupational therapy</w:t>
      </w:r>
      <w:r w:rsidRPr="00202FE2">
        <w:rPr>
          <w:color w:val="000000" w:themeColor="text1"/>
        </w:rPr>
        <w:t xml:space="preserve">, non-opioid suggestions for pain management, and opioid tapering guidance). </w:t>
      </w:r>
    </w:p>
    <w:p w14:paraId="6E454901" w14:textId="03CC91BF" w:rsidR="005505A9" w:rsidRDefault="00ED5B56" w:rsidP="008D770A">
      <w:pPr>
        <w:spacing w:after="200" w:line="276" w:lineRule="auto"/>
        <w:rPr>
          <w:b/>
        </w:rPr>
      </w:pPr>
      <w:r>
        <w:rPr>
          <w:b/>
        </w:rPr>
        <w:br/>
      </w:r>
    </w:p>
    <w:p w14:paraId="59FFEFFA" w14:textId="543DCC18" w:rsidR="008343E5" w:rsidRDefault="008343E5" w:rsidP="008D770A">
      <w:pPr>
        <w:spacing w:after="200" w:line="276" w:lineRule="auto"/>
        <w:rPr>
          <w:b/>
        </w:rPr>
      </w:pPr>
    </w:p>
    <w:p w14:paraId="61CB88B6" w14:textId="77777777" w:rsidR="008343E5" w:rsidRDefault="008343E5" w:rsidP="008D770A">
      <w:pPr>
        <w:spacing w:after="200" w:line="276" w:lineRule="auto"/>
        <w:rPr>
          <w:b/>
        </w:rPr>
      </w:pPr>
    </w:p>
    <w:p w14:paraId="721C6C4D" w14:textId="2A578A53" w:rsidR="003A60E5" w:rsidRDefault="008D770A" w:rsidP="008D770A">
      <w:pPr>
        <w:spacing w:after="200" w:line="276" w:lineRule="auto"/>
      </w:pPr>
      <w:r w:rsidRPr="000155E9">
        <w:rPr>
          <w:b/>
        </w:rPr>
        <w:t xml:space="preserve">Table </w:t>
      </w:r>
      <w:r w:rsidR="00A54268">
        <w:rPr>
          <w:b/>
        </w:rPr>
        <w:t>A.</w:t>
      </w:r>
      <w:r w:rsidR="000956AE">
        <w:rPr>
          <w:b/>
        </w:rPr>
        <w:t>2</w:t>
      </w:r>
      <w:r w:rsidRPr="000155E9">
        <w:rPr>
          <w:b/>
        </w:rPr>
        <w:t xml:space="preserve">: Summary of data collection methods </w:t>
      </w:r>
    </w:p>
    <w:tbl>
      <w:tblPr>
        <w:tblStyle w:val="TableGrid"/>
        <w:tblW w:w="11060" w:type="dxa"/>
        <w:tblInd w:w="5" w:type="dxa"/>
        <w:tblLook w:val="04A0" w:firstRow="1" w:lastRow="0" w:firstColumn="1" w:lastColumn="0" w:noHBand="0" w:noVBand="1"/>
      </w:tblPr>
      <w:tblGrid>
        <w:gridCol w:w="2034"/>
        <w:gridCol w:w="1723"/>
        <w:gridCol w:w="3523"/>
        <w:gridCol w:w="3780"/>
      </w:tblGrid>
      <w:tr w:rsidR="000E309C" w:rsidRPr="00202FE2" w14:paraId="140B5AC8" w14:textId="77777777" w:rsidTr="006924C2">
        <w:trPr>
          <w:trHeight w:val="914"/>
        </w:trPr>
        <w:tc>
          <w:tcPr>
            <w:tcW w:w="2034" w:type="dxa"/>
            <w:tcBorders>
              <w:top w:val="single" w:sz="4" w:space="0" w:color="auto"/>
              <w:bottom w:val="single" w:sz="4" w:space="0" w:color="auto"/>
              <w:right w:val="single" w:sz="4" w:space="0" w:color="auto"/>
            </w:tcBorders>
          </w:tcPr>
          <w:p w14:paraId="14A9A51F"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Data collection method</w:t>
            </w:r>
          </w:p>
        </w:tc>
        <w:tc>
          <w:tcPr>
            <w:tcW w:w="1723" w:type="dxa"/>
            <w:tcBorders>
              <w:top w:val="single" w:sz="4" w:space="0" w:color="auto"/>
              <w:left w:val="single" w:sz="4" w:space="0" w:color="auto"/>
              <w:bottom w:val="single" w:sz="4" w:space="0" w:color="auto"/>
              <w:right w:val="single" w:sz="4" w:space="0" w:color="auto"/>
            </w:tcBorders>
          </w:tcPr>
          <w:p w14:paraId="4B304C23"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Data collected</w:t>
            </w:r>
          </w:p>
        </w:tc>
        <w:tc>
          <w:tcPr>
            <w:tcW w:w="3523" w:type="dxa"/>
            <w:tcBorders>
              <w:top w:val="single" w:sz="4" w:space="0" w:color="auto"/>
              <w:left w:val="single" w:sz="4" w:space="0" w:color="auto"/>
              <w:bottom w:val="single" w:sz="4" w:space="0" w:color="auto"/>
              <w:right w:val="single" w:sz="4" w:space="0" w:color="auto"/>
            </w:tcBorders>
          </w:tcPr>
          <w:p w14:paraId="16E5A532"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Respondent type</w:t>
            </w:r>
          </w:p>
        </w:tc>
        <w:tc>
          <w:tcPr>
            <w:tcW w:w="3780" w:type="dxa"/>
            <w:tcBorders>
              <w:top w:val="single" w:sz="4" w:space="0" w:color="auto"/>
              <w:left w:val="single" w:sz="4" w:space="0" w:color="auto"/>
              <w:bottom w:val="single" w:sz="4" w:space="0" w:color="auto"/>
              <w:right w:val="single" w:sz="4" w:space="0" w:color="auto"/>
            </w:tcBorders>
          </w:tcPr>
          <w:p w14:paraId="02FF37C6"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Administration</w:t>
            </w:r>
          </w:p>
        </w:tc>
      </w:tr>
      <w:tr w:rsidR="000E309C" w:rsidRPr="00202FE2" w14:paraId="0CB56376" w14:textId="77777777" w:rsidTr="006924C2">
        <w:trPr>
          <w:trHeight w:val="1234"/>
        </w:trPr>
        <w:tc>
          <w:tcPr>
            <w:tcW w:w="2034" w:type="dxa"/>
            <w:tcBorders>
              <w:top w:val="single" w:sz="4" w:space="0" w:color="auto"/>
            </w:tcBorders>
          </w:tcPr>
          <w:p w14:paraId="12A678D0" w14:textId="0A07B86A"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Patient </w:t>
            </w:r>
            <w:r w:rsidR="00EA4EF1" w:rsidRPr="006924C2">
              <w:rPr>
                <w:sz w:val="22"/>
              </w:rPr>
              <w:t>Questionnaire</w:t>
            </w:r>
            <w:r w:rsidR="00EA4EF1" w:rsidRPr="006924C2">
              <w:rPr>
                <w:color w:val="000000" w:themeColor="text1"/>
                <w:sz w:val="22"/>
              </w:rPr>
              <w:t>s (</w:t>
            </w:r>
            <w:r w:rsidRPr="006924C2">
              <w:rPr>
                <w:color w:val="000000" w:themeColor="text1"/>
                <w:sz w:val="22"/>
              </w:rPr>
              <w:t>Pre</w:t>
            </w:r>
            <w:r w:rsidR="00EA4EF1" w:rsidRPr="006924C2">
              <w:rPr>
                <w:color w:val="000000" w:themeColor="text1"/>
                <w:sz w:val="22"/>
              </w:rPr>
              <w:t xml:space="preserve">-Discharge And Post-Discharge)  </w:t>
            </w:r>
          </w:p>
        </w:tc>
        <w:tc>
          <w:tcPr>
            <w:tcW w:w="1723" w:type="dxa"/>
            <w:tcBorders>
              <w:top w:val="single" w:sz="4" w:space="0" w:color="auto"/>
            </w:tcBorders>
          </w:tcPr>
          <w:p w14:paraId="177578FD" w14:textId="00F1FA3D"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Outcome data on patient health status, opioid use, follow through with </w:t>
            </w:r>
            <w:r w:rsidR="002E4115" w:rsidRPr="006924C2">
              <w:rPr>
                <w:color w:val="000000" w:themeColor="text1"/>
                <w:sz w:val="22"/>
              </w:rPr>
              <w:t xml:space="preserve">recommended </w:t>
            </w:r>
            <w:r w:rsidRPr="006924C2">
              <w:rPr>
                <w:color w:val="000000" w:themeColor="text1"/>
                <w:sz w:val="22"/>
              </w:rPr>
              <w:t xml:space="preserve">interventions </w:t>
            </w:r>
          </w:p>
          <w:p w14:paraId="10AF48F2" w14:textId="77777777" w:rsidR="000E309C" w:rsidRPr="006924C2" w:rsidRDefault="000E309C" w:rsidP="000E309C">
            <w:pPr>
              <w:spacing w:after="200" w:line="276" w:lineRule="auto"/>
              <w:contextualSpacing/>
              <w:rPr>
                <w:color w:val="000000" w:themeColor="text1"/>
                <w:sz w:val="22"/>
              </w:rPr>
            </w:pPr>
          </w:p>
        </w:tc>
        <w:tc>
          <w:tcPr>
            <w:tcW w:w="3523" w:type="dxa"/>
            <w:tcBorders>
              <w:top w:val="single" w:sz="4" w:space="0" w:color="auto"/>
            </w:tcBorders>
          </w:tcPr>
          <w:p w14:paraId="2F8E26E2" w14:textId="24498B62" w:rsidR="000E309C" w:rsidRPr="006924C2" w:rsidRDefault="000E309C" w:rsidP="00625840">
            <w:pPr>
              <w:spacing w:after="200" w:line="276" w:lineRule="auto"/>
              <w:contextualSpacing/>
              <w:rPr>
                <w:color w:val="000000" w:themeColor="text1"/>
                <w:sz w:val="22"/>
              </w:rPr>
            </w:pPr>
            <w:r w:rsidRPr="006924C2">
              <w:rPr>
                <w:color w:val="000000" w:themeColor="text1"/>
                <w:sz w:val="22"/>
              </w:rPr>
              <w:t xml:space="preserve">Older adults (65+) </w:t>
            </w:r>
            <w:r w:rsidR="002E4115" w:rsidRPr="006924C2">
              <w:rPr>
                <w:color w:val="000000" w:themeColor="text1"/>
                <w:sz w:val="22"/>
              </w:rPr>
              <w:t xml:space="preserve">admitted as </w:t>
            </w:r>
            <w:r w:rsidRPr="006924C2">
              <w:rPr>
                <w:color w:val="000000" w:themeColor="text1"/>
                <w:sz w:val="22"/>
              </w:rPr>
              <w:t xml:space="preserve">inpatient at </w:t>
            </w:r>
            <w:r w:rsidR="002E4115" w:rsidRPr="006924C2">
              <w:rPr>
                <w:color w:val="000000" w:themeColor="text1"/>
                <w:sz w:val="22"/>
              </w:rPr>
              <w:t xml:space="preserve">UCSF </w:t>
            </w:r>
            <w:r w:rsidRPr="006924C2">
              <w:rPr>
                <w:color w:val="000000" w:themeColor="text1"/>
                <w:sz w:val="22"/>
              </w:rPr>
              <w:t xml:space="preserve">Medical Center </w:t>
            </w:r>
            <w:r w:rsidRPr="006924C2">
              <w:rPr>
                <w:sz w:val="22"/>
              </w:rPr>
              <w:t>identified during discharge planning</w:t>
            </w:r>
            <w:r w:rsidRPr="006924C2">
              <w:rPr>
                <w:color w:val="000000" w:themeColor="text1"/>
                <w:sz w:val="22"/>
              </w:rPr>
              <w:t xml:space="preserve"> </w:t>
            </w:r>
            <w:r w:rsidR="002E4115" w:rsidRPr="006924C2">
              <w:rPr>
                <w:color w:val="000000" w:themeColor="text1"/>
                <w:sz w:val="22"/>
              </w:rPr>
              <w:t>as</w:t>
            </w:r>
            <w:r w:rsidRPr="006924C2">
              <w:rPr>
                <w:sz w:val="22"/>
              </w:rPr>
              <w:t xml:space="preserve"> high risk </w:t>
            </w:r>
            <w:r w:rsidR="00625840" w:rsidRPr="006924C2">
              <w:rPr>
                <w:sz w:val="22"/>
              </w:rPr>
              <w:t xml:space="preserve">for falls due to high use of </w:t>
            </w:r>
            <w:r w:rsidRPr="006924C2">
              <w:rPr>
                <w:sz w:val="22"/>
              </w:rPr>
              <w:t xml:space="preserve">opioid </w:t>
            </w:r>
            <w:r w:rsidR="00625840" w:rsidRPr="006924C2">
              <w:rPr>
                <w:sz w:val="22"/>
              </w:rPr>
              <w:t xml:space="preserve">or high risk of opioid misuse. </w:t>
            </w:r>
          </w:p>
        </w:tc>
        <w:tc>
          <w:tcPr>
            <w:tcW w:w="3780" w:type="dxa"/>
            <w:tcBorders>
              <w:top w:val="single" w:sz="4" w:space="0" w:color="auto"/>
            </w:tcBorders>
          </w:tcPr>
          <w:p w14:paraId="68CCFE24" w14:textId="24049A8B" w:rsidR="003339ED" w:rsidRPr="006924C2" w:rsidRDefault="000E309C" w:rsidP="002E4115">
            <w:pPr>
              <w:spacing w:after="200" w:line="276" w:lineRule="auto"/>
              <w:contextualSpacing/>
              <w:rPr>
                <w:color w:val="000000" w:themeColor="text1"/>
                <w:sz w:val="22"/>
              </w:rPr>
            </w:pPr>
            <w:r w:rsidRPr="006924C2">
              <w:rPr>
                <w:color w:val="000000" w:themeColor="text1"/>
                <w:sz w:val="22"/>
              </w:rPr>
              <w:t>Self-administered</w:t>
            </w:r>
            <w:r w:rsidR="003339ED" w:rsidRPr="006924C2">
              <w:rPr>
                <w:color w:val="000000" w:themeColor="text1"/>
                <w:sz w:val="22"/>
              </w:rPr>
              <w:t xml:space="preserve"> online or facilitated in-person/ via phone by clinical research coordinator</w:t>
            </w:r>
            <w:r w:rsidRPr="006924C2">
              <w:rPr>
                <w:color w:val="000000" w:themeColor="text1"/>
                <w:sz w:val="22"/>
              </w:rPr>
              <w:t xml:space="preserve">. </w:t>
            </w:r>
          </w:p>
          <w:p w14:paraId="7B768410" w14:textId="76CE70DE" w:rsidR="000E309C" w:rsidRPr="006924C2" w:rsidRDefault="000E309C" w:rsidP="002E4115">
            <w:pPr>
              <w:spacing w:after="200" w:line="276" w:lineRule="auto"/>
              <w:contextualSpacing/>
              <w:rPr>
                <w:color w:val="000000" w:themeColor="text1"/>
                <w:sz w:val="22"/>
              </w:rPr>
            </w:pPr>
            <w:r w:rsidRPr="006924C2">
              <w:rPr>
                <w:color w:val="000000" w:themeColor="text1"/>
                <w:sz w:val="22"/>
              </w:rPr>
              <w:t xml:space="preserve">Pre-discharge </w:t>
            </w:r>
            <w:r w:rsidRPr="006924C2">
              <w:rPr>
                <w:sz w:val="22"/>
              </w:rPr>
              <w:t>questionnaire</w:t>
            </w:r>
            <w:r w:rsidRPr="006924C2">
              <w:rPr>
                <w:color w:val="000000" w:themeColor="text1"/>
                <w:sz w:val="22"/>
              </w:rPr>
              <w:t xml:space="preserve"> administered once while still </w:t>
            </w:r>
            <w:r w:rsidR="002E4115" w:rsidRPr="006924C2">
              <w:rPr>
                <w:color w:val="000000" w:themeColor="text1"/>
                <w:sz w:val="22"/>
              </w:rPr>
              <w:t>admitted/</w:t>
            </w:r>
            <w:r w:rsidRPr="006924C2">
              <w:rPr>
                <w:color w:val="000000" w:themeColor="text1"/>
                <w:sz w:val="22"/>
              </w:rPr>
              <w:t>in hospital during discharge planning</w:t>
            </w:r>
            <w:r w:rsidR="002E4115" w:rsidRPr="006924C2">
              <w:rPr>
                <w:color w:val="000000" w:themeColor="text1"/>
                <w:sz w:val="22"/>
              </w:rPr>
              <w:t>;</w:t>
            </w:r>
            <w:r w:rsidRPr="006924C2">
              <w:rPr>
                <w:color w:val="000000" w:themeColor="text1"/>
                <w:sz w:val="22"/>
              </w:rPr>
              <w:t xml:space="preserve"> and post-discharge administered at 14, 30, 60 days </w:t>
            </w:r>
            <w:r w:rsidR="002E4115" w:rsidRPr="006924C2">
              <w:rPr>
                <w:color w:val="000000" w:themeColor="text1"/>
                <w:sz w:val="22"/>
              </w:rPr>
              <w:t>after discharge</w:t>
            </w:r>
            <w:r w:rsidRPr="006924C2">
              <w:rPr>
                <w:color w:val="000000" w:themeColor="text1"/>
                <w:sz w:val="22"/>
              </w:rPr>
              <w:t xml:space="preserve"> from </w:t>
            </w:r>
            <w:r w:rsidR="002E4115" w:rsidRPr="006924C2">
              <w:rPr>
                <w:color w:val="000000" w:themeColor="text1"/>
                <w:sz w:val="22"/>
              </w:rPr>
              <w:t xml:space="preserve">the </w:t>
            </w:r>
            <w:r w:rsidRPr="006924C2">
              <w:rPr>
                <w:color w:val="000000" w:themeColor="text1"/>
                <w:sz w:val="22"/>
              </w:rPr>
              <w:t xml:space="preserve">hospital. Each </w:t>
            </w:r>
            <w:r w:rsidRPr="006924C2">
              <w:rPr>
                <w:sz w:val="22"/>
              </w:rPr>
              <w:t>questionnaire</w:t>
            </w:r>
            <w:r w:rsidRPr="006924C2">
              <w:rPr>
                <w:color w:val="000000" w:themeColor="text1"/>
                <w:sz w:val="22"/>
              </w:rPr>
              <w:t xml:space="preserve"> is expected to take 10 minutes to complete</w:t>
            </w:r>
          </w:p>
        </w:tc>
      </w:tr>
      <w:tr w:rsidR="000E309C" w:rsidRPr="00202FE2" w14:paraId="2B09004A" w14:textId="77777777" w:rsidTr="006924C2">
        <w:trPr>
          <w:trHeight w:val="609"/>
        </w:trPr>
        <w:tc>
          <w:tcPr>
            <w:tcW w:w="2034" w:type="dxa"/>
          </w:tcPr>
          <w:p w14:paraId="25B54CE8" w14:textId="7F66333F"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UCSF </w:t>
            </w:r>
            <w:r w:rsidR="00FA345F" w:rsidRPr="006924C2">
              <w:rPr>
                <w:color w:val="000000" w:themeColor="text1"/>
                <w:sz w:val="22"/>
              </w:rPr>
              <w:t>Clinical Staff Evaluation Questionnaire</w:t>
            </w:r>
          </w:p>
        </w:tc>
        <w:tc>
          <w:tcPr>
            <w:tcW w:w="1723" w:type="dxa"/>
          </w:tcPr>
          <w:p w14:paraId="37542C1C"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Program implementation and process evaluation </w:t>
            </w:r>
          </w:p>
        </w:tc>
        <w:tc>
          <w:tcPr>
            <w:tcW w:w="3523" w:type="dxa"/>
          </w:tcPr>
          <w:p w14:paraId="332D011E" w14:textId="3FE4101D" w:rsidR="000E309C" w:rsidRPr="006924C2" w:rsidRDefault="000E309C" w:rsidP="002E4115">
            <w:pPr>
              <w:spacing w:after="200" w:line="276" w:lineRule="auto"/>
              <w:contextualSpacing/>
              <w:rPr>
                <w:color w:val="000000" w:themeColor="text1"/>
                <w:sz w:val="22"/>
              </w:rPr>
            </w:pPr>
            <w:r w:rsidRPr="006924C2">
              <w:rPr>
                <w:color w:val="000000" w:themeColor="text1"/>
                <w:sz w:val="22"/>
              </w:rPr>
              <w:t>UCSF Medical Center clinicians (</w:t>
            </w:r>
            <w:r w:rsidRPr="006924C2">
              <w:rPr>
                <w:sz w:val="22"/>
              </w:rPr>
              <w:t>nurses, pharmacists, and physicians</w:t>
            </w:r>
            <w:r w:rsidRPr="006924C2">
              <w:rPr>
                <w:color w:val="000000" w:themeColor="text1"/>
                <w:sz w:val="22"/>
              </w:rPr>
              <w:t xml:space="preserve">) </w:t>
            </w:r>
            <w:r w:rsidRPr="006924C2">
              <w:rPr>
                <w:sz w:val="22"/>
              </w:rPr>
              <w:t xml:space="preserve">involved in older adult patient pain management and discharge planning </w:t>
            </w:r>
            <w:r w:rsidR="002E4115" w:rsidRPr="006924C2">
              <w:rPr>
                <w:sz w:val="22"/>
              </w:rPr>
              <w:t xml:space="preserve">who </w:t>
            </w:r>
            <w:r w:rsidRPr="006924C2">
              <w:rPr>
                <w:sz w:val="22"/>
              </w:rPr>
              <w:t>work in hospital units where the fall prevention program has been implemented.</w:t>
            </w:r>
          </w:p>
        </w:tc>
        <w:tc>
          <w:tcPr>
            <w:tcW w:w="3780" w:type="dxa"/>
          </w:tcPr>
          <w:p w14:paraId="6090B8A8"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Self-administered once. The survey is expected to take 5 minutes to complete. </w:t>
            </w:r>
          </w:p>
        </w:tc>
      </w:tr>
      <w:tr w:rsidR="000E309C" w:rsidRPr="00202FE2" w14:paraId="74FE5D77" w14:textId="77777777" w:rsidTr="006924C2">
        <w:trPr>
          <w:trHeight w:val="900"/>
        </w:trPr>
        <w:tc>
          <w:tcPr>
            <w:tcW w:w="2034" w:type="dxa"/>
          </w:tcPr>
          <w:p w14:paraId="135CE902" w14:textId="2930748B"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PCP </w:t>
            </w:r>
            <w:r w:rsidR="00EA4EF1" w:rsidRPr="006924C2">
              <w:rPr>
                <w:color w:val="000000" w:themeColor="text1"/>
                <w:sz w:val="22"/>
              </w:rPr>
              <w:t xml:space="preserve">Post-Discharge </w:t>
            </w:r>
            <w:r w:rsidR="00EA4EF1" w:rsidRPr="006924C2">
              <w:rPr>
                <w:sz w:val="22"/>
              </w:rPr>
              <w:t>Questionnaire</w:t>
            </w:r>
          </w:p>
        </w:tc>
        <w:tc>
          <w:tcPr>
            <w:tcW w:w="1723" w:type="dxa"/>
          </w:tcPr>
          <w:p w14:paraId="6E63A832"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Process and outcome evaluation </w:t>
            </w:r>
          </w:p>
        </w:tc>
        <w:tc>
          <w:tcPr>
            <w:tcW w:w="3523" w:type="dxa"/>
          </w:tcPr>
          <w:p w14:paraId="00388865"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Primary Care Providers (PCP) associated with the UCSF Medical Center who care for</w:t>
            </w:r>
            <w:r w:rsidRPr="006924C2">
              <w:rPr>
                <w:sz w:val="22"/>
              </w:rPr>
              <w:t xml:space="preserve"> older adult study patients discharged from UCSF each month.</w:t>
            </w:r>
          </w:p>
        </w:tc>
        <w:tc>
          <w:tcPr>
            <w:tcW w:w="3780" w:type="dxa"/>
          </w:tcPr>
          <w:p w14:paraId="13D5327B" w14:textId="77777777" w:rsidR="000E309C" w:rsidRPr="006924C2" w:rsidRDefault="000E309C" w:rsidP="000E309C">
            <w:pPr>
              <w:spacing w:after="200" w:line="276" w:lineRule="auto"/>
              <w:contextualSpacing/>
              <w:rPr>
                <w:color w:val="000000" w:themeColor="text1"/>
                <w:sz w:val="22"/>
              </w:rPr>
            </w:pPr>
            <w:r w:rsidRPr="006924C2">
              <w:rPr>
                <w:color w:val="000000" w:themeColor="text1"/>
                <w:sz w:val="22"/>
              </w:rPr>
              <w:t xml:space="preserve">Self-administered once. The survey is expected to take 5 minutes to complete. </w:t>
            </w:r>
          </w:p>
        </w:tc>
      </w:tr>
    </w:tbl>
    <w:p w14:paraId="7008411C" w14:textId="77777777" w:rsidR="006924C2" w:rsidRDefault="006924C2" w:rsidP="008D770A">
      <w:pPr>
        <w:spacing w:after="200" w:line="276" w:lineRule="auto"/>
      </w:pPr>
    </w:p>
    <w:p w14:paraId="15470B27" w14:textId="04D1647A" w:rsidR="008D770A" w:rsidRDefault="008D770A" w:rsidP="008D770A">
      <w:pPr>
        <w:spacing w:after="200" w:line="276" w:lineRule="auto"/>
        <w:rPr>
          <w:color w:val="000000" w:themeColor="text1"/>
        </w:rPr>
      </w:pPr>
      <w:r w:rsidRPr="00F2652A">
        <w:rPr>
          <w:b/>
          <w:color w:val="000000" w:themeColor="text1"/>
        </w:rPr>
        <w:t>Table</w:t>
      </w:r>
      <w:r w:rsidR="00F2652A">
        <w:rPr>
          <w:b/>
          <w:color w:val="000000" w:themeColor="text1"/>
        </w:rPr>
        <w:t xml:space="preserve"> </w:t>
      </w:r>
      <w:r w:rsidR="00A54268">
        <w:rPr>
          <w:b/>
          <w:color w:val="000000" w:themeColor="text1"/>
        </w:rPr>
        <w:t>A.</w:t>
      </w:r>
      <w:r w:rsidR="000956AE">
        <w:rPr>
          <w:b/>
          <w:color w:val="000000" w:themeColor="text1"/>
        </w:rPr>
        <w:t>3</w:t>
      </w:r>
      <w:r w:rsidRPr="00F2652A">
        <w:rPr>
          <w:b/>
          <w:color w:val="000000" w:themeColor="text1"/>
        </w:rPr>
        <w:t xml:space="preserve">: </w:t>
      </w:r>
      <w:r w:rsidR="00F2652A">
        <w:rPr>
          <w:color w:val="000000" w:themeColor="text1"/>
        </w:rPr>
        <w:t>C</w:t>
      </w:r>
      <w:r w:rsidR="00F2652A" w:rsidRPr="00202FE2">
        <w:rPr>
          <w:color w:val="000000" w:themeColor="text1"/>
        </w:rPr>
        <w:t>rosswalk of each survey</w:t>
      </w:r>
      <w:r w:rsidR="00F2652A">
        <w:rPr>
          <w:color w:val="000000" w:themeColor="text1"/>
        </w:rPr>
        <w:t xml:space="preserve"> and </w:t>
      </w:r>
      <w:r w:rsidR="000956AE">
        <w:rPr>
          <w:color w:val="000000" w:themeColor="text1"/>
        </w:rPr>
        <w:t>its use in the program assessment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4060"/>
        <w:gridCol w:w="1800"/>
        <w:gridCol w:w="1980"/>
      </w:tblGrid>
      <w:tr w:rsidR="000E309C" w:rsidRPr="00202FE2" w14:paraId="2A67603E" w14:textId="77777777" w:rsidTr="00D74607">
        <w:trPr>
          <w:cantSplit/>
          <w:trHeight w:val="881"/>
        </w:trPr>
        <w:tc>
          <w:tcPr>
            <w:tcW w:w="2595" w:type="dxa"/>
            <w:hideMark/>
          </w:tcPr>
          <w:p w14:paraId="19EBE398" w14:textId="77777777" w:rsidR="000E309C" w:rsidRPr="00202FE2" w:rsidRDefault="000E309C" w:rsidP="000E309C">
            <w:pPr>
              <w:spacing w:after="200" w:line="276" w:lineRule="auto"/>
              <w:contextualSpacing/>
              <w:rPr>
                <w:color w:val="000000" w:themeColor="text1"/>
              </w:rPr>
            </w:pPr>
            <w:r w:rsidRPr="00202FE2">
              <w:rPr>
                <w:color w:val="000000" w:themeColor="text1"/>
              </w:rPr>
              <w:t>Data collection method</w:t>
            </w:r>
          </w:p>
        </w:tc>
        <w:tc>
          <w:tcPr>
            <w:tcW w:w="4060" w:type="dxa"/>
            <w:hideMark/>
          </w:tcPr>
          <w:p w14:paraId="0986FDE9" w14:textId="77777777" w:rsidR="000E309C" w:rsidRPr="00202FE2" w:rsidRDefault="000E309C" w:rsidP="000E309C">
            <w:pPr>
              <w:spacing w:after="200" w:line="276" w:lineRule="auto"/>
              <w:contextualSpacing/>
              <w:rPr>
                <w:color w:val="000000" w:themeColor="text1"/>
              </w:rPr>
            </w:pPr>
            <w:r w:rsidRPr="00202FE2">
              <w:rPr>
                <w:color w:val="000000" w:themeColor="text1"/>
              </w:rPr>
              <w:t>Respondents</w:t>
            </w:r>
          </w:p>
        </w:tc>
        <w:tc>
          <w:tcPr>
            <w:tcW w:w="1800" w:type="dxa"/>
            <w:hideMark/>
          </w:tcPr>
          <w:p w14:paraId="1AC79642" w14:textId="079FAA7C" w:rsidR="000E309C" w:rsidRPr="00202FE2" w:rsidRDefault="000E309C" w:rsidP="000956AE">
            <w:pPr>
              <w:spacing w:after="200" w:line="276" w:lineRule="auto"/>
              <w:contextualSpacing/>
              <w:rPr>
                <w:color w:val="000000" w:themeColor="text1"/>
              </w:rPr>
            </w:pPr>
            <w:r>
              <w:rPr>
                <w:color w:val="000000" w:themeColor="text1"/>
              </w:rPr>
              <w:t xml:space="preserve">Implementation </w:t>
            </w:r>
            <w:r w:rsidR="000956AE">
              <w:rPr>
                <w:color w:val="000000" w:themeColor="text1"/>
              </w:rPr>
              <w:t xml:space="preserve">Assessment </w:t>
            </w:r>
          </w:p>
        </w:tc>
        <w:tc>
          <w:tcPr>
            <w:tcW w:w="1980" w:type="dxa"/>
            <w:hideMark/>
          </w:tcPr>
          <w:p w14:paraId="75DC27CF" w14:textId="2B4B079F" w:rsidR="000E309C" w:rsidRDefault="000E309C" w:rsidP="000E309C">
            <w:pPr>
              <w:spacing w:after="200" w:line="276" w:lineRule="auto"/>
              <w:contextualSpacing/>
              <w:rPr>
                <w:color w:val="000000" w:themeColor="text1"/>
              </w:rPr>
            </w:pPr>
            <w:r>
              <w:rPr>
                <w:color w:val="000000" w:themeColor="text1"/>
              </w:rPr>
              <w:t>Impact</w:t>
            </w:r>
          </w:p>
          <w:p w14:paraId="19F01521" w14:textId="2FFE0F6D" w:rsidR="000E309C" w:rsidRPr="00202FE2" w:rsidRDefault="000956AE" w:rsidP="000E309C">
            <w:pPr>
              <w:spacing w:after="200" w:line="276" w:lineRule="auto"/>
              <w:contextualSpacing/>
              <w:rPr>
                <w:color w:val="000000" w:themeColor="text1"/>
              </w:rPr>
            </w:pPr>
            <w:r>
              <w:rPr>
                <w:color w:val="000000" w:themeColor="text1"/>
              </w:rPr>
              <w:t xml:space="preserve">Assessment </w:t>
            </w:r>
          </w:p>
        </w:tc>
      </w:tr>
      <w:tr w:rsidR="000E309C" w:rsidRPr="00202FE2" w14:paraId="745805B1" w14:textId="77777777" w:rsidTr="00D74607">
        <w:trPr>
          <w:cantSplit/>
          <w:trHeight w:val="15"/>
        </w:trPr>
        <w:tc>
          <w:tcPr>
            <w:tcW w:w="10435" w:type="dxa"/>
            <w:gridSpan w:val="4"/>
          </w:tcPr>
          <w:p w14:paraId="5AE3E86A" w14:textId="7B625236" w:rsidR="000E309C" w:rsidRPr="00202FE2" w:rsidRDefault="000E309C" w:rsidP="000E309C">
            <w:pPr>
              <w:spacing w:after="200" w:line="276" w:lineRule="auto"/>
              <w:contextualSpacing/>
              <w:jc w:val="center"/>
              <w:rPr>
                <w:b/>
                <w:color w:val="000000" w:themeColor="text1"/>
              </w:rPr>
            </w:pPr>
            <w:r w:rsidRPr="00202FE2">
              <w:rPr>
                <w:b/>
                <w:color w:val="000000" w:themeColor="text1"/>
              </w:rPr>
              <w:t xml:space="preserve">Data Collection requested </w:t>
            </w:r>
          </w:p>
        </w:tc>
      </w:tr>
      <w:tr w:rsidR="000E309C" w:rsidRPr="00202FE2" w14:paraId="64F297EB" w14:textId="77777777" w:rsidTr="00D74607">
        <w:trPr>
          <w:cantSplit/>
          <w:trHeight w:val="15"/>
        </w:trPr>
        <w:tc>
          <w:tcPr>
            <w:tcW w:w="2595" w:type="dxa"/>
            <w:hideMark/>
          </w:tcPr>
          <w:p w14:paraId="6FDF59AC" w14:textId="77777777" w:rsidR="000E309C" w:rsidRPr="00202FE2" w:rsidRDefault="000E309C" w:rsidP="000E309C">
            <w:pPr>
              <w:spacing w:after="200" w:line="276" w:lineRule="auto"/>
              <w:contextualSpacing/>
              <w:rPr>
                <w:color w:val="000000" w:themeColor="text1"/>
              </w:rPr>
            </w:pPr>
            <w:r w:rsidRPr="00202FE2">
              <w:rPr>
                <w:color w:val="000000" w:themeColor="text1"/>
              </w:rPr>
              <w:t xml:space="preserve">Patient </w:t>
            </w:r>
            <w:r>
              <w:t>Questionnaire</w:t>
            </w:r>
            <w:r w:rsidRPr="00202FE2">
              <w:rPr>
                <w:color w:val="000000" w:themeColor="text1"/>
              </w:rPr>
              <w:t>s</w:t>
            </w:r>
          </w:p>
          <w:p w14:paraId="66801DC8" w14:textId="75B6B08D" w:rsidR="000E309C" w:rsidRPr="00202FE2" w:rsidRDefault="00EA4EF1" w:rsidP="00EA4EF1">
            <w:pPr>
              <w:spacing w:after="200" w:line="276" w:lineRule="auto"/>
              <w:contextualSpacing/>
              <w:rPr>
                <w:color w:val="000000" w:themeColor="text1"/>
              </w:rPr>
            </w:pPr>
            <w:r w:rsidRPr="00202FE2">
              <w:rPr>
                <w:color w:val="000000" w:themeColor="text1"/>
              </w:rPr>
              <w:t>(</w:t>
            </w:r>
            <w:r w:rsidR="000E309C" w:rsidRPr="00202FE2">
              <w:rPr>
                <w:color w:val="000000" w:themeColor="text1"/>
              </w:rPr>
              <w:t>Pre</w:t>
            </w:r>
            <w:r w:rsidRPr="00202FE2">
              <w:rPr>
                <w:color w:val="000000" w:themeColor="text1"/>
              </w:rPr>
              <w:t xml:space="preserve">-Discharge </w:t>
            </w:r>
            <w:r>
              <w:rPr>
                <w:color w:val="000000" w:themeColor="text1"/>
              </w:rPr>
              <w:t>a</w:t>
            </w:r>
            <w:r w:rsidRPr="00202FE2">
              <w:rPr>
                <w:color w:val="000000" w:themeColor="text1"/>
              </w:rPr>
              <w:t xml:space="preserve">nd Post-Discharge) </w:t>
            </w:r>
          </w:p>
        </w:tc>
        <w:tc>
          <w:tcPr>
            <w:tcW w:w="4060" w:type="dxa"/>
            <w:hideMark/>
          </w:tcPr>
          <w:p w14:paraId="5C037D10" w14:textId="77777777" w:rsidR="000E309C" w:rsidRPr="00202FE2" w:rsidRDefault="000E309C" w:rsidP="000E309C">
            <w:pPr>
              <w:spacing w:after="200" w:line="276" w:lineRule="auto"/>
              <w:contextualSpacing/>
              <w:rPr>
                <w:color w:val="000000" w:themeColor="text1"/>
              </w:rPr>
            </w:pPr>
            <w:r w:rsidRPr="00202FE2">
              <w:rPr>
                <w:color w:val="000000" w:themeColor="text1"/>
              </w:rPr>
              <w:t>Older adults (65+) inpatient at USCF Medical Center at pre/</w:t>
            </w:r>
            <w:r>
              <w:rPr>
                <w:color w:val="000000" w:themeColor="text1"/>
              </w:rPr>
              <w:t>post-discharge</w:t>
            </w:r>
            <w:r w:rsidRPr="00202FE2">
              <w:rPr>
                <w:color w:val="000000" w:themeColor="text1"/>
              </w:rPr>
              <w:t xml:space="preserve"> </w:t>
            </w:r>
          </w:p>
        </w:tc>
        <w:tc>
          <w:tcPr>
            <w:tcW w:w="1800" w:type="dxa"/>
            <w:vAlign w:val="center"/>
            <w:hideMark/>
          </w:tcPr>
          <w:p w14:paraId="0CE1AEE0" w14:textId="77777777" w:rsidR="000E309C" w:rsidRPr="00202FE2" w:rsidRDefault="000E309C" w:rsidP="000E309C">
            <w:pPr>
              <w:spacing w:after="200" w:line="276" w:lineRule="auto"/>
              <w:contextualSpacing/>
              <w:rPr>
                <w:color w:val="000000" w:themeColor="text1"/>
              </w:rPr>
            </w:pPr>
          </w:p>
        </w:tc>
        <w:tc>
          <w:tcPr>
            <w:tcW w:w="1980" w:type="dxa"/>
            <w:vAlign w:val="center"/>
          </w:tcPr>
          <w:p w14:paraId="48FE759B" w14:textId="77777777" w:rsidR="000E309C" w:rsidRPr="00202FE2" w:rsidRDefault="000E309C" w:rsidP="000E309C">
            <w:pPr>
              <w:spacing w:after="200" w:line="276" w:lineRule="auto"/>
              <w:contextualSpacing/>
              <w:rPr>
                <w:color w:val="000000" w:themeColor="text1"/>
              </w:rPr>
            </w:pPr>
            <w:r w:rsidRPr="00202FE2">
              <w:rPr>
                <w:color w:val="000000" w:themeColor="text1"/>
              </w:rPr>
              <w:sym w:font="Symbol" w:char="00D6"/>
            </w:r>
          </w:p>
        </w:tc>
      </w:tr>
      <w:tr w:rsidR="000E309C" w:rsidRPr="00202FE2" w14:paraId="74139CB8" w14:textId="77777777" w:rsidTr="00D74607">
        <w:trPr>
          <w:cantSplit/>
          <w:trHeight w:val="15"/>
        </w:trPr>
        <w:tc>
          <w:tcPr>
            <w:tcW w:w="2595" w:type="dxa"/>
            <w:hideMark/>
          </w:tcPr>
          <w:p w14:paraId="49BAFFB1" w14:textId="4C83D751" w:rsidR="000E309C" w:rsidRPr="00202FE2" w:rsidRDefault="000E309C" w:rsidP="000E309C">
            <w:pPr>
              <w:spacing w:after="200" w:line="276" w:lineRule="auto"/>
              <w:contextualSpacing/>
              <w:rPr>
                <w:color w:val="000000" w:themeColor="text1"/>
              </w:rPr>
            </w:pPr>
            <w:r w:rsidRPr="00202FE2">
              <w:rPr>
                <w:color w:val="000000" w:themeColor="text1"/>
              </w:rPr>
              <w:t xml:space="preserve">UCSF </w:t>
            </w:r>
            <w:r w:rsidR="00FA345F">
              <w:rPr>
                <w:color w:val="000000" w:themeColor="text1"/>
              </w:rPr>
              <w:t>Clinical Staff Evaluation Questionnaire</w:t>
            </w:r>
          </w:p>
        </w:tc>
        <w:tc>
          <w:tcPr>
            <w:tcW w:w="4060" w:type="dxa"/>
            <w:hideMark/>
          </w:tcPr>
          <w:p w14:paraId="25F003AB" w14:textId="77777777" w:rsidR="000E309C" w:rsidRPr="00202FE2" w:rsidRDefault="000E309C" w:rsidP="000E309C">
            <w:pPr>
              <w:spacing w:after="200" w:line="276" w:lineRule="auto"/>
              <w:contextualSpacing/>
              <w:rPr>
                <w:color w:val="000000" w:themeColor="text1"/>
              </w:rPr>
            </w:pPr>
            <w:r w:rsidRPr="00202FE2">
              <w:rPr>
                <w:color w:val="000000" w:themeColor="text1"/>
              </w:rPr>
              <w:t>Clinical staff (nurses, pharmacists, physicians at UCSF)</w:t>
            </w:r>
          </w:p>
        </w:tc>
        <w:tc>
          <w:tcPr>
            <w:tcW w:w="1800" w:type="dxa"/>
            <w:vAlign w:val="center"/>
            <w:hideMark/>
          </w:tcPr>
          <w:p w14:paraId="03C96CD9" w14:textId="77777777" w:rsidR="000E309C" w:rsidRPr="00202FE2" w:rsidRDefault="000E309C" w:rsidP="000E309C">
            <w:pPr>
              <w:spacing w:after="200" w:line="276" w:lineRule="auto"/>
              <w:contextualSpacing/>
              <w:rPr>
                <w:color w:val="000000" w:themeColor="text1"/>
              </w:rPr>
            </w:pPr>
            <w:r w:rsidRPr="00202FE2">
              <w:rPr>
                <w:color w:val="000000" w:themeColor="text1"/>
              </w:rPr>
              <w:sym w:font="Symbol" w:char="00D6"/>
            </w:r>
          </w:p>
        </w:tc>
        <w:tc>
          <w:tcPr>
            <w:tcW w:w="1980" w:type="dxa"/>
            <w:vAlign w:val="center"/>
          </w:tcPr>
          <w:p w14:paraId="61617D5F" w14:textId="77777777" w:rsidR="000E309C" w:rsidRPr="00202FE2" w:rsidRDefault="000E309C" w:rsidP="000E309C">
            <w:pPr>
              <w:spacing w:after="200" w:line="276" w:lineRule="auto"/>
              <w:contextualSpacing/>
              <w:rPr>
                <w:color w:val="000000" w:themeColor="text1"/>
              </w:rPr>
            </w:pPr>
          </w:p>
        </w:tc>
      </w:tr>
      <w:tr w:rsidR="000E309C" w:rsidRPr="00202FE2" w14:paraId="714A156C" w14:textId="77777777" w:rsidTr="00D74607">
        <w:trPr>
          <w:cantSplit/>
          <w:trHeight w:val="15"/>
        </w:trPr>
        <w:tc>
          <w:tcPr>
            <w:tcW w:w="2595" w:type="dxa"/>
            <w:hideMark/>
          </w:tcPr>
          <w:p w14:paraId="2F703EAC" w14:textId="079C436A" w:rsidR="000E309C" w:rsidRPr="00202FE2" w:rsidRDefault="000E309C" w:rsidP="000E309C">
            <w:pPr>
              <w:spacing w:after="200" w:line="276" w:lineRule="auto"/>
              <w:contextualSpacing/>
              <w:rPr>
                <w:color w:val="000000" w:themeColor="text1"/>
              </w:rPr>
            </w:pPr>
            <w:r w:rsidRPr="00202FE2">
              <w:rPr>
                <w:color w:val="000000" w:themeColor="text1"/>
              </w:rPr>
              <w:t xml:space="preserve">PCP </w:t>
            </w:r>
            <w:r w:rsidR="00EA4EF1">
              <w:rPr>
                <w:color w:val="000000" w:themeColor="text1"/>
              </w:rPr>
              <w:t>Post-Discharge</w:t>
            </w:r>
            <w:r w:rsidR="00EA4EF1" w:rsidRPr="00202FE2">
              <w:rPr>
                <w:color w:val="000000" w:themeColor="text1"/>
              </w:rPr>
              <w:t xml:space="preserve"> </w:t>
            </w:r>
            <w:r>
              <w:t>Questionnaire</w:t>
            </w:r>
          </w:p>
        </w:tc>
        <w:tc>
          <w:tcPr>
            <w:tcW w:w="4060" w:type="dxa"/>
            <w:hideMark/>
          </w:tcPr>
          <w:p w14:paraId="002121D5" w14:textId="77777777" w:rsidR="000E309C" w:rsidRPr="00202FE2" w:rsidRDefault="000E309C" w:rsidP="000E309C">
            <w:pPr>
              <w:spacing w:after="200" w:line="276" w:lineRule="auto"/>
              <w:contextualSpacing/>
              <w:rPr>
                <w:color w:val="000000" w:themeColor="text1"/>
              </w:rPr>
            </w:pPr>
            <w:r w:rsidRPr="00202FE2">
              <w:rPr>
                <w:color w:val="000000" w:themeColor="text1"/>
              </w:rPr>
              <w:t>Primary care providers in the UCSF community identified in the patient’s EHR record</w:t>
            </w:r>
          </w:p>
        </w:tc>
        <w:tc>
          <w:tcPr>
            <w:tcW w:w="1800" w:type="dxa"/>
            <w:vAlign w:val="center"/>
            <w:hideMark/>
          </w:tcPr>
          <w:p w14:paraId="121B9796" w14:textId="77777777" w:rsidR="000E309C" w:rsidRPr="00202FE2" w:rsidRDefault="000E309C" w:rsidP="000E309C">
            <w:pPr>
              <w:spacing w:after="200" w:line="276" w:lineRule="auto"/>
              <w:contextualSpacing/>
              <w:rPr>
                <w:color w:val="000000" w:themeColor="text1"/>
              </w:rPr>
            </w:pPr>
            <w:r w:rsidRPr="00202FE2">
              <w:rPr>
                <w:color w:val="000000" w:themeColor="text1"/>
              </w:rPr>
              <w:sym w:font="Symbol" w:char="00D6"/>
            </w:r>
          </w:p>
        </w:tc>
        <w:tc>
          <w:tcPr>
            <w:tcW w:w="1980" w:type="dxa"/>
            <w:vAlign w:val="center"/>
          </w:tcPr>
          <w:p w14:paraId="4793199A" w14:textId="77777777" w:rsidR="000E309C" w:rsidRPr="00202FE2" w:rsidRDefault="000E309C" w:rsidP="000E309C">
            <w:pPr>
              <w:spacing w:after="200" w:line="276" w:lineRule="auto"/>
              <w:contextualSpacing/>
              <w:rPr>
                <w:color w:val="000000" w:themeColor="text1"/>
              </w:rPr>
            </w:pPr>
            <w:r w:rsidRPr="00202FE2">
              <w:rPr>
                <w:color w:val="000000" w:themeColor="text1"/>
              </w:rPr>
              <w:sym w:font="Symbol" w:char="00D6"/>
            </w:r>
          </w:p>
        </w:tc>
      </w:tr>
      <w:tr w:rsidR="000E309C" w:rsidRPr="00202FE2" w14:paraId="14E23DF7" w14:textId="77777777" w:rsidTr="00D74607">
        <w:trPr>
          <w:cantSplit/>
          <w:trHeight w:val="15"/>
        </w:trPr>
        <w:tc>
          <w:tcPr>
            <w:tcW w:w="10435" w:type="dxa"/>
            <w:gridSpan w:val="4"/>
          </w:tcPr>
          <w:p w14:paraId="4224B28A" w14:textId="77777777" w:rsidR="000E309C" w:rsidRPr="00202FE2" w:rsidRDefault="000E309C" w:rsidP="000E309C">
            <w:pPr>
              <w:spacing w:after="200" w:line="276" w:lineRule="auto"/>
              <w:contextualSpacing/>
              <w:jc w:val="center"/>
              <w:rPr>
                <w:b/>
                <w:color w:val="000000" w:themeColor="text1"/>
              </w:rPr>
            </w:pPr>
            <w:r w:rsidRPr="00202FE2">
              <w:rPr>
                <w:b/>
                <w:color w:val="000000" w:themeColor="text1"/>
              </w:rPr>
              <w:t>Data from alternate data sources</w:t>
            </w:r>
          </w:p>
        </w:tc>
      </w:tr>
      <w:tr w:rsidR="000E309C" w:rsidRPr="00202FE2" w14:paraId="3F9EE58E" w14:textId="77777777" w:rsidTr="00D74607">
        <w:trPr>
          <w:cantSplit/>
          <w:trHeight w:val="15"/>
        </w:trPr>
        <w:tc>
          <w:tcPr>
            <w:tcW w:w="2595" w:type="dxa"/>
          </w:tcPr>
          <w:p w14:paraId="466FDA70" w14:textId="77777777" w:rsidR="000E309C" w:rsidRPr="00202FE2" w:rsidRDefault="000E309C" w:rsidP="000E309C">
            <w:pPr>
              <w:spacing w:after="200" w:line="276" w:lineRule="auto"/>
              <w:contextualSpacing/>
              <w:rPr>
                <w:color w:val="000000" w:themeColor="text1"/>
              </w:rPr>
            </w:pPr>
            <w:r w:rsidRPr="00202FE2">
              <w:rPr>
                <w:color w:val="000000" w:themeColor="text1"/>
              </w:rPr>
              <w:t>Billing data</w:t>
            </w:r>
          </w:p>
        </w:tc>
        <w:tc>
          <w:tcPr>
            <w:tcW w:w="4060" w:type="dxa"/>
          </w:tcPr>
          <w:p w14:paraId="4C1BCCE2" w14:textId="77777777" w:rsidR="000E309C" w:rsidRPr="00202FE2" w:rsidRDefault="000E309C" w:rsidP="000E309C">
            <w:pPr>
              <w:spacing w:after="200" w:line="276" w:lineRule="auto"/>
              <w:contextualSpacing/>
              <w:rPr>
                <w:color w:val="000000" w:themeColor="text1"/>
              </w:rPr>
            </w:pPr>
            <w:r w:rsidRPr="00202FE2">
              <w:rPr>
                <w:color w:val="000000" w:themeColor="text1"/>
              </w:rPr>
              <w:t xml:space="preserve">Readmission encounters for fall recurrence </w:t>
            </w:r>
          </w:p>
        </w:tc>
        <w:tc>
          <w:tcPr>
            <w:tcW w:w="1800" w:type="dxa"/>
            <w:vAlign w:val="center"/>
          </w:tcPr>
          <w:p w14:paraId="618FDDE8" w14:textId="77777777" w:rsidR="000E309C" w:rsidRPr="00202FE2" w:rsidRDefault="000E309C" w:rsidP="000E309C">
            <w:pPr>
              <w:spacing w:after="200" w:line="276" w:lineRule="auto"/>
              <w:contextualSpacing/>
              <w:rPr>
                <w:color w:val="000000" w:themeColor="text1"/>
              </w:rPr>
            </w:pPr>
          </w:p>
        </w:tc>
        <w:tc>
          <w:tcPr>
            <w:tcW w:w="1980" w:type="dxa"/>
            <w:vAlign w:val="center"/>
          </w:tcPr>
          <w:p w14:paraId="6740E505" w14:textId="77777777" w:rsidR="000E309C" w:rsidRPr="00202FE2" w:rsidRDefault="000E309C" w:rsidP="000E309C">
            <w:pPr>
              <w:spacing w:after="200" w:line="276" w:lineRule="auto"/>
              <w:contextualSpacing/>
              <w:rPr>
                <w:b/>
                <w:color w:val="000000" w:themeColor="text1"/>
              </w:rPr>
            </w:pPr>
            <w:r w:rsidRPr="00202FE2">
              <w:rPr>
                <w:color w:val="000000" w:themeColor="text1"/>
              </w:rPr>
              <w:sym w:font="Symbol" w:char="00D6"/>
            </w:r>
          </w:p>
        </w:tc>
      </w:tr>
      <w:tr w:rsidR="000E309C" w:rsidRPr="00202FE2" w14:paraId="4DC8C5F3" w14:textId="77777777" w:rsidTr="00D74607">
        <w:trPr>
          <w:cantSplit/>
          <w:trHeight w:val="15"/>
        </w:trPr>
        <w:tc>
          <w:tcPr>
            <w:tcW w:w="2595" w:type="dxa"/>
          </w:tcPr>
          <w:p w14:paraId="4DD95246" w14:textId="77777777" w:rsidR="000E309C" w:rsidRPr="00202FE2" w:rsidRDefault="000E309C" w:rsidP="000E309C">
            <w:pPr>
              <w:spacing w:after="200" w:line="276" w:lineRule="auto"/>
              <w:contextualSpacing/>
              <w:rPr>
                <w:color w:val="000000" w:themeColor="text1"/>
              </w:rPr>
            </w:pPr>
            <w:r w:rsidRPr="00202FE2">
              <w:rPr>
                <w:color w:val="000000" w:themeColor="text1"/>
              </w:rPr>
              <w:t>Electronic Health Records</w:t>
            </w:r>
          </w:p>
        </w:tc>
        <w:tc>
          <w:tcPr>
            <w:tcW w:w="4060" w:type="dxa"/>
          </w:tcPr>
          <w:p w14:paraId="25363188" w14:textId="77777777" w:rsidR="000E309C" w:rsidRPr="00202FE2" w:rsidRDefault="000E309C" w:rsidP="000E309C">
            <w:pPr>
              <w:spacing w:after="200" w:line="276" w:lineRule="auto"/>
              <w:contextualSpacing/>
              <w:rPr>
                <w:color w:val="000000" w:themeColor="text1"/>
              </w:rPr>
            </w:pPr>
            <w:r w:rsidRPr="00202FE2">
              <w:rPr>
                <w:color w:val="000000" w:themeColor="text1"/>
              </w:rPr>
              <w:t xml:space="preserve">Identification of patients in the target population of the study; discrete clinical data for each patient, including Medication Administration Records and PCP information. </w:t>
            </w:r>
          </w:p>
        </w:tc>
        <w:tc>
          <w:tcPr>
            <w:tcW w:w="1800" w:type="dxa"/>
            <w:vAlign w:val="center"/>
          </w:tcPr>
          <w:p w14:paraId="2B16E9AD" w14:textId="77777777" w:rsidR="000E309C" w:rsidRPr="00202FE2" w:rsidRDefault="000E309C" w:rsidP="000E309C">
            <w:pPr>
              <w:spacing w:after="200" w:line="276" w:lineRule="auto"/>
              <w:contextualSpacing/>
              <w:rPr>
                <w:color w:val="000000" w:themeColor="text1"/>
              </w:rPr>
            </w:pPr>
            <w:r w:rsidRPr="00202FE2">
              <w:rPr>
                <w:color w:val="000000" w:themeColor="text1"/>
              </w:rPr>
              <w:sym w:font="Symbol" w:char="00D6"/>
            </w:r>
          </w:p>
        </w:tc>
        <w:tc>
          <w:tcPr>
            <w:tcW w:w="1980" w:type="dxa"/>
            <w:vAlign w:val="center"/>
          </w:tcPr>
          <w:p w14:paraId="290F5F53" w14:textId="77777777" w:rsidR="000E309C" w:rsidRPr="00202FE2" w:rsidRDefault="000E309C" w:rsidP="000E309C">
            <w:pPr>
              <w:spacing w:after="200" w:line="276" w:lineRule="auto"/>
              <w:contextualSpacing/>
              <w:rPr>
                <w:color w:val="000000" w:themeColor="text1"/>
              </w:rPr>
            </w:pPr>
            <w:r w:rsidRPr="00202FE2">
              <w:rPr>
                <w:color w:val="000000" w:themeColor="text1"/>
              </w:rPr>
              <w:sym w:font="Symbol" w:char="00D6"/>
            </w:r>
          </w:p>
        </w:tc>
      </w:tr>
      <w:tr w:rsidR="000E309C" w:rsidRPr="00202FE2" w14:paraId="13E3B2F3" w14:textId="77777777" w:rsidTr="00D74607">
        <w:trPr>
          <w:cantSplit/>
          <w:trHeight w:val="15"/>
        </w:trPr>
        <w:tc>
          <w:tcPr>
            <w:tcW w:w="2595" w:type="dxa"/>
          </w:tcPr>
          <w:p w14:paraId="2A5ECA1B" w14:textId="77777777" w:rsidR="000E309C" w:rsidRPr="00202FE2" w:rsidRDefault="000E309C" w:rsidP="000E309C">
            <w:pPr>
              <w:spacing w:after="200" w:line="276" w:lineRule="auto"/>
              <w:contextualSpacing/>
              <w:rPr>
                <w:color w:val="000000" w:themeColor="text1"/>
              </w:rPr>
            </w:pPr>
            <w:r w:rsidRPr="00202FE2">
              <w:rPr>
                <w:color w:val="000000" w:themeColor="text1"/>
              </w:rPr>
              <w:t>Clinical workflow observations and notes, and team meeting minutes</w:t>
            </w:r>
          </w:p>
        </w:tc>
        <w:tc>
          <w:tcPr>
            <w:tcW w:w="4060" w:type="dxa"/>
          </w:tcPr>
          <w:p w14:paraId="117C2496" w14:textId="77777777" w:rsidR="000E309C" w:rsidRPr="00202FE2" w:rsidRDefault="000E309C" w:rsidP="000E309C">
            <w:pPr>
              <w:spacing w:after="200" w:line="276" w:lineRule="auto"/>
              <w:contextualSpacing/>
              <w:rPr>
                <w:color w:val="000000" w:themeColor="text1"/>
              </w:rPr>
            </w:pPr>
            <w:r w:rsidRPr="00202FE2">
              <w:rPr>
                <w:color w:val="000000" w:themeColor="text1"/>
              </w:rPr>
              <w:t xml:space="preserve">Structured clinical observations on implementation of the falls prevention initiative with the opioid management component. </w:t>
            </w:r>
          </w:p>
        </w:tc>
        <w:tc>
          <w:tcPr>
            <w:tcW w:w="1800" w:type="dxa"/>
            <w:vAlign w:val="center"/>
          </w:tcPr>
          <w:p w14:paraId="62943980" w14:textId="77777777" w:rsidR="000E309C" w:rsidRPr="00202FE2" w:rsidRDefault="000E309C" w:rsidP="000E309C">
            <w:pPr>
              <w:spacing w:after="200" w:line="276" w:lineRule="auto"/>
              <w:contextualSpacing/>
              <w:rPr>
                <w:color w:val="000000" w:themeColor="text1"/>
              </w:rPr>
            </w:pPr>
            <w:r w:rsidRPr="00202FE2">
              <w:rPr>
                <w:color w:val="000000" w:themeColor="text1"/>
              </w:rPr>
              <w:sym w:font="Symbol" w:char="00D6"/>
            </w:r>
          </w:p>
        </w:tc>
        <w:tc>
          <w:tcPr>
            <w:tcW w:w="1980" w:type="dxa"/>
            <w:vAlign w:val="center"/>
          </w:tcPr>
          <w:p w14:paraId="6B6EC761" w14:textId="77777777" w:rsidR="000E309C" w:rsidRPr="00202FE2" w:rsidRDefault="000E309C" w:rsidP="000E309C">
            <w:pPr>
              <w:spacing w:after="200" w:line="276" w:lineRule="auto"/>
              <w:contextualSpacing/>
              <w:rPr>
                <w:color w:val="000000" w:themeColor="text1"/>
              </w:rPr>
            </w:pPr>
          </w:p>
        </w:tc>
      </w:tr>
    </w:tbl>
    <w:p w14:paraId="453CF6AC" w14:textId="77777777" w:rsidR="00D7078F" w:rsidRDefault="00D7078F" w:rsidP="008D770A">
      <w:pPr>
        <w:rPr>
          <w:b/>
        </w:rPr>
      </w:pPr>
    </w:p>
    <w:p w14:paraId="1B42D480" w14:textId="77777777" w:rsidR="00D7078F" w:rsidRDefault="00D7078F" w:rsidP="008D770A">
      <w:pPr>
        <w:rPr>
          <w:b/>
        </w:rPr>
      </w:pPr>
    </w:p>
    <w:p w14:paraId="16708CCA" w14:textId="029EFDC6" w:rsidR="002D720D" w:rsidRDefault="002D720D" w:rsidP="002D720D">
      <w:pPr>
        <w:rPr>
          <w:rFonts w:cstheme="minorHAnsi"/>
          <w:sz w:val="28"/>
        </w:rPr>
      </w:pPr>
    </w:p>
    <w:p w14:paraId="3A35AF5A" w14:textId="11D9BBC1" w:rsidR="008D770A" w:rsidRPr="000155E9" w:rsidRDefault="00F2652A" w:rsidP="008D770A">
      <w:pPr>
        <w:rPr>
          <w:b/>
        </w:rPr>
      </w:pPr>
      <w:r>
        <w:rPr>
          <w:b/>
        </w:rPr>
        <w:t>Table</w:t>
      </w:r>
      <w:r w:rsidR="00EA4EF1">
        <w:rPr>
          <w:b/>
        </w:rPr>
        <w:t>s</w:t>
      </w:r>
      <w:r>
        <w:rPr>
          <w:b/>
        </w:rPr>
        <w:t xml:space="preserve"> </w:t>
      </w:r>
      <w:r w:rsidR="00A54268">
        <w:rPr>
          <w:b/>
        </w:rPr>
        <w:t>A.</w:t>
      </w:r>
      <w:r w:rsidR="000956AE">
        <w:rPr>
          <w:b/>
        </w:rPr>
        <w:t>4.</w:t>
      </w:r>
      <w:r w:rsidR="00A54268">
        <w:rPr>
          <w:b/>
        </w:rPr>
        <w:t>a-d</w:t>
      </w:r>
      <w:r>
        <w:rPr>
          <w:b/>
        </w:rPr>
        <w:t xml:space="preserve">: </w:t>
      </w:r>
      <w:r w:rsidR="008D770A" w:rsidRPr="000155E9">
        <w:rPr>
          <w:b/>
        </w:rPr>
        <w:t xml:space="preserve"> Summary of Survey Crosswalk – Question and indicators. </w:t>
      </w:r>
      <w:r w:rsidR="008D770A" w:rsidRPr="000155E9">
        <w:rPr>
          <w:b/>
        </w:rPr>
        <w:tab/>
      </w:r>
    </w:p>
    <w:p w14:paraId="3894E5F0" w14:textId="77777777" w:rsidR="008D770A" w:rsidRPr="00202FE2" w:rsidRDefault="008D770A" w:rsidP="008D770A"/>
    <w:p w14:paraId="434604A6" w14:textId="7A48EA24" w:rsidR="008D770A" w:rsidRPr="00202FE2" w:rsidRDefault="005B7D0F" w:rsidP="008D770A">
      <w:r>
        <w:rPr>
          <w:b/>
        </w:rPr>
        <w:t xml:space="preserve">Table </w:t>
      </w:r>
      <w:r w:rsidR="00A54268">
        <w:rPr>
          <w:b/>
        </w:rPr>
        <w:t>A.</w:t>
      </w:r>
      <w:r w:rsidR="000956AE">
        <w:rPr>
          <w:b/>
        </w:rPr>
        <w:t>4</w:t>
      </w:r>
      <w:r>
        <w:rPr>
          <w:b/>
        </w:rPr>
        <w:t>.</w:t>
      </w:r>
      <w:r w:rsidR="00A54268">
        <w:rPr>
          <w:b/>
        </w:rPr>
        <w:t>a</w:t>
      </w:r>
      <w:r>
        <w:rPr>
          <w:b/>
        </w:rPr>
        <w:t xml:space="preserve">: </w:t>
      </w:r>
      <w:r w:rsidR="0039239B" w:rsidRPr="00F2652A">
        <w:rPr>
          <w:b/>
        </w:rPr>
        <w:t>Pre-discharge</w:t>
      </w:r>
      <w:r w:rsidR="008D770A" w:rsidRPr="00F2652A">
        <w:rPr>
          <w:b/>
        </w:rPr>
        <w:t xml:space="preserve"> Patient </w:t>
      </w:r>
      <w:r w:rsidR="005E674E" w:rsidRPr="00F2652A">
        <w:rPr>
          <w:b/>
        </w:rPr>
        <w:t xml:space="preserve">Questionnaire </w:t>
      </w:r>
      <w:r w:rsidR="00C34BFD">
        <w:t>(</w:t>
      </w:r>
      <w:r w:rsidR="00C34BFD" w:rsidRPr="005E674E">
        <w:rPr>
          <w:b/>
        </w:rPr>
        <w:t>Attachment E1</w:t>
      </w:r>
      <w:r w:rsidR="00C34BFD">
        <w:t>)</w:t>
      </w:r>
    </w:p>
    <w:tbl>
      <w:tblPr>
        <w:tblStyle w:val="TableGrid"/>
        <w:tblpPr w:leftFromText="180" w:rightFromText="180" w:vertAnchor="text" w:horzAnchor="margin" w:tblpY="29"/>
        <w:tblW w:w="0" w:type="auto"/>
        <w:tblLook w:val="04A0" w:firstRow="1" w:lastRow="0" w:firstColumn="1" w:lastColumn="0" w:noHBand="0" w:noVBand="1"/>
      </w:tblPr>
      <w:tblGrid>
        <w:gridCol w:w="1337"/>
        <w:gridCol w:w="3518"/>
        <w:gridCol w:w="2970"/>
        <w:gridCol w:w="1260"/>
      </w:tblGrid>
      <w:tr w:rsidR="00393582" w:rsidRPr="00202FE2" w14:paraId="1C661F37" w14:textId="705A40F2" w:rsidTr="00BE5C5D">
        <w:trPr>
          <w:trHeight w:val="577"/>
        </w:trPr>
        <w:tc>
          <w:tcPr>
            <w:tcW w:w="1337" w:type="dxa"/>
            <w:vAlign w:val="bottom"/>
          </w:tcPr>
          <w:p w14:paraId="702D33B0" w14:textId="77777777" w:rsidR="00393582" w:rsidRPr="00202FE2" w:rsidRDefault="00393582" w:rsidP="008C3C55">
            <w:r w:rsidRPr="00202FE2">
              <w:t>Question(s)</w:t>
            </w:r>
          </w:p>
          <w:p w14:paraId="1124C98C" w14:textId="77777777" w:rsidR="00393582" w:rsidRPr="00202FE2" w:rsidRDefault="00393582" w:rsidP="008C3C55">
            <w:r w:rsidRPr="00202FE2">
              <w:t xml:space="preserve"> </w:t>
            </w:r>
          </w:p>
        </w:tc>
        <w:tc>
          <w:tcPr>
            <w:tcW w:w="3518" w:type="dxa"/>
            <w:vAlign w:val="bottom"/>
          </w:tcPr>
          <w:p w14:paraId="4B54B4D5" w14:textId="40090DEF" w:rsidR="00393582" w:rsidRPr="00202FE2" w:rsidRDefault="00393582" w:rsidP="008C3C55">
            <w:r w:rsidRPr="00202FE2">
              <w:t>Description</w:t>
            </w:r>
          </w:p>
        </w:tc>
        <w:tc>
          <w:tcPr>
            <w:tcW w:w="2970" w:type="dxa"/>
            <w:vAlign w:val="bottom"/>
          </w:tcPr>
          <w:p w14:paraId="0BAA3955" w14:textId="4584270B" w:rsidR="00393582" w:rsidRPr="00202FE2" w:rsidRDefault="0055519F" w:rsidP="008C3C55">
            <w:r>
              <w:t xml:space="preserve">Validated </w:t>
            </w:r>
            <w:r w:rsidR="00393582" w:rsidRPr="00202FE2">
              <w:t xml:space="preserve">Indicator </w:t>
            </w:r>
            <w:r>
              <w:t>/ Source</w:t>
            </w:r>
          </w:p>
        </w:tc>
        <w:tc>
          <w:tcPr>
            <w:tcW w:w="1260" w:type="dxa"/>
          </w:tcPr>
          <w:p w14:paraId="2E95BF2D" w14:textId="36685E58" w:rsidR="00393582" w:rsidRPr="00202FE2" w:rsidRDefault="0055519F" w:rsidP="00F5789F">
            <w:r>
              <w:t>Role in Analysis</w:t>
            </w:r>
            <w:r w:rsidR="00393582">
              <w:t xml:space="preserve"> </w:t>
            </w:r>
          </w:p>
        </w:tc>
      </w:tr>
      <w:tr w:rsidR="00393582" w:rsidRPr="00202FE2" w14:paraId="7973EFEB" w14:textId="6187C2F6" w:rsidTr="00BE5C5D">
        <w:trPr>
          <w:trHeight w:val="395"/>
        </w:trPr>
        <w:tc>
          <w:tcPr>
            <w:tcW w:w="1337" w:type="dxa"/>
            <w:vAlign w:val="bottom"/>
          </w:tcPr>
          <w:p w14:paraId="14C83057" w14:textId="37ADF11D" w:rsidR="00393582" w:rsidRPr="00202FE2" w:rsidRDefault="00393582" w:rsidP="00EA4EF1">
            <w:r>
              <w:t>1-12</w:t>
            </w:r>
          </w:p>
        </w:tc>
        <w:tc>
          <w:tcPr>
            <w:tcW w:w="3518" w:type="dxa"/>
            <w:vAlign w:val="bottom"/>
          </w:tcPr>
          <w:p w14:paraId="5EF32549" w14:textId="77777777" w:rsidR="00393582" w:rsidRPr="00202FE2" w:rsidRDefault="00393582" w:rsidP="00EA4EF1">
            <w:r w:rsidRPr="00202FE2">
              <w:t xml:space="preserve">Patient reported health status inpatient prior to discharge </w:t>
            </w:r>
          </w:p>
        </w:tc>
        <w:tc>
          <w:tcPr>
            <w:tcW w:w="2970" w:type="dxa"/>
            <w:vAlign w:val="bottom"/>
          </w:tcPr>
          <w:p w14:paraId="30EA5DC0" w14:textId="7CDCB62F" w:rsidR="00393582" w:rsidRPr="0072573A" w:rsidRDefault="00393582" w:rsidP="00EA4EF1">
            <w:pPr>
              <w:rPr>
                <w:vertAlign w:val="superscript"/>
              </w:rPr>
            </w:pPr>
            <w:r w:rsidRPr="00202FE2">
              <w:t xml:space="preserve">SF-12 health assessment </w:t>
            </w:r>
            <w:r w:rsidR="0072573A">
              <w:rPr>
                <w:vertAlign w:val="superscript"/>
              </w:rPr>
              <w:t>1</w:t>
            </w:r>
          </w:p>
          <w:p w14:paraId="2A1B6EBC" w14:textId="77777777" w:rsidR="00393582" w:rsidRPr="00202FE2" w:rsidRDefault="00393582" w:rsidP="00EA4EF1"/>
        </w:tc>
        <w:tc>
          <w:tcPr>
            <w:tcW w:w="1260" w:type="dxa"/>
          </w:tcPr>
          <w:p w14:paraId="78EE596C" w14:textId="014A5C01" w:rsidR="00393582" w:rsidRPr="00202FE2" w:rsidRDefault="00393582" w:rsidP="00EA4EF1">
            <w:pPr>
              <w:jc w:val="center"/>
            </w:pPr>
            <w:r>
              <w:t>Adjuster</w:t>
            </w:r>
          </w:p>
        </w:tc>
      </w:tr>
      <w:tr w:rsidR="00393582" w:rsidRPr="00202FE2" w14:paraId="063764E4" w14:textId="6A75A089" w:rsidTr="00BE5C5D">
        <w:trPr>
          <w:trHeight w:val="70"/>
        </w:trPr>
        <w:tc>
          <w:tcPr>
            <w:tcW w:w="1337" w:type="dxa"/>
            <w:vAlign w:val="bottom"/>
          </w:tcPr>
          <w:p w14:paraId="6FC81177" w14:textId="44EBBAAE" w:rsidR="00393582" w:rsidRPr="00202FE2" w:rsidRDefault="00393582" w:rsidP="00EA4EF1">
            <w:r w:rsidRPr="00202FE2">
              <w:t>1</w:t>
            </w:r>
            <w:r>
              <w:t>3</w:t>
            </w:r>
            <w:r w:rsidRPr="00202FE2">
              <w:t xml:space="preserve"> </w:t>
            </w:r>
            <w:r w:rsidR="00E34FC4">
              <w:t>-</w:t>
            </w:r>
            <w:r w:rsidRPr="00202FE2">
              <w:t xml:space="preserve"> 1</w:t>
            </w:r>
            <w:r>
              <w:t>7</w:t>
            </w:r>
          </w:p>
        </w:tc>
        <w:tc>
          <w:tcPr>
            <w:tcW w:w="3518" w:type="dxa"/>
            <w:vAlign w:val="bottom"/>
          </w:tcPr>
          <w:p w14:paraId="6952EF40" w14:textId="77777777" w:rsidR="00393582" w:rsidRPr="00202FE2" w:rsidRDefault="00393582" w:rsidP="00EA4EF1">
            <w:r w:rsidRPr="00202FE2">
              <w:t>Patient reported activity limitations</w:t>
            </w:r>
          </w:p>
        </w:tc>
        <w:tc>
          <w:tcPr>
            <w:tcW w:w="2970" w:type="dxa"/>
            <w:vAlign w:val="bottom"/>
          </w:tcPr>
          <w:p w14:paraId="2DB14F2E" w14:textId="7199ADB8" w:rsidR="00393582" w:rsidRPr="0072573A" w:rsidRDefault="00393582" w:rsidP="00EA4EF1">
            <w:pPr>
              <w:rPr>
                <w:vertAlign w:val="superscript"/>
              </w:rPr>
            </w:pPr>
            <w:r w:rsidRPr="00202FE2">
              <w:t xml:space="preserve">Activities of daily living </w:t>
            </w:r>
            <w:r>
              <w:t>(ADL)</w:t>
            </w:r>
            <w:r w:rsidR="0072573A">
              <w:t xml:space="preserve"> </w:t>
            </w:r>
            <w:r w:rsidR="0072573A">
              <w:rPr>
                <w:vertAlign w:val="superscript"/>
              </w:rPr>
              <w:t>2</w:t>
            </w:r>
          </w:p>
        </w:tc>
        <w:tc>
          <w:tcPr>
            <w:tcW w:w="1260" w:type="dxa"/>
          </w:tcPr>
          <w:p w14:paraId="197F65F9" w14:textId="2BA81B70" w:rsidR="00393582" w:rsidRPr="00EA4EF1" w:rsidRDefault="00393582" w:rsidP="00EA4EF1">
            <w:pPr>
              <w:jc w:val="center"/>
            </w:pPr>
            <w:r w:rsidRPr="00EA4EF1">
              <w:t>Adjuster</w:t>
            </w:r>
          </w:p>
        </w:tc>
      </w:tr>
      <w:tr w:rsidR="00393582" w:rsidRPr="00202FE2" w14:paraId="52399073" w14:textId="3952E1C4" w:rsidTr="00BE5C5D">
        <w:trPr>
          <w:trHeight w:val="288"/>
        </w:trPr>
        <w:tc>
          <w:tcPr>
            <w:tcW w:w="1337" w:type="dxa"/>
            <w:vAlign w:val="bottom"/>
          </w:tcPr>
          <w:p w14:paraId="162635C1" w14:textId="22659096" w:rsidR="00393582" w:rsidRPr="00202FE2" w:rsidRDefault="00204CB2" w:rsidP="00EA4EF1">
            <w:r>
              <w:t>18-22</w:t>
            </w:r>
          </w:p>
        </w:tc>
        <w:tc>
          <w:tcPr>
            <w:tcW w:w="3518" w:type="dxa"/>
            <w:vAlign w:val="bottom"/>
          </w:tcPr>
          <w:p w14:paraId="52E8E60F" w14:textId="77777777" w:rsidR="00393582" w:rsidRPr="00202FE2" w:rsidRDefault="00393582" w:rsidP="00EA4EF1">
            <w:r w:rsidRPr="00202FE2">
              <w:t>Patient reported activity limitations</w:t>
            </w:r>
          </w:p>
        </w:tc>
        <w:tc>
          <w:tcPr>
            <w:tcW w:w="2970" w:type="dxa"/>
            <w:vAlign w:val="bottom"/>
          </w:tcPr>
          <w:p w14:paraId="4BCEA916" w14:textId="347C22A9" w:rsidR="00393582" w:rsidRPr="0072573A" w:rsidRDefault="00393582" w:rsidP="00EA4EF1">
            <w:pPr>
              <w:rPr>
                <w:vertAlign w:val="superscript"/>
              </w:rPr>
            </w:pPr>
            <w:r w:rsidRPr="00202FE2">
              <w:t>Instrumental activities of daily living</w:t>
            </w:r>
            <w:r>
              <w:t xml:space="preserve"> (IADL)</w:t>
            </w:r>
            <w:r w:rsidR="0072573A">
              <w:t xml:space="preserve"> </w:t>
            </w:r>
            <w:r w:rsidR="0072573A">
              <w:rPr>
                <w:vertAlign w:val="superscript"/>
              </w:rPr>
              <w:t>3</w:t>
            </w:r>
          </w:p>
        </w:tc>
        <w:tc>
          <w:tcPr>
            <w:tcW w:w="1260" w:type="dxa"/>
          </w:tcPr>
          <w:p w14:paraId="5A8C96A5" w14:textId="36CF09EE" w:rsidR="00393582" w:rsidRPr="00EA4EF1" w:rsidRDefault="00204CB2" w:rsidP="00EA4EF1">
            <w:pPr>
              <w:jc w:val="center"/>
            </w:pPr>
            <w:r w:rsidRPr="00EA4EF1">
              <w:t>Adjuster</w:t>
            </w:r>
          </w:p>
        </w:tc>
      </w:tr>
      <w:tr w:rsidR="0015060A" w:rsidRPr="00202FE2" w14:paraId="79244325" w14:textId="77777777" w:rsidTr="00BE5C5D">
        <w:trPr>
          <w:trHeight w:val="288"/>
        </w:trPr>
        <w:tc>
          <w:tcPr>
            <w:tcW w:w="1337" w:type="dxa"/>
            <w:vAlign w:val="bottom"/>
          </w:tcPr>
          <w:p w14:paraId="769B20F5" w14:textId="63C47141" w:rsidR="0015060A" w:rsidRDefault="0015060A" w:rsidP="00EA4EF1">
            <w:r>
              <w:t>23</w:t>
            </w:r>
          </w:p>
        </w:tc>
        <w:tc>
          <w:tcPr>
            <w:tcW w:w="3518" w:type="dxa"/>
            <w:vAlign w:val="bottom"/>
          </w:tcPr>
          <w:p w14:paraId="384C57CE" w14:textId="770CAD14" w:rsidR="0015060A" w:rsidRPr="00202FE2" w:rsidRDefault="00BE5C5D" w:rsidP="00EA4EF1">
            <w:r>
              <w:t>Patient social support system</w:t>
            </w:r>
          </w:p>
        </w:tc>
        <w:tc>
          <w:tcPr>
            <w:tcW w:w="2970" w:type="dxa"/>
            <w:vAlign w:val="bottom"/>
          </w:tcPr>
          <w:p w14:paraId="63D15CF7" w14:textId="7AA5A129" w:rsidR="0015060A" w:rsidRPr="00202FE2" w:rsidRDefault="00BE5C5D" w:rsidP="00EA4EF1">
            <w:r>
              <w:t xml:space="preserve">Social support </w:t>
            </w:r>
            <w:r w:rsidR="00D47C05">
              <w:t>beyond a spouse/partner</w:t>
            </w:r>
          </w:p>
        </w:tc>
        <w:tc>
          <w:tcPr>
            <w:tcW w:w="1260" w:type="dxa"/>
          </w:tcPr>
          <w:p w14:paraId="71E8557B" w14:textId="473DC984" w:rsidR="0015060A" w:rsidRDefault="00BE5C5D" w:rsidP="00EA4EF1">
            <w:pPr>
              <w:jc w:val="center"/>
            </w:pPr>
            <w:r>
              <w:t>Adjuster</w:t>
            </w:r>
          </w:p>
        </w:tc>
      </w:tr>
      <w:tr w:rsidR="00393582" w:rsidRPr="00202FE2" w14:paraId="16697258" w14:textId="4D5E88F0" w:rsidTr="00BE5C5D">
        <w:trPr>
          <w:trHeight w:val="288"/>
        </w:trPr>
        <w:tc>
          <w:tcPr>
            <w:tcW w:w="1337" w:type="dxa"/>
            <w:vAlign w:val="bottom"/>
          </w:tcPr>
          <w:p w14:paraId="0567755B" w14:textId="1E61B180" w:rsidR="00393582" w:rsidRPr="00202FE2" w:rsidRDefault="00E85284" w:rsidP="00EA4EF1">
            <w:r>
              <w:t>24-25</w:t>
            </w:r>
          </w:p>
        </w:tc>
        <w:tc>
          <w:tcPr>
            <w:tcW w:w="3518" w:type="dxa"/>
            <w:vAlign w:val="bottom"/>
          </w:tcPr>
          <w:p w14:paraId="6D0DD4E9" w14:textId="77777777" w:rsidR="00393582" w:rsidRPr="00202FE2" w:rsidRDefault="00393582" w:rsidP="00EA4EF1">
            <w:r w:rsidRPr="00202FE2">
              <w:t>Patient reported falls and risk for falls</w:t>
            </w:r>
          </w:p>
        </w:tc>
        <w:tc>
          <w:tcPr>
            <w:tcW w:w="2970" w:type="dxa"/>
            <w:vAlign w:val="bottom"/>
          </w:tcPr>
          <w:p w14:paraId="46ADD8F8" w14:textId="6B49506C" w:rsidR="00393582" w:rsidRPr="00202FE2" w:rsidRDefault="00393582" w:rsidP="0015060A">
            <w:r w:rsidRPr="00202FE2">
              <w:t>Falls and risks for falls</w:t>
            </w:r>
            <w:r w:rsidR="0072573A">
              <w:t xml:space="preserve"> </w:t>
            </w:r>
            <w:r w:rsidR="0015060A">
              <w:rPr>
                <w:vertAlign w:val="superscript"/>
              </w:rPr>
              <w:t>5</w:t>
            </w:r>
          </w:p>
        </w:tc>
        <w:tc>
          <w:tcPr>
            <w:tcW w:w="1260" w:type="dxa"/>
          </w:tcPr>
          <w:p w14:paraId="5A27674A" w14:textId="1B8C0866" w:rsidR="00393582" w:rsidRPr="00202FE2" w:rsidRDefault="00A44EF3" w:rsidP="00EA4EF1">
            <w:pPr>
              <w:jc w:val="center"/>
            </w:pPr>
            <w:r>
              <w:t xml:space="preserve">Outcome, </w:t>
            </w:r>
            <w:r w:rsidR="00E85284">
              <w:t>Adjuster</w:t>
            </w:r>
          </w:p>
        </w:tc>
      </w:tr>
      <w:tr w:rsidR="00E85284" w:rsidRPr="00202FE2" w14:paraId="76F508B2" w14:textId="77777777" w:rsidTr="00BE5C5D">
        <w:trPr>
          <w:trHeight w:val="288"/>
        </w:trPr>
        <w:tc>
          <w:tcPr>
            <w:tcW w:w="1337" w:type="dxa"/>
            <w:vAlign w:val="bottom"/>
          </w:tcPr>
          <w:p w14:paraId="6750888A" w14:textId="6BFDD984" w:rsidR="00E85284" w:rsidRPr="00202FE2" w:rsidRDefault="00E85284" w:rsidP="00EA4EF1">
            <w:r>
              <w:t>26-31</w:t>
            </w:r>
          </w:p>
        </w:tc>
        <w:tc>
          <w:tcPr>
            <w:tcW w:w="3518" w:type="dxa"/>
            <w:vAlign w:val="bottom"/>
          </w:tcPr>
          <w:p w14:paraId="17930F72" w14:textId="0906D8DC" w:rsidR="00E85284" w:rsidRPr="00202FE2" w:rsidRDefault="00E85284" w:rsidP="00EA4EF1">
            <w:r>
              <w:t>Patient knowledge, attitudes, beliefs about falls</w:t>
            </w:r>
          </w:p>
        </w:tc>
        <w:tc>
          <w:tcPr>
            <w:tcW w:w="2970" w:type="dxa"/>
            <w:vAlign w:val="bottom"/>
          </w:tcPr>
          <w:p w14:paraId="7FC43ECF" w14:textId="46FAD66F" w:rsidR="00E85284" w:rsidRPr="00BE5C5D" w:rsidRDefault="00E9583C" w:rsidP="00EA4EF1">
            <w:pPr>
              <w:rPr>
                <w:vertAlign w:val="superscript"/>
              </w:rPr>
            </w:pPr>
            <w:r>
              <w:t xml:space="preserve">Patient’s beliefs </w:t>
            </w:r>
            <w:r w:rsidR="00BE5C5D">
              <w:rPr>
                <w:vertAlign w:val="superscript"/>
              </w:rPr>
              <w:t>6</w:t>
            </w:r>
          </w:p>
        </w:tc>
        <w:tc>
          <w:tcPr>
            <w:tcW w:w="1260" w:type="dxa"/>
          </w:tcPr>
          <w:p w14:paraId="26AA8675" w14:textId="3926E3F9" w:rsidR="00E85284" w:rsidRPr="00EA4EF1" w:rsidRDefault="00E85284" w:rsidP="00EA4EF1">
            <w:pPr>
              <w:jc w:val="center"/>
            </w:pPr>
            <w:r w:rsidRPr="00EA4EF1">
              <w:t>Adjuster</w:t>
            </w:r>
          </w:p>
        </w:tc>
      </w:tr>
      <w:tr w:rsidR="00290037" w:rsidRPr="00202FE2" w14:paraId="4DAEDF6D" w14:textId="77777777" w:rsidTr="00BE5C5D">
        <w:trPr>
          <w:trHeight w:val="288"/>
        </w:trPr>
        <w:tc>
          <w:tcPr>
            <w:tcW w:w="1337" w:type="dxa"/>
            <w:vAlign w:val="bottom"/>
          </w:tcPr>
          <w:p w14:paraId="5CC73BF6" w14:textId="2695533B" w:rsidR="00290037" w:rsidRDefault="00290037" w:rsidP="00EA4EF1">
            <w:r>
              <w:t>32-33</w:t>
            </w:r>
          </w:p>
        </w:tc>
        <w:tc>
          <w:tcPr>
            <w:tcW w:w="3518" w:type="dxa"/>
            <w:vAlign w:val="bottom"/>
          </w:tcPr>
          <w:p w14:paraId="625430D8" w14:textId="536D8461" w:rsidR="00290037" w:rsidRDefault="00290037" w:rsidP="00EA4EF1">
            <w:r>
              <w:t>Patient use and misuse of alcohol</w:t>
            </w:r>
          </w:p>
        </w:tc>
        <w:tc>
          <w:tcPr>
            <w:tcW w:w="2970" w:type="dxa"/>
            <w:vAlign w:val="bottom"/>
          </w:tcPr>
          <w:p w14:paraId="52E2BE90" w14:textId="02B38E21" w:rsidR="00290037" w:rsidRPr="00290037" w:rsidRDefault="00290037" w:rsidP="00EA4EF1">
            <w:pPr>
              <w:rPr>
                <w:vertAlign w:val="superscript"/>
              </w:rPr>
            </w:pPr>
            <w:r>
              <w:t>Alcohol use</w:t>
            </w:r>
            <w:r>
              <w:rPr>
                <w:vertAlign w:val="superscript"/>
              </w:rPr>
              <w:t>7</w:t>
            </w:r>
          </w:p>
        </w:tc>
        <w:tc>
          <w:tcPr>
            <w:tcW w:w="1260" w:type="dxa"/>
          </w:tcPr>
          <w:p w14:paraId="5FB569F6" w14:textId="512D1F88" w:rsidR="00290037" w:rsidRPr="00EA4EF1" w:rsidRDefault="0093257A" w:rsidP="00EA4EF1">
            <w:pPr>
              <w:jc w:val="center"/>
            </w:pPr>
            <w:r>
              <w:t>Adjuster</w:t>
            </w:r>
          </w:p>
        </w:tc>
      </w:tr>
      <w:tr w:rsidR="00393582" w:rsidRPr="00202FE2" w14:paraId="6A43F696" w14:textId="3C67F39A" w:rsidTr="00BE5C5D">
        <w:trPr>
          <w:trHeight w:val="288"/>
        </w:trPr>
        <w:tc>
          <w:tcPr>
            <w:tcW w:w="1337" w:type="dxa"/>
            <w:vAlign w:val="bottom"/>
          </w:tcPr>
          <w:p w14:paraId="6654620C" w14:textId="6991772D" w:rsidR="00393582" w:rsidRPr="00202FE2" w:rsidRDefault="00290037" w:rsidP="00290037">
            <w:r>
              <w:t>34</w:t>
            </w:r>
            <w:r w:rsidR="00A44EF3">
              <w:t>-</w:t>
            </w:r>
            <w:r>
              <w:t>50</w:t>
            </w:r>
          </w:p>
        </w:tc>
        <w:tc>
          <w:tcPr>
            <w:tcW w:w="3518" w:type="dxa"/>
            <w:vAlign w:val="bottom"/>
          </w:tcPr>
          <w:p w14:paraId="4E425C85" w14:textId="77777777" w:rsidR="00393582" w:rsidRPr="00202FE2" w:rsidRDefault="00393582" w:rsidP="00EA4EF1">
            <w:r w:rsidRPr="00202FE2">
              <w:t>Patient reported pain assessment</w:t>
            </w:r>
          </w:p>
        </w:tc>
        <w:tc>
          <w:tcPr>
            <w:tcW w:w="2970" w:type="dxa"/>
            <w:vAlign w:val="bottom"/>
          </w:tcPr>
          <w:p w14:paraId="62E44550" w14:textId="37D72A1E" w:rsidR="00393582" w:rsidRPr="00202FE2" w:rsidRDefault="00393582" w:rsidP="00EA4EF1">
            <w:r w:rsidRPr="00202FE2">
              <w:t>Pain and approaches to caring for pain</w:t>
            </w:r>
            <w:r w:rsidR="00BE5C5D">
              <w:t xml:space="preserve"> </w:t>
            </w:r>
            <w:r w:rsidR="00A85E4C">
              <w:rPr>
                <w:vertAlign w:val="superscript"/>
              </w:rPr>
              <w:t>8</w:t>
            </w:r>
            <w:r w:rsidR="00290037">
              <w:rPr>
                <w:vertAlign w:val="superscript"/>
              </w:rPr>
              <w:t>, 9</w:t>
            </w:r>
          </w:p>
        </w:tc>
        <w:tc>
          <w:tcPr>
            <w:tcW w:w="1260" w:type="dxa"/>
          </w:tcPr>
          <w:p w14:paraId="3D4CADA6" w14:textId="22AC1779" w:rsidR="00393582" w:rsidRPr="00EA4EF1" w:rsidRDefault="00A44EF3" w:rsidP="00EA4EF1">
            <w:pPr>
              <w:jc w:val="center"/>
            </w:pPr>
            <w:r w:rsidRPr="00EA4EF1">
              <w:t>Outcome, Adjuster</w:t>
            </w:r>
          </w:p>
        </w:tc>
      </w:tr>
      <w:tr w:rsidR="001F66EA" w:rsidRPr="00202FE2" w14:paraId="1533BF71" w14:textId="77777777" w:rsidTr="00BE5C5D">
        <w:trPr>
          <w:trHeight w:val="288"/>
        </w:trPr>
        <w:tc>
          <w:tcPr>
            <w:tcW w:w="1337" w:type="dxa"/>
            <w:vAlign w:val="bottom"/>
          </w:tcPr>
          <w:p w14:paraId="453A65C8" w14:textId="0ED74C60" w:rsidR="001F66EA" w:rsidRDefault="00290037" w:rsidP="001F66EA">
            <w:r>
              <w:t>51</w:t>
            </w:r>
          </w:p>
        </w:tc>
        <w:tc>
          <w:tcPr>
            <w:tcW w:w="3518" w:type="dxa"/>
            <w:vAlign w:val="bottom"/>
          </w:tcPr>
          <w:p w14:paraId="6C5F8D3C" w14:textId="0C8F1D63" w:rsidR="001F66EA" w:rsidRPr="00202FE2" w:rsidRDefault="001F66EA" w:rsidP="001F66EA">
            <w:r w:rsidRPr="00202FE2">
              <w:t>General patient status</w:t>
            </w:r>
          </w:p>
        </w:tc>
        <w:tc>
          <w:tcPr>
            <w:tcW w:w="2970" w:type="dxa"/>
            <w:vAlign w:val="bottom"/>
          </w:tcPr>
          <w:p w14:paraId="28BA1FFF" w14:textId="696723F9" w:rsidR="001F66EA" w:rsidRPr="00202FE2" w:rsidRDefault="001F66EA" w:rsidP="001F66EA">
            <w:r w:rsidRPr="00202FE2">
              <w:t>Patient comment</w:t>
            </w:r>
          </w:p>
        </w:tc>
        <w:tc>
          <w:tcPr>
            <w:tcW w:w="1260" w:type="dxa"/>
          </w:tcPr>
          <w:p w14:paraId="076A5461" w14:textId="77777777" w:rsidR="001F66EA" w:rsidRPr="00EA4EF1" w:rsidRDefault="001F66EA" w:rsidP="001F66EA">
            <w:pPr>
              <w:jc w:val="center"/>
            </w:pPr>
          </w:p>
        </w:tc>
      </w:tr>
    </w:tbl>
    <w:p w14:paraId="50D48399" w14:textId="543CE18B" w:rsidR="008D770A" w:rsidRDefault="008D770A" w:rsidP="00EA4EF1">
      <w:pPr>
        <w:rPr>
          <w:rFonts w:ascii="Times" w:hAnsi="Times" w:cs="Times"/>
          <w:sz w:val="22"/>
          <w:szCs w:val="22"/>
        </w:rPr>
      </w:pPr>
    </w:p>
    <w:p w14:paraId="3EA56FFB" w14:textId="03EB7D8F" w:rsidR="00710C5C" w:rsidRDefault="00710C5C" w:rsidP="00EA4EF1">
      <w:pPr>
        <w:rPr>
          <w:rFonts w:ascii="Times" w:hAnsi="Times" w:cs="Times"/>
          <w:sz w:val="22"/>
          <w:szCs w:val="22"/>
        </w:rPr>
      </w:pPr>
    </w:p>
    <w:p w14:paraId="7C3C790A" w14:textId="3764C501" w:rsidR="00710C5C" w:rsidRDefault="00710C5C" w:rsidP="00EA4EF1">
      <w:pPr>
        <w:rPr>
          <w:rFonts w:ascii="Times" w:hAnsi="Times" w:cs="Times"/>
          <w:sz w:val="22"/>
          <w:szCs w:val="22"/>
        </w:rPr>
      </w:pPr>
    </w:p>
    <w:p w14:paraId="2FE68BA9" w14:textId="6ED99151" w:rsidR="00710C5C" w:rsidRDefault="00710C5C" w:rsidP="00EA4EF1">
      <w:pPr>
        <w:rPr>
          <w:rFonts w:ascii="Times" w:hAnsi="Times" w:cs="Times"/>
          <w:sz w:val="22"/>
          <w:szCs w:val="22"/>
        </w:rPr>
      </w:pPr>
    </w:p>
    <w:p w14:paraId="2BA8C996" w14:textId="0D1CDACE" w:rsidR="00710C5C" w:rsidRDefault="00710C5C" w:rsidP="00EA4EF1">
      <w:pPr>
        <w:rPr>
          <w:rFonts w:ascii="Times" w:hAnsi="Times" w:cs="Times"/>
          <w:sz w:val="22"/>
          <w:szCs w:val="22"/>
        </w:rPr>
      </w:pPr>
    </w:p>
    <w:p w14:paraId="2702DB51" w14:textId="6886472F" w:rsidR="00710C5C" w:rsidRDefault="00710C5C" w:rsidP="00EA4EF1">
      <w:pPr>
        <w:rPr>
          <w:rFonts w:ascii="Times" w:hAnsi="Times" w:cs="Times"/>
          <w:sz w:val="22"/>
          <w:szCs w:val="22"/>
        </w:rPr>
      </w:pPr>
    </w:p>
    <w:p w14:paraId="0265C01A" w14:textId="70B1718A" w:rsidR="00710C5C" w:rsidRDefault="00710C5C" w:rsidP="00EA4EF1">
      <w:pPr>
        <w:rPr>
          <w:rFonts w:ascii="Times" w:hAnsi="Times" w:cs="Times"/>
          <w:sz w:val="22"/>
          <w:szCs w:val="22"/>
        </w:rPr>
      </w:pPr>
    </w:p>
    <w:p w14:paraId="625DA60E" w14:textId="2E17B87B" w:rsidR="00710C5C" w:rsidRDefault="00710C5C" w:rsidP="00EA4EF1">
      <w:pPr>
        <w:rPr>
          <w:rFonts w:ascii="Times" w:hAnsi="Times" w:cs="Times"/>
          <w:sz w:val="22"/>
          <w:szCs w:val="22"/>
        </w:rPr>
      </w:pPr>
    </w:p>
    <w:p w14:paraId="5F0D15F5" w14:textId="7D560B6A" w:rsidR="00710C5C" w:rsidRDefault="00710C5C" w:rsidP="00EA4EF1">
      <w:pPr>
        <w:rPr>
          <w:rFonts w:ascii="Times" w:hAnsi="Times" w:cs="Times"/>
          <w:sz w:val="22"/>
          <w:szCs w:val="22"/>
        </w:rPr>
      </w:pPr>
    </w:p>
    <w:p w14:paraId="6900D45F" w14:textId="38F0E330" w:rsidR="00710C5C" w:rsidRDefault="00710C5C" w:rsidP="00EA4EF1">
      <w:pPr>
        <w:rPr>
          <w:rFonts w:ascii="Times" w:hAnsi="Times" w:cs="Times"/>
          <w:sz w:val="22"/>
          <w:szCs w:val="22"/>
        </w:rPr>
      </w:pPr>
    </w:p>
    <w:p w14:paraId="0C48849A" w14:textId="08BEC273" w:rsidR="00710C5C" w:rsidRDefault="00710C5C" w:rsidP="00EA4EF1">
      <w:pPr>
        <w:rPr>
          <w:rFonts w:ascii="Times" w:hAnsi="Times" w:cs="Times"/>
          <w:sz w:val="22"/>
          <w:szCs w:val="22"/>
        </w:rPr>
      </w:pPr>
    </w:p>
    <w:p w14:paraId="19366D87" w14:textId="40C7D4A0" w:rsidR="00710C5C" w:rsidRDefault="00710C5C" w:rsidP="00EA4EF1">
      <w:pPr>
        <w:rPr>
          <w:rFonts w:ascii="Times" w:hAnsi="Times" w:cs="Times"/>
          <w:sz w:val="22"/>
          <w:szCs w:val="22"/>
        </w:rPr>
      </w:pPr>
    </w:p>
    <w:p w14:paraId="4D34E7C6" w14:textId="63E3D48A" w:rsidR="00710C5C" w:rsidRDefault="00710C5C" w:rsidP="00EA4EF1">
      <w:pPr>
        <w:rPr>
          <w:rFonts w:ascii="Times" w:hAnsi="Times" w:cs="Times"/>
          <w:sz w:val="22"/>
          <w:szCs w:val="22"/>
        </w:rPr>
      </w:pPr>
    </w:p>
    <w:p w14:paraId="365D9C15" w14:textId="45EAB17A" w:rsidR="00710C5C" w:rsidRDefault="00710C5C" w:rsidP="00EA4EF1">
      <w:pPr>
        <w:rPr>
          <w:rFonts w:ascii="Times" w:hAnsi="Times" w:cs="Times"/>
          <w:sz w:val="22"/>
          <w:szCs w:val="22"/>
        </w:rPr>
      </w:pPr>
    </w:p>
    <w:p w14:paraId="57A75D7A" w14:textId="25412825" w:rsidR="00710C5C" w:rsidRDefault="00710C5C" w:rsidP="00EA4EF1">
      <w:pPr>
        <w:rPr>
          <w:rFonts w:ascii="Times" w:hAnsi="Times" w:cs="Times"/>
          <w:sz w:val="22"/>
          <w:szCs w:val="22"/>
        </w:rPr>
      </w:pPr>
    </w:p>
    <w:p w14:paraId="4FADD933" w14:textId="0187957A" w:rsidR="00710C5C" w:rsidRDefault="00710C5C" w:rsidP="00EA4EF1">
      <w:pPr>
        <w:rPr>
          <w:rFonts w:ascii="Times" w:hAnsi="Times" w:cs="Times"/>
          <w:sz w:val="22"/>
          <w:szCs w:val="22"/>
        </w:rPr>
      </w:pPr>
    </w:p>
    <w:p w14:paraId="497E11B5" w14:textId="1E64B98D" w:rsidR="00710C5C" w:rsidRDefault="00710C5C" w:rsidP="00EA4EF1">
      <w:pPr>
        <w:rPr>
          <w:rFonts w:ascii="Times" w:hAnsi="Times" w:cs="Times"/>
          <w:sz w:val="22"/>
          <w:szCs w:val="22"/>
        </w:rPr>
      </w:pPr>
    </w:p>
    <w:p w14:paraId="192F1790" w14:textId="6044A71E" w:rsidR="00710C5C" w:rsidRDefault="00710C5C" w:rsidP="00EA4EF1">
      <w:pPr>
        <w:rPr>
          <w:rFonts w:ascii="Times" w:hAnsi="Times" w:cs="Times"/>
          <w:sz w:val="22"/>
          <w:szCs w:val="22"/>
        </w:rPr>
      </w:pPr>
    </w:p>
    <w:p w14:paraId="44CC175E" w14:textId="389499DD" w:rsidR="00710C5C" w:rsidRDefault="00710C5C" w:rsidP="00EA4EF1">
      <w:pPr>
        <w:rPr>
          <w:rFonts w:ascii="Times" w:hAnsi="Times" w:cs="Times"/>
          <w:sz w:val="22"/>
          <w:szCs w:val="22"/>
        </w:rPr>
      </w:pPr>
    </w:p>
    <w:p w14:paraId="37DF7A65" w14:textId="77710980" w:rsidR="00710C5C" w:rsidRDefault="00710C5C" w:rsidP="00EA4EF1">
      <w:pPr>
        <w:rPr>
          <w:rFonts w:ascii="Times" w:hAnsi="Times" w:cs="Times"/>
          <w:sz w:val="22"/>
          <w:szCs w:val="22"/>
        </w:rPr>
      </w:pPr>
    </w:p>
    <w:p w14:paraId="46867C65" w14:textId="661D256A" w:rsidR="00710C5C" w:rsidRDefault="00710C5C" w:rsidP="00EA4EF1">
      <w:pPr>
        <w:rPr>
          <w:rFonts w:ascii="Times" w:hAnsi="Times" w:cs="Times"/>
          <w:sz w:val="22"/>
          <w:szCs w:val="22"/>
        </w:rPr>
      </w:pPr>
    </w:p>
    <w:p w14:paraId="073151FE" w14:textId="77777777" w:rsidR="00710C5C" w:rsidRPr="00D47C05" w:rsidRDefault="00710C5C" w:rsidP="00EA4EF1">
      <w:pPr>
        <w:rPr>
          <w:rFonts w:ascii="Times" w:hAnsi="Times" w:cs="Times"/>
          <w:sz w:val="22"/>
          <w:szCs w:val="22"/>
        </w:rPr>
      </w:pPr>
    </w:p>
    <w:p w14:paraId="120F4D07" w14:textId="758BE9C8" w:rsidR="00D47C05" w:rsidRPr="00D47C05" w:rsidRDefault="00A85E4C" w:rsidP="00BA1900">
      <w:pPr>
        <w:rPr>
          <w:rFonts w:ascii="Times" w:hAnsi="Times" w:cs="Times"/>
          <w:sz w:val="22"/>
          <w:szCs w:val="22"/>
        </w:rPr>
      </w:pPr>
      <w:r w:rsidRPr="00D47C05">
        <w:rPr>
          <w:rFonts w:ascii="Times" w:hAnsi="Times" w:cs="Times"/>
          <w:sz w:val="22"/>
          <w:szCs w:val="22"/>
        </w:rPr>
        <w:t xml:space="preserve">1. </w:t>
      </w:r>
      <w:r w:rsidR="00D47C05" w:rsidRPr="00D47C05">
        <w:rPr>
          <w:rFonts w:ascii="Times" w:hAnsi="Times" w:cs="Times"/>
          <w:sz w:val="22"/>
          <w:szCs w:val="22"/>
        </w:rPr>
        <w:t xml:space="preserve">Adapted from </w:t>
      </w:r>
      <w:r w:rsidR="00871450">
        <w:rPr>
          <w:rFonts w:ascii="Times" w:hAnsi="Times" w:cs="Times"/>
          <w:sz w:val="22"/>
          <w:szCs w:val="22"/>
        </w:rPr>
        <w:t>the “</w:t>
      </w:r>
      <w:r w:rsidR="00D47C05" w:rsidRPr="00D47C05">
        <w:rPr>
          <w:rFonts w:ascii="Times" w:hAnsi="Times" w:cs="Times"/>
          <w:sz w:val="22"/>
          <w:szCs w:val="22"/>
        </w:rPr>
        <w:t>12-Item Short-Form Health Survey</w:t>
      </w:r>
      <w:r w:rsidR="00871450">
        <w:rPr>
          <w:rFonts w:ascii="Times" w:hAnsi="Times" w:cs="Times"/>
          <w:sz w:val="22"/>
          <w:szCs w:val="22"/>
        </w:rPr>
        <w:t xml:space="preserve">” (Ware et al., 1996) </w:t>
      </w:r>
    </w:p>
    <w:p w14:paraId="4FE9E178" w14:textId="320FC5A6" w:rsidR="000E309C" w:rsidRPr="00D47C05" w:rsidRDefault="0072573A" w:rsidP="00BA1900">
      <w:pPr>
        <w:rPr>
          <w:rFonts w:ascii="Times" w:hAnsi="Times" w:cs="Times"/>
          <w:sz w:val="22"/>
          <w:szCs w:val="22"/>
        </w:rPr>
      </w:pPr>
      <w:r w:rsidRPr="00D47C05">
        <w:rPr>
          <w:rFonts w:ascii="Times" w:hAnsi="Times" w:cs="Times"/>
          <w:sz w:val="22"/>
          <w:szCs w:val="22"/>
        </w:rPr>
        <w:t>2</w:t>
      </w:r>
      <w:r w:rsidR="00A85E4C" w:rsidRPr="00D47C05">
        <w:rPr>
          <w:rFonts w:ascii="Times" w:hAnsi="Times" w:cs="Times"/>
          <w:sz w:val="22"/>
          <w:szCs w:val="22"/>
        </w:rPr>
        <w:t>.</w:t>
      </w:r>
      <w:r w:rsidRPr="00D47C05">
        <w:rPr>
          <w:rFonts w:ascii="Times" w:hAnsi="Times" w:cs="Times"/>
          <w:sz w:val="22"/>
          <w:szCs w:val="22"/>
        </w:rPr>
        <w:t xml:space="preserve"> Adapted from the Barthel Index</w:t>
      </w:r>
      <w:r w:rsidR="00871450">
        <w:rPr>
          <w:rFonts w:ascii="Times" w:hAnsi="Times" w:cs="Times"/>
          <w:sz w:val="22"/>
          <w:szCs w:val="22"/>
        </w:rPr>
        <w:t xml:space="preserve"> (Mahoney et al., 1965) </w:t>
      </w:r>
    </w:p>
    <w:p w14:paraId="4CA4AA62" w14:textId="011FBC33" w:rsidR="0072573A" w:rsidRPr="00BA1900" w:rsidRDefault="0072573A" w:rsidP="00A85E4C">
      <w:pPr>
        <w:rPr>
          <w:rFonts w:ascii="Times" w:hAnsi="Times" w:cs="Times"/>
          <w:sz w:val="22"/>
          <w:szCs w:val="22"/>
        </w:rPr>
      </w:pPr>
      <w:r w:rsidRPr="00D47C05">
        <w:rPr>
          <w:rFonts w:ascii="Times" w:hAnsi="Times" w:cs="Times"/>
          <w:sz w:val="22"/>
          <w:szCs w:val="22"/>
        </w:rPr>
        <w:t>3</w:t>
      </w:r>
      <w:r w:rsidR="00A85E4C" w:rsidRPr="00D47C05">
        <w:rPr>
          <w:rFonts w:ascii="Times" w:hAnsi="Times" w:cs="Times"/>
          <w:sz w:val="22"/>
          <w:szCs w:val="22"/>
        </w:rPr>
        <w:t>.</w:t>
      </w:r>
      <w:r w:rsidRPr="00D47C05">
        <w:rPr>
          <w:rFonts w:ascii="Times" w:hAnsi="Times" w:cs="Times"/>
          <w:sz w:val="22"/>
          <w:szCs w:val="22"/>
        </w:rPr>
        <w:t xml:space="preserve"> Adapted from the Lawton</w:t>
      </w:r>
      <w:r w:rsidRPr="00BA1900">
        <w:rPr>
          <w:rFonts w:ascii="Times" w:hAnsi="Times" w:cs="Times"/>
          <w:sz w:val="22"/>
          <w:szCs w:val="22"/>
        </w:rPr>
        <w:t xml:space="preserve"> and B</w:t>
      </w:r>
      <w:r w:rsidR="00E9583C" w:rsidRPr="00BA1900">
        <w:rPr>
          <w:rFonts w:ascii="Times" w:hAnsi="Times" w:cs="Times"/>
          <w:sz w:val="22"/>
          <w:szCs w:val="22"/>
        </w:rPr>
        <w:t>ro</w:t>
      </w:r>
      <w:r w:rsidRPr="00BA1900">
        <w:rPr>
          <w:rFonts w:ascii="Times" w:hAnsi="Times" w:cs="Times"/>
          <w:sz w:val="22"/>
          <w:szCs w:val="22"/>
        </w:rPr>
        <w:t>dy Index</w:t>
      </w:r>
      <w:r w:rsidR="00590B7E" w:rsidRPr="00BA1900">
        <w:rPr>
          <w:rFonts w:ascii="Times" w:hAnsi="Times" w:cs="Times"/>
          <w:sz w:val="22"/>
          <w:szCs w:val="22"/>
        </w:rPr>
        <w:t xml:space="preserve"> (Lawton et al., 1969)</w:t>
      </w:r>
    </w:p>
    <w:p w14:paraId="51359834" w14:textId="76B7B1C8" w:rsidR="0015060A" w:rsidRPr="00BA1900" w:rsidRDefault="0015060A" w:rsidP="00A85E4C">
      <w:pPr>
        <w:rPr>
          <w:rFonts w:ascii="Times" w:hAnsi="Times" w:cs="Times"/>
          <w:sz w:val="22"/>
          <w:szCs w:val="22"/>
        </w:rPr>
      </w:pPr>
      <w:r w:rsidRPr="00BA1900">
        <w:rPr>
          <w:rFonts w:ascii="Times" w:hAnsi="Times" w:cs="Times"/>
          <w:sz w:val="22"/>
          <w:szCs w:val="22"/>
        </w:rPr>
        <w:t>4</w:t>
      </w:r>
      <w:r w:rsidR="00A85E4C" w:rsidRPr="00BA1900">
        <w:rPr>
          <w:rFonts w:ascii="Times" w:hAnsi="Times" w:cs="Times"/>
          <w:sz w:val="22"/>
          <w:szCs w:val="22"/>
        </w:rPr>
        <w:t>.</w:t>
      </w:r>
      <w:r w:rsidRPr="00BA1900">
        <w:rPr>
          <w:rFonts w:ascii="Times" w:hAnsi="Times" w:cs="Times"/>
          <w:sz w:val="22"/>
          <w:szCs w:val="22"/>
        </w:rPr>
        <w:t xml:space="preserve"> </w:t>
      </w:r>
      <w:r w:rsidR="000D54BE" w:rsidRPr="00BA1900">
        <w:rPr>
          <w:rFonts w:ascii="Times" w:hAnsi="Times" w:cs="Times"/>
          <w:sz w:val="22"/>
          <w:szCs w:val="22"/>
        </w:rPr>
        <w:t>Adapted</w:t>
      </w:r>
      <w:r w:rsidRPr="00BA1900">
        <w:rPr>
          <w:rFonts w:ascii="Times" w:hAnsi="Times" w:cs="Times"/>
          <w:sz w:val="22"/>
          <w:szCs w:val="22"/>
        </w:rPr>
        <w:t xml:space="preserve"> from the Health and Retirement Survey</w:t>
      </w:r>
      <w:r w:rsidR="00BE5C5D" w:rsidRPr="00BA1900">
        <w:rPr>
          <w:rFonts w:ascii="Times" w:hAnsi="Times" w:cs="Times"/>
          <w:sz w:val="22"/>
          <w:szCs w:val="22"/>
        </w:rPr>
        <w:t xml:space="preserve"> </w:t>
      </w:r>
      <w:r w:rsidRPr="00BA1900">
        <w:rPr>
          <w:rFonts w:ascii="Times" w:hAnsi="Times" w:cs="Times"/>
          <w:sz w:val="22"/>
          <w:szCs w:val="22"/>
        </w:rPr>
        <w:t xml:space="preserve"> </w:t>
      </w:r>
    </w:p>
    <w:p w14:paraId="2CC60785" w14:textId="706A0D14" w:rsidR="00E9583C" w:rsidRPr="00BA1900" w:rsidRDefault="0015060A" w:rsidP="00A85E4C">
      <w:pPr>
        <w:rPr>
          <w:rFonts w:ascii="Times" w:hAnsi="Times" w:cs="Times"/>
          <w:sz w:val="22"/>
          <w:szCs w:val="22"/>
        </w:rPr>
      </w:pPr>
      <w:r w:rsidRPr="00BA1900">
        <w:rPr>
          <w:rFonts w:ascii="Times" w:hAnsi="Times" w:cs="Times"/>
          <w:sz w:val="22"/>
          <w:szCs w:val="22"/>
        </w:rPr>
        <w:t>5</w:t>
      </w:r>
      <w:r w:rsidR="00A85E4C" w:rsidRPr="00BA1900">
        <w:rPr>
          <w:rFonts w:ascii="Times" w:hAnsi="Times" w:cs="Times"/>
          <w:sz w:val="22"/>
          <w:szCs w:val="22"/>
        </w:rPr>
        <w:t>.</w:t>
      </w:r>
      <w:r w:rsidR="00E9583C" w:rsidRPr="00BA1900">
        <w:rPr>
          <w:rFonts w:ascii="Times" w:hAnsi="Times" w:cs="Times"/>
          <w:sz w:val="22"/>
          <w:szCs w:val="22"/>
        </w:rPr>
        <w:t xml:space="preserve"> </w:t>
      </w:r>
      <w:r w:rsidR="003C53E1" w:rsidRPr="00BA1900">
        <w:rPr>
          <w:rFonts w:ascii="Times" w:hAnsi="Times" w:cs="Times"/>
          <w:sz w:val="22"/>
          <w:szCs w:val="22"/>
        </w:rPr>
        <w:t xml:space="preserve">Adopted from fall related questions </w:t>
      </w:r>
      <w:r w:rsidR="00E9583C" w:rsidRPr="00BA1900">
        <w:rPr>
          <w:rFonts w:ascii="Times" w:hAnsi="Times" w:cs="Times"/>
          <w:sz w:val="22"/>
          <w:szCs w:val="22"/>
        </w:rPr>
        <w:t>Behavioral Risk Factor Surveillance System (BRFSS)</w:t>
      </w:r>
      <w:r w:rsidR="00590B7E" w:rsidRPr="00BA1900">
        <w:rPr>
          <w:rFonts w:ascii="Times" w:hAnsi="Times" w:cs="Times"/>
          <w:sz w:val="22"/>
          <w:szCs w:val="22"/>
        </w:rPr>
        <w:t xml:space="preserve">. </w:t>
      </w:r>
    </w:p>
    <w:p w14:paraId="329AEF24" w14:textId="257B6BE2" w:rsidR="00E9583C" w:rsidRPr="00BA1900" w:rsidRDefault="0015060A" w:rsidP="00BA1900">
      <w:pPr>
        <w:rPr>
          <w:rFonts w:ascii="Times" w:hAnsi="Times" w:cs="Times"/>
          <w:sz w:val="22"/>
          <w:szCs w:val="22"/>
        </w:rPr>
      </w:pPr>
      <w:r w:rsidRPr="00BA1900">
        <w:rPr>
          <w:rFonts w:ascii="Times" w:hAnsi="Times" w:cs="Times"/>
          <w:sz w:val="22"/>
          <w:szCs w:val="22"/>
        </w:rPr>
        <w:t>6</w:t>
      </w:r>
      <w:r w:rsidR="00A85E4C" w:rsidRPr="00BA1900">
        <w:rPr>
          <w:rFonts w:ascii="Times" w:hAnsi="Times" w:cs="Times"/>
          <w:sz w:val="22"/>
          <w:szCs w:val="22"/>
        </w:rPr>
        <w:t>.</w:t>
      </w:r>
      <w:r w:rsidR="00E9583C" w:rsidRPr="00BA1900">
        <w:rPr>
          <w:rFonts w:ascii="Times" w:hAnsi="Times" w:cs="Times"/>
          <w:sz w:val="22"/>
          <w:szCs w:val="22"/>
        </w:rPr>
        <w:t xml:space="preserve"> </w:t>
      </w:r>
      <w:r w:rsidR="00DC4D8E" w:rsidRPr="00BA1900">
        <w:rPr>
          <w:rFonts w:ascii="Times" w:hAnsi="Times" w:cs="Times"/>
          <w:sz w:val="22"/>
          <w:szCs w:val="22"/>
        </w:rPr>
        <w:t xml:space="preserve"> </w:t>
      </w:r>
      <w:r w:rsidR="003C53E1" w:rsidRPr="00BA1900">
        <w:rPr>
          <w:rFonts w:ascii="Times" w:hAnsi="Times" w:cs="Times"/>
          <w:sz w:val="22"/>
          <w:szCs w:val="22"/>
        </w:rPr>
        <w:t xml:space="preserve">Adopted from the New South Wales Falls Prevention Baseline Survey </w:t>
      </w:r>
    </w:p>
    <w:p w14:paraId="759CC971" w14:textId="04E6E754" w:rsidR="00290037" w:rsidRPr="00BA1900" w:rsidRDefault="00BE5C5D" w:rsidP="00290037">
      <w:pPr>
        <w:rPr>
          <w:rFonts w:ascii="Times" w:hAnsi="Times" w:cs="Times"/>
          <w:sz w:val="22"/>
          <w:szCs w:val="22"/>
        </w:rPr>
      </w:pPr>
      <w:r w:rsidRPr="00BA1900">
        <w:rPr>
          <w:rFonts w:ascii="Times" w:hAnsi="Times" w:cs="Times"/>
          <w:sz w:val="22"/>
          <w:szCs w:val="22"/>
        </w:rPr>
        <w:t>7</w:t>
      </w:r>
      <w:r w:rsidR="00A85E4C" w:rsidRPr="00BA1900">
        <w:rPr>
          <w:rFonts w:ascii="Times" w:hAnsi="Times" w:cs="Times"/>
          <w:sz w:val="22"/>
          <w:szCs w:val="22"/>
        </w:rPr>
        <w:t>.</w:t>
      </w:r>
      <w:r w:rsidRPr="00BA1900">
        <w:rPr>
          <w:rFonts w:ascii="Times" w:hAnsi="Times" w:cs="Times"/>
          <w:sz w:val="22"/>
          <w:szCs w:val="22"/>
        </w:rPr>
        <w:t xml:space="preserve"> </w:t>
      </w:r>
      <w:r w:rsidR="00290037" w:rsidRPr="00BA1900">
        <w:rPr>
          <w:rFonts w:ascii="Times" w:hAnsi="Times" w:cs="Times"/>
          <w:sz w:val="22"/>
          <w:szCs w:val="22"/>
        </w:rPr>
        <w:t>Adapted from alcohol related questions Behavioral Risk Factor Surveillance System (BRFSS).</w:t>
      </w:r>
    </w:p>
    <w:p w14:paraId="3525E093" w14:textId="0D11BD25" w:rsidR="004510D6" w:rsidRPr="00BA1900" w:rsidRDefault="00290037" w:rsidP="00A85E4C">
      <w:pPr>
        <w:rPr>
          <w:rFonts w:ascii="Times" w:hAnsi="Times" w:cs="Times"/>
          <w:sz w:val="22"/>
          <w:szCs w:val="22"/>
        </w:rPr>
      </w:pPr>
      <w:r w:rsidRPr="00BA1900">
        <w:rPr>
          <w:rFonts w:ascii="Times" w:hAnsi="Times" w:cs="Times"/>
          <w:sz w:val="22"/>
          <w:szCs w:val="22"/>
        </w:rPr>
        <w:t xml:space="preserve">8. </w:t>
      </w:r>
      <w:r w:rsidR="001F66EA" w:rsidRPr="00BA1900">
        <w:rPr>
          <w:rFonts w:ascii="Times" w:hAnsi="Times" w:cs="Times"/>
          <w:sz w:val="22"/>
          <w:szCs w:val="22"/>
        </w:rPr>
        <w:t xml:space="preserve">Adapted from the Prescription Opioid Misuse Index. </w:t>
      </w:r>
      <w:r w:rsidR="00590B7E" w:rsidRPr="00BA1900">
        <w:rPr>
          <w:rFonts w:ascii="Times" w:hAnsi="Times" w:cs="Times"/>
          <w:sz w:val="22"/>
          <w:szCs w:val="22"/>
        </w:rPr>
        <w:t xml:space="preserve">(Kinsley et al., 2008) </w:t>
      </w:r>
    </w:p>
    <w:p w14:paraId="2C833366" w14:textId="734024C0" w:rsidR="00BE5C5D" w:rsidRPr="00BA1900" w:rsidRDefault="00290037" w:rsidP="00A85E4C">
      <w:pPr>
        <w:rPr>
          <w:rFonts w:ascii="Times" w:hAnsi="Times" w:cs="Times"/>
          <w:sz w:val="22"/>
          <w:szCs w:val="22"/>
        </w:rPr>
      </w:pPr>
      <w:r w:rsidRPr="00BA1900">
        <w:rPr>
          <w:rFonts w:ascii="Times" w:hAnsi="Times" w:cs="Times"/>
          <w:sz w:val="22"/>
          <w:szCs w:val="22"/>
        </w:rPr>
        <w:t>9</w:t>
      </w:r>
      <w:r w:rsidR="00A85E4C" w:rsidRPr="00BA1900">
        <w:rPr>
          <w:rFonts w:ascii="Times" w:hAnsi="Times" w:cs="Times"/>
          <w:sz w:val="22"/>
          <w:szCs w:val="22"/>
        </w:rPr>
        <w:t xml:space="preserve">. </w:t>
      </w:r>
      <w:r w:rsidR="00420D12" w:rsidRPr="00BA1900">
        <w:rPr>
          <w:rFonts w:ascii="Times" w:hAnsi="Times" w:cs="Times"/>
          <w:sz w:val="22"/>
          <w:szCs w:val="22"/>
        </w:rPr>
        <w:t xml:space="preserve">Adapted from the </w:t>
      </w:r>
      <w:r w:rsidR="004510D6" w:rsidRPr="00BA1900">
        <w:rPr>
          <w:rFonts w:ascii="Times" w:hAnsi="Times" w:cs="Times"/>
          <w:sz w:val="22"/>
          <w:szCs w:val="22"/>
        </w:rPr>
        <w:t>Chronic Pain Screener Questions from National Pain Strategy</w:t>
      </w:r>
      <w:r w:rsidR="00590B7E" w:rsidRPr="00BA1900">
        <w:rPr>
          <w:rFonts w:ascii="Times" w:hAnsi="Times" w:cs="Times"/>
          <w:sz w:val="22"/>
          <w:szCs w:val="22"/>
        </w:rPr>
        <w:t xml:space="preserve">. </w:t>
      </w:r>
      <w:r w:rsidR="004510D6" w:rsidRPr="00BA1900">
        <w:rPr>
          <w:rFonts w:ascii="Times" w:hAnsi="Times" w:cs="Times"/>
          <w:sz w:val="22"/>
          <w:szCs w:val="22"/>
        </w:rPr>
        <w:t xml:space="preserve"> </w:t>
      </w:r>
    </w:p>
    <w:p w14:paraId="53962803" w14:textId="77777777" w:rsidR="000E309C" w:rsidRDefault="000E309C" w:rsidP="008D770A"/>
    <w:p w14:paraId="17B357B5" w14:textId="77777777" w:rsidR="00A86FA5" w:rsidRDefault="00A86FA5">
      <w:pPr>
        <w:spacing w:after="160" w:line="259" w:lineRule="auto"/>
        <w:rPr>
          <w:b/>
        </w:rPr>
      </w:pPr>
      <w:r>
        <w:rPr>
          <w:b/>
        </w:rPr>
        <w:br w:type="page"/>
      </w:r>
    </w:p>
    <w:p w14:paraId="03C95BF4" w14:textId="7E1769BE" w:rsidR="008D770A" w:rsidRPr="00202FE2" w:rsidRDefault="005B7D0F" w:rsidP="008D770A">
      <w:r>
        <w:rPr>
          <w:b/>
        </w:rPr>
        <w:t xml:space="preserve">Table </w:t>
      </w:r>
      <w:r w:rsidR="00A54268">
        <w:rPr>
          <w:b/>
        </w:rPr>
        <w:t>A.</w:t>
      </w:r>
      <w:r w:rsidR="000956AE">
        <w:rPr>
          <w:b/>
        </w:rPr>
        <w:t>4</w:t>
      </w:r>
      <w:r>
        <w:rPr>
          <w:b/>
        </w:rPr>
        <w:t>.</w:t>
      </w:r>
      <w:r w:rsidR="00A54268">
        <w:rPr>
          <w:b/>
        </w:rPr>
        <w:t>b</w:t>
      </w:r>
      <w:r>
        <w:rPr>
          <w:b/>
        </w:rPr>
        <w:t xml:space="preserve">: </w:t>
      </w:r>
      <w:r w:rsidR="008D770A" w:rsidRPr="00F2652A">
        <w:rPr>
          <w:b/>
        </w:rPr>
        <w:t xml:space="preserve">Post-Discharge Patient </w:t>
      </w:r>
      <w:r w:rsidR="005E674E" w:rsidRPr="00F2652A">
        <w:rPr>
          <w:b/>
        </w:rPr>
        <w:t>Questionnaire</w:t>
      </w:r>
      <w:r w:rsidR="008D770A" w:rsidRPr="00202FE2">
        <w:t xml:space="preserve"> (14, 30 and 60 days after discharge from hospital)</w:t>
      </w:r>
      <w:r w:rsidR="005E674E">
        <w:br/>
      </w:r>
      <w:r w:rsidR="00C34BFD">
        <w:t xml:space="preserve"> (</w:t>
      </w:r>
      <w:r w:rsidR="00C34BFD" w:rsidRPr="005E674E">
        <w:rPr>
          <w:b/>
        </w:rPr>
        <w:t>Attachment E2</w:t>
      </w:r>
      <w:r w:rsidR="00C34BFD">
        <w:t>)</w:t>
      </w:r>
    </w:p>
    <w:tbl>
      <w:tblPr>
        <w:tblStyle w:val="TableGrid"/>
        <w:tblpPr w:leftFromText="180" w:rightFromText="180" w:vertAnchor="text" w:horzAnchor="margin" w:tblpY="29"/>
        <w:tblW w:w="10435" w:type="dxa"/>
        <w:tblLook w:val="04A0" w:firstRow="1" w:lastRow="0" w:firstColumn="1" w:lastColumn="0" w:noHBand="0" w:noVBand="1"/>
      </w:tblPr>
      <w:tblGrid>
        <w:gridCol w:w="1345"/>
        <w:gridCol w:w="3510"/>
        <w:gridCol w:w="2790"/>
        <w:gridCol w:w="2790"/>
      </w:tblGrid>
      <w:tr w:rsidR="00AD6F8B" w:rsidRPr="00202FE2" w14:paraId="04590F15" w14:textId="580E7B17" w:rsidTr="00EA4EF1">
        <w:trPr>
          <w:trHeight w:val="577"/>
        </w:trPr>
        <w:tc>
          <w:tcPr>
            <w:tcW w:w="1345" w:type="dxa"/>
            <w:vAlign w:val="bottom"/>
          </w:tcPr>
          <w:p w14:paraId="4DCEA7E3" w14:textId="77777777" w:rsidR="00AD6F8B" w:rsidRPr="00202FE2" w:rsidRDefault="00AD6F8B" w:rsidP="00AD6F8B">
            <w:r w:rsidRPr="00202FE2">
              <w:t>Question(s)</w:t>
            </w:r>
          </w:p>
          <w:p w14:paraId="5125C547" w14:textId="13EF4826" w:rsidR="00AD6F8B" w:rsidRPr="00202FE2" w:rsidRDefault="00AD6F8B" w:rsidP="00AD6F8B">
            <w:r w:rsidRPr="00202FE2">
              <w:t xml:space="preserve"> </w:t>
            </w:r>
          </w:p>
        </w:tc>
        <w:tc>
          <w:tcPr>
            <w:tcW w:w="3510" w:type="dxa"/>
            <w:vAlign w:val="bottom"/>
          </w:tcPr>
          <w:p w14:paraId="310E1D05" w14:textId="5DAFA4A8" w:rsidR="00AD6F8B" w:rsidRPr="00202FE2" w:rsidRDefault="00AD6F8B" w:rsidP="00AD6F8B">
            <w:r w:rsidRPr="00202FE2">
              <w:t>Description</w:t>
            </w:r>
          </w:p>
        </w:tc>
        <w:tc>
          <w:tcPr>
            <w:tcW w:w="2790" w:type="dxa"/>
            <w:vAlign w:val="bottom"/>
          </w:tcPr>
          <w:p w14:paraId="057C15B2" w14:textId="364CAC7B" w:rsidR="00AD6F8B" w:rsidRPr="00202FE2" w:rsidRDefault="00AD6F8B" w:rsidP="00AD6F8B">
            <w:r>
              <w:t xml:space="preserve">Validated </w:t>
            </w:r>
            <w:r w:rsidRPr="00202FE2">
              <w:t xml:space="preserve">Indicator </w:t>
            </w:r>
            <w:r>
              <w:t>/ Source</w:t>
            </w:r>
          </w:p>
        </w:tc>
        <w:tc>
          <w:tcPr>
            <w:tcW w:w="2790" w:type="dxa"/>
          </w:tcPr>
          <w:p w14:paraId="6C7D210D" w14:textId="3681B04B" w:rsidR="00AD6F8B" w:rsidRPr="00202FE2" w:rsidRDefault="00AD6F8B" w:rsidP="00AD6F8B">
            <w:r>
              <w:t xml:space="preserve">Role in Analysis </w:t>
            </w:r>
          </w:p>
        </w:tc>
      </w:tr>
      <w:tr w:rsidR="006D2275" w:rsidRPr="00202FE2" w14:paraId="6F9E34B7" w14:textId="77777777" w:rsidTr="00EA4EF1">
        <w:trPr>
          <w:trHeight w:val="395"/>
        </w:trPr>
        <w:tc>
          <w:tcPr>
            <w:tcW w:w="1345" w:type="dxa"/>
            <w:vAlign w:val="bottom"/>
          </w:tcPr>
          <w:p w14:paraId="0E84A5E8" w14:textId="2B045FD8" w:rsidR="006D2275" w:rsidRPr="00202FE2" w:rsidDel="006D2275" w:rsidRDefault="006D2275" w:rsidP="008C3C55">
            <w:r>
              <w:t>1-4</w:t>
            </w:r>
          </w:p>
        </w:tc>
        <w:tc>
          <w:tcPr>
            <w:tcW w:w="3510" w:type="dxa"/>
            <w:vAlign w:val="bottom"/>
          </w:tcPr>
          <w:p w14:paraId="11DD6DA1" w14:textId="1741E34C" w:rsidR="006D2275" w:rsidRPr="00810EDF" w:rsidRDefault="006D2275" w:rsidP="008C3C55">
            <w:pPr>
              <w:rPr>
                <w:vertAlign w:val="superscript"/>
              </w:rPr>
            </w:pPr>
            <w:r>
              <w:t>Medical visits since discharge</w:t>
            </w:r>
            <w:r w:rsidR="00810EDF">
              <w:rPr>
                <w:vertAlign w:val="superscript"/>
              </w:rPr>
              <w:t>1</w:t>
            </w:r>
          </w:p>
        </w:tc>
        <w:tc>
          <w:tcPr>
            <w:tcW w:w="2790" w:type="dxa"/>
            <w:vAlign w:val="bottom"/>
          </w:tcPr>
          <w:p w14:paraId="76C383BD" w14:textId="79C39C17" w:rsidR="006D2275" w:rsidRPr="00202FE2" w:rsidRDefault="00810EDF" w:rsidP="00810EDF">
            <w:r>
              <w:t>Medical visits</w:t>
            </w:r>
            <w:r>
              <w:rPr>
                <w:vertAlign w:val="superscript"/>
              </w:rPr>
              <w:t>1</w:t>
            </w:r>
            <w:r>
              <w:t xml:space="preserve"> </w:t>
            </w:r>
          </w:p>
        </w:tc>
        <w:tc>
          <w:tcPr>
            <w:tcW w:w="2790" w:type="dxa"/>
          </w:tcPr>
          <w:p w14:paraId="45A1EA16" w14:textId="19DAB1D0" w:rsidR="006D2275" w:rsidRPr="00202FE2" w:rsidRDefault="006D2275" w:rsidP="00EA4EF1">
            <w:pPr>
              <w:jc w:val="center"/>
            </w:pPr>
            <w:r>
              <w:t>Outcome, Mediator</w:t>
            </w:r>
          </w:p>
        </w:tc>
      </w:tr>
      <w:tr w:rsidR="00AD6F8B" w:rsidRPr="00202FE2" w14:paraId="7A416EF2" w14:textId="78ED8B5C" w:rsidTr="00EA4EF1">
        <w:trPr>
          <w:trHeight w:val="353"/>
        </w:trPr>
        <w:tc>
          <w:tcPr>
            <w:tcW w:w="1345" w:type="dxa"/>
            <w:vAlign w:val="bottom"/>
          </w:tcPr>
          <w:p w14:paraId="67A43BB1" w14:textId="2854FD45" w:rsidR="00AD6F8B" w:rsidRPr="00202FE2" w:rsidRDefault="006D2275" w:rsidP="008C3C55">
            <w:r>
              <w:t>5-10</w:t>
            </w:r>
          </w:p>
        </w:tc>
        <w:tc>
          <w:tcPr>
            <w:tcW w:w="3510" w:type="dxa"/>
            <w:vAlign w:val="bottom"/>
          </w:tcPr>
          <w:p w14:paraId="2292F5CE" w14:textId="7533CEB8" w:rsidR="00AD6F8B" w:rsidRPr="00202FE2" w:rsidRDefault="00AD6F8B" w:rsidP="00EA4EF1">
            <w:pPr>
              <w:spacing w:after="240"/>
            </w:pPr>
            <w:r w:rsidRPr="00202FE2">
              <w:t>Patient reported medical events</w:t>
            </w:r>
          </w:p>
        </w:tc>
        <w:tc>
          <w:tcPr>
            <w:tcW w:w="2790" w:type="dxa"/>
            <w:vAlign w:val="bottom"/>
          </w:tcPr>
          <w:p w14:paraId="1E3BE15D" w14:textId="239810C0" w:rsidR="00AD6F8B" w:rsidRPr="009F0515" w:rsidRDefault="00AD6F8B" w:rsidP="00EA4EF1">
            <w:pPr>
              <w:rPr>
                <w:vertAlign w:val="superscript"/>
              </w:rPr>
            </w:pPr>
            <w:r w:rsidRPr="00202FE2">
              <w:t>Self-r</w:t>
            </w:r>
            <w:r w:rsidR="00EA4EF1">
              <w:t xml:space="preserve">eport of post-discharge events </w:t>
            </w:r>
            <w:r w:rsidR="009F0515">
              <w:rPr>
                <w:vertAlign w:val="superscript"/>
              </w:rPr>
              <w:t>2</w:t>
            </w:r>
          </w:p>
        </w:tc>
        <w:tc>
          <w:tcPr>
            <w:tcW w:w="2790" w:type="dxa"/>
          </w:tcPr>
          <w:p w14:paraId="51607FE2" w14:textId="07BAA836" w:rsidR="00AD6F8B" w:rsidRPr="00202FE2" w:rsidRDefault="006D2275" w:rsidP="00EA4EF1">
            <w:pPr>
              <w:jc w:val="center"/>
            </w:pPr>
            <w:r>
              <w:t>Mediator</w:t>
            </w:r>
          </w:p>
        </w:tc>
      </w:tr>
      <w:tr w:rsidR="006D2275" w:rsidRPr="00202FE2" w14:paraId="1638A4F3" w14:textId="77777777" w:rsidTr="00EA4EF1">
        <w:trPr>
          <w:trHeight w:val="70"/>
        </w:trPr>
        <w:tc>
          <w:tcPr>
            <w:tcW w:w="1345" w:type="dxa"/>
            <w:vAlign w:val="bottom"/>
          </w:tcPr>
          <w:p w14:paraId="4143D448" w14:textId="5EEBD737" w:rsidR="006D2275" w:rsidRPr="00202FE2" w:rsidRDefault="006D2275" w:rsidP="008C3C55">
            <w:r>
              <w:t>11-16</w:t>
            </w:r>
          </w:p>
        </w:tc>
        <w:tc>
          <w:tcPr>
            <w:tcW w:w="3510" w:type="dxa"/>
            <w:vAlign w:val="bottom"/>
          </w:tcPr>
          <w:p w14:paraId="62339F9A" w14:textId="3396699A" w:rsidR="006D2275" w:rsidRPr="00202FE2" w:rsidRDefault="006D2275" w:rsidP="008C3C55">
            <w:r>
              <w:t>Patient reported falls</w:t>
            </w:r>
          </w:p>
        </w:tc>
        <w:tc>
          <w:tcPr>
            <w:tcW w:w="2790" w:type="dxa"/>
            <w:vAlign w:val="bottom"/>
          </w:tcPr>
          <w:p w14:paraId="717EC1CA" w14:textId="2D43A5F1" w:rsidR="006D2275" w:rsidRPr="00810EDF" w:rsidRDefault="006D2275" w:rsidP="008C3C55">
            <w:pPr>
              <w:rPr>
                <w:vertAlign w:val="superscript"/>
              </w:rPr>
            </w:pPr>
            <w:r>
              <w:t>Self-report</w:t>
            </w:r>
            <w:r w:rsidR="00810EDF">
              <w:rPr>
                <w:vertAlign w:val="superscript"/>
              </w:rPr>
              <w:t>3</w:t>
            </w:r>
          </w:p>
        </w:tc>
        <w:tc>
          <w:tcPr>
            <w:tcW w:w="2790" w:type="dxa"/>
          </w:tcPr>
          <w:p w14:paraId="26DD6356" w14:textId="2F7B5491" w:rsidR="006D2275" w:rsidRPr="00202FE2" w:rsidRDefault="006D2275" w:rsidP="00EA4EF1">
            <w:pPr>
              <w:jc w:val="center"/>
            </w:pPr>
            <w:r>
              <w:t>Outcome</w:t>
            </w:r>
          </w:p>
        </w:tc>
      </w:tr>
      <w:tr w:rsidR="006E244E" w:rsidRPr="00202FE2" w14:paraId="3FAD4759" w14:textId="77777777" w:rsidTr="00EA4EF1">
        <w:trPr>
          <w:trHeight w:val="70"/>
        </w:trPr>
        <w:tc>
          <w:tcPr>
            <w:tcW w:w="1345" w:type="dxa"/>
            <w:vAlign w:val="bottom"/>
          </w:tcPr>
          <w:p w14:paraId="17BC8A5F" w14:textId="481364E4" w:rsidR="006E244E" w:rsidRPr="00202FE2" w:rsidDel="006E244E" w:rsidRDefault="006E244E" w:rsidP="006E244E">
            <w:r>
              <w:t>17-28</w:t>
            </w:r>
          </w:p>
        </w:tc>
        <w:tc>
          <w:tcPr>
            <w:tcW w:w="3510" w:type="dxa"/>
            <w:vAlign w:val="bottom"/>
          </w:tcPr>
          <w:p w14:paraId="37152D43" w14:textId="7FDD78E2" w:rsidR="006E244E" w:rsidRPr="00202FE2" w:rsidRDefault="006E244E" w:rsidP="006E244E">
            <w:r w:rsidRPr="00202FE2">
              <w:t xml:space="preserve">Patient reported health status inpatient prior to discharge </w:t>
            </w:r>
          </w:p>
        </w:tc>
        <w:tc>
          <w:tcPr>
            <w:tcW w:w="2790" w:type="dxa"/>
            <w:vAlign w:val="bottom"/>
          </w:tcPr>
          <w:p w14:paraId="6E7366F1" w14:textId="2F355D28" w:rsidR="006E244E" w:rsidRPr="00810EDF" w:rsidRDefault="00810EDF" w:rsidP="006E244E">
            <w:pPr>
              <w:rPr>
                <w:vertAlign w:val="superscript"/>
              </w:rPr>
            </w:pPr>
            <w:r>
              <w:t>SF-12 health assessment</w:t>
            </w:r>
            <w:r>
              <w:rPr>
                <w:vertAlign w:val="superscript"/>
              </w:rPr>
              <w:t>4</w:t>
            </w:r>
          </w:p>
          <w:p w14:paraId="42763982" w14:textId="77777777" w:rsidR="006E244E" w:rsidRPr="00202FE2" w:rsidRDefault="006E244E" w:rsidP="006E244E"/>
        </w:tc>
        <w:tc>
          <w:tcPr>
            <w:tcW w:w="2790" w:type="dxa"/>
          </w:tcPr>
          <w:p w14:paraId="4C8905B8" w14:textId="5E40071E" w:rsidR="006E244E" w:rsidRPr="00202FE2" w:rsidRDefault="006E244E" w:rsidP="00EA4EF1">
            <w:pPr>
              <w:jc w:val="center"/>
            </w:pPr>
            <w:r>
              <w:t>Mediator</w:t>
            </w:r>
          </w:p>
        </w:tc>
      </w:tr>
      <w:tr w:rsidR="006E244E" w:rsidRPr="00202FE2" w14:paraId="1F009281" w14:textId="762FE45A" w:rsidTr="00EA4EF1">
        <w:trPr>
          <w:trHeight w:val="70"/>
        </w:trPr>
        <w:tc>
          <w:tcPr>
            <w:tcW w:w="1345" w:type="dxa"/>
            <w:vAlign w:val="bottom"/>
          </w:tcPr>
          <w:p w14:paraId="3B4A22AA" w14:textId="5D0ABC52" w:rsidR="006E244E" w:rsidRPr="00202FE2" w:rsidRDefault="007C03CB" w:rsidP="006E244E">
            <w:r>
              <w:t>29-33</w:t>
            </w:r>
          </w:p>
        </w:tc>
        <w:tc>
          <w:tcPr>
            <w:tcW w:w="3510" w:type="dxa"/>
            <w:vAlign w:val="bottom"/>
          </w:tcPr>
          <w:p w14:paraId="2620AB33" w14:textId="77777777" w:rsidR="006E244E" w:rsidRPr="00202FE2" w:rsidRDefault="006E244E" w:rsidP="006E244E">
            <w:r w:rsidRPr="00202FE2">
              <w:t>Patient reported activity limitations post-discharge</w:t>
            </w:r>
          </w:p>
        </w:tc>
        <w:tc>
          <w:tcPr>
            <w:tcW w:w="2790" w:type="dxa"/>
            <w:vAlign w:val="bottom"/>
          </w:tcPr>
          <w:p w14:paraId="4E549C64" w14:textId="666EDC81" w:rsidR="006E244E" w:rsidRPr="00202FE2" w:rsidRDefault="006E244E" w:rsidP="006E244E">
            <w:r w:rsidRPr="00202FE2">
              <w:t>Activities of daily living</w:t>
            </w:r>
            <w:r w:rsidR="00D47C05">
              <w:rPr>
                <w:vertAlign w:val="superscript"/>
              </w:rPr>
              <w:t>5</w:t>
            </w:r>
            <w:r w:rsidRPr="00202FE2">
              <w:t xml:space="preserve"> </w:t>
            </w:r>
          </w:p>
        </w:tc>
        <w:tc>
          <w:tcPr>
            <w:tcW w:w="2790" w:type="dxa"/>
          </w:tcPr>
          <w:p w14:paraId="4DE2C0D6" w14:textId="3C01E467" w:rsidR="006E244E" w:rsidRPr="00202FE2" w:rsidRDefault="007C03CB" w:rsidP="00EA4EF1">
            <w:pPr>
              <w:jc w:val="center"/>
            </w:pPr>
            <w:r>
              <w:t>Mediator</w:t>
            </w:r>
          </w:p>
        </w:tc>
      </w:tr>
      <w:tr w:rsidR="007C03CB" w:rsidRPr="00202FE2" w14:paraId="2BF8271E" w14:textId="20FFA91A" w:rsidTr="00EA4EF1">
        <w:trPr>
          <w:trHeight w:val="288"/>
        </w:trPr>
        <w:tc>
          <w:tcPr>
            <w:tcW w:w="1345" w:type="dxa"/>
            <w:vAlign w:val="bottom"/>
          </w:tcPr>
          <w:p w14:paraId="74012119" w14:textId="7FE76FA0" w:rsidR="007C03CB" w:rsidRPr="00202FE2" w:rsidRDefault="007C03CB" w:rsidP="007C03CB">
            <w:r>
              <w:t>34-38</w:t>
            </w:r>
          </w:p>
        </w:tc>
        <w:tc>
          <w:tcPr>
            <w:tcW w:w="3510" w:type="dxa"/>
            <w:vAlign w:val="bottom"/>
          </w:tcPr>
          <w:p w14:paraId="6A5FABCC" w14:textId="6CB24528" w:rsidR="007C03CB" w:rsidRPr="00202FE2" w:rsidRDefault="007C03CB" w:rsidP="007C03CB">
            <w:r w:rsidRPr="00202FE2">
              <w:t>Patient reported activity limitations post-discharge</w:t>
            </w:r>
          </w:p>
        </w:tc>
        <w:tc>
          <w:tcPr>
            <w:tcW w:w="2790" w:type="dxa"/>
            <w:vAlign w:val="bottom"/>
          </w:tcPr>
          <w:p w14:paraId="734EAAB7" w14:textId="460E244B" w:rsidR="007C03CB" w:rsidRPr="00D47C05" w:rsidRDefault="007C03CB" w:rsidP="007C03CB">
            <w:pPr>
              <w:rPr>
                <w:vertAlign w:val="superscript"/>
              </w:rPr>
            </w:pPr>
            <w:r w:rsidRPr="00202FE2">
              <w:t>Instrumental activities of daily living</w:t>
            </w:r>
            <w:r w:rsidR="00D47C05">
              <w:rPr>
                <w:vertAlign w:val="superscript"/>
              </w:rPr>
              <w:t>6</w:t>
            </w:r>
          </w:p>
        </w:tc>
        <w:tc>
          <w:tcPr>
            <w:tcW w:w="2790" w:type="dxa"/>
          </w:tcPr>
          <w:p w14:paraId="72369AC9" w14:textId="01D54932" w:rsidR="007C03CB" w:rsidRPr="00202FE2" w:rsidRDefault="007C03CB" w:rsidP="00EA4EF1">
            <w:pPr>
              <w:jc w:val="center"/>
            </w:pPr>
            <w:r>
              <w:t>Mediator</w:t>
            </w:r>
          </w:p>
        </w:tc>
      </w:tr>
      <w:tr w:rsidR="007C03CB" w:rsidRPr="00202FE2" w14:paraId="5F3E7CB4" w14:textId="2639B90E" w:rsidTr="00EA4EF1">
        <w:trPr>
          <w:trHeight w:val="288"/>
        </w:trPr>
        <w:tc>
          <w:tcPr>
            <w:tcW w:w="1345" w:type="dxa"/>
            <w:vAlign w:val="bottom"/>
          </w:tcPr>
          <w:p w14:paraId="6A016E75" w14:textId="32A0F190" w:rsidR="007C03CB" w:rsidRPr="00202FE2" w:rsidRDefault="007C03CB" w:rsidP="007C03CB">
            <w:r>
              <w:t>39</w:t>
            </w:r>
          </w:p>
        </w:tc>
        <w:tc>
          <w:tcPr>
            <w:tcW w:w="3510" w:type="dxa"/>
            <w:vAlign w:val="bottom"/>
          </w:tcPr>
          <w:p w14:paraId="53F7600F" w14:textId="71E59359" w:rsidR="007C03CB" w:rsidRPr="00202FE2" w:rsidRDefault="007C03CB" w:rsidP="007C03CB">
            <w:r>
              <w:t>Social support</w:t>
            </w:r>
          </w:p>
        </w:tc>
        <w:tc>
          <w:tcPr>
            <w:tcW w:w="2790" w:type="dxa"/>
            <w:vAlign w:val="bottom"/>
          </w:tcPr>
          <w:p w14:paraId="542D0C52" w14:textId="1943FB4C" w:rsidR="007C03CB" w:rsidRPr="00202FE2" w:rsidRDefault="00D47C05" w:rsidP="007C03CB">
            <w:r>
              <w:t>Social support beyond spouse/partner</w:t>
            </w:r>
            <w:r>
              <w:rPr>
                <w:vertAlign w:val="superscript"/>
              </w:rPr>
              <w:t>7</w:t>
            </w:r>
            <w:r>
              <w:t xml:space="preserve"> </w:t>
            </w:r>
          </w:p>
        </w:tc>
        <w:tc>
          <w:tcPr>
            <w:tcW w:w="2790" w:type="dxa"/>
          </w:tcPr>
          <w:p w14:paraId="3E9ABB1E" w14:textId="013EB128" w:rsidR="007C03CB" w:rsidRPr="00202FE2" w:rsidRDefault="007C03CB" w:rsidP="00EA4EF1">
            <w:pPr>
              <w:jc w:val="center"/>
            </w:pPr>
            <w:r>
              <w:t>Mediator</w:t>
            </w:r>
          </w:p>
        </w:tc>
      </w:tr>
      <w:tr w:rsidR="00EF2914" w:rsidRPr="00202FE2" w14:paraId="61D9387D" w14:textId="4CB70032" w:rsidTr="00EA4EF1">
        <w:trPr>
          <w:trHeight w:val="288"/>
        </w:trPr>
        <w:tc>
          <w:tcPr>
            <w:tcW w:w="1345" w:type="dxa"/>
            <w:vAlign w:val="bottom"/>
          </w:tcPr>
          <w:p w14:paraId="7B42FA33" w14:textId="744C61CB" w:rsidR="00EF2914" w:rsidRPr="00202FE2" w:rsidRDefault="00EF2914" w:rsidP="00EF2914">
            <w:r>
              <w:t>40-44</w:t>
            </w:r>
          </w:p>
        </w:tc>
        <w:tc>
          <w:tcPr>
            <w:tcW w:w="3510" w:type="dxa"/>
            <w:vAlign w:val="bottom"/>
          </w:tcPr>
          <w:p w14:paraId="53857D8C" w14:textId="174F97FA" w:rsidR="00EF2914" w:rsidRPr="00202FE2" w:rsidRDefault="00EF2914" w:rsidP="00810EDF">
            <w:r w:rsidRPr="00202FE2">
              <w:t xml:space="preserve">Patient reported </w:t>
            </w:r>
            <w:r w:rsidR="00810EDF">
              <w:t xml:space="preserve">fall risk communication and education </w:t>
            </w:r>
            <w:r w:rsidRPr="00202FE2">
              <w:t xml:space="preserve"> </w:t>
            </w:r>
          </w:p>
        </w:tc>
        <w:tc>
          <w:tcPr>
            <w:tcW w:w="2790" w:type="dxa"/>
            <w:vAlign w:val="bottom"/>
          </w:tcPr>
          <w:p w14:paraId="432E49FD" w14:textId="5507BE0E" w:rsidR="00EF2914" w:rsidRPr="00202FE2" w:rsidRDefault="00EF2914" w:rsidP="00D47C05">
            <w:r w:rsidRPr="00202FE2">
              <w:t xml:space="preserve">Self-report of post-discharge </w:t>
            </w:r>
            <w:r w:rsidR="00D47C05">
              <w:t>instruction</w:t>
            </w:r>
            <w:r w:rsidR="00D47C05">
              <w:rPr>
                <w:vertAlign w:val="superscript"/>
              </w:rPr>
              <w:t>8</w:t>
            </w:r>
            <w:r w:rsidRPr="00202FE2">
              <w:t xml:space="preserve"> </w:t>
            </w:r>
          </w:p>
        </w:tc>
        <w:tc>
          <w:tcPr>
            <w:tcW w:w="2790" w:type="dxa"/>
          </w:tcPr>
          <w:p w14:paraId="68BC35BD" w14:textId="3A0167F7" w:rsidR="00EF2914" w:rsidRPr="00202FE2" w:rsidRDefault="00EF2914" w:rsidP="00EA4EF1">
            <w:pPr>
              <w:jc w:val="center"/>
            </w:pPr>
            <w:r>
              <w:t>Outcome, Mediator</w:t>
            </w:r>
          </w:p>
        </w:tc>
      </w:tr>
      <w:tr w:rsidR="00EF2914" w:rsidRPr="00202FE2" w14:paraId="3114BB0C" w14:textId="34907527" w:rsidTr="00EA4EF1">
        <w:trPr>
          <w:trHeight w:val="288"/>
        </w:trPr>
        <w:tc>
          <w:tcPr>
            <w:tcW w:w="1345" w:type="dxa"/>
            <w:vAlign w:val="bottom"/>
          </w:tcPr>
          <w:p w14:paraId="58C2980E" w14:textId="3B07EAFF" w:rsidR="00EF2914" w:rsidRPr="00202FE2" w:rsidRDefault="0093257A" w:rsidP="00EF2914">
            <w:r>
              <w:t>45-49</w:t>
            </w:r>
          </w:p>
        </w:tc>
        <w:tc>
          <w:tcPr>
            <w:tcW w:w="3510" w:type="dxa"/>
            <w:vAlign w:val="bottom"/>
          </w:tcPr>
          <w:p w14:paraId="3C50417B" w14:textId="77777777" w:rsidR="00EF2914" w:rsidRPr="00202FE2" w:rsidRDefault="00EF2914" w:rsidP="00EF2914">
            <w:r w:rsidRPr="00202FE2">
              <w:t xml:space="preserve">Patient reported pain assessment/interventions </w:t>
            </w:r>
          </w:p>
        </w:tc>
        <w:tc>
          <w:tcPr>
            <w:tcW w:w="2790" w:type="dxa"/>
            <w:vAlign w:val="bottom"/>
          </w:tcPr>
          <w:p w14:paraId="6DECD0D7" w14:textId="0E7112CA" w:rsidR="00EF2914" w:rsidRPr="00D47C05" w:rsidRDefault="00EF2914" w:rsidP="00EF2914">
            <w:pPr>
              <w:rPr>
                <w:vertAlign w:val="superscript"/>
              </w:rPr>
            </w:pPr>
            <w:r w:rsidRPr="00202FE2">
              <w:t>Self-report of post-discharge management of pain</w:t>
            </w:r>
            <w:r w:rsidR="00D47C05">
              <w:rPr>
                <w:vertAlign w:val="superscript"/>
              </w:rPr>
              <w:t>8</w:t>
            </w:r>
          </w:p>
        </w:tc>
        <w:tc>
          <w:tcPr>
            <w:tcW w:w="2790" w:type="dxa"/>
          </w:tcPr>
          <w:p w14:paraId="74748BC3" w14:textId="6452CAB7" w:rsidR="00EF2914" w:rsidRPr="00202FE2" w:rsidRDefault="00EF2914" w:rsidP="00EA4EF1">
            <w:pPr>
              <w:jc w:val="center"/>
            </w:pPr>
            <w:r>
              <w:t>Outcome, Mediator</w:t>
            </w:r>
          </w:p>
        </w:tc>
      </w:tr>
      <w:tr w:rsidR="0093257A" w:rsidRPr="00202FE2" w14:paraId="5CF3E144" w14:textId="77777777" w:rsidTr="00EA4EF1">
        <w:trPr>
          <w:trHeight w:val="288"/>
        </w:trPr>
        <w:tc>
          <w:tcPr>
            <w:tcW w:w="1345" w:type="dxa"/>
            <w:vAlign w:val="bottom"/>
          </w:tcPr>
          <w:p w14:paraId="1F9B5F71" w14:textId="6A99BAC8" w:rsidR="0093257A" w:rsidRDefault="0093257A" w:rsidP="0093257A">
            <w:r>
              <w:t>50-51</w:t>
            </w:r>
          </w:p>
        </w:tc>
        <w:tc>
          <w:tcPr>
            <w:tcW w:w="3510" w:type="dxa"/>
            <w:vAlign w:val="bottom"/>
          </w:tcPr>
          <w:p w14:paraId="26A926F4" w14:textId="5865F289" w:rsidR="0093257A" w:rsidRPr="00202FE2" w:rsidRDefault="0093257A" w:rsidP="0093257A">
            <w:r>
              <w:t>Patient use and misuse of alcohol</w:t>
            </w:r>
          </w:p>
        </w:tc>
        <w:tc>
          <w:tcPr>
            <w:tcW w:w="2790" w:type="dxa"/>
            <w:vAlign w:val="bottom"/>
          </w:tcPr>
          <w:p w14:paraId="424826C2" w14:textId="41DBAE70" w:rsidR="0093257A" w:rsidRPr="00202FE2" w:rsidRDefault="0093257A" w:rsidP="0093257A">
            <w:r>
              <w:t>Alcohol use</w:t>
            </w:r>
            <w:r>
              <w:rPr>
                <w:vertAlign w:val="superscript"/>
              </w:rPr>
              <w:t>9</w:t>
            </w:r>
          </w:p>
        </w:tc>
        <w:tc>
          <w:tcPr>
            <w:tcW w:w="2790" w:type="dxa"/>
          </w:tcPr>
          <w:p w14:paraId="6503C6F0" w14:textId="6134144F" w:rsidR="0093257A" w:rsidRDefault="0093257A" w:rsidP="0093257A">
            <w:pPr>
              <w:jc w:val="center"/>
            </w:pPr>
            <w:r>
              <w:t>Adjuster, Mediator</w:t>
            </w:r>
          </w:p>
        </w:tc>
      </w:tr>
      <w:tr w:rsidR="0093257A" w:rsidRPr="00202FE2" w14:paraId="2F45C3C8" w14:textId="77777777" w:rsidTr="00EA4EF1">
        <w:trPr>
          <w:trHeight w:val="288"/>
        </w:trPr>
        <w:tc>
          <w:tcPr>
            <w:tcW w:w="1345" w:type="dxa"/>
            <w:vAlign w:val="bottom"/>
          </w:tcPr>
          <w:p w14:paraId="3EFE8269" w14:textId="280C2A95" w:rsidR="0093257A" w:rsidRDefault="0093257A" w:rsidP="0093257A">
            <w:r>
              <w:t>52-66</w:t>
            </w:r>
          </w:p>
        </w:tc>
        <w:tc>
          <w:tcPr>
            <w:tcW w:w="3510" w:type="dxa"/>
            <w:vAlign w:val="bottom"/>
          </w:tcPr>
          <w:p w14:paraId="44DDC14C" w14:textId="3CD00F2E" w:rsidR="0093257A" w:rsidRPr="00202FE2" w:rsidRDefault="0093257A" w:rsidP="0093257A">
            <w:r w:rsidRPr="00202FE2">
              <w:t>Patient reported pain assessment</w:t>
            </w:r>
          </w:p>
        </w:tc>
        <w:tc>
          <w:tcPr>
            <w:tcW w:w="2790" w:type="dxa"/>
            <w:vAlign w:val="bottom"/>
          </w:tcPr>
          <w:p w14:paraId="0A4D6192" w14:textId="25682849" w:rsidR="0093257A" w:rsidRPr="00202FE2" w:rsidRDefault="0093257A" w:rsidP="0093257A">
            <w:r w:rsidRPr="00202FE2">
              <w:t>Pain and approaches to caring for pain</w:t>
            </w:r>
            <w:r>
              <w:t xml:space="preserve"> </w:t>
            </w:r>
            <w:r>
              <w:rPr>
                <w:vertAlign w:val="superscript"/>
              </w:rPr>
              <w:t>10,11</w:t>
            </w:r>
          </w:p>
        </w:tc>
        <w:tc>
          <w:tcPr>
            <w:tcW w:w="2790" w:type="dxa"/>
          </w:tcPr>
          <w:p w14:paraId="55A4D32A" w14:textId="6A5866BF" w:rsidR="0093257A" w:rsidRDefault="0093257A" w:rsidP="0093257A">
            <w:pPr>
              <w:jc w:val="center"/>
            </w:pPr>
            <w:r w:rsidRPr="00EA4EF1">
              <w:t>Outcome, Adjuster</w:t>
            </w:r>
          </w:p>
        </w:tc>
      </w:tr>
      <w:tr w:rsidR="0093257A" w:rsidRPr="00202FE2" w14:paraId="19A7585D" w14:textId="6A258989" w:rsidTr="00EA4EF1">
        <w:trPr>
          <w:trHeight w:val="288"/>
        </w:trPr>
        <w:tc>
          <w:tcPr>
            <w:tcW w:w="1345" w:type="dxa"/>
            <w:vAlign w:val="bottom"/>
          </w:tcPr>
          <w:p w14:paraId="0358876A" w14:textId="4C13B387" w:rsidR="0093257A" w:rsidRPr="00202FE2" w:rsidRDefault="0093257A" w:rsidP="0093257A">
            <w:r>
              <w:t>67</w:t>
            </w:r>
          </w:p>
        </w:tc>
        <w:tc>
          <w:tcPr>
            <w:tcW w:w="3510" w:type="dxa"/>
            <w:vAlign w:val="bottom"/>
          </w:tcPr>
          <w:p w14:paraId="764FAEFE" w14:textId="77777777" w:rsidR="0093257A" w:rsidRPr="00202FE2" w:rsidRDefault="0093257A" w:rsidP="0093257A">
            <w:r w:rsidRPr="00202FE2">
              <w:t>General patient status</w:t>
            </w:r>
          </w:p>
        </w:tc>
        <w:tc>
          <w:tcPr>
            <w:tcW w:w="2790" w:type="dxa"/>
            <w:vAlign w:val="bottom"/>
          </w:tcPr>
          <w:p w14:paraId="69F93D08" w14:textId="77777777" w:rsidR="0093257A" w:rsidRPr="00202FE2" w:rsidRDefault="0093257A" w:rsidP="0093257A">
            <w:r w:rsidRPr="00202FE2">
              <w:t>Patient comment</w:t>
            </w:r>
          </w:p>
        </w:tc>
        <w:tc>
          <w:tcPr>
            <w:tcW w:w="2790" w:type="dxa"/>
          </w:tcPr>
          <w:p w14:paraId="6B26C4BF" w14:textId="77777777" w:rsidR="0093257A" w:rsidRPr="00202FE2" w:rsidRDefault="0093257A" w:rsidP="0093257A"/>
        </w:tc>
      </w:tr>
    </w:tbl>
    <w:p w14:paraId="43F5B64F" w14:textId="77777777" w:rsidR="008D770A" w:rsidRPr="00202FE2" w:rsidRDefault="008D770A" w:rsidP="008D770A"/>
    <w:p w14:paraId="2B684A90" w14:textId="28C53933" w:rsidR="00810EDF" w:rsidRDefault="00810EDF" w:rsidP="008D770A">
      <w:r>
        <w:t>1. Questions aim to measure seeking medical care by different healthcare settings</w:t>
      </w:r>
      <w:r w:rsidR="0093257A">
        <w:t xml:space="preserve"> after discharge</w:t>
      </w:r>
    </w:p>
    <w:p w14:paraId="445FDC53" w14:textId="43CCF11D" w:rsidR="008D770A" w:rsidRPr="00202FE2" w:rsidRDefault="009F0515" w:rsidP="008D770A">
      <w:r>
        <w:t>2.</w:t>
      </w:r>
      <w:r w:rsidR="00810EDF">
        <w:t xml:space="preserve"> </w:t>
      </w:r>
      <w:r w:rsidR="00590B7E">
        <w:t xml:space="preserve">Adapted from Krumholz et al., 2013 </w:t>
      </w:r>
      <w:r w:rsidR="00FE5171">
        <w:t>for h</w:t>
      </w:r>
      <w:r w:rsidR="00810EDF">
        <w:t xml:space="preserve">ealth conditions included </w:t>
      </w:r>
      <w:r w:rsidR="00FE5171">
        <w:t xml:space="preserve">commonly associated with </w:t>
      </w:r>
      <w:r>
        <w:t>post-hospital complications and contribute independently to los</w:t>
      </w:r>
      <w:r w:rsidR="00FE5171">
        <w:t>s of function, falls, and pain.</w:t>
      </w:r>
    </w:p>
    <w:p w14:paraId="346D6645" w14:textId="3FD499AD" w:rsidR="00D47C05" w:rsidRDefault="00417009" w:rsidP="00D47C05">
      <w:r>
        <w:t>3.</w:t>
      </w:r>
      <w:r w:rsidR="00D47C05">
        <w:t xml:space="preserve"> Questions adapted from BRFSS around self-reported falls with modifications to measure fall frequency and severity. </w:t>
      </w:r>
    </w:p>
    <w:p w14:paraId="267855C0" w14:textId="6D07E2EF" w:rsidR="00D47C05" w:rsidRPr="00FE5171" w:rsidRDefault="00D47C05" w:rsidP="00D47C05">
      <w:pPr>
        <w:pStyle w:val="EndNoteBibliography"/>
        <w:rPr>
          <w:rFonts w:eastAsia="Times New Roman"/>
          <w:noProof w:val="0"/>
        </w:rPr>
      </w:pPr>
      <w:r w:rsidRPr="00FE5171">
        <w:rPr>
          <w:rFonts w:eastAsia="Times New Roman"/>
          <w:noProof w:val="0"/>
        </w:rPr>
        <w:t xml:space="preserve">4. Adapted from </w:t>
      </w:r>
      <w:r w:rsidR="00FE5171" w:rsidRPr="00FE5171">
        <w:rPr>
          <w:rFonts w:eastAsia="Times New Roman"/>
          <w:noProof w:val="0"/>
        </w:rPr>
        <w:t xml:space="preserve">“12-Item Short-Form Health Survey” (Ware et al., 1996) </w:t>
      </w:r>
      <w:r w:rsidRPr="00FE5171">
        <w:rPr>
          <w:rFonts w:eastAsia="Times New Roman"/>
          <w:noProof w:val="0"/>
        </w:rPr>
        <w:t xml:space="preserve">to measure overall health status and used to compare to baseline. </w:t>
      </w:r>
    </w:p>
    <w:p w14:paraId="717E7B6B" w14:textId="2FA678D4" w:rsidR="00D47C05" w:rsidRPr="00FE5171" w:rsidRDefault="00D47C05" w:rsidP="00D47C05">
      <w:r w:rsidRPr="00FE5171">
        <w:t xml:space="preserve">5. Adapted from </w:t>
      </w:r>
      <w:r w:rsidR="00FE5171" w:rsidRPr="00FE5171">
        <w:t xml:space="preserve">the Barthel Index (Mahoney et al., 1965) </w:t>
      </w:r>
      <w:r w:rsidRPr="00FE5171">
        <w:t xml:space="preserve">to measure ability to carry out activities of daily living and compare to baseline. </w:t>
      </w:r>
    </w:p>
    <w:p w14:paraId="1C519B74" w14:textId="2301CCEB" w:rsidR="00D47C05" w:rsidRPr="00FE5171" w:rsidRDefault="00D47C05" w:rsidP="00D47C05">
      <w:r w:rsidRPr="00FE5171">
        <w:t xml:space="preserve">6. Adapted from </w:t>
      </w:r>
      <w:r w:rsidR="00FE5171" w:rsidRPr="00FE5171">
        <w:t>the Lawton and Brody Index (Lawton et al., 1969)</w:t>
      </w:r>
      <w:r w:rsidRPr="00FE5171">
        <w:t xml:space="preserve"> to measure ability to carry out instrumental activities of daily living and compare to baseline.</w:t>
      </w:r>
    </w:p>
    <w:p w14:paraId="01C5740E" w14:textId="6C880843" w:rsidR="00D47C05" w:rsidRPr="00FE5171" w:rsidRDefault="00D47C05" w:rsidP="00D47C05">
      <w:r w:rsidRPr="00FE5171">
        <w:t xml:space="preserve">7. </w:t>
      </w:r>
      <w:r w:rsidR="00FE5171" w:rsidRPr="00FE5171">
        <w:t>Adapted from the Health and Retirement Survey to predict</w:t>
      </w:r>
      <w:r w:rsidRPr="00FE5171">
        <w:t xml:space="preserve"> of loss of function and re-hospitalization in older adults </w:t>
      </w:r>
    </w:p>
    <w:p w14:paraId="1A013FB7" w14:textId="21E8F065" w:rsidR="00D47C05" w:rsidRDefault="00D47C05" w:rsidP="00D47C05">
      <w:r w:rsidRPr="00FE5171">
        <w:t xml:space="preserve">8. Questions developed by clinical team to measure post-discharge pain management, medication adherence and the primary outcome of falls. </w:t>
      </w:r>
    </w:p>
    <w:p w14:paraId="0C474B83" w14:textId="70C60185" w:rsidR="0093257A" w:rsidRPr="00BA1900" w:rsidRDefault="0093257A" w:rsidP="0093257A">
      <w:r>
        <w:t xml:space="preserve">9. </w:t>
      </w:r>
      <w:r w:rsidRPr="00BA1900">
        <w:t>Adapted from alcohol related questions Behavioral Risk Factor Surveillance System (BRFSS).</w:t>
      </w:r>
    </w:p>
    <w:p w14:paraId="21F3689B" w14:textId="264F0063" w:rsidR="0093257A" w:rsidRPr="00BA1900" w:rsidRDefault="0093257A" w:rsidP="0093257A">
      <w:r w:rsidRPr="00BA1900">
        <w:t xml:space="preserve">10. Adapted from the Prescription Opioid Misuse Index. (Kinsley et al., 2008) </w:t>
      </w:r>
    </w:p>
    <w:p w14:paraId="1200D0E9" w14:textId="4BE8756B" w:rsidR="0093257A" w:rsidRPr="00BA1900" w:rsidRDefault="0093257A" w:rsidP="0093257A">
      <w:r w:rsidRPr="00BA1900">
        <w:t xml:space="preserve">11. Adapted from the Chronic Pain Screener Questions from National Pain Strategy.  </w:t>
      </w:r>
    </w:p>
    <w:p w14:paraId="3605616E" w14:textId="77777777" w:rsidR="006924C2" w:rsidRPr="00BA1900" w:rsidRDefault="006924C2" w:rsidP="00BA1900">
      <w:r w:rsidRPr="00BA1900">
        <w:br w:type="page"/>
      </w:r>
    </w:p>
    <w:p w14:paraId="5CBD77F8" w14:textId="6B5BA63D" w:rsidR="008D770A" w:rsidRPr="00202FE2" w:rsidRDefault="004D60AA" w:rsidP="008D770A">
      <w:pPr>
        <w:shd w:val="clear" w:color="auto" w:fill="FFFFFF" w:themeFill="background1"/>
      </w:pPr>
      <w:r>
        <w:rPr>
          <w:b/>
        </w:rPr>
        <w:t xml:space="preserve">Table </w:t>
      </w:r>
      <w:r w:rsidR="00A54268">
        <w:rPr>
          <w:b/>
        </w:rPr>
        <w:t>A.</w:t>
      </w:r>
      <w:r w:rsidR="000956AE">
        <w:rPr>
          <w:b/>
        </w:rPr>
        <w:t>4</w:t>
      </w:r>
      <w:r>
        <w:rPr>
          <w:b/>
        </w:rPr>
        <w:t>.</w:t>
      </w:r>
      <w:r w:rsidR="00A54268">
        <w:rPr>
          <w:b/>
        </w:rPr>
        <w:t>c</w:t>
      </w:r>
      <w:r>
        <w:rPr>
          <w:b/>
        </w:rPr>
        <w:t xml:space="preserve">: </w:t>
      </w:r>
      <w:r w:rsidRPr="00F2652A">
        <w:rPr>
          <w:b/>
        </w:rPr>
        <w:t>UCSF Clinical Staff Evaluation Questionnaire</w:t>
      </w:r>
      <w:r w:rsidRPr="00202FE2">
        <w:t xml:space="preserve"> </w:t>
      </w:r>
      <w:r>
        <w:t>(</w:t>
      </w:r>
      <w:r w:rsidRPr="005E674E">
        <w:rPr>
          <w:b/>
        </w:rPr>
        <w:t>Attachment E3</w:t>
      </w:r>
      <w:r>
        <w:t>)</w:t>
      </w:r>
    </w:p>
    <w:p w14:paraId="261DAE70" w14:textId="77777777" w:rsidR="005C6F71" w:rsidRDefault="005C6F71" w:rsidP="005C6F71"/>
    <w:tbl>
      <w:tblPr>
        <w:tblStyle w:val="TableGrid"/>
        <w:tblpPr w:leftFromText="180" w:rightFromText="180" w:vertAnchor="text" w:horzAnchor="margin" w:tblpY="3"/>
        <w:tblW w:w="0" w:type="auto"/>
        <w:tblLook w:val="04A0" w:firstRow="1" w:lastRow="0" w:firstColumn="1" w:lastColumn="0" w:noHBand="0" w:noVBand="1"/>
      </w:tblPr>
      <w:tblGrid>
        <w:gridCol w:w="1689"/>
        <w:gridCol w:w="3346"/>
        <w:gridCol w:w="3690"/>
      </w:tblGrid>
      <w:tr w:rsidR="004D60AA" w:rsidRPr="00202FE2" w14:paraId="7EF9E555" w14:textId="77777777" w:rsidTr="004D60AA">
        <w:trPr>
          <w:trHeight w:val="620"/>
        </w:trPr>
        <w:tc>
          <w:tcPr>
            <w:tcW w:w="1689" w:type="dxa"/>
            <w:vAlign w:val="bottom"/>
          </w:tcPr>
          <w:p w14:paraId="24F9B9F9" w14:textId="77777777" w:rsidR="004D60AA" w:rsidRDefault="004D60AA" w:rsidP="004D60AA"/>
          <w:p w14:paraId="1B603ACF" w14:textId="77777777" w:rsidR="004D60AA" w:rsidRPr="00202FE2" w:rsidRDefault="004D60AA" w:rsidP="004D60AA">
            <w:r w:rsidRPr="00202FE2">
              <w:t xml:space="preserve">Questions </w:t>
            </w:r>
          </w:p>
        </w:tc>
        <w:tc>
          <w:tcPr>
            <w:tcW w:w="3346" w:type="dxa"/>
            <w:vAlign w:val="bottom"/>
          </w:tcPr>
          <w:p w14:paraId="55BCD743" w14:textId="77777777" w:rsidR="004D60AA" w:rsidRPr="00202FE2" w:rsidRDefault="004D60AA" w:rsidP="004D60AA">
            <w:r w:rsidRPr="00202FE2">
              <w:t>Question(s) Description</w:t>
            </w:r>
          </w:p>
        </w:tc>
        <w:tc>
          <w:tcPr>
            <w:tcW w:w="3690" w:type="dxa"/>
            <w:vAlign w:val="bottom"/>
          </w:tcPr>
          <w:p w14:paraId="489B0ACB" w14:textId="77777777" w:rsidR="004D60AA" w:rsidRPr="00202FE2" w:rsidRDefault="004D60AA" w:rsidP="004D60AA">
            <w:r w:rsidRPr="00202FE2">
              <w:t xml:space="preserve">Indicator </w:t>
            </w:r>
          </w:p>
        </w:tc>
      </w:tr>
      <w:tr w:rsidR="004D60AA" w:rsidRPr="00202FE2" w14:paraId="0AE40144" w14:textId="77777777" w:rsidTr="004D60AA">
        <w:trPr>
          <w:trHeight w:val="395"/>
        </w:trPr>
        <w:tc>
          <w:tcPr>
            <w:tcW w:w="1689" w:type="dxa"/>
            <w:vAlign w:val="bottom"/>
          </w:tcPr>
          <w:p w14:paraId="53DFFB0B" w14:textId="77777777" w:rsidR="004D60AA" w:rsidRPr="00202FE2" w:rsidRDefault="004D60AA" w:rsidP="004D60AA">
            <w:r w:rsidRPr="00202FE2">
              <w:t xml:space="preserve">Questions 1 through 7 </w:t>
            </w:r>
          </w:p>
        </w:tc>
        <w:tc>
          <w:tcPr>
            <w:tcW w:w="3346" w:type="dxa"/>
            <w:vAlign w:val="bottom"/>
          </w:tcPr>
          <w:p w14:paraId="52AEB6ED" w14:textId="77777777" w:rsidR="004D60AA" w:rsidRPr="00202FE2" w:rsidRDefault="004D60AA" w:rsidP="004D60AA">
            <w:r w:rsidRPr="00202FE2">
              <w:t>Provider demographic: age, gender, years in practice, professional role, location of work</w:t>
            </w:r>
          </w:p>
        </w:tc>
        <w:tc>
          <w:tcPr>
            <w:tcW w:w="3690" w:type="dxa"/>
            <w:vAlign w:val="bottom"/>
          </w:tcPr>
          <w:p w14:paraId="13AC8B73" w14:textId="3F67A16D" w:rsidR="004D60AA" w:rsidRPr="00202FE2" w:rsidRDefault="004D60AA" w:rsidP="004D60AA">
            <w:r w:rsidRPr="00202FE2">
              <w:t xml:space="preserve">Verification </w:t>
            </w:r>
            <w:r w:rsidR="0084266C" w:rsidRPr="00202FE2">
              <w:t>of respondent</w:t>
            </w:r>
            <w:r w:rsidRPr="00202FE2">
              <w:t xml:space="preserve"> eligibility, and  perceived expertise &amp; proficiency</w:t>
            </w:r>
          </w:p>
          <w:p w14:paraId="5D6E7D16" w14:textId="77777777" w:rsidR="004D60AA" w:rsidRPr="00202FE2" w:rsidRDefault="004D60AA" w:rsidP="004D60AA">
            <w:r w:rsidRPr="00202FE2">
              <w:t xml:space="preserve"> </w:t>
            </w:r>
          </w:p>
          <w:p w14:paraId="72C1ABAD" w14:textId="77777777" w:rsidR="004D60AA" w:rsidRPr="00202FE2" w:rsidRDefault="004D60AA" w:rsidP="004D60AA"/>
        </w:tc>
      </w:tr>
      <w:tr w:rsidR="004D60AA" w:rsidRPr="00202FE2" w14:paraId="3648BDC1" w14:textId="77777777" w:rsidTr="004D60AA">
        <w:trPr>
          <w:trHeight w:val="70"/>
        </w:trPr>
        <w:tc>
          <w:tcPr>
            <w:tcW w:w="1689" w:type="dxa"/>
            <w:vAlign w:val="bottom"/>
          </w:tcPr>
          <w:p w14:paraId="68113317" w14:textId="77777777" w:rsidR="004D60AA" w:rsidRPr="00202FE2" w:rsidRDefault="004D60AA" w:rsidP="004D60AA">
            <w:r w:rsidRPr="00202FE2">
              <w:t>Questions 8 through 13</w:t>
            </w:r>
          </w:p>
        </w:tc>
        <w:tc>
          <w:tcPr>
            <w:tcW w:w="3346" w:type="dxa"/>
            <w:vAlign w:val="bottom"/>
          </w:tcPr>
          <w:p w14:paraId="76E1EBB1" w14:textId="77777777" w:rsidR="004D60AA" w:rsidRPr="00202FE2" w:rsidRDefault="004D60AA" w:rsidP="004D60AA">
            <w:r w:rsidRPr="00202FE2">
              <w:t>Provider experiences in caring for patients with pain and/or opioid use</w:t>
            </w:r>
          </w:p>
        </w:tc>
        <w:tc>
          <w:tcPr>
            <w:tcW w:w="3690" w:type="dxa"/>
            <w:vAlign w:val="bottom"/>
          </w:tcPr>
          <w:p w14:paraId="541BEC8C" w14:textId="77777777" w:rsidR="004D60AA" w:rsidRPr="00202FE2" w:rsidRDefault="004D60AA" w:rsidP="004D60AA">
            <w:r w:rsidRPr="00202FE2">
              <w:t xml:space="preserve"> Practices around pain and opioid management</w:t>
            </w:r>
          </w:p>
          <w:p w14:paraId="4E4E8B74" w14:textId="77777777" w:rsidR="004D60AA" w:rsidRPr="00202FE2" w:rsidRDefault="004D60AA" w:rsidP="004D60AA"/>
        </w:tc>
      </w:tr>
      <w:tr w:rsidR="004D60AA" w:rsidRPr="00202FE2" w14:paraId="0F0F1359" w14:textId="77777777" w:rsidTr="004D60AA">
        <w:trPr>
          <w:trHeight w:val="70"/>
        </w:trPr>
        <w:tc>
          <w:tcPr>
            <w:tcW w:w="1689" w:type="dxa"/>
            <w:vAlign w:val="bottom"/>
          </w:tcPr>
          <w:p w14:paraId="1FA45C13" w14:textId="77777777" w:rsidR="004D60AA" w:rsidRPr="00202FE2" w:rsidRDefault="004D60AA" w:rsidP="004D60AA">
            <w:r w:rsidRPr="00202FE2">
              <w:t>Questions 14 through 26</w:t>
            </w:r>
          </w:p>
        </w:tc>
        <w:tc>
          <w:tcPr>
            <w:tcW w:w="3346" w:type="dxa"/>
            <w:vAlign w:val="bottom"/>
          </w:tcPr>
          <w:p w14:paraId="7F6CF8E6" w14:textId="77777777" w:rsidR="004D60AA" w:rsidRPr="00202FE2" w:rsidRDefault="004D60AA" w:rsidP="004D60AA">
            <w:r w:rsidRPr="00202FE2">
              <w:t>Provider confidence in ability to address issues related to pain and/or opioid use</w:t>
            </w:r>
          </w:p>
        </w:tc>
        <w:tc>
          <w:tcPr>
            <w:tcW w:w="3690" w:type="dxa"/>
            <w:vAlign w:val="bottom"/>
          </w:tcPr>
          <w:p w14:paraId="12959202" w14:textId="77777777" w:rsidR="004D60AA" w:rsidRPr="00202FE2" w:rsidRDefault="004D60AA" w:rsidP="004D60AA">
            <w:r w:rsidRPr="00202FE2">
              <w:t>Self-efficacy around pain and opioid management practices</w:t>
            </w:r>
          </w:p>
        </w:tc>
      </w:tr>
      <w:tr w:rsidR="004D60AA" w:rsidRPr="00202FE2" w14:paraId="61DD3251" w14:textId="77777777" w:rsidTr="004D60AA">
        <w:trPr>
          <w:trHeight w:val="70"/>
        </w:trPr>
        <w:tc>
          <w:tcPr>
            <w:tcW w:w="1689" w:type="dxa"/>
            <w:shd w:val="clear" w:color="auto" w:fill="FFFFFF" w:themeFill="background1"/>
            <w:vAlign w:val="bottom"/>
          </w:tcPr>
          <w:p w14:paraId="5065EEC9" w14:textId="77777777" w:rsidR="004D60AA" w:rsidRPr="00202FE2" w:rsidRDefault="004D60AA" w:rsidP="004D60AA">
            <w:pPr>
              <w:shd w:val="clear" w:color="auto" w:fill="FFFFFF" w:themeFill="background1"/>
            </w:pPr>
            <w:r w:rsidRPr="00202FE2">
              <w:t>Questions 27 through 30</w:t>
            </w:r>
          </w:p>
        </w:tc>
        <w:tc>
          <w:tcPr>
            <w:tcW w:w="3346" w:type="dxa"/>
            <w:shd w:val="clear" w:color="auto" w:fill="FFFFFF" w:themeFill="background1"/>
            <w:vAlign w:val="bottom"/>
          </w:tcPr>
          <w:p w14:paraId="71866A5C" w14:textId="77777777" w:rsidR="004D60AA" w:rsidRPr="00202FE2" w:rsidRDefault="004D60AA" w:rsidP="004D60AA">
            <w:pPr>
              <w:shd w:val="clear" w:color="auto" w:fill="FFFFFF" w:themeFill="background1"/>
            </w:pPr>
            <w:r w:rsidRPr="00202FE2">
              <w:t>Effectiveness of electronic health records prompts to make clinical decisions</w:t>
            </w:r>
          </w:p>
        </w:tc>
        <w:tc>
          <w:tcPr>
            <w:tcW w:w="3690" w:type="dxa"/>
            <w:shd w:val="clear" w:color="auto" w:fill="FFFFFF" w:themeFill="background1"/>
            <w:vAlign w:val="bottom"/>
          </w:tcPr>
          <w:p w14:paraId="4CAB475A" w14:textId="77777777" w:rsidR="004D60AA" w:rsidRPr="00202FE2" w:rsidRDefault="004D60AA" w:rsidP="004D60AA">
            <w:pPr>
              <w:shd w:val="clear" w:color="auto" w:fill="FFFFFF" w:themeFill="background1"/>
            </w:pPr>
            <w:r w:rsidRPr="00202FE2">
              <w:t>Perceptions of the EHR as an aid to pain management</w:t>
            </w:r>
          </w:p>
        </w:tc>
      </w:tr>
      <w:tr w:rsidR="004D60AA" w:rsidRPr="00202FE2" w14:paraId="334C116D" w14:textId="77777777" w:rsidTr="004D60AA">
        <w:trPr>
          <w:trHeight w:val="70"/>
        </w:trPr>
        <w:tc>
          <w:tcPr>
            <w:tcW w:w="1689" w:type="dxa"/>
            <w:shd w:val="clear" w:color="auto" w:fill="FFFFFF" w:themeFill="background1"/>
            <w:vAlign w:val="bottom"/>
          </w:tcPr>
          <w:p w14:paraId="7DE03978" w14:textId="77777777" w:rsidR="004D60AA" w:rsidRPr="00202FE2" w:rsidRDefault="004D60AA" w:rsidP="004D60AA">
            <w:pPr>
              <w:shd w:val="clear" w:color="auto" w:fill="FFFFFF" w:themeFill="background1"/>
            </w:pPr>
            <w:r w:rsidRPr="00202FE2">
              <w:t>Question 31</w:t>
            </w:r>
          </w:p>
          <w:p w14:paraId="1E09ADF4" w14:textId="77777777" w:rsidR="004D60AA" w:rsidRPr="00202FE2" w:rsidRDefault="004D60AA" w:rsidP="004D60AA">
            <w:pPr>
              <w:shd w:val="clear" w:color="auto" w:fill="FFFFFF" w:themeFill="background1"/>
            </w:pPr>
          </w:p>
        </w:tc>
        <w:tc>
          <w:tcPr>
            <w:tcW w:w="3346" w:type="dxa"/>
            <w:shd w:val="clear" w:color="auto" w:fill="FFFFFF" w:themeFill="background1"/>
            <w:vAlign w:val="bottom"/>
          </w:tcPr>
          <w:p w14:paraId="746318C5" w14:textId="77777777" w:rsidR="004D60AA" w:rsidRPr="00202FE2" w:rsidRDefault="004D60AA" w:rsidP="004D60AA">
            <w:pPr>
              <w:shd w:val="clear" w:color="auto" w:fill="FFFFFF" w:themeFill="background1"/>
            </w:pPr>
            <w:r w:rsidRPr="00202FE2">
              <w:t>Provider comments</w:t>
            </w:r>
          </w:p>
          <w:p w14:paraId="18BA2113" w14:textId="77777777" w:rsidR="004D60AA" w:rsidRPr="00202FE2" w:rsidRDefault="004D60AA" w:rsidP="004D60AA">
            <w:pPr>
              <w:shd w:val="clear" w:color="auto" w:fill="FFFFFF" w:themeFill="background1"/>
            </w:pPr>
          </w:p>
        </w:tc>
        <w:tc>
          <w:tcPr>
            <w:tcW w:w="3690" w:type="dxa"/>
            <w:shd w:val="clear" w:color="auto" w:fill="FFFFFF" w:themeFill="background1"/>
            <w:vAlign w:val="bottom"/>
          </w:tcPr>
          <w:p w14:paraId="379391C5" w14:textId="77777777" w:rsidR="004D60AA" w:rsidRPr="00202FE2" w:rsidRDefault="004D60AA" w:rsidP="004D60AA">
            <w:pPr>
              <w:shd w:val="clear" w:color="auto" w:fill="FFFFFF" w:themeFill="background1"/>
            </w:pPr>
            <w:r w:rsidRPr="00202FE2">
              <w:t>Suggestions for improvement regarding the care of patients with pain and/or opioid use</w:t>
            </w:r>
          </w:p>
        </w:tc>
      </w:tr>
    </w:tbl>
    <w:p w14:paraId="001CAE1A" w14:textId="77777777" w:rsidR="005C6F71" w:rsidRDefault="005C6F71" w:rsidP="005C6F71"/>
    <w:p w14:paraId="7DD8AD5A" w14:textId="77777777" w:rsidR="005C6F71" w:rsidRDefault="005C6F71" w:rsidP="005C6F71"/>
    <w:p w14:paraId="3882D32B" w14:textId="77777777" w:rsidR="005C6F71" w:rsidRDefault="005C6F71" w:rsidP="005C6F71"/>
    <w:p w14:paraId="306DE2C8" w14:textId="77777777" w:rsidR="005C6F71" w:rsidRDefault="005C6F71" w:rsidP="005C6F71"/>
    <w:p w14:paraId="1702DE34" w14:textId="77777777" w:rsidR="004D60AA" w:rsidRDefault="004D60AA" w:rsidP="005C6F71"/>
    <w:p w14:paraId="34FFE18C" w14:textId="77777777" w:rsidR="004D60AA" w:rsidRDefault="004D60AA" w:rsidP="005C6F71">
      <w:pPr>
        <w:rPr>
          <w:b/>
        </w:rPr>
      </w:pPr>
    </w:p>
    <w:p w14:paraId="21E5AF4C" w14:textId="77777777" w:rsidR="004D60AA" w:rsidRDefault="004D60AA" w:rsidP="005C6F71">
      <w:pPr>
        <w:rPr>
          <w:b/>
        </w:rPr>
      </w:pPr>
    </w:p>
    <w:p w14:paraId="52F2AB24" w14:textId="77777777" w:rsidR="004D60AA" w:rsidRDefault="004D60AA" w:rsidP="005C6F71">
      <w:pPr>
        <w:rPr>
          <w:b/>
        </w:rPr>
      </w:pPr>
    </w:p>
    <w:p w14:paraId="092A7574" w14:textId="77777777" w:rsidR="004D60AA" w:rsidRDefault="004D60AA" w:rsidP="005C6F71">
      <w:pPr>
        <w:rPr>
          <w:b/>
        </w:rPr>
      </w:pPr>
    </w:p>
    <w:p w14:paraId="6A1821B2" w14:textId="77777777" w:rsidR="004D60AA" w:rsidRDefault="004D60AA" w:rsidP="005C6F71">
      <w:pPr>
        <w:rPr>
          <w:b/>
        </w:rPr>
      </w:pPr>
    </w:p>
    <w:p w14:paraId="0754EC98" w14:textId="77777777" w:rsidR="004D60AA" w:rsidRDefault="004D60AA" w:rsidP="005C6F71">
      <w:pPr>
        <w:rPr>
          <w:b/>
        </w:rPr>
      </w:pPr>
    </w:p>
    <w:p w14:paraId="116E2AFF" w14:textId="77777777" w:rsidR="004D60AA" w:rsidRDefault="004D60AA" w:rsidP="005C6F71">
      <w:pPr>
        <w:rPr>
          <w:b/>
        </w:rPr>
      </w:pPr>
    </w:p>
    <w:p w14:paraId="2BB2B5CF" w14:textId="77777777" w:rsidR="004D60AA" w:rsidRDefault="004D60AA" w:rsidP="005C6F71">
      <w:pPr>
        <w:rPr>
          <w:b/>
        </w:rPr>
      </w:pPr>
    </w:p>
    <w:p w14:paraId="2C7B7B05" w14:textId="77777777" w:rsidR="004D60AA" w:rsidRDefault="004D60AA" w:rsidP="005C6F71">
      <w:pPr>
        <w:rPr>
          <w:b/>
        </w:rPr>
      </w:pPr>
    </w:p>
    <w:p w14:paraId="1EB01805" w14:textId="77777777" w:rsidR="004D60AA" w:rsidRDefault="004D60AA" w:rsidP="005C6F71">
      <w:pPr>
        <w:rPr>
          <w:b/>
        </w:rPr>
      </w:pPr>
    </w:p>
    <w:p w14:paraId="03C6799E" w14:textId="77777777" w:rsidR="004D60AA" w:rsidRDefault="004D60AA" w:rsidP="005C6F71">
      <w:pPr>
        <w:rPr>
          <w:b/>
        </w:rPr>
      </w:pPr>
    </w:p>
    <w:p w14:paraId="298F3755" w14:textId="77777777" w:rsidR="004D60AA" w:rsidRDefault="004D60AA" w:rsidP="005C6F71">
      <w:pPr>
        <w:rPr>
          <w:b/>
        </w:rPr>
      </w:pPr>
    </w:p>
    <w:p w14:paraId="15D476CA" w14:textId="77777777" w:rsidR="004D60AA" w:rsidRDefault="004D60AA" w:rsidP="005C6F71">
      <w:pPr>
        <w:rPr>
          <w:b/>
        </w:rPr>
      </w:pPr>
    </w:p>
    <w:p w14:paraId="44DDE696" w14:textId="77777777" w:rsidR="004D60AA" w:rsidRDefault="004D60AA" w:rsidP="005C6F71">
      <w:pPr>
        <w:rPr>
          <w:b/>
        </w:rPr>
      </w:pPr>
    </w:p>
    <w:p w14:paraId="1B17272E" w14:textId="77777777" w:rsidR="004D60AA" w:rsidRDefault="004D60AA" w:rsidP="005C6F71">
      <w:pPr>
        <w:rPr>
          <w:b/>
        </w:rPr>
      </w:pPr>
    </w:p>
    <w:p w14:paraId="546D3C16" w14:textId="77777777" w:rsidR="005505A9" w:rsidRDefault="005505A9" w:rsidP="004D60AA"/>
    <w:p w14:paraId="589E5243" w14:textId="69C20CAD" w:rsidR="00710C5C" w:rsidRDefault="000956AE" w:rsidP="004D60AA">
      <w:r w:rsidRPr="000956AE">
        <w:t>Questions were deve</w:t>
      </w:r>
      <w:r>
        <w:t>loped by clinical staff at UCSF</w:t>
      </w:r>
      <w:r w:rsidRPr="000956AE">
        <w:t xml:space="preserve">. </w:t>
      </w:r>
    </w:p>
    <w:p w14:paraId="50D78370" w14:textId="77777777" w:rsidR="00710C5C" w:rsidRDefault="000956AE" w:rsidP="004D60AA">
      <w:r>
        <w:t xml:space="preserve">The data collection from this questionnaire will help </w:t>
      </w:r>
      <w:r w:rsidRPr="000956AE">
        <w:t>inform</w:t>
      </w:r>
      <w:r w:rsidR="004D60AA" w:rsidRPr="000956AE">
        <w:t xml:space="preserve"> CDC </w:t>
      </w:r>
      <w:r w:rsidRPr="000956AE">
        <w:t xml:space="preserve">about </w:t>
      </w:r>
      <w:r w:rsidR="004D60AA" w:rsidRPr="000956AE">
        <w:t xml:space="preserve">practices for implementation of fall prevention program into the hospital discharge process targeting opioid prescribing and management. </w:t>
      </w:r>
    </w:p>
    <w:p w14:paraId="45F51757" w14:textId="05F8ED70" w:rsidR="000956AE" w:rsidRDefault="004D60AA" w:rsidP="004D60AA">
      <w:pPr>
        <w:rPr>
          <w:b/>
        </w:rPr>
      </w:pPr>
      <w:r w:rsidRPr="000956AE">
        <w:t>The data collection from this questionnaire will inform whether provider practices are changing in response to education</w:t>
      </w:r>
      <w:r w:rsidR="00FE5171" w:rsidRPr="000956AE">
        <w:t xml:space="preserve"> and</w:t>
      </w:r>
      <w:r w:rsidRPr="000956AE">
        <w:t xml:space="preserve"> decision support</w:t>
      </w:r>
      <w:r w:rsidR="00FE5171" w:rsidRPr="000956AE">
        <w:t xml:space="preserve"> tools</w:t>
      </w:r>
      <w:r w:rsidRPr="000956AE">
        <w:t xml:space="preserve"> from the implemented program and training.</w:t>
      </w:r>
      <w:r>
        <w:t xml:space="preserve">   </w:t>
      </w:r>
      <w:r>
        <w:br/>
      </w:r>
    </w:p>
    <w:p w14:paraId="4ADBF1F4" w14:textId="77777777" w:rsidR="000956AE" w:rsidRDefault="000956AE" w:rsidP="004D60AA">
      <w:pPr>
        <w:rPr>
          <w:b/>
        </w:rPr>
      </w:pPr>
    </w:p>
    <w:p w14:paraId="7F32E74E" w14:textId="313FC9A1" w:rsidR="008D770A" w:rsidRDefault="005B7D0F" w:rsidP="008D770A">
      <w:pPr>
        <w:framePr w:hSpace="180" w:wrap="around" w:vAnchor="text" w:hAnchor="margin" w:y="29"/>
      </w:pPr>
      <w:r>
        <w:rPr>
          <w:b/>
        </w:rPr>
        <w:t xml:space="preserve">Table </w:t>
      </w:r>
      <w:r w:rsidR="00A54268">
        <w:rPr>
          <w:b/>
        </w:rPr>
        <w:t>A.</w:t>
      </w:r>
      <w:r w:rsidR="000956AE">
        <w:rPr>
          <w:b/>
        </w:rPr>
        <w:t>4</w:t>
      </w:r>
      <w:r>
        <w:rPr>
          <w:b/>
        </w:rPr>
        <w:t>.</w:t>
      </w:r>
      <w:r w:rsidR="00A54268">
        <w:rPr>
          <w:b/>
        </w:rPr>
        <w:t>d</w:t>
      </w:r>
      <w:r>
        <w:rPr>
          <w:b/>
        </w:rPr>
        <w:t xml:space="preserve">:  </w:t>
      </w:r>
      <w:r w:rsidR="008D770A" w:rsidRPr="00F2652A">
        <w:rPr>
          <w:b/>
        </w:rPr>
        <w:t xml:space="preserve">Primary Care Provider </w:t>
      </w:r>
      <w:r w:rsidR="00500A10" w:rsidRPr="00F2652A">
        <w:rPr>
          <w:b/>
        </w:rPr>
        <w:t>Post-</w:t>
      </w:r>
      <w:r w:rsidR="0084266C" w:rsidRPr="00F2652A">
        <w:rPr>
          <w:b/>
        </w:rPr>
        <w:t>Discharge</w:t>
      </w:r>
      <w:r w:rsidR="008D770A" w:rsidRPr="00F2652A">
        <w:rPr>
          <w:b/>
        </w:rPr>
        <w:t xml:space="preserve"> </w:t>
      </w:r>
      <w:r w:rsidR="005E674E" w:rsidRPr="00F2652A">
        <w:rPr>
          <w:b/>
        </w:rPr>
        <w:t>Questionnaire</w:t>
      </w:r>
      <w:r w:rsidR="008D770A" w:rsidRPr="00202FE2">
        <w:t xml:space="preserve"> </w:t>
      </w:r>
      <w:r w:rsidR="00C34BFD">
        <w:t>(</w:t>
      </w:r>
      <w:r w:rsidR="00C34BFD" w:rsidRPr="005E674E">
        <w:rPr>
          <w:b/>
        </w:rPr>
        <w:t>Attachment E4</w:t>
      </w:r>
      <w:r w:rsidR="00C34BFD">
        <w:t>)</w:t>
      </w:r>
    </w:p>
    <w:p w14:paraId="5074422A" w14:textId="3ECBA5A2" w:rsidR="00F5789F" w:rsidRPr="00202FE2" w:rsidRDefault="00F5789F" w:rsidP="008D770A">
      <w:pPr>
        <w:framePr w:hSpace="180" w:wrap="around" w:vAnchor="text" w:hAnchor="margin" w:y="29"/>
      </w:pPr>
    </w:p>
    <w:tbl>
      <w:tblPr>
        <w:tblStyle w:val="TableGrid"/>
        <w:tblpPr w:leftFromText="180" w:rightFromText="180" w:vertAnchor="text" w:horzAnchor="margin" w:tblpY="508"/>
        <w:tblW w:w="0" w:type="auto"/>
        <w:tblLook w:val="04A0" w:firstRow="1" w:lastRow="0" w:firstColumn="1" w:lastColumn="0" w:noHBand="0" w:noVBand="1"/>
      </w:tblPr>
      <w:tblGrid>
        <w:gridCol w:w="1702"/>
        <w:gridCol w:w="2523"/>
        <w:gridCol w:w="4770"/>
      </w:tblGrid>
      <w:tr w:rsidR="005C6F71" w:rsidRPr="00202FE2" w14:paraId="3CA3D519" w14:textId="77777777" w:rsidTr="005C6F71">
        <w:trPr>
          <w:trHeight w:val="577"/>
        </w:trPr>
        <w:tc>
          <w:tcPr>
            <w:tcW w:w="1702" w:type="dxa"/>
            <w:vAlign w:val="bottom"/>
          </w:tcPr>
          <w:p w14:paraId="444B0321" w14:textId="77777777" w:rsidR="005C6F71" w:rsidRPr="00202FE2" w:rsidRDefault="005C6F71" w:rsidP="005C6F71">
            <w:r w:rsidRPr="00202FE2">
              <w:t xml:space="preserve">Questions </w:t>
            </w:r>
          </w:p>
        </w:tc>
        <w:tc>
          <w:tcPr>
            <w:tcW w:w="2523" w:type="dxa"/>
            <w:vAlign w:val="bottom"/>
          </w:tcPr>
          <w:p w14:paraId="0CC3E707" w14:textId="77777777" w:rsidR="005C6F71" w:rsidRPr="00202FE2" w:rsidRDefault="005C6F71" w:rsidP="005C6F71"/>
          <w:p w14:paraId="5282A972" w14:textId="77777777" w:rsidR="005C6F71" w:rsidRPr="00202FE2" w:rsidRDefault="005C6F71" w:rsidP="005C6F71">
            <w:r w:rsidRPr="00202FE2">
              <w:t>Question(s) Description</w:t>
            </w:r>
          </w:p>
        </w:tc>
        <w:tc>
          <w:tcPr>
            <w:tcW w:w="4770" w:type="dxa"/>
            <w:vAlign w:val="bottom"/>
          </w:tcPr>
          <w:p w14:paraId="79AB5333" w14:textId="77777777" w:rsidR="005C6F71" w:rsidRPr="00202FE2" w:rsidRDefault="005C6F71" w:rsidP="005C6F71">
            <w:r w:rsidRPr="00202FE2">
              <w:t xml:space="preserve">Indicator </w:t>
            </w:r>
          </w:p>
        </w:tc>
      </w:tr>
      <w:tr w:rsidR="005C6F71" w:rsidRPr="00202FE2" w14:paraId="2274C83C" w14:textId="77777777" w:rsidTr="005C6F71">
        <w:trPr>
          <w:trHeight w:val="395"/>
        </w:trPr>
        <w:tc>
          <w:tcPr>
            <w:tcW w:w="1702" w:type="dxa"/>
            <w:vAlign w:val="bottom"/>
          </w:tcPr>
          <w:p w14:paraId="7432E670" w14:textId="77777777" w:rsidR="005C6F71" w:rsidRPr="00202FE2" w:rsidRDefault="005C6F71" w:rsidP="005C6F71">
            <w:r w:rsidRPr="00202FE2">
              <w:t xml:space="preserve">Question 1  </w:t>
            </w:r>
          </w:p>
        </w:tc>
        <w:tc>
          <w:tcPr>
            <w:tcW w:w="2523" w:type="dxa"/>
            <w:vAlign w:val="bottom"/>
          </w:tcPr>
          <w:p w14:paraId="5FBF4608" w14:textId="77777777" w:rsidR="005C6F71" w:rsidRPr="00202FE2" w:rsidRDefault="005C6F71" w:rsidP="005C6F71">
            <w:r w:rsidRPr="00202FE2">
              <w:t>PCP recall of patient discharges</w:t>
            </w:r>
          </w:p>
        </w:tc>
        <w:tc>
          <w:tcPr>
            <w:tcW w:w="4770" w:type="dxa"/>
            <w:vAlign w:val="bottom"/>
          </w:tcPr>
          <w:p w14:paraId="47EE77BF" w14:textId="77777777" w:rsidR="005C6F71" w:rsidRPr="00202FE2" w:rsidRDefault="005C6F71" w:rsidP="005C6F71">
            <w:r w:rsidRPr="00202FE2">
              <w:t>Time lapse estimate for patient seen after discharge</w:t>
            </w:r>
          </w:p>
        </w:tc>
      </w:tr>
      <w:tr w:rsidR="005C6F71" w:rsidRPr="00202FE2" w14:paraId="341F6793" w14:textId="77777777" w:rsidTr="005C6F71">
        <w:trPr>
          <w:trHeight w:val="70"/>
        </w:trPr>
        <w:tc>
          <w:tcPr>
            <w:tcW w:w="1702" w:type="dxa"/>
            <w:vAlign w:val="bottom"/>
          </w:tcPr>
          <w:p w14:paraId="75326436" w14:textId="77777777" w:rsidR="005C6F71" w:rsidRPr="00202FE2" w:rsidRDefault="005C6F71" w:rsidP="005C6F71">
            <w:r w:rsidRPr="00202FE2">
              <w:t>Questions 2 through 3 and 5 through 7</w:t>
            </w:r>
          </w:p>
        </w:tc>
        <w:tc>
          <w:tcPr>
            <w:tcW w:w="2523" w:type="dxa"/>
            <w:vAlign w:val="bottom"/>
          </w:tcPr>
          <w:p w14:paraId="293B5139" w14:textId="77777777" w:rsidR="005C6F71" w:rsidRPr="00202FE2" w:rsidRDefault="005C6F71" w:rsidP="005C6F71">
            <w:r w:rsidRPr="00202FE2">
              <w:t>Usefulness of falls prevention protocol</w:t>
            </w:r>
          </w:p>
        </w:tc>
        <w:tc>
          <w:tcPr>
            <w:tcW w:w="4770" w:type="dxa"/>
            <w:vAlign w:val="bottom"/>
          </w:tcPr>
          <w:p w14:paraId="63A7B6DF" w14:textId="39B99311" w:rsidR="005C6F71" w:rsidRPr="00202FE2" w:rsidRDefault="005C6F71" w:rsidP="005C6F71">
            <w:r w:rsidRPr="00202FE2">
              <w:t xml:space="preserve">PCP perceptions of </w:t>
            </w:r>
            <w:r w:rsidR="00E97F5E">
              <w:t>fall prevention</w:t>
            </w:r>
            <w:r w:rsidR="00E97F5E" w:rsidRPr="00202FE2">
              <w:t xml:space="preserve"> </w:t>
            </w:r>
            <w:r w:rsidRPr="00202FE2">
              <w:t>instructions</w:t>
            </w:r>
          </w:p>
        </w:tc>
      </w:tr>
      <w:tr w:rsidR="005C6F71" w:rsidRPr="00202FE2" w14:paraId="288EB8EC" w14:textId="77777777" w:rsidTr="005C6F71">
        <w:trPr>
          <w:trHeight w:val="70"/>
        </w:trPr>
        <w:tc>
          <w:tcPr>
            <w:tcW w:w="1702" w:type="dxa"/>
            <w:vAlign w:val="bottom"/>
          </w:tcPr>
          <w:p w14:paraId="33D52EB8" w14:textId="77777777" w:rsidR="005C6F71" w:rsidRPr="00202FE2" w:rsidRDefault="005C6F71" w:rsidP="005C6F71">
            <w:r w:rsidRPr="00202FE2">
              <w:t>Questions 4 and 8 through 11</w:t>
            </w:r>
          </w:p>
        </w:tc>
        <w:tc>
          <w:tcPr>
            <w:tcW w:w="2523" w:type="dxa"/>
            <w:vAlign w:val="bottom"/>
          </w:tcPr>
          <w:p w14:paraId="146E2B27" w14:textId="77777777" w:rsidR="005C6F71" w:rsidRPr="00202FE2" w:rsidRDefault="005C6F71" w:rsidP="005C6F71">
            <w:r w:rsidRPr="00202FE2">
              <w:t>Usefulness of opioids and pain management protocol</w:t>
            </w:r>
          </w:p>
        </w:tc>
        <w:tc>
          <w:tcPr>
            <w:tcW w:w="4770" w:type="dxa"/>
            <w:vAlign w:val="bottom"/>
          </w:tcPr>
          <w:p w14:paraId="617A36A1" w14:textId="77777777" w:rsidR="005C6F71" w:rsidRPr="00202FE2" w:rsidRDefault="005C6F71" w:rsidP="005C6F71">
            <w:r w:rsidRPr="00202FE2">
              <w:t xml:space="preserve">PCP perceptions of instructions </w:t>
            </w:r>
            <w:r>
              <w:t>regarding</w:t>
            </w:r>
            <w:r w:rsidRPr="00202FE2">
              <w:t xml:space="preserve"> opioids and pain management</w:t>
            </w:r>
          </w:p>
        </w:tc>
      </w:tr>
    </w:tbl>
    <w:p w14:paraId="7B06A10E" w14:textId="77777777" w:rsidR="00710C5C" w:rsidRDefault="00710C5C" w:rsidP="005C6F71">
      <w:pPr>
        <w:spacing w:after="160" w:line="259" w:lineRule="auto"/>
      </w:pPr>
    </w:p>
    <w:p w14:paraId="57BD579D" w14:textId="77777777" w:rsidR="00710C5C" w:rsidRDefault="00710C5C" w:rsidP="005C6F71">
      <w:pPr>
        <w:spacing w:after="160" w:line="259" w:lineRule="auto"/>
      </w:pPr>
    </w:p>
    <w:p w14:paraId="26E2D720" w14:textId="77777777" w:rsidR="00710C5C" w:rsidRDefault="00710C5C" w:rsidP="005C6F71">
      <w:pPr>
        <w:spacing w:after="160" w:line="259" w:lineRule="auto"/>
      </w:pPr>
    </w:p>
    <w:p w14:paraId="1FB38F53" w14:textId="77777777" w:rsidR="00710C5C" w:rsidRDefault="00710C5C" w:rsidP="005C6F71">
      <w:pPr>
        <w:spacing w:after="160" w:line="259" w:lineRule="auto"/>
      </w:pPr>
    </w:p>
    <w:p w14:paraId="209D18BA" w14:textId="77777777" w:rsidR="00710C5C" w:rsidRDefault="00710C5C" w:rsidP="005C6F71">
      <w:pPr>
        <w:spacing w:after="160" w:line="259" w:lineRule="auto"/>
      </w:pPr>
    </w:p>
    <w:p w14:paraId="5BE75256" w14:textId="77777777" w:rsidR="00710C5C" w:rsidRDefault="00710C5C" w:rsidP="005C6F71">
      <w:pPr>
        <w:spacing w:after="160" w:line="259" w:lineRule="auto"/>
      </w:pPr>
    </w:p>
    <w:p w14:paraId="49CFBE64" w14:textId="77777777" w:rsidR="00710C5C" w:rsidRDefault="00710C5C" w:rsidP="005C6F71">
      <w:pPr>
        <w:spacing w:after="160" w:line="259" w:lineRule="auto"/>
      </w:pPr>
    </w:p>
    <w:p w14:paraId="47832A4E" w14:textId="1692E326" w:rsidR="009F0515" w:rsidRDefault="000956AE" w:rsidP="005C6F71">
      <w:pPr>
        <w:spacing w:after="160" w:line="259" w:lineRule="auto"/>
      </w:pPr>
      <w:r>
        <w:t xml:space="preserve">Questions were developed by clinical staff at UCSF. </w:t>
      </w:r>
      <w:r w:rsidR="00710C5C">
        <w:br/>
      </w:r>
      <w:r w:rsidR="005C6F71">
        <w:t>The data collection from this questionnaire will help inform CDC with best practices for communication with outpatient primary care providers that care for discharged older adults at ris</w:t>
      </w:r>
      <w:r w:rsidR="00FE5171">
        <w:t xml:space="preserve">k for falls due to opioid use important for care continuation and coordination. </w:t>
      </w:r>
    </w:p>
    <w:p w14:paraId="1C20E413" w14:textId="77777777" w:rsidR="00710C5C" w:rsidRDefault="00710C5C" w:rsidP="005C6F71">
      <w:pPr>
        <w:spacing w:after="160" w:line="259" w:lineRule="auto"/>
      </w:pPr>
    </w:p>
    <w:p w14:paraId="4FF21BFC" w14:textId="76083378" w:rsidR="008D770A" w:rsidRPr="00202FE2" w:rsidRDefault="008D770A" w:rsidP="00202FE2">
      <w:pPr>
        <w:spacing w:after="160" w:line="259" w:lineRule="auto"/>
        <w:rPr>
          <w:b/>
        </w:rPr>
      </w:pPr>
      <w:r w:rsidRPr="00202FE2">
        <w:rPr>
          <w:b/>
        </w:rPr>
        <w:t>A.3.</w:t>
      </w:r>
      <w:r w:rsidRPr="00202FE2">
        <w:rPr>
          <w:b/>
        </w:rPr>
        <w:tab/>
        <w:t>Use of Improved Information Technology and Burden Reduction</w:t>
      </w:r>
    </w:p>
    <w:p w14:paraId="18C30875" w14:textId="77777777" w:rsidR="006924C2" w:rsidRDefault="008D770A" w:rsidP="008D770A">
      <w:r w:rsidRPr="00202FE2">
        <w:t xml:space="preserve">A secure and Health Insurance Portability and Accountability Act/Protected Health Information (HIPAA/PHI) compliant platform will be used to manage both the </w:t>
      </w:r>
      <w:r w:rsidR="0039239B" w:rsidRPr="00202FE2">
        <w:rPr>
          <w:i/>
        </w:rPr>
        <w:t>Pre</w:t>
      </w:r>
      <w:r w:rsidR="00F2652A" w:rsidRPr="00202FE2">
        <w:rPr>
          <w:i/>
        </w:rPr>
        <w:t xml:space="preserve">-Discharge And </w:t>
      </w:r>
      <w:r w:rsidR="00500A10">
        <w:rPr>
          <w:i/>
        </w:rPr>
        <w:t>Post</w:t>
      </w:r>
      <w:r w:rsidR="00F2652A">
        <w:rPr>
          <w:i/>
        </w:rPr>
        <w:t>-Discharge</w:t>
      </w:r>
      <w:r w:rsidR="00F2652A" w:rsidRPr="00202FE2">
        <w:rPr>
          <w:i/>
        </w:rPr>
        <w:t xml:space="preserve"> Patient </w:t>
      </w:r>
      <w:r w:rsidR="00F2652A">
        <w:rPr>
          <w:i/>
        </w:rPr>
        <w:t>Q</w:t>
      </w:r>
      <w:r w:rsidR="00F2652A" w:rsidRPr="005E674E">
        <w:rPr>
          <w:i/>
        </w:rPr>
        <w:t>uestionnaires</w:t>
      </w:r>
      <w:r w:rsidR="00F2652A" w:rsidRPr="00202FE2">
        <w:t xml:space="preserve"> </w:t>
      </w:r>
      <w:r w:rsidRPr="00202FE2">
        <w:t xml:space="preserve">process to reduce burden on administering and responding to the survey. For the </w:t>
      </w:r>
      <w:r w:rsidR="0039239B" w:rsidRPr="00202FE2">
        <w:rPr>
          <w:i/>
        </w:rPr>
        <w:t>Pre</w:t>
      </w:r>
      <w:r w:rsidR="00F2652A" w:rsidRPr="00202FE2">
        <w:rPr>
          <w:i/>
        </w:rPr>
        <w:t>-Discharge</w:t>
      </w:r>
      <w:r w:rsidR="00F2652A" w:rsidRPr="000155E9">
        <w:rPr>
          <w:i/>
        </w:rPr>
        <w:t xml:space="preserve"> </w:t>
      </w:r>
      <w:r w:rsidRPr="000155E9">
        <w:rPr>
          <w:i/>
        </w:rPr>
        <w:t xml:space="preserve">Patient </w:t>
      </w:r>
      <w:r w:rsidR="00F2652A">
        <w:rPr>
          <w:i/>
        </w:rPr>
        <w:t>Q</w:t>
      </w:r>
      <w:r w:rsidR="00F2652A" w:rsidRPr="005E674E">
        <w:rPr>
          <w:i/>
        </w:rPr>
        <w:t>uestionnaire</w:t>
      </w:r>
      <w:r w:rsidR="005E674E" w:rsidRPr="005E674E">
        <w:rPr>
          <w:i/>
        </w:rPr>
        <w:t>s</w:t>
      </w:r>
      <w:r w:rsidR="005E674E" w:rsidRPr="000155E9">
        <w:rPr>
          <w:i/>
        </w:rPr>
        <w:t>,</w:t>
      </w:r>
      <w:r w:rsidR="005E674E" w:rsidRPr="00202FE2">
        <w:t xml:space="preserve"> </w:t>
      </w:r>
      <w:r w:rsidRPr="00202FE2">
        <w:t xml:space="preserve">the process may be initiated in one of two ways. </w:t>
      </w:r>
    </w:p>
    <w:p w14:paraId="06560CE0" w14:textId="77777777" w:rsidR="006924C2" w:rsidRDefault="006924C2" w:rsidP="008D770A"/>
    <w:p w14:paraId="27546954" w14:textId="61580A96" w:rsidR="008D770A" w:rsidRPr="00202FE2" w:rsidRDefault="008D770A" w:rsidP="008D770A">
      <w:r w:rsidRPr="00202FE2">
        <w:t xml:space="preserve">The first is direct patient contact, where a Clinical Research Coordinator (CRC) approaches the patient directly to obtain informed consent </w:t>
      </w:r>
      <w:r w:rsidR="005F366C">
        <w:t xml:space="preserve">(Attachment H) </w:t>
      </w:r>
      <w:r w:rsidRPr="00202FE2">
        <w:t>and administer</w:t>
      </w:r>
      <w:r w:rsidR="00273AC6">
        <w:t xml:space="preserve"> the</w:t>
      </w:r>
      <w:r w:rsidRPr="00202FE2">
        <w:t xml:space="preserve"> initial </w:t>
      </w:r>
      <w:r w:rsidR="00631D6D">
        <w:t>questionnaire</w:t>
      </w:r>
      <w:r w:rsidRPr="00202FE2">
        <w:t xml:space="preserve">, in person in </w:t>
      </w:r>
      <w:r w:rsidR="00273AC6">
        <w:t xml:space="preserve">the </w:t>
      </w:r>
      <w:r w:rsidRPr="00202FE2">
        <w:t>hospital</w:t>
      </w:r>
      <w:r w:rsidR="006924C2">
        <w:t>. Patient may specify they wish to continue with the study via contact with</w:t>
      </w:r>
      <w:r w:rsidR="001102A1">
        <w:t xml:space="preserve"> a</w:t>
      </w:r>
      <w:r w:rsidR="006924C2">
        <w:t xml:space="preserve"> CRC, and </w:t>
      </w:r>
      <w:r w:rsidR="001102A1">
        <w:t xml:space="preserve">the </w:t>
      </w:r>
      <w:r w:rsidR="006924C2">
        <w:t xml:space="preserve">CRC can then conduct follow up questionnaires by phone. </w:t>
      </w:r>
      <w:r w:rsidRPr="00202FE2">
        <w:t xml:space="preserve">The second is through electronic contact, where a patient </w:t>
      </w:r>
      <w:r w:rsidR="00631D6D">
        <w:t>receives</w:t>
      </w:r>
      <w:r w:rsidRPr="00202FE2">
        <w:t xml:space="preserve"> an electronic invitation </w:t>
      </w:r>
      <w:r w:rsidR="0048092D">
        <w:t xml:space="preserve">to consent </w:t>
      </w:r>
      <w:r w:rsidRPr="00202FE2">
        <w:t>(via patient-portal message or email</w:t>
      </w:r>
      <w:r w:rsidR="005F366C">
        <w:t xml:space="preserve"> – Attachment H</w:t>
      </w:r>
      <w:r w:rsidRPr="00202FE2">
        <w:t xml:space="preserve">) </w:t>
      </w:r>
      <w:r w:rsidR="0048092D">
        <w:t>and</w:t>
      </w:r>
      <w:r w:rsidRPr="00202FE2">
        <w:t xml:space="preserve"> join </w:t>
      </w:r>
      <w:r w:rsidR="00631D6D">
        <w:t>the</w:t>
      </w:r>
      <w:r w:rsidRPr="00202FE2">
        <w:t xml:space="preserve"> study via a web interface</w:t>
      </w:r>
      <w:r w:rsidR="00704C62">
        <w:t xml:space="preserve"> while the patient is still in the hospital prior to discharge</w:t>
      </w:r>
      <w:r w:rsidRPr="00202FE2">
        <w:t xml:space="preserve">. Patient will then self-administer consent and carry out the survey using the same platform. </w:t>
      </w:r>
      <w:r w:rsidR="0012276D">
        <w:t xml:space="preserve">If the consent form is not signed while the patient is still </w:t>
      </w:r>
      <w:r w:rsidR="00273AC6">
        <w:t xml:space="preserve">an </w:t>
      </w:r>
      <w:r w:rsidR="0012276D">
        <w:t xml:space="preserve">inpatient during discharge planning, </w:t>
      </w:r>
      <w:r w:rsidR="00273AC6">
        <w:t xml:space="preserve">the patient </w:t>
      </w:r>
      <w:r w:rsidR="0012276D">
        <w:t>will not be invited to participate in the questionnaire</w:t>
      </w:r>
      <w:r w:rsidR="00631D6D">
        <w:t xml:space="preserve"> after they are discharged</w:t>
      </w:r>
      <w:r w:rsidR="0012276D">
        <w:t>.</w:t>
      </w:r>
      <w:r w:rsidR="0012276D" w:rsidRPr="00202FE2">
        <w:t xml:space="preserve"> </w:t>
      </w:r>
      <w:r w:rsidR="0012276D">
        <w:t xml:space="preserve">Patients </w:t>
      </w:r>
      <w:r w:rsidR="00273AC6">
        <w:t xml:space="preserve">who </w:t>
      </w:r>
      <w:r w:rsidR="0012276D">
        <w:t xml:space="preserve">sign the consent form are invited to take the </w:t>
      </w:r>
      <w:r w:rsidR="00F2652A" w:rsidRPr="00517E17">
        <w:rPr>
          <w:i/>
        </w:rPr>
        <w:t>Pre-Discharge Patient Questionnair</w:t>
      </w:r>
      <w:r w:rsidR="0012276D" w:rsidRPr="00517E17">
        <w:rPr>
          <w:i/>
        </w:rPr>
        <w:t>e</w:t>
      </w:r>
      <w:r w:rsidR="0012276D">
        <w:t xml:space="preserve"> during their hospital stay and then </w:t>
      </w:r>
      <w:r w:rsidR="00273AC6">
        <w:t xml:space="preserve">take </w:t>
      </w:r>
      <w:r w:rsidR="0012276D">
        <w:t xml:space="preserve">the follow up patient </w:t>
      </w:r>
      <w:r w:rsidR="00F2652A">
        <w:rPr>
          <w:i/>
        </w:rPr>
        <w:t>Post-</w:t>
      </w:r>
      <w:r w:rsidR="00F2652A" w:rsidRPr="00517E17">
        <w:rPr>
          <w:i/>
        </w:rPr>
        <w:t>Discharge</w:t>
      </w:r>
      <w:r w:rsidR="00F2652A">
        <w:rPr>
          <w:i/>
        </w:rPr>
        <w:t xml:space="preserve"> Patient</w:t>
      </w:r>
      <w:r w:rsidR="00F2652A" w:rsidRPr="00517E17">
        <w:rPr>
          <w:i/>
        </w:rPr>
        <w:t xml:space="preserve"> Questionnaire </w:t>
      </w:r>
      <w:r w:rsidR="0012276D">
        <w:t>at days 14,</w:t>
      </w:r>
      <w:r w:rsidR="00273AC6">
        <w:t xml:space="preserve"> </w:t>
      </w:r>
      <w:r w:rsidR="0012276D">
        <w:t>30,</w:t>
      </w:r>
      <w:r w:rsidR="00273AC6">
        <w:t xml:space="preserve"> and </w:t>
      </w:r>
      <w:r w:rsidR="0012276D">
        <w:t xml:space="preserve">60. </w:t>
      </w:r>
      <w:r w:rsidR="0012276D" w:rsidRPr="00202FE2">
        <w:t>The</w:t>
      </w:r>
      <w:r w:rsidRPr="00202FE2">
        <w:t xml:space="preserve"> questions </w:t>
      </w:r>
      <w:r w:rsidR="00273AC6">
        <w:t>have</w:t>
      </w:r>
      <w:r w:rsidR="00273AC6" w:rsidRPr="00202FE2">
        <w:t xml:space="preserve"> </w:t>
      </w:r>
      <w:r w:rsidRPr="00202FE2">
        <w:t xml:space="preserve">multiple-choice responses, </w:t>
      </w:r>
      <w:r w:rsidR="00273AC6">
        <w:t xml:space="preserve">are </w:t>
      </w:r>
      <w:r w:rsidRPr="00202FE2">
        <w:t xml:space="preserve">easy to read and </w:t>
      </w:r>
      <w:r w:rsidR="00273AC6">
        <w:t xml:space="preserve">patients can </w:t>
      </w:r>
      <w:r w:rsidRPr="00202FE2">
        <w:t>respond by a few clicks per question/answer</w:t>
      </w:r>
      <w:r w:rsidR="00517E17">
        <w:t>. The</w:t>
      </w:r>
      <w:r w:rsidRPr="00202FE2">
        <w:t xml:space="preserve"> </w:t>
      </w:r>
      <w:r w:rsidR="00C87A44">
        <w:t>system</w:t>
      </w:r>
      <w:r w:rsidR="00C87A44" w:rsidRPr="00202FE2">
        <w:t xml:space="preserve"> </w:t>
      </w:r>
      <w:r w:rsidRPr="00202FE2">
        <w:t xml:space="preserve">will auto-advance after </w:t>
      </w:r>
      <w:r w:rsidR="00C87A44">
        <w:t xml:space="preserve">each question is </w:t>
      </w:r>
      <w:r w:rsidRPr="00202FE2">
        <w:t>answer</w:t>
      </w:r>
      <w:r w:rsidR="00C87A44">
        <w:t>ed</w:t>
      </w:r>
      <w:r w:rsidRPr="00202FE2">
        <w:t xml:space="preserve"> and allow </w:t>
      </w:r>
      <w:r w:rsidR="00517E17" w:rsidRPr="00202FE2">
        <w:t>respondents</w:t>
      </w:r>
      <w:r w:rsidRPr="00202FE2">
        <w:t xml:space="preserve"> to skip questions that may not be applicable.  The platform is user-friendly, the survey is presented in a comfortable font size</w:t>
      </w:r>
      <w:r w:rsidR="00C87A44">
        <w:t xml:space="preserve"> for older adults</w:t>
      </w:r>
      <w:r w:rsidRPr="00202FE2">
        <w:t xml:space="preserve"> and it is estimated that the survey will require an average of 10 minutes to complete.  The system tracks survey completion by respondent and </w:t>
      </w:r>
      <w:r w:rsidR="00FA7E26" w:rsidRPr="00202FE2">
        <w:t>auto</w:t>
      </w:r>
      <w:r w:rsidR="00273AC6">
        <w:t>matically</w:t>
      </w:r>
      <w:r w:rsidR="00FA7E26" w:rsidRPr="00202FE2">
        <w:t xml:space="preserve"> sends</w:t>
      </w:r>
      <w:r w:rsidRPr="00202FE2">
        <w:t xml:space="preserve"> a limited number of reminders</w:t>
      </w:r>
      <w:r w:rsidR="00273AC6">
        <w:t>,</w:t>
      </w:r>
      <w:r w:rsidRPr="00202FE2">
        <w:t xml:space="preserve"> only to those who have yet to complete the </w:t>
      </w:r>
      <w:r w:rsidR="0012276D">
        <w:t xml:space="preserve">post discharge </w:t>
      </w:r>
      <w:r w:rsidRPr="00202FE2">
        <w:t>survey.</w:t>
      </w:r>
    </w:p>
    <w:p w14:paraId="6C598A6A" w14:textId="77777777" w:rsidR="008D770A" w:rsidRPr="00202FE2" w:rsidRDefault="008D770A" w:rsidP="008D770A"/>
    <w:p w14:paraId="421FE89D" w14:textId="048A612B" w:rsidR="008D770A" w:rsidRPr="00202FE2" w:rsidRDefault="008D770A" w:rsidP="008D770A">
      <w:pPr>
        <w:rPr>
          <w:color w:val="000000" w:themeColor="text1"/>
        </w:rPr>
      </w:pPr>
      <w:r w:rsidRPr="00202FE2">
        <w:t xml:space="preserve">The </w:t>
      </w:r>
      <w:r w:rsidRPr="00202FE2">
        <w:rPr>
          <w:i/>
        </w:rPr>
        <w:t xml:space="preserve">UCSF </w:t>
      </w:r>
      <w:r w:rsidR="00FA345F">
        <w:rPr>
          <w:i/>
        </w:rPr>
        <w:t>Clinical Staff Evaluation Questionnaire</w:t>
      </w:r>
      <w:r w:rsidR="00517E17" w:rsidRPr="000155E9">
        <w:rPr>
          <w:i/>
        </w:rPr>
        <w:t xml:space="preserve"> </w:t>
      </w:r>
      <w:r w:rsidRPr="00202FE2">
        <w:t xml:space="preserve">will use </w:t>
      </w:r>
      <w:r w:rsidR="0051172F">
        <w:t>the same</w:t>
      </w:r>
      <w:r w:rsidRPr="00202FE2">
        <w:t xml:space="preserve"> platform commonly used </w:t>
      </w:r>
      <w:r w:rsidR="00273AC6">
        <w:t>by clinical staff at UCSF</w:t>
      </w:r>
      <w:r w:rsidRPr="00202FE2">
        <w:t xml:space="preserve">. This </w:t>
      </w:r>
      <w:r w:rsidRPr="00202FE2">
        <w:rPr>
          <w:color w:val="000000" w:themeColor="text1"/>
        </w:rPr>
        <w:t xml:space="preserve">technology will reduce the burden on respondents because responses will be given by “clicking” a few computer keys rather than by completing paper survey forms. This survey is limited to 31 </w:t>
      </w:r>
      <w:r w:rsidR="0051172F" w:rsidRPr="00202FE2">
        <w:rPr>
          <w:color w:val="000000" w:themeColor="text1"/>
        </w:rPr>
        <w:t>multiple-choice</w:t>
      </w:r>
      <w:r w:rsidRPr="00202FE2">
        <w:rPr>
          <w:color w:val="000000" w:themeColor="text1"/>
        </w:rPr>
        <w:t xml:space="preserve"> questions and is expected to require five minutes to complete.</w:t>
      </w:r>
    </w:p>
    <w:p w14:paraId="5D2B9C49" w14:textId="77777777" w:rsidR="008D770A" w:rsidRPr="00202FE2" w:rsidRDefault="008D770A" w:rsidP="008D770A">
      <w:pPr>
        <w:rPr>
          <w:color w:val="000000" w:themeColor="text1"/>
        </w:rPr>
      </w:pPr>
    </w:p>
    <w:p w14:paraId="6D1780C5" w14:textId="56C5DC05" w:rsidR="008D770A" w:rsidRPr="00202FE2" w:rsidRDefault="008D770A" w:rsidP="008D770A">
      <w:r w:rsidRPr="00202FE2">
        <w:t xml:space="preserve">The </w:t>
      </w:r>
      <w:r w:rsidRPr="00202FE2">
        <w:rPr>
          <w:i/>
        </w:rPr>
        <w:t xml:space="preserve">PCP </w:t>
      </w:r>
      <w:r w:rsidR="00F2652A">
        <w:rPr>
          <w:i/>
        </w:rPr>
        <w:t>Post-Discharge</w:t>
      </w:r>
      <w:r w:rsidR="00F2652A" w:rsidRPr="00202FE2">
        <w:rPr>
          <w:i/>
        </w:rPr>
        <w:t xml:space="preserve"> </w:t>
      </w:r>
      <w:r w:rsidR="00F2652A">
        <w:rPr>
          <w:i/>
        </w:rPr>
        <w:t>Questionnaire</w:t>
      </w:r>
      <w:r w:rsidR="00F2652A" w:rsidRPr="000155E9">
        <w:rPr>
          <w:i/>
        </w:rPr>
        <w:t xml:space="preserve"> </w:t>
      </w:r>
      <w:r w:rsidRPr="00202FE2">
        <w:t>will be administered by email</w:t>
      </w:r>
      <w:r w:rsidR="00942AF1">
        <w:t xml:space="preserve"> or</w:t>
      </w:r>
      <w:r w:rsidR="00F5789F">
        <w:t xml:space="preserve"> </w:t>
      </w:r>
      <w:r w:rsidR="008813C8">
        <w:t xml:space="preserve">secure </w:t>
      </w:r>
      <w:r w:rsidRPr="00202FE2">
        <w:t xml:space="preserve">fax </w:t>
      </w:r>
      <w:r w:rsidR="008813C8">
        <w:t xml:space="preserve">internal to UCSF Medical System </w:t>
      </w:r>
      <w:r w:rsidRPr="00202FE2">
        <w:t>on the preference of each PCP.</w:t>
      </w:r>
      <w:r w:rsidRPr="00202FE2">
        <w:rPr>
          <w:color w:val="000000" w:themeColor="text1"/>
        </w:rPr>
        <w:t xml:space="preserve"> This survey is limited to 11 </w:t>
      </w:r>
      <w:r w:rsidR="0051172F" w:rsidRPr="00202FE2">
        <w:rPr>
          <w:color w:val="000000" w:themeColor="text1"/>
        </w:rPr>
        <w:t>multiple-choice</w:t>
      </w:r>
      <w:r w:rsidRPr="00202FE2">
        <w:rPr>
          <w:color w:val="000000" w:themeColor="text1"/>
        </w:rPr>
        <w:t xml:space="preserve"> questions and is expected to require five minutes to complete.</w:t>
      </w:r>
    </w:p>
    <w:p w14:paraId="39B4071E" w14:textId="77777777" w:rsidR="008D770A" w:rsidRPr="00202FE2" w:rsidRDefault="008D770A" w:rsidP="008D770A"/>
    <w:p w14:paraId="4A81E5FC" w14:textId="6DD632DD" w:rsidR="008D770A" w:rsidRPr="00202FE2" w:rsidRDefault="008D770A" w:rsidP="008D770A">
      <w:r w:rsidRPr="00202FE2">
        <w:t>During the data collection process, a secure database</w:t>
      </w:r>
      <w:r w:rsidR="00D9337F">
        <w:t>,</w:t>
      </w:r>
      <w:r w:rsidRPr="00202FE2">
        <w:t xml:space="preserve"> </w:t>
      </w:r>
      <w:r w:rsidR="00D9337F" w:rsidRPr="00202FE2">
        <w:t>that will include the contact information for each respondent</w:t>
      </w:r>
      <w:r w:rsidR="00D9337F">
        <w:t>,</w:t>
      </w:r>
      <w:r w:rsidR="00D9337F" w:rsidRPr="00202FE2">
        <w:t xml:space="preserve"> </w:t>
      </w:r>
      <w:r w:rsidRPr="00202FE2">
        <w:t xml:space="preserve">will be used to track each individual respondent.  Upon survey completion, the database will update the tracking system so that no additional </w:t>
      </w:r>
      <w:r w:rsidR="00942AF1">
        <w:t xml:space="preserve">unnecessary </w:t>
      </w:r>
      <w:r w:rsidRPr="00202FE2">
        <w:t>contact occurs. The system will reduce respondent burden by ensuring respondents are contacted at appropriate intervals</w:t>
      </w:r>
      <w:r w:rsidR="00942AF1">
        <w:t>,</w:t>
      </w:r>
      <w:r w:rsidRPr="00202FE2">
        <w:t xml:space="preserve"> and not contacted more than needed.  Implementing the survey online will allow respondents to address the questions during a time that is convenient to their schedule</w:t>
      </w:r>
      <w:r w:rsidR="00942AF1">
        <w:t>s</w:t>
      </w:r>
      <w:r w:rsidRPr="00202FE2">
        <w:t xml:space="preserve">, </w:t>
      </w:r>
      <w:r w:rsidR="00942AF1">
        <w:t>to avoid interference with work routine.</w:t>
      </w:r>
      <w:r w:rsidRPr="00202FE2">
        <w:t xml:space="preserve"> </w:t>
      </w:r>
    </w:p>
    <w:p w14:paraId="7460D773" w14:textId="77777777" w:rsidR="008D770A" w:rsidRPr="00202FE2" w:rsidRDefault="008D770A" w:rsidP="008D770A"/>
    <w:p w14:paraId="385ABC73" w14:textId="5161EDD7" w:rsidR="008D770A" w:rsidRPr="00202FE2" w:rsidRDefault="008D770A" w:rsidP="00942AF1">
      <w:r w:rsidRPr="00202FE2">
        <w:t>All data will be stored in secure environments; access to study data will be restricted to study administrators and will be password-protected. The survey questions are validated tools that have been used in multiple settings</w:t>
      </w:r>
      <w:r w:rsidR="00942AF1">
        <w:t xml:space="preserve">. </w:t>
      </w:r>
      <w:r w:rsidRPr="00202FE2">
        <w:t xml:space="preserve"> None of the surveys or </w:t>
      </w:r>
      <w:r w:rsidR="006655B0">
        <w:t xml:space="preserve">responses to </w:t>
      </w:r>
      <w:r w:rsidRPr="00202FE2">
        <w:t xml:space="preserve">individual questions to the surveys are required, so respondents are able to opt-out of any </w:t>
      </w:r>
      <w:r w:rsidR="00060E9B" w:rsidRPr="00202FE2">
        <w:t>q</w:t>
      </w:r>
      <w:r w:rsidRPr="00202FE2">
        <w:t>uestions that are</w:t>
      </w:r>
      <w:r w:rsidR="00060E9B" w:rsidRPr="00202FE2">
        <w:t xml:space="preserve"> </w:t>
      </w:r>
      <w:r w:rsidRPr="00202FE2">
        <w:t xml:space="preserve">confusing or may provoke an emotional response. </w:t>
      </w:r>
      <w:r w:rsidR="00942AF1">
        <w:t>The surveys are</w:t>
      </w:r>
      <w:r w:rsidR="00942AF1" w:rsidRPr="00202FE2">
        <w:t xml:space="preserve"> voluntary in nature.</w:t>
      </w:r>
    </w:p>
    <w:p w14:paraId="0BFC63F1" w14:textId="77777777" w:rsidR="008D770A" w:rsidRPr="00202FE2" w:rsidRDefault="008D770A" w:rsidP="008D770A"/>
    <w:p w14:paraId="6C92D80F" w14:textId="42CE77D1" w:rsidR="008D770A" w:rsidRDefault="008D770A" w:rsidP="008D770A">
      <w:r w:rsidRPr="00202FE2">
        <w:t>The questionnaire was designed to collect the minimum amount of information necessary to achieve the goals of the project.  The most important factors to measure with respect to the project goals were carefully considered</w:t>
      </w:r>
      <w:r w:rsidR="00942AF1">
        <w:t>, with</w:t>
      </w:r>
      <w:r w:rsidRPr="00202FE2">
        <w:t xml:space="preserve"> questions designed to measure those factors.    </w:t>
      </w:r>
    </w:p>
    <w:p w14:paraId="05D75B28" w14:textId="77777777" w:rsidR="00710C5C" w:rsidRPr="00202FE2" w:rsidRDefault="00710C5C" w:rsidP="008D770A"/>
    <w:p w14:paraId="5877AA8A" w14:textId="77777777" w:rsidR="008D770A" w:rsidRPr="00202FE2" w:rsidRDefault="008D770A" w:rsidP="008D770A">
      <w:pPr>
        <w:tabs>
          <w:tab w:val="left" w:pos="360"/>
        </w:tabs>
        <w:outlineLvl w:val="0"/>
        <w:rPr>
          <w:b/>
        </w:rPr>
      </w:pPr>
    </w:p>
    <w:p w14:paraId="01D649FA" w14:textId="77777777" w:rsidR="008D770A" w:rsidRPr="00202FE2" w:rsidRDefault="008D770A" w:rsidP="008D770A">
      <w:pPr>
        <w:tabs>
          <w:tab w:val="left" w:pos="360"/>
        </w:tabs>
        <w:outlineLvl w:val="0"/>
        <w:rPr>
          <w:b/>
        </w:rPr>
      </w:pPr>
      <w:r w:rsidRPr="00202FE2">
        <w:rPr>
          <w:b/>
        </w:rPr>
        <w:t>A.4.</w:t>
      </w:r>
      <w:r w:rsidRPr="00202FE2">
        <w:rPr>
          <w:b/>
        </w:rPr>
        <w:tab/>
        <w:t>Efforts to Identify Duplication and Use of Similar Information</w:t>
      </w:r>
    </w:p>
    <w:p w14:paraId="14E0A722" w14:textId="77777777" w:rsidR="008D770A" w:rsidRPr="00202FE2" w:rsidRDefault="008D770A" w:rsidP="008D770A"/>
    <w:p w14:paraId="29346221" w14:textId="55D35B94" w:rsidR="00E5333A" w:rsidRDefault="008D770A" w:rsidP="008D770A">
      <w:r w:rsidRPr="006924C2">
        <w:t>No effort to collect similar data is being conducted within the agency.</w:t>
      </w:r>
      <w:r w:rsidR="00E5333A" w:rsidRPr="006924C2">
        <w:t xml:space="preserve"> </w:t>
      </w:r>
      <w:r w:rsidR="001102A1">
        <w:t>The p</w:t>
      </w:r>
      <w:r w:rsidR="00E5333A" w:rsidRPr="006924C2">
        <w:t>revious project</w:t>
      </w:r>
      <w:r w:rsidR="001102A1">
        <w:t>,</w:t>
      </w:r>
      <w:r w:rsidR="00E5333A" w:rsidRPr="006924C2">
        <w:t xml:space="preserve"> “Test Predictability of Falls Screening Tools” OMB#: 0920-1220</w:t>
      </w:r>
      <w:r w:rsidR="001102A1">
        <w:t>,</w:t>
      </w:r>
      <w:r w:rsidR="00E5333A" w:rsidRPr="006924C2">
        <w:t xml:space="preserve"> intends to measure available screening tools and effectiveness at capturing older adult fall risk</w:t>
      </w:r>
      <w:bookmarkStart w:id="1" w:name="_Hlk22288181"/>
      <w:r w:rsidR="00E5333A" w:rsidRPr="006924C2">
        <w:t xml:space="preserve">. </w:t>
      </w:r>
      <w:bookmarkStart w:id="2" w:name="_Hlk22544689"/>
      <w:r w:rsidR="004335EB" w:rsidRPr="004E764D">
        <w:t xml:space="preserve">An earlier </w:t>
      </w:r>
      <w:r w:rsidR="006C56F1" w:rsidRPr="004E764D">
        <w:t xml:space="preserve">collection </w:t>
      </w:r>
      <w:r w:rsidR="004335EB" w:rsidRPr="004E764D">
        <w:t>at UCSF</w:t>
      </w:r>
      <w:r w:rsidR="000056A5" w:rsidRPr="004E764D">
        <w:t xml:space="preserve">, </w:t>
      </w:r>
      <w:r w:rsidR="00E5333A" w:rsidRPr="004E764D">
        <w:t>“</w:t>
      </w:r>
      <w:r w:rsidR="006C56F1" w:rsidRPr="004E764D">
        <w:t>Stopping Elderly Accidents, Deaths, and Injuries (STEADI) in a Hospital Discharge Setting</w:t>
      </w:r>
      <w:r w:rsidR="00445384" w:rsidRPr="004E764D">
        <w:t xml:space="preserve">” </w:t>
      </w:r>
      <w:r w:rsidR="009A18A9" w:rsidRPr="004E764D">
        <w:t>(</w:t>
      </w:r>
      <w:r w:rsidR="006C56F1" w:rsidRPr="004E764D">
        <w:t xml:space="preserve">OMB# 0920-1009 (18KW) approved </w:t>
      </w:r>
      <w:r w:rsidR="001102A1" w:rsidRPr="004E764D">
        <w:t>t</w:t>
      </w:r>
      <w:r w:rsidR="009A18A9" w:rsidRPr="004E764D">
        <w:t xml:space="preserve">hrough an OMB </w:t>
      </w:r>
      <w:r w:rsidR="00445384" w:rsidRPr="004E764D">
        <w:t>Gen</w:t>
      </w:r>
      <w:r w:rsidR="009A18A9" w:rsidRPr="004E764D">
        <w:t xml:space="preserve">eric </w:t>
      </w:r>
      <w:r w:rsidR="004335EB" w:rsidRPr="004E764D">
        <w:t>mechanism)</w:t>
      </w:r>
      <w:r w:rsidR="004E764D" w:rsidRPr="004E764D">
        <w:t xml:space="preserve"> provided a basic </w:t>
      </w:r>
      <w:r w:rsidR="004335EB" w:rsidRPr="004E764D">
        <w:t>measure</w:t>
      </w:r>
      <w:r w:rsidR="004E764D" w:rsidRPr="004E764D">
        <w:t xml:space="preserve"> of</w:t>
      </w:r>
      <w:r w:rsidR="00445384" w:rsidRPr="004E764D">
        <w:t xml:space="preserve"> </w:t>
      </w:r>
      <w:r w:rsidR="00445384" w:rsidRPr="004E764D">
        <w:rPr>
          <w:lang w:val="en"/>
        </w:rPr>
        <w:t>STEADI-based fall prevention interventions (excluding medication management and opioid prescribing) during discharge process to reduce the risk of post-discharge falls and readmissions for a fall.</w:t>
      </w:r>
      <w:r w:rsidR="00445384">
        <w:rPr>
          <w:lang w:val="en"/>
        </w:rPr>
        <w:t xml:space="preserve"> </w:t>
      </w:r>
    </w:p>
    <w:bookmarkEnd w:id="1"/>
    <w:bookmarkEnd w:id="2"/>
    <w:p w14:paraId="54974E65" w14:textId="77777777" w:rsidR="00E5333A" w:rsidRDefault="00E5333A" w:rsidP="008D770A"/>
    <w:p w14:paraId="6F1C5A47" w14:textId="137DDAFF" w:rsidR="008D770A" w:rsidRPr="00202FE2" w:rsidRDefault="008D770A" w:rsidP="008D770A">
      <w:r w:rsidRPr="00202FE2">
        <w:t>Additionally, no efforts outside the agency have bee</w:t>
      </w:r>
      <w:r w:rsidR="00445384">
        <w:t xml:space="preserve">n made to collect these data. </w:t>
      </w:r>
      <w:r w:rsidRPr="00202FE2">
        <w:t>There are other government</w:t>
      </w:r>
      <w:r w:rsidR="00625840">
        <w:t xml:space="preserve"> agencies that collect hospital</w:t>
      </w:r>
      <w:r w:rsidRPr="00202FE2">
        <w:t xml:space="preserve"> falls data on older adults including:</w:t>
      </w:r>
    </w:p>
    <w:p w14:paraId="2DC0491C" w14:textId="07C7A048" w:rsidR="008D770A" w:rsidRDefault="008D770A" w:rsidP="008D770A">
      <w:pPr>
        <w:pStyle w:val="ListParagraph"/>
        <w:numPr>
          <w:ilvl w:val="0"/>
          <w:numId w:val="4"/>
        </w:numPr>
        <w:rPr>
          <w:rFonts w:ascii="Times New Roman" w:hAnsi="Times New Roman"/>
          <w:sz w:val="24"/>
          <w:szCs w:val="24"/>
        </w:rPr>
      </w:pPr>
      <w:r w:rsidRPr="00202FE2">
        <w:rPr>
          <w:rFonts w:ascii="Times New Roman" w:hAnsi="Times New Roman"/>
          <w:sz w:val="24"/>
          <w:szCs w:val="24"/>
        </w:rPr>
        <w:t>National Hospital Discharge Survey (NHDS)</w:t>
      </w:r>
      <w:r w:rsidR="006924C2">
        <w:rPr>
          <w:rFonts w:ascii="Times New Roman" w:hAnsi="Times New Roman"/>
          <w:sz w:val="24"/>
          <w:szCs w:val="24"/>
        </w:rPr>
        <w:t xml:space="preserve"> (OMB#: 0990-0212). </w:t>
      </w:r>
      <w:r w:rsidRPr="00202FE2">
        <w:rPr>
          <w:rFonts w:ascii="Times New Roman" w:hAnsi="Times New Roman"/>
          <w:sz w:val="24"/>
          <w:szCs w:val="24"/>
        </w:rPr>
        <w:t>The NHDS provides detailed information on characteristics, diagnoses, and surgical and other procedures for patients discharged from short-stay non-federal hospitals in the United States. The information collected is available in written reports in unpublished form through standardized in-house tabulations or special tabulations, and on public use tapes.  NHDS collects quantitative information about hospital admissions.  It does not collect program evaluation data about implementation of falls prevention programs.</w:t>
      </w:r>
    </w:p>
    <w:p w14:paraId="4B3CD366" w14:textId="77777777" w:rsidR="00942AF1" w:rsidRPr="00202FE2" w:rsidRDefault="00942AF1" w:rsidP="00625840">
      <w:pPr>
        <w:pStyle w:val="ListParagraph"/>
        <w:rPr>
          <w:rFonts w:ascii="Times New Roman" w:hAnsi="Times New Roman"/>
          <w:sz w:val="24"/>
          <w:szCs w:val="24"/>
        </w:rPr>
      </w:pPr>
    </w:p>
    <w:p w14:paraId="44C17FA1" w14:textId="41CB1F90" w:rsidR="008D770A" w:rsidRPr="00202FE2" w:rsidRDefault="008D770A" w:rsidP="008D770A">
      <w:pPr>
        <w:pStyle w:val="ListParagraph"/>
        <w:numPr>
          <w:ilvl w:val="0"/>
          <w:numId w:val="4"/>
        </w:numPr>
        <w:rPr>
          <w:rFonts w:ascii="Times New Roman" w:hAnsi="Times New Roman"/>
          <w:sz w:val="24"/>
          <w:szCs w:val="24"/>
        </w:rPr>
      </w:pPr>
      <w:r w:rsidRPr="00202FE2">
        <w:rPr>
          <w:rFonts w:ascii="Times New Roman" w:hAnsi="Times New Roman"/>
          <w:sz w:val="24"/>
          <w:szCs w:val="24"/>
        </w:rPr>
        <w:t>National Institutes on Aging</w:t>
      </w:r>
      <w:r w:rsidR="00205F26">
        <w:rPr>
          <w:rFonts w:ascii="Times New Roman" w:hAnsi="Times New Roman"/>
          <w:sz w:val="24"/>
          <w:szCs w:val="24"/>
        </w:rPr>
        <w:t xml:space="preserve"> (NIA)</w:t>
      </w:r>
      <w:r w:rsidRPr="00202FE2">
        <w:rPr>
          <w:rFonts w:ascii="Times New Roman" w:hAnsi="Times New Roman"/>
          <w:sz w:val="24"/>
          <w:szCs w:val="24"/>
        </w:rPr>
        <w:t xml:space="preserve">:  </w:t>
      </w:r>
    </w:p>
    <w:p w14:paraId="4E4A0FC4" w14:textId="6C0F24CF" w:rsidR="008D770A" w:rsidRPr="00202FE2" w:rsidRDefault="008D770A" w:rsidP="008D770A">
      <w:pPr>
        <w:pStyle w:val="ListParagraph"/>
        <w:numPr>
          <w:ilvl w:val="1"/>
          <w:numId w:val="4"/>
        </w:numPr>
        <w:rPr>
          <w:rFonts w:ascii="Times New Roman" w:hAnsi="Times New Roman"/>
          <w:sz w:val="24"/>
          <w:szCs w:val="24"/>
        </w:rPr>
      </w:pPr>
      <w:r w:rsidRPr="00202FE2">
        <w:rPr>
          <w:rFonts w:ascii="Times New Roman" w:hAnsi="Times New Roman"/>
          <w:sz w:val="24"/>
          <w:szCs w:val="24"/>
        </w:rPr>
        <w:t>Strategies to Reduce Injuries and Develop Confidence in Elders (STRIDE) - In partnership with the Patient-Centered Outcomes Research Initiative</w:t>
      </w:r>
      <w:r w:rsidR="00205F26">
        <w:rPr>
          <w:rFonts w:ascii="Times New Roman" w:hAnsi="Times New Roman"/>
          <w:sz w:val="24"/>
          <w:szCs w:val="24"/>
        </w:rPr>
        <w:t xml:space="preserve"> </w:t>
      </w:r>
      <w:r w:rsidRPr="00202FE2">
        <w:rPr>
          <w:rFonts w:ascii="Times New Roman" w:hAnsi="Times New Roman"/>
          <w:sz w:val="24"/>
          <w:szCs w:val="24"/>
        </w:rPr>
        <w:t>(PCORI</w:t>
      </w:r>
      <w:r w:rsidR="00205F26">
        <w:rPr>
          <w:rFonts w:ascii="Times New Roman" w:hAnsi="Times New Roman"/>
          <w:sz w:val="24"/>
          <w:szCs w:val="24"/>
        </w:rPr>
        <w:t>),</w:t>
      </w:r>
      <w:r w:rsidRPr="00202FE2">
        <w:rPr>
          <w:rFonts w:ascii="Times New Roman" w:hAnsi="Times New Roman"/>
          <w:sz w:val="24"/>
          <w:szCs w:val="24"/>
        </w:rPr>
        <w:t xml:space="preserve"> NIA funded this study with the goal of reducing serious fall-related injuries by implementing individually tailored interventions.  This study is directed at outpatient practice and will not collect information on incorporating falls prevention into the hospital discharge process.</w:t>
      </w:r>
    </w:p>
    <w:p w14:paraId="0A4BA899" w14:textId="4130561A" w:rsidR="008D770A" w:rsidRPr="00202FE2" w:rsidRDefault="008D770A" w:rsidP="008D770A">
      <w:pPr>
        <w:pStyle w:val="ListParagraph"/>
        <w:numPr>
          <w:ilvl w:val="1"/>
          <w:numId w:val="4"/>
        </w:numPr>
        <w:rPr>
          <w:rFonts w:ascii="Times New Roman" w:hAnsi="Times New Roman"/>
          <w:sz w:val="24"/>
          <w:szCs w:val="24"/>
        </w:rPr>
      </w:pPr>
      <w:r w:rsidRPr="00202FE2">
        <w:rPr>
          <w:rFonts w:ascii="Times New Roman" w:hAnsi="Times New Roman"/>
          <w:sz w:val="24"/>
          <w:szCs w:val="24"/>
        </w:rPr>
        <w:t>Fall Prevention in High- and Low-Fall Hospital Nursing Units – The purpose of this project is to examine interventions to reduce in-hospital falls</w:t>
      </w:r>
      <w:r w:rsidR="00625840">
        <w:rPr>
          <w:rFonts w:ascii="Times New Roman" w:hAnsi="Times New Roman"/>
          <w:sz w:val="24"/>
          <w:szCs w:val="24"/>
        </w:rPr>
        <w:t>, as opposed to prevention of</w:t>
      </w:r>
      <w:r w:rsidRPr="00202FE2">
        <w:rPr>
          <w:rFonts w:ascii="Times New Roman" w:hAnsi="Times New Roman"/>
          <w:sz w:val="24"/>
          <w:szCs w:val="24"/>
        </w:rPr>
        <w:t xml:space="preserve"> post-discharge falls</w:t>
      </w:r>
      <w:r w:rsidR="00205F26">
        <w:rPr>
          <w:rFonts w:ascii="Times New Roman" w:hAnsi="Times New Roman"/>
          <w:sz w:val="24"/>
          <w:szCs w:val="24"/>
        </w:rPr>
        <w:t xml:space="preserve"> in our study</w:t>
      </w:r>
      <w:r w:rsidRPr="00202FE2">
        <w:rPr>
          <w:rFonts w:ascii="Times New Roman" w:hAnsi="Times New Roman"/>
          <w:sz w:val="24"/>
          <w:szCs w:val="24"/>
        </w:rPr>
        <w:t>.</w:t>
      </w:r>
    </w:p>
    <w:p w14:paraId="138FB99F" w14:textId="77777777" w:rsidR="008D770A" w:rsidRPr="00202FE2" w:rsidRDefault="008D770A" w:rsidP="008D770A"/>
    <w:p w14:paraId="65AFC7FA" w14:textId="2E156B94" w:rsidR="00625840" w:rsidRDefault="008D770A" w:rsidP="006924C2">
      <w:r w:rsidRPr="00202FE2">
        <w:t xml:space="preserve">The data collection proposed by this project is important because it represents the first federal effort to </w:t>
      </w:r>
      <w:r w:rsidR="006924C2">
        <w:t xml:space="preserve">measure </w:t>
      </w:r>
      <w:r w:rsidR="006924C2" w:rsidRPr="001A2016">
        <w:t xml:space="preserve">provider practices change in response to education and availability of prescribing protocols and decision support tools to reduce opioid prescribing to older adults and reduce fall risk after discharge. </w:t>
      </w:r>
      <w:r w:rsidR="00625840">
        <w:t xml:space="preserve">This data </w:t>
      </w:r>
      <w:r w:rsidR="00625840" w:rsidRPr="00A9214B">
        <w:t xml:space="preserve">collection </w:t>
      </w:r>
      <w:r w:rsidR="00625840">
        <w:t xml:space="preserve">will help inform best practices for provider training and implementation of </w:t>
      </w:r>
      <w:r w:rsidR="0084266C">
        <w:t>an</w:t>
      </w:r>
      <w:r w:rsidR="00AE6E89">
        <w:t xml:space="preserve"> opioid prescribing protocol and decision support tools </w:t>
      </w:r>
      <w:r w:rsidR="00625840">
        <w:t xml:space="preserve">at the post-discharge healthcare setting to control opioid prescribing to older adults and reduce fall risk. </w:t>
      </w:r>
    </w:p>
    <w:p w14:paraId="0E120E00" w14:textId="77777777" w:rsidR="00625840" w:rsidRPr="00202FE2" w:rsidRDefault="00625840" w:rsidP="008D770A"/>
    <w:p w14:paraId="2FDC497E" w14:textId="6A5A76CF" w:rsidR="008D770A" w:rsidRPr="00202FE2" w:rsidRDefault="008D770A" w:rsidP="008D770A">
      <w:r w:rsidRPr="00202FE2">
        <w:t>CDC reached out to other federal agencies in September 2018 that have an interest in preventing older adult falls</w:t>
      </w:r>
      <w:r w:rsidR="00205F26">
        <w:t>,</w:t>
      </w:r>
      <w:r w:rsidRPr="00202FE2">
        <w:t xml:space="preserve"> including </w:t>
      </w:r>
      <w:r w:rsidR="00CD5FDB" w:rsidRPr="00202FE2">
        <w:t xml:space="preserve">the </w:t>
      </w:r>
      <w:r w:rsidRPr="00202FE2">
        <w:t xml:space="preserve">National Council on Aging [NCOA], </w:t>
      </w:r>
      <w:r w:rsidR="00CD5FDB" w:rsidRPr="00202FE2">
        <w:t xml:space="preserve">and </w:t>
      </w:r>
      <w:r w:rsidRPr="00202FE2">
        <w:t>Administration for Community Living [ACL]. These agencies do not currently have similar data collection efforts but will be interested in the findings from this project, and we plan to share results during our monthly partnership calls.</w:t>
      </w:r>
      <w:r w:rsidR="00CD5FDB" w:rsidRPr="00202FE2">
        <w:t xml:space="preserve"> </w:t>
      </w:r>
      <w:r w:rsidR="00500A10">
        <w:t xml:space="preserve">CDC is unaware of other federal efforts from the </w:t>
      </w:r>
      <w:r w:rsidRPr="00202FE2">
        <w:t>Centers for Medicare an</w:t>
      </w:r>
      <w:r w:rsidR="00500A10">
        <w:t xml:space="preserve">d Medicaid Services [CMS] and </w:t>
      </w:r>
      <w:r w:rsidRPr="00202FE2">
        <w:t>N</w:t>
      </w:r>
      <w:r w:rsidR="00500A10">
        <w:t xml:space="preserve">ational Institutes of Health [NIH] for similar data collection. </w:t>
      </w:r>
      <w:r w:rsidR="00500A10" w:rsidRPr="00202FE2">
        <w:t xml:space="preserve"> </w:t>
      </w:r>
    </w:p>
    <w:p w14:paraId="30FC3E37" w14:textId="77777777" w:rsidR="008D770A" w:rsidRPr="00202FE2" w:rsidRDefault="008D770A" w:rsidP="008D770A"/>
    <w:p w14:paraId="6C630A64" w14:textId="77777777" w:rsidR="009F0515" w:rsidRDefault="009F0515" w:rsidP="008D770A">
      <w:pPr>
        <w:keepNext/>
        <w:tabs>
          <w:tab w:val="left" w:pos="360"/>
        </w:tabs>
        <w:ind w:left="360" w:hanging="360"/>
        <w:outlineLvl w:val="0"/>
        <w:rPr>
          <w:b/>
        </w:rPr>
      </w:pPr>
    </w:p>
    <w:p w14:paraId="57EB9CD8" w14:textId="0DFADFA9" w:rsidR="008D770A" w:rsidRPr="00202FE2" w:rsidRDefault="008D770A" w:rsidP="008D770A">
      <w:pPr>
        <w:keepNext/>
        <w:tabs>
          <w:tab w:val="left" w:pos="360"/>
        </w:tabs>
        <w:ind w:left="360" w:hanging="360"/>
        <w:outlineLvl w:val="0"/>
        <w:rPr>
          <w:b/>
        </w:rPr>
      </w:pPr>
      <w:r w:rsidRPr="00202FE2">
        <w:rPr>
          <w:b/>
        </w:rPr>
        <w:t>A.5.</w:t>
      </w:r>
      <w:r w:rsidRPr="00202FE2">
        <w:rPr>
          <w:b/>
        </w:rPr>
        <w:tab/>
        <w:t>Impact on Small Businesses or Other Small Entities</w:t>
      </w:r>
    </w:p>
    <w:p w14:paraId="04ECF4A5" w14:textId="77777777" w:rsidR="008D770A" w:rsidRPr="00202FE2" w:rsidRDefault="008D770A" w:rsidP="008D770A">
      <w:pPr>
        <w:pStyle w:val="BodyText21"/>
        <w:rPr>
          <w:rFonts w:ascii="Times New Roman" w:hAnsi="Times New Roman"/>
          <w:szCs w:val="24"/>
        </w:rPr>
      </w:pPr>
    </w:p>
    <w:p w14:paraId="1172202E" w14:textId="17A33360" w:rsidR="008D770A" w:rsidRPr="00202FE2" w:rsidRDefault="00C26F63" w:rsidP="008D770A">
      <w:r w:rsidRPr="00202FE2">
        <w:t xml:space="preserve">No </w:t>
      </w:r>
      <w:r w:rsidR="008D770A" w:rsidRPr="00202FE2">
        <w:t xml:space="preserve">small businesses will be involved </w:t>
      </w:r>
      <w:r w:rsidRPr="00202FE2">
        <w:t xml:space="preserve">or impacted </w:t>
      </w:r>
      <w:r w:rsidR="008D770A" w:rsidRPr="00202FE2">
        <w:t>in this data collection.</w:t>
      </w:r>
    </w:p>
    <w:p w14:paraId="62494E10" w14:textId="77777777" w:rsidR="008D770A" w:rsidRPr="00202FE2" w:rsidRDefault="008D770A" w:rsidP="008D770A"/>
    <w:p w14:paraId="34E37CC9" w14:textId="77777777" w:rsidR="0008564B" w:rsidRDefault="0008564B" w:rsidP="008D770A">
      <w:pPr>
        <w:rPr>
          <w:b/>
        </w:rPr>
      </w:pPr>
    </w:p>
    <w:p w14:paraId="0965A4CF" w14:textId="77777777" w:rsidR="0008564B" w:rsidRDefault="0008564B" w:rsidP="008D770A">
      <w:pPr>
        <w:rPr>
          <w:b/>
        </w:rPr>
      </w:pPr>
    </w:p>
    <w:p w14:paraId="3144B559" w14:textId="0FCB681C" w:rsidR="008D770A" w:rsidRPr="00202FE2" w:rsidRDefault="008D770A" w:rsidP="008D770A">
      <w:pPr>
        <w:rPr>
          <w:b/>
        </w:rPr>
      </w:pPr>
      <w:r w:rsidRPr="00202FE2">
        <w:rPr>
          <w:b/>
        </w:rPr>
        <w:t>A.6.</w:t>
      </w:r>
      <w:r w:rsidRPr="00202FE2">
        <w:rPr>
          <w:b/>
        </w:rPr>
        <w:tab/>
        <w:t>Consequences of Collecting the Information Less Frequently</w:t>
      </w:r>
    </w:p>
    <w:p w14:paraId="33EDE2A3" w14:textId="77777777" w:rsidR="008D770A" w:rsidRPr="00202FE2" w:rsidRDefault="008D770A" w:rsidP="008D770A"/>
    <w:p w14:paraId="481C4FBF" w14:textId="323513D4" w:rsidR="008D770A" w:rsidRPr="00202FE2" w:rsidRDefault="008D770A" w:rsidP="008D770A">
      <w:r w:rsidRPr="00202FE2">
        <w:t>For the</w:t>
      </w:r>
      <w:r w:rsidRPr="00202FE2">
        <w:rPr>
          <w:i/>
        </w:rPr>
        <w:t xml:space="preserve"> </w:t>
      </w:r>
      <w:r w:rsidR="0039239B" w:rsidRPr="00202FE2">
        <w:rPr>
          <w:i/>
        </w:rPr>
        <w:t>Pre-discharge</w:t>
      </w:r>
      <w:r w:rsidRPr="00202FE2">
        <w:rPr>
          <w:i/>
        </w:rPr>
        <w:t xml:space="preserve"> and </w:t>
      </w:r>
      <w:r w:rsidR="00500A10">
        <w:rPr>
          <w:i/>
        </w:rPr>
        <w:t>post-discharge</w:t>
      </w:r>
      <w:r w:rsidRPr="00202FE2">
        <w:rPr>
          <w:i/>
        </w:rPr>
        <w:t xml:space="preserve"> patient </w:t>
      </w:r>
      <w:r w:rsidR="00A132A1">
        <w:rPr>
          <w:i/>
        </w:rPr>
        <w:t>questionnaires</w:t>
      </w:r>
      <w:r w:rsidRPr="00202FE2">
        <w:rPr>
          <w:i/>
        </w:rPr>
        <w:t xml:space="preserve">, </w:t>
      </w:r>
      <w:r w:rsidRPr="00202FE2">
        <w:t xml:space="preserve">the request is for a baseline questionnaire administered while </w:t>
      </w:r>
      <w:r w:rsidR="00205F26">
        <w:t xml:space="preserve">each </w:t>
      </w:r>
      <w:r w:rsidRPr="00202FE2">
        <w:t xml:space="preserve">patient is </w:t>
      </w:r>
      <w:r w:rsidR="00205F26">
        <w:t xml:space="preserve">hospitalized, and </w:t>
      </w:r>
      <w:r w:rsidRPr="00202FE2">
        <w:t xml:space="preserve">three follow up questionnaires at 14 days, 30 days, and 60 days </w:t>
      </w:r>
      <w:r w:rsidR="00500A10">
        <w:t>post-discharge</w:t>
      </w:r>
      <w:r w:rsidRPr="00202FE2">
        <w:t xml:space="preserve">. The recurrent data collection is necessary to measure patient outcomes and </w:t>
      </w:r>
      <w:r w:rsidR="00205F26">
        <w:t>adherence</w:t>
      </w:r>
      <w:r w:rsidR="00205F26" w:rsidRPr="00202FE2">
        <w:t xml:space="preserve"> </w:t>
      </w:r>
      <w:r w:rsidRPr="00202FE2">
        <w:t xml:space="preserve">with interventions including referrals and opioid tapering in the short and long term after discharge. The data collection also allows for estimating number and outcome of </w:t>
      </w:r>
      <w:r w:rsidR="00500A10">
        <w:t>self-</w:t>
      </w:r>
      <w:r w:rsidRPr="00202FE2">
        <w:t xml:space="preserve">reported falls up to 2 months post hospital discharge. If these data are not collected, CDC will not have </w:t>
      </w:r>
      <w:r w:rsidR="00205F26">
        <w:t>necessary</w:t>
      </w:r>
      <w:r w:rsidR="00205F26" w:rsidRPr="00202FE2">
        <w:t xml:space="preserve"> </w:t>
      </w:r>
      <w:r w:rsidRPr="00202FE2">
        <w:t xml:space="preserve">information about what strategies are most likely to be effective for opioid education, tapering, referral to specialists, and use of alternative therapies for pain in older </w:t>
      </w:r>
      <w:r w:rsidR="00DB6C5D" w:rsidRPr="00202FE2">
        <w:t>adults’</w:t>
      </w:r>
      <w:r w:rsidRPr="00202FE2">
        <w:t xml:space="preserve"> </w:t>
      </w:r>
      <w:r w:rsidR="00500A10">
        <w:t>post-discharge</w:t>
      </w:r>
      <w:r w:rsidRPr="00202FE2">
        <w:t xml:space="preserve">.  </w:t>
      </w:r>
    </w:p>
    <w:p w14:paraId="012C25A3" w14:textId="77777777" w:rsidR="008D770A" w:rsidRPr="00202FE2" w:rsidRDefault="008D770A" w:rsidP="008D770A"/>
    <w:p w14:paraId="15AC8A20" w14:textId="6322D39C" w:rsidR="008D770A" w:rsidRPr="00202FE2" w:rsidRDefault="008D770A" w:rsidP="008D770A">
      <w:r w:rsidRPr="00202FE2">
        <w:t xml:space="preserve">For the </w:t>
      </w:r>
      <w:r w:rsidRPr="00202FE2">
        <w:rPr>
          <w:i/>
        </w:rPr>
        <w:t xml:space="preserve">UCSF </w:t>
      </w:r>
      <w:r w:rsidR="00FA345F">
        <w:rPr>
          <w:i/>
        </w:rPr>
        <w:t>Clinical Staff Evaluation Questionnaire</w:t>
      </w:r>
      <w:r w:rsidR="00A132A1" w:rsidRPr="000155E9">
        <w:rPr>
          <w:i/>
        </w:rPr>
        <w:t>,</w:t>
      </w:r>
      <w:r w:rsidRPr="00202FE2">
        <w:t xml:space="preserve"> the request is for a one-time </w:t>
      </w:r>
      <w:r w:rsidR="00FA345F">
        <w:t xml:space="preserve">survey </w:t>
      </w:r>
      <w:r w:rsidRPr="00202FE2">
        <w:t>in which data will be collected from respondents</w:t>
      </w:r>
      <w:r w:rsidR="00205F26">
        <w:t xml:space="preserve"> on</w:t>
      </w:r>
      <w:r w:rsidRPr="00202FE2">
        <w:t xml:space="preserve"> post-opioid prescribing guidance implementation. (No recurrent data collection is requested). </w:t>
      </w:r>
    </w:p>
    <w:p w14:paraId="173BB20A" w14:textId="77777777" w:rsidR="008D770A" w:rsidRPr="00202FE2" w:rsidRDefault="008D770A" w:rsidP="008D770A"/>
    <w:p w14:paraId="71239EE5" w14:textId="79C3C780" w:rsidR="000056A5" w:rsidRPr="00202FE2" w:rsidRDefault="008D770A" w:rsidP="000056A5">
      <w:r w:rsidRPr="00202FE2">
        <w:t xml:space="preserve">For the </w:t>
      </w:r>
      <w:r w:rsidRPr="00202FE2">
        <w:rPr>
          <w:i/>
        </w:rPr>
        <w:t xml:space="preserve">PCP </w:t>
      </w:r>
      <w:r w:rsidR="00500A10">
        <w:rPr>
          <w:i/>
        </w:rPr>
        <w:t>post-discharge</w:t>
      </w:r>
      <w:r w:rsidRPr="00202FE2">
        <w:rPr>
          <w:i/>
        </w:rPr>
        <w:t xml:space="preserve"> </w:t>
      </w:r>
      <w:r w:rsidR="00A132A1">
        <w:rPr>
          <w:i/>
        </w:rPr>
        <w:t>questionnaire</w:t>
      </w:r>
      <w:r w:rsidRPr="00202FE2">
        <w:t xml:space="preserve">, the request is to survey PCP physicians only one time for one of their </w:t>
      </w:r>
      <w:r w:rsidR="0084266C" w:rsidRPr="00202FE2">
        <w:t>patients</w:t>
      </w:r>
      <w:r w:rsidRPr="00202FE2">
        <w:t xml:space="preserve"> discharged from UCSF.  </w:t>
      </w:r>
      <w:r w:rsidR="000056A5" w:rsidRPr="00202FE2">
        <w:t xml:space="preserve">(No recurrent data collection is requested). </w:t>
      </w:r>
    </w:p>
    <w:p w14:paraId="29DEF3BA" w14:textId="5D5A6D65" w:rsidR="008D770A" w:rsidRDefault="008D770A" w:rsidP="008D770A">
      <w:r w:rsidRPr="00202FE2">
        <w:t xml:space="preserve">  </w:t>
      </w:r>
    </w:p>
    <w:p w14:paraId="73A3B68D" w14:textId="77777777" w:rsidR="008D770A" w:rsidRPr="00202FE2" w:rsidRDefault="008D770A" w:rsidP="008D770A">
      <w:pPr>
        <w:tabs>
          <w:tab w:val="left" w:pos="360"/>
        </w:tabs>
        <w:ind w:left="360" w:hanging="360"/>
        <w:outlineLvl w:val="0"/>
        <w:rPr>
          <w:b/>
        </w:rPr>
      </w:pPr>
      <w:r w:rsidRPr="00202FE2">
        <w:rPr>
          <w:b/>
        </w:rPr>
        <w:t>A.7.</w:t>
      </w:r>
      <w:r w:rsidRPr="00202FE2">
        <w:rPr>
          <w:b/>
        </w:rPr>
        <w:tab/>
        <w:t>Special Circumstances</w:t>
      </w:r>
      <w:r w:rsidRPr="00202FE2">
        <w:rPr>
          <w:b/>
          <w:bCs/>
        </w:rPr>
        <w:t xml:space="preserve"> Relating to the Guidelines of 5 CFR 1320.5</w:t>
      </w:r>
    </w:p>
    <w:p w14:paraId="6A9F353C" w14:textId="77777777" w:rsidR="008D770A" w:rsidRPr="00202FE2" w:rsidRDefault="008D770A" w:rsidP="008D770A">
      <w:pPr>
        <w:tabs>
          <w:tab w:val="left" w:pos="360"/>
        </w:tabs>
        <w:ind w:left="360" w:hanging="360"/>
        <w:outlineLvl w:val="0"/>
        <w:rPr>
          <w:b/>
        </w:rPr>
      </w:pPr>
    </w:p>
    <w:p w14:paraId="78CA1BEE" w14:textId="77777777" w:rsidR="008D770A" w:rsidRPr="00202FE2" w:rsidRDefault="008D770A" w:rsidP="008D770A">
      <w:pPr>
        <w:outlineLvl w:val="0"/>
      </w:pPr>
      <w:r w:rsidRPr="00202FE2">
        <w:t>This request fully complies with the regulation 5 CFR 1320.5.</w:t>
      </w:r>
    </w:p>
    <w:p w14:paraId="7C9E7131" w14:textId="77777777" w:rsidR="008D770A" w:rsidRPr="00202FE2" w:rsidRDefault="008D770A" w:rsidP="008D770A"/>
    <w:p w14:paraId="65696F31" w14:textId="77777777" w:rsidR="008D770A" w:rsidRPr="00202FE2" w:rsidRDefault="008D770A" w:rsidP="008D770A">
      <w:pPr>
        <w:tabs>
          <w:tab w:val="left" w:pos="360"/>
        </w:tabs>
        <w:ind w:left="360" w:hanging="360"/>
        <w:outlineLvl w:val="0"/>
        <w:rPr>
          <w:b/>
        </w:rPr>
      </w:pPr>
      <w:r w:rsidRPr="00202FE2">
        <w:rPr>
          <w:b/>
        </w:rPr>
        <w:t>A.8.</w:t>
      </w:r>
      <w:r w:rsidRPr="00202FE2">
        <w:rPr>
          <w:b/>
        </w:rPr>
        <w:tab/>
        <w:t xml:space="preserve">Comments in Response to the Federal Register Notice and Efforts to Consult </w:t>
      </w:r>
      <w:r w:rsidRPr="00202FE2">
        <w:rPr>
          <w:b/>
        </w:rPr>
        <w:tab/>
        <w:t>Outside the Agency</w:t>
      </w:r>
    </w:p>
    <w:p w14:paraId="18DB9786" w14:textId="77777777" w:rsidR="008D770A" w:rsidRPr="00202FE2" w:rsidRDefault="008D770A" w:rsidP="008D770A">
      <w:pPr>
        <w:pStyle w:val="BodyText21"/>
        <w:rPr>
          <w:rFonts w:ascii="Times New Roman" w:hAnsi="Times New Roman"/>
          <w:szCs w:val="24"/>
        </w:rPr>
      </w:pPr>
    </w:p>
    <w:p w14:paraId="3B50B8A9" w14:textId="1F4BC18E" w:rsidR="008D770A" w:rsidRPr="00DB6C5D" w:rsidRDefault="008D770A" w:rsidP="008D770A">
      <w:pPr>
        <w:tabs>
          <w:tab w:val="left" w:pos="540"/>
        </w:tabs>
        <w:ind w:left="360" w:hanging="360"/>
      </w:pPr>
      <w:r w:rsidRPr="00202FE2">
        <w:rPr>
          <w:b/>
        </w:rPr>
        <w:tab/>
      </w:r>
      <w:r w:rsidRPr="00202FE2">
        <w:rPr>
          <w:b/>
        </w:rPr>
        <w:tab/>
      </w:r>
      <w:r w:rsidRPr="00DB6C5D">
        <w:rPr>
          <w:b/>
        </w:rPr>
        <w:t>A.8.a</w:t>
      </w:r>
      <w:r w:rsidRPr="00DB6C5D">
        <w:t>.)</w:t>
      </w:r>
      <w:r w:rsidR="005505A9" w:rsidRPr="00DB6C5D">
        <w:t xml:space="preserve"> </w:t>
      </w:r>
      <w:r w:rsidRPr="00DB6C5D">
        <w:t>Federal Register Notice</w:t>
      </w:r>
    </w:p>
    <w:p w14:paraId="0ABD9594" w14:textId="5A93E0FA" w:rsidR="008D770A" w:rsidRPr="00202FE2" w:rsidRDefault="008111E6" w:rsidP="00E5217D">
      <w:pPr>
        <w:ind w:left="360"/>
      </w:pPr>
      <w:r w:rsidRPr="00DB6C5D">
        <w:t xml:space="preserve">A 60-day Federal Register Notice was published in the Federal Register on February 7, 2019. Vol. 84. No. 26, pp. 2520 (Attachment B).  CDC received two non-substantive and one substantive public </w:t>
      </w:r>
      <w:r w:rsidR="009A18A9" w:rsidRPr="00DB6C5D">
        <w:t>comment</w:t>
      </w:r>
      <w:r w:rsidRPr="00DB6C5D">
        <w:t xml:space="preserve"> (Attachment B1-3).  CDC did not respond as contact information was</w:t>
      </w:r>
      <w:r w:rsidR="000056A5" w:rsidRPr="00DB6C5D">
        <w:t xml:space="preserve"> not </w:t>
      </w:r>
      <w:r w:rsidRPr="00DB6C5D">
        <w:t>provide</w:t>
      </w:r>
      <w:r w:rsidR="000056A5" w:rsidRPr="00DB6C5D">
        <w:t>d</w:t>
      </w:r>
      <w:r w:rsidRPr="00DB6C5D">
        <w:t xml:space="preserve"> by any of the commenters.  The substantive public comment expressed the need of </w:t>
      </w:r>
      <w:r w:rsidR="000056A5" w:rsidRPr="00DB6C5D">
        <w:t xml:space="preserve">starting </w:t>
      </w:r>
      <w:r w:rsidRPr="00DB6C5D">
        <w:t>patients’</w:t>
      </w:r>
      <w:r w:rsidR="000056A5" w:rsidRPr="00DB6C5D">
        <w:t xml:space="preserve"> medications while in the hospital to monitor for possible</w:t>
      </w:r>
      <w:r w:rsidRPr="00DB6C5D">
        <w:t xml:space="preserve"> reactions to medications. </w:t>
      </w:r>
      <w:r w:rsidR="000056A5" w:rsidRPr="00DB6C5D">
        <w:t xml:space="preserve">This study identifies patients already on an opioid medication or prescribed an opioid medication while inpatient, thus they have been receiving the medication under clinical staff supervision, before discharge planning. </w:t>
      </w:r>
      <w:r w:rsidRPr="00DB6C5D">
        <w:t>No changes were made to the data collection.</w:t>
      </w:r>
    </w:p>
    <w:p w14:paraId="430F9400" w14:textId="77777777" w:rsidR="00420D12" w:rsidRDefault="008D770A" w:rsidP="008D770A">
      <w:pPr>
        <w:rPr>
          <w:b/>
        </w:rPr>
      </w:pPr>
      <w:r w:rsidRPr="00202FE2">
        <w:rPr>
          <w:b/>
        </w:rPr>
        <w:t xml:space="preserve">        </w:t>
      </w:r>
    </w:p>
    <w:p w14:paraId="26200D42" w14:textId="384D17EA" w:rsidR="008D770A" w:rsidRPr="00202FE2" w:rsidRDefault="005505A9" w:rsidP="00A64981">
      <w:pPr>
        <w:tabs>
          <w:tab w:val="left" w:pos="540"/>
        </w:tabs>
        <w:ind w:left="360" w:hanging="360"/>
      </w:pPr>
      <w:r>
        <w:rPr>
          <w:b/>
        </w:rPr>
        <w:tab/>
      </w:r>
      <w:r w:rsidR="008D770A" w:rsidRPr="00202FE2">
        <w:rPr>
          <w:b/>
        </w:rPr>
        <w:t>A.8.b.)</w:t>
      </w:r>
      <w:r>
        <w:t xml:space="preserve"> </w:t>
      </w:r>
      <w:r w:rsidR="008D770A" w:rsidRPr="00202FE2">
        <w:t>Efforts to Consult Outside the Agency</w:t>
      </w:r>
    </w:p>
    <w:p w14:paraId="1B4EE37C" w14:textId="77777777" w:rsidR="008D770A" w:rsidRPr="00202FE2" w:rsidRDefault="008D770A" w:rsidP="003A62DD">
      <w:pPr>
        <w:ind w:firstLine="360"/>
      </w:pPr>
      <w:r w:rsidRPr="00202FE2">
        <w:t>CDC made the following efforts to consult outside of the agency:</w:t>
      </w:r>
    </w:p>
    <w:p w14:paraId="7703FFB2" w14:textId="26E67303" w:rsidR="000860BD" w:rsidRPr="00FA345F" w:rsidRDefault="000860BD" w:rsidP="000860BD">
      <w:pPr>
        <w:pStyle w:val="ListParagraph"/>
        <w:numPr>
          <w:ilvl w:val="0"/>
          <w:numId w:val="5"/>
        </w:numPr>
        <w:rPr>
          <w:rFonts w:ascii="Times New Roman" w:hAnsi="Times New Roman"/>
          <w:color w:val="000000" w:themeColor="text1"/>
          <w:sz w:val="24"/>
          <w:szCs w:val="24"/>
        </w:rPr>
      </w:pPr>
      <w:r>
        <w:rPr>
          <w:rFonts w:ascii="Times New Roman" w:hAnsi="Times New Roman"/>
          <w:color w:val="000000" w:themeColor="text1"/>
          <w:sz w:val="24"/>
          <w:szCs w:val="24"/>
        </w:rPr>
        <w:t>CDC r</w:t>
      </w:r>
      <w:r w:rsidR="008D770A" w:rsidRPr="00202FE2">
        <w:rPr>
          <w:rFonts w:ascii="Times New Roman" w:hAnsi="Times New Roman"/>
          <w:color w:val="000000" w:themeColor="text1"/>
          <w:sz w:val="24"/>
          <w:szCs w:val="24"/>
        </w:rPr>
        <w:t xml:space="preserve">eviewed the list of projects funded by the National Institute on Aging and found two projects directed at falls prevention in clinical settings. </w:t>
      </w:r>
    </w:p>
    <w:p w14:paraId="2678C08F" w14:textId="71D6FDAC" w:rsidR="008D770A" w:rsidRPr="000056A5" w:rsidRDefault="008D770A" w:rsidP="000860BD">
      <w:pPr>
        <w:pStyle w:val="ListParagraph"/>
        <w:numPr>
          <w:ilvl w:val="0"/>
          <w:numId w:val="5"/>
        </w:numPr>
        <w:rPr>
          <w:rFonts w:ascii="Times New Roman" w:hAnsi="Times New Roman"/>
          <w:color w:val="000000" w:themeColor="text1"/>
          <w:sz w:val="24"/>
          <w:szCs w:val="24"/>
        </w:rPr>
      </w:pPr>
      <w:r w:rsidRPr="000860BD">
        <w:rPr>
          <w:rFonts w:ascii="Times New Roman" w:hAnsi="Times New Roman"/>
          <w:sz w:val="24"/>
          <w:szCs w:val="24"/>
        </w:rPr>
        <w:t>CDC is in regular contact with other federal agencies that have an interest in preventing older adult falls (e.</w:t>
      </w:r>
      <w:r w:rsidRPr="000056A5">
        <w:rPr>
          <w:rFonts w:ascii="Times New Roman" w:hAnsi="Times New Roman"/>
          <w:color w:val="000000" w:themeColor="text1"/>
          <w:sz w:val="24"/>
          <w:szCs w:val="24"/>
        </w:rPr>
        <w:t xml:space="preserve">g., Administration for Community Living [ACL], Centers for Medicare and Medicaid Services [CMS], National Institutes of Health [NIH]). These agencies will be interested in the findings from this project, as they are engaged in complementary but not redundant efforts (see above), and we plan to share results during our partnership calls. CDC meets </w:t>
      </w:r>
      <w:r w:rsidR="003A62DD" w:rsidRPr="000056A5">
        <w:rPr>
          <w:rFonts w:ascii="Times New Roman" w:hAnsi="Times New Roman"/>
          <w:color w:val="000000" w:themeColor="text1"/>
          <w:sz w:val="24"/>
          <w:szCs w:val="24"/>
        </w:rPr>
        <w:t>monthly</w:t>
      </w:r>
      <w:r w:rsidRPr="000056A5">
        <w:rPr>
          <w:rFonts w:ascii="Times New Roman" w:hAnsi="Times New Roman"/>
          <w:color w:val="000000" w:themeColor="text1"/>
          <w:sz w:val="24"/>
          <w:szCs w:val="24"/>
        </w:rPr>
        <w:t xml:space="preserve"> with NCOA and ACL and as needed with other federal partners. </w:t>
      </w:r>
    </w:p>
    <w:p w14:paraId="017FFBA7" w14:textId="1F50E7A9" w:rsidR="008D770A" w:rsidRPr="000056A5" w:rsidRDefault="008D770A" w:rsidP="000860BD">
      <w:pPr>
        <w:pStyle w:val="ListParagraph"/>
        <w:numPr>
          <w:ilvl w:val="0"/>
          <w:numId w:val="5"/>
        </w:numPr>
        <w:rPr>
          <w:rFonts w:ascii="Times New Roman" w:hAnsi="Times New Roman"/>
          <w:color w:val="000000" w:themeColor="text1"/>
          <w:sz w:val="24"/>
          <w:szCs w:val="24"/>
        </w:rPr>
      </w:pPr>
      <w:r w:rsidRPr="000056A5">
        <w:rPr>
          <w:rFonts w:ascii="Times New Roman" w:hAnsi="Times New Roman"/>
          <w:color w:val="000000" w:themeColor="text1"/>
          <w:sz w:val="24"/>
          <w:szCs w:val="24"/>
        </w:rPr>
        <w:t xml:space="preserve">CDC included a description of this proposed </w:t>
      </w:r>
      <w:r w:rsidR="003A62DD" w:rsidRPr="000056A5">
        <w:rPr>
          <w:rFonts w:ascii="Times New Roman" w:hAnsi="Times New Roman"/>
          <w:color w:val="000000" w:themeColor="text1"/>
          <w:sz w:val="24"/>
          <w:szCs w:val="24"/>
        </w:rPr>
        <w:t>project in</w:t>
      </w:r>
      <w:r w:rsidRPr="000056A5">
        <w:rPr>
          <w:rFonts w:ascii="Times New Roman" w:hAnsi="Times New Roman"/>
          <w:color w:val="000000" w:themeColor="text1"/>
          <w:sz w:val="24"/>
          <w:szCs w:val="24"/>
        </w:rPr>
        <w:t xml:space="preserve"> presentations at the American Geriatric Society Annual Meeting, the Living Well Academy, the Gerontological Society of America Annual Meeting, and a National Council on Aging webinar. </w:t>
      </w:r>
    </w:p>
    <w:p w14:paraId="364BAF6C" w14:textId="77777777" w:rsidR="003A62DD" w:rsidRPr="000155E9" w:rsidRDefault="003A62DD" w:rsidP="008D770A">
      <w:pPr>
        <w:rPr>
          <w:b/>
        </w:rPr>
      </w:pPr>
    </w:p>
    <w:p w14:paraId="0241CA31" w14:textId="2BA677DD" w:rsidR="008D770A" w:rsidRDefault="008D770A" w:rsidP="008D770A">
      <w:r w:rsidRPr="00202FE2">
        <w:rPr>
          <w:b/>
        </w:rPr>
        <w:t>A.9.</w:t>
      </w:r>
      <w:r w:rsidRPr="00202FE2">
        <w:rPr>
          <w:b/>
        </w:rPr>
        <w:tab/>
        <w:t>Explanation of Any Payment or Gift to Respondents</w:t>
      </w:r>
      <w:r w:rsidRPr="00202FE2">
        <w:t xml:space="preserve"> </w:t>
      </w:r>
    </w:p>
    <w:p w14:paraId="2C511F58" w14:textId="77777777" w:rsidR="00893B27" w:rsidRPr="00202FE2" w:rsidRDefault="00893B27" w:rsidP="008D770A"/>
    <w:p w14:paraId="30F67D33" w14:textId="77777777" w:rsidR="008D770A" w:rsidRPr="00202FE2" w:rsidRDefault="008D770A" w:rsidP="008D770A">
      <w:r w:rsidRPr="00202FE2">
        <w:t>Respondents will not be provided with any payment or gift for participating in this data collection.</w:t>
      </w:r>
      <w:r w:rsidRPr="00202FE2" w:rsidDel="00A25AC2">
        <w:t xml:space="preserve"> </w:t>
      </w:r>
    </w:p>
    <w:p w14:paraId="7B2DE2FB" w14:textId="77777777" w:rsidR="008D770A" w:rsidRPr="00202FE2" w:rsidRDefault="008D770A" w:rsidP="008D770A">
      <w:pPr>
        <w:tabs>
          <w:tab w:val="left" w:pos="360"/>
        </w:tabs>
        <w:outlineLvl w:val="0"/>
        <w:rPr>
          <w:b/>
        </w:rPr>
      </w:pPr>
    </w:p>
    <w:p w14:paraId="2A69C164" w14:textId="07568D5D" w:rsidR="008D770A" w:rsidRPr="00202FE2" w:rsidRDefault="008D770A" w:rsidP="008D770A">
      <w:pPr>
        <w:pStyle w:val="BodyText21"/>
        <w:rPr>
          <w:rFonts w:ascii="Times New Roman" w:hAnsi="Times New Roman"/>
          <w:b/>
          <w:iCs/>
          <w:szCs w:val="24"/>
        </w:rPr>
      </w:pPr>
      <w:r w:rsidRPr="00202FE2">
        <w:rPr>
          <w:rFonts w:ascii="Times New Roman" w:hAnsi="Times New Roman"/>
          <w:b/>
          <w:iCs/>
          <w:szCs w:val="24"/>
        </w:rPr>
        <w:t>A.10.</w:t>
      </w:r>
      <w:r w:rsidRPr="00202FE2">
        <w:rPr>
          <w:rFonts w:ascii="Times New Roman" w:hAnsi="Times New Roman"/>
          <w:b/>
          <w:iCs/>
          <w:szCs w:val="24"/>
        </w:rPr>
        <w:tab/>
      </w:r>
      <w:r w:rsidRPr="000155E9">
        <w:rPr>
          <w:rFonts w:ascii="Times New Roman" w:hAnsi="Times New Roman"/>
          <w:b/>
        </w:rPr>
        <w:t>Protection of the Privacy and Confidentiality of Information Provided by Respondents</w:t>
      </w:r>
      <w:r w:rsidRPr="00202FE2" w:rsidDel="008B4149">
        <w:rPr>
          <w:rFonts w:ascii="Times New Roman" w:hAnsi="Times New Roman"/>
          <w:b/>
          <w:iCs/>
          <w:szCs w:val="24"/>
        </w:rPr>
        <w:t xml:space="preserve"> </w:t>
      </w:r>
    </w:p>
    <w:p w14:paraId="366DD5A6" w14:textId="77777777" w:rsidR="000965C0" w:rsidRPr="000155E9" w:rsidRDefault="000965C0" w:rsidP="008D770A">
      <w:pPr>
        <w:pStyle w:val="BodyText21"/>
        <w:rPr>
          <w:rFonts w:ascii="Times New Roman" w:hAnsi="Times New Roman"/>
        </w:rPr>
      </w:pPr>
    </w:p>
    <w:p w14:paraId="5D4A87DB" w14:textId="140A099E" w:rsidR="00A31EA5" w:rsidRPr="00A132A1" w:rsidRDefault="00173F7E" w:rsidP="008D770A">
      <w:r w:rsidRPr="00A132A1">
        <w:t xml:space="preserve">The Office of the Chief Information Officer at the CDC has determined that the Privacy Act does apply.  </w:t>
      </w:r>
      <w:r w:rsidR="006D2879" w:rsidRPr="00392F96">
        <w:t xml:space="preserve">The applicable System of Records Notice (SORN) is </w:t>
      </w:r>
      <w:r w:rsidR="006D2879">
        <w:t>09-20-0136 Epidemiology Studies and Surveillance of Disease Problems</w:t>
      </w:r>
      <w:r w:rsidR="006D2879" w:rsidRPr="00392F96">
        <w:t xml:space="preserve">. Published in the Federal Register on </w:t>
      </w:r>
      <w:r w:rsidR="006D2879">
        <w:t xml:space="preserve">November 24, 1986. </w:t>
      </w:r>
      <w:r w:rsidR="006D2879" w:rsidRPr="00392F96">
        <w:t xml:space="preserve"> Volume 5</w:t>
      </w:r>
      <w:r w:rsidR="006D2879">
        <w:t>1</w:t>
      </w:r>
      <w:r w:rsidR="006D2879" w:rsidRPr="00392F96">
        <w:t>, Number 2</w:t>
      </w:r>
      <w:r w:rsidR="006D2879">
        <w:t>26</w:t>
      </w:r>
      <w:r w:rsidR="006D2879" w:rsidRPr="00392F96">
        <w:t xml:space="preserve">, Page </w:t>
      </w:r>
      <w:r w:rsidR="006D2879">
        <w:t>42484-42485</w:t>
      </w:r>
      <w:r w:rsidR="006D2879" w:rsidRPr="00392F96">
        <w:t>.</w:t>
      </w:r>
      <w:r w:rsidR="006D2879">
        <w:t xml:space="preserve"> </w:t>
      </w:r>
      <w:r w:rsidRPr="00A132A1">
        <w:t>The Privacy Impact Assessment (PIA) is attached (</w:t>
      </w:r>
      <w:r w:rsidRPr="000155E9">
        <w:rPr>
          <w:b/>
        </w:rPr>
        <w:t xml:space="preserve">Attachment </w:t>
      </w:r>
      <w:r w:rsidR="00A83E04" w:rsidRPr="000155E9">
        <w:rPr>
          <w:b/>
        </w:rPr>
        <w:t>C</w:t>
      </w:r>
      <w:r w:rsidRPr="00A132A1">
        <w:t>)</w:t>
      </w:r>
      <w:r w:rsidR="00A83E04" w:rsidRPr="00A132A1">
        <w:t>.</w:t>
      </w:r>
      <w:r w:rsidR="00462A00" w:rsidRPr="00A132A1">
        <w:t xml:space="preserve"> </w:t>
      </w:r>
      <w:r w:rsidR="008D770A" w:rsidRPr="00A132A1">
        <w:t xml:space="preserve">All respondents will be informed that the information they provide will be treated in a secure manner and will be used only for the purpose of this </w:t>
      </w:r>
      <w:r w:rsidR="00E97F5E">
        <w:t>evaluation</w:t>
      </w:r>
      <w:r w:rsidR="008D770A" w:rsidRPr="00A132A1">
        <w:t xml:space="preserve">, unless otherwise compelled by law. </w:t>
      </w:r>
    </w:p>
    <w:p w14:paraId="440A2447" w14:textId="77777777" w:rsidR="00A31EA5" w:rsidRPr="00A132A1" w:rsidRDefault="00A31EA5" w:rsidP="008D770A"/>
    <w:p w14:paraId="3B5BC7CC" w14:textId="2889D890" w:rsidR="00F33A9F" w:rsidRDefault="00A31EA5" w:rsidP="008D770A">
      <w:r w:rsidRPr="00A132A1">
        <w:t xml:space="preserve">Patient Pre- and Post-Discharge </w:t>
      </w:r>
      <w:r w:rsidR="00A132A1">
        <w:t>Q</w:t>
      </w:r>
      <w:r w:rsidR="00A132A1" w:rsidRPr="00A132A1">
        <w:t>uestionnaires</w:t>
      </w:r>
      <w:r w:rsidRPr="00A132A1">
        <w:t xml:space="preserve">. </w:t>
      </w:r>
      <w:r w:rsidR="008D770A" w:rsidRPr="00A132A1">
        <w:t>To ensure privacy, personal</w:t>
      </w:r>
      <w:r w:rsidR="001E39E4">
        <w:t>ly</w:t>
      </w:r>
      <w:r w:rsidR="008D770A" w:rsidRPr="00A132A1">
        <w:t xml:space="preserve"> identifiable information will not be collected during the survey. A participant ID will be assigned to each respondent. After the survey response, only the ID and other (non-Protected Health Information) categorical variables necessary for analysis will be available.</w:t>
      </w:r>
      <w:r w:rsidR="008D770A" w:rsidRPr="00A132A1">
        <w:rPr>
          <w:color w:val="FF0000"/>
        </w:rPr>
        <w:t xml:space="preserve"> </w:t>
      </w:r>
      <w:r w:rsidR="008D770A" w:rsidRPr="00A132A1">
        <w:t>Within 3 months o</w:t>
      </w:r>
      <w:r w:rsidR="00FA345F">
        <w:t xml:space="preserve">f the end of the study period, </w:t>
      </w:r>
      <w:r w:rsidR="008D770A" w:rsidRPr="00A132A1">
        <w:t>UCSF will destroy the link between the ID code and the participant’s personally identifiable information. No personally identifiable information (names, addresses, and telephone numbers) will be in the database delivered to CDC. All data containing identifying information about participants will be destroyed within three months of the end of the study period. CDC will not have access to personal</w:t>
      </w:r>
      <w:r w:rsidR="001E39E4">
        <w:t>ly</w:t>
      </w:r>
      <w:r w:rsidR="008D770A" w:rsidRPr="00A132A1">
        <w:t xml:space="preserve"> identifiable information.</w:t>
      </w:r>
      <w:r w:rsidR="00FE0914" w:rsidRPr="00FE0914">
        <w:t xml:space="preserve"> </w:t>
      </w:r>
    </w:p>
    <w:p w14:paraId="4126E1B6" w14:textId="77777777" w:rsidR="00F33A9F" w:rsidRDefault="00F33A9F" w:rsidP="008D770A"/>
    <w:p w14:paraId="315EFD3D" w14:textId="4C1D9882" w:rsidR="00F33A9F" w:rsidRDefault="00FE0914" w:rsidP="008D5132">
      <w:r>
        <w:t>Unique identifiers will be assigned to each case in the data files as data are collected and participants removed from contact lists when their interview participation is complete. Survey data will be stored by the contractor in secure servers.</w:t>
      </w:r>
      <w:r w:rsidR="008D5132">
        <w:t xml:space="preserve"> </w:t>
      </w:r>
      <w:r w:rsidR="00F33A9F">
        <w:t xml:space="preserve">All respondents will be told during the consent process that the data they provide will be treated in a secure manner to the extent allowed by law. They also will be informed that participation is voluntary, that they may refuse to answer any question, and can stop at any time without risk. In addition, names of participants in any component of the study will not be provided to the federal government. Instead, a unique ID will be assigned to each participant. </w:t>
      </w:r>
    </w:p>
    <w:p w14:paraId="5A426FF8" w14:textId="41CE586E" w:rsidR="00A31EA5" w:rsidRPr="00360B29" w:rsidRDefault="00A31EA5" w:rsidP="008D770A">
      <w:pPr>
        <w:rPr>
          <w:highlight w:val="yellow"/>
        </w:rPr>
      </w:pPr>
    </w:p>
    <w:p w14:paraId="04C1C6A0" w14:textId="043E5A2F" w:rsidR="00A31EA5" w:rsidRPr="00A132A1" w:rsidRDefault="00A132A1" w:rsidP="008D770A">
      <w:r w:rsidRPr="00A132A1">
        <w:t xml:space="preserve">UCSF </w:t>
      </w:r>
      <w:r w:rsidR="00FA345F">
        <w:t>Clinical Staff Evaluation Questionnaire</w:t>
      </w:r>
      <w:r w:rsidR="00A31EA5" w:rsidRPr="00A132A1">
        <w:t>.  To ensure privacy, personal</w:t>
      </w:r>
      <w:r w:rsidR="001E39E4">
        <w:t>ly</w:t>
      </w:r>
      <w:r w:rsidR="00A31EA5" w:rsidRPr="00A132A1">
        <w:t xml:space="preserve"> identifiable information will not be collected during the survey. </w:t>
      </w:r>
      <w:r w:rsidR="001E39E4">
        <w:t>The s</w:t>
      </w:r>
      <w:r w:rsidR="00A31EA5" w:rsidRPr="00A132A1">
        <w:t>ystem will keep track of who has responded and automatically contact only those who have not responded.  Personal</w:t>
      </w:r>
      <w:r w:rsidR="001E39E4">
        <w:t>ly</w:t>
      </w:r>
      <w:r w:rsidR="00A31EA5" w:rsidRPr="00A132A1">
        <w:t xml:space="preserve"> identifiable information such as an email will not be </w:t>
      </w:r>
      <w:r w:rsidR="00360B29" w:rsidRPr="00A132A1">
        <w:t>sh</w:t>
      </w:r>
      <w:r w:rsidR="00A31EA5" w:rsidRPr="00A132A1">
        <w:t xml:space="preserve">ared outside the database.  </w:t>
      </w:r>
    </w:p>
    <w:p w14:paraId="3315E7C7" w14:textId="77777777" w:rsidR="00360B29" w:rsidRPr="00A132A1" w:rsidRDefault="00360B29" w:rsidP="008D770A"/>
    <w:p w14:paraId="691EA3A9" w14:textId="2C0050F4" w:rsidR="008D770A" w:rsidRDefault="00A31EA5" w:rsidP="008D770A">
      <w:pPr>
        <w:autoSpaceDE w:val="0"/>
        <w:autoSpaceDN w:val="0"/>
        <w:adjustRightInd w:val="0"/>
      </w:pPr>
      <w:r w:rsidRPr="00A132A1">
        <w:t>PCP post-discharge questionnaire</w:t>
      </w:r>
      <w:r w:rsidR="00BD7D7B">
        <w:t>.</w:t>
      </w:r>
      <w:r w:rsidR="00360B29" w:rsidRPr="00A132A1">
        <w:t xml:space="preserve"> To ensure privacy, personal</w:t>
      </w:r>
      <w:r w:rsidR="001E39E4">
        <w:t>ly</w:t>
      </w:r>
      <w:r w:rsidR="00360B29" w:rsidRPr="00A132A1">
        <w:t xml:space="preserve"> identifiable information will not be collected during the survey.</w:t>
      </w:r>
      <w:r w:rsidR="00360B29">
        <w:t xml:space="preserve">  </w:t>
      </w:r>
    </w:p>
    <w:p w14:paraId="249615B0" w14:textId="77777777" w:rsidR="00A132A1" w:rsidRDefault="00A132A1" w:rsidP="000155E9">
      <w:pPr>
        <w:autoSpaceDE w:val="0"/>
        <w:autoSpaceDN w:val="0"/>
        <w:adjustRightInd w:val="0"/>
      </w:pPr>
    </w:p>
    <w:p w14:paraId="4CBC0CCE" w14:textId="77777777" w:rsidR="00360B29" w:rsidRPr="00202FE2" w:rsidRDefault="00360B29" w:rsidP="008D770A">
      <w:pPr>
        <w:autoSpaceDE w:val="0"/>
        <w:autoSpaceDN w:val="0"/>
        <w:adjustRightInd w:val="0"/>
        <w:rPr>
          <w:b/>
          <w:bCs/>
        </w:rPr>
      </w:pPr>
    </w:p>
    <w:p w14:paraId="57797697" w14:textId="77777777" w:rsidR="008D770A" w:rsidRPr="00202FE2" w:rsidRDefault="008D770A" w:rsidP="008D770A">
      <w:pPr>
        <w:rPr>
          <w:b/>
          <w:bCs/>
        </w:rPr>
      </w:pPr>
      <w:r w:rsidRPr="00202FE2">
        <w:rPr>
          <w:b/>
          <w:bCs/>
        </w:rPr>
        <w:t>A.11.</w:t>
      </w:r>
      <w:r w:rsidRPr="00202FE2">
        <w:rPr>
          <w:b/>
          <w:bCs/>
        </w:rPr>
        <w:tab/>
        <w:t xml:space="preserve">Institutional Review Board (IRB) and Justification for Sensitive Questions </w:t>
      </w:r>
    </w:p>
    <w:p w14:paraId="69C763C8" w14:textId="77777777" w:rsidR="008D770A" w:rsidRPr="00202FE2" w:rsidRDefault="008D770A" w:rsidP="008D770A">
      <w:pPr>
        <w:rPr>
          <w:b/>
          <w:bCs/>
        </w:rPr>
      </w:pPr>
    </w:p>
    <w:p w14:paraId="214BE333" w14:textId="77777777" w:rsidR="008D770A" w:rsidRPr="00202FE2" w:rsidRDefault="008D770A" w:rsidP="008D770A">
      <w:pPr>
        <w:rPr>
          <w:b/>
        </w:rPr>
      </w:pPr>
      <w:r w:rsidRPr="00202FE2">
        <w:rPr>
          <w:b/>
        </w:rPr>
        <w:t>IRB Approval</w:t>
      </w:r>
    </w:p>
    <w:p w14:paraId="7F316515" w14:textId="6B561483" w:rsidR="008D770A" w:rsidRPr="00202FE2" w:rsidRDefault="002A01F7" w:rsidP="008D770A">
      <w:r w:rsidRPr="00202FE2">
        <w:t xml:space="preserve">CDC has received IRB approval for this </w:t>
      </w:r>
      <w:r w:rsidR="00E97F5E">
        <w:t>evaluation</w:t>
      </w:r>
      <w:r w:rsidRPr="00202FE2">
        <w:t xml:space="preserve"> activity involving human subjects where CDC is not engage</w:t>
      </w:r>
      <w:r w:rsidR="004079BB">
        <w:t>d</w:t>
      </w:r>
      <w:r w:rsidRPr="00202FE2">
        <w:t xml:space="preserve"> through </w:t>
      </w:r>
      <w:r w:rsidR="004079BB">
        <w:t>UCSF</w:t>
      </w:r>
      <w:r w:rsidRPr="00202FE2">
        <w:t xml:space="preserve">. </w:t>
      </w:r>
      <w:r w:rsidR="004079BB">
        <w:t>UCSF</w:t>
      </w:r>
      <w:r w:rsidR="004079BB" w:rsidRPr="00202FE2">
        <w:t xml:space="preserve"> </w:t>
      </w:r>
      <w:r w:rsidRPr="00202FE2">
        <w:t xml:space="preserve">has its own IRB, which meets </w:t>
      </w:r>
      <w:r w:rsidR="001D5FB3" w:rsidRPr="00202FE2">
        <w:t>all</w:t>
      </w:r>
      <w:r w:rsidRPr="00202FE2">
        <w:t xml:space="preserve"> the Federal requirements as specified in 45 CFR 46, registered with the Office for Human Research Protections and with Federal Wide Assurance (</w:t>
      </w:r>
      <w:r w:rsidR="00893B27" w:rsidRPr="00893B27">
        <w:t>FWA00000068</w:t>
      </w:r>
      <w:r w:rsidRPr="00893B27">
        <w:t>)</w:t>
      </w:r>
      <w:r w:rsidRPr="00202FE2">
        <w:t xml:space="preserve">. This ensures that this project involving human subjects comply with Federal regulations. </w:t>
      </w:r>
      <w:r w:rsidR="008D770A" w:rsidRPr="00202FE2">
        <w:t>(</w:t>
      </w:r>
      <w:r w:rsidR="008D770A" w:rsidRPr="000155E9">
        <w:rPr>
          <w:b/>
        </w:rPr>
        <w:t>Attachment D</w:t>
      </w:r>
      <w:r w:rsidR="008D770A" w:rsidRPr="00202FE2">
        <w:t>)</w:t>
      </w:r>
    </w:p>
    <w:p w14:paraId="24FFD8A2" w14:textId="77777777" w:rsidR="008D770A" w:rsidRPr="00202FE2" w:rsidRDefault="008D770A" w:rsidP="008D770A"/>
    <w:p w14:paraId="06267807" w14:textId="77777777" w:rsidR="008D770A" w:rsidRPr="00202FE2" w:rsidRDefault="008D770A" w:rsidP="008D770A">
      <w:pPr>
        <w:rPr>
          <w:b/>
          <w:bCs/>
        </w:rPr>
      </w:pPr>
      <w:r w:rsidRPr="00202FE2">
        <w:rPr>
          <w:b/>
          <w:bCs/>
        </w:rPr>
        <w:t>Sensitive Questions</w:t>
      </w:r>
      <w:r w:rsidRPr="00202FE2">
        <w:rPr>
          <w:b/>
          <w:bCs/>
        </w:rPr>
        <w:tab/>
      </w:r>
    </w:p>
    <w:p w14:paraId="39FFC485" w14:textId="78D6465D" w:rsidR="008D770A" w:rsidRPr="00202FE2" w:rsidRDefault="008D770A" w:rsidP="008D770A">
      <w:pPr>
        <w:rPr>
          <w:bCs/>
          <w:color w:val="000000" w:themeColor="text1"/>
        </w:rPr>
      </w:pPr>
      <w:r w:rsidRPr="00202FE2">
        <w:rPr>
          <w:bCs/>
          <w:color w:val="000000" w:themeColor="text1"/>
        </w:rPr>
        <w:t xml:space="preserve">For the </w:t>
      </w:r>
      <w:r w:rsidR="00B7272D" w:rsidRPr="00202FE2">
        <w:rPr>
          <w:bCs/>
          <w:i/>
          <w:color w:val="000000" w:themeColor="text1"/>
        </w:rPr>
        <w:t xml:space="preserve">Pre-Discharge </w:t>
      </w:r>
      <w:r w:rsidR="00B7272D">
        <w:rPr>
          <w:bCs/>
          <w:i/>
          <w:color w:val="000000" w:themeColor="text1"/>
        </w:rPr>
        <w:t>a</w:t>
      </w:r>
      <w:r w:rsidR="00B7272D" w:rsidRPr="00202FE2">
        <w:rPr>
          <w:bCs/>
          <w:i/>
          <w:color w:val="000000" w:themeColor="text1"/>
        </w:rPr>
        <w:t xml:space="preserve">nd </w:t>
      </w:r>
      <w:r w:rsidR="00B7272D">
        <w:rPr>
          <w:bCs/>
          <w:i/>
          <w:color w:val="000000" w:themeColor="text1"/>
        </w:rPr>
        <w:t>Post-Discharge</w:t>
      </w:r>
      <w:r w:rsidR="00B7272D" w:rsidRPr="00202FE2">
        <w:rPr>
          <w:bCs/>
          <w:i/>
          <w:color w:val="000000" w:themeColor="text1"/>
        </w:rPr>
        <w:t xml:space="preserve"> Patient </w:t>
      </w:r>
      <w:r w:rsidR="00B7272D">
        <w:rPr>
          <w:bCs/>
          <w:i/>
          <w:color w:val="000000" w:themeColor="text1"/>
        </w:rPr>
        <w:t>Questionnaires</w:t>
      </w:r>
      <w:r w:rsidRPr="00202FE2">
        <w:rPr>
          <w:bCs/>
          <w:color w:val="000000" w:themeColor="text1"/>
        </w:rPr>
        <w:t xml:space="preserve">, </w:t>
      </w:r>
      <w:r w:rsidR="00F50EF2" w:rsidRPr="00202FE2">
        <w:rPr>
          <w:bCs/>
          <w:color w:val="000000" w:themeColor="text1"/>
        </w:rPr>
        <w:t>most of</w:t>
      </w:r>
      <w:r w:rsidRPr="00202FE2">
        <w:rPr>
          <w:bCs/>
          <w:color w:val="000000" w:themeColor="text1"/>
        </w:rPr>
        <w:t xml:space="preserve"> our questions are not likely to be viewed as sensitive by patients, with the exception of questions </w:t>
      </w:r>
      <w:r w:rsidR="003A62DD">
        <w:rPr>
          <w:bCs/>
          <w:color w:val="000000" w:themeColor="text1"/>
        </w:rPr>
        <w:t>around self-</w:t>
      </w:r>
      <w:r w:rsidRPr="00202FE2">
        <w:rPr>
          <w:bCs/>
          <w:color w:val="000000" w:themeColor="text1"/>
        </w:rPr>
        <w:t>management of pain. These questions may be viewed as more sensitive. However, none of the questions on our surveys are required, and patients may decline to answer any question they deem unreasonable or sensitive.</w:t>
      </w:r>
    </w:p>
    <w:p w14:paraId="2422E6A7" w14:textId="77777777" w:rsidR="008D770A" w:rsidRPr="00202FE2" w:rsidRDefault="008D770A" w:rsidP="008D770A">
      <w:pPr>
        <w:rPr>
          <w:bCs/>
          <w:color w:val="000000" w:themeColor="text1"/>
        </w:rPr>
      </w:pPr>
    </w:p>
    <w:p w14:paraId="62457E30" w14:textId="575C159B" w:rsidR="008D770A" w:rsidRPr="00202FE2" w:rsidRDefault="008D770A" w:rsidP="008D770A">
      <w:pPr>
        <w:rPr>
          <w:bCs/>
          <w:color w:val="000000" w:themeColor="text1"/>
        </w:rPr>
      </w:pPr>
      <w:r w:rsidRPr="00202FE2">
        <w:rPr>
          <w:bCs/>
          <w:color w:val="000000" w:themeColor="text1"/>
        </w:rPr>
        <w:t xml:space="preserve">The </w:t>
      </w:r>
      <w:r w:rsidRPr="00202FE2">
        <w:rPr>
          <w:bCs/>
          <w:i/>
          <w:color w:val="000000" w:themeColor="text1"/>
        </w:rPr>
        <w:t xml:space="preserve">UCSF </w:t>
      </w:r>
      <w:r w:rsidR="00FA345F">
        <w:rPr>
          <w:bCs/>
          <w:i/>
          <w:color w:val="000000" w:themeColor="text1"/>
        </w:rPr>
        <w:t>Clinical Staff Evaluation Questionnaire</w:t>
      </w:r>
      <w:r w:rsidRPr="00202FE2">
        <w:rPr>
          <w:bCs/>
          <w:color w:val="000000" w:themeColor="text1"/>
        </w:rPr>
        <w:t xml:space="preserve"> asks questions about gender, which may be viewed as sensitive, and we allow respondents to decline to answer this question. None of the questions on the survey are required, and respondents may decline to answer any question they deem unreasonable or sensitive.</w:t>
      </w:r>
      <w:r w:rsidR="00904A10" w:rsidRPr="00202FE2">
        <w:rPr>
          <w:bCs/>
          <w:color w:val="000000" w:themeColor="text1"/>
        </w:rPr>
        <w:t xml:space="preserve"> </w:t>
      </w:r>
      <w:r w:rsidRPr="00202FE2">
        <w:rPr>
          <w:bCs/>
          <w:color w:val="000000" w:themeColor="text1"/>
        </w:rPr>
        <w:t xml:space="preserve">The </w:t>
      </w:r>
      <w:r w:rsidRPr="00202FE2">
        <w:rPr>
          <w:bCs/>
          <w:i/>
          <w:color w:val="000000" w:themeColor="text1"/>
        </w:rPr>
        <w:t xml:space="preserve">PCP </w:t>
      </w:r>
      <w:r w:rsidR="00B7272D">
        <w:rPr>
          <w:bCs/>
          <w:i/>
          <w:color w:val="000000" w:themeColor="text1"/>
        </w:rPr>
        <w:t>Post-Discharge</w:t>
      </w:r>
      <w:r w:rsidR="00B7272D" w:rsidRPr="00202FE2">
        <w:rPr>
          <w:bCs/>
          <w:i/>
          <w:color w:val="000000" w:themeColor="text1"/>
        </w:rPr>
        <w:t xml:space="preserve"> </w:t>
      </w:r>
      <w:r w:rsidR="00B7272D">
        <w:rPr>
          <w:bCs/>
          <w:i/>
          <w:color w:val="000000" w:themeColor="text1"/>
        </w:rPr>
        <w:t>Questionnaire</w:t>
      </w:r>
      <w:r w:rsidR="00B7272D" w:rsidRPr="00202FE2">
        <w:rPr>
          <w:bCs/>
          <w:i/>
          <w:color w:val="000000" w:themeColor="text1"/>
        </w:rPr>
        <w:t xml:space="preserve"> </w:t>
      </w:r>
      <w:r w:rsidRPr="00202FE2">
        <w:rPr>
          <w:bCs/>
          <w:color w:val="000000" w:themeColor="text1"/>
        </w:rPr>
        <w:t xml:space="preserve">does not contain any sensitive questions but also allows for declining to answer. </w:t>
      </w:r>
    </w:p>
    <w:p w14:paraId="1F06D074" w14:textId="77777777" w:rsidR="008D770A" w:rsidRPr="00202FE2" w:rsidRDefault="008D770A" w:rsidP="008D770A">
      <w:pPr>
        <w:autoSpaceDE w:val="0"/>
        <w:autoSpaceDN w:val="0"/>
        <w:adjustRightInd w:val="0"/>
        <w:rPr>
          <w:b/>
          <w:bCs/>
          <w:color w:val="000000" w:themeColor="text1"/>
        </w:rPr>
      </w:pPr>
    </w:p>
    <w:p w14:paraId="6377C3E3" w14:textId="77777777" w:rsidR="008D770A" w:rsidRPr="00202FE2" w:rsidRDefault="008D770A" w:rsidP="008D770A">
      <w:pPr>
        <w:autoSpaceDE w:val="0"/>
        <w:autoSpaceDN w:val="0"/>
        <w:adjustRightInd w:val="0"/>
      </w:pPr>
      <w:r w:rsidRPr="00202FE2">
        <w:rPr>
          <w:b/>
          <w:bCs/>
        </w:rPr>
        <w:t xml:space="preserve">A.12. </w:t>
      </w:r>
      <w:r w:rsidRPr="00202FE2">
        <w:rPr>
          <w:b/>
          <w:bCs/>
        </w:rPr>
        <w:tab/>
        <w:t xml:space="preserve">Estimates of </w:t>
      </w:r>
      <w:r w:rsidRPr="00D14DBB">
        <w:rPr>
          <w:b/>
          <w:bCs/>
        </w:rPr>
        <w:t>Annualized Burden Hours and Costs</w:t>
      </w:r>
      <w:r w:rsidRPr="00202FE2">
        <w:rPr>
          <w:b/>
          <w:bCs/>
        </w:rPr>
        <w:t xml:space="preserve"> </w:t>
      </w:r>
    </w:p>
    <w:p w14:paraId="04A2BBD4" w14:textId="77777777" w:rsidR="008D770A" w:rsidRPr="00202FE2" w:rsidRDefault="008D770A" w:rsidP="008D770A">
      <w:pPr>
        <w:rPr>
          <w:b/>
        </w:rPr>
      </w:pPr>
    </w:p>
    <w:p w14:paraId="720C57C1" w14:textId="42C8205A" w:rsidR="008D770A" w:rsidRPr="00202FE2" w:rsidRDefault="008D770A" w:rsidP="008D770A">
      <w:pPr>
        <w:spacing w:after="200" w:line="276" w:lineRule="auto"/>
        <w:contextualSpacing/>
      </w:pPr>
      <w:r w:rsidRPr="00202FE2">
        <w:t>The estimated respondent burden consists of the burdens of participants answering a series of questions (mostly multiple choice with a few free-text form questions)</w:t>
      </w:r>
      <w:r w:rsidR="002059C7">
        <w:t xml:space="preserve">. </w:t>
      </w:r>
      <w:r w:rsidRPr="00202FE2">
        <w:t xml:space="preserve">For the </w:t>
      </w:r>
      <w:r w:rsidR="00B7272D" w:rsidRPr="00202FE2">
        <w:rPr>
          <w:i/>
        </w:rPr>
        <w:t xml:space="preserve">Pre-Discharge </w:t>
      </w:r>
      <w:r w:rsidR="00B7272D">
        <w:rPr>
          <w:i/>
        </w:rPr>
        <w:t>Questionnaire,</w:t>
      </w:r>
      <w:r w:rsidR="001047B9">
        <w:rPr>
          <w:i/>
        </w:rPr>
        <w:t xml:space="preserve"> </w:t>
      </w:r>
      <w:r w:rsidR="001C3B15">
        <w:t>older adult</w:t>
      </w:r>
      <w:r w:rsidR="003A62DD" w:rsidRPr="00202FE2">
        <w:t xml:space="preserve"> participants</w:t>
      </w:r>
      <w:r w:rsidRPr="00202FE2">
        <w:t xml:space="preserve"> will be asked to </w:t>
      </w:r>
      <w:r w:rsidR="001047B9">
        <w:t>participate</w:t>
      </w:r>
      <w:r w:rsidRPr="00202FE2">
        <w:t xml:space="preserve"> </w:t>
      </w:r>
      <w:r w:rsidR="003A62DD" w:rsidRPr="00B6374D">
        <w:t>during their hospital stay in preparation for discharge</w:t>
      </w:r>
      <w:r w:rsidR="001C3B15" w:rsidRPr="00B6374D">
        <w:t xml:space="preserve"> in person</w:t>
      </w:r>
      <w:r w:rsidR="00B6374D" w:rsidRPr="00B6374D">
        <w:t xml:space="preserve"> or electronically via patient-portal message or email</w:t>
      </w:r>
      <w:r w:rsidR="00D27A45">
        <w:t xml:space="preserve"> (Attachment G1). </w:t>
      </w:r>
      <w:r w:rsidR="001C3B15">
        <w:t xml:space="preserve"> </w:t>
      </w:r>
      <w:r w:rsidR="00B6374D">
        <w:t xml:space="preserve">The </w:t>
      </w:r>
      <w:r w:rsidR="00B7272D" w:rsidRPr="00202FE2">
        <w:rPr>
          <w:i/>
        </w:rPr>
        <w:t xml:space="preserve">Pre-Discharge </w:t>
      </w:r>
      <w:r w:rsidR="00B7272D">
        <w:rPr>
          <w:i/>
        </w:rPr>
        <w:t>Questionnaire</w:t>
      </w:r>
      <w:r w:rsidR="00B7272D">
        <w:t xml:space="preserve"> </w:t>
      </w:r>
      <w:r w:rsidR="00B6374D">
        <w:t xml:space="preserve">is expected to take 10 minutes to complete. </w:t>
      </w:r>
      <w:r w:rsidR="000860BD">
        <w:t>Over three years,</w:t>
      </w:r>
      <w:r w:rsidR="00FA345F">
        <w:t xml:space="preserve"> </w:t>
      </w:r>
      <w:r w:rsidR="000860BD">
        <w:t>w</w:t>
      </w:r>
      <w:r w:rsidR="000A69F3" w:rsidRPr="00202FE2">
        <w:t>e expect 9,850</w:t>
      </w:r>
      <w:r w:rsidR="000A69F3">
        <w:t xml:space="preserve"> older-adult</w:t>
      </w:r>
      <w:r w:rsidR="000A69F3" w:rsidRPr="00202FE2">
        <w:t xml:space="preserve"> patients </w:t>
      </w:r>
      <w:r w:rsidR="000A69F3">
        <w:t xml:space="preserve">to meet </w:t>
      </w:r>
      <w:r w:rsidR="00F75C02">
        <w:t>our selection criteria</w:t>
      </w:r>
      <w:r w:rsidR="00FA345F">
        <w:t xml:space="preserve"> </w:t>
      </w:r>
      <w:r w:rsidR="000A69F3">
        <w:t xml:space="preserve">for high-risk opioid use that will receive pain management and fall prevention interventions during their discharge planning. Of those, we expect </w:t>
      </w:r>
      <w:r w:rsidR="00F75C02">
        <w:t xml:space="preserve">around </w:t>
      </w:r>
      <w:r w:rsidR="000A69F3">
        <w:t xml:space="preserve">30% to be non-English speaking, </w:t>
      </w:r>
      <w:r w:rsidR="000D337B">
        <w:t xml:space="preserve">prison residence or from a correctional facility, </w:t>
      </w:r>
      <w:r w:rsidR="000A69F3">
        <w:t xml:space="preserve">cognitively impaired, or receiving ICU care based on previous UCSF norms. </w:t>
      </w:r>
      <w:r w:rsidR="000860BD">
        <w:t xml:space="preserve">These groups </w:t>
      </w:r>
      <w:r w:rsidR="000A69F3">
        <w:t>will be excl</w:t>
      </w:r>
      <w:r w:rsidR="00FA345F">
        <w:t xml:space="preserve">uded/ </w:t>
      </w:r>
      <w:r w:rsidR="000A69F3">
        <w:t>not invited to participate in the questionnaires. The remaining 6</w:t>
      </w:r>
      <w:r w:rsidR="00F75C02">
        <w:t>,</w:t>
      </w:r>
      <w:r w:rsidR="000A69F3">
        <w:t>89</w:t>
      </w:r>
      <w:r w:rsidR="00AE6E89">
        <w:t>5</w:t>
      </w:r>
      <w:r w:rsidR="00F75C02">
        <w:t xml:space="preserve"> </w:t>
      </w:r>
      <w:r w:rsidR="000A69F3">
        <w:t xml:space="preserve">will be </w:t>
      </w:r>
      <w:r w:rsidR="000A69F3" w:rsidRPr="00202FE2">
        <w:t>invited to participate</w:t>
      </w:r>
      <w:r w:rsidR="000A69F3">
        <w:t xml:space="preserve"> in the questionnaires</w:t>
      </w:r>
      <w:r w:rsidR="00F75C02">
        <w:t xml:space="preserve"> over 3 years</w:t>
      </w:r>
      <w:r w:rsidR="000A69F3" w:rsidRPr="00202FE2">
        <w:t xml:space="preserve">. Approximately 2,400 total respondents are expected to complete the surveys in the 3 years. We chose this anticipated survey completion rate based on previous work screening and enrolling patients at UCSF, where an approximately </w:t>
      </w:r>
      <w:r w:rsidR="000A69F3">
        <w:t>35</w:t>
      </w:r>
      <w:r w:rsidR="000A69F3" w:rsidRPr="00202FE2">
        <w:t>% enr</w:t>
      </w:r>
      <w:r w:rsidR="000A69F3">
        <w:t xml:space="preserve">ollment rate has been the norm. </w:t>
      </w:r>
      <w:r w:rsidR="001C3B15">
        <w:t xml:space="preserve">For the </w:t>
      </w:r>
      <w:r w:rsidR="001C3B15">
        <w:rPr>
          <w:i/>
        </w:rPr>
        <w:t xml:space="preserve">post-discharge </w:t>
      </w:r>
      <w:r w:rsidR="00360B29">
        <w:rPr>
          <w:i/>
        </w:rPr>
        <w:t>questionnaire</w:t>
      </w:r>
      <w:r w:rsidR="001C3B15">
        <w:rPr>
          <w:i/>
        </w:rPr>
        <w:t xml:space="preserve">, </w:t>
      </w:r>
      <w:r w:rsidR="001C3B15">
        <w:t xml:space="preserve">older adult </w:t>
      </w:r>
      <w:r w:rsidR="00B6374D">
        <w:t xml:space="preserve">participants that completed the initial pre-discharge questionnaire </w:t>
      </w:r>
      <w:r w:rsidR="001C3B15">
        <w:t xml:space="preserve">will be asked to </w:t>
      </w:r>
      <w:r w:rsidR="001047B9">
        <w:t>participate at</w:t>
      </w:r>
      <w:r w:rsidR="001C3B15">
        <w:t xml:space="preserve"> 1</w:t>
      </w:r>
      <w:r w:rsidRPr="00202FE2">
        <w:t xml:space="preserve">4 days, 30 days, and 60 days </w:t>
      </w:r>
      <w:r w:rsidR="00500A10">
        <w:t>post-discharge</w:t>
      </w:r>
      <w:r w:rsidRPr="00202FE2">
        <w:t xml:space="preserve">. </w:t>
      </w:r>
    </w:p>
    <w:p w14:paraId="5E8F799A" w14:textId="77777777" w:rsidR="008D770A" w:rsidRPr="00202FE2" w:rsidRDefault="008D770A" w:rsidP="008D770A">
      <w:pPr>
        <w:spacing w:after="200" w:line="276" w:lineRule="auto"/>
        <w:contextualSpacing/>
      </w:pPr>
    </w:p>
    <w:p w14:paraId="2DB5D901" w14:textId="62E9F0F0" w:rsidR="000A69F3" w:rsidRDefault="008D770A" w:rsidP="008166C0">
      <w:pPr>
        <w:spacing w:after="200" w:line="276" w:lineRule="auto"/>
        <w:contextualSpacing/>
      </w:pPr>
      <w:r w:rsidRPr="00202FE2">
        <w:t xml:space="preserve">For the </w:t>
      </w:r>
      <w:r w:rsidRPr="00202FE2">
        <w:rPr>
          <w:i/>
        </w:rPr>
        <w:t xml:space="preserve">UCSF </w:t>
      </w:r>
      <w:r w:rsidR="00FA345F">
        <w:rPr>
          <w:i/>
        </w:rPr>
        <w:t>Clinical Staff Evaluation Questionnaire</w:t>
      </w:r>
      <w:r w:rsidR="00C061D6">
        <w:rPr>
          <w:i/>
        </w:rPr>
        <w:t>,</w:t>
      </w:r>
      <w:r w:rsidRPr="00202FE2">
        <w:t xml:space="preserve"> UCSF Medical Center </w:t>
      </w:r>
      <w:r w:rsidR="00B6374D">
        <w:t>clinicians</w:t>
      </w:r>
      <w:r w:rsidRPr="00202FE2">
        <w:t xml:space="preserve"> (</w:t>
      </w:r>
      <w:r w:rsidR="00B6374D" w:rsidRPr="00F51264">
        <w:t>nurses, pharmacists, and physicians</w:t>
      </w:r>
      <w:r w:rsidRPr="00202FE2">
        <w:t>)</w:t>
      </w:r>
      <w:r w:rsidR="00B6374D">
        <w:t xml:space="preserve"> </w:t>
      </w:r>
      <w:r w:rsidR="000A69F3">
        <w:t xml:space="preserve">will be identified </w:t>
      </w:r>
      <w:r w:rsidR="000860BD">
        <w:t xml:space="preserve">by </w:t>
      </w:r>
      <w:r w:rsidR="000A69F3">
        <w:t>using electronic records of order and documentation activity in units targeted by our study</w:t>
      </w:r>
      <w:r w:rsidR="00F75C02">
        <w:t xml:space="preserve">. </w:t>
      </w:r>
      <w:r w:rsidR="000A69F3">
        <w:t xml:space="preserve">An electronic correspondence letter </w:t>
      </w:r>
      <w:r w:rsidR="00831288">
        <w:t xml:space="preserve">(Attachment G2) </w:t>
      </w:r>
      <w:r w:rsidR="000A69F3">
        <w:t xml:space="preserve">will be sent to a randomly selected (using block randomization of digits </w:t>
      </w:r>
      <w:r w:rsidR="00C061D6">
        <w:t>to match</w:t>
      </w:r>
      <w:r w:rsidR="000A69F3">
        <w:t xml:space="preserve"> provider ID numbers) sample of clinicians per month. Those completing the survey are expected to use </w:t>
      </w:r>
      <w:r w:rsidRPr="00202FE2">
        <w:t xml:space="preserve">approximately 5 minutes. </w:t>
      </w:r>
      <w:r w:rsidR="00E81AB7">
        <w:t>We expect 30</w:t>
      </w:r>
      <w:r w:rsidRPr="00202FE2">
        <w:t>0 individuals (</w:t>
      </w:r>
      <w:r w:rsidR="000A69F3" w:rsidRPr="00F51264">
        <w:t>nurses, pharmacists, and physicians</w:t>
      </w:r>
      <w:r w:rsidRPr="00202FE2">
        <w:t>) will be invited to participate</w:t>
      </w:r>
      <w:r w:rsidR="000A69F3">
        <w:t xml:space="preserve"> over the course of 3 years </w:t>
      </w:r>
      <w:r w:rsidRPr="00202FE2">
        <w:t>from whom we anticipate a 50% response rate (150 total responses)</w:t>
      </w:r>
      <w:r w:rsidR="000A69F3">
        <w:t xml:space="preserve"> over 3 years</w:t>
      </w:r>
      <w:r w:rsidRPr="00202FE2">
        <w:t>. The anticipated survey completion rate is based on historical norms within UCSF for similar clinician surveys.</w:t>
      </w:r>
      <w:r w:rsidR="000A69F3">
        <w:t xml:space="preserve"> </w:t>
      </w:r>
      <w:r w:rsidRPr="00202FE2">
        <w:t xml:space="preserve">For the </w:t>
      </w:r>
      <w:r w:rsidR="00FA345F">
        <w:rPr>
          <w:i/>
        </w:rPr>
        <w:t>PCP Post-Discharge Survey</w:t>
      </w:r>
      <w:r w:rsidR="00FA345F">
        <w:t xml:space="preserve">, </w:t>
      </w:r>
      <w:r w:rsidR="000860BD">
        <w:t xml:space="preserve">outpatient </w:t>
      </w:r>
      <w:r w:rsidR="00C061D6">
        <w:t>providers will be identified using electronic record data listing PCPs for older adult study patients discharged from UCSF</w:t>
      </w:r>
      <w:r w:rsidR="00F75C02">
        <w:t>.</w:t>
      </w:r>
      <w:r w:rsidR="00AE6E89">
        <w:t xml:space="preserve"> Approximately 25% of patients treated at UCSF Medical Center see an UCSF-affiliated PCP.</w:t>
      </w:r>
      <w:r w:rsidR="00F75C02">
        <w:t xml:space="preserve"> We will use </w:t>
      </w:r>
      <w:r w:rsidR="00C061D6">
        <w:t>block randomization schema matched to patient medical record numbers</w:t>
      </w:r>
      <w:r w:rsidR="00F75C02">
        <w:t xml:space="preserve"> to invite a </w:t>
      </w:r>
      <w:r w:rsidR="00C061D6">
        <w:t xml:space="preserve">sample of providers to be surveyed each </w:t>
      </w:r>
      <w:r w:rsidR="00F75C02">
        <w:t>month</w:t>
      </w:r>
      <w:r w:rsidR="00831288">
        <w:t xml:space="preserve">. </w:t>
      </w:r>
      <w:r w:rsidR="000860BD">
        <w:t xml:space="preserve">Those </w:t>
      </w:r>
      <w:r w:rsidR="00F75C02">
        <w:t xml:space="preserve">completing the survey are expected to use </w:t>
      </w:r>
      <w:r w:rsidRPr="00202FE2">
        <w:t>approximately 5 minutes</w:t>
      </w:r>
      <w:r w:rsidR="00831288">
        <w:t xml:space="preserve"> (Attachment G3). </w:t>
      </w:r>
      <w:r w:rsidRPr="00202FE2">
        <w:t xml:space="preserve">  </w:t>
      </w:r>
      <w:r w:rsidR="00F75C02">
        <w:t xml:space="preserve">We anticipate inviting 300 PCPs over the course of 3 years and </w:t>
      </w:r>
      <w:r w:rsidRPr="00202FE2">
        <w:t>anticipate 50% response rate</w:t>
      </w:r>
      <w:r w:rsidR="00F75C02">
        <w:t xml:space="preserve"> (150 total responses over 3 years). </w:t>
      </w:r>
    </w:p>
    <w:p w14:paraId="6748D052" w14:textId="0FB79F7F" w:rsidR="008166C0" w:rsidRDefault="008166C0" w:rsidP="008166C0">
      <w:pPr>
        <w:spacing w:before="240" w:line="276" w:lineRule="auto"/>
        <w:contextualSpacing/>
      </w:pPr>
    </w:p>
    <w:p w14:paraId="169F6331" w14:textId="77777777" w:rsidR="009E0973" w:rsidRDefault="009E0973" w:rsidP="00710C5C">
      <w:pPr>
        <w:spacing w:after="160" w:line="259" w:lineRule="auto"/>
        <w:rPr>
          <w:b/>
        </w:rPr>
      </w:pPr>
    </w:p>
    <w:p w14:paraId="53C18F12" w14:textId="7BAD1D2C" w:rsidR="00725F1D" w:rsidRPr="000155E9" w:rsidRDefault="008D770A" w:rsidP="00710C5C">
      <w:pPr>
        <w:spacing w:after="160" w:line="259" w:lineRule="auto"/>
        <w:rPr>
          <w:rFonts w:ascii="Calibri" w:hAnsi="Calibri"/>
          <w:color w:val="1F497D"/>
          <w:sz w:val="22"/>
        </w:rPr>
      </w:pPr>
      <w:r w:rsidRPr="000155E9">
        <w:rPr>
          <w:b/>
        </w:rPr>
        <w:t xml:space="preserve">Table </w:t>
      </w:r>
      <w:r w:rsidR="00A54268">
        <w:rPr>
          <w:b/>
        </w:rPr>
        <w:t>A.</w:t>
      </w:r>
      <w:r w:rsidR="00E5333A">
        <w:rPr>
          <w:b/>
        </w:rPr>
        <w:t>5</w:t>
      </w:r>
      <w:r w:rsidRPr="000155E9">
        <w:rPr>
          <w:b/>
        </w:rPr>
        <w:t xml:space="preserve"> Estimated Annualized Burden Hours</w:t>
      </w:r>
    </w:p>
    <w:tbl>
      <w:tblPr>
        <w:tblW w:w="10780" w:type="dxa"/>
        <w:tblCellMar>
          <w:left w:w="0" w:type="dxa"/>
          <w:right w:w="0" w:type="dxa"/>
        </w:tblCellMar>
        <w:tblLook w:val="04A0" w:firstRow="1" w:lastRow="0" w:firstColumn="1" w:lastColumn="0" w:noHBand="0" w:noVBand="1"/>
      </w:tblPr>
      <w:tblGrid>
        <w:gridCol w:w="3709"/>
        <w:gridCol w:w="1923"/>
        <w:gridCol w:w="1443"/>
        <w:gridCol w:w="1365"/>
        <w:gridCol w:w="1235"/>
        <w:gridCol w:w="1105"/>
      </w:tblGrid>
      <w:tr w:rsidR="00282AFF" w14:paraId="03ADC5CD" w14:textId="77777777" w:rsidTr="00E84BBA">
        <w:trPr>
          <w:trHeight w:val="1187"/>
        </w:trPr>
        <w:tc>
          <w:tcPr>
            <w:tcW w:w="3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BE97E6" w14:textId="77777777" w:rsidR="00282AFF" w:rsidRDefault="00282AFF" w:rsidP="00282AFF">
            <w:pPr>
              <w:spacing w:line="252" w:lineRule="auto"/>
            </w:pPr>
            <w:r>
              <w:t>Type of Respondent</w:t>
            </w:r>
          </w:p>
        </w:tc>
        <w:tc>
          <w:tcPr>
            <w:tcW w:w="1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639CE" w14:textId="77777777" w:rsidR="00282AFF" w:rsidRDefault="00282AFF" w:rsidP="00282AFF">
            <w:pPr>
              <w:spacing w:line="252" w:lineRule="auto"/>
            </w:pPr>
            <w:r>
              <w:t>Form Name</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47937" w14:textId="77777777" w:rsidR="00282AFF" w:rsidRDefault="00282AFF" w:rsidP="00282AFF">
            <w:pPr>
              <w:spacing w:line="252" w:lineRule="auto"/>
            </w:pPr>
            <w:r>
              <w:t>No. of Respondents</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B039A" w14:textId="77777777" w:rsidR="00282AFF" w:rsidRDefault="00282AFF" w:rsidP="00282AFF">
            <w:pPr>
              <w:spacing w:line="252" w:lineRule="auto"/>
            </w:pPr>
            <w:r>
              <w:t>Number of Responses per Respondent</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615DE" w14:textId="77777777" w:rsidR="00282AFF" w:rsidRDefault="00282AFF" w:rsidP="00282AFF">
            <w:pPr>
              <w:spacing w:line="252" w:lineRule="auto"/>
            </w:pPr>
            <w:r>
              <w:t xml:space="preserve">Average Burden per Response </w:t>
            </w:r>
          </w:p>
          <w:p w14:paraId="75A1C734" w14:textId="77777777" w:rsidR="00282AFF" w:rsidRDefault="00282AFF" w:rsidP="00282AFF">
            <w:pPr>
              <w:spacing w:line="252" w:lineRule="auto"/>
            </w:pPr>
            <w:r>
              <w:t>(in hours)</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402C3" w14:textId="77777777" w:rsidR="00282AFF" w:rsidRDefault="00282AFF" w:rsidP="00282AFF">
            <w:pPr>
              <w:spacing w:line="252" w:lineRule="auto"/>
            </w:pPr>
            <w:r>
              <w:t>Total Burden Hours</w:t>
            </w:r>
          </w:p>
          <w:p w14:paraId="49CAC9D5" w14:textId="77777777" w:rsidR="00282AFF" w:rsidRDefault="00282AFF" w:rsidP="00282AFF">
            <w:pPr>
              <w:spacing w:line="252" w:lineRule="auto"/>
            </w:pPr>
            <w:r>
              <w:t>(in hours)</w:t>
            </w:r>
          </w:p>
        </w:tc>
      </w:tr>
      <w:tr w:rsidR="000D337B" w14:paraId="268FE518" w14:textId="77777777" w:rsidTr="00E84BBA">
        <w:tc>
          <w:tcPr>
            <w:tcW w:w="0" w:type="auto"/>
            <w:vMerge w:val="restart"/>
            <w:tcBorders>
              <w:top w:val="nil"/>
              <w:left w:val="single" w:sz="8" w:space="0" w:color="auto"/>
              <w:bottom w:val="single" w:sz="8" w:space="0" w:color="auto"/>
              <w:right w:val="single" w:sz="8" w:space="0" w:color="auto"/>
            </w:tcBorders>
            <w:vAlign w:val="center"/>
            <w:hideMark/>
          </w:tcPr>
          <w:p w14:paraId="26C05404" w14:textId="77777777" w:rsidR="0084266C" w:rsidRDefault="0084266C" w:rsidP="0084266C">
            <w:pPr>
              <w:spacing w:line="252" w:lineRule="auto"/>
            </w:pPr>
            <w:r>
              <w:t xml:space="preserve">Older adult Patients </w:t>
            </w:r>
          </w:p>
          <w:p w14:paraId="6648E071" w14:textId="77777777" w:rsidR="000D337B" w:rsidRDefault="000D337B" w:rsidP="000D337B">
            <w:pPr>
              <w:rPr>
                <w:rFonts w:eastAsiaTheme="minorHAnsi"/>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14:paraId="14D737BB" w14:textId="1C6BB154" w:rsidR="000D337B" w:rsidRDefault="000D337B" w:rsidP="000D337B">
            <w:pPr>
              <w:spacing w:line="252" w:lineRule="auto"/>
            </w:pPr>
            <w:r>
              <w:t>Pre-discharge Patient Questionnaire (Attachment E1)</w:t>
            </w:r>
          </w:p>
          <w:p w14:paraId="1F81AAE5" w14:textId="77777777" w:rsidR="000D337B" w:rsidRDefault="000D337B" w:rsidP="000D337B">
            <w:pPr>
              <w:spacing w:line="252" w:lineRule="auto"/>
            </w:pP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14:paraId="4C85E23E" w14:textId="77777777" w:rsidR="000D337B" w:rsidRDefault="000D337B" w:rsidP="000D337B">
            <w:pPr>
              <w:spacing w:line="252" w:lineRule="auto"/>
              <w:jc w:val="center"/>
            </w:pPr>
            <w:r>
              <w:t>800</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14:paraId="47453033" w14:textId="77777777" w:rsidR="000D337B" w:rsidRDefault="000D337B" w:rsidP="000D337B">
            <w:pPr>
              <w:spacing w:line="252" w:lineRule="auto"/>
              <w:jc w:val="center"/>
            </w:pPr>
            <w:r>
              <w:t>1</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4456FFE6" w14:textId="77777777" w:rsidR="000D337B" w:rsidRDefault="000D337B" w:rsidP="000D337B">
            <w:pPr>
              <w:spacing w:line="252" w:lineRule="auto"/>
              <w:jc w:val="center"/>
            </w:pPr>
            <w:r>
              <w:t>10/60</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58A3FF8F" w14:textId="281DCFBE" w:rsidR="000D337B" w:rsidRDefault="000D337B" w:rsidP="000D337B">
            <w:pPr>
              <w:spacing w:line="252" w:lineRule="auto"/>
            </w:pPr>
            <w:r>
              <w:t>133</w:t>
            </w:r>
          </w:p>
        </w:tc>
      </w:tr>
      <w:tr w:rsidR="000D337B" w14:paraId="3FB3E7BC" w14:textId="77777777" w:rsidTr="00E84BBA">
        <w:tc>
          <w:tcPr>
            <w:tcW w:w="0" w:type="auto"/>
            <w:vMerge/>
            <w:tcBorders>
              <w:top w:val="nil"/>
              <w:left w:val="single" w:sz="8" w:space="0" w:color="auto"/>
              <w:bottom w:val="single" w:sz="8" w:space="0" w:color="auto"/>
              <w:right w:val="single" w:sz="8" w:space="0" w:color="auto"/>
            </w:tcBorders>
            <w:vAlign w:val="center"/>
            <w:hideMark/>
          </w:tcPr>
          <w:p w14:paraId="7954A2E1" w14:textId="77777777" w:rsidR="000D337B" w:rsidRDefault="000D337B" w:rsidP="000D337B">
            <w:pPr>
              <w:rPr>
                <w:rFonts w:eastAsiaTheme="minorHAnsi"/>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14:paraId="3EF997C9" w14:textId="2A1FAE3A" w:rsidR="000D337B" w:rsidRDefault="000D337B" w:rsidP="000D337B">
            <w:pPr>
              <w:spacing w:line="252" w:lineRule="auto"/>
            </w:pPr>
            <w:r>
              <w:t>Post-discharge Patient Questionnaire (Attachment E2)</w:t>
            </w:r>
          </w:p>
          <w:p w14:paraId="0840D237" w14:textId="77777777" w:rsidR="000D337B" w:rsidRDefault="000D337B" w:rsidP="000D337B">
            <w:pPr>
              <w:spacing w:line="252" w:lineRule="auto"/>
            </w:pP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14:paraId="39CD3371" w14:textId="6CC3ED82" w:rsidR="000D337B" w:rsidRDefault="000D337B" w:rsidP="000D337B">
            <w:pPr>
              <w:spacing w:line="252" w:lineRule="auto"/>
              <w:jc w:val="center"/>
            </w:pPr>
            <w:r>
              <w:t>800</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14:paraId="103B3704" w14:textId="77777777" w:rsidR="000D337B" w:rsidRDefault="000D337B" w:rsidP="000D337B">
            <w:pPr>
              <w:spacing w:line="252" w:lineRule="auto"/>
              <w:jc w:val="center"/>
            </w:pPr>
            <w:r>
              <w:t>3</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4ABA5A70" w14:textId="77777777" w:rsidR="000D337B" w:rsidRDefault="000D337B" w:rsidP="000D337B">
            <w:pPr>
              <w:spacing w:line="252" w:lineRule="auto"/>
              <w:jc w:val="center"/>
            </w:pPr>
            <w:r>
              <w:t>10/60</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6A2C4730" w14:textId="77777777" w:rsidR="000D337B" w:rsidRDefault="000D337B" w:rsidP="000D337B">
            <w:pPr>
              <w:spacing w:line="252" w:lineRule="auto"/>
            </w:pPr>
            <w:r>
              <w:t>400</w:t>
            </w:r>
          </w:p>
        </w:tc>
      </w:tr>
      <w:tr w:rsidR="00E84BBA" w14:paraId="031721F2" w14:textId="77777777" w:rsidTr="00E84BBA">
        <w:tc>
          <w:tcPr>
            <w:tcW w:w="0" w:type="auto"/>
            <w:tcBorders>
              <w:top w:val="nil"/>
              <w:left w:val="single" w:sz="8" w:space="0" w:color="auto"/>
              <w:bottom w:val="single" w:sz="8" w:space="0" w:color="auto"/>
              <w:right w:val="single" w:sz="8" w:space="0" w:color="auto"/>
            </w:tcBorders>
            <w:vAlign w:val="center"/>
          </w:tcPr>
          <w:p w14:paraId="62B7E721" w14:textId="77777777" w:rsidR="00E84BBA" w:rsidRDefault="00E84BBA" w:rsidP="00E84BBA">
            <w:pPr>
              <w:spacing w:line="252" w:lineRule="auto"/>
            </w:pPr>
            <w:r>
              <w:t>UCSF clinical staff</w:t>
            </w:r>
          </w:p>
          <w:p w14:paraId="14CA1E85" w14:textId="442ABDB9" w:rsidR="00E84BBA" w:rsidRDefault="00E84BBA" w:rsidP="00E84BBA">
            <w:pPr>
              <w:rPr>
                <w:rFonts w:eastAsiaTheme="minorHAnsi"/>
              </w:rPr>
            </w:pPr>
            <w:r>
              <w:t>(Pharmacists, nurses, physicians)</w:t>
            </w: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14:paraId="2901A16B" w14:textId="4322BBA0" w:rsidR="00E84BBA" w:rsidRDefault="00E84BBA" w:rsidP="00E84BBA">
            <w:pPr>
              <w:spacing w:line="252" w:lineRule="auto"/>
            </w:pPr>
            <w:r>
              <w:rPr>
                <w:color w:val="000000"/>
              </w:rPr>
              <w:t>Clinical Staff Evaluation Questionnaire</w:t>
            </w:r>
            <w:r>
              <w:t xml:space="preserve"> (Attachment E3)</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3E9A5C30" w14:textId="2684C477" w:rsidR="00E84BBA" w:rsidRDefault="00E84BBA" w:rsidP="00E84BBA">
            <w:pPr>
              <w:spacing w:line="252" w:lineRule="auto"/>
              <w:jc w:val="center"/>
            </w:pPr>
            <w:r>
              <w:t>50</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42CF80DE" w14:textId="4E71CCD1" w:rsidR="00E84BBA" w:rsidRDefault="00E84BBA" w:rsidP="00E84BBA">
            <w:pPr>
              <w:spacing w:line="252" w:lineRule="auto"/>
              <w:jc w:val="center"/>
            </w:pPr>
            <w:r>
              <w:t>1</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14:paraId="2D8F9FEA" w14:textId="7ECB419E" w:rsidR="00E84BBA" w:rsidRDefault="00E84BBA" w:rsidP="00E84BBA">
            <w:pPr>
              <w:spacing w:line="252" w:lineRule="auto"/>
              <w:jc w:val="center"/>
            </w:pPr>
            <w:r>
              <w:t>5/60</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9F6909F" w14:textId="56A1467B" w:rsidR="00E84BBA" w:rsidRDefault="00E84BBA" w:rsidP="00E84BBA">
            <w:pPr>
              <w:spacing w:line="252" w:lineRule="auto"/>
            </w:pPr>
            <w:r>
              <w:t>4</w:t>
            </w:r>
          </w:p>
        </w:tc>
      </w:tr>
      <w:tr w:rsidR="00E84BBA" w14:paraId="05D171E9" w14:textId="77777777" w:rsidTr="00E84BBA">
        <w:tc>
          <w:tcPr>
            <w:tcW w:w="0" w:type="auto"/>
            <w:tcBorders>
              <w:top w:val="nil"/>
              <w:left w:val="single" w:sz="8" w:space="0" w:color="auto"/>
              <w:bottom w:val="single" w:sz="8" w:space="0" w:color="auto"/>
              <w:right w:val="single" w:sz="8" w:space="0" w:color="auto"/>
            </w:tcBorders>
            <w:vAlign w:val="center"/>
          </w:tcPr>
          <w:p w14:paraId="44CE2625" w14:textId="1943EF55" w:rsidR="00E84BBA" w:rsidRDefault="00E84BBA" w:rsidP="00E84BBA">
            <w:pPr>
              <w:spacing w:line="252" w:lineRule="auto"/>
            </w:pPr>
            <w:r>
              <w:t>Primary care providers (PCP) associated with UCSF</w:t>
            </w:r>
            <w:r>
              <w:br/>
              <w:t>medical center</w:t>
            </w: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14:paraId="339A262B" w14:textId="7B4D8892" w:rsidR="00E84BBA" w:rsidRDefault="00E84BBA" w:rsidP="00E84BBA">
            <w:pPr>
              <w:spacing w:line="252" w:lineRule="auto"/>
              <w:rPr>
                <w:color w:val="000000"/>
              </w:rPr>
            </w:pPr>
            <w:r>
              <w:rPr>
                <w:color w:val="000000"/>
              </w:rPr>
              <w:t xml:space="preserve">PCP post discharge survey </w:t>
            </w:r>
            <w:r>
              <w:t>(Attachment E4)</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3BB71976" w14:textId="687D46D7" w:rsidR="00E84BBA" w:rsidRDefault="00E84BBA" w:rsidP="00E84BBA">
            <w:pPr>
              <w:spacing w:line="252" w:lineRule="auto"/>
              <w:jc w:val="center"/>
            </w:pPr>
            <w:r>
              <w:t>50</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7A589589" w14:textId="2913A569" w:rsidR="00E84BBA" w:rsidRDefault="00E84BBA" w:rsidP="00E84BBA">
            <w:pPr>
              <w:spacing w:line="252" w:lineRule="auto"/>
              <w:jc w:val="center"/>
            </w:pPr>
            <w:r>
              <w:t>1</w:t>
            </w:r>
          </w:p>
        </w:tc>
        <w:tc>
          <w:tcPr>
            <w:tcW w:w="1291" w:type="dxa"/>
            <w:tcBorders>
              <w:top w:val="nil"/>
              <w:left w:val="nil"/>
              <w:bottom w:val="single" w:sz="8" w:space="0" w:color="auto"/>
              <w:right w:val="single" w:sz="8" w:space="0" w:color="auto"/>
            </w:tcBorders>
            <w:tcMar>
              <w:top w:w="0" w:type="dxa"/>
              <w:left w:w="108" w:type="dxa"/>
              <w:bottom w:w="0" w:type="dxa"/>
              <w:right w:w="108" w:type="dxa"/>
            </w:tcMar>
          </w:tcPr>
          <w:p w14:paraId="336DA886" w14:textId="71BD77EC" w:rsidR="00E84BBA" w:rsidRDefault="00E84BBA" w:rsidP="00E84BBA">
            <w:pPr>
              <w:spacing w:line="252" w:lineRule="auto"/>
              <w:jc w:val="center"/>
            </w:pPr>
            <w:r>
              <w:t>5/60</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10E6EAFC" w14:textId="0CAE7D37" w:rsidR="00E84BBA" w:rsidRDefault="00E84BBA" w:rsidP="00E84BBA">
            <w:pPr>
              <w:spacing w:line="252" w:lineRule="auto"/>
            </w:pPr>
            <w:r>
              <w:t>4</w:t>
            </w:r>
          </w:p>
        </w:tc>
      </w:tr>
      <w:tr w:rsidR="00E84BBA" w14:paraId="3CB53A99" w14:textId="77777777" w:rsidTr="00E84BBA">
        <w:trPr>
          <w:trHeight w:val="332"/>
        </w:trPr>
        <w:tc>
          <w:tcPr>
            <w:tcW w:w="957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A7ED7" w14:textId="77777777" w:rsidR="00E84BBA" w:rsidRDefault="00E84BBA" w:rsidP="00E84BBA">
            <w:pPr>
              <w:spacing w:line="252" w:lineRule="auto"/>
              <w:jc w:val="center"/>
            </w:pPr>
            <w:bookmarkStart w:id="3" w:name="_Hlk22300092"/>
            <w:r>
              <w:t xml:space="preserve">Total annual burden hours </w:t>
            </w:r>
          </w:p>
          <w:p w14:paraId="4CB0D09A" w14:textId="77777777" w:rsidR="00E84BBA" w:rsidRDefault="00E84BBA" w:rsidP="00E84BBA">
            <w:pPr>
              <w:spacing w:line="252" w:lineRule="auto"/>
              <w:jc w:val="cente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63F7D43" w14:textId="086E6F7C" w:rsidR="00E84BBA" w:rsidRDefault="00E84BBA" w:rsidP="00E84BBA">
            <w:pPr>
              <w:spacing w:line="252" w:lineRule="auto"/>
            </w:pPr>
            <w:r>
              <w:t>541</w:t>
            </w:r>
          </w:p>
        </w:tc>
      </w:tr>
      <w:bookmarkEnd w:id="3"/>
    </w:tbl>
    <w:p w14:paraId="33056CDF" w14:textId="77777777" w:rsidR="005505A9" w:rsidRDefault="005505A9" w:rsidP="008D770A">
      <w:pPr>
        <w:spacing w:after="200" w:line="276" w:lineRule="auto"/>
        <w:contextualSpacing/>
        <w:rPr>
          <w:b/>
        </w:rPr>
      </w:pPr>
    </w:p>
    <w:p w14:paraId="451421C1" w14:textId="3EEA066E" w:rsidR="008D770A" w:rsidRDefault="008D770A" w:rsidP="008D770A">
      <w:pPr>
        <w:spacing w:after="200" w:line="276" w:lineRule="auto"/>
        <w:contextualSpacing/>
        <w:rPr>
          <w:b/>
        </w:rPr>
      </w:pPr>
      <w:r w:rsidRPr="00202FE2">
        <w:rPr>
          <w:b/>
        </w:rPr>
        <w:t xml:space="preserve">A.12.2. Estimated Annualized Respondent Burden Costs </w:t>
      </w:r>
    </w:p>
    <w:p w14:paraId="710018A1" w14:textId="77777777" w:rsidR="005505A9" w:rsidRDefault="005505A9" w:rsidP="008D770A"/>
    <w:p w14:paraId="660BADB2" w14:textId="20E0F89D" w:rsidR="008D770A" w:rsidRPr="00202FE2" w:rsidRDefault="008D770A" w:rsidP="008D770A">
      <w:r w:rsidRPr="00202FE2">
        <w:t xml:space="preserve">Participation in this study is voluntary, and there are no costs to patient respondents beyond the time spent completing the surveys. </w:t>
      </w:r>
      <w:r w:rsidR="00BA1900">
        <w:t>T</w:t>
      </w:r>
      <w:r w:rsidRPr="00202FE2">
        <w:t>he cost to respondents</w:t>
      </w:r>
      <w:r w:rsidR="00BA1900">
        <w:t xml:space="preserve"> was calculated using t</w:t>
      </w:r>
      <w:r w:rsidRPr="00202FE2">
        <w:t>he Social Security Administration</w:t>
      </w:r>
      <w:r w:rsidR="00BA1900">
        <w:t xml:space="preserve"> </w:t>
      </w:r>
      <w:r w:rsidRPr="00202FE2">
        <w:t xml:space="preserve">annual wage </w:t>
      </w:r>
      <w:r w:rsidR="00BA1900">
        <w:t xml:space="preserve">estimation. </w:t>
      </w:r>
    </w:p>
    <w:p w14:paraId="69138018" w14:textId="77777777" w:rsidR="008D770A" w:rsidRPr="00202FE2" w:rsidRDefault="008D770A" w:rsidP="008D770A"/>
    <w:p w14:paraId="51329377" w14:textId="413C7280" w:rsidR="00E84BBA" w:rsidRDefault="008D770A" w:rsidP="00853932">
      <w:pPr>
        <w:rPr>
          <w:b/>
          <w:i/>
        </w:rPr>
      </w:pPr>
      <w:r w:rsidRPr="00202FE2">
        <w:t>There is no cost to UCSF clinical providers (</w:t>
      </w:r>
      <w:r w:rsidR="00C816D7" w:rsidRPr="00202FE2">
        <w:t>nurses</w:t>
      </w:r>
      <w:r w:rsidRPr="00202FE2">
        <w:t xml:space="preserve">, pharmacists, physicians) or </w:t>
      </w:r>
      <w:r w:rsidR="0067228D" w:rsidRPr="00202FE2">
        <w:t xml:space="preserve">primary care providers </w:t>
      </w:r>
      <w:r w:rsidRPr="00202FE2">
        <w:t xml:space="preserve">beyond the time spent completing the surveys.  The hourly wage for clinical staff and providers is based on the </w:t>
      </w:r>
      <w:r w:rsidR="00BA1900">
        <w:t xml:space="preserve">2016 </w:t>
      </w:r>
      <w:r w:rsidRPr="00202FE2">
        <w:t>US Department of Labor, Bureau of Labor Statistics Labor Survey</w:t>
      </w:r>
      <w:r w:rsidR="00BA1900">
        <w:t xml:space="preserve">. </w:t>
      </w:r>
      <w:r w:rsidR="00420D12" w:rsidRPr="00E5333A">
        <w:rPr>
          <w:b/>
        </w:rPr>
        <w:t xml:space="preserve">Table </w:t>
      </w:r>
      <w:r w:rsidR="00A54268" w:rsidRPr="00E5333A">
        <w:rPr>
          <w:b/>
        </w:rPr>
        <w:t>A.</w:t>
      </w:r>
      <w:r w:rsidR="00E5333A" w:rsidRPr="00E5333A">
        <w:rPr>
          <w:b/>
        </w:rPr>
        <w:t>6</w:t>
      </w:r>
      <w:r w:rsidR="00420D12">
        <w:t xml:space="preserve"> shows the estimated annualized burden costs on patients and providers. </w:t>
      </w:r>
    </w:p>
    <w:p w14:paraId="498AC9C5" w14:textId="77777777" w:rsidR="00E84BBA" w:rsidRPr="00202FE2" w:rsidRDefault="00E84BBA" w:rsidP="008D770A">
      <w:pPr>
        <w:spacing w:after="200" w:line="276" w:lineRule="auto"/>
        <w:contextualSpacing/>
        <w:rPr>
          <w:b/>
          <w:i/>
        </w:rPr>
      </w:pPr>
    </w:p>
    <w:p w14:paraId="692C29D4" w14:textId="6B6546B5" w:rsidR="001E72BC" w:rsidRDefault="008D770A" w:rsidP="00710C5C">
      <w:pPr>
        <w:spacing w:after="160" w:line="259" w:lineRule="auto"/>
        <w:rPr>
          <w:b/>
        </w:rPr>
      </w:pPr>
      <w:r w:rsidRPr="00202FE2">
        <w:rPr>
          <w:b/>
        </w:rPr>
        <w:t xml:space="preserve">Table </w:t>
      </w:r>
      <w:r w:rsidR="00A54268">
        <w:rPr>
          <w:b/>
        </w:rPr>
        <w:t>A.</w:t>
      </w:r>
      <w:r w:rsidR="00E5333A">
        <w:rPr>
          <w:b/>
        </w:rPr>
        <w:t>6</w:t>
      </w:r>
      <w:r w:rsidRPr="00202FE2">
        <w:rPr>
          <w:b/>
        </w:rPr>
        <w:t xml:space="preserve"> Estimated Annualized Burden Cost</w:t>
      </w:r>
    </w:p>
    <w:tbl>
      <w:tblPr>
        <w:tblpPr w:leftFromText="180" w:rightFromText="180" w:vertAnchor="text" w:horzAnchor="margin" w:tblpY="66"/>
        <w:tblW w:w="1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2902"/>
        <w:gridCol w:w="1350"/>
        <w:gridCol w:w="1639"/>
        <w:gridCol w:w="1497"/>
        <w:gridCol w:w="1992"/>
      </w:tblGrid>
      <w:tr w:rsidR="00282AFF" w:rsidRPr="00202FE2" w14:paraId="3008DBF0" w14:textId="77777777" w:rsidTr="000B6927">
        <w:trPr>
          <w:trHeight w:val="777"/>
        </w:trPr>
        <w:tc>
          <w:tcPr>
            <w:tcW w:w="1773" w:type="dxa"/>
            <w:tcBorders>
              <w:top w:val="single" w:sz="4" w:space="0" w:color="auto"/>
              <w:left w:val="single" w:sz="4" w:space="0" w:color="auto"/>
              <w:bottom w:val="single" w:sz="4" w:space="0" w:color="auto"/>
              <w:right w:val="single" w:sz="4" w:space="0" w:color="auto"/>
            </w:tcBorders>
            <w:hideMark/>
          </w:tcPr>
          <w:p w14:paraId="1CC4CDC6" w14:textId="77777777" w:rsidR="00282AFF" w:rsidRPr="00710C5C" w:rsidRDefault="00282AFF" w:rsidP="00282AFF">
            <w:pPr>
              <w:ind w:hanging="18"/>
              <w:rPr>
                <w:sz w:val="22"/>
              </w:rPr>
            </w:pPr>
            <w:r w:rsidRPr="00710C5C">
              <w:rPr>
                <w:sz w:val="22"/>
              </w:rPr>
              <w:t>Type of Respondent</w:t>
            </w:r>
          </w:p>
        </w:tc>
        <w:tc>
          <w:tcPr>
            <w:tcW w:w="2902" w:type="dxa"/>
            <w:tcBorders>
              <w:top w:val="single" w:sz="4" w:space="0" w:color="auto"/>
              <w:left w:val="single" w:sz="4" w:space="0" w:color="auto"/>
              <w:bottom w:val="single" w:sz="4" w:space="0" w:color="auto"/>
              <w:right w:val="single" w:sz="4" w:space="0" w:color="auto"/>
            </w:tcBorders>
          </w:tcPr>
          <w:p w14:paraId="4516F927" w14:textId="77777777" w:rsidR="00282AFF" w:rsidRPr="00710C5C" w:rsidRDefault="00282AFF" w:rsidP="00282AFF">
            <w:pPr>
              <w:rPr>
                <w:sz w:val="22"/>
              </w:rPr>
            </w:pPr>
            <w:r w:rsidRPr="00710C5C">
              <w:rPr>
                <w:sz w:val="22"/>
              </w:rPr>
              <w:t>Form Name</w:t>
            </w:r>
          </w:p>
        </w:tc>
        <w:tc>
          <w:tcPr>
            <w:tcW w:w="1350" w:type="dxa"/>
            <w:tcBorders>
              <w:top w:val="single" w:sz="4" w:space="0" w:color="auto"/>
              <w:left w:val="single" w:sz="4" w:space="0" w:color="auto"/>
              <w:bottom w:val="single" w:sz="4" w:space="0" w:color="auto"/>
              <w:right w:val="single" w:sz="4" w:space="0" w:color="auto"/>
            </w:tcBorders>
            <w:hideMark/>
          </w:tcPr>
          <w:p w14:paraId="1D611554" w14:textId="77777777" w:rsidR="00282AFF" w:rsidRPr="00710C5C" w:rsidRDefault="00282AFF" w:rsidP="00282AFF">
            <w:pPr>
              <w:rPr>
                <w:sz w:val="22"/>
              </w:rPr>
            </w:pPr>
            <w:r w:rsidRPr="00710C5C">
              <w:rPr>
                <w:sz w:val="22"/>
              </w:rPr>
              <w:t>No. of Respondents</w:t>
            </w:r>
          </w:p>
        </w:tc>
        <w:tc>
          <w:tcPr>
            <w:tcW w:w="1639" w:type="dxa"/>
            <w:tcBorders>
              <w:top w:val="single" w:sz="4" w:space="0" w:color="auto"/>
              <w:left w:val="single" w:sz="4" w:space="0" w:color="auto"/>
              <w:bottom w:val="single" w:sz="4" w:space="0" w:color="auto"/>
              <w:right w:val="single" w:sz="4" w:space="0" w:color="auto"/>
            </w:tcBorders>
            <w:hideMark/>
          </w:tcPr>
          <w:p w14:paraId="307BE7EC" w14:textId="77777777" w:rsidR="00282AFF" w:rsidRPr="00710C5C" w:rsidRDefault="00282AFF" w:rsidP="00282AFF">
            <w:pPr>
              <w:rPr>
                <w:sz w:val="22"/>
              </w:rPr>
            </w:pPr>
            <w:r w:rsidRPr="00710C5C">
              <w:rPr>
                <w:sz w:val="22"/>
              </w:rPr>
              <w:t xml:space="preserve">Total Burden </w:t>
            </w:r>
          </w:p>
          <w:p w14:paraId="1C7D0940" w14:textId="77777777" w:rsidR="00282AFF" w:rsidRPr="00710C5C" w:rsidRDefault="00282AFF" w:rsidP="00282AFF">
            <w:pPr>
              <w:rPr>
                <w:sz w:val="22"/>
              </w:rPr>
            </w:pPr>
            <w:r w:rsidRPr="00710C5C">
              <w:rPr>
                <w:sz w:val="22"/>
              </w:rPr>
              <w:t>(in hours)</w:t>
            </w:r>
          </w:p>
        </w:tc>
        <w:tc>
          <w:tcPr>
            <w:tcW w:w="1497" w:type="dxa"/>
            <w:tcBorders>
              <w:top w:val="single" w:sz="4" w:space="0" w:color="auto"/>
              <w:left w:val="single" w:sz="4" w:space="0" w:color="auto"/>
              <w:bottom w:val="single" w:sz="4" w:space="0" w:color="auto"/>
              <w:right w:val="single" w:sz="4" w:space="0" w:color="auto"/>
            </w:tcBorders>
            <w:hideMark/>
          </w:tcPr>
          <w:p w14:paraId="03D89ECA" w14:textId="77777777" w:rsidR="00282AFF" w:rsidRPr="00710C5C" w:rsidRDefault="00282AFF" w:rsidP="00282AFF">
            <w:pPr>
              <w:rPr>
                <w:sz w:val="22"/>
              </w:rPr>
            </w:pPr>
            <w:r w:rsidRPr="00710C5C">
              <w:rPr>
                <w:sz w:val="22"/>
              </w:rPr>
              <w:t>Hourly Wage Rate (in dollars)</w:t>
            </w:r>
          </w:p>
        </w:tc>
        <w:tc>
          <w:tcPr>
            <w:tcW w:w="1992" w:type="dxa"/>
            <w:tcBorders>
              <w:top w:val="single" w:sz="4" w:space="0" w:color="auto"/>
              <w:left w:val="single" w:sz="4" w:space="0" w:color="auto"/>
              <w:bottom w:val="single" w:sz="4" w:space="0" w:color="auto"/>
              <w:right w:val="single" w:sz="4" w:space="0" w:color="auto"/>
            </w:tcBorders>
            <w:hideMark/>
          </w:tcPr>
          <w:p w14:paraId="28506A40" w14:textId="77777777" w:rsidR="00282AFF" w:rsidRPr="00710C5C" w:rsidRDefault="00282AFF" w:rsidP="00282AFF">
            <w:pPr>
              <w:rPr>
                <w:sz w:val="22"/>
              </w:rPr>
            </w:pPr>
            <w:r w:rsidRPr="00710C5C">
              <w:rPr>
                <w:sz w:val="22"/>
              </w:rPr>
              <w:t xml:space="preserve">Total Cost </w:t>
            </w:r>
          </w:p>
        </w:tc>
      </w:tr>
      <w:tr w:rsidR="000D337B" w:rsidRPr="00202FE2" w14:paraId="74623DB0" w14:textId="77777777" w:rsidTr="000B6927">
        <w:trPr>
          <w:trHeight w:val="785"/>
        </w:trPr>
        <w:tc>
          <w:tcPr>
            <w:tcW w:w="1773" w:type="dxa"/>
            <w:vMerge w:val="restart"/>
            <w:tcBorders>
              <w:left w:val="single" w:sz="4" w:space="0" w:color="auto"/>
              <w:right w:val="single" w:sz="4" w:space="0" w:color="auto"/>
            </w:tcBorders>
            <w:vAlign w:val="center"/>
          </w:tcPr>
          <w:p w14:paraId="12E5599A" w14:textId="77777777" w:rsidR="0084266C" w:rsidRPr="00710C5C" w:rsidRDefault="0084266C" w:rsidP="0084266C">
            <w:pPr>
              <w:spacing w:line="252" w:lineRule="auto"/>
              <w:rPr>
                <w:sz w:val="22"/>
              </w:rPr>
            </w:pPr>
            <w:r w:rsidRPr="00710C5C">
              <w:rPr>
                <w:sz w:val="22"/>
              </w:rPr>
              <w:t xml:space="preserve">Older adult Patients </w:t>
            </w:r>
          </w:p>
          <w:p w14:paraId="0CC1E002" w14:textId="77777777" w:rsidR="000D337B" w:rsidRPr="00710C5C" w:rsidRDefault="000D337B" w:rsidP="000D337B">
            <w:pPr>
              <w:ind w:hanging="18"/>
              <w:rPr>
                <w:sz w:val="22"/>
              </w:rPr>
            </w:pPr>
          </w:p>
        </w:tc>
        <w:tc>
          <w:tcPr>
            <w:tcW w:w="2902" w:type="dxa"/>
            <w:tcBorders>
              <w:top w:val="single" w:sz="4" w:space="0" w:color="auto"/>
              <w:left w:val="single" w:sz="4" w:space="0" w:color="auto"/>
              <w:bottom w:val="single" w:sz="4" w:space="0" w:color="auto"/>
              <w:right w:val="single" w:sz="4" w:space="0" w:color="auto"/>
            </w:tcBorders>
          </w:tcPr>
          <w:p w14:paraId="04BB6560" w14:textId="66C9720F" w:rsidR="000D337B" w:rsidRPr="00710C5C" w:rsidRDefault="000D337B" w:rsidP="000D337B">
            <w:pPr>
              <w:rPr>
                <w:sz w:val="22"/>
              </w:rPr>
            </w:pPr>
            <w:r w:rsidRPr="00710C5C">
              <w:rPr>
                <w:sz w:val="22"/>
              </w:rPr>
              <w:t>Pre-discharge Patient Questionnaire (Attachment E1)</w:t>
            </w:r>
          </w:p>
        </w:tc>
        <w:tc>
          <w:tcPr>
            <w:tcW w:w="1350" w:type="dxa"/>
            <w:tcBorders>
              <w:top w:val="single" w:sz="4" w:space="0" w:color="auto"/>
              <w:left w:val="single" w:sz="4" w:space="0" w:color="auto"/>
              <w:bottom w:val="single" w:sz="4" w:space="0" w:color="auto"/>
              <w:right w:val="single" w:sz="4" w:space="0" w:color="auto"/>
            </w:tcBorders>
          </w:tcPr>
          <w:p w14:paraId="242CD3A4" w14:textId="77777777" w:rsidR="000D337B" w:rsidRPr="00710C5C" w:rsidRDefault="000D337B" w:rsidP="000D337B">
            <w:pPr>
              <w:jc w:val="center"/>
              <w:rPr>
                <w:sz w:val="22"/>
              </w:rPr>
            </w:pPr>
            <w:r w:rsidRPr="00710C5C">
              <w:rPr>
                <w:sz w:val="22"/>
              </w:rPr>
              <w:t>800</w:t>
            </w:r>
          </w:p>
        </w:tc>
        <w:tc>
          <w:tcPr>
            <w:tcW w:w="1639" w:type="dxa"/>
            <w:tcBorders>
              <w:top w:val="single" w:sz="4" w:space="0" w:color="auto"/>
              <w:left w:val="single" w:sz="4" w:space="0" w:color="auto"/>
              <w:bottom w:val="single" w:sz="4" w:space="0" w:color="auto"/>
              <w:right w:val="single" w:sz="4" w:space="0" w:color="auto"/>
            </w:tcBorders>
          </w:tcPr>
          <w:p w14:paraId="66C00428" w14:textId="2061E7BA" w:rsidR="000D337B" w:rsidRPr="00710C5C" w:rsidRDefault="000D337B" w:rsidP="000D337B">
            <w:pPr>
              <w:jc w:val="center"/>
              <w:rPr>
                <w:sz w:val="22"/>
              </w:rPr>
            </w:pPr>
            <w:r w:rsidRPr="00710C5C">
              <w:rPr>
                <w:sz w:val="22"/>
              </w:rPr>
              <w:t>133</w:t>
            </w:r>
          </w:p>
        </w:tc>
        <w:tc>
          <w:tcPr>
            <w:tcW w:w="1497" w:type="dxa"/>
            <w:tcBorders>
              <w:top w:val="single" w:sz="4" w:space="0" w:color="auto"/>
              <w:left w:val="single" w:sz="4" w:space="0" w:color="auto"/>
              <w:bottom w:val="single" w:sz="4" w:space="0" w:color="auto"/>
              <w:right w:val="single" w:sz="4" w:space="0" w:color="auto"/>
            </w:tcBorders>
          </w:tcPr>
          <w:p w14:paraId="6F6C5A9B" w14:textId="77777777" w:rsidR="000D337B" w:rsidRPr="00710C5C" w:rsidRDefault="000D337B" w:rsidP="000D337B">
            <w:pPr>
              <w:jc w:val="center"/>
              <w:rPr>
                <w:sz w:val="22"/>
              </w:rPr>
            </w:pPr>
            <w:r w:rsidRPr="00710C5C">
              <w:rPr>
                <w:sz w:val="22"/>
              </w:rPr>
              <w:t>$23.39</w:t>
            </w:r>
          </w:p>
        </w:tc>
        <w:tc>
          <w:tcPr>
            <w:tcW w:w="1992" w:type="dxa"/>
            <w:tcBorders>
              <w:top w:val="single" w:sz="4" w:space="0" w:color="auto"/>
              <w:left w:val="single" w:sz="4" w:space="0" w:color="auto"/>
              <w:bottom w:val="single" w:sz="4" w:space="0" w:color="auto"/>
              <w:right w:val="single" w:sz="4" w:space="0" w:color="auto"/>
            </w:tcBorders>
          </w:tcPr>
          <w:p w14:paraId="2ADCD19D" w14:textId="0DAA6560" w:rsidR="000D337B" w:rsidRPr="00710C5C" w:rsidRDefault="000D337B" w:rsidP="000D337B">
            <w:pPr>
              <w:jc w:val="center"/>
              <w:rPr>
                <w:sz w:val="22"/>
              </w:rPr>
            </w:pPr>
            <w:r w:rsidRPr="00710C5C">
              <w:rPr>
                <w:sz w:val="22"/>
              </w:rPr>
              <w:t>$3,110.87</w:t>
            </w:r>
          </w:p>
        </w:tc>
      </w:tr>
      <w:tr w:rsidR="000D337B" w:rsidRPr="00202FE2" w14:paraId="4E3C2692" w14:textId="77777777" w:rsidTr="000B6927">
        <w:trPr>
          <w:trHeight w:val="803"/>
        </w:trPr>
        <w:tc>
          <w:tcPr>
            <w:tcW w:w="1773" w:type="dxa"/>
            <w:vMerge/>
            <w:tcBorders>
              <w:left w:val="single" w:sz="4" w:space="0" w:color="auto"/>
              <w:bottom w:val="single" w:sz="4" w:space="0" w:color="auto"/>
              <w:right w:val="single" w:sz="4" w:space="0" w:color="auto"/>
            </w:tcBorders>
            <w:vAlign w:val="center"/>
          </w:tcPr>
          <w:p w14:paraId="77E577FA" w14:textId="77777777" w:rsidR="000D337B" w:rsidRPr="00710C5C" w:rsidRDefault="000D337B" w:rsidP="000D337B">
            <w:pPr>
              <w:ind w:hanging="18"/>
              <w:rPr>
                <w:sz w:val="22"/>
              </w:rPr>
            </w:pPr>
          </w:p>
        </w:tc>
        <w:tc>
          <w:tcPr>
            <w:tcW w:w="2902" w:type="dxa"/>
            <w:tcBorders>
              <w:top w:val="single" w:sz="4" w:space="0" w:color="auto"/>
              <w:left w:val="single" w:sz="4" w:space="0" w:color="auto"/>
              <w:bottom w:val="single" w:sz="4" w:space="0" w:color="auto"/>
              <w:right w:val="single" w:sz="4" w:space="0" w:color="auto"/>
            </w:tcBorders>
          </w:tcPr>
          <w:p w14:paraId="3938B984" w14:textId="35DB8F2C" w:rsidR="000D337B" w:rsidRPr="00710C5C" w:rsidRDefault="000D337B" w:rsidP="000D337B">
            <w:pPr>
              <w:rPr>
                <w:sz w:val="22"/>
              </w:rPr>
            </w:pPr>
            <w:r w:rsidRPr="00710C5C">
              <w:rPr>
                <w:sz w:val="22"/>
              </w:rPr>
              <w:t xml:space="preserve">Post-discharge Patient Questionnaire </w:t>
            </w:r>
            <w:r w:rsidR="0084266C">
              <w:rPr>
                <w:sz w:val="22"/>
              </w:rPr>
              <w:br/>
            </w:r>
            <w:r w:rsidRPr="00710C5C">
              <w:rPr>
                <w:sz w:val="22"/>
              </w:rPr>
              <w:t>(Attachment E2)</w:t>
            </w:r>
          </w:p>
        </w:tc>
        <w:tc>
          <w:tcPr>
            <w:tcW w:w="1350" w:type="dxa"/>
            <w:tcBorders>
              <w:top w:val="single" w:sz="4" w:space="0" w:color="auto"/>
              <w:left w:val="single" w:sz="4" w:space="0" w:color="auto"/>
              <w:bottom w:val="single" w:sz="4" w:space="0" w:color="auto"/>
              <w:right w:val="single" w:sz="4" w:space="0" w:color="auto"/>
            </w:tcBorders>
          </w:tcPr>
          <w:p w14:paraId="5031D4FE" w14:textId="77777777" w:rsidR="000D337B" w:rsidRPr="00710C5C" w:rsidRDefault="000D337B" w:rsidP="000D337B">
            <w:pPr>
              <w:jc w:val="center"/>
              <w:rPr>
                <w:sz w:val="22"/>
              </w:rPr>
            </w:pPr>
            <w:r w:rsidRPr="00710C5C">
              <w:rPr>
                <w:sz w:val="22"/>
              </w:rPr>
              <w:t>800</w:t>
            </w:r>
          </w:p>
        </w:tc>
        <w:tc>
          <w:tcPr>
            <w:tcW w:w="1639" w:type="dxa"/>
            <w:tcBorders>
              <w:top w:val="single" w:sz="4" w:space="0" w:color="auto"/>
              <w:left w:val="single" w:sz="4" w:space="0" w:color="auto"/>
              <w:bottom w:val="single" w:sz="4" w:space="0" w:color="auto"/>
              <w:right w:val="single" w:sz="4" w:space="0" w:color="auto"/>
            </w:tcBorders>
          </w:tcPr>
          <w:p w14:paraId="22C4FE86" w14:textId="77777777" w:rsidR="000D337B" w:rsidRPr="00710C5C" w:rsidRDefault="000D337B" w:rsidP="000D337B">
            <w:pPr>
              <w:jc w:val="center"/>
              <w:rPr>
                <w:sz w:val="22"/>
              </w:rPr>
            </w:pPr>
            <w:r w:rsidRPr="00710C5C">
              <w:rPr>
                <w:sz w:val="22"/>
              </w:rPr>
              <w:t>400</w:t>
            </w:r>
          </w:p>
        </w:tc>
        <w:tc>
          <w:tcPr>
            <w:tcW w:w="1497" w:type="dxa"/>
            <w:tcBorders>
              <w:top w:val="single" w:sz="4" w:space="0" w:color="auto"/>
              <w:left w:val="single" w:sz="4" w:space="0" w:color="auto"/>
              <w:bottom w:val="single" w:sz="4" w:space="0" w:color="auto"/>
              <w:right w:val="single" w:sz="4" w:space="0" w:color="auto"/>
            </w:tcBorders>
          </w:tcPr>
          <w:p w14:paraId="7A6523E2" w14:textId="77777777" w:rsidR="000D337B" w:rsidRPr="00710C5C" w:rsidRDefault="000D337B" w:rsidP="000D337B">
            <w:pPr>
              <w:jc w:val="center"/>
              <w:rPr>
                <w:sz w:val="22"/>
              </w:rPr>
            </w:pPr>
            <w:r w:rsidRPr="00710C5C">
              <w:rPr>
                <w:sz w:val="22"/>
              </w:rPr>
              <w:t>$23.39</w:t>
            </w:r>
          </w:p>
        </w:tc>
        <w:tc>
          <w:tcPr>
            <w:tcW w:w="1992" w:type="dxa"/>
            <w:tcBorders>
              <w:top w:val="single" w:sz="4" w:space="0" w:color="auto"/>
              <w:left w:val="single" w:sz="4" w:space="0" w:color="auto"/>
              <w:bottom w:val="single" w:sz="4" w:space="0" w:color="auto"/>
              <w:right w:val="single" w:sz="4" w:space="0" w:color="auto"/>
            </w:tcBorders>
          </w:tcPr>
          <w:p w14:paraId="151E80B4" w14:textId="77777777" w:rsidR="000D337B" w:rsidRPr="00710C5C" w:rsidRDefault="000D337B" w:rsidP="000D337B">
            <w:pPr>
              <w:jc w:val="center"/>
              <w:rPr>
                <w:sz w:val="22"/>
              </w:rPr>
            </w:pPr>
            <w:r w:rsidRPr="00710C5C">
              <w:rPr>
                <w:sz w:val="22"/>
              </w:rPr>
              <w:t>$9,356</w:t>
            </w:r>
          </w:p>
        </w:tc>
      </w:tr>
      <w:tr w:rsidR="00E84BBA" w:rsidRPr="00202FE2" w14:paraId="41901097" w14:textId="77777777" w:rsidTr="000B6927">
        <w:trPr>
          <w:trHeight w:val="803"/>
        </w:trPr>
        <w:tc>
          <w:tcPr>
            <w:tcW w:w="1773" w:type="dxa"/>
            <w:tcBorders>
              <w:left w:val="single" w:sz="4" w:space="0" w:color="auto"/>
              <w:bottom w:val="single" w:sz="4" w:space="0" w:color="auto"/>
              <w:right w:val="single" w:sz="4" w:space="0" w:color="auto"/>
            </w:tcBorders>
            <w:vAlign w:val="center"/>
          </w:tcPr>
          <w:p w14:paraId="43CFAC3C" w14:textId="77777777" w:rsidR="00E84BBA" w:rsidRPr="00710C5C" w:rsidRDefault="00E84BBA" w:rsidP="00E84BBA">
            <w:pPr>
              <w:spacing w:line="252" w:lineRule="auto"/>
              <w:rPr>
                <w:sz w:val="22"/>
              </w:rPr>
            </w:pPr>
            <w:r w:rsidRPr="00710C5C">
              <w:rPr>
                <w:sz w:val="22"/>
              </w:rPr>
              <w:t>UCSF clinical staff</w:t>
            </w:r>
          </w:p>
          <w:p w14:paraId="161C1C27" w14:textId="110F5570" w:rsidR="00E84BBA" w:rsidRPr="00710C5C" w:rsidRDefault="00E84BBA" w:rsidP="00E84BBA">
            <w:pPr>
              <w:ind w:hanging="18"/>
              <w:rPr>
                <w:sz w:val="22"/>
              </w:rPr>
            </w:pPr>
            <w:r w:rsidRPr="00710C5C">
              <w:rPr>
                <w:sz w:val="22"/>
              </w:rPr>
              <w:t>(Pharmacists, nurses, physicians)</w:t>
            </w:r>
          </w:p>
        </w:tc>
        <w:tc>
          <w:tcPr>
            <w:tcW w:w="2902" w:type="dxa"/>
            <w:tcBorders>
              <w:top w:val="single" w:sz="4" w:space="0" w:color="auto"/>
              <w:left w:val="single" w:sz="4" w:space="0" w:color="auto"/>
              <w:bottom w:val="single" w:sz="4" w:space="0" w:color="auto"/>
              <w:right w:val="single" w:sz="4" w:space="0" w:color="auto"/>
            </w:tcBorders>
          </w:tcPr>
          <w:p w14:paraId="4F70B22C" w14:textId="382C1E47" w:rsidR="00E84BBA" w:rsidRPr="00710C5C" w:rsidRDefault="00E84BBA" w:rsidP="00E84BBA">
            <w:pPr>
              <w:rPr>
                <w:sz w:val="22"/>
              </w:rPr>
            </w:pPr>
            <w:r w:rsidRPr="00710C5C">
              <w:rPr>
                <w:color w:val="000000"/>
                <w:sz w:val="22"/>
              </w:rPr>
              <w:t>Clinical Staff Evaluation Questionnaire</w:t>
            </w:r>
            <w:r>
              <w:rPr>
                <w:color w:val="000000"/>
                <w:sz w:val="22"/>
              </w:rPr>
              <w:br/>
            </w:r>
            <w:r w:rsidRPr="00710C5C">
              <w:rPr>
                <w:sz w:val="22"/>
              </w:rPr>
              <w:t>(Attachment E3)</w:t>
            </w:r>
          </w:p>
        </w:tc>
        <w:tc>
          <w:tcPr>
            <w:tcW w:w="1350" w:type="dxa"/>
            <w:tcBorders>
              <w:top w:val="single" w:sz="4" w:space="0" w:color="auto"/>
              <w:left w:val="single" w:sz="4" w:space="0" w:color="auto"/>
              <w:bottom w:val="single" w:sz="4" w:space="0" w:color="auto"/>
              <w:right w:val="single" w:sz="4" w:space="0" w:color="auto"/>
            </w:tcBorders>
          </w:tcPr>
          <w:p w14:paraId="3170300E" w14:textId="0F9257CC" w:rsidR="00E84BBA" w:rsidRPr="00710C5C" w:rsidRDefault="00E84BBA" w:rsidP="00E84BBA">
            <w:pPr>
              <w:jc w:val="center"/>
              <w:rPr>
                <w:sz w:val="22"/>
              </w:rPr>
            </w:pPr>
            <w:r w:rsidRPr="00710C5C">
              <w:rPr>
                <w:sz w:val="22"/>
              </w:rPr>
              <w:t>50</w:t>
            </w:r>
          </w:p>
        </w:tc>
        <w:tc>
          <w:tcPr>
            <w:tcW w:w="1639" w:type="dxa"/>
            <w:tcBorders>
              <w:top w:val="single" w:sz="4" w:space="0" w:color="auto"/>
              <w:left w:val="single" w:sz="4" w:space="0" w:color="auto"/>
              <w:bottom w:val="single" w:sz="4" w:space="0" w:color="auto"/>
              <w:right w:val="single" w:sz="4" w:space="0" w:color="auto"/>
            </w:tcBorders>
          </w:tcPr>
          <w:p w14:paraId="37F05C68" w14:textId="7C3EE3F4" w:rsidR="00E84BBA" w:rsidRPr="00710C5C" w:rsidRDefault="00E84BBA" w:rsidP="00E84BBA">
            <w:pPr>
              <w:jc w:val="center"/>
              <w:rPr>
                <w:sz w:val="22"/>
              </w:rPr>
            </w:pPr>
            <w:r w:rsidRPr="00710C5C">
              <w:rPr>
                <w:sz w:val="22"/>
              </w:rPr>
              <w:t>4</w:t>
            </w:r>
          </w:p>
        </w:tc>
        <w:tc>
          <w:tcPr>
            <w:tcW w:w="1497" w:type="dxa"/>
            <w:tcBorders>
              <w:top w:val="single" w:sz="4" w:space="0" w:color="auto"/>
              <w:left w:val="single" w:sz="4" w:space="0" w:color="auto"/>
              <w:bottom w:val="single" w:sz="4" w:space="0" w:color="auto"/>
              <w:right w:val="single" w:sz="4" w:space="0" w:color="auto"/>
            </w:tcBorders>
          </w:tcPr>
          <w:p w14:paraId="1B15DB06" w14:textId="13BC0659" w:rsidR="00E84BBA" w:rsidRPr="00710C5C" w:rsidRDefault="00E84BBA" w:rsidP="00E84BBA">
            <w:pPr>
              <w:jc w:val="center"/>
              <w:rPr>
                <w:sz w:val="22"/>
              </w:rPr>
            </w:pPr>
            <w:r w:rsidRPr="00710C5C">
              <w:rPr>
                <w:sz w:val="22"/>
              </w:rPr>
              <w:t>$64.10</w:t>
            </w:r>
          </w:p>
        </w:tc>
        <w:tc>
          <w:tcPr>
            <w:tcW w:w="1992" w:type="dxa"/>
            <w:tcBorders>
              <w:top w:val="single" w:sz="4" w:space="0" w:color="auto"/>
              <w:left w:val="single" w:sz="4" w:space="0" w:color="auto"/>
              <w:bottom w:val="single" w:sz="4" w:space="0" w:color="auto"/>
              <w:right w:val="single" w:sz="4" w:space="0" w:color="auto"/>
            </w:tcBorders>
          </w:tcPr>
          <w:p w14:paraId="30803578" w14:textId="2F4C3DCE" w:rsidR="00E84BBA" w:rsidRPr="00710C5C" w:rsidRDefault="00E84BBA" w:rsidP="00E84BBA">
            <w:pPr>
              <w:jc w:val="center"/>
              <w:rPr>
                <w:sz w:val="22"/>
              </w:rPr>
            </w:pPr>
            <w:r w:rsidRPr="00710C5C">
              <w:rPr>
                <w:sz w:val="22"/>
              </w:rPr>
              <w:t>$256.4</w:t>
            </w:r>
          </w:p>
        </w:tc>
      </w:tr>
      <w:tr w:rsidR="00E84BBA" w:rsidRPr="00202FE2" w14:paraId="72EFF484" w14:textId="77777777" w:rsidTr="000B6927">
        <w:trPr>
          <w:trHeight w:val="803"/>
        </w:trPr>
        <w:tc>
          <w:tcPr>
            <w:tcW w:w="1773" w:type="dxa"/>
            <w:tcBorders>
              <w:left w:val="single" w:sz="4" w:space="0" w:color="auto"/>
              <w:bottom w:val="single" w:sz="4" w:space="0" w:color="auto"/>
              <w:right w:val="single" w:sz="4" w:space="0" w:color="auto"/>
            </w:tcBorders>
            <w:vAlign w:val="center"/>
          </w:tcPr>
          <w:p w14:paraId="57449E1F" w14:textId="7DF65B15" w:rsidR="00E84BBA" w:rsidRPr="00710C5C" w:rsidRDefault="00E84BBA" w:rsidP="00E84BBA">
            <w:pPr>
              <w:spacing w:line="252" w:lineRule="auto"/>
              <w:rPr>
                <w:sz w:val="22"/>
              </w:rPr>
            </w:pPr>
            <w:r w:rsidRPr="00710C5C">
              <w:rPr>
                <w:sz w:val="22"/>
              </w:rPr>
              <w:t>Primary care providers (PCP) associated with UCSF medical center</w:t>
            </w:r>
          </w:p>
        </w:tc>
        <w:tc>
          <w:tcPr>
            <w:tcW w:w="2902" w:type="dxa"/>
            <w:tcBorders>
              <w:top w:val="single" w:sz="4" w:space="0" w:color="auto"/>
              <w:left w:val="single" w:sz="4" w:space="0" w:color="auto"/>
              <w:bottom w:val="single" w:sz="4" w:space="0" w:color="auto"/>
              <w:right w:val="single" w:sz="4" w:space="0" w:color="auto"/>
            </w:tcBorders>
          </w:tcPr>
          <w:p w14:paraId="7E72F37C" w14:textId="66AC6EAB" w:rsidR="00E84BBA" w:rsidRPr="00710C5C" w:rsidRDefault="00E84BBA" w:rsidP="00E84BBA">
            <w:pPr>
              <w:rPr>
                <w:color w:val="000000"/>
                <w:sz w:val="22"/>
              </w:rPr>
            </w:pPr>
            <w:r w:rsidRPr="00710C5C">
              <w:rPr>
                <w:color w:val="000000"/>
                <w:sz w:val="22"/>
              </w:rPr>
              <w:t xml:space="preserve">PCP post-discharge questionnaire </w:t>
            </w:r>
            <w:r>
              <w:rPr>
                <w:color w:val="000000"/>
                <w:sz w:val="22"/>
              </w:rPr>
              <w:br/>
            </w:r>
            <w:r>
              <w:rPr>
                <w:sz w:val="22"/>
              </w:rPr>
              <w:t>(Attachment E4</w:t>
            </w:r>
            <w:r w:rsidRPr="00710C5C">
              <w:rPr>
                <w:sz w:val="22"/>
              </w:rPr>
              <w:t>)</w:t>
            </w:r>
          </w:p>
        </w:tc>
        <w:tc>
          <w:tcPr>
            <w:tcW w:w="1350" w:type="dxa"/>
            <w:tcBorders>
              <w:top w:val="single" w:sz="4" w:space="0" w:color="auto"/>
              <w:left w:val="single" w:sz="4" w:space="0" w:color="auto"/>
              <w:bottom w:val="single" w:sz="4" w:space="0" w:color="auto"/>
              <w:right w:val="single" w:sz="4" w:space="0" w:color="auto"/>
            </w:tcBorders>
          </w:tcPr>
          <w:p w14:paraId="1AF3CF4A" w14:textId="001E7DFA" w:rsidR="00E84BBA" w:rsidRPr="00710C5C" w:rsidRDefault="00E84BBA" w:rsidP="00E84BBA">
            <w:pPr>
              <w:jc w:val="center"/>
              <w:rPr>
                <w:sz w:val="22"/>
              </w:rPr>
            </w:pPr>
            <w:r w:rsidRPr="00710C5C">
              <w:rPr>
                <w:sz w:val="22"/>
              </w:rPr>
              <w:t>50</w:t>
            </w:r>
          </w:p>
        </w:tc>
        <w:tc>
          <w:tcPr>
            <w:tcW w:w="1639" w:type="dxa"/>
            <w:tcBorders>
              <w:top w:val="single" w:sz="4" w:space="0" w:color="auto"/>
              <w:left w:val="single" w:sz="4" w:space="0" w:color="auto"/>
              <w:bottom w:val="single" w:sz="4" w:space="0" w:color="auto"/>
              <w:right w:val="single" w:sz="4" w:space="0" w:color="auto"/>
            </w:tcBorders>
          </w:tcPr>
          <w:p w14:paraId="16640B73" w14:textId="2CD389DB" w:rsidR="00E84BBA" w:rsidRPr="00710C5C" w:rsidRDefault="00E84BBA" w:rsidP="00E84BBA">
            <w:pPr>
              <w:jc w:val="center"/>
              <w:rPr>
                <w:sz w:val="22"/>
              </w:rPr>
            </w:pPr>
            <w:r w:rsidRPr="00710C5C">
              <w:rPr>
                <w:sz w:val="22"/>
              </w:rPr>
              <w:t>4</w:t>
            </w:r>
          </w:p>
        </w:tc>
        <w:tc>
          <w:tcPr>
            <w:tcW w:w="1497" w:type="dxa"/>
            <w:tcBorders>
              <w:top w:val="single" w:sz="4" w:space="0" w:color="auto"/>
              <w:left w:val="single" w:sz="4" w:space="0" w:color="auto"/>
              <w:bottom w:val="single" w:sz="4" w:space="0" w:color="auto"/>
              <w:right w:val="single" w:sz="4" w:space="0" w:color="auto"/>
            </w:tcBorders>
          </w:tcPr>
          <w:p w14:paraId="1717EBC9" w14:textId="4A5C6C94" w:rsidR="00E84BBA" w:rsidRPr="00710C5C" w:rsidRDefault="00E84BBA" w:rsidP="00E84BBA">
            <w:pPr>
              <w:jc w:val="center"/>
              <w:rPr>
                <w:sz w:val="22"/>
              </w:rPr>
            </w:pPr>
            <w:r w:rsidRPr="00710C5C">
              <w:rPr>
                <w:sz w:val="22"/>
              </w:rPr>
              <w:t>$64.10</w:t>
            </w:r>
          </w:p>
        </w:tc>
        <w:tc>
          <w:tcPr>
            <w:tcW w:w="1992" w:type="dxa"/>
            <w:tcBorders>
              <w:top w:val="single" w:sz="4" w:space="0" w:color="auto"/>
              <w:left w:val="single" w:sz="4" w:space="0" w:color="auto"/>
              <w:bottom w:val="single" w:sz="4" w:space="0" w:color="auto"/>
              <w:right w:val="single" w:sz="4" w:space="0" w:color="auto"/>
            </w:tcBorders>
          </w:tcPr>
          <w:p w14:paraId="0BBD298E" w14:textId="56BE3FB5" w:rsidR="00E84BBA" w:rsidRPr="00710C5C" w:rsidRDefault="00E84BBA" w:rsidP="00E84BBA">
            <w:pPr>
              <w:jc w:val="center"/>
              <w:rPr>
                <w:sz w:val="22"/>
              </w:rPr>
            </w:pPr>
            <w:r w:rsidRPr="00710C5C">
              <w:rPr>
                <w:sz w:val="22"/>
              </w:rPr>
              <w:t>$256.4</w:t>
            </w:r>
          </w:p>
        </w:tc>
      </w:tr>
      <w:tr w:rsidR="00E84BBA" w:rsidRPr="00202FE2" w14:paraId="6E59584D" w14:textId="77777777" w:rsidTr="000D337B">
        <w:trPr>
          <w:trHeight w:val="507"/>
        </w:trPr>
        <w:tc>
          <w:tcPr>
            <w:tcW w:w="9161" w:type="dxa"/>
            <w:gridSpan w:val="5"/>
            <w:tcBorders>
              <w:left w:val="single" w:sz="4" w:space="0" w:color="auto"/>
              <w:bottom w:val="single" w:sz="4" w:space="0" w:color="auto"/>
              <w:right w:val="single" w:sz="4" w:space="0" w:color="auto"/>
            </w:tcBorders>
          </w:tcPr>
          <w:p w14:paraId="73164B7D" w14:textId="77777777" w:rsidR="00E84BBA" w:rsidRPr="00710C5C" w:rsidRDefault="00E84BBA" w:rsidP="00E84BBA">
            <w:pPr>
              <w:jc w:val="center"/>
              <w:rPr>
                <w:sz w:val="22"/>
              </w:rPr>
            </w:pPr>
            <w:r w:rsidRPr="00710C5C">
              <w:rPr>
                <w:sz w:val="22"/>
              </w:rPr>
              <w:t>Total</w:t>
            </w:r>
          </w:p>
        </w:tc>
        <w:tc>
          <w:tcPr>
            <w:tcW w:w="1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5AE03D" w14:textId="618CEFFE" w:rsidR="00E84BBA" w:rsidRPr="00710C5C" w:rsidRDefault="00E84BBA" w:rsidP="00E84BBA">
            <w:pPr>
              <w:jc w:val="center"/>
              <w:rPr>
                <w:sz w:val="22"/>
              </w:rPr>
            </w:pPr>
            <w:r w:rsidRPr="00710C5C">
              <w:rPr>
                <w:sz w:val="22"/>
              </w:rPr>
              <w:t>$</w:t>
            </w:r>
            <w:r>
              <w:rPr>
                <w:sz w:val="22"/>
              </w:rPr>
              <w:t>12,979.67</w:t>
            </w:r>
          </w:p>
        </w:tc>
      </w:tr>
    </w:tbl>
    <w:p w14:paraId="0A9E5DCB" w14:textId="77777777" w:rsidR="00710C5C" w:rsidRDefault="00710C5C" w:rsidP="008D770A">
      <w:pPr>
        <w:rPr>
          <w:b/>
        </w:rPr>
      </w:pPr>
    </w:p>
    <w:p w14:paraId="3F4158E9" w14:textId="713B4A4D" w:rsidR="008D770A" w:rsidRPr="00202FE2" w:rsidRDefault="000D337B" w:rsidP="008D770A">
      <w:pPr>
        <w:rPr>
          <w:b/>
        </w:rPr>
      </w:pPr>
      <w:r>
        <w:rPr>
          <w:b/>
        </w:rPr>
        <w:t>A</w:t>
      </w:r>
      <w:r w:rsidR="008D770A" w:rsidRPr="00202FE2">
        <w:rPr>
          <w:b/>
        </w:rPr>
        <w:t xml:space="preserve">.13. </w:t>
      </w:r>
      <w:r w:rsidR="008D770A" w:rsidRPr="00202FE2">
        <w:rPr>
          <w:b/>
        </w:rPr>
        <w:tab/>
        <w:t>Estimates of Other Total Annual Cost Burden to Respondents or Record Keepers</w:t>
      </w:r>
    </w:p>
    <w:p w14:paraId="48FCC733" w14:textId="77777777" w:rsidR="008D770A" w:rsidRPr="00202FE2" w:rsidRDefault="008D770A" w:rsidP="008D770A">
      <w:pPr>
        <w:rPr>
          <w:b/>
        </w:rPr>
      </w:pPr>
    </w:p>
    <w:p w14:paraId="2472C03A" w14:textId="27532DC6" w:rsidR="008D770A" w:rsidRPr="00202FE2" w:rsidRDefault="008D770A" w:rsidP="008D770A">
      <w:pPr>
        <w:autoSpaceDE w:val="0"/>
        <w:autoSpaceDN w:val="0"/>
        <w:adjustRightInd w:val="0"/>
      </w:pPr>
      <w:r w:rsidRPr="00202FE2">
        <w:t xml:space="preserve">No capital </w:t>
      </w:r>
      <w:r w:rsidRPr="00202FE2">
        <w:rPr>
          <w:color w:val="000000" w:themeColor="text1"/>
        </w:rPr>
        <w:t>or maintenance costs are expected.</w:t>
      </w:r>
      <w:r w:rsidRPr="00202FE2">
        <w:t xml:space="preserve">  Additionally, there are no start-up, hardware, or software costs.   No incentives will be given for participating in the survey.</w:t>
      </w:r>
    </w:p>
    <w:p w14:paraId="61453C99" w14:textId="77777777" w:rsidR="008D770A" w:rsidRPr="00202FE2" w:rsidRDefault="008D770A" w:rsidP="008D770A">
      <w:pPr>
        <w:autoSpaceDE w:val="0"/>
        <w:autoSpaceDN w:val="0"/>
        <w:adjustRightInd w:val="0"/>
        <w:rPr>
          <w:b/>
          <w:bCs/>
        </w:rPr>
      </w:pPr>
    </w:p>
    <w:p w14:paraId="2CA4D642" w14:textId="77777777" w:rsidR="005505A9" w:rsidRDefault="005505A9" w:rsidP="008D770A">
      <w:pPr>
        <w:autoSpaceDE w:val="0"/>
        <w:autoSpaceDN w:val="0"/>
        <w:adjustRightInd w:val="0"/>
        <w:rPr>
          <w:b/>
          <w:bCs/>
        </w:rPr>
      </w:pPr>
    </w:p>
    <w:p w14:paraId="1328E36D" w14:textId="2BBDD518" w:rsidR="008D770A" w:rsidRPr="00202FE2" w:rsidRDefault="008D770A" w:rsidP="008D770A">
      <w:pPr>
        <w:autoSpaceDE w:val="0"/>
        <w:autoSpaceDN w:val="0"/>
        <w:adjustRightInd w:val="0"/>
      </w:pPr>
      <w:r w:rsidRPr="00202FE2">
        <w:rPr>
          <w:b/>
          <w:bCs/>
        </w:rPr>
        <w:t xml:space="preserve">A.14. </w:t>
      </w:r>
      <w:r w:rsidRPr="00202FE2">
        <w:rPr>
          <w:b/>
          <w:bCs/>
        </w:rPr>
        <w:tab/>
        <w:t xml:space="preserve">Annualized Cost to the Government </w:t>
      </w:r>
    </w:p>
    <w:p w14:paraId="22A98672" w14:textId="77777777" w:rsidR="008D770A" w:rsidRPr="00202FE2" w:rsidRDefault="008D770A" w:rsidP="008D770A"/>
    <w:p w14:paraId="2AF84459" w14:textId="73838EEB" w:rsidR="004F7E20" w:rsidRPr="00807538" w:rsidRDefault="004F7E20" w:rsidP="004F7E20">
      <w:pPr>
        <w:pStyle w:val="BodyText2"/>
      </w:pPr>
      <w:r w:rsidRPr="00807538">
        <w:rPr>
          <w:szCs w:val="24"/>
        </w:rPr>
        <w:t>It will take three years to conduct this data collection under contract 200-2017-95356.  The total cost to the government will be $</w:t>
      </w:r>
      <w:r w:rsidR="0084266C" w:rsidRPr="00807538">
        <w:rPr>
          <w:szCs w:val="24"/>
        </w:rPr>
        <w:t>1</w:t>
      </w:r>
      <w:r w:rsidR="002A5164" w:rsidRPr="00807538">
        <w:rPr>
          <w:szCs w:val="24"/>
        </w:rPr>
        <w:t>98</w:t>
      </w:r>
      <w:r w:rsidR="0084266C" w:rsidRPr="00807538">
        <w:rPr>
          <w:szCs w:val="24"/>
        </w:rPr>
        <w:t>,939.99</w:t>
      </w:r>
      <w:r w:rsidRPr="00807538">
        <w:rPr>
          <w:szCs w:val="24"/>
        </w:rPr>
        <w:t>.  The annualized cost to the government will be $51,313.33 in contract costs to Intellix</w:t>
      </w:r>
      <w:r w:rsidR="00FA345F" w:rsidRPr="00807538">
        <w:rPr>
          <w:szCs w:val="24"/>
        </w:rPr>
        <w:t xml:space="preserve"> (Contractor)</w:t>
      </w:r>
      <w:r w:rsidR="00165BBD" w:rsidRPr="00807538">
        <w:rPr>
          <w:szCs w:val="24"/>
        </w:rPr>
        <w:t xml:space="preserve"> and</w:t>
      </w:r>
      <w:r w:rsidR="00FA345F" w:rsidRPr="00807538">
        <w:rPr>
          <w:szCs w:val="24"/>
        </w:rPr>
        <w:t xml:space="preserve"> </w:t>
      </w:r>
      <w:r w:rsidRPr="00807538">
        <w:rPr>
          <w:szCs w:val="24"/>
        </w:rPr>
        <w:t>UCSF and $</w:t>
      </w:r>
      <w:r w:rsidR="002A5164" w:rsidRPr="00807538">
        <w:rPr>
          <w:szCs w:val="24"/>
        </w:rPr>
        <w:t>15</w:t>
      </w:r>
      <w:r w:rsidR="0084266C" w:rsidRPr="00807538">
        <w:rPr>
          <w:szCs w:val="24"/>
        </w:rPr>
        <w:t>,000</w:t>
      </w:r>
      <w:r w:rsidRPr="00807538">
        <w:rPr>
          <w:szCs w:val="24"/>
        </w:rPr>
        <w:t xml:space="preserve"> in other </w:t>
      </w:r>
      <w:r w:rsidRPr="00807538">
        <w:t xml:space="preserve">federal costs, including salary, fringe, travel, and supply expenses related to the involvement of </w:t>
      </w:r>
      <w:r w:rsidR="00807538" w:rsidRPr="00807538">
        <w:t xml:space="preserve">two </w:t>
      </w:r>
      <w:r w:rsidRPr="00807538">
        <w:t>federal employee to</w:t>
      </w:r>
      <w:r w:rsidR="00E5333A" w:rsidRPr="00807538">
        <w:t xml:space="preserve"> devote 5% FTE to the project (</w:t>
      </w:r>
      <w:r w:rsidR="00E5333A" w:rsidRPr="00807538">
        <w:rPr>
          <w:b/>
        </w:rPr>
        <w:t>Table A.7).</w:t>
      </w:r>
      <w:r w:rsidR="00E5333A" w:rsidRPr="00807538">
        <w:t xml:space="preserve"> </w:t>
      </w:r>
      <w:r w:rsidRPr="00807538">
        <w:t xml:space="preserve"> </w:t>
      </w:r>
    </w:p>
    <w:p w14:paraId="26850593" w14:textId="668D87FA" w:rsidR="008D770A" w:rsidRPr="00807538" w:rsidRDefault="008D770A" w:rsidP="008D770A">
      <w:pPr>
        <w:pStyle w:val="BodyText2"/>
        <w:rPr>
          <w:szCs w:val="24"/>
        </w:rPr>
      </w:pPr>
    </w:p>
    <w:p w14:paraId="5833B1A4" w14:textId="610E4C78" w:rsidR="008D770A" w:rsidRPr="00807538" w:rsidRDefault="008D770A" w:rsidP="008D770A">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rPr>
          <w:color w:val="000000" w:themeColor="text1"/>
        </w:rPr>
      </w:pPr>
      <w:r w:rsidRPr="00807538">
        <w:rPr>
          <w:b/>
          <w:color w:val="000000" w:themeColor="text1"/>
        </w:rPr>
        <w:t xml:space="preserve">Table </w:t>
      </w:r>
      <w:r w:rsidR="00A54268" w:rsidRPr="00807538">
        <w:rPr>
          <w:b/>
          <w:color w:val="000000" w:themeColor="text1"/>
        </w:rPr>
        <w:t>A.</w:t>
      </w:r>
      <w:r w:rsidR="00E5333A" w:rsidRPr="00807538">
        <w:rPr>
          <w:b/>
          <w:color w:val="000000" w:themeColor="text1"/>
        </w:rPr>
        <w:t>7</w:t>
      </w:r>
      <w:r w:rsidRPr="00807538">
        <w:rPr>
          <w:color w:val="000000" w:themeColor="text1"/>
        </w:rPr>
        <w:t xml:space="preserve"> Annualized Cost to the Government  </w:t>
      </w:r>
    </w:p>
    <w:p w14:paraId="5232C73B" w14:textId="77777777" w:rsidR="008D770A" w:rsidRPr="00807538" w:rsidRDefault="008D770A" w:rsidP="008D770A">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rPr>
          <w:b/>
          <w:color w:val="000000" w:themeColor="text1"/>
        </w:rPr>
      </w:pPr>
    </w:p>
    <w:tbl>
      <w:tblPr>
        <w:tblW w:w="7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664"/>
        <w:gridCol w:w="2552"/>
      </w:tblGrid>
      <w:tr w:rsidR="008D770A" w:rsidRPr="00807538" w14:paraId="5DEB7542" w14:textId="77777777" w:rsidTr="00EE3E0A">
        <w:trPr>
          <w:tblHeader/>
        </w:trPr>
        <w:tc>
          <w:tcPr>
            <w:tcW w:w="2585" w:type="dxa"/>
            <w:shd w:val="clear" w:color="auto" w:fill="FFFFFF" w:themeFill="background1"/>
          </w:tcPr>
          <w:p w14:paraId="2927A531" w14:textId="77777777" w:rsidR="008D770A" w:rsidRPr="00807538" w:rsidRDefault="008D770A" w:rsidP="008C3C55">
            <w:r w:rsidRPr="00807538">
              <w:t>Type of Cost</w:t>
            </w:r>
          </w:p>
        </w:tc>
        <w:tc>
          <w:tcPr>
            <w:tcW w:w="2664" w:type="dxa"/>
            <w:shd w:val="clear" w:color="auto" w:fill="FFFFFF" w:themeFill="background1"/>
          </w:tcPr>
          <w:p w14:paraId="70F90A5D" w14:textId="77777777" w:rsidR="008D770A" w:rsidRPr="00807538" w:rsidRDefault="008D770A" w:rsidP="008C3C55">
            <w:r w:rsidRPr="00807538">
              <w:t>Description of Services</w:t>
            </w:r>
          </w:p>
          <w:p w14:paraId="1D0F74A8" w14:textId="77777777" w:rsidR="008D770A" w:rsidRPr="00807538" w:rsidRDefault="008D770A" w:rsidP="008C3C55"/>
        </w:tc>
        <w:tc>
          <w:tcPr>
            <w:tcW w:w="2552" w:type="dxa"/>
            <w:shd w:val="clear" w:color="auto" w:fill="FFFFFF" w:themeFill="background1"/>
          </w:tcPr>
          <w:p w14:paraId="74FB0B3F" w14:textId="77777777" w:rsidR="008D770A" w:rsidRPr="00807538" w:rsidRDefault="008D770A" w:rsidP="008C3C55">
            <w:pPr>
              <w:jc w:val="center"/>
            </w:pPr>
            <w:r w:rsidRPr="00807538">
              <w:t>Annual Cost</w:t>
            </w:r>
          </w:p>
        </w:tc>
      </w:tr>
      <w:tr w:rsidR="008D770A" w:rsidRPr="00807538" w14:paraId="075E1EF1" w14:textId="77777777" w:rsidTr="00EE3E0A">
        <w:tc>
          <w:tcPr>
            <w:tcW w:w="2585" w:type="dxa"/>
          </w:tcPr>
          <w:p w14:paraId="2CFE4B1B" w14:textId="77777777" w:rsidR="008D770A" w:rsidRPr="00807538" w:rsidRDefault="008D770A" w:rsidP="008C3C55">
            <w:pPr>
              <w:rPr>
                <w:vertAlign w:val="superscript"/>
              </w:rPr>
            </w:pPr>
            <w:r w:rsidRPr="00807538">
              <w:t>Contractor</w:t>
            </w:r>
          </w:p>
        </w:tc>
        <w:tc>
          <w:tcPr>
            <w:tcW w:w="2664" w:type="dxa"/>
          </w:tcPr>
          <w:p w14:paraId="32941464" w14:textId="77777777" w:rsidR="008D770A" w:rsidRPr="00807538" w:rsidRDefault="008D770A" w:rsidP="008C3C55">
            <w:r w:rsidRPr="00807538">
              <w:t>Study design, data collection, data analysis</w:t>
            </w:r>
          </w:p>
        </w:tc>
        <w:tc>
          <w:tcPr>
            <w:tcW w:w="2552" w:type="dxa"/>
            <w:vAlign w:val="center"/>
          </w:tcPr>
          <w:p w14:paraId="75DF020A" w14:textId="77777777" w:rsidR="008D770A" w:rsidRPr="00807538" w:rsidRDefault="008D770A" w:rsidP="008C3C55">
            <w:pPr>
              <w:jc w:val="center"/>
            </w:pPr>
            <w:r w:rsidRPr="00807538">
              <w:t>$51,313.33</w:t>
            </w:r>
          </w:p>
        </w:tc>
      </w:tr>
      <w:tr w:rsidR="008D770A" w:rsidRPr="00807538" w14:paraId="77B89AF0" w14:textId="77777777" w:rsidTr="00EE3E0A">
        <w:tc>
          <w:tcPr>
            <w:tcW w:w="2585" w:type="dxa"/>
          </w:tcPr>
          <w:p w14:paraId="40D5A6D8" w14:textId="6112F68D" w:rsidR="008D770A" w:rsidRPr="00807538" w:rsidRDefault="002A5164" w:rsidP="008C3C55">
            <w:pPr>
              <w:rPr>
                <w:vertAlign w:val="superscript"/>
              </w:rPr>
            </w:pPr>
            <w:r w:rsidRPr="00807538">
              <w:t>Two</w:t>
            </w:r>
            <w:r w:rsidR="00BA1900" w:rsidRPr="00807538">
              <w:t xml:space="preserve"> </w:t>
            </w:r>
            <w:r w:rsidR="008D770A" w:rsidRPr="00807538">
              <w:t>technical monitor</w:t>
            </w:r>
            <w:r w:rsidR="00807538">
              <w:t>s</w:t>
            </w:r>
            <w:r w:rsidR="008D770A" w:rsidRPr="00807538">
              <w:t xml:space="preserve"> at 5% FTE (CDC)</w:t>
            </w:r>
          </w:p>
        </w:tc>
        <w:tc>
          <w:tcPr>
            <w:tcW w:w="2664" w:type="dxa"/>
          </w:tcPr>
          <w:p w14:paraId="5F6E7526" w14:textId="77777777" w:rsidR="008D770A" w:rsidRPr="00807538" w:rsidRDefault="008D770A" w:rsidP="008C3C55">
            <w:r w:rsidRPr="00807538">
              <w:t>Study planning and contractor oversight</w:t>
            </w:r>
          </w:p>
        </w:tc>
        <w:tc>
          <w:tcPr>
            <w:tcW w:w="2552" w:type="dxa"/>
            <w:shd w:val="clear" w:color="auto" w:fill="FFFFFF" w:themeFill="background1"/>
            <w:vAlign w:val="center"/>
          </w:tcPr>
          <w:p w14:paraId="2B9113FD" w14:textId="495F8BF0" w:rsidR="008D770A" w:rsidRPr="00807538" w:rsidRDefault="008D770A" w:rsidP="008C3C55">
            <w:pPr>
              <w:jc w:val="center"/>
            </w:pPr>
            <w:r w:rsidRPr="00807538">
              <w:t>$</w:t>
            </w:r>
            <w:r w:rsidR="002A5164" w:rsidRPr="00807538">
              <w:t>15</w:t>
            </w:r>
            <w:r w:rsidRPr="00807538">
              <w:t>,0</w:t>
            </w:r>
            <w:r w:rsidR="0084266C" w:rsidRPr="00807538">
              <w:t>0</w:t>
            </w:r>
            <w:r w:rsidRPr="00807538">
              <w:t>0</w:t>
            </w:r>
          </w:p>
        </w:tc>
      </w:tr>
      <w:tr w:rsidR="008D770A" w:rsidRPr="00202FE2" w14:paraId="768B5670" w14:textId="77777777" w:rsidTr="00807538">
        <w:trPr>
          <w:trHeight w:val="224"/>
        </w:trPr>
        <w:tc>
          <w:tcPr>
            <w:tcW w:w="5249" w:type="dxa"/>
            <w:gridSpan w:val="2"/>
          </w:tcPr>
          <w:p w14:paraId="001CD4B7" w14:textId="77777777" w:rsidR="008D770A" w:rsidRPr="00807538" w:rsidRDefault="008D770A" w:rsidP="008C3C55">
            <w:pPr>
              <w:jc w:val="right"/>
              <w:rPr>
                <w:bCs/>
              </w:rPr>
            </w:pPr>
            <w:r w:rsidRPr="00807538">
              <w:rPr>
                <w:bCs/>
              </w:rPr>
              <w:t>Total Annual Estimated Costs</w:t>
            </w:r>
          </w:p>
        </w:tc>
        <w:tc>
          <w:tcPr>
            <w:tcW w:w="2552" w:type="dxa"/>
          </w:tcPr>
          <w:p w14:paraId="6D1916C4" w14:textId="61AC56C1" w:rsidR="008D770A" w:rsidRPr="00202FE2" w:rsidRDefault="008D770A" w:rsidP="008C3C55">
            <w:pPr>
              <w:jc w:val="center"/>
              <w:rPr>
                <w:b/>
                <w:bCs/>
              </w:rPr>
            </w:pPr>
            <w:r w:rsidRPr="00807538">
              <w:rPr>
                <w:b/>
              </w:rPr>
              <w:t>$</w:t>
            </w:r>
            <w:r w:rsidR="002A5164" w:rsidRPr="00807538">
              <w:rPr>
                <w:b/>
              </w:rPr>
              <w:t>66</w:t>
            </w:r>
            <w:r w:rsidRPr="00807538">
              <w:rPr>
                <w:b/>
              </w:rPr>
              <w:t>,3</w:t>
            </w:r>
            <w:r w:rsidR="0084266C" w:rsidRPr="00807538">
              <w:rPr>
                <w:b/>
              </w:rPr>
              <w:t>1</w:t>
            </w:r>
            <w:r w:rsidRPr="00807538">
              <w:rPr>
                <w:b/>
              </w:rPr>
              <w:t>3.33</w:t>
            </w:r>
          </w:p>
        </w:tc>
      </w:tr>
    </w:tbl>
    <w:p w14:paraId="5A7FEADE" w14:textId="77777777" w:rsidR="008D770A" w:rsidRPr="00202FE2" w:rsidRDefault="008D770A" w:rsidP="008D7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A7C9C9" w14:textId="77777777" w:rsidR="008D770A" w:rsidRPr="00202FE2" w:rsidRDefault="008D770A" w:rsidP="008D770A">
      <w:pPr>
        <w:keepNext/>
        <w:keepLines/>
        <w:tabs>
          <w:tab w:val="left" w:pos="360"/>
        </w:tabs>
        <w:ind w:left="360" w:hanging="360"/>
        <w:outlineLvl w:val="0"/>
        <w:rPr>
          <w:b/>
          <w:i/>
          <w:iCs/>
        </w:rPr>
      </w:pPr>
      <w:r w:rsidRPr="00202FE2">
        <w:rPr>
          <w:b/>
        </w:rPr>
        <w:t>A.15.</w:t>
      </w:r>
      <w:r w:rsidRPr="00202FE2">
        <w:rPr>
          <w:b/>
        </w:rPr>
        <w:tab/>
        <w:t>Explanation for Program Changes or Adjustments</w:t>
      </w:r>
    </w:p>
    <w:p w14:paraId="25F4DDDE" w14:textId="77777777" w:rsidR="008D770A" w:rsidRPr="00202FE2" w:rsidRDefault="008D770A" w:rsidP="008D770A">
      <w:pPr>
        <w:pStyle w:val="Default"/>
        <w:rPr>
          <w:rFonts w:ascii="Times New Roman" w:hAnsi="Times New Roman" w:cs="Times New Roman"/>
        </w:rPr>
      </w:pPr>
    </w:p>
    <w:p w14:paraId="3DF049D1" w14:textId="592E8CAD" w:rsidR="008D770A" w:rsidRPr="00202FE2" w:rsidRDefault="008D770A" w:rsidP="008D770A">
      <w:pPr>
        <w:pStyle w:val="Default"/>
        <w:rPr>
          <w:rFonts w:ascii="Times New Roman" w:hAnsi="Times New Roman" w:cs="Times New Roman"/>
        </w:rPr>
      </w:pPr>
      <w:r w:rsidRPr="00202FE2">
        <w:rPr>
          <w:rFonts w:ascii="Times New Roman" w:hAnsi="Times New Roman" w:cs="Times New Roman"/>
        </w:rPr>
        <w:t xml:space="preserve">This is a new </w:t>
      </w:r>
      <w:r w:rsidR="003F678B" w:rsidRPr="00202FE2">
        <w:rPr>
          <w:rFonts w:ascii="Times New Roman" w:hAnsi="Times New Roman" w:cs="Times New Roman"/>
        </w:rPr>
        <w:t>collection</w:t>
      </w:r>
      <w:r w:rsidRPr="00202FE2">
        <w:rPr>
          <w:rFonts w:ascii="Times New Roman" w:hAnsi="Times New Roman" w:cs="Times New Roman"/>
        </w:rPr>
        <w:t xml:space="preserve">. </w:t>
      </w:r>
    </w:p>
    <w:p w14:paraId="464CAB4C" w14:textId="77777777" w:rsidR="008D770A" w:rsidRPr="00202FE2" w:rsidRDefault="008D770A" w:rsidP="008D770A">
      <w:pPr>
        <w:autoSpaceDE w:val="0"/>
        <w:autoSpaceDN w:val="0"/>
        <w:adjustRightInd w:val="0"/>
        <w:rPr>
          <w:b/>
          <w:bCs/>
        </w:rPr>
      </w:pPr>
    </w:p>
    <w:p w14:paraId="06544A52" w14:textId="5D108384" w:rsidR="008D770A" w:rsidRPr="00202FE2" w:rsidRDefault="008D770A" w:rsidP="008D770A">
      <w:pPr>
        <w:autoSpaceDE w:val="0"/>
        <w:autoSpaceDN w:val="0"/>
        <w:adjustRightInd w:val="0"/>
      </w:pPr>
      <w:r w:rsidRPr="00202FE2">
        <w:rPr>
          <w:b/>
          <w:bCs/>
        </w:rPr>
        <w:t>A.16. Plans for Tabulation and Publication, and Project Time Schedule</w:t>
      </w:r>
      <w:r w:rsidRPr="00202FE2">
        <w:t xml:space="preserve"> </w:t>
      </w:r>
    </w:p>
    <w:p w14:paraId="6AB3D8BE" w14:textId="77777777" w:rsidR="008D770A" w:rsidRPr="00202FE2" w:rsidRDefault="008D770A" w:rsidP="008D770A"/>
    <w:p w14:paraId="108EF0A1" w14:textId="77777777" w:rsidR="008D770A" w:rsidRPr="00202FE2" w:rsidRDefault="008D770A" w:rsidP="008D770A">
      <w:pPr>
        <w:spacing w:after="200" w:line="276" w:lineRule="auto"/>
        <w:contextualSpacing/>
      </w:pPr>
      <w:r w:rsidRPr="00202FE2">
        <w:t xml:space="preserve">After the survey data are cleaned, the data file will be prepared for statistical analysis.  </w:t>
      </w:r>
    </w:p>
    <w:p w14:paraId="083A764B" w14:textId="2EF7FE5B" w:rsidR="008D770A" w:rsidRDefault="008D770A" w:rsidP="008D770A">
      <w:r w:rsidRPr="00202FE2">
        <w:t>Data analysis will include frequencies, cross-tabs, and regression analysis.  Proposed analysis tables a</w:t>
      </w:r>
      <w:r w:rsidR="00FF3BE3">
        <w:t>re in Attachments F and F1</w:t>
      </w:r>
      <w:r w:rsidRPr="00202FE2">
        <w:t xml:space="preserve">.  </w:t>
      </w:r>
    </w:p>
    <w:p w14:paraId="7A4C415A" w14:textId="77777777" w:rsidR="001E72BC" w:rsidRPr="00202FE2" w:rsidRDefault="001E72BC" w:rsidP="008D770A"/>
    <w:p w14:paraId="45D8C01C" w14:textId="77777777" w:rsidR="008D770A" w:rsidRPr="00202FE2" w:rsidRDefault="008D770A" w:rsidP="008D770A">
      <w:r w:rsidRPr="00202FE2">
        <w:t xml:space="preserve">Analyses determining effectiveness of our program in terms of outcomes will employ multivariable logistic models. Potential clustering of patients by physician, site, or surgical service will be handled using extensions of the logistic models with random effects to account for such clustering; specifically, we will use the normal logistic model implemented in Stata. </w:t>
      </w:r>
    </w:p>
    <w:p w14:paraId="274EDA19" w14:textId="77777777" w:rsidR="008D770A" w:rsidRPr="00202FE2" w:rsidRDefault="008D770A" w:rsidP="008D770A">
      <w:r w:rsidRPr="00202FE2">
        <w:t xml:space="preserve"> </w:t>
      </w:r>
    </w:p>
    <w:p w14:paraId="6F84E384" w14:textId="7AA2EB14" w:rsidR="008D770A" w:rsidRPr="00202FE2" w:rsidRDefault="008D770A" w:rsidP="000D337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02FE2">
        <w:rPr>
          <w:szCs w:val="24"/>
        </w:rPr>
        <w:t>Selected study findings will be published in a peer-reviewed journal.  Once published, there will be a link to the publication on the C</w:t>
      </w:r>
      <w:r w:rsidR="000D337B">
        <w:rPr>
          <w:szCs w:val="24"/>
        </w:rPr>
        <w:t xml:space="preserve">DC’s Older Adult Falls webpage. </w:t>
      </w:r>
      <w:r w:rsidRPr="00202FE2">
        <w:t xml:space="preserve">The high-level time schedule for the project activities is summarized in </w:t>
      </w:r>
      <w:r w:rsidRPr="000155E9">
        <w:rPr>
          <w:b/>
        </w:rPr>
        <w:t xml:space="preserve">Table </w:t>
      </w:r>
      <w:r w:rsidR="00A54268">
        <w:rPr>
          <w:b/>
        </w:rPr>
        <w:t>A.</w:t>
      </w:r>
      <w:r w:rsidR="00E5333A">
        <w:rPr>
          <w:b/>
        </w:rPr>
        <w:t>8</w:t>
      </w:r>
      <w:r w:rsidRPr="00202FE2">
        <w:t xml:space="preserve"> below. </w:t>
      </w:r>
    </w:p>
    <w:p w14:paraId="58193C9B" w14:textId="5A742283" w:rsidR="008D770A" w:rsidRDefault="008D770A" w:rsidP="008D770A">
      <w:pPr>
        <w:rPr>
          <w:bCs/>
        </w:rPr>
      </w:pPr>
    </w:p>
    <w:p w14:paraId="1961E7EC" w14:textId="49805A6D" w:rsidR="00BE436E" w:rsidRPr="00202FE2" w:rsidRDefault="008D770A" w:rsidP="008D770A">
      <w:pPr>
        <w:rPr>
          <w:bCs/>
        </w:rPr>
      </w:pPr>
      <w:r w:rsidRPr="00895394">
        <w:rPr>
          <w:b/>
          <w:bCs/>
        </w:rPr>
        <w:t xml:space="preserve">Table </w:t>
      </w:r>
      <w:r w:rsidR="00A54268">
        <w:rPr>
          <w:b/>
          <w:bCs/>
        </w:rPr>
        <w:t>A.</w:t>
      </w:r>
      <w:r w:rsidR="00E5333A">
        <w:rPr>
          <w:b/>
          <w:bCs/>
        </w:rPr>
        <w:t>8</w:t>
      </w:r>
      <w:r w:rsidRPr="00202FE2">
        <w:rPr>
          <w:bCs/>
        </w:rPr>
        <w:t xml:space="preserve"> Project Time Schedule </w:t>
      </w:r>
      <w:r w:rsidR="000D337B">
        <w:rPr>
          <w:bC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289"/>
      </w:tblGrid>
      <w:tr w:rsidR="00E81AB7" w:rsidRPr="000D337B" w14:paraId="5D7F7C74" w14:textId="77777777" w:rsidTr="000155E9">
        <w:trPr>
          <w:jc w:val="center"/>
        </w:trPr>
        <w:tc>
          <w:tcPr>
            <w:tcW w:w="4680" w:type="dxa"/>
            <w:tcBorders>
              <w:left w:val="single" w:sz="4" w:space="0" w:color="auto"/>
            </w:tcBorders>
            <w:shd w:val="clear" w:color="auto" w:fill="FFFFFF" w:themeFill="background1"/>
            <w:vAlign w:val="center"/>
          </w:tcPr>
          <w:p w14:paraId="7558C195" w14:textId="52C64AD9" w:rsidR="00E81AB7" w:rsidRPr="000D337B" w:rsidRDefault="00E81AB7" w:rsidP="00E81AB7">
            <w:pPr>
              <w:spacing w:before="40" w:after="40"/>
              <w:rPr>
                <w:sz w:val="22"/>
              </w:rPr>
            </w:pPr>
            <w:r w:rsidRPr="000D337B">
              <w:rPr>
                <w:b/>
                <w:sz w:val="22"/>
              </w:rPr>
              <w:t>Activity</w:t>
            </w:r>
          </w:p>
        </w:tc>
        <w:tc>
          <w:tcPr>
            <w:tcW w:w="4289" w:type="dxa"/>
            <w:tcBorders>
              <w:right w:val="single" w:sz="4" w:space="0" w:color="auto"/>
            </w:tcBorders>
            <w:shd w:val="clear" w:color="auto" w:fill="FFFFFF" w:themeFill="background1"/>
            <w:vAlign w:val="center"/>
          </w:tcPr>
          <w:p w14:paraId="690770CE" w14:textId="100DF98D" w:rsidR="00E81AB7" w:rsidRPr="000D337B" w:rsidRDefault="00E81AB7" w:rsidP="000155E9">
            <w:pPr>
              <w:pStyle w:val="body"/>
              <w:spacing w:before="40" w:after="40"/>
              <w:jc w:val="center"/>
              <w:rPr>
                <w:sz w:val="22"/>
              </w:rPr>
            </w:pPr>
            <w:r w:rsidRPr="000D337B">
              <w:rPr>
                <w:b/>
                <w:sz w:val="22"/>
              </w:rPr>
              <w:t>Schedule</w:t>
            </w:r>
          </w:p>
        </w:tc>
      </w:tr>
      <w:tr w:rsidR="00E81AB7" w:rsidRPr="000D337B" w14:paraId="7CBB2495" w14:textId="77777777" w:rsidTr="008C3C55">
        <w:trPr>
          <w:jc w:val="center"/>
        </w:trPr>
        <w:tc>
          <w:tcPr>
            <w:tcW w:w="4680" w:type="dxa"/>
            <w:tcBorders>
              <w:left w:val="single" w:sz="4" w:space="0" w:color="auto"/>
            </w:tcBorders>
            <w:vAlign w:val="center"/>
          </w:tcPr>
          <w:p w14:paraId="7ED66460" w14:textId="5B36B3F4" w:rsidR="00E81AB7" w:rsidRPr="000D337B" w:rsidRDefault="00E81AB7" w:rsidP="00E81AB7">
            <w:pPr>
              <w:spacing w:before="40" w:after="40"/>
              <w:rPr>
                <w:sz w:val="22"/>
              </w:rPr>
            </w:pPr>
            <w:r w:rsidRPr="000D337B">
              <w:rPr>
                <w:sz w:val="22"/>
              </w:rPr>
              <w:t xml:space="preserve">Identify participants (older adult patients, </w:t>
            </w:r>
            <w:r w:rsidR="001E72BC" w:rsidRPr="000D337B">
              <w:rPr>
                <w:sz w:val="22"/>
              </w:rPr>
              <w:t xml:space="preserve">UCSF </w:t>
            </w:r>
            <w:r w:rsidRPr="000D337B">
              <w:rPr>
                <w:sz w:val="22"/>
              </w:rPr>
              <w:t>clinical staff, and primary care providers).</w:t>
            </w:r>
          </w:p>
        </w:tc>
        <w:tc>
          <w:tcPr>
            <w:tcW w:w="4289" w:type="dxa"/>
            <w:tcBorders>
              <w:right w:val="single" w:sz="4" w:space="0" w:color="auto"/>
            </w:tcBorders>
            <w:vAlign w:val="center"/>
          </w:tcPr>
          <w:p w14:paraId="3C3A9B7A" w14:textId="6CB4993A" w:rsidR="001E72BC" w:rsidRPr="000D337B" w:rsidRDefault="001E72BC" w:rsidP="001E72BC">
            <w:pPr>
              <w:spacing w:before="40" w:after="40"/>
              <w:jc w:val="center"/>
              <w:rPr>
                <w:sz w:val="22"/>
              </w:rPr>
            </w:pPr>
            <w:r w:rsidRPr="000D337B">
              <w:rPr>
                <w:sz w:val="22"/>
              </w:rPr>
              <w:t>Ongoing months</w:t>
            </w:r>
            <w:r w:rsidR="00E81AB7" w:rsidRPr="000D337B">
              <w:rPr>
                <w:sz w:val="22"/>
              </w:rPr>
              <w:t xml:space="preserve"> 1-24 </w:t>
            </w:r>
          </w:p>
          <w:p w14:paraId="01D5A8D8" w14:textId="3ED2E8D2" w:rsidR="00E81AB7" w:rsidRPr="000D337B" w:rsidRDefault="00E81AB7" w:rsidP="000155E9">
            <w:pPr>
              <w:spacing w:before="40" w:after="40"/>
              <w:jc w:val="center"/>
              <w:rPr>
                <w:sz w:val="22"/>
              </w:rPr>
            </w:pPr>
            <w:r w:rsidRPr="000D337B">
              <w:rPr>
                <w:sz w:val="22"/>
              </w:rPr>
              <w:t>after OMB approval</w:t>
            </w:r>
          </w:p>
        </w:tc>
      </w:tr>
      <w:tr w:rsidR="00E81AB7" w:rsidRPr="000D337B" w14:paraId="0459A24B" w14:textId="77777777" w:rsidTr="008C3C55">
        <w:trPr>
          <w:jc w:val="center"/>
        </w:trPr>
        <w:tc>
          <w:tcPr>
            <w:tcW w:w="4680" w:type="dxa"/>
            <w:tcBorders>
              <w:left w:val="single" w:sz="4" w:space="0" w:color="auto"/>
            </w:tcBorders>
            <w:vAlign w:val="center"/>
          </w:tcPr>
          <w:p w14:paraId="3277583A" w14:textId="1DC5D254" w:rsidR="00E81AB7" w:rsidRPr="000D337B" w:rsidRDefault="00BE436E" w:rsidP="00BE436E">
            <w:pPr>
              <w:spacing w:before="40" w:after="40"/>
              <w:rPr>
                <w:sz w:val="22"/>
              </w:rPr>
            </w:pPr>
            <w:r w:rsidRPr="000D337B">
              <w:rPr>
                <w:sz w:val="22"/>
              </w:rPr>
              <w:t>Screen participants and conduct survey</w:t>
            </w:r>
          </w:p>
        </w:tc>
        <w:tc>
          <w:tcPr>
            <w:tcW w:w="4289" w:type="dxa"/>
            <w:tcBorders>
              <w:right w:val="single" w:sz="4" w:space="0" w:color="auto"/>
            </w:tcBorders>
            <w:vAlign w:val="center"/>
          </w:tcPr>
          <w:p w14:paraId="2780696F" w14:textId="49229231" w:rsidR="00E81AB7" w:rsidRPr="000D337B" w:rsidRDefault="001E72BC" w:rsidP="001E72BC">
            <w:pPr>
              <w:spacing w:before="40" w:after="40"/>
              <w:jc w:val="center"/>
              <w:rPr>
                <w:sz w:val="22"/>
              </w:rPr>
            </w:pPr>
            <w:r w:rsidRPr="000D337B">
              <w:rPr>
                <w:sz w:val="22"/>
              </w:rPr>
              <w:t>Ongoing m</w:t>
            </w:r>
            <w:r w:rsidR="00E81AB7" w:rsidRPr="000D337B">
              <w:rPr>
                <w:sz w:val="22"/>
              </w:rPr>
              <w:t>onths 6 - 30</w:t>
            </w:r>
          </w:p>
        </w:tc>
      </w:tr>
      <w:tr w:rsidR="00BE436E" w:rsidRPr="000D337B" w14:paraId="25F02B89" w14:textId="77777777" w:rsidTr="008C3C55">
        <w:trPr>
          <w:jc w:val="center"/>
        </w:trPr>
        <w:tc>
          <w:tcPr>
            <w:tcW w:w="4680" w:type="dxa"/>
            <w:tcBorders>
              <w:left w:val="single" w:sz="4" w:space="0" w:color="auto"/>
            </w:tcBorders>
            <w:vAlign w:val="center"/>
          </w:tcPr>
          <w:p w14:paraId="4CD21EB1" w14:textId="5AE8C115" w:rsidR="00BE436E" w:rsidRPr="000D337B" w:rsidRDefault="00BE436E" w:rsidP="00BE436E">
            <w:pPr>
              <w:spacing w:before="40" w:after="40"/>
              <w:rPr>
                <w:sz w:val="22"/>
              </w:rPr>
            </w:pPr>
            <w:r w:rsidRPr="000D337B">
              <w:rPr>
                <w:sz w:val="22"/>
              </w:rPr>
              <w:t>Data Collection</w:t>
            </w:r>
            <w:r w:rsidR="001E72BC" w:rsidRPr="000D337B">
              <w:rPr>
                <w:sz w:val="22"/>
              </w:rPr>
              <w:t>, cleaning, analysis</w:t>
            </w:r>
          </w:p>
        </w:tc>
        <w:tc>
          <w:tcPr>
            <w:tcW w:w="4289" w:type="dxa"/>
            <w:tcBorders>
              <w:right w:val="single" w:sz="4" w:space="0" w:color="auto"/>
            </w:tcBorders>
            <w:vAlign w:val="center"/>
          </w:tcPr>
          <w:p w14:paraId="33F054C0" w14:textId="0772052E" w:rsidR="00BE436E" w:rsidRPr="000D337B" w:rsidRDefault="00BE436E" w:rsidP="000D337B">
            <w:pPr>
              <w:spacing w:before="40" w:after="40"/>
              <w:jc w:val="center"/>
              <w:rPr>
                <w:sz w:val="22"/>
              </w:rPr>
            </w:pPr>
            <w:r w:rsidRPr="000D337B">
              <w:rPr>
                <w:sz w:val="22"/>
              </w:rPr>
              <w:t>Ongoing through month 36</w:t>
            </w:r>
          </w:p>
        </w:tc>
      </w:tr>
    </w:tbl>
    <w:p w14:paraId="33FAE58F" w14:textId="77777777" w:rsidR="000E3839" w:rsidRDefault="000E3839" w:rsidP="008D770A">
      <w:pPr>
        <w:tabs>
          <w:tab w:val="left" w:pos="360"/>
        </w:tabs>
        <w:outlineLvl w:val="0"/>
        <w:rPr>
          <w:b/>
        </w:rPr>
      </w:pPr>
    </w:p>
    <w:p w14:paraId="63F19C87" w14:textId="77777777" w:rsidR="000E3839" w:rsidRDefault="000E3839" w:rsidP="008D770A">
      <w:pPr>
        <w:tabs>
          <w:tab w:val="left" w:pos="360"/>
        </w:tabs>
        <w:outlineLvl w:val="0"/>
        <w:rPr>
          <w:b/>
        </w:rPr>
      </w:pPr>
    </w:p>
    <w:p w14:paraId="78BAD90A" w14:textId="6034C836" w:rsidR="008D770A" w:rsidRPr="00202FE2" w:rsidRDefault="008D770A" w:rsidP="008D770A">
      <w:pPr>
        <w:tabs>
          <w:tab w:val="left" w:pos="360"/>
        </w:tabs>
        <w:outlineLvl w:val="0"/>
        <w:rPr>
          <w:b/>
        </w:rPr>
      </w:pPr>
      <w:r w:rsidRPr="00202FE2">
        <w:rPr>
          <w:b/>
        </w:rPr>
        <w:t>A.17.</w:t>
      </w:r>
      <w:r w:rsidRPr="00202FE2">
        <w:rPr>
          <w:b/>
        </w:rPr>
        <w:tab/>
        <w:t xml:space="preserve">Reason(s) Display of OMB Expiration Date is Inappropriate </w:t>
      </w:r>
    </w:p>
    <w:p w14:paraId="332541CE" w14:textId="77777777" w:rsidR="008D770A" w:rsidRPr="00202FE2" w:rsidRDefault="008D770A" w:rsidP="008D770A"/>
    <w:p w14:paraId="375A4857" w14:textId="77777777" w:rsidR="008D770A" w:rsidRPr="00202FE2" w:rsidRDefault="008D770A" w:rsidP="008D770A">
      <w:r w:rsidRPr="00202FE2">
        <w:t>The display of the OMB expiration date is appropriate.</w:t>
      </w:r>
    </w:p>
    <w:p w14:paraId="1D95F68B" w14:textId="77777777" w:rsidR="008D770A" w:rsidRPr="00202FE2" w:rsidRDefault="008D770A" w:rsidP="008D770A">
      <w:pPr>
        <w:keepNext/>
        <w:tabs>
          <w:tab w:val="left" w:pos="360"/>
        </w:tabs>
        <w:ind w:left="360" w:hanging="360"/>
        <w:outlineLvl w:val="0"/>
        <w:rPr>
          <w:b/>
        </w:rPr>
      </w:pPr>
    </w:p>
    <w:p w14:paraId="1D1FEA2C" w14:textId="77777777" w:rsidR="008D770A" w:rsidRPr="00202FE2" w:rsidRDefault="008D770A" w:rsidP="008D770A">
      <w:pPr>
        <w:keepNext/>
        <w:tabs>
          <w:tab w:val="left" w:pos="360"/>
        </w:tabs>
        <w:ind w:left="360" w:hanging="360"/>
        <w:outlineLvl w:val="0"/>
        <w:rPr>
          <w:b/>
        </w:rPr>
      </w:pPr>
      <w:r w:rsidRPr="00202FE2">
        <w:rPr>
          <w:b/>
        </w:rPr>
        <w:t>A.18.</w:t>
      </w:r>
      <w:r w:rsidRPr="00202FE2">
        <w:rPr>
          <w:b/>
        </w:rPr>
        <w:tab/>
        <w:t xml:space="preserve">Exceptions to Certification for Paperwork Reduction Act Submissions </w:t>
      </w:r>
    </w:p>
    <w:p w14:paraId="6C674BE2" w14:textId="77777777" w:rsidR="008D770A" w:rsidRPr="00202FE2" w:rsidRDefault="008D770A" w:rsidP="008D770A">
      <w:pPr>
        <w:keepNext/>
      </w:pPr>
    </w:p>
    <w:p w14:paraId="51D71C41" w14:textId="158F3EDD" w:rsidR="008D770A" w:rsidRDefault="008D770A" w:rsidP="008D770A">
      <w:pPr>
        <w:outlineLvl w:val="0"/>
      </w:pPr>
      <w:r w:rsidRPr="00202FE2">
        <w:t>There are no exceptions to the Paperwork Reduction Act.</w:t>
      </w:r>
    </w:p>
    <w:p w14:paraId="336B69D2" w14:textId="2BA8F9F4" w:rsidR="00E5333A" w:rsidRDefault="00E5333A" w:rsidP="008D770A">
      <w:pPr>
        <w:outlineLvl w:val="0"/>
      </w:pPr>
    </w:p>
    <w:p w14:paraId="4463CCE5" w14:textId="084303C8" w:rsidR="008D770A" w:rsidRPr="00EA4EF1" w:rsidRDefault="008D770A" w:rsidP="008D770A">
      <w:pPr>
        <w:rPr>
          <w:b/>
          <w:bCs/>
          <w:u w:val="single"/>
        </w:rPr>
      </w:pPr>
      <w:r w:rsidRPr="00EA4EF1">
        <w:rPr>
          <w:b/>
          <w:bCs/>
          <w:u w:val="single"/>
        </w:rPr>
        <w:t>REFERENCES</w:t>
      </w:r>
    </w:p>
    <w:p w14:paraId="43B83A84" w14:textId="1669FC85" w:rsidR="008D770A" w:rsidRDefault="008D770A" w:rsidP="008D770A"/>
    <w:p w14:paraId="6E8CC3D2" w14:textId="7E17DA09" w:rsidR="00693F0A" w:rsidRPr="00FE5171" w:rsidRDefault="00693F0A" w:rsidP="00693F0A">
      <w:pPr>
        <w:pStyle w:val="ListParagraph"/>
        <w:numPr>
          <w:ilvl w:val="0"/>
          <w:numId w:val="8"/>
        </w:numPr>
        <w:rPr>
          <w:rFonts w:ascii="Times New Roman" w:eastAsia="Times New Roman" w:hAnsi="Times New Roman"/>
        </w:rPr>
      </w:pPr>
      <w:r w:rsidRPr="00FE5171">
        <w:rPr>
          <w:rFonts w:ascii="Times New Roman" w:eastAsia="Times New Roman" w:hAnsi="Times New Roman"/>
        </w:rPr>
        <w:t>Albala C, Yáñez M, Salazar G, Vio F. Body composition in the elderly: Total body water and anthropometry. Nutrition Research. 1994;14: 1797-1809</w:t>
      </w:r>
    </w:p>
    <w:p w14:paraId="136CC0E4" w14:textId="3EE83D84" w:rsidR="00EA4EF1" w:rsidRPr="00FE5171" w:rsidRDefault="00EA4EF1" w:rsidP="007B30BD">
      <w:pPr>
        <w:pStyle w:val="ListParagraph"/>
        <w:numPr>
          <w:ilvl w:val="0"/>
          <w:numId w:val="8"/>
        </w:numPr>
        <w:rPr>
          <w:rFonts w:ascii="Times New Roman" w:eastAsia="Times New Roman" w:hAnsi="Times New Roman"/>
        </w:rPr>
      </w:pPr>
      <w:r w:rsidRPr="00FE5171">
        <w:rPr>
          <w:rFonts w:ascii="Times New Roman" w:eastAsia="Times New Roman" w:hAnsi="Times New Roman"/>
        </w:rPr>
        <w:t>Ambrose AF, Paul G, Hausdorff JM. Risk factors for falls among older adults: a review of the literature. Maturitas 2013;75:51–61. http://dx.doi. org/10.1016/j.maturitas.2013.02.009</w:t>
      </w:r>
    </w:p>
    <w:p w14:paraId="28F4673C" w14:textId="0F977E87" w:rsidR="00E81AB7" w:rsidRPr="00FE5171" w:rsidRDefault="00E81AB7" w:rsidP="007B30BD">
      <w:pPr>
        <w:pStyle w:val="ListParagraph"/>
        <w:numPr>
          <w:ilvl w:val="0"/>
          <w:numId w:val="8"/>
        </w:numPr>
        <w:rPr>
          <w:rFonts w:ascii="Times New Roman" w:eastAsia="Times New Roman" w:hAnsi="Times New Roman"/>
        </w:rPr>
      </w:pPr>
      <w:r w:rsidRPr="00FE5171">
        <w:rPr>
          <w:rFonts w:ascii="Times New Roman" w:eastAsia="Times New Roman" w:hAnsi="Times New Roman"/>
        </w:rPr>
        <w:t>American Geriatrics Society Beers Criteria Update Expert Panel. American Geriatrics Society 2015 Updated Beers Criteria for Potentially Inappropriate Medication Use in Older Adults. Journal of the American Geriatrics Society. 2015;63: 2227-2246.</w:t>
      </w:r>
    </w:p>
    <w:p w14:paraId="41DDABE7" w14:textId="56BC0AB7" w:rsidR="00895394" w:rsidRPr="00FE5171" w:rsidRDefault="0073726F" w:rsidP="007B30BD">
      <w:pPr>
        <w:pStyle w:val="ListParagraph"/>
        <w:numPr>
          <w:ilvl w:val="0"/>
          <w:numId w:val="8"/>
        </w:numPr>
        <w:rPr>
          <w:rFonts w:ascii="Times New Roman" w:eastAsia="Times New Roman" w:hAnsi="Times New Roman"/>
        </w:rPr>
      </w:pPr>
      <w:r w:rsidRPr="00FE5171">
        <w:rPr>
          <w:rFonts w:ascii="Times New Roman" w:hAnsi="Times New Roman"/>
        </w:rPr>
        <w:t xml:space="preserve">American and British Geriatric Society </w:t>
      </w:r>
    </w:p>
    <w:p w14:paraId="65D1D6BE" w14:textId="3E2825D8" w:rsidR="0073726F" w:rsidRPr="00FE5171" w:rsidRDefault="0073726F" w:rsidP="007B30BD">
      <w:pPr>
        <w:pStyle w:val="EndNoteBibliography"/>
        <w:numPr>
          <w:ilvl w:val="0"/>
          <w:numId w:val="8"/>
        </w:numPr>
        <w:rPr>
          <w:rFonts w:eastAsia="Times New Roman"/>
          <w:noProof w:val="0"/>
          <w:sz w:val="22"/>
          <w:szCs w:val="22"/>
        </w:rPr>
      </w:pPr>
      <w:r w:rsidRPr="00FE5171">
        <w:rPr>
          <w:sz w:val="22"/>
          <w:szCs w:val="22"/>
        </w:rPr>
        <w:t>Barnett ML, Olenski AR, Jena AB. Opioid-Prescribing Patterns of Emergency Physicians and Risk of Long-Term Use. 2017;376(7):663-673.</w:t>
      </w:r>
    </w:p>
    <w:p w14:paraId="79E319CD" w14:textId="768498CD" w:rsidR="00FE5171" w:rsidRPr="00FE5171" w:rsidRDefault="00FE5171" w:rsidP="00FE5171">
      <w:pPr>
        <w:pStyle w:val="ListParagraph"/>
        <w:numPr>
          <w:ilvl w:val="0"/>
          <w:numId w:val="8"/>
        </w:numPr>
        <w:rPr>
          <w:rFonts w:ascii="Times New Roman" w:hAnsi="Times New Roman"/>
          <w:color w:val="333333"/>
          <w:lang w:val="en"/>
        </w:rPr>
      </w:pPr>
      <w:r w:rsidRPr="00FE5171">
        <w:rPr>
          <w:rFonts w:ascii="Times New Roman" w:hAnsi="Times New Roman"/>
          <w:color w:val="333333"/>
          <w:lang w:val="en"/>
        </w:rPr>
        <w:t xml:space="preserve">Behavioral Risk Factor Surveillance System (BRFSS). 2014. </w:t>
      </w:r>
      <w:hyperlink r:id="rId12" w:history="1">
        <w:r w:rsidRPr="00FE5171">
          <w:rPr>
            <w:rStyle w:val="Hyperlink"/>
            <w:rFonts w:ascii="Times New Roman" w:hAnsi="Times New Roman"/>
            <w:lang w:val="en"/>
          </w:rPr>
          <w:t>https://www.cdc.gov/brfss/data_documentation/index.htm</w:t>
        </w:r>
      </w:hyperlink>
      <w:r w:rsidRPr="00FE5171">
        <w:rPr>
          <w:rFonts w:ascii="Times New Roman" w:hAnsi="Times New Roman"/>
          <w:color w:val="333333"/>
          <w:lang w:val="en"/>
        </w:rPr>
        <w:t xml:space="preserve"> </w:t>
      </w:r>
    </w:p>
    <w:p w14:paraId="432921E4" w14:textId="2740BEC4" w:rsidR="00E81AB7" w:rsidRPr="00FE5171" w:rsidRDefault="00E81AB7" w:rsidP="007B30BD">
      <w:pPr>
        <w:pStyle w:val="EndNoteBibliography"/>
        <w:numPr>
          <w:ilvl w:val="0"/>
          <w:numId w:val="8"/>
        </w:numPr>
        <w:rPr>
          <w:rFonts w:eastAsia="Times New Roman"/>
          <w:noProof w:val="0"/>
          <w:sz w:val="22"/>
          <w:szCs w:val="22"/>
        </w:rPr>
      </w:pPr>
      <w:r w:rsidRPr="00FE5171">
        <w:rPr>
          <w:rFonts w:eastAsia="Times New Roman"/>
          <w:noProof w:val="0"/>
          <w:sz w:val="22"/>
          <w:szCs w:val="22"/>
        </w:rPr>
        <w:t>Bergen G, Stevens MR, Burns ER. Falls and Fall Injuries Among Adults Aged &gt;/=65 Years United States, 2014. MMWR Morb Mortal</w:t>
      </w:r>
      <w:r w:rsidR="001E72BC" w:rsidRPr="00FE5171">
        <w:rPr>
          <w:rFonts w:eastAsia="Times New Roman"/>
          <w:noProof w:val="0"/>
          <w:sz w:val="22"/>
          <w:szCs w:val="22"/>
        </w:rPr>
        <w:t xml:space="preserve"> Wkly Rep. 2016;65(37):993-998</w:t>
      </w:r>
    </w:p>
    <w:p w14:paraId="362C7503" w14:textId="73A88D7B" w:rsidR="00693F0A" w:rsidRPr="00FE5171" w:rsidRDefault="00693F0A" w:rsidP="00693F0A">
      <w:pPr>
        <w:pStyle w:val="EndNoteBibliography"/>
        <w:numPr>
          <w:ilvl w:val="0"/>
          <w:numId w:val="8"/>
        </w:numPr>
        <w:rPr>
          <w:rFonts w:eastAsia="Times New Roman"/>
          <w:noProof w:val="0"/>
          <w:sz w:val="22"/>
          <w:szCs w:val="22"/>
        </w:rPr>
      </w:pPr>
      <w:r w:rsidRPr="00FE5171">
        <w:rPr>
          <w:rFonts w:eastAsia="Times New Roman"/>
          <w:noProof w:val="0"/>
          <w:sz w:val="22"/>
          <w:szCs w:val="22"/>
        </w:rPr>
        <w:t xml:space="preserve">Boss GR, Seegmiller JE. Age-Related Physiological Changes and Their Clinical Significance. Western Journal of Medicine. 1981;135: 434-440. </w:t>
      </w:r>
    </w:p>
    <w:p w14:paraId="4FF7BA9F" w14:textId="3D9F0858" w:rsidR="0073726F" w:rsidRPr="00FE5171" w:rsidRDefault="0073726F" w:rsidP="0073726F">
      <w:pPr>
        <w:pStyle w:val="EndNoteBibliography"/>
        <w:numPr>
          <w:ilvl w:val="0"/>
          <w:numId w:val="8"/>
        </w:numPr>
        <w:rPr>
          <w:rFonts w:eastAsia="Times New Roman"/>
          <w:noProof w:val="0"/>
          <w:sz w:val="22"/>
          <w:szCs w:val="22"/>
        </w:rPr>
      </w:pPr>
      <w:r w:rsidRPr="00FE5171">
        <w:rPr>
          <w:sz w:val="22"/>
          <w:szCs w:val="22"/>
        </w:rPr>
        <w:t>Calcaterra SL, Yamashita TE, Min SJ, Keniston A, Frank JW, Binswanger IA. Opioid Prescribing at Hospital Discharge Contributes to Chronic Opioid Use. Journal of general internal medicine.</w:t>
      </w:r>
      <w:r w:rsidRPr="00FE5171">
        <w:rPr>
          <w:i/>
          <w:sz w:val="22"/>
          <w:szCs w:val="22"/>
        </w:rPr>
        <w:t xml:space="preserve"> </w:t>
      </w:r>
      <w:r w:rsidRPr="00FE5171">
        <w:rPr>
          <w:sz w:val="22"/>
          <w:szCs w:val="22"/>
        </w:rPr>
        <w:t>2016;31(5):478-485.</w:t>
      </w:r>
    </w:p>
    <w:p w14:paraId="3AE135C3" w14:textId="77777777" w:rsidR="00FE5171" w:rsidRPr="00FE5171" w:rsidRDefault="00E81AB7" w:rsidP="00FE5171">
      <w:pPr>
        <w:pStyle w:val="EndNoteBibliography"/>
        <w:numPr>
          <w:ilvl w:val="0"/>
          <w:numId w:val="8"/>
        </w:numPr>
        <w:rPr>
          <w:rFonts w:eastAsia="Times New Roman"/>
          <w:noProof w:val="0"/>
          <w:sz w:val="22"/>
          <w:szCs w:val="22"/>
        </w:rPr>
      </w:pPr>
      <w:r w:rsidRPr="00FE5171">
        <w:rPr>
          <w:rFonts w:eastAsia="Times New Roman"/>
          <w:noProof w:val="0"/>
          <w:sz w:val="22"/>
          <w:szCs w:val="22"/>
        </w:rPr>
        <w:t xml:space="preserve">Centers for Disease Control and Prevention NCIPC. Web-based Injury Statistics Query and Reporting System (WISQARS) [online]. Accessed at </w:t>
      </w:r>
      <w:hyperlink r:id="rId13" w:history="1">
        <w:r w:rsidRPr="00FE5171">
          <w:rPr>
            <w:rFonts w:eastAsia="Times New Roman"/>
            <w:noProof w:val="0"/>
            <w:sz w:val="22"/>
            <w:szCs w:val="22"/>
          </w:rPr>
          <w:t>www.cdc.gov/injury/wisqars</w:t>
        </w:r>
      </w:hyperlink>
      <w:r w:rsidRPr="00FE5171">
        <w:rPr>
          <w:rFonts w:eastAsia="Times New Roman"/>
          <w:noProof w:val="0"/>
          <w:sz w:val="22"/>
          <w:szCs w:val="22"/>
        </w:rPr>
        <w:t xml:space="preserve"> Feb, 201</w:t>
      </w:r>
      <w:r w:rsidR="00EA4EF1" w:rsidRPr="00FE5171">
        <w:rPr>
          <w:rFonts w:eastAsia="Times New Roman"/>
          <w:noProof w:val="0"/>
          <w:sz w:val="22"/>
          <w:szCs w:val="22"/>
        </w:rPr>
        <w:t>9</w:t>
      </w:r>
      <w:r w:rsidRPr="00FE5171">
        <w:rPr>
          <w:rFonts w:eastAsia="Times New Roman"/>
          <w:noProof w:val="0"/>
          <w:sz w:val="22"/>
          <w:szCs w:val="22"/>
        </w:rPr>
        <w:t>.</w:t>
      </w:r>
      <w:r w:rsidR="00FE5171" w:rsidRPr="00FE5171">
        <w:rPr>
          <w:sz w:val="22"/>
          <w:szCs w:val="22"/>
        </w:rPr>
        <w:t xml:space="preserve"> </w:t>
      </w:r>
    </w:p>
    <w:p w14:paraId="0B9595BA" w14:textId="1B5448B7" w:rsidR="00FE5171" w:rsidRPr="00FE5171" w:rsidRDefault="00FE5171" w:rsidP="00FE5171">
      <w:pPr>
        <w:pStyle w:val="EndNoteBibliography"/>
        <w:numPr>
          <w:ilvl w:val="0"/>
          <w:numId w:val="8"/>
        </w:numPr>
        <w:rPr>
          <w:rFonts w:eastAsia="Times New Roman"/>
          <w:noProof w:val="0"/>
          <w:sz w:val="22"/>
          <w:szCs w:val="22"/>
        </w:rPr>
      </w:pPr>
      <w:r w:rsidRPr="00FE5171">
        <w:rPr>
          <w:rFonts w:eastAsia="Times New Roman"/>
          <w:noProof w:val="0"/>
          <w:sz w:val="22"/>
          <w:szCs w:val="22"/>
        </w:rPr>
        <w:t>Centre for Health Advancement and Centre for Epidemiology and Research. New South Wales Falls Prevention Baseline Survey:  2009 Report. Sydney: NSW Department of Health, 2010.</w:t>
      </w:r>
    </w:p>
    <w:p w14:paraId="0BD4EAE4" w14:textId="4A625F18" w:rsidR="00FE5171" w:rsidRPr="00FE5171" w:rsidRDefault="00FE5171" w:rsidP="00FE5171">
      <w:pPr>
        <w:pStyle w:val="EndNoteBibliography"/>
        <w:numPr>
          <w:ilvl w:val="0"/>
          <w:numId w:val="8"/>
        </w:numPr>
        <w:rPr>
          <w:rFonts w:eastAsia="Times New Roman"/>
          <w:noProof w:val="0"/>
          <w:sz w:val="22"/>
          <w:szCs w:val="22"/>
        </w:rPr>
      </w:pPr>
      <w:r w:rsidRPr="00FE5171">
        <w:rPr>
          <w:rFonts w:eastAsia="Times New Roman"/>
          <w:noProof w:val="0"/>
          <w:sz w:val="22"/>
          <w:szCs w:val="22"/>
        </w:rPr>
        <w:t xml:space="preserve">Chronic Pain Screener Questions from National Pain Strategy: A Comprehensive Population Health-Level Strategy for Pain. Appendix D. Page 65. </w:t>
      </w:r>
      <w:hyperlink r:id="rId14" w:history="1">
        <w:r w:rsidRPr="00FE5171">
          <w:rPr>
            <w:rStyle w:val="Hyperlink"/>
            <w:rFonts w:eastAsia="Times New Roman"/>
            <w:noProof w:val="0"/>
            <w:sz w:val="22"/>
            <w:szCs w:val="22"/>
          </w:rPr>
          <w:t>https://iprcc.nih.gov/sites/default/files/HHSNational_Pain_Strategy_508C.pdf</w:t>
        </w:r>
      </w:hyperlink>
      <w:r w:rsidRPr="00FE5171">
        <w:rPr>
          <w:rFonts w:eastAsia="Times New Roman"/>
          <w:noProof w:val="0"/>
          <w:sz w:val="22"/>
          <w:szCs w:val="22"/>
        </w:rPr>
        <w:t xml:space="preserve"> </w:t>
      </w:r>
    </w:p>
    <w:p w14:paraId="28E651B7" w14:textId="62D213AA" w:rsidR="004D5E4B" w:rsidRPr="004D5E4B" w:rsidRDefault="004D5E4B" w:rsidP="00E97F5E">
      <w:pPr>
        <w:pStyle w:val="EndNoteBibliography"/>
        <w:numPr>
          <w:ilvl w:val="0"/>
          <w:numId w:val="8"/>
        </w:numPr>
        <w:rPr>
          <w:rFonts w:eastAsia="Times New Roman"/>
          <w:noProof w:val="0"/>
          <w:sz w:val="22"/>
          <w:szCs w:val="22"/>
        </w:rPr>
      </w:pPr>
      <w:r w:rsidRPr="004D5E4B">
        <w:rPr>
          <w:rFonts w:eastAsia="Times New Roman"/>
          <w:noProof w:val="0"/>
          <w:sz w:val="22"/>
          <w:szCs w:val="22"/>
        </w:rPr>
        <w:t>Clough-Gorr KM, Erpen T, Gillman G, et al. Preclinical Disability as a Risk Factor for Falls in Community-Dwelling Older Adults</w:t>
      </w:r>
      <w:r>
        <w:rPr>
          <w:rFonts w:eastAsia="Times New Roman"/>
          <w:noProof w:val="0"/>
          <w:sz w:val="22"/>
          <w:szCs w:val="22"/>
        </w:rPr>
        <w:t xml:space="preserve">. </w:t>
      </w:r>
      <w:r>
        <w:rPr>
          <w:rFonts w:eastAsia="Times New Roman"/>
          <w:i/>
          <w:noProof w:val="0"/>
          <w:sz w:val="22"/>
          <w:szCs w:val="22"/>
        </w:rPr>
        <w:t>Journal of Gerentology</w:t>
      </w:r>
      <w:r>
        <w:rPr>
          <w:rFonts w:eastAsia="Times New Roman"/>
          <w:noProof w:val="0"/>
          <w:sz w:val="22"/>
          <w:szCs w:val="22"/>
        </w:rPr>
        <w:t>. 2008: 63A (3): 314-320</w:t>
      </w:r>
    </w:p>
    <w:p w14:paraId="11049154" w14:textId="45C81BFB" w:rsidR="00693929" w:rsidRPr="00FE5171" w:rsidRDefault="00693929" w:rsidP="007B30BD">
      <w:pPr>
        <w:pStyle w:val="EndNoteBibliography"/>
        <w:numPr>
          <w:ilvl w:val="0"/>
          <w:numId w:val="8"/>
        </w:numPr>
        <w:rPr>
          <w:rFonts w:eastAsia="Times New Roman"/>
          <w:noProof w:val="0"/>
          <w:sz w:val="22"/>
          <w:szCs w:val="22"/>
        </w:rPr>
      </w:pPr>
      <w:r w:rsidRPr="00FE5171">
        <w:rPr>
          <w:sz w:val="22"/>
          <w:szCs w:val="22"/>
        </w:rPr>
        <w:t xml:space="preserve">Covinsky KE, Palmer RM, Fortinsky RH, et al. Loss of independence in activities of daily living in older adults hospitalized with medical illnesses: increased vulnerability with age. </w:t>
      </w:r>
      <w:r w:rsidRPr="00FE5171">
        <w:rPr>
          <w:i/>
          <w:iCs/>
          <w:sz w:val="22"/>
          <w:szCs w:val="22"/>
        </w:rPr>
        <w:t xml:space="preserve">Journal of the American Geriatrics Society. </w:t>
      </w:r>
      <w:r w:rsidRPr="00FE5171">
        <w:rPr>
          <w:sz w:val="22"/>
          <w:szCs w:val="22"/>
        </w:rPr>
        <w:t>2003;51(4):451-458.</w:t>
      </w:r>
    </w:p>
    <w:p w14:paraId="2FD673A3" w14:textId="00281F2E" w:rsidR="00E81AB7" w:rsidRPr="00FE5171" w:rsidRDefault="00F3659C" w:rsidP="007B30BD">
      <w:pPr>
        <w:pStyle w:val="EndNoteBibliography"/>
        <w:numPr>
          <w:ilvl w:val="0"/>
          <w:numId w:val="8"/>
        </w:numPr>
        <w:rPr>
          <w:rFonts w:eastAsia="Times New Roman"/>
          <w:noProof w:val="0"/>
          <w:sz w:val="22"/>
          <w:szCs w:val="22"/>
        </w:rPr>
      </w:pPr>
      <w:r w:rsidRPr="00FE5171">
        <w:rPr>
          <w:sz w:val="22"/>
          <w:szCs w:val="22"/>
        </w:rPr>
        <w:t xml:space="preserve">Gerlach LB, Olfson M, Kales HC, Maust DT. Opioids and Other Central Nervous System–Active Polypharmacy in Older Adults in the United States. </w:t>
      </w:r>
      <w:r w:rsidRPr="00FE5171">
        <w:rPr>
          <w:i/>
          <w:sz w:val="22"/>
          <w:szCs w:val="22"/>
        </w:rPr>
        <w:t>Journal of the American Geriatrics Society.</w:t>
      </w:r>
      <w:r w:rsidRPr="00FE5171">
        <w:rPr>
          <w:sz w:val="22"/>
          <w:szCs w:val="22"/>
        </w:rPr>
        <w:t xml:space="preserve"> 2017;65:2052-2056</w:t>
      </w:r>
      <w:r w:rsidR="00EA4EF1" w:rsidRPr="00FE5171">
        <w:rPr>
          <w:sz w:val="22"/>
          <w:szCs w:val="22"/>
        </w:rPr>
        <w:t xml:space="preserve">. </w:t>
      </w:r>
    </w:p>
    <w:p w14:paraId="1E40E18F" w14:textId="5B3AC3A5" w:rsidR="00EA4EF1" w:rsidRPr="00FE5171" w:rsidRDefault="00EA4EF1" w:rsidP="007B30BD">
      <w:pPr>
        <w:pStyle w:val="ListParagraph"/>
        <w:numPr>
          <w:ilvl w:val="0"/>
          <w:numId w:val="8"/>
        </w:numPr>
        <w:rPr>
          <w:rFonts w:ascii="Times New Roman" w:eastAsia="Times New Roman" w:hAnsi="Times New Roman"/>
        </w:rPr>
      </w:pPr>
      <w:r w:rsidRPr="00FE5171">
        <w:rPr>
          <w:rFonts w:ascii="Times New Roman" w:eastAsia="Times New Roman" w:hAnsi="Times New Roman"/>
        </w:rPr>
        <w:t>Gillespie LD, Robertson MC, Gillespie WJ, et al. Interventions for preventing falls in older people living in the community. Cochrane Database Syst Rev 2012;(9):CD007146</w:t>
      </w:r>
    </w:p>
    <w:p w14:paraId="6A19CC1F" w14:textId="24FCEFE9" w:rsidR="00FE5171" w:rsidRPr="00FE5171" w:rsidRDefault="00FE5171" w:rsidP="00FE5171">
      <w:pPr>
        <w:pStyle w:val="EndNoteBibliography"/>
        <w:numPr>
          <w:ilvl w:val="0"/>
          <w:numId w:val="8"/>
        </w:numPr>
        <w:rPr>
          <w:rFonts w:eastAsia="Calibri"/>
          <w:noProof w:val="0"/>
          <w:sz w:val="22"/>
          <w:szCs w:val="22"/>
          <w:lang w:val="en"/>
        </w:rPr>
      </w:pPr>
      <w:r w:rsidRPr="00FE5171">
        <w:rPr>
          <w:rFonts w:eastAsia="Calibri"/>
          <w:noProof w:val="0"/>
          <w:sz w:val="22"/>
          <w:szCs w:val="22"/>
          <w:lang w:val="en"/>
        </w:rPr>
        <w:t xml:space="preserve">Health and Retirement Survey. Accessed 7/2018 available from </w:t>
      </w:r>
      <w:hyperlink r:id="rId15" w:history="1">
        <w:r w:rsidRPr="00FE5171">
          <w:rPr>
            <w:rStyle w:val="Hyperlink"/>
            <w:rFonts w:eastAsia="Calibri"/>
            <w:noProof w:val="0"/>
            <w:sz w:val="22"/>
            <w:szCs w:val="22"/>
            <w:lang w:val="en"/>
          </w:rPr>
          <w:t>https://hrs.isr.umich.edu/documentation/questionnaires</w:t>
        </w:r>
      </w:hyperlink>
      <w:r w:rsidRPr="00FE5171">
        <w:rPr>
          <w:rFonts w:eastAsia="Calibri"/>
          <w:noProof w:val="0"/>
          <w:sz w:val="22"/>
          <w:szCs w:val="22"/>
          <w:lang w:val="en"/>
        </w:rPr>
        <w:t xml:space="preserve"> </w:t>
      </w:r>
    </w:p>
    <w:p w14:paraId="453E76B8" w14:textId="6C57C9FE" w:rsidR="00FE5171" w:rsidRPr="00FE5171" w:rsidRDefault="00FE5171" w:rsidP="00FE5171">
      <w:pPr>
        <w:pStyle w:val="ListParagraph"/>
        <w:numPr>
          <w:ilvl w:val="0"/>
          <w:numId w:val="8"/>
        </w:numPr>
        <w:rPr>
          <w:rFonts w:ascii="Times New Roman" w:hAnsi="Times New Roman"/>
          <w:color w:val="333333"/>
          <w:lang w:val="en"/>
        </w:rPr>
      </w:pPr>
      <w:r w:rsidRPr="00FE5171">
        <w:rPr>
          <w:rFonts w:ascii="Times New Roman" w:hAnsi="Times New Roman"/>
          <w:color w:val="333333"/>
          <w:lang w:val="en"/>
        </w:rPr>
        <w:t>Janet S. Knisely, Martha J. Wunsch, Karen L. Cropsey, Eleanor D. Campbell. Prescription Opioid Misuse Index: A brief questionnaire to assess misuse. Journal of Substance Abuse Treatment. 2008: 35.4:380-386. ISSN 0740-5472. https://doi.org/10.1016/j.jsat.2008.02.001.ational chronic pain screener prescription opioid misuse index</w:t>
      </w:r>
    </w:p>
    <w:p w14:paraId="06905CBD" w14:textId="4016C98A" w:rsidR="00DC5F7B" w:rsidRPr="00FE5171" w:rsidRDefault="00DC5F7B" w:rsidP="00DC5F7B">
      <w:pPr>
        <w:pStyle w:val="EndNoteBibliography"/>
        <w:numPr>
          <w:ilvl w:val="0"/>
          <w:numId w:val="8"/>
        </w:numPr>
        <w:rPr>
          <w:rFonts w:eastAsia="Calibri"/>
          <w:noProof w:val="0"/>
          <w:sz w:val="22"/>
          <w:szCs w:val="22"/>
          <w:lang w:val="en"/>
        </w:rPr>
      </w:pPr>
      <w:r w:rsidRPr="00FE5171">
        <w:rPr>
          <w:rFonts w:eastAsia="Calibri"/>
          <w:noProof w:val="0"/>
          <w:sz w:val="22"/>
          <w:szCs w:val="22"/>
          <w:lang w:val="en"/>
        </w:rPr>
        <w:t xml:space="preserve">Johnston YA, Bergen G, Bauer M, Parker E, Wentworth L, McFadden M, Reome C, Garnett M.  Implementation of the Stopping Elderly Accidents, Deaths, and Injuries Initiative in Primary Care:  An Outcome Evaluation.  The Gerontologist.  2018 Sep 20.  DOI: 10.1093/geront/gny101 </w:t>
      </w:r>
    </w:p>
    <w:p w14:paraId="00EAB45B" w14:textId="11C05869" w:rsidR="00693F0A" w:rsidRPr="00FE5171" w:rsidRDefault="00693F0A" w:rsidP="0073726F">
      <w:pPr>
        <w:pStyle w:val="ListParagraph"/>
        <w:numPr>
          <w:ilvl w:val="0"/>
          <w:numId w:val="8"/>
        </w:numPr>
        <w:rPr>
          <w:rFonts w:ascii="Times New Roman" w:hAnsi="Times New Roman"/>
          <w:lang w:val="en"/>
        </w:rPr>
      </w:pPr>
      <w:r w:rsidRPr="00FE5171">
        <w:rPr>
          <w:rFonts w:ascii="Times New Roman" w:hAnsi="Times New Roman"/>
          <w:lang w:val="en"/>
        </w:rPr>
        <w:t>Klotz U. The elderly—a challenge for appropriate drug treatment. European Journal of Clinical Pharmacology. 2008;64: 225-226.</w:t>
      </w:r>
    </w:p>
    <w:p w14:paraId="1B0C636D" w14:textId="4916BDC5" w:rsidR="00FE5171" w:rsidRPr="00FE5171" w:rsidRDefault="00FE5171" w:rsidP="00FE5171">
      <w:pPr>
        <w:pStyle w:val="EndNoteBibliography"/>
        <w:numPr>
          <w:ilvl w:val="0"/>
          <w:numId w:val="8"/>
        </w:numPr>
        <w:rPr>
          <w:sz w:val="22"/>
          <w:szCs w:val="22"/>
        </w:rPr>
      </w:pPr>
      <w:r w:rsidRPr="00FE5171">
        <w:rPr>
          <w:sz w:val="22"/>
          <w:szCs w:val="22"/>
        </w:rPr>
        <w:t xml:space="preserve">Krumholz HM. Post-hospital syndrome--an acquired, transient condition of generalized risk. </w:t>
      </w:r>
      <w:r w:rsidRPr="00FE5171">
        <w:rPr>
          <w:i/>
          <w:iCs/>
          <w:sz w:val="22"/>
          <w:szCs w:val="22"/>
        </w:rPr>
        <w:t xml:space="preserve">The New England journal of medicine. </w:t>
      </w:r>
      <w:r w:rsidRPr="00FE5171">
        <w:rPr>
          <w:sz w:val="22"/>
          <w:szCs w:val="22"/>
        </w:rPr>
        <w:t>2013;368(2):100-102.</w:t>
      </w:r>
    </w:p>
    <w:p w14:paraId="249C1055" w14:textId="2886FDC5" w:rsidR="00FE5171" w:rsidRPr="00FE5171" w:rsidRDefault="000968D3" w:rsidP="00FE5171">
      <w:pPr>
        <w:pStyle w:val="EndNoteBibliography"/>
        <w:numPr>
          <w:ilvl w:val="0"/>
          <w:numId w:val="8"/>
        </w:numPr>
        <w:rPr>
          <w:rFonts w:eastAsia="Times New Roman"/>
          <w:noProof w:val="0"/>
          <w:sz w:val="22"/>
          <w:szCs w:val="22"/>
        </w:rPr>
      </w:pPr>
      <w:r w:rsidRPr="00FE5171">
        <w:rPr>
          <w:rFonts w:eastAsia="Times New Roman"/>
          <w:noProof w:val="0"/>
          <w:sz w:val="22"/>
          <w:szCs w:val="22"/>
        </w:rPr>
        <w:t>Kuo YF, et al.  (2015) Trends in Opioid Prescriptions Among Part D Medicare Recipients From 2007 to 2012. The American Journal of Medicine (2016) 129, 221.e21-221.e30.</w:t>
      </w:r>
    </w:p>
    <w:p w14:paraId="122B4AC6" w14:textId="77777777" w:rsidR="00FE5171" w:rsidRPr="00FE5171" w:rsidRDefault="00FE5171" w:rsidP="00FE5171">
      <w:pPr>
        <w:pStyle w:val="ListParagraph"/>
        <w:numPr>
          <w:ilvl w:val="0"/>
          <w:numId w:val="8"/>
        </w:numPr>
        <w:rPr>
          <w:rFonts w:ascii="Times New Roman" w:hAnsi="Times New Roman"/>
          <w:color w:val="333333"/>
          <w:lang w:val="en"/>
        </w:rPr>
      </w:pPr>
      <w:r w:rsidRPr="00FE5171">
        <w:rPr>
          <w:rFonts w:ascii="Times New Roman" w:hAnsi="Times New Roman"/>
          <w:color w:val="333333"/>
          <w:lang w:val="en"/>
        </w:rPr>
        <w:t>Lawton, M.P., &amp; Brody, E.M.  (1969). Assessment of older people: Self-maintaining and instrumental activities of daily living. The Gerontologist, 9(3), 179-186 to measure ability to carry out instrumental activities of daily living.</w:t>
      </w:r>
    </w:p>
    <w:p w14:paraId="4722704E" w14:textId="0B818954" w:rsidR="00FE5171" w:rsidRPr="00FE5171" w:rsidRDefault="00FE5171" w:rsidP="00FE5171">
      <w:pPr>
        <w:pStyle w:val="EndNoteBibliography"/>
        <w:numPr>
          <w:ilvl w:val="0"/>
          <w:numId w:val="8"/>
        </w:numPr>
        <w:rPr>
          <w:sz w:val="22"/>
          <w:szCs w:val="22"/>
        </w:rPr>
      </w:pPr>
      <w:r w:rsidRPr="00FE5171">
        <w:rPr>
          <w:sz w:val="22"/>
          <w:szCs w:val="22"/>
        </w:rPr>
        <w:t xml:space="preserve">Mahoney FI, Barthel D. “Functional evaluation: The Barthel Index.” Maryland State Medical Journal 1965;14:56-61 to measure ability to carry out activities of daily living. </w:t>
      </w:r>
    </w:p>
    <w:p w14:paraId="6F65D0A5" w14:textId="72CD4023" w:rsidR="00DC5F7B" w:rsidRPr="00FE5171" w:rsidRDefault="00DC5F7B" w:rsidP="00DC5F7B">
      <w:pPr>
        <w:pStyle w:val="EndNoteBibliography"/>
        <w:numPr>
          <w:ilvl w:val="0"/>
          <w:numId w:val="8"/>
        </w:numPr>
        <w:rPr>
          <w:rFonts w:eastAsia="Times New Roman"/>
          <w:noProof w:val="0"/>
          <w:sz w:val="22"/>
          <w:szCs w:val="22"/>
        </w:rPr>
      </w:pPr>
      <w:r w:rsidRPr="00FE5171">
        <w:rPr>
          <w:sz w:val="22"/>
          <w:szCs w:val="22"/>
          <w:lang w:val="en"/>
        </w:rPr>
        <w:t>Mahoney J. Sager M. Durham NC. Johnson J.  Risk of falls after hospital discharge.  J Am Geriatr Soc. 1994 Mar;42(3):269-74.</w:t>
      </w:r>
    </w:p>
    <w:p w14:paraId="50FFDFD2" w14:textId="58ADD215" w:rsidR="00693929" w:rsidRPr="00FE5171" w:rsidRDefault="00693929" w:rsidP="00693929">
      <w:pPr>
        <w:pStyle w:val="ListParagraph"/>
        <w:numPr>
          <w:ilvl w:val="0"/>
          <w:numId w:val="8"/>
        </w:numPr>
        <w:rPr>
          <w:rFonts w:ascii="Times New Roman" w:eastAsia="Times New Roman" w:hAnsi="Times New Roman"/>
        </w:rPr>
      </w:pPr>
      <w:r w:rsidRPr="00FE5171">
        <w:rPr>
          <w:rFonts w:ascii="Times New Roman" w:eastAsia="Times New Roman" w:hAnsi="Times New Roman"/>
        </w:rPr>
        <w:t>Mamikonian-Zarpas A, Lagana L. The Relationship between Older Adults' Risk for a Future Fall and Difficulty Performing Activities of Daily Living. Journal of aging and gerontology. 2015;3(1):8-16.</w:t>
      </w:r>
    </w:p>
    <w:p w14:paraId="2849039B" w14:textId="21D8D08F" w:rsidR="0027147F" w:rsidRDefault="0027147F" w:rsidP="00DC5F7B">
      <w:pPr>
        <w:pStyle w:val="EndNoteBibliography"/>
        <w:numPr>
          <w:ilvl w:val="0"/>
          <w:numId w:val="8"/>
        </w:numPr>
        <w:rPr>
          <w:rFonts w:eastAsia="Times New Roman"/>
          <w:noProof w:val="0"/>
          <w:sz w:val="22"/>
          <w:szCs w:val="22"/>
        </w:rPr>
      </w:pPr>
      <w:r w:rsidRPr="0027147F">
        <w:rPr>
          <w:rFonts w:eastAsia="Times New Roman"/>
          <w:noProof w:val="0"/>
          <w:sz w:val="22"/>
          <w:szCs w:val="22"/>
        </w:rPr>
        <w:t>Min, L. , Ubhayakar, N. , Saliba, D. , Kelley‐Quon, L. , Morley, E. , Hiatt, J. , Cryer, H. and Tillou, A. (2011), The Vulnerable Elders Survey‐13 Predicts Hospital Complications and Mortality in Older Adults with Traumatic Injury: A Pilot Study. Journal of the American Geriatrics Society, 59: 1471-1476. doi:10.1111/j.1532-5415.2011.03493.x</w:t>
      </w:r>
    </w:p>
    <w:p w14:paraId="70451543" w14:textId="16ED4A53" w:rsidR="00895394" w:rsidRPr="00FE5171" w:rsidRDefault="00895394" w:rsidP="00DC5F7B">
      <w:pPr>
        <w:pStyle w:val="EndNoteBibliography"/>
        <w:numPr>
          <w:ilvl w:val="0"/>
          <w:numId w:val="8"/>
        </w:numPr>
        <w:rPr>
          <w:rFonts w:eastAsia="Times New Roman"/>
          <w:noProof w:val="0"/>
          <w:sz w:val="22"/>
          <w:szCs w:val="22"/>
        </w:rPr>
      </w:pPr>
      <w:r w:rsidRPr="00FE5171">
        <w:rPr>
          <w:rFonts w:eastAsia="Times New Roman"/>
          <w:noProof w:val="0"/>
          <w:sz w:val="22"/>
          <w:szCs w:val="22"/>
        </w:rPr>
        <w:t>Orive M, Aguirre U, Garcia-Gutierrez S, et al. Changes in health-related quality of life and activities of daily living after hip fracture because of a fall in elderly patients: a prospective cohort study. International journal of clinical practice. 2015;69(4):491-500</w:t>
      </w:r>
    </w:p>
    <w:p w14:paraId="4608BC81" w14:textId="5926A037" w:rsidR="00460E6F" w:rsidRPr="00FE5171" w:rsidRDefault="00460E6F" w:rsidP="007B30BD">
      <w:pPr>
        <w:pStyle w:val="EndNoteBibliography"/>
        <w:numPr>
          <w:ilvl w:val="0"/>
          <w:numId w:val="8"/>
        </w:numPr>
        <w:rPr>
          <w:sz w:val="22"/>
          <w:szCs w:val="22"/>
        </w:rPr>
      </w:pPr>
      <w:r w:rsidRPr="00FE5171">
        <w:rPr>
          <w:sz w:val="22"/>
          <w:szCs w:val="22"/>
        </w:rPr>
        <w:t xml:space="preserve">Parkkari J, Kannus P, Palvanen M, et al. Majority of Hip Fractures Occur as a Result of a Fall and Impact on the Greater Trochanter of the Femur: A Prospective Controlled Hip Fracture Study with 206 Consecutive Patients. </w:t>
      </w:r>
      <w:r w:rsidRPr="00FE5171">
        <w:rPr>
          <w:i/>
          <w:sz w:val="22"/>
          <w:szCs w:val="22"/>
        </w:rPr>
        <w:t xml:space="preserve">Calcified Tissue International. </w:t>
      </w:r>
      <w:r w:rsidRPr="00FE5171">
        <w:rPr>
          <w:sz w:val="22"/>
          <w:szCs w:val="22"/>
        </w:rPr>
        <w:t>1999;65(3):183-187.</w:t>
      </w:r>
    </w:p>
    <w:p w14:paraId="39DD30B4" w14:textId="23CBAE43" w:rsidR="00E017D0" w:rsidRPr="00FE5171" w:rsidRDefault="00E017D0" w:rsidP="00E017D0">
      <w:pPr>
        <w:pStyle w:val="EndNoteBibliography"/>
        <w:numPr>
          <w:ilvl w:val="0"/>
          <w:numId w:val="8"/>
        </w:numPr>
        <w:rPr>
          <w:sz w:val="22"/>
          <w:szCs w:val="22"/>
        </w:rPr>
      </w:pPr>
      <w:r w:rsidRPr="00FE5171">
        <w:rPr>
          <w:sz w:val="22"/>
          <w:szCs w:val="22"/>
        </w:rPr>
        <w:t xml:space="preserve">Pines JM.  Lotrecchiano GR.  Zocchi MS. Lazar D.  (2011) Development of a Conceptual Model for Management of Acute, Unscheduled Care in the United States.  The George Washington University Office for Clinical Practice Innovation.  </w:t>
      </w:r>
      <w:r w:rsidR="00693929" w:rsidRPr="00FE5171">
        <w:rPr>
          <w:sz w:val="22"/>
          <w:szCs w:val="22"/>
        </w:rPr>
        <w:t>Inform Best Practices.</w:t>
      </w:r>
    </w:p>
    <w:p w14:paraId="511EF82D" w14:textId="6EC3F2DC" w:rsidR="00E81AB7" w:rsidRPr="00FE5171" w:rsidRDefault="00E81AB7" w:rsidP="007B30BD">
      <w:pPr>
        <w:pStyle w:val="ListParagraph"/>
        <w:numPr>
          <w:ilvl w:val="0"/>
          <w:numId w:val="8"/>
        </w:numPr>
        <w:rPr>
          <w:rFonts w:ascii="Times New Roman" w:eastAsia="Times New Roman" w:hAnsi="Times New Roman"/>
        </w:rPr>
      </w:pPr>
      <w:r w:rsidRPr="00FE5171">
        <w:rPr>
          <w:rFonts w:ascii="Times New Roman" w:eastAsia="Times New Roman" w:hAnsi="Times New Roman"/>
        </w:rPr>
        <w:t>Pratt NL, Ramsay EN, Kalisch Ellett LM, Nguyen TA, Barratt JD, Roughead EE. Association Between Use of Multiple Psychoactive Medicines and Hospitalization for Falls: Retrospective Analysis of a Large Healthcare Claim Database. Drug Safety. 2014;37: 529-535.</w:t>
      </w:r>
    </w:p>
    <w:p w14:paraId="2A812A2F" w14:textId="47EC49BC" w:rsidR="00693F0A" w:rsidRPr="00FE5171" w:rsidRDefault="00693F0A" w:rsidP="00693F0A">
      <w:pPr>
        <w:pStyle w:val="ListParagraph"/>
        <w:numPr>
          <w:ilvl w:val="0"/>
          <w:numId w:val="8"/>
        </w:numPr>
        <w:rPr>
          <w:rFonts w:ascii="Times New Roman" w:eastAsia="Times New Roman" w:hAnsi="Times New Roman"/>
        </w:rPr>
      </w:pPr>
      <w:r w:rsidRPr="00FE5171">
        <w:rPr>
          <w:rFonts w:ascii="Times New Roman" w:eastAsia="Times New Roman" w:hAnsi="Times New Roman"/>
        </w:rPr>
        <w:t xml:space="preserve">Rolita, L. , Spegman, A. , Tang, X. and Cronstein, B. N. (2013), Greater Number of Narcotic Analgesic Prescriptions for Osteoarthritis Is Associated with Falls and Fractures in Elderly Adults. J Am Geriatr Soc, 61: 335-340. doi:10.1111/jgs.12148  </w:t>
      </w:r>
    </w:p>
    <w:p w14:paraId="6E48DF46" w14:textId="6B8D65A4" w:rsidR="00693F0A" w:rsidRPr="00FE5171" w:rsidRDefault="00693F0A" w:rsidP="00693F0A">
      <w:pPr>
        <w:pStyle w:val="ListParagraph"/>
        <w:numPr>
          <w:ilvl w:val="0"/>
          <w:numId w:val="8"/>
        </w:numPr>
        <w:rPr>
          <w:rFonts w:ascii="Times New Roman" w:eastAsia="Times New Roman" w:hAnsi="Times New Roman"/>
        </w:rPr>
      </w:pPr>
      <w:r w:rsidRPr="00FE5171">
        <w:rPr>
          <w:rFonts w:ascii="Times New Roman" w:eastAsia="Times New Roman" w:hAnsi="Times New Roman"/>
        </w:rPr>
        <w:t>Rowe JW, Andres R, Tobin JD, et al. The effect of age on creatinine clearance in men: a cross-sectional and longitudinal study. J Gerontol 1976; 31:155.</w:t>
      </w:r>
    </w:p>
    <w:p w14:paraId="33290282" w14:textId="296CCBD0" w:rsidR="00693F0A" w:rsidRPr="00FE5171" w:rsidRDefault="00693F0A" w:rsidP="00693F0A">
      <w:pPr>
        <w:pStyle w:val="EndNoteBibliography"/>
        <w:numPr>
          <w:ilvl w:val="0"/>
          <w:numId w:val="8"/>
        </w:numPr>
        <w:rPr>
          <w:sz w:val="22"/>
          <w:szCs w:val="22"/>
        </w:rPr>
      </w:pPr>
      <w:r w:rsidRPr="00FE5171">
        <w:rPr>
          <w:sz w:val="22"/>
          <w:szCs w:val="22"/>
        </w:rPr>
        <w:t xml:space="preserve">Saunders, K.W., Dunn, K.M., Merrill, J.O. et al. Relationship of Opioid Use and Dosage Levels to Fractures in Older Chronic Pain Patients. J GEN INTERN MED (2010) 25: 310. </w:t>
      </w:r>
      <w:hyperlink r:id="rId16" w:history="1">
        <w:r w:rsidRPr="00FE5171">
          <w:rPr>
            <w:rStyle w:val="Hyperlink"/>
            <w:sz w:val="22"/>
            <w:szCs w:val="22"/>
          </w:rPr>
          <w:t>https://doi.org/10.1007/s11606-009-1218-z</w:t>
        </w:r>
      </w:hyperlink>
      <w:r w:rsidRPr="00FE5171">
        <w:rPr>
          <w:sz w:val="22"/>
          <w:szCs w:val="22"/>
        </w:rPr>
        <w:t xml:space="preserve"> </w:t>
      </w:r>
    </w:p>
    <w:p w14:paraId="456F8CBE" w14:textId="0A52EFD5" w:rsidR="00693F0A" w:rsidRPr="00FE5171" w:rsidRDefault="00693F0A" w:rsidP="0073726F">
      <w:pPr>
        <w:pStyle w:val="EndNoteBibliography"/>
        <w:numPr>
          <w:ilvl w:val="0"/>
          <w:numId w:val="8"/>
        </w:numPr>
        <w:rPr>
          <w:sz w:val="22"/>
          <w:szCs w:val="22"/>
        </w:rPr>
      </w:pPr>
      <w:r w:rsidRPr="00FE5171">
        <w:rPr>
          <w:sz w:val="22"/>
          <w:szCs w:val="22"/>
        </w:rPr>
        <w:t xml:space="preserve">Söderberg, K.C., Laflamme, L. &amp; Möller, J. Newly Initiated Opioid Treatment and the Risk of Fall-Related Injuries. CNS Drugs (2013) 27: 155. </w:t>
      </w:r>
      <w:hyperlink r:id="rId17" w:history="1">
        <w:r w:rsidRPr="00FE5171">
          <w:rPr>
            <w:rStyle w:val="Hyperlink"/>
            <w:sz w:val="22"/>
            <w:szCs w:val="22"/>
          </w:rPr>
          <w:t>https://doi.org/10.1007/s40263-013-0038-1</w:t>
        </w:r>
      </w:hyperlink>
      <w:r w:rsidRPr="00FE5171">
        <w:rPr>
          <w:sz w:val="22"/>
          <w:szCs w:val="22"/>
        </w:rPr>
        <w:t xml:space="preserve"> </w:t>
      </w:r>
    </w:p>
    <w:p w14:paraId="7E087408" w14:textId="1E014E64" w:rsidR="00693F0A" w:rsidRPr="00FE5171" w:rsidRDefault="00693F0A" w:rsidP="00693F0A">
      <w:pPr>
        <w:pStyle w:val="EndNoteBibliography"/>
        <w:numPr>
          <w:ilvl w:val="0"/>
          <w:numId w:val="8"/>
        </w:numPr>
        <w:rPr>
          <w:sz w:val="22"/>
          <w:szCs w:val="22"/>
        </w:rPr>
      </w:pPr>
      <w:r w:rsidRPr="00FE5171">
        <w:rPr>
          <w:sz w:val="22"/>
          <w:szCs w:val="22"/>
        </w:rPr>
        <w:t>Tan JL, Eastment JG, Poudel A, Hubbard RE. Age-Related Changes in Hepatic Function: An Update on Implications for Drug Therapy. Drugs Aging 2015; 32:999.</w:t>
      </w:r>
    </w:p>
    <w:p w14:paraId="4E37B996" w14:textId="6AB2454D" w:rsidR="00460E6F" w:rsidRPr="00FE5171" w:rsidRDefault="00460E6F" w:rsidP="007B30BD">
      <w:pPr>
        <w:pStyle w:val="EndNoteBibliography"/>
        <w:numPr>
          <w:ilvl w:val="0"/>
          <w:numId w:val="8"/>
        </w:numPr>
        <w:rPr>
          <w:sz w:val="22"/>
          <w:szCs w:val="22"/>
        </w:rPr>
      </w:pPr>
      <w:r w:rsidRPr="00FE5171">
        <w:rPr>
          <w:sz w:val="22"/>
          <w:szCs w:val="22"/>
        </w:rPr>
        <w:t xml:space="preserve">Taylor CA, Bell JM, Breidine MJ, Xu L. Traumatic Brain Injury–Related Emergency Department Visits, Hospitalizations, and Deaths — United States, 2007 and 2013. </w:t>
      </w:r>
      <w:r w:rsidRPr="00FE5171">
        <w:rPr>
          <w:i/>
          <w:sz w:val="22"/>
          <w:szCs w:val="22"/>
        </w:rPr>
        <w:t xml:space="preserve">MMWR Surveill Summ </w:t>
      </w:r>
      <w:r w:rsidRPr="00FE5171">
        <w:rPr>
          <w:sz w:val="22"/>
          <w:szCs w:val="22"/>
        </w:rPr>
        <w:t>2017;66(SS-9):1-16.</w:t>
      </w:r>
    </w:p>
    <w:p w14:paraId="7774492C" w14:textId="58BCD93F" w:rsidR="004D5E4B" w:rsidRDefault="004D5E4B" w:rsidP="00FE5171">
      <w:pPr>
        <w:pStyle w:val="EndNoteBibliography"/>
        <w:numPr>
          <w:ilvl w:val="0"/>
          <w:numId w:val="8"/>
        </w:numPr>
        <w:rPr>
          <w:sz w:val="22"/>
          <w:szCs w:val="22"/>
        </w:rPr>
      </w:pPr>
      <w:r w:rsidRPr="004D5E4B">
        <w:rPr>
          <w:sz w:val="22"/>
          <w:szCs w:val="22"/>
        </w:rPr>
        <w:t>Tinetti ME, Speechley M, Ginter SF. Risk Factors for Falls among Elderly Persons Living in the Community. 1988;319:1701-1707</w:t>
      </w:r>
    </w:p>
    <w:p w14:paraId="54197CC1" w14:textId="332A43B5" w:rsidR="00FE5171" w:rsidRPr="00FE5171" w:rsidRDefault="00FE5171" w:rsidP="00FE5171">
      <w:pPr>
        <w:pStyle w:val="EndNoteBibliography"/>
        <w:numPr>
          <w:ilvl w:val="0"/>
          <w:numId w:val="8"/>
        </w:numPr>
        <w:rPr>
          <w:sz w:val="22"/>
          <w:szCs w:val="22"/>
        </w:rPr>
      </w:pPr>
      <w:r w:rsidRPr="00FE5171">
        <w:rPr>
          <w:sz w:val="22"/>
          <w:szCs w:val="22"/>
        </w:rPr>
        <w:t>Ware J, Jr., Kosinski M, Keller SD. A 12-Item Short-Form Health Survey: construction of scales and preliminary tests of reliability and validity. Medical care.</w:t>
      </w:r>
      <w:r w:rsidRPr="00FE5171">
        <w:rPr>
          <w:i/>
          <w:sz w:val="22"/>
          <w:szCs w:val="22"/>
        </w:rPr>
        <w:t xml:space="preserve"> </w:t>
      </w:r>
      <w:r w:rsidRPr="00FE5171">
        <w:rPr>
          <w:sz w:val="22"/>
          <w:szCs w:val="22"/>
        </w:rPr>
        <w:t>1996;34(3):220-233 to measure overall health status.</w:t>
      </w:r>
    </w:p>
    <w:p w14:paraId="2A8A5D41" w14:textId="520E6499" w:rsidR="000968D3" w:rsidRPr="00FE5171" w:rsidRDefault="000968D3" w:rsidP="007B30BD">
      <w:pPr>
        <w:pStyle w:val="ListParagraph"/>
        <w:numPr>
          <w:ilvl w:val="0"/>
          <w:numId w:val="8"/>
        </w:numPr>
        <w:rPr>
          <w:rFonts w:ascii="Times New Roman" w:eastAsia="Times New Roman" w:hAnsi="Times New Roman"/>
        </w:rPr>
      </w:pPr>
      <w:r w:rsidRPr="00FE5171">
        <w:rPr>
          <w:rFonts w:ascii="Times New Roman" w:eastAsia="Times New Roman" w:hAnsi="Times New Roman"/>
        </w:rPr>
        <w:t>Weiss AJ, et al. (2018). Opioid-Related Inpatient Stays and Emergency Department Visits Among Patients Aged 65 Years and Older, 2010 and 2015: Statistical Brief #244. Healthcare Cost and Utilization Project (HCUP) Statistical Briefs. Rockville (MD).</w:t>
      </w:r>
    </w:p>
    <w:p w14:paraId="03B9D65D" w14:textId="609E2581" w:rsidR="0027147F" w:rsidRPr="0027147F" w:rsidRDefault="0027147F" w:rsidP="007B30BD">
      <w:pPr>
        <w:pStyle w:val="ListParagraph"/>
        <w:numPr>
          <w:ilvl w:val="0"/>
          <w:numId w:val="8"/>
        </w:numPr>
        <w:rPr>
          <w:rFonts w:ascii="Times New Roman" w:hAnsi="Times New Roman"/>
        </w:rPr>
      </w:pPr>
      <w:r w:rsidRPr="0027147F">
        <w:rPr>
          <w:rFonts w:ascii="Times New Roman" w:hAnsi="Times New Roman"/>
        </w:rPr>
        <w:t xml:space="preserve">Woo AK. Depression and Anxiety in Pain. </w:t>
      </w:r>
      <w:r w:rsidRPr="0027147F">
        <w:rPr>
          <w:rFonts w:ascii="Times New Roman" w:hAnsi="Times New Roman"/>
          <w:i/>
        </w:rPr>
        <w:t>Rev Pain</w:t>
      </w:r>
      <w:r w:rsidRPr="0027147F">
        <w:rPr>
          <w:rFonts w:ascii="Times New Roman" w:hAnsi="Times New Roman"/>
        </w:rPr>
        <w:t>. 2010;4(1):8–12. doi:10.1177/204946371000400103</w:t>
      </w:r>
    </w:p>
    <w:p w14:paraId="0DA9C52E" w14:textId="60750125" w:rsidR="0052635B" w:rsidRPr="00FE5171" w:rsidRDefault="00E81AB7" w:rsidP="007B30BD">
      <w:pPr>
        <w:pStyle w:val="ListParagraph"/>
        <w:numPr>
          <w:ilvl w:val="0"/>
          <w:numId w:val="8"/>
        </w:numPr>
        <w:rPr>
          <w:rFonts w:ascii="Times New Roman" w:hAnsi="Times New Roman"/>
        </w:rPr>
      </w:pPr>
      <w:r w:rsidRPr="00FE5171">
        <w:rPr>
          <w:rFonts w:ascii="Times New Roman" w:eastAsia="Times New Roman" w:hAnsi="Times New Roman"/>
        </w:rPr>
        <w:t>Wright RM, Roumani YF, Boudreau R, et al. Impact of Central Nervous System (CNS) Medication Use on Cognition Decline in Community Dwelling Older Adults: Findings from the Health, Aging and Body Composition Study. Journal of the American Geriatrics Society. 2009;57: 243-250.</w:t>
      </w:r>
    </w:p>
    <w:p w14:paraId="6C4359A4" w14:textId="44A1C746" w:rsidR="00560DB7" w:rsidRDefault="00560DB7" w:rsidP="0073726F"/>
    <w:p w14:paraId="2A956549" w14:textId="77777777" w:rsidR="00560DB7" w:rsidRDefault="00560DB7" w:rsidP="0073726F"/>
    <w:p w14:paraId="66817C9F" w14:textId="0D669F47" w:rsidR="002D720D" w:rsidRPr="00F23186" w:rsidRDefault="00560DB7" w:rsidP="0073726F">
      <w:r>
        <w:fldChar w:fldCharType="begin"/>
      </w:r>
      <w:r>
        <w:instrText xml:space="preserve"> ADDIN EN.REFLIST </w:instrText>
      </w:r>
      <w:r>
        <w:fldChar w:fldCharType="end"/>
      </w:r>
    </w:p>
    <w:sectPr w:rsidR="002D720D" w:rsidRPr="00F23186" w:rsidSect="003339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42DA" w14:textId="77777777" w:rsidR="00A73A35" w:rsidRDefault="00A73A35" w:rsidP="00953F30">
      <w:r>
        <w:separator/>
      </w:r>
    </w:p>
  </w:endnote>
  <w:endnote w:type="continuationSeparator" w:id="0">
    <w:p w14:paraId="0231D3D8" w14:textId="77777777" w:rsidR="00A73A35" w:rsidRDefault="00A73A35" w:rsidP="0095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hnschrift">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137163"/>
      <w:docPartObj>
        <w:docPartGallery w:val="Page Numbers (Bottom of Page)"/>
        <w:docPartUnique/>
      </w:docPartObj>
    </w:sdtPr>
    <w:sdtEndPr>
      <w:rPr>
        <w:noProof/>
      </w:rPr>
    </w:sdtEndPr>
    <w:sdtContent>
      <w:p w14:paraId="3DBBA5C8" w14:textId="3907E753" w:rsidR="00A73A35" w:rsidRDefault="00A73A35">
        <w:pPr>
          <w:pStyle w:val="Footer"/>
          <w:jc w:val="right"/>
        </w:pPr>
        <w:r>
          <w:fldChar w:fldCharType="begin"/>
        </w:r>
        <w:r>
          <w:instrText xml:space="preserve"> PAGE   \* MERGEFORMAT </w:instrText>
        </w:r>
        <w:r>
          <w:fldChar w:fldCharType="separate"/>
        </w:r>
        <w:r w:rsidR="003C200E">
          <w:rPr>
            <w:noProof/>
          </w:rPr>
          <w:t>1</w:t>
        </w:r>
        <w:r>
          <w:rPr>
            <w:noProof/>
          </w:rPr>
          <w:fldChar w:fldCharType="end"/>
        </w:r>
      </w:p>
    </w:sdtContent>
  </w:sdt>
  <w:p w14:paraId="27C1DDE1" w14:textId="77777777" w:rsidR="00A73A35" w:rsidRDefault="00A73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6543A" w14:textId="77777777" w:rsidR="00A73A35" w:rsidRDefault="00A73A35" w:rsidP="00953F30">
      <w:r>
        <w:separator/>
      </w:r>
    </w:p>
  </w:footnote>
  <w:footnote w:type="continuationSeparator" w:id="0">
    <w:p w14:paraId="6BAA6CA4" w14:textId="77777777" w:rsidR="00A73A35" w:rsidRDefault="00A73A35" w:rsidP="00953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B6381E"/>
    <w:lvl w:ilvl="0">
      <w:start w:val="1"/>
      <w:numFmt w:val="bullet"/>
      <w:pStyle w:val="ListBullet"/>
      <w:lvlText w:val=""/>
      <w:lvlJc w:val="left"/>
      <w:pPr>
        <w:tabs>
          <w:tab w:val="num" w:pos="540"/>
        </w:tabs>
        <w:ind w:left="540" w:hanging="360"/>
      </w:pPr>
      <w:rPr>
        <w:rFonts w:ascii="Symbol" w:hAnsi="Symbol" w:hint="default"/>
      </w:rPr>
    </w:lvl>
  </w:abstractNum>
  <w:abstractNum w:abstractNumId="1">
    <w:nsid w:val="1872102C"/>
    <w:multiLevelType w:val="hybridMultilevel"/>
    <w:tmpl w:val="52C2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9A561B0"/>
    <w:multiLevelType w:val="hybridMultilevel"/>
    <w:tmpl w:val="E62E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521A7"/>
    <w:multiLevelType w:val="hybridMultilevel"/>
    <w:tmpl w:val="A184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F3879"/>
    <w:multiLevelType w:val="hybridMultilevel"/>
    <w:tmpl w:val="31ACD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0BA5A97"/>
    <w:multiLevelType w:val="hybridMultilevel"/>
    <w:tmpl w:val="173EE3B2"/>
    <w:lvl w:ilvl="0" w:tplc="06E2755E">
      <w:numFmt w:val="bullet"/>
      <w:lvlText w:val="•"/>
      <w:lvlJc w:val="left"/>
      <w:pPr>
        <w:ind w:left="900" w:hanging="72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37D47D9"/>
    <w:multiLevelType w:val="hybridMultilevel"/>
    <w:tmpl w:val="CB807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9E79D7"/>
    <w:multiLevelType w:val="hybridMultilevel"/>
    <w:tmpl w:val="A9745910"/>
    <w:lvl w:ilvl="0" w:tplc="ED7082D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5E5574"/>
    <w:multiLevelType w:val="hybridMultilevel"/>
    <w:tmpl w:val="0F0A7224"/>
    <w:lvl w:ilvl="0" w:tplc="205E0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67759"/>
    <w:multiLevelType w:val="hybridMultilevel"/>
    <w:tmpl w:val="FA064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23A70"/>
    <w:multiLevelType w:val="hybridMultilevel"/>
    <w:tmpl w:val="550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27F2D"/>
    <w:multiLevelType w:val="hybridMultilevel"/>
    <w:tmpl w:val="6F020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2"/>
  </w:num>
  <w:num w:numId="5">
    <w:abstractNumId w:val="4"/>
  </w:num>
  <w:num w:numId="6">
    <w:abstractNumId w:val="2"/>
  </w:num>
  <w:num w:numId="7">
    <w:abstractNumId w:val="0"/>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0"/>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xzxt9922dte3e0txj5wwvefetevt0fswtv&quot;&gt;Docstyles 2016 Endnote library&lt;record-ids&gt;&lt;item&gt;1632&lt;/item&gt;&lt;/record-ids&gt;&lt;/item&gt;&lt;/Libraries&gt;"/>
  </w:docVars>
  <w:rsids>
    <w:rsidRoot w:val="008D770A"/>
    <w:rsid w:val="00004259"/>
    <w:rsid w:val="000056A5"/>
    <w:rsid w:val="000114CC"/>
    <w:rsid w:val="000155E9"/>
    <w:rsid w:val="00016F6F"/>
    <w:rsid w:val="00027552"/>
    <w:rsid w:val="00031B82"/>
    <w:rsid w:val="000328B5"/>
    <w:rsid w:val="00060E9B"/>
    <w:rsid w:val="00071BDE"/>
    <w:rsid w:val="00074B87"/>
    <w:rsid w:val="0008138B"/>
    <w:rsid w:val="0008564B"/>
    <w:rsid w:val="000860BD"/>
    <w:rsid w:val="000956AE"/>
    <w:rsid w:val="000965C0"/>
    <w:rsid w:val="000968D3"/>
    <w:rsid w:val="000A6167"/>
    <w:rsid w:val="000A69F3"/>
    <w:rsid w:val="000B0B01"/>
    <w:rsid w:val="000B63FF"/>
    <w:rsid w:val="000B6927"/>
    <w:rsid w:val="000C3155"/>
    <w:rsid w:val="000C6FF3"/>
    <w:rsid w:val="000D0CD9"/>
    <w:rsid w:val="000D337B"/>
    <w:rsid w:val="000D54BE"/>
    <w:rsid w:val="000D634A"/>
    <w:rsid w:val="000E309C"/>
    <w:rsid w:val="000E3839"/>
    <w:rsid w:val="000E59BA"/>
    <w:rsid w:val="000E770C"/>
    <w:rsid w:val="000F048A"/>
    <w:rsid w:val="000F0D49"/>
    <w:rsid w:val="0010236D"/>
    <w:rsid w:val="001047B9"/>
    <w:rsid w:val="001102A1"/>
    <w:rsid w:val="0011275C"/>
    <w:rsid w:val="0011307F"/>
    <w:rsid w:val="00114248"/>
    <w:rsid w:val="0012276D"/>
    <w:rsid w:val="001271F2"/>
    <w:rsid w:val="0013080F"/>
    <w:rsid w:val="00144B65"/>
    <w:rsid w:val="0014681A"/>
    <w:rsid w:val="0015060A"/>
    <w:rsid w:val="00152595"/>
    <w:rsid w:val="00156477"/>
    <w:rsid w:val="00163E92"/>
    <w:rsid w:val="0016434D"/>
    <w:rsid w:val="00165BBD"/>
    <w:rsid w:val="00166B88"/>
    <w:rsid w:val="001714F6"/>
    <w:rsid w:val="001736EC"/>
    <w:rsid w:val="00173F7E"/>
    <w:rsid w:val="00173FBF"/>
    <w:rsid w:val="00174736"/>
    <w:rsid w:val="00183B05"/>
    <w:rsid w:val="0018611A"/>
    <w:rsid w:val="0019358D"/>
    <w:rsid w:val="001964A5"/>
    <w:rsid w:val="001A2016"/>
    <w:rsid w:val="001A5F2C"/>
    <w:rsid w:val="001B31E9"/>
    <w:rsid w:val="001C3B15"/>
    <w:rsid w:val="001C4469"/>
    <w:rsid w:val="001C50B9"/>
    <w:rsid w:val="001D3D47"/>
    <w:rsid w:val="001D5FB3"/>
    <w:rsid w:val="001D7399"/>
    <w:rsid w:val="001E39E4"/>
    <w:rsid w:val="001E72BC"/>
    <w:rsid w:val="001F66EA"/>
    <w:rsid w:val="002014C9"/>
    <w:rsid w:val="00201D10"/>
    <w:rsid w:val="00202FE2"/>
    <w:rsid w:val="002038B4"/>
    <w:rsid w:val="00204CB2"/>
    <w:rsid w:val="002059C7"/>
    <w:rsid w:val="00205F26"/>
    <w:rsid w:val="00213828"/>
    <w:rsid w:val="00216C6E"/>
    <w:rsid w:val="002227BA"/>
    <w:rsid w:val="00223530"/>
    <w:rsid w:val="00231E70"/>
    <w:rsid w:val="002355BD"/>
    <w:rsid w:val="0023738C"/>
    <w:rsid w:val="002449F6"/>
    <w:rsid w:val="00246977"/>
    <w:rsid w:val="00262ADA"/>
    <w:rsid w:val="0027147F"/>
    <w:rsid w:val="00273AC6"/>
    <w:rsid w:val="00275865"/>
    <w:rsid w:val="00282AFF"/>
    <w:rsid w:val="00290037"/>
    <w:rsid w:val="00294C5B"/>
    <w:rsid w:val="002A01F7"/>
    <w:rsid w:val="002A2817"/>
    <w:rsid w:val="002A5164"/>
    <w:rsid w:val="002A619F"/>
    <w:rsid w:val="002C28D3"/>
    <w:rsid w:val="002C436D"/>
    <w:rsid w:val="002D2F38"/>
    <w:rsid w:val="002D720D"/>
    <w:rsid w:val="002E397A"/>
    <w:rsid w:val="002E4115"/>
    <w:rsid w:val="002F0468"/>
    <w:rsid w:val="002F0F2E"/>
    <w:rsid w:val="0030149E"/>
    <w:rsid w:val="003014B4"/>
    <w:rsid w:val="00303AC7"/>
    <w:rsid w:val="00307BDF"/>
    <w:rsid w:val="00317C97"/>
    <w:rsid w:val="0032704F"/>
    <w:rsid w:val="003324E5"/>
    <w:rsid w:val="003339ED"/>
    <w:rsid w:val="0034540E"/>
    <w:rsid w:val="00360B29"/>
    <w:rsid w:val="0036520E"/>
    <w:rsid w:val="0037033A"/>
    <w:rsid w:val="003835A3"/>
    <w:rsid w:val="0039239B"/>
    <w:rsid w:val="00393582"/>
    <w:rsid w:val="003939B6"/>
    <w:rsid w:val="00395BC2"/>
    <w:rsid w:val="003A2A3A"/>
    <w:rsid w:val="003A60E5"/>
    <w:rsid w:val="003A62DD"/>
    <w:rsid w:val="003C1226"/>
    <w:rsid w:val="003C200E"/>
    <w:rsid w:val="003C53E1"/>
    <w:rsid w:val="003D1C87"/>
    <w:rsid w:val="003D65E9"/>
    <w:rsid w:val="003E4B00"/>
    <w:rsid w:val="003E79C9"/>
    <w:rsid w:val="003F678B"/>
    <w:rsid w:val="00402D33"/>
    <w:rsid w:val="00403F12"/>
    <w:rsid w:val="004079BB"/>
    <w:rsid w:val="00410AAF"/>
    <w:rsid w:val="004125AC"/>
    <w:rsid w:val="00417009"/>
    <w:rsid w:val="00420D12"/>
    <w:rsid w:val="004335EB"/>
    <w:rsid w:val="00440180"/>
    <w:rsid w:val="00443297"/>
    <w:rsid w:val="00445384"/>
    <w:rsid w:val="004510D6"/>
    <w:rsid w:val="00451980"/>
    <w:rsid w:val="004529DD"/>
    <w:rsid w:val="00460E6F"/>
    <w:rsid w:val="00462A00"/>
    <w:rsid w:val="00465472"/>
    <w:rsid w:val="0048092D"/>
    <w:rsid w:val="0048572D"/>
    <w:rsid w:val="004A24AE"/>
    <w:rsid w:val="004A7343"/>
    <w:rsid w:val="004A7BB9"/>
    <w:rsid w:val="004B0D90"/>
    <w:rsid w:val="004C5719"/>
    <w:rsid w:val="004C7458"/>
    <w:rsid w:val="004D2745"/>
    <w:rsid w:val="004D5D7A"/>
    <w:rsid w:val="004D5E4B"/>
    <w:rsid w:val="004D60AA"/>
    <w:rsid w:val="004E764D"/>
    <w:rsid w:val="004F156F"/>
    <w:rsid w:val="004F2EE4"/>
    <w:rsid w:val="004F32B7"/>
    <w:rsid w:val="004F7E20"/>
    <w:rsid w:val="00500A10"/>
    <w:rsid w:val="00501DA0"/>
    <w:rsid w:val="00502872"/>
    <w:rsid w:val="005053B3"/>
    <w:rsid w:val="0051172F"/>
    <w:rsid w:val="0051629F"/>
    <w:rsid w:val="00517E17"/>
    <w:rsid w:val="00523833"/>
    <w:rsid w:val="005257D4"/>
    <w:rsid w:val="0052635B"/>
    <w:rsid w:val="0052659E"/>
    <w:rsid w:val="00530EEC"/>
    <w:rsid w:val="005343AD"/>
    <w:rsid w:val="005368C4"/>
    <w:rsid w:val="00544E56"/>
    <w:rsid w:val="005505A9"/>
    <w:rsid w:val="0055519F"/>
    <w:rsid w:val="00557DA0"/>
    <w:rsid w:val="00560DB7"/>
    <w:rsid w:val="00561EA2"/>
    <w:rsid w:val="005634AD"/>
    <w:rsid w:val="00573AA0"/>
    <w:rsid w:val="00587C4F"/>
    <w:rsid w:val="00590B7E"/>
    <w:rsid w:val="0059344D"/>
    <w:rsid w:val="005A06E5"/>
    <w:rsid w:val="005B2F05"/>
    <w:rsid w:val="005B6778"/>
    <w:rsid w:val="005B7D0F"/>
    <w:rsid w:val="005C6F71"/>
    <w:rsid w:val="005D0EB2"/>
    <w:rsid w:val="005E2306"/>
    <w:rsid w:val="005E3D9B"/>
    <w:rsid w:val="005E674E"/>
    <w:rsid w:val="005E75A3"/>
    <w:rsid w:val="005F366C"/>
    <w:rsid w:val="00601121"/>
    <w:rsid w:val="006067B7"/>
    <w:rsid w:val="00621575"/>
    <w:rsid w:val="006255C5"/>
    <w:rsid w:val="00625840"/>
    <w:rsid w:val="00631D6D"/>
    <w:rsid w:val="00635AC4"/>
    <w:rsid w:val="00641BF8"/>
    <w:rsid w:val="006433A7"/>
    <w:rsid w:val="0065259C"/>
    <w:rsid w:val="006623DA"/>
    <w:rsid w:val="006644D5"/>
    <w:rsid w:val="006655B0"/>
    <w:rsid w:val="00671AF6"/>
    <w:rsid w:val="0067228D"/>
    <w:rsid w:val="00672524"/>
    <w:rsid w:val="006728C1"/>
    <w:rsid w:val="006845D0"/>
    <w:rsid w:val="006879C1"/>
    <w:rsid w:val="006924C2"/>
    <w:rsid w:val="00693929"/>
    <w:rsid w:val="00693F0A"/>
    <w:rsid w:val="006C2CCA"/>
    <w:rsid w:val="006C56F1"/>
    <w:rsid w:val="006C618E"/>
    <w:rsid w:val="006C7121"/>
    <w:rsid w:val="006D2275"/>
    <w:rsid w:val="006D2879"/>
    <w:rsid w:val="006D29E1"/>
    <w:rsid w:val="006D610A"/>
    <w:rsid w:val="006E2132"/>
    <w:rsid w:val="006E244E"/>
    <w:rsid w:val="006E4201"/>
    <w:rsid w:val="006E4989"/>
    <w:rsid w:val="006F21B6"/>
    <w:rsid w:val="00704C62"/>
    <w:rsid w:val="00706DB6"/>
    <w:rsid w:val="00710C5C"/>
    <w:rsid w:val="00711EB5"/>
    <w:rsid w:val="0072573A"/>
    <w:rsid w:val="00725F1D"/>
    <w:rsid w:val="007327F5"/>
    <w:rsid w:val="00734C14"/>
    <w:rsid w:val="0073726F"/>
    <w:rsid w:val="00737F7F"/>
    <w:rsid w:val="007456FE"/>
    <w:rsid w:val="00746A85"/>
    <w:rsid w:val="00746C97"/>
    <w:rsid w:val="00747F63"/>
    <w:rsid w:val="00775432"/>
    <w:rsid w:val="00783B88"/>
    <w:rsid w:val="007908BF"/>
    <w:rsid w:val="007916C9"/>
    <w:rsid w:val="00792EDD"/>
    <w:rsid w:val="007B30BD"/>
    <w:rsid w:val="007C03CB"/>
    <w:rsid w:val="007D34A4"/>
    <w:rsid w:val="007E2DAF"/>
    <w:rsid w:val="007E7A6B"/>
    <w:rsid w:val="007F4BDE"/>
    <w:rsid w:val="007F77FC"/>
    <w:rsid w:val="008051D6"/>
    <w:rsid w:val="0080669E"/>
    <w:rsid w:val="00806C15"/>
    <w:rsid w:val="00807538"/>
    <w:rsid w:val="00810EDF"/>
    <w:rsid w:val="008111E6"/>
    <w:rsid w:val="008136BE"/>
    <w:rsid w:val="008166C0"/>
    <w:rsid w:val="00820F59"/>
    <w:rsid w:val="0082107D"/>
    <w:rsid w:val="00821A4E"/>
    <w:rsid w:val="00831288"/>
    <w:rsid w:val="008343E5"/>
    <w:rsid w:val="00836539"/>
    <w:rsid w:val="00837400"/>
    <w:rsid w:val="00841030"/>
    <w:rsid w:val="0084266C"/>
    <w:rsid w:val="00842723"/>
    <w:rsid w:val="00850465"/>
    <w:rsid w:val="0085082A"/>
    <w:rsid w:val="00853932"/>
    <w:rsid w:val="00864B27"/>
    <w:rsid w:val="008703AA"/>
    <w:rsid w:val="00871450"/>
    <w:rsid w:val="00877AF1"/>
    <w:rsid w:val="008813C8"/>
    <w:rsid w:val="008912A7"/>
    <w:rsid w:val="00893B27"/>
    <w:rsid w:val="00895394"/>
    <w:rsid w:val="008A7109"/>
    <w:rsid w:val="008A72D2"/>
    <w:rsid w:val="008B11CC"/>
    <w:rsid w:val="008B3473"/>
    <w:rsid w:val="008B59DC"/>
    <w:rsid w:val="008C3C55"/>
    <w:rsid w:val="008C4DD7"/>
    <w:rsid w:val="008C5CB2"/>
    <w:rsid w:val="008D32F9"/>
    <w:rsid w:val="008D5132"/>
    <w:rsid w:val="008D770A"/>
    <w:rsid w:val="008E29EC"/>
    <w:rsid w:val="008E45F5"/>
    <w:rsid w:val="008F4E74"/>
    <w:rsid w:val="00903D51"/>
    <w:rsid w:val="00904A10"/>
    <w:rsid w:val="00906D76"/>
    <w:rsid w:val="00923D74"/>
    <w:rsid w:val="0093257A"/>
    <w:rsid w:val="00934F32"/>
    <w:rsid w:val="00936991"/>
    <w:rsid w:val="00940CD5"/>
    <w:rsid w:val="00942AF1"/>
    <w:rsid w:val="0094403B"/>
    <w:rsid w:val="00947AF5"/>
    <w:rsid w:val="00950944"/>
    <w:rsid w:val="00952AC6"/>
    <w:rsid w:val="00953F30"/>
    <w:rsid w:val="009547A4"/>
    <w:rsid w:val="00971ABF"/>
    <w:rsid w:val="0097630E"/>
    <w:rsid w:val="00981960"/>
    <w:rsid w:val="009A16D4"/>
    <w:rsid w:val="009A18A9"/>
    <w:rsid w:val="009A437F"/>
    <w:rsid w:val="009B3F33"/>
    <w:rsid w:val="009C597D"/>
    <w:rsid w:val="009C5EAB"/>
    <w:rsid w:val="009D1759"/>
    <w:rsid w:val="009E0973"/>
    <w:rsid w:val="009E0C99"/>
    <w:rsid w:val="009E2F02"/>
    <w:rsid w:val="009E611D"/>
    <w:rsid w:val="009F0515"/>
    <w:rsid w:val="009F156E"/>
    <w:rsid w:val="00A0183E"/>
    <w:rsid w:val="00A1127F"/>
    <w:rsid w:val="00A128DE"/>
    <w:rsid w:val="00A132A1"/>
    <w:rsid w:val="00A15149"/>
    <w:rsid w:val="00A17191"/>
    <w:rsid w:val="00A260FC"/>
    <w:rsid w:val="00A26A82"/>
    <w:rsid w:val="00A31EA5"/>
    <w:rsid w:val="00A4265E"/>
    <w:rsid w:val="00A441FF"/>
    <w:rsid w:val="00A44EF3"/>
    <w:rsid w:val="00A4641D"/>
    <w:rsid w:val="00A54268"/>
    <w:rsid w:val="00A54541"/>
    <w:rsid w:val="00A55681"/>
    <w:rsid w:val="00A55C82"/>
    <w:rsid w:val="00A64981"/>
    <w:rsid w:val="00A67918"/>
    <w:rsid w:val="00A73A35"/>
    <w:rsid w:val="00A8032C"/>
    <w:rsid w:val="00A8109B"/>
    <w:rsid w:val="00A83E04"/>
    <w:rsid w:val="00A8429B"/>
    <w:rsid w:val="00A85E4C"/>
    <w:rsid w:val="00A86FA5"/>
    <w:rsid w:val="00A95F60"/>
    <w:rsid w:val="00AB0A6B"/>
    <w:rsid w:val="00AB6A20"/>
    <w:rsid w:val="00AD6F8B"/>
    <w:rsid w:val="00AE6E89"/>
    <w:rsid w:val="00AF4C3B"/>
    <w:rsid w:val="00B0366F"/>
    <w:rsid w:val="00B122A3"/>
    <w:rsid w:val="00B152FD"/>
    <w:rsid w:val="00B25437"/>
    <w:rsid w:val="00B266B2"/>
    <w:rsid w:val="00B27045"/>
    <w:rsid w:val="00B27967"/>
    <w:rsid w:val="00B367A5"/>
    <w:rsid w:val="00B40E8C"/>
    <w:rsid w:val="00B5245D"/>
    <w:rsid w:val="00B5288C"/>
    <w:rsid w:val="00B54AB5"/>
    <w:rsid w:val="00B60D09"/>
    <w:rsid w:val="00B6161F"/>
    <w:rsid w:val="00B6374D"/>
    <w:rsid w:val="00B6585E"/>
    <w:rsid w:val="00B7272D"/>
    <w:rsid w:val="00B83FF4"/>
    <w:rsid w:val="00B8567F"/>
    <w:rsid w:val="00BA1900"/>
    <w:rsid w:val="00BA19AC"/>
    <w:rsid w:val="00BA6BD6"/>
    <w:rsid w:val="00BC12C8"/>
    <w:rsid w:val="00BC44E9"/>
    <w:rsid w:val="00BD07EA"/>
    <w:rsid w:val="00BD2B23"/>
    <w:rsid w:val="00BD6019"/>
    <w:rsid w:val="00BD7D7B"/>
    <w:rsid w:val="00BE436E"/>
    <w:rsid w:val="00BE5C5D"/>
    <w:rsid w:val="00C061D6"/>
    <w:rsid w:val="00C26F63"/>
    <w:rsid w:val="00C34BFD"/>
    <w:rsid w:val="00C435BA"/>
    <w:rsid w:val="00C45D04"/>
    <w:rsid w:val="00C63A60"/>
    <w:rsid w:val="00C655C0"/>
    <w:rsid w:val="00C738EF"/>
    <w:rsid w:val="00C816D7"/>
    <w:rsid w:val="00C85429"/>
    <w:rsid w:val="00C85694"/>
    <w:rsid w:val="00C86CB5"/>
    <w:rsid w:val="00C87A44"/>
    <w:rsid w:val="00CA35AF"/>
    <w:rsid w:val="00CB3F79"/>
    <w:rsid w:val="00CB6842"/>
    <w:rsid w:val="00CC2508"/>
    <w:rsid w:val="00CC5164"/>
    <w:rsid w:val="00CC649D"/>
    <w:rsid w:val="00CC7E45"/>
    <w:rsid w:val="00CD3282"/>
    <w:rsid w:val="00CD5FDB"/>
    <w:rsid w:val="00CD6D14"/>
    <w:rsid w:val="00CE2502"/>
    <w:rsid w:val="00CF196E"/>
    <w:rsid w:val="00D11981"/>
    <w:rsid w:val="00D14DBB"/>
    <w:rsid w:val="00D2202C"/>
    <w:rsid w:val="00D22EDB"/>
    <w:rsid w:val="00D25FD0"/>
    <w:rsid w:val="00D27A45"/>
    <w:rsid w:val="00D32D06"/>
    <w:rsid w:val="00D3738D"/>
    <w:rsid w:val="00D3746D"/>
    <w:rsid w:val="00D40E45"/>
    <w:rsid w:val="00D42B72"/>
    <w:rsid w:val="00D47C05"/>
    <w:rsid w:val="00D54F8F"/>
    <w:rsid w:val="00D66D5A"/>
    <w:rsid w:val="00D7078F"/>
    <w:rsid w:val="00D71603"/>
    <w:rsid w:val="00D74607"/>
    <w:rsid w:val="00D92295"/>
    <w:rsid w:val="00D9337F"/>
    <w:rsid w:val="00D97236"/>
    <w:rsid w:val="00DA79A5"/>
    <w:rsid w:val="00DB1030"/>
    <w:rsid w:val="00DB2033"/>
    <w:rsid w:val="00DB46FB"/>
    <w:rsid w:val="00DB6C5D"/>
    <w:rsid w:val="00DC1553"/>
    <w:rsid w:val="00DC4D8E"/>
    <w:rsid w:val="00DC5F7B"/>
    <w:rsid w:val="00DC6B99"/>
    <w:rsid w:val="00DD0441"/>
    <w:rsid w:val="00DD11C4"/>
    <w:rsid w:val="00DD69F8"/>
    <w:rsid w:val="00DD6A96"/>
    <w:rsid w:val="00DF0A56"/>
    <w:rsid w:val="00DF553A"/>
    <w:rsid w:val="00E017D0"/>
    <w:rsid w:val="00E0441E"/>
    <w:rsid w:val="00E052A2"/>
    <w:rsid w:val="00E0540B"/>
    <w:rsid w:val="00E05EF1"/>
    <w:rsid w:val="00E06237"/>
    <w:rsid w:val="00E06311"/>
    <w:rsid w:val="00E064F8"/>
    <w:rsid w:val="00E12BBC"/>
    <w:rsid w:val="00E133D6"/>
    <w:rsid w:val="00E14D22"/>
    <w:rsid w:val="00E23173"/>
    <w:rsid w:val="00E321D2"/>
    <w:rsid w:val="00E34FC4"/>
    <w:rsid w:val="00E373DA"/>
    <w:rsid w:val="00E439BD"/>
    <w:rsid w:val="00E45161"/>
    <w:rsid w:val="00E47633"/>
    <w:rsid w:val="00E502C7"/>
    <w:rsid w:val="00E51B72"/>
    <w:rsid w:val="00E5217D"/>
    <w:rsid w:val="00E5333A"/>
    <w:rsid w:val="00E53D3E"/>
    <w:rsid w:val="00E61752"/>
    <w:rsid w:val="00E70FC5"/>
    <w:rsid w:val="00E74D85"/>
    <w:rsid w:val="00E81AB7"/>
    <w:rsid w:val="00E84BBA"/>
    <w:rsid w:val="00E85284"/>
    <w:rsid w:val="00E9583C"/>
    <w:rsid w:val="00E97160"/>
    <w:rsid w:val="00E97F5E"/>
    <w:rsid w:val="00EA4EF1"/>
    <w:rsid w:val="00EB132E"/>
    <w:rsid w:val="00EB2C4D"/>
    <w:rsid w:val="00EB64DA"/>
    <w:rsid w:val="00EB7F71"/>
    <w:rsid w:val="00EC66E3"/>
    <w:rsid w:val="00ED5AC0"/>
    <w:rsid w:val="00ED5B56"/>
    <w:rsid w:val="00ED6743"/>
    <w:rsid w:val="00EE3E0A"/>
    <w:rsid w:val="00EF050C"/>
    <w:rsid w:val="00EF24DE"/>
    <w:rsid w:val="00EF2914"/>
    <w:rsid w:val="00F20281"/>
    <w:rsid w:val="00F23186"/>
    <w:rsid w:val="00F2652A"/>
    <w:rsid w:val="00F31C5B"/>
    <w:rsid w:val="00F334DD"/>
    <w:rsid w:val="00F33A9F"/>
    <w:rsid w:val="00F3659C"/>
    <w:rsid w:val="00F50EF2"/>
    <w:rsid w:val="00F531E3"/>
    <w:rsid w:val="00F5789F"/>
    <w:rsid w:val="00F61C68"/>
    <w:rsid w:val="00F62EE8"/>
    <w:rsid w:val="00F64754"/>
    <w:rsid w:val="00F651F2"/>
    <w:rsid w:val="00F73512"/>
    <w:rsid w:val="00F74A60"/>
    <w:rsid w:val="00F75C02"/>
    <w:rsid w:val="00F827FF"/>
    <w:rsid w:val="00F86735"/>
    <w:rsid w:val="00F8716E"/>
    <w:rsid w:val="00F94E8F"/>
    <w:rsid w:val="00FA345F"/>
    <w:rsid w:val="00FA4ACA"/>
    <w:rsid w:val="00FA72DA"/>
    <w:rsid w:val="00FA7E26"/>
    <w:rsid w:val="00FB087B"/>
    <w:rsid w:val="00FB6EB0"/>
    <w:rsid w:val="00FC07E2"/>
    <w:rsid w:val="00FC669D"/>
    <w:rsid w:val="00FD6BD6"/>
    <w:rsid w:val="00FE0914"/>
    <w:rsid w:val="00FE5171"/>
    <w:rsid w:val="00FF3BE3"/>
    <w:rsid w:val="00FF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09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D770A"/>
    <w:pPr>
      <w:keepNext/>
      <w:outlineLvl w:val="0"/>
    </w:pPr>
    <w:rPr>
      <w:szCs w:val="20"/>
    </w:rPr>
  </w:style>
  <w:style w:type="paragraph" w:styleId="Heading2">
    <w:name w:val="heading 2"/>
    <w:basedOn w:val="Normal"/>
    <w:next w:val="Normal"/>
    <w:link w:val="Heading2Char"/>
    <w:uiPriority w:val="9"/>
    <w:unhideWhenUsed/>
    <w:qFormat/>
    <w:rsid w:val="008D77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770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8D770A"/>
    <w:pPr>
      <w:keepNext/>
      <w:autoSpaceDE w:val="0"/>
      <w:autoSpaceDN w:val="0"/>
      <w:adjustRightInd w:val="0"/>
      <w:outlineLvl w:val="3"/>
    </w:pPr>
    <w:rPr>
      <w:sz w:val="22"/>
      <w:szCs w:val="16"/>
      <w:u w:val="single"/>
    </w:rPr>
  </w:style>
  <w:style w:type="paragraph" w:styleId="Heading5">
    <w:name w:val="heading 5"/>
    <w:basedOn w:val="Normal"/>
    <w:next w:val="Normal"/>
    <w:link w:val="Heading5Char"/>
    <w:qFormat/>
    <w:rsid w:val="008D770A"/>
    <w:pPr>
      <w:keepNext/>
      <w:spacing w:before="80" w:after="80"/>
      <w:jc w:val="center"/>
      <w:outlineLvl w:val="4"/>
    </w:pPr>
    <w:rPr>
      <w:rFonts w:ascii="Helvetica" w:hAnsi="Helvetica"/>
      <w:b/>
      <w:bCs/>
      <w:sz w:val="20"/>
    </w:rPr>
  </w:style>
  <w:style w:type="paragraph" w:styleId="Heading6">
    <w:name w:val="heading 6"/>
    <w:basedOn w:val="Normal"/>
    <w:next w:val="Normal"/>
    <w:link w:val="Heading6Char"/>
    <w:qFormat/>
    <w:rsid w:val="008D770A"/>
    <w:pPr>
      <w:keepNext/>
      <w:outlineLvl w:val="5"/>
    </w:pPr>
    <w:rPr>
      <w:rFonts w:ascii="Helvetica" w:hAnsi="Helvetica"/>
      <w:b/>
      <w:iCs/>
      <w:color w:val="000000"/>
      <w:sz w:val="26"/>
      <w:u w:val="single"/>
    </w:rPr>
  </w:style>
  <w:style w:type="paragraph" w:styleId="Heading7">
    <w:name w:val="heading 7"/>
    <w:basedOn w:val="Normal"/>
    <w:next w:val="Normal"/>
    <w:link w:val="Heading7Char"/>
    <w:uiPriority w:val="9"/>
    <w:semiHidden/>
    <w:unhideWhenUsed/>
    <w:qFormat/>
    <w:rsid w:val="008D770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D770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D770A"/>
    <w:pPr>
      <w:keepNext/>
      <w:pBdr>
        <w:top w:val="single" w:sz="4" w:space="1" w:color="auto"/>
        <w:left w:val="single" w:sz="4" w:space="4" w:color="auto"/>
        <w:bottom w:val="single" w:sz="4" w:space="1" w:color="auto"/>
        <w:right w:val="single" w:sz="4" w:space="4" w:color="auto"/>
      </w:pBdr>
      <w:jc w:val="center"/>
      <w:outlineLvl w:val="8"/>
    </w:pPr>
    <w:rPr>
      <w:rFonts w:ascii="Times" w:eastAsia="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0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8D77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77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8D770A"/>
    <w:rPr>
      <w:rFonts w:ascii="Times New Roman" w:eastAsia="Times New Roman" w:hAnsi="Times New Roman" w:cs="Times New Roman"/>
      <w:szCs w:val="16"/>
      <w:u w:val="single"/>
    </w:rPr>
  </w:style>
  <w:style w:type="character" w:customStyle="1" w:styleId="Heading5Char">
    <w:name w:val="Heading 5 Char"/>
    <w:basedOn w:val="DefaultParagraphFont"/>
    <w:link w:val="Heading5"/>
    <w:rsid w:val="008D770A"/>
    <w:rPr>
      <w:rFonts w:ascii="Helvetica" w:eastAsia="Times New Roman" w:hAnsi="Helvetica" w:cs="Times New Roman"/>
      <w:b/>
      <w:bCs/>
      <w:sz w:val="20"/>
      <w:szCs w:val="24"/>
    </w:rPr>
  </w:style>
  <w:style w:type="character" w:customStyle="1" w:styleId="Heading6Char">
    <w:name w:val="Heading 6 Char"/>
    <w:basedOn w:val="DefaultParagraphFont"/>
    <w:link w:val="Heading6"/>
    <w:rsid w:val="008D770A"/>
    <w:rPr>
      <w:rFonts w:ascii="Helvetica" w:eastAsia="Times New Roman" w:hAnsi="Helvetica" w:cs="Times New Roman"/>
      <w:b/>
      <w:iCs/>
      <w:color w:val="000000"/>
      <w:sz w:val="26"/>
      <w:szCs w:val="24"/>
      <w:u w:val="single"/>
    </w:rPr>
  </w:style>
  <w:style w:type="character" w:customStyle="1" w:styleId="Heading7Char">
    <w:name w:val="Heading 7 Char"/>
    <w:basedOn w:val="DefaultParagraphFont"/>
    <w:link w:val="Heading7"/>
    <w:uiPriority w:val="9"/>
    <w:semiHidden/>
    <w:rsid w:val="008D770A"/>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8D77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D770A"/>
    <w:rPr>
      <w:rFonts w:ascii="Times" w:eastAsia="Times" w:hAnsi="Times" w:cs="Times New Roman"/>
      <w:b/>
      <w:sz w:val="20"/>
      <w:szCs w:val="20"/>
    </w:rPr>
  </w:style>
  <w:style w:type="character" w:styleId="Hyperlink">
    <w:name w:val="Hyperlink"/>
    <w:basedOn w:val="DefaultParagraphFont"/>
    <w:uiPriority w:val="99"/>
    <w:rsid w:val="008D770A"/>
    <w:rPr>
      <w:color w:val="0033CC"/>
      <w:u w:val="single"/>
    </w:rPr>
  </w:style>
  <w:style w:type="paragraph" w:styleId="BalloonText">
    <w:name w:val="Balloon Text"/>
    <w:basedOn w:val="Normal"/>
    <w:link w:val="BalloonTextChar"/>
    <w:uiPriority w:val="99"/>
    <w:rsid w:val="008D770A"/>
    <w:rPr>
      <w:rFonts w:ascii="Tahoma" w:hAnsi="Tahoma" w:cs="Tahoma"/>
      <w:sz w:val="16"/>
      <w:szCs w:val="16"/>
    </w:rPr>
  </w:style>
  <w:style w:type="character" w:customStyle="1" w:styleId="BalloonTextChar">
    <w:name w:val="Balloon Text Char"/>
    <w:basedOn w:val="DefaultParagraphFont"/>
    <w:link w:val="BalloonText"/>
    <w:uiPriority w:val="99"/>
    <w:rsid w:val="008D770A"/>
    <w:rPr>
      <w:rFonts w:ascii="Tahoma" w:eastAsia="Times New Roman" w:hAnsi="Tahoma" w:cs="Tahoma"/>
      <w:sz w:val="16"/>
      <w:szCs w:val="16"/>
    </w:rPr>
  </w:style>
  <w:style w:type="paragraph" w:styleId="E-mailSignature">
    <w:name w:val="E-mail Signature"/>
    <w:basedOn w:val="Normal"/>
    <w:link w:val="E-mailSignatureChar"/>
    <w:rsid w:val="008D770A"/>
  </w:style>
  <w:style w:type="character" w:customStyle="1" w:styleId="E-mailSignatureChar">
    <w:name w:val="E-mail Signature Char"/>
    <w:basedOn w:val="DefaultParagraphFont"/>
    <w:link w:val="E-mailSignature"/>
    <w:rsid w:val="008D770A"/>
    <w:rPr>
      <w:rFonts w:ascii="Times New Roman" w:eastAsia="Times New Roman" w:hAnsi="Times New Roman" w:cs="Times New Roman"/>
      <w:sz w:val="24"/>
      <w:szCs w:val="24"/>
    </w:rPr>
  </w:style>
  <w:style w:type="paragraph" w:styleId="ListParagraph">
    <w:name w:val="List Paragraph"/>
    <w:aliases w:val="Bullet List,FooterText,List Paragraph1,Proposal Bullet List,Paragraph"/>
    <w:basedOn w:val="Normal"/>
    <w:link w:val="ListParagraphChar"/>
    <w:uiPriority w:val="34"/>
    <w:qFormat/>
    <w:rsid w:val="008D770A"/>
    <w:pPr>
      <w:ind w:left="720"/>
    </w:pPr>
    <w:rPr>
      <w:rFonts w:ascii="Calibri" w:eastAsia="Calibri" w:hAnsi="Calibri"/>
      <w:sz w:val="22"/>
      <w:szCs w:val="22"/>
    </w:rPr>
  </w:style>
  <w:style w:type="paragraph" w:customStyle="1" w:styleId="C2-CtrSglSp">
    <w:name w:val="C2-Ctr Sgl Sp"/>
    <w:rsid w:val="008D770A"/>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8D770A"/>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8D770A"/>
    <w:pPr>
      <w:tabs>
        <w:tab w:val="left" w:pos="1440"/>
        <w:tab w:val="right" w:leader="dot" w:pos="8208"/>
        <w:tab w:val="left" w:pos="8640"/>
      </w:tabs>
      <w:spacing w:line="240" w:lineRule="atLeast"/>
      <w:ind w:left="1443"/>
    </w:pPr>
    <w:rPr>
      <w:caps/>
      <w:noProof/>
    </w:rPr>
  </w:style>
  <w:style w:type="paragraph" w:styleId="TOC2">
    <w:name w:val="toc 2"/>
    <w:basedOn w:val="Normal"/>
    <w:autoRedefine/>
    <w:uiPriority w:val="39"/>
    <w:semiHidden/>
    <w:rsid w:val="008D770A"/>
    <w:pPr>
      <w:tabs>
        <w:tab w:val="left" w:pos="2160"/>
        <w:tab w:val="right" w:leader="dot" w:pos="8208"/>
        <w:tab w:val="left" w:pos="8640"/>
      </w:tabs>
      <w:spacing w:line="240" w:lineRule="atLeast"/>
      <w:ind w:left="2160" w:hanging="72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8D770A"/>
    <w:rPr>
      <w:rFonts w:ascii="Calibri" w:eastAsia="Calibri" w:hAnsi="Calibri" w:cs="Times New Roman"/>
    </w:rPr>
  </w:style>
  <w:style w:type="character" w:styleId="CommentReference">
    <w:name w:val="annotation reference"/>
    <w:basedOn w:val="DefaultParagraphFont"/>
    <w:uiPriority w:val="99"/>
    <w:semiHidden/>
    <w:unhideWhenUsed/>
    <w:rsid w:val="008D770A"/>
    <w:rPr>
      <w:sz w:val="16"/>
      <w:szCs w:val="16"/>
    </w:rPr>
  </w:style>
  <w:style w:type="paragraph" w:styleId="CommentText">
    <w:name w:val="annotation text"/>
    <w:basedOn w:val="Normal"/>
    <w:link w:val="CommentTextChar"/>
    <w:uiPriority w:val="99"/>
    <w:unhideWhenUsed/>
    <w:rsid w:val="008D770A"/>
    <w:rPr>
      <w:sz w:val="20"/>
      <w:szCs w:val="20"/>
    </w:rPr>
  </w:style>
  <w:style w:type="character" w:customStyle="1" w:styleId="CommentTextChar">
    <w:name w:val="Comment Text Char"/>
    <w:basedOn w:val="DefaultParagraphFont"/>
    <w:link w:val="CommentText"/>
    <w:uiPriority w:val="99"/>
    <w:rsid w:val="008D77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770A"/>
    <w:rPr>
      <w:b/>
      <w:bCs/>
    </w:rPr>
  </w:style>
  <w:style w:type="character" w:customStyle="1" w:styleId="CommentSubjectChar">
    <w:name w:val="Comment Subject Char"/>
    <w:basedOn w:val="CommentTextChar"/>
    <w:link w:val="CommentSubject"/>
    <w:uiPriority w:val="99"/>
    <w:semiHidden/>
    <w:rsid w:val="008D770A"/>
    <w:rPr>
      <w:rFonts w:ascii="Times New Roman" w:eastAsia="Times New Roman" w:hAnsi="Times New Roman" w:cs="Times New Roman"/>
      <w:b/>
      <w:bCs/>
      <w:sz w:val="20"/>
      <w:szCs w:val="20"/>
    </w:rPr>
  </w:style>
  <w:style w:type="paragraph" w:styleId="Revision">
    <w:name w:val="Revision"/>
    <w:hidden/>
    <w:uiPriority w:val="99"/>
    <w:rsid w:val="008D770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8D770A"/>
    <w:pPr>
      <w:spacing w:before="100" w:beforeAutospacing="1" w:after="100" w:afterAutospacing="1"/>
    </w:pPr>
  </w:style>
  <w:style w:type="paragraph" w:customStyle="1" w:styleId="Default">
    <w:name w:val="Default"/>
    <w:uiPriority w:val="99"/>
    <w:rsid w:val="008D770A"/>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customStyle="1" w:styleId="NormalSS">
    <w:name w:val="NormalSS"/>
    <w:basedOn w:val="Normal"/>
    <w:link w:val="NormalSSChar"/>
    <w:qFormat/>
    <w:rsid w:val="008D770A"/>
    <w:pPr>
      <w:spacing w:after="240"/>
      <w:ind w:firstLine="432"/>
    </w:pPr>
    <w:rPr>
      <w:szCs w:val="20"/>
    </w:rPr>
  </w:style>
  <w:style w:type="character" w:customStyle="1" w:styleId="NormalSSChar">
    <w:name w:val="NormalSS Char"/>
    <w:link w:val="NormalSS"/>
    <w:locked/>
    <w:rsid w:val="008D770A"/>
    <w:rPr>
      <w:rFonts w:ascii="Times New Roman" w:eastAsia="Times New Roman" w:hAnsi="Times New Roman" w:cs="Times New Roman"/>
      <w:sz w:val="24"/>
      <w:szCs w:val="20"/>
    </w:rPr>
  </w:style>
  <w:style w:type="table" w:styleId="TableGrid">
    <w:name w:val="Table Grid"/>
    <w:basedOn w:val="TableNormal"/>
    <w:uiPriority w:val="5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D770A"/>
    <w:rPr>
      <w:rFonts w:ascii="Times" w:hAnsi="Times"/>
      <w:szCs w:val="20"/>
    </w:rPr>
  </w:style>
  <w:style w:type="paragraph" w:styleId="NoSpacing">
    <w:name w:val="No Spacing"/>
    <w:uiPriority w:val="1"/>
    <w:qFormat/>
    <w:rsid w:val="008D770A"/>
    <w:pPr>
      <w:spacing w:after="0" w:line="240" w:lineRule="auto"/>
    </w:pPr>
    <w:rPr>
      <w:rFonts w:ascii="Arial" w:eastAsia="Times New Roman" w:hAnsi="Arial" w:cs="Times New Roman"/>
    </w:rPr>
  </w:style>
  <w:style w:type="paragraph" w:customStyle="1" w:styleId="body">
    <w:name w:val="body"/>
    <w:basedOn w:val="Normal"/>
    <w:rsid w:val="008D770A"/>
    <w:rPr>
      <w:snapToGrid w:val="0"/>
      <w:szCs w:val="20"/>
    </w:rPr>
  </w:style>
  <w:style w:type="paragraph" w:styleId="BodyText2">
    <w:name w:val="Body Text 2"/>
    <w:basedOn w:val="Normal"/>
    <w:link w:val="BodyText2Char"/>
    <w:rsid w:val="008D770A"/>
    <w:rPr>
      <w:color w:val="000000"/>
      <w:szCs w:val="20"/>
    </w:rPr>
  </w:style>
  <w:style w:type="character" w:customStyle="1" w:styleId="BodyText2Char">
    <w:name w:val="Body Text 2 Char"/>
    <w:basedOn w:val="DefaultParagraphFont"/>
    <w:link w:val="BodyText2"/>
    <w:rsid w:val="008D770A"/>
    <w:rPr>
      <w:rFonts w:ascii="Times New Roman" w:eastAsia="Times New Roman" w:hAnsi="Times New Roman" w:cs="Times New Roman"/>
      <w:color w:val="000000"/>
      <w:sz w:val="24"/>
      <w:szCs w:val="20"/>
    </w:rPr>
  </w:style>
  <w:style w:type="paragraph" w:styleId="Header">
    <w:name w:val="header"/>
    <w:basedOn w:val="Normal"/>
    <w:link w:val="HeaderChar"/>
    <w:uiPriority w:val="99"/>
    <w:rsid w:val="008D770A"/>
    <w:pPr>
      <w:tabs>
        <w:tab w:val="center" w:pos="4320"/>
        <w:tab w:val="right" w:pos="8640"/>
      </w:tabs>
    </w:pPr>
    <w:rPr>
      <w:sz w:val="20"/>
      <w:szCs w:val="20"/>
    </w:rPr>
  </w:style>
  <w:style w:type="character" w:customStyle="1" w:styleId="HeaderChar">
    <w:name w:val="Header Char"/>
    <w:basedOn w:val="DefaultParagraphFont"/>
    <w:link w:val="Header"/>
    <w:uiPriority w:val="99"/>
    <w:rsid w:val="008D770A"/>
    <w:rPr>
      <w:rFonts w:ascii="Times New Roman" w:eastAsia="Times New Roman" w:hAnsi="Times New Roman" w:cs="Times New Roman"/>
      <w:sz w:val="20"/>
      <w:szCs w:val="20"/>
    </w:rPr>
  </w:style>
  <w:style w:type="paragraph" w:customStyle="1" w:styleId="SL-FlLftSgl">
    <w:name w:val="SL-Fl Lft Sgl"/>
    <w:rsid w:val="008D770A"/>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8D770A"/>
    <w:pPr>
      <w:numPr>
        <w:numId w:val="6"/>
      </w:numPr>
      <w:tabs>
        <w:tab w:val="clear" w:pos="504"/>
        <w:tab w:val="num" w:pos="600"/>
      </w:tabs>
      <w:ind w:left="600" w:hanging="360"/>
    </w:pPr>
  </w:style>
  <w:style w:type="paragraph" w:styleId="BodyText">
    <w:name w:val="Body Text"/>
    <w:basedOn w:val="Normal"/>
    <w:link w:val="BodyTextChar"/>
    <w:unhideWhenUsed/>
    <w:rsid w:val="008D770A"/>
    <w:pPr>
      <w:spacing w:after="120"/>
    </w:pPr>
  </w:style>
  <w:style w:type="character" w:customStyle="1" w:styleId="BodyTextChar">
    <w:name w:val="Body Text Char"/>
    <w:basedOn w:val="DefaultParagraphFont"/>
    <w:link w:val="BodyText"/>
    <w:rsid w:val="008D770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D770A"/>
  </w:style>
  <w:style w:type="table" w:customStyle="1" w:styleId="TableGrid1">
    <w:name w:val="Table Grid1"/>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770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D770A"/>
  </w:style>
  <w:style w:type="numbering" w:customStyle="1" w:styleId="NoList2">
    <w:name w:val="No List2"/>
    <w:next w:val="NoList"/>
    <w:uiPriority w:val="99"/>
    <w:semiHidden/>
    <w:unhideWhenUsed/>
    <w:rsid w:val="008D770A"/>
  </w:style>
  <w:style w:type="numbering" w:customStyle="1" w:styleId="NoList3">
    <w:name w:val="No List3"/>
    <w:next w:val="NoList"/>
    <w:uiPriority w:val="99"/>
    <w:semiHidden/>
    <w:unhideWhenUsed/>
    <w:rsid w:val="008D770A"/>
  </w:style>
  <w:style w:type="numbering" w:customStyle="1" w:styleId="NoList4">
    <w:name w:val="No List4"/>
    <w:next w:val="NoList"/>
    <w:uiPriority w:val="99"/>
    <w:semiHidden/>
    <w:unhideWhenUsed/>
    <w:rsid w:val="008D770A"/>
  </w:style>
  <w:style w:type="table" w:customStyle="1" w:styleId="TableGrid2">
    <w:name w:val="Table Grid2"/>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D770A"/>
  </w:style>
  <w:style w:type="table" w:customStyle="1" w:styleId="TableGrid3">
    <w:name w:val="Table Grid3"/>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D770A"/>
  </w:style>
  <w:style w:type="table" w:customStyle="1" w:styleId="TableGrid4">
    <w:name w:val="Table Grid4"/>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D770A"/>
    <w:rPr>
      <w:rFonts w:ascii="Arial" w:hAnsi="Arial"/>
      <w:sz w:val="18"/>
      <w:szCs w:val="20"/>
    </w:rPr>
  </w:style>
  <w:style w:type="table" w:customStyle="1" w:styleId="Table">
    <w:name w:val="Table"/>
    <w:basedOn w:val="TableNormal"/>
    <w:uiPriority w:val="99"/>
    <w:qFormat/>
    <w:locked/>
    <w:rsid w:val="008D770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Bahnschrift" w:hAnsi="Bahnschrif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odyText3">
    <w:name w:val="Body Text 3"/>
    <w:basedOn w:val="Normal"/>
    <w:link w:val="BodyText3Char"/>
    <w:unhideWhenUsed/>
    <w:rsid w:val="008D770A"/>
    <w:pPr>
      <w:spacing w:after="120"/>
    </w:pPr>
    <w:rPr>
      <w:sz w:val="16"/>
      <w:szCs w:val="16"/>
    </w:rPr>
  </w:style>
  <w:style w:type="character" w:customStyle="1" w:styleId="BodyText3Char">
    <w:name w:val="Body Text 3 Char"/>
    <w:basedOn w:val="DefaultParagraphFont"/>
    <w:link w:val="BodyText3"/>
    <w:rsid w:val="008D770A"/>
    <w:rPr>
      <w:rFonts w:ascii="Times New Roman" w:eastAsia="Times New Roman" w:hAnsi="Times New Roman" w:cs="Times New Roman"/>
      <w:sz w:val="16"/>
      <w:szCs w:val="16"/>
    </w:rPr>
  </w:style>
  <w:style w:type="character" w:styleId="PageNumber">
    <w:name w:val="page number"/>
    <w:basedOn w:val="DefaultParagraphFont"/>
    <w:uiPriority w:val="99"/>
    <w:rsid w:val="008D770A"/>
  </w:style>
  <w:style w:type="paragraph" w:customStyle="1" w:styleId="text">
    <w:name w:val="text"/>
    <w:basedOn w:val="Normal"/>
    <w:rsid w:val="008D770A"/>
    <w:pPr>
      <w:spacing w:before="100" w:beforeAutospacing="1" w:after="100" w:afterAutospacing="1"/>
    </w:pPr>
  </w:style>
  <w:style w:type="paragraph" w:styleId="BodyTextIndent">
    <w:name w:val="Body Text Indent"/>
    <w:basedOn w:val="Normal"/>
    <w:link w:val="BodyTextIndentChar"/>
    <w:rsid w:val="008D770A"/>
    <w:pPr>
      <w:tabs>
        <w:tab w:val="left" w:pos="180"/>
      </w:tabs>
      <w:ind w:left="360" w:hanging="360"/>
    </w:pPr>
    <w:rPr>
      <w:rFonts w:ascii="Helvetica" w:hAnsi="Helvetica"/>
      <w:bCs/>
      <w:sz w:val="20"/>
    </w:rPr>
  </w:style>
  <w:style w:type="character" w:customStyle="1" w:styleId="BodyTextIndentChar">
    <w:name w:val="Body Text Indent Char"/>
    <w:basedOn w:val="DefaultParagraphFont"/>
    <w:link w:val="BodyTextIndent"/>
    <w:rsid w:val="008D770A"/>
    <w:rPr>
      <w:rFonts w:ascii="Helvetica" w:eastAsia="Times New Roman" w:hAnsi="Helvetica" w:cs="Times New Roman"/>
      <w:bCs/>
      <w:sz w:val="20"/>
      <w:szCs w:val="24"/>
    </w:rPr>
  </w:style>
  <w:style w:type="paragraph" w:styleId="FootnoteText">
    <w:name w:val="footnote text"/>
    <w:basedOn w:val="Normal"/>
    <w:link w:val="FootnoteTextChar"/>
    <w:uiPriority w:val="99"/>
    <w:unhideWhenUsed/>
    <w:rsid w:val="008D770A"/>
    <w:rPr>
      <w:rFonts w:ascii="Times" w:eastAsia="Calibri" w:hAnsi="Times" w:cs="Times"/>
    </w:rPr>
  </w:style>
  <w:style w:type="character" w:customStyle="1" w:styleId="FootnoteTextChar">
    <w:name w:val="Footnote Text Char"/>
    <w:basedOn w:val="DefaultParagraphFont"/>
    <w:link w:val="FootnoteText"/>
    <w:uiPriority w:val="99"/>
    <w:rsid w:val="008D770A"/>
    <w:rPr>
      <w:rFonts w:ascii="Times" w:eastAsia="Calibri" w:hAnsi="Times" w:cs="Times"/>
      <w:sz w:val="24"/>
      <w:szCs w:val="24"/>
    </w:rPr>
  </w:style>
  <w:style w:type="paragraph" w:styleId="Title">
    <w:name w:val="Title"/>
    <w:basedOn w:val="Normal"/>
    <w:link w:val="TitleChar"/>
    <w:qFormat/>
    <w:rsid w:val="008D770A"/>
    <w:pPr>
      <w:jc w:val="center"/>
    </w:pPr>
    <w:rPr>
      <w:b/>
      <w:i/>
      <w:sz w:val="32"/>
      <w:szCs w:val="20"/>
      <w:u w:val="single"/>
    </w:rPr>
  </w:style>
  <w:style w:type="character" w:customStyle="1" w:styleId="TitleChar">
    <w:name w:val="Title Char"/>
    <w:basedOn w:val="DefaultParagraphFont"/>
    <w:link w:val="Title"/>
    <w:rsid w:val="008D770A"/>
    <w:rPr>
      <w:rFonts w:ascii="Times New Roman" w:eastAsia="Times New Roman" w:hAnsi="Times New Roman" w:cs="Times New Roman"/>
      <w:b/>
      <w:i/>
      <w:sz w:val="32"/>
      <w:szCs w:val="20"/>
      <w:u w:val="single"/>
    </w:rPr>
  </w:style>
  <w:style w:type="paragraph" w:customStyle="1" w:styleId="CDCBody">
    <w:name w:val="CDC Body"/>
    <w:basedOn w:val="Normal"/>
    <w:qFormat/>
    <w:rsid w:val="008D770A"/>
    <w:pPr>
      <w:widowControl w:val="0"/>
      <w:spacing w:after="240" w:line="360" w:lineRule="auto"/>
    </w:pPr>
    <w:rPr>
      <w:rFonts w:asciiTheme="minorHAnsi" w:eastAsia="Calibri" w:hAnsiTheme="minorHAnsi"/>
    </w:rPr>
  </w:style>
  <w:style w:type="paragraph" w:styleId="TOCHeading">
    <w:name w:val="TOC Heading"/>
    <w:basedOn w:val="Heading1"/>
    <w:next w:val="Normal"/>
    <w:uiPriority w:val="39"/>
    <w:unhideWhenUsed/>
    <w:qFormat/>
    <w:rsid w:val="008D770A"/>
    <w:pPr>
      <w:keepLines/>
      <w:spacing w:before="480" w:line="276" w:lineRule="auto"/>
      <w:outlineLvl w:val="9"/>
    </w:pPr>
    <w:rPr>
      <w:rFonts w:asciiTheme="majorHAnsi" w:eastAsiaTheme="majorEastAsia" w:hAnsiTheme="majorHAnsi" w:cstheme="majorBidi"/>
      <w:b/>
      <w:bCs/>
      <w:color w:val="2E74B5" w:themeColor="accent1" w:themeShade="BF"/>
      <w:sz w:val="28"/>
      <w:szCs w:val="28"/>
    </w:rPr>
  </w:style>
  <w:style w:type="paragraph" w:styleId="TOC3">
    <w:name w:val="toc 3"/>
    <w:basedOn w:val="Normal"/>
    <w:next w:val="Normal"/>
    <w:autoRedefine/>
    <w:uiPriority w:val="39"/>
    <w:semiHidden/>
    <w:unhideWhenUsed/>
    <w:rsid w:val="008D770A"/>
    <w:pPr>
      <w:spacing w:line="259" w:lineRule="auto"/>
      <w:ind w:left="440"/>
    </w:pPr>
    <w:rPr>
      <w:rFonts w:asciiTheme="minorHAnsi" w:eastAsiaTheme="minorHAnsi" w:hAnsiTheme="minorHAnsi" w:cstheme="minorHAnsi"/>
      <w:sz w:val="20"/>
      <w:szCs w:val="20"/>
    </w:rPr>
  </w:style>
  <w:style w:type="paragraph" w:styleId="TOC4">
    <w:name w:val="toc 4"/>
    <w:basedOn w:val="Normal"/>
    <w:next w:val="Normal"/>
    <w:autoRedefine/>
    <w:uiPriority w:val="39"/>
    <w:semiHidden/>
    <w:unhideWhenUsed/>
    <w:rsid w:val="008D770A"/>
    <w:pPr>
      <w:spacing w:line="259" w:lineRule="auto"/>
      <w:ind w:left="660"/>
    </w:pPr>
    <w:rPr>
      <w:rFonts w:asciiTheme="minorHAnsi" w:eastAsiaTheme="minorHAnsi" w:hAnsiTheme="minorHAnsi" w:cstheme="minorHAnsi"/>
      <w:sz w:val="20"/>
      <w:szCs w:val="20"/>
    </w:rPr>
  </w:style>
  <w:style w:type="paragraph" w:styleId="TOC5">
    <w:name w:val="toc 5"/>
    <w:basedOn w:val="Normal"/>
    <w:next w:val="Normal"/>
    <w:autoRedefine/>
    <w:uiPriority w:val="39"/>
    <w:semiHidden/>
    <w:unhideWhenUsed/>
    <w:rsid w:val="008D770A"/>
    <w:pPr>
      <w:spacing w:line="259" w:lineRule="auto"/>
      <w:ind w:left="880"/>
    </w:pPr>
    <w:rPr>
      <w:rFonts w:asciiTheme="minorHAnsi" w:eastAsiaTheme="minorHAnsi" w:hAnsiTheme="minorHAnsi" w:cstheme="minorHAnsi"/>
      <w:sz w:val="20"/>
      <w:szCs w:val="20"/>
    </w:rPr>
  </w:style>
  <w:style w:type="paragraph" w:styleId="TOC6">
    <w:name w:val="toc 6"/>
    <w:basedOn w:val="Normal"/>
    <w:next w:val="Normal"/>
    <w:autoRedefine/>
    <w:uiPriority w:val="39"/>
    <w:semiHidden/>
    <w:unhideWhenUsed/>
    <w:rsid w:val="008D770A"/>
    <w:pPr>
      <w:spacing w:line="259" w:lineRule="auto"/>
      <w:ind w:left="1100"/>
    </w:pPr>
    <w:rPr>
      <w:rFonts w:asciiTheme="minorHAnsi" w:eastAsiaTheme="minorHAnsi" w:hAnsiTheme="minorHAnsi" w:cstheme="minorHAnsi"/>
      <w:sz w:val="20"/>
      <w:szCs w:val="20"/>
    </w:rPr>
  </w:style>
  <w:style w:type="paragraph" w:styleId="TOC7">
    <w:name w:val="toc 7"/>
    <w:basedOn w:val="Normal"/>
    <w:next w:val="Normal"/>
    <w:autoRedefine/>
    <w:uiPriority w:val="39"/>
    <w:semiHidden/>
    <w:unhideWhenUsed/>
    <w:rsid w:val="008D770A"/>
    <w:pPr>
      <w:spacing w:line="259" w:lineRule="auto"/>
      <w:ind w:left="1320"/>
    </w:pPr>
    <w:rPr>
      <w:rFonts w:asciiTheme="minorHAnsi" w:eastAsiaTheme="minorHAnsi" w:hAnsiTheme="minorHAnsi" w:cstheme="minorHAnsi"/>
      <w:sz w:val="20"/>
      <w:szCs w:val="20"/>
    </w:rPr>
  </w:style>
  <w:style w:type="paragraph" w:styleId="TOC8">
    <w:name w:val="toc 8"/>
    <w:basedOn w:val="Normal"/>
    <w:next w:val="Normal"/>
    <w:autoRedefine/>
    <w:uiPriority w:val="39"/>
    <w:semiHidden/>
    <w:unhideWhenUsed/>
    <w:rsid w:val="008D770A"/>
    <w:pPr>
      <w:spacing w:line="259" w:lineRule="auto"/>
      <w:ind w:left="1540"/>
    </w:pPr>
    <w:rPr>
      <w:rFonts w:asciiTheme="minorHAnsi" w:eastAsiaTheme="minorHAnsi" w:hAnsiTheme="minorHAnsi" w:cstheme="minorHAnsi"/>
      <w:sz w:val="20"/>
      <w:szCs w:val="20"/>
    </w:rPr>
  </w:style>
  <w:style w:type="paragraph" w:styleId="TOC9">
    <w:name w:val="toc 9"/>
    <w:basedOn w:val="Normal"/>
    <w:next w:val="Normal"/>
    <w:autoRedefine/>
    <w:uiPriority w:val="39"/>
    <w:semiHidden/>
    <w:unhideWhenUsed/>
    <w:rsid w:val="008D770A"/>
    <w:pPr>
      <w:spacing w:line="259" w:lineRule="auto"/>
      <w:ind w:left="1760"/>
    </w:pPr>
    <w:rPr>
      <w:rFonts w:asciiTheme="minorHAnsi" w:eastAsiaTheme="minorHAnsi" w:hAnsiTheme="minorHAnsi" w:cstheme="minorHAnsi"/>
      <w:sz w:val="20"/>
      <w:szCs w:val="20"/>
    </w:rPr>
  </w:style>
  <w:style w:type="paragraph" w:styleId="ListBullet">
    <w:name w:val="List Bullet"/>
    <w:basedOn w:val="Normal"/>
    <w:uiPriority w:val="99"/>
    <w:unhideWhenUsed/>
    <w:rsid w:val="008D770A"/>
    <w:pPr>
      <w:numPr>
        <w:numId w:val="7"/>
      </w:numPr>
      <w:contextualSpacing/>
    </w:pPr>
  </w:style>
  <w:style w:type="paragraph" w:customStyle="1" w:styleId="EndNoteBibliography">
    <w:name w:val="EndNote Bibliography"/>
    <w:basedOn w:val="Normal"/>
    <w:link w:val="EndNoteBibliographyChar"/>
    <w:rsid w:val="00E81AB7"/>
    <w:rPr>
      <w:rFonts w:eastAsiaTheme="minorHAnsi"/>
      <w:noProof/>
    </w:rPr>
  </w:style>
  <w:style w:type="character" w:customStyle="1" w:styleId="EndNoteBibliographyChar">
    <w:name w:val="EndNote Bibliography Char"/>
    <w:basedOn w:val="DefaultParagraphFont"/>
    <w:link w:val="EndNoteBibliography"/>
    <w:rsid w:val="00E81AB7"/>
    <w:rPr>
      <w:rFonts w:ascii="Times New Roman" w:hAnsi="Times New Roman" w:cs="Times New Roman"/>
      <w:noProof/>
      <w:sz w:val="24"/>
      <w:szCs w:val="24"/>
    </w:rPr>
  </w:style>
  <w:style w:type="character" w:customStyle="1" w:styleId="UnresolvedMention1">
    <w:name w:val="Unresolved Mention1"/>
    <w:basedOn w:val="DefaultParagraphFont"/>
    <w:uiPriority w:val="99"/>
    <w:semiHidden/>
    <w:unhideWhenUsed/>
    <w:rsid w:val="004A24AE"/>
    <w:rPr>
      <w:color w:val="605E5C"/>
      <w:shd w:val="clear" w:color="auto" w:fill="E1DFDD"/>
    </w:rPr>
  </w:style>
  <w:style w:type="character" w:styleId="FollowedHyperlink">
    <w:name w:val="FollowedHyperlink"/>
    <w:basedOn w:val="DefaultParagraphFont"/>
    <w:uiPriority w:val="99"/>
    <w:semiHidden/>
    <w:unhideWhenUsed/>
    <w:rsid w:val="00E321D2"/>
    <w:rPr>
      <w:color w:val="954F72" w:themeColor="followedHyperlink"/>
      <w:u w:val="single"/>
    </w:rPr>
  </w:style>
  <w:style w:type="paragraph" w:customStyle="1" w:styleId="EndNoteBibliographyTitle">
    <w:name w:val="EndNote Bibliography Title"/>
    <w:basedOn w:val="Normal"/>
    <w:link w:val="EndNoteBibliographyTitleChar"/>
    <w:rsid w:val="00560DB7"/>
    <w:pPr>
      <w:jc w:val="center"/>
    </w:pPr>
    <w:rPr>
      <w:noProof/>
    </w:rPr>
  </w:style>
  <w:style w:type="character" w:customStyle="1" w:styleId="EndNoteBibliographyTitleChar">
    <w:name w:val="EndNote Bibliography Title Char"/>
    <w:basedOn w:val="DefaultParagraphFont"/>
    <w:link w:val="EndNoteBibliographyTitle"/>
    <w:rsid w:val="00560DB7"/>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D770A"/>
    <w:pPr>
      <w:keepNext/>
      <w:outlineLvl w:val="0"/>
    </w:pPr>
    <w:rPr>
      <w:szCs w:val="20"/>
    </w:rPr>
  </w:style>
  <w:style w:type="paragraph" w:styleId="Heading2">
    <w:name w:val="heading 2"/>
    <w:basedOn w:val="Normal"/>
    <w:next w:val="Normal"/>
    <w:link w:val="Heading2Char"/>
    <w:uiPriority w:val="9"/>
    <w:unhideWhenUsed/>
    <w:qFormat/>
    <w:rsid w:val="008D77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770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8D770A"/>
    <w:pPr>
      <w:keepNext/>
      <w:autoSpaceDE w:val="0"/>
      <w:autoSpaceDN w:val="0"/>
      <w:adjustRightInd w:val="0"/>
      <w:outlineLvl w:val="3"/>
    </w:pPr>
    <w:rPr>
      <w:sz w:val="22"/>
      <w:szCs w:val="16"/>
      <w:u w:val="single"/>
    </w:rPr>
  </w:style>
  <w:style w:type="paragraph" w:styleId="Heading5">
    <w:name w:val="heading 5"/>
    <w:basedOn w:val="Normal"/>
    <w:next w:val="Normal"/>
    <w:link w:val="Heading5Char"/>
    <w:qFormat/>
    <w:rsid w:val="008D770A"/>
    <w:pPr>
      <w:keepNext/>
      <w:spacing w:before="80" w:after="80"/>
      <w:jc w:val="center"/>
      <w:outlineLvl w:val="4"/>
    </w:pPr>
    <w:rPr>
      <w:rFonts w:ascii="Helvetica" w:hAnsi="Helvetica"/>
      <w:b/>
      <w:bCs/>
      <w:sz w:val="20"/>
    </w:rPr>
  </w:style>
  <w:style w:type="paragraph" w:styleId="Heading6">
    <w:name w:val="heading 6"/>
    <w:basedOn w:val="Normal"/>
    <w:next w:val="Normal"/>
    <w:link w:val="Heading6Char"/>
    <w:qFormat/>
    <w:rsid w:val="008D770A"/>
    <w:pPr>
      <w:keepNext/>
      <w:outlineLvl w:val="5"/>
    </w:pPr>
    <w:rPr>
      <w:rFonts w:ascii="Helvetica" w:hAnsi="Helvetica"/>
      <w:b/>
      <w:iCs/>
      <w:color w:val="000000"/>
      <w:sz w:val="26"/>
      <w:u w:val="single"/>
    </w:rPr>
  </w:style>
  <w:style w:type="paragraph" w:styleId="Heading7">
    <w:name w:val="heading 7"/>
    <w:basedOn w:val="Normal"/>
    <w:next w:val="Normal"/>
    <w:link w:val="Heading7Char"/>
    <w:uiPriority w:val="9"/>
    <w:semiHidden/>
    <w:unhideWhenUsed/>
    <w:qFormat/>
    <w:rsid w:val="008D770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D770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D770A"/>
    <w:pPr>
      <w:keepNext/>
      <w:pBdr>
        <w:top w:val="single" w:sz="4" w:space="1" w:color="auto"/>
        <w:left w:val="single" w:sz="4" w:space="4" w:color="auto"/>
        <w:bottom w:val="single" w:sz="4" w:space="1" w:color="auto"/>
        <w:right w:val="single" w:sz="4" w:space="4" w:color="auto"/>
      </w:pBdr>
      <w:jc w:val="center"/>
      <w:outlineLvl w:val="8"/>
    </w:pPr>
    <w:rPr>
      <w:rFonts w:ascii="Times" w:eastAsia="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0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8D77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77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8D770A"/>
    <w:rPr>
      <w:rFonts w:ascii="Times New Roman" w:eastAsia="Times New Roman" w:hAnsi="Times New Roman" w:cs="Times New Roman"/>
      <w:szCs w:val="16"/>
      <w:u w:val="single"/>
    </w:rPr>
  </w:style>
  <w:style w:type="character" w:customStyle="1" w:styleId="Heading5Char">
    <w:name w:val="Heading 5 Char"/>
    <w:basedOn w:val="DefaultParagraphFont"/>
    <w:link w:val="Heading5"/>
    <w:rsid w:val="008D770A"/>
    <w:rPr>
      <w:rFonts w:ascii="Helvetica" w:eastAsia="Times New Roman" w:hAnsi="Helvetica" w:cs="Times New Roman"/>
      <w:b/>
      <w:bCs/>
      <w:sz w:val="20"/>
      <w:szCs w:val="24"/>
    </w:rPr>
  </w:style>
  <w:style w:type="character" w:customStyle="1" w:styleId="Heading6Char">
    <w:name w:val="Heading 6 Char"/>
    <w:basedOn w:val="DefaultParagraphFont"/>
    <w:link w:val="Heading6"/>
    <w:rsid w:val="008D770A"/>
    <w:rPr>
      <w:rFonts w:ascii="Helvetica" w:eastAsia="Times New Roman" w:hAnsi="Helvetica" w:cs="Times New Roman"/>
      <w:b/>
      <w:iCs/>
      <w:color w:val="000000"/>
      <w:sz w:val="26"/>
      <w:szCs w:val="24"/>
      <w:u w:val="single"/>
    </w:rPr>
  </w:style>
  <w:style w:type="character" w:customStyle="1" w:styleId="Heading7Char">
    <w:name w:val="Heading 7 Char"/>
    <w:basedOn w:val="DefaultParagraphFont"/>
    <w:link w:val="Heading7"/>
    <w:uiPriority w:val="9"/>
    <w:semiHidden/>
    <w:rsid w:val="008D770A"/>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8D77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D770A"/>
    <w:rPr>
      <w:rFonts w:ascii="Times" w:eastAsia="Times" w:hAnsi="Times" w:cs="Times New Roman"/>
      <w:b/>
      <w:sz w:val="20"/>
      <w:szCs w:val="20"/>
    </w:rPr>
  </w:style>
  <w:style w:type="character" w:styleId="Hyperlink">
    <w:name w:val="Hyperlink"/>
    <w:basedOn w:val="DefaultParagraphFont"/>
    <w:uiPriority w:val="99"/>
    <w:rsid w:val="008D770A"/>
    <w:rPr>
      <w:color w:val="0033CC"/>
      <w:u w:val="single"/>
    </w:rPr>
  </w:style>
  <w:style w:type="paragraph" w:styleId="BalloonText">
    <w:name w:val="Balloon Text"/>
    <w:basedOn w:val="Normal"/>
    <w:link w:val="BalloonTextChar"/>
    <w:uiPriority w:val="99"/>
    <w:rsid w:val="008D770A"/>
    <w:rPr>
      <w:rFonts w:ascii="Tahoma" w:hAnsi="Tahoma" w:cs="Tahoma"/>
      <w:sz w:val="16"/>
      <w:szCs w:val="16"/>
    </w:rPr>
  </w:style>
  <w:style w:type="character" w:customStyle="1" w:styleId="BalloonTextChar">
    <w:name w:val="Balloon Text Char"/>
    <w:basedOn w:val="DefaultParagraphFont"/>
    <w:link w:val="BalloonText"/>
    <w:uiPriority w:val="99"/>
    <w:rsid w:val="008D770A"/>
    <w:rPr>
      <w:rFonts w:ascii="Tahoma" w:eastAsia="Times New Roman" w:hAnsi="Tahoma" w:cs="Tahoma"/>
      <w:sz w:val="16"/>
      <w:szCs w:val="16"/>
    </w:rPr>
  </w:style>
  <w:style w:type="paragraph" w:styleId="E-mailSignature">
    <w:name w:val="E-mail Signature"/>
    <w:basedOn w:val="Normal"/>
    <w:link w:val="E-mailSignatureChar"/>
    <w:rsid w:val="008D770A"/>
  </w:style>
  <w:style w:type="character" w:customStyle="1" w:styleId="E-mailSignatureChar">
    <w:name w:val="E-mail Signature Char"/>
    <w:basedOn w:val="DefaultParagraphFont"/>
    <w:link w:val="E-mailSignature"/>
    <w:rsid w:val="008D770A"/>
    <w:rPr>
      <w:rFonts w:ascii="Times New Roman" w:eastAsia="Times New Roman" w:hAnsi="Times New Roman" w:cs="Times New Roman"/>
      <w:sz w:val="24"/>
      <w:szCs w:val="24"/>
    </w:rPr>
  </w:style>
  <w:style w:type="paragraph" w:styleId="ListParagraph">
    <w:name w:val="List Paragraph"/>
    <w:aliases w:val="Bullet List,FooterText,List Paragraph1,Proposal Bullet List,Paragraph"/>
    <w:basedOn w:val="Normal"/>
    <w:link w:val="ListParagraphChar"/>
    <w:uiPriority w:val="34"/>
    <w:qFormat/>
    <w:rsid w:val="008D770A"/>
    <w:pPr>
      <w:ind w:left="720"/>
    </w:pPr>
    <w:rPr>
      <w:rFonts w:ascii="Calibri" w:eastAsia="Calibri" w:hAnsi="Calibri"/>
      <w:sz w:val="22"/>
      <w:szCs w:val="22"/>
    </w:rPr>
  </w:style>
  <w:style w:type="paragraph" w:customStyle="1" w:styleId="C2-CtrSglSp">
    <w:name w:val="C2-Ctr Sgl Sp"/>
    <w:rsid w:val="008D770A"/>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8D770A"/>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8D770A"/>
    <w:pPr>
      <w:tabs>
        <w:tab w:val="left" w:pos="1440"/>
        <w:tab w:val="right" w:leader="dot" w:pos="8208"/>
        <w:tab w:val="left" w:pos="8640"/>
      </w:tabs>
      <w:spacing w:line="240" w:lineRule="atLeast"/>
      <w:ind w:left="1443"/>
    </w:pPr>
    <w:rPr>
      <w:caps/>
      <w:noProof/>
    </w:rPr>
  </w:style>
  <w:style w:type="paragraph" w:styleId="TOC2">
    <w:name w:val="toc 2"/>
    <w:basedOn w:val="Normal"/>
    <w:autoRedefine/>
    <w:uiPriority w:val="39"/>
    <w:semiHidden/>
    <w:rsid w:val="008D770A"/>
    <w:pPr>
      <w:tabs>
        <w:tab w:val="left" w:pos="2160"/>
        <w:tab w:val="right" w:leader="dot" w:pos="8208"/>
        <w:tab w:val="left" w:pos="8640"/>
      </w:tabs>
      <w:spacing w:line="240" w:lineRule="atLeast"/>
      <w:ind w:left="2160" w:hanging="72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8D770A"/>
    <w:rPr>
      <w:rFonts w:ascii="Calibri" w:eastAsia="Calibri" w:hAnsi="Calibri" w:cs="Times New Roman"/>
    </w:rPr>
  </w:style>
  <w:style w:type="character" w:styleId="CommentReference">
    <w:name w:val="annotation reference"/>
    <w:basedOn w:val="DefaultParagraphFont"/>
    <w:uiPriority w:val="99"/>
    <w:semiHidden/>
    <w:unhideWhenUsed/>
    <w:rsid w:val="008D770A"/>
    <w:rPr>
      <w:sz w:val="16"/>
      <w:szCs w:val="16"/>
    </w:rPr>
  </w:style>
  <w:style w:type="paragraph" w:styleId="CommentText">
    <w:name w:val="annotation text"/>
    <w:basedOn w:val="Normal"/>
    <w:link w:val="CommentTextChar"/>
    <w:uiPriority w:val="99"/>
    <w:unhideWhenUsed/>
    <w:rsid w:val="008D770A"/>
    <w:rPr>
      <w:sz w:val="20"/>
      <w:szCs w:val="20"/>
    </w:rPr>
  </w:style>
  <w:style w:type="character" w:customStyle="1" w:styleId="CommentTextChar">
    <w:name w:val="Comment Text Char"/>
    <w:basedOn w:val="DefaultParagraphFont"/>
    <w:link w:val="CommentText"/>
    <w:uiPriority w:val="99"/>
    <w:rsid w:val="008D77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770A"/>
    <w:rPr>
      <w:b/>
      <w:bCs/>
    </w:rPr>
  </w:style>
  <w:style w:type="character" w:customStyle="1" w:styleId="CommentSubjectChar">
    <w:name w:val="Comment Subject Char"/>
    <w:basedOn w:val="CommentTextChar"/>
    <w:link w:val="CommentSubject"/>
    <w:uiPriority w:val="99"/>
    <w:semiHidden/>
    <w:rsid w:val="008D770A"/>
    <w:rPr>
      <w:rFonts w:ascii="Times New Roman" w:eastAsia="Times New Roman" w:hAnsi="Times New Roman" w:cs="Times New Roman"/>
      <w:b/>
      <w:bCs/>
      <w:sz w:val="20"/>
      <w:szCs w:val="20"/>
    </w:rPr>
  </w:style>
  <w:style w:type="paragraph" w:styleId="Revision">
    <w:name w:val="Revision"/>
    <w:hidden/>
    <w:uiPriority w:val="99"/>
    <w:rsid w:val="008D770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8D770A"/>
    <w:pPr>
      <w:spacing w:before="100" w:beforeAutospacing="1" w:after="100" w:afterAutospacing="1"/>
    </w:pPr>
  </w:style>
  <w:style w:type="paragraph" w:customStyle="1" w:styleId="Default">
    <w:name w:val="Default"/>
    <w:uiPriority w:val="99"/>
    <w:rsid w:val="008D770A"/>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customStyle="1" w:styleId="NormalSS">
    <w:name w:val="NormalSS"/>
    <w:basedOn w:val="Normal"/>
    <w:link w:val="NormalSSChar"/>
    <w:qFormat/>
    <w:rsid w:val="008D770A"/>
    <w:pPr>
      <w:spacing w:after="240"/>
      <w:ind w:firstLine="432"/>
    </w:pPr>
    <w:rPr>
      <w:szCs w:val="20"/>
    </w:rPr>
  </w:style>
  <w:style w:type="character" w:customStyle="1" w:styleId="NormalSSChar">
    <w:name w:val="NormalSS Char"/>
    <w:link w:val="NormalSS"/>
    <w:locked/>
    <w:rsid w:val="008D770A"/>
    <w:rPr>
      <w:rFonts w:ascii="Times New Roman" w:eastAsia="Times New Roman" w:hAnsi="Times New Roman" w:cs="Times New Roman"/>
      <w:sz w:val="24"/>
      <w:szCs w:val="20"/>
    </w:rPr>
  </w:style>
  <w:style w:type="table" w:styleId="TableGrid">
    <w:name w:val="Table Grid"/>
    <w:basedOn w:val="TableNormal"/>
    <w:uiPriority w:val="5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D770A"/>
    <w:rPr>
      <w:rFonts w:ascii="Times" w:hAnsi="Times"/>
      <w:szCs w:val="20"/>
    </w:rPr>
  </w:style>
  <w:style w:type="paragraph" w:styleId="NoSpacing">
    <w:name w:val="No Spacing"/>
    <w:uiPriority w:val="1"/>
    <w:qFormat/>
    <w:rsid w:val="008D770A"/>
    <w:pPr>
      <w:spacing w:after="0" w:line="240" w:lineRule="auto"/>
    </w:pPr>
    <w:rPr>
      <w:rFonts w:ascii="Arial" w:eastAsia="Times New Roman" w:hAnsi="Arial" w:cs="Times New Roman"/>
    </w:rPr>
  </w:style>
  <w:style w:type="paragraph" w:customStyle="1" w:styleId="body">
    <w:name w:val="body"/>
    <w:basedOn w:val="Normal"/>
    <w:rsid w:val="008D770A"/>
    <w:rPr>
      <w:snapToGrid w:val="0"/>
      <w:szCs w:val="20"/>
    </w:rPr>
  </w:style>
  <w:style w:type="paragraph" w:styleId="BodyText2">
    <w:name w:val="Body Text 2"/>
    <w:basedOn w:val="Normal"/>
    <w:link w:val="BodyText2Char"/>
    <w:rsid w:val="008D770A"/>
    <w:rPr>
      <w:color w:val="000000"/>
      <w:szCs w:val="20"/>
    </w:rPr>
  </w:style>
  <w:style w:type="character" w:customStyle="1" w:styleId="BodyText2Char">
    <w:name w:val="Body Text 2 Char"/>
    <w:basedOn w:val="DefaultParagraphFont"/>
    <w:link w:val="BodyText2"/>
    <w:rsid w:val="008D770A"/>
    <w:rPr>
      <w:rFonts w:ascii="Times New Roman" w:eastAsia="Times New Roman" w:hAnsi="Times New Roman" w:cs="Times New Roman"/>
      <w:color w:val="000000"/>
      <w:sz w:val="24"/>
      <w:szCs w:val="20"/>
    </w:rPr>
  </w:style>
  <w:style w:type="paragraph" w:styleId="Header">
    <w:name w:val="header"/>
    <w:basedOn w:val="Normal"/>
    <w:link w:val="HeaderChar"/>
    <w:uiPriority w:val="99"/>
    <w:rsid w:val="008D770A"/>
    <w:pPr>
      <w:tabs>
        <w:tab w:val="center" w:pos="4320"/>
        <w:tab w:val="right" w:pos="8640"/>
      </w:tabs>
    </w:pPr>
    <w:rPr>
      <w:sz w:val="20"/>
      <w:szCs w:val="20"/>
    </w:rPr>
  </w:style>
  <w:style w:type="character" w:customStyle="1" w:styleId="HeaderChar">
    <w:name w:val="Header Char"/>
    <w:basedOn w:val="DefaultParagraphFont"/>
    <w:link w:val="Header"/>
    <w:uiPriority w:val="99"/>
    <w:rsid w:val="008D770A"/>
    <w:rPr>
      <w:rFonts w:ascii="Times New Roman" w:eastAsia="Times New Roman" w:hAnsi="Times New Roman" w:cs="Times New Roman"/>
      <w:sz w:val="20"/>
      <w:szCs w:val="20"/>
    </w:rPr>
  </w:style>
  <w:style w:type="paragraph" w:customStyle="1" w:styleId="SL-FlLftSgl">
    <w:name w:val="SL-Fl Lft Sgl"/>
    <w:rsid w:val="008D770A"/>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8D770A"/>
    <w:pPr>
      <w:numPr>
        <w:numId w:val="6"/>
      </w:numPr>
      <w:tabs>
        <w:tab w:val="clear" w:pos="504"/>
        <w:tab w:val="num" w:pos="600"/>
      </w:tabs>
      <w:ind w:left="600" w:hanging="360"/>
    </w:pPr>
  </w:style>
  <w:style w:type="paragraph" w:styleId="BodyText">
    <w:name w:val="Body Text"/>
    <w:basedOn w:val="Normal"/>
    <w:link w:val="BodyTextChar"/>
    <w:unhideWhenUsed/>
    <w:rsid w:val="008D770A"/>
    <w:pPr>
      <w:spacing w:after="120"/>
    </w:pPr>
  </w:style>
  <w:style w:type="character" w:customStyle="1" w:styleId="BodyTextChar">
    <w:name w:val="Body Text Char"/>
    <w:basedOn w:val="DefaultParagraphFont"/>
    <w:link w:val="BodyText"/>
    <w:rsid w:val="008D770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D770A"/>
  </w:style>
  <w:style w:type="table" w:customStyle="1" w:styleId="TableGrid1">
    <w:name w:val="Table Grid1"/>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770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D770A"/>
  </w:style>
  <w:style w:type="numbering" w:customStyle="1" w:styleId="NoList2">
    <w:name w:val="No List2"/>
    <w:next w:val="NoList"/>
    <w:uiPriority w:val="99"/>
    <w:semiHidden/>
    <w:unhideWhenUsed/>
    <w:rsid w:val="008D770A"/>
  </w:style>
  <w:style w:type="numbering" w:customStyle="1" w:styleId="NoList3">
    <w:name w:val="No List3"/>
    <w:next w:val="NoList"/>
    <w:uiPriority w:val="99"/>
    <w:semiHidden/>
    <w:unhideWhenUsed/>
    <w:rsid w:val="008D770A"/>
  </w:style>
  <w:style w:type="numbering" w:customStyle="1" w:styleId="NoList4">
    <w:name w:val="No List4"/>
    <w:next w:val="NoList"/>
    <w:uiPriority w:val="99"/>
    <w:semiHidden/>
    <w:unhideWhenUsed/>
    <w:rsid w:val="008D770A"/>
  </w:style>
  <w:style w:type="table" w:customStyle="1" w:styleId="TableGrid2">
    <w:name w:val="Table Grid2"/>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D770A"/>
  </w:style>
  <w:style w:type="table" w:customStyle="1" w:styleId="TableGrid3">
    <w:name w:val="Table Grid3"/>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D770A"/>
  </w:style>
  <w:style w:type="table" w:customStyle="1" w:styleId="TableGrid4">
    <w:name w:val="Table Grid4"/>
    <w:basedOn w:val="TableNormal"/>
    <w:next w:val="TableGrid"/>
    <w:uiPriority w:val="39"/>
    <w:rsid w:val="008D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D770A"/>
    <w:rPr>
      <w:rFonts w:ascii="Arial" w:hAnsi="Arial"/>
      <w:sz w:val="18"/>
      <w:szCs w:val="20"/>
    </w:rPr>
  </w:style>
  <w:style w:type="table" w:customStyle="1" w:styleId="Table">
    <w:name w:val="Table"/>
    <w:basedOn w:val="TableNormal"/>
    <w:uiPriority w:val="99"/>
    <w:qFormat/>
    <w:locked/>
    <w:rsid w:val="008D770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Bahnschrift" w:hAnsi="Bahnschrif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odyText3">
    <w:name w:val="Body Text 3"/>
    <w:basedOn w:val="Normal"/>
    <w:link w:val="BodyText3Char"/>
    <w:unhideWhenUsed/>
    <w:rsid w:val="008D770A"/>
    <w:pPr>
      <w:spacing w:after="120"/>
    </w:pPr>
    <w:rPr>
      <w:sz w:val="16"/>
      <w:szCs w:val="16"/>
    </w:rPr>
  </w:style>
  <w:style w:type="character" w:customStyle="1" w:styleId="BodyText3Char">
    <w:name w:val="Body Text 3 Char"/>
    <w:basedOn w:val="DefaultParagraphFont"/>
    <w:link w:val="BodyText3"/>
    <w:rsid w:val="008D770A"/>
    <w:rPr>
      <w:rFonts w:ascii="Times New Roman" w:eastAsia="Times New Roman" w:hAnsi="Times New Roman" w:cs="Times New Roman"/>
      <w:sz w:val="16"/>
      <w:szCs w:val="16"/>
    </w:rPr>
  </w:style>
  <w:style w:type="character" w:styleId="PageNumber">
    <w:name w:val="page number"/>
    <w:basedOn w:val="DefaultParagraphFont"/>
    <w:uiPriority w:val="99"/>
    <w:rsid w:val="008D770A"/>
  </w:style>
  <w:style w:type="paragraph" w:customStyle="1" w:styleId="text">
    <w:name w:val="text"/>
    <w:basedOn w:val="Normal"/>
    <w:rsid w:val="008D770A"/>
    <w:pPr>
      <w:spacing w:before="100" w:beforeAutospacing="1" w:after="100" w:afterAutospacing="1"/>
    </w:pPr>
  </w:style>
  <w:style w:type="paragraph" w:styleId="BodyTextIndent">
    <w:name w:val="Body Text Indent"/>
    <w:basedOn w:val="Normal"/>
    <w:link w:val="BodyTextIndentChar"/>
    <w:rsid w:val="008D770A"/>
    <w:pPr>
      <w:tabs>
        <w:tab w:val="left" w:pos="180"/>
      </w:tabs>
      <w:ind w:left="360" w:hanging="360"/>
    </w:pPr>
    <w:rPr>
      <w:rFonts w:ascii="Helvetica" w:hAnsi="Helvetica"/>
      <w:bCs/>
      <w:sz w:val="20"/>
    </w:rPr>
  </w:style>
  <w:style w:type="character" w:customStyle="1" w:styleId="BodyTextIndentChar">
    <w:name w:val="Body Text Indent Char"/>
    <w:basedOn w:val="DefaultParagraphFont"/>
    <w:link w:val="BodyTextIndent"/>
    <w:rsid w:val="008D770A"/>
    <w:rPr>
      <w:rFonts w:ascii="Helvetica" w:eastAsia="Times New Roman" w:hAnsi="Helvetica" w:cs="Times New Roman"/>
      <w:bCs/>
      <w:sz w:val="20"/>
      <w:szCs w:val="24"/>
    </w:rPr>
  </w:style>
  <w:style w:type="paragraph" w:styleId="FootnoteText">
    <w:name w:val="footnote text"/>
    <w:basedOn w:val="Normal"/>
    <w:link w:val="FootnoteTextChar"/>
    <w:uiPriority w:val="99"/>
    <w:unhideWhenUsed/>
    <w:rsid w:val="008D770A"/>
    <w:rPr>
      <w:rFonts w:ascii="Times" w:eastAsia="Calibri" w:hAnsi="Times" w:cs="Times"/>
    </w:rPr>
  </w:style>
  <w:style w:type="character" w:customStyle="1" w:styleId="FootnoteTextChar">
    <w:name w:val="Footnote Text Char"/>
    <w:basedOn w:val="DefaultParagraphFont"/>
    <w:link w:val="FootnoteText"/>
    <w:uiPriority w:val="99"/>
    <w:rsid w:val="008D770A"/>
    <w:rPr>
      <w:rFonts w:ascii="Times" w:eastAsia="Calibri" w:hAnsi="Times" w:cs="Times"/>
      <w:sz w:val="24"/>
      <w:szCs w:val="24"/>
    </w:rPr>
  </w:style>
  <w:style w:type="paragraph" w:styleId="Title">
    <w:name w:val="Title"/>
    <w:basedOn w:val="Normal"/>
    <w:link w:val="TitleChar"/>
    <w:qFormat/>
    <w:rsid w:val="008D770A"/>
    <w:pPr>
      <w:jc w:val="center"/>
    </w:pPr>
    <w:rPr>
      <w:b/>
      <w:i/>
      <w:sz w:val="32"/>
      <w:szCs w:val="20"/>
      <w:u w:val="single"/>
    </w:rPr>
  </w:style>
  <w:style w:type="character" w:customStyle="1" w:styleId="TitleChar">
    <w:name w:val="Title Char"/>
    <w:basedOn w:val="DefaultParagraphFont"/>
    <w:link w:val="Title"/>
    <w:rsid w:val="008D770A"/>
    <w:rPr>
      <w:rFonts w:ascii="Times New Roman" w:eastAsia="Times New Roman" w:hAnsi="Times New Roman" w:cs="Times New Roman"/>
      <w:b/>
      <w:i/>
      <w:sz w:val="32"/>
      <w:szCs w:val="20"/>
      <w:u w:val="single"/>
    </w:rPr>
  </w:style>
  <w:style w:type="paragraph" w:customStyle="1" w:styleId="CDCBody">
    <w:name w:val="CDC Body"/>
    <w:basedOn w:val="Normal"/>
    <w:qFormat/>
    <w:rsid w:val="008D770A"/>
    <w:pPr>
      <w:widowControl w:val="0"/>
      <w:spacing w:after="240" w:line="360" w:lineRule="auto"/>
    </w:pPr>
    <w:rPr>
      <w:rFonts w:asciiTheme="minorHAnsi" w:eastAsia="Calibri" w:hAnsiTheme="minorHAnsi"/>
    </w:rPr>
  </w:style>
  <w:style w:type="paragraph" w:styleId="TOCHeading">
    <w:name w:val="TOC Heading"/>
    <w:basedOn w:val="Heading1"/>
    <w:next w:val="Normal"/>
    <w:uiPriority w:val="39"/>
    <w:unhideWhenUsed/>
    <w:qFormat/>
    <w:rsid w:val="008D770A"/>
    <w:pPr>
      <w:keepLines/>
      <w:spacing w:before="480" w:line="276" w:lineRule="auto"/>
      <w:outlineLvl w:val="9"/>
    </w:pPr>
    <w:rPr>
      <w:rFonts w:asciiTheme="majorHAnsi" w:eastAsiaTheme="majorEastAsia" w:hAnsiTheme="majorHAnsi" w:cstheme="majorBidi"/>
      <w:b/>
      <w:bCs/>
      <w:color w:val="2E74B5" w:themeColor="accent1" w:themeShade="BF"/>
      <w:sz w:val="28"/>
      <w:szCs w:val="28"/>
    </w:rPr>
  </w:style>
  <w:style w:type="paragraph" w:styleId="TOC3">
    <w:name w:val="toc 3"/>
    <w:basedOn w:val="Normal"/>
    <w:next w:val="Normal"/>
    <w:autoRedefine/>
    <w:uiPriority w:val="39"/>
    <w:semiHidden/>
    <w:unhideWhenUsed/>
    <w:rsid w:val="008D770A"/>
    <w:pPr>
      <w:spacing w:line="259" w:lineRule="auto"/>
      <w:ind w:left="440"/>
    </w:pPr>
    <w:rPr>
      <w:rFonts w:asciiTheme="minorHAnsi" w:eastAsiaTheme="minorHAnsi" w:hAnsiTheme="minorHAnsi" w:cstheme="minorHAnsi"/>
      <w:sz w:val="20"/>
      <w:szCs w:val="20"/>
    </w:rPr>
  </w:style>
  <w:style w:type="paragraph" w:styleId="TOC4">
    <w:name w:val="toc 4"/>
    <w:basedOn w:val="Normal"/>
    <w:next w:val="Normal"/>
    <w:autoRedefine/>
    <w:uiPriority w:val="39"/>
    <w:semiHidden/>
    <w:unhideWhenUsed/>
    <w:rsid w:val="008D770A"/>
    <w:pPr>
      <w:spacing w:line="259" w:lineRule="auto"/>
      <w:ind w:left="660"/>
    </w:pPr>
    <w:rPr>
      <w:rFonts w:asciiTheme="minorHAnsi" w:eastAsiaTheme="minorHAnsi" w:hAnsiTheme="minorHAnsi" w:cstheme="minorHAnsi"/>
      <w:sz w:val="20"/>
      <w:szCs w:val="20"/>
    </w:rPr>
  </w:style>
  <w:style w:type="paragraph" w:styleId="TOC5">
    <w:name w:val="toc 5"/>
    <w:basedOn w:val="Normal"/>
    <w:next w:val="Normal"/>
    <w:autoRedefine/>
    <w:uiPriority w:val="39"/>
    <w:semiHidden/>
    <w:unhideWhenUsed/>
    <w:rsid w:val="008D770A"/>
    <w:pPr>
      <w:spacing w:line="259" w:lineRule="auto"/>
      <w:ind w:left="880"/>
    </w:pPr>
    <w:rPr>
      <w:rFonts w:asciiTheme="minorHAnsi" w:eastAsiaTheme="minorHAnsi" w:hAnsiTheme="minorHAnsi" w:cstheme="minorHAnsi"/>
      <w:sz w:val="20"/>
      <w:szCs w:val="20"/>
    </w:rPr>
  </w:style>
  <w:style w:type="paragraph" w:styleId="TOC6">
    <w:name w:val="toc 6"/>
    <w:basedOn w:val="Normal"/>
    <w:next w:val="Normal"/>
    <w:autoRedefine/>
    <w:uiPriority w:val="39"/>
    <w:semiHidden/>
    <w:unhideWhenUsed/>
    <w:rsid w:val="008D770A"/>
    <w:pPr>
      <w:spacing w:line="259" w:lineRule="auto"/>
      <w:ind w:left="1100"/>
    </w:pPr>
    <w:rPr>
      <w:rFonts w:asciiTheme="minorHAnsi" w:eastAsiaTheme="minorHAnsi" w:hAnsiTheme="minorHAnsi" w:cstheme="minorHAnsi"/>
      <w:sz w:val="20"/>
      <w:szCs w:val="20"/>
    </w:rPr>
  </w:style>
  <w:style w:type="paragraph" w:styleId="TOC7">
    <w:name w:val="toc 7"/>
    <w:basedOn w:val="Normal"/>
    <w:next w:val="Normal"/>
    <w:autoRedefine/>
    <w:uiPriority w:val="39"/>
    <w:semiHidden/>
    <w:unhideWhenUsed/>
    <w:rsid w:val="008D770A"/>
    <w:pPr>
      <w:spacing w:line="259" w:lineRule="auto"/>
      <w:ind w:left="1320"/>
    </w:pPr>
    <w:rPr>
      <w:rFonts w:asciiTheme="minorHAnsi" w:eastAsiaTheme="minorHAnsi" w:hAnsiTheme="minorHAnsi" w:cstheme="minorHAnsi"/>
      <w:sz w:val="20"/>
      <w:szCs w:val="20"/>
    </w:rPr>
  </w:style>
  <w:style w:type="paragraph" w:styleId="TOC8">
    <w:name w:val="toc 8"/>
    <w:basedOn w:val="Normal"/>
    <w:next w:val="Normal"/>
    <w:autoRedefine/>
    <w:uiPriority w:val="39"/>
    <w:semiHidden/>
    <w:unhideWhenUsed/>
    <w:rsid w:val="008D770A"/>
    <w:pPr>
      <w:spacing w:line="259" w:lineRule="auto"/>
      <w:ind w:left="1540"/>
    </w:pPr>
    <w:rPr>
      <w:rFonts w:asciiTheme="minorHAnsi" w:eastAsiaTheme="minorHAnsi" w:hAnsiTheme="minorHAnsi" w:cstheme="minorHAnsi"/>
      <w:sz w:val="20"/>
      <w:szCs w:val="20"/>
    </w:rPr>
  </w:style>
  <w:style w:type="paragraph" w:styleId="TOC9">
    <w:name w:val="toc 9"/>
    <w:basedOn w:val="Normal"/>
    <w:next w:val="Normal"/>
    <w:autoRedefine/>
    <w:uiPriority w:val="39"/>
    <w:semiHidden/>
    <w:unhideWhenUsed/>
    <w:rsid w:val="008D770A"/>
    <w:pPr>
      <w:spacing w:line="259" w:lineRule="auto"/>
      <w:ind w:left="1760"/>
    </w:pPr>
    <w:rPr>
      <w:rFonts w:asciiTheme="minorHAnsi" w:eastAsiaTheme="minorHAnsi" w:hAnsiTheme="minorHAnsi" w:cstheme="minorHAnsi"/>
      <w:sz w:val="20"/>
      <w:szCs w:val="20"/>
    </w:rPr>
  </w:style>
  <w:style w:type="paragraph" w:styleId="ListBullet">
    <w:name w:val="List Bullet"/>
    <w:basedOn w:val="Normal"/>
    <w:uiPriority w:val="99"/>
    <w:unhideWhenUsed/>
    <w:rsid w:val="008D770A"/>
    <w:pPr>
      <w:numPr>
        <w:numId w:val="7"/>
      </w:numPr>
      <w:contextualSpacing/>
    </w:pPr>
  </w:style>
  <w:style w:type="paragraph" w:customStyle="1" w:styleId="EndNoteBibliography">
    <w:name w:val="EndNote Bibliography"/>
    <w:basedOn w:val="Normal"/>
    <w:link w:val="EndNoteBibliographyChar"/>
    <w:rsid w:val="00E81AB7"/>
    <w:rPr>
      <w:rFonts w:eastAsiaTheme="minorHAnsi"/>
      <w:noProof/>
    </w:rPr>
  </w:style>
  <w:style w:type="character" w:customStyle="1" w:styleId="EndNoteBibliographyChar">
    <w:name w:val="EndNote Bibliography Char"/>
    <w:basedOn w:val="DefaultParagraphFont"/>
    <w:link w:val="EndNoteBibliography"/>
    <w:rsid w:val="00E81AB7"/>
    <w:rPr>
      <w:rFonts w:ascii="Times New Roman" w:hAnsi="Times New Roman" w:cs="Times New Roman"/>
      <w:noProof/>
      <w:sz w:val="24"/>
      <w:szCs w:val="24"/>
    </w:rPr>
  </w:style>
  <w:style w:type="character" w:customStyle="1" w:styleId="UnresolvedMention1">
    <w:name w:val="Unresolved Mention1"/>
    <w:basedOn w:val="DefaultParagraphFont"/>
    <w:uiPriority w:val="99"/>
    <w:semiHidden/>
    <w:unhideWhenUsed/>
    <w:rsid w:val="004A24AE"/>
    <w:rPr>
      <w:color w:val="605E5C"/>
      <w:shd w:val="clear" w:color="auto" w:fill="E1DFDD"/>
    </w:rPr>
  </w:style>
  <w:style w:type="character" w:styleId="FollowedHyperlink">
    <w:name w:val="FollowedHyperlink"/>
    <w:basedOn w:val="DefaultParagraphFont"/>
    <w:uiPriority w:val="99"/>
    <w:semiHidden/>
    <w:unhideWhenUsed/>
    <w:rsid w:val="00E321D2"/>
    <w:rPr>
      <w:color w:val="954F72" w:themeColor="followedHyperlink"/>
      <w:u w:val="single"/>
    </w:rPr>
  </w:style>
  <w:style w:type="paragraph" w:customStyle="1" w:styleId="EndNoteBibliographyTitle">
    <w:name w:val="EndNote Bibliography Title"/>
    <w:basedOn w:val="Normal"/>
    <w:link w:val="EndNoteBibliographyTitleChar"/>
    <w:rsid w:val="00560DB7"/>
    <w:pPr>
      <w:jc w:val="center"/>
    </w:pPr>
    <w:rPr>
      <w:noProof/>
    </w:rPr>
  </w:style>
  <w:style w:type="character" w:customStyle="1" w:styleId="EndNoteBibliographyTitleChar">
    <w:name w:val="EndNote Bibliography Title Char"/>
    <w:basedOn w:val="DefaultParagraphFont"/>
    <w:link w:val="EndNoteBibliographyTitle"/>
    <w:rsid w:val="00560DB7"/>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47923">
      <w:bodyDiv w:val="1"/>
      <w:marLeft w:val="0"/>
      <w:marRight w:val="0"/>
      <w:marTop w:val="0"/>
      <w:marBottom w:val="0"/>
      <w:divBdr>
        <w:top w:val="none" w:sz="0" w:space="0" w:color="auto"/>
        <w:left w:val="none" w:sz="0" w:space="0" w:color="auto"/>
        <w:bottom w:val="none" w:sz="0" w:space="0" w:color="auto"/>
        <w:right w:val="none" w:sz="0" w:space="0" w:color="auto"/>
      </w:divBdr>
    </w:div>
    <w:div w:id="703099923">
      <w:bodyDiv w:val="1"/>
      <w:marLeft w:val="0"/>
      <w:marRight w:val="0"/>
      <w:marTop w:val="0"/>
      <w:marBottom w:val="0"/>
      <w:divBdr>
        <w:top w:val="none" w:sz="0" w:space="0" w:color="auto"/>
        <w:left w:val="none" w:sz="0" w:space="0" w:color="auto"/>
        <w:bottom w:val="none" w:sz="0" w:space="0" w:color="auto"/>
        <w:right w:val="none" w:sz="0" w:space="0" w:color="auto"/>
      </w:divBdr>
    </w:div>
    <w:div w:id="726757837">
      <w:bodyDiv w:val="1"/>
      <w:marLeft w:val="0"/>
      <w:marRight w:val="0"/>
      <w:marTop w:val="0"/>
      <w:marBottom w:val="0"/>
      <w:divBdr>
        <w:top w:val="none" w:sz="0" w:space="0" w:color="auto"/>
        <w:left w:val="none" w:sz="0" w:space="0" w:color="auto"/>
        <w:bottom w:val="none" w:sz="0" w:space="0" w:color="auto"/>
        <w:right w:val="none" w:sz="0" w:space="0" w:color="auto"/>
      </w:divBdr>
    </w:div>
    <w:div w:id="20146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injury/wisqa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brfss/data_documentation/index.htm" TargetMode="External"/><Relationship Id="rId17" Type="http://schemas.openxmlformats.org/officeDocument/2006/relationships/hyperlink" Target="https://doi.org/10.1007/s40263-013-0038-1" TargetMode="External"/><Relationship Id="rId2" Type="http://schemas.openxmlformats.org/officeDocument/2006/relationships/numbering" Target="numbering.xml"/><Relationship Id="rId16" Type="http://schemas.openxmlformats.org/officeDocument/2006/relationships/hyperlink" Target="https://doi.org/10.1007/s11606-009-1218-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hrs.isr.umich.edu/documentation/questionnaires"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jb8@cdc.gov" TargetMode="External"/><Relationship Id="rId14" Type="http://schemas.openxmlformats.org/officeDocument/2006/relationships/hyperlink" Target="https://iprcc.nih.gov/sites/default/files/HHSNational_Pain_Strategy_508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FEFA-A892-4A4B-B3DC-0DD47573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9019</Words>
  <Characters>51409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cp:lastPrinted>2018-11-08T15:44:00Z</cp:lastPrinted>
  <dcterms:created xsi:type="dcterms:W3CDTF">2019-10-21T16:40:00Z</dcterms:created>
  <dcterms:modified xsi:type="dcterms:W3CDTF">2019-10-21T16:40:00Z</dcterms:modified>
</cp:coreProperties>
</file>