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993B3" w14:textId="77777777" w:rsidR="00214CB0" w:rsidRPr="00214CB0" w:rsidRDefault="00214CB0" w:rsidP="00214CB0">
      <w:pPr>
        <w:pStyle w:val="ListParagraph"/>
        <w:jc w:val="center"/>
        <w:rPr>
          <w:b/>
          <w:iCs/>
          <w:color w:val="FF0000"/>
          <w:sz w:val="23"/>
          <w:szCs w:val="23"/>
          <w:u w:val="single"/>
        </w:rPr>
      </w:pPr>
      <w:bookmarkStart w:id="0" w:name="_GoBack"/>
      <w:bookmarkEnd w:id="0"/>
    </w:p>
    <w:p w14:paraId="37240EB2" w14:textId="77777777" w:rsidR="00214CB0" w:rsidRPr="00CA2E5A" w:rsidRDefault="00214CB0" w:rsidP="00CA2E5A">
      <w:pPr>
        <w:rPr>
          <w:b/>
          <w:i/>
          <w:iCs/>
          <w:color w:val="000000"/>
          <w:sz w:val="23"/>
          <w:szCs w:val="23"/>
          <w:highlight w:val="yellow"/>
        </w:rPr>
      </w:pPr>
    </w:p>
    <w:p w14:paraId="7D54A63E" w14:textId="77777777" w:rsidR="00A030E6" w:rsidRPr="00913EDB" w:rsidRDefault="00A030E6" w:rsidP="006F7B6B">
      <w:pPr>
        <w:pStyle w:val="Bodycopy"/>
      </w:pPr>
    </w:p>
    <w:p w14:paraId="337A81B9" w14:textId="77777777" w:rsidR="00A030E6" w:rsidRPr="00691454" w:rsidRDefault="00A030E6" w:rsidP="00A030E6">
      <w:pPr>
        <w:autoSpaceDE w:val="0"/>
        <w:autoSpaceDN w:val="0"/>
        <w:adjustRightInd w:val="0"/>
        <w:ind w:left="720"/>
        <w:jc w:val="center"/>
        <w:rPr>
          <w:b/>
          <w:bCs/>
        </w:rPr>
      </w:pPr>
    </w:p>
    <w:p w14:paraId="7DCF70F1" w14:textId="77777777" w:rsidR="00A030E6" w:rsidRPr="00691454" w:rsidRDefault="00A030E6" w:rsidP="00A030E6">
      <w:pPr>
        <w:autoSpaceDE w:val="0"/>
        <w:autoSpaceDN w:val="0"/>
        <w:adjustRightInd w:val="0"/>
        <w:ind w:left="720"/>
        <w:jc w:val="center"/>
        <w:rPr>
          <w:b/>
          <w:bCs/>
        </w:rPr>
      </w:pPr>
    </w:p>
    <w:p w14:paraId="1A2CCC7B" w14:textId="77777777" w:rsidR="00A030E6" w:rsidRPr="00EA366E" w:rsidRDefault="00A030E6" w:rsidP="00A030E6">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43AD5922" w14:textId="77777777" w:rsidR="00A030E6" w:rsidRPr="00691454" w:rsidRDefault="00A030E6" w:rsidP="00A030E6">
      <w:pPr>
        <w:pStyle w:val="BalloonText"/>
        <w:jc w:val="center"/>
      </w:pPr>
    </w:p>
    <w:p w14:paraId="6C414E02" w14:textId="77777777" w:rsidR="00A030E6" w:rsidRPr="00691454" w:rsidRDefault="00A030E6" w:rsidP="00A030E6">
      <w:pPr>
        <w:autoSpaceDE w:val="0"/>
        <w:autoSpaceDN w:val="0"/>
        <w:adjustRightInd w:val="0"/>
        <w:jc w:val="center"/>
        <w:rPr>
          <w:b/>
          <w:bCs/>
        </w:rPr>
      </w:pPr>
    </w:p>
    <w:p w14:paraId="205A88B5" w14:textId="77777777" w:rsidR="00A030E6" w:rsidRPr="00691454" w:rsidRDefault="00A030E6" w:rsidP="00A030E6">
      <w:pPr>
        <w:jc w:val="center"/>
        <w:rPr>
          <w:b/>
        </w:rPr>
      </w:pPr>
    </w:p>
    <w:p w14:paraId="4C3B4379" w14:textId="77777777" w:rsidR="00A030E6" w:rsidRPr="00691454" w:rsidRDefault="00A030E6" w:rsidP="00A030E6">
      <w:pPr>
        <w:jc w:val="center"/>
      </w:pPr>
    </w:p>
    <w:p w14:paraId="189849E2" w14:textId="0C3C2D0E" w:rsidR="00A030E6" w:rsidRPr="00691454" w:rsidRDefault="00040C03" w:rsidP="00A030E6">
      <w:pPr>
        <w:jc w:val="center"/>
        <w:rPr>
          <w:b/>
        </w:rPr>
      </w:pPr>
      <w:r>
        <w:rPr>
          <w:b/>
        </w:rPr>
        <w:t xml:space="preserve">October </w:t>
      </w:r>
      <w:r w:rsidR="00FE7600">
        <w:rPr>
          <w:b/>
        </w:rPr>
        <w:t>1</w:t>
      </w:r>
      <w:r w:rsidR="002312FB">
        <w:rPr>
          <w:b/>
        </w:rPr>
        <w:t>6</w:t>
      </w:r>
      <w:r>
        <w:rPr>
          <w:b/>
        </w:rPr>
        <w:t>,</w:t>
      </w:r>
      <w:r w:rsidR="00186E5B">
        <w:rPr>
          <w:b/>
        </w:rPr>
        <w:t xml:space="preserve"> 2019</w:t>
      </w:r>
    </w:p>
    <w:p w14:paraId="25571D2C" w14:textId="77777777" w:rsidR="00A030E6" w:rsidRDefault="00A030E6" w:rsidP="00A030E6">
      <w:pPr>
        <w:jc w:val="center"/>
      </w:pPr>
    </w:p>
    <w:p w14:paraId="1A06F20F" w14:textId="12567C87" w:rsidR="00A030E6" w:rsidRDefault="00A030E6" w:rsidP="00A030E6">
      <w:pPr>
        <w:jc w:val="center"/>
      </w:pPr>
    </w:p>
    <w:p w14:paraId="1AF3FCEB" w14:textId="1D3A8DDA" w:rsidR="00272C7B" w:rsidRDefault="00272C7B" w:rsidP="00A030E6">
      <w:pPr>
        <w:jc w:val="center"/>
      </w:pPr>
    </w:p>
    <w:p w14:paraId="6A60ACCC" w14:textId="0D77FAC2" w:rsidR="00272C7B" w:rsidRDefault="00272C7B" w:rsidP="00A030E6">
      <w:pPr>
        <w:jc w:val="center"/>
      </w:pPr>
      <w:r>
        <w:t>OMB# 0920-</w:t>
      </w:r>
      <w:r w:rsidR="00FE7600">
        <w:t>NEW</w:t>
      </w:r>
    </w:p>
    <w:p w14:paraId="3274397D" w14:textId="77777777" w:rsidR="00272C7B" w:rsidRPr="00691454" w:rsidRDefault="00272C7B" w:rsidP="00A030E6">
      <w:pPr>
        <w:jc w:val="center"/>
      </w:pPr>
    </w:p>
    <w:p w14:paraId="1780F175" w14:textId="77777777" w:rsidR="00A030E6" w:rsidRPr="008247CB" w:rsidRDefault="00A030E6" w:rsidP="00A030E6">
      <w:pPr>
        <w:jc w:val="center"/>
        <w:rPr>
          <w:b/>
          <w:bCs/>
        </w:rPr>
      </w:pPr>
    </w:p>
    <w:p w14:paraId="6A4D51FF" w14:textId="5789D285" w:rsidR="00A030E6" w:rsidRPr="00691454" w:rsidRDefault="00143688" w:rsidP="002B05D6">
      <w:pPr>
        <w:autoSpaceDE w:val="0"/>
        <w:autoSpaceDN w:val="0"/>
        <w:adjustRightInd w:val="0"/>
        <w:ind w:left="720"/>
        <w:jc w:val="center"/>
      </w:pPr>
      <w:r>
        <w:rPr>
          <w:b/>
          <w:bCs/>
        </w:rPr>
        <w:t xml:space="preserve">Monitoring and </w:t>
      </w:r>
      <w:r w:rsidR="00FE7600">
        <w:rPr>
          <w:b/>
          <w:bCs/>
        </w:rPr>
        <w:t>R</w:t>
      </w:r>
      <w:r>
        <w:rPr>
          <w:b/>
          <w:bCs/>
        </w:rPr>
        <w:t xml:space="preserve">eporting for the </w:t>
      </w:r>
      <w:r w:rsidR="001D2813">
        <w:rPr>
          <w:b/>
          <w:bCs/>
        </w:rPr>
        <w:t>Overdose Data to Action</w:t>
      </w:r>
      <w:r>
        <w:rPr>
          <w:b/>
          <w:bCs/>
        </w:rPr>
        <w:t xml:space="preserve"> Cooperative Agreement</w:t>
      </w:r>
    </w:p>
    <w:p w14:paraId="334F8BCA" w14:textId="77777777" w:rsidR="00A030E6" w:rsidRDefault="00A030E6" w:rsidP="00A030E6">
      <w:pPr>
        <w:jc w:val="center"/>
        <w:rPr>
          <w:bCs/>
        </w:rPr>
      </w:pPr>
    </w:p>
    <w:p w14:paraId="0DB28A4B" w14:textId="77777777" w:rsidR="00A030E6" w:rsidRPr="00691454" w:rsidRDefault="00A030E6" w:rsidP="00A030E6">
      <w:pPr>
        <w:jc w:val="center"/>
      </w:pPr>
    </w:p>
    <w:p w14:paraId="5DF61482" w14:textId="447DA4FB" w:rsidR="001633EE" w:rsidRDefault="001633EE" w:rsidP="007752F0">
      <w:pPr>
        <w:jc w:val="center"/>
        <w:rPr>
          <w:b/>
        </w:rPr>
      </w:pPr>
    </w:p>
    <w:p w14:paraId="232EFE49" w14:textId="5CDE0CD6" w:rsidR="001633EE" w:rsidRDefault="001633EE" w:rsidP="007752F0">
      <w:pPr>
        <w:jc w:val="center"/>
        <w:rPr>
          <w:b/>
        </w:rPr>
      </w:pPr>
    </w:p>
    <w:p w14:paraId="4D9F512C" w14:textId="77777777" w:rsidR="001633EE" w:rsidRPr="00F86B9D" w:rsidRDefault="001633EE" w:rsidP="007752F0">
      <w:pPr>
        <w:jc w:val="center"/>
        <w:rPr>
          <w:b/>
        </w:rPr>
      </w:pPr>
    </w:p>
    <w:p w14:paraId="5EE022BA" w14:textId="77777777" w:rsidR="00A030E6" w:rsidRPr="00691454" w:rsidRDefault="00A030E6" w:rsidP="00A030E6">
      <w:pPr>
        <w:jc w:val="center"/>
      </w:pPr>
    </w:p>
    <w:p w14:paraId="57A11189" w14:textId="4F85E304" w:rsidR="00176461" w:rsidRDefault="00A030E6" w:rsidP="00176461">
      <w:pPr>
        <w:ind w:left="720"/>
        <w:jc w:val="center"/>
      </w:pPr>
      <w:r w:rsidRPr="00A93EB5">
        <w:rPr>
          <w:b/>
        </w:rPr>
        <w:t>Point of Contact:</w:t>
      </w:r>
      <w:r w:rsidRPr="00A93EB5">
        <w:t xml:space="preserve"> </w:t>
      </w:r>
    </w:p>
    <w:p w14:paraId="5E62F29C" w14:textId="77777777" w:rsidR="004F06CD" w:rsidRDefault="004F06CD" w:rsidP="00176461">
      <w:pPr>
        <w:ind w:left="720"/>
        <w:jc w:val="center"/>
      </w:pPr>
    </w:p>
    <w:p w14:paraId="592AA383" w14:textId="48535C93" w:rsidR="00A030E6" w:rsidRPr="00A93EB5" w:rsidRDefault="008C405F" w:rsidP="00176461">
      <w:pPr>
        <w:ind w:left="720"/>
        <w:jc w:val="center"/>
      </w:pPr>
      <w:r>
        <w:rPr>
          <w:b/>
        </w:rPr>
        <w:t>April Wisdom</w:t>
      </w:r>
    </w:p>
    <w:p w14:paraId="53CFC443" w14:textId="77777777" w:rsidR="00A030E6" w:rsidRPr="00A93EB5" w:rsidRDefault="00A030E6" w:rsidP="00176461">
      <w:pPr>
        <w:pStyle w:val="E-mailSignature"/>
        <w:ind w:left="720"/>
        <w:jc w:val="center"/>
        <w:rPr>
          <w:i/>
          <w:noProof/>
        </w:rPr>
      </w:pPr>
      <w:bookmarkStart w:id="1" w:name="_MailAutoSig"/>
      <w:r w:rsidRPr="00A93EB5">
        <w:rPr>
          <w:i/>
          <w:noProof/>
        </w:rPr>
        <w:t>Centers for Disease Control and Prevention</w:t>
      </w:r>
    </w:p>
    <w:p w14:paraId="64A918DA" w14:textId="77777777" w:rsidR="00A030E6" w:rsidRDefault="00A030E6" w:rsidP="00176461">
      <w:pPr>
        <w:pStyle w:val="E-mailSignature"/>
        <w:ind w:left="720"/>
        <w:jc w:val="center"/>
        <w:rPr>
          <w:i/>
          <w:noProof/>
        </w:rPr>
      </w:pPr>
      <w:r w:rsidRPr="00A93EB5">
        <w:rPr>
          <w:i/>
          <w:noProof/>
        </w:rPr>
        <w:t>National Center for Injury Prevention and Control</w:t>
      </w:r>
    </w:p>
    <w:p w14:paraId="063E3803" w14:textId="77777777" w:rsidR="00A030E6" w:rsidRPr="00A93EB5" w:rsidRDefault="00A030E6" w:rsidP="00176461">
      <w:pPr>
        <w:pStyle w:val="E-mailSignature"/>
        <w:ind w:left="720"/>
        <w:jc w:val="center"/>
        <w:rPr>
          <w:noProof/>
        </w:rPr>
      </w:pPr>
    </w:p>
    <w:p w14:paraId="1BF77653" w14:textId="77777777" w:rsidR="00A030E6" w:rsidRPr="00A93EB5" w:rsidRDefault="00A030E6" w:rsidP="00176461">
      <w:pPr>
        <w:pStyle w:val="E-mailSignature"/>
        <w:ind w:left="720"/>
        <w:jc w:val="center"/>
        <w:rPr>
          <w:noProof/>
        </w:rPr>
      </w:pPr>
      <w:r w:rsidRPr="00A93EB5">
        <w:rPr>
          <w:noProof/>
        </w:rPr>
        <w:t xml:space="preserve">4770 </w:t>
      </w:r>
      <w:r w:rsidR="009E7DF5">
        <w:rPr>
          <w:noProof/>
        </w:rPr>
        <w:t xml:space="preserve">Buford Highway NE </w:t>
      </w:r>
      <w:r w:rsidR="00C77AF3" w:rsidRPr="00A93EB5">
        <w:rPr>
          <w:noProof/>
        </w:rPr>
        <w:t>MS F-64</w:t>
      </w:r>
    </w:p>
    <w:p w14:paraId="7F832092" w14:textId="77777777" w:rsidR="00A030E6" w:rsidRPr="00A93EB5" w:rsidRDefault="00A030E6" w:rsidP="00176461">
      <w:pPr>
        <w:pStyle w:val="E-mailSignature"/>
        <w:ind w:left="720"/>
        <w:jc w:val="center"/>
        <w:rPr>
          <w:noProof/>
        </w:rPr>
      </w:pPr>
      <w:r w:rsidRPr="00A93EB5">
        <w:rPr>
          <w:noProof/>
        </w:rPr>
        <w:t>Atlanta, GA 30341-3724</w:t>
      </w:r>
    </w:p>
    <w:p w14:paraId="648579BF" w14:textId="623C7649" w:rsidR="00A030E6" w:rsidRPr="00A93EB5" w:rsidRDefault="00A030E6" w:rsidP="00176461">
      <w:pPr>
        <w:pStyle w:val="E-mailSignature"/>
        <w:ind w:left="720"/>
        <w:jc w:val="center"/>
        <w:rPr>
          <w:noProof/>
        </w:rPr>
      </w:pPr>
      <w:r w:rsidRPr="00A93EB5">
        <w:rPr>
          <w:noProof/>
        </w:rPr>
        <w:t xml:space="preserve">phone: </w:t>
      </w:r>
      <w:r w:rsidR="005E3390">
        <w:rPr>
          <w:noProof/>
        </w:rPr>
        <w:t>404-718-5902</w:t>
      </w:r>
    </w:p>
    <w:p w14:paraId="6F9C8633" w14:textId="77777777" w:rsidR="00A030E6" w:rsidRPr="00A93EB5" w:rsidRDefault="00A030E6" w:rsidP="00176461">
      <w:pPr>
        <w:pStyle w:val="E-mailSignature"/>
        <w:ind w:left="720"/>
        <w:jc w:val="center"/>
        <w:rPr>
          <w:noProof/>
        </w:rPr>
      </w:pPr>
      <w:r w:rsidRPr="00A93EB5">
        <w:rPr>
          <w:noProof/>
        </w:rPr>
        <w:t xml:space="preserve">fax: </w:t>
      </w:r>
      <w:r w:rsidR="00C77AF3" w:rsidRPr="004429B6">
        <w:rPr>
          <w:noProof/>
        </w:rPr>
        <w:t>770-488-8305</w:t>
      </w:r>
    </w:p>
    <w:p w14:paraId="62D54F5B" w14:textId="03CE4B3E" w:rsidR="00A030E6" w:rsidRDefault="00A030E6" w:rsidP="00176461">
      <w:pPr>
        <w:pStyle w:val="E-mailSignature"/>
        <w:ind w:left="720"/>
        <w:jc w:val="center"/>
        <w:rPr>
          <w:noProof/>
        </w:rPr>
      </w:pPr>
      <w:r w:rsidRPr="00A93EB5">
        <w:rPr>
          <w:noProof/>
        </w:rPr>
        <w:t xml:space="preserve">email: </w:t>
      </w:r>
      <w:bookmarkEnd w:id="1"/>
      <w:r w:rsidR="005E3390">
        <w:rPr>
          <w:noProof/>
        </w:rPr>
        <w:fldChar w:fldCharType="begin"/>
      </w:r>
      <w:r w:rsidR="005E3390">
        <w:rPr>
          <w:noProof/>
        </w:rPr>
        <w:instrText xml:space="preserve"> HYPERLINK "mailto:jfy5</w:instrText>
      </w:r>
      <w:r w:rsidR="005E3390" w:rsidRPr="004429B6">
        <w:rPr>
          <w:noProof/>
        </w:rPr>
        <w:instrText>@cdc.gov</w:instrText>
      </w:r>
      <w:r w:rsidR="005E3390">
        <w:rPr>
          <w:noProof/>
        </w:rPr>
        <w:instrText xml:space="preserve">" </w:instrText>
      </w:r>
      <w:r w:rsidR="005E3390">
        <w:rPr>
          <w:noProof/>
        </w:rPr>
        <w:fldChar w:fldCharType="separate"/>
      </w:r>
      <w:r w:rsidR="005E3390">
        <w:rPr>
          <w:rStyle w:val="Hyperlink"/>
          <w:noProof/>
        </w:rPr>
        <w:t>nmt4</w:t>
      </w:r>
      <w:r w:rsidR="005E3390" w:rsidRPr="00510D5B">
        <w:rPr>
          <w:rStyle w:val="Hyperlink"/>
          <w:noProof/>
        </w:rPr>
        <w:t>@cdc.gov</w:t>
      </w:r>
      <w:r w:rsidR="005E3390">
        <w:rPr>
          <w:noProof/>
        </w:rPr>
        <w:fldChar w:fldCharType="end"/>
      </w:r>
    </w:p>
    <w:p w14:paraId="37F8ED4E" w14:textId="5F7A2A9B" w:rsidR="00272C7B" w:rsidRDefault="00272C7B" w:rsidP="00176461">
      <w:pPr>
        <w:pStyle w:val="E-mailSignature"/>
        <w:ind w:left="720"/>
        <w:jc w:val="center"/>
        <w:rPr>
          <w:noProof/>
        </w:rPr>
      </w:pPr>
    </w:p>
    <w:p w14:paraId="2C524794" w14:textId="77777777" w:rsidR="00A030E6" w:rsidRPr="00691454" w:rsidRDefault="00A030E6" w:rsidP="00A030E6">
      <w:pPr>
        <w:jc w:val="right"/>
      </w:pPr>
    </w:p>
    <w:p w14:paraId="6B90B35B" w14:textId="77777777" w:rsidR="00A030E6" w:rsidRPr="00691454" w:rsidRDefault="00A030E6" w:rsidP="00A030E6"/>
    <w:p w14:paraId="10643BB6" w14:textId="77777777" w:rsidR="008B2AFD" w:rsidRDefault="008B2AFD">
      <w:pPr>
        <w:rPr>
          <w:b/>
          <w:bCs/>
        </w:rPr>
      </w:pPr>
      <w:r>
        <w:rPr>
          <w:b/>
          <w:bCs/>
        </w:rPr>
        <w:br w:type="page"/>
      </w:r>
    </w:p>
    <w:p w14:paraId="293DABE9" w14:textId="73A15C70" w:rsidR="00A030E6" w:rsidRPr="00691454" w:rsidRDefault="00A030E6" w:rsidP="00A030E6">
      <w:pPr>
        <w:ind w:firstLine="720"/>
        <w:jc w:val="center"/>
        <w:rPr>
          <w:b/>
          <w:bCs/>
          <w:noProof/>
        </w:rPr>
      </w:pPr>
      <w:r w:rsidRPr="00691454">
        <w:rPr>
          <w:b/>
          <w:bCs/>
        </w:rPr>
        <w:lastRenderedPageBreak/>
        <w:t>CONTE</w:t>
      </w:r>
      <w:r w:rsidRPr="00691454">
        <w:rPr>
          <w:b/>
          <w:bCs/>
          <w:noProof/>
        </w:rPr>
        <w:t>NTS</w:t>
      </w:r>
    </w:p>
    <w:p w14:paraId="3DF8DB3E" w14:textId="77777777" w:rsidR="00A030E6" w:rsidRPr="00691454" w:rsidRDefault="00A030E6" w:rsidP="00A030E6">
      <w:pPr>
        <w:pStyle w:val="T0-ChapPgHd"/>
        <w:jc w:val="left"/>
        <w:rPr>
          <w:noProof/>
        </w:rPr>
      </w:pPr>
      <w:r w:rsidRPr="00691454">
        <w:rPr>
          <w:noProof/>
        </w:rPr>
        <w:t>Section</w:t>
      </w:r>
      <w:r w:rsidRPr="00691454">
        <w:rPr>
          <w:noProof/>
        </w:rPr>
        <w:tab/>
        <w:t>Page</w:t>
      </w:r>
    </w:p>
    <w:p w14:paraId="0EFFABF3" w14:textId="77777777" w:rsidR="00A030E6" w:rsidRPr="00691454" w:rsidRDefault="00A030E6" w:rsidP="00A030E6">
      <w:pPr>
        <w:pStyle w:val="T0-ChapPgHd"/>
        <w:jc w:val="left"/>
        <w:rPr>
          <w:noProof/>
        </w:rPr>
      </w:pPr>
    </w:p>
    <w:p w14:paraId="01743544" w14:textId="77777777" w:rsidR="00985BAC" w:rsidRPr="00691454" w:rsidRDefault="00A030E6" w:rsidP="00985BAC">
      <w:pPr>
        <w:pStyle w:val="TOC1"/>
        <w:rPr>
          <w:noProof/>
        </w:rPr>
      </w:pPr>
      <w:r w:rsidRPr="00691454">
        <w:rPr>
          <w:noProof/>
        </w:rPr>
        <w:t>A.</w:t>
      </w:r>
      <w:r w:rsidRPr="00691454">
        <w:rPr>
          <w:noProof/>
        </w:rPr>
        <w:tab/>
      </w:r>
      <w:r w:rsidR="00985BAC">
        <w:rPr>
          <w:noProof/>
        </w:rPr>
        <w:t>Summary table</w:t>
      </w:r>
      <w:r w:rsidR="00985BAC" w:rsidRPr="00691454">
        <w:rPr>
          <w:noProof/>
        </w:rPr>
        <w:tab/>
      </w:r>
      <w:r w:rsidR="00985BAC" w:rsidRPr="00691454">
        <w:rPr>
          <w:noProof/>
        </w:rPr>
        <w:tab/>
      </w:r>
      <w:r w:rsidR="00985BAC">
        <w:rPr>
          <w:noProof/>
        </w:rPr>
        <w:t>3</w:t>
      </w:r>
    </w:p>
    <w:p w14:paraId="622C16B7" w14:textId="77777777" w:rsidR="00985BAC" w:rsidRDefault="00985BAC" w:rsidP="00985BAC">
      <w:pPr>
        <w:pStyle w:val="TOC1"/>
        <w:rPr>
          <w:noProof/>
        </w:rPr>
      </w:pPr>
    </w:p>
    <w:p w14:paraId="50706058" w14:textId="77777777" w:rsidR="00985BAC" w:rsidRPr="00691454" w:rsidRDefault="00985BAC" w:rsidP="00985BAC">
      <w:pPr>
        <w:pStyle w:val="TOC1"/>
        <w:rPr>
          <w:noProof/>
        </w:rPr>
      </w:pPr>
      <w:r>
        <w:rPr>
          <w:noProof/>
        </w:rPr>
        <w:tab/>
      </w:r>
      <w:r w:rsidRPr="00691454">
        <w:rPr>
          <w:noProof/>
        </w:rPr>
        <w:t>Justification</w:t>
      </w:r>
      <w:r w:rsidRPr="00691454">
        <w:rPr>
          <w:noProof/>
        </w:rPr>
        <w:tab/>
      </w:r>
      <w:r w:rsidRPr="00691454">
        <w:rPr>
          <w:noProof/>
        </w:rPr>
        <w:tab/>
      </w:r>
      <w:r>
        <w:rPr>
          <w:noProof/>
        </w:rPr>
        <w:t>3</w:t>
      </w:r>
    </w:p>
    <w:p w14:paraId="102F3A95" w14:textId="77777777" w:rsidR="00985BAC" w:rsidRDefault="00985BAC" w:rsidP="00985BAC">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14:paraId="7EE7164E" w14:textId="77777777" w:rsidR="00985BAC" w:rsidRPr="00691454" w:rsidRDefault="00985BAC" w:rsidP="00985BAC">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5</w:t>
      </w:r>
    </w:p>
    <w:p w14:paraId="024FBDAE" w14:textId="77777777" w:rsidR="00985BAC" w:rsidRPr="00691454" w:rsidRDefault="00985BAC" w:rsidP="00985BAC">
      <w:pPr>
        <w:pStyle w:val="TOC2"/>
        <w:rPr>
          <w:noProof/>
        </w:rPr>
      </w:pPr>
      <w:r w:rsidRPr="00691454">
        <w:rPr>
          <w:noProof/>
        </w:rPr>
        <w:t>A.3.</w:t>
      </w:r>
      <w:r w:rsidRPr="00691454">
        <w:rPr>
          <w:noProof/>
        </w:rPr>
        <w:tab/>
        <w:t>Use of Improved Information Technology and Burden Reduction</w:t>
      </w:r>
      <w:r w:rsidRPr="00691454">
        <w:rPr>
          <w:noProof/>
        </w:rPr>
        <w:tab/>
      </w:r>
      <w:r>
        <w:rPr>
          <w:noProof/>
        </w:rPr>
        <w:t>6</w:t>
      </w:r>
    </w:p>
    <w:p w14:paraId="482C5BC1" w14:textId="77777777" w:rsidR="00985BAC" w:rsidRPr="00691454" w:rsidRDefault="00985BAC" w:rsidP="00985BAC">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6</w:t>
      </w:r>
    </w:p>
    <w:p w14:paraId="68C8E703" w14:textId="77777777" w:rsidR="00985BAC" w:rsidRPr="00691454" w:rsidRDefault="00985BAC" w:rsidP="00985BAC">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6</w:t>
      </w:r>
    </w:p>
    <w:p w14:paraId="7E533E25" w14:textId="77777777" w:rsidR="00985BAC" w:rsidRPr="00691454" w:rsidRDefault="00985BAC" w:rsidP="00985BAC">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7</w:t>
      </w:r>
    </w:p>
    <w:p w14:paraId="5A840C66" w14:textId="77777777" w:rsidR="00985BAC" w:rsidRPr="00691454" w:rsidRDefault="00985BAC" w:rsidP="00985BAC">
      <w:pPr>
        <w:pStyle w:val="TOC2"/>
        <w:rPr>
          <w:noProof/>
        </w:rPr>
      </w:pPr>
      <w:r w:rsidRPr="00691454">
        <w:rPr>
          <w:noProof/>
        </w:rPr>
        <w:t>A.7.</w:t>
      </w:r>
      <w:r w:rsidRPr="00691454">
        <w:rPr>
          <w:noProof/>
        </w:rPr>
        <w:tab/>
        <w:t xml:space="preserve">Special Circumstances Relating to the Guidelines of </w:t>
      </w:r>
    </w:p>
    <w:p w14:paraId="16DC81BE" w14:textId="77777777" w:rsidR="00985BAC" w:rsidRPr="00691454" w:rsidRDefault="00985BAC" w:rsidP="00985BAC">
      <w:pPr>
        <w:pStyle w:val="TOC2"/>
        <w:rPr>
          <w:noProof/>
        </w:rPr>
      </w:pPr>
      <w:r w:rsidRPr="00691454">
        <w:rPr>
          <w:noProof/>
        </w:rPr>
        <w:tab/>
        <w:t>5 CFR 1320.5(d)2</w:t>
      </w:r>
      <w:r w:rsidRPr="00691454">
        <w:rPr>
          <w:noProof/>
        </w:rPr>
        <w:tab/>
      </w:r>
      <w:r w:rsidRPr="00691454">
        <w:rPr>
          <w:noProof/>
        </w:rPr>
        <w:tab/>
      </w:r>
      <w:r>
        <w:rPr>
          <w:noProof/>
        </w:rPr>
        <w:t>7</w:t>
      </w:r>
    </w:p>
    <w:p w14:paraId="246A23F3" w14:textId="77777777" w:rsidR="00985BAC" w:rsidRPr="00691454" w:rsidRDefault="00985BAC" w:rsidP="00985BAC">
      <w:pPr>
        <w:pStyle w:val="TOC2"/>
        <w:rPr>
          <w:noProof/>
        </w:rPr>
      </w:pPr>
      <w:r w:rsidRPr="00691454">
        <w:rPr>
          <w:noProof/>
        </w:rPr>
        <w:t>A.8.</w:t>
      </w:r>
      <w:r w:rsidRPr="00691454">
        <w:rPr>
          <w:noProof/>
        </w:rPr>
        <w:tab/>
        <w:t xml:space="preserve">Comments in Response to the Federal Register Notice and </w:t>
      </w:r>
    </w:p>
    <w:p w14:paraId="16F1F786" w14:textId="77777777" w:rsidR="00985BAC" w:rsidRPr="00691454" w:rsidRDefault="00985BAC" w:rsidP="00985BAC">
      <w:pPr>
        <w:pStyle w:val="TOC2"/>
        <w:rPr>
          <w:noProof/>
        </w:rPr>
      </w:pPr>
      <w:r w:rsidRPr="00691454">
        <w:rPr>
          <w:noProof/>
        </w:rPr>
        <w:tab/>
        <w:t>Efforts to Consult Outside the Agency</w:t>
      </w:r>
      <w:r w:rsidRPr="00691454">
        <w:rPr>
          <w:noProof/>
        </w:rPr>
        <w:tab/>
      </w:r>
      <w:r w:rsidRPr="00691454">
        <w:rPr>
          <w:noProof/>
        </w:rPr>
        <w:tab/>
      </w:r>
      <w:r>
        <w:rPr>
          <w:noProof/>
        </w:rPr>
        <w:t>7</w:t>
      </w:r>
    </w:p>
    <w:p w14:paraId="5BB185C7" w14:textId="77777777" w:rsidR="00985BAC" w:rsidRPr="00691454" w:rsidRDefault="00985BAC" w:rsidP="00985BAC">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Pr>
          <w:noProof/>
        </w:rPr>
        <w:t>7</w:t>
      </w:r>
    </w:p>
    <w:p w14:paraId="446602AD" w14:textId="77777777" w:rsidR="00985BAC" w:rsidRDefault="00985BAC" w:rsidP="00985BAC">
      <w:pPr>
        <w:pStyle w:val="TOC2"/>
        <w:rPr>
          <w:noProof/>
        </w:rPr>
      </w:pPr>
      <w:r w:rsidRPr="00691454">
        <w:rPr>
          <w:noProof/>
        </w:rPr>
        <w:t>A.10.</w:t>
      </w:r>
      <w:r w:rsidRPr="00691454">
        <w:rPr>
          <w:noProof/>
        </w:rPr>
        <w:tab/>
      </w:r>
      <w:r w:rsidRPr="00FD5A1E">
        <w:rPr>
          <w:noProof/>
        </w:rPr>
        <w:t>Protection of the   Pri</w:t>
      </w:r>
      <w:r>
        <w:rPr>
          <w:noProof/>
        </w:rPr>
        <w:t xml:space="preserve">vacy and Confidentiality of </w:t>
      </w:r>
      <w:r w:rsidRPr="00FD5A1E">
        <w:rPr>
          <w:noProof/>
        </w:rPr>
        <w:t xml:space="preserve">Information  </w:t>
      </w:r>
      <w:r>
        <w:rPr>
          <w:noProof/>
        </w:rPr>
        <w:t xml:space="preserve">     </w:t>
      </w:r>
      <w:r w:rsidRPr="00FD5A1E">
        <w:rPr>
          <w:noProof/>
        </w:rPr>
        <w:t xml:space="preserve"> </w:t>
      </w:r>
    </w:p>
    <w:p w14:paraId="18818975" w14:textId="77777777" w:rsidR="00985BAC" w:rsidRPr="00691454" w:rsidRDefault="00985BAC" w:rsidP="00985BAC">
      <w:pPr>
        <w:pStyle w:val="TOC2"/>
        <w:rPr>
          <w:noProof/>
        </w:rPr>
      </w:pPr>
      <w:r>
        <w:rPr>
          <w:noProof/>
        </w:rPr>
        <w:tab/>
        <w:t xml:space="preserve">Provided </w:t>
      </w:r>
      <w:r w:rsidRPr="00FD5A1E">
        <w:rPr>
          <w:noProof/>
        </w:rPr>
        <w:t>by  Respondents</w:t>
      </w:r>
      <w:r w:rsidRPr="00FD5A1E" w:rsidDel="00FD5A1E">
        <w:rPr>
          <w:noProof/>
        </w:rPr>
        <w:t xml:space="preserve"> </w:t>
      </w:r>
      <w:r w:rsidRPr="00691454">
        <w:rPr>
          <w:noProof/>
        </w:rPr>
        <w:tab/>
      </w:r>
      <w:r w:rsidRPr="00691454">
        <w:rPr>
          <w:noProof/>
        </w:rPr>
        <w:tab/>
      </w:r>
      <w:r>
        <w:rPr>
          <w:noProof/>
        </w:rPr>
        <w:t>7</w:t>
      </w:r>
    </w:p>
    <w:p w14:paraId="3C83027B" w14:textId="77777777" w:rsidR="00985BAC" w:rsidRDefault="00985BAC" w:rsidP="00985BAC">
      <w:pPr>
        <w:pStyle w:val="TOC2"/>
        <w:rPr>
          <w:noProof/>
        </w:rPr>
      </w:pPr>
      <w:r w:rsidRPr="00691454">
        <w:rPr>
          <w:noProof/>
        </w:rPr>
        <w:t>A.11.</w:t>
      </w:r>
      <w:r w:rsidRPr="00691454">
        <w:rPr>
          <w:noProof/>
        </w:rPr>
        <w:tab/>
      </w:r>
      <w:r w:rsidRPr="00127C16">
        <w:rPr>
          <w:noProof/>
        </w:rPr>
        <w:t xml:space="preserve">Institutional Review Board (IRB) and </w:t>
      </w:r>
      <w:r>
        <w:rPr>
          <w:noProof/>
        </w:rPr>
        <w:t>Justification for Sensitive</w:t>
      </w:r>
    </w:p>
    <w:p w14:paraId="0902EC46" w14:textId="77777777" w:rsidR="00985BAC" w:rsidRPr="00691454" w:rsidRDefault="00985BAC" w:rsidP="00985BAC">
      <w:pPr>
        <w:pStyle w:val="TOC2"/>
        <w:rPr>
          <w:noProof/>
        </w:rPr>
      </w:pPr>
      <w:r>
        <w:rPr>
          <w:noProof/>
        </w:rPr>
        <w:t xml:space="preserve">           </w:t>
      </w:r>
      <w:r w:rsidRPr="00127C16">
        <w:rPr>
          <w:noProof/>
        </w:rPr>
        <w:t>Questions</w:t>
      </w:r>
      <w:r w:rsidRPr="00691454">
        <w:rPr>
          <w:noProof/>
        </w:rPr>
        <w:tab/>
      </w:r>
      <w:r w:rsidRPr="00691454">
        <w:rPr>
          <w:noProof/>
        </w:rPr>
        <w:tab/>
      </w:r>
      <w:r>
        <w:rPr>
          <w:noProof/>
        </w:rPr>
        <w:t>8</w:t>
      </w:r>
    </w:p>
    <w:p w14:paraId="502EE6C3" w14:textId="78F4849F" w:rsidR="00985BAC" w:rsidRPr="00691454" w:rsidRDefault="00985BAC" w:rsidP="00985BAC">
      <w:pPr>
        <w:pStyle w:val="TOC2"/>
        <w:rPr>
          <w:noProof/>
        </w:rPr>
      </w:pPr>
      <w:r w:rsidRPr="00691454">
        <w:rPr>
          <w:noProof/>
        </w:rPr>
        <w:t>A.12.</w:t>
      </w:r>
      <w:r w:rsidRPr="00691454">
        <w:rPr>
          <w:noProof/>
        </w:rPr>
        <w:tab/>
        <w:t>Estimates of Annualized Burden Hours and Costs</w:t>
      </w:r>
      <w:r w:rsidR="00A17D80">
        <w:rPr>
          <w:noProof/>
        </w:rPr>
        <w:t xml:space="preserve"> (Table A)</w:t>
      </w:r>
      <w:r w:rsidRPr="00691454">
        <w:rPr>
          <w:noProof/>
        </w:rPr>
        <w:tab/>
      </w:r>
      <w:r w:rsidRPr="00691454">
        <w:rPr>
          <w:noProof/>
        </w:rPr>
        <w:tab/>
      </w:r>
      <w:r>
        <w:rPr>
          <w:noProof/>
        </w:rPr>
        <w:t>8</w:t>
      </w:r>
    </w:p>
    <w:p w14:paraId="32579C8F" w14:textId="77777777" w:rsidR="00985BAC" w:rsidRPr="00691454" w:rsidRDefault="00985BAC" w:rsidP="00985BAC">
      <w:pPr>
        <w:pStyle w:val="TOC2"/>
        <w:rPr>
          <w:noProof/>
        </w:rPr>
      </w:pPr>
      <w:r w:rsidRPr="00691454">
        <w:rPr>
          <w:noProof/>
        </w:rPr>
        <w:t>A.13.</w:t>
      </w:r>
      <w:r w:rsidRPr="00691454">
        <w:rPr>
          <w:noProof/>
        </w:rPr>
        <w:tab/>
        <w:t xml:space="preserve">Estimates of Other Total Annual Cost Burden to Respondents </w:t>
      </w:r>
    </w:p>
    <w:p w14:paraId="661DEBFE" w14:textId="3028BA16" w:rsidR="00985BAC" w:rsidRPr="00691454" w:rsidRDefault="00985BAC" w:rsidP="00985BAC">
      <w:pPr>
        <w:pStyle w:val="TOC2"/>
        <w:rPr>
          <w:noProof/>
        </w:rPr>
      </w:pPr>
      <w:r w:rsidRPr="00691454">
        <w:rPr>
          <w:noProof/>
        </w:rPr>
        <w:tab/>
        <w:t>or Record Keepers</w:t>
      </w:r>
      <w:r w:rsidR="00A17D80">
        <w:rPr>
          <w:noProof/>
        </w:rPr>
        <w:t xml:space="preserve"> (Table B)</w:t>
      </w:r>
      <w:r w:rsidRPr="00691454">
        <w:rPr>
          <w:noProof/>
        </w:rPr>
        <w:tab/>
      </w:r>
      <w:r w:rsidRPr="00691454">
        <w:rPr>
          <w:noProof/>
        </w:rPr>
        <w:tab/>
      </w:r>
      <w:r>
        <w:rPr>
          <w:noProof/>
        </w:rPr>
        <w:t>10</w:t>
      </w:r>
    </w:p>
    <w:p w14:paraId="24F36B82" w14:textId="3D8AAC4B" w:rsidR="00985BAC" w:rsidRPr="00691454" w:rsidRDefault="00985BAC" w:rsidP="00985BAC">
      <w:pPr>
        <w:pStyle w:val="TOC2"/>
        <w:rPr>
          <w:noProof/>
        </w:rPr>
      </w:pPr>
      <w:r w:rsidRPr="00691454">
        <w:rPr>
          <w:noProof/>
        </w:rPr>
        <w:t>A.14.</w:t>
      </w:r>
      <w:r w:rsidRPr="00691454">
        <w:rPr>
          <w:noProof/>
        </w:rPr>
        <w:tab/>
        <w:t>Annualized Cost to the Government</w:t>
      </w:r>
      <w:r w:rsidR="00A17D80">
        <w:rPr>
          <w:noProof/>
        </w:rPr>
        <w:t xml:space="preserve"> (Table C)</w:t>
      </w:r>
      <w:r w:rsidRPr="00691454">
        <w:rPr>
          <w:noProof/>
        </w:rPr>
        <w:tab/>
      </w:r>
      <w:r w:rsidRPr="00691454">
        <w:rPr>
          <w:noProof/>
        </w:rPr>
        <w:tab/>
      </w:r>
      <w:r>
        <w:rPr>
          <w:noProof/>
        </w:rPr>
        <w:t>11</w:t>
      </w:r>
    </w:p>
    <w:p w14:paraId="297013D9" w14:textId="77777777" w:rsidR="00985BAC" w:rsidRPr="00691454" w:rsidRDefault="00985BAC" w:rsidP="00985BAC">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11</w:t>
      </w:r>
    </w:p>
    <w:p w14:paraId="4BB63975" w14:textId="77777777" w:rsidR="00985BAC" w:rsidRPr="00691454" w:rsidRDefault="00985BAC" w:rsidP="00985BAC">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11</w:t>
      </w:r>
    </w:p>
    <w:p w14:paraId="28C71E3D" w14:textId="77777777" w:rsidR="00985BAC" w:rsidRPr="00691454" w:rsidRDefault="00985BAC" w:rsidP="00985BAC">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12</w:t>
      </w:r>
    </w:p>
    <w:p w14:paraId="79DFD0BD" w14:textId="77777777" w:rsidR="00985BAC" w:rsidRPr="00691454" w:rsidRDefault="00985BAC" w:rsidP="00985BAC">
      <w:pPr>
        <w:pStyle w:val="TOC2"/>
        <w:rPr>
          <w:noProof/>
        </w:rPr>
      </w:pPr>
      <w:r w:rsidRPr="00691454">
        <w:rPr>
          <w:noProof/>
        </w:rPr>
        <w:t>A.18.</w:t>
      </w:r>
      <w:r w:rsidRPr="00691454">
        <w:rPr>
          <w:noProof/>
        </w:rPr>
        <w:tab/>
        <w:t xml:space="preserve">Exceptions to Certification for Paperwork Reducation Act </w:t>
      </w:r>
    </w:p>
    <w:p w14:paraId="1A57E6E9" w14:textId="77777777" w:rsidR="00985BAC" w:rsidRPr="00691454" w:rsidRDefault="00985BAC" w:rsidP="00985BAC">
      <w:pPr>
        <w:pStyle w:val="TOC2"/>
        <w:rPr>
          <w:noProof/>
        </w:rPr>
      </w:pPr>
      <w:r w:rsidRPr="00691454">
        <w:rPr>
          <w:noProof/>
        </w:rPr>
        <w:tab/>
        <w:t>Submissions</w:t>
      </w:r>
      <w:r w:rsidRPr="00691454">
        <w:rPr>
          <w:noProof/>
        </w:rPr>
        <w:tab/>
      </w:r>
      <w:r w:rsidRPr="00691454">
        <w:rPr>
          <w:noProof/>
        </w:rPr>
        <w:tab/>
      </w:r>
      <w:r>
        <w:rPr>
          <w:noProof/>
        </w:rPr>
        <w:t>12</w:t>
      </w:r>
    </w:p>
    <w:p w14:paraId="3942430D" w14:textId="77777777" w:rsidR="00DF2F9C" w:rsidRPr="004F06CD" w:rsidRDefault="00DF2F9C" w:rsidP="00040234">
      <w:pPr>
        <w:pStyle w:val="C2-CtrSglSp"/>
        <w:spacing w:after="100" w:afterAutospacing="1" w:line="240" w:lineRule="auto"/>
        <w:jc w:val="left"/>
        <w:rPr>
          <w:noProof/>
          <w:u w:val="words"/>
        </w:rPr>
      </w:pPr>
      <w:r w:rsidRPr="004F06CD">
        <w:rPr>
          <w:noProof/>
          <w:u w:val="words"/>
        </w:rPr>
        <w:t>Attachments</w:t>
      </w:r>
    </w:p>
    <w:p w14:paraId="3E130B5C" w14:textId="77777777" w:rsidR="00A73026" w:rsidRDefault="00A73026" w:rsidP="00A030E6">
      <w:pPr>
        <w:numPr>
          <w:ilvl w:val="0"/>
          <w:numId w:val="7"/>
        </w:numPr>
        <w:ind w:left="1440"/>
        <w:contextualSpacing/>
      </w:pPr>
      <w:r>
        <w:t>Public Health Services Act (PHSA) 42 U.S.C. 241 (a), Section 301 (a)</w:t>
      </w:r>
    </w:p>
    <w:p w14:paraId="7BA7A6C1" w14:textId="77777777" w:rsidR="00A030E6" w:rsidRPr="001C5D55" w:rsidRDefault="005B10EB" w:rsidP="00A030E6">
      <w:pPr>
        <w:numPr>
          <w:ilvl w:val="0"/>
          <w:numId w:val="7"/>
        </w:numPr>
        <w:ind w:left="1440"/>
        <w:contextualSpacing/>
      </w:pPr>
      <w:r>
        <w:t xml:space="preserve">List of </w:t>
      </w:r>
      <w:r w:rsidR="008B2DDC">
        <w:t>Funded jurisdictions</w:t>
      </w:r>
    </w:p>
    <w:p w14:paraId="69B52E40" w14:textId="7ECB449D" w:rsidR="00A030E6" w:rsidRDefault="00A030E6" w:rsidP="00A030E6">
      <w:pPr>
        <w:pStyle w:val="ListParagraph"/>
        <w:numPr>
          <w:ilvl w:val="0"/>
          <w:numId w:val="7"/>
        </w:numPr>
        <w:ind w:firstLine="360"/>
      </w:pPr>
      <w:r w:rsidRPr="001C5D55">
        <w:t>Information Collection T</w:t>
      </w:r>
      <w:r w:rsidR="0035234C">
        <w:t>ools</w:t>
      </w:r>
    </w:p>
    <w:p w14:paraId="4363944A" w14:textId="32973A3B" w:rsidR="007F4780" w:rsidRPr="00020DC0" w:rsidRDefault="00E4162F" w:rsidP="00E4162F">
      <w:pPr>
        <w:pStyle w:val="ListParagraph"/>
        <w:numPr>
          <w:ilvl w:val="1"/>
          <w:numId w:val="7"/>
        </w:numPr>
        <w:ind w:left="1800"/>
      </w:pPr>
      <w:r w:rsidRPr="00020DC0">
        <w:t>Evaluation</w:t>
      </w:r>
      <w:r w:rsidR="007F4780" w:rsidRPr="00020DC0">
        <w:t xml:space="preserve"> and Performance Measurement Plan</w:t>
      </w:r>
      <w:r w:rsidRPr="00020DC0">
        <w:t xml:space="preserve"> Template</w:t>
      </w:r>
    </w:p>
    <w:p w14:paraId="6EA1B8EE" w14:textId="3BB3B170" w:rsidR="00E4162F" w:rsidRPr="00020DC0" w:rsidRDefault="00E4162F" w:rsidP="00E4162F">
      <w:pPr>
        <w:pStyle w:val="ListParagraph"/>
        <w:numPr>
          <w:ilvl w:val="1"/>
          <w:numId w:val="7"/>
        </w:numPr>
        <w:ind w:left="1800"/>
      </w:pPr>
      <w:r w:rsidRPr="00020DC0">
        <w:rPr>
          <w:bCs/>
        </w:rPr>
        <w:t>Overdose Prevention Capacity Assessment Tool</w:t>
      </w:r>
    </w:p>
    <w:p w14:paraId="77AADCF1" w14:textId="6C0F4FB8" w:rsidR="00E4162F" w:rsidRPr="00020DC0" w:rsidRDefault="00C12188" w:rsidP="00E4162F">
      <w:pPr>
        <w:pStyle w:val="ListParagraph"/>
        <w:numPr>
          <w:ilvl w:val="1"/>
          <w:numId w:val="7"/>
        </w:numPr>
        <w:ind w:left="1800"/>
      </w:pPr>
      <w:r>
        <w:rPr>
          <w:bCs/>
        </w:rPr>
        <w:t xml:space="preserve">Annual </w:t>
      </w:r>
      <w:r w:rsidRPr="00020DC0">
        <w:rPr>
          <w:bCs/>
        </w:rPr>
        <w:t>A</w:t>
      </w:r>
      <w:r>
        <w:rPr>
          <w:bCs/>
        </w:rPr>
        <w:t>ctivity</w:t>
      </w:r>
      <w:r w:rsidRPr="00020DC0">
        <w:rPr>
          <w:bCs/>
        </w:rPr>
        <w:t xml:space="preserve"> </w:t>
      </w:r>
      <w:r w:rsidR="00107B9A" w:rsidRPr="00020DC0">
        <w:rPr>
          <w:bCs/>
        </w:rPr>
        <w:t>P</w:t>
      </w:r>
      <w:r w:rsidR="00107B9A">
        <w:rPr>
          <w:bCs/>
        </w:rPr>
        <w:t xml:space="preserve">rogress </w:t>
      </w:r>
      <w:r w:rsidR="005C49DC" w:rsidRPr="00020DC0">
        <w:rPr>
          <w:bCs/>
        </w:rPr>
        <w:t xml:space="preserve">Report </w:t>
      </w:r>
      <w:r>
        <w:rPr>
          <w:color w:val="000000" w:themeColor="text1"/>
        </w:rPr>
        <w:t>and workplan</w:t>
      </w:r>
    </w:p>
    <w:p w14:paraId="758DDAD6" w14:textId="248670EF" w:rsidR="005C49DC" w:rsidRPr="004F06CD" w:rsidRDefault="00020DC0" w:rsidP="00E4162F">
      <w:pPr>
        <w:pStyle w:val="ListParagraph"/>
        <w:numPr>
          <w:ilvl w:val="1"/>
          <w:numId w:val="7"/>
        </w:numPr>
        <w:ind w:left="1800"/>
      </w:pPr>
      <w:r w:rsidRPr="00020DC0">
        <w:rPr>
          <w:color w:val="000000" w:themeColor="text1"/>
        </w:rPr>
        <w:t>Surveillance Data Dissemination Plan</w:t>
      </w:r>
    </w:p>
    <w:p w14:paraId="54A74FCC" w14:textId="5EC73B61" w:rsidR="007601D3" w:rsidRPr="00020DC0" w:rsidRDefault="007601D3" w:rsidP="00E4162F">
      <w:pPr>
        <w:pStyle w:val="ListParagraph"/>
        <w:numPr>
          <w:ilvl w:val="1"/>
          <w:numId w:val="7"/>
        </w:numPr>
        <w:ind w:left="1800"/>
      </w:pPr>
      <w:r w:rsidRPr="007601D3">
        <w:t>Screenshots Overdose Prevention Capacity Assesment Tool</w:t>
      </w:r>
    </w:p>
    <w:p w14:paraId="66BC3C11" w14:textId="77777777" w:rsidR="00F124B6" w:rsidRDefault="005B10EB" w:rsidP="004F06CD">
      <w:pPr>
        <w:numPr>
          <w:ilvl w:val="0"/>
          <w:numId w:val="7"/>
        </w:numPr>
        <w:ind w:left="1440"/>
        <w:contextualSpacing/>
      </w:pPr>
      <w:r>
        <w:t>Federal Register Notice</w:t>
      </w:r>
    </w:p>
    <w:p w14:paraId="31989B84" w14:textId="7E027F59" w:rsidR="00BC4DC4" w:rsidRDefault="00E92308" w:rsidP="004F06CD">
      <w:pPr>
        <w:numPr>
          <w:ilvl w:val="0"/>
          <w:numId w:val="7"/>
        </w:numPr>
        <w:ind w:left="1440"/>
        <w:contextualSpacing/>
      </w:pPr>
      <w:r w:rsidRPr="00BA5132">
        <w:t>Privacy Impact Assessment</w:t>
      </w:r>
      <w:r>
        <w:t xml:space="preserve"> (PIA)</w:t>
      </w:r>
      <w:r w:rsidR="001B4791">
        <w:t xml:space="preserve"> </w:t>
      </w:r>
    </w:p>
    <w:p w14:paraId="67508922" w14:textId="4D397802" w:rsidR="001B4791" w:rsidRDefault="008E0005" w:rsidP="004F06CD">
      <w:pPr>
        <w:pStyle w:val="ListParagraph"/>
        <w:numPr>
          <w:ilvl w:val="1"/>
          <w:numId w:val="7"/>
        </w:numPr>
        <w:ind w:left="1800"/>
      </w:pPr>
      <w:r>
        <w:t>Partner</w:t>
      </w:r>
      <w:r w:rsidR="00DD4B6E">
        <w:t>’</w:t>
      </w:r>
      <w:r w:rsidR="001B4791">
        <w:t>s Portal</w:t>
      </w:r>
      <w:r w:rsidR="00155C91">
        <w:t xml:space="preserve"> </w:t>
      </w:r>
    </w:p>
    <w:p w14:paraId="289B814D" w14:textId="6AD44E77" w:rsidR="00155C91" w:rsidRDefault="001B4791" w:rsidP="004F06CD">
      <w:pPr>
        <w:pStyle w:val="ListParagraph"/>
        <w:numPr>
          <w:ilvl w:val="1"/>
          <w:numId w:val="7"/>
        </w:numPr>
        <w:ind w:left="1800"/>
      </w:pPr>
      <w:r>
        <w:t>Overdose Data to Action</w:t>
      </w:r>
      <w:r w:rsidR="00155C91">
        <w:t xml:space="preserve">  </w:t>
      </w:r>
    </w:p>
    <w:p w14:paraId="1596425D" w14:textId="73BB61EF" w:rsidR="00BC4DC4" w:rsidRDefault="00DF2F9C" w:rsidP="004F06CD">
      <w:pPr>
        <w:numPr>
          <w:ilvl w:val="0"/>
          <w:numId w:val="7"/>
        </w:numPr>
        <w:ind w:left="1440"/>
        <w:contextualSpacing/>
      </w:pPr>
      <w:r>
        <w:t>Research Determination</w:t>
      </w:r>
    </w:p>
    <w:p w14:paraId="3B98D092" w14:textId="77777777" w:rsidR="007752F0" w:rsidRDefault="00BC4DC4" w:rsidP="004F06CD">
      <w:pPr>
        <w:numPr>
          <w:ilvl w:val="0"/>
          <w:numId w:val="7"/>
        </w:numPr>
        <w:ind w:left="1440"/>
        <w:contextualSpacing/>
      </w:pPr>
      <w:r>
        <w:t xml:space="preserve">Crosswalk </w:t>
      </w:r>
      <w:r w:rsidR="00822E7A">
        <w:t xml:space="preserve">of </w:t>
      </w:r>
      <w:r>
        <w:t>reporting  components</w:t>
      </w:r>
    </w:p>
    <w:p w14:paraId="50F51948" w14:textId="1F98A5C6" w:rsidR="0061192B" w:rsidRDefault="0061192B" w:rsidP="00413F4A"/>
    <w:p w14:paraId="65D7B805" w14:textId="0B5C920E" w:rsidR="00A71F4D" w:rsidRDefault="00BC4DC4" w:rsidP="00413F4A">
      <w:pPr>
        <w:pStyle w:val="ListParagraph"/>
        <w:ind w:left="1080"/>
      </w:pPr>
      <w:r>
        <w:rPr>
          <w:noProof/>
        </w:rPr>
        <mc:AlternateContent>
          <mc:Choice Requires="wps">
            <w:drawing>
              <wp:anchor distT="0" distB="0" distL="114300" distR="114300" simplePos="0" relativeHeight="251659264" behindDoc="0" locked="0" layoutInCell="1" allowOverlap="1" wp14:anchorId="6C9827C3" wp14:editId="25EB7940">
                <wp:simplePos x="0" y="0"/>
                <wp:positionH relativeFrom="margin">
                  <wp:posOffset>-121919</wp:posOffset>
                </wp:positionH>
                <wp:positionV relativeFrom="paragraph">
                  <wp:posOffset>137160</wp:posOffset>
                </wp:positionV>
                <wp:extent cx="6591300" cy="41605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160520"/>
                        </a:xfrm>
                        <a:prstGeom prst="rect">
                          <a:avLst/>
                        </a:prstGeom>
                        <a:solidFill>
                          <a:srgbClr val="FFFFFF"/>
                        </a:solidFill>
                        <a:ln w="9525">
                          <a:solidFill>
                            <a:srgbClr val="000000"/>
                          </a:solidFill>
                          <a:miter lim="800000"/>
                          <a:headEnd/>
                          <a:tailEnd/>
                        </a:ln>
                      </wps:spPr>
                      <wps:txbx>
                        <w:txbxContent>
                          <w:p w14:paraId="568A508E" w14:textId="71565EF6" w:rsidR="001B4791" w:rsidRPr="004E77AC" w:rsidRDefault="001B4791" w:rsidP="004F06CD">
                            <w:pPr>
                              <w:spacing w:after="240"/>
                            </w:pPr>
                            <w:r w:rsidRPr="00096C01">
                              <w:rPr>
                                <w:b/>
                                <w:color w:val="000000" w:themeColor="text1"/>
                              </w:rPr>
                              <w:t xml:space="preserve">Goal: </w:t>
                            </w:r>
                            <w:r w:rsidRPr="00096C01">
                              <w:rPr>
                                <w:color w:val="000000" w:themeColor="text1"/>
                              </w:rPr>
                              <w:t>The goal of this data collection is to</w:t>
                            </w:r>
                            <w:r w:rsidR="0054271C">
                              <w:rPr>
                                <w:color w:val="000000" w:themeColor="text1"/>
                              </w:rPr>
                              <w:t xml:space="preserve"> </w:t>
                            </w:r>
                            <w:r w:rsidRPr="00096C01">
                              <w:rPr>
                                <w:color w:val="000000" w:themeColor="text1"/>
                              </w:rPr>
                              <w:t xml:space="preserve">gather </w:t>
                            </w:r>
                            <w:r w:rsidR="008101BB" w:rsidRPr="00205A43">
                              <w:rPr>
                                <w:color w:val="000000" w:themeColor="text1"/>
                                <w:highlight w:val="yellow"/>
                              </w:rPr>
                              <w:t xml:space="preserve">program monitoring and </w:t>
                            </w:r>
                            <w:r w:rsidR="0054271C" w:rsidRPr="00205A43">
                              <w:rPr>
                                <w:color w:val="000000" w:themeColor="text1"/>
                                <w:highlight w:val="yellow"/>
                              </w:rPr>
                              <w:t xml:space="preserve">reporting </w:t>
                            </w:r>
                            <w:r w:rsidRPr="00205A43">
                              <w:rPr>
                                <w:color w:val="000000" w:themeColor="text1"/>
                                <w:highlight w:val="yellow"/>
                              </w:rPr>
                              <w:t>information</w:t>
                            </w:r>
                            <w:r w:rsidRPr="00096C01">
                              <w:rPr>
                                <w:color w:val="000000" w:themeColor="text1"/>
                              </w:rPr>
                              <w:t xml:space="preserve"> from jurisdictions (which include states, Washington</w:t>
                            </w:r>
                            <w:r w:rsidR="00427475">
                              <w:rPr>
                                <w:color w:val="000000" w:themeColor="text1"/>
                              </w:rPr>
                              <w:t>,</w:t>
                            </w:r>
                            <w:r w:rsidRPr="00096C01">
                              <w:rPr>
                                <w:color w:val="000000" w:themeColor="text1"/>
                              </w:rPr>
                              <w:t xml:space="preserve"> D.C., U.S. Territories, cities and counties) </w:t>
                            </w:r>
                            <w:r w:rsidR="007752F0">
                              <w:rPr>
                                <w:color w:val="000000" w:themeColor="text1"/>
                              </w:rPr>
                              <w:t xml:space="preserve">currently </w:t>
                            </w:r>
                            <w:r w:rsidR="0054271C" w:rsidRPr="00A93EB5">
                              <w:rPr>
                                <w:color w:val="000000" w:themeColor="text1"/>
                              </w:rPr>
                              <w:t xml:space="preserve">funded under </w:t>
                            </w:r>
                            <w:r w:rsidR="0054271C">
                              <w:rPr>
                                <w:color w:val="000000" w:themeColor="text1"/>
                              </w:rPr>
                              <w:t>the Overdose Data to Action (</w:t>
                            </w:r>
                            <w:r w:rsidR="0054271C" w:rsidRPr="00CD5997">
                              <w:rPr>
                                <w:color w:val="000000" w:themeColor="text1"/>
                              </w:rPr>
                              <w:t>CDC-</w:t>
                            </w:r>
                            <w:r w:rsidR="0054271C" w:rsidRPr="00CD5997">
                              <w:rPr>
                                <w:rStyle w:val="search-custom1"/>
                              </w:rPr>
                              <w:t>RFA-CE19-1904</w:t>
                            </w:r>
                            <w:r w:rsidR="0054271C" w:rsidRPr="00CD5997">
                              <w:rPr>
                                <w:color w:val="000000" w:themeColor="text1"/>
                              </w:rPr>
                              <w:t>)</w:t>
                            </w:r>
                            <w:r w:rsidR="007A26B8">
                              <w:rPr>
                                <w:color w:val="000000" w:themeColor="text1"/>
                              </w:rPr>
                              <w:t xml:space="preserve"> notice of funding opportunity (OD2A NOFO)</w:t>
                            </w:r>
                            <w:r w:rsidR="0054271C" w:rsidRPr="00CD5997">
                              <w:rPr>
                                <w:color w:val="000000" w:themeColor="text1"/>
                              </w:rPr>
                              <w:t>.</w:t>
                            </w:r>
                            <w:r w:rsidR="0054271C">
                              <w:rPr>
                                <w:color w:val="000000" w:themeColor="text1"/>
                              </w:rPr>
                              <w:t xml:space="preserve"> R</w:t>
                            </w:r>
                            <w:r w:rsidR="0054271C" w:rsidRPr="00A93EB5">
                              <w:t xml:space="preserve">eporting requirements have been carefully designed to align with and support the </w:t>
                            </w:r>
                            <w:r w:rsidR="0054271C">
                              <w:t xml:space="preserve">specific </w:t>
                            </w:r>
                            <w:r w:rsidR="0054271C" w:rsidRPr="00A93EB5">
                              <w:t xml:space="preserve">goals </w:t>
                            </w:r>
                            <w:r w:rsidR="0054271C">
                              <w:t xml:space="preserve">and outcomes </w:t>
                            </w:r>
                            <w:r w:rsidR="0054271C" w:rsidRPr="00A93EB5">
                              <w:t xml:space="preserve">outlined in the </w:t>
                            </w:r>
                            <w:r w:rsidR="007A26B8">
                              <w:t>OD2A NOFO</w:t>
                            </w:r>
                            <w:r w:rsidR="008101BB">
                              <w:rPr>
                                <w:color w:val="000000" w:themeColor="text1"/>
                              </w:rPr>
                              <w:t>.</w:t>
                            </w:r>
                          </w:p>
                          <w:p w14:paraId="4AD4E8F2" w14:textId="59CEBADE" w:rsidR="001B4791" w:rsidRPr="004E77AC" w:rsidRDefault="001B4791" w:rsidP="004F06CD">
                            <w:pPr>
                              <w:spacing w:after="240" w:line="276" w:lineRule="auto"/>
                            </w:pPr>
                            <w:r w:rsidRPr="00096C01">
                              <w:rPr>
                                <w:b/>
                                <w:color w:val="000000" w:themeColor="text1"/>
                              </w:rPr>
                              <w:t>Intended use of the resulting data:</w:t>
                            </w:r>
                            <w:r w:rsidRPr="00096C01">
                              <w:rPr>
                                <w:color w:val="000000" w:themeColor="text1"/>
                              </w:rPr>
                              <w:t xml:space="preserve"> Information collected will </w:t>
                            </w:r>
                            <w:r w:rsidRPr="00205A43">
                              <w:rPr>
                                <w:color w:val="000000" w:themeColor="text1"/>
                                <w:highlight w:val="yellow"/>
                                <w:u w:val="single"/>
                              </w:rPr>
                              <w:t>provide crucial data for program performance monitoring, budget tracking, and where applicable, program success</w:t>
                            </w:r>
                            <w:r w:rsidRPr="00096C01">
                              <w:rPr>
                                <w:color w:val="000000" w:themeColor="text1"/>
                              </w:rPr>
                              <w:t xml:space="preserve">. The information will also </w:t>
                            </w:r>
                            <w:r w:rsidRPr="00205A43">
                              <w:rPr>
                                <w:color w:val="000000" w:themeColor="text1"/>
                                <w:highlight w:val="yellow"/>
                              </w:rPr>
                              <w:t>improve communication</w:t>
                            </w:r>
                            <w:r w:rsidRPr="00096C01">
                              <w:rPr>
                                <w:color w:val="000000" w:themeColor="text1"/>
                              </w:rPr>
                              <w:t xml:space="preserve"> between CDC and funding recipients as well as </w:t>
                            </w:r>
                            <w:r w:rsidRPr="00205A43">
                              <w:rPr>
                                <w:color w:val="000000" w:themeColor="text1"/>
                                <w:highlight w:val="yellow"/>
                              </w:rPr>
                              <w:t>inform technical assistance</w:t>
                            </w:r>
                            <w:r w:rsidRPr="00096C01">
                              <w:rPr>
                                <w:color w:val="000000" w:themeColor="text1"/>
                              </w:rPr>
                              <w:t xml:space="preserve"> and </w:t>
                            </w:r>
                            <w:r w:rsidRPr="00205A43">
                              <w:rPr>
                                <w:color w:val="000000" w:themeColor="text1"/>
                                <w:highlight w:val="yellow"/>
                              </w:rPr>
                              <w:t>guidance documents</w:t>
                            </w:r>
                            <w:r w:rsidRPr="00096C01">
                              <w:rPr>
                                <w:color w:val="000000" w:themeColor="text1"/>
                              </w:rPr>
                              <w:t>.</w:t>
                            </w:r>
                          </w:p>
                          <w:p w14:paraId="5CAEC62E" w14:textId="6AE3C577" w:rsidR="001B4791" w:rsidRPr="004E77AC" w:rsidRDefault="001B4791" w:rsidP="004F06CD">
                            <w:pPr>
                              <w:spacing w:after="240" w:line="276" w:lineRule="auto"/>
                            </w:pPr>
                            <w:r w:rsidRPr="00096C01">
                              <w:rPr>
                                <w:b/>
                                <w:color w:val="000000" w:themeColor="text1"/>
                              </w:rPr>
                              <w:t>Methods to be used to collect:</w:t>
                            </w:r>
                            <w:r w:rsidRPr="00096C01">
                              <w:rPr>
                                <w:color w:val="000000" w:themeColor="text1"/>
                              </w:rPr>
                              <w:t xml:space="preserve"> Jurisdictions will report activity progress and work plan updates, provide evaluation </w:t>
                            </w:r>
                            <w:r>
                              <w:t>and performance measuring</w:t>
                            </w:r>
                            <w:r w:rsidRPr="00096C01">
                              <w:rPr>
                                <w:color w:val="000000" w:themeColor="text1"/>
                              </w:rPr>
                              <w:t xml:space="preserve"> plan updates, assess operational capacity, and provide a surveillance data dissemination plan using web-based tools and Word templates. </w:t>
                            </w:r>
                          </w:p>
                          <w:p w14:paraId="13EA5093" w14:textId="3F1B58DF" w:rsidR="001B4791" w:rsidRDefault="001B4791" w:rsidP="004F06CD">
                            <w:pPr>
                              <w:spacing w:after="240" w:line="276" w:lineRule="auto"/>
                            </w:pPr>
                            <w:r w:rsidRPr="00096C01">
                              <w:rPr>
                                <w:b/>
                              </w:rPr>
                              <w:t>The subpopulation to be studied</w:t>
                            </w:r>
                            <w:r>
                              <w:t xml:space="preserve">: All </w:t>
                            </w:r>
                            <w:r w:rsidRPr="00096C01">
                              <w:rPr>
                                <w:color w:val="000000" w:themeColor="text1"/>
                              </w:rPr>
                              <w:t>jurisdictions funded by the OD2A NOFO</w:t>
                            </w:r>
                            <w:r>
                              <w:t xml:space="preserve"> will be expected to complete all reporting. No subpopulations are being studied.  </w:t>
                            </w:r>
                          </w:p>
                          <w:p w14:paraId="6ED20A38" w14:textId="607331DB" w:rsidR="001B4791" w:rsidRDefault="001B4791" w:rsidP="004F06CD">
                            <w:pPr>
                              <w:spacing w:after="240" w:line="276" w:lineRule="auto"/>
                            </w:pPr>
                            <w:r w:rsidRPr="00096C01">
                              <w:rPr>
                                <w:b/>
                              </w:rPr>
                              <w:t>How data will be analyzed:</w:t>
                            </w:r>
                            <w:r>
                              <w:t xml:space="preserve"> Sampling methods will not be used.  Data collection will include </w:t>
                            </w:r>
                            <w:r w:rsidRPr="00BE3BE0">
                              <w:t>100% of</w:t>
                            </w:r>
                            <w:r>
                              <w:t xml:space="preserve"> </w:t>
                            </w:r>
                            <w:r w:rsidRPr="00096C01">
                              <w:rPr>
                                <w:color w:val="000000" w:themeColor="text1"/>
                              </w:rPr>
                              <w:t>jurisdictions funded under the prevention strategies included in the OD2A NOFO</w:t>
                            </w:r>
                            <w:r>
                              <w:t xml:space="preserve">. </w:t>
                            </w:r>
                            <w:r w:rsidRPr="00BE3BE0">
                              <w:t xml:space="preserve">The data will be analyzed using descriptive and summary statistics, </w:t>
                            </w:r>
                            <w:r>
                              <w:t xml:space="preserve">and </w:t>
                            </w:r>
                            <w:r w:rsidRPr="00BE3BE0">
                              <w:t>qualitative summar</w:t>
                            </w:r>
                            <w:r>
                              <w:t>ies</w:t>
                            </w:r>
                            <w:r w:rsidRPr="00BE3BE0">
                              <w:t>.</w:t>
                            </w:r>
                            <w:r>
                              <w:t xml:space="preserve"> </w:t>
                            </w:r>
                          </w:p>
                          <w:p w14:paraId="1F21DFA3" w14:textId="253868B5" w:rsidR="001B4791" w:rsidRDefault="001B4791" w:rsidP="004F06CD">
                            <w:pPr>
                              <w:pStyle w:val="ListParagraph"/>
                              <w:spacing w:after="240" w:line="276"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10.8pt;width:519pt;height:32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">
                <v:textbox>
                  <w:txbxContent>
                    <w:p w14:paraId="568A508E" w14:textId="71565EF6" w:rsidR="001B4791" w:rsidRPr="004E77AC" w:rsidRDefault="001B4791" w:rsidP="004F06CD">
                      <w:pPr>
                        <w:spacing w:after="240"/>
                      </w:pPr>
                      <w:r w:rsidRPr="00096C01">
                        <w:rPr>
                          <w:b/>
                          <w:color w:val="000000" w:themeColor="text1"/>
                        </w:rPr>
                        <w:t xml:space="preserve">Goal: </w:t>
                      </w:r>
                      <w:r w:rsidRPr="00096C01">
                        <w:rPr>
                          <w:color w:val="000000" w:themeColor="text1"/>
                        </w:rPr>
                        <w:t>The goal of this data collection is to</w:t>
                      </w:r>
                      <w:r w:rsidR="0054271C">
                        <w:rPr>
                          <w:color w:val="000000" w:themeColor="text1"/>
                        </w:rPr>
                        <w:t xml:space="preserve"> </w:t>
                      </w:r>
                      <w:r w:rsidRPr="00096C01">
                        <w:rPr>
                          <w:color w:val="000000" w:themeColor="text1"/>
                        </w:rPr>
                        <w:t xml:space="preserve">gather </w:t>
                      </w:r>
                      <w:r w:rsidR="008101BB" w:rsidRPr="00205A43">
                        <w:rPr>
                          <w:color w:val="000000" w:themeColor="text1"/>
                          <w:highlight w:val="yellow"/>
                        </w:rPr>
                        <w:t xml:space="preserve">program monitoring and </w:t>
                      </w:r>
                      <w:r w:rsidR="0054271C" w:rsidRPr="00205A43">
                        <w:rPr>
                          <w:color w:val="000000" w:themeColor="text1"/>
                          <w:highlight w:val="yellow"/>
                        </w:rPr>
                        <w:t xml:space="preserve">reporting </w:t>
                      </w:r>
                      <w:r w:rsidRPr="00205A43">
                        <w:rPr>
                          <w:color w:val="000000" w:themeColor="text1"/>
                          <w:highlight w:val="yellow"/>
                        </w:rPr>
                        <w:t>information</w:t>
                      </w:r>
                      <w:r w:rsidRPr="00096C01">
                        <w:rPr>
                          <w:color w:val="000000" w:themeColor="text1"/>
                        </w:rPr>
                        <w:t xml:space="preserve"> from jurisdictions (which include states, Washington</w:t>
                      </w:r>
                      <w:r w:rsidR="00427475">
                        <w:rPr>
                          <w:color w:val="000000" w:themeColor="text1"/>
                        </w:rPr>
                        <w:t>,</w:t>
                      </w:r>
                      <w:r w:rsidRPr="00096C01">
                        <w:rPr>
                          <w:color w:val="000000" w:themeColor="text1"/>
                        </w:rPr>
                        <w:t xml:space="preserve"> D.C., U.S. Territories, cities and counties) </w:t>
                      </w:r>
                      <w:r w:rsidR="007752F0">
                        <w:rPr>
                          <w:color w:val="000000" w:themeColor="text1"/>
                        </w:rPr>
                        <w:t xml:space="preserve">currently </w:t>
                      </w:r>
                      <w:r w:rsidR="0054271C" w:rsidRPr="00A93EB5">
                        <w:rPr>
                          <w:color w:val="000000" w:themeColor="text1"/>
                        </w:rPr>
                        <w:t xml:space="preserve">funded under </w:t>
                      </w:r>
                      <w:r w:rsidR="0054271C">
                        <w:rPr>
                          <w:color w:val="000000" w:themeColor="text1"/>
                        </w:rPr>
                        <w:t>the Overdose Data to Action (</w:t>
                      </w:r>
                      <w:r w:rsidR="0054271C" w:rsidRPr="00CD5997">
                        <w:rPr>
                          <w:color w:val="000000" w:themeColor="text1"/>
                        </w:rPr>
                        <w:t>CDC-</w:t>
                      </w:r>
                      <w:r w:rsidR="0054271C" w:rsidRPr="00CD5997">
                        <w:rPr>
                          <w:rStyle w:val="search-custom1"/>
                        </w:rPr>
                        <w:t>RFA-CE19-1904</w:t>
                      </w:r>
                      <w:r w:rsidR="0054271C" w:rsidRPr="00CD5997">
                        <w:rPr>
                          <w:color w:val="000000" w:themeColor="text1"/>
                        </w:rPr>
                        <w:t>)</w:t>
                      </w:r>
                      <w:r w:rsidR="007A26B8">
                        <w:rPr>
                          <w:color w:val="000000" w:themeColor="text1"/>
                        </w:rPr>
                        <w:t xml:space="preserve"> notice of funding opportunity (OD2A NOFO)</w:t>
                      </w:r>
                      <w:r w:rsidR="0054271C" w:rsidRPr="00CD5997">
                        <w:rPr>
                          <w:color w:val="000000" w:themeColor="text1"/>
                        </w:rPr>
                        <w:t>.</w:t>
                      </w:r>
                      <w:r w:rsidR="0054271C">
                        <w:rPr>
                          <w:color w:val="000000" w:themeColor="text1"/>
                        </w:rPr>
                        <w:t xml:space="preserve"> R</w:t>
                      </w:r>
                      <w:r w:rsidR="0054271C" w:rsidRPr="00A93EB5">
                        <w:t xml:space="preserve">eporting requirements have been carefully designed to align with and support the </w:t>
                      </w:r>
                      <w:r w:rsidR="0054271C">
                        <w:t xml:space="preserve">specific </w:t>
                      </w:r>
                      <w:r w:rsidR="0054271C" w:rsidRPr="00A93EB5">
                        <w:t xml:space="preserve">goals </w:t>
                      </w:r>
                      <w:r w:rsidR="0054271C">
                        <w:t xml:space="preserve">and outcomes </w:t>
                      </w:r>
                      <w:r w:rsidR="0054271C" w:rsidRPr="00A93EB5">
                        <w:t xml:space="preserve">outlined in the </w:t>
                      </w:r>
                      <w:r w:rsidR="007A26B8">
                        <w:t>OD2A NOFO</w:t>
                      </w:r>
                      <w:r w:rsidR="008101BB">
                        <w:rPr>
                          <w:color w:val="000000" w:themeColor="text1"/>
                        </w:rPr>
                        <w:t>.</w:t>
                      </w:r>
                    </w:p>
                    <w:p w14:paraId="4AD4E8F2" w14:textId="59CEBADE" w:rsidR="001B4791" w:rsidRPr="004E77AC" w:rsidRDefault="001B4791" w:rsidP="004F06CD">
                      <w:pPr>
                        <w:spacing w:after="240" w:line="276" w:lineRule="auto"/>
                      </w:pPr>
                      <w:r w:rsidRPr="00096C01">
                        <w:rPr>
                          <w:b/>
                          <w:color w:val="000000" w:themeColor="text1"/>
                        </w:rPr>
                        <w:t>Intended use of the resulting data:</w:t>
                      </w:r>
                      <w:r w:rsidRPr="00096C01">
                        <w:rPr>
                          <w:color w:val="000000" w:themeColor="text1"/>
                        </w:rPr>
                        <w:t xml:space="preserve"> Information collected will </w:t>
                      </w:r>
                      <w:r w:rsidRPr="00205A43">
                        <w:rPr>
                          <w:color w:val="000000" w:themeColor="text1"/>
                          <w:highlight w:val="yellow"/>
                          <w:u w:val="single"/>
                        </w:rPr>
                        <w:t>provide crucial data for program performance monitoring, budget tracking, and where applicable, program success</w:t>
                      </w:r>
                      <w:r w:rsidRPr="00096C01">
                        <w:rPr>
                          <w:color w:val="000000" w:themeColor="text1"/>
                        </w:rPr>
                        <w:t xml:space="preserve">. The information will also </w:t>
                      </w:r>
                      <w:r w:rsidRPr="00205A43">
                        <w:rPr>
                          <w:color w:val="000000" w:themeColor="text1"/>
                          <w:highlight w:val="yellow"/>
                        </w:rPr>
                        <w:t>improve communication</w:t>
                      </w:r>
                      <w:r w:rsidRPr="00096C01">
                        <w:rPr>
                          <w:color w:val="000000" w:themeColor="text1"/>
                        </w:rPr>
                        <w:t xml:space="preserve"> between CDC and funding recipients as well as </w:t>
                      </w:r>
                      <w:r w:rsidRPr="00205A43">
                        <w:rPr>
                          <w:color w:val="000000" w:themeColor="text1"/>
                          <w:highlight w:val="yellow"/>
                        </w:rPr>
                        <w:t>inform technical assistance</w:t>
                      </w:r>
                      <w:r w:rsidRPr="00096C01">
                        <w:rPr>
                          <w:color w:val="000000" w:themeColor="text1"/>
                        </w:rPr>
                        <w:t xml:space="preserve"> and </w:t>
                      </w:r>
                      <w:r w:rsidRPr="00205A43">
                        <w:rPr>
                          <w:color w:val="000000" w:themeColor="text1"/>
                          <w:highlight w:val="yellow"/>
                        </w:rPr>
                        <w:t>guidance documents</w:t>
                      </w:r>
                      <w:r w:rsidRPr="00096C01">
                        <w:rPr>
                          <w:color w:val="000000" w:themeColor="text1"/>
                        </w:rPr>
                        <w:t>.</w:t>
                      </w:r>
                    </w:p>
                    <w:p w14:paraId="5CAEC62E" w14:textId="6AE3C577" w:rsidR="001B4791" w:rsidRPr="004E77AC" w:rsidRDefault="001B4791" w:rsidP="004F06CD">
                      <w:pPr>
                        <w:spacing w:after="240" w:line="276" w:lineRule="auto"/>
                      </w:pPr>
                      <w:r w:rsidRPr="00096C01">
                        <w:rPr>
                          <w:b/>
                          <w:color w:val="000000" w:themeColor="text1"/>
                        </w:rPr>
                        <w:t>Methods to be used to collect:</w:t>
                      </w:r>
                      <w:r w:rsidRPr="00096C01">
                        <w:rPr>
                          <w:color w:val="000000" w:themeColor="text1"/>
                        </w:rPr>
                        <w:t xml:space="preserve"> Jurisdictions will report activity progress and work plan updates, provide evaluation </w:t>
                      </w:r>
                      <w:r>
                        <w:t>and performance measuring</w:t>
                      </w:r>
                      <w:r w:rsidRPr="00096C01">
                        <w:rPr>
                          <w:color w:val="000000" w:themeColor="text1"/>
                        </w:rPr>
                        <w:t xml:space="preserve"> plan updates, assess operational capacity, and provide a surveillance data dissemination plan using web-based tools and Word templates. </w:t>
                      </w:r>
                    </w:p>
                    <w:p w14:paraId="13EA5093" w14:textId="3F1B58DF" w:rsidR="001B4791" w:rsidRDefault="001B4791" w:rsidP="004F06CD">
                      <w:pPr>
                        <w:spacing w:after="240" w:line="276" w:lineRule="auto"/>
                      </w:pPr>
                      <w:r w:rsidRPr="00096C01">
                        <w:rPr>
                          <w:b/>
                        </w:rPr>
                        <w:t>The subpopulation to be studied</w:t>
                      </w:r>
                      <w:r>
                        <w:t xml:space="preserve">: All </w:t>
                      </w:r>
                      <w:r w:rsidRPr="00096C01">
                        <w:rPr>
                          <w:color w:val="000000" w:themeColor="text1"/>
                        </w:rPr>
                        <w:t>jurisdictions funded by the OD2A NOFO</w:t>
                      </w:r>
                      <w:r>
                        <w:t xml:space="preserve"> will be expected to complete all reporting. No subpopulations are being studied.  </w:t>
                      </w:r>
                    </w:p>
                    <w:p w14:paraId="6ED20A38" w14:textId="607331DB" w:rsidR="001B4791" w:rsidRDefault="001B4791" w:rsidP="004F06CD">
                      <w:pPr>
                        <w:spacing w:after="240" w:line="276" w:lineRule="auto"/>
                      </w:pPr>
                      <w:r w:rsidRPr="00096C01">
                        <w:rPr>
                          <w:b/>
                        </w:rPr>
                        <w:t>How data will be analyzed:</w:t>
                      </w:r>
                      <w:r>
                        <w:t xml:space="preserve"> Sampling methods will not be used.  Data collection will include </w:t>
                      </w:r>
                      <w:r w:rsidRPr="00BE3BE0">
                        <w:t>100% of</w:t>
                      </w:r>
                      <w:r>
                        <w:t xml:space="preserve"> </w:t>
                      </w:r>
                      <w:r w:rsidRPr="00096C01">
                        <w:rPr>
                          <w:color w:val="000000" w:themeColor="text1"/>
                        </w:rPr>
                        <w:t>jurisdictions funded under the prevention strategies included in the OD2A NOFO</w:t>
                      </w:r>
                      <w:r>
                        <w:t xml:space="preserve">. </w:t>
                      </w:r>
                      <w:r w:rsidRPr="00BE3BE0">
                        <w:t xml:space="preserve">The data will be analyzed using descriptive and summary statistics, </w:t>
                      </w:r>
                      <w:r>
                        <w:t xml:space="preserve">and </w:t>
                      </w:r>
                      <w:r w:rsidRPr="00BE3BE0">
                        <w:t>qualitative summar</w:t>
                      </w:r>
                      <w:r>
                        <w:t>ies</w:t>
                      </w:r>
                      <w:r w:rsidRPr="00BE3BE0">
                        <w:t>.</w:t>
                      </w:r>
                      <w:r>
                        <w:t xml:space="preserve"> </w:t>
                      </w:r>
                    </w:p>
                    <w:p w14:paraId="1F21DFA3" w14:textId="253868B5" w:rsidR="001B4791" w:rsidRDefault="001B4791" w:rsidP="004F06CD">
                      <w:pPr>
                        <w:pStyle w:val="ListParagraph"/>
                        <w:spacing w:after="240" w:line="276" w:lineRule="auto"/>
                        <w:ind w:left="360"/>
                      </w:pPr>
                    </w:p>
                  </w:txbxContent>
                </v:textbox>
                <w10:wrap anchorx="margin"/>
              </v:shape>
            </w:pict>
          </mc:Fallback>
        </mc:AlternateContent>
      </w:r>
    </w:p>
    <w:p w14:paraId="1FBB81FE" w14:textId="29556347" w:rsidR="0007680B" w:rsidRDefault="0007680B" w:rsidP="00413F4A">
      <w:pPr>
        <w:pStyle w:val="ListParagraph"/>
        <w:ind w:left="1080"/>
      </w:pPr>
    </w:p>
    <w:p w14:paraId="7776AF82" w14:textId="77777777" w:rsidR="0007680B" w:rsidRDefault="0007680B" w:rsidP="00413F4A">
      <w:pPr>
        <w:pStyle w:val="ListParagraph"/>
        <w:ind w:left="1080"/>
      </w:pPr>
    </w:p>
    <w:p w14:paraId="1F37FDF2" w14:textId="77777777" w:rsidR="0007680B" w:rsidRDefault="0007680B" w:rsidP="00413F4A">
      <w:pPr>
        <w:pStyle w:val="ListParagraph"/>
        <w:ind w:left="1080"/>
      </w:pPr>
    </w:p>
    <w:p w14:paraId="42160029" w14:textId="77777777" w:rsidR="0007680B" w:rsidRPr="00CC0112" w:rsidRDefault="0007680B" w:rsidP="00413F4A">
      <w:pPr>
        <w:pStyle w:val="ListParagraph"/>
        <w:ind w:left="1080"/>
      </w:pPr>
    </w:p>
    <w:p w14:paraId="6110F72A" w14:textId="77777777" w:rsidR="00A030E6" w:rsidRDefault="00A030E6" w:rsidP="00A030E6"/>
    <w:p w14:paraId="62E6F107" w14:textId="77777777" w:rsidR="00365F86" w:rsidRDefault="00365F86" w:rsidP="00A030E6">
      <w:pPr>
        <w:rPr>
          <w:b/>
          <w:bCs/>
        </w:rPr>
      </w:pPr>
    </w:p>
    <w:p w14:paraId="50B99387" w14:textId="77777777" w:rsidR="00365F86" w:rsidRDefault="00365F86" w:rsidP="00A030E6">
      <w:pPr>
        <w:rPr>
          <w:b/>
          <w:bCs/>
        </w:rPr>
      </w:pPr>
    </w:p>
    <w:p w14:paraId="7A5D70CA" w14:textId="77777777" w:rsidR="00365F86" w:rsidRDefault="00365F86" w:rsidP="00A030E6">
      <w:pPr>
        <w:rPr>
          <w:b/>
          <w:bCs/>
        </w:rPr>
      </w:pPr>
    </w:p>
    <w:p w14:paraId="6DBCF1E9" w14:textId="77777777" w:rsidR="0061192B" w:rsidRDefault="0061192B" w:rsidP="00A030E6">
      <w:pPr>
        <w:rPr>
          <w:b/>
          <w:bCs/>
        </w:rPr>
      </w:pPr>
    </w:p>
    <w:p w14:paraId="049973A8" w14:textId="77777777" w:rsidR="0061192B" w:rsidRDefault="0061192B" w:rsidP="00A030E6">
      <w:pPr>
        <w:rPr>
          <w:b/>
          <w:bCs/>
        </w:rPr>
      </w:pPr>
    </w:p>
    <w:p w14:paraId="0DF698D3" w14:textId="77777777" w:rsidR="0061192B" w:rsidRDefault="0061192B" w:rsidP="00A030E6">
      <w:pPr>
        <w:rPr>
          <w:b/>
          <w:bCs/>
        </w:rPr>
      </w:pPr>
    </w:p>
    <w:p w14:paraId="4851913F" w14:textId="77777777" w:rsidR="0061192B" w:rsidRDefault="0061192B" w:rsidP="00A030E6">
      <w:pPr>
        <w:rPr>
          <w:b/>
          <w:bCs/>
        </w:rPr>
      </w:pPr>
    </w:p>
    <w:p w14:paraId="7C3DF95F" w14:textId="77777777" w:rsidR="0061192B" w:rsidRDefault="0061192B" w:rsidP="00A030E6">
      <w:pPr>
        <w:rPr>
          <w:b/>
          <w:bCs/>
        </w:rPr>
      </w:pPr>
    </w:p>
    <w:p w14:paraId="7094A965" w14:textId="77777777" w:rsidR="0061192B" w:rsidRDefault="0061192B" w:rsidP="00A030E6">
      <w:pPr>
        <w:rPr>
          <w:b/>
          <w:bCs/>
        </w:rPr>
      </w:pPr>
    </w:p>
    <w:p w14:paraId="12337983" w14:textId="77777777" w:rsidR="0061192B" w:rsidRDefault="0061192B" w:rsidP="00A030E6">
      <w:pPr>
        <w:rPr>
          <w:b/>
          <w:bCs/>
        </w:rPr>
      </w:pPr>
    </w:p>
    <w:p w14:paraId="5BC946C4" w14:textId="77777777" w:rsidR="0061192B" w:rsidRDefault="0061192B" w:rsidP="00A030E6">
      <w:pPr>
        <w:rPr>
          <w:b/>
          <w:bCs/>
        </w:rPr>
      </w:pPr>
    </w:p>
    <w:p w14:paraId="53ACC589" w14:textId="77777777" w:rsidR="0061192B" w:rsidRDefault="0061192B" w:rsidP="00A030E6">
      <w:pPr>
        <w:rPr>
          <w:b/>
          <w:bCs/>
        </w:rPr>
      </w:pPr>
    </w:p>
    <w:p w14:paraId="26230E09" w14:textId="77777777" w:rsidR="0061192B" w:rsidRDefault="0061192B" w:rsidP="00A030E6">
      <w:pPr>
        <w:rPr>
          <w:b/>
          <w:bCs/>
        </w:rPr>
      </w:pPr>
    </w:p>
    <w:p w14:paraId="29DE2D03" w14:textId="77777777" w:rsidR="0061192B" w:rsidRDefault="0061192B" w:rsidP="00A030E6">
      <w:pPr>
        <w:rPr>
          <w:b/>
          <w:bCs/>
        </w:rPr>
      </w:pPr>
    </w:p>
    <w:p w14:paraId="4B719957" w14:textId="77777777" w:rsidR="0061192B" w:rsidRDefault="0061192B" w:rsidP="00A030E6">
      <w:pPr>
        <w:rPr>
          <w:b/>
          <w:bCs/>
        </w:rPr>
      </w:pPr>
    </w:p>
    <w:p w14:paraId="601482DC" w14:textId="77777777" w:rsidR="0061192B" w:rsidRDefault="0061192B" w:rsidP="00A030E6">
      <w:pPr>
        <w:rPr>
          <w:b/>
          <w:bCs/>
        </w:rPr>
      </w:pPr>
    </w:p>
    <w:p w14:paraId="0DED0D1D" w14:textId="77777777" w:rsidR="0061192B" w:rsidRDefault="0061192B" w:rsidP="00A030E6">
      <w:pPr>
        <w:rPr>
          <w:b/>
          <w:bCs/>
        </w:rPr>
      </w:pPr>
    </w:p>
    <w:p w14:paraId="5A1CC72F" w14:textId="77777777" w:rsidR="00E70547" w:rsidRDefault="00E70547" w:rsidP="00A030E6">
      <w:pPr>
        <w:rPr>
          <w:b/>
          <w:bCs/>
        </w:rPr>
      </w:pPr>
    </w:p>
    <w:p w14:paraId="1D123204" w14:textId="77777777" w:rsidR="00702DDD" w:rsidRDefault="00702DDD" w:rsidP="00A030E6">
      <w:pPr>
        <w:rPr>
          <w:b/>
          <w:bCs/>
        </w:rPr>
      </w:pPr>
    </w:p>
    <w:p w14:paraId="5E15720F" w14:textId="77777777" w:rsidR="009F0E72" w:rsidRDefault="009F0E72" w:rsidP="00A030E6">
      <w:pPr>
        <w:rPr>
          <w:b/>
          <w:bCs/>
        </w:rPr>
      </w:pPr>
    </w:p>
    <w:p w14:paraId="0A0CFCA6" w14:textId="3A6B40A0" w:rsidR="007752F0" w:rsidRPr="001633EE" w:rsidRDefault="001633EE" w:rsidP="001633EE">
      <w:pPr>
        <w:jc w:val="both"/>
        <w:rPr>
          <w:b/>
          <w:bCs/>
        </w:rPr>
      </w:pPr>
      <w:r>
        <w:rPr>
          <w:b/>
          <w:bCs/>
        </w:rPr>
        <w:t>A.</w:t>
      </w:r>
      <w:r w:rsidR="00A030E6" w:rsidRPr="001633EE">
        <w:rPr>
          <w:b/>
          <w:bCs/>
        </w:rPr>
        <w:t>JUSTIFICATION</w:t>
      </w:r>
    </w:p>
    <w:p w14:paraId="5B5EA99F" w14:textId="77777777" w:rsidR="001633EE" w:rsidRPr="001633EE" w:rsidRDefault="001633EE" w:rsidP="001633EE">
      <w:pPr>
        <w:pStyle w:val="ListParagraph"/>
        <w:jc w:val="both"/>
        <w:rPr>
          <w:b/>
          <w:bCs/>
        </w:rPr>
      </w:pPr>
    </w:p>
    <w:p w14:paraId="242D5BAF" w14:textId="77777777" w:rsidR="001633EE" w:rsidRPr="001633EE" w:rsidRDefault="001633EE" w:rsidP="001633EE">
      <w:pPr>
        <w:jc w:val="both"/>
      </w:pPr>
      <w:r w:rsidRPr="001633EE">
        <w:t>TIME SENSITIVE</w:t>
      </w:r>
    </w:p>
    <w:p w14:paraId="7B231CF1" w14:textId="77777777" w:rsidR="001633EE" w:rsidRPr="001633EE" w:rsidRDefault="001633EE" w:rsidP="001633EE">
      <w:pPr>
        <w:jc w:val="both"/>
      </w:pPr>
    </w:p>
    <w:p w14:paraId="0D1A37A0" w14:textId="7198AB5B" w:rsidR="001633EE" w:rsidRPr="001633EE" w:rsidRDefault="001633EE" w:rsidP="001633EE">
      <w:pPr>
        <w:tabs>
          <w:tab w:val="left" w:pos="360"/>
        </w:tabs>
        <w:jc w:val="both"/>
        <w:outlineLvl w:val="0"/>
      </w:pPr>
      <w:r w:rsidRPr="001633EE">
        <w:t>In October 2017, HHS declared a public health emergency to address the national opioid crisis. This information collection request supports CDC monitoring of response efforts in 66 jurisdictions.</w:t>
      </w:r>
    </w:p>
    <w:p w14:paraId="08F2A5CB" w14:textId="77777777" w:rsidR="001633EE" w:rsidRPr="001633EE" w:rsidRDefault="001633EE" w:rsidP="001633EE">
      <w:pPr>
        <w:tabs>
          <w:tab w:val="left" w:pos="360"/>
        </w:tabs>
        <w:jc w:val="both"/>
        <w:outlineLvl w:val="0"/>
        <w:rPr>
          <w:b/>
        </w:rPr>
      </w:pPr>
    </w:p>
    <w:p w14:paraId="089D7A19" w14:textId="77777777" w:rsidR="00A030E6" w:rsidRPr="00691454" w:rsidRDefault="00A030E6" w:rsidP="001633EE">
      <w:pPr>
        <w:tabs>
          <w:tab w:val="left" w:pos="360"/>
        </w:tabs>
        <w:autoSpaceDE w:val="0"/>
        <w:autoSpaceDN w:val="0"/>
        <w:adjustRightInd w:val="0"/>
        <w:jc w:val="both"/>
        <w:rPr>
          <w:b/>
          <w:bCs/>
        </w:rPr>
      </w:pPr>
      <w:r w:rsidRPr="00691454">
        <w:rPr>
          <w:b/>
          <w:bCs/>
        </w:rPr>
        <w:t xml:space="preserve">A.1. </w:t>
      </w:r>
      <w:r w:rsidRPr="00691454">
        <w:rPr>
          <w:b/>
          <w:bCs/>
        </w:rPr>
        <w:tab/>
        <w:t>Circumstances Making the Collection of Information Necessary</w:t>
      </w:r>
    </w:p>
    <w:p w14:paraId="37ABDE9D" w14:textId="6FF87073" w:rsidR="00C86AFC" w:rsidRDefault="00C86AFC" w:rsidP="001633EE">
      <w:pPr>
        <w:jc w:val="both"/>
        <w:rPr>
          <w:color w:val="000000" w:themeColor="text1"/>
        </w:rPr>
      </w:pPr>
    </w:p>
    <w:p w14:paraId="57880EE4" w14:textId="13B99C1A" w:rsidR="00AC035E" w:rsidRDefault="005D1376" w:rsidP="001633EE">
      <w:pPr>
        <w:jc w:val="both"/>
        <w:rPr>
          <w:color w:val="000000" w:themeColor="text1"/>
        </w:rPr>
      </w:pPr>
      <w:r w:rsidRPr="00A93EB5">
        <w:t>The Centers for Disease Control and Prevention (CDC)</w:t>
      </w:r>
      <w:r w:rsidRPr="00A93EB5">
        <w:rPr>
          <w:color w:val="000000" w:themeColor="text1"/>
        </w:rPr>
        <w:t xml:space="preserve"> seeks OMB approval to collect information from </w:t>
      </w:r>
      <w:r w:rsidR="00556ED0">
        <w:rPr>
          <w:color w:val="000000" w:themeColor="text1"/>
        </w:rPr>
        <w:t>jurisdictions</w:t>
      </w:r>
      <w:r w:rsidR="00DE222A">
        <w:rPr>
          <w:color w:val="000000" w:themeColor="text1"/>
        </w:rPr>
        <w:t xml:space="preserve"> (which include states, Washington D.C., U.S. Territories, cities and counties)</w:t>
      </w:r>
      <w:r w:rsidR="00FB4240">
        <w:rPr>
          <w:color w:val="000000" w:themeColor="text1"/>
        </w:rPr>
        <w:t xml:space="preserve"> </w:t>
      </w:r>
      <w:r w:rsidRPr="00A93EB5">
        <w:rPr>
          <w:color w:val="000000" w:themeColor="text1"/>
        </w:rPr>
        <w:t xml:space="preserve">funded under </w:t>
      </w:r>
      <w:r w:rsidR="00B94E5A">
        <w:rPr>
          <w:color w:val="000000" w:themeColor="text1"/>
        </w:rPr>
        <w:t xml:space="preserve">the </w:t>
      </w:r>
      <w:r>
        <w:rPr>
          <w:color w:val="000000" w:themeColor="text1"/>
        </w:rPr>
        <w:t>Overdose Data to Action (</w:t>
      </w:r>
      <w:r w:rsidRPr="00CD5997">
        <w:rPr>
          <w:color w:val="000000" w:themeColor="text1"/>
        </w:rPr>
        <w:t>CDC-</w:t>
      </w:r>
      <w:r w:rsidR="00CD5997" w:rsidRPr="00CD5997">
        <w:rPr>
          <w:rStyle w:val="search-custom1"/>
        </w:rPr>
        <w:t>RFA-CE19-1904</w:t>
      </w:r>
      <w:r w:rsidRPr="00CD5997">
        <w:rPr>
          <w:color w:val="000000" w:themeColor="text1"/>
        </w:rPr>
        <w:t>)</w:t>
      </w:r>
      <w:r w:rsidR="00BB160C">
        <w:rPr>
          <w:color w:val="000000" w:themeColor="text1"/>
        </w:rPr>
        <w:t xml:space="preserve"> funding opportunity</w:t>
      </w:r>
      <w:r w:rsidRPr="00CD5997">
        <w:rPr>
          <w:color w:val="000000" w:themeColor="text1"/>
        </w:rPr>
        <w:t>.</w:t>
      </w:r>
      <w:r w:rsidRPr="00A93EB5">
        <w:rPr>
          <w:color w:val="000000" w:themeColor="text1"/>
        </w:rPr>
        <w:t xml:space="preserve">  This program is a new initiative.  </w:t>
      </w:r>
      <w:r w:rsidR="00E2136A" w:rsidRPr="00A93EB5">
        <w:rPr>
          <w:color w:val="000000" w:themeColor="text1"/>
        </w:rPr>
        <w:t xml:space="preserve">OMB approval is requested for </w:t>
      </w:r>
      <w:r w:rsidR="007A04EA">
        <w:rPr>
          <w:color w:val="000000" w:themeColor="text1"/>
        </w:rPr>
        <w:t>three years (</w:t>
      </w:r>
      <w:r w:rsidR="00BB160C">
        <w:rPr>
          <w:color w:val="000000" w:themeColor="text1"/>
        </w:rPr>
        <w:t>the duration of funding</w:t>
      </w:r>
      <w:r w:rsidR="007A04EA">
        <w:rPr>
          <w:color w:val="000000" w:themeColor="text1"/>
        </w:rPr>
        <w:t>)</w:t>
      </w:r>
      <w:r w:rsidR="00E2136A">
        <w:rPr>
          <w:color w:val="000000" w:themeColor="text1"/>
        </w:rPr>
        <w:t>.</w:t>
      </w:r>
    </w:p>
    <w:p w14:paraId="5CB9E3AB" w14:textId="77777777" w:rsidR="001D7580" w:rsidRDefault="001D7580" w:rsidP="001633EE">
      <w:pPr>
        <w:jc w:val="both"/>
        <w:rPr>
          <w:bCs/>
        </w:rPr>
      </w:pPr>
    </w:p>
    <w:p w14:paraId="6260100E" w14:textId="164F3EE0" w:rsidR="001D7580" w:rsidRDefault="001D7580" w:rsidP="001633EE">
      <w:pPr>
        <w:jc w:val="both"/>
        <w:rPr>
          <w:rFonts w:cstheme="minorHAnsi"/>
        </w:rPr>
      </w:pPr>
      <w:r w:rsidRPr="00DC0842">
        <w:rPr>
          <w:rFonts w:cstheme="minorHAnsi"/>
        </w:rPr>
        <w:t>Drug overdose deaths in the United States increased by 18% per year from 2014 to 2016.  Opioid overdose deaths have increased fivefold from 1999 to 2016</w:t>
      </w:r>
      <w:r w:rsidR="00B114B5">
        <w:rPr>
          <w:rFonts w:cstheme="minorHAnsi"/>
        </w:rPr>
        <w:t xml:space="preserve"> and in </w:t>
      </w:r>
      <w:r w:rsidR="00500BF9">
        <w:rPr>
          <w:rFonts w:cstheme="minorHAnsi"/>
        </w:rPr>
        <w:t>2017,</w:t>
      </w:r>
      <w:r w:rsidR="00B114B5">
        <w:rPr>
          <w:rFonts w:cstheme="minorHAnsi"/>
        </w:rPr>
        <w:t xml:space="preserve"> there were more than 47,000 deaths attributed to opioids</w:t>
      </w:r>
      <w:r w:rsidR="00A65816">
        <w:rPr>
          <w:rStyle w:val="FootnoteReference"/>
          <w:rFonts w:cstheme="minorHAnsi"/>
        </w:rPr>
        <w:footnoteReference w:id="1"/>
      </w:r>
      <w:r w:rsidRPr="00DC0842">
        <w:rPr>
          <w:rFonts w:cstheme="minorHAnsi"/>
        </w:rPr>
        <w:t>. While the opioid overdose epidemic worsens in scope and magnitude, it is also becoming more complex. The complex and changing nature of the opioid overdose epidemic highlights the need for an interdisciplinary, comprehensive</w:t>
      </w:r>
      <w:r>
        <w:rPr>
          <w:rFonts w:cstheme="minorHAnsi"/>
        </w:rPr>
        <w:t>,</w:t>
      </w:r>
      <w:r w:rsidRPr="00DC0842">
        <w:rPr>
          <w:rFonts w:cstheme="minorHAnsi"/>
        </w:rPr>
        <w:t xml:space="preserve"> and cohesive public health approach. </w:t>
      </w:r>
    </w:p>
    <w:p w14:paraId="5A6FD14F" w14:textId="77777777" w:rsidR="0054271C" w:rsidRDefault="0054271C" w:rsidP="007B24CE">
      <w:pPr>
        <w:rPr>
          <w:bCs/>
        </w:rPr>
      </w:pPr>
    </w:p>
    <w:p w14:paraId="2394E25D" w14:textId="49F8239F" w:rsidR="00664941" w:rsidRDefault="007B7B9E" w:rsidP="0066494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T</w:t>
      </w:r>
      <w:r>
        <w:rPr>
          <w:color w:val="000000" w:themeColor="text1"/>
        </w:rPr>
        <w:t>he purpose of the Overdose Data to Action (</w:t>
      </w:r>
      <w:r w:rsidRPr="00CD5997">
        <w:rPr>
          <w:color w:val="000000" w:themeColor="text1"/>
        </w:rPr>
        <w:t>CDC-</w:t>
      </w:r>
      <w:r w:rsidRPr="00CD5997">
        <w:rPr>
          <w:rStyle w:val="search-custom1"/>
        </w:rPr>
        <w:t>RFA-CE19-1904</w:t>
      </w:r>
      <w:r w:rsidRPr="00CD5997">
        <w:rPr>
          <w:color w:val="000000" w:themeColor="text1"/>
        </w:rPr>
        <w:t>)</w:t>
      </w:r>
      <w:r>
        <w:rPr>
          <w:color w:val="000000" w:themeColor="text1"/>
        </w:rPr>
        <w:t xml:space="preserve"> </w:t>
      </w:r>
      <w:r w:rsidR="007A26B8">
        <w:rPr>
          <w:color w:val="000000" w:themeColor="text1"/>
        </w:rPr>
        <w:t xml:space="preserve">notice of </w:t>
      </w:r>
      <w:r>
        <w:rPr>
          <w:color w:val="000000" w:themeColor="text1"/>
        </w:rPr>
        <w:t>funding opportunity</w:t>
      </w:r>
      <w:r w:rsidR="007A26B8">
        <w:rPr>
          <w:color w:val="000000" w:themeColor="text1"/>
        </w:rPr>
        <w:t xml:space="preserve"> (OD2A NOFO)</w:t>
      </w:r>
      <w:r w:rsidR="008C405F">
        <w:rPr>
          <w:color w:val="000000" w:themeColor="text1"/>
        </w:rPr>
        <w:t xml:space="preserve">, </w:t>
      </w:r>
      <w:r w:rsidR="00664941">
        <w:rPr>
          <w:color w:val="000000" w:themeColor="text1"/>
        </w:rPr>
        <w:t xml:space="preserve"> is</w:t>
      </w:r>
      <w:r>
        <w:rPr>
          <w:bCs/>
        </w:rPr>
        <w:t xml:space="preserve"> to </w:t>
      </w:r>
      <w:r w:rsidRPr="007B7B9E">
        <w:rPr>
          <w:bCs/>
        </w:rPr>
        <w:t xml:space="preserve">support </w:t>
      </w:r>
      <w:r w:rsidR="008B2DDC">
        <w:rPr>
          <w:bCs/>
        </w:rPr>
        <w:t>funded jurisdictions</w:t>
      </w:r>
      <w:r w:rsidRPr="007B7B9E">
        <w:rPr>
          <w:bCs/>
        </w:rPr>
        <w:t xml:space="preserve"> in </w:t>
      </w:r>
      <w:r w:rsidR="00427475">
        <w:rPr>
          <w:bCs/>
        </w:rPr>
        <w:t>obtain</w:t>
      </w:r>
      <w:r w:rsidRPr="007B7B9E">
        <w:rPr>
          <w:bCs/>
        </w:rPr>
        <w:t>ing high quality, complete, and timelier data on opioid prescribing and overdoses, and to use those data to inform prevention and response</w:t>
      </w:r>
      <w:r w:rsidR="00695F9D">
        <w:rPr>
          <w:bCs/>
        </w:rPr>
        <w:t xml:space="preserve"> efforts</w:t>
      </w:r>
      <w:r w:rsidRPr="007B7B9E">
        <w:rPr>
          <w:bCs/>
        </w:rPr>
        <w:t>.</w:t>
      </w:r>
      <w:r w:rsidR="0022656B">
        <w:rPr>
          <w:bCs/>
        </w:rPr>
        <w:t xml:space="preserve"> </w:t>
      </w:r>
      <w:r w:rsidRPr="007B7B9E">
        <w:rPr>
          <w:bCs/>
        </w:rPr>
        <w:t>There are two required components of this award – a surveillance component and a prevention component.</w:t>
      </w:r>
      <w:r w:rsidR="00664941">
        <w:rPr>
          <w:bCs/>
        </w:rPr>
        <w:t xml:space="preserve"> There are </w:t>
      </w:r>
      <w:r w:rsidR="00500BF9">
        <w:rPr>
          <w:bCs/>
        </w:rPr>
        <w:t>ten</w:t>
      </w:r>
      <w:r w:rsidR="00664941">
        <w:rPr>
          <w:bCs/>
        </w:rPr>
        <w:t xml:space="preserve"> strategies in the funding opportunity</w:t>
      </w:r>
      <w:r w:rsidR="00BB16EB">
        <w:rPr>
          <w:bCs/>
        </w:rPr>
        <w:t xml:space="preserve"> across both components. </w:t>
      </w:r>
      <w:r w:rsidR="00664941">
        <w:rPr>
          <w:bCs/>
        </w:rPr>
        <w:t xml:space="preserve">Three of the strategies (1-3) support the surveillance component while seven support the prevention component (4-10):    </w:t>
      </w:r>
    </w:p>
    <w:p w14:paraId="21BCC97A" w14:textId="77777777" w:rsidR="00664941" w:rsidRDefault="00664941" w:rsidP="0066494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28A0FEE" w14:textId="46F2A67A" w:rsidR="00664941" w:rsidRDefault="003F3949"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Pr>
          <w:rFonts w:cstheme="minorHAnsi"/>
          <w:bCs/>
        </w:rPr>
        <w:t>Emergency Department</w:t>
      </w:r>
      <w:r w:rsidR="00664941">
        <w:rPr>
          <w:rFonts w:cstheme="minorHAnsi"/>
          <w:bCs/>
        </w:rPr>
        <w:t xml:space="preserve"> Data</w:t>
      </w:r>
    </w:p>
    <w:p w14:paraId="659209A8" w14:textId="77777777" w:rsidR="00664941"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Pr>
          <w:rFonts w:cstheme="minorHAnsi"/>
          <w:bCs/>
        </w:rPr>
        <w:t>Mortality Data</w:t>
      </w:r>
    </w:p>
    <w:p w14:paraId="2E8956F6" w14:textId="77777777" w:rsidR="00664941"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Pr>
          <w:rFonts w:cstheme="minorHAnsi"/>
          <w:bCs/>
        </w:rPr>
        <w:t>Surveillance Innovation Projects</w:t>
      </w:r>
    </w:p>
    <w:p w14:paraId="65D9E88B" w14:textId="4F7B5D1B" w:rsidR="00664941" w:rsidRPr="00AF159B"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AF159B">
        <w:rPr>
          <w:rFonts w:cstheme="minorHAnsi"/>
          <w:bCs/>
        </w:rPr>
        <w:t>Prescription Drug Monitoring Program</w:t>
      </w:r>
      <w:r>
        <w:rPr>
          <w:rFonts w:cstheme="minorHAnsi"/>
          <w:bCs/>
        </w:rPr>
        <w:t xml:space="preserve"> </w:t>
      </w:r>
    </w:p>
    <w:p w14:paraId="73BAF9C7" w14:textId="4AAFC68D" w:rsidR="00664941" w:rsidRPr="00AF159B"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theme="minorHAnsi"/>
          <w:bCs/>
        </w:rPr>
      </w:pPr>
      <w:r w:rsidRPr="00AF159B">
        <w:rPr>
          <w:rFonts w:cstheme="minorHAnsi"/>
          <w:bCs/>
        </w:rPr>
        <w:t>Integration of State and Local Prevention and Response Efforts</w:t>
      </w:r>
      <w:r>
        <w:rPr>
          <w:rFonts w:cstheme="minorHAnsi"/>
          <w:bCs/>
        </w:rPr>
        <w:t xml:space="preserve"> </w:t>
      </w:r>
    </w:p>
    <w:p w14:paraId="670D4CF7" w14:textId="77777777" w:rsidR="00664941" w:rsidRPr="00AF159B"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AF159B">
        <w:rPr>
          <w:rFonts w:cstheme="minorHAnsi"/>
          <w:bCs/>
        </w:rPr>
        <w:t>Establishing Linkages to Care</w:t>
      </w:r>
    </w:p>
    <w:p w14:paraId="044E7B5F" w14:textId="77777777" w:rsidR="00664941"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AF159B">
        <w:rPr>
          <w:rFonts w:cstheme="minorHAnsi"/>
          <w:bCs/>
        </w:rPr>
        <w:t>Providers and Health Systems Support</w:t>
      </w:r>
    </w:p>
    <w:p w14:paraId="51DFA49B" w14:textId="77777777" w:rsidR="00664941" w:rsidRPr="00AF159B"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AF159B">
        <w:rPr>
          <w:rFonts w:cstheme="minorHAnsi"/>
          <w:bCs/>
        </w:rPr>
        <w:t>Partnerships with Public Safety and First Responders</w:t>
      </w:r>
    </w:p>
    <w:p w14:paraId="0BBAB7E3" w14:textId="77777777" w:rsidR="00664941" w:rsidRDefault="00664941" w:rsidP="00664941">
      <w:pPr>
        <w:pStyle w:val="ListParagraph"/>
        <w:numPr>
          <w:ilvl w:val="0"/>
          <w:numId w:val="32"/>
        </w:numPr>
        <w:rPr>
          <w:rFonts w:cstheme="minorHAnsi"/>
          <w:bCs/>
        </w:rPr>
      </w:pPr>
      <w:r w:rsidRPr="00AF159B">
        <w:rPr>
          <w:rFonts w:cstheme="minorHAnsi"/>
          <w:bCs/>
        </w:rPr>
        <w:t>Empowering Individuals to make safer choices</w:t>
      </w:r>
    </w:p>
    <w:p w14:paraId="152D3052" w14:textId="77777777" w:rsidR="00664941" w:rsidRPr="00CC2624" w:rsidRDefault="00664941" w:rsidP="00664941">
      <w:pPr>
        <w:pStyle w:val="ListParagraph"/>
        <w:widowControl w:val="0"/>
        <w:numPr>
          <w:ilvl w:val="0"/>
          <w:numId w:val="3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46D18">
        <w:t>Prevention Innovation Projects</w:t>
      </w:r>
    </w:p>
    <w:p w14:paraId="3B376A95" w14:textId="4CE66306" w:rsidR="00881798" w:rsidRDefault="007B7B9E" w:rsidP="001D758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7B7B9E">
        <w:rPr>
          <w:bCs/>
        </w:rPr>
        <w:t xml:space="preserve"> </w:t>
      </w:r>
    </w:p>
    <w:p w14:paraId="47A258AE" w14:textId="0CACFDB1" w:rsidR="00664941" w:rsidRDefault="00664941" w:rsidP="0066494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7B7B9E">
        <w:rPr>
          <w:bCs/>
        </w:rPr>
        <w:t xml:space="preserve">The intent is to ensure that </w:t>
      </w:r>
      <w:r>
        <w:rPr>
          <w:bCs/>
        </w:rPr>
        <w:t>funded jurisdictions</w:t>
      </w:r>
      <w:r w:rsidRPr="007B7B9E">
        <w:rPr>
          <w:bCs/>
        </w:rPr>
        <w:t xml:space="preserve"> are well equipped to do rigorous work under both components, </w:t>
      </w:r>
      <w:r w:rsidR="00500BF9" w:rsidRPr="007B7B9E">
        <w:rPr>
          <w:bCs/>
        </w:rPr>
        <w:t>and</w:t>
      </w:r>
      <w:r w:rsidRPr="007B7B9E">
        <w:rPr>
          <w:bCs/>
        </w:rPr>
        <w:t xml:space="preserve"> to ensure that these components are linked and implemented as part of a system.</w:t>
      </w:r>
    </w:p>
    <w:p w14:paraId="3B7385BA" w14:textId="77777777" w:rsidR="00664941" w:rsidRDefault="00664941" w:rsidP="00FA451E">
      <w:pPr>
        <w:rPr>
          <w:bCs/>
        </w:rPr>
      </w:pPr>
    </w:p>
    <w:p w14:paraId="6B253E7E" w14:textId="7BC35B99" w:rsidR="007A26B8" w:rsidRDefault="005E411D" w:rsidP="00FA451E">
      <w:pPr>
        <w:rPr>
          <w:bCs/>
        </w:rPr>
      </w:pPr>
      <w:r w:rsidRPr="001172F2">
        <w:rPr>
          <w:bCs/>
        </w:rPr>
        <w:t xml:space="preserve">This ICR will focus on four tools that </w:t>
      </w:r>
      <w:r w:rsidR="008B2DDC" w:rsidRPr="001172F2">
        <w:rPr>
          <w:bCs/>
        </w:rPr>
        <w:t>funded jurisdictions</w:t>
      </w:r>
      <w:r w:rsidRPr="001172F2">
        <w:rPr>
          <w:bCs/>
        </w:rPr>
        <w:t xml:space="preserve"> will be required to </w:t>
      </w:r>
      <w:r w:rsidR="009F6D22" w:rsidRPr="001172F2">
        <w:rPr>
          <w:bCs/>
        </w:rPr>
        <w:t>use</w:t>
      </w:r>
      <w:r w:rsidR="00BB16EB" w:rsidRPr="001172F2">
        <w:rPr>
          <w:bCs/>
        </w:rPr>
        <w:t xml:space="preserve"> in order to </w:t>
      </w:r>
      <w:r w:rsidR="00BB16EB">
        <w:rPr>
          <w:bCs/>
        </w:rPr>
        <w:t>assess performance</w:t>
      </w:r>
      <w:r w:rsidR="00A96DE9">
        <w:rPr>
          <w:bCs/>
        </w:rPr>
        <w:t xml:space="preserve"> as well as measure effectiveness</w:t>
      </w:r>
      <w:r>
        <w:rPr>
          <w:bCs/>
        </w:rPr>
        <w:t xml:space="preserve">.  </w:t>
      </w:r>
      <w:r w:rsidR="00083E27">
        <w:rPr>
          <w:bCs/>
        </w:rPr>
        <w:t xml:space="preserve">The </w:t>
      </w:r>
      <w:r w:rsidR="00A96DE9" w:rsidRPr="00EB3C21">
        <w:rPr>
          <w:bCs/>
          <w:i/>
        </w:rPr>
        <w:t>D</w:t>
      </w:r>
      <w:r w:rsidR="00941D25" w:rsidRPr="00EB3C21">
        <w:rPr>
          <w:bCs/>
          <w:i/>
        </w:rPr>
        <w:t xml:space="preserve">ata </w:t>
      </w:r>
      <w:r w:rsidR="00A96DE9" w:rsidRPr="00EB3C21">
        <w:rPr>
          <w:bCs/>
          <w:i/>
        </w:rPr>
        <w:t>D</w:t>
      </w:r>
      <w:r w:rsidR="00941D25" w:rsidRPr="00EB3C21">
        <w:rPr>
          <w:bCs/>
          <w:i/>
        </w:rPr>
        <w:t xml:space="preserve">issemination </w:t>
      </w:r>
      <w:r w:rsidR="00A96DE9" w:rsidRPr="00EB3C21">
        <w:rPr>
          <w:bCs/>
          <w:i/>
        </w:rPr>
        <w:t>P</w:t>
      </w:r>
      <w:r w:rsidR="00941D25" w:rsidRPr="00EB3C21">
        <w:rPr>
          <w:bCs/>
          <w:i/>
        </w:rPr>
        <w:t>lan</w:t>
      </w:r>
      <w:r w:rsidR="00941D25">
        <w:rPr>
          <w:bCs/>
        </w:rPr>
        <w:t xml:space="preserve"> supports the surveillance component </w:t>
      </w:r>
      <w:r w:rsidR="00A937F2">
        <w:rPr>
          <w:bCs/>
        </w:rPr>
        <w:t xml:space="preserve">(strategies 1-3 above) </w:t>
      </w:r>
      <w:r w:rsidR="00941D25">
        <w:rPr>
          <w:bCs/>
        </w:rPr>
        <w:t xml:space="preserve">while the </w:t>
      </w:r>
      <w:r w:rsidR="001C05C8" w:rsidRPr="00EB3C21">
        <w:rPr>
          <w:bCs/>
          <w:i/>
        </w:rPr>
        <w:t>A</w:t>
      </w:r>
      <w:r w:rsidR="00BB16EB" w:rsidRPr="00EB3C21">
        <w:rPr>
          <w:bCs/>
          <w:i/>
        </w:rPr>
        <w:t xml:space="preserve">nnual </w:t>
      </w:r>
      <w:r w:rsidR="001C05C8" w:rsidRPr="00EB3C21">
        <w:rPr>
          <w:bCs/>
          <w:i/>
        </w:rPr>
        <w:t>P</w:t>
      </w:r>
      <w:r w:rsidR="00BB16EB" w:rsidRPr="00EB3C21">
        <w:rPr>
          <w:bCs/>
          <w:i/>
        </w:rPr>
        <w:t xml:space="preserve">erformance </w:t>
      </w:r>
      <w:r w:rsidR="001C05C8" w:rsidRPr="00EB3C21">
        <w:rPr>
          <w:bCs/>
          <w:i/>
        </w:rPr>
        <w:t>R</w:t>
      </w:r>
      <w:r w:rsidR="00BB16EB" w:rsidRPr="00EB3C21">
        <w:rPr>
          <w:bCs/>
          <w:i/>
        </w:rPr>
        <w:t>eport</w:t>
      </w:r>
      <w:r w:rsidR="001C05C8">
        <w:rPr>
          <w:bCs/>
        </w:rPr>
        <w:t xml:space="preserve">, </w:t>
      </w:r>
      <w:r w:rsidR="00A96DE9" w:rsidRPr="00EB3C21">
        <w:rPr>
          <w:bCs/>
          <w:i/>
        </w:rPr>
        <w:t>E</w:t>
      </w:r>
      <w:r w:rsidR="001C05C8" w:rsidRPr="00EB3C21">
        <w:rPr>
          <w:bCs/>
          <w:i/>
        </w:rPr>
        <w:t xml:space="preserve">valuation and </w:t>
      </w:r>
      <w:r w:rsidR="00A96DE9" w:rsidRPr="00EB3C21">
        <w:rPr>
          <w:bCs/>
          <w:i/>
        </w:rPr>
        <w:t>P</w:t>
      </w:r>
      <w:r w:rsidR="001C05C8" w:rsidRPr="00EB3C21">
        <w:rPr>
          <w:bCs/>
          <w:i/>
        </w:rPr>
        <w:t xml:space="preserve">erformance </w:t>
      </w:r>
      <w:r w:rsidR="00A96DE9" w:rsidRPr="00EB3C21">
        <w:rPr>
          <w:bCs/>
          <w:i/>
        </w:rPr>
        <w:t>M</w:t>
      </w:r>
      <w:r w:rsidR="00BD1F2A" w:rsidRPr="00EB3C21">
        <w:rPr>
          <w:bCs/>
          <w:i/>
        </w:rPr>
        <w:t>easuring</w:t>
      </w:r>
      <w:r w:rsidR="001C05C8" w:rsidRPr="00EB3C21">
        <w:rPr>
          <w:bCs/>
          <w:i/>
        </w:rPr>
        <w:t xml:space="preserve"> </w:t>
      </w:r>
      <w:r w:rsidR="00A96DE9" w:rsidRPr="00EB3C21">
        <w:rPr>
          <w:bCs/>
          <w:i/>
        </w:rPr>
        <w:t>P</w:t>
      </w:r>
      <w:r w:rsidR="001C05C8" w:rsidRPr="00EB3C21">
        <w:rPr>
          <w:bCs/>
          <w:i/>
        </w:rPr>
        <w:t>lan</w:t>
      </w:r>
      <w:r w:rsidR="00860613">
        <w:rPr>
          <w:bCs/>
        </w:rPr>
        <w:t>,</w:t>
      </w:r>
      <w:r w:rsidR="001C05C8">
        <w:rPr>
          <w:bCs/>
        </w:rPr>
        <w:t xml:space="preserve"> and </w:t>
      </w:r>
      <w:r w:rsidR="008E1760">
        <w:rPr>
          <w:bCs/>
          <w:i/>
        </w:rPr>
        <w:t xml:space="preserve">Overdose </w:t>
      </w:r>
      <w:r w:rsidR="007A26B8">
        <w:rPr>
          <w:bCs/>
          <w:i/>
        </w:rPr>
        <w:t>Prevention Capacity Assessment Tool</w:t>
      </w:r>
      <w:r w:rsidR="007A26B8" w:rsidRPr="000E03E3">
        <w:rPr>
          <w:bCs/>
        </w:rPr>
        <w:t xml:space="preserve"> </w:t>
      </w:r>
      <w:r w:rsidR="009F6D22">
        <w:rPr>
          <w:bCs/>
        </w:rPr>
        <w:t xml:space="preserve">support the overall </w:t>
      </w:r>
      <w:r w:rsidR="007A26B8">
        <w:rPr>
          <w:bCs/>
        </w:rPr>
        <w:t>OD2A NOFO</w:t>
      </w:r>
      <w:r w:rsidR="00587340">
        <w:rPr>
          <w:bCs/>
        </w:rPr>
        <w:t xml:space="preserve"> (</w:t>
      </w:r>
      <w:r w:rsidR="00A937F2">
        <w:rPr>
          <w:bCs/>
        </w:rPr>
        <w:t>all strategies above</w:t>
      </w:r>
      <w:r w:rsidR="00587340">
        <w:rPr>
          <w:bCs/>
        </w:rPr>
        <w:t>)</w:t>
      </w:r>
      <w:r w:rsidR="00B97BC4">
        <w:rPr>
          <w:bCs/>
        </w:rPr>
        <w:t>.</w:t>
      </w:r>
      <w:r w:rsidR="00D06488">
        <w:rPr>
          <w:bCs/>
        </w:rPr>
        <w:t xml:space="preserve">  </w:t>
      </w:r>
    </w:p>
    <w:p w14:paraId="567CB038" w14:textId="77777777" w:rsidR="00695F9D" w:rsidRDefault="00695F9D" w:rsidP="00FA451E">
      <w:pPr>
        <w:rPr>
          <w:bCs/>
        </w:rPr>
      </w:pPr>
    </w:p>
    <w:p w14:paraId="08CE5A47" w14:textId="5DC3ABA9" w:rsidR="00FA451E" w:rsidRPr="00FF77BE" w:rsidRDefault="00FA451E" w:rsidP="00FA451E">
      <w:pPr>
        <w:rPr>
          <w:bCs/>
        </w:rPr>
      </w:pPr>
      <w:r w:rsidRPr="00202BE8">
        <w:rPr>
          <w:bCs/>
        </w:rPr>
        <w:t xml:space="preserve">A total of </w:t>
      </w:r>
      <w:r w:rsidR="009F6D22" w:rsidRPr="00202BE8">
        <w:rPr>
          <w:bCs/>
        </w:rPr>
        <w:t>79</w:t>
      </w:r>
      <w:r w:rsidRPr="00202BE8">
        <w:rPr>
          <w:bCs/>
        </w:rPr>
        <w:t xml:space="preserve"> </w:t>
      </w:r>
      <w:r w:rsidR="007B6DF5" w:rsidRPr="00202BE8">
        <w:rPr>
          <w:bCs/>
        </w:rPr>
        <w:t>jurisdictions</w:t>
      </w:r>
      <w:r w:rsidR="00994D60" w:rsidRPr="00202BE8">
        <w:rPr>
          <w:bCs/>
        </w:rPr>
        <w:t xml:space="preserve"> </w:t>
      </w:r>
      <w:r w:rsidR="007A26B8">
        <w:rPr>
          <w:bCs/>
        </w:rPr>
        <w:t>we</w:t>
      </w:r>
      <w:r w:rsidR="007A26B8" w:rsidRPr="00202BE8">
        <w:rPr>
          <w:bCs/>
        </w:rPr>
        <w:t xml:space="preserve">re </w:t>
      </w:r>
      <w:r w:rsidR="00994D60" w:rsidRPr="00202BE8">
        <w:rPr>
          <w:bCs/>
        </w:rPr>
        <w:t>eligible to</w:t>
      </w:r>
      <w:r w:rsidRPr="00202BE8">
        <w:rPr>
          <w:bCs/>
        </w:rPr>
        <w:t xml:space="preserve"> receive awards under this funding opportunity</w:t>
      </w:r>
      <w:r w:rsidR="000E03E3" w:rsidRPr="00202BE8">
        <w:rPr>
          <w:bCs/>
        </w:rPr>
        <w:t xml:space="preserve">, and </w:t>
      </w:r>
      <w:r w:rsidR="00500BF9" w:rsidRPr="00202BE8">
        <w:rPr>
          <w:bCs/>
        </w:rPr>
        <w:t>6</w:t>
      </w:r>
      <w:r w:rsidR="00005163">
        <w:rPr>
          <w:bCs/>
        </w:rPr>
        <w:t>7</w:t>
      </w:r>
      <w:r w:rsidR="000E03E3" w:rsidRPr="00202BE8">
        <w:rPr>
          <w:bCs/>
        </w:rPr>
        <w:t xml:space="preserve"> jurisdictions </w:t>
      </w:r>
      <w:r w:rsidR="00223593" w:rsidRPr="00202BE8">
        <w:rPr>
          <w:bCs/>
        </w:rPr>
        <w:t xml:space="preserve">submitted applications and </w:t>
      </w:r>
      <w:r w:rsidR="00005163">
        <w:rPr>
          <w:bCs/>
        </w:rPr>
        <w:t xml:space="preserve">66 </w:t>
      </w:r>
      <w:r w:rsidR="009715A9">
        <w:rPr>
          <w:bCs/>
        </w:rPr>
        <w:t xml:space="preserve">were funded </w:t>
      </w:r>
      <w:r w:rsidR="009715A9" w:rsidRPr="00202BE8">
        <w:rPr>
          <w:bCs/>
        </w:rPr>
        <w:t>(Attachment</w:t>
      </w:r>
      <w:r w:rsidR="007C7CA2">
        <w:rPr>
          <w:bCs/>
        </w:rPr>
        <w:t xml:space="preserve"> 2</w:t>
      </w:r>
      <w:r w:rsidR="009715A9" w:rsidRPr="00202BE8">
        <w:rPr>
          <w:bCs/>
        </w:rPr>
        <w:t>)</w:t>
      </w:r>
      <w:r w:rsidR="005E393D" w:rsidRPr="00817C04">
        <w:rPr>
          <w:bCs/>
        </w:rPr>
        <w:t xml:space="preserve">.  </w:t>
      </w:r>
      <w:r w:rsidR="005E393D">
        <w:rPr>
          <w:bCs/>
        </w:rPr>
        <w:t xml:space="preserve">Each </w:t>
      </w:r>
      <w:r w:rsidR="009F5021">
        <w:rPr>
          <w:bCs/>
        </w:rPr>
        <w:t xml:space="preserve">funded </w:t>
      </w:r>
      <w:r w:rsidR="005E393D">
        <w:rPr>
          <w:bCs/>
        </w:rPr>
        <w:t xml:space="preserve">jurisdiction </w:t>
      </w:r>
      <w:r w:rsidRPr="00FF77BE">
        <w:rPr>
          <w:bCs/>
        </w:rPr>
        <w:t xml:space="preserve">will be required to report the </w:t>
      </w:r>
      <w:r w:rsidR="009F5021">
        <w:rPr>
          <w:bCs/>
        </w:rPr>
        <w:t xml:space="preserve">four </w:t>
      </w:r>
      <w:r w:rsidRPr="00FF77BE">
        <w:rPr>
          <w:bCs/>
        </w:rPr>
        <w:t>elements of this ICR.</w:t>
      </w:r>
      <w:r>
        <w:rPr>
          <w:bCs/>
        </w:rPr>
        <w:t xml:space="preserve"> </w:t>
      </w:r>
      <w:r w:rsidR="00852588">
        <w:t>Reporting is based on b</w:t>
      </w:r>
      <w:r w:rsidR="00852588" w:rsidRPr="005C6DD8">
        <w:t>oth web-based tools and Word templates</w:t>
      </w:r>
      <w:r w:rsidR="00852588">
        <w:t>.</w:t>
      </w:r>
    </w:p>
    <w:p w14:paraId="6F6A06F2" w14:textId="77777777" w:rsidR="009B4833" w:rsidRDefault="009B4833"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4217B88" w14:textId="5460DEB8" w:rsidR="00652BFC" w:rsidRPr="00456167" w:rsidRDefault="00652BFC" w:rsidP="00456167">
      <w:pPr>
        <w:autoSpaceDE w:val="0"/>
        <w:autoSpaceDN w:val="0"/>
      </w:pPr>
      <w:r w:rsidRPr="00456167">
        <w:rPr>
          <w:color w:val="000000" w:themeColor="text1"/>
        </w:rPr>
        <w:t>Th</w:t>
      </w:r>
      <w:r w:rsidR="00911CB6" w:rsidRPr="00456167">
        <w:rPr>
          <w:color w:val="000000" w:themeColor="text1"/>
        </w:rPr>
        <w:t>is information is</w:t>
      </w:r>
      <w:r w:rsidRPr="00456167">
        <w:rPr>
          <w:color w:val="000000" w:themeColor="text1"/>
        </w:rPr>
        <w:t xml:space="preserve"> being collected to provide crucial data</w:t>
      </w:r>
      <w:r w:rsidR="00286AC7" w:rsidRPr="00456167">
        <w:rPr>
          <w:color w:val="000000" w:themeColor="text1"/>
        </w:rPr>
        <w:t xml:space="preserve"> to CDC</w:t>
      </w:r>
      <w:r w:rsidRPr="00456167">
        <w:rPr>
          <w:color w:val="000000" w:themeColor="text1"/>
        </w:rPr>
        <w:t xml:space="preserve"> for program </w:t>
      </w:r>
      <w:r w:rsidR="00A6167A" w:rsidRPr="00456167">
        <w:rPr>
          <w:color w:val="000000" w:themeColor="text1"/>
        </w:rPr>
        <w:t>monitoring</w:t>
      </w:r>
      <w:r w:rsidRPr="00456167">
        <w:rPr>
          <w:color w:val="000000" w:themeColor="text1"/>
        </w:rPr>
        <w:t xml:space="preserve"> and budget tracki</w:t>
      </w:r>
      <w:r w:rsidR="00986947" w:rsidRPr="00456167">
        <w:rPr>
          <w:color w:val="000000" w:themeColor="text1"/>
        </w:rPr>
        <w:t>ng, to</w:t>
      </w:r>
      <w:r w:rsidRPr="00456167">
        <w:rPr>
          <w:color w:val="000000" w:themeColor="text1"/>
        </w:rPr>
        <w:t xml:space="preserve"> improve </w:t>
      </w:r>
      <w:r w:rsidR="00593988" w:rsidRPr="00456167">
        <w:rPr>
          <w:color w:val="000000" w:themeColor="text1"/>
        </w:rPr>
        <w:t>timely</w:t>
      </w:r>
      <w:r w:rsidRPr="00456167">
        <w:rPr>
          <w:color w:val="000000" w:themeColor="text1"/>
        </w:rPr>
        <w:t xml:space="preserve"> CDC-recipient communications</w:t>
      </w:r>
      <w:r w:rsidR="00986947" w:rsidRPr="00456167">
        <w:rPr>
          <w:color w:val="000000" w:themeColor="text1"/>
        </w:rPr>
        <w:t xml:space="preserve">, and to </w:t>
      </w:r>
      <w:r w:rsidRPr="00456167">
        <w:rPr>
          <w:color w:val="000000" w:themeColor="text1"/>
        </w:rPr>
        <w:t xml:space="preserve">inform technical assistance and </w:t>
      </w:r>
      <w:r w:rsidR="007B6DF5" w:rsidRPr="00456167">
        <w:rPr>
          <w:color w:val="000000" w:themeColor="text1"/>
        </w:rPr>
        <w:t>guidance</w:t>
      </w:r>
      <w:r w:rsidRPr="00456167">
        <w:rPr>
          <w:color w:val="000000" w:themeColor="text1"/>
        </w:rPr>
        <w:t xml:space="preserve"> documents produced by CDC to </w:t>
      </w:r>
      <w:r w:rsidR="00911CB6" w:rsidRPr="00456167">
        <w:rPr>
          <w:color w:val="000000" w:themeColor="text1"/>
        </w:rPr>
        <w:t>support</w:t>
      </w:r>
      <w:r w:rsidRPr="00456167">
        <w:rPr>
          <w:color w:val="000000" w:themeColor="text1"/>
        </w:rPr>
        <w:t xml:space="preserve"> program implementation among funded jurisdictions</w:t>
      </w:r>
      <w:r w:rsidR="00AA53F7">
        <w:rPr>
          <w:color w:val="000000" w:themeColor="text1"/>
        </w:rPr>
        <w:t xml:space="preserve">. </w:t>
      </w:r>
      <w:r w:rsidR="00A0498B">
        <w:rPr>
          <w:color w:val="000000" w:themeColor="text1"/>
        </w:rPr>
        <w:t>The information feedback loop created by these information collection tools is designed to help jurisdictions decrease fatal and nonfatal overdoses.</w:t>
      </w:r>
      <w:r w:rsidRPr="00456167">
        <w:rPr>
          <w:color w:val="000000" w:themeColor="text1"/>
        </w:rPr>
        <w:t xml:space="preserve">  It will also provide CDC with the capacity to respond in a timely manner to requests for information about the program from the Department of Health and Human Services (HHS), the White House, Congress, and other sources.</w:t>
      </w:r>
    </w:p>
    <w:p w14:paraId="238CF87C" w14:textId="77777777" w:rsidR="001D7580" w:rsidRDefault="001D7580" w:rsidP="001D7580">
      <w:pPr>
        <w:rPr>
          <w:bCs/>
        </w:rPr>
      </w:pPr>
    </w:p>
    <w:p w14:paraId="722582FD" w14:textId="70CFC2AB" w:rsidR="001D7580" w:rsidRDefault="001D7580" w:rsidP="001D7580">
      <w:pPr>
        <w:rPr>
          <w:bCs/>
        </w:rPr>
      </w:pPr>
      <w:r w:rsidRPr="00A93EB5">
        <w:rPr>
          <w:bCs/>
        </w:rPr>
        <w:t xml:space="preserve">CDC plans to begin </w:t>
      </w:r>
      <w:r w:rsidR="00231517">
        <w:rPr>
          <w:bCs/>
        </w:rPr>
        <w:t>implementing the data collections outlined in this ICR immediately once approval is obtained</w:t>
      </w:r>
      <w:r w:rsidRPr="00A93EB5">
        <w:rPr>
          <w:bCs/>
        </w:rPr>
        <w:t xml:space="preserve">.  CDC is authorized to collect information for public health purposes by Section 301(a) of the Public Health Service </w:t>
      </w:r>
      <w:r w:rsidRPr="00830565">
        <w:rPr>
          <w:bCs/>
        </w:rPr>
        <w:t xml:space="preserve">Act </w:t>
      </w:r>
      <w:r w:rsidRPr="00005163">
        <w:rPr>
          <w:bCs/>
        </w:rPr>
        <w:t xml:space="preserve">(Attachment </w:t>
      </w:r>
      <w:r w:rsidR="000C7E39" w:rsidRPr="00005163">
        <w:rPr>
          <w:bCs/>
        </w:rPr>
        <w:t>1</w:t>
      </w:r>
      <w:r w:rsidRPr="00005163">
        <w:rPr>
          <w:bCs/>
        </w:rPr>
        <w:t>).</w:t>
      </w:r>
    </w:p>
    <w:p w14:paraId="6D6C00C5" w14:textId="77777777" w:rsidR="00AA53F7" w:rsidRDefault="00AA53F7" w:rsidP="001D7580">
      <w:pPr>
        <w:rPr>
          <w:bCs/>
        </w:rPr>
      </w:pPr>
    </w:p>
    <w:p w14:paraId="07E8AB3C" w14:textId="77777777" w:rsidR="00A030E6" w:rsidRPr="00691454" w:rsidRDefault="00A030E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14:paraId="03FDD79F" w14:textId="77777777" w:rsidR="00A030E6" w:rsidRDefault="00A030E6" w:rsidP="00A030E6"/>
    <w:p w14:paraId="2218EAA5" w14:textId="4F5C0454" w:rsidR="00830565" w:rsidRDefault="00852588" w:rsidP="0016568D">
      <w:pPr>
        <w:rPr>
          <w:color w:val="000000" w:themeColor="text1"/>
        </w:rPr>
      </w:pPr>
      <w:r>
        <w:t>CDC proposes to collect the information specified in this request</w:t>
      </w:r>
      <w:r w:rsidR="005B2335">
        <w:t xml:space="preserve"> from</w:t>
      </w:r>
      <w:r w:rsidR="0016568D">
        <w:t xml:space="preserve"> all</w:t>
      </w:r>
      <w:r w:rsidR="005B2335">
        <w:t xml:space="preserve"> funded jurisdictions</w:t>
      </w:r>
      <w:r w:rsidR="005C6DD8" w:rsidRPr="005C6DD8">
        <w:t xml:space="preserve">. </w:t>
      </w:r>
      <w:r w:rsidR="0016568D" w:rsidRPr="002E60CA">
        <w:rPr>
          <w:color w:val="000000" w:themeColor="text1"/>
        </w:rPr>
        <w:t>Within six months of award</w:t>
      </w:r>
      <w:r w:rsidR="00830565">
        <w:rPr>
          <w:color w:val="000000" w:themeColor="text1"/>
        </w:rPr>
        <w:t xml:space="preserve"> and after OMB approval, </w:t>
      </w:r>
      <w:r w:rsidR="008B2DDC">
        <w:rPr>
          <w:color w:val="000000" w:themeColor="text1"/>
        </w:rPr>
        <w:t>funded jurisdictions</w:t>
      </w:r>
      <w:r w:rsidR="0016568D" w:rsidRPr="002E60CA">
        <w:rPr>
          <w:color w:val="000000" w:themeColor="text1"/>
        </w:rPr>
        <w:t xml:space="preserve"> will report</w:t>
      </w:r>
      <w:r w:rsidR="00830565">
        <w:rPr>
          <w:color w:val="000000" w:themeColor="text1"/>
        </w:rPr>
        <w:t>:</w:t>
      </w:r>
    </w:p>
    <w:p w14:paraId="31FBC679" w14:textId="77777777" w:rsidR="0054271C" w:rsidRDefault="0054271C" w:rsidP="0016568D">
      <w:pPr>
        <w:rPr>
          <w:color w:val="000000" w:themeColor="text1"/>
        </w:rPr>
      </w:pPr>
    </w:p>
    <w:p w14:paraId="5530D339" w14:textId="51222D0A" w:rsidR="00830565" w:rsidRDefault="0016568D" w:rsidP="0016568D">
      <w:pPr>
        <w:rPr>
          <w:color w:val="000000" w:themeColor="text1"/>
        </w:rPr>
      </w:pPr>
      <w:r w:rsidRPr="002E60CA">
        <w:rPr>
          <w:color w:val="000000" w:themeColor="text1"/>
        </w:rPr>
        <w:t xml:space="preserve">1) </w:t>
      </w:r>
      <w:r w:rsidR="00CA565B" w:rsidRPr="00456167">
        <w:rPr>
          <w:bCs/>
          <w:i/>
        </w:rPr>
        <w:t>Evaluation and Performance Measuring Plan</w:t>
      </w:r>
      <w:r w:rsidR="00CA565B">
        <w:rPr>
          <w:bCs/>
          <w:i/>
        </w:rPr>
        <w:t>s</w:t>
      </w:r>
      <w:r w:rsidR="00CA565B" w:rsidRPr="002E60CA" w:rsidDel="00CA565B">
        <w:rPr>
          <w:color w:val="000000" w:themeColor="text1"/>
        </w:rPr>
        <w:t xml:space="preserve"> </w:t>
      </w:r>
      <w:r w:rsidR="00B958E8">
        <w:rPr>
          <w:color w:val="000000" w:themeColor="text1"/>
        </w:rPr>
        <w:t xml:space="preserve">(Att. 3a) </w:t>
      </w:r>
      <w:r w:rsidRPr="002E60CA">
        <w:rPr>
          <w:color w:val="000000" w:themeColor="text1"/>
        </w:rPr>
        <w:t xml:space="preserve">using a Microsoft Word template and </w:t>
      </w:r>
    </w:p>
    <w:p w14:paraId="046672BE" w14:textId="087C2131" w:rsidR="00830565" w:rsidRDefault="0016568D" w:rsidP="0016568D">
      <w:pPr>
        <w:rPr>
          <w:color w:val="000000" w:themeColor="text1"/>
        </w:rPr>
      </w:pPr>
      <w:r w:rsidRPr="002E60CA">
        <w:rPr>
          <w:color w:val="000000" w:themeColor="text1"/>
        </w:rPr>
        <w:t xml:space="preserve">2) </w:t>
      </w:r>
      <w:r w:rsidR="008E1760">
        <w:rPr>
          <w:bCs/>
          <w:i/>
        </w:rPr>
        <w:t>Overdose Prevention Capacity Assessment Tool</w:t>
      </w:r>
      <w:r w:rsidR="007A26B8">
        <w:rPr>
          <w:bCs/>
          <w:i/>
        </w:rPr>
        <w:t>s</w:t>
      </w:r>
      <w:r w:rsidRPr="002E60CA">
        <w:rPr>
          <w:color w:val="000000" w:themeColor="text1"/>
        </w:rPr>
        <w:t xml:space="preserve"> </w:t>
      </w:r>
      <w:r w:rsidR="00B958E8">
        <w:rPr>
          <w:color w:val="000000" w:themeColor="text1"/>
        </w:rPr>
        <w:t>(Att. 3b</w:t>
      </w:r>
      <w:r w:rsidR="003657DF">
        <w:rPr>
          <w:color w:val="000000" w:themeColor="text1"/>
        </w:rPr>
        <w:t xml:space="preserve"> &amp; 3e</w:t>
      </w:r>
      <w:r w:rsidR="00B958E8">
        <w:rPr>
          <w:color w:val="000000" w:themeColor="text1"/>
        </w:rPr>
        <w:t xml:space="preserve">) </w:t>
      </w:r>
      <w:r w:rsidRPr="002E60CA">
        <w:rPr>
          <w:color w:val="000000" w:themeColor="text1"/>
        </w:rPr>
        <w:t xml:space="preserve">using </w:t>
      </w:r>
      <w:r w:rsidR="0008741D">
        <w:rPr>
          <w:color w:val="000000" w:themeColor="text1"/>
        </w:rPr>
        <w:t>the Partner’s Portal</w:t>
      </w:r>
      <w:r w:rsidRPr="002E60CA">
        <w:rPr>
          <w:color w:val="000000" w:themeColor="text1"/>
        </w:rPr>
        <w:t xml:space="preserve">.  </w:t>
      </w:r>
    </w:p>
    <w:p w14:paraId="20011136" w14:textId="77777777" w:rsidR="00830565" w:rsidRDefault="00830565" w:rsidP="0016568D">
      <w:pPr>
        <w:rPr>
          <w:color w:val="000000" w:themeColor="text1"/>
        </w:rPr>
      </w:pPr>
    </w:p>
    <w:p w14:paraId="74830A3C" w14:textId="77777777" w:rsidR="00830565" w:rsidRDefault="0016568D" w:rsidP="0016568D">
      <w:pPr>
        <w:rPr>
          <w:color w:val="000000" w:themeColor="text1"/>
        </w:rPr>
      </w:pPr>
      <w:r w:rsidRPr="004E77AC">
        <w:rPr>
          <w:color w:val="000000" w:themeColor="text1"/>
        </w:rPr>
        <w:t>Annually</w:t>
      </w:r>
      <w:r>
        <w:rPr>
          <w:color w:val="000000" w:themeColor="text1"/>
        </w:rPr>
        <w:t xml:space="preserve">, </w:t>
      </w:r>
      <w:r w:rsidR="008B2DDC">
        <w:rPr>
          <w:color w:val="000000" w:themeColor="text1"/>
        </w:rPr>
        <w:t>funded jurisdictions</w:t>
      </w:r>
      <w:r w:rsidRPr="00A93EB5">
        <w:rPr>
          <w:color w:val="000000" w:themeColor="text1"/>
        </w:rPr>
        <w:t xml:space="preserve"> will report</w:t>
      </w:r>
      <w:r>
        <w:rPr>
          <w:color w:val="000000" w:themeColor="text1"/>
        </w:rPr>
        <w:t>:</w:t>
      </w:r>
      <w:r w:rsidRPr="00A93EB5">
        <w:rPr>
          <w:color w:val="000000" w:themeColor="text1"/>
        </w:rPr>
        <w:t xml:space="preserve"> </w:t>
      </w:r>
    </w:p>
    <w:p w14:paraId="7C53798F" w14:textId="181EF764" w:rsidR="00830565" w:rsidRDefault="0016568D" w:rsidP="0016568D">
      <w:pPr>
        <w:rPr>
          <w:color w:val="000000" w:themeColor="text1"/>
        </w:rPr>
      </w:pPr>
      <w:r>
        <w:rPr>
          <w:color w:val="000000" w:themeColor="text1"/>
        </w:rPr>
        <w:t xml:space="preserve">1) </w:t>
      </w:r>
      <w:r w:rsidR="00B958E8" w:rsidRPr="00B958E8">
        <w:rPr>
          <w:bCs/>
          <w:i/>
        </w:rPr>
        <w:t xml:space="preserve">Activity Progress Report </w:t>
      </w:r>
      <w:r w:rsidRPr="00B958E8">
        <w:rPr>
          <w:i/>
          <w:color w:val="000000" w:themeColor="text1"/>
        </w:rPr>
        <w:t xml:space="preserve">and work plan </w:t>
      </w:r>
      <w:r w:rsidR="00B958E8" w:rsidRPr="00B958E8">
        <w:rPr>
          <w:i/>
          <w:color w:val="000000" w:themeColor="text1"/>
        </w:rPr>
        <w:t>tool</w:t>
      </w:r>
      <w:r w:rsidR="00B958E8">
        <w:rPr>
          <w:color w:val="000000" w:themeColor="text1"/>
        </w:rPr>
        <w:t xml:space="preserve"> </w:t>
      </w:r>
      <w:r w:rsidRPr="00A93EB5">
        <w:rPr>
          <w:color w:val="000000" w:themeColor="text1"/>
        </w:rPr>
        <w:t xml:space="preserve"> </w:t>
      </w:r>
      <w:r w:rsidR="00B958E8">
        <w:rPr>
          <w:color w:val="000000" w:themeColor="text1"/>
        </w:rPr>
        <w:t xml:space="preserve">(Att. 3c) </w:t>
      </w:r>
      <w:r w:rsidRPr="00A93EB5">
        <w:rPr>
          <w:color w:val="000000" w:themeColor="text1"/>
        </w:rPr>
        <w:t xml:space="preserve">using </w:t>
      </w:r>
      <w:r w:rsidR="007A26B8">
        <w:rPr>
          <w:color w:val="000000" w:themeColor="text1"/>
        </w:rPr>
        <w:t xml:space="preserve">the </w:t>
      </w:r>
      <w:r w:rsidR="00202BE8">
        <w:rPr>
          <w:color w:val="000000" w:themeColor="text1"/>
        </w:rPr>
        <w:t>Partner’s Portal</w:t>
      </w:r>
      <w:r w:rsidR="004D3C5E">
        <w:rPr>
          <w:color w:val="000000" w:themeColor="text1"/>
        </w:rPr>
        <w:t>, which allows funded programs to monitor, evaluate, and report and/or modify relevant content to the CDC via a secure web application</w:t>
      </w:r>
      <w:r>
        <w:rPr>
          <w:color w:val="000000" w:themeColor="text1"/>
        </w:rPr>
        <w:t xml:space="preserve">; </w:t>
      </w:r>
    </w:p>
    <w:p w14:paraId="0C8189B6" w14:textId="5EC16EE6" w:rsidR="00830565" w:rsidRDefault="0016568D" w:rsidP="0016568D">
      <w:pPr>
        <w:rPr>
          <w:color w:val="000000" w:themeColor="text1"/>
        </w:rPr>
      </w:pPr>
      <w:r>
        <w:rPr>
          <w:color w:val="000000" w:themeColor="text1"/>
        </w:rPr>
        <w:t>2)</w:t>
      </w:r>
      <w:r w:rsidRPr="00A93EB5">
        <w:rPr>
          <w:color w:val="000000" w:themeColor="text1"/>
        </w:rPr>
        <w:t xml:space="preserve"> </w:t>
      </w:r>
      <w:r w:rsidR="00005163" w:rsidRPr="00D25BCF">
        <w:rPr>
          <w:i/>
          <w:color w:val="000000" w:themeColor="text1"/>
        </w:rPr>
        <w:t>E</w:t>
      </w:r>
      <w:r w:rsidRPr="00D25BCF">
        <w:rPr>
          <w:i/>
          <w:color w:val="000000" w:themeColor="text1"/>
        </w:rPr>
        <w:t>valuation</w:t>
      </w:r>
      <w:r w:rsidR="00830565" w:rsidRPr="00456167">
        <w:rPr>
          <w:bCs/>
          <w:i/>
        </w:rPr>
        <w:t xml:space="preserve"> and Performance Measuring Plan</w:t>
      </w:r>
      <w:r w:rsidR="00830565">
        <w:rPr>
          <w:bCs/>
          <w:i/>
        </w:rPr>
        <w:t xml:space="preserve">s </w:t>
      </w:r>
      <w:r w:rsidR="00B958E8">
        <w:rPr>
          <w:color w:val="000000" w:themeColor="text1"/>
        </w:rPr>
        <w:t xml:space="preserve">(Att. 3a) </w:t>
      </w:r>
      <w:r w:rsidRPr="00A93EB5">
        <w:rPr>
          <w:color w:val="000000" w:themeColor="text1"/>
        </w:rPr>
        <w:t xml:space="preserve">using </w:t>
      </w:r>
      <w:r w:rsidR="004B4DC7">
        <w:rPr>
          <w:color w:val="000000" w:themeColor="text1"/>
        </w:rPr>
        <w:t>the Partner’s Portal</w:t>
      </w:r>
      <w:r>
        <w:rPr>
          <w:color w:val="000000" w:themeColor="text1"/>
        </w:rPr>
        <w:t xml:space="preserve">; and </w:t>
      </w:r>
    </w:p>
    <w:p w14:paraId="44988533" w14:textId="5F0D88BD" w:rsidR="00830565" w:rsidRDefault="0016568D" w:rsidP="0016568D">
      <w:pPr>
        <w:rPr>
          <w:color w:val="000000" w:themeColor="text1"/>
        </w:rPr>
      </w:pPr>
      <w:r>
        <w:rPr>
          <w:color w:val="000000" w:themeColor="text1"/>
        </w:rPr>
        <w:t>3)</w:t>
      </w:r>
      <w:r w:rsidRPr="00A93EB5">
        <w:rPr>
          <w:color w:val="000000" w:themeColor="text1"/>
        </w:rPr>
        <w:t xml:space="preserve"> </w:t>
      </w:r>
      <w:r w:rsidR="008E1760" w:rsidRPr="008E1760">
        <w:rPr>
          <w:bCs/>
          <w:i/>
        </w:rPr>
        <w:t>Overdose Prevention Capacity Assessment Tool</w:t>
      </w:r>
      <w:r w:rsidR="007A26B8">
        <w:rPr>
          <w:bCs/>
          <w:i/>
        </w:rPr>
        <w:t>s</w:t>
      </w:r>
      <w:r w:rsidR="008E1760" w:rsidRPr="008E1760" w:rsidDel="008E1760">
        <w:rPr>
          <w:bCs/>
          <w:i/>
        </w:rPr>
        <w:t xml:space="preserve"> </w:t>
      </w:r>
      <w:r w:rsidR="00B958E8">
        <w:rPr>
          <w:bCs/>
        </w:rPr>
        <w:t>(Att. 3b</w:t>
      </w:r>
      <w:r w:rsidR="003657DF">
        <w:rPr>
          <w:bCs/>
        </w:rPr>
        <w:t xml:space="preserve"> &amp; 3e</w:t>
      </w:r>
      <w:r w:rsidR="00B958E8">
        <w:rPr>
          <w:bCs/>
        </w:rPr>
        <w:t xml:space="preserve">) </w:t>
      </w:r>
      <w:r w:rsidR="00D25BCF" w:rsidRPr="002E60CA">
        <w:rPr>
          <w:color w:val="000000" w:themeColor="text1"/>
        </w:rPr>
        <w:t>using a</w:t>
      </w:r>
      <w:r w:rsidR="00D25BCF">
        <w:rPr>
          <w:color w:val="000000" w:themeColor="text1"/>
        </w:rPr>
        <w:t>n online assessment</w:t>
      </w:r>
      <w:r w:rsidR="001256B9">
        <w:rPr>
          <w:color w:val="000000" w:themeColor="text1"/>
        </w:rPr>
        <w:t>.</w:t>
      </w:r>
    </w:p>
    <w:p w14:paraId="3469F4EF" w14:textId="77777777" w:rsidR="00830565" w:rsidRDefault="00830565" w:rsidP="0016568D">
      <w:pPr>
        <w:rPr>
          <w:color w:val="000000" w:themeColor="text1"/>
        </w:rPr>
      </w:pPr>
    </w:p>
    <w:p w14:paraId="69C1B0D6" w14:textId="46B49913" w:rsidR="002E4B7F" w:rsidRDefault="00600480" w:rsidP="0016568D">
      <w:r>
        <w:rPr>
          <w:color w:val="000000" w:themeColor="text1"/>
        </w:rPr>
        <w:t>O</w:t>
      </w:r>
      <w:r w:rsidR="00A739B3">
        <w:rPr>
          <w:color w:val="000000" w:themeColor="text1"/>
        </w:rPr>
        <w:t xml:space="preserve">ne year after funding </w:t>
      </w:r>
      <w:r w:rsidR="004F69B4">
        <w:rPr>
          <w:color w:val="000000" w:themeColor="text1"/>
        </w:rPr>
        <w:t>begins</w:t>
      </w:r>
      <w:r w:rsidR="00A739B3">
        <w:rPr>
          <w:color w:val="000000" w:themeColor="text1"/>
        </w:rPr>
        <w:t xml:space="preserve"> funded jurisdictions will </w:t>
      </w:r>
      <w:r>
        <w:rPr>
          <w:color w:val="000000" w:themeColor="text1"/>
        </w:rPr>
        <w:t xml:space="preserve">submit </w:t>
      </w:r>
      <w:r w:rsidR="00A739B3">
        <w:rPr>
          <w:color w:val="000000" w:themeColor="text1"/>
        </w:rPr>
        <w:t xml:space="preserve">their </w:t>
      </w:r>
      <w:r w:rsidR="00B958E8" w:rsidRPr="00B958E8">
        <w:rPr>
          <w:i/>
          <w:color w:val="000000" w:themeColor="text1"/>
        </w:rPr>
        <w:t>S</w:t>
      </w:r>
      <w:r w:rsidR="00A739B3" w:rsidRPr="00B958E8">
        <w:rPr>
          <w:i/>
          <w:color w:val="000000" w:themeColor="text1"/>
        </w:rPr>
        <w:t>urveillance data dissemination plan</w:t>
      </w:r>
      <w:r>
        <w:rPr>
          <w:color w:val="000000" w:themeColor="text1"/>
        </w:rPr>
        <w:t xml:space="preserve"> </w:t>
      </w:r>
      <w:r w:rsidR="00B958E8">
        <w:rPr>
          <w:color w:val="000000" w:themeColor="text1"/>
        </w:rPr>
        <w:t xml:space="preserve">(Att. 3e) </w:t>
      </w:r>
      <w:r>
        <w:rPr>
          <w:color w:val="000000" w:themeColor="text1"/>
        </w:rPr>
        <w:t xml:space="preserve">using </w:t>
      </w:r>
      <w:r w:rsidR="00F05D77">
        <w:rPr>
          <w:color w:val="000000" w:themeColor="text1"/>
        </w:rPr>
        <w:t>the Partner</w:t>
      </w:r>
      <w:r w:rsidR="00DD4B6E">
        <w:rPr>
          <w:color w:val="000000" w:themeColor="text1"/>
        </w:rPr>
        <w:t>’</w:t>
      </w:r>
      <w:r w:rsidR="00F05D77">
        <w:rPr>
          <w:color w:val="000000" w:themeColor="text1"/>
        </w:rPr>
        <w:t>s Portal</w:t>
      </w:r>
      <w:r w:rsidR="00A739B3">
        <w:rPr>
          <w:color w:val="000000" w:themeColor="text1"/>
        </w:rPr>
        <w:t xml:space="preserve">. </w:t>
      </w:r>
      <w:r w:rsidR="000267D8">
        <w:rPr>
          <w:color w:val="000000" w:themeColor="text1"/>
        </w:rPr>
        <w:t xml:space="preserve"> </w:t>
      </w:r>
    </w:p>
    <w:p w14:paraId="46A9F402" w14:textId="77777777" w:rsidR="002E4B7F" w:rsidRDefault="002E4B7F" w:rsidP="00015033"/>
    <w:p w14:paraId="0102CAA5" w14:textId="77777777" w:rsidR="00700F99" w:rsidRDefault="00147A4E" w:rsidP="00700F99">
      <w:pPr>
        <w:rPr>
          <w:color w:val="000000" w:themeColor="text1"/>
        </w:rPr>
      </w:pPr>
      <w:r w:rsidRPr="00A93EB5">
        <w:t xml:space="preserve">The information collection and reporting requirements have been carefully designed to align with and support the </w:t>
      </w:r>
      <w:r>
        <w:t xml:space="preserve">specific </w:t>
      </w:r>
      <w:r w:rsidRPr="00A93EB5">
        <w:t xml:space="preserve">goals </w:t>
      </w:r>
      <w:r>
        <w:t xml:space="preserve">and outcomes </w:t>
      </w:r>
      <w:r w:rsidRPr="00A93EB5">
        <w:t xml:space="preserve">outlined in the </w:t>
      </w:r>
      <w:r>
        <w:t xml:space="preserve">Overdose Data to Action funding opportunity and </w:t>
      </w:r>
      <w:r w:rsidRPr="00A93EB5">
        <w:t>will enable collection and reporting of the information in an efficient, standardized, and user-friendly manner</w:t>
      </w:r>
      <w:r>
        <w:t xml:space="preserve">. </w:t>
      </w:r>
      <w:r w:rsidR="008C150F">
        <w:t xml:space="preserve">Collection of </w:t>
      </w:r>
      <w:r w:rsidR="00B10301">
        <w:t>these data</w:t>
      </w:r>
      <w:r w:rsidR="008C150F">
        <w:t xml:space="preserve"> is </w:t>
      </w:r>
      <w:r w:rsidR="008C150F" w:rsidRPr="00A93EB5">
        <w:rPr>
          <w:color w:val="000000" w:themeColor="text1"/>
        </w:rPr>
        <w:t>crucial fo</w:t>
      </w:r>
      <w:r w:rsidR="00FA13DE">
        <w:rPr>
          <w:color w:val="000000" w:themeColor="text1"/>
        </w:rPr>
        <w:t>r</w:t>
      </w:r>
      <w:r w:rsidR="00352701" w:rsidRPr="00352701">
        <w:rPr>
          <w:color w:val="000000" w:themeColor="text1"/>
        </w:rPr>
        <w:t xml:space="preserve"> </w:t>
      </w:r>
      <w:r w:rsidR="00352701" w:rsidRPr="001D037C">
        <w:rPr>
          <w:color w:val="000000" w:themeColor="text1"/>
        </w:rPr>
        <w:t xml:space="preserve">program </w:t>
      </w:r>
      <w:r w:rsidR="00A6167A">
        <w:rPr>
          <w:color w:val="000000" w:themeColor="text1"/>
        </w:rPr>
        <w:t xml:space="preserve">monitoring </w:t>
      </w:r>
      <w:r w:rsidR="00352701">
        <w:rPr>
          <w:color w:val="000000" w:themeColor="text1"/>
        </w:rPr>
        <w:t>and budget tracking</w:t>
      </w:r>
      <w:r w:rsidR="00700F99">
        <w:rPr>
          <w:color w:val="000000" w:themeColor="text1"/>
        </w:rPr>
        <w:t xml:space="preserve">, </w:t>
      </w:r>
      <w:r w:rsidR="00700F99" w:rsidRPr="00B94E5A">
        <w:rPr>
          <w:color w:val="000000" w:themeColor="text1"/>
        </w:rPr>
        <w:t>real-time CDC-recipient communications</w:t>
      </w:r>
      <w:r w:rsidR="00700F99">
        <w:rPr>
          <w:color w:val="000000" w:themeColor="text1"/>
        </w:rPr>
        <w:t xml:space="preserve">, and </w:t>
      </w:r>
      <w:r w:rsidR="00700F99" w:rsidRPr="00B94E5A">
        <w:rPr>
          <w:color w:val="000000" w:themeColor="text1"/>
        </w:rPr>
        <w:t xml:space="preserve">technical assistance and guidance documents produced by CDC to </w:t>
      </w:r>
      <w:r w:rsidR="00700F99">
        <w:rPr>
          <w:color w:val="000000" w:themeColor="text1"/>
        </w:rPr>
        <w:t>support</w:t>
      </w:r>
      <w:r w:rsidR="00700F99" w:rsidRPr="00B94E5A">
        <w:rPr>
          <w:color w:val="000000" w:themeColor="text1"/>
        </w:rPr>
        <w:t xml:space="preserve"> program implement</w:t>
      </w:r>
      <w:r w:rsidR="00700F99">
        <w:rPr>
          <w:color w:val="000000" w:themeColor="text1"/>
        </w:rPr>
        <w:t>ation</w:t>
      </w:r>
      <w:r w:rsidR="00700F99" w:rsidRPr="00B94E5A">
        <w:rPr>
          <w:color w:val="000000" w:themeColor="text1"/>
        </w:rPr>
        <w:t>.  It will also provide CDC with the capacity to respond in a timely manner to requests for information about the program from the Department of Health and Human Services (HHS), the White House, Congress, and other sources.</w:t>
      </w:r>
    </w:p>
    <w:p w14:paraId="6324CE37" w14:textId="77777777" w:rsidR="00015033" w:rsidRPr="00A93EB5" w:rsidRDefault="008C150F" w:rsidP="00015033">
      <w:r w:rsidRPr="00A93EB5">
        <w:rPr>
          <w:color w:val="000000" w:themeColor="text1"/>
        </w:rPr>
        <w:t xml:space="preserve"> </w:t>
      </w:r>
    </w:p>
    <w:p w14:paraId="16080F9E" w14:textId="701EECE3" w:rsidR="00015033" w:rsidRPr="00A93EB5" w:rsidRDefault="006B7EA7" w:rsidP="00015033">
      <w:pPr>
        <w:rPr>
          <w:color w:val="000000" w:themeColor="text1"/>
        </w:rPr>
      </w:pPr>
      <w:r>
        <w:t xml:space="preserve">Specifically, </w:t>
      </w:r>
      <w:r w:rsidR="00015033" w:rsidRPr="00A93EB5">
        <w:t xml:space="preserve">CDC will use the information collected to monitor each </w:t>
      </w:r>
      <w:r w:rsidR="0023795B">
        <w:t>recipient</w:t>
      </w:r>
      <w:r w:rsidR="00015033" w:rsidRPr="00A93EB5">
        <w:t xml:space="preserve">’s progress and to identify facilitators and </w:t>
      </w:r>
      <w:r w:rsidR="00015033">
        <w:t xml:space="preserve">barriers </w:t>
      </w:r>
      <w:r w:rsidR="00015033" w:rsidRPr="00A93EB5">
        <w:t xml:space="preserve">to program implementation and achievement of outcomes.  Monitoring allows CDC to determine whether a </w:t>
      </w:r>
      <w:r w:rsidR="0023795B">
        <w:t>recipient</w:t>
      </w:r>
      <w:r w:rsidR="00015033" w:rsidRPr="00A93EB5">
        <w:t xml:space="preserve"> is meeting performance and budget goals</w:t>
      </w:r>
      <w:r>
        <w:t>, to assess progress with respect to capacity building,</w:t>
      </w:r>
      <w:r w:rsidR="00015033" w:rsidRPr="00A93EB5">
        <w:t xml:space="preserve"> and to make adjustments in the type and level of technical assistance provided to </w:t>
      </w:r>
      <w:r w:rsidR="001646B2">
        <w:t>funded jurisdictions</w:t>
      </w:r>
      <w:r w:rsidR="001646B2" w:rsidRPr="00A93EB5">
        <w:t xml:space="preserve"> </w:t>
      </w:r>
      <w:r w:rsidR="00015033" w:rsidRPr="00A93EB5">
        <w:t>as needed.  Program monitoring also allow</w:t>
      </w:r>
      <w:r w:rsidR="009E5011">
        <w:t>s</w:t>
      </w:r>
      <w:r w:rsidR="00015033" w:rsidRPr="00A93EB5">
        <w:t xml:space="preserve"> </w:t>
      </w:r>
      <w:r w:rsidR="00AF6943">
        <w:t xml:space="preserve">the </w:t>
      </w:r>
      <w:r w:rsidR="00015033" w:rsidRPr="00A93EB5">
        <w:t xml:space="preserve">CDC to identify and disseminate information about successful prevention strategies implemented by </w:t>
      </w:r>
      <w:r w:rsidR="002F388D">
        <w:t>funded jurisdictions</w:t>
      </w:r>
      <w:r w:rsidR="00015033" w:rsidRPr="00A93EB5">
        <w:t xml:space="preserve">.  These functions are central to NCIPC’s broad mission of protecting Americans from violence and injury threats.  </w:t>
      </w:r>
    </w:p>
    <w:p w14:paraId="4E4BD419" w14:textId="77777777" w:rsidR="00015033" w:rsidRPr="00A93EB5" w:rsidRDefault="00015033" w:rsidP="00015033"/>
    <w:p w14:paraId="4E14A9A9" w14:textId="6A5F28F7" w:rsidR="00015033" w:rsidRDefault="00015033" w:rsidP="00015033">
      <w:r>
        <w:t>With</w:t>
      </w:r>
      <w:r w:rsidR="006B7EA7">
        <w:t xml:space="preserve"> </w:t>
      </w:r>
      <w:r w:rsidR="009E5011">
        <w:t xml:space="preserve">the </w:t>
      </w:r>
      <w:r w:rsidR="006B7EA7">
        <w:t>assistance of</w:t>
      </w:r>
      <w:r>
        <w:t xml:space="preserve"> </w:t>
      </w:r>
      <w:r w:rsidRPr="00A93EB5">
        <w:t xml:space="preserve">CDC </w:t>
      </w:r>
      <w:r>
        <w:t>staff</w:t>
      </w:r>
      <w:r w:rsidRPr="00A93EB5">
        <w:t xml:space="preserve">, program </w:t>
      </w:r>
      <w:r w:rsidR="008B2DDC">
        <w:t>funded jurisdictions</w:t>
      </w:r>
      <w:r w:rsidRPr="00A93EB5">
        <w:t xml:space="preserve"> will use the information collected to manage and coordinate their</w:t>
      </w:r>
      <w:r w:rsidR="006B7EA7">
        <w:t xml:space="preserve"> own</w:t>
      </w:r>
      <w:r w:rsidRPr="00A93EB5">
        <w:t xml:space="preserve"> activities and </w:t>
      </w:r>
      <w:r w:rsidRPr="007675CE">
        <w:t xml:space="preserve">to improve their efforts to prevent </w:t>
      </w:r>
      <w:r w:rsidR="0016568D">
        <w:t>opioid overdose morbidity, mortality, and associated harm</w:t>
      </w:r>
      <w:r w:rsidRPr="007675CE">
        <w:t>.  The tools</w:t>
      </w:r>
      <w:r w:rsidRPr="00A93EB5">
        <w:t xml:space="preserve"> </w:t>
      </w:r>
      <w:r w:rsidR="0016568D">
        <w:t xml:space="preserve">and templates </w:t>
      </w:r>
      <w:r w:rsidRPr="00A93EB5">
        <w:t xml:space="preserve">will allow </w:t>
      </w:r>
      <w:r w:rsidR="008B2DDC">
        <w:t>funded jurisdictions</w:t>
      </w:r>
      <w:r w:rsidRPr="00A93EB5">
        <w:t xml:space="preserve"> to fulfill their annual reporting obligations under the </w:t>
      </w:r>
      <w:r>
        <w:t>funding opportunity announcement</w:t>
      </w:r>
      <w:r w:rsidRPr="00A93EB5">
        <w:t xml:space="preserve"> in an efficient manner by employing user-friendly instruments to collect </w:t>
      </w:r>
      <w:r w:rsidR="009E5011">
        <w:t xml:space="preserve">the </w:t>
      </w:r>
      <w:r w:rsidRPr="00A93EB5">
        <w:t xml:space="preserve">necessary information.  This approach, which enables </w:t>
      </w:r>
      <w:r w:rsidR="008B2DDC">
        <w:t>funded jurisdictions</w:t>
      </w:r>
      <w:r w:rsidRPr="00A93EB5">
        <w:t xml:space="preserve"> to save pertinent information from one reporting period to the next, will reduce </w:t>
      </w:r>
      <w:r w:rsidR="00640726">
        <w:t xml:space="preserve">both </w:t>
      </w:r>
      <w:r w:rsidRPr="00A93EB5">
        <w:t>the</w:t>
      </w:r>
      <w:r w:rsidR="00640726">
        <w:t xml:space="preserve"> CDC and jurisdictions’</w:t>
      </w:r>
      <w:r w:rsidRPr="00A93EB5">
        <w:t xml:space="preserve"> administrative burden on the yearly continuation application and the progress review process. </w:t>
      </w:r>
      <w:r w:rsidR="00A15664">
        <w:t xml:space="preserve"> </w:t>
      </w:r>
      <w:r w:rsidR="006B7EA7">
        <w:t>The i</w:t>
      </w:r>
      <w:r w:rsidR="00A15664">
        <w:t xml:space="preserve">nformation collected using the four instruments described in this ICR will provide a comprehensive picture of the data available to jurisdiction staff.  </w:t>
      </w:r>
      <w:r w:rsidR="006B7EA7">
        <w:t>The collected information</w:t>
      </w:r>
      <w:r w:rsidR="00A15664">
        <w:t xml:space="preserve"> </w:t>
      </w:r>
      <w:r w:rsidR="0032715C">
        <w:t xml:space="preserve">will </w:t>
      </w:r>
      <w:r w:rsidR="00A15664">
        <w:t>be used to generate repor</w:t>
      </w:r>
      <w:r w:rsidR="006B7EA7">
        <w:t>ts, summaries, and technical assista</w:t>
      </w:r>
      <w:r w:rsidR="0032715C">
        <w:t>n</w:t>
      </w:r>
      <w:r w:rsidR="006B7EA7">
        <w:t>ce, as well as</w:t>
      </w:r>
      <w:r w:rsidR="00A15664">
        <w:t xml:space="preserve"> for other reporting systems as required.</w:t>
      </w:r>
      <w:r w:rsidRPr="00A93EB5">
        <w:t xml:space="preserve"> </w:t>
      </w:r>
    </w:p>
    <w:p w14:paraId="09BD856D" w14:textId="77777777" w:rsidR="00015033" w:rsidRDefault="00015033" w:rsidP="00015033"/>
    <w:p w14:paraId="46B44F95" w14:textId="24EF2379" w:rsidR="00E670D3" w:rsidRDefault="00015033" w:rsidP="00A030E6">
      <w:r>
        <w:t xml:space="preserve">Although program </w:t>
      </w:r>
      <w:r w:rsidR="002B57D0">
        <w:t>monitoring</w:t>
      </w:r>
      <w:r>
        <w:t xml:space="preserve"> is an essential </w:t>
      </w:r>
      <w:r w:rsidR="002B57D0">
        <w:t>element of public health programs</w:t>
      </w:r>
      <w:r>
        <w:t>,</w:t>
      </w:r>
      <w:r w:rsidR="002B57D0">
        <w:t xml:space="preserve"> data collected for this purpose </w:t>
      </w:r>
      <w:r w:rsidR="009F6D22">
        <w:t>are</w:t>
      </w:r>
      <w:r w:rsidR="002B57D0">
        <w:t xml:space="preserve"> not generalizable</w:t>
      </w:r>
      <w:r>
        <w:t xml:space="preserve">. In addition, because this is not a research cooperative agreement, </w:t>
      </w:r>
      <w:r w:rsidR="00E83E2C">
        <w:t xml:space="preserve">funded </w:t>
      </w:r>
      <w:r w:rsidR="00A6273C">
        <w:t xml:space="preserve">jurisdictions </w:t>
      </w:r>
      <w:r>
        <w:t>are not required to implement rigorous research designs that have strong internal validit</w:t>
      </w:r>
      <w:r w:rsidR="00360392">
        <w:t xml:space="preserve">y, </w:t>
      </w:r>
      <w:r>
        <w:t>produce generalizable knowledge</w:t>
      </w:r>
      <w:r w:rsidR="00360392">
        <w:t>, or allow for causal attribution</w:t>
      </w:r>
      <w:r>
        <w:t>.</w:t>
      </w:r>
      <w:r w:rsidR="00185463">
        <w:t xml:space="preserve"> </w:t>
      </w:r>
    </w:p>
    <w:p w14:paraId="0E5DEEAF" w14:textId="77777777" w:rsidR="00FE0987" w:rsidRDefault="00FE0987"/>
    <w:p w14:paraId="490BE5E6" w14:textId="2D49C3E1" w:rsidR="00DE105A" w:rsidRDefault="00654851" w:rsidP="004E6540">
      <w:pPr>
        <w:spacing w:after="120"/>
      </w:pPr>
      <w:r>
        <w:t xml:space="preserve">Funded jurisdictions are </w:t>
      </w:r>
      <w:r w:rsidR="009F6D22">
        <w:t>required</w:t>
      </w:r>
      <w:r>
        <w:t xml:space="preserve"> to report </w:t>
      </w:r>
      <w:r w:rsidR="001F435A">
        <w:t>four</w:t>
      </w:r>
      <w:r>
        <w:t xml:space="preserve"> </w:t>
      </w:r>
      <w:r w:rsidR="00FF0705">
        <w:t>instruments</w:t>
      </w:r>
      <w:r>
        <w:t xml:space="preserve">: </w:t>
      </w:r>
    </w:p>
    <w:p w14:paraId="5DB9B58C" w14:textId="5535E6B4" w:rsidR="00980C56" w:rsidRPr="00E83E2C" w:rsidRDefault="00F06752" w:rsidP="00E83E2C">
      <w:pPr>
        <w:rPr>
          <w:b/>
          <w:i/>
        </w:rPr>
      </w:pPr>
      <w:r>
        <w:rPr>
          <w:b/>
          <w:i/>
        </w:rPr>
        <w:t xml:space="preserve">1) </w:t>
      </w:r>
      <w:r w:rsidR="008C2B50">
        <w:rPr>
          <w:b/>
          <w:i/>
        </w:rPr>
        <w:t>Evaluation</w:t>
      </w:r>
      <w:r w:rsidR="000E2E8E">
        <w:rPr>
          <w:b/>
          <w:i/>
        </w:rPr>
        <w:t xml:space="preserve"> and Performance </w:t>
      </w:r>
      <w:r w:rsidR="00976B51">
        <w:rPr>
          <w:b/>
          <w:i/>
        </w:rPr>
        <w:t xml:space="preserve">Measuring </w:t>
      </w:r>
      <w:r w:rsidR="000E2E8E" w:rsidRPr="00E83E2C">
        <w:rPr>
          <w:b/>
          <w:i/>
        </w:rPr>
        <w:t>Plan</w:t>
      </w:r>
      <w:r w:rsidR="00552A1A">
        <w:rPr>
          <w:b/>
          <w:i/>
        </w:rPr>
        <w:t xml:space="preserve"> (</w:t>
      </w:r>
      <w:r w:rsidR="004F69B4">
        <w:rPr>
          <w:b/>
          <w:i/>
        </w:rPr>
        <w:t>Attachment</w:t>
      </w:r>
      <w:r w:rsidR="00552A1A">
        <w:rPr>
          <w:b/>
          <w:i/>
        </w:rPr>
        <w:t xml:space="preserve"> </w:t>
      </w:r>
      <w:r w:rsidR="00593B2B">
        <w:rPr>
          <w:b/>
          <w:i/>
        </w:rPr>
        <w:t>3a)</w:t>
      </w:r>
    </w:p>
    <w:p w14:paraId="3876B5C5" w14:textId="31025E14" w:rsidR="007F7BC2" w:rsidRDefault="00697D45" w:rsidP="00E83E2C">
      <w:r>
        <w:t xml:space="preserve">With </w:t>
      </w:r>
      <w:r w:rsidR="004F69B4">
        <w:t>respect</w:t>
      </w:r>
      <w:r>
        <w:t xml:space="preserve"> to the</w:t>
      </w:r>
      <w:r w:rsidR="00113CFB">
        <w:t xml:space="preserve"> </w:t>
      </w:r>
      <w:r w:rsidR="008C2B50">
        <w:t xml:space="preserve">evaluation </w:t>
      </w:r>
      <w:r w:rsidR="00FA13DE">
        <w:t xml:space="preserve">and performance </w:t>
      </w:r>
      <w:r w:rsidR="00976B51">
        <w:t xml:space="preserve">measuring </w:t>
      </w:r>
      <w:r w:rsidR="00113CFB">
        <w:t>plan</w:t>
      </w:r>
      <w:r>
        <w:t>, the provided</w:t>
      </w:r>
      <w:r w:rsidR="00113CFB">
        <w:t xml:space="preserve"> template </w:t>
      </w:r>
      <w:r w:rsidR="00852795">
        <w:t xml:space="preserve">and </w:t>
      </w:r>
      <w:r w:rsidR="004B4DC7">
        <w:t>Partner’s Portal</w:t>
      </w:r>
      <w:r w:rsidR="00852795">
        <w:t xml:space="preserve"> </w:t>
      </w:r>
      <w:r w:rsidR="00113CFB">
        <w:t xml:space="preserve">will require funded jurisdictions to </w:t>
      </w:r>
      <w:r w:rsidR="002E3A8F">
        <w:t>develop and share their logic model, data management plan</w:t>
      </w:r>
      <w:r w:rsidR="00EA09BA">
        <w:t>,</w:t>
      </w:r>
      <w:r w:rsidR="002E3A8F">
        <w:t xml:space="preserve"> and </w:t>
      </w:r>
      <w:r w:rsidR="00EA09BA">
        <w:t>their plan</w:t>
      </w:r>
      <w:r w:rsidR="002E3A8F">
        <w:t xml:space="preserve"> </w:t>
      </w:r>
      <w:r w:rsidR="007F7BC2">
        <w:t>to</w:t>
      </w:r>
      <w:r w:rsidR="002E3A8F">
        <w:t xml:space="preserve"> maximize the utility of their </w:t>
      </w:r>
      <w:r w:rsidR="009F6D22">
        <w:t xml:space="preserve">program </w:t>
      </w:r>
      <w:r w:rsidR="001433A0">
        <w:t>assessment</w:t>
      </w:r>
      <w:r w:rsidR="002E3A8F">
        <w:t xml:space="preserve">.  </w:t>
      </w:r>
      <w:r w:rsidR="007F7BC2">
        <w:t>S</w:t>
      </w:r>
      <w:r w:rsidR="002E3A8F">
        <w:t xml:space="preserve">pecifically, </w:t>
      </w:r>
      <w:r w:rsidR="008B2DDC">
        <w:t>funded jurisdictions</w:t>
      </w:r>
      <w:r w:rsidR="002E3A8F">
        <w:t xml:space="preserve"> will </w:t>
      </w:r>
      <w:r w:rsidR="00113CFB">
        <w:t xml:space="preserve">enter the following information: </w:t>
      </w:r>
    </w:p>
    <w:p w14:paraId="3D280E59" w14:textId="1E863F67" w:rsidR="007F7BC2" w:rsidRDefault="00852795" w:rsidP="00AE23E8">
      <w:pPr>
        <w:ind w:left="720"/>
      </w:pPr>
      <w:r>
        <w:t xml:space="preserve">1) </w:t>
      </w:r>
      <w:r w:rsidR="004F69B4">
        <w:t>A</w:t>
      </w:r>
      <w:r>
        <w:t xml:space="preserve"> comprehensive logic model </w:t>
      </w:r>
      <w:r w:rsidR="009F6D22">
        <w:t>that</w:t>
      </w:r>
      <w:r>
        <w:t xml:space="preserve"> includes the surveillance and prevention components and that addresses the strategies and activities selected by the jurisdiction for the </w:t>
      </w:r>
      <w:r w:rsidR="004F69B4">
        <w:t>three-year</w:t>
      </w:r>
      <w:r>
        <w:t xml:space="preserve"> project period</w:t>
      </w:r>
      <w:r w:rsidR="007F7BC2">
        <w:t xml:space="preserve">; </w:t>
      </w:r>
    </w:p>
    <w:p w14:paraId="44BB469F" w14:textId="1EDFEE3F" w:rsidR="007F7BC2" w:rsidRDefault="00852795" w:rsidP="00AE23E8">
      <w:pPr>
        <w:ind w:left="720"/>
      </w:pPr>
      <w:r>
        <w:t xml:space="preserve">2) </w:t>
      </w:r>
      <w:r w:rsidR="007A26B8">
        <w:t xml:space="preserve">A </w:t>
      </w:r>
      <w:r>
        <w:t>plan for data monitoring, data quality assurance, use of the surveillance data to inform program</w:t>
      </w:r>
      <w:r w:rsidR="007F7BC2">
        <w:t xml:space="preserve"> implementation,</w:t>
      </w:r>
      <w:r>
        <w:t xml:space="preserve"> and a description of methods to be used to track the dissemination and impact of the </w:t>
      </w:r>
      <w:r w:rsidR="00A70500">
        <w:t>surveillance data</w:t>
      </w:r>
      <w:r w:rsidR="007F7BC2">
        <w:t>; and</w:t>
      </w:r>
    </w:p>
    <w:p w14:paraId="5F9116E1" w14:textId="58B70ED1" w:rsidR="000C03EE" w:rsidRDefault="00A70500" w:rsidP="00AE23E8">
      <w:pPr>
        <w:ind w:left="720"/>
      </w:pPr>
      <w:r>
        <w:t>3)</w:t>
      </w:r>
      <w:r w:rsidR="007F7BC2">
        <w:t xml:space="preserve"> </w:t>
      </w:r>
      <w:r w:rsidR="004F69B4">
        <w:t>A</w:t>
      </w:r>
      <w:r w:rsidR="000C03EE">
        <w:t xml:space="preserve"> description of how the</w:t>
      </w:r>
      <w:r w:rsidR="008E1760">
        <w:t xml:space="preserve"> evaluation</w:t>
      </w:r>
      <w:r w:rsidR="000C03EE">
        <w:t xml:space="preserve"> </w:t>
      </w:r>
      <w:r w:rsidR="00FA68AC">
        <w:t xml:space="preserve">of each prevention component strategy </w:t>
      </w:r>
      <w:r w:rsidR="000C03EE">
        <w:t xml:space="preserve">will be used, </w:t>
      </w:r>
      <w:r w:rsidR="008E1760" w:rsidRPr="008E1760">
        <w:t xml:space="preserve"> </w:t>
      </w:r>
      <w:r w:rsidR="008E1760">
        <w:t>evaluation</w:t>
      </w:r>
      <w:r w:rsidR="000C03EE">
        <w:t xml:space="preserve"> questions, indicators, data collection methods and a timeline for data collection and analysis</w:t>
      </w:r>
      <w:r w:rsidR="007F7BC2">
        <w:t xml:space="preserve"> for each prevention component strategy</w:t>
      </w:r>
      <w:r w:rsidR="000C03EE">
        <w:t xml:space="preserve">.  </w:t>
      </w:r>
    </w:p>
    <w:p w14:paraId="5C279CC3" w14:textId="77777777" w:rsidR="0083573D" w:rsidRDefault="0083573D"/>
    <w:p w14:paraId="76B5DBAC" w14:textId="0FC397F8" w:rsidR="0083573D" w:rsidRDefault="0083573D">
      <w:r>
        <w:t xml:space="preserve">The </w:t>
      </w:r>
      <w:r w:rsidR="008E1760">
        <w:t>evaluation</w:t>
      </w:r>
      <w:r>
        <w:t xml:space="preserve"> and performance </w:t>
      </w:r>
      <w:r w:rsidR="00BD1F2A">
        <w:t>measuring</w:t>
      </w:r>
      <w:r>
        <w:t xml:space="preserve"> plan template has been used in previous funding opportunities</w:t>
      </w:r>
      <w:r w:rsidR="001433A0">
        <w:t xml:space="preserve"> (</w:t>
      </w:r>
      <w:r w:rsidR="001433A0" w:rsidRPr="002312FB">
        <w:t>OMB# 0920-1155)</w:t>
      </w:r>
      <w:r w:rsidRPr="002312FB">
        <w:t>.</w:t>
      </w:r>
      <w:r>
        <w:t xml:space="preserve"> It has been updated to reflect the goals of this funding </w:t>
      </w:r>
      <w:r w:rsidR="004F69B4">
        <w:t>opportunity</w:t>
      </w:r>
      <w:r>
        <w:t xml:space="preserve">, as well as to </w:t>
      </w:r>
      <w:r w:rsidR="004F69B4">
        <w:t>incorporate</w:t>
      </w:r>
      <w:r>
        <w:t xml:space="preserve"> feedback from previous users.</w:t>
      </w:r>
      <w:r w:rsidR="00CC41E5">
        <w:t xml:space="preserve">  It is not used for evaluation of OD2A but for the funded jurisdictions’ evaluation of their activities</w:t>
      </w:r>
      <w:r w:rsidR="00A81B1F">
        <w:t xml:space="preserve"> and for technical assistance by CDC</w:t>
      </w:r>
      <w:r w:rsidR="00CC41E5">
        <w:t xml:space="preserve">.  </w:t>
      </w:r>
      <w:r w:rsidR="00B25356">
        <w:t xml:space="preserve">The evaluation and performance measuring plan will be submitted six months after funding begins using a Microsoft Word Template and then will be updated using the </w:t>
      </w:r>
      <w:r w:rsidR="008E5B8B">
        <w:t>Partner’s</w:t>
      </w:r>
      <w:r w:rsidR="00B25356">
        <w:t xml:space="preserve"> Portal each project year.  </w:t>
      </w:r>
    </w:p>
    <w:p w14:paraId="39B958D6" w14:textId="77777777" w:rsidR="00E83E2C" w:rsidRDefault="00E83E2C" w:rsidP="00E83E2C"/>
    <w:p w14:paraId="1691CD41" w14:textId="1FA74DBD" w:rsidR="00F06752" w:rsidRPr="00B70D62" w:rsidRDefault="00F06752">
      <w:pPr>
        <w:rPr>
          <w:b/>
          <w:i/>
        </w:rPr>
      </w:pPr>
      <w:r>
        <w:rPr>
          <w:b/>
          <w:i/>
        </w:rPr>
        <w:t xml:space="preserve">2) </w:t>
      </w:r>
      <w:r w:rsidR="00D40D53" w:rsidRPr="00D40D53">
        <w:rPr>
          <w:b/>
          <w:i/>
        </w:rPr>
        <w:t>Overdose Prevention Capacity Assessment Tool</w:t>
      </w:r>
      <w:r w:rsidR="00593B2B">
        <w:rPr>
          <w:b/>
          <w:i/>
        </w:rPr>
        <w:t xml:space="preserve"> (Attachment 3b</w:t>
      </w:r>
      <w:r w:rsidR="003657DF">
        <w:rPr>
          <w:b/>
          <w:i/>
        </w:rPr>
        <w:t xml:space="preserve"> &amp; 3e</w:t>
      </w:r>
      <w:r w:rsidR="00593B2B">
        <w:rPr>
          <w:b/>
          <w:i/>
        </w:rPr>
        <w:t>)</w:t>
      </w:r>
    </w:p>
    <w:p w14:paraId="727C0356" w14:textId="658F3531" w:rsidR="007F2B07" w:rsidRDefault="00B3193E">
      <w:r>
        <w:t xml:space="preserve">The operational capacity assessment will require funded jurisdictions to report on two types of capacity within their programs: infrastructure capacity and </w:t>
      </w:r>
      <w:r w:rsidR="005254B0">
        <w:t xml:space="preserve">opioid-specific </w:t>
      </w:r>
      <w:r>
        <w:t xml:space="preserve">topical capacity. In terms of infrastructure capacity, </w:t>
      </w:r>
      <w:r w:rsidR="008B2DDC">
        <w:t>funded jurisdictions</w:t>
      </w:r>
      <w:r w:rsidR="00A77D75">
        <w:t xml:space="preserve"> will be asked to rank the capacity of their funded</w:t>
      </w:r>
      <w:r>
        <w:t xml:space="preserve"> program on a five-point scale within the following </w:t>
      </w:r>
      <w:r w:rsidR="00A77D75">
        <w:t xml:space="preserve">domains: multilevel leadership, networked partnerships, </w:t>
      </w:r>
      <w:r w:rsidR="00201EB8">
        <w:t>responsive plans &amp; planning, engaged data, and managed resources. In total, there ar</w:t>
      </w:r>
      <w:r w:rsidR="00201EB8" w:rsidRPr="004312FA">
        <w:t xml:space="preserve">e </w:t>
      </w:r>
      <w:r w:rsidR="00201EB8" w:rsidRPr="00D40D53">
        <w:t>2</w:t>
      </w:r>
      <w:r w:rsidR="00E96BDF" w:rsidRPr="00D40D53">
        <w:t>5</w:t>
      </w:r>
      <w:r w:rsidR="00201EB8" w:rsidRPr="004312FA">
        <w:t xml:space="preserve"> ranking</w:t>
      </w:r>
      <w:r w:rsidR="00201EB8">
        <w:t xml:space="preserve"> questions pertaining to operational capacity.</w:t>
      </w:r>
      <w:r w:rsidR="00FC1903">
        <w:t xml:space="preserve"> </w:t>
      </w:r>
      <w:r w:rsidR="00201EB8">
        <w:t xml:space="preserve">In terms of topical capacity, </w:t>
      </w:r>
      <w:r w:rsidR="008B2DDC">
        <w:t>funded jurisdictions</w:t>
      </w:r>
      <w:r w:rsidR="00201EB8">
        <w:t xml:space="preserve"> will be</w:t>
      </w:r>
      <w:r w:rsidR="00FC1903">
        <w:t xml:space="preserve"> also</w:t>
      </w:r>
      <w:r w:rsidR="00201EB8">
        <w:t xml:space="preserve"> asked to rank the </w:t>
      </w:r>
      <w:r w:rsidR="0035441F">
        <w:t>capacity</w:t>
      </w:r>
      <w:r w:rsidR="00201EB8">
        <w:t xml:space="preserve"> of their funded program on a </w:t>
      </w:r>
      <w:r w:rsidR="00FC1903">
        <w:t xml:space="preserve">five-point scale, across </w:t>
      </w:r>
      <w:r w:rsidR="004F69B4">
        <w:t>14</w:t>
      </w:r>
      <w:r w:rsidR="00FC1903" w:rsidRPr="004312FA">
        <w:t xml:space="preserve"> topical</w:t>
      </w:r>
      <w:r w:rsidR="00FC1903">
        <w:t xml:space="preserve"> areas.</w:t>
      </w:r>
    </w:p>
    <w:p w14:paraId="1A98FA72" w14:textId="77777777" w:rsidR="00FC1903" w:rsidRDefault="00FC1903" w:rsidP="00396C6F">
      <w:pPr>
        <w:rPr>
          <w:color w:val="000000" w:themeColor="text1"/>
        </w:rPr>
      </w:pPr>
    </w:p>
    <w:p w14:paraId="79CCB928" w14:textId="0FCEB7D1" w:rsidR="00FC1903" w:rsidRDefault="00FC1903" w:rsidP="00396C6F">
      <w:pPr>
        <w:rPr>
          <w:color w:val="000000" w:themeColor="text1"/>
        </w:rPr>
      </w:pPr>
      <w:r>
        <w:rPr>
          <w:color w:val="000000" w:themeColor="text1"/>
        </w:rPr>
        <w:t xml:space="preserve">The operational capacity questions have been adapted from </w:t>
      </w:r>
      <w:r w:rsidR="003A64A6">
        <w:rPr>
          <w:color w:val="000000" w:themeColor="text1"/>
        </w:rPr>
        <w:t xml:space="preserve">the Component Model of </w:t>
      </w:r>
      <w:r w:rsidR="004F69B4">
        <w:rPr>
          <w:color w:val="000000" w:themeColor="text1"/>
        </w:rPr>
        <w:t>Infrastructure that</w:t>
      </w:r>
      <w:r w:rsidR="003A64A6">
        <w:rPr>
          <w:color w:val="000000" w:themeColor="text1"/>
        </w:rPr>
        <w:t xml:space="preserve"> links capacity, sustainability and outcome measurements</w:t>
      </w:r>
      <w:r w:rsidR="008D43E0">
        <w:rPr>
          <w:color w:val="000000" w:themeColor="text1"/>
        </w:rPr>
        <w:t xml:space="preserve"> as a method for developing a framework and/or guidance documents in order to function more efficiently and effectively</w:t>
      </w:r>
      <w:r w:rsidR="001D2813">
        <w:rPr>
          <w:color w:val="000000" w:themeColor="text1"/>
        </w:rPr>
        <w:t>.</w:t>
      </w:r>
      <w:r w:rsidR="00120940">
        <w:rPr>
          <w:color w:val="000000" w:themeColor="text1"/>
        </w:rPr>
        <w:t xml:space="preserve"> </w:t>
      </w:r>
      <w:r w:rsidR="00E80A74">
        <w:rPr>
          <w:color w:val="000000" w:themeColor="text1"/>
        </w:rPr>
        <w:fldChar w:fldCharType="begin"/>
      </w:r>
      <w:r w:rsidR="00E80A74">
        <w:rPr>
          <w:color w:val="000000" w:themeColor="text1"/>
        </w:rPr>
        <w:instrText xml:space="preserve"> ADDIN EN.CITE &lt;EndNote&gt;&lt;Cite&gt;&lt;Author&gt;Lavinghouze&lt;/Author&gt;&lt;Year&gt;2014&lt;/Year&gt;&lt;RecNum&gt;41&lt;/RecNum&gt;&lt;DisplayText&gt;&lt;style face="superscript"&gt;1&lt;/style&gt;&lt;/DisplayText&gt;&lt;record&gt;&lt;rec-number&gt;41&lt;/rec-number&gt;&lt;foreign-keys&gt;&lt;key app="EN" db-id="p5ftvtdw2sz2fle5vf759drcz0sp5vpf5t50" timestamp="1553105870"&gt;41&lt;/key&gt;&lt;/foreign-keys&gt;&lt;ref-type name="Journal Article"&gt;17&lt;/ref-type&gt;&lt;contributors&gt;&lt;authors&gt;&lt;author&gt;Lavinghouze, S. R.&lt;/author&gt;&lt;author&gt;Snyder, K.&lt;/author&gt;&lt;author&gt;Rieker, P. P.&lt;/author&gt;&lt;/authors&gt;&lt;/contributors&gt;&lt;auth-address&gt;S. Rene Lavinghouze is with the Office on Smoking and Health, Centers for Disease Control and Prevention (CDC), Atlanta, GA. Kimberly Snyder is with ICF International, Atlanta, GA. Patricia P. Rieker is with Boston University and Harvard Medical School, Boston, MA.&lt;/auth-address&gt;&lt;titles&gt;&lt;title&gt;The component model of infrastructure: a practical approach to understanding public health program infrastructure&lt;/title&gt;&lt;secondary-title&gt;Am J Public Health&lt;/secondary-title&gt;&lt;/titles&gt;&lt;periodical&gt;&lt;full-title&gt;Am J Public Health&lt;/full-title&gt;&lt;/periodical&gt;&lt;pages&gt;e14-24&lt;/pages&gt;&lt;volume&gt;104&lt;/volume&gt;&lt;number&gt;8&lt;/number&gt;&lt;edition&gt;2014/06/13&lt;/edition&gt;&lt;keywords&gt;&lt;keyword&gt;Health Planning/organization &amp;amp; administration&lt;/keyword&gt;&lt;keyword&gt;Humans&lt;/keyword&gt;&lt;keyword&gt;Leadership&lt;/keyword&gt;&lt;keyword&gt;*Models, Organizational&lt;/keyword&gt;&lt;keyword&gt;Organizational Case Studies&lt;/keyword&gt;&lt;keyword&gt;Program Evaluation&lt;/keyword&gt;&lt;keyword&gt;*Public Health Administration&lt;/keyword&gt;&lt;keyword&gt;Resource Allocation/organization &amp;amp; administration&lt;/keyword&gt;&lt;keyword&gt;Smoking Prevention&lt;/keyword&gt;&lt;keyword&gt;State Government&lt;/keyword&gt;&lt;keyword&gt;United States&lt;/keyword&gt;&lt;/keywords&gt;&lt;dates&gt;&lt;year&gt;2014&lt;/year&gt;&lt;pub-dates&gt;&lt;date&gt;Aug&lt;/date&gt;&lt;/pub-dates&gt;&lt;/dates&gt;&lt;isbn&gt;1541-0048 (Electronic)&amp;#xD;0090-0036 (Linking)&lt;/isbn&gt;&lt;accession-num&gt;24922125&lt;/accession-num&gt;&lt;urls&gt;&lt;related-urls&gt;&lt;url&gt;https://www.ncbi.nlm.nih.gov/pubmed/24922125&lt;/url&gt;&lt;/related-urls&gt;&lt;/urls&gt;&lt;custom2&gt;PMC4103204&lt;/custom2&gt;&lt;electronic-resource-num&gt;10.2105/AJPH.2014.302033&lt;/electronic-resource-num&gt;&lt;/record&gt;&lt;/Cite&gt;&lt;/EndNote&gt;</w:instrText>
      </w:r>
      <w:r w:rsidR="00E80A74">
        <w:rPr>
          <w:color w:val="000000" w:themeColor="text1"/>
        </w:rPr>
        <w:fldChar w:fldCharType="separate"/>
      </w:r>
      <w:r w:rsidR="00E80A74" w:rsidRPr="00E80A74">
        <w:rPr>
          <w:noProof/>
          <w:color w:val="000000" w:themeColor="text1"/>
          <w:vertAlign w:val="superscript"/>
        </w:rPr>
        <w:t>1</w:t>
      </w:r>
      <w:r w:rsidR="00E80A74">
        <w:rPr>
          <w:color w:val="000000" w:themeColor="text1"/>
        </w:rPr>
        <w:fldChar w:fldCharType="end"/>
      </w:r>
      <w:r w:rsidR="001D2813">
        <w:rPr>
          <w:color w:val="000000" w:themeColor="text1"/>
        </w:rPr>
        <w:t xml:space="preserve">  </w:t>
      </w:r>
      <w:r>
        <w:rPr>
          <w:color w:val="000000" w:themeColor="text1"/>
        </w:rPr>
        <w:t>The topical capacity questions have been developed in concert with a contractor and other subject matter experts, but have not previous been deployed within a data collection.</w:t>
      </w:r>
    </w:p>
    <w:p w14:paraId="3DE83A41" w14:textId="77777777" w:rsidR="00EC2CFF" w:rsidRDefault="00EC2CFF" w:rsidP="00396C6F"/>
    <w:p w14:paraId="110F99DF" w14:textId="636EE978" w:rsidR="00EC2CFF" w:rsidRDefault="005A5D00" w:rsidP="00396C6F">
      <w:r>
        <w:rPr>
          <w:b/>
          <w:i/>
        </w:rPr>
        <w:t xml:space="preserve">3) Annual </w:t>
      </w:r>
      <w:r w:rsidR="00C12188">
        <w:rPr>
          <w:b/>
          <w:i/>
        </w:rPr>
        <w:t xml:space="preserve">Activity </w:t>
      </w:r>
      <w:r>
        <w:rPr>
          <w:b/>
          <w:i/>
        </w:rPr>
        <w:t>Progress</w:t>
      </w:r>
      <w:r w:rsidR="005254B0">
        <w:rPr>
          <w:b/>
          <w:i/>
        </w:rPr>
        <w:t xml:space="preserve"> Report</w:t>
      </w:r>
      <w:r>
        <w:rPr>
          <w:b/>
          <w:i/>
        </w:rPr>
        <w:t xml:space="preserve"> </w:t>
      </w:r>
      <w:r w:rsidR="00C12188">
        <w:rPr>
          <w:b/>
          <w:i/>
        </w:rPr>
        <w:t>and Workplan</w:t>
      </w:r>
      <w:r w:rsidR="00593B2B">
        <w:rPr>
          <w:b/>
          <w:i/>
        </w:rPr>
        <w:t xml:space="preserve"> (Attachment 3c)</w:t>
      </w:r>
    </w:p>
    <w:p w14:paraId="1E8EB3B7" w14:textId="256F178E" w:rsidR="005A0E27" w:rsidRDefault="00EC2CFF" w:rsidP="00396C6F">
      <w:r>
        <w:t>The extent of the annual progress update will vary based on the activit</w:t>
      </w:r>
      <w:r w:rsidR="001752AF">
        <w:t>i</w:t>
      </w:r>
      <w:r>
        <w:t>es an</w:t>
      </w:r>
      <w:r w:rsidR="00651AEE">
        <w:t>d sub-activities selected</w:t>
      </w:r>
      <w:r>
        <w:t xml:space="preserve"> by each funded program, but in general, funded programs will be </w:t>
      </w:r>
      <w:r w:rsidR="00F67F13">
        <w:t>required to provide</w:t>
      </w:r>
      <w:r w:rsidR="00651AEE">
        <w:t>:</w:t>
      </w:r>
      <w:r w:rsidR="00F67F13">
        <w:t xml:space="preserve"> </w:t>
      </w:r>
      <w:r w:rsidR="005210B2">
        <w:t>summaries of</w:t>
      </w:r>
      <w:r w:rsidR="00F67F13">
        <w:t xml:space="preserve"> implemented activities</w:t>
      </w:r>
      <w:r w:rsidR="005210B2">
        <w:t xml:space="preserve"> and challenges encountered, detailed descriptions of </w:t>
      </w:r>
      <w:r w:rsidR="004F69B4">
        <w:t>sub activities</w:t>
      </w:r>
      <w:r w:rsidR="005210B2">
        <w:t xml:space="preserve"> and their dates of implementation</w:t>
      </w:r>
      <w:r w:rsidR="00F67F13">
        <w:t xml:space="preserve">, </w:t>
      </w:r>
      <w:r w:rsidR="005254B0">
        <w:t xml:space="preserve">success stories, </w:t>
      </w:r>
      <w:r w:rsidR="005210B2">
        <w:t xml:space="preserve">and </w:t>
      </w:r>
      <w:r w:rsidR="00F67F13">
        <w:t>progress</w:t>
      </w:r>
      <w:r w:rsidR="00651AEE">
        <w:t xml:space="preserve"> </w:t>
      </w:r>
      <w:r w:rsidR="005A0E27">
        <w:t>and</w:t>
      </w:r>
      <w:r w:rsidR="00651AEE">
        <w:t xml:space="preserve"> plans</w:t>
      </w:r>
      <w:r w:rsidR="00F67F13">
        <w:t xml:space="preserve"> within ea</w:t>
      </w:r>
      <w:r w:rsidR="00651AEE">
        <w:t xml:space="preserve">ch </w:t>
      </w:r>
      <w:r w:rsidR="004F69B4">
        <w:t>sub activity</w:t>
      </w:r>
      <w:r w:rsidR="00651AEE">
        <w:t xml:space="preserve"> year-over-year. </w:t>
      </w:r>
      <w:r w:rsidR="002D04A3">
        <w:t>The tool used by the jurisdictions will not change</w:t>
      </w:r>
      <w:r w:rsidR="002E2F7F">
        <w:t xml:space="preserve"> or update</w:t>
      </w:r>
      <w:r w:rsidR="002D04A3">
        <w:t>; the jurisdictions will provide updates on their progress</w:t>
      </w:r>
      <w:r w:rsidR="002E2F7F">
        <w:t xml:space="preserve"> via the </w:t>
      </w:r>
      <w:r w:rsidR="008E5B8B">
        <w:t>Partner’s</w:t>
      </w:r>
      <w:r w:rsidR="002E2F7F">
        <w:t xml:space="preserve"> Porta</w:t>
      </w:r>
      <w:r w:rsidR="00313BF7">
        <w:t xml:space="preserve">l (see A.3). </w:t>
      </w:r>
      <w:r w:rsidR="002E2F7F">
        <w:t xml:space="preserve">  </w:t>
      </w:r>
    </w:p>
    <w:p w14:paraId="411C55A6" w14:textId="77777777" w:rsidR="00DE47C0" w:rsidRDefault="00DE47C0" w:rsidP="00AE23E8">
      <w:pPr>
        <w:rPr>
          <w:b/>
          <w:bCs/>
        </w:rPr>
      </w:pPr>
    </w:p>
    <w:p w14:paraId="770EA8DA" w14:textId="6D525298" w:rsidR="00AD038F" w:rsidRDefault="00AD038F" w:rsidP="00A030E6">
      <w:pPr>
        <w:autoSpaceDE w:val="0"/>
        <w:autoSpaceDN w:val="0"/>
        <w:adjustRightInd w:val="0"/>
        <w:rPr>
          <w:b/>
          <w:bCs/>
        </w:rPr>
      </w:pPr>
      <w:r>
        <w:rPr>
          <w:b/>
          <w:i/>
        </w:rPr>
        <w:t xml:space="preserve">4) </w:t>
      </w:r>
      <w:r w:rsidR="00803E96">
        <w:rPr>
          <w:b/>
          <w:i/>
        </w:rPr>
        <w:t xml:space="preserve">Surveillance </w:t>
      </w:r>
      <w:r>
        <w:rPr>
          <w:b/>
          <w:i/>
        </w:rPr>
        <w:t xml:space="preserve">Data Dissemination Plan </w:t>
      </w:r>
      <w:r w:rsidR="00593B2B">
        <w:rPr>
          <w:b/>
          <w:i/>
        </w:rPr>
        <w:t>(Attachment 3d)</w:t>
      </w:r>
    </w:p>
    <w:p w14:paraId="0870B473" w14:textId="22B4E0EE" w:rsidR="009B258D" w:rsidRDefault="00A15664" w:rsidP="00A15664">
      <w:r>
        <w:t>Jurisdictions funded for strategies 1</w:t>
      </w:r>
      <w:r w:rsidR="00187D31">
        <w:t xml:space="preserve"> (</w:t>
      </w:r>
      <w:r w:rsidR="00137754">
        <w:t>emergency department data</w:t>
      </w:r>
      <w:r w:rsidR="00187D31">
        <w:t>)</w:t>
      </w:r>
      <w:r>
        <w:t xml:space="preserve"> and </w:t>
      </w:r>
      <w:r w:rsidR="00513349">
        <w:t xml:space="preserve">2 </w:t>
      </w:r>
      <w:r w:rsidR="00187D31">
        <w:t xml:space="preserve">(mortality </w:t>
      </w:r>
      <w:r w:rsidR="00137754">
        <w:t>data</w:t>
      </w:r>
      <w:r w:rsidR="00187D31">
        <w:t>)</w:t>
      </w:r>
      <w:r>
        <w:t xml:space="preserve"> will complete a </w:t>
      </w:r>
      <w:r w:rsidR="00803E96">
        <w:t xml:space="preserve">surveillance </w:t>
      </w:r>
      <w:r>
        <w:t xml:space="preserve">data dissemination plan at the end of the first year of funding. Funded programs will be required to provide a list of their governmental and non-governmental stakeholders, the types of emergency department and mortality data shared with each stakeholder, and the format of the dissemination product shared (e.g., report, publication, access to a dashboard, etc.). In addition, funded jurisdictions will be asked how their data or dissemination products have been used or will be used for prevention planning or response by the health department and/or stakeholders. </w:t>
      </w:r>
    </w:p>
    <w:p w14:paraId="09BA604E" w14:textId="397BC00A" w:rsidR="00A15664" w:rsidRDefault="00A15664" w:rsidP="009C3BBA">
      <w:pPr>
        <w:rPr>
          <w:highlight w:val="yellow"/>
        </w:rPr>
      </w:pPr>
    </w:p>
    <w:p w14:paraId="7A5DCF02" w14:textId="143F0B95" w:rsidR="00BC4DC4" w:rsidRDefault="00BC4DC4" w:rsidP="00BC4DC4">
      <w:r>
        <w:t xml:space="preserve">A complete </w:t>
      </w:r>
      <w:r w:rsidR="004F69B4">
        <w:t>crosswalk</w:t>
      </w:r>
      <w:r>
        <w:t xml:space="preserve"> of the four </w:t>
      </w:r>
      <w:r w:rsidR="001D21B3">
        <w:t xml:space="preserve">required </w:t>
      </w:r>
      <w:r>
        <w:t xml:space="preserve">reporting </w:t>
      </w:r>
      <w:r w:rsidR="004F69B4">
        <w:t>instruments is</w:t>
      </w:r>
      <w:r>
        <w:t xml:space="preserve"> provided in </w:t>
      </w:r>
      <w:r w:rsidRPr="00FB130C">
        <w:t xml:space="preserve">Attachment 7.  </w:t>
      </w:r>
      <w:r w:rsidR="001D21B3">
        <w:t>The table describes the relation</w:t>
      </w:r>
      <w:r w:rsidR="00D40D53">
        <w:t>ship</w:t>
      </w:r>
      <w:r w:rsidR="001D21B3">
        <w:t xml:space="preserve"> between t</w:t>
      </w:r>
      <w:r>
        <w:t xml:space="preserve">he </w:t>
      </w:r>
      <w:r w:rsidR="00941DA0">
        <w:t>assessment</w:t>
      </w:r>
      <w:r>
        <w:t xml:space="preserve"> questions </w:t>
      </w:r>
      <w:r w:rsidR="001D21B3">
        <w:t xml:space="preserve">and the </w:t>
      </w:r>
      <w:r w:rsidR="00E90A17">
        <w:t>two</w:t>
      </w:r>
      <w:r w:rsidR="001D21B3">
        <w:t xml:space="preserve"> require</w:t>
      </w:r>
      <w:r w:rsidR="002A1D00">
        <w:t>d</w:t>
      </w:r>
      <w:r w:rsidR="001D21B3">
        <w:t xml:space="preserve"> components and 10 strategies of the </w:t>
      </w:r>
      <w:r w:rsidR="00941DA0">
        <w:rPr>
          <w:color w:val="000000" w:themeColor="text1"/>
        </w:rPr>
        <w:t xml:space="preserve">Overdose Data to Action </w:t>
      </w:r>
      <w:r w:rsidR="001D21B3">
        <w:rPr>
          <w:color w:val="000000" w:themeColor="text1"/>
        </w:rPr>
        <w:t xml:space="preserve">funded </w:t>
      </w:r>
      <w:r>
        <w:t>activities</w:t>
      </w:r>
      <w:r w:rsidR="001D21B3">
        <w:t xml:space="preserve">. </w:t>
      </w:r>
    </w:p>
    <w:p w14:paraId="5B830936" w14:textId="77777777" w:rsidR="00BC4DC4" w:rsidRDefault="00BC4DC4" w:rsidP="009C3BBA">
      <w:pPr>
        <w:rPr>
          <w:highlight w:val="yellow"/>
        </w:rPr>
      </w:pPr>
    </w:p>
    <w:p w14:paraId="4E0D3952" w14:textId="6D72BA5F" w:rsidR="00CD22A4" w:rsidRDefault="00CD22A4" w:rsidP="00CD22A4">
      <w:pPr>
        <w:rPr>
          <w:color w:val="000000" w:themeColor="text1"/>
        </w:rPr>
      </w:pPr>
      <w:r>
        <w:t xml:space="preserve">Overall, </w:t>
      </w:r>
      <w:r w:rsidR="00AF6943">
        <w:t xml:space="preserve">the </w:t>
      </w:r>
      <w:r>
        <w:t xml:space="preserve">collection of these data is </w:t>
      </w:r>
      <w:r w:rsidRPr="00A93EB5">
        <w:rPr>
          <w:color w:val="000000" w:themeColor="text1"/>
        </w:rPr>
        <w:t>crucial fo</w:t>
      </w:r>
      <w:r>
        <w:rPr>
          <w:color w:val="000000" w:themeColor="text1"/>
        </w:rPr>
        <w:t>r</w:t>
      </w:r>
      <w:r w:rsidRPr="00352701">
        <w:rPr>
          <w:color w:val="000000" w:themeColor="text1"/>
        </w:rPr>
        <w:t xml:space="preserve"> </w:t>
      </w:r>
      <w:r w:rsidRPr="001D037C">
        <w:rPr>
          <w:color w:val="000000" w:themeColor="text1"/>
        </w:rPr>
        <w:t xml:space="preserve">program </w:t>
      </w:r>
      <w:r w:rsidR="00E90A17">
        <w:rPr>
          <w:color w:val="000000" w:themeColor="text1"/>
        </w:rPr>
        <w:t>monitoring, budget</w:t>
      </w:r>
      <w:r>
        <w:rPr>
          <w:color w:val="000000" w:themeColor="text1"/>
        </w:rPr>
        <w:t xml:space="preserve"> tracking, </w:t>
      </w:r>
      <w:r w:rsidRPr="00B94E5A">
        <w:rPr>
          <w:color w:val="000000" w:themeColor="text1"/>
        </w:rPr>
        <w:t>real-time CDC-recipient communications</w:t>
      </w:r>
      <w:r>
        <w:rPr>
          <w:color w:val="000000" w:themeColor="text1"/>
        </w:rPr>
        <w:t xml:space="preserve">, </w:t>
      </w:r>
      <w:r w:rsidRPr="00B94E5A">
        <w:rPr>
          <w:color w:val="000000" w:themeColor="text1"/>
        </w:rPr>
        <w:t>technical assistance</w:t>
      </w:r>
      <w:r w:rsidR="009B0009">
        <w:rPr>
          <w:color w:val="000000" w:themeColor="text1"/>
        </w:rPr>
        <w:t>,</w:t>
      </w:r>
      <w:r w:rsidRPr="00B94E5A">
        <w:rPr>
          <w:color w:val="000000" w:themeColor="text1"/>
        </w:rPr>
        <w:t xml:space="preserve"> and guidance documents produced by CDC to </w:t>
      </w:r>
      <w:r>
        <w:rPr>
          <w:color w:val="000000" w:themeColor="text1"/>
        </w:rPr>
        <w:t>support</w:t>
      </w:r>
      <w:r w:rsidRPr="00B94E5A">
        <w:rPr>
          <w:color w:val="000000" w:themeColor="text1"/>
        </w:rPr>
        <w:t xml:space="preserve"> program implement</w:t>
      </w:r>
      <w:r>
        <w:rPr>
          <w:color w:val="000000" w:themeColor="text1"/>
        </w:rPr>
        <w:t>ation</w:t>
      </w:r>
      <w:r w:rsidRPr="00B94E5A">
        <w:rPr>
          <w:color w:val="000000" w:themeColor="text1"/>
        </w:rPr>
        <w:t xml:space="preserve">.  </w:t>
      </w:r>
      <w:r>
        <w:rPr>
          <w:color w:val="000000" w:themeColor="text1"/>
        </w:rPr>
        <w:t xml:space="preserve">These data will </w:t>
      </w:r>
      <w:r w:rsidRPr="00A93EB5">
        <w:t xml:space="preserve">also allow CDC to identify and disseminate information about successful </w:t>
      </w:r>
      <w:r w:rsidR="00E90A17" w:rsidRPr="00A93EB5">
        <w:t>implement</w:t>
      </w:r>
      <w:r w:rsidR="00E90A17">
        <w:t>ation</w:t>
      </w:r>
      <w:r w:rsidRPr="00A93EB5">
        <w:t xml:space="preserve"> </w:t>
      </w:r>
      <w:r w:rsidR="0006002C">
        <w:t xml:space="preserve">and lessons learned </w:t>
      </w:r>
      <w:r w:rsidRPr="00A93EB5">
        <w:t xml:space="preserve">by </w:t>
      </w:r>
      <w:r>
        <w:t xml:space="preserve">funded jurisdictions, </w:t>
      </w:r>
      <w:r w:rsidRPr="00A93EB5">
        <w:t>functions</w:t>
      </w:r>
      <w:r>
        <w:t xml:space="preserve"> </w:t>
      </w:r>
      <w:r w:rsidR="00E90A17">
        <w:t>that</w:t>
      </w:r>
      <w:r w:rsidRPr="00A93EB5">
        <w:t xml:space="preserve"> are central to NCIPC’s broad mission of protecting Americans fro</w:t>
      </w:r>
      <w:r>
        <w:t xml:space="preserve">m violence and injury threats. </w:t>
      </w:r>
      <w:r w:rsidRPr="00B94E5A">
        <w:rPr>
          <w:color w:val="000000" w:themeColor="text1"/>
        </w:rPr>
        <w:t>It will also provide CDC with the capacity to respond in a timely manner to requests for information about the program from the Department of Health and Human Services (HHS), the White House, Congress, and other sources.</w:t>
      </w:r>
    </w:p>
    <w:p w14:paraId="27681113" w14:textId="18F13081" w:rsidR="00BC4DC4" w:rsidRDefault="00BC4DC4" w:rsidP="00CD22A4">
      <w:pPr>
        <w:rPr>
          <w:color w:val="000000" w:themeColor="text1"/>
        </w:rPr>
      </w:pPr>
    </w:p>
    <w:p w14:paraId="101E325B" w14:textId="77777777" w:rsidR="007616C2" w:rsidRDefault="007616C2" w:rsidP="00A030E6">
      <w:pPr>
        <w:autoSpaceDE w:val="0"/>
        <w:autoSpaceDN w:val="0"/>
        <w:adjustRightInd w:val="0"/>
        <w:rPr>
          <w:b/>
          <w:bCs/>
        </w:rPr>
      </w:pPr>
    </w:p>
    <w:p w14:paraId="2A9539B2" w14:textId="2B0A21C8" w:rsidR="005E3390" w:rsidRDefault="005E3390" w:rsidP="005E3390">
      <w:pPr>
        <w:autoSpaceDE w:val="0"/>
        <w:autoSpaceDN w:val="0"/>
        <w:rPr>
          <w:b/>
          <w:bCs/>
        </w:rPr>
      </w:pPr>
      <w:r>
        <w:rPr>
          <w:b/>
          <w:bCs/>
        </w:rPr>
        <w:t>A.3.        Use of Improved Information Technology and Burden Reduction</w:t>
      </w:r>
    </w:p>
    <w:p w14:paraId="3EBEC2E8" w14:textId="77777777" w:rsidR="005D6567" w:rsidRDefault="005D6567" w:rsidP="005E3390">
      <w:pPr>
        <w:autoSpaceDE w:val="0"/>
        <w:autoSpaceDN w:val="0"/>
        <w:rPr>
          <w:b/>
          <w:bCs/>
          <w:sz w:val="22"/>
          <w:szCs w:val="22"/>
        </w:rPr>
      </w:pPr>
    </w:p>
    <w:p w14:paraId="39D33835" w14:textId="31E75CF5" w:rsidR="005E3390" w:rsidRDefault="005E3390" w:rsidP="005E3390">
      <w:r>
        <w:t>The CDC </w:t>
      </w:r>
      <w:r>
        <w:rPr>
          <w:color w:val="000000"/>
        </w:rPr>
        <w:t xml:space="preserve">developed the aforementioned </w:t>
      </w:r>
      <w:r>
        <w:t>Partner</w:t>
      </w:r>
      <w:r w:rsidR="00E7346D">
        <w:t>’</w:t>
      </w:r>
      <w:r>
        <w:t xml:space="preserve">s Portal </w:t>
      </w:r>
      <w:r>
        <w:rPr>
          <w:color w:val="000000"/>
        </w:rPr>
        <w:t xml:space="preserve">as well as Word templates to collect the data outlined in this ICR. </w:t>
      </w:r>
      <w:r>
        <w:t xml:space="preserve">The data entry interface of the </w:t>
      </w:r>
      <w:r w:rsidR="008E5B8B">
        <w:t>Partner’s</w:t>
      </w:r>
      <w:r>
        <w:t xml:space="preserve"> Portal was developed using NCIPC-owned, Microsoft Azure, and Platform as a Service (PaaS) cloud solution approved for use by CDC programs. The use of the </w:t>
      </w:r>
      <w:r w:rsidR="008E5B8B">
        <w:t>Partner’s</w:t>
      </w:r>
      <w:r>
        <w:t xml:space="preserve"> Portal provides several advantages: </w:t>
      </w:r>
    </w:p>
    <w:p w14:paraId="77201B39" w14:textId="77777777" w:rsidR="005E3390" w:rsidRDefault="005E3390" w:rsidP="005E3390">
      <w:pPr>
        <w:pStyle w:val="ListParagraph"/>
        <w:numPr>
          <w:ilvl w:val="0"/>
          <w:numId w:val="46"/>
        </w:numPr>
      </w:pPr>
      <w:r>
        <w:t>This user-friendly online interface requires little training and will be easy and intuitive for recipients to use to enter data for the information collection.</w:t>
      </w:r>
    </w:p>
    <w:p w14:paraId="25C14EF9" w14:textId="77777777" w:rsidR="005E3390" w:rsidRDefault="005E3390" w:rsidP="005E3390">
      <w:pPr>
        <w:pStyle w:val="ListParagraph"/>
        <w:numPr>
          <w:ilvl w:val="0"/>
          <w:numId w:val="46"/>
        </w:numPr>
      </w:pPr>
      <w:r>
        <w:t xml:space="preserve">Standard data elements, definitions, and specifications at all levels improve the quality and comparability of information that recipients submit, and enhance the consistency of reports to examine information across recipients. </w:t>
      </w:r>
    </w:p>
    <w:p w14:paraId="03FF6447" w14:textId="44059762" w:rsidR="005E3390" w:rsidRDefault="005E3390" w:rsidP="005E3390">
      <w:pPr>
        <w:pStyle w:val="ListParagraph"/>
        <w:numPr>
          <w:ilvl w:val="0"/>
          <w:numId w:val="46"/>
        </w:numPr>
      </w:pPr>
      <w:r>
        <w:t xml:space="preserve">The structure of the data collection in </w:t>
      </w:r>
      <w:r w:rsidR="008E5B8B">
        <w:t>Partner’s</w:t>
      </w:r>
      <w:r>
        <w:t xml:space="preserve"> Portal is flexible such that different recipients are still able to capture and report information relevant to their program context and structure. </w:t>
      </w:r>
    </w:p>
    <w:p w14:paraId="77B6A5A5" w14:textId="77777777" w:rsidR="005E3390" w:rsidRDefault="005E3390" w:rsidP="005E3390">
      <w:pPr>
        <w:pStyle w:val="ListParagraph"/>
        <w:numPr>
          <w:ilvl w:val="0"/>
          <w:numId w:val="46"/>
        </w:numPr>
      </w:pPr>
      <w:r>
        <w:t xml:space="preserve">The ability to carry information and populate from one reporting period to the next increases the efficiency of data entry, reduces errors and redundancies, and therefore increases the quality and reliability of information that recipients submit each year. </w:t>
      </w:r>
    </w:p>
    <w:p w14:paraId="34FDB170" w14:textId="77777777" w:rsidR="005E3390" w:rsidRDefault="005E3390" w:rsidP="005E3390"/>
    <w:p w14:paraId="038CF154" w14:textId="258D5CE0" w:rsidR="005E3390" w:rsidRDefault="005E3390" w:rsidP="005E3390">
      <w:r>
        <w:t xml:space="preserve">Another advantage of the </w:t>
      </w:r>
      <w:r w:rsidR="008E5B8B">
        <w:t>Partner’s</w:t>
      </w:r>
      <w:r>
        <w:t xml:space="preserve"> Portal is that recipients can generate reports directly from the system, which allows recipients to fulfill their annual reporting obligations efficiently by submitting necessary information for both progress reports and continuation applications into the system once. This ability to save and update pertinent information from one reporting period to the next, will reduce the administrative burden of the annual reporting on recipients, and the review process on both recipients and CDC staff. Respondents will only need to modify or update the information, report data on measures, provide updates, or add new items as applicable.</w:t>
      </w:r>
    </w:p>
    <w:p w14:paraId="7ED64F8A" w14:textId="5B8C1A71" w:rsidR="003B5A51" w:rsidRDefault="005E3390" w:rsidP="003B5A51">
      <w:r w:rsidRPr="00A93EB5" w:rsidDel="005E3390">
        <w:t xml:space="preserve"> </w:t>
      </w:r>
    </w:p>
    <w:p w14:paraId="6CC9AA85" w14:textId="55A195A2" w:rsidR="004D7A11" w:rsidRDefault="004D7A11" w:rsidP="004D7A11">
      <w:pPr>
        <w:tabs>
          <w:tab w:val="num" w:pos="720"/>
        </w:tabs>
      </w:pPr>
      <w:r w:rsidRPr="00A93EB5">
        <w:t>The</w:t>
      </w:r>
      <w:r>
        <w:t>se</w:t>
      </w:r>
      <w:r w:rsidRPr="00A93EB5">
        <w:t xml:space="preserve"> </w:t>
      </w:r>
      <w:r w:rsidRPr="00121F1C">
        <w:t>tools improve information</w:t>
      </w:r>
      <w:r w:rsidRPr="00A93EB5">
        <w:t xml:space="preserve"> quality by minimizing errors and redundancy.  Having</w:t>
      </w:r>
      <w:r w:rsidR="00FB591D">
        <w:t xml:space="preserve"> </w:t>
      </w:r>
      <w:r w:rsidRPr="00A93EB5">
        <w:t>information co</w:t>
      </w:r>
      <w:r w:rsidR="00D73CB9">
        <w:t>nsistently collected from all funded jurisdictions</w:t>
      </w:r>
      <w:r w:rsidRPr="00A93EB5">
        <w:t xml:space="preserve"> in the same manner</w:t>
      </w:r>
      <w:r w:rsidR="00D73CB9">
        <w:t xml:space="preserve"> year-over-year</w:t>
      </w:r>
      <w:r w:rsidRPr="00A93EB5">
        <w:t xml:space="preserve"> will reduce the level of burden attributable to redundancy and reduce the workload to enter and maintain the data.  </w:t>
      </w:r>
      <w:r w:rsidR="00FB591D">
        <w:t>Additionally, juri</w:t>
      </w:r>
      <w:r w:rsidR="00245A70">
        <w:t>s</w:t>
      </w:r>
      <w:r w:rsidR="00FB591D">
        <w:t>di</w:t>
      </w:r>
      <w:r w:rsidR="00245A70">
        <w:t>c</w:t>
      </w:r>
      <w:r w:rsidR="00FB591D">
        <w:t>tions w</w:t>
      </w:r>
      <w:r w:rsidRPr="00A93EB5">
        <w:t xml:space="preserve">ill have data self-populated from one year to another, which minimizes data re-entry, burden, and potential errors. </w:t>
      </w:r>
      <w:r w:rsidR="00422CEF">
        <w:t xml:space="preserve">Finally, by providing data collection tools, which all will be using, jurisdictions will experience less burden </w:t>
      </w:r>
      <w:r w:rsidR="00E90A17">
        <w:t>because</w:t>
      </w:r>
      <w:r w:rsidR="00422CEF">
        <w:t xml:space="preserve"> each location will not need to figure out how to collect data on their own. </w:t>
      </w:r>
    </w:p>
    <w:p w14:paraId="32F656AC" w14:textId="77777777" w:rsidR="00513349" w:rsidRPr="00422CEF" w:rsidRDefault="00513349" w:rsidP="004D7A11">
      <w:pPr>
        <w:tabs>
          <w:tab w:val="num" w:pos="720"/>
        </w:tabs>
      </w:pPr>
    </w:p>
    <w:p w14:paraId="0F9FA728" w14:textId="115A6F15" w:rsidR="004D7A11" w:rsidRPr="00A93EB5" w:rsidRDefault="004D7A11" w:rsidP="004D7A11">
      <w:r w:rsidRPr="00A93EB5">
        <w:t xml:space="preserve">Further, standardization will enhance the consistency of </w:t>
      </w:r>
      <w:r w:rsidR="004B5883">
        <w:t>information collected</w:t>
      </w:r>
      <w:r w:rsidRPr="00A93EB5">
        <w:t xml:space="preserve">, </w:t>
      </w:r>
      <w:r w:rsidR="004B5883">
        <w:t xml:space="preserve">thereby </w:t>
      </w:r>
      <w:r w:rsidRPr="00A93EB5">
        <w:t>enab</w:t>
      </w:r>
      <w:r w:rsidR="004B5883">
        <w:t>ling</w:t>
      </w:r>
      <w:r w:rsidRPr="00A93EB5">
        <w:t xml:space="preserve"> examination of cross-program strategies</w:t>
      </w:r>
      <w:r>
        <w:t>.</w:t>
      </w:r>
      <w:r w:rsidRPr="00A93EB5">
        <w:t xml:space="preserve"> </w:t>
      </w:r>
      <w:r w:rsidR="00BC4DC4">
        <w:t>T</w:t>
      </w:r>
      <w:r w:rsidRPr="00A93EB5">
        <w:t xml:space="preserve">he report generation capabilities of the </w:t>
      </w:r>
      <w:r w:rsidR="00D82C20">
        <w:t>web-based tools used</w:t>
      </w:r>
      <w:r w:rsidR="00D82C20" w:rsidRPr="00A93EB5">
        <w:t xml:space="preserve"> </w:t>
      </w:r>
      <w:r w:rsidRPr="00A93EB5">
        <w:t xml:space="preserve">will reduce the respondent burden associated with paper-based reports.  Without the reporting tools and the integrated approach to information collection and reporting, </w:t>
      </w:r>
      <w:r w:rsidR="008B2DDC">
        <w:t>funded jurisdictions</w:t>
      </w:r>
      <w:r w:rsidRPr="00A93EB5">
        <w:t xml:space="preserve"> and CDC would need to continue to use time consuming, </w:t>
      </w:r>
      <w:r w:rsidR="00E90A17" w:rsidRPr="00A93EB5">
        <w:t>labor-intensive</w:t>
      </w:r>
      <w:r w:rsidRPr="00A93EB5">
        <w:t xml:space="preserve"> procedures for information collection and reporting.</w:t>
      </w:r>
    </w:p>
    <w:p w14:paraId="7ADC604D" w14:textId="77777777" w:rsidR="00866BE9" w:rsidRPr="00691454" w:rsidRDefault="00866BE9" w:rsidP="00A030E6">
      <w:pPr>
        <w:autoSpaceDE w:val="0"/>
        <w:autoSpaceDN w:val="0"/>
        <w:adjustRightInd w:val="0"/>
      </w:pPr>
    </w:p>
    <w:p w14:paraId="736761B5" w14:textId="2A602A05" w:rsidR="00A030E6" w:rsidRPr="00691454" w:rsidRDefault="00A030E6" w:rsidP="00A030E6">
      <w:pPr>
        <w:autoSpaceDE w:val="0"/>
        <w:autoSpaceDN w:val="0"/>
        <w:adjustRightInd w:val="0"/>
        <w:rPr>
          <w:b/>
          <w:bCs/>
        </w:rPr>
      </w:pPr>
      <w:r w:rsidRPr="00691454">
        <w:rPr>
          <w:b/>
          <w:bCs/>
        </w:rPr>
        <w:t xml:space="preserve">A.4. </w:t>
      </w:r>
      <w:r w:rsidRPr="00691454">
        <w:rPr>
          <w:b/>
          <w:bCs/>
        </w:rPr>
        <w:tab/>
        <w:t>Efforts to Identify Duplication and Use of Similar Information</w:t>
      </w:r>
    </w:p>
    <w:p w14:paraId="601C40C8" w14:textId="77777777" w:rsidR="00A030E6" w:rsidRDefault="00A030E6" w:rsidP="00A030E6">
      <w:pPr>
        <w:autoSpaceDE w:val="0"/>
        <w:autoSpaceDN w:val="0"/>
        <w:adjustRightInd w:val="0"/>
      </w:pPr>
    </w:p>
    <w:p w14:paraId="5E4F15E0" w14:textId="188126D7" w:rsidR="006E682C" w:rsidRDefault="00051AAA" w:rsidP="004D7A11">
      <w:pPr>
        <w:rPr>
          <w:color w:val="000000" w:themeColor="text1"/>
        </w:rPr>
      </w:pPr>
      <w:r w:rsidRPr="00A93EB5">
        <w:t>The inf</w:t>
      </w:r>
      <w:r>
        <w:t>ormation collected from grantees</w:t>
      </w:r>
      <w:r w:rsidRPr="00A93EB5">
        <w:t xml:space="preserve"> is not available from other sources.</w:t>
      </w:r>
      <w:r>
        <w:t xml:space="preserve"> The information is specific to the </w:t>
      </w:r>
      <w:r>
        <w:rPr>
          <w:color w:val="000000" w:themeColor="text1"/>
        </w:rPr>
        <w:t>Overdose Data to Action (</w:t>
      </w:r>
      <w:r w:rsidRPr="00CD5997">
        <w:rPr>
          <w:color w:val="000000" w:themeColor="text1"/>
        </w:rPr>
        <w:t>CDC-</w:t>
      </w:r>
      <w:r w:rsidRPr="00CD5997">
        <w:rPr>
          <w:rStyle w:val="search-custom1"/>
        </w:rPr>
        <w:t>RFA-CE19-1904</w:t>
      </w:r>
      <w:r w:rsidR="004C4BE0">
        <w:rPr>
          <w:rStyle w:val="search-custom1"/>
        </w:rPr>
        <w:t>, “OD2A”</w:t>
      </w:r>
      <w:r w:rsidRPr="00CD5997">
        <w:rPr>
          <w:color w:val="000000" w:themeColor="text1"/>
        </w:rPr>
        <w:t>)</w:t>
      </w:r>
      <w:r>
        <w:rPr>
          <w:color w:val="000000" w:themeColor="text1"/>
        </w:rPr>
        <w:t xml:space="preserve"> funding opportunity</w:t>
      </w:r>
      <w:r>
        <w:t xml:space="preserve"> and </w:t>
      </w:r>
      <w:r w:rsidRPr="00A93EB5">
        <w:t>collection of this information is part of a federal reporting requiremen</w:t>
      </w:r>
      <w:r>
        <w:t>t for funds received by grantees</w:t>
      </w:r>
      <w:r w:rsidRPr="00A93EB5">
        <w:t xml:space="preserve">. </w:t>
      </w:r>
      <w:r w:rsidR="004D7A11" w:rsidRPr="00A93EB5">
        <w:t>The tools will consolidate information necessary for both continuation applications and progress reports.</w:t>
      </w:r>
      <w:r w:rsidR="004C4BE0">
        <w:t xml:space="preserve"> </w:t>
      </w:r>
      <w:r w:rsidR="004D7A11" w:rsidRPr="00A93EB5">
        <w:t xml:space="preserve"> </w:t>
      </w:r>
      <w:r w:rsidR="004C4BE0" w:rsidRPr="00F42FFF">
        <w:rPr>
          <w:color w:val="000000" w:themeColor="text1"/>
        </w:rPr>
        <w:t xml:space="preserve">The work plans and progress reports </w:t>
      </w:r>
      <w:r w:rsidR="00F42FFF">
        <w:rPr>
          <w:color w:val="000000" w:themeColor="text1"/>
        </w:rPr>
        <w:t xml:space="preserve">provide </w:t>
      </w:r>
      <w:r w:rsidR="00177C3C">
        <w:rPr>
          <w:color w:val="000000" w:themeColor="text1"/>
        </w:rPr>
        <w:t xml:space="preserve">descriptive </w:t>
      </w:r>
      <w:r w:rsidR="00F42FFF">
        <w:rPr>
          <w:color w:val="000000" w:themeColor="text1"/>
        </w:rPr>
        <w:t>summaries of</w:t>
      </w:r>
      <w:r w:rsidR="00E65792" w:rsidRPr="00F42FFF">
        <w:rPr>
          <w:color w:val="000000" w:themeColor="text1"/>
        </w:rPr>
        <w:t xml:space="preserve"> awardees’ capacity and activities</w:t>
      </w:r>
      <w:r w:rsidR="00F42FFF" w:rsidRPr="00F42FFF">
        <w:rPr>
          <w:color w:val="000000" w:themeColor="text1"/>
        </w:rPr>
        <w:t xml:space="preserve"> aimed at</w:t>
      </w:r>
      <w:r w:rsidR="00E65792" w:rsidRPr="00F42FFF">
        <w:rPr>
          <w:color w:val="000000" w:themeColor="text1"/>
        </w:rPr>
        <w:t xml:space="preserve"> mitigating the overdose epidemic, including surveillance (strategies 1 and 2 of the OD2A surveillance component). </w:t>
      </w:r>
      <w:r w:rsidR="00177C3C">
        <w:rPr>
          <w:color w:val="000000" w:themeColor="text1"/>
        </w:rPr>
        <w:t xml:space="preserve"> </w:t>
      </w:r>
      <w:r w:rsidR="00395B19">
        <w:rPr>
          <w:color w:val="000000" w:themeColor="text1"/>
        </w:rPr>
        <w:t xml:space="preserve">The epidemiologic </w:t>
      </w:r>
      <w:r w:rsidR="00F42FFF" w:rsidRPr="00F42FFF">
        <w:rPr>
          <w:color w:val="000000" w:themeColor="text1"/>
        </w:rPr>
        <w:t xml:space="preserve">data </w:t>
      </w:r>
      <w:r w:rsidR="00395B19">
        <w:rPr>
          <w:color w:val="000000" w:themeColor="text1"/>
        </w:rPr>
        <w:t>per se are</w:t>
      </w:r>
      <w:r w:rsidR="00F42FFF" w:rsidRPr="00F42FFF">
        <w:rPr>
          <w:color w:val="000000" w:themeColor="text1"/>
        </w:rPr>
        <w:t xml:space="preserve"> reported to CDC under two separate OMB control numbers.</w:t>
      </w:r>
    </w:p>
    <w:p w14:paraId="33608BAA" w14:textId="57B9D7ED" w:rsidR="006E682C" w:rsidRDefault="00F42FFF" w:rsidP="006E682C">
      <w:pPr>
        <w:pStyle w:val="ListParagraph"/>
        <w:numPr>
          <w:ilvl w:val="0"/>
          <w:numId w:val="47"/>
        </w:numPr>
      </w:pPr>
      <w:r w:rsidRPr="006E682C">
        <w:rPr>
          <w:color w:val="000000" w:themeColor="text1"/>
        </w:rPr>
        <w:t>Information about overdose-related emergency department admissions (OD2A surveillance</w:t>
      </w:r>
      <w:r w:rsidR="00606CEE">
        <w:rPr>
          <w:color w:val="000000" w:themeColor="text1"/>
        </w:rPr>
        <w:t xml:space="preserve"> component,</w:t>
      </w:r>
      <w:r w:rsidRPr="006E682C">
        <w:rPr>
          <w:color w:val="000000" w:themeColor="text1"/>
        </w:rPr>
        <w:t xml:space="preserve"> strategy #1) is reported to CDC under OMB No. 0920-1268</w:t>
      </w:r>
      <w:r w:rsidR="003D66AC">
        <w:rPr>
          <w:color w:val="000000" w:themeColor="text1"/>
        </w:rPr>
        <w:t xml:space="preserve"> (exp. 8/31/2022)</w:t>
      </w:r>
      <w:r w:rsidRPr="006E682C">
        <w:rPr>
          <w:color w:val="000000" w:themeColor="text1"/>
        </w:rPr>
        <w:t>,</w:t>
      </w:r>
      <w:r w:rsidRPr="006E682C">
        <w:t xml:space="preserve"> Drug Overdose Surveillance and Epidemiology (DOSE).</w:t>
      </w:r>
      <w:r w:rsidR="006E682C" w:rsidRPr="006E682C">
        <w:t xml:space="preserve"> </w:t>
      </w:r>
      <w:r w:rsidR="006E682C">
        <w:t>This information collection allows CDC and participating jurisdictions to r</w:t>
      </w:r>
      <w:r w:rsidR="006E682C" w:rsidRPr="00F42FFF">
        <w:t xml:space="preserve">apidly identify outbreaks and provide situational awareness of changes in emergency department (ED) visits involving suspected drug, opioid, heroin and stimulant overdoses at the local, state, and </w:t>
      </w:r>
      <w:r w:rsidR="006E682C" w:rsidRPr="006E682C">
        <w:t>regional level</w:t>
      </w:r>
      <w:r w:rsidR="006E682C">
        <w:t>.</w:t>
      </w:r>
    </w:p>
    <w:p w14:paraId="35AC39CA" w14:textId="13E5E997" w:rsidR="0014480D" w:rsidRPr="006E682C" w:rsidRDefault="00F42FFF" w:rsidP="006E682C">
      <w:pPr>
        <w:pStyle w:val="ListParagraph"/>
        <w:numPr>
          <w:ilvl w:val="0"/>
          <w:numId w:val="47"/>
        </w:numPr>
      </w:pPr>
      <w:r w:rsidRPr="006E682C">
        <w:t xml:space="preserve">Information about overdose-related </w:t>
      </w:r>
      <w:r w:rsidR="00395B19">
        <w:t>mortality</w:t>
      </w:r>
      <w:r w:rsidRPr="006E682C">
        <w:t xml:space="preserve"> </w:t>
      </w:r>
      <w:r w:rsidR="006E682C">
        <w:t xml:space="preserve">(OD2A surveillance </w:t>
      </w:r>
      <w:r w:rsidR="00606CEE">
        <w:t xml:space="preserve">component, </w:t>
      </w:r>
      <w:r w:rsidR="006E682C">
        <w:t xml:space="preserve">strategy #2) </w:t>
      </w:r>
      <w:r w:rsidRPr="006E682C">
        <w:t>is reported to CDC under OMB No. 0920-1128</w:t>
      </w:r>
      <w:r w:rsidR="003D66AC">
        <w:t xml:space="preserve"> (exp. 10/31/2020)</w:t>
      </w:r>
      <w:r w:rsidRPr="006E682C">
        <w:t>, the State Unintentional Drug Overdose Reporting System (SUDORS)</w:t>
      </w:r>
      <w:r w:rsidR="006E682C">
        <w:t>. This information collection allows CDC and participating jurisdictions to detect s</w:t>
      </w:r>
      <w:r w:rsidR="006E682C" w:rsidRPr="000E6234">
        <w:t xml:space="preserve">tate and local community changes in </w:t>
      </w:r>
      <w:r w:rsidR="006E682C">
        <w:t>unintentional and undetermined intent drug-related</w:t>
      </w:r>
      <w:r w:rsidR="006E682C" w:rsidRPr="000E6234">
        <w:t xml:space="preserve"> </w:t>
      </w:r>
      <w:r w:rsidR="006E682C">
        <w:t xml:space="preserve">overdose </w:t>
      </w:r>
      <w:r w:rsidR="00395B19">
        <w:t>deaths</w:t>
      </w:r>
      <w:r w:rsidR="00242EC7">
        <w:t>. It also collects</w:t>
      </w:r>
      <w:r w:rsidR="006E682C">
        <w:t xml:space="preserve"> information about</w:t>
      </w:r>
      <w:r w:rsidR="006E682C" w:rsidRPr="000E6234">
        <w:t xml:space="preserve"> risk factors for fatal </w:t>
      </w:r>
      <w:r w:rsidR="006E682C">
        <w:t xml:space="preserve">drug </w:t>
      </w:r>
      <w:r w:rsidR="006E682C" w:rsidRPr="000E6234">
        <w:t xml:space="preserve">overdose </w:t>
      </w:r>
      <w:r w:rsidR="006E682C">
        <w:t xml:space="preserve">deaths </w:t>
      </w:r>
      <w:r w:rsidR="006E682C" w:rsidRPr="000E6234">
        <w:t>that can inform the selection and targeting of interventions</w:t>
      </w:r>
      <w:r w:rsidR="006E682C">
        <w:t>.</w:t>
      </w:r>
    </w:p>
    <w:p w14:paraId="31FABCA1" w14:textId="77777777" w:rsidR="0014480D" w:rsidRDefault="0014480D" w:rsidP="004D7A11"/>
    <w:p w14:paraId="0F7A120A" w14:textId="698B3C91" w:rsidR="004D7A11" w:rsidRDefault="004D7A11" w:rsidP="004D7A11">
      <w:r w:rsidRPr="00F30A50">
        <w:t xml:space="preserve">As one of CDC’s primary </w:t>
      </w:r>
      <w:r w:rsidR="000113A7">
        <w:t>overdose</w:t>
      </w:r>
      <w:r w:rsidRPr="00F30A50">
        <w:t xml:space="preserve"> prevention initiatives, </w:t>
      </w:r>
      <w:r w:rsidR="000113A7">
        <w:t xml:space="preserve">Overdose Data to Action </w:t>
      </w:r>
      <w:r w:rsidRPr="00F30A50">
        <w:t xml:space="preserve">occupies a unique niche within the larger scope of Health and Human Services’ (HHS) opioid priority initiative.  The Substance Abuse and Mental Health Services Administration (SAMHSA) is also engaged in </w:t>
      </w:r>
      <w:r w:rsidR="005F25DE">
        <w:t xml:space="preserve">the </w:t>
      </w:r>
      <w:r w:rsidRPr="00F30A50">
        <w:t xml:space="preserve">opioid overdose </w:t>
      </w:r>
      <w:r w:rsidR="005F25DE">
        <w:t>space</w:t>
      </w:r>
      <w:r w:rsidRPr="00F30A50">
        <w:t xml:space="preserve">, but their </w:t>
      </w:r>
      <w:r w:rsidR="00624125">
        <w:t>f</w:t>
      </w:r>
      <w:r w:rsidR="005F25DE">
        <w:t xml:space="preserve">ocus is more focused </w:t>
      </w:r>
      <w:r w:rsidR="00624125">
        <w:t>on treatment (i.e., increasing access to treatment, reducing unmet treatment need, and reducing opioid overdose related deaths through the provision of prevention, treatment, and recovery activities for opioid use disorder)</w:t>
      </w:r>
      <w:r w:rsidRPr="00F30A50">
        <w:t xml:space="preserve">.  As such, </w:t>
      </w:r>
      <w:r w:rsidR="004C4BE0">
        <w:t>SAMHSA-funded</w:t>
      </w:r>
      <w:r w:rsidRPr="00F30A50">
        <w:t xml:space="preserve"> efforts are complementary </w:t>
      </w:r>
      <w:r w:rsidR="004C4BE0">
        <w:t xml:space="preserve">to CDC’s OD2A cooperative agreement </w:t>
      </w:r>
      <w:r w:rsidRPr="00F30A50">
        <w:t xml:space="preserve">rather than redundant, and the data/information </w:t>
      </w:r>
      <w:r w:rsidR="004C4BE0">
        <w:t>SAMHSA</w:t>
      </w:r>
      <w:r w:rsidRPr="00F30A50">
        <w:t xml:space="preserve"> collect</w:t>
      </w:r>
      <w:r w:rsidR="004C4BE0">
        <w:t>s</w:t>
      </w:r>
      <w:r w:rsidRPr="00F30A50">
        <w:t xml:space="preserve"> are specific to </w:t>
      </w:r>
      <w:r w:rsidR="00624125">
        <w:t>their funding opportunities</w:t>
      </w:r>
      <w:r w:rsidRPr="00F30A50">
        <w:t>.</w:t>
      </w:r>
    </w:p>
    <w:p w14:paraId="5912C32D" w14:textId="77777777" w:rsidR="00A030E6" w:rsidRDefault="00A030E6" w:rsidP="00A030E6">
      <w:pPr>
        <w:autoSpaceDE w:val="0"/>
        <w:autoSpaceDN w:val="0"/>
        <w:adjustRightInd w:val="0"/>
        <w:rPr>
          <w:b/>
          <w:bCs/>
        </w:rPr>
      </w:pPr>
    </w:p>
    <w:p w14:paraId="3FD6825E" w14:textId="77777777" w:rsidR="00A030E6" w:rsidRPr="00691454" w:rsidRDefault="00A030E6" w:rsidP="00A030E6">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23543501" w14:textId="77777777" w:rsidR="00A030E6" w:rsidRDefault="00A030E6" w:rsidP="00A030E6">
      <w:pPr>
        <w:autoSpaceDE w:val="0"/>
        <w:autoSpaceDN w:val="0"/>
        <w:adjustRightInd w:val="0"/>
        <w:rPr>
          <w:b/>
          <w:bCs/>
        </w:rPr>
      </w:pPr>
    </w:p>
    <w:p w14:paraId="70822D92" w14:textId="77777777" w:rsidR="00DF3E73" w:rsidRDefault="00A030E6" w:rsidP="00A030E6">
      <w:pPr>
        <w:autoSpaceDE w:val="0"/>
        <w:autoSpaceDN w:val="0"/>
        <w:adjustRightInd w:val="0"/>
      </w:pPr>
      <w:r w:rsidRPr="00691454">
        <w:t>No small businesses will be involved in this data collection.</w:t>
      </w:r>
    </w:p>
    <w:p w14:paraId="4D1B1B72" w14:textId="77777777" w:rsidR="006735ED" w:rsidRPr="00691454" w:rsidRDefault="006735ED" w:rsidP="00A030E6">
      <w:pPr>
        <w:autoSpaceDE w:val="0"/>
        <w:autoSpaceDN w:val="0"/>
        <w:adjustRightInd w:val="0"/>
      </w:pPr>
    </w:p>
    <w:p w14:paraId="23F8C35A" w14:textId="77777777" w:rsidR="00A030E6" w:rsidRDefault="00A030E6" w:rsidP="00A030E6">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196B0C7E" w14:textId="77777777" w:rsidR="006735ED" w:rsidRDefault="006735ED" w:rsidP="00A030E6">
      <w:pPr>
        <w:autoSpaceDE w:val="0"/>
        <w:autoSpaceDN w:val="0"/>
        <w:adjustRightInd w:val="0"/>
        <w:rPr>
          <w:b/>
          <w:bCs/>
        </w:rPr>
      </w:pPr>
    </w:p>
    <w:p w14:paraId="3ACB0B7A" w14:textId="671B51A4" w:rsidR="00B9233A" w:rsidRDefault="0013412D" w:rsidP="00570669">
      <w:pPr>
        <w:rPr>
          <w:color w:val="000000" w:themeColor="text1"/>
        </w:rPr>
      </w:pPr>
      <w:r>
        <w:rPr>
          <w:color w:val="000000" w:themeColor="text1"/>
        </w:rPr>
        <w:t xml:space="preserve">The </w:t>
      </w:r>
      <w:r w:rsidR="006A62D5">
        <w:rPr>
          <w:color w:val="000000" w:themeColor="text1"/>
        </w:rPr>
        <w:t>evaluation</w:t>
      </w:r>
      <w:r w:rsidR="00571E02">
        <w:rPr>
          <w:color w:val="000000" w:themeColor="text1"/>
        </w:rPr>
        <w:t xml:space="preserve"> and performance </w:t>
      </w:r>
      <w:r w:rsidR="00BD1F2A">
        <w:rPr>
          <w:color w:val="000000" w:themeColor="text1"/>
        </w:rPr>
        <w:t>measuring</w:t>
      </w:r>
      <w:r w:rsidR="00571E02">
        <w:rPr>
          <w:color w:val="000000" w:themeColor="text1"/>
        </w:rPr>
        <w:t xml:space="preserve"> plan</w:t>
      </w:r>
      <w:r w:rsidR="009A19A0">
        <w:rPr>
          <w:color w:val="000000" w:themeColor="text1"/>
        </w:rPr>
        <w:t>, as well as the operation capacity assessment,</w:t>
      </w:r>
      <w:r w:rsidR="00C86026">
        <w:rPr>
          <w:color w:val="000000" w:themeColor="text1"/>
        </w:rPr>
        <w:t xml:space="preserve"> </w:t>
      </w:r>
      <w:r w:rsidR="00571E02">
        <w:rPr>
          <w:color w:val="000000" w:themeColor="text1"/>
        </w:rPr>
        <w:t xml:space="preserve">will be </w:t>
      </w:r>
      <w:r w:rsidR="00BE09D7">
        <w:rPr>
          <w:color w:val="000000" w:themeColor="text1"/>
        </w:rPr>
        <w:t xml:space="preserve">initially </w:t>
      </w:r>
      <w:r w:rsidR="00C86026">
        <w:rPr>
          <w:color w:val="000000" w:themeColor="text1"/>
        </w:rPr>
        <w:t>due</w:t>
      </w:r>
      <w:r w:rsidR="00571E02">
        <w:rPr>
          <w:color w:val="000000" w:themeColor="text1"/>
        </w:rPr>
        <w:t xml:space="preserve"> </w:t>
      </w:r>
      <w:r w:rsidR="00BE09D7">
        <w:rPr>
          <w:color w:val="000000" w:themeColor="text1"/>
        </w:rPr>
        <w:t>within six months</w:t>
      </w:r>
      <w:r w:rsidR="002343B7">
        <w:rPr>
          <w:color w:val="000000" w:themeColor="text1"/>
        </w:rPr>
        <w:t xml:space="preserve"> of award</w:t>
      </w:r>
      <w:r w:rsidR="004D7A11" w:rsidRPr="00A93EB5">
        <w:rPr>
          <w:color w:val="000000" w:themeColor="text1"/>
        </w:rPr>
        <w:t>.</w:t>
      </w:r>
      <w:r w:rsidR="00BE09D7">
        <w:rPr>
          <w:color w:val="000000" w:themeColor="text1"/>
        </w:rPr>
        <w:t xml:space="preserve"> Subsequently, t</w:t>
      </w:r>
      <w:r w:rsidR="004D7A11" w:rsidRPr="00A93EB5">
        <w:rPr>
          <w:color w:val="000000" w:themeColor="text1"/>
        </w:rPr>
        <w:t>he annual progress report</w:t>
      </w:r>
      <w:r w:rsidR="00571E02">
        <w:rPr>
          <w:color w:val="000000" w:themeColor="text1"/>
        </w:rPr>
        <w:t xml:space="preserve">, </w:t>
      </w:r>
      <w:r w:rsidR="00953289">
        <w:rPr>
          <w:color w:val="000000" w:themeColor="text1"/>
        </w:rPr>
        <w:t xml:space="preserve">and the </w:t>
      </w:r>
      <w:r w:rsidR="006A62D5">
        <w:rPr>
          <w:color w:val="000000" w:themeColor="text1"/>
        </w:rPr>
        <w:t xml:space="preserve">evaluation </w:t>
      </w:r>
      <w:r w:rsidR="00571E02">
        <w:rPr>
          <w:color w:val="000000" w:themeColor="text1"/>
        </w:rPr>
        <w:t xml:space="preserve">and </w:t>
      </w:r>
      <w:r w:rsidR="00E90A17">
        <w:rPr>
          <w:color w:val="000000" w:themeColor="text1"/>
        </w:rPr>
        <w:t>performance-measuring</w:t>
      </w:r>
      <w:r w:rsidR="00571E02">
        <w:rPr>
          <w:color w:val="000000" w:themeColor="text1"/>
        </w:rPr>
        <w:t xml:space="preserve"> plan</w:t>
      </w:r>
      <w:r w:rsidR="00BE09D7">
        <w:rPr>
          <w:color w:val="000000" w:themeColor="text1"/>
        </w:rPr>
        <w:t>,</w:t>
      </w:r>
      <w:r w:rsidR="00571E02">
        <w:rPr>
          <w:color w:val="000000" w:themeColor="text1"/>
        </w:rPr>
        <w:t xml:space="preserve"> and organizational capacity assessment</w:t>
      </w:r>
      <w:r w:rsidR="004D7A11" w:rsidRPr="00A93EB5">
        <w:rPr>
          <w:color w:val="000000" w:themeColor="text1"/>
        </w:rPr>
        <w:t xml:space="preserve"> </w:t>
      </w:r>
      <w:r w:rsidR="00BE09D7">
        <w:rPr>
          <w:color w:val="000000" w:themeColor="text1"/>
        </w:rPr>
        <w:t>will be due each year</w:t>
      </w:r>
      <w:r w:rsidR="004D7A11" w:rsidRPr="00A93EB5">
        <w:rPr>
          <w:color w:val="000000" w:themeColor="text1"/>
        </w:rPr>
        <w:t xml:space="preserve"> 120 days before the end of the budget period and </w:t>
      </w:r>
      <w:r w:rsidR="009B51B6">
        <w:rPr>
          <w:color w:val="000000" w:themeColor="text1"/>
        </w:rPr>
        <w:t xml:space="preserve">will serve </w:t>
      </w:r>
      <w:r w:rsidR="004D7A11" w:rsidRPr="00A93EB5">
        <w:rPr>
          <w:color w:val="000000" w:themeColor="text1"/>
        </w:rPr>
        <w:t xml:space="preserve">as a non-competing continuation application. </w:t>
      </w:r>
      <w:r w:rsidR="005F17DB">
        <w:rPr>
          <w:color w:val="000000" w:themeColor="text1"/>
        </w:rPr>
        <w:t xml:space="preserve"> The </w:t>
      </w:r>
      <w:r w:rsidR="00803E96">
        <w:rPr>
          <w:color w:val="000000" w:themeColor="text1"/>
        </w:rPr>
        <w:t xml:space="preserve">surveillance </w:t>
      </w:r>
      <w:r w:rsidR="005F17DB">
        <w:rPr>
          <w:color w:val="000000" w:themeColor="text1"/>
        </w:rPr>
        <w:t>data dissemination plan will be due one year after the award begins.</w:t>
      </w:r>
    </w:p>
    <w:p w14:paraId="1A8408A9" w14:textId="77777777" w:rsidR="00B9233A" w:rsidRDefault="00B9233A" w:rsidP="00570669">
      <w:pPr>
        <w:rPr>
          <w:color w:val="000000" w:themeColor="text1"/>
        </w:rPr>
      </w:pPr>
    </w:p>
    <w:p w14:paraId="564CFDDB" w14:textId="1AA94FA2" w:rsidR="000B38B6" w:rsidRDefault="004D7A11" w:rsidP="00570669">
      <w:r w:rsidRPr="00A93EB5">
        <w:rPr>
          <w:color w:val="000000" w:themeColor="text1"/>
        </w:rPr>
        <w:t xml:space="preserve">Less frequent reporting would undermine accountability efforts at all levels and negatively </w:t>
      </w:r>
      <w:r w:rsidR="000A0D4A" w:rsidRPr="00A93EB5">
        <w:rPr>
          <w:color w:val="000000" w:themeColor="text1"/>
        </w:rPr>
        <w:t>affect</w:t>
      </w:r>
      <w:r w:rsidRPr="00A93EB5">
        <w:rPr>
          <w:color w:val="000000" w:themeColor="text1"/>
        </w:rPr>
        <w:t xml:space="preserve"> monitoring </w:t>
      </w:r>
      <w:r w:rsidR="0023795B">
        <w:rPr>
          <w:color w:val="000000" w:themeColor="text1"/>
        </w:rPr>
        <w:t>recipient</w:t>
      </w:r>
      <w:r w:rsidRPr="00A93EB5">
        <w:rPr>
          <w:color w:val="000000" w:themeColor="text1"/>
        </w:rPr>
        <w:t xml:space="preserve"> progress. The annual reporting schedule ensures that CDC responses to inquiries from HHS, the White House, Congress</w:t>
      </w:r>
      <w:r w:rsidR="009A19A0">
        <w:rPr>
          <w:color w:val="000000" w:themeColor="text1"/>
        </w:rPr>
        <w:t>,</w:t>
      </w:r>
      <w:r w:rsidRPr="00A93EB5">
        <w:rPr>
          <w:color w:val="000000" w:themeColor="text1"/>
        </w:rPr>
        <w:t xml:space="preserve"> and other stakeholders are based on timely and up-to-date information.</w:t>
      </w:r>
    </w:p>
    <w:p w14:paraId="62B398D1" w14:textId="77777777" w:rsidR="000B38B6" w:rsidRPr="00691454" w:rsidRDefault="000B38B6" w:rsidP="00A030E6">
      <w:pPr>
        <w:autoSpaceDE w:val="0"/>
        <w:autoSpaceDN w:val="0"/>
        <w:adjustRightInd w:val="0"/>
      </w:pPr>
    </w:p>
    <w:p w14:paraId="1EFA7719" w14:textId="488D1139" w:rsidR="00A030E6" w:rsidRPr="00691454" w:rsidRDefault="00A030E6" w:rsidP="00A030E6">
      <w:pPr>
        <w:autoSpaceDE w:val="0"/>
        <w:autoSpaceDN w:val="0"/>
        <w:adjustRightInd w:val="0"/>
      </w:pPr>
      <w:r w:rsidRPr="00691454">
        <w:rPr>
          <w:b/>
          <w:bCs/>
        </w:rPr>
        <w:t xml:space="preserve">A.7. </w:t>
      </w:r>
      <w:r w:rsidRPr="00691454">
        <w:rPr>
          <w:b/>
          <w:bCs/>
        </w:rPr>
        <w:tab/>
        <w:t xml:space="preserve">Special Circumstances Relating to the Guidelines of </w:t>
      </w:r>
      <w:r w:rsidR="000A0D4A" w:rsidRPr="00691454">
        <w:rPr>
          <w:b/>
          <w:bCs/>
        </w:rPr>
        <w:t>five</w:t>
      </w:r>
      <w:r w:rsidRPr="00691454">
        <w:rPr>
          <w:b/>
          <w:bCs/>
        </w:rPr>
        <w:t xml:space="preserve"> CFR 1320.5</w:t>
      </w:r>
    </w:p>
    <w:p w14:paraId="09B7C683" w14:textId="77777777" w:rsidR="007A7246" w:rsidRDefault="007A7246" w:rsidP="007A7246">
      <w:pPr>
        <w:autoSpaceDE w:val="0"/>
        <w:autoSpaceDN w:val="0"/>
        <w:adjustRightInd w:val="0"/>
      </w:pPr>
    </w:p>
    <w:p w14:paraId="6A474D8E" w14:textId="77777777" w:rsidR="00A030E6" w:rsidRPr="00691454" w:rsidRDefault="00A030E6" w:rsidP="00A030E6">
      <w:pPr>
        <w:pStyle w:val="SL-FlLftSgl"/>
      </w:pPr>
      <w:r w:rsidRPr="00691454">
        <w:t xml:space="preserve">The request fully complies with the regulation 5 CFR 1320.5. </w:t>
      </w:r>
    </w:p>
    <w:p w14:paraId="4C7722BE" w14:textId="77777777" w:rsidR="00A030E6" w:rsidRPr="00691454" w:rsidRDefault="00A030E6" w:rsidP="00A030E6">
      <w:pPr>
        <w:autoSpaceDE w:val="0"/>
        <w:autoSpaceDN w:val="0"/>
        <w:adjustRightInd w:val="0"/>
      </w:pPr>
    </w:p>
    <w:p w14:paraId="117CAAEB" w14:textId="77777777" w:rsidR="00A030E6" w:rsidRPr="00691454" w:rsidRDefault="00A030E6" w:rsidP="00A030E6">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76B5AF51" w14:textId="77777777" w:rsidR="00A030E6" w:rsidRPr="00021801" w:rsidRDefault="00A030E6" w:rsidP="00A030E6">
      <w:pPr>
        <w:autoSpaceDE w:val="0"/>
        <w:autoSpaceDN w:val="0"/>
        <w:adjustRightInd w:val="0"/>
        <w:rPr>
          <w:b/>
        </w:rPr>
      </w:pPr>
    </w:p>
    <w:p w14:paraId="3313AE3D" w14:textId="77777777" w:rsidR="00A030E6" w:rsidRPr="00781BF6" w:rsidRDefault="00A030E6" w:rsidP="00A030E6">
      <w:pPr>
        <w:rPr>
          <w:b/>
          <w:noProof/>
        </w:rPr>
      </w:pPr>
      <w:r w:rsidRPr="00021801">
        <w:rPr>
          <w:b/>
        </w:rPr>
        <w:t>A.8.a)</w:t>
      </w:r>
      <w:r w:rsidRPr="00781BF6">
        <w:rPr>
          <w:b/>
        </w:rPr>
        <w:tab/>
      </w:r>
      <w:r w:rsidRPr="00781BF6">
        <w:rPr>
          <w:b/>
          <w:noProof/>
        </w:rPr>
        <w:t>Federal Register Notice</w:t>
      </w:r>
    </w:p>
    <w:p w14:paraId="15101EB9" w14:textId="77777777" w:rsidR="00D01158" w:rsidRDefault="00D01158" w:rsidP="00A030E6">
      <w:pPr>
        <w:rPr>
          <w:noProof/>
        </w:rPr>
      </w:pPr>
    </w:p>
    <w:p w14:paraId="4BD3E7ED" w14:textId="4855EBB6" w:rsidR="004B75FC" w:rsidRDefault="00051AAA" w:rsidP="001E442C">
      <w:pPr>
        <w:contextualSpacing/>
      </w:pPr>
      <w:r w:rsidRPr="00F729E0">
        <w:t xml:space="preserve">A 60-day Federal Register Notice was published in the </w:t>
      </w:r>
      <w:r w:rsidRPr="004B75FC">
        <w:t>Federal</w:t>
      </w:r>
      <w:r w:rsidRPr="00F729E0">
        <w:t xml:space="preserve"> Register on </w:t>
      </w:r>
      <w:r w:rsidR="00DA3E74">
        <w:t>July</w:t>
      </w:r>
      <w:r w:rsidRPr="00F729E0">
        <w:t xml:space="preserve"> </w:t>
      </w:r>
      <w:r w:rsidR="001E442C">
        <w:t>25</w:t>
      </w:r>
      <w:r w:rsidRPr="00F729E0">
        <w:t>,</w:t>
      </w:r>
      <w:r>
        <w:t xml:space="preserve"> 2019, vol. </w:t>
      </w:r>
      <w:r w:rsidR="001E442C">
        <w:t>84</w:t>
      </w:r>
      <w:r>
        <w:t xml:space="preserve">, No. </w:t>
      </w:r>
      <w:r w:rsidR="001E442C">
        <w:t>143</w:t>
      </w:r>
      <w:r>
        <w:t>,</w:t>
      </w:r>
      <w:r w:rsidRPr="00F729E0">
        <w:t xml:space="preserve"> pp. </w:t>
      </w:r>
      <w:r w:rsidR="001E442C">
        <w:t>3586</w:t>
      </w:r>
      <w:r w:rsidR="00FF1AB8">
        <w:t>5</w:t>
      </w:r>
      <w:r w:rsidR="001E442C" w:rsidRPr="00F729E0">
        <w:t xml:space="preserve"> </w:t>
      </w:r>
      <w:r>
        <w:t>(</w:t>
      </w:r>
      <w:r w:rsidRPr="00040234">
        <w:rPr>
          <w:b/>
        </w:rPr>
        <w:t xml:space="preserve">Attachment </w:t>
      </w:r>
      <w:r>
        <w:rPr>
          <w:b/>
        </w:rPr>
        <w:t>4</w:t>
      </w:r>
      <w:r w:rsidRPr="00F729E0">
        <w:t>).</w:t>
      </w:r>
      <w:r w:rsidRPr="004F5D14">
        <w:t xml:space="preserve"> </w:t>
      </w:r>
      <w:r w:rsidRPr="004B75FC">
        <w:t xml:space="preserve">There </w:t>
      </w:r>
      <w:r w:rsidR="001E442C">
        <w:t xml:space="preserve">were no public comments. </w:t>
      </w:r>
    </w:p>
    <w:p w14:paraId="6BA1A5DB" w14:textId="77777777" w:rsidR="001E442C" w:rsidRPr="00691454" w:rsidRDefault="001E442C" w:rsidP="00A030E6">
      <w:pPr>
        <w:contextualSpacing/>
      </w:pPr>
    </w:p>
    <w:p w14:paraId="1B754604" w14:textId="77777777" w:rsidR="00A030E6" w:rsidRPr="00021801" w:rsidRDefault="00A030E6" w:rsidP="00A030E6">
      <w:pPr>
        <w:rPr>
          <w:b/>
        </w:rPr>
      </w:pPr>
      <w:r w:rsidRPr="00021801">
        <w:rPr>
          <w:b/>
        </w:rPr>
        <w:t>A.8.b) Efforts to Consult Outside the Agency</w:t>
      </w:r>
    </w:p>
    <w:p w14:paraId="7D0BD5E6" w14:textId="77777777" w:rsidR="00D01158" w:rsidRDefault="00D01158" w:rsidP="00A030E6"/>
    <w:p w14:paraId="42995D9F" w14:textId="18DA563B" w:rsidR="00B34EE9" w:rsidRDefault="00B34EE9" w:rsidP="00B34EE9">
      <w:r w:rsidRPr="00A93EB5">
        <w:t xml:space="preserve">The data collection instruments were designed collaboratively by CDC staff and </w:t>
      </w:r>
      <w:r w:rsidR="00100EAD">
        <w:t>selected contractors</w:t>
      </w:r>
      <w:r w:rsidRPr="00A93EB5">
        <w:t>. Consultation will continue throughout the implementation process</w:t>
      </w:r>
      <w:r>
        <w:t xml:space="preserve">.  </w:t>
      </w:r>
      <w:r w:rsidR="004946D8">
        <w:t>As many components of this ICR are based on existing tools, feedback from partners, both internal and external, may have occurred during their implementation in previous funding opportunities.</w:t>
      </w:r>
      <w:r w:rsidRPr="00A93EB5">
        <w:t xml:space="preserve"> </w:t>
      </w:r>
    </w:p>
    <w:p w14:paraId="10A98211" w14:textId="77777777" w:rsidR="00A030E6" w:rsidRDefault="00A030E6" w:rsidP="00A030E6">
      <w:pPr>
        <w:rPr>
          <w:b/>
          <w:bCs/>
        </w:rPr>
      </w:pPr>
    </w:p>
    <w:p w14:paraId="51EF8FD4" w14:textId="77777777" w:rsidR="00A030E6" w:rsidRPr="00691454" w:rsidRDefault="00A030E6" w:rsidP="00A030E6">
      <w:pPr>
        <w:rPr>
          <w:b/>
          <w:bCs/>
        </w:rPr>
      </w:pPr>
      <w:r w:rsidRPr="00691454">
        <w:rPr>
          <w:b/>
          <w:bCs/>
        </w:rPr>
        <w:t xml:space="preserve">A.9. </w:t>
      </w:r>
      <w:r w:rsidRPr="00691454">
        <w:rPr>
          <w:b/>
          <w:bCs/>
        </w:rPr>
        <w:tab/>
        <w:t xml:space="preserve">Explanation of Any Payment or Gift to Respondents </w:t>
      </w:r>
    </w:p>
    <w:p w14:paraId="6E6DA70F" w14:textId="77777777" w:rsidR="00A030E6" w:rsidRDefault="00A030E6" w:rsidP="00A030E6">
      <w:pPr>
        <w:autoSpaceDE w:val="0"/>
        <w:autoSpaceDN w:val="0"/>
        <w:adjustRightInd w:val="0"/>
        <w:rPr>
          <w:b/>
          <w:bCs/>
        </w:rPr>
      </w:pPr>
    </w:p>
    <w:p w14:paraId="7FAECBA1" w14:textId="77777777" w:rsidR="00A030E6" w:rsidRPr="00A93EB5" w:rsidRDefault="00A030E6" w:rsidP="00A030E6">
      <w:r w:rsidRPr="00A93EB5">
        <w:t xml:space="preserve">Respondents will not receive payments or gifts for providing information.  </w:t>
      </w:r>
    </w:p>
    <w:p w14:paraId="6FC6CFF4" w14:textId="77777777" w:rsidR="00A030E6" w:rsidRDefault="00A030E6" w:rsidP="00A030E6"/>
    <w:p w14:paraId="3C998953" w14:textId="2C60C580" w:rsidR="005E3390" w:rsidRDefault="005E3390" w:rsidP="005E3390">
      <w:pPr>
        <w:autoSpaceDE w:val="0"/>
        <w:autoSpaceDN w:val="0"/>
        <w:rPr>
          <w:b/>
          <w:bCs/>
        </w:rPr>
      </w:pPr>
      <w:r>
        <w:rPr>
          <w:b/>
          <w:bCs/>
        </w:rPr>
        <w:t xml:space="preserve">A.10.     Protection of the Privacy and Confidentiality of Information Provided by Respondents </w:t>
      </w:r>
    </w:p>
    <w:p w14:paraId="178593CC" w14:textId="77777777" w:rsidR="005E3390" w:rsidRDefault="005E3390" w:rsidP="005E3390">
      <w:pPr>
        <w:autoSpaceDE w:val="0"/>
        <w:autoSpaceDN w:val="0"/>
        <w:rPr>
          <w:b/>
          <w:bCs/>
          <w:sz w:val="22"/>
          <w:szCs w:val="22"/>
        </w:rPr>
      </w:pPr>
    </w:p>
    <w:p w14:paraId="6936094B" w14:textId="586C28D8" w:rsidR="005E3390" w:rsidRDefault="005E3390" w:rsidP="005E3390">
      <w:pPr>
        <w:pStyle w:val="BodyTextIndent2"/>
        <w:spacing w:line="240" w:lineRule="auto"/>
        <w:ind w:left="0"/>
      </w:pPr>
      <w:r>
        <w:t xml:space="preserve">The Office of the Chief Information Officer at the CDC has determined that the Privacy Act does not apply </w:t>
      </w:r>
      <w:r w:rsidR="006C1271">
        <w:t>to</w:t>
      </w:r>
      <w:r>
        <w:t xml:space="preserve"> this information collection request. The Overdose Data to Action reporting </w:t>
      </w:r>
      <w:r w:rsidR="006C1271">
        <w:t>system  is a component of the</w:t>
      </w:r>
      <w:r>
        <w:t xml:space="preserve"> Partner’s Portal system </w:t>
      </w:r>
      <w:r w:rsidR="006C1271">
        <w:t xml:space="preserve">which </w:t>
      </w:r>
      <w:r>
        <w:t>has a current Authorization to Operate. The Privacy Impact Assessment (PIA)</w:t>
      </w:r>
      <w:r w:rsidR="00D73D55">
        <w:t xml:space="preserve"> for the system</w:t>
      </w:r>
      <w:r>
        <w:t xml:space="preserve"> is attached (Attachment 5</w:t>
      </w:r>
      <w:r w:rsidR="008E0005">
        <w:t>a</w:t>
      </w:r>
      <w:r>
        <w:t>)</w:t>
      </w:r>
      <w:r w:rsidR="00D73D55">
        <w:t>, along with t</w:t>
      </w:r>
      <w:r>
        <w:t>he Privacy Impact Assessment (PIA) for the Overdose Data to Action data templates (Attachment 5</w:t>
      </w:r>
      <w:r w:rsidR="008E0005">
        <w:t>b</w:t>
      </w:r>
      <w:r>
        <w:t xml:space="preserve">). </w:t>
      </w:r>
    </w:p>
    <w:p w14:paraId="06174D17" w14:textId="4867BE96" w:rsidR="001059C7" w:rsidRDefault="007E42CA" w:rsidP="001059C7">
      <w:r>
        <w:t xml:space="preserve">Respondents or their designated delegates </w:t>
      </w:r>
      <w:r w:rsidRPr="00C8797B">
        <w:t>will provide info</w:t>
      </w:r>
      <w:r>
        <w:t xml:space="preserve">rmation about their program efforts funded through the </w:t>
      </w:r>
      <w:r>
        <w:rPr>
          <w:color w:val="000000" w:themeColor="text1"/>
        </w:rPr>
        <w:t>Overdose Data to Action (</w:t>
      </w:r>
      <w:r w:rsidRPr="00CD5997">
        <w:rPr>
          <w:color w:val="000000" w:themeColor="text1"/>
        </w:rPr>
        <w:t>CDC-</w:t>
      </w:r>
      <w:r w:rsidRPr="00CD5997">
        <w:rPr>
          <w:rStyle w:val="search-custom1"/>
        </w:rPr>
        <w:t>RFA-CE19-1904</w:t>
      </w:r>
      <w:r w:rsidRPr="00CD5997">
        <w:rPr>
          <w:color w:val="000000" w:themeColor="text1"/>
        </w:rPr>
        <w:t>)</w:t>
      </w:r>
      <w:r>
        <w:rPr>
          <w:color w:val="000000" w:themeColor="text1"/>
        </w:rPr>
        <w:t xml:space="preserve"> funding opportunity</w:t>
      </w:r>
      <w:r>
        <w:t xml:space="preserve">. No sensitive information or </w:t>
      </w:r>
      <w:r w:rsidR="001059C7" w:rsidRPr="00A93EB5">
        <w:rPr>
          <w:color w:val="000000" w:themeColor="text1"/>
        </w:rPr>
        <w:t>personal contact information will be collected.  All data will be reported in aggregate form, with no identifying inform</w:t>
      </w:r>
      <w:r w:rsidR="001059C7">
        <w:rPr>
          <w:color w:val="000000" w:themeColor="text1"/>
        </w:rPr>
        <w:t>ation included.  Because data are</w:t>
      </w:r>
      <w:r w:rsidR="001059C7" w:rsidRPr="00A93EB5">
        <w:rPr>
          <w:color w:val="000000" w:themeColor="text1"/>
        </w:rPr>
        <w:t xml:space="preserve"> maintained in a secure, </w:t>
      </w:r>
      <w:r w:rsidR="003B4C8F" w:rsidRPr="00A93EB5">
        <w:rPr>
          <w:color w:val="000000" w:themeColor="text1"/>
        </w:rPr>
        <w:t>password</w:t>
      </w:r>
      <w:r w:rsidR="003B4C8F">
        <w:rPr>
          <w:color w:val="000000" w:themeColor="text1"/>
        </w:rPr>
        <w:t>-</w:t>
      </w:r>
      <w:r w:rsidR="001059C7" w:rsidRPr="00A93EB5">
        <w:rPr>
          <w:color w:val="000000" w:themeColor="text1"/>
        </w:rPr>
        <w:t>protected system, and information will be reported in aggregate form, there is no impact on respondent privacy.</w:t>
      </w:r>
      <w:r w:rsidR="001059C7">
        <w:t xml:space="preserve"> </w:t>
      </w:r>
      <w:r w:rsidR="001059C7" w:rsidRPr="00CD4D06">
        <w:t xml:space="preserve">Key program staff will provide information related to programmatic improvement and they will be notified that their responses on the electronic information system will be treated in a secure manner. Staff identifiers will not be used in any </w:t>
      </w:r>
      <w:r w:rsidR="001059C7">
        <w:t>progress</w:t>
      </w:r>
      <w:r w:rsidR="001059C7" w:rsidRPr="00CD4D06">
        <w:t xml:space="preserve"> reports.</w:t>
      </w:r>
      <w:r w:rsidR="001059C7">
        <w:t xml:space="preserve"> </w:t>
      </w:r>
      <w:r w:rsidR="001059C7" w:rsidRPr="00A93EB5">
        <w:t>The information collection does not require conse</w:t>
      </w:r>
      <w:r w:rsidR="001059C7">
        <w:t>nt from individuals</w:t>
      </w:r>
      <w:r w:rsidR="001059C7" w:rsidRPr="00A93EB5">
        <w:t>.</w:t>
      </w:r>
      <w:r w:rsidR="001059C7">
        <w:t xml:space="preserve"> </w:t>
      </w:r>
      <w:r w:rsidR="001059C7" w:rsidRPr="00CD4D06">
        <w:t xml:space="preserve">All procedures have been developed, in accordance with federal, state, and local guidelines, to ensure that the rights and privacy of key </w:t>
      </w:r>
      <w:r w:rsidR="008B2DDC">
        <w:t>funded jurisdictions</w:t>
      </w:r>
      <w:r w:rsidR="001059C7" w:rsidRPr="00CD4D06">
        <w:t xml:space="preserve">’ program staff (e.g. program director) will be protected and maintained. </w:t>
      </w:r>
    </w:p>
    <w:p w14:paraId="46F52A5F" w14:textId="77777777" w:rsidR="001059C7" w:rsidRDefault="001059C7" w:rsidP="001059C7"/>
    <w:p w14:paraId="46674F22" w14:textId="6A57605A" w:rsidR="001059C7" w:rsidRDefault="001059C7" w:rsidP="001059C7">
      <w:pPr>
        <w:tabs>
          <w:tab w:val="left" w:pos="810"/>
        </w:tabs>
      </w:pPr>
      <w:r w:rsidRPr="00A93EB5">
        <w:t xml:space="preserve">While consent is not required to report aggregate data, </w:t>
      </w:r>
      <w:r w:rsidR="008130FC">
        <w:t>jurisdictional</w:t>
      </w:r>
      <w:r w:rsidRPr="00A93EB5">
        <w:t xml:space="preserve"> </w:t>
      </w:r>
      <w:r>
        <w:t>approval</w:t>
      </w:r>
      <w:r w:rsidRPr="00A93EB5">
        <w:t xml:space="preserve"> will be obtained if </w:t>
      </w:r>
      <w:r w:rsidR="000A0D4A">
        <w:t>jurisdiction</w:t>
      </w:r>
      <w:r w:rsidR="00B7397E">
        <w:t>-specific</w:t>
      </w:r>
      <w:r w:rsidRPr="00A93EB5">
        <w:t xml:space="preserve"> data is used for publications, reports</w:t>
      </w:r>
      <w:r>
        <w:t>,</w:t>
      </w:r>
      <w:r w:rsidRPr="00A93EB5">
        <w:t xml:space="preserve"> or other publicly disseminated information.</w:t>
      </w:r>
      <w:r>
        <w:t xml:space="preserve"> </w:t>
      </w:r>
      <w:r w:rsidRPr="00A93EB5">
        <w:t xml:space="preserve">Respondents are </w:t>
      </w:r>
      <w:r w:rsidRPr="00A93EB5">
        <w:rPr>
          <w:color w:val="000000" w:themeColor="text1"/>
        </w:rPr>
        <w:t>state</w:t>
      </w:r>
      <w:r w:rsidR="002A0E04">
        <w:rPr>
          <w:color w:val="000000" w:themeColor="text1"/>
        </w:rPr>
        <w:t>, city, county</w:t>
      </w:r>
      <w:r w:rsidR="00B7397E">
        <w:rPr>
          <w:color w:val="000000" w:themeColor="text1"/>
        </w:rPr>
        <w:t>,</w:t>
      </w:r>
      <w:r w:rsidR="002A0E04">
        <w:rPr>
          <w:color w:val="000000" w:themeColor="text1"/>
        </w:rPr>
        <w:t xml:space="preserve"> and U.S. Territory</w:t>
      </w:r>
      <w:r w:rsidRPr="00A93EB5">
        <w:rPr>
          <w:color w:val="000000" w:themeColor="text1"/>
        </w:rPr>
        <w:t xml:space="preserve"> governmental agencies.</w:t>
      </w:r>
      <w:r w:rsidRPr="00A93EB5">
        <w:t xml:space="preserve"> No system of records will be created under the Privacy Act.</w:t>
      </w:r>
      <w:r w:rsidRPr="00433DEA">
        <w:t xml:space="preserve"> </w:t>
      </w:r>
      <w:r w:rsidRPr="00A93EB5">
        <w:t xml:space="preserve">Submission and access to </w:t>
      </w:r>
      <w:r w:rsidR="002A0E04">
        <w:t xml:space="preserve">funded jurisdiction </w:t>
      </w:r>
      <w:r w:rsidRPr="00A93EB5">
        <w:t xml:space="preserve">data will be controlled by a password-protected login </w:t>
      </w:r>
      <w:r w:rsidR="00B7397E">
        <w:t>site.</w:t>
      </w:r>
      <w:r w:rsidRPr="00A93EB5">
        <w:t xml:space="preserve"> Access levels vary from read-only to read-write, based on the user’s role and needs. CDC staff</w:t>
      </w:r>
      <w:r w:rsidR="00B7397E">
        <w:t xml:space="preserve"> </w:t>
      </w:r>
      <w:r w:rsidRPr="00A93EB5">
        <w:t xml:space="preserve">and contractors will have varying levels of access to the system with role-appropriate security training, based on the requirements of their position(s).  Aggregated information will be stored on an internal CDC </w:t>
      </w:r>
      <w:r>
        <w:t>Access</w:t>
      </w:r>
      <w:r w:rsidRPr="00A93EB5">
        <w:t xml:space="preserve"> server subject to CDC’s information security guidelines.  </w:t>
      </w:r>
    </w:p>
    <w:p w14:paraId="0453B647" w14:textId="77777777" w:rsidR="008D0C85" w:rsidRDefault="008D0C85" w:rsidP="00EE31F9">
      <w:pPr>
        <w:tabs>
          <w:tab w:val="left" w:pos="720"/>
        </w:tabs>
      </w:pPr>
    </w:p>
    <w:p w14:paraId="1A847CFD" w14:textId="77777777" w:rsidR="008D0C85" w:rsidRDefault="008D0C85" w:rsidP="00EE31F9">
      <w:pPr>
        <w:tabs>
          <w:tab w:val="left" w:pos="720"/>
        </w:tabs>
        <w:rPr>
          <w:b/>
        </w:rPr>
      </w:pPr>
    </w:p>
    <w:p w14:paraId="67BBBC6A" w14:textId="77777777" w:rsidR="007957D4" w:rsidRDefault="00A030E6" w:rsidP="00A030E6">
      <w:pPr>
        <w:rPr>
          <w:b/>
          <w:bCs/>
        </w:rPr>
      </w:pPr>
      <w:r w:rsidRPr="00691454">
        <w:rPr>
          <w:b/>
          <w:bCs/>
        </w:rPr>
        <w:t>A.11.</w:t>
      </w:r>
      <w:r w:rsidRPr="00691454">
        <w:rPr>
          <w:b/>
          <w:bCs/>
        </w:rPr>
        <w:tab/>
      </w:r>
      <w:r w:rsidR="00A2101B" w:rsidRPr="00A2101B">
        <w:rPr>
          <w:b/>
          <w:bCs/>
        </w:rPr>
        <w:t xml:space="preserve">Institutional Review Board (IRB) </w:t>
      </w:r>
      <w:r w:rsidR="00566BF1" w:rsidRPr="00A2101B">
        <w:rPr>
          <w:b/>
          <w:bCs/>
        </w:rPr>
        <w:t>and Justification</w:t>
      </w:r>
      <w:r w:rsidR="00A2101B" w:rsidRPr="00A2101B">
        <w:rPr>
          <w:b/>
          <w:bCs/>
        </w:rPr>
        <w:t xml:space="preserve"> for Sensitive Questions</w:t>
      </w:r>
      <w:r w:rsidRPr="00691454">
        <w:rPr>
          <w:b/>
          <w:bCs/>
        </w:rPr>
        <w:t xml:space="preserve"> </w:t>
      </w:r>
    </w:p>
    <w:p w14:paraId="28382BCA" w14:textId="77777777" w:rsidR="007957D4" w:rsidRDefault="007957D4" w:rsidP="00A030E6">
      <w:pPr>
        <w:rPr>
          <w:b/>
          <w:bCs/>
        </w:rPr>
      </w:pPr>
    </w:p>
    <w:p w14:paraId="0DF4B2D6" w14:textId="77777777" w:rsidR="007957D4" w:rsidRPr="00691454" w:rsidRDefault="007957D4" w:rsidP="007957D4">
      <w:pPr>
        <w:rPr>
          <w:b/>
        </w:rPr>
      </w:pPr>
      <w:r w:rsidRPr="00691454">
        <w:rPr>
          <w:b/>
        </w:rPr>
        <w:t>IRB Approval</w:t>
      </w:r>
    </w:p>
    <w:p w14:paraId="7F7D7608" w14:textId="77777777" w:rsidR="007957D4" w:rsidRPr="00691454" w:rsidRDefault="007957D4" w:rsidP="007957D4">
      <w:pPr>
        <w:rPr>
          <w:u w:val="single"/>
        </w:rPr>
      </w:pPr>
    </w:p>
    <w:p w14:paraId="0B261D40" w14:textId="478AC947" w:rsidR="007957D4" w:rsidRDefault="007957D4" w:rsidP="007957D4">
      <w:r w:rsidRPr="00712712">
        <w:t xml:space="preserve">The CDC National Center for Injury Prevention and Control’s OMB and human </w:t>
      </w:r>
      <w:r w:rsidR="00566BF1" w:rsidRPr="00712712">
        <w:t>subject’s</w:t>
      </w:r>
      <w:r w:rsidRPr="00712712">
        <w:t xml:space="preserve"> </w:t>
      </w:r>
      <w:r w:rsidR="00566BF1" w:rsidRPr="00712712">
        <w:t>liaison</w:t>
      </w:r>
      <w:r w:rsidRPr="00712712">
        <w:t xml:space="preserve"> has determined that </w:t>
      </w:r>
      <w:r w:rsidR="00DD6E04">
        <w:t xml:space="preserve">this information is non-research and therefore, </w:t>
      </w:r>
      <w:r w:rsidR="00DD6E04" w:rsidRPr="00C65166">
        <w:t>IRB approval is not needed</w:t>
      </w:r>
      <w:r w:rsidRPr="00712712">
        <w:t xml:space="preserve">. </w:t>
      </w:r>
      <w:r w:rsidR="009F4237">
        <w:t xml:space="preserve"> The information collection does not involve the collection of</w:t>
      </w:r>
      <w:r w:rsidRPr="00712712">
        <w:t xml:space="preserve"> personal information </w:t>
      </w:r>
      <w:r w:rsidR="009F4237">
        <w:t xml:space="preserve">or the participation of </w:t>
      </w:r>
      <w:r w:rsidRPr="00712712">
        <w:t xml:space="preserve">human </w:t>
      </w:r>
      <w:r w:rsidR="009F4237">
        <w:t xml:space="preserve">subjects in </w:t>
      </w:r>
      <w:r w:rsidR="009F4237" w:rsidRPr="007038D1">
        <w:t>research</w:t>
      </w:r>
      <w:r w:rsidR="0021755F" w:rsidRPr="007038D1">
        <w:t>.</w:t>
      </w:r>
      <w:r w:rsidRPr="007038D1">
        <w:t xml:space="preserve"> (Attachment </w:t>
      </w:r>
      <w:r w:rsidR="007038D1" w:rsidRPr="007038D1">
        <w:t>6</w:t>
      </w:r>
      <w:r w:rsidRPr="007038D1">
        <w:t>)</w:t>
      </w:r>
      <w:r w:rsidR="007B4E35" w:rsidRPr="007038D1">
        <w:t>.</w:t>
      </w:r>
    </w:p>
    <w:p w14:paraId="503CDBF8" w14:textId="77777777" w:rsidR="007957D4" w:rsidRPr="00A93EB5" w:rsidRDefault="007957D4" w:rsidP="007957D4"/>
    <w:p w14:paraId="49CF8A04" w14:textId="77777777" w:rsidR="00A030E6" w:rsidRPr="00691454" w:rsidRDefault="00A030E6" w:rsidP="00A030E6">
      <w:pPr>
        <w:rPr>
          <w:b/>
          <w:bCs/>
        </w:rPr>
      </w:pPr>
      <w:r w:rsidRPr="00691454">
        <w:rPr>
          <w:b/>
          <w:bCs/>
        </w:rPr>
        <w:t>Sensitive Questions</w:t>
      </w:r>
      <w:r w:rsidRPr="00691454">
        <w:rPr>
          <w:b/>
          <w:bCs/>
        </w:rPr>
        <w:tab/>
      </w:r>
    </w:p>
    <w:p w14:paraId="39EE9BE3" w14:textId="77777777" w:rsidR="00A030E6" w:rsidRDefault="00A030E6" w:rsidP="00A030E6">
      <w:pPr>
        <w:rPr>
          <w:bCs/>
        </w:rPr>
      </w:pPr>
    </w:p>
    <w:p w14:paraId="11DF248A" w14:textId="77777777" w:rsidR="00A030E6" w:rsidRPr="00A93EB5" w:rsidRDefault="00A030E6" w:rsidP="00A030E6">
      <w:pPr>
        <w:rPr>
          <w:bCs/>
        </w:rPr>
      </w:pPr>
      <w:r w:rsidRPr="00712712">
        <w:rPr>
          <w:bCs/>
        </w:rPr>
        <w:t>The proposed t</w:t>
      </w:r>
      <w:r w:rsidR="002669F6">
        <w:rPr>
          <w:bCs/>
        </w:rPr>
        <w:t>emplates</w:t>
      </w:r>
      <w:r w:rsidRPr="00712712">
        <w:rPr>
          <w:bCs/>
        </w:rPr>
        <w:t xml:space="preserve"> do not collect sensitive information.</w:t>
      </w:r>
      <w:r w:rsidRPr="00A93EB5">
        <w:rPr>
          <w:bCs/>
        </w:rPr>
        <w:t xml:space="preserve"> </w:t>
      </w:r>
    </w:p>
    <w:p w14:paraId="38898A24" w14:textId="77777777" w:rsidR="00A030E6" w:rsidRPr="00691454" w:rsidRDefault="00A030E6" w:rsidP="00A030E6"/>
    <w:p w14:paraId="0F854FE9" w14:textId="77777777" w:rsidR="00A030E6" w:rsidRPr="00F729E0" w:rsidRDefault="00A030E6" w:rsidP="00A030E6">
      <w:pPr>
        <w:autoSpaceDE w:val="0"/>
        <w:autoSpaceDN w:val="0"/>
        <w:adjustRightInd w:val="0"/>
      </w:pPr>
      <w:r w:rsidRPr="00240911">
        <w:rPr>
          <w:b/>
          <w:bCs/>
        </w:rPr>
        <w:t xml:space="preserve">A.12. </w:t>
      </w:r>
      <w:r w:rsidRPr="00240911">
        <w:rPr>
          <w:b/>
          <w:bCs/>
        </w:rPr>
        <w:tab/>
        <w:t>Estimates of Annualized Burden Hours and Costs</w:t>
      </w:r>
      <w:r w:rsidRPr="00F729E0">
        <w:rPr>
          <w:b/>
          <w:bCs/>
        </w:rPr>
        <w:t xml:space="preserve"> </w:t>
      </w:r>
    </w:p>
    <w:p w14:paraId="72AB228A" w14:textId="77777777" w:rsidR="00D71E36" w:rsidRDefault="00D71E36" w:rsidP="00D71E36">
      <w:pPr>
        <w:pStyle w:val="Heading3"/>
      </w:pPr>
      <w:bookmarkStart w:id="2" w:name="_Toc7592396"/>
    </w:p>
    <w:p w14:paraId="21ADAB24" w14:textId="50FF7151" w:rsidR="00D71E36" w:rsidRPr="00D71E36" w:rsidRDefault="00D71E36" w:rsidP="00D71E36">
      <w:pPr>
        <w:pStyle w:val="Heading3"/>
        <w:rPr>
          <w:rFonts w:ascii="Times New Roman" w:hAnsi="Times New Roman" w:cs="Times New Roman"/>
          <w:b w:val="0"/>
          <w:sz w:val="24"/>
          <w:szCs w:val="24"/>
        </w:rPr>
      </w:pPr>
      <w:r w:rsidRPr="00D71E36">
        <w:rPr>
          <w:rFonts w:ascii="Times New Roman" w:hAnsi="Times New Roman" w:cs="Times New Roman"/>
          <w:b w:val="0"/>
          <w:sz w:val="24"/>
          <w:szCs w:val="24"/>
        </w:rPr>
        <w:t>A.12.a)  Annual Burden Hours</w:t>
      </w:r>
      <w:bookmarkEnd w:id="2"/>
      <w:r w:rsidRPr="00D71E36">
        <w:rPr>
          <w:rFonts w:ascii="Times New Roman" w:hAnsi="Times New Roman" w:cs="Times New Roman"/>
          <w:b w:val="0"/>
          <w:sz w:val="24"/>
          <w:szCs w:val="24"/>
        </w:rPr>
        <w:t xml:space="preserve"> </w:t>
      </w:r>
    </w:p>
    <w:p w14:paraId="070FEECE" w14:textId="77777777" w:rsidR="006D190E" w:rsidRDefault="006D190E" w:rsidP="00712712"/>
    <w:p w14:paraId="68C73B3D" w14:textId="05FA90A9" w:rsidR="00BC4DC4" w:rsidRPr="00A93EB5" w:rsidRDefault="00712712" w:rsidP="00953289">
      <w:r w:rsidRPr="00F729E0">
        <w:t xml:space="preserve">Respondents will be the </w:t>
      </w:r>
      <w:r w:rsidR="00BD6595">
        <w:t xml:space="preserve">66 </w:t>
      </w:r>
      <w:r w:rsidR="008B2DDC">
        <w:t>funded jurisdictions</w:t>
      </w:r>
      <w:r w:rsidR="000113A7">
        <w:t xml:space="preserve"> </w:t>
      </w:r>
      <w:r w:rsidR="008D4D7E">
        <w:t xml:space="preserve">of the </w:t>
      </w:r>
      <w:r w:rsidR="000113A7">
        <w:t xml:space="preserve">Overdose Data to Action </w:t>
      </w:r>
      <w:r w:rsidR="008D4D7E">
        <w:t>funding opportunity</w:t>
      </w:r>
      <w:r w:rsidR="00B675EE">
        <w:t>.</w:t>
      </w:r>
      <w:r w:rsidR="00E4317F">
        <w:t xml:space="preserve"> </w:t>
      </w:r>
      <w:r w:rsidR="00BC4DC4" w:rsidRPr="00026086">
        <w:rPr>
          <w:color w:val="000000" w:themeColor="text1"/>
        </w:rPr>
        <w:t xml:space="preserve">Within six months of award, </w:t>
      </w:r>
      <w:r w:rsidR="00BC4DC4">
        <w:rPr>
          <w:color w:val="000000" w:themeColor="text1"/>
        </w:rPr>
        <w:t>funded jurisdictions</w:t>
      </w:r>
      <w:r w:rsidR="00BC4DC4" w:rsidRPr="00026086">
        <w:rPr>
          <w:color w:val="000000" w:themeColor="text1"/>
        </w:rPr>
        <w:t xml:space="preserve"> </w:t>
      </w:r>
      <w:r w:rsidR="000A0D4A" w:rsidRPr="00026086">
        <w:rPr>
          <w:color w:val="000000" w:themeColor="text1"/>
        </w:rPr>
        <w:t>will,</w:t>
      </w:r>
      <w:r w:rsidR="00BC4DC4" w:rsidRPr="00026086">
        <w:rPr>
          <w:color w:val="000000" w:themeColor="text1"/>
        </w:rPr>
        <w:t xml:space="preserve"> report 1) </w:t>
      </w:r>
      <w:r w:rsidR="001752B1">
        <w:rPr>
          <w:color w:val="000000" w:themeColor="text1"/>
        </w:rPr>
        <w:t>evaluation</w:t>
      </w:r>
      <w:r w:rsidR="001752B1" w:rsidRPr="00026086">
        <w:rPr>
          <w:color w:val="000000" w:themeColor="text1"/>
        </w:rPr>
        <w:t xml:space="preserve"> </w:t>
      </w:r>
      <w:r w:rsidR="00BC4DC4" w:rsidRPr="00026086">
        <w:rPr>
          <w:color w:val="000000" w:themeColor="text1"/>
        </w:rPr>
        <w:t xml:space="preserve">and performance measurement plan </w:t>
      </w:r>
      <w:r w:rsidR="00BC4DC4">
        <w:rPr>
          <w:color w:val="000000" w:themeColor="text1"/>
        </w:rPr>
        <w:t>(</w:t>
      </w:r>
      <w:r w:rsidR="00324607">
        <w:rPr>
          <w:color w:val="000000" w:themeColor="text1"/>
        </w:rPr>
        <w:t>a</w:t>
      </w:r>
      <w:r w:rsidR="000A0D4A">
        <w:rPr>
          <w:color w:val="000000" w:themeColor="text1"/>
        </w:rPr>
        <w:t>ttachment 3a</w:t>
      </w:r>
      <w:r w:rsidR="00BC4DC4">
        <w:rPr>
          <w:color w:val="000000" w:themeColor="text1"/>
        </w:rPr>
        <w:t xml:space="preserve">) </w:t>
      </w:r>
      <w:r w:rsidR="00BC4DC4" w:rsidRPr="00026086">
        <w:rPr>
          <w:color w:val="000000" w:themeColor="text1"/>
        </w:rPr>
        <w:t>using a Microsoft Word template and 2) organizational capaci</w:t>
      </w:r>
      <w:r w:rsidR="00BC4DC4">
        <w:rPr>
          <w:color w:val="000000" w:themeColor="text1"/>
        </w:rPr>
        <w:t>ty using</w:t>
      </w:r>
      <w:r w:rsidR="00BC4DC4" w:rsidRPr="00026086">
        <w:rPr>
          <w:color w:val="000000" w:themeColor="text1"/>
        </w:rPr>
        <w:t xml:space="preserve"> </w:t>
      </w:r>
      <w:r w:rsidR="00BC4DC4" w:rsidRPr="00CA3D67">
        <w:rPr>
          <w:color w:val="000000" w:themeColor="text1"/>
        </w:rPr>
        <w:t>a</w:t>
      </w:r>
      <w:r w:rsidR="00BC4DC4">
        <w:rPr>
          <w:color w:val="000000" w:themeColor="text1"/>
        </w:rPr>
        <w:t>n online assessment</w:t>
      </w:r>
      <w:r w:rsidR="001752B1">
        <w:rPr>
          <w:color w:val="000000" w:themeColor="text1"/>
        </w:rPr>
        <w:t xml:space="preserve"> (attachment 3b)</w:t>
      </w:r>
      <w:r w:rsidR="00BC4DC4" w:rsidRPr="00026086">
        <w:rPr>
          <w:color w:val="000000" w:themeColor="text1"/>
        </w:rPr>
        <w:t xml:space="preserve">.  </w:t>
      </w:r>
      <w:r w:rsidR="00BC4DC4">
        <w:rPr>
          <w:color w:val="000000" w:themeColor="text1"/>
        </w:rPr>
        <w:t xml:space="preserve">One year after funding </w:t>
      </w:r>
      <w:r w:rsidR="000A0D4A">
        <w:rPr>
          <w:color w:val="000000" w:themeColor="text1"/>
        </w:rPr>
        <w:t>begins;</w:t>
      </w:r>
      <w:r w:rsidR="00BC4DC4">
        <w:rPr>
          <w:color w:val="000000" w:themeColor="text1"/>
        </w:rPr>
        <w:t xml:space="preserve"> funded jurisdictions will report their surveillance data dissemination plan</w:t>
      </w:r>
      <w:r w:rsidR="001752B1">
        <w:rPr>
          <w:color w:val="000000" w:themeColor="text1"/>
        </w:rPr>
        <w:t xml:space="preserve"> (attachment 3d)</w:t>
      </w:r>
      <w:r w:rsidR="00BC4DC4">
        <w:rPr>
          <w:color w:val="000000" w:themeColor="text1"/>
        </w:rPr>
        <w:t>. A</w:t>
      </w:r>
      <w:r w:rsidR="00BC4DC4" w:rsidRPr="00A353DB">
        <w:rPr>
          <w:color w:val="000000" w:themeColor="text1"/>
        </w:rPr>
        <w:t xml:space="preserve">nnually, </w:t>
      </w:r>
      <w:r w:rsidR="00BC4DC4">
        <w:rPr>
          <w:color w:val="000000" w:themeColor="text1"/>
        </w:rPr>
        <w:t>funded jurisdictions</w:t>
      </w:r>
      <w:r w:rsidR="00BC4DC4" w:rsidRPr="00A353DB">
        <w:rPr>
          <w:color w:val="000000" w:themeColor="text1"/>
        </w:rPr>
        <w:t xml:space="preserve"> will report: 1</w:t>
      </w:r>
      <w:r w:rsidR="00BC4DC4">
        <w:rPr>
          <w:color w:val="000000" w:themeColor="text1"/>
        </w:rPr>
        <w:t xml:space="preserve">) </w:t>
      </w:r>
      <w:r w:rsidR="00BC4DC4" w:rsidRPr="00A93EB5">
        <w:rPr>
          <w:color w:val="000000" w:themeColor="text1"/>
        </w:rPr>
        <w:t>activity</w:t>
      </w:r>
      <w:r w:rsidR="00BC4DC4">
        <w:rPr>
          <w:color w:val="000000" w:themeColor="text1"/>
        </w:rPr>
        <w:t xml:space="preserve"> progress and work plan</w:t>
      </w:r>
      <w:r w:rsidR="00BC4DC4" w:rsidRPr="00A93EB5">
        <w:rPr>
          <w:color w:val="000000" w:themeColor="text1"/>
        </w:rPr>
        <w:t xml:space="preserve"> information using a</w:t>
      </w:r>
      <w:r w:rsidR="00BC4DC4">
        <w:rPr>
          <w:color w:val="000000" w:themeColor="text1"/>
        </w:rPr>
        <w:t xml:space="preserve"> </w:t>
      </w:r>
      <w:r w:rsidR="00031445">
        <w:rPr>
          <w:color w:val="000000" w:themeColor="text1"/>
        </w:rPr>
        <w:t xml:space="preserve">the </w:t>
      </w:r>
      <w:r w:rsidR="008E5B8B">
        <w:rPr>
          <w:color w:val="000000" w:themeColor="text1"/>
        </w:rPr>
        <w:t>Partner’s</w:t>
      </w:r>
      <w:r w:rsidR="00031445">
        <w:rPr>
          <w:color w:val="000000" w:themeColor="text1"/>
        </w:rPr>
        <w:t xml:space="preserve"> Portal</w:t>
      </w:r>
      <w:r w:rsidR="001752B1">
        <w:rPr>
          <w:color w:val="000000" w:themeColor="text1"/>
        </w:rPr>
        <w:t xml:space="preserve"> (attachment 3c)</w:t>
      </w:r>
      <w:r w:rsidR="00BC4DC4">
        <w:rPr>
          <w:color w:val="000000" w:themeColor="text1"/>
        </w:rPr>
        <w:t>; 2)</w:t>
      </w:r>
      <w:r w:rsidR="00BC4DC4" w:rsidRPr="00A93EB5">
        <w:rPr>
          <w:color w:val="000000" w:themeColor="text1"/>
        </w:rPr>
        <w:t xml:space="preserve"> </w:t>
      </w:r>
      <w:r w:rsidR="001752B1">
        <w:rPr>
          <w:color w:val="000000" w:themeColor="text1"/>
        </w:rPr>
        <w:t xml:space="preserve">evaluation </w:t>
      </w:r>
      <w:r w:rsidR="000A0D4A">
        <w:rPr>
          <w:color w:val="000000" w:themeColor="text1"/>
        </w:rPr>
        <w:t>and</w:t>
      </w:r>
      <w:r w:rsidR="00BC4DC4">
        <w:rPr>
          <w:color w:val="000000" w:themeColor="text1"/>
        </w:rPr>
        <w:t xml:space="preserve"> performance measurement</w:t>
      </w:r>
      <w:r w:rsidR="00BC4DC4" w:rsidRPr="00A93EB5">
        <w:rPr>
          <w:color w:val="000000" w:themeColor="text1"/>
        </w:rPr>
        <w:t xml:space="preserve"> plan</w:t>
      </w:r>
      <w:r w:rsidR="00BC4DC4">
        <w:rPr>
          <w:color w:val="000000" w:themeColor="text1"/>
        </w:rPr>
        <w:t xml:space="preserve"> </w:t>
      </w:r>
      <w:r w:rsidR="00BC4DC4" w:rsidRPr="00A93EB5">
        <w:rPr>
          <w:color w:val="000000" w:themeColor="text1"/>
        </w:rPr>
        <w:t>using</w:t>
      </w:r>
      <w:r w:rsidR="00BC4DC4">
        <w:rPr>
          <w:color w:val="000000" w:themeColor="text1"/>
        </w:rPr>
        <w:t xml:space="preserve"> </w:t>
      </w:r>
      <w:r w:rsidR="00031445">
        <w:rPr>
          <w:color w:val="000000" w:themeColor="text1"/>
        </w:rPr>
        <w:t xml:space="preserve">the </w:t>
      </w:r>
      <w:r w:rsidR="008E5B8B">
        <w:rPr>
          <w:color w:val="000000" w:themeColor="text1"/>
        </w:rPr>
        <w:t>Partner’s</w:t>
      </w:r>
      <w:r w:rsidR="00031445">
        <w:rPr>
          <w:color w:val="000000" w:themeColor="text1"/>
        </w:rPr>
        <w:t xml:space="preserve"> Portal </w:t>
      </w:r>
      <w:r w:rsidR="001752B1">
        <w:rPr>
          <w:color w:val="000000" w:themeColor="text1"/>
        </w:rPr>
        <w:t>(attachment 3a)</w:t>
      </w:r>
      <w:r w:rsidR="00BC4DC4">
        <w:rPr>
          <w:color w:val="000000" w:themeColor="text1"/>
        </w:rPr>
        <w:t>; and 3)</w:t>
      </w:r>
      <w:r w:rsidR="00BC4DC4" w:rsidRPr="00A93EB5">
        <w:rPr>
          <w:color w:val="000000" w:themeColor="text1"/>
        </w:rPr>
        <w:t xml:space="preserve"> o</w:t>
      </w:r>
      <w:r w:rsidR="00BC4DC4">
        <w:rPr>
          <w:color w:val="000000" w:themeColor="text1"/>
        </w:rPr>
        <w:t>rganizational capacity using a web-based assessment tool</w:t>
      </w:r>
      <w:r w:rsidR="001752B1">
        <w:rPr>
          <w:color w:val="000000" w:themeColor="text1"/>
        </w:rPr>
        <w:t xml:space="preserve"> (attachment 3b)</w:t>
      </w:r>
      <w:r w:rsidR="00BC4DC4">
        <w:rPr>
          <w:color w:val="000000" w:themeColor="text1"/>
        </w:rPr>
        <w:t>.</w:t>
      </w:r>
      <w:r w:rsidR="00107B9A">
        <w:rPr>
          <w:color w:val="000000" w:themeColor="text1"/>
        </w:rPr>
        <w:t xml:space="preserve"> </w:t>
      </w:r>
      <w:r w:rsidR="00107B9A" w:rsidRPr="004E6540">
        <w:t xml:space="preserve">The estimate </w:t>
      </w:r>
      <w:r w:rsidR="00F463E9">
        <w:t xml:space="preserve">burden </w:t>
      </w:r>
      <w:r w:rsidR="00107B9A" w:rsidRPr="004E6540">
        <w:t xml:space="preserve">for </w:t>
      </w:r>
      <w:r w:rsidR="00107B9A">
        <w:t>each instrument</w:t>
      </w:r>
      <w:r w:rsidR="00107B9A" w:rsidRPr="004E6540">
        <w:t xml:space="preserve"> includes time for reviewing instructions, searching sources, data collection, and completion of the templates</w:t>
      </w:r>
      <w:r w:rsidR="00107B9A">
        <w:t>.</w:t>
      </w:r>
    </w:p>
    <w:p w14:paraId="52635023" w14:textId="77777777" w:rsidR="00B675EE" w:rsidRPr="005F17DB" w:rsidRDefault="00B675EE" w:rsidP="00712712"/>
    <w:p w14:paraId="1B572FD5" w14:textId="26AF6B97" w:rsidR="005F17DB" w:rsidRDefault="005F17DB" w:rsidP="005F17DB">
      <w:r>
        <w:t>The</w:t>
      </w:r>
      <w:r w:rsidRPr="00F729E0">
        <w:t xml:space="preserve"> </w:t>
      </w:r>
      <w:r w:rsidR="001752B1">
        <w:t xml:space="preserve">evaluation </w:t>
      </w:r>
      <w:r>
        <w:t xml:space="preserve">and </w:t>
      </w:r>
      <w:r w:rsidR="00A6167A">
        <w:t>performance measurement</w:t>
      </w:r>
      <w:r w:rsidR="009217D6">
        <w:t xml:space="preserve"> plan</w:t>
      </w:r>
      <w:r w:rsidRPr="00F729E0">
        <w:t xml:space="preserve"> </w:t>
      </w:r>
      <w:r w:rsidRPr="00F62CE0">
        <w:t xml:space="preserve">template </w:t>
      </w:r>
      <w:r w:rsidRPr="00A3492F">
        <w:t>(Attachment</w:t>
      </w:r>
      <w:r w:rsidR="00F62CE0">
        <w:t xml:space="preserve"> </w:t>
      </w:r>
      <w:r w:rsidR="00F62CE0" w:rsidRPr="00A3492F">
        <w:t>3a</w:t>
      </w:r>
      <w:r w:rsidRPr="00A3492F">
        <w:t>)</w:t>
      </w:r>
      <w:r w:rsidRPr="00F62CE0">
        <w:t xml:space="preserve"> </w:t>
      </w:r>
      <w:r w:rsidR="00F62CE0">
        <w:t xml:space="preserve">has </w:t>
      </w:r>
      <w:r w:rsidR="000A0D4A">
        <w:t xml:space="preserve">an </w:t>
      </w:r>
      <w:r>
        <w:t xml:space="preserve">estimated burden per response </w:t>
      </w:r>
      <w:r w:rsidR="00F62CE0">
        <w:t xml:space="preserve">of </w:t>
      </w:r>
      <w:r w:rsidR="00D50B24">
        <w:t>12</w:t>
      </w:r>
      <w:r>
        <w:t xml:space="preserve"> hours</w:t>
      </w:r>
      <w:r w:rsidR="00D50B24">
        <w:t xml:space="preserve"> for the </w:t>
      </w:r>
      <w:r w:rsidR="000A0D4A">
        <w:t>initial</w:t>
      </w:r>
      <w:r w:rsidR="00D50B24">
        <w:t xml:space="preserve"> </w:t>
      </w:r>
      <w:r w:rsidR="009217D6">
        <w:t>submission</w:t>
      </w:r>
      <w:r w:rsidR="00D50B24">
        <w:t xml:space="preserve"> and 4 hours for subsequent </w:t>
      </w:r>
      <w:r w:rsidR="009217D6">
        <w:t>submissions</w:t>
      </w:r>
      <w:r>
        <w:t>.</w:t>
      </w:r>
      <w:r w:rsidR="00183BA0">
        <w:t xml:space="preserve">  The burden is based on feedback from </w:t>
      </w:r>
      <w:r w:rsidR="00B6720E">
        <w:t>jurisdictions funded by a previous funding opportunity that used a similar template to plan their evaluation and performance measurement</w:t>
      </w:r>
      <w:r w:rsidR="00827146">
        <w:t xml:space="preserve"> </w:t>
      </w:r>
      <w:r w:rsidR="00827146" w:rsidRPr="002B3A13">
        <w:rPr>
          <w:bCs/>
        </w:rPr>
        <w:t>opportu</w:t>
      </w:r>
      <w:r w:rsidR="00827146" w:rsidRPr="00766CB4">
        <w:rPr>
          <w:bCs/>
          <w:i/>
        </w:rPr>
        <w:t>nities (OMB# 0920-1155 - Monitoring and reporting systems for the prescription drug overdose prevention for states coop agreement).</w:t>
      </w:r>
      <w:r w:rsidR="00B6720E">
        <w:t xml:space="preserve">  </w:t>
      </w:r>
      <w:r>
        <w:t>The</w:t>
      </w:r>
      <w:r w:rsidRPr="00F729E0">
        <w:t xml:space="preserve"> </w:t>
      </w:r>
      <w:r>
        <w:t>operational capacity assessment</w:t>
      </w:r>
      <w:r w:rsidRPr="00F729E0">
        <w:t xml:space="preserve"> </w:t>
      </w:r>
      <w:r w:rsidRPr="00A3492F">
        <w:t xml:space="preserve">(Attachment </w:t>
      </w:r>
      <w:r w:rsidR="00302D06">
        <w:t>3b</w:t>
      </w:r>
      <w:r w:rsidRPr="00A3492F">
        <w:t>)</w:t>
      </w:r>
      <w:r>
        <w:t xml:space="preserve"> is web-based tool</w:t>
      </w:r>
      <w:r w:rsidRPr="00F729E0">
        <w:t>.</w:t>
      </w:r>
      <w:r>
        <w:t xml:space="preserve">  </w:t>
      </w:r>
      <w:r w:rsidR="0022145E">
        <w:t xml:space="preserve">Based on pilot testing </w:t>
      </w:r>
      <w:r w:rsidR="00052AAF">
        <w:t xml:space="preserve">using 9 </w:t>
      </w:r>
      <w:r w:rsidR="0022145E">
        <w:t xml:space="preserve">staff </w:t>
      </w:r>
      <w:r w:rsidR="00052AAF">
        <w:t xml:space="preserve">members </w:t>
      </w:r>
      <w:r w:rsidR="0022145E">
        <w:t>from the Association of State and Territorial Health Officials, t</w:t>
      </w:r>
      <w:r>
        <w:t xml:space="preserve">he estimated burden per response is </w:t>
      </w:r>
      <w:r w:rsidR="0022145E">
        <w:t>1</w:t>
      </w:r>
      <w:r>
        <w:t xml:space="preserve"> hour</w:t>
      </w:r>
      <w:r w:rsidR="00D50B24">
        <w:t xml:space="preserve"> for the initial </w:t>
      </w:r>
      <w:r w:rsidR="009217D6">
        <w:t>submission</w:t>
      </w:r>
      <w:r w:rsidR="00D50B24">
        <w:t xml:space="preserve"> and</w:t>
      </w:r>
      <w:r w:rsidR="0022145E">
        <w:t xml:space="preserve"> 1</w:t>
      </w:r>
      <w:r w:rsidR="00D50B24">
        <w:t xml:space="preserve"> hour for</w:t>
      </w:r>
      <w:r w:rsidR="009217D6">
        <w:t xml:space="preserve"> </w:t>
      </w:r>
      <w:r w:rsidR="00D50B24">
        <w:t xml:space="preserve">subsequent </w:t>
      </w:r>
      <w:r w:rsidR="009217D6">
        <w:t>submission</w:t>
      </w:r>
      <w:r w:rsidR="00D50B24">
        <w:t>s</w:t>
      </w:r>
      <w:r>
        <w:t>.</w:t>
      </w:r>
    </w:p>
    <w:p w14:paraId="7AD2BB4B" w14:textId="77777777" w:rsidR="00DA466F" w:rsidRDefault="00DA466F" w:rsidP="00712712"/>
    <w:p w14:paraId="091FF27F" w14:textId="6E827A22" w:rsidR="00B6720E" w:rsidRDefault="00DA466F" w:rsidP="00B6720E">
      <w:r>
        <w:t>The</w:t>
      </w:r>
      <w:r w:rsidR="00D564F5" w:rsidRPr="00F729E0">
        <w:t xml:space="preserve"> </w:t>
      </w:r>
      <w:r w:rsidR="005F17DB">
        <w:t xml:space="preserve">annual </w:t>
      </w:r>
      <w:r w:rsidR="0079265D">
        <w:t xml:space="preserve">activity </w:t>
      </w:r>
      <w:r w:rsidR="005F17DB">
        <w:t>progress report</w:t>
      </w:r>
      <w:r w:rsidR="00190932">
        <w:t xml:space="preserve"> and work plan</w:t>
      </w:r>
      <w:r w:rsidR="005F17DB">
        <w:t xml:space="preserve"> </w:t>
      </w:r>
      <w:r w:rsidR="00712712" w:rsidRPr="00F729E0">
        <w:t>(</w:t>
      </w:r>
      <w:r w:rsidR="00712712" w:rsidRPr="00B6720E">
        <w:t xml:space="preserve">Attachment </w:t>
      </w:r>
      <w:r w:rsidR="00302D06">
        <w:t>3c</w:t>
      </w:r>
      <w:r w:rsidR="00712712" w:rsidRPr="00F729E0">
        <w:t>)</w:t>
      </w:r>
      <w:r>
        <w:t xml:space="preserve"> is </w:t>
      </w:r>
      <w:r w:rsidR="005F17DB">
        <w:t>web</w:t>
      </w:r>
      <w:r>
        <w:t>-based t</w:t>
      </w:r>
      <w:r w:rsidR="005F17DB">
        <w:t>ool</w:t>
      </w:r>
      <w:r w:rsidR="00712712" w:rsidRPr="00F729E0">
        <w:t>.</w:t>
      </w:r>
      <w:r w:rsidR="007B4E35">
        <w:t xml:space="preserve">  </w:t>
      </w:r>
      <w:r>
        <w:t xml:space="preserve">The estimated burden per response is </w:t>
      </w:r>
      <w:r w:rsidR="00D50B24">
        <w:t xml:space="preserve">20 </w:t>
      </w:r>
      <w:r>
        <w:t>hours</w:t>
      </w:r>
      <w:r w:rsidR="00D50B24">
        <w:t xml:space="preserve"> for the initial </w:t>
      </w:r>
      <w:r w:rsidR="00190932">
        <w:t>submission</w:t>
      </w:r>
      <w:r w:rsidR="00D50B24">
        <w:t xml:space="preserve"> and 4 hours for </w:t>
      </w:r>
      <w:r w:rsidR="00190932">
        <w:t>subsequent submission</w:t>
      </w:r>
      <w:r w:rsidR="00D50B24">
        <w:t>s</w:t>
      </w:r>
      <w:r>
        <w:t>.</w:t>
      </w:r>
      <w:r w:rsidR="00B6720E">
        <w:t xml:space="preserve">  The burden is based on feedback from jurisdictions funded by a previous funding opportunity that used a similar progress report which was modified for this funding opportunity</w:t>
      </w:r>
      <w:r w:rsidR="00827146">
        <w:t xml:space="preserve"> </w:t>
      </w:r>
      <w:r w:rsidR="00827146" w:rsidRPr="002B3A13">
        <w:rPr>
          <w:bCs/>
        </w:rPr>
        <w:t>opportu</w:t>
      </w:r>
      <w:r w:rsidR="00827146" w:rsidRPr="00766CB4">
        <w:rPr>
          <w:bCs/>
          <w:i/>
        </w:rPr>
        <w:t>nities (OMB# 0920-1155 - Monitoring and reporting systems for the prescription drug overdose prevention for states coop agreement).</w:t>
      </w:r>
      <w:r w:rsidR="00B6720E">
        <w:t xml:space="preserve">  </w:t>
      </w:r>
      <w:r w:rsidR="002E6D7B">
        <w:t xml:space="preserve">The </w:t>
      </w:r>
      <w:r w:rsidR="00803E96">
        <w:t xml:space="preserve">surveillance </w:t>
      </w:r>
      <w:r w:rsidR="002E6D7B">
        <w:t xml:space="preserve">data dissemination </w:t>
      </w:r>
      <w:r w:rsidR="005F3D02">
        <w:t>plan</w:t>
      </w:r>
      <w:r w:rsidR="002E6D7B" w:rsidRPr="00953289">
        <w:t xml:space="preserve"> </w:t>
      </w:r>
      <w:r w:rsidR="002E6D7B" w:rsidRPr="00302D06">
        <w:t xml:space="preserve">(attachment </w:t>
      </w:r>
      <w:r w:rsidR="00107B9A">
        <w:t>3d</w:t>
      </w:r>
      <w:r w:rsidR="002E6D7B" w:rsidRPr="00953289">
        <w:t>) is</w:t>
      </w:r>
      <w:r w:rsidR="002E6D7B">
        <w:t xml:space="preserve"> a </w:t>
      </w:r>
      <w:r w:rsidR="005F3D02">
        <w:t>web-based</w:t>
      </w:r>
      <w:r w:rsidR="002E6D7B">
        <w:t xml:space="preserve"> </w:t>
      </w:r>
      <w:r w:rsidR="008334C7">
        <w:t>tool</w:t>
      </w:r>
      <w:r w:rsidR="002E6D7B">
        <w:t xml:space="preserve">. The estimated burden per response </w:t>
      </w:r>
      <w:r w:rsidR="002E6D7B" w:rsidRPr="00ED069F">
        <w:t xml:space="preserve">is </w:t>
      </w:r>
      <w:r w:rsidR="00B6720E" w:rsidRPr="00B6720E">
        <w:t xml:space="preserve">1 </w:t>
      </w:r>
      <w:r w:rsidR="002E6D7B" w:rsidRPr="00ED069F">
        <w:t>hour</w:t>
      </w:r>
      <w:r w:rsidR="00190932">
        <w:t xml:space="preserve"> for the one-time submission</w:t>
      </w:r>
      <w:r w:rsidR="002E6D7B">
        <w:t>.</w:t>
      </w:r>
      <w:r w:rsidR="00B6720E">
        <w:t xml:space="preserve">  The burden is based on feedback from jurisdictions funded by a previous funding opportunity that used a similar template which was modified for this funding opportunity.  </w:t>
      </w:r>
    </w:p>
    <w:p w14:paraId="524E466D" w14:textId="0BC8D4A7" w:rsidR="002E6D7B" w:rsidRPr="00F729E0" w:rsidRDefault="002E6D7B" w:rsidP="00712712"/>
    <w:p w14:paraId="55B7C1D3" w14:textId="70D1D0E0" w:rsidR="00652AEE" w:rsidRPr="00D77313" w:rsidRDefault="00DA466F" w:rsidP="006845C4">
      <w:pPr>
        <w:rPr>
          <w:u w:val="single"/>
        </w:rPr>
      </w:pPr>
      <w:r>
        <w:t xml:space="preserve">The total </w:t>
      </w:r>
      <w:r w:rsidRPr="0022145E">
        <w:t xml:space="preserve">estimated annual burden for all </w:t>
      </w:r>
      <w:r w:rsidR="008B2DDC" w:rsidRPr="0022145E">
        <w:t>funded jurisdictions</w:t>
      </w:r>
      <w:r w:rsidRPr="0022145E">
        <w:t xml:space="preserve"> is</w:t>
      </w:r>
      <w:r w:rsidR="003B050B" w:rsidRPr="0022145E">
        <w:t xml:space="preserve"> </w:t>
      </w:r>
      <w:r>
        <w:t>summarized i</w:t>
      </w:r>
      <w:r w:rsidRPr="00953289">
        <w:t xml:space="preserve">n </w:t>
      </w:r>
      <w:r w:rsidRPr="00302D06">
        <w:t>Table A.</w:t>
      </w:r>
      <w:r w:rsidR="00E347D1" w:rsidRPr="00953289">
        <w:t xml:space="preserve"> </w:t>
      </w:r>
    </w:p>
    <w:p w14:paraId="10E600B2" w14:textId="77777777" w:rsidR="00DE47C0" w:rsidRDefault="00DE47C0" w:rsidP="00FC6810"/>
    <w:p w14:paraId="6F88B495" w14:textId="0527C0D2" w:rsidR="004C7E5A" w:rsidRDefault="00FC6810" w:rsidP="00FC6810">
      <w:r w:rsidRPr="00BC5AF9">
        <w:t>Table</w:t>
      </w:r>
      <w:r w:rsidR="0047053F">
        <w:t xml:space="preserve"> A</w:t>
      </w:r>
      <w:r w:rsidR="00524C11">
        <w:t xml:space="preserve"> - </w:t>
      </w:r>
      <w:r w:rsidR="00B6720E">
        <w:t xml:space="preserve"> Estimated</w:t>
      </w:r>
      <w:r w:rsidRPr="00BC5AF9">
        <w:t xml:space="preserve"> Annualized Burden Hours</w:t>
      </w:r>
      <w:r w:rsidR="00EF3BFE" w:rsidRPr="00BC5AF9">
        <w:t xml:space="preserve"> </w:t>
      </w: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402"/>
        <w:gridCol w:w="1396"/>
        <w:gridCol w:w="1301"/>
        <w:gridCol w:w="1083"/>
        <w:gridCol w:w="1377"/>
      </w:tblGrid>
      <w:tr w:rsidR="00042D1D" w:rsidRPr="00844B6A" w14:paraId="1421393B" w14:textId="77777777" w:rsidTr="00042D1D">
        <w:trPr>
          <w:trHeight w:val="1116"/>
        </w:trPr>
        <w:tc>
          <w:tcPr>
            <w:tcW w:w="799" w:type="pct"/>
            <w:shd w:val="clear" w:color="auto" w:fill="auto"/>
          </w:tcPr>
          <w:p w14:paraId="5A9F6339" w14:textId="77777777" w:rsidR="005A7131" w:rsidRPr="003B050B" w:rsidRDefault="005A7131" w:rsidP="008C251C">
            <w:pPr>
              <w:jc w:val="center"/>
            </w:pPr>
            <w:r w:rsidRPr="003B050B">
              <w:t>Type of respondents</w:t>
            </w:r>
          </w:p>
        </w:tc>
        <w:tc>
          <w:tcPr>
            <w:tcW w:w="1335" w:type="pct"/>
            <w:shd w:val="clear" w:color="auto" w:fill="auto"/>
          </w:tcPr>
          <w:p w14:paraId="2FAE5BB2" w14:textId="77777777" w:rsidR="005A7131" w:rsidRPr="003B050B" w:rsidRDefault="005A7131" w:rsidP="008C251C">
            <w:pPr>
              <w:jc w:val="center"/>
            </w:pPr>
            <w:r w:rsidRPr="003B050B">
              <w:t>Form Name</w:t>
            </w:r>
          </w:p>
        </w:tc>
        <w:tc>
          <w:tcPr>
            <w:tcW w:w="776" w:type="pct"/>
            <w:shd w:val="clear" w:color="auto" w:fill="auto"/>
          </w:tcPr>
          <w:p w14:paraId="4F009B46" w14:textId="77777777" w:rsidR="005A7131" w:rsidRPr="003B050B" w:rsidRDefault="005A7131" w:rsidP="008C251C">
            <w:pPr>
              <w:jc w:val="center"/>
            </w:pPr>
            <w:r w:rsidRPr="003B050B">
              <w:t>Number of respondents</w:t>
            </w:r>
          </w:p>
        </w:tc>
        <w:tc>
          <w:tcPr>
            <w:tcW w:w="723" w:type="pct"/>
            <w:shd w:val="clear" w:color="auto" w:fill="auto"/>
          </w:tcPr>
          <w:p w14:paraId="65519D93" w14:textId="78525AC1" w:rsidR="005A7131" w:rsidRPr="003B050B" w:rsidRDefault="005A7131" w:rsidP="008C251C">
            <w:pPr>
              <w:jc w:val="center"/>
            </w:pPr>
            <w:r w:rsidRPr="003B050B">
              <w:t>Number of responses per respondent</w:t>
            </w:r>
          </w:p>
          <w:p w14:paraId="071705BE" w14:textId="77777777" w:rsidR="005A7131" w:rsidRPr="003B050B" w:rsidRDefault="005A7131" w:rsidP="008C251C">
            <w:pPr>
              <w:jc w:val="center"/>
            </w:pPr>
          </w:p>
        </w:tc>
        <w:tc>
          <w:tcPr>
            <w:tcW w:w="602" w:type="pct"/>
            <w:shd w:val="clear" w:color="auto" w:fill="auto"/>
          </w:tcPr>
          <w:p w14:paraId="19440EBC" w14:textId="77777777" w:rsidR="005A7131" w:rsidRPr="003B050B" w:rsidRDefault="005A7131" w:rsidP="008C251C">
            <w:pPr>
              <w:jc w:val="center"/>
            </w:pPr>
            <w:r w:rsidRPr="003B050B">
              <w:t>Average burden per response (in hours)</w:t>
            </w:r>
          </w:p>
        </w:tc>
        <w:tc>
          <w:tcPr>
            <w:tcW w:w="765" w:type="pct"/>
            <w:shd w:val="clear" w:color="auto" w:fill="auto"/>
          </w:tcPr>
          <w:p w14:paraId="62F60B6D" w14:textId="77777777" w:rsidR="005A7131" w:rsidRPr="00F729E0" w:rsidRDefault="005A7131" w:rsidP="008C251C">
            <w:pPr>
              <w:jc w:val="center"/>
            </w:pPr>
            <w:r w:rsidRPr="003B050B">
              <w:t>Total burden (in hours)</w:t>
            </w:r>
          </w:p>
        </w:tc>
      </w:tr>
      <w:tr w:rsidR="005A7131" w:rsidRPr="00844B6A" w14:paraId="5D340D53" w14:textId="77777777" w:rsidTr="00B01A7E">
        <w:trPr>
          <w:trHeight w:val="260"/>
        </w:trPr>
        <w:tc>
          <w:tcPr>
            <w:tcW w:w="799" w:type="pct"/>
            <w:vMerge w:val="restart"/>
            <w:shd w:val="clear" w:color="auto" w:fill="auto"/>
          </w:tcPr>
          <w:p w14:paraId="599D3DBC" w14:textId="77777777" w:rsidR="005A7131" w:rsidRDefault="005A7131" w:rsidP="008C251C">
            <w:pPr>
              <w:jc w:val="center"/>
              <w:rPr>
                <w:color w:val="000000"/>
              </w:rPr>
            </w:pPr>
          </w:p>
          <w:p w14:paraId="00564312" w14:textId="79B20AA1" w:rsidR="005A7131" w:rsidRPr="00F729E0" w:rsidRDefault="0047053F" w:rsidP="008C251C">
            <w:pPr>
              <w:jc w:val="center"/>
            </w:pPr>
            <w:r>
              <w:t xml:space="preserve">Overdose </w:t>
            </w:r>
            <w:r w:rsidR="002F3ACF">
              <w:t>Data to Action funded jurisdictions (State, territories, counties and cities)  and their Designated Delegates</w:t>
            </w:r>
          </w:p>
        </w:tc>
        <w:tc>
          <w:tcPr>
            <w:tcW w:w="1335" w:type="pct"/>
            <w:shd w:val="clear" w:color="auto" w:fill="auto"/>
            <w:vAlign w:val="center"/>
          </w:tcPr>
          <w:p w14:paraId="0857C0FD" w14:textId="46F6B95F" w:rsidR="005A7131" w:rsidRPr="00F729E0" w:rsidRDefault="005A7131" w:rsidP="004F00CF">
            <w:pPr>
              <w:jc w:val="center"/>
            </w:pPr>
            <w:r>
              <w:t>Evaluation and Performance Measuring Plan Template</w:t>
            </w:r>
            <w:r w:rsidR="0011502F">
              <w:t xml:space="preserve"> </w:t>
            </w:r>
            <w:r w:rsidR="002667A3">
              <w:t>–</w:t>
            </w:r>
            <w:r w:rsidR="004F00CF">
              <w:t xml:space="preserve"> Initial Population</w:t>
            </w:r>
            <w:r w:rsidR="002667A3">
              <w:t xml:space="preserve"> </w:t>
            </w:r>
            <w:r w:rsidR="0011502F">
              <w:t>(</w:t>
            </w:r>
            <w:r w:rsidR="002667A3">
              <w:t xml:space="preserve">Att. </w:t>
            </w:r>
            <w:r w:rsidR="0011502F">
              <w:t xml:space="preserve"> 3a)</w:t>
            </w:r>
          </w:p>
        </w:tc>
        <w:tc>
          <w:tcPr>
            <w:tcW w:w="776" w:type="pct"/>
            <w:shd w:val="clear" w:color="auto" w:fill="auto"/>
          </w:tcPr>
          <w:p w14:paraId="088834BD" w14:textId="77777777" w:rsidR="00042D1D" w:rsidRDefault="00042D1D" w:rsidP="008C251C">
            <w:pPr>
              <w:jc w:val="center"/>
            </w:pPr>
          </w:p>
          <w:p w14:paraId="29936D46" w14:textId="6659498E" w:rsidR="005A7131" w:rsidRPr="00F729E0" w:rsidRDefault="004B6E3E" w:rsidP="008C251C">
            <w:pPr>
              <w:jc w:val="center"/>
            </w:pPr>
            <w:r>
              <w:t>22</w:t>
            </w:r>
          </w:p>
        </w:tc>
        <w:tc>
          <w:tcPr>
            <w:tcW w:w="723" w:type="pct"/>
            <w:shd w:val="clear" w:color="auto" w:fill="auto"/>
          </w:tcPr>
          <w:p w14:paraId="17D3E399" w14:textId="1E4831A9" w:rsidR="005A7131" w:rsidRDefault="005A7131" w:rsidP="008C251C">
            <w:pPr>
              <w:jc w:val="center"/>
            </w:pPr>
          </w:p>
          <w:p w14:paraId="36CF329F" w14:textId="77777777" w:rsidR="005A7131" w:rsidRPr="00F729E0" w:rsidRDefault="005A7131" w:rsidP="008C251C">
            <w:pPr>
              <w:jc w:val="center"/>
            </w:pPr>
            <w:r>
              <w:t>1</w:t>
            </w:r>
          </w:p>
        </w:tc>
        <w:tc>
          <w:tcPr>
            <w:tcW w:w="602" w:type="pct"/>
            <w:shd w:val="clear" w:color="auto" w:fill="auto"/>
          </w:tcPr>
          <w:p w14:paraId="45D5CB46" w14:textId="77777777" w:rsidR="005A7131" w:rsidRDefault="005A7131" w:rsidP="008C251C">
            <w:pPr>
              <w:jc w:val="center"/>
            </w:pPr>
          </w:p>
          <w:p w14:paraId="35E425EE" w14:textId="77777777" w:rsidR="005A7131" w:rsidRPr="00F729E0" w:rsidRDefault="005A7131" w:rsidP="008C251C">
            <w:pPr>
              <w:jc w:val="center"/>
            </w:pPr>
            <w:r>
              <w:t>12</w:t>
            </w:r>
          </w:p>
        </w:tc>
        <w:tc>
          <w:tcPr>
            <w:tcW w:w="765" w:type="pct"/>
            <w:shd w:val="clear" w:color="auto" w:fill="auto"/>
          </w:tcPr>
          <w:p w14:paraId="0C8FEBB6" w14:textId="77777777" w:rsidR="005A7131" w:rsidRDefault="005A7131" w:rsidP="008C251C">
            <w:pPr>
              <w:jc w:val="center"/>
            </w:pPr>
          </w:p>
          <w:p w14:paraId="08526D34" w14:textId="0A38D87A" w:rsidR="005A7131" w:rsidRPr="00F729E0" w:rsidRDefault="004B6E3E" w:rsidP="008C251C">
            <w:pPr>
              <w:jc w:val="center"/>
            </w:pPr>
            <w:r>
              <w:t>264</w:t>
            </w:r>
          </w:p>
        </w:tc>
      </w:tr>
      <w:tr w:rsidR="005A7131" w:rsidRPr="00844B6A" w14:paraId="0537966D" w14:textId="77777777" w:rsidTr="00042D1D">
        <w:trPr>
          <w:trHeight w:val="1116"/>
        </w:trPr>
        <w:tc>
          <w:tcPr>
            <w:tcW w:w="799" w:type="pct"/>
            <w:vMerge/>
            <w:shd w:val="clear" w:color="auto" w:fill="auto"/>
            <w:vAlign w:val="center"/>
          </w:tcPr>
          <w:p w14:paraId="30F01427" w14:textId="28C5E60D" w:rsidR="005A7131" w:rsidRDefault="005A7131" w:rsidP="008C251C">
            <w:pPr>
              <w:jc w:val="center"/>
              <w:rPr>
                <w:color w:val="000000"/>
              </w:rPr>
            </w:pPr>
          </w:p>
        </w:tc>
        <w:tc>
          <w:tcPr>
            <w:tcW w:w="1335" w:type="pct"/>
            <w:shd w:val="clear" w:color="auto" w:fill="auto"/>
            <w:vAlign w:val="center"/>
          </w:tcPr>
          <w:p w14:paraId="0541DE55" w14:textId="023246DC" w:rsidR="005A7131" w:rsidRDefault="005A7131" w:rsidP="00B01A7E">
            <w:pPr>
              <w:jc w:val="center"/>
            </w:pPr>
            <w:r>
              <w:t>Evaluation and Performance Measuring Plan Template</w:t>
            </w:r>
            <w:r w:rsidR="002667A3">
              <w:t xml:space="preserve"> </w:t>
            </w:r>
            <w:r w:rsidR="004F00CF">
              <w:t xml:space="preserve"> - Annual reporting </w:t>
            </w:r>
            <w:r w:rsidR="002667A3">
              <w:t>(Att. 3a)</w:t>
            </w:r>
          </w:p>
        </w:tc>
        <w:tc>
          <w:tcPr>
            <w:tcW w:w="776" w:type="pct"/>
            <w:shd w:val="clear" w:color="auto" w:fill="auto"/>
            <w:vAlign w:val="center"/>
          </w:tcPr>
          <w:p w14:paraId="4AFB2544" w14:textId="4D91FEE1" w:rsidR="005A7131" w:rsidRDefault="00042D1D" w:rsidP="008C251C">
            <w:pPr>
              <w:jc w:val="center"/>
            </w:pPr>
            <w:r>
              <w:t>66</w:t>
            </w:r>
          </w:p>
        </w:tc>
        <w:tc>
          <w:tcPr>
            <w:tcW w:w="723" w:type="pct"/>
            <w:shd w:val="clear" w:color="auto" w:fill="auto"/>
            <w:vAlign w:val="center"/>
          </w:tcPr>
          <w:p w14:paraId="1FD178FF" w14:textId="3F9579FC" w:rsidR="005A7131" w:rsidRDefault="005A7131" w:rsidP="008C251C">
            <w:pPr>
              <w:jc w:val="center"/>
            </w:pPr>
            <w:r>
              <w:rPr>
                <w:color w:val="000000"/>
              </w:rPr>
              <w:t>1</w:t>
            </w:r>
          </w:p>
        </w:tc>
        <w:tc>
          <w:tcPr>
            <w:tcW w:w="602" w:type="pct"/>
            <w:shd w:val="clear" w:color="auto" w:fill="auto"/>
            <w:vAlign w:val="center"/>
          </w:tcPr>
          <w:p w14:paraId="421B9991" w14:textId="77777777" w:rsidR="005A7131" w:rsidRDefault="005A7131" w:rsidP="008C251C">
            <w:pPr>
              <w:jc w:val="center"/>
            </w:pPr>
            <w:r>
              <w:rPr>
                <w:color w:val="000000"/>
              </w:rPr>
              <w:t>4</w:t>
            </w:r>
          </w:p>
        </w:tc>
        <w:tc>
          <w:tcPr>
            <w:tcW w:w="765" w:type="pct"/>
            <w:shd w:val="clear" w:color="auto" w:fill="auto"/>
            <w:vAlign w:val="center"/>
          </w:tcPr>
          <w:p w14:paraId="37DF1BBB" w14:textId="44692B70" w:rsidR="005A7131" w:rsidRDefault="00042D1D" w:rsidP="008C251C">
            <w:pPr>
              <w:jc w:val="center"/>
            </w:pPr>
            <w:r>
              <w:rPr>
                <w:color w:val="000000"/>
              </w:rPr>
              <w:t>264</w:t>
            </w:r>
          </w:p>
        </w:tc>
      </w:tr>
      <w:tr w:rsidR="005A7131" w:rsidRPr="00844B6A" w14:paraId="006D02A8" w14:textId="77777777" w:rsidTr="00042D1D">
        <w:trPr>
          <w:trHeight w:val="935"/>
        </w:trPr>
        <w:tc>
          <w:tcPr>
            <w:tcW w:w="799" w:type="pct"/>
            <w:vMerge/>
            <w:shd w:val="clear" w:color="auto" w:fill="auto"/>
            <w:vAlign w:val="center"/>
          </w:tcPr>
          <w:p w14:paraId="40927DA2" w14:textId="4A0473C8" w:rsidR="005A7131" w:rsidRPr="00934FFF" w:rsidRDefault="005A7131" w:rsidP="008C251C">
            <w:pPr>
              <w:jc w:val="center"/>
              <w:rPr>
                <w:highlight w:val="green"/>
              </w:rPr>
            </w:pPr>
          </w:p>
        </w:tc>
        <w:tc>
          <w:tcPr>
            <w:tcW w:w="1335" w:type="pct"/>
            <w:shd w:val="clear" w:color="auto" w:fill="auto"/>
            <w:vAlign w:val="center"/>
          </w:tcPr>
          <w:p w14:paraId="4EEA85DE" w14:textId="4ED64065" w:rsidR="005A7131" w:rsidRPr="00C03331" w:rsidRDefault="005A7131" w:rsidP="008C251C">
            <w:pPr>
              <w:jc w:val="center"/>
            </w:pPr>
            <w:r w:rsidRPr="00C03331">
              <w:t>Organizational Capacity Assessment</w:t>
            </w:r>
            <w:r w:rsidR="0011502F">
              <w:t xml:space="preserve"> </w:t>
            </w:r>
            <w:r w:rsidR="00DE5953">
              <w:t xml:space="preserve">- Initial Population </w:t>
            </w:r>
            <w:r w:rsidR="0011502F">
              <w:t>(attachment 3b)</w:t>
            </w:r>
          </w:p>
        </w:tc>
        <w:tc>
          <w:tcPr>
            <w:tcW w:w="776" w:type="pct"/>
            <w:shd w:val="clear" w:color="auto" w:fill="auto"/>
            <w:vAlign w:val="center"/>
          </w:tcPr>
          <w:p w14:paraId="161E8392" w14:textId="6243594B" w:rsidR="005A7131" w:rsidRPr="00C03331" w:rsidRDefault="00DE5953" w:rsidP="008C251C">
            <w:pPr>
              <w:jc w:val="center"/>
              <w:rPr>
                <w:color w:val="000000"/>
              </w:rPr>
            </w:pPr>
            <w:r>
              <w:t>22</w:t>
            </w:r>
          </w:p>
        </w:tc>
        <w:tc>
          <w:tcPr>
            <w:tcW w:w="723" w:type="pct"/>
            <w:shd w:val="clear" w:color="auto" w:fill="auto"/>
            <w:vAlign w:val="center"/>
          </w:tcPr>
          <w:p w14:paraId="2BAA3D6D" w14:textId="0D19162B" w:rsidR="005A7131" w:rsidRPr="00C03331" w:rsidRDefault="005A7131" w:rsidP="008C251C">
            <w:pPr>
              <w:jc w:val="center"/>
              <w:rPr>
                <w:color w:val="000000"/>
              </w:rPr>
            </w:pPr>
            <w:r w:rsidRPr="00C03331">
              <w:rPr>
                <w:color w:val="000000"/>
              </w:rPr>
              <w:t>1</w:t>
            </w:r>
          </w:p>
        </w:tc>
        <w:tc>
          <w:tcPr>
            <w:tcW w:w="602" w:type="pct"/>
            <w:shd w:val="clear" w:color="auto" w:fill="auto"/>
            <w:vAlign w:val="center"/>
          </w:tcPr>
          <w:p w14:paraId="3D0339B7" w14:textId="5DD51520" w:rsidR="005A7131" w:rsidRPr="00C03331" w:rsidRDefault="002F42F1" w:rsidP="008C251C">
            <w:pPr>
              <w:jc w:val="center"/>
              <w:rPr>
                <w:color w:val="000000"/>
              </w:rPr>
            </w:pPr>
            <w:r>
              <w:rPr>
                <w:color w:val="000000"/>
              </w:rPr>
              <w:t>1</w:t>
            </w:r>
          </w:p>
        </w:tc>
        <w:tc>
          <w:tcPr>
            <w:tcW w:w="765" w:type="pct"/>
            <w:shd w:val="clear" w:color="auto" w:fill="auto"/>
            <w:vAlign w:val="center"/>
          </w:tcPr>
          <w:p w14:paraId="448A15A4" w14:textId="176674F1" w:rsidR="005A7131" w:rsidRPr="00C03331" w:rsidRDefault="00DE5953" w:rsidP="00042D1D">
            <w:pPr>
              <w:jc w:val="center"/>
              <w:rPr>
                <w:color w:val="000000"/>
              </w:rPr>
            </w:pPr>
            <w:r>
              <w:rPr>
                <w:color w:val="000000"/>
              </w:rPr>
              <w:t>22</w:t>
            </w:r>
          </w:p>
        </w:tc>
      </w:tr>
      <w:tr w:rsidR="00DE5953" w:rsidRPr="00844B6A" w14:paraId="1730EB76" w14:textId="77777777" w:rsidTr="00042D1D">
        <w:trPr>
          <w:trHeight w:val="935"/>
        </w:trPr>
        <w:tc>
          <w:tcPr>
            <w:tcW w:w="799" w:type="pct"/>
            <w:vMerge/>
            <w:shd w:val="clear" w:color="auto" w:fill="auto"/>
            <w:vAlign w:val="center"/>
          </w:tcPr>
          <w:p w14:paraId="190E9B3E" w14:textId="77777777" w:rsidR="00DE5953" w:rsidRPr="00934FFF" w:rsidRDefault="00DE5953" w:rsidP="00DE5953">
            <w:pPr>
              <w:jc w:val="center"/>
              <w:rPr>
                <w:highlight w:val="green"/>
              </w:rPr>
            </w:pPr>
          </w:p>
        </w:tc>
        <w:tc>
          <w:tcPr>
            <w:tcW w:w="1335" w:type="pct"/>
            <w:shd w:val="clear" w:color="auto" w:fill="auto"/>
            <w:vAlign w:val="center"/>
          </w:tcPr>
          <w:p w14:paraId="60666BDE" w14:textId="2061E57D" w:rsidR="00DE5953" w:rsidRPr="00C03331" w:rsidRDefault="00DE5953" w:rsidP="00DE5953">
            <w:pPr>
              <w:jc w:val="center"/>
            </w:pPr>
            <w:r w:rsidRPr="00C03331">
              <w:t>Organizational Capacity Assessment</w:t>
            </w:r>
            <w:r>
              <w:t xml:space="preserve"> - Annual Reporting (attachment 3b)</w:t>
            </w:r>
          </w:p>
        </w:tc>
        <w:tc>
          <w:tcPr>
            <w:tcW w:w="776" w:type="pct"/>
            <w:shd w:val="clear" w:color="auto" w:fill="auto"/>
            <w:vAlign w:val="center"/>
          </w:tcPr>
          <w:p w14:paraId="54451563" w14:textId="22486A7F" w:rsidR="00DE5953" w:rsidRDefault="00DE5953" w:rsidP="00DE5953">
            <w:pPr>
              <w:jc w:val="center"/>
            </w:pPr>
            <w:r>
              <w:t>66</w:t>
            </w:r>
          </w:p>
        </w:tc>
        <w:tc>
          <w:tcPr>
            <w:tcW w:w="723" w:type="pct"/>
            <w:shd w:val="clear" w:color="auto" w:fill="auto"/>
            <w:vAlign w:val="center"/>
          </w:tcPr>
          <w:p w14:paraId="79526CD3" w14:textId="4F2A433B" w:rsidR="00DE5953" w:rsidRPr="00C03331" w:rsidRDefault="00DE5953" w:rsidP="00DE5953">
            <w:pPr>
              <w:jc w:val="center"/>
              <w:rPr>
                <w:color w:val="000000"/>
              </w:rPr>
            </w:pPr>
            <w:r w:rsidRPr="00C03331">
              <w:rPr>
                <w:color w:val="000000"/>
              </w:rPr>
              <w:t>1</w:t>
            </w:r>
          </w:p>
        </w:tc>
        <w:tc>
          <w:tcPr>
            <w:tcW w:w="602" w:type="pct"/>
            <w:shd w:val="clear" w:color="auto" w:fill="auto"/>
            <w:vAlign w:val="center"/>
          </w:tcPr>
          <w:p w14:paraId="6A25D023" w14:textId="23621802" w:rsidR="00DE5953" w:rsidRDefault="00DE5953" w:rsidP="00DE5953">
            <w:pPr>
              <w:jc w:val="center"/>
              <w:rPr>
                <w:color w:val="000000"/>
              </w:rPr>
            </w:pPr>
            <w:r>
              <w:rPr>
                <w:color w:val="000000"/>
              </w:rPr>
              <w:t>1</w:t>
            </w:r>
          </w:p>
        </w:tc>
        <w:tc>
          <w:tcPr>
            <w:tcW w:w="765" w:type="pct"/>
            <w:shd w:val="clear" w:color="auto" w:fill="auto"/>
            <w:vAlign w:val="center"/>
          </w:tcPr>
          <w:p w14:paraId="47AEC7B9" w14:textId="053FDBF2" w:rsidR="00DE5953" w:rsidRDefault="00DE5953" w:rsidP="00DE5953">
            <w:pPr>
              <w:jc w:val="center"/>
              <w:rPr>
                <w:color w:val="000000"/>
              </w:rPr>
            </w:pPr>
            <w:r>
              <w:rPr>
                <w:color w:val="000000"/>
              </w:rPr>
              <w:t>66</w:t>
            </w:r>
          </w:p>
        </w:tc>
      </w:tr>
      <w:tr w:rsidR="00DE5953" w:rsidRPr="00844B6A" w14:paraId="56F9E315" w14:textId="77777777" w:rsidTr="00042D1D">
        <w:trPr>
          <w:trHeight w:val="935"/>
        </w:trPr>
        <w:tc>
          <w:tcPr>
            <w:tcW w:w="799" w:type="pct"/>
            <w:vMerge/>
            <w:shd w:val="clear" w:color="auto" w:fill="auto"/>
            <w:vAlign w:val="center"/>
          </w:tcPr>
          <w:p w14:paraId="710BA4D8" w14:textId="2B656F11" w:rsidR="00DE5953" w:rsidRDefault="00DE5953" w:rsidP="00DE5953">
            <w:pPr>
              <w:jc w:val="center"/>
            </w:pPr>
          </w:p>
        </w:tc>
        <w:tc>
          <w:tcPr>
            <w:tcW w:w="1335" w:type="pct"/>
            <w:shd w:val="clear" w:color="auto" w:fill="auto"/>
            <w:vAlign w:val="center"/>
          </w:tcPr>
          <w:p w14:paraId="66BFED0D" w14:textId="39524F32" w:rsidR="00DE5953" w:rsidRDefault="00DE5953" w:rsidP="00DE5953">
            <w:pPr>
              <w:jc w:val="center"/>
            </w:pPr>
            <w:r>
              <w:t xml:space="preserve">Activity Progress Report and Work Plan Tool – Initial Population (Att.  3c) </w:t>
            </w:r>
          </w:p>
        </w:tc>
        <w:tc>
          <w:tcPr>
            <w:tcW w:w="776" w:type="pct"/>
            <w:shd w:val="clear" w:color="auto" w:fill="auto"/>
            <w:vAlign w:val="center"/>
          </w:tcPr>
          <w:p w14:paraId="6BF5F764" w14:textId="25B50755" w:rsidR="00DE5953" w:rsidRDefault="00DE5953" w:rsidP="00DE5953">
            <w:pPr>
              <w:jc w:val="center"/>
              <w:rPr>
                <w:color w:val="000000"/>
              </w:rPr>
            </w:pPr>
            <w:r>
              <w:t>22</w:t>
            </w:r>
          </w:p>
        </w:tc>
        <w:tc>
          <w:tcPr>
            <w:tcW w:w="723" w:type="pct"/>
            <w:shd w:val="clear" w:color="auto" w:fill="auto"/>
            <w:vAlign w:val="center"/>
          </w:tcPr>
          <w:p w14:paraId="5620B834" w14:textId="7F00786F" w:rsidR="00DE5953" w:rsidRPr="00F729E0" w:rsidRDefault="00DE5953" w:rsidP="00DE5953">
            <w:pPr>
              <w:jc w:val="center"/>
              <w:rPr>
                <w:color w:val="000000"/>
              </w:rPr>
            </w:pPr>
            <w:r>
              <w:rPr>
                <w:color w:val="000000"/>
              </w:rPr>
              <w:t>1</w:t>
            </w:r>
          </w:p>
        </w:tc>
        <w:tc>
          <w:tcPr>
            <w:tcW w:w="602" w:type="pct"/>
            <w:shd w:val="clear" w:color="auto" w:fill="auto"/>
            <w:vAlign w:val="center"/>
          </w:tcPr>
          <w:p w14:paraId="40478CEA" w14:textId="2CE71D60" w:rsidR="00DE5953" w:rsidRPr="00F729E0" w:rsidRDefault="00DE5953" w:rsidP="00DE5953">
            <w:pPr>
              <w:jc w:val="center"/>
              <w:rPr>
                <w:color w:val="000000"/>
              </w:rPr>
            </w:pPr>
            <w:r>
              <w:rPr>
                <w:color w:val="000000"/>
              </w:rPr>
              <w:t>20</w:t>
            </w:r>
          </w:p>
        </w:tc>
        <w:tc>
          <w:tcPr>
            <w:tcW w:w="765" w:type="pct"/>
            <w:shd w:val="clear" w:color="auto" w:fill="auto"/>
            <w:vAlign w:val="center"/>
          </w:tcPr>
          <w:p w14:paraId="13F5C7AD" w14:textId="395EA904" w:rsidR="00DE5953" w:rsidRPr="00F729E0" w:rsidRDefault="00DE5953" w:rsidP="00DE5953">
            <w:pPr>
              <w:jc w:val="center"/>
              <w:rPr>
                <w:color w:val="000000"/>
              </w:rPr>
            </w:pPr>
            <w:r>
              <w:rPr>
                <w:color w:val="000000"/>
              </w:rPr>
              <w:t>440</w:t>
            </w:r>
          </w:p>
        </w:tc>
      </w:tr>
      <w:tr w:rsidR="00DE5953" w:rsidRPr="00844B6A" w14:paraId="579B3C76" w14:textId="77777777" w:rsidTr="00042D1D">
        <w:trPr>
          <w:trHeight w:val="935"/>
        </w:trPr>
        <w:tc>
          <w:tcPr>
            <w:tcW w:w="799" w:type="pct"/>
            <w:vMerge/>
            <w:shd w:val="clear" w:color="auto" w:fill="auto"/>
            <w:vAlign w:val="center"/>
          </w:tcPr>
          <w:p w14:paraId="5D9802FF" w14:textId="77777777" w:rsidR="00DE5953" w:rsidRPr="00ED069F" w:rsidRDefault="00DE5953" w:rsidP="00DE5953">
            <w:pPr>
              <w:jc w:val="center"/>
              <w:rPr>
                <w:color w:val="000000"/>
              </w:rPr>
            </w:pPr>
          </w:p>
        </w:tc>
        <w:tc>
          <w:tcPr>
            <w:tcW w:w="1335" w:type="pct"/>
            <w:shd w:val="clear" w:color="auto" w:fill="auto"/>
            <w:vAlign w:val="center"/>
          </w:tcPr>
          <w:p w14:paraId="2BB7DAE3" w14:textId="3A11C438" w:rsidR="00DE5953" w:rsidRPr="00ED069F" w:rsidRDefault="00DE5953" w:rsidP="00DE5953">
            <w:pPr>
              <w:jc w:val="center"/>
            </w:pPr>
            <w:r>
              <w:t>Activity Progress Report and Work Plan Tool – Annual Reporting (Att.  3c)</w:t>
            </w:r>
          </w:p>
        </w:tc>
        <w:tc>
          <w:tcPr>
            <w:tcW w:w="776" w:type="pct"/>
            <w:shd w:val="clear" w:color="auto" w:fill="auto"/>
            <w:vAlign w:val="center"/>
          </w:tcPr>
          <w:p w14:paraId="4754FFAB" w14:textId="2935440D" w:rsidR="00DE5953" w:rsidRDefault="00DE5953" w:rsidP="00DE5953">
            <w:pPr>
              <w:jc w:val="center"/>
            </w:pPr>
            <w:r>
              <w:t>66</w:t>
            </w:r>
          </w:p>
        </w:tc>
        <w:tc>
          <w:tcPr>
            <w:tcW w:w="723" w:type="pct"/>
            <w:shd w:val="clear" w:color="auto" w:fill="auto"/>
            <w:vAlign w:val="center"/>
          </w:tcPr>
          <w:p w14:paraId="22E12EB8" w14:textId="391050A1" w:rsidR="00DE5953" w:rsidRPr="00ED069F" w:rsidRDefault="00DE5953" w:rsidP="00DE5953">
            <w:pPr>
              <w:jc w:val="center"/>
              <w:rPr>
                <w:color w:val="000000"/>
              </w:rPr>
            </w:pPr>
            <w:r>
              <w:rPr>
                <w:color w:val="000000"/>
              </w:rPr>
              <w:t>1</w:t>
            </w:r>
          </w:p>
        </w:tc>
        <w:tc>
          <w:tcPr>
            <w:tcW w:w="602" w:type="pct"/>
            <w:shd w:val="clear" w:color="auto" w:fill="auto"/>
            <w:vAlign w:val="center"/>
          </w:tcPr>
          <w:p w14:paraId="33CA1C64" w14:textId="13BC716C" w:rsidR="00DE5953" w:rsidRPr="00ED069F" w:rsidRDefault="00DE5953" w:rsidP="00DE5953">
            <w:pPr>
              <w:jc w:val="center"/>
              <w:rPr>
                <w:color w:val="000000"/>
              </w:rPr>
            </w:pPr>
            <w:r>
              <w:rPr>
                <w:color w:val="000000"/>
              </w:rPr>
              <w:t>4</w:t>
            </w:r>
          </w:p>
        </w:tc>
        <w:tc>
          <w:tcPr>
            <w:tcW w:w="765" w:type="pct"/>
            <w:shd w:val="clear" w:color="auto" w:fill="auto"/>
            <w:vAlign w:val="center"/>
          </w:tcPr>
          <w:p w14:paraId="6BAFF01B" w14:textId="2B81E832" w:rsidR="00DE5953" w:rsidRDefault="00DE5953" w:rsidP="00DE5953">
            <w:pPr>
              <w:jc w:val="center"/>
              <w:rPr>
                <w:color w:val="000000"/>
              </w:rPr>
            </w:pPr>
            <w:r>
              <w:rPr>
                <w:color w:val="000000"/>
              </w:rPr>
              <w:t>264</w:t>
            </w:r>
          </w:p>
        </w:tc>
      </w:tr>
      <w:tr w:rsidR="00DE5953" w:rsidRPr="00844B6A" w14:paraId="566B6B14" w14:textId="77777777" w:rsidTr="00042D1D">
        <w:trPr>
          <w:trHeight w:val="935"/>
        </w:trPr>
        <w:tc>
          <w:tcPr>
            <w:tcW w:w="799" w:type="pct"/>
            <w:vMerge/>
            <w:shd w:val="clear" w:color="auto" w:fill="auto"/>
            <w:vAlign w:val="center"/>
          </w:tcPr>
          <w:p w14:paraId="4B896F0D" w14:textId="6D057B27" w:rsidR="00DE5953" w:rsidRPr="00ED069F" w:rsidRDefault="00DE5953" w:rsidP="00DE5953">
            <w:pPr>
              <w:jc w:val="center"/>
              <w:rPr>
                <w:color w:val="000000"/>
              </w:rPr>
            </w:pPr>
          </w:p>
        </w:tc>
        <w:tc>
          <w:tcPr>
            <w:tcW w:w="1335" w:type="pct"/>
            <w:shd w:val="clear" w:color="auto" w:fill="auto"/>
            <w:vAlign w:val="center"/>
          </w:tcPr>
          <w:p w14:paraId="72761811" w14:textId="4BFD917B" w:rsidR="00DE5953" w:rsidRPr="00ED069F" w:rsidRDefault="00DE5953" w:rsidP="00DE5953">
            <w:pPr>
              <w:jc w:val="center"/>
            </w:pPr>
            <w:r w:rsidRPr="00ED069F">
              <w:t>Surveillance Data Dissemination Plan T</w:t>
            </w:r>
            <w:r>
              <w:t>ool (attachment 3d)</w:t>
            </w:r>
          </w:p>
        </w:tc>
        <w:tc>
          <w:tcPr>
            <w:tcW w:w="776" w:type="pct"/>
            <w:shd w:val="clear" w:color="auto" w:fill="auto"/>
            <w:vAlign w:val="center"/>
          </w:tcPr>
          <w:p w14:paraId="378635EB" w14:textId="5C10FB66" w:rsidR="00DE5953" w:rsidRPr="00ED069F" w:rsidRDefault="00DE5953" w:rsidP="00DE5953">
            <w:pPr>
              <w:jc w:val="center"/>
              <w:rPr>
                <w:color w:val="000000"/>
              </w:rPr>
            </w:pPr>
            <w:r>
              <w:t>22</w:t>
            </w:r>
          </w:p>
        </w:tc>
        <w:tc>
          <w:tcPr>
            <w:tcW w:w="723" w:type="pct"/>
            <w:shd w:val="clear" w:color="auto" w:fill="auto"/>
            <w:vAlign w:val="center"/>
          </w:tcPr>
          <w:p w14:paraId="32CF4805" w14:textId="720408EE" w:rsidR="00DE5953" w:rsidRPr="00ED069F" w:rsidRDefault="00DE5953" w:rsidP="00DE5953">
            <w:pPr>
              <w:jc w:val="center"/>
              <w:rPr>
                <w:color w:val="000000"/>
              </w:rPr>
            </w:pPr>
            <w:r w:rsidRPr="00ED069F">
              <w:rPr>
                <w:color w:val="000000"/>
              </w:rPr>
              <w:t>1</w:t>
            </w:r>
          </w:p>
        </w:tc>
        <w:tc>
          <w:tcPr>
            <w:tcW w:w="602" w:type="pct"/>
            <w:shd w:val="clear" w:color="auto" w:fill="auto"/>
            <w:vAlign w:val="center"/>
          </w:tcPr>
          <w:p w14:paraId="550AC4E0" w14:textId="77777777" w:rsidR="00DE5953" w:rsidRPr="00ED069F" w:rsidRDefault="00DE5953" w:rsidP="00DE5953">
            <w:pPr>
              <w:jc w:val="center"/>
              <w:rPr>
                <w:color w:val="000000"/>
              </w:rPr>
            </w:pPr>
            <w:r w:rsidRPr="00ED069F">
              <w:rPr>
                <w:color w:val="000000"/>
              </w:rPr>
              <w:t>1</w:t>
            </w:r>
          </w:p>
        </w:tc>
        <w:tc>
          <w:tcPr>
            <w:tcW w:w="765" w:type="pct"/>
            <w:shd w:val="clear" w:color="auto" w:fill="auto"/>
            <w:vAlign w:val="center"/>
          </w:tcPr>
          <w:p w14:paraId="192FB625" w14:textId="65F4244A" w:rsidR="00DE5953" w:rsidRPr="00ED069F" w:rsidRDefault="00DE5953" w:rsidP="00DE5953">
            <w:pPr>
              <w:jc w:val="center"/>
              <w:rPr>
                <w:color w:val="000000"/>
              </w:rPr>
            </w:pPr>
            <w:r>
              <w:rPr>
                <w:color w:val="000000"/>
              </w:rPr>
              <w:t>22</w:t>
            </w:r>
          </w:p>
        </w:tc>
      </w:tr>
      <w:tr w:rsidR="00DE5953" w:rsidRPr="0085100A" w14:paraId="60027808" w14:textId="77777777" w:rsidTr="002F3ACF">
        <w:trPr>
          <w:trHeight w:val="386"/>
        </w:trPr>
        <w:tc>
          <w:tcPr>
            <w:tcW w:w="4235" w:type="pct"/>
            <w:gridSpan w:val="5"/>
            <w:shd w:val="clear" w:color="auto" w:fill="auto"/>
          </w:tcPr>
          <w:p w14:paraId="723A22A2" w14:textId="3DDB9AF5" w:rsidR="00DE5953" w:rsidRDefault="00DE5953" w:rsidP="00DE5953">
            <w:pPr>
              <w:jc w:val="right"/>
              <w:rPr>
                <w:color w:val="000000"/>
              </w:rPr>
            </w:pPr>
            <w:r>
              <w:rPr>
                <w:color w:val="000000"/>
              </w:rPr>
              <w:t>Total</w:t>
            </w:r>
          </w:p>
        </w:tc>
        <w:tc>
          <w:tcPr>
            <w:tcW w:w="765" w:type="pct"/>
            <w:shd w:val="clear" w:color="auto" w:fill="auto"/>
          </w:tcPr>
          <w:p w14:paraId="6FE5DAA9" w14:textId="7CA61376" w:rsidR="00DE5953" w:rsidRPr="0085100A" w:rsidRDefault="00DE5953" w:rsidP="00DE5953">
            <w:pPr>
              <w:jc w:val="center"/>
              <w:rPr>
                <w:color w:val="000000"/>
              </w:rPr>
            </w:pPr>
            <w:r>
              <w:rPr>
                <w:color w:val="000000"/>
              </w:rPr>
              <w:t>1</w:t>
            </w:r>
            <w:r w:rsidR="00B01A7E">
              <w:rPr>
                <w:color w:val="000000"/>
              </w:rPr>
              <w:t>,</w:t>
            </w:r>
            <w:r>
              <w:rPr>
                <w:color w:val="000000"/>
              </w:rPr>
              <w:t>3</w:t>
            </w:r>
            <w:r w:rsidR="00B01A7E">
              <w:rPr>
                <w:color w:val="000000"/>
              </w:rPr>
              <w:t>42</w:t>
            </w:r>
          </w:p>
        </w:tc>
      </w:tr>
    </w:tbl>
    <w:p w14:paraId="62B55653" w14:textId="39485363" w:rsidR="00FC6810" w:rsidRPr="00BC5AF9" w:rsidRDefault="00FC6810" w:rsidP="00FC6810"/>
    <w:p w14:paraId="24B16D8C" w14:textId="77777777" w:rsidR="00D71E36" w:rsidRPr="0047053F" w:rsidRDefault="00D71E36" w:rsidP="00D71E36">
      <w:pPr>
        <w:pStyle w:val="Heading3"/>
        <w:rPr>
          <w:b w:val="0"/>
        </w:rPr>
      </w:pPr>
      <w:bookmarkStart w:id="3" w:name="_Toc447176436"/>
      <w:bookmarkStart w:id="4" w:name="_Toc7592397"/>
      <w:r w:rsidRPr="0047053F">
        <w:rPr>
          <w:b w:val="0"/>
        </w:rPr>
        <w:t xml:space="preserve">A.12.b)  Annual </w:t>
      </w:r>
      <w:bookmarkEnd w:id="3"/>
      <w:r w:rsidRPr="0047053F">
        <w:rPr>
          <w:b w:val="0"/>
        </w:rPr>
        <w:t>Burden Costs</w:t>
      </w:r>
      <w:bookmarkEnd w:id="4"/>
      <w:r w:rsidRPr="0047053F">
        <w:rPr>
          <w:b w:val="0"/>
        </w:rPr>
        <w:t xml:space="preserve"> </w:t>
      </w:r>
    </w:p>
    <w:p w14:paraId="6FCC0BF3" w14:textId="77777777" w:rsidR="00A030E6" w:rsidRDefault="00A030E6" w:rsidP="00A030E6">
      <w:pPr>
        <w:pStyle w:val="a"/>
        <w:tabs>
          <w:tab w:val="left" w:pos="-1440"/>
        </w:tabs>
        <w:ind w:left="0" w:firstLine="0"/>
      </w:pPr>
    </w:p>
    <w:p w14:paraId="36D6FAB5" w14:textId="4638CB19" w:rsidR="004B157A" w:rsidRPr="00867B5E" w:rsidRDefault="00D71E36" w:rsidP="00A030E6">
      <w:r w:rsidRPr="00D71E36">
        <w:t xml:space="preserve"> </w:t>
      </w:r>
      <w:r>
        <w:t xml:space="preserve">Respondents will be health department </w:t>
      </w:r>
      <w:r w:rsidRPr="0085100A">
        <w:t xml:space="preserve">program </w:t>
      </w:r>
      <w:r>
        <w:t xml:space="preserve">staff or designated delegate, who are program managers or </w:t>
      </w:r>
      <w:r w:rsidR="00D86EDE" w:rsidRPr="00D50B24">
        <w:t>several types of staff</w:t>
      </w:r>
      <w:r>
        <w:t>.</w:t>
      </w:r>
      <w:r w:rsidR="00D86EDE" w:rsidRPr="00D50B24">
        <w:t xml:space="preserve"> </w:t>
      </w:r>
      <w:r w:rsidR="008F7ACD">
        <w:t>Program manager</w:t>
      </w:r>
      <w:r w:rsidR="00D92080" w:rsidRPr="00D50B24">
        <w:t xml:space="preserve"> salaries vary widely based on actual title and institution</w:t>
      </w:r>
      <w:r>
        <w:t xml:space="preserve"> </w:t>
      </w:r>
      <w:r w:rsidR="00D50B24">
        <w:t>The salary of</w:t>
      </w:r>
      <w:r w:rsidR="008F7ACD">
        <w:t xml:space="preserve"> an</w:t>
      </w:r>
      <w:r w:rsidR="00D50B24">
        <w:t xml:space="preserve"> </w:t>
      </w:r>
      <w:r w:rsidR="008F7ACD">
        <w:t>e</w:t>
      </w:r>
      <w:r w:rsidR="00D50B24">
        <w:t>valuator</w:t>
      </w:r>
      <w:r w:rsidR="008F7ACD">
        <w:t xml:space="preserve"> also varies based on title and institution. The average hourly wage for an evaluator is $33.34. </w:t>
      </w:r>
      <w:r w:rsidR="004B157A" w:rsidRPr="00D50B24">
        <w:t xml:space="preserve"> The total estimated cost over three years annualized is </w:t>
      </w:r>
      <w:r w:rsidR="004B157A" w:rsidRPr="00F0496F">
        <w:t>$</w:t>
      </w:r>
      <w:r w:rsidR="002312FB">
        <w:rPr>
          <w:color w:val="000000"/>
        </w:rPr>
        <w:t>44,742</w:t>
      </w:r>
      <w:r w:rsidR="00A92B46">
        <w:rPr>
          <w:color w:val="000000"/>
        </w:rPr>
        <w:t xml:space="preserve"> </w:t>
      </w:r>
      <w:r w:rsidR="004B157A" w:rsidRPr="00867B5E">
        <w:t>as summarized in Table B.</w:t>
      </w:r>
    </w:p>
    <w:p w14:paraId="705CD003" w14:textId="77777777" w:rsidR="008E4E00" w:rsidRPr="00867B5E" w:rsidRDefault="008E4E00" w:rsidP="00A030E6"/>
    <w:p w14:paraId="33A4F043" w14:textId="040560AF" w:rsidR="008E4E00" w:rsidRDefault="00F200B4" w:rsidP="00A030E6">
      <w:r w:rsidRPr="00867B5E">
        <w:rPr>
          <w:bCs/>
        </w:rPr>
        <w:t>Table B.</w:t>
      </w:r>
      <w:r w:rsidRPr="00867B5E">
        <w:t xml:space="preserve"> Estimated Annualized Burden Costs</w:t>
      </w:r>
      <w:r w:rsidR="00677F91" w:rsidRPr="00867B5E">
        <w:t xml:space="preserve"> –</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226"/>
        <w:gridCol w:w="1101"/>
        <w:gridCol w:w="1655"/>
        <w:gridCol w:w="1567"/>
      </w:tblGrid>
      <w:tr w:rsidR="004C7E5A" w:rsidRPr="000F1232" w14:paraId="077234A1" w14:textId="77777777" w:rsidTr="00F0496F">
        <w:trPr>
          <w:trHeight w:val="1116"/>
          <w:jc w:val="center"/>
        </w:trPr>
        <w:tc>
          <w:tcPr>
            <w:tcW w:w="935" w:type="pct"/>
            <w:shd w:val="clear" w:color="auto" w:fill="auto"/>
          </w:tcPr>
          <w:p w14:paraId="29EF3963" w14:textId="77777777" w:rsidR="004C7E5A" w:rsidRPr="00F729E0" w:rsidRDefault="004C7E5A" w:rsidP="008C251C">
            <w:pPr>
              <w:jc w:val="center"/>
            </w:pPr>
            <w:r w:rsidRPr="00F729E0">
              <w:t>Type of respondents</w:t>
            </w:r>
          </w:p>
        </w:tc>
        <w:tc>
          <w:tcPr>
            <w:tcW w:w="1737" w:type="pct"/>
            <w:shd w:val="clear" w:color="auto" w:fill="auto"/>
          </w:tcPr>
          <w:p w14:paraId="59795F1C" w14:textId="77777777" w:rsidR="004C7E5A" w:rsidRPr="00F729E0" w:rsidRDefault="004C7E5A" w:rsidP="008C251C">
            <w:pPr>
              <w:jc w:val="center"/>
            </w:pPr>
            <w:r w:rsidRPr="00F729E0">
              <w:t>Form Name</w:t>
            </w:r>
          </w:p>
        </w:tc>
        <w:tc>
          <w:tcPr>
            <w:tcW w:w="593" w:type="pct"/>
            <w:shd w:val="clear" w:color="auto" w:fill="auto"/>
          </w:tcPr>
          <w:p w14:paraId="20428E57" w14:textId="77777777" w:rsidR="004C7E5A" w:rsidRPr="00F729E0" w:rsidRDefault="004C7E5A" w:rsidP="008C251C">
            <w:pPr>
              <w:jc w:val="center"/>
            </w:pPr>
            <w:r w:rsidRPr="00F729E0">
              <w:t>Total Burden Hours</w:t>
            </w:r>
          </w:p>
        </w:tc>
        <w:tc>
          <w:tcPr>
            <w:tcW w:w="891" w:type="pct"/>
            <w:shd w:val="clear" w:color="auto" w:fill="auto"/>
          </w:tcPr>
          <w:p w14:paraId="345B58ED" w14:textId="77777777" w:rsidR="004C7E5A" w:rsidRPr="00F729E0" w:rsidRDefault="004C7E5A" w:rsidP="008C251C">
            <w:pPr>
              <w:jc w:val="center"/>
            </w:pPr>
            <w:r w:rsidRPr="00F729E0">
              <w:t>Average Hourly Wage Rate (in dollars)</w:t>
            </w:r>
          </w:p>
        </w:tc>
        <w:tc>
          <w:tcPr>
            <w:tcW w:w="844" w:type="pct"/>
            <w:shd w:val="clear" w:color="auto" w:fill="auto"/>
          </w:tcPr>
          <w:p w14:paraId="2F6F5437" w14:textId="77777777" w:rsidR="004C7E5A" w:rsidRPr="00F729E0" w:rsidRDefault="004C7E5A" w:rsidP="008C251C">
            <w:pPr>
              <w:jc w:val="center"/>
            </w:pPr>
          </w:p>
          <w:p w14:paraId="5CFE8CD5" w14:textId="77777777" w:rsidR="004C7E5A" w:rsidRPr="00F729E0" w:rsidRDefault="004C7E5A" w:rsidP="008C251C">
            <w:pPr>
              <w:jc w:val="center"/>
            </w:pPr>
          </w:p>
          <w:p w14:paraId="2C6DB2D4" w14:textId="77777777" w:rsidR="004C7E5A" w:rsidRPr="00F729E0" w:rsidRDefault="004C7E5A" w:rsidP="008C251C">
            <w:pPr>
              <w:jc w:val="center"/>
            </w:pPr>
            <w:r w:rsidRPr="00F729E0">
              <w:t>Total Costs</w:t>
            </w:r>
          </w:p>
        </w:tc>
      </w:tr>
      <w:tr w:rsidR="0047053F" w:rsidRPr="000F1232" w14:paraId="5FD77E34" w14:textId="77777777" w:rsidTr="00F0496F">
        <w:trPr>
          <w:trHeight w:val="1116"/>
          <w:jc w:val="center"/>
        </w:trPr>
        <w:tc>
          <w:tcPr>
            <w:tcW w:w="935" w:type="pct"/>
            <w:vMerge w:val="restart"/>
            <w:shd w:val="clear" w:color="auto" w:fill="auto"/>
            <w:vAlign w:val="center"/>
          </w:tcPr>
          <w:p w14:paraId="627AC158" w14:textId="7466786E" w:rsidR="0047053F" w:rsidRPr="00F729E0" w:rsidRDefault="003B3821" w:rsidP="008C251C">
            <w:pPr>
              <w:jc w:val="center"/>
            </w:pPr>
            <w:r>
              <w:t>Overdose Data to Action funded jurisdictions (State, territories, counties and cities)  and their Designated Delegates</w:t>
            </w:r>
          </w:p>
        </w:tc>
        <w:tc>
          <w:tcPr>
            <w:tcW w:w="1737" w:type="pct"/>
            <w:shd w:val="clear" w:color="auto" w:fill="auto"/>
            <w:vAlign w:val="center"/>
          </w:tcPr>
          <w:p w14:paraId="1A582922" w14:textId="77777777" w:rsidR="0047053F" w:rsidRPr="00F729E0" w:rsidRDefault="0047053F" w:rsidP="008C251C">
            <w:pPr>
              <w:jc w:val="center"/>
            </w:pPr>
            <w:r>
              <w:t>Initial Evaluation and Performance Measuring Plan Template</w:t>
            </w:r>
          </w:p>
        </w:tc>
        <w:tc>
          <w:tcPr>
            <w:tcW w:w="593" w:type="pct"/>
            <w:shd w:val="clear" w:color="auto" w:fill="auto"/>
            <w:vAlign w:val="center"/>
          </w:tcPr>
          <w:p w14:paraId="73A9AB02" w14:textId="19CEE286" w:rsidR="0047053F" w:rsidRPr="00F729E0" w:rsidRDefault="004B6E3E" w:rsidP="008C251C">
            <w:pPr>
              <w:jc w:val="center"/>
            </w:pPr>
            <w:r>
              <w:t>264</w:t>
            </w:r>
          </w:p>
        </w:tc>
        <w:tc>
          <w:tcPr>
            <w:tcW w:w="891" w:type="pct"/>
            <w:shd w:val="clear" w:color="auto" w:fill="auto"/>
            <w:vAlign w:val="center"/>
          </w:tcPr>
          <w:p w14:paraId="10C35B36" w14:textId="77777777" w:rsidR="0047053F" w:rsidRPr="00F729E0" w:rsidRDefault="0047053F" w:rsidP="008C251C">
            <w:pPr>
              <w:jc w:val="center"/>
            </w:pPr>
            <w:r>
              <w:t>$33.34</w:t>
            </w:r>
          </w:p>
        </w:tc>
        <w:tc>
          <w:tcPr>
            <w:tcW w:w="844" w:type="pct"/>
            <w:shd w:val="clear" w:color="auto" w:fill="auto"/>
            <w:vAlign w:val="center"/>
          </w:tcPr>
          <w:p w14:paraId="514BB123" w14:textId="4368D31D" w:rsidR="0047053F" w:rsidRPr="00F729E0" w:rsidRDefault="00F0496F" w:rsidP="004B6E3E">
            <w:pPr>
              <w:jc w:val="center"/>
            </w:pPr>
            <w:r>
              <w:t>$</w:t>
            </w:r>
            <w:r w:rsidR="004B6E3E">
              <w:t>8,80</w:t>
            </w:r>
            <w:r w:rsidR="009B16E4">
              <w:t>2</w:t>
            </w:r>
          </w:p>
        </w:tc>
      </w:tr>
      <w:tr w:rsidR="0047053F" w:rsidRPr="000F1232" w14:paraId="22D045EE" w14:textId="77777777" w:rsidTr="00F0496F">
        <w:trPr>
          <w:trHeight w:val="1116"/>
          <w:jc w:val="center"/>
        </w:trPr>
        <w:tc>
          <w:tcPr>
            <w:tcW w:w="935" w:type="pct"/>
            <w:vMerge/>
            <w:shd w:val="clear" w:color="auto" w:fill="auto"/>
            <w:vAlign w:val="center"/>
          </w:tcPr>
          <w:p w14:paraId="69117FB5" w14:textId="347DDAE4" w:rsidR="0047053F" w:rsidRDefault="0047053F" w:rsidP="008C251C">
            <w:pPr>
              <w:jc w:val="center"/>
              <w:rPr>
                <w:color w:val="000000"/>
              </w:rPr>
            </w:pPr>
          </w:p>
        </w:tc>
        <w:tc>
          <w:tcPr>
            <w:tcW w:w="1737" w:type="pct"/>
            <w:shd w:val="clear" w:color="auto" w:fill="auto"/>
            <w:vAlign w:val="center"/>
          </w:tcPr>
          <w:p w14:paraId="5F5D3565" w14:textId="77777777" w:rsidR="0047053F" w:rsidRDefault="0047053F" w:rsidP="008C251C">
            <w:pPr>
              <w:jc w:val="center"/>
            </w:pPr>
            <w:r>
              <w:t>Annual Evaluation and Performance Measuring Plan Template</w:t>
            </w:r>
          </w:p>
        </w:tc>
        <w:tc>
          <w:tcPr>
            <w:tcW w:w="593" w:type="pct"/>
            <w:shd w:val="clear" w:color="auto" w:fill="auto"/>
            <w:vAlign w:val="center"/>
          </w:tcPr>
          <w:p w14:paraId="15D63A16" w14:textId="17A03D52" w:rsidR="0047053F" w:rsidRDefault="00F0496F" w:rsidP="008C251C">
            <w:pPr>
              <w:jc w:val="center"/>
            </w:pPr>
            <w:r>
              <w:rPr>
                <w:color w:val="000000"/>
              </w:rPr>
              <w:t>264</w:t>
            </w:r>
          </w:p>
        </w:tc>
        <w:tc>
          <w:tcPr>
            <w:tcW w:w="891" w:type="pct"/>
            <w:shd w:val="clear" w:color="auto" w:fill="auto"/>
            <w:vAlign w:val="center"/>
          </w:tcPr>
          <w:p w14:paraId="567F2207" w14:textId="77777777" w:rsidR="0047053F" w:rsidRDefault="0047053F" w:rsidP="008C251C">
            <w:pPr>
              <w:jc w:val="center"/>
            </w:pPr>
            <w:r>
              <w:t>$33.34</w:t>
            </w:r>
          </w:p>
        </w:tc>
        <w:tc>
          <w:tcPr>
            <w:tcW w:w="844" w:type="pct"/>
            <w:shd w:val="clear" w:color="auto" w:fill="auto"/>
            <w:vAlign w:val="center"/>
          </w:tcPr>
          <w:p w14:paraId="66493DAF" w14:textId="7483577E" w:rsidR="0047053F" w:rsidRDefault="00F0496F" w:rsidP="008C251C">
            <w:pPr>
              <w:jc w:val="center"/>
            </w:pPr>
            <w:r>
              <w:t>$8,80</w:t>
            </w:r>
            <w:r w:rsidR="009B16E4">
              <w:t>2</w:t>
            </w:r>
          </w:p>
        </w:tc>
      </w:tr>
      <w:tr w:rsidR="0047053F" w:rsidRPr="000F1232" w14:paraId="47EAC3D6" w14:textId="77777777" w:rsidTr="00F0496F">
        <w:trPr>
          <w:trHeight w:val="1116"/>
          <w:jc w:val="center"/>
        </w:trPr>
        <w:tc>
          <w:tcPr>
            <w:tcW w:w="935" w:type="pct"/>
            <w:vMerge/>
            <w:shd w:val="clear" w:color="auto" w:fill="auto"/>
          </w:tcPr>
          <w:p w14:paraId="41F2C637" w14:textId="5301228C" w:rsidR="0047053F" w:rsidRPr="00C03331" w:rsidRDefault="0047053F" w:rsidP="008C251C">
            <w:pPr>
              <w:jc w:val="center"/>
            </w:pPr>
          </w:p>
        </w:tc>
        <w:tc>
          <w:tcPr>
            <w:tcW w:w="1737" w:type="pct"/>
            <w:shd w:val="clear" w:color="auto" w:fill="auto"/>
            <w:vAlign w:val="center"/>
          </w:tcPr>
          <w:p w14:paraId="19AB036D" w14:textId="2EA90D7C" w:rsidR="0047053F" w:rsidRPr="00C03331" w:rsidRDefault="009B16E4" w:rsidP="008C251C">
            <w:pPr>
              <w:jc w:val="center"/>
            </w:pPr>
            <w:r>
              <w:t xml:space="preserve">Initial </w:t>
            </w:r>
            <w:r w:rsidR="0047053F" w:rsidRPr="00C03331">
              <w:t xml:space="preserve"> Organizational Capacity Assessment</w:t>
            </w:r>
            <w:r>
              <w:t xml:space="preserve"> </w:t>
            </w:r>
          </w:p>
        </w:tc>
        <w:tc>
          <w:tcPr>
            <w:tcW w:w="593" w:type="pct"/>
            <w:shd w:val="clear" w:color="auto" w:fill="auto"/>
            <w:vAlign w:val="center"/>
          </w:tcPr>
          <w:p w14:paraId="6948EC41" w14:textId="689D71A5" w:rsidR="0047053F" w:rsidRPr="00C03331" w:rsidRDefault="009B16E4" w:rsidP="008C251C">
            <w:pPr>
              <w:jc w:val="center"/>
            </w:pPr>
            <w:r>
              <w:t>22</w:t>
            </w:r>
          </w:p>
        </w:tc>
        <w:tc>
          <w:tcPr>
            <w:tcW w:w="891" w:type="pct"/>
            <w:shd w:val="clear" w:color="auto" w:fill="auto"/>
            <w:vAlign w:val="center"/>
          </w:tcPr>
          <w:p w14:paraId="6370A155" w14:textId="77777777" w:rsidR="0047053F" w:rsidRPr="00C03331" w:rsidRDefault="0047053F" w:rsidP="008C251C">
            <w:pPr>
              <w:jc w:val="center"/>
            </w:pPr>
            <w:r w:rsidRPr="00C03331">
              <w:t>$33.34</w:t>
            </w:r>
          </w:p>
        </w:tc>
        <w:tc>
          <w:tcPr>
            <w:tcW w:w="844" w:type="pct"/>
            <w:shd w:val="clear" w:color="auto" w:fill="auto"/>
            <w:vAlign w:val="center"/>
          </w:tcPr>
          <w:p w14:paraId="64CDD82B" w14:textId="0BD44A4A" w:rsidR="0047053F" w:rsidRPr="00C03331" w:rsidRDefault="00F0496F" w:rsidP="008C251C">
            <w:pPr>
              <w:jc w:val="center"/>
            </w:pPr>
            <w:r>
              <w:t>$</w:t>
            </w:r>
            <w:r w:rsidR="009B16E4">
              <w:t>73</w:t>
            </w:r>
            <w:r w:rsidR="002312FB">
              <w:t>3</w:t>
            </w:r>
          </w:p>
        </w:tc>
      </w:tr>
      <w:tr w:rsidR="0047053F" w:rsidRPr="000F1232" w14:paraId="42F7FBC3" w14:textId="77777777" w:rsidTr="00F0496F">
        <w:trPr>
          <w:trHeight w:val="1116"/>
          <w:jc w:val="center"/>
        </w:trPr>
        <w:tc>
          <w:tcPr>
            <w:tcW w:w="935" w:type="pct"/>
            <w:vMerge/>
            <w:shd w:val="clear" w:color="auto" w:fill="auto"/>
          </w:tcPr>
          <w:p w14:paraId="69E033F9" w14:textId="1769EC07" w:rsidR="0047053F" w:rsidRPr="00F729E0" w:rsidRDefault="0047053F" w:rsidP="008C251C">
            <w:pPr>
              <w:jc w:val="center"/>
            </w:pPr>
          </w:p>
        </w:tc>
        <w:tc>
          <w:tcPr>
            <w:tcW w:w="1737" w:type="pct"/>
            <w:shd w:val="clear" w:color="auto" w:fill="auto"/>
            <w:vAlign w:val="center"/>
          </w:tcPr>
          <w:p w14:paraId="5936CDEB" w14:textId="695FAB9F" w:rsidR="0047053F" w:rsidRPr="00F729E0" w:rsidRDefault="009B16E4" w:rsidP="008C251C">
            <w:pPr>
              <w:jc w:val="center"/>
            </w:pPr>
            <w:r>
              <w:t xml:space="preserve">Annual </w:t>
            </w:r>
            <w:r w:rsidRPr="00C03331">
              <w:t xml:space="preserve"> Organizational Capacity Assessment</w:t>
            </w:r>
          </w:p>
        </w:tc>
        <w:tc>
          <w:tcPr>
            <w:tcW w:w="593" w:type="pct"/>
            <w:shd w:val="clear" w:color="auto" w:fill="auto"/>
            <w:vAlign w:val="center"/>
          </w:tcPr>
          <w:p w14:paraId="1370DFC8" w14:textId="14AF4207" w:rsidR="0047053F" w:rsidRPr="00F729E0" w:rsidRDefault="009B16E4" w:rsidP="008C251C">
            <w:pPr>
              <w:jc w:val="center"/>
            </w:pPr>
            <w:r>
              <w:t>66</w:t>
            </w:r>
          </w:p>
        </w:tc>
        <w:tc>
          <w:tcPr>
            <w:tcW w:w="891" w:type="pct"/>
            <w:shd w:val="clear" w:color="auto" w:fill="auto"/>
            <w:vAlign w:val="center"/>
          </w:tcPr>
          <w:p w14:paraId="7571BEB2" w14:textId="7B44ED93" w:rsidR="0047053F" w:rsidRPr="00F729E0" w:rsidRDefault="0047053F" w:rsidP="008C251C">
            <w:pPr>
              <w:jc w:val="center"/>
            </w:pPr>
            <w:r>
              <w:t>$</w:t>
            </w:r>
            <w:r w:rsidR="00F0496F" w:rsidRPr="00C03331">
              <w:t>33.34</w:t>
            </w:r>
          </w:p>
        </w:tc>
        <w:tc>
          <w:tcPr>
            <w:tcW w:w="844" w:type="pct"/>
            <w:shd w:val="clear" w:color="auto" w:fill="auto"/>
            <w:vAlign w:val="center"/>
          </w:tcPr>
          <w:p w14:paraId="645F9C31" w14:textId="0F221CED" w:rsidR="0047053F" w:rsidRPr="00F729E0" w:rsidRDefault="00F0496F" w:rsidP="00F0496F">
            <w:pPr>
              <w:jc w:val="center"/>
            </w:pPr>
            <w:r>
              <w:t>$</w:t>
            </w:r>
            <w:r w:rsidR="009B16E4">
              <w:t>2,200</w:t>
            </w:r>
          </w:p>
        </w:tc>
      </w:tr>
      <w:tr w:rsidR="009B16E4" w:rsidRPr="000F1232" w14:paraId="73F9BF01" w14:textId="77777777" w:rsidTr="00E32B4F">
        <w:trPr>
          <w:trHeight w:val="1116"/>
          <w:jc w:val="center"/>
        </w:trPr>
        <w:tc>
          <w:tcPr>
            <w:tcW w:w="935" w:type="pct"/>
            <w:vMerge/>
            <w:shd w:val="clear" w:color="auto" w:fill="auto"/>
            <w:vAlign w:val="center"/>
          </w:tcPr>
          <w:p w14:paraId="5193306B" w14:textId="77777777" w:rsidR="009B16E4" w:rsidRPr="00F729E0" w:rsidRDefault="009B16E4" w:rsidP="009B16E4">
            <w:pPr>
              <w:jc w:val="center"/>
            </w:pPr>
          </w:p>
        </w:tc>
        <w:tc>
          <w:tcPr>
            <w:tcW w:w="1737" w:type="pct"/>
            <w:shd w:val="clear" w:color="auto" w:fill="auto"/>
            <w:vAlign w:val="center"/>
          </w:tcPr>
          <w:p w14:paraId="16B565BF" w14:textId="241AE119" w:rsidR="009B16E4" w:rsidRDefault="009B16E4" w:rsidP="009B16E4">
            <w:pPr>
              <w:jc w:val="center"/>
            </w:pPr>
            <w:r>
              <w:t>Initial  Activity Progress Report and Work Plan Tool</w:t>
            </w:r>
          </w:p>
        </w:tc>
        <w:tc>
          <w:tcPr>
            <w:tcW w:w="593" w:type="pct"/>
            <w:shd w:val="clear" w:color="auto" w:fill="auto"/>
            <w:vAlign w:val="center"/>
          </w:tcPr>
          <w:p w14:paraId="480D00F1" w14:textId="46F6D890" w:rsidR="009B16E4" w:rsidRDefault="009B16E4" w:rsidP="009B16E4">
            <w:pPr>
              <w:jc w:val="center"/>
            </w:pPr>
            <w:r>
              <w:t>440</w:t>
            </w:r>
          </w:p>
        </w:tc>
        <w:tc>
          <w:tcPr>
            <w:tcW w:w="891" w:type="pct"/>
            <w:shd w:val="clear" w:color="auto" w:fill="auto"/>
            <w:vAlign w:val="center"/>
          </w:tcPr>
          <w:p w14:paraId="35E9EC00" w14:textId="4AB7B7EE" w:rsidR="009B16E4" w:rsidRDefault="009B16E4" w:rsidP="009B16E4">
            <w:pPr>
              <w:jc w:val="center"/>
            </w:pPr>
            <w:r w:rsidRPr="00C03331">
              <w:t>$33.34</w:t>
            </w:r>
          </w:p>
        </w:tc>
        <w:tc>
          <w:tcPr>
            <w:tcW w:w="844" w:type="pct"/>
            <w:shd w:val="clear" w:color="auto" w:fill="auto"/>
            <w:vAlign w:val="center"/>
          </w:tcPr>
          <w:p w14:paraId="6A0F9CA8" w14:textId="721D3E32" w:rsidR="009B16E4" w:rsidRDefault="009B16E4" w:rsidP="009B16E4">
            <w:pPr>
              <w:jc w:val="center"/>
            </w:pPr>
            <w:r>
              <w:t>$14,670</w:t>
            </w:r>
          </w:p>
        </w:tc>
      </w:tr>
      <w:tr w:rsidR="009B16E4" w:rsidRPr="000F1232" w14:paraId="4C5A5765" w14:textId="77777777" w:rsidTr="00E32B4F">
        <w:trPr>
          <w:trHeight w:val="1116"/>
          <w:jc w:val="center"/>
        </w:trPr>
        <w:tc>
          <w:tcPr>
            <w:tcW w:w="935" w:type="pct"/>
            <w:vMerge/>
            <w:shd w:val="clear" w:color="auto" w:fill="auto"/>
            <w:vAlign w:val="center"/>
          </w:tcPr>
          <w:p w14:paraId="203FB463" w14:textId="77777777" w:rsidR="009B16E4" w:rsidRPr="00F729E0" w:rsidRDefault="009B16E4" w:rsidP="009B16E4">
            <w:pPr>
              <w:jc w:val="center"/>
            </w:pPr>
          </w:p>
        </w:tc>
        <w:tc>
          <w:tcPr>
            <w:tcW w:w="1737" w:type="pct"/>
            <w:shd w:val="clear" w:color="auto" w:fill="auto"/>
            <w:vAlign w:val="center"/>
          </w:tcPr>
          <w:p w14:paraId="46F80BC9" w14:textId="367DD965" w:rsidR="009B16E4" w:rsidRDefault="009B16E4" w:rsidP="009B16E4">
            <w:pPr>
              <w:jc w:val="center"/>
            </w:pPr>
            <w:r>
              <w:t>Annual Activity Progress Report and Work Plan Tool</w:t>
            </w:r>
          </w:p>
        </w:tc>
        <w:tc>
          <w:tcPr>
            <w:tcW w:w="593" w:type="pct"/>
            <w:shd w:val="clear" w:color="auto" w:fill="auto"/>
            <w:vAlign w:val="center"/>
          </w:tcPr>
          <w:p w14:paraId="34E90559" w14:textId="5A614D25" w:rsidR="009B16E4" w:rsidRDefault="009B16E4" w:rsidP="009B16E4">
            <w:pPr>
              <w:jc w:val="center"/>
            </w:pPr>
            <w:r>
              <w:t>264</w:t>
            </w:r>
          </w:p>
        </w:tc>
        <w:tc>
          <w:tcPr>
            <w:tcW w:w="891" w:type="pct"/>
            <w:shd w:val="clear" w:color="auto" w:fill="auto"/>
            <w:vAlign w:val="center"/>
          </w:tcPr>
          <w:p w14:paraId="6A7EED50" w14:textId="2AD06742" w:rsidR="009B16E4" w:rsidRPr="00C03331" w:rsidRDefault="009B16E4" w:rsidP="009B16E4">
            <w:pPr>
              <w:jc w:val="center"/>
            </w:pPr>
            <w:r w:rsidRPr="00C03331">
              <w:t>$33.34</w:t>
            </w:r>
          </w:p>
        </w:tc>
        <w:tc>
          <w:tcPr>
            <w:tcW w:w="844" w:type="pct"/>
            <w:shd w:val="clear" w:color="auto" w:fill="auto"/>
            <w:vAlign w:val="center"/>
          </w:tcPr>
          <w:p w14:paraId="226308EE" w14:textId="68726BD6" w:rsidR="009B16E4" w:rsidRDefault="009B16E4" w:rsidP="009B16E4">
            <w:pPr>
              <w:jc w:val="center"/>
            </w:pPr>
            <w:r>
              <w:t>$8,802</w:t>
            </w:r>
          </w:p>
        </w:tc>
      </w:tr>
      <w:tr w:rsidR="009B16E4" w:rsidRPr="00ED63C9" w14:paraId="36E6AB5B" w14:textId="77777777" w:rsidTr="00F0496F">
        <w:trPr>
          <w:trHeight w:val="935"/>
          <w:jc w:val="center"/>
        </w:trPr>
        <w:tc>
          <w:tcPr>
            <w:tcW w:w="935" w:type="pct"/>
            <w:vMerge/>
            <w:shd w:val="clear" w:color="auto" w:fill="auto"/>
            <w:vAlign w:val="center"/>
          </w:tcPr>
          <w:p w14:paraId="3E823A43" w14:textId="27207217" w:rsidR="009B16E4" w:rsidRPr="00406027" w:rsidRDefault="009B16E4" w:rsidP="009B16E4">
            <w:pPr>
              <w:jc w:val="center"/>
              <w:rPr>
                <w:color w:val="000000"/>
                <w:highlight w:val="green"/>
              </w:rPr>
            </w:pPr>
          </w:p>
        </w:tc>
        <w:tc>
          <w:tcPr>
            <w:tcW w:w="1737" w:type="pct"/>
            <w:shd w:val="clear" w:color="auto" w:fill="auto"/>
            <w:vAlign w:val="center"/>
          </w:tcPr>
          <w:p w14:paraId="2501EEB0" w14:textId="77777777" w:rsidR="009B16E4" w:rsidRPr="00ED63C9" w:rsidRDefault="009B16E4" w:rsidP="009B16E4">
            <w:pPr>
              <w:jc w:val="center"/>
            </w:pPr>
            <w:r w:rsidRPr="00ED63C9">
              <w:t>Surveillance Data Dissemination Plan Template</w:t>
            </w:r>
          </w:p>
        </w:tc>
        <w:tc>
          <w:tcPr>
            <w:tcW w:w="593" w:type="pct"/>
            <w:shd w:val="clear" w:color="auto" w:fill="auto"/>
            <w:vAlign w:val="center"/>
          </w:tcPr>
          <w:p w14:paraId="562EA150" w14:textId="428EBEB8" w:rsidR="009B16E4" w:rsidRPr="00ED63C9" w:rsidRDefault="009B16E4" w:rsidP="009B16E4">
            <w:pPr>
              <w:jc w:val="center"/>
              <w:rPr>
                <w:color w:val="000000"/>
              </w:rPr>
            </w:pPr>
            <w:r>
              <w:rPr>
                <w:color w:val="000000"/>
              </w:rPr>
              <w:t>22</w:t>
            </w:r>
          </w:p>
        </w:tc>
        <w:tc>
          <w:tcPr>
            <w:tcW w:w="891" w:type="pct"/>
            <w:shd w:val="clear" w:color="auto" w:fill="auto"/>
            <w:vAlign w:val="center"/>
          </w:tcPr>
          <w:p w14:paraId="55EF6FEC" w14:textId="79377AD9" w:rsidR="009B16E4" w:rsidRPr="00ED63C9" w:rsidRDefault="009B16E4" w:rsidP="009B16E4">
            <w:pPr>
              <w:jc w:val="center"/>
              <w:rPr>
                <w:color w:val="000000"/>
              </w:rPr>
            </w:pPr>
            <w:r w:rsidRPr="00ED63C9">
              <w:t>$</w:t>
            </w:r>
            <w:r w:rsidRPr="00C03331">
              <w:t>33.34</w:t>
            </w:r>
          </w:p>
        </w:tc>
        <w:tc>
          <w:tcPr>
            <w:tcW w:w="844" w:type="pct"/>
            <w:shd w:val="clear" w:color="auto" w:fill="auto"/>
            <w:vAlign w:val="center"/>
          </w:tcPr>
          <w:p w14:paraId="5DA5A638" w14:textId="4EFE2E45" w:rsidR="009B16E4" w:rsidRPr="00ED63C9" w:rsidRDefault="009B16E4" w:rsidP="009B16E4">
            <w:pPr>
              <w:jc w:val="center"/>
              <w:rPr>
                <w:color w:val="000000"/>
              </w:rPr>
            </w:pPr>
            <w:r>
              <w:rPr>
                <w:color w:val="000000"/>
              </w:rPr>
              <w:t>$</w:t>
            </w:r>
            <w:r w:rsidR="00917670">
              <w:rPr>
                <w:color w:val="000000"/>
              </w:rPr>
              <w:t>733</w:t>
            </w:r>
          </w:p>
        </w:tc>
      </w:tr>
      <w:tr w:rsidR="009B16E4" w:rsidRPr="000F1232" w14:paraId="5AD4634A" w14:textId="77777777" w:rsidTr="00F0496F">
        <w:trPr>
          <w:trHeight w:val="386"/>
          <w:jc w:val="center"/>
        </w:trPr>
        <w:tc>
          <w:tcPr>
            <w:tcW w:w="5000" w:type="pct"/>
            <w:gridSpan w:val="5"/>
            <w:shd w:val="clear" w:color="auto" w:fill="auto"/>
          </w:tcPr>
          <w:p w14:paraId="4A4882F2" w14:textId="6A32A1F1" w:rsidR="009B16E4" w:rsidRPr="00F729E0" w:rsidRDefault="009B16E4" w:rsidP="009B16E4">
            <w:pPr>
              <w:jc w:val="center"/>
              <w:rPr>
                <w:color w:val="000000"/>
              </w:rPr>
            </w:pPr>
            <w:r w:rsidRPr="00F729E0">
              <w:rPr>
                <w:color w:val="000000"/>
              </w:rPr>
              <w:t xml:space="preserve">                                   </w:t>
            </w:r>
            <w:r>
              <w:rPr>
                <w:color w:val="000000"/>
              </w:rPr>
              <w:t xml:space="preserve">                                                                    </w:t>
            </w:r>
            <w:r w:rsidRPr="00F729E0">
              <w:rPr>
                <w:color w:val="000000"/>
              </w:rPr>
              <w:t xml:space="preserve">Total:    </w:t>
            </w:r>
            <w:r>
              <w:rPr>
                <w:color w:val="000000"/>
              </w:rPr>
              <w:t xml:space="preserve">    </w:t>
            </w:r>
            <w:r w:rsidRPr="00F729E0">
              <w:rPr>
                <w:color w:val="000000"/>
              </w:rPr>
              <w:t xml:space="preserve"> </w:t>
            </w:r>
            <w:r>
              <w:rPr>
                <w:color w:val="000000"/>
              </w:rPr>
              <w:t>$</w:t>
            </w:r>
            <w:r w:rsidRPr="00F729E0">
              <w:rPr>
                <w:color w:val="000000"/>
              </w:rPr>
              <w:t xml:space="preserve"> </w:t>
            </w:r>
            <w:r>
              <w:rPr>
                <w:color w:val="000000"/>
              </w:rPr>
              <w:t>4</w:t>
            </w:r>
            <w:r w:rsidR="002312FB">
              <w:rPr>
                <w:color w:val="000000"/>
              </w:rPr>
              <w:t>4,742</w:t>
            </w:r>
          </w:p>
        </w:tc>
      </w:tr>
    </w:tbl>
    <w:p w14:paraId="3D5E3687" w14:textId="77777777" w:rsidR="008C46E0" w:rsidRDefault="008C46E0" w:rsidP="00A030E6"/>
    <w:p w14:paraId="65925DAE" w14:textId="77777777" w:rsidR="009C3387" w:rsidRPr="000F1232" w:rsidRDefault="009C3387" w:rsidP="00A030E6"/>
    <w:p w14:paraId="3B20C5DC" w14:textId="77777777" w:rsidR="00A030E6" w:rsidRPr="000F1232" w:rsidRDefault="00A030E6" w:rsidP="00A030E6">
      <w:pPr>
        <w:rPr>
          <w:b/>
        </w:rPr>
      </w:pPr>
      <w:r w:rsidRPr="000F1232">
        <w:rPr>
          <w:b/>
        </w:rPr>
        <w:t xml:space="preserve">A.13. </w:t>
      </w:r>
      <w:r w:rsidRPr="000F1232">
        <w:rPr>
          <w:b/>
        </w:rPr>
        <w:tab/>
        <w:t>Estimates of Other Total Annual Cost Burden to Respondents or Record Keepers</w:t>
      </w:r>
    </w:p>
    <w:p w14:paraId="7353671B" w14:textId="77777777" w:rsidR="00A030E6" w:rsidRPr="000F1232" w:rsidRDefault="00A030E6" w:rsidP="00A030E6">
      <w:pPr>
        <w:rPr>
          <w:b/>
        </w:rPr>
      </w:pPr>
    </w:p>
    <w:p w14:paraId="61A75D02" w14:textId="41625C0D" w:rsidR="00A030E6" w:rsidRDefault="00A030E6" w:rsidP="00A030E6">
      <w:r w:rsidRPr="000F1232">
        <w:t>No capital or maintenance costs are expected.  Additionally, there are no start-up, hardware</w:t>
      </w:r>
      <w:r w:rsidR="00045AF7" w:rsidRPr="000F1232">
        <w:t>,</w:t>
      </w:r>
      <w:r w:rsidRPr="000F1232">
        <w:t xml:space="preserve"> or software costs.</w:t>
      </w:r>
    </w:p>
    <w:p w14:paraId="7572278D" w14:textId="77777777" w:rsidR="00963F5E" w:rsidRPr="000F1232" w:rsidRDefault="00963F5E" w:rsidP="00A030E6"/>
    <w:p w14:paraId="56753073" w14:textId="05C2F15F" w:rsidR="00A030E6" w:rsidRDefault="00A030E6" w:rsidP="00A030E6">
      <w:pPr>
        <w:autoSpaceDE w:val="0"/>
        <w:autoSpaceDN w:val="0"/>
        <w:adjustRightInd w:val="0"/>
        <w:rPr>
          <w:b/>
          <w:bCs/>
        </w:rPr>
      </w:pPr>
      <w:r w:rsidRPr="000F1232">
        <w:rPr>
          <w:b/>
          <w:bCs/>
        </w:rPr>
        <w:t xml:space="preserve">A.14. </w:t>
      </w:r>
      <w:r w:rsidRPr="000F1232">
        <w:rPr>
          <w:b/>
          <w:bCs/>
        </w:rPr>
        <w:tab/>
        <w:t xml:space="preserve">Annualized Cost to the Government </w:t>
      </w:r>
    </w:p>
    <w:p w14:paraId="22B277D2" w14:textId="77777777" w:rsidR="000E34ED" w:rsidRDefault="000E34ED" w:rsidP="00A030E6">
      <w:pPr>
        <w:autoSpaceDE w:val="0"/>
        <w:autoSpaceDN w:val="0"/>
        <w:adjustRightInd w:val="0"/>
        <w:rPr>
          <w:b/>
          <w:bCs/>
        </w:rPr>
      </w:pPr>
    </w:p>
    <w:p w14:paraId="0FC7B64F" w14:textId="13E24898" w:rsidR="000E34ED" w:rsidRPr="000F1232" w:rsidRDefault="000E34ED" w:rsidP="00A030E6">
      <w:pPr>
        <w:autoSpaceDE w:val="0"/>
        <w:autoSpaceDN w:val="0"/>
        <w:adjustRightInd w:val="0"/>
      </w:pPr>
      <w:r w:rsidRPr="00EC0554">
        <w:t xml:space="preserve">The average annualized cost to the federal </w:t>
      </w:r>
      <w:r w:rsidRPr="00C92746">
        <w:t>government is $</w:t>
      </w:r>
      <w:r w:rsidR="004B6E3E">
        <w:t>1,939,659</w:t>
      </w:r>
      <w:r w:rsidRPr="00C65CE4">
        <w:t>,</w:t>
      </w:r>
      <w:r w:rsidRPr="00C92746">
        <w:t xml:space="preserve"> as summarized</w:t>
      </w:r>
      <w:r w:rsidRPr="00EC0554">
        <w:t xml:space="preserve"> in Table </w:t>
      </w:r>
      <w:r>
        <w:t>C</w:t>
      </w:r>
      <w:r w:rsidR="004321CF">
        <w:t>.</w:t>
      </w:r>
    </w:p>
    <w:p w14:paraId="68D07FD8" w14:textId="77777777" w:rsidR="00A030E6" w:rsidRPr="000F1232" w:rsidRDefault="00A030E6" w:rsidP="00A030E6">
      <w:pPr>
        <w:pStyle w:val="SL-FlLftSgl"/>
      </w:pPr>
    </w:p>
    <w:p w14:paraId="21C57A08" w14:textId="0D4AD9E0" w:rsidR="00A030E6" w:rsidRPr="000F1232" w:rsidRDefault="00A030E6" w:rsidP="00A030E6">
      <w:pPr>
        <w:pStyle w:val="SL-FlLftSgl"/>
      </w:pPr>
      <w:r w:rsidRPr="004321CF">
        <w:t xml:space="preserve">Table </w:t>
      </w:r>
      <w:r w:rsidR="00BA66B8">
        <w:t>C</w:t>
      </w:r>
      <w:r w:rsidRPr="000F1232">
        <w:t xml:space="preserve">  Estimated Annualized Cost to the Government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90"/>
        <w:gridCol w:w="2070"/>
      </w:tblGrid>
      <w:tr w:rsidR="00A030E6" w:rsidRPr="000F1232" w14:paraId="3129907C" w14:textId="77777777" w:rsidTr="00406027">
        <w:trPr>
          <w:jc w:val="center"/>
        </w:trPr>
        <w:tc>
          <w:tcPr>
            <w:tcW w:w="2088" w:type="dxa"/>
          </w:tcPr>
          <w:p w14:paraId="2FE74259" w14:textId="77777777" w:rsidR="00A030E6" w:rsidRPr="000F1232" w:rsidRDefault="00A030E6" w:rsidP="00E466A4">
            <w:r w:rsidRPr="000F1232">
              <w:t>Type of Cost</w:t>
            </w:r>
          </w:p>
        </w:tc>
        <w:tc>
          <w:tcPr>
            <w:tcW w:w="5490" w:type="dxa"/>
          </w:tcPr>
          <w:p w14:paraId="55E92812" w14:textId="77777777" w:rsidR="00A030E6" w:rsidRPr="000F1232" w:rsidRDefault="00A030E6" w:rsidP="00E466A4">
            <w:r w:rsidRPr="000F1232">
              <w:t>Description of Services</w:t>
            </w:r>
          </w:p>
        </w:tc>
        <w:tc>
          <w:tcPr>
            <w:tcW w:w="2070" w:type="dxa"/>
          </w:tcPr>
          <w:p w14:paraId="6CB32F46" w14:textId="77777777" w:rsidR="00A030E6" w:rsidRPr="000F1232" w:rsidRDefault="00A030E6" w:rsidP="00E466A4">
            <w:r w:rsidRPr="000F1232">
              <w:t>Annual Cost</w:t>
            </w:r>
          </w:p>
        </w:tc>
      </w:tr>
      <w:tr w:rsidR="00A030E6" w:rsidRPr="000F1232" w14:paraId="7277EC0A" w14:textId="77777777" w:rsidTr="00406027">
        <w:trPr>
          <w:jc w:val="center"/>
        </w:trPr>
        <w:tc>
          <w:tcPr>
            <w:tcW w:w="2088" w:type="dxa"/>
          </w:tcPr>
          <w:p w14:paraId="2298A8DC" w14:textId="77777777" w:rsidR="00A030E6" w:rsidRPr="000F1232" w:rsidRDefault="00A030E6" w:rsidP="00E466A4">
            <w:r w:rsidRPr="000F1232">
              <w:t>CDC Personnel</w:t>
            </w:r>
          </w:p>
          <w:p w14:paraId="5592C228" w14:textId="77777777" w:rsidR="00A030E6" w:rsidRPr="000F1232" w:rsidRDefault="00A030E6" w:rsidP="00E466A4">
            <w:pPr>
              <w:rPr>
                <w:vertAlign w:val="superscript"/>
              </w:rPr>
            </w:pPr>
          </w:p>
        </w:tc>
        <w:tc>
          <w:tcPr>
            <w:tcW w:w="5490" w:type="dxa"/>
          </w:tcPr>
          <w:p w14:paraId="7A2F683F" w14:textId="77777777" w:rsidR="00025C69" w:rsidRPr="00A93EB5" w:rsidRDefault="00025C69" w:rsidP="00025C69">
            <w:pPr>
              <w:pStyle w:val="ListParagraph"/>
              <w:numPr>
                <w:ilvl w:val="0"/>
                <w:numId w:val="18"/>
              </w:numPr>
              <w:ind w:left="228" w:hanging="180"/>
            </w:pPr>
            <w:r w:rsidRPr="00A93EB5">
              <w:t>100% GS-12@$71,901/year = $71,901</w:t>
            </w:r>
          </w:p>
          <w:p w14:paraId="07BF326D" w14:textId="77777777" w:rsidR="00025C69" w:rsidRPr="00A93EB5" w:rsidRDefault="00025C69" w:rsidP="00025C69">
            <w:pPr>
              <w:pStyle w:val="ListParagraph"/>
              <w:numPr>
                <w:ilvl w:val="0"/>
                <w:numId w:val="19"/>
              </w:numPr>
              <w:ind w:left="228" w:hanging="180"/>
            </w:pPr>
            <w:r w:rsidRPr="00A93EB5">
              <w:t>50% GS-13 @ $85,500/year = $42,500</w:t>
            </w:r>
          </w:p>
          <w:p w14:paraId="4CFE24B0" w14:textId="645A2AD3" w:rsidR="00025C69" w:rsidRPr="00A93EB5" w:rsidRDefault="00025C69" w:rsidP="00025C69">
            <w:pPr>
              <w:pStyle w:val="ListParagraph"/>
              <w:numPr>
                <w:ilvl w:val="0"/>
                <w:numId w:val="19"/>
              </w:numPr>
              <w:ind w:left="228" w:hanging="180"/>
            </w:pPr>
            <w:r w:rsidRPr="00A93EB5">
              <w:t xml:space="preserve">25% GS-14 @ $101,035/year = </w:t>
            </w:r>
            <w:r w:rsidR="00D11FDA">
              <w:t>$</w:t>
            </w:r>
            <w:r w:rsidRPr="00A93EB5">
              <w:t>25,258</w:t>
            </w:r>
          </w:p>
          <w:p w14:paraId="4CD24A67" w14:textId="77777777" w:rsidR="00A030E6" w:rsidRPr="000F1232" w:rsidRDefault="00011FC6" w:rsidP="00011FC6">
            <w:pPr>
              <w:jc w:val="right"/>
            </w:pPr>
            <w:r w:rsidRPr="000F1232">
              <w:t>Subtotal, CDC Personnel</w:t>
            </w:r>
          </w:p>
        </w:tc>
        <w:tc>
          <w:tcPr>
            <w:tcW w:w="2070" w:type="dxa"/>
            <w:vAlign w:val="bottom"/>
          </w:tcPr>
          <w:p w14:paraId="3A7D42C9" w14:textId="77777777" w:rsidR="00A030E6" w:rsidRPr="000F1232" w:rsidRDefault="00011FC6" w:rsidP="00E466A4">
            <w:pPr>
              <w:jc w:val="right"/>
            </w:pPr>
            <w:r w:rsidRPr="000F1232">
              <w:t>$</w:t>
            </w:r>
            <w:r w:rsidR="00025C69">
              <w:t>139,659</w:t>
            </w:r>
          </w:p>
        </w:tc>
      </w:tr>
      <w:tr w:rsidR="00A030E6" w:rsidRPr="000E34ED" w14:paraId="5394D37D" w14:textId="77777777" w:rsidTr="00406027">
        <w:trPr>
          <w:jc w:val="center"/>
        </w:trPr>
        <w:tc>
          <w:tcPr>
            <w:tcW w:w="2088" w:type="dxa"/>
          </w:tcPr>
          <w:p w14:paraId="7DA71F5C" w14:textId="77777777" w:rsidR="00A030E6" w:rsidRPr="000F1232" w:rsidRDefault="00A030E6" w:rsidP="00E466A4">
            <w:r w:rsidRPr="000F1232">
              <w:t>Contractor</w:t>
            </w:r>
          </w:p>
        </w:tc>
        <w:tc>
          <w:tcPr>
            <w:tcW w:w="5490" w:type="dxa"/>
          </w:tcPr>
          <w:p w14:paraId="0F6B03A3" w14:textId="6094AE95" w:rsidR="00A030E6" w:rsidRPr="000F1232" w:rsidRDefault="00A030E6" w:rsidP="00E466A4">
            <w:pPr>
              <w:pStyle w:val="ListParagraph"/>
              <w:ind w:left="72"/>
            </w:pPr>
            <w:r w:rsidRPr="000F1232">
              <w:t>Contractor</w:t>
            </w:r>
          </w:p>
        </w:tc>
        <w:tc>
          <w:tcPr>
            <w:tcW w:w="2070" w:type="dxa"/>
            <w:vAlign w:val="center"/>
          </w:tcPr>
          <w:p w14:paraId="17773765" w14:textId="4E2228DE" w:rsidR="00A030E6" w:rsidRPr="000E34ED" w:rsidRDefault="00F83EBF" w:rsidP="000E34ED">
            <w:pPr>
              <w:jc w:val="right"/>
            </w:pPr>
            <w:r w:rsidRPr="000E34ED">
              <w:t>$</w:t>
            </w:r>
            <w:r w:rsidR="000E34ED">
              <w:t>1</w:t>
            </w:r>
            <w:r w:rsidR="008334C7">
              <w:t>,800,</w:t>
            </w:r>
            <w:r w:rsidR="000E34ED">
              <w:t>000</w:t>
            </w:r>
          </w:p>
        </w:tc>
      </w:tr>
      <w:tr w:rsidR="00A030E6" w:rsidRPr="000F1232" w14:paraId="0C2D9FBB" w14:textId="77777777" w:rsidTr="00406027">
        <w:trPr>
          <w:jc w:val="center"/>
        </w:trPr>
        <w:tc>
          <w:tcPr>
            <w:tcW w:w="7578" w:type="dxa"/>
            <w:gridSpan w:val="2"/>
          </w:tcPr>
          <w:p w14:paraId="0F824C4A" w14:textId="77777777" w:rsidR="00A030E6" w:rsidRPr="000F1232" w:rsidRDefault="00A030E6" w:rsidP="00E466A4">
            <w:pPr>
              <w:jc w:val="right"/>
              <w:rPr>
                <w:bCs/>
              </w:rPr>
            </w:pPr>
            <w:r w:rsidRPr="000F1232">
              <w:rPr>
                <w:bCs/>
              </w:rPr>
              <w:t>Total Annual Estimated Costs</w:t>
            </w:r>
          </w:p>
        </w:tc>
        <w:tc>
          <w:tcPr>
            <w:tcW w:w="2070" w:type="dxa"/>
          </w:tcPr>
          <w:p w14:paraId="14B55940" w14:textId="75BE1292" w:rsidR="00A030E6" w:rsidRPr="000F1232" w:rsidRDefault="00F83EBF" w:rsidP="008334C7">
            <w:pPr>
              <w:jc w:val="right"/>
              <w:rPr>
                <w:bCs/>
              </w:rPr>
            </w:pPr>
            <w:r w:rsidRPr="000F1232">
              <w:rPr>
                <w:bCs/>
              </w:rPr>
              <w:t>$</w:t>
            </w:r>
            <w:r w:rsidR="008334C7">
              <w:rPr>
                <w:bCs/>
              </w:rPr>
              <w:t>1,939</w:t>
            </w:r>
            <w:r w:rsidR="00025C69">
              <w:rPr>
                <w:bCs/>
              </w:rPr>
              <w:t>,6</w:t>
            </w:r>
            <w:r w:rsidRPr="000F1232">
              <w:rPr>
                <w:bCs/>
              </w:rPr>
              <w:t>5</w:t>
            </w:r>
            <w:r w:rsidR="00025C69">
              <w:rPr>
                <w:bCs/>
              </w:rPr>
              <w:t>9</w:t>
            </w:r>
          </w:p>
        </w:tc>
      </w:tr>
    </w:tbl>
    <w:p w14:paraId="625947E9" w14:textId="77777777" w:rsidR="008D0C85" w:rsidRDefault="008D0C85" w:rsidP="00A030E6">
      <w:pPr>
        <w:autoSpaceDE w:val="0"/>
        <w:autoSpaceDN w:val="0"/>
        <w:adjustRightInd w:val="0"/>
        <w:rPr>
          <w:rFonts w:ascii="TimesNewRomanPSMT" w:hAnsi="TimesNewRomanPSMT" w:cs="TimesNewRomanPSMT"/>
        </w:rPr>
      </w:pPr>
    </w:p>
    <w:p w14:paraId="1628AA3C" w14:textId="77777777" w:rsidR="00A030E6" w:rsidRPr="000F1232" w:rsidRDefault="00A030E6" w:rsidP="00A030E6">
      <w:pPr>
        <w:autoSpaceDE w:val="0"/>
        <w:autoSpaceDN w:val="0"/>
        <w:adjustRightInd w:val="0"/>
        <w:rPr>
          <w:b/>
          <w:bCs/>
        </w:rPr>
      </w:pPr>
      <w:r w:rsidRPr="000F1232">
        <w:rPr>
          <w:b/>
          <w:bCs/>
        </w:rPr>
        <w:t xml:space="preserve">A.15. </w:t>
      </w:r>
      <w:r w:rsidRPr="000F1232">
        <w:rPr>
          <w:b/>
          <w:bCs/>
        </w:rPr>
        <w:tab/>
        <w:t xml:space="preserve">Explanation for Program Changes or Adjustments </w:t>
      </w:r>
    </w:p>
    <w:p w14:paraId="31178B8D" w14:textId="77777777" w:rsidR="0096386D" w:rsidRPr="000F1232" w:rsidRDefault="0096386D" w:rsidP="00A030E6">
      <w:pPr>
        <w:autoSpaceDE w:val="0"/>
        <w:autoSpaceDN w:val="0"/>
        <w:adjustRightInd w:val="0"/>
        <w:rPr>
          <w:b/>
          <w:bCs/>
        </w:rPr>
      </w:pPr>
    </w:p>
    <w:p w14:paraId="6F516C33" w14:textId="77777777" w:rsidR="00A030E6" w:rsidRPr="000F1232" w:rsidRDefault="00A030E6" w:rsidP="00A030E6">
      <w:pPr>
        <w:autoSpaceDE w:val="0"/>
        <w:autoSpaceDN w:val="0"/>
        <w:adjustRightInd w:val="0"/>
        <w:rPr>
          <w:bCs/>
        </w:rPr>
      </w:pPr>
      <w:r w:rsidRPr="000F1232">
        <w:rPr>
          <w:bCs/>
        </w:rPr>
        <w:t xml:space="preserve">This is a new collection. </w:t>
      </w:r>
    </w:p>
    <w:p w14:paraId="21B0C169" w14:textId="77777777" w:rsidR="00A030E6" w:rsidRPr="000F1232" w:rsidRDefault="00A030E6" w:rsidP="00A030E6">
      <w:pPr>
        <w:autoSpaceDE w:val="0"/>
        <w:autoSpaceDN w:val="0"/>
        <w:adjustRightInd w:val="0"/>
        <w:rPr>
          <w:b/>
          <w:bCs/>
        </w:rPr>
      </w:pPr>
    </w:p>
    <w:p w14:paraId="14F8ADBE" w14:textId="77777777" w:rsidR="00A030E6" w:rsidRDefault="00A030E6" w:rsidP="00A030E6">
      <w:pPr>
        <w:autoSpaceDE w:val="0"/>
        <w:autoSpaceDN w:val="0"/>
        <w:adjustRightInd w:val="0"/>
      </w:pPr>
      <w:r w:rsidRPr="000F1232">
        <w:rPr>
          <w:b/>
          <w:bCs/>
        </w:rPr>
        <w:t>A.16. Plans for Tabulation and Publication, and Project Time Schedule</w:t>
      </w:r>
      <w:r w:rsidRPr="00691454">
        <w:t xml:space="preserve"> </w:t>
      </w:r>
    </w:p>
    <w:p w14:paraId="38002C63" w14:textId="77777777" w:rsidR="00A030E6" w:rsidRDefault="00A030E6" w:rsidP="00A030E6">
      <w:pPr>
        <w:autoSpaceDE w:val="0"/>
        <w:autoSpaceDN w:val="0"/>
        <w:adjustRightInd w:val="0"/>
        <w:rPr>
          <w:bCs/>
        </w:rPr>
      </w:pPr>
    </w:p>
    <w:p w14:paraId="1FAD1CD1" w14:textId="77777777" w:rsidR="00E4499C" w:rsidRDefault="00E4499C" w:rsidP="00E4499C">
      <w:pPr>
        <w:autoSpaceDE w:val="0"/>
        <w:autoSpaceDN w:val="0"/>
        <w:adjustRightInd w:val="0"/>
        <w:rPr>
          <w:bCs/>
          <w:u w:val="single"/>
        </w:rPr>
      </w:pPr>
      <w:r w:rsidRPr="0085100A">
        <w:rPr>
          <w:bCs/>
        </w:rPr>
        <w:t xml:space="preserve">A. </w:t>
      </w:r>
      <w:r w:rsidRPr="0085100A">
        <w:rPr>
          <w:bCs/>
          <w:u w:val="single"/>
        </w:rPr>
        <w:t>Time schedule for the entire project</w:t>
      </w:r>
    </w:p>
    <w:p w14:paraId="4F374B2D" w14:textId="67A2A564" w:rsidR="00E4499C" w:rsidRDefault="00E4499C" w:rsidP="00E4499C">
      <w:pPr>
        <w:autoSpaceDE w:val="0"/>
        <w:autoSpaceDN w:val="0"/>
        <w:adjustRightInd w:val="0"/>
        <w:rPr>
          <w:bCs/>
        </w:rPr>
      </w:pPr>
      <w:r w:rsidRPr="0085100A">
        <w:rPr>
          <w:bCs/>
        </w:rPr>
        <w:t xml:space="preserve">OMB approval </w:t>
      </w:r>
      <w:r>
        <w:rPr>
          <w:bCs/>
        </w:rPr>
        <w:t xml:space="preserve">of this ICR </w:t>
      </w:r>
      <w:r w:rsidRPr="0085100A">
        <w:rPr>
          <w:bCs/>
        </w:rPr>
        <w:t xml:space="preserve">is being </w:t>
      </w:r>
      <w:r w:rsidRPr="00835B83">
        <w:rPr>
          <w:bCs/>
        </w:rPr>
        <w:t xml:space="preserve">requested for </w:t>
      </w:r>
      <w:r>
        <w:rPr>
          <w:bCs/>
        </w:rPr>
        <w:t xml:space="preserve">three </w:t>
      </w:r>
      <w:r w:rsidRPr="00835B83">
        <w:rPr>
          <w:bCs/>
        </w:rPr>
        <w:t>years.</w:t>
      </w:r>
      <w:r w:rsidRPr="0085100A">
        <w:rPr>
          <w:bCs/>
        </w:rPr>
        <w:t xml:space="preserve"> </w:t>
      </w:r>
      <w:r>
        <w:rPr>
          <w:bCs/>
        </w:rPr>
        <w:t xml:space="preserve">Annual reporting </w:t>
      </w:r>
      <w:r w:rsidRPr="0085100A">
        <w:rPr>
          <w:bCs/>
        </w:rPr>
        <w:t xml:space="preserve">by the </w:t>
      </w:r>
      <w:r>
        <w:rPr>
          <w:bCs/>
        </w:rPr>
        <w:t>recipients</w:t>
      </w:r>
      <w:r w:rsidRPr="0085100A">
        <w:rPr>
          <w:bCs/>
        </w:rPr>
        <w:t xml:space="preserve"> </w:t>
      </w:r>
      <w:r>
        <w:rPr>
          <w:bCs/>
        </w:rPr>
        <w:t xml:space="preserve">are due </w:t>
      </w:r>
      <w:r w:rsidRPr="0085100A">
        <w:rPr>
          <w:bCs/>
        </w:rPr>
        <w:t xml:space="preserve">120 days before the end of the budget period. </w:t>
      </w:r>
      <w:r>
        <w:rPr>
          <w:bCs/>
        </w:rPr>
        <w:t xml:space="preserve">CDC will conduct analysis, visualization, and reporting after data are submitted and finalized each year. </w:t>
      </w:r>
    </w:p>
    <w:p w14:paraId="7CE6EE99" w14:textId="77777777" w:rsidR="00024AA1" w:rsidRDefault="00024AA1" w:rsidP="00A030E6">
      <w:pPr>
        <w:autoSpaceDE w:val="0"/>
        <w:autoSpaceDN w:val="0"/>
        <w:adjustRightInd w:val="0"/>
        <w:rPr>
          <w:bCs/>
        </w:rPr>
      </w:pPr>
    </w:p>
    <w:p w14:paraId="425C6CED" w14:textId="77777777" w:rsidR="00024AA1" w:rsidRPr="00A93EB5" w:rsidRDefault="00024AA1" w:rsidP="00024AA1">
      <w:pPr>
        <w:autoSpaceDE w:val="0"/>
        <w:autoSpaceDN w:val="0"/>
        <w:adjustRightInd w:val="0"/>
        <w:rPr>
          <w:bCs/>
        </w:rPr>
      </w:pPr>
      <w:r w:rsidRPr="00A93EB5">
        <w:rPr>
          <w:bCs/>
        </w:rPr>
        <w:t xml:space="preserve">B. </w:t>
      </w:r>
      <w:r w:rsidRPr="00A93EB5">
        <w:rPr>
          <w:bCs/>
          <w:u w:val="single"/>
        </w:rPr>
        <w:t>Publication plan</w:t>
      </w:r>
    </w:p>
    <w:p w14:paraId="6ECB97FC" w14:textId="26302322" w:rsidR="00024AA1" w:rsidRPr="00A93EB5" w:rsidRDefault="00024AA1" w:rsidP="00024AA1">
      <w:pPr>
        <w:autoSpaceDE w:val="0"/>
        <w:autoSpaceDN w:val="0"/>
        <w:adjustRightInd w:val="0"/>
        <w:rPr>
          <w:bCs/>
        </w:rPr>
      </w:pPr>
      <w:r w:rsidRPr="00A93EB5">
        <w:rPr>
          <w:bCs/>
        </w:rPr>
        <w:t xml:space="preserve">Information collected </w:t>
      </w:r>
      <w:r w:rsidR="005300EE">
        <w:rPr>
          <w:bCs/>
        </w:rPr>
        <w:t xml:space="preserve">as part of this ICR will not be published, but </w:t>
      </w:r>
      <w:r w:rsidRPr="00A93EB5">
        <w:rPr>
          <w:bCs/>
        </w:rPr>
        <w:t xml:space="preserve">will be </w:t>
      </w:r>
      <w:r w:rsidR="005300EE">
        <w:rPr>
          <w:bCs/>
        </w:rPr>
        <w:t>used</w:t>
      </w:r>
      <w:r w:rsidRPr="00A93EB5">
        <w:rPr>
          <w:bCs/>
        </w:rPr>
        <w:t xml:space="preserve"> in internal CDC document</w:t>
      </w:r>
      <w:r w:rsidR="005300EE">
        <w:rPr>
          <w:bCs/>
        </w:rPr>
        <w:t>s, and may be shared in summary form with funded jurisdictions</w:t>
      </w:r>
      <w:r w:rsidRPr="00A93EB5">
        <w:rPr>
          <w:bCs/>
        </w:rPr>
        <w:t>.</w:t>
      </w:r>
      <w:r w:rsidR="005300EE">
        <w:rPr>
          <w:bCs/>
        </w:rPr>
        <w:t xml:space="preserve"> </w:t>
      </w:r>
      <w:r w:rsidR="005D0F9A">
        <w:rPr>
          <w:bCs/>
        </w:rPr>
        <w:t xml:space="preserve">With </w:t>
      </w:r>
      <w:r w:rsidR="000A0D4A">
        <w:rPr>
          <w:bCs/>
        </w:rPr>
        <w:t>respect</w:t>
      </w:r>
      <w:r w:rsidR="005D0F9A">
        <w:rPr>
          <w:bCs/>
        </w:rPr>
        <w:t xml:space="preserve"> to </w:t>
      </w:r>
      <w:r w:rsidR="0079265D">
        <w:rPr>
          <w:bCs/>
        </w:rPr>
        <w:t xml:space="preserve">activity </w:t>
      </w:r>
      <w:r w:rsidR="005D0F9A">
        <w:rPr>
          <w:bCs/>
        </w:rPr>
        <w:t>progress and work plan reporting, j</w:t>
      </w:r>
      <w:r w:rsidR="002C01D6">
        <w:rPr>
          <w:bCs/>
        </w:rPr>
        <w:t>urisdictions will maintain consistent</w:t>
      </w:r>
      <w:r w:rsidR="005300EE">
        <w:rPr>
          <w:bCs/>
        </w:rPr>
        <w:t xml:space="preserve"> access to their own </w:t>
      </w:r>
      <w:r w:rsidR="005D0F9A">
        <w:rPr>
          <w:bCs/>
        </w:rPr>
        <w:t>submitted information</w:t>
      </w:r>
      <w:r w:rsidR="005300EE">
        <w:rPr>
          <w:bCs/>
        </w:rPr>
        <w:t xml:space="preserve"> via the described web-based tools.</w:t>
      </w:r>
    </w:p>
    <w:p w14:paraId="1392A13A" w14:textId="77777777" w:rsidR="00024AA1" w:rsidRPr="00A93EB5" w:rsidRDefault="00024AA1" w:rsidP="00024AA1">
      <w:pPr>
        <w:autoSpaceDE w:val="0"/>
        <w:autoSpaceDN w:val="0"/>
        <w:adjustRightInd w:val="0"/>
        <w:rPr>
          <w:bCs/>
        </w:rPr>
      </w:pPr>
    </w:p>
    <w:p w14:paraId="7B3FD927" w14:textId="77777777" w:rsidR="00024AA1" w:rsidRPr="00A93EB5" w:rsidRDefault="00024AA1" w:rsidP="00024AA1">
      <w:pPr>
        <w:autoSpaceDE w:val="0"/>
        <w:autoSpaceDN w:val="0"/>
        <w:adjustRightInd w:val="0"/>
        <w:rPr>
          <w:bCs/>
        </w:rPr>
      </w:pPr>
      <w:r w:rsidRPr="00A93EB5">
        <w:rPr>
          <w:bCs/>
        </w:rPr>
        <w:t xml:space="preserve">C. </w:t>
      </w:r>
      <w:r w:rsidRPr="00A93EB5">
        <w:rPr>
          <w:bCs/>
          <w:u w:val="single"/>
        </w:rPr>
        <w:t>Analysis plan</w:t>
      </w:r>
    </w:p>
    <w:p w14:paraId="5B7A9804" w14:textId="62BD02A2" w:rsidR="00024AA1" w:rsidRPr="00A93EB5" w:rsidRDefault="00024AA1" w:rsidP="00024AA1">
      <w:pPr>
        <w:autoSpaceDE w:val="0"/>
        <w:autoSpaceDN w:val="0"/>
        <w:adjustRightInd w:val="0"/>
        <w:rPr>
          <w:bCs/>
        </w:rPr>
      </w:pPr>
      <w:r w:rsidRPr="00A93EB5">
        <w:rPr>
          <w:bCs/>
        </w:rPr>
        <w:t>CDC will not use complex statistical methods for analyzing information.</w:t>
      </w:r>
      <w:r w:rsidR="00526E23">
        <w:rPr>
          <w:bCs/>
        </w:rPr>
        <w:t xml:space="preserve"> Summary statistics (e.g., counts) will be used to summarize the collected information. </w:t>
      </w:r>
    </w:p>
    <w:p w14:paraId="0926AC32" w14:textId="77777777" w:rsidR="00024AA1" w:rsidRDefault="00024AA1" w:rsidP="00A030E6">
      <w:pPr>
        <w:autoSpaceDE w:val="0"/>
        <w:autoSpaceDN w:val="0"/>
        <w:adjustRightInd w:val="0"/>
        <w:rPr>
          <w:bCs/>
        </w:rPr>
      </w:pPr>
    </w:p>
    <w:p w14:paraId="2BA8AC5E" w14:textId="5265FD7F" w:rsidR="00307B92" w:rsidRPr="00042046" w:rsidRDefault="00B47A2F" w:rsidP="00307B92">
      <w:pPr>
        <w:autoSpaceDE w:val="0"/>
        <w:autoSpaceDN w:val="0"/>
        <w:adjustRightInd w:val="0"/>
      </w:pPr>
      <w:r w:rsidRPr="00F74167">
        <w:t xml:space="preserve">Table </w:t>
      </w:r>
      <w:r w:rsidR="00E4499C">
        <w:t>D</w:t>
      </w:r>
      <w:r w:rsidR="00FB2253" w:rsidRPr="00E4499C">
        <w:t xml:space="preserve"> </w:t>
      </w:r>
      <w:r w:rsidR="00307B92" w:rsidRPr="00E4499C">
        <w:t>Project</w:t>
      </w:r>
      <w:r w:rsidR="00307B92" w:rsidRPr="00042046">
        <w:t xml:space="preserve"> Time Schedule</w:t>
      </w:r>
    </w:p>
    <w:tbl>
      <w:tblPr>
        <w:tblStyle w:val="TableGrid"/>
        <w:tblW w:w="9216" w:type="dxa"/>
        <w:tblLook w:val="04A0" w:firstRow="1" w:lastRow="0" w:firstColumn="1" w:lastColumn="0" w:noHBand="0" w:noVBand="1"/>
      </w:tblPr>
      <w:tblGrid>
        <w:gridCol w:w="4607"/>
        <w:gridCol w:w="4609"/>
      </w:tblGrid>
      <w:tr w:rsidR="00307B92" w:rsidRPr="00042046" w14:paraId="0E3B6C5C" w14:textId="77777777" w:rsidTr="00E466A4">
        <w:tc>
          <w:tcPr>
            <w:tcW w:w="4607" w:type="dxa"/>
          </w:tcPr>
          <w:p w14:paraId="00E96074" w14:textId="77777777" w:rsidR="00307B92" w:rsidRPr="00406027" w:rsidRDefault="00307B92" w:rsidP="00E466A4">
            <w:pPr>
              <w:autoSpaceDE w:val="0"/>
              <w:autoSpaceDN w:val="0"/>
              <w:adjustRightInd w:val="0"/>
              <w:rPr>
                <w:b/>
                <w:bCs/>
              </w:rPr>
            </w:pPr>
            <w:r w:rsidRPr="00406027">
              <w:rPr>
                <w:b/>
                <w:bCs/>
              </w:rPr>
              <w:t>Activity Time Schedule</w:t>
            </w:r>
          </w:p>
        </w:tc>
        <w:tc>
          <w:tcPr>
            <w:tcW w:w="4609" w:type="dxa"/>
          </w:tcPr>
          <w:p w14:paraId="1425EE80" w14:textId="77777777" w:rsidR="00307B92" w:rsidRPr="00406027" w:rsidRDefault="009231A3" w:rsidP="00E466A4">
            <w:pPr>
              <w:rPr>
                <w:b/>
              </w:rPr>
            </w:pPr>
            <w:r w:rsidRPr="00406027">
              <w:rPr>
                <w:b/>
              </w:rPr>
              <w:t xml:space="preserve">Timeline </w:t>
            </w:r>
          </w:p>
        </w:tc>
      </w:tr>
      <w:tr w:rsidR="00307B92" w:rsidRPr="00042046" w14:paraId="556CF8DA" w14:textId="77777777" w:rsidTr="00E466A4">
        <w:tc>
          <w:tcPr>
            <w:tcW w:w="4607" w:type="dxa"/>
          </w:tcPr>
          <w:p w14:paraId="18B8CBD2" w14:textId="7A689563" w:rsidR="00307B92" w:rsidRPr="00406027" w:rsidRDefault="00307B92" w:rsidP="00E466A4">
            <w:r w:rsidRPr="00406027">
              <w:t xml:space="preserve">Notification of </w:t>
            </w:r>
            <w:r w:rsidR="00703D73" w:rsidRPr="00406027">
              <w:t>Web-based t</w:t>
            </w:r>
            <w:r w:rsidRPr="00406027">
              <w:t xml:space="preserve">ool </w:t>
            </w:r>
            <w:r w:rsidR="00703D73" w:rsidRPr="00406027">
              <w:t xml:space="preserve">and </w:t>
            </w:r>
            <w:r w:rsidR="000A0D4A" w:rsidRPr="00406027">
              <w:t>Template</w:t>
            </w:r>
            <w:r w:rsidR="00703D73" w:rsidRPr="00406027">
              <w:t xml:space="preserve"> </w:t>
            </w:r>
            <w:r w:rsidRPr="00406027">
              <w:t>Availability</w:t>
            </w:r>
          </w:p>
        </w:tc>
        <w:tc>
          <w:tcPr>
            <w:tcW w:w="4609" w:type="dxa"/>
          </w:tcPr>
          <w:p w14:paraId="046FF093" w14:textId="77777777" w:rsidR="00307B92" w:rsidRPr="00406027" w:rsidRDefault="00307B92" w:rsidP="00E466A4">
            <w:r w:rsidRPr="00406027">
              <w:t>Immediately upon OMB approval</w:t>
            </w:r>
          </w:p>
        </w:tc>
      </w:tr>
      <w:tr w:rsidR="00307B92" w:rsidRPr="00042046" w14:paraId="635A77BE" w14:textId="77777777" w:rsidTr="00E466A4">
        <w:tc>
          <w:tcPr>
            <w:tcW w:w="4607" w:type="dxa"/>
          </w:tcPr>
          <w:p w14:paraId="5093A34A" w14:textId="77777777" w:rsidR="00307B92" w:rsidRPr="00406027" w:rsidRDefault="00307B92" w:rsidP="00E466A4">
            <w:r w:rsidRPr="00406027">
              <w:t>User Training</w:t>
            </w:r>
          </w:p>
        </w:tc>
        <w:tc>
          <w:tcPr>
            <w:tcW w:w="4609" w:type="dxa"/>
          </w:tcPr>
          <w:p w14:paraId="4AEC392E" w14:textId="3AC8A609" w:rsidR="00307B92" w:rsidRPr="00406027" w:rsidRDefault="00307B92" w:rsidP="00E466A4">
            <w:r w:rsidRPr="00406027">
              <w:t>Immediately upon OMB approval</w:t>
            </w:r>
            <w:r w:rsidR="001276DE" w:rsidRPr="00406027">
              <w:t>, then</w:t>
            </w:r>
            <w:r w:rsidRPr="00406027">
              <w:t xml:space="preserve"> ongoing through </w:t>
            </w:r>
            <w:r w:rsidR="002D2373">
              <w:t xml:space="preserve">the </w:t>
            </w:r>
            <w:r w:rsidR="001276DE" w:rsidRPr="00406027">
              <w:t>period of performance</w:t>
            </w:r>
          </w:p>
        </w:tc>
      </w:tr>
      <w:tr w:rsidR="00307B92" w:rsidRPr="00042046" w14:paraId="032030B7" w14:textId="77777777" w:rsidTr="00E466A4">
        <w:tc>
          <w:tcPr>
            <w:tcW w:w="4607" w:type="dxa"/>
          </w:tcPr>
          <w:p w14:paraId="20B0B2A8" w14:textId="77777777" w:rsidR="00307B92" w:rsidRPr="00406027" w:rsidRDefault="00307B92" w:rsidP="00E466A4">
            <w:r w:rsidRPr="00406027">
              <w:t>Data Collection</w:t>
            </w:r>
          </w:p>
        </w:tc>
        <w:tc>
          <w:tcPr>
            <w:tcW w:w="4609" w:type="dxa"/>
          </w:tcPr>
          <w:p w14:paraId="35C28975" w14:textId="77777777" w:rsidR="00307B92" w:rsidRPr="00406027" w:rsidRDefault="0046360F" w:rsidP="00E466A4">
            <w:r w:rsidRPr="00406027">
              <w:t>Immediately</w:t>
            </w:r>
            <w:r w:rsidR="00B77E28" w:rsidRPr="00406027">
              <w:t xml:space="preserve"> upon OMB approval</w:t>
            </w:r>
            <w:r w:rsidRPr="00406027">
              <w:t>, then continuing annually</w:t>
            </w:r>
          </w:p>
        </w:tc>
      </w:tr>
      <w:tr w:rsidR="00307B92" w:rsidRPr="00042046" w14:paraId="2E5600A9" w14:textId="77777777" w:rsidTr="00E466A4">
        <w:tc>
          <w:tcPr>
            <w:tcW w:w="4607" w:type="dxa"/>
          </w:tcPr>
          <w:p w14:paraId="04F97C7B" w14:textId="77777777" w:rsidR="00307B92" w:rsidRPr="00406027" w:rsidRDefault="00307B92" w:rsidP="00E466A4">
            <w:r w:rsidRPr="00406027">
              <w:t>Data Analysis</w:t>
            </w:r>
          </w:p>
        </w:tc>
        <w:tc>
          <w:tcPr>
            <w:tcW w:w="4609" w:type="dxa"/>
          </w:tcPr>
          <w:p w14:paraId="72291D4D" w14:textId="77777777" w:rsidR="00307B92" w:rsidRPr="00406027" w:rsidRDefault="0046360F" w:rsidP="00E466A4">
            <w:r w:rsidRPr="00406027">
              <w:t>Immediately</w:t>
            </w:r>
            <w:r w:rsidR="00B77E28" w:rsidRPr="00406027">
              <w:t xml:space="preserve"> upon</w:t>
            </w:r>
            <w:r w:rsidRPr="00406027">
              <w:t xml:space="preserve"> submission by funded jurisdictions, then continuing annually</w:t>
            </w:r>
          </w:p>
        </w:tc>
      </w:tr>
    </w:tbl>
    <w:p w14:paraId="34641B1A" w14:textId="77777777" w:rsidR="00D01158" w:rsidRPr="00042046" w:rsidRDefault="00D01158" w:rsidP="00A030E6">
      <w:pPr>
        <w:autoSpaceDE w:val="0"/>
        <w:autoSpaceDN w:val="0"/>
        <w:adjustRightInd w:val="0"/>
        <w:rPr>
          <w:bCs/>
        </w:rPr>
      </w:pPr>
    </w:p>
    <w:p w14:paraId="7F7087C3" w14:textId="214B3A55" w:rsidR="00A030E6" w:rsidRDefault="00A030E6" w:rsidP="00A030E6">
      <w:pPr>
        <w:autoSpaceDE w:val="0"/>
        <w:autoSpaceDN w:val="0"/>
        <w:adjustRightInd w:val="0"/>
        <w:rPr>
          <w:b/>
          <w:bCs/>
        </w:rPr>
      </w:pPr>
      <w:r w:rsidRPr="00042046">
        <w:rPr>
          <w:b/>
          <w:bCs/>
        </w:rPr>
        <w:t>A.17. Reason(s) Display</w:t>
      </w:r>
      <w:r w:rsidRPr="00A93EB5">
        <w:rPr>
          <w:b/>
          <w:bCs/>
        </w:rPr>
        <w:t xml:space="preserve"> of OMB Expiration Date is Inappropriate </w:t>
      </w:r>
    </w:p>
    <w:p w14:paraId="5E098EDE" w14:textId="77777777" w:rsidR="003F674D" w:rsidRPr="00A93EB5" w:rsidRDefault="003F674D" w:rsidP="00A030E6">
      <w:pPr>
        <w:autoSpaceDE w:val="0"/>
        <w:autoSpaceDN w:val="0"/>
        <w:adjustRightInd w:val="0"/>
        <w:rPr>
          <w:b/>
          <w:bCs/>
        </w:rPr>
      </w:pPr>
    </w:p>
    <w:p w14:paraId="4DB6CDE3" w14:textId="77777777" w:rsidR="00E4499C" w:rsidRDefault="00E4499C" w:rsidP="00E4499C">
      <w:r w:rsidRPr="00646D6A">
        <w:t>No exceptions from display of expiration date are requested.</w:t>
      </w:r>
    </w:p>
    <w:p w14:paraId="55C7A941" w14:textId="77777777" w:rsidR="00A030E6" w:rsidRDefault="00A030E6" w:rsidP="00A030E6">
      <w:pPr>
        <w:autoSpaceDE w:val="0"/>
        <w:autoSpaceDN w:val="0"/>
        <w:adjustRightInd w:val="0"/>
        <w:rPr>
          <w:b/>
          <w:bCs/>
        </w:rPr>
      </w:pPr>
    </w:p>
    <w:p w14:paraId="295D2911" w14:textId="77777777" w:rsidR="003F674D" w:rsidRDefault="00A030E6" w:rsidP="00A030E6">
      <w:pPr>
        <w:autoSpaceDE w:val="0"/>
        <w:autoSpaceDN w:val="0"/>
        <w:adjustRightInd w:val="0"/>
        <w:rPr>
          <w:b/>
          <w:bCs/>
        </w:rPr>
      </w:pPr>
      <w:r w:rsidRPr="00691454">
        <w:rPr>
          <w:b/>
          <w:bCs/>
        </w:rPr>
        <w:t>A.18. Exceptions to Certification for Paperwork Reduction Act Submissions</w:t>
      </w:r>
    </w:p>
    <w:p w14:paraId="67B51015" w14:textId="2FBAB922" w:rsidR="00A030E6" w:rsidRPr="00691454" w:rsidRDefault="00A030E6" w:rsidP="00A030E6">
      <w:pPr>
        <w:autoSpaceDE w:val="0"/>
        <w:autoSpaceDN w:val="0"/>
        <w:adjustRightInd w:val="0"/>
        <w:rPr>
          <w:b/>
          <w:bCs/>
        </w:rPr>
      </w:pPr>
      <w:r w:rsidRPr="00691454">
        <w:rPr>
          <w:b/>
          <w:bCs/>
        </w:rPr>
        <w:t xml:space="preserve"> </w:t>
      </w:r>
    </w:p>
    <w:p w14:paraId="44FE21DF" w14:textId="05432869" w:rsidR="003F674D" w:rsidRDefault="00A030E6" w:rsidP="001E01B0">
      <w:pPr>
        <w:autoSpaceDE w:val="0"/>
        <w:autoSpaceDN w:val="0"/>
        <w:adjustRightInd w:val="0"/>
        <w:rPr>
          <w:b/>
          <w:bCs/>
        </w:rPr>
      </w:pPr>
      <w:r w:rsidRPr="00BB32F8">
        <w:t>There are no exceptions to the certification.</w:t>
      </w:r>
    </w:p>
    <w:sectPr w:rsidR="003F674D" w:rsidSect="001A0A8C">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B65A5" w14:textId="77777777" w:rsidR="00500AC3" w:rsidRDefault="00500AC3">
      <w:r>
        <w:separator/>
      </w:r>
    </w:p>
  </w:endnote>
  <w:endnote w:type="continuationSeparator" w:id="0">
    <w:p w14:paraId="104EBE6C" w14:textId="77777777" w:rsidR="00500AC3" w:rsidRDefault="0050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Italic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NewRomanPSMT">
    <w:altName w:val="MS Gothic"/>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CF1C8" w14:textId="77777777" w:rsidR="001B4791" w:rsidRDefault="001B4791"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482DC" w14:textId="77777777" w:rsidR="001B4791" w:rsidRDefault="001B4791"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B66ED" w14:textId="3512543B" w:rsidR="001B4791" w:rsidRDefault="001B4791"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715A">
      <w:rPr>
        <w:rStyle w:val="PageNumber"/>
        <w:noProof/>
      </w:rPr>
      <w:t>2</w:t>
    </w:r>
    <w:r>
      <w:rPr>
        <w:rStyle w:val="PageNumber"/>
      </w:rPr>
      <w:fldChar w:fldCharType="end"/>
    </w:r>
  </w:p>
  <w:p w14:paraId="59887A8C" w14:textId="36AB23C0" w:rsidR="001B4791" w:rsidRPr="00BB4559" w:rsidRDefault="001B4791"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F67E6" w14:textId="77777777" w:rsidR="00500AC3" w:rsidRDefault="00500AC3">
      <w:r>
        <w:separator/>
      </w:r>
    </w:p>
  </w:footnote>
  <w:footnote w:type="continuationSeparator" w:id="0">
    <w:p w14:paraId="4D9B258A" w14:textId="77777777" w:rsidR="00500AC3" w:rsidRDefault="00500AC3">
      <w:r>
        <w:continuationSeparator/>
      </w:r>
    </w:p>
  </w:footnote>
  <w:footnote w:id="1">
    <w:p w14:paraId="792BD7F6" w14:textId="155E3537" w:rsidR="00A65816" w:rsidRDefault="00A65816">
      <w:pPr>
        <w:pStyle w:val="FootnoteText"/>
      </w:pPr>
      <w:r>
        <w:rPr>
          <w:rStyle w:val="FootnoteReference"/>
        </w:rPr>
        <w:footnoteRef/>
      </w:r>
      <w:r>
        <w:t xml:space="preserve"> </w:t>
      </w:r>
      <w:r w:rsidRPr="00A65816">
        <w:rPr>
          <w:sz w:val="20"/>
          <w:szCs w:val="20"/>
        </w:rPr>
        <w:t xml:space="preserve">Lavinghouze SR, Snyder K, Rieker PP. The component model of infrastructure: a practical approach to understanding public health program infrastructure. </w:t>
      </w:r>
      <w:r w:rsidRPr="00A65816">
        <w:rPr>
          <w:i/>
          <w:sz w:val="20"/>
          <w:szCs w:val="20"/>
        </w:rPr>
        <w:t xml:space="preserve">Am J Public Health. </w:t>
      </w:r>
      <w:r w:rsidRPr="00A65816">
        <w:rPr>
          <w:sz w:val="20"/>
          <w:szCs w:val="20"/>
        </w:rPr>
        <w:t>2014;104(8):e14-24.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CA7"/>
    <w:multiLevelType w:val="hybridMultilevel"/>
    <w:tmpl w:val="1374BD8E"/>
    <w:lvl w:ilvl="0" w:tplc="88DE49C2">
      <w:start w:val="1"/>
      <w:numFmt w:val="bullet"/>
      <w:lvlText w:val="•"/>
      <w:lvlJc w:val="left"/>
      <w:pPr>
        <w:ind w:left="720" w:hanging="360"/>
      </w:pPr>
      <w:rPr>
        <w:rFonts w:ascii="TimesNewRomanPS-ItalicMT" w:eastAsiaTheme="minorHAnsi" w:hAnsi="TimesNewRomanPS-ItalicMT" w:cs="TimesNewRomanPS-Italic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2973"/>
    <w:multiLevelType w:val="hybridMultilevel"/>
    <w:tmpl w:val="B516C3AC"/>
    <w:lvl w:ilvl="0" w:tplc="A6B87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69DE"/>
    <w:multiLevelType w:val="hybridMultilevel"/>
    <w:tmpl w:val="8D8A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34D96"/>
    <w:multiLevelType w:val="hybridMultilevel"/>
    <w:tmpl w:val="DD280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761AA7"/>
    <w:multiLevelType w:val="hybridMultilevel"/>
    <w:tmpl w:val="6E32CDDE"/>
    <w:lvl w:ilvl="0" w:tplc="A6B87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A3432"/>
    <w:multiLevelType w:val="hybridMultilevel"/>
    <w:tmpl w:val="4DD697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CBD580F"/>
    <w:multiLevelType w:val="hybridMultilevel"/>
    <w:tmpl w:val="3F9ED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4CFF"/>
    <w:multiLevelType w:val="hybridMultilevel"/>
    <w:tmpl w:val="23E09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22B07"/>
    <w:multiLevelType w:val="hybridMultilevel"/>
    <w:tmpl w:val="CDBE9B46"/>
    <w:lvl w:ilvl="0" w:tplc="A6B87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6B26D72"/>
    <w:multiLevelType w:val="hybridMultilevel"/>
    <w:tmpl w:val="07FCA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14">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F762921"/>
    <w:multiLevelType w:val="hybridMultilevel"/>
    <w:tmpl w:val="8DF22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1D22C8"/>
    <w:multiLevelType w:val="hybridMultilevel"/>
    <w:tmpl w:val="27A2E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25575E"/>
    <w:multiLevelType w:val="hybridMultilevel"/>
    <w:tmpl w:val="CBAAC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04197"/>
    <w:multiLevelType w:val="hybridMultilevel"/>
    <w:tmpl w:val="1A50F3C8"/>
    <w:lvl w:ilvl="0" w:tplc="1F36DAC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88831AA"/>
    <w:multiLevelType w:val="hybridMultilevel"/>
    <w:tmpl w:val="EDD45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EEC33E">
      <w:start w:val="5"/>
      <w:numFmt w:val="decimal"/>
      <w:lvlText w:val="%4"/>
      <w:lvlJc w:val="left"/>
      <w:pPr>
        <w:ind w:left="2880" w:hanging="360"/>
      </w:pPr>
      <w:rPr>
        <w:rFonts w:hint="default"/>
      </w:rPr>
    </w:lvl>
    <w:lvl w:ilvl="4" w:tplc="379481C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2B5A4974"/>
    <w:multiLevelType w:val="hybridMultilevel"/>
    <w:tmpl w:val="2F785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AB0383"/>
    <w:multiLevelType w:val="hybridMultilevel"/>
    <w:tmpl w:val="C3CC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A94143"/>
    <w:multiLevelType w:val="hybridMultilevel"/>
    <w:tmpl w:val="ACD0243A"/>
    <w:lvl w:ilvl="0" w:tplc="A6B87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AF3879"/>
    <w:multiLevelType w:val="hybridMultilevel"/>
    <w:tmpl w:val="538A4A7A"/>
    <w:lvl w:ilvl="0" w:tplc="584CB1B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30CB1154"/>
    <w:multiLevelType w:val="hybridMultilevel"/>
    <w:tmpl w:val="F23C8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8BF45FA"/>
    <w:multiLevelType w:val="hybridMultilevel"/>
    <w:tmpl w:val="7D967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C43A8B"/>
    <w:multiLevelType w:val="hybridMultilevel"/>
    <w:tmpl w:val="A16073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1551C1A"/>
    <w:multiLevelType w:val="hybridMultilevel"/>
    <w:tmpl w:val="9420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7E23DB"/>
    <w:multiLevelType w:val="hybridMultilevel"/>
    <w:tmpl w:val="66565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3E30BC2"/>
    <w:multiLevelType w:val="hybridMultilevel"/>
    <w:tmpl w:val="7780D67A"/>
    <w:lvl w:ilvl="0" w:tplc="88DE49C2">
      <w:start w:val="1"/>
      <w:numFmt w:val="bullet"/>
      <w:lvlText w:val="•"/>
      <w:lvlJc w:val="left"/>
      <w:pPr>
        <w:ind w:left="720" w:hanging="360"/>
      </w:pPr>
      <w:rPr>
        <w:rFonts w:ascii="TimesNewRomanPS-ItalicMT" w:eastAsiaTheme="minorHAnsi" w:hAnsi="TimesNewRomanPS-ItalicMT" w:cs="TimesNewRomanPS-Italic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2449E9"/>
    <w:multiLevelType w:val="hybridMultilevel"/>
    <w:tmpl w:val="5EEE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8A6B24"/>
    <w:multiLevelType w:val="hybridMultilevel"/>
    <w:tmpl w:val="3C6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8473E9"/>
    <w:multiLevelType w:val="hybridMultilevel"/>
    <w:tmpl w:val="E530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FF6E47"/>
    <w:multiLevelType w:val="hybridMultilevel"/>
    <w:tmpl w:val="B1745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AF53CE"/>
    <w:multiLevelType w:val="hybridMultilevel"/>
    <w:tmpl w:val="E6587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DF77A6"/>
    <w:multiLevelType w:val="hybridMultilevel"/>
    <w:tmpl w:val="ED4A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2F476A7"/>
    <w:multiLevelType w:val="hybridMultilevel"/>
    <w:tmpl w:val="603E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8963F9"/>
    <w:multiLevelType w:val="hybridMultilevel"/>
    <w:tmpl w:val="804A1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563090"/>
    <w:multiLevelType w:val="hybridMultilevel"/>
    <w:tmpl w:val="62500AF6"/>
    <w:lvl w:ilvl="0" w:tplc="A6B87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2B181F"/>
    <w:multiLevelType w:val="hybridMultilevel"/>
    <w:tmpl w:val="04D0E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FF7E2B"/>
    <w:multiLevelType w:val="hybridMultilevel"/>
    <w:tmpl w:val="D0E6C0A0"/>
    <w:lvl w:ilvl="0" w:tplc="C292F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250447"/>
    <w:multiLevelType w:val="hybridMultilevel"/>
    <w:tmpl w:val="88AA4B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6">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45"/>
  </w:num>
  <w:num w:numId="3">
    <w:abstractNumId w:val="12"/>
  </w:num>
  <w:num w:numId="4">
    <w:abstractNumId w:val="13"/>
  </w:num>
  <w:num w:numId="5">
    <w:abstractNumId w:val="20"/>
  </w:num>
  <w:num w:numId="6">
    <w:abstractNumId w:val="24"/>
  </w:num>
  <w:num w:numId="7">
    <w:abstractNumId w:val="19"/>
  </w:num>
  <w:num w:numId="8">
    <w:abstractNumId w:val="43"/>
  </w:num>
  <w:num w:numId="9">
    <w:abstractNumId w:val="40"/>
  </w:num>
  <w:num w:numId="10">
    <w:abstractNumId w:val="2"/>
  </w:num>
  <w:num w:numId="11">
    <w:abstractNumId w:val="33"/>
  </w:num>
  <w:num w:numId="12">
    <w:abstractNumId w:val="46"/>
  </w:num>
  <w:num w:numId="13">
    <w:abstractNumId w:val="29"/>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6"/>
  </w:num>
  <w:num w:numId="19">
    <w:abstractNumId w:val="11"/>
  </w:num>
  <w:num w:numId="20">
    <w:abstractNumId w:val="25"/>
  </w:num>
  <w:num w:numId="21">
    <w:abstractNumId w:val="27"/>
  </w:num>
  <w:num w:numId="22">
    <w:abstractNumId w:val="19"/>
    <w:lvlOverride w:ilvl="0">
      <w:lvl w:ilvl="0" w:tplc="0409000F">
        <w:start w:val="1"/>
        <w:numFmt w:val="decimal"/>
        <w:lvlText w:val="%1."/>
        <w:lvlJc w:val="left"/>
        <w:pPr>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10EEC33E" w:tentative="1">
        <w:start w:val="1"/>
        <w:numFmt w:val="decimal"/>
        <w:lvlText w:val="%4."/>
        <w:lvlJc w:val="left"/>
        <w:pPr>
          <w:ind w:left="2880" w:hanging="360"/>
        </w:pPr>
      </w:lvl>
    </w:lvlOverride>
    <w:lvlOverride w:ilvl="4">
      <w:lvl w:ilvl="4" w:tplc="379481C8"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18"/>
  </w:num>
  <w:num w:numId="24">
    <w:abstractNumId w:val="21"/>
  </w:num>
  <w:num w:numId="25">
    <w:abstractNumId w:val="6"/>
  </w:num>
  <w:num w:numId="26">
    <w:abstractNumId w:val="35"/>
  </w:num>
  <w:num w:numId="27">
    <w:abstractNumId w:val="22"/>
  </w:num>
  <w:num w:numId="28">
    <w:abstractNumId w:val="37"/>
  </w:num>
  <w:num w:numId="29">
    <w:abstractNumId w:val="3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8"/>
  </w:num>
  <w:num w:numId="33">
    <w:abstractNumId w:val="16"/>
  </w:num>
  <w:num w:numId="34">
    <w:abstractNumId w:val="4"/>
  </w:num>
  <w:num w:numId="35">
    <w:abstractNumId w:val="0"/>
  </w:num>
  <w:num w:numId="36">
    <w:abstractNumId w:val="36"/>
  </w:num>
  <w:num w:numId="37">
    <w:abstractNumId w:val="32"/>
  </w:num>
  <w:num w:numId="38">
    <w:abstractNumId w:val="30"/>
  </w:num>
  <w:num w:numId="39">
    <w:abstractNumId w:val="31"/>
  </w:num>
  <w:num w:numId="40">
    <w:abstractNumId w:val="1"/>
  </w:num>
  <w:num w:numId="41">
    <w:abstractNumId w:val="41"/>
  </w:num>
  <w:num w:numId="42">
    <w:abstractNumId w:val="23"/>
  </w:num>
  <w:num w:numId="43">
    <w:abstractNumId w:val="8"/>
  </w:num>
  <w:num w:numId="44">
    <w:abstractNumId w:val="44"/>
  </w:num>
  <w:num w:numId="45">
    <w:abstractNumId w:val="34"/>
  </w:num>
  <w:num w:numId="46">
    <w:abstractNumId w:val="34"/>
  </w:num>
  <w:num w:numId="47">
    <w:abstractNumId w:val="42"/>
  </w:num>
  <w:num w:numId="48">
    <w:abstractNumId w:val="17"/>
  </w:num>
  <w:num w:numId="4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WwNLMwNzCwMDKzNDBU0lEKTi0uzszPAykwqgUAVJgRiCwAAAA="/>
    <w:docVar w:name="EN.InstantFormat" w:val="&lt;ENInstantFormat&gt;&lt;Enabled&gt;1&lt;/Enabled&gt;&lt;ScanUnformatted&gt;1&lt;/ScanUnformatted&gt;&lt;ScanChanges&gt;1&lt;/ScanChanges&gt;&lt;Suspended&gt;1&lt;/Suspended&gt;&lt;/ENInstantFormat&gt;"/>
    <w:docVar w:name="EN.Layout" w:val="&lt;ENLayout&gt;&lt;Style&gt;Cell Cycl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tdw2sz2fle5vf759drcz0sp5vpf5t50&quot;&gt;AWEndnoteLibrary&lt;record-ids&gt;&lt;item&gt;41&lt;/item&gt;&lt;/record-ids&gt;&lt;/item&gt;&lt;/Libraries&gt;"/>
  </w:docVars>
  <w:rsids>
    <w:rsidRoot w:val="00972DEF"/>
    <w:rsid w:val="0000149F"/>
    <w:rsid w:val="00002669"/>
    <w:rsid w:val="0000266C"/>
    <w:rsid w:val="00002CB2"/>
    <w:rsid w:val="00003348"/>
    <w:rsid w:val="00003D0C"/>
    <w:rsid w:val="00004E7F"/>
    <w:rsid w:val="00005163"/>
    <w:rsid w:val="00005726"/>
    <w:rsid w:val="000068D5"/>
    <w:rsid w:val="00006B12"/>
    <w:rsid w:val="00006CD4"/>
    <w:rsid w:val="000113A7"/>
    <w:rsid w:val="00011FC6"/>
    <w:rsid w:val="00012596"/>
    <w:rsid w:val="00013F0A"/>
    <w:rsid w:val="00014066"/>
    <w:rsid w:val="0001452F"/>
    <w:rsid w:val="00014C5D"/>
    <w:rsid w:val="00015033"/>
    <w:rsid w:val="000151A9"/>
    <w:rsid w:val="00017579"/>
    <w:rsid w:val="00020DC0"/>
    <w:rsid w:val="00021801"/>
    <w:rsid w:val="00021803"/>
    <w:rsid w:val="0002336E"/>
    <w:rsid w:val="000236D9"/>
    <w:rsid w:val="00024097"/>
    <w:rsid w:val="00024AA1"/>
    <w:rsid w:val="000259D7"/>
    <w:rsid w:val="00025A82"/>
    <w:rsid w:val="00025C69"/>
    <w:rsid w:val="000267D8"/>
    <w:rsid w:val="00026C55"/>
    <w:rsid w:val="0003039A"/>
    <w:rsid w:val="00030B06"/>
    <w:rsid w:val="00031445"/>
    <w:rsid w:val="00032EAB"/>
    <w:rsid w:val="000334ED"/>
    <w:rsid w:val="00033725"/>
    <w:rsid w:val="00033810"/>
    <w:rsid w:val="00033BBF"/>
    <w:rsid w:val="00034C19"/>
    <w:rsid w:val="00034D66"/>
    <w:rsid w:val="0003546E"/>
    <w:rsid w:val="000358D3"/>
    <w:rsid w:val="00037139"/>
    <w:rsid w:val="00040234"/>
    <w:rsid w:val="00040551"/>
    <w:rsid w:val="00040C03"/>
    <w:rsid w:val="00040F7B"/>
    <w:rsid w:val="00041BC2"/>
    <w:rsid w:val="00042046"/>
    <w:rsid w:val="00042878"/>
    <w:rsid w:val="00042D1D"/>
    <w:rsid w:val="00042E98"/>
    <w:rsid w:val="00043C49"/>
    <w:rsid w:val="0004475B"/>
    <w:rsid w:val="000450DB"/>
    <w:rsid w:val="00045AF7"/>
    <w:rsid w:val="000462CE"/>
    <w:rsid w:val="00046631"/>
    <w:rsid w:val="00046D69"/>
    <w:rsid w:val="00047243"/>
    <w:rsid w:val="00047DA0"/>
    <w:rsid w:val="00051555"/>
    <w:rsid w:val="00051AAA"/>
    <w:rsid w:val="00051B0E"/>
    <w:rsid w:val="000523C9"/>
    <w:rsid w:val="00052AAF"/>
    <w:rsid w:val="0005319C"/>
    <w:rsid w:val="00054D40"/>
    <w:rsid w:val="00054F7E"/>
    <w:rsid w:val="00055344"/>
    <w:rsid w:val="0005567A"/>
    <w:rsid w:val="000567FE"/>
    <w:rsid w:val="0006002C"/>
    <w:rsid w:val="00060724"/>
    <w:rsid w:val="00060768"/>
    <w:rsid w:val="000630F3"/>
    <w:rsid w:val="00063B71"/>
    <w:rsid w:val="00063EA6"/>
    <w:rsid w:val="000642F2"/>
    <w:rsid w:val="00064C6C"/>
    <w:rsid w:val="00065A09"/>
    <w:rsid w:val="000663CC"/>
    <w:rsid w:val="000711CD"/>
    <w:rsid w:val="0007447A"/>
    <w:rsid w:val="00074517"/>
    <w:rsid w:val="0007680B"/>
    <w:rsid w:val="00080D73"/>
    <w:rsid w:val="0008181F"/>
    <w:rsid w:val="00082FB9"/>
    <w:rsid w:val="00083E27"/>
    <w:rsid w:val="000847B7"/>
    <w:rsid w:val="00084F1E"/>
    <w:rsid w:val="00085277"/>
    <w:rsid w:val="000855A4"/>
    <w:rsid w:val="000858FA"/>
    <w:rsid w:val="0008741D"/>
    <w:rsid w:val="0009080F"/>
    <w:rsid w:val="00091344"/>
    <w:rsid w:val="00092469"/>
    <w:rsid w:val="000925D2"/>
    <w:rsid w:val="00092DB2"/>
    <w:rsid w:val="00093851"/>
    <w:rsid w:val="00093E02"/>
    <w:rsid w:val="00094BF2"/>
    <w:rsid w:val="0009569B"/>
    <w:rsid w:val="0009593A"/>
    <w:rsid w:val="00095AF9"/>
    <w:rsid w:val="00096432"/>
    <w:rsid w:val="00096548"/>
    <w:rsid w:val="00096849"/>
    <w:rsid w:val="00096C01"/>
    <w:rsid w:val="000A0C49"/>
    <w:rsid w:val="000A0D4A"/>
    <w:rsid w:val="000A0DB9"/>
    <w:rsid w:val="000A0F71"/>
    <w:rsid w:val="000A1BBB"/>
    <w:rsid w:val="000A2128"/>
    <w:rsid w:val="000A2827"/>
    <w:rsid w:val="000A2A2B"/>
    <w:rsid w:val="000A2C31"/>
    <w:rsid w:val="000A7D7B"/>
    <w:rsid w:val="000B088F"/>
    <w:rsid w:val="000B1967"/>
    <w:rsid w:val="000B33E7"/>
    <w:rsid w:val="000B38B6"/>
    <w:rsid w:val="000B4DBF"/>
    <w:rsid w:val="000B613D"/>
    <w:rsid w:val="000B7040"/>
    <w:rsid w:val="000B7303"/>
    <w:rsid w:val="000B78C9"/>
    <w:rsid w:val="000B7AB2"/>
    <w:rsid w:val="000C03EE"/>
    <w:rsid w:val="000C14EC"/>
    <w:rsid w:val="000C274B"/>
    <w:rsid w:val="000C2C30"/>
    <w:rsid w:val="000C2EFC"/>
    <w:rsid w:val="000C3B79"/>
    <w:rsid w:val="000C4150"/>
    <w:rsid w:val="000C4CAF"/>
    <w:rsid w:val="000C61E2"/>
    <w:rsid w:val="000C693D"/>
    <w:rsid w:val="000C7E39"/>
    <w:rsid w:val="000D05A0"/>
    <w:rsid w:val="000D0892"/>
    <w:rsid w:val="000D31C0"/>
    <w:rsid w:val="000D4D34"/>
    <w:rsid w:val="000D7168"/>
    <w:rsid w:val="000E03E3"/>
    <w:rsid w:val="000E2E8E"/>
    <w:rsid w:val="000E34ED"/>
    <w:rsid w:val="000E3608"/>
    <w:rsid w:val="000E3BC9"/>
    <w:rsid w:val="000E4044"/>
    <w:rsid w:val="000E76D6"/>
    <w:rsid w:val="000F028E"/>
    <w:rsid w:val="000F0EE6"/>
    <w:rsid w:val="000F1232"/>
    <w:rsid w:val="000F1766"/>
    <w:rsid w:val="000F19A7"/>
    <w:rsid w:val="000F476B"/>
    <w:rsid w:val="000F50B9"/>
    <w:rsid w:val="000F55B5"/>
    <w:rsid w:val="000F6DED"/>
    <w:rsid w:val="000F74B6"/>
    <w:rsid w:val="00100C7C"/>
    <w:rsid w:val="00100D30"/>
    <w:rsid w:val="00100EAD"/>
    <w:rsid w:val="00102734"/>
    <w:rsid w:val="0010329D"/>
    <w:rsid w:val="00103CC6"/>
    <w:rsid w:val="00103D59"/>
    <w:rsid w:val="00104BF1"/>
    <w:rsid w:val="001059C7"/>
    <w:rsid w:val="00107B9A"/>
    <w:rsid w:val="001112F8"/>
    <w:rsid w:val="001134E9"/>
    <w:rsid w:val="0011382E"/>
    <w:rsid w:val="00113CFB"/>
    <w:rsid w:val="0011502F"/>
    <w:rsid w:val="00115D62"/>
    <w:rsid w:val="00117092"/>
    <w:rsid w:val="001172F2"/>
    <w:rsid w:val="001175AE"/>
    <w:rsid w:val="00120940"/>
    <w:rsid w:val="001213AC"/>
    <w:rsid w:val="00121B9C"/>
    <w:rsid w:val="00122751"/>
    <w:rsid w:val="0012284F"/>
    <w:rsid w:val="0012367C"/>
    <w:rsid w:val="001245D1"/>
    <w:rsid w:val="00124EB1"/>
    <w:rsid w:val="00124EEB"/>
    <w:rsid w:val="00124F7A"/>
    <w:rsid w:val="001256B9"/>
    <w:rsid w:val="0012575C"/>
    <w:rsid w:val="00125D25"/>
    <w:rsid w:val="001276DE"/>
    <w:rsid w:val="00127C16"/>
    <w:rsid w:val="0013185D"/>
    <w:rsid w:val="00132CC8"/>
    <w:rsid w:val="00133154"/>
    <w:rsid w:val="00133289"/>
    <w:rsid w:val="0013412D"/>
    <w:rsid w:val="001355B4"/>
    <w:rsid w:val="00135823"/>
    <w:rsid w:val="001359E5"/>
    <w:rsid w:val="00137754"/>
    <w:rsid w:val="00140205"/>
    <w:rsid w:val="00140AD2"/>
    <w:rsid w:val="00141A5F"/>
    <w:rsid w:val="00141DA8"/>
    <w:rsid w:val="00141F78"/>
    <w:rsid w:val="001423AC"/>
    <w:rsid w:val="00143326"/>
    <w:rsid w:val="001433A0"/>
    <w:rsid w:val="00143688"/>
    <w:rsid w:val="00143A97"/>
    <w:rsid w:val="00143B09"/>
    <w:rsid w:val="00143BF1"/>
    <w:rsid w:val="00143D99"/>
    <w:rsid w:val="001440C5"/>
    <w:rsid w:val="00144640"/>
    <w:rsid w:val="0014480D"/>
    <w:rsid w:val="0014577C"/>
    <w:rsid w:val="00147636"/>
    <w:rsid w:val="00147660"/>
    <w:rsid w:val="00147A4E"/>
    <w:rsid w:val="00147F0D"/>
    <w:rsid w:val="00152324"/>
    <w:rsid w:val="001528DE"/>
    <w:rsid w:val="00152EDF"/>
    <w:rsid w:val="00153B43"/>
    <w:rsid w:val="001543AF"/>
    <w:rsid w:val="00155177"/>
    <w:rsid w:val="001553BF"/>
    <w:rsid w:val="00155C2D"/>
    <w:rsid w:val="00155C91"/>
    <w:rsid w:val="00157789"/>
    <w:rsid w:val="00160D16"/>
    <w:rsid w:val="001615EB"/>
    <w:rsid w:val="00162CE1"/>
    <w:rsid w:val="001633EE"/>
    <w:rsid w:val="001646B2"/>
    <w:rsid w:val="0016565B"/>
    <w:rsid w:val="0016568D"/>
    <w:rsid w:val="00165A3B"/>
    <w:rsid w:val="00166105"/>
    <w:rsid w:val="00166357"/>
    <w:rsid w:val="001668C4"/>
    <w:rsid w:val="00166B4A"/>
    <w:rsid w:val="00167EC8"/>
    <w:rsid w:val="001752AF"/>
    <w:rsid w:val="001752B1"/>
    <w:rsid w:val="00175875"/>
    <w:rsid w:val="00175A81"/>
    <w:rsid w:val="00176461"/>
    <w:rsid w:val="001765E2"/>
    <w:rsid w:val="00177C3C"/>
    <w:rsid w:val="00180F14"/>
    <w:rsid w:val="001810F5"/>
    <w:rsid w:val="00182711"/>
    <w:rsid w:val="001834DF"/>
    <w:rsid w:val="0018364C"/>
    <w:rsid w:val="00183655"/>
    <w:rsid w:val="001838E3"/>
    <w:rsid w:val="00183BA0"/>
    <w:rsid w:val="001841FA"/>
    <w:rsid w:val="00185463"/>
    <w:rsid w:val="00186577"/>
    <w:rsid w:val="00186E5B"/>
    <w:rsid w:val="0018718B"/>
    <w:rsid w:val="0018778C"/>
    <w:rsid w:val="00187D31"/>
    <w:rsid w:val="00190932"/>
    <w:rsid w:val="00190B66"/>
    <w:rsid w:val="00190E6C"/>
    <w:rsid w:val="00191585"/>
    <w:rsid w:val="00191682"/>
    <w:rsid w:val="00191A9E"/>
    <w:rsid w:val="0019427F"/>
    <w:rsid w:val="00195552"/>
    <w:rsid w:val="00195C2D"/>
    <w:rsid w:val="0019616B"/>
    <w:rsid w:val="001979A5"/>
    <w:rsid w:val="001A05F9"/>
    <w:rsid w:val="001A0A8C"/>
    <w:rsid w:val="001A1CF9"/>
    <w:rsid w:val="001A1F2F"/>
    <w:rsid w:val="001A2063"/>
    <w:rsid w:val="001A25A8"/>
    <w:rsid w:val="001A2A0A"/>
    <w:rsid w:val="001A2E14"/>
    <w:rsid w:val="001A4233"/>
    <w:rsid w:val="001A48D2"/>
    <w:rsid w:val="001A4E71"/>
    <w:rsid w:val="001A569A"/>
    <w:rsid w:val="001A58F0"/>
    <w:rsid w:val="001A5B35"/>
    <w:rsid w:val="001A5E9F"/>
    <w:rsid w:val="001A6157"/>
    <w:rsid w:val="001A7355"/>
    <w:rsid w:val="001A77D0"/>
    <w:rsid w:val="001A78C5"/>
    <w:rsid w:val="001A7C5C"/>
    <w:rsid w:val="001B032A"/>
    <w:rsid w:val="001B218A"/>
    <w:rsid w:val="001B27E3"/>
    <w:rsid w:val="001B2979"/>
    <w:rsid w:val="001B3286"/>
    <w:rsid w:val="001B357A"/>
    <w:rsid w:val="001B43C7"/>
    <w:rsid w:val="001B4791"/>
    <w:rsid w:val="001B495A"/>
    <w:rsid w:val="001B7C98"/>
    <w:rsid w:val="001C03CC"/>
    <w:rsid w:val="001C05C8"/>
    <w:rsid w:val="001C0E4A"/>
    <w:rsid w:val="001C4561"/>
    <w:rsid w:val="001C4949"/>
    <w:rsid w:val="001C4D29"/>
    <w:rsid w:val="001C5D55"/>
    <w:rsid w:val="001C5E44"/>
    <w:rsid w:val="001C7212"/>
    <w:rsid w:val="001C7245"/>
    <w:rsid w:val="001C79EF"/>
    <w:rsid w:val="001D18C9"/>
    <w:rsid w:val="001D21B3"/>
    <w:rsid w:val="001D230B"/>
    <w:rsid w:val="001D2813"/>
    <w:rsid w:val="001D29AC"/>
    <w:rsid w:val="001D3286"/>
    <w:rsid w:val="001D3733"/>
    <w:rsid w:val="001D3ABD"/>
    <w:rsid w:val="001D3CE3"/>
    <w:rsid w:val="001D441F"/>
    <w:rsid w:val="001D55A6"/>
    <w:rsid w:val="001D5F04"/>
    <w:rsid w:val="001D7580"/>
    <w:rsid w:val="001D7E60"/>
    <w:rsid w:val="001E01B0"/>
    <w:rsid w:val="001E07EB"/>
    <w:rsid w:val="001E1A5D"/>
    <w:rsid w:val="001E1B13"/>
    <w:rsid w:val="001E442C"/>
    <w:rsid w:val="001E7051"/>
    <w:rsid w:val="001F050E"/>
    <w:rsid w:val="001F1FDA"/>
    <w:rsid w:val="001F2730"/>
    <w:rsid w:val="001F2E0D"/>
    <w:rsid w:val="001F3081"/>
    <w:rsid w:val="001F36D0"/>
    <w:rsid w:val="001F435A"/>
    <w:rsid w:val="001F4E47"/>
    <w:rsid w:val="001F6356"/>
    <w:rsid w:val="001F6EB7"/>
    <w:rsid w:val="001F7885"/>
    <w:rsid w:val="002004ED"/>
    <w:rsid w:val="00200EF9"/>
    <w:rsid w:val="002011B2"/>
    <w:rsid w:val="0020133D"/>
    <w:rsid w:val="00201387"/>
    <w:rsid w:val="0020149B"/>
    <w:rsid w:val="00201EB8"/>
    <w:rsid w:val="00202616"/>
    <w:rsid w:val="00202BE8"/>
    <w:rsid w:val="00203779"/>
    <w:rsid w:val="00203955"/>
    <w:rsid w:val="00205A43"/>
    <w:rsid w:val="00205D79"/>
    <w:rsid w:val="00211543"/>
    <w:rsid w:val="00211558"/>
    <w:rsid w:val="0021200C"/>
    <w:rsid w:val="002121A0"/>
    <w:rsid w:val="00212621"/>
    <w:rsid w:val="00212983"/>
    <w:rsid w:val="0021466D"/>
    <w:rsid w:val="00214CB0"/>
    <w:rsid w:val="002155C9"/>
    <w:rsid w:val="00215ED9"/>
    <w:rsid w:val="002174E2"/>
    <w:rsid w:val="0021755F"/>
    <w:rsid w:val="002202AA"/>
    <w:rsid w:val="00220898"/>
    <w:rsid w:val="0022145E"/>
    <w:rsid w:val="00221A4E"/>
    <w:rsid w:val="00222B5F"/>
    <w:rsid w:val="00222E65"/>
    <w:rsid w:val="00223593"/>
    <w:rsid w:val="002254E6"/>
    <w:rsid w:val="002258C0"/>
    <w:rsid w:val="0022656B"/>
    <w:rsid w:val="00226C19"/>
    <w:rsid w:val="00227428"/>
    <w:rsid w:val="00227662"/>
    <w:rsid w:val="002312FB"/>
    <w:rsid w:val="00231511"/>
    <w:rsid w:val="00231517"/>
    <w:rsid w:val="00231F87"/>
    <w:rsid w:val="00233EB9"/>
    <w:rsid w:val="00233FB1"/>
    <w:rsid w:val="002343B7"/>
    <w:rsid w:val="00234AED"/>
    <w:rsid w:val="00234FD5"/>
    <w:rsid w:val="002355BE"/>
    <w:rsid w:val="0023589B"/>
    <w:rsid w:val="0023601D"/>
    <w:rsid w:val="00236E15"/>
    <w:rsid w:val="0023751E"/>
    <w:rsid w:val="00237911"/>
    <w:rsid w:val="0023795B"/>
    <w:rsid w:val="00237FC3"/>
    <w:rsid w:val="00240911"/>
    <w:rsid w:val="002420E6"/>
    <w:rsid w:val="00242B38"/>
    <w:rsid w:val="00242EC7"/>
    <w:rsid w:val="00243070"/>
    <w:rsid w:val="002446D2"/>
    <w:rsid w:val="00245A70"/>
    <w:rsid w:val="00250097"/>
    <w:rsid w:val="002530D0"/>
    <w:rsid w:val="00253360"/>
    <w:rsid w:val="00253B37"/>
    <w:rsid w:val="00253D0B"/>
    <w:rsid w:val="00253DD7"/>
    <w:rsid w:val="0025574D"/>
    <w:rsid w:val="00260B38"/>
    <w:rsid w:val="00260F52"/>
    <w:rsid w:val="002620AA"/>
    <w:rsid w:val="00262DA0"/>
    <w:rsid w:val="00263928"/>
    <w:rsid w:val="0026518B"/>
    <w:rsid w:val="00265796"/>
    <w:rsid w:val="002667A3"/>
    <w:rsid w:val="002669F6"/>
    <w:rsid w:val="00266E55"/>
    <w:rsid w:val="00267068"/>
    <w:rsid w:val="00267102"/>
    <w:rsid w:val="00270BD4"/>
    <w:rsid w:val="0027160A"/>
    <w:rsid w:val="00271E8F"/>
    <w:rsid w:val="0027280C"/>
    <w:rsid w:val="00272C7B"/>
    <w:rsid w:val="00273698"/>
    <w:rsid w:val="00274D73"/>
    <w:rsid w:val="00274DB5"/>
    <w:rsid w:val="00275746"/>
    <w:rsid w:val="0027700E"/>
    <w:rsid w:val="0027701C"/>
    <w:rsid w:val="00277131"/>
    <w:rsid w:val="002773C0"/>
    <w:rsid w:val="00282E4C"/>
    <w:rsid w:val="00282E91"/>
    <w:rsid w:val="00282FE4"/>
    <w:rsid w:val="002868D1"/>
    <w:rsid w:val="00286AC7"/>
    <w:rsid w:val="00286B9B"/>
    <w:rsid w:val="00287302"/>
    <w:rsid w:val="0028778D"/>
    <w:rsid w:val="00287B54"/>
    <w:rsid w:val="00293622"/>
    <w:rsid w:val="00295BB7"/>
    <w:rsid w:val="002963A8"/>
    <w:rsid w:val="0029651F"/>
    <w:rsid w:val="002978CE"/>
    <w:rsid w:val="002A066C"/>
    <w:rsid w:val="002A0E04"/>
    <w:rsid w:val="002A1D00"/>
    <w:rsid w:val="002A25C6"/>
    <w:rsid w:val="002A32A6"/>
    <w:rsid w:val="002A3756"/>
    <w:rsid w:val="002A71C6"/>
    <w:rsid w:val="002A7BE0"/>
    <w:rsid w:val="002B05D6"/>
    <w:rsid w:val="002B1E38"/>
    <w:rsid w:val="002B1F00"/>
    <w:rsid w:val="002B1FD3"/>
    <w:rsid w:val="002B2CC9"/>
    <w:rsid w:val="002B3AE8"/>
    <w:rsid w:val="002B4943"/>
    <w:rsid w:val="002B57D0"/>
    <w:rsid w:val="002B686F"/>
    <w:rsid w:val="002B6C3C"/>
    <w:rsid w:val="002B7441"/>
    <w:rsid w:val="002B7F79"/>
    <w:rsid w:val="002C01D6"/>
    <w:rsid w:val="002C0813"/>
    <w:rsid w:val="002C30B2"/>
    <w:rsid w:val="002C3BEA"/>
    <w:rsid w:val="002C5DEA"/>
    <w:rsid w:val="002C60AC"/>
    <w:rsid w:val="002D04A3"/>
    <w:rsid w:val="002D1314"/>
    <w:rsid w:val="002D1936"/>
    <w:rsid w:val="002D2373"/>
    <w:rsid w:val="002D5113"/>
    <w:rsid w:val="002D626B"/>
    <w:rsid w:val="002D6B29"/>
    <w:rsid w:val="002D6E05"/>
    <w:rsid w:val="002E036B"/>
    <w:rsid w:val="002E11E6"/>
    <w:rsid w:val="002E2B98"/>
    <w:rsid w:val="002E2F7F"/>
    <w:rsid w:val="002E3A2A"/>
    <w:rsid w:val="002E3A8F"/>
    <w:rsid w:val="002E447A"/>
    <w:rsid w:val="002E4590"/>
    <w:rsid w:val="002E45B2"/>
    <w:rsid w:val="002E4B7F"/>
    <w:rsid w:val="002E54C3"/>
    <w:rsid w:val="002E65F5"/>
    <w:rsid w:val="002E6D7B"/>
    <w:rsid w:val="002E7E33"/>
    <w:rsid w:val="002F073F"/>
    <w:rsid w:val="002F0D3D"/>
    <w:rsid w:val="002F3124"/>
    <w:rsid w:val="002F388D"/>
    <w:rsid w:val="002F3ACF"/>
    <w:rsid w:val="002F42F1"/>
    <w:rsid w:val="002F43C1"/>
    <w:rsid w:val="002F55BA"/>
    <w:rsid w:val="002F6480"/>
    <w:rsid w:val="002F658C"/>
    <w:rsid w:val="002F7686"/>
    <w:rsid w:val="00300574"/>
    <w:rsid w:val="0030062F"/>
    <w:rsid w:val="00300922"/>
    <w:rsid w:val="00302D06"/>
    <w:rsid w:val="003032FA"/>
    <w:rsid w:val="00303D69"/>
    <w:rsid w:val="0030413B"/>
    <w:rsid w:val="00305166"/>
    <w:rsid w:val="003056EB"/>
    <w:rsid w:val="00305748"/>
    <w:rsid w:val="00305806"/>
    <w:rsid w:val="00307B92"/>
    <w:rsid w:val="00307CE5"/>
    <w:rsid w:val="00307DC2"/>
    <w:rsid w:val="003127CE"/>
    <w:rsid w:val="00313BF7"/>
    <w:rsid w:val="00313C77"/>
    <w:rsid w:val="00314103"/>
    <w:rsid w:val="0031553A"/>
    <w:rsid w:val="003168E4"/>
    <w:rsid w:val="00316A62"/>
    <w:rsid w:val="00317302"/>
    <w:rsid w:val="00317A2B"/>
    <w:rsid w:val="00317FF8"/>
    <w:rsid w:val="00321103"/>
    <w:rsid w:val="003213FB"/>
    <w:rsid w:val="0032281D"/>
    <w:rsid w:val="00322A75"/>
    <w:rsid w:val="0032357F"/>
    <w:rsid w:val="00323877"/>
    <w:rsid w:val="003245AD"/>
    <w:rsid w:val="00324607"/>
    <w:rsid w:val="0032564D"/>
    <w:rsid w:val="0032715C"/>
    <w:rsid w:val="00330867"/>
    <w:rsid w:val="00330C43"/>
    <w:rsid w:val="00331F72"/>
    <w:rsid w:val="00332273"/>
    <w:rsid w:val="003326AB"/>
    <w:rsid w:val="00334B07"/>
    <w:rsid w:val="003356D8"/>
    <w:rsid w:val="00335D3D"/>
    <w:rsid w:val="00336388"/>
    <w:rsid w:val="003369F1"/>
    <w:rsid w:val="00336E4D"/>
    <w:rsid w:val="003379A2"/>
    <w:rsid w:val="00337C4A"/>
    <w:rsid w:val="00337E44"/>
    <w:rsid w:val="00337FCD"/>
    <w:rsid w:val="003431E7"/>
    <w:rsid w:val="003467B9"/>
    <w:rsid w:val="003474F1"/>
    <w:rsid w:val="00350A21"/>
    <w:rsid w:val="00350EB6"/>
    <w:rsid w:val="0035178F"/>
    <w:rsid w:val="00351B4A"/>
    <w:rsid w:val="00351EC1"/>
    <w:rsid w:val="0035234C"/>
    <w:rsid w:val="00352701"/>
    <w:rsid w:val="00352DA4"/>
    <w:rsid w:val="0035441F"/>
    <w:rsid w:val="003544B9"/>
    <w:rsid w:val="00354A46"/>
    <w:rsid w:val="00354A78"/>
    <w:rsid w:val="00355322"/>
    <w:rsid w:val="0036009A"/>
    <w:rsid w:val="00360392"/>
    <w:rsid w:val="00360C3E"/>
    <w:rsid w:val="00360F81"/>
    <w:rsid w:val="00361295"/>
    <w:rsid w:val="00361659"/>
    <w:rsid w:val="003622FB"/>
    <w:rsid w:val="003627CE"/>
    <w:rsid w:val="00362CAD"/>
    <w:rsid w:val="00364095"/>
    <w:rsid w:val="0036458F"/>
    <w:rsid w:val="003652D8"/>
    <w:rsid w:val="003657DF"/>
    <w:rsid w:val="00365F86"/>
    <w:rsid w:val="00366E0F"/>
    <w:rsid w:val="0037022F"/>
    <w:rsid w:val="00370B06"/>
    <w:rsid w:val="0037102E"/>
    <w:rsid w:val="0037119E"/>
    <w:rsid w:val="00372495"/>
    <w:rsid w:val="00373237"/>
    <w:rsid w:val="00373C62"/>
    <w:rsid w:val="003746C5"/>
    <w:rsid w:val="00374BB3"/>
    <w:rsid w:val="00375231"/>
    <w:rsid w:val="00377B8E"/>
    <w:rsid w:val="00380015"/>
    <w:rsid w:val="0038124B"/>
    <w:rsid w:val="003824F8"/>
    <w:rsid w:val="00382642"/>
    <w:rsid w:val="0038374C"/>
    <w:rsid w:val="00384074"/>
    <w:rsid w:val="003854E0"/>
    <w:rsid w:val="00385F6C"/>
    <w:rsid w:val="00386495"/>
    <w:rsid w:val="00386605"/>
    <w:rsid w:val="00386D2B"/>
    <w:rsid w:val="00386DC7"/>
    <w:rsid w:val="00387EBC"/>
    <w:rsid w:val="003901C4"/>
    <w:rsid w:val="00390B26"/>
    <w:rsid w:val="00390B3E"/>
    <w:rsid w:val="0039296A"/>
    <w:rsid w:val="00392A36"/>
    <w:rsid w:val="00393820"/>
    <w:rsid w:val="003948A1"/>
    <w:rsid w:val="00395139"/>
    <w:rsid w:val="0039594A"/>
    <w:rsid w:val="00395B19"/>
    <w:rsid w:val="00395B78"/>
    <w:rsid w:val="00396C6F"/>
    <w:rsid w:val="00396D7E"/>
    <w:rsid w:val="0039709E"/>
    <w:rsid w:val="003972FA"/>
    <w:rsid w:val="003A0299"/>
    <w:rsid w:val="003A0934"/>
    <w:rsid w:val="003A0E85"/>
    <w:rsid w:val="003A1A55"/>
    <w:rsid w:val="003A236F"/>
    <w:rsid w:val="003A4D9B"/>
    <w:rsid w:val="003A517B"/>
    <w:rsid w:val="003A5968"/>
    <w:rsid w:val="003A5DB9"/>
    <w:rsid w:val="003A6381"/>
    <w:rsid w:val="003A64A6"/>
    <w:rsid w:val="003B050B"/>
    <w:rsid w:val="003B0E0D"/>
    <w:rsid w:val="003B1062"/>
    <w:rsid w:val="003B14A4"/>
    <w:rsid w:val="003B1FC1"/>
    <w:rsid w:val="003B3141"/>
    <w:rsid w:val="003B3821"/>
    <w:rsid w:val="003B3C8F"/>
    <w:rsid w:val="003B4704"/>
    <w:rsid w:val="003B4C8F"/>
    <w:rsid w:val="003B4D2D"/>
    <w:rsid w:val="003B54A2"/>
    <w:rsid w:val="003B5A51"/>
    <w:rsid w:val="003B62E6"/>
    <w:rsid w:val="003B63B9"/>
    <w:rsid w:val="003B6547"/>
    <w:rsid w:val="003B6AB5"/>
    <w:rsid w:val="003B6E8E"/>
    <w:rsid w:val="003B7B54"/>
    <w:rsid w:val="003C0B09"/>
    <w:rsid w:val="003C2F65"/>
    <w:rsid w:val="003C5105"/>
    <w:rsid w:val="003C6134"/>
    <w:rsid w:val="003C61ED"/>
    <w:rsid w:val="003C657F"/>
    <w:rsid w:val="003C67DA"/>
    <w:rsid w:val="003D0042"/>
    <w:rsid w:val="003D01BA"/>
    <w:rsid w:val="003D0E3E"/>
    <w:rsid w:val="003D2762"/>
    <w:rsid w:val="003D29AA"/>
    <w:rsid w:val="003D5871"/>
    <w:rsid w:val="003D66AC"/>
    <w:rsid w:val="003D6F77"/>
    <w:rsid w:val="003E0647"/>
    <w:rsid w:val="003E1523"/>
    <w:rsid w:val="003E28DE"/>
    <w:rsid w:val="003F2103"/>
    <w:rsid w:val="003F24FB"/>
    <w:rsid w:val="003F2567"/>
    <w:rsid w:val="003F3949"/>
    <w:rsid w:val="003F39D3"/>
    <w:rsid w:val="003F4612"/>
    <w:rsid w:val="003F4EDC"/>
    <w:rsid w:val="003F4FFA"/>
    <w:rsid w:val="003F647A"/>
    <w:rsid w:val="003F674D"/>
    <w:rsid w:val="003F6EDF"/>
    <w:rsid w:val="003F77A6"/>
    <w:rsid w:val="003F77E5"/>
    <w:rsid w:val="004004C6"/>
    <w:rsid w:val="004016E1"/>
    <w:rsid w:val="00401926"/>
    <w:rsid w:val="00403E0B"/>
    <w:rsid w:val="00403FD6"/>
    <w:rsid w:val="0040417C"/>
    <w:rsid w:val="004050A4"/>
    <w:rsid w:val="004055ED"/>
    <w:rsid w:val="00405CC1"/>
    <w:rsid w:val="00406027"/>
    <w:rsid w:val="00410DE1"/>
    <w:rsid w:val="004126FD"/>
    <w:rsid w:val="004131C4"/>
    <w:rsid w:val="00413799"/>
    <w:rsid w:val="004137A6"/>
    <w:rsid w:val="0041398B"/>
    <w:rsid w:val="00413F4A"/>
    <w:rsid w:val="00414129"/>
    <w:rsid w:val="00414E24"/>
    <w:rsid w:val="00414F4D"/>
    <w:rsid w:val="00420226"/>
    <w:rsid w:val="004225DB"/>
    <w:rsid w:val="00422CEF"/>
    <w:rsid w:val="0042401B"/>
    <w:rsid w:val="00424AA0"/>
    <w:rsid w:val="00426F3A"/>
    <w:rsid w:val="004270FA"/>
    <w:rsid w:val="00427475"/>
    <w:rsid w:val="004308C9"/>
    <w:rsid w:val="0043129A"/>
    <w:rsid w:val="004312FA"/>
    <w:rsid w:val="00431B86"/>
    <w:rsid w:val="004321CF"/>
    <w:rsid w:val="0043245D"/>
    <w:rsid w:val="004328BA"/>
    <w:rsid w:val="00432F08"/>
    <w:rsid w:val="004337DE"/>
    <w:rsid w:val="00433DEA"/>
    <w:rsid w:val="00434AC6"/>
    <w:rsid w:val="00435F41"/>
    <w:rsid w:val="004370B1"/>
    <w:rsid w:val="00440614"/>
    <w:rsid w:val="00440CAA"/>
    <w:rsid w:val="00442278"/>
    <w:rsid w:val="00442892"/>
    <w:rsid w:val="004429B6"/>
    <w:rsid w:val="00444062"/>
    <w:rsid w:val="004463FB"/>
    <w:rsid w:val="004467D7"/>
    <w:rsid w:val="00447593"/>
    <w:rsid w:val="00447B2A"/>
    <w:rsid w:val="004508E0"/>
    <w:rsid w:val="0045133E"/>
    <w:rsid w:val="0045156A"/>
    <w:rsid w:val="004528E9"/>
    <w:rsid w:val="00452D20"/>
    <w:rsid w:val="0045367C"/>
    <w:rsid w:val="00453D40"/>
    <w:rsid w:val="00454E4C"/>
    <w:rsid w:val="004557D8"/>
    <w:rsid w:val="00456167"/>
    <w:rsid w:val="00457B53"/>
    <w:rsid w:val="004629C8"/>
    <w:rsid w:val="00462A10"/>
    <w:rsid w:val="00462A77"/>
    <w:rsid w:val="00462C2C"/>
    <w:rsid w:val="004632BD"/>
    <w:rsid w:val="0046360F"/>
    <w:rsid w:val="00463909"/>
    <w:rsid w:val="0046461B"/>
    <w:rsid w:val="00464A45"/>
    <w:rsid w:val="004652C6"/>
    <w:rsid w:val="00465AD0"/>
    <w:rsid w:val="00465B2E"/>
    <w:rsid w:val="00465C7F"/>
    <w:rsid w:val="00465E5A"/>
    <w:rsid w:val="0046659F"/>
    <w:rsid w:val="00466B57"/>
    <w:rsid w:val="00467698"/>
    <w:rsid w:val="00467DF4"/>
    <w:rsid w:val="0047053F"/>
    <w:rsid w:val="004707EA"/>
    <w:rsid w:val="00470DA7"/>
    <w:rsid w:val="004711E7"/>
    <w:rsid w:val="004712A2"/>
    <w:rsid w:val="00473491"/>
    <w:rsid w:val="0047487F"/>
    <w:rsid w:val="0047522A"/>
    <w:rsid w:val="00475E9A"/>
    <w:rsid w:val="0047702E"/>
    <w:rsid w:val="00477041"/>
    <w:rsid w:val="00480944"/>
    <w:rsid w:val="00482B26"/>
    <w:rsid w:val="0048347D"/>
    <w:rsid w:val="00483754"/>
    <w:rsid w:val="00483ACE"/>
    <w:rsid w:val="00486A14"/>
    <w:rsid w:val="00486B82"/>
    <w:rsid w:val="00486BF8"/>
    <w:rsid w:val="0048759C"/>
    <w:rsid w:val="0049057C"/>
    <w:rsid w:val="0049065A"/>
    <w:rsid w:val="004907DA"/>
    <w:rsid w:val="00490F99"/>
    <w:rsid w:val="004912C4"/>
    <w:rsid w:val="004914B6"/>
    <w:rsid w:val="004930E9"/>
    <w:rsid w:val="00494071"/>
    <w:rsid w:val="004941DD"/>
    <w:rsid w:val="004946D8"/>
    <w:rsid w:val="00495DF8"/>
    <w:rsid w:val="004964BB"/>
    <w:rsid w:val="004966A9"/>
    <w:rsid w:val="004970E0"/>
    <w:rsid w:val="004A33B3"/>
    <w:rsid w:val="004A3870"/>
    <w:rsid w:val="004A3A24"/>
    <w:rsid w:val="004A4062"/>
    <w:rsid w:val="004A4436"/>
    <w:rsid w:val="004A4AEF"/>
    <w:rsid w:val="004A5382"/>
    <w:rsid w:val="004A56A2"/>
    <w:rsid w:val="004A5A72"/>
    <w:rsid w:val="004A5C8D"/>
    <w:rsid w:val="004A6BF3"/>
    <w:rsid w:val="004B157A"/>
    <w:rsid w:val="004B1AD2"/>
    <w:rsid w:val="004B43E5"/>
    <w:rsid w:val="004B4DC7"/>
    <w:rsid w:val="004B5883"/>
    <w:rsid w:val="004B5918"/>
    <w:rsid w:val="004B65A1"/>
    <w:rsid w:val="004B6E3E"/>
    <w:rsid w:val="004B75FC"/>
    <w:rsid w:val="004C3817"/>
    <w:rsid w:val="004C382C"/>
    <w:rsid w:val="004C3842"/>
    <w:rsid w:val="004C45EC"/>
    <w:rsid w:val="004C4BBD"/>
    <w:rsid w:val="004C4BE0"/>
    <w:rsid w:val="004C6741"/>
    <w:rsid w:val="004C716C"/>
    <w:rsid w:val="004C7230"/>
    <w:rsid w:val="004C7958"/>
    <w:rsid w:val="004C7E5A"/>
    <w:rsid w:val="004D01B3"/>
    <w:rsid w:val="004D0582"/>
    <w:rsid w:val="004D098F"/>
    <w:rsid w:val="004D0F1D"/>
    <w:rsid w:val="004D15BB"/>
    <w:rsid w:val="004D20CE"/>
    <w:rsid w:val="004D25FE"/>
    <w:rsid w:val="004D3458"/>
    <w:rsid w:val="004D3C5E"/>
    <w:rsid w:val="004D5948"/>
    <w:rsid w:val="004D6211"/>
    <w:rsid w:val="004D6379"/>
    <w:rsid w:val="004D6611"/>
    <w:rsid w:val="004D6F24"/>
    <w:rsid w:val="004D709D"/>
    <w:rsid w:val="004D77E9"/>
    <w:rsid w:val="004D7884"/>
    <w:rsid w:val="004D7A11"/>
    <w:rsid w:val="004E15E4"/>
    <w:rsid w:val="004E1C69"/>
    <w:rsid w:val="004E2321"/>
    <w:rsid w:val="004E27AE"/>
    <w:rsid w:val="004E323F"/>
    <w:rsid w:val="004E35BD"/>
    <w:rsid w:val="004E3D74"/>
    <w:rsid w:val="004E4A64"/>
    <w:rsid w:val="004E5EE9"/>
    <w:rsid w:val="004E6540"/>
    <w:rsid w:val="004E77AC"/>
    <w:rsid w:val="004F00CF"/>
    <w:rsid w:val="004F06CD"/>
    <w:rsid w:val="004F0F79"/>
    <w:rsid w:val="004F1B4B"/>
    <w:rsid w:val="004F2F1A"/>
    <w:rsid w:val="004F39CA"/>
    <w:rsid w:val="004F4B7D"/>
    <w:rsid w:val="004F4E78"/>
    <w:rsid w:val="004F5AAA"/>
    <w:rsid w:val="004F69B4"/>
    <w:rsid w:val="004F74FC"/>
    <w:rsid w:val="004F7D4D"/>
    <w:rsid w:val="004F7FA3"/>
    <w:rsid w:val="005002B2"/>
    <w:rsid w:val="005009A1"/>
    <w:rsid w:val="00500AC3"/>
    <w:rsid w:val="00500BF9"/>
    <w:rsid w:val="00500CFA"/>
    <w:rsid w:val="00501904"/>
    <w:rsid w:val="00502A59"/>
    <w:rsid w:val="0050312C"/>
    <w:rsid w:val="005031BF"/>
    <w:rsid w:val="005039D5"/>
    <w:rsid w:val="005040E3"/>
    <w:rsid w:val="00504136"/>
    <w:rsid w:val="005057CD"/>
    <w:rsid w:val="00506507"/>
    <w:rsid w:val="005068B0"/>
    <w:rsid w:val="00507336"/>
    <w:rsid w:val="00510566"/>
    <w:rsid w:val="00510A51"/>
    <w:rsid w:val="00511650"/>
    <w:rsid w:val="00511D87"/>
    <w:rsid w:val="00512C8B"/>
    <w:rsid w:val="00513349"/>
    <w:rsid w:val="00514E0A"/>
    <w:rsid w:val="00516C4D"/>
    <w:rsid w:val="005170B6"/>
    <w:rsid w:val="005210B2"/>
    <w:rsid w:val="005228D2"/>
    <w:rsid w:val="00524C11"/>
    <w:rsid w:val="005254B0"/>
    <w:rsid w:val="00526C7B"/>
    <w:rsid w:val="00526E23"/>
    <w:rsid w:val="00527039"/>
    <w:rsid w:val="00527146"/>
    <w:rsid w:val="0052776C"/>
    <w:rsid w:val="00527ABC"/>
    <w:rsid w:val="005300EE"/>
    <w:rsid w:val="00530866"/>
    <w:rsid w:val="00530A86"/>
    <w:rsid w:val="00532331"/>
    <w:rsid w:val="00532988"/>
    <w:rsid w:val="00532DEA"/>
    <w:rsid w:val="00534D79"/>
    <w:rsid w:val="00535E47"/>
    <w:rsid w:val="00535FBB"/>
    <w:rsid w:val="00537341"/>
    <w:rsid w:val="00537652"/>
    <w:rsid w:val="00537F19"/>
    <w:rsid w:val="00540DBF"/>
    <w:rsid w:val="00541B70"/>
    <w:rsid w:val="00541D30"/>
    <w:rsid w:val="0054271C"/>
    <w:rsid w:val="00543067"/>
    <w:rsid w:val="00543333"/>
    <w:rsid w:val="00543913"/>
    <w:rsid w:val="005441D4"/>
    <w:rsid w:val="00545F34"/>
    <w:rsid w:val="00546310"/>
    <w:rsid w:val="00546623"/>
    <w:rsid w:val="00546EDE"/>
    <w:rsid w:val="00550071"/>
    <w:rsid w:val="00550417"/>
    <w:rsid w:val="00550E50"/>
    <w:rsid w:val="00551816"/>
    <w:rsid w:val="005518B1"/>
    <w:rsid w:val="0055218E"/>
    <w:rsid w:val="00552624"/>
    <w:rsid w:val="00552A1A"/>
    <w:rsid w:val="00553C3C"/>
    <w:rsid w:val="00556ED0"/>
    <w:rsid w:val="00557028"/>
    <w:rsid w:val="00557DC7"/>
    <w:rsid w:val="00557E06"/>
    <w:rsid w:val="005606AB"/>
    <w:rsid w:val="00560DD5"/>
    <w:rsid w:val="00561070"/>
    <w:rsid w:val="0056138E"/>
    <w:rsid w:val="00562428"/>
    <w:rsid w:val="00562BC1"/>
    <w:rsid w:val="0056486A"/>
    <w:rsid w:val="0056559A"/>
    <w:rsid w:val="005657B2"/>
    <w:rsid w:val="00566BF1"/>
    <w:rsid w:val="00567FE8"/>
    <w:rsid w:val="00570669"/>
    <w:rsid w:val="0057192D"/>
    <w:rsid w:val="00571B88"/>
    <w:rsid w:val="00571E02"/>
    <w:rsid w:val="00572127"/>
    <w:rsid w:val="00572D0A"/>
    <w:rsid w:val="005745B3"/>
    <w:rsid w:val="00575DCB"/>
    <w:rsid w:val="00577330"/>
    <w:rsid w:val="005826C4"/>
    <w:rsid w:val="00584B4D"/>
    <w:rsid w:val="00584D31"/>
    <w:rsid w:val="005862B0"/>
    <w:rsid w:val="00587340"/>
    <w:rsid w:val="00587396"/>
    <w:rsid w:val="005901DE"/>
    <w:rsid w:val="00590795"/>
    <w:rsid w:val="00590A50"/>
    <w:rsid w:val="00590EAA"/>
    <w:rsid w:val="0059222F"/>
    <w:rsid w:val="005937DA"/>
    <w:rsid w:val="00593988"/>
    <w:rsid w:val="00593B2B"/>
    <w:rsid w:val="0059448A"/>
    <w:rsid w:val="00595BDF"/>
    <w:rsid w:val="00596733"/>
    <w:rsid w:val="00597261"/>
    <w:rsid w:val="005A0057"/>
    <w:rsid w:val="005A0E27"/>
    <w:rsid w:val="005A134A"/>
    <w:rsid w:val="005A18D1"/>
    <w:rsid w:val="005A406C"/>
    <w:rsid w:val="005A4A80"/>
    <w:rsid w:val="005A4E67"/>
    <w:rsid w:val="005A4FFA"/>
    <w:rsid w:val="005A53E2"/>
    <w:rsid w:val="005A5555"/>
    <w:rsid w:val="005A58AE"/>
    <w:rsid w:val="005A5D00"/>
    <w:rsid w:val="005A6B17"/>
    <w:rsid w:val="005A6B8B"/>
    <w:rsid w:val="005A6F30"/>
    <w:rsid w:val="005A7131"/>
    <w:rsid w:val="005B035F"/>
    <w:rsid w:val="005B10EB"/>
    <w:rsid w:val="005B1431"/>
    <w:rsid w:val="005B2335"/>
    <w:rsid w:val="005B36D3"/>
    <w:rsid w:val="005B499C"/>
    <w:rsid w:val="005B6EBB"/>
    <w:rsid w:val="005B7C37"/>
    <w:rsid w:val="005C0B15"/>
    <w:rsid w:val="005C20AE"/>
    <w:rsid w:val="005C212A"/>
    <w:rsid w:val="005C420B"/>
    <w:rsid w:val="005C49DC"/>
    <w:rsid w:val="005C4C97"/>
    <w:rsid w:val="005C53C4"/>
    <w:rsid w:val="005C5B05"/>
    <w:rsid w:val="005C6A4D"/>
    <w:rsid w:val="005C6DD8"/>
    <w:rsid w:val="005D017B"/>
    <w:rsid w:val="005D0F9A"/>
    <w:rsid w:val="005D1376"/>
    <w:rsid w:val="005D21FF"/>
    <w:rsid w:val="005D4291"/>
    <w:rsid w:val="005D4786"/>
    <w:rsid w:val="005D5E45"/>
    <w:rsid w:val="005D62B7"/>
    <w:rsid w:val="005D6567"/>
    <w:rsid w:val="005E012C"/>
    <w:rsid w:val="005E0216"/>
    <w:rsid w:val="005E0B3A"/>
    <w:rsid w:val="005E17FB"/>
    <w:rsid w:val="005E3390"/>
    <w:rsid w:val="005E393D"/>
    <w:rsid w:val="005E411D"/>
    <w:rsid w:val="005E492D"/>
    <w:rsid w:val="005E4C8D"/>
    <w:rsid w:val="005E72AB"/>
    <w:rsid w:val="005E738F"/>
    <w:rsid w:val="005F05CF"/>
    <w:rsid w:val="005F17A1"/>
    <w:rsid w:val="005F17DB"/>
    <w:rsid w:val="005F25DE"/>
    <w:rsid w:val="005F2649"/>
    <w:rsid w:val="005F3D02"/>
    <w:rsid w:val="005F3F4E"/>
    <w:rsid w:val="005F4116"/>
    <w:rsid w:val="005F5294"/>
    <w:rsid w:val="005F6C93"/>
    <w:rsid w:val="00600480"/>
    <w:rsid w:val="00602CC7"/>
    <w:rsid w:val="006045B1"/>
    <w:rsid w:val="006050E8"/>
    <w:rsid w:val="00606950"/>
    <w:rsid w:val="00606CEE"/>
    <w:rsid w:val="00610A64"/>
    <w:rsid w:val="006116D4"/>
    <w:rsid w:val="0061192B"/>
    <w:rsid w:val="00615F2A"/>
    <w:rsid w:val="006164A2"/>
    <w:rsid w:val="006167A0"/>
    <w:rsid w:val="0062078B"/>
    <w:rsid w:val="00621DF0"/>
    <w:rsid w:val="0062245E"/>
    <w:rsid w:val="00624125"/>
    <w:rsid w:val="006260B2"/>
    <w:rsid w:val="00627251"/>
    <w:rsid w:val="006274BE"/>
    <w:rsid w:val="006304DB"/>
    <w:rsid w:val="00631B18"/>
    <w:rsid w:val="00631F91"/>
    <w:rsid w:val="00633591"/>
    <w:rsid w:val="006340BB"/>
    <w:rsid w:val="00635389"/>
    <w:rsid w:val="00636397"/>
    <w:rsid w:val="00637802"/>
    <w:rsid w:val="00637B29"/>
    <w:rsid w:val="00637FBE"/>
    <w:rsid w:val="006401B7"/>
    <w:rsid w:val="006403D8"/>
    <w:rsid w:val="00640726"/>
    <w:rsid w:val="0064320E"/>
    <w:rsid w:val="00645267"/>
    <w:rsid w:val="00650A38"/>
    <w:rsid w:val="00651628"/>
    <w:rsid w:val="00651AEE"/>
    <w:rsid w:val="00651F6F"/>
    <w:rsid w:val="00652098"/>
    <w:rsid w:val="00652AEE"/>
    <w:rsid w:val="00652BFC"/>
    <w:rsid w:val="006536FC"/>
    <w:rsid w:val="00654851"/>
    <w:rsid w:val="00654DB8"/>
    <w:rsid w:val="006604C6"/>
    <w:rsid w:val="00660600"/>
    <w:rsid w:val="00660ED8"/>
    <w:rsid w:val="006615FF"/>
    <w:rsid w:val="00661B1D"/>
    <w:rsid w:val="00663D7F"/>
    <w:rsid w:val="00664077"/>
    <w:rsid w:val="00664941"/>
    <w:rsid w:val="0066651B"/>
    <w:rsid w:val="0066728D"/>
    <w:rsid w:val="00667DBA"/>
    <w:rsid w:val="006700B5"/>
    <w:rsid w:val="00670C5A"/>
    <w:rsid w:val="006735ED"/>
    <w:rsid w:val="00673D20"/>
    <w:rsid w:val="006745A3"/>
    <w:rsid w:val="00674DF2"/>
    <w:rsid w:val="00674F65"/>
    <w:rsid w:val="00675A2B"/>
    <w:rsid w:val="00677BBC"/>
    <w:rsid w:val="00677F91"/>
    <w:rsid w:val="006802D7"/>
    <w:rsid w:val="00680642"/>
    <w:rsid w:val="006845C4"/>
    <w:rsid w:val="006846BF"/>
    <w:rsid w:val="006863FA"/>
    <w:rsid w:val="00686CCB"/>
    <w:rsid w:val="00686DE4"/>
    <w:rsid w:val="0069068E"/>
    <w:rsid w:val="00690CAD"/>
    <w:rsid w:val="00691454"/>
    <w:rsid w:val="006919D1"/>
    <w:rsid w:val="0069204F"/>
    <w:rsid w:val="00692ECC"/>
    <w:rsid w:val="0069426C"/>
    <w:rsid w:val="00694347"/>
    <w:rsid w:val="0069469E"/>
    <w:rsid w:val="00694A0F"/>
    <w:rsid w:val="00694C3F"/>
    <w:rsid w:val="00695133"/>
    <w:rsid w:val="00695F9D"/>
    <w:rsid w:val="00697D45"/>
    <w:rsid w:val="006A10F2"/>
    <w:rsid w:val="006A1D95"/>
    <w:rsid w:val="006A22D0"/>
    <w:rsid w:val="006A3D91"/>
    <w:rsid w:val="006A4257"/>
    <w:rsid w:val="006A43AB"/>
    <w:rsid w:val="006A4755"/>
    <w:rsid w:val="006A4D7F"/>
    <w:rsid w:val="006A4DC2"/>
    <w:rsid w:val="006A52E7"/>
    <w:rsid w:val="006A556A"/>
    <w:rsid w:val="006A62D5"/>
    <w:rsid w:val="006B1164"/>
    <w:rsid w:val="006B12FB"/>
    <w:rsid w:val="006B204A"/>
    <w:rsid w:val="006B2FB3"/>
    <w:rsid w:val="006B3C55"/>
    <w:rsid w:val="006B54AF"/>
    <w:rsid w:val="006B71C5"/>
    <w:rsid w:val="006B7E82"/>
    <w:rsid w:val="006B7EA7"/>
    <w:rsid w:val="006C087A"/>
    <w:rsid w:val="006C101C"/>
    <w:rsid w:val="006C1271"/>
    <w:rsid w:val="006C1464"/>
    <w:rsid w:val="006C23E7"/>
    <w:rsid w:val="006C279D"/>
    <w:rsid w:val="006C3B27"/>
    <w:rsid w:val="006C41DB"/>
    <w:rsid w:val="006C6A1A"/>
    <w:rsid w:val="006C6E10"/>
    <w:rsid w:val="006D01E9"/>
    <w:rsid w:val="006D078A"/>
    <w:rsid w:val="006D190E"/>
    <w:rsid w:val="006D299B"/>
    <w:rsid w:val="006D375D"/>
    <w:rsid w:val="006D5759"/>
    <w:rsid w:val="006D7764"/>
    <w:rsid w:val="006D7A23"/>
    <w:rsid w:val="006D7CBF"/>
    <w:rsid w:val="006D7FB7"/>
    <w:rsid w:val="006E107E"/>
    <w:rsid w:val="006E22AC"/>
    <w:rsid w:val="006E2D08"/>
    <w:rsid w:val="006E52A2"/>
    <w:rsid w:val="006E5426"/>
    <w:rsid w:val="006E54B7"/>
    <w:rsid w:val="006E682C"/>
    <w:rsid w:val="006F0679"/>
    <w:rsid w:val="006F1988"/>
    <w:rsid w:val="006F1DA6"/>
    <w:rsid w:val="006F20DA"/>
    <w:rsid w:val="006F237C"/>
    <w:rsid w:val="006F3BB6"/>
    <w:rsid w:val="006F49BF"/>
    <w:rsid w:val="006F66A9"/>
    <w:rsid w:val="006F6C70"/>
    <w:rsid w:val="006F6E13"/>
    <w:rsid w:val="006F7B6B"/>
    <w:rsid w:val="007000E5"/>
    <w:rsid w:val="00700F99"/>
    <w:rsid w:val="007018C5"/>
    <w:rsid w:val="00702435"/>
    <w:rsid w:val="00702DDD"/>
    <w:rsid w:val="00703113"/>
    <w:rsid w:val="007038D1"/>
    <w:rsid w:val="00703D73"/>
    <w:rsid w:val="00704C1A"/>
    <w:rsid w:val="00704CC1"/>
    <w:rsid w:val="007066E4"/>
    <w:rsid w:val="007075D4"/>
    <w:rsid w:val="00710D7B"/>
    <w:rsid w:val="00711A7C"/>
    <w:rsid w:val="00712712"/>
    <w:rsid w:val="00712FEF"/>
    <w:rsid w:val="00713294"/>
    <w:rsid w:val="00713376"/>
    <w:rsid w:val="00713E1F"/>
    <w:rsid w:val="00714750"/>
    <w:rsid w:val="0071724C"/>
    <w:rsid w:val="00717266"/>
    <w:rsid w:val="00717C0A"/>
    <w:rsid w:val="007213A1"/>
    <w:rsid w:val="0072173C"/>
    <w:rsid w:val="00723443"/>
    <w:rsid w:val="0072362D"/>
    <w:rsid w:val="00723EE4"/>
    <w:rsid w:val="007245ED"/>
    <w:rsid w:val="007251CD"/>
    <w:rsid w:val="00726CE9"/>
    <w:rsid w:val="007274B4"/>
    <w:rsid w:val="00727F68"/>
    <w:rsid w:val="0073055F"/>
    <w:rsid w:val="007306D6"/>
    <w:rsid w:val="007310C0"/>
    <w:rsid w:val="00732532"/>
    <w:rsid w:val="007346CC"/>
    <w:rsid w:val="00734D2F"/>
    <w:rsid w:val="00735BA7"/>
    <w:rsid w:val="00735E12"/>
    <w:rsid w:val="00736523"/>
    <w:rsid w:val="00736BB3"/>
    <w:rsid w:val="00740669"/>
    <w:rsid w:val="0074187A"/>
    <w:rsid w:val="00742897"/>
    <w:rsid w:val="00743E43"/>
    <w:rsid w:val="00745DE6"/>
    <w:rsid w:val="00747468"/>
    <w:rsid w:val="007475AC"/>
    <w:rsid w:val="007478DD"/>
    <w:rsid w:val="00747954"/>
    <w:rsid w:val="007479AD"/>
    <w:rsid w:val="00750F3D"/>
    <w:rsid w:val="00751662"/>
    <w:rsid w:val="007523B5"/>
    <w:rsid w:val="007528DB"/>
    <w:rsid w:val="007530BC"/>
    <w:rsid w:val="007537ED"/>
    <w:rsid w:val="00753C4E"/>
    <w:rsid w:val="00754835"/>
    <w:rsid w:val="00754B26"/>
    <w:rsid w:val="00754B62"/>
    <w:rsid w:val="00756792"/>
    <w:rsid w:val="00760067"/>
    <w:rsid w:val="007601D3"/>
    <w:rsid w:val="00760946"/>
    <w:rsid w:val="00760CBB"/>
    <w:rsid w:val="007614B2"/>
    <w:rsid w:val="007616C2"/>
    <w:rsid w:val="00762A56"/>
    <w:rsid w:val="007640A2"/>
    <w:rsid w:val="007640C1"/>
    <w:rsid w:val="00764618"/>
    <w:rsid w:val="00764A48"/>
    <w:rsid w:val="00765642"/>
    <w:rsid w:val="00765EEB"/>
    <w:rsid w:val="007675CE"/>
    <w:rsid w:val="00770889"/>
    <w:rsid w:val="00770A7D"/>
    <w:rsid w:val="00771B3A"/>
    <w:rsid w:val="007733AE"/>
    <w:rsid w:val="00773AF8"/>
    <w:rsid w:val="00773DE0"/>
    <w:rsid w:val="007740B4"/>
    <w:rsid w:val="00774741"/>
    <w:rsid w:val="00774A2E"/>
    <w:rsid w:val="007752F0"/>
    <w:rsid w:val="0077611A"/>
    <w:rsid w:val="007800FF"/>
    <w:rsid w:val="00780C52"/>
    <w:rsid w:val="007813F5"/>
    <w:rsid w:val="0078176A"/>
    <w:rsid w:val="00781BF6"/>
    <w:rsid w:val="00781D75"/>
    <w:rsid w:val="00785A33"/>
    <w:rsid w:val="0079212E"/>
    <w:rsid w:val="0079265D"/>
    <w:rsid w:val="007932AC"/>
    <w:rsid w:val="0079357C"/>
    <w:rsid w:val="0079382B"/>
    <w:rsid w:val="007941FD"/>
    <w:rsid w:val="00794D43"/>
    <w:rsid w:val="007957D4"/>
    <w:rsid w:val="007957F1"/>
    <w:rsid w:val="0079760C"/>
    <w:rsid w:val="007A04EA"/>
    <w:rsid w:val="007A14CC"/>
    <w:rsid w:val="007A1B80"/>
    <w:rsid w:val="007A26B8"/>
    <w:rsid w:val="007A2C77"/>
    <w:rsid w:val="007A51D1"/>
    <w:rsid w:val="007A6543"/>
    <w:rsid w:val="007A70BB"/>
    <w:rsid w:val="007A7246"/>
    <w:rsid w:val="007B046D"/>
    <w:rsid w:val="007B0D9F"/>
    <w:rsid w:val="007B24CE"/>
    <w:rsid w:val="007B2866"/>
    <w:rsid w:val="007B2E53"/>
    <w:rsid w:val="007B2F29"/>
    <w:rsid w:val="007B3A6F"/>
    <w:rsid w:val="007B3FF6"/>
    <w:rsid w:val="007B4E35"/>
    <w:rsid w:val="007B5F29"/>
    <w:rsid w:val="007B6550"/>
    <w:rsid w:val="007B6DE7"/>
    <w:rsid w:val="007B6DF5"/>
    <w:rsid w:val="007B6FF1"/>
    <w:rsid w:val="007B7B9E"/>
    <w:rsid w:val="007B7CF1"/>
    <w:rsid w:val="007C1506"/>
    <w:rsid w:val="007C2D16"/>
    <w:rsid w:val="007C5FF4"/>
    <w:rsid w:val="007C742D"/>
    <w:rsid w:val="007C7CA2"/>
    <w:rsid w:val="007D1572"/>
    <w:rsid w:val="007D2420"/>
    <w:rsid w:val="007D2C6D"/>
    <w:rsid w:val="007D5AE0"/>
    <w:rsid w:val="007D5B32"/>
    <w:rsid w:val="007D5CB3"/>
    <w:rsid w:val="007D65EF"/>
    <w:rsid w:val="007D7600"/>
    <w:rsid w:val="007D7E70"/>
    <w:rsid w:val="007E0383"/>
    <w:rsid w:val="007E04BA"/>
    <w:rsid w:val="007E064A"/>
    <w:rsid w:val="007E077E"/>
    <w:rsid w:val="007E08D6"/>
    <w:rsid w:val="007E1F3E"/>
    <w:rsid w:val="007E2096"/>
    <w:rsid w:val="007E4165"/>
    <w:rsid w:val="007E42CA"/>
    <w:rsid w:val="007E4E6B"/>
    <w:rsid w:val="007E5613"/>
    <w:rsid w:val="007E5D14"/>
    <w:rsid w:val="007E678C"/>
    <w:rsid w:val="007E6FF4"/>
    <w:rsid w:val="007E73B7"/>
    <w:rsid w:val="007E749D"/>
    <w:rsid w:val="007E7C28"/>
    <w:rsid w:val="007E7ECC"/>
    <w:rsid w:val="007F072A"/>
    <w:rsid w:val="007F1E31"/>
    <w:rsid w:val="007F2B07"/>
    <w:rsid w:val="007F327B"/>
    <w:rsid w:val="007F4780"/>
    <w:rsid w:val="007F52D1"/>
    <w:rsid w:val="007F5BED"/>
    <w:rsid w:val="007F5F56"/>
    <w:rsid w:val="007F6133"/>
    <w:rsid w:val="007F6439"/>
    <w:rsid w:val="007F7BC2"/>
    <w:rsid w:val="0080198A"/>
    <w:rsid w:val="0080270A"/>
    <w:rsid w:val="00802837"/>
    <w:rsid w:val="00803E96"/>
    <w:rsid w:val="00805385"/>
    <w:rsid w:val="008066BE"/>
    <w:rsid w:val="008070A6"/>
    <w:rsid w:val="00807160"/>
    <w:rsid w:val="00807338"/>
    <w:rsid w:val="00807B32"/>
    <w:rsid w:val="0081016A"/>
    <w:rsid w:val="008101BB"/>
    <w:rsid w:val="00810DF9"/>
    <w:rsid w:val="008110FA"/>
    <w:rsid w:val="00811EAE"/>
    <w:rsid w:val="00812E05"/>
    <w:rsid w:val="00812EDE"/>
    <w:rsid w:val="008130FC"/>
    <w:rsid w:val="00813278"/>
    <w:rsid w:val="008158B0"/>
    <w:rsid w:val="00816E32"/>
    <w:rsid w:val="00817857"/>
    <w:rsid w:val="00817C04"/>
    <w:rsid w:val="00820419"/>
    <w:rsid w:val="00821111"/>
    <w:rsid w:val="008211F0"/>
    <w:rsid w:val="00822164"/>
    <w:rsid w:val="008228DF"/>
    <w:rsid w:val="00822E7A"/>
    <w:rsid w:val="008236EB"/>
    <w:rsid w:val="00823DD1"/>
    <w:rsid w:val="0082457E"/>
    <w:rsid w:val="008245FB"/>
    <w:rsid w:val="008247CB"/>
    <w:rsid w:val="008256F6"/>
    <w:rsid w:val="00826B87"/>
    <w:rsid w:val="00827146"/>
    <w:rsid w:val="00830565"/>
    <w:rsid w:val="008309D9"/>
    <w:rsid w:val="0083236C"/>
    <w:rsid w:val="00832755"/>
    <w:rsid w:val="008334C7"/>
    <w:rsid w:val="00833CB3"/>
    <w:rsid w:val="00834E28"/>
    <w:rsid w:val="00834F55"/>
    <w:rsid w:val="0083573D"/>
    <w:rsid w:val="008414FC"/>
    <w:rsid w:val="00842849"/>
    <w:rsid w:val="008429DD"/>
    <w:rsid w:val="00843107"/>
    <w:rsid w:val="0084346E"/>
    <w:rsid w:val="008437F4"/>
    <w:rsid w:val="00843F9D"/>
    <w:rsid w:val="0084469A"/>
    <w:rsid w:val="00844B6A"/>
    <w:rsid w:val="008478B1"/>
    <w:rsid w:val="00850889"/>
    <w:rsid w:val="00851F27"/>
    <w:rsid w:val="00852588"/>
    <w:rsid w:val="00852795"/>
    <w:rsid w:val="00854468"/>
    <w:rsid w:val="00855014"/>
    <w:rsid w:val="00855324"/>
    <w:rsid w:val="00857480"/>
    <w:rsid w:val="0086059F"/>
    <w:rsid w:val="00860613"/>
    <w:rsid w:val="00860D56"/>
    <w:rsid w:val="0086110B"/>
    <w:rsid w:val="008615EB"/>
    <w:rsid w:val="00865E81"/>
    <w:rsid w:val="00866BE9"/>
    <w:rsid w:val="0086721B"/>
    <w:rsid w:val="008672EC"/>
    <w:rsid w:val="00867B5E"/>
    <w:rsid w:val="00867F51"/>
    <w:rsid w:val="00870F16"/>
    <w:rsid w:val="0087371B"/>
    <w:rsid w:val="008738C0"/>
    <w:rsid w:val="00873CA2"/>
    <w:rsid w:val="0087420A"/>
    <w:rsid w:val="00875095"/>
    <w:rsid w:val="008753CD"/>
    <w:rsid w:val="008770CA"/>
    <w:rsid w:val="00877201"/>
    <w:rsid w:val="00877A3C"/>
    <w:rsid w:val="00881037"/>
    <w:rsid w:val="00881798"/>
    <w:rsid w:val="00884BB0"/>
    <w:rsid w:val="008859C2"/>
    <w:rsid w:val="00885A4B"/>
    <w:rsid w:val="00890211"/>
    <w:rsid w:val="0089183E"/>
    <w:rsid w:val="00891FEA"/>
    <w:rsid w:val="0089301D"/>
    <w:rsid w:val="00895DB5"/>
    <w:rsid w:val="008967AA"/>
    <w:rsid w:val="00897A40"/>
    <w:rsid w:val="008A02C8"/>
    <w:rsid w:val="008A0D51"/>
    <w:rsid w:val="008A1866"/>
    <w:rsid w:val="008A1A86"/>
    <w:rsid w:val="008A1E86"/>
    <w:rsid w:val="008A2630"/>
    <w:rsid w:val="008A663C"/>
    <w:rsid w:val="008A7362"/>
    <w:rsid w:val="008B056C"/>
    <w:rsid w:val="008B0908"/>
    <w:rsid w:val="008B0BD6"/>
    <w:rsid w:val="008B1661"/>
    <w:rsid w:val="008B2417"/>
    <w:rsid w:val="008B2AFD"/>
    <w:rsid w:val="008B2DDC"/>
    <w:rsid w:val="008B5D73"/>
    <w:rsid w:val="008B6133"/>
    <w:rsid w:val="008B6E27"/>
    <w:rsid w:val="008C150F"/>
    <w:rsid w:val="008C1598"/>
    <w:rsid w:val="008C1B56"/>
    <w:rsid w:val="008C20A0"/>
    <w:rsid w:val="008C251C"/>
    <w:rsid w:val="008C26EC"/>
    <w:rsid w:val="008C2B50"/>
    <w:rsid w:val="008C4045"/>
    <w:rsid w:val="008C405F"/>
    <w:rsid w:val="008C46E0"/>
    <w:rsid w:val="008C54DC"/>
    <w:rsid w:val="008C5C18"/>
    <w:rsid w:val="008D0941"/>
    <w:rsid w:val="008D0B72"/>
    <w:rsid w:val="008D0C85"/>
    <w:rsid w:val="008D1EBA"/>
    <w:rsid w:val="008D2085"/>
    <w:rsid w:val="008D21ED"/>
    <w:rsid w:val="008D2CE4"/>
    <w:rsid w:val="008D2E86"/>
    <w:rsid w:val="008D43E0"/>
    <w:rsid w:val="008D48F1"/>
    <w:rsid w:val="008D4D7E"/>
    <w:rsid w:val="008D69FE"/>
    <w:rsid w:val="008D7F27"/>
    <w:rsid w:val="008E0005"/>
    <w:rsid w:val="008E0680"/>
    <w:rsid w:val="008E145C"/>
    <w:rsid w:val="008E14D5"/>
    <w:rsid w:val="008E1760"/>
    <w:rsid w:val="008E228F"/>
    <w:rsid w:val="008E3293"/>
    <w:rsid w:val="008E402E"/>
    <w:rsid w:val="008E4BC7"/>
    <w:rsid w:val="008E4E00"/>
    <w:rsid w:val="008E50D4"/>
    <w:rsid w:val="008E52B3"/>
    <w:rsid w:val="008E556D"/>
    <w:rsid w:val="008E5B8B"/>
    <w:rsid w:val="008E6E95"/>
    <w:rsid w:val="008E75D8"/>
    <w:rsid w:val="008E766D"/>
    <w:rsid w:val="008E78B9"/>
    <w:rsid w:val="008E7B62"/>
    <w:rsid w:val="008F25C5"/>
    <w:rsid w:val="008F2E8D"/>
    <w:rsid w:val="008F4192"/>
    <w:rsid w:val="008F4441"/>
    <w:rsid w:val="008F65CD"/>
    <w:rsid w:val="008F7ACD"/>
    <w:rsid w:val="00901BEB"/>
    <w:rsid w:val="00902C24"/>
    <w:rsid w:val="00903796"/>
    <w:rsid w:val="00904484"/>
    <w:rsid w:val="009051AC"/>
    <w:rsid w:val="00905AEB"/>
    <w:rsid w:val="00905B07"/>
    <w:rsid w:val="00907E75"/>
    <w:rsid w:val="00910583"/>
    <w:rsid w:val="00911CB6"/>
    <w:rsid w:val="00913DBB"/>
    <w:rsid w:val="00913EDB"/>
    <w:rsid w:val="00913F8A"/>
    <w:rsid w:val="009140DF"/>
    <w:rsid w:val="00914488"/>
    <w:rsid w:val="0091539B"/>
    <w:rsid w:val="00915AD4"/>
    <w:rsid w:val="00915EA9"/>
    <w:rsid w:val="0091648D"/>
    <w:rsid w:val="0091673B"/>
    <w:rsid w:val="00917670"/>
    <w:rsid w:val="00921380"/>
    <w:rsid w:val="0092167B"/>
    <w:rsid w:val="009217D6"/>
    <w:rsid w:val="009231A3"/>
    <w:rsid w:val="00924D9F"/>
    <w:rsid w:val="009253F9"/>
    <w:rsid w:val="009259B3"/>
    <w:rsid w:val="009266A0"/>
    <w:rsid w:val="00926756"/>
    <w:rsid w:val="0092793E"/>
    <w:rsid w:val="009303BD"/>
    <w:rsid w:val="00930F9F"/>
    <w:rsid w:val="00931CA6"/>
    <w:rsid w:val="00932485"/>
    <w:rsid w:val="00932DFA"/>
    <w:rsid w:val="0093355F"/>
    <w:rsid w:val="00934709"/>
    <w:rsid w:val="00934FFF"/>
    <w:rsid w:val="0093547E"/>
    <w:rsid w:val="00936C54"/>
    <w:rsid w:val="0093739D"/>
    <w:rsid w:val="00941D25"/>
    <w:rsid w:val="00941DA0"/>
    <w:rsid w:val="00942DAC"/>
    <w:rsid w:val="009452D0"/>
    <w:rsid w:val="00945F58"/>
    <w:rsid w:val="00946BB2"/>
    <w:rsid w:val="00946F4F"/>
    <w:rsid w:val="009503DC"/>
    <w:rsid w:val="009508FB"/>
    <w:rsid w:val="00951473"/>
    <w:rsid w:val="00952E5A"/>
    <w:rsid w:val="00953289"/>
    <w:rsid w:val="00953BD9"/>
    <w:rsid w:val="00953D4F"/>
    <w:rsid w:val="00954491"/>
    <w:rsid w:val="009559E8"/>
    <w:rsid w:val="00956D43"/>
    <w:rsid w:val="00956DB8"/>
    <w:rsid w:val="00957059"/>
    <w:rsid w:val="009617B4"/>
    <w:rsid w:val="009622A8"/>
    <w:rsid w:val="009629C6"/>
    <w:rsid w:val="0096386D"/>
    <w:rsid w:val="00963F5E"/>
    <w:rsid w:val="00964051"/>
    <w:rsid w:val="00967596"/>
    <w:rsid w:val="009704AE"/>
    <w:rsid w:val="009715A9"/>
    <w:rsid w:val="009721F9"/>
    <w:rsid w:val="00972DEF"/>
    <w:rsid w:val="009743C5"/>
    <w:rsid w:val="00974C54"/>
    <w:rsid w:val="00974FB7"/>
    <w:rsid w:val="0097678A"/>
    <w:rsid w:val="00976B51"/>
    <w:rsid w:val="00976FEE"/>
    <w:rsid w:val="00977034"/>
    <w:rsid w:val="00980853"/>
    <w:rsid w:val="00980C56"/>
    <w:rsid w:val="00981D81"/>
    <w:rsid w:val="00981F16"/>
    <w:rsid w:val="00983871"/>
    <w:rsid w:val="00984D5D"/>
    <w:rsid w:val="00984FBB"/>
    <w:rsid w:val="00985407"/>
    <w:rsid w:val="009854E8"/>
    <w:rsid w:val="0098565D"/>
    <w:rsid w:val="00985817"/>
    <w:rsid w:val="00985BAC"/>
    <w:rsid w:val="00986947"/>
    <w:rsid w:val="009901D4"/>
    <w:rsid w:val="009926F2"/>
    <w:rsid w:val="00993623"/>
    <w:rsid w:val="009942F1"/>
    <w:rsid w:val="00994D44"/>
    <w:rsid w:val="00994D60"/>
    <w:rsid w:val="00994E91"/>
    <w:rsid w:val="009971A3"/>
    <w:rsid w:val="009A0AC3"/>
    <w:rsid w:val="009A1445"/>
    <w:rsid w:val="009A1588"/>
    <w:rsid w:val="009A19A0"/>
    <w:rsid w:val="009A275B"/>
    <w:rsid w:val="009A2D3C"/>
    <w:rsid w:val="009A3A64"/>
    <w:rsid w:val="009A41BA"/>
    <w:rsid w:val="009A4308"/>
    <w:rsid w:val="009A48D5"/>
    <w:rsid w:val="009A5626"/>
    <w:rsid w:val="009A5A08"/>
    <w:rsid w:val="009A614D"/>
    <w:rsid w:val="009A71AB"/>
    <w:rsid w:val="009B0009"/>
    <w:rsid w:val="009B06AF"/>
    <w:rsid w:val="009B1429"/>
    <w:rsid w:val="009B16E4"/>
    <w:rsid w:val="009B258D"/>
    <w:rsid w:val="009B2DDB"/>
    <w:rsid w:val="009B4439"/>
    <w:rsid w:val="009B4833"/>
    <w:rsid w:val="009B4AA0"/>
    <w:rsid w:val="009B51B6"/>
    <w:rsid w:val="009B5741"/>
    <w:rsid w:val="009B6981"/>
    <w:rsid w:val="009C0C82"/>
    <w:rsid w:val="009C3387"/>
    <w:rsid w:val="009C3A92"/>
    <w:rsid w:val="009C3BBA"/>
    <w:rsid w:val="009C68CB"/>
    <w:rsid w:val="009C6BAA"/>
    <w:rsid w:val="009C758B"/>
    <w:rsid w:val="009C76F7"/>
    <w:rsid w:val="009D04E8"/>
    <w:rsid w:val="009D165E"/>
    <w:rsid w:val="009D2C2C"/>
    <w:rsid w:val="009D47A8"/>
    <w:rsid w:val="009D5C5A"/>
    <w:rsid w:val="009D7402"/>
    <w:rsid w:val="009E4871"/>
    <w:rsid w:val="009E5011"/>
    <w:rsid w:val="009E5E02"/>
    <w:rsid w:val="009E631C"/>
    <w:rsid w:val="009E7DF5"/>
    <w:rsid w:val="009F0207"/>
    <w:rsid w:val="009F0B8B"/>
    <w:rsid w:val="009F0B98"/>
    <w:rsid w:val="009F0E72"/>
    <w:rsid w:val="009F1184"/>
    <w:rsid w:val="009F22FB"/>
    <w:rsid w:val="009F4031"/>
    <w:rsid w:val="009F418D"/>
    <w:rsid w:val="009F4237"/>
    <w:rsid w:val="009F4477"/>
    <w:rsid w:val="009F5021"/>
    <w:rsid w:val="009F675A"/>
    <w:rsid w:val="009F6D22"/>
    <w:rsid w:val="009F6ECC"/>
    <w:rsid w:val="00A0062D"/>
    <w:rsid w:val="00A00E4B"/>
    <w:rsid w:val="00A01353"/>
    <w:rsid w:val="00A02695"/>
    <w:rsid w:val="00A02D25"/>
    <w:rsid w:val="00A030E6"/>
    <w:rsid w:val="00A0498B"/>
    <w:rsid w:val="00A11647"/>
    <w:rsid w:val="00A11EAC"/>
    <w:rsid w:val="00A1201A"/>
    <w:rsid w:val="00A120CB"/>
    <w:rsid w:val="00A1346B"/>
    <w:rsid w:val="00A1379C"/>
    <w:rsid w:val="00A13FC9"/>
    <w:rsid w:val="00A14032"/>
    <w:rsid w:val="00A155D8"/>
    <w:rsid w:val="00A15664"/>
    <w:rsid w:val="00A15F03"/>
    <w:rsid w:val="00A160CB"/>
    <w:rsid w:val="00A17697"/>
    <w:rsid w:val="00A17A37"/>
    <w:rsid w:val="00A17D80"/>
    <w:rsid w:val="00A203A1"/>
    <w:rsid w:val="00A20EC9"/>
    <w:rsid w:val="00A2101B"/>
    <w:rsid w:val="00A21B94"/>
    <w:rsid w:val="00A21E6D"/>
    <w:rsid w:val="00A22D7D"/>
    <w:rsid w:val="00A24D98"/>
    <w:rsid w:val="00A25703"/>
    <w:rsid w:val="00A257E4"/>
    <w:rsid w:val="00A26229"/>
    <w:rsid w:val="00A26B90"/>
    <w:rsid w:val="00A2748B"/>
    <w:rsid w:val="00A30267"/>
    <w:rsid w:val="00A315FA"/>
    <w:rsid w:val="00A317E0"/>
    <w:rsid w:val="00A318DF"/>
    <w:rsid w:val="00A324BA"/>
    <w:rsid w:val="00A33DC6"/>
    <w:rsid w:val="00A3492F"/>
    <w:rsid w:val="00A34DE3"/>
    <w:rsid w:val="00A353DB"/>
    <w:rsid w:val="00A35B0D"/>
    <w:rsid w:val="00A35D80"/>
    <w:rsid w:val="00A36438"/>
    <w:rsid w:val="00A365A1"/>
    <w:rsid w:val="00A37553"/>
    <w:rsid w:val="00A401BD"/>
    <w:rsid w:val="00A40C98"/>
    <w:rsid w:val="00A4165E"/>
    <w:rsid w:val="00A416DB"/>
    <w:rsid w:val="00A416F4"/>
    <w:rsid w:val="00A42F11"/>
    <w:rsid w:val="00A43960"/>
    <w:rsid w:val="00A43E5C"/>
    <w:rsid w:val="00A4439E"/>
    <w:rsid w:val="00A4616C"/>
    <w:rsid w:val="00A461CE"/>
    <w:rsid w:val="00A500BE"/>
    <w:rsid w:val="00A501A5"/>
    <w:rsid w:val="00A50E9E"/>
    <w:rsid w:val="00A51BB6"/>
    <w:rsid w:val="00A539ED"/>
    <w:rsid w:val="00A54191"/>
    <w:rsid w:val="00A56DD8"/>
    <w:rsid w:val="00A5757E"/>
    <w:rsid w:val="00A6099B"/>
    <w:rsid w:val="00A6167A"/>
    <w:rsid w:val="00A6200C"/>
    <w:rsid w:val="00A6273C"/>
    <w:rsid w:val="00A627E7"/>
    <w:rsid w:val="00A62F9F"/>
    <w:rsid w:val="00A65816"/>
    <w:rsid w:val="00A65CA1"/>
    <w:rsid w:val="00A667DC"/>
    <w:rsid w:val="00A70500"/>
    <w:rsid w:val="00A707DC"/>
    <w:rsid w:val="00A71584"/>
    <w:rsid w:val="00A71F4D"/>
    <w:rsid w:val="00A72024"/>
    <w:rsid w:val="00A72B03"/>
    <w:rsid w:val="00A72D7B"/>
    <w:rsid w:val="00A73026"/>
    <w:rsid w:val="00A739B3"/>
    <w:rsid w:val="00A753EB"/>
    <w:rsid w:val="00A779A2"/>
    <w:rsid w:val="00A77D75"/>
    <w:rsid w:val="00A8069C"/>
    <w:rsid w:val="00A80F16"/>
    <w:rsid w:val="00A818BC"/>
    <w:rsid w:val="00A818C7"/>
    <w:rsid w:val="00A81B1F"/>
    <w:rsid w:val="00A81B30"/>
    <w:rsid w:val="00A81E13"/>
    <w:rsid w:val="00A81F20"/>
    <w:rsid w:val="00A82ABC"/>
    <w:rsid w:val="00A82C8B"/>
    <w:rsid w:val="00A834FD"/>
    <w:rsid w:val="00A853DD"/>
    <w:rsid w:val="00A8775F"/>
    <w:rsid w:val="00A90D95"/>
    <w:rsid w:val="00A90E1C"/>
    <w:rsid w:val="00A92A25"/>
    <w:rsid w:val="00A92B46"/>
    <w:rsid w:val="00A937F2"/>
    <w:rsid w:val="00A94241"/>
    <w:rsid w:val="00A94D31"/>
    <w:rsid w:val="00A954B6"/>
    <w:rsid w:val="00A955A9"/>
    <w:rsid w:val="00A959C4"/>
    <w:rsid w:val="00A959DF"/>
    <w:rsid w:val="00A96DE9"/>
    <w:rsid w:val="00A97405"/>
    <w:rsid w:val="00AA013D"/>
    <w:rsid w:val="00AA0EFB"/>
    <w:rsid w:val="00AA0FEF"/>
    <w:rsid w:val="00AA22EF"/>
    <w:rsid w:val="00AA2739"/>
    <w:rsid w:val="00AA2B19"/>
    <w:rsid w:val="00AA3AFF"/>
    <w:rsid w:val="00AA53F7"/>
    <w:rsid w:val="00AA56AA"/>
    <w:rsid w:val="00AA5E12"/>
    <w:rsid w:val="00AA647E"/>
    <w:rsid w:val="00AA69C6"/>
    <w:rsid w:val="00AA777F"/>
    <w:rsid w:val="00AB0B57"/>
    <w:rsid w:val="00AB2A94"/>
    <w:rsid w:val="00AB2DC6"/>
    <w:rsid w:val="00AB3C3F"/>
    <w:rsid w:val="00AB4408"/>
    <w:rsid w:val="00AB4552"/>
    <w:rsid w:val="00AB466D"/>
    <w:rsid w:val="00AB4CD3"/>
    <w:rsid w:val="00AB5880"/>
    <w:rsid w:val="00AB5AB4"/>
    <w:rsid w:val="00AB6ED2"/>
    <w:rsid w:val="00AC035E"/>
    <w:rsid w:val="00AC0910"/>
    <w:rsid w:val="00AC1D1F"/>
    <w:rsid w:val="00AC3031"/>
    <w:rsid w:val="00AC33DF"/>
    <w:rsid w:val="00AC37B4"/>
    <w:rsid w:val="00AC4434"/>
    <w:rsid w:val="00AC448C"/>
    <w:rsid w:val="00AC513E"/>
    <w:rsid w:val="00AC575E"/>
    <w:rsid w:val="00AC675B"/>
    <w:rsid w:val="00AC6B44"/>
    <w:rsid w:val="00AC6FA8"/>
    <w:rsid w:val="00AD038F"/>
    <w:rsid w:val="00AD0A72"/>
    <w:rsid w:val="00AD0BB8"/>
    <w:rsid w:val="00AD341F"/>
    <w:rsid w:val="00AD560F"/>
    <w:rsid w:val="00AD7E10"/>
    <w:rsid w:val="00AE00DD"/>
    <w:rsid w:val="00AE030E"/>
    <w:rsid w:val="00AE23E8"/>
    <w:rsid w:val="00AE3644"/>
    <w:rsid w:val="00AE4DB7"/>
    <w:rsid w:val="00AE708B"/>
    <w:rsid w:val="00AE74CF"/>
    <w:rsid w:val="00AF0404"/>
    <w:rsid w:val="00AF159B"/>
    <w:rsid w:val="00AF1D25"/>
    <w:rsid w:val="00AF2AE4"/>
    <w:rsid w:val="00AF39E7"/>
    <w:rsid w:val="00AF3DA4"/>
    <w:rsid w:val="00AF40F5"/>
    <w:rsid w:val="00AF5590"/>
    <w:rsid w:val="00AF63D0"/>
    <w:rsid w:val="00AF6943"/>
    <w:rsid w:val="00B001C9"/>
    <w:rsid w:val="00B005DE"/>
    <w:rsid w:val="00B01663"/>
    <w:rsid w:val="00B016AC"/>
    <w:rsid w:val="00B01815"/>
    <w:rsid w:val="00B01A7E"/>
    <w:rsid w:val="00B02772"/>
    <w:rsid w:val="00B027F4"/>
    <w:rsid w:val="00B04AA6"/>
    <w:rsid w:val="00B05574"/>
    <w:rsid w:val="00B05D57"/>
    <w:rsid w:val="00B06007"/>
    <w:rsid w:val="00B062EC"/>
    <w:rsid w:val="00B06A9C"/>
    <w:rsid w:val="00B100F7"/>
    <w:rsid w:val="00B10301"/>
    <w:rsid w:val="00B10B4E"/>
    <w:rsid w:val="00B114B5"/>
    <w:rsid w:val="00B115A8"/>
    <w:rsid w:val="00B12111"/>
    <w:rsid w:val="00B12635"/>
    <w:rsid w:val="00B14E3F"/>
    <w:rsid w:val="00B162A5"/>
    <w:rsid w:val="00B171A7"/>
    <w:rsid w:val="00B17729"/>
    <w:rsid w:val="00B213C4"/>
    <w:rsid w:val="00B216C1"/>
    <w:rsid w:val="00B22743"/>
    <w:rsid w:val="00B22BB7"/>
    <w:rsid w:val="00B22D82"/>
    <w:rsid w:val="00B24292"/>
    <w:rsid w:val="00B24E98"/>
    <w:rsid w:val="00B25356"/>
    <w:rsid w:val="00B2733B"/>
    <w:rsid w:val="00B275ED"/>
    <w:rsid w:val="00B27D1D"/>
    <w:rsid w:val="00B3035E"/>
    <w:rsid w:val="00B3134A"/>
    <w:rsid w:val="00B3193E"/>
    <w:rsid w:val="00B31B66"/>
    <w:rsid w:val="00B33156"/>
    <w:rsid w:val="00B33817"/>
    <w:rsid w:val="00B34EE9"/>
    <w:rsid w:val="00B35F0D"/>
    <w:rsid w:val="00B361FA"/>
    <w:rsid w:val="00B371D2"/>
    <w:rsid w:val="00B376D1"/>
    <w:rsid w:val="00B4099C"/>
    <w:rsid w:val="00B42545"/>
    <w:rsid w:val="00B42744"/>
    <w:rsid w:val="00B42F70"/>
    <w:rsid w:val="00B43061"/>
    <w:rsid w:val="00B45969"/>
    <w:rsid w:val="00B46761"/>
    <w:rsid w:val="00B47A2F"/>
    <w:rsid w:val="00B47B9F"/>
    <w:rsid w:val="00B47D42"/>
    <w:rsid w:val="00B50A86"/>
    <w:rsid w:val="00B50DA4"/>
    <w:rsid w:val="00B51123"/>
    <w:rsid w:val="00B51CB3"/>
    <w:rsid w:val="00B54182"/>
    <w:rsid w:val="00B566C6"/>
    <w:rsid w:val="00B6005C"/>
    <w:rsid w:val="00B6065C"/>
    <w:rsid w:val="00B614EE"/>
    <w:rsid w:val="00B62D84"/>
    <w:rsid w:val="00B63808"/>
    <w:rsid w:val="00B639D5"/>
    <w:rsid w:val="00B64472"/>
    <w:rsid w:val="00B65413"/>
    <w:rsid w:val="00B6720E"/>
    <w:rsid w:val="00B675EE"/>
    <w:rsid w:val="00B7070C"/>
    <w:rsid w:val="00B7090A"/>
    <w:rsid w:val="00B70D62"/>
    <w:rsid w:val="00B70FA9"/>
    <w:rsid w:val="00B7145E"/>
    <w:rsid w:val="00B71834"/>
    <w:rsid w:val="00B72C3B"/>
    <w:rsid w:val="00B7397E"/>
    <w:rsid w:val="00B743C8"/>
    <w:rsid w:val="00B746D8"/>
    <w:rsid w:val="00B75A46"/>
    <w:rsid w:val="00B77E28"/>
    <w:rsid w:val="00B8190C"/>
    <w:rsid w:val="00B81C3E"/>
    <w:rsid w:val="00B820F5"/>
    <w:rsid w:val="00B823BF"/>
    <w:rsid w:val="00B823F2"/>
    <w:rsid w:val="00B83935"/>
    <w:rsid w:val="00B8545C"/>
    <w:rsid w:val="00B87B74"/>
    <w:rsid w:val="00B9069F"/>
    <w:rsid w:val="00B91419"/>
    <w:rsid w:val="00B91F61"/>
    <w:rsid w:val="00B91FD0"/>
    <w:rsid w:val="00B9233A"/>
    <w:rsid w:val="00B92C7B"/>
    <w:rsid w:val="00B93FC0"/>
    <w:rsid w:val="00B944AE"/>
    <w:rsid w:val="00B94AC9"/>
    <w:rsid w:val="00B94E5A"/>
    <w:rsid w:val="00B958E8"/>
    <w:rsid w:val="00B95C76"/>
    <w:rsid w:val="00B95FE7"/>
    <w:rsid w:val="00B9616A"/>
    <w:rsid w:val="00B961A2"/>
    <w:rsid w:val="00B96575"/>
    <w:rsid w:val="00B9665C"/>
    <w:rsid w:val="00B96742"/>
    <w:rsid w:val="00B977CF"/>
    <w:rsid w:val="00B97BC4"/>
    <w:rsid w:val="00B97E3E"/>
    <w:rsid w:val="00BA05D8"/>
    <w:rsid w:val="00BA0A8C"/>
    <w:rsid w:val="00BA0A94"/>
    <w:rsid w:val="00BA0C14"/>
    <w:rsid w:val="00BA234F"/>
    <w:rsid w:val="00BA48CB"/>
    <w:rsid w:val="00BA4EDA"/>
    <w:rsid w:val="00BA6309"/>
    <w:rsid w:val="00BA665D"/>
    <w:rsid w:val="00BA66B8"/>
    <w:rsid w:val="00BA66EA"/>
    <w:rsid w:val="00BA6705"/>
    <w:rsid w:val="00BA6AEE"/>
    <w:rsid w:val="00BA751C"/>
    <w:rsid w:val="00BB1248"/>
    <w:rsid w:val="00BB127E"/>
    <w:rsid w:val="00BB160C"/>
    <w:rsid w:val="00BB16EB"/>
    <w:rsid w:val="00BB1F82"/>
    <w:rsid w:val="00BB22CD"/>
    <w:rsid w:val="00BB25A1"/>
    <w:rsid w:val="00BB3299"/>
    <w:rsid w:val="00BB32A6"/>
    <w:rsid w:val="00BB32F8"/>
    <w:rsid w:val="00BB4709"/>
    <w:rsid w:val="00BB5230"/>
    <w:rsid w:val="00BC04D3"/>
    <w:rsid w:val="00BC08D2"/>
    <w:rsid w:val="00BC140B"/>
    <w:rsid w:val="00BC1721"/>
    <w:rsid w:val="00BC1D56"/>
    <w:rsid w:val="00BC235E"/>
    <w:rsid w:val="00BC3B20"/>
    <w:rsid w:val="00BC4DC4"/>
    <w:rsid w:val="00BC59D5"/>
    <w:rsid w:val="00BC5AF9"/>
    <w:rsid w:val="00BD0D8B"/>
    <w:rsid w:val="00BD1711"/>
    <w:rsid w:val="00BD1896"/>
    <w:rsid w:val="00BD1F2A"/>
    <w:rsid w:val="00BD1FA6"/>
    <w:rsid w:val="00BD2281"/>
    <w:rsid w:val="00BD267E"/>
    <w:rsid w:val="00BD42F2"/>
    <w:rsid w:val="00BD5457"/>
    <w:rsid w:val="00BD599B"/>
    <w:rsid w:val="00BD610D"/>
    <w:rsid w:val="00BD6595"/>
    <w:rsid w:val="00BD65BE"/>
    <w:rsid w:val="00BD7783"/>
    <w:rsid w:val="00BD7C4E"/>
    <w:rsid w:val="00BE09D7"/>
    <w:rsid w:val="00BE1187"/>
    <w:rsid w:val="00BE1D00"/>
    <w:rsid w:val="00BE2065"/>
    <w:rsid w:val="00BE2154"/>
    <w:rsid w:val="00BE2319"/>
    <w:rsid w:val="00BE3BE0"/>
    <w:rsid w:val="00BE49E1"/>
    <w:rsid w:val="00BE5F6A"/>
    <w:rsid w:val="00BE749D"/>
    <w:rsid w:val="00BF069C"/>
    <w:rsid w:val="00BF189E"/>
    <w:rsid w:val="00BF18F4"/>
    <w:rsid w:val="00BF27A4"/>
    <w:rsid w:val="00BF2D20"/>
    <w:rsid w:val="00BF5461"/>
    <w:rsid w:val="00BF5D56"/>
    <w:rsid w:val="00BF5E43"/>
    <w:rsid w:val="00BF6F40"/>
    <w:rsid w:val="00BF7D46"/>
    <w:rsid w:val="00C00E0A"/>
    <w:rsid w:val="00C019B7"/>
    <w:rsid w:val="00C02AE7"/>
    <w:rsid w:val="00C03331"/>
    <w:rsid w:val="00C04167"/>
    <w:rsid w:val="00C046BB"/>
    <w:rsid w:val="00C05263"/>
    <w:rsid w:val="00C05597"/>
    <w:rsid w:val="00C057BC"/>
    <w:rsid w:val="00C0598C"/>
    <w:rsid w:val="00C06097"/>
    <w:rsid w:val="00C10C21"/>
    <w:rsid w:val="00C12188"/>
    <w:rsid w:val="00C14A85"/>
    <w:rsid w:val="00C159CF"/>
    <w:rsid w:val="00C1738D"/>
    <w:rsid w:val="00C174AE"/>
    <w:rsid w:val="00C17C79"/>
    <w:rsid w:val="00C233ED"/>
    <w:rsid w:val="00C23DD0"/>
    <w:rsid w:val="00C26A05"/>
    <w:rsid w:val="00C278D1"/>
    <w:rsid w:val="00C27B46"/>
    <w:rsid w:val="00C322EF"/>
    <w:rsid w:val="00C32A6B"/>
    <w:rsid w:val="00C32CEA"/>
    <w:rsid w:val="00C3389F"/>
    <w:rsid w:val="00C34CCA"/>
    <w:rsid w:val="00C34FEC"/>
    <w:rsid w:val="00C35C82"/>
    <w:rsid w:val="00C361DF"/>
    <w:rsid w:val="00C37846"/>
    <w:rsid w:val="00C41477"/>
    <w:rsid w:val="00C4183E"/>
    <w:rsid w:val="00C42756"/>
    <w:rsid w:val="00C43898"/>
    <w:rsid w:val="00C43FE6"/>
    <w:rsid w:val="00C44ACB"/>
    <w:rsid w:val="00C45252"/>
    <w:rsid w:val="00C45646"/>
    <w:rsid w:val="00C46DCC"/>
    <w:rsid w:val="00C50317"/>
    <w:rsid w:val="00C50992"/>
    <w:rsid w:val="00C513EB"/>
    <w:rsid w:val="00C533F9"/>
    <w:rsid w:val="00C542E4"/>
    <w:rsid w:val="00C55DD2"/>
    <w:rsid w:val="00C57691"/>
    <w:rsid w:val="00C57CF8"/>
    <w:rsid w:val="00C60005"/>
    <w:rsid w:val="00C600FB"/>
    <w:rsid w:val="00C60939"/>
    <w:rsid w:val="00C6147C"/>
    <w:rsid w:val="00C618D6"/>
    <w:rsid w:val="00C621FB"/>
    <w:rsid w:val="00C6270C"/>
    <w:rsid w:val="00C6295A"/>
    <w:rsid w:val="00C63172"/>
    <w:rsid w:val="00C641EA"/>
    <w:rsid w:val="00C65B55"/>
    <w:rsid w:val="00C6606D"/>
    <w:rsid w:val="00C6633C"/>
    <w:rsid w:val="00C6649E"/>
    <w:rsid w:val="00C668A9"/>
    <w:rsid w:val="00C668E8"/>
    <w:rsid w:val="00C67DE9"/>
    <w:rsid w:val="00C719E2"/>
    <w:rsid w:val="00C722B8"/>
    <w:rsid w:val="00C7327F"/>
    <w:rsid w:val="00C73634"/>
    <w:rsid w:val="00C73DC2"/>
    <w:rsid w:val="00C73F1A"/>
    <w:rsid w:val="00C751CD"/>
    <w:rsid w:val="00C7758D"/>
    <w:rsid w:val="00C778EC"/>
    <w:rsid w:val="00C77AF3"/>
    <w:rsid w:val="00C77CA7"/>
    <w:rsid w:val="00C80951"/>
    <w:rsid w:val="00C816F0"/>
    <w:rsid w:val="00C81ECE"/>
    <w:rsid w:val="00C831F1"/>
    <w:rsid w:val="00C86026"/>
    <w:rsid w:val="00C864CA"/>
    <w:rsid w:val="00C86AFC"/>
    <w:rsid w:val="00C870A2"/>
    <w:rsid w:val="00C90187"/>
    <w:rsid w:val="00C90536"/>
    <w:rsid w:val="00C90B6C"/>
    <w:rsid w:val="00C91433"/>
    <w:rsid w:val="00C92D8F"/>
    <w:rsid w:val="00C94516"/>
    <w:rsid w:val="00C94885"/>
    <w:rsid w:val="00C9564F"/>
    <w:rsid w:val="00C9591D"/>
    <w:rsid w:val="00C95B1E"/>
    <w:rsid w:val="00C963F0"/>
    <w:rsid w:val="00C96496"/>
    <w:rsid w:val="00C97AAA"/>
    <w:rsid w:val="00C97B6C"/>
    <w:rsid w:val="00C97E8B"/>
    <w:rsid w:val="00CA0176"/>
    <w:rsid w:val="00CA1644"/>
    <w:rsid w:val="00CA1CEB"/>
    <w:rsid w:val="00CA2106"/>
    <w:rsid w:val="00CA2E5A"/>
    <w:rsid w:val="00CA3F4B"/>
    <w:rsid w:val="00CA462A"/>
    <w:rsid w:val="00CA4FF1"/>
    <w:rsid w:val="00CA565B"/>
    <w:rsid w:val="00CA5A00"/>
    <w:rsid w:val="00CA6C66"/>
    <w:rsid w:val="00CA7A60"/>
    <w:rsid w:val="00CA7AA9"/>
    <w:rsid w:val="00CB027D"/>
    <w:rsid w:val="00CB0BDB"/>
    <w:rsid w:val="00CB2DC4"/>
    <w:rsid w:val="00CB41C1"/>
    <w:rsid w:val="00CB545E"/>
    <w:rsid w:val="00CB6782"/>
    <w:rsid w:val="00CB6CFA"/>
    <w:rsid w:val="00CB6FF3"/>
    <w:rsid w:val="00CC0E79"/>
    <w:rsid w:val="00CC1136"/>
    <w:rsid w:val="00CC133A"/>
    <w:rsid w:val="00CC2624"/>
    <w:rsid w:val="00CC2A7D"/>
    <w:rsid w:val="00CC41E5"/>
    <w:rsid w:val="00CC50AB"/>
    <w:rsid w:val="00CC6BDA"/>
    <w:rsid w:val="00CC6CB6"/>
    <w:rsid w:val="00CC79FA"/>
    <w:rsid w:val="00CD0ED5"/>
    <w:rsid w:val="00CD1058"/>
    <w:rsid w:val="00CD22A4"/>
    <w:rsid w:val="00CD2B4E"/>
    <w:rsid w:val="00CD38EB"/>
    <w:rsid w:val="00CD395F"/>
    <w:rsid w:val="00CD425C"/>
    <w:rsid w:val="00CD4265"/>
    <w:rsid w:val="00CD536E"/>
    <w:rsid w:val="00CD5997"/>
    <w:rsid w:val="00CD722B"/>
    <w:rsid w:val="00CD79A0"/>
    <w:rsid w:val="00CE0733"/>
    <w:rsid w:val="00CE08B4"/>
    <w:rsid w:val="00CE180F"/>
    <w:rsid w:val="00CE3196"/>
    <w:rsid w:val="00CE3C7B"/>
    <w:rsid w:val="00CE3DC4"/>
    <w:rsid w:val="00CE71A2"/>
    <w:rsid w:val="00CF0F32"/>
    <w:rsid w:val="00CF1009"/>
    <w:rsid w:val="00CF14B9"/>
    <w:rsid w:val="00CF18B0"/>
    <w:rsid w:val="00CF20CA"/>
    <w:rsid w:val="00CF2446"/>
    <w:rsid w:val="00CF324A"/>
    <w:rsid w:val="00CF4520"/>
    <w:rsid w:val="00CF50F0"/>
    <w:rsid w:val="00CF5AAF"/>
    <w:rsid w:val="00CF7331"/>
    <w:rsid w:val="00CF780C"/>
    <w:rsid w:val="00CF7FA9"/>
    <w:rsid w:val="00D01158"/>
    <w:rsid w:val="00D02902"/>
    <w:rsid w:val="00D03001"/>
    <w:rsid w:val="00D041FC"/>
    <w:rsid w:val="00D06488"/>
    <w:rsid w:val="00D06EBF"/>
    <w:rsid w:val="00D07554"/>
    <w:rsid w:val="00D07A64"/>
    <w:rsid w:val="00D10109"/>
    <w:rsid w:val="00D1038C"/>
    <w:rsid w:val="00D117A2"/>
    <w:rsid w:val="00D11EEB"/>
    <w:rsid w:val="00D11FDA"/>
    <w:rsid w:val="00D133B7"/>
    <w:rsid w:val="00D14396"/>
    <w:rsid w:val="00D14840"/>
    <w:rsid w:val="00D14990"/>
    <w:rsid w:val="00D14E21"/>
    <w:rsid w:val="00D16005"/>
    <w:rsid w:val="00D16D40"/>
    <w:rsid w:val="00D20F53"/>
    <w:rsid w:val="00D21AE8"/>
    <w:rsid w:val="00D21E09"/>
    <w:rsid w:val="00D21F8D"/>
    <w:rsid w:val="00D22B37"/>
    <w:rsid w:val="00D24FE3"/>
    <w:rsid w:val="00D2504B"/>
    <w:rsid w:val="00D25BCF"/>
    <w:rsid w:val="00D265DD"/>
    <w:rsid w:val="00D27638"/>
    <w:rsid w:val="00D31362"/>
    <w:rsid w:val="00D31618"/>
    <w:rsid w:val="00D323FA"/>
    <w:rsid w:val="00D33EB4"/>
    <w:rsid w:val="00D343C7"/>
    <w:rsid w:val="00D34888"/>
    <w:rsid w:val="00D36252"/>
    <w:rsid w:val="00D36B60"/>
    <w:rsid w:val="00D40B83"/>
    <w:rsid w:val="00D40D53"/>
    <w:rsid w:val="00D41B68"/>
    <w:rsid w:val="00D44442"/>
    <w:rsid w:val="00D44A75"/>
    <w:rsid w:val="00D44CAA"/>
    <w:rsid w:val="00D44EB9"/>
    <w:rsid w:val="00D461C7"/>
    <w:rsid w:val="00D465DB"/>
    <w:rsid w:val="00D46F40"/>
    <w:rsid w:val="00D4728E"/>
    <w:rsid w:val="00D505A4"/>
    <w:rsid w:val="00D50B24"/>
    <w:rsid w:val="00D5121F"/>
    <w:rsid w:val="00D51DE7"/>
    <w:rsid w:val="00D5287D"/>
    <w:rsid w:val="00D54862"/>
    <w:rsid w:val="00D564F5"/>
    <w:rsid w:val="00D567F6"/>
    <w:rsid w:val="00D60A30"/>
    <w:rsid w:val="00D61B03"/>
    <w:rsid w:val="00D629FE"/>
    <w:rsid w:val="00D641FA"/>
    <w:rsid w:val="00D64A51"/>
    <w:rsid w:val="00D652FA"/>
    <w:rsid w:val="00D65AC4"/>
    <w:rsid w:val="00D672EB"/>
    <w:rsid w:val="00D67C28"/>
    <w:rsid w:val="00D67E02"/>
    <w:rsid w:val="00D701BA"/>
    <w:rsid w:val="00D71E36"/>
    <w:rsid w:val="00D73CB9"/>
    <w:rsid w:val="00D73D55"/>
    <w:rsid w:val="00D74327"/>
    <w:rsid w:val="00D7593E"/>
    <w:rsid w:val="00D77313"/>
    <w:rsid w:val="00D773CE"/>
    <w:rsid w:val="00D80044"/>
    <w:rsid w:val="00D80137"/>
    <w:rsid w:val="00D81400"/>
    <w:rsid w:val="00D81B33"/>
    <w:rsid w:val="00D821F4"/>
    <w:rsid w:val="00D82ACE"/>
    <w:rsid w:val="00D82C20"/>
    <w:rsid w:val="00D83D56"/>
    <w:rsid w:val="00D84D45"/>
    <w:rsid w:val="00D86189"/>
    <w:rsid w:val="00D86D58"/>
    <w:rsid w:val="00D86EDE"/>
    <w:rsid w:val="00D87C3E"/>
    <w:rsid w:val="00D912D1"/>
    <w:rsid w:val="00D92080"/>
    <w:rsid w:val="00D9326F"/>
    <w:rsid w:val="00D93C2B"/>
    <w:rsid w:val="00D943D4"/>
    <w:rsid w:val="00D9465E"/>
    <w:rsid w:val="00D951D3"/>
    <w:rsid w:val="00D95286"/>
    <w:rsid w:val="00D9535B"/>
    <w:rsid w:val="00D968E6"/>
    <w:rsid w:val="00DA3C59"/>
    <w:rsid w:val="00DA3E74"/>
    <w:rsid w:val="00DA4076"/>
    <w:rsid w:val="00DA466F"/>
    <w:rsid w:val="00DA5359"/>
    <w:rsid w:val="00DA5DF0"/>
    <w:rsid w:val="00DA65AE"/>
    <w:rsid w:val="00DA6B78"/>
    <w:rsid w:val="00DB1C4E"/>
    <w:rsid w:val="00DB3048"/>
    <w:rsid w:val="00DB30B3"/>
    <w:rsid w:val="00DB40BB"/>
    <w:rsid w:val="00DB434F"/>
    <w:rsid w:val="00DB678B"/>
    <w:rsid w:val="00DC283E"/>
    <w:rsid w:val="00DC2E74"/>
    <w:rsid w:val="00DC321D"/>
    <w:rsid w:val="00DC34EE"/>
    <w:rsid w:val="00DC3BBA"/>
    <w:rsid w:val="00DC3C0C"/>
    <w:rsid w:val="00DC47D3"/>
    <w:rsid w:val="00DC5094"/>
    <w:rsid w:val="00DC53BC"/>
    <w:rsid w:val="00DC5965"/>
    <w:rsid w:val="00DC5973"/>
    <w:rsid w:val="00DC715A"/>
    <w:rsid w:val="00DD163C"/>
    <w:rsid w:val="00DD1855"/>
    <w:rsid w:val="00DD23B0"/>
    <w:rsid w:val="00DD2893"/>
    <w:rsid w:val="00DD4B58"/>
    <w:rsid w:val="00DD4B6E"/>
    <w:rsid w:val="00DD6E04"/>
    <w:rsid w:val="00DD7738"/>
    <w:rsid w:val="00DD7A98"/>
    <w:rsid w:val="00DE0088"/>
    <w:rsid w:val="00DE0F67"/>
    <w:rsid w:val="00DE105A"/>
    <w:rsid w:val="00DE1719"/>
    <w:rsid w:val="00DE198B"/>
    <w:rsid w:val="00DE1D77"/>
    <w:rsid w:val="00DE2126"/>
    <w:rsid w:val="00DE222A"/>
    <w:rsid w:val="00DE2247"/>
    <w:rsid w:val="00DE47C0"/>
    <w:rsid w:val="00DE521C"/>
    <w:rsid w:val="00DE5953"/>
    <w:rsid w:val="00DE59A9"/>
    <w:rsid w:val="00DE5FC0"/>
    <w:rsid w:val="00DE6B0F"/>
    <w:rsid w:val="00DE7CB0"/>
    <w:rsid w:val="00DE7DF3"/>
    <w:rsid w:val="00DF16CB"/>
    <w:rsid w:val="00DF1B64"/>
    <w:rsid w:val="00DF2F9C"/>
    <w:rsid w:val="00DF3E73"/>
    <w:rsid w:val="00DF40FA"/>
    <w:rsid w:val="00DF42AA"/>
    <w:rsid w:val="00DF42EA"/>
    <w:rsid w:val="00DF6608"/>
    <w:rsid w:val="00DF676A"/>
    <w:rsid w:val="00DF73BE"/>
    <w:rsid w:val="00DF76C5"/>
    <w:rsid w:val="00DF7DB8"/>
    <w:rsid w:val="00E00033"/>
    <w:rsid w:val="00E01AC0"/>
    <w:rsid w:val="00E024F2"/>
    <w:rsid w:val="00E0261D"/>
    <w:rsid w:val="00E02636"/>
    <w:rsid w:val="00E046DE"/>
    <w:rsid w:val="00E04BF4"/>
    <w:rsid w:val="00E0559D"/>
    <w:rsid w:val="00E06D8A"/>
    <w:rsid w:val="00E06E3B"/>
    <w:rsid w:val="00E113E2"/>
    <w:rsid w:val="00E1169B"/>
    <w:rsid w:val="00E12571"/>
    <w:rsid w:val="00E13469"/>
    <w:rsid w:val="00E14B37"/>
    <w:rsid w:val="00E15081"/>
    <w:rsid w:val="00E150BD"/>
    <w:rsid w:val="00E20963"/>
    <w:rsid w:val="00E2124C"/>
    <w:rsid w:val="00E2136A"/>
    <w:rsid w:val="00E21D29"/>
    <w:rsid w:val="00E22065"/>
    <w:rsid w:val="00E24335"/>
    <w:rsid w:val="00E245AF"/>
    <w:rsid w:val="00E2517E"/>
    <w:rsid w:val="00E254B8"/>
    <w:rsid w:val="00E26AF3"/>
    <w:rsid w:val="00E26C8B"/>
    <w:rsid w:val="00E272BA"/>
    <w:rsid w:val="00E275FE"/>
    <w:rsid w:val="00E27E98"/>
    <w:rsid w:val="00E27F7B"/>
    <w:rsid w:val="00E305D2"/>
    <w:rsid w:val="00E3354C"/>
    <w:rsid w:val="00E3371E"/>
    <w:rsid w:val="00E33752"/>
    <w:rsid w:val="00E347D1"/>
    <w:rsid w:val="00E347E8"/>
    <w:rsid w:val="00E36712"/>
    <w:rsid w:val="00E3724C"/>
    <w:rsid w:val="00E373C9"/>
    <w:rsid w:val="00E37869"/>
    <w:rsid w:val="00E3794D"/>
    <w:rsid w:val="00E40316"/>
    <w:rsid w:val="00E4162F"/>
    <w:rsid w:val="00E41879"/>
    <w:rsid w:val="00E41C49"/>
    <w:rsid w:val="00E42957"/>
    <w:rsid w:val="00E4317F"/>
    <w:rsid w:val="00E438DE"/>
    <w:rsid w:val="00E43E8C"/>
    <w:rsid w:val="00E4499C"/>
    <w:rsid w:val="00E4569B"/>
    <w:rsid w:val="00E466A4"/>
    <w:rsid w:val="00E46716"/>
    <w:rsid w:val="00E46C22"/>
    <w:rsid w:val="00E46D18"/>
    <w:rsid w:val="00E47989"/>
    <w:rsid w:val="00E52AA2"/>
    <w:rsid w:val="00E5312C"/>
    <w:rsid w:val="00E536FC"/>
    <w:rsid w:val="00E53AC0"/>
    <w:rsid w:val="00E54EC7"/>
    <w:rsid w:val="00E61E6F"/>
    <w:rsid w:val="00E62DE5"/>
    <w:rsid w:val="00E63E38"/>
    <w:rsid w:val="00E64F39"/>
    <w:rsid w:val="00E65438"/>
    <w:rsid w:val="00E65792"/>
    <w:rsid w:val="00E65825"/>
    <w:rsid w:val="00E66189"/>
    <w:rsid w:val="00E661D1"/>
    <w:rsid w:val="00E670D3"/>
    <w:rsid w:val="00E6740E"/>
    <w:rsid w:val="00E67927"/>
    <w:rsid w:val="00E70237"/>
    <w:rsid w:val="00E704DE"/>
    <w:rsid w:val="00E70547"/>
    <w:rsid w:val="00E70823"/>
    <w:rsid w:val="00E727D2"/>
    <w:rsid w:val="00E72ADF"/>
    <w:rsid w:val="00E73253"/>
    <w:rsid w:val="00E7346D"/>
    <w:rsid w:val="00E736AD"/>
    <w:rsid w:val="00E73B77"/>
    <w:rsid w:val="00E75EC8"/>
    <w:rsid w:val="00E7678A"/>
    <w:rsid w:val="00E76896"/>
    <w:rsid w:val="00E769A5"/>
    <w:rsid w:val="00E7712D"/>
    <w:rsid w:val="00E77A88"/>
    <w:rsid w:val="00E80A74"/>
    <w:rsid w:val="00E80E8D"/>
    <w:rsid w:val="00E81E34"/>
    <w:rsid w:val="00E821B0"/>
    <w:rsid w:val="00E829BC"/>
    <w:rsid w:val="00E836CB"/>
    <w:rsid w:val="00E83E2C"/>
    <w:rsid w:val="00E84C9C"/>
    <w:rsid w:val="00E903BC"/>
    <w:rsid w:val="00E90A17"/>
    <w:rsid w:val="00E90D02"/>
    <w:rsid w:val="00E90FCC"/>
    <w:rsid w:val="00E92308"/>
    <w:rsid w:val="00E929DE"/>
    <w:rsid w:val="00E92A25"/>
    <w:rsid w:val="00E956A9"/>
    <w:rsid w:val="00E96BDF"/>
    <w:rsid w:val="00E97A0D"/>
    <w:rsid w:val="00EA04B8"/>
    <w:rsid w:val="00EA05DC"/>
    <w:rsid w:val="00EA09BA"/>
    <w:rsid w:val="00EA1845"/>
    <w:rsid w:val="00EA204C"/>
    <w:rsid w:val="00EA2681"/>
    <w:rsid w:val="00EA3700"/>
    <w:rsid w:val="00EA3B42"/>
    <w:rsid w:val="00EA3CDB"/>
    <w:rsid w:val="00EA4265"/>
    <w:rsid w:val="00EA465D"/>
    <w:rsid w:val="00EA5A49"/>
    <w:rsid w:val="00EA656E"/>
    <w:rsid w:val="00EA7D28"/>
    <w:rsid w:val="00EB00D9"/>
    <w:rsid w:val="00EB1526"/>
    <w:rsid w:val="00EB356F"/>
    <w:rsid w:val="00EB39C1"/>
    <w:rsid w:val="00EB3C21"/>
    <w:rsid w:val="00EB4376"/>
    <w:rsid w:val="00EB48CA"/>
    <w:rsid w:val="00EB4C1C"/>
    <w:rsid w:val="00EB6736"/>
    <w:rsid w:val="00EB7BEB"/>
    <w:rsid w:val="00EB7ED6"/>
    <w:rsid w:val="00EC18B4"/>
    <w:rsid w:val="00EC214B"/>
    <w:rsid w:val="00EC2CFF"/>
    <w:rsid w:val="00EC6258"/>
    <w:rsid w:val="00EC7FC5"/>
    <w:rsid w:val="00ED01D9"/>
    <w:rsid w:val="00ED069F"/>
    <w:rsid w:val="00ED52EF"/>
    <w:rsid w:val="00ED63C9"/>
    <w:rsid w:val="00ED6963"/>
    <w:rsid w:val="00ED74EE"/>
    <w:rsid w:val="00ED7FB5"/>
    <w:rsid w:val="00EE032C"/>
    <w:rsid w:val="00EE07D2"/>
    <w:rsid w:val="00EE28F7"/>
    <w:rsid w:val="00EE31F9"/>
    <w:rsid w:val="00EE3444"/>
    <w:rsid w:val="00EE3987"/>
    <w:rsid w:val="00EE40C4"/>
    <w:rsid w:val="00EE5316"/>
    <w:rsid w:val="00EE57D6"/>
    <w:rsid w:val="00EE5C86"/>
    <w:rsid w:val="00EE6446"/>
    <w:rsid w:val="00EE6B98"/>
    <w:rsid w:val="00EE6EAB"/>
    <w:rsid w:val="00EF04A4"/>
    <w:rsid w:val="00EF0795"/>
    <w:rsid w:val="00EF0E2D"/>
    <w:rsid w:val="00EF2F61"/>
    <w:rsid w:val="00EF3B85"/>
    <w:rsid w:val="00EF3BFE"/>
    <w:rsid w:val="00EF4F3E"/>
    <w:rsid w:val="00EF5721"/>
    <w:rsid w:val="00EF579A"/>
    <w:rsid w:val="00EF6CD8"/>
    <w:rsid w:val="00F00CD2"/>
    <w:rsid w:val="00F01C22"/>
    <w:rsid w:val="00F023CC"/>
    <w:rsid w:val="00F02D91"/>
    <w:rsid w:val="00F04959"/>
    <w:rsid w:val="00F0496F"/>
    <w:rsid w:val="00F05BBF"/>
    <w:rsid w:val="00F05D77"/>
    <w:rsid w:val="00F06752"/>
    <w:rsid w:val="00F06D23"/>
    <w:rsid w:val="00F077CB"/>
    <w:rsid w:val="00F117B6"/>
    <w:rsid w:val="00F124B6"/>
    <w:rsid w:val="00F13B75"/>
    <w:rsid w:val="00F14D34"/>
    <w:rsid w:val="00F16BBB"/>
    <w:rsid w:val="00F16E29"/>
    <w:rsid w:val="00F16F32"/>
    <w:rsid w:val="00F17676"/>
    <w:rsid w:val="00F200B4"/>
    <w:rsid w:val="00F20EAE"/>
    <w:rsid w:val="00F210A8"/>
    <w:rsid w:val="00F21134"/>
    <w:rsid w:val="00F2114D"/>
    <w:rsid w:val="00F217F5"/>
    <w:rsid w:val="00F21DFA"/>
    <w:rsid w:val="00F220DE"/>
    <w:rsid w:val="00F233B4"/>
    <w:rsid w:val="00F235C3"/>
    <w:rsid w:val="00F23EE2"/>
    <w:rsid w:val="00F245F4"/>
    <w:rsid w:val="00F2484F"/>
    <w:rsid w:val="00F24B5D"/>
    <w:rsid w:val="00F24BAF"/>
    <w:rsid w:val="00F26A1D"/>
    <w:rsid w:val="00F30D8D"/>
    <w:rsid w:val="00F31437"/>
    <w:rsid w:val="00F31B74"/>
    <w:rsid w:val="00F33BDE"/>
    <w:rsid w:val="00F344AA"/>
    <w:rsid w:val="00F34F02"/>
    <w:rsid w:val="00F35BE5"/>
    <w:rsid w:val="00F365B6"/>
    <w:rsid w:val="00F369AA"/>
    <w:rsid w:val="00F37402"/>
    <w:rsid w:val="00F41791"/>
    <w:rsid w:val="00F41C6C"/>
    <w:rsid w:val="00F42619"/>
    <w:rsid w:val="00F429D1"/>
    <w:rsid w:val="00F42AB1"/>
    <w:rsid w:val="00F42FFF"/>
    <w:rsid w:val="00F438C4"/>
    <w:rsid w:val="00F439E8"/>
    <w:rsid w:val="00F43D9A"/>
    <w:rsid w:val="00F446D8"/>
    <w:rsid w:val="00F45522"/>
    <w:rsid w:val="00F463E9"/>
    <w:rsid w:val="00F50934"/>
    <w:rsid w:val="00F51752"/>
    <w:rsid w:val="00F5229E"/>
    <w:rsid w:val="00F535D8"/>
    <w:rsid w:val="00F5466F"/>
    <w:rsid w:val="00F54F16"/>
    <w:rsid w:val="00F56DF6"/>
    <w:rsid w:val="00F5741F"/>
    <w:rsid w:val="00F574C1"/>
    <w:rsid w:val="00F57F78"/>
    <w:rsid w:val="00F6243C"/>
    <w:rsid w:val="00F62CE0"/>
    <w:rsid w:val="00F6319C"/>
    <w:rsid w:val="00F63E8B"/>
    <w:rsid w:val="00F64754"/>
    <w:rsid w:val="00F66B81"/>
    <w:rsid w:val="00F67885"/>
    <w:rsid w:val="00F67B03"/>
    <w:rsid w:val="00F67F13"/>
    <w:rsid w:val="00F700B6"/>
    <w:rsid w:val="00F70272"/>
    <w:rsid w:val="00F70D36"/>
    <w:rsid w:val="00F7286B"/>
    <w:rsid w:val="00F729E0"/>
    <w:rsid w:val="00F7362E"/>
    <w:rsid w:val="00F736C8"/>
    <w:rsid w:val="00F74167"/>
    <w:rsid w:val="00F75E4C"/>
    <w:rsid w:val="00F76502"/>
    <w:rsid w:val="00F80A01"/>
    <w:rsid w:val="00F816E7"/>
    <w:rsid w:val="00F81951"/>
    <w:rsid w:val="00F819F3"/>
    <w:rsid w:val="00F81B3E"/>
    <w:rsid w:val="00F81ECB"/>
    <w:rsid w:val="00F820FE"/>
    <w:rsid w:val="00F823D6"/>
    <w:rsid w:val="00F83EBF"/>
    <w:rsid w:val="00F84BA7"/>
    <w:rsid w:val="00F860BF"/>
    <w:rsid w:val="00F86B9D"/>
    <w:rsid w:val="00F87933"/>
    <w:rsid w:val="00F90C18"/>
    <w:rsid w:val="00F91F55"/>
    <w:rsid w:val="00F923C1"/>
    <w:rsid w:val="00F94445"/>
    <w:rsid w:val="00F94E80"/>
    <w:rsid w:val="00F97375"/>
    <w:rsid w:val="00F97935"/>
    <w:rsid w:val="00FA13DE"/>
    <w:rsid w:val="00FA2353"/>
    <w:rsid w:val="00FA3111"/>
    <w:rsid w:val="00FA451E"/>
    <w:rsid w:val="00FA5530"/>
    <w:rsid w:val="00FA68AC"/>
    <w:rsid w:val="00FA6BE3"/>
    <w:rsid w:val="00FA7664"/>
    <w:rsid w:val="00FB039F"/>
    <w:rsid w:val="00FB0796"/>
    <w:rsid w:val="00FB0DC0"/>
    <w:rsid w:val="00FB1045"/>
    <w:rsid w:val="00FB130C"/>
    <w:rsid w:val="00FB17A6"/>
    <w:rsid w:val="00FB1DE0"/>
    <w:rsid w:val="00FB2253"/>
    <w:rsid w:val="00FB37C8"/>
    <w:rsid w:val="00FB39D9"/>
    <w:rsid w:val="00FB39F3"/>
    <w:rsid w:val="00FB3BD1"/>
    <w:rsid w:val="00FB4240"/>
    <w:rsid w:val="00FB432B"/>
    <w:rsid w:val="00FB4D21"/>
    <w:rsid w:val="00FB548C"/>
    <w:rsid w:val="00FB591D"/>
    <w:rsid w:val="00FB5CAF"/>
    <w:rsid w:val="00FB6EE8"/>
    <w:rsid w:val="00FC15ED"/>
    <w:rsid w:val="00FC16D4"/>
    <w:rsid w:val="00FC1903"/>
    <w:rsid w:val="00FC41C9"/>
    <w:rsid w:val="00FC54FB"/>
    <w:rsid w:val="00FC5F2B"/>
    <w:rsid w:val="00FC6129"/>
    <w:rsid w:val="00FC6810"/>
    <w:rsid w:val="00FC69DC"/>
    <w:rsid w:val="00FC7527"/>
    <w:rsid w:val="00FD3842"/>
    <w:rsid w:val="00FD3B17"/>
    <w:rsid w:val="00FD40C5"/>
    <w:rsid w:val="00FD547A"/>
    <w:rsid w:val="00FD5A1E"/>
    <w:rsid w:val="00FD5D1C"/>
    <w:rsid w:val="00FD6598"/>
    <w:rsid w:val="00FD71A6"/>
    <w:rsid w:val="00FE0987"/>
    <w:rsid w:val="00FE2545"/>
    <w:rsid w:val="00FE2766"/>
    <w:rsid w:val="00FE2E75"/>
    <w:rsid w:val="00FE41B7"/>
    <w:rsid w:val="00FE45F9"/>
    <w:rsid w:val="00FE5E19"/>
    <w:rsid w:val="00FE673E"/>
    <w:rsid w:val="00FE7600"/>
    <w:rsid w:val="00FF0705"/>
    <w:rsid w:val="00FF0871"/>
    <w:rsid w:val="00FF1AB8"/>
    <w:rsid w:val="00FF2113"/>
    <w:rsid w:val="00FF2337"/>
    <w:rsid w:val="00FF33CE"/>
    <w:rsid w:val="00FF383C"/>
    <w:rsid w:val="00FF3D8B"/>
    <w:rsid w:val="00FF4479"/>
    <w:rsid w:val="00FF4DFB"/>
    <w:rsid w:val="00FF555B"/>
    <w:rsid w:val="00FF68DA"/>
    <w:rsid w:val="00FF6C60"/>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3A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semiHidden/>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4C7E5A"/>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3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6D3"/>
    <w:pPr>
      <w:spacing w:after="120"/>
      <w:contextualSpacing/>
    </w:pPr>
    <w:rPr>
      <w:rFonts w:ascii="Calibri" w:eastAsia="Calibri" w:hAnsi="Calibri"/>
      <w:sz w:val="24"/>
      <w:szCs w:val="22"/>
    </w:rPr>
  </w:style>
  <w:style w:type="character" w:customStyle="1" w:styleId="NoSpacingChar">
    <w:name w:val="No Spacing Char"/>
    <w:link w:val="NoSpacing"/>
    <w:uiPriority w:val="1"/>
    <w:locked/>
    <w:rsid w:val="005B36D3"/>
    <w:rPr>
      <w:rFonts w:ascii="Calibri" w:eastAsia="Calibri" w:hAnsi="Calibri"/>
      <w:sz w:val="24"/>
      <w:szCs w:val="22"/>
    </w:rPr>
  </w:style>
  <w:style w:type="character" w:customStyle="1" w:styleId="search-custom1">
    <w:name w:val="search-custom1"/>
    <w:basedOn w:val="DefaultParagraphFont"/>
    <w:rsid w:val="00CD5997"/>
    <w:rPr>
      <w:color w:val="363636"/>
    </w:rPr>
  </w:style>
  <w:style w:type="paragraph" w:customStyle="1" w:styleId="EndNoteBibliographyTitle">
    <w:name w:val="EndNote Bibliography Title"/>
    <w:basedOn w:val="Normal"/>
    <w:link w:val="EndNoteBibliographyTitleChar"/>
    <w:rsid w:val="00120940"/>
    <w:pPr>
      <w:jc w:val="center"/>
    </w:pPr>
    <w:rPr>
      <w:noProof/>
    </w:rPr>
  </w:style>
  <w:style w:type="character" w:customStyle="1" w:styleId="EndNoteBibliographyTitleChar">
    <w:name w:val="EndNote Bibliography Title Char"/>
    <w:basedOn w:val="DefaultParagraphFont"/>
    <w:link w:val="EndNoteBibliographyTitle"/>
    <w:rsid w:val="00120940"/>
    <w:rPr>
      <w:noProof/>
      <w:sz w:val="24"/>
      <w:szCs w:val="24"/>
    </w:rPr>
  </w:style>
  <w:style w:type="paragraph" w:customStyle="1" w:styleId="EndNoteBibliography">
    <w:name w:val="EndNote Bibliography"/>
    <w:basedOn w:val="Normal"/>
    <w:link w:val="EndNoteBibliographyChar"/>
    <w:rsid w:val="00120940"/>
    <w:rPr>
      <w:noProof/>
    </w:rPr>
  </w:style>
  <w:style w:type="character" w:customStyle="1" w:styleId="EndNoteBibliographyChar">
    <w:name w:val="EndNote Bibliography Char"/>
    <w:basedOn w:val="DefaultParagraphFont"/>
    <w:link w:val="EndNoteBibliography"/>
    <w:rsid w:val="00120940"/>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semiHidden/>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4C7E5A"/>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3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6D3"/>
    <w:pPr>
      <w:spacing w:after="120"/>
      <w:contextualSpacing/>
    </w:pPr>
    <w:rPr>
      <w:rFonts w:ascii="Calibri" w:eastAsia="Calibri" w:hAnsi="Calibri"/>
      <w:sz w:val="24"/>
      <w:szCs w:val="22"/>
    </w:rPr>
  </w:style>
  <w:style w:type="character" w:customStyle="1" w:styleId="NoSpacingChar">
    <w:name w:val="No Spacing Char"/>
    <w:link w:val="NoSpacing"/>
    <w:uiPriority w:val="1"/>
    <w:locked/>
    <w:rsid w:val="005B36D3"/>
    <w:rPr>
      <w:rFonts w:ascii="Calibri" w:eastAsia="Calibri" w:hAnsi="Calibri"/>
      <w:sz w:val="24"/>
      <w:szCs w:val="22"/>
    </w:rPr>
  </w:style>
  <w:style w:type="character" w:customStyle="1" w:styleId="search-custom1">
    <w:name w:val="search-custom1"/>
    <w:basedOn w:val="DefaultParagraphFont"/>
    <w:rsid w:val="00CD5997"/>
    <w:rPr>
      <w:color w:val="363636"/>
    </w:rPr>
  </w:style>
  <w:style w:type="paragraph" w:customStyle="1" w:styleId="EndNoteBibliographyTitle">
    <w:name w:val="EndNote Bibliography Title"/>
    <w:basedOn w:val="Normal"/>
    <w:link w:val="EndNoteBibliographyTitleChar"/>
    <w:rsid w:val="00120940"/>
    <w:pPr>
      <w:jc w:val="center"/>
    </w:pPr>
    <w:rPr>
      <w:noProof/>
    </w:rPr>
  </w:style>
  <w:style w:type="character" w:customStyle="1" w:styleId="EndNoteBibliographyTitleChar">
    <w:name w:val="EndNote Bibliography Title Char"/>
    <w:basedOn w:val="DefaultParagraphFont"/>
    <w:link w:val="EndNoteBibliographyTitle"/>
    <w:rsid w:val="00120940"/>
    <w:rPr>
      <w:noProof/>
      <w:sz w:val="24"/>
      <w:szCs w:val="24"/>
    </w:rPr>
  </w:style>
  <w:style w:type="paragraph" w:customStyle="1" w:styleId="EndNoteBibliography">
    <w:name w:val="EndNote Bibliography"/>
    <w:basedOn w:val="Normal"/>
    <w:link w:val="EndNoteBibliographyChar"/>
    <w:rsid w:val="00120940"/>
    <w:rPr>
      <w:noProof/>
    </w:rPr>
  </w:style>
  <w:style w:type="character" w:customStyle="1" w:styleId="EndNoteBibliographyChar">
    <w:name w:val="EndNote Bibliography Char"/>
    <w:basedOn w:val="DefaultParagraphFont"/>
    <w:link w:val="EndNoteBibliography"/>
    <w:rsid w:val="0012094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220">
      <w:bodyDiv w:val="1"/>
      <w:marLeft w:val="0"/>
      <w:marRight w:val="0"/>
      <w:marTop w:val="0"/>
      <w:marBottom w:val="0"/>
      <w:divBdr>
        <w:top w:val="none" w:sz="0" w:space="0" w:color="auto"/>
        <w:left w:val="none" w:sz="0" w:space="0" w:color="auto"/>
        <w:bottom w:val="none" w:sz="0" w:space="0" w:color="auto"/>
        <w:right w:val="none" w:sz="0" w:space="0" w:color="auto"/>
      </w:divBdr>
    </w:div>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27496804">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7867">
      <w:bodyDiv w:val="1"/>
      <w:marLeft w:val="0"/>
      <w:marRight w:val="0"/>
      <w:marTop w:val="0"/>
      <w:marBottom w:val="0"/>
      <w:divBdr>
        <w:top w:val="none" w:sz="0" w:space="0" w:color="auto"/>
        <w:left w:val="none" w:sz="0" w:space="0" w:color="auto"/>
        <w:bottom w:val="none" w:sz="0" w:space="0" w:color="auto"/>
        <w:right w:val="none" w:sz="0" w:space="0" w:color="auto"/>
      </w:divBdr>
    </w:div>
    <w:div w:id="373847592">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138374739">
      <w:bodyDiv w:val="1"/>
      <w:marLeft w:val="0"/>
      <w:marRight w:val="0"/>
      <w:marTop w:val="0"/>
      <w:marBottom w:val="0"/>
      <w:divBdr>
        <w:top w:val="none" w:sz="0" w:space="0" w:color="auto"/>
        <w:left w:val="none" w:sz="0" w:space="0" w:color="auto"/>
        <w:bottom w:val="none" w:sz="0" w:space="0" w:color="auto"/>
        <w:right w:val="none" w:sz="0" w:space="0" w:color="auto"/>
      </w:divBdr>
    </w:div>
    <w:div w:id="1156535905">
      <w:bodyDiv w:val="1"/>
      <w:marLeft w:val="0"/>
      <w:marRight w:val="0"/>
      <w:marTop w:val="0"/>
      <w:marBottom w:val="0"/>
      <w:divBdr>
        <w:top w:val="none" w:sz="0" w:space="0" w:color="auto"/>
        <w:left w:val="none" w:sz="0" w:space="0" w:color="auto"/>
        <w:bottom w:val="none" w:sz="0" w:space="0" w:color="auto"/>
        <w:right w:val="none" w:sz="0" w:space="0" w:color="auto"/>
      </w:divBdr>
    </w:div>
    <w:div w:id="1233849025">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508902040">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928b47df6ef61f807e705ed49e65dea3">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30269bbdb34f07096a489d5988bbabaf"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2.xml><?xml version="1.0" encoding="utf-8"?>
<ds:datastoreItem xmlns:ds="http://schemas.openxmlformats.org/officeDocument/2006/customXml" ds:itemID="{C38579D9-C4D2-45FC-AE2D-715980804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58575-4CA3-4050-A332-E24BA7C85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D4CC1-7E3B-4848-B3A6-4BC14B5F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35626</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Wisdom, April (CDC/ONDIEH/NCIPC)</dc:creator>
  <cp:keywords/>
  <dc:description/>
  <cp:lastModifiedBy>SYSTEM</cp:lastModifiedBy>
  <cp:revision>2</cp:revision>
  <cp:lastPrinted>2017-08-23T14:28:00Z</cp:lastPrinted>
  <dcterms:created xsi:type="dcterms:W3CDTF">2019-10-16T22:20:00Z</dcterms:created>
  <dcterms:modified xsi:type="dcterms:W3CDTF">2019-10-16T22:20:00Z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07efb262-c3b8-43ed-b47c-809489fe8a09</vt:lpwstr>
  </property>
</Properties>
</file>