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A1A2" w14:textId="47430975" w:rsidR="00BA1A0C" w:rsidRPr="006049D1" w:rsidRDefault="00B4518F" w:rsidP="007103C5">
      <w:pPr>
        <w:tabs>
          <w:tab w:val="center" w:pos="4680"/>
        </w:tabs>
        <w:jc w:val="center"/>
        <w:rPr>
          <w:rFonts w:ascii="Arial" w:hAnsi="Arial" w:cs="Arial"/>
          <w:b/>
          <w:bCs/>
          <w:sz w:val="24"/>
        </w:rPr>
      </w:pPr>
      <w:bookmarkStart w:id="0" w:name="_GoBack"/>
      <w:bookmarkEnd w:id="0"/>
      <w:r>
        <w:rPr>
          <w:rFonts w:ascii="Arial" w:hAnsi="Arial" w:cs="Arial"/>
          <w:b/>
          <w:bCs/>
          <w:sz w:val="24"/>
        </w:rPr>
        <w:t xml:space="preserve"> </w:t>
      </w:r>
      <w:r w:rsidR="009B3794" w:rsidRPr="006049D1">
        <w:rPr>
          <w:rFonts w:ascii="Arial" w:hAnsi="Arial" w:cs="Arial"/>
          <w:b/>
          <w:bCs/>
          <w:sz w:val="24"/>
        </w:rPr>
        <w:t xml:space="preserve">Supporting Statement </w:t>
      </w:r>
      <w:r w:rsidR="00BA1A0C" w:rsidRPr="006049D1">
        <w:rPr>
          <w:rFonts w:ascii="Arial" w:hAnsi="Arial" w:cs="Arial"/>
          <w:b/>
          <w:bCs/>
          <w:sz w:val="24"/>
        </w:rPr>
        <w:t>A</w:t>
      </w:r>
    </w:p>
    <w:p w14:paraId="0DA9B346" w14:textId="77777777" w:rsidR="00BA1A0C" w:rsidRPr="006049D1" w:rsidRDefault="00BA1A0C" w:rsidP="007103C5">
      <w:pPr>
        <w:tabs>
          <w:tab w:val="center" w:pos="4680"/>
        </w:tabs>
        <w:jc w:val="center"/>
        <w:rPr>
          <w:rFonts w:ascii="Arial" w:hAnsi="Arial" w:cs="Arial"/>
          <w:b/>
          <w:bCs/>
          <w:sz w:val="24"/>
        </w:rPr>
      </w:pPr>
    </w:p>
    <w:p w14:paraId="74B32A5B" w14:textId="3D079D8D" w:rsidR="00BA1A0C" w:rsidRPr="006049D1" w:rsidRDefault="00CF009C" w:rsidP="007103C5">
      <w:pPr>
        <w:tabs>
          <w:tab w:val="center" w:pos="4680"/>
        </w:tabs>
        <w:jc w:val="center"/>
        <w:rPr>
          <w:rFonts w:ascii="Arial" w:hAnsi="Arial" w:cs="Arial"/>
          <w:b/>
          <w:bCs/>
          <w:sz w:val="24"/>
        </w:rPr>
      </w:pPr>
      <w:r w:rsidRPr="006049D1">
        <w:rPr>
          <w:rFonts w:ascii="Arial" w:hAnsi="Arial" w:cs="Arial"/>
          <w:b/>
          <w:bCs/>
          <w:sz w:val="24"/>
        </w:rPr>
        <w:t>Scientific Registry of Transplant Recipients Living Organ Donation Registry Data Collection Surveys</w:t>
      </w:r>
    </w:p>
    <w:p w14:paraId="1CC9D8EC" w14:textId="77777777" w:rsidR="00CF009C" w:rsidRPr="006049D1" w:rsidRDefault="00CF009C" w:rsidP="007103C5">
      <w:pPr>
        <w:tabs>
          <w:tab w:val="center" w:pos="4680"/>
        </w:tabs>
        <w:jc w:val="center"/>
        <w:rPr>
          <w:rFonts w:ascii="Arial" w:hAnsi="Arial" w:cs="Arial"/>
          <w:b/>
          <w:bCs/>
          <w:sz w:val="24"/>
        </w:rPr>
      </w:pPr>
    </w:p>
    <w:p w14:paraId="186CD275" w14:textId="323743E4" w:rsidR="00BA1A0C" w:rsidRPr="006049D1" w:rsidRDefault="00BA1A0C" w:rsidP="007103C5">
      <w:pPr>
        <w:tabs>
          <w:tab w:val="center" w:pos="4680"/>
        </w:tabs>
        <w:jc w:val="center"/>
        <w:rPr>
          <w:rFonts w:ascii="Arial" w:hAnsi="Arial" w:cs="Arial"/>
          <w:b/>
          <w:bCs/>
          <w:sz w:val="24"/>
        </w:rPr>
      </w:pPr>
      <w:r w:rsidRPr="006049D1">
        <w:rPr>
          <w:rFonts w:ascii="Arial" w:hAnsi="Arial" w:cs="Arial"/>
          <w:b/>
          <w:bCs/>
          <w:sz w:val="24"/>
        </w:rPr>
        <w:t>OMB Control No. 09</w:t>
      </w:r>
      <w:r w:rsidR="00215799">
        <w:rPr>
          <w:rFonts w:ascii="Arial" w:hAnsi="Arial" w:cs="Arial"/>
          <w:b/>
          <w:bCs/>
          <w:sz w:val="24"/>
        </w:rPr>
        <w:t>0</w:t>
      </w:r>
      <w:r w:rsidR="000F27AF">
        <w:rPr>
          <w:rFonts w:ascii="Arial" w:hAnsi="Arial" w:cs="Arial"/>
          <w:b/>
          <w:bCs/>
          <w:sz w:val="24"/>
        </w:rPr>
        <w:t>6</w:t>
      </w:r>
      <w:r w:rsidRPr="006049D1">
        <w:rPr>
          <w:rFonts w:ascii="Arial" w:hAnsi="Arial" w:cs="Arial"/>
          <w:b/>
          <w:bCs/>
          <w:sz w:val="24"/>
        </w:rPr>
        <w:t>-XXXX</w:t>
      </w:r>
    </w:p>
    <w:p w14:paraId="258A32ED" w14:textId="77777777" w:rsidR="009B3794" w:rsidRPr="006049D1" w:rsidRDefault="009B3794" w:rsidP="007103C5">
      <w:pPr>
        <w:tabs>
          <w:tab w:val="center" w:pos="4680"/>
        </w:tabs>
        <w:jc w:val="center"/>
        <w:rPr>
          <w:rFonts w:ascii="Arial" w:hAnsi="Arial" w:cs="Arial"/>
          <w:b/>
          <w:bCs/>
          <w:sz w:val="24"/>
        </w:rPr>
      </w:pPr>
    </w:p>
    <w:p w14:paraId="41D06B04" w14:textId="05922910" w:rsidR="009B3794" w:rsidRPr="006049D1" w:rsidRDefault="00DE3A45" w:rsidP="007103C5">
      <w:pPr>
        <w:rPr>
          <w:rFonts w:ascii="Arial" w:hAnsi="Arial" w:cs="Arial"/>
          <w:b/>
          <w:sz w:val="24"/>
        </w:rPr>
      </w:pPr>
      <w:r w:rsidRPr="006049D1">
        <w:rPr>
          <w:rFonts w:ascii="Arial" w:hAnsi="Arial" w:cs="Arial"/>
          <w:b/>
          <w:sz w:val="24"/>
        </w:rPr>
        <w:t>Terms of Clearance</w:t>
      </w:r>
      <w:r w:rsidR="00BA1A0C" w:rsidRPr="006049D1">
        <w:rPr>
          <w:rFonts w:ascii="Arial" w:hAnsi="Arial" w:cs="Arial"/>
          <w:b/>
          <w:sz w:val="24"/>
        </w:rPr>
        <w:t>:</w:t>
      </w:r>
      <w:r w:rsidR="00BA1A0C" w:rsidRPr="006049D1">
        <w:rPr>
          <w:rFonts w:ascii="Arial" w:hAnsi="Arial" w:cs="Arial"/>
          <w:sz w:val="24"/>
        </w:rPr>
        <w:t xml:space="preserve">  </w:t>
      </w:r>
      <w:r w:rsidR="00CF009C" w:rsidRPr="006049D1">
        <w:rPr>
          <w:rFonts w:ascii="Arial" w:hAnsi="Arial" w:cs="Arial"/>
          <w:sz w:val="24"/>
        </w:rPr>
        <w:t>None</w:t>
      </w:r>
    </w:p>
    <w:p w14:paraId="6A5283BF" w14:textId="77777777" w:rsidR="007103C5" w:rsidRDefault="007103C5" w:rsidP="007103C5">
      <w:pPr>
        <w:rPr>
          <w:rFonts w:ascii="Arial" w:hAnsi="Arial" w:cs="Arial"/>
          <w:b/>
          <w:bCs/>
          <w:sz w:val="24"/>
        </w:rPr>
      </w:pPr>
    </w:p>
    <w:p w14:paraId="73A645C7" w14:textId="38BCD010" w:rsidR="009B3794" w:rsidRDefault="009B3794" w:rsidP="007103C5">
      <w:pPr>
        <w:rPr>
          <w:rFonts w:ascii="Arial" w:hAnsi="Arial" w:cs="Arial"/>
          <w:b/>
          <w:bCs/>
          <w:sz w:val="24"/>
        </w:rPr>
      </w:pPr>
      <w:r w:rsidRPr="006049D1">
        <w:rPr>
          <w:rFonts w:ascii="Arial" w:hAnsi="Arial" w:cs="Arial"/>
          <w:b/>
          <w:bCs/>
          <w:sz w:val="24"/>
        </w:rPr>
        <w:t>A.</w:t>
      </w:r>
      <w:r w:rsidRPr="006049D1">
        <w:rPr>
          <w:rFonts w:ascii="Arial" w:hAnsi="Arial" w:cs="Arial"/>
          <w:b/>
          <w:bCs/>
          <w:sz w:val="24"/>
        </w:rPr>
        <w:tab/>
        <w:t>Justification</w:t>
      </w:r>
    </w:p>
    <w:p w14:paraId="10C05A35" w14:textId="77777777" w:rsidR="007103C5" w:rsidRPr="006049D1" w:rsidRDefault="007103C5" w:rsidP="007103C5">
      <w:pPr>
        <w:rPr>
          <w:rFonts w:ascii="Arial" w:hAnsi="Arial" w:cs="Arial"/>
          <w:b/>
          <w:bCs/>
          <w:sz w:val="24"/>
        </w:rPr>
      </w:pPr>
    </w:p>
    <w:p w14:paraId="4CCFCE84" w14:textId="77777777" w:rsidR="009B3794" w:rsidRPr="006049D1"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Circumstances Making the Collection of Information Necessary</w:t>
      </w:r>
    </w:p>
    <w:p w14:paraId="6312FD6B" w14:textId="77777777" w:rsidR="00687B8D" w:rsidRDefault="00687B8D" w:rsidP="007103C5">
      <w:pPr>
        <w:pStyle w:val="Default"/>
        <w:ind w:left="1080"/>
      </w:pPr>
    </w:p>
    <w:p w14:paraId="6A90D7EC" w14:textId="0B0B75D2" w:rsidR="00687B8D" w:rsidRPr="001629FB" w:rsidRDefault="00687B8D" w:rsidP="007103C5">
      <w:pPr>
        <w:pStyle w:val="Default"/>
        <w:rPr>
          <w:rFonts w:ascii="Arial" w:hAnsi="Arial" w:cs="Arial"/>
        </w:rPr>
      </w:pPr>
      <w:r w:rsidRPr="001629FB">
        <w:rPr>
          <w:rFonts w:ascii="Arial" w:hAnsi="Arial" w:cs="Arial"/>
        </w:rPr>
        <w:t>The Department of Health and Human Services</w:t>
      </w:r>
      <w:r w:rsidR="000F27AF">
        <w:rPr>
          <w:rFonts w:ascii="Arial" w:hAnsi="Arial" w:cs="Arial"/>
        </w:rPr>
        <w:t xml:space="preserve"> (HHS)</w:t>
      </w:r>
      <w:r w:rsidRPr="001629FB">
        <w:rPr>
          <w:rFonts w:ascii="Arial" w:hAnsi="Arial" w:cs="Arial"/>
        </w:rPr>
        <w:t xml:space="preserve"> is required to submit to Congress an annual report on the long-term health effects of living donation (42 U.S.C. §273b)</w:t>
      </w:r>
      <w:r w:rsidR="00B4518F">
        <w:rPr>
          <w:rFonts w:ascii="Arial" w:hAnsi="Arial" w:cs="Arial"/>
        </w:rPr>
        <w:t xml:space="preserve">.  </w:t>
      </w:r>
      <w:r w:rsidRPr="001629FB">
        <w:rPr>
          <w:rFonts w:ascii="Arial" w:hAnsi="Arial" w:cs="Arial"/>
        </w:rPr>
        <w:t>However, there is relatively little data available to inform this report and improve data-driven decision</w:t>
      </w:r>
      <w:r w:rsidR="006B32D1">
        <w:rPr>
          <w:rFonts w:ascii="Arial" w:hAnsi="Arial" w:cs="Arial"/>
        </w:rPr>
        <w:t>-</w:t>
      </w:r>
      <w:r w:rsidRPr="001629FB">
        <w:rPr>
          <w:rFonts w:ascii="Arial" w:hAnsi="Arial" w:cs="Arial"/>
        </w:rPr>
        <w:t>making</w:t>
      </w:r>
      <w:r w:rsidR="00B4518F">
        <w:rPr>
          <w:rFonts w:ascii="Arial" w:hAnsi="Arial" w:cs="Arial"/>
        </w:rPr>
        <w:t xml:space="preserve">.  </w:t>
      </w:r>
      <w:r w:rsidRPr="001629FB">
        <w:rPr>
          <w:rFonts w:ascii="Arial" w:hAnsi="Arial" w:cs="Arial"/>
        </w:rPr>
        <w:t xml:space="preserve">Therefore, the Health Resources and Services Administration (HRSA), based on </w:t>
      </w:r>
      <w:r w:rsidR="000F27AF">
        <w:rPr>
          <w:rFonts w:ascii="Arial" w:hAnsi="Arial" w:cs="Arial"/>
        </w:rPr>
        <w:t>HHS</w:t>
      </w:r>
      <w:r w:rsidRPr="001629FB">
        <w:rPr>
          <w:rFonts w:ascii="Arial" w:hAnsi="Arial" w:cs="Arial"/>
        </w:rPr>
        <w:t xml:space="preserve">’ authority to establish and maintain mechanisms to evaluate the long-term effects associated with living donations (42 U.S.C. §273a), modified the </w:t>
      </w:r>
      <w:r w:rsidR="000F27AF">
        <w:rPr>
          <w:rFonts w:ascii="Arial" w:hAnsi="Arial" w:cs="Arial"/>
        </w:rPr>
        <w:t>Scientific Registry of Transplant Recipients (</w:t>
      </w:r>
      <w:r w:rsidRPr="001629FB">
        <w:rPr>
          <w:rFonts w:ascii="Arial" w:hAnsi="Arial" w:cs="Arial"/>
        </w:rPr>
        <w:t>SRTR</w:t>
      </w:r>
      <w:r w:rsidR="000F27AF">
        <w:rPr>
          <w:rFonts w:ascii="Arial" w:hAnsi="Arial" w:cs="Arial"/>
        </w:rPr>
        <w:t>)</w:t>
      </w:r>
      <w:r w:rsidRPr="001629FB">
        <w:rPr>
          <w:rFonts w:ascii="Arial" w:hAnsi="Arial" w:cs="Arial"/>
        </w:rPr>
        <w:t xml:space="preserve"> contract to establish a pilot living donor registry</w:t>
      </w:r>
      <w:r w:rsidR="00F54D6B">
        <w:rPr>
          <w:rFonts w:ascii="Arial" w:hAnsi="Arial" w:cs="Arial"/>
        </w:rPr>
        <w:t xml:space="preserve"> to follow health outcomes of donors who volunteer to participate</w:t>
      </w:r>
      <w:r w:rsidR="00B4518F">
        <w:rPr>
          <w:rFonts w:ascii="Arial" w:hAnsi="Arial" w:cs="Arial"/>
        </w:rPr>
        <w:t xml:space="preserve">.  </w:t>
      </w:r>
    </w:p>
    <w:p w14:paraId="0CBC2B1B" w14:textId="77777777" w:rsidR="007103C5" w:rsidRDefault="007103C5" w:rsidP="007103C5">
      <w:pPr>
        <w:rPr>
          <w:rFonts w:ascii="Arial" w:hAnsi="Arial" w:cs="Arial"/>
          <w:sz w:val="24"/>
        </w:rPr>
      </w:pPr>
    </w:p>
    <w:p w14:paraId="1E08A71F" w14:textId="3CCFD8C7" w:rsidR="00687B8D" w:rsidRPr="001629FB" w:rsidRDefault="00687B8D" w:rsidP="007103C5">
      <w:pPr>
        <w:rPr>
          <w:rFonts w:ascii="Arial" w:hAnsi="Arial" w:cs="Arial"/>
          <w:color w:val="000000"/>
          <w:sz w:val="24"/>
        </w:rPr>
      </w:pPr>
      <w:r w:rsidRPr="001629FB">
        <w:rPr>
          <w:rFonts w:ascii="Arial" w:hAnsi="Arial" w:cs="Arial"/>
          <w:sz w:val="24"/>
        </w:rPr>
        <w:t xml:space="preserve">Current Organ Procurement and Transplantation Network (OPTN) policy </w:t>
      </w:r>
      <w:r w:rsidRPr="00E31FD9">
        <w:rPr>
          <w:rFonts w:ascii="Arial" w:hAnsi="Arial" w:cs="Arial"/>
          <w:noProof/>
          <w:sz w:val="24"/>
        </w:rPr>
        <w:t>requires</w:t>
      </w:r>
      <w:r w:rsidRPr="001629FB">
        <w:rPr>
          <w:rFonts w:ascii="Arial" w:hAnsi="Arial" w:cs="Arial"/>
          <w:sz w:val="24"/>
        </w:rPr>
        <w:t xml:space="preserve"> </w:t>
      </w:r>
      <w:r w:rsidR="00F54D6B">
        <w:rPr>
          <w:rFonts w:ascii="Arial" w:hAnsi="Arial" w:cs="Arial"/>
          <w:sz w:val="24"/>
        </w:rPr>
        <w:t xml:space="preserve">organ </w:t>
      </w:r>
      <w:r w:rsidRPr="001629FB">
        <w:rPr>
          <w:rFonts w:ascii="Arial" w:hAnsi="Arial" w:cs="Arial"/>
          <w:sz w:val="24"/>
        </w:rPr>
        <w:t xml:space="preserve">transplant programs to report living donor outcome information at three points in time: 6 months, </w:t>
      </w:r>
      <w:r w:rsidRPr="00E31FD9">
        <w:rPr>
          <w:rFonts w:ascii="Arial" w:hAnsi="Arial" w:cs="Arial"/>
          <w:noProof/>
          <w:sz w:val="24"/>
        </w:rPr>
        <w:t>1</w:t>
      </w:r>
      <w:r w:rsidRPr="001629FB">
        <w:rPr>
          <w:rFonts w:ascii="Arial" w:hAnsi="Arial" w:cs="Arial"/>
          <w:sz w:val="24"/>
        </w:rPr>
        <w:t xml:space="preserve"> year, and </w:t>
      </w:r>
      <w:r w:rsidRPr="00E31FD9">
        <w:rPr>
          <w:rFonts w:ascii="Arial" w:hAnsi="Arial" w:cs="Arial"/>
          <w:noProof/>
          <w:sz w:val="24"/>
        </w:rPr>
        <w:t>2</w:t>
      </w:r>
      <w:r w:rsidRPr="001629FB">
        <w:rPr>
          <w:rFonts w:ascii="Arial" w:hAnsi="Arial" w:cs="Arial"/>
          <w:sz w:val="24"/>
        </w:rPr>
        <w:t xml:space="preserve"> years</w:t>
      </w:r>
      <w:r w:rsidR="00B4518F">
        <w:rPr>
          <w:rFonts w:ascii="Arial" w:hAnsi="Arial" w:cs="Arial"/>
          <w:sz w:val="24"/>
        </w:rPr>
        <w:t xml:space="preserve">.  </w:t>
      </w:r>
      <w:r w:rsidRPr="001629FB">
        <w:rPr>
          <w:rFonts w:ascii="Arial" w:hAnsi="Arial" w:cs="Arial"/>
          <w:sz w:val="24"/>
        </w:rPr>
        <w:t>The information gained from these reports is insufficient to track the long-term health of living donors</w:t>
      </w:r>
      <w:r w:rsidR="00B4518F">
        <w:rPr>
          <w:rFonts w:ascii="Arial" w:hAnsi="Arial" w:cs="Arial"/>
          <w:sz w:val="24"/>
        </w:rPr>
        <w:t xml:space="preserve">.  </w:t>
      </w:r>
      <w:r w:rsidRPr="001629FB">
        <w:rPr>
          <w:rFonts w:ascii="Arial" w:hAnsi="Arial" w:cs="Arial"/>
          <w:sz w:val="24"/>
        </w:rPr>
        <w:t xml:space="preserve">For over a decade, the </w:t>
      </w:r>
      <w:r w:rsidR="000F27AF">
        <w:rPr>
          <w:rFonts w:ascii="Arial" w:hAnsi="Arial" w:cs="Arial"/>
          <w:sz w:val="24"/>
        </w:rPr>
        <w:t xml:space="preserve">HHS </w:t>
      </w:r>
      <w:r w:rsidRPr="001629FB">
        <w:rPr>
          <w:rFonts w:ascii="Arial" w:hAnsi="Arial" w:cs="Arial"/>
          <w:sz w:val="24"/>
        </w:rPr>
        <w:t xml:space="preserve">Secretary’s Advisory Committee on Organ Transplantation (ACOT) and </w:t>
      </w:r>
      <w:r w:rsidR="00F54D6B">
        <w:rPr>
          <w:rFonts w:ascii="Arial" w:hAnsi="Arial" w:cs="Arial"/>
          <w:sz w:val="24"/>
        </w:rPr>
        <w:t xml:space="preserve">other </w:t>
      </w:r>
      <w:r w:rsidRPr="001629FB">
        <w:rPr>
          <w:rFonts w:ascii="Arial" w:hAnsi="Arial" w:cs="Arial"/>
          <w:sz w:val="24"/>
        </w:rPr>
        <w:t>relevant stakeholders have recommended that HRSA create a living donor registry</w:t>
      </w:r>
      <w:r w:rsidR="00B4518F">
        <w:rPr>
          <w:rFonts w:ascii="Arial" w:hAnsi="Arial" w:cs="Arial"/>
          <w:sz w:val="24"/>
        </w:rPr>
        <w:t xml:space="preserve">.  </w:t>
      </w:r>
      <w:r w:rsidRPr="001629FB">
        <w:rPr>
          <w:rFonts w:ascii="Arial" w:hAnsi="Arial" w:cs="Arial"/>
          <w:sz w:val="24"/>
        </w:rPr>
        <w:t>Specifically, in 2002, ACOT unanimously recommended that “serious consideration” be given to the establishment of a living donor registry to provide potential donors with complete information about living organ donation</w:t>
      </w:r>
      <w:r w:rsidR="00B4518F">
        <w:rPr>
          <w:rFonts w:ascii="Arial" w:hAnsi="Arial" w:cs="Arial"/>
          <w:sz w:val="24"/>
        </w:rPr>
        <w:t xml:space="preserve">.  </w:t>
      </w:r>
      <w:r w:rsidRPr="001629FB">
        <w:rPr>
          <w:rFonts w:ascii="Arial" w:hAnsi="Arial" w:cs="Arial"/>
          <w:sz w:val="24"/>
        </w:rPr>
        <w:t>In 2010, a meeting of stakeholders, including living donors, family members, transplant surgeons, and medical ethicists, concluded that a need for a living donor registry exists and provided expert opinion on the data to collect in such a registry</w:t>
      </w:r>
      <w:r w:rsidR="00B4518F">
        <w:rPr>
          <w:rFonts w:ascii="Arial" w:hAnsi="Arial" w:cs="Arial"/>
          <w:sz w:val="24"/>
        </w:rPr>
        <w:t xml:space="preserve">.  </w:t>
      </w:r>
      <w:r w:rsidRPr="001629FB">
        <w:rPr>
          <w:rFonts w:ascii="Arial" w:hAnsi="Arial" w:cs="Arial"/>
          <w:sz w:val="24"/>
        </w:rPr>
        <w:t>This group of stakeholder experts also recommended that HRSA establish and support such a registry to improve living donation by increasing the information available to researchers and potential living donors about the long-term health effects of living organ donation.</w:t>
      </w:r>
    </w:p>
    <w:p w14:paraId="48F6847B" w14:textId="77777777" w:rsidR="00687B8D" w:rsidRDefault="00687B8D" w:rsidP="007103C5">
      <w:pPr>
        <w:rPr>
          <w:rFonts w:ascii="Arial" w:hAnsi="Arial" w:cs="Arial"/>
          <w:color w:val="000000"/>
          <w:sz w:val="24"/>
        </w:rPr>
      </w:pPr>
    </w:p>
    <w:p w14:paraId="52F399AE" w14:textId="390EAC94" w:rsidR="009B3794" w:rsidRPr="00365011"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Purpose and Use of Information Collection</w:t>
      </w:r>
    </w:p>
    <w:p w14:paraId="62B61A02" w14:textId="77777777" w:rsidR="007103C5" w:rsidRDefault="007103C5" w:rsidP="007103C5">
      <w:pPr>
        <w:rPr>
          <w:rFonts w:ascii="Arial" w:hAnsi="Arial" w:cs="Arial"/>
          <w:sz w:val="24"/>
        </w:rPr>
      </w:pPr>
    </w:p>
    <w:p w14:paraId="504F4E80" w14:textId="75E08266" w:rsidR="0069600B" w:rsidRDefault="00365011" w:rsidP="007103C5">
      <w:pPr>
        <w:rPr>
          <w:rFonts w:ascii="Arial" w:hAnsi="Arial" w:cs="Arial"/>
          <w:sz w:val="24"/>
        </w:rPr>
      </w:pPr>
      <w:r w:rsidRPr="00365011">
        <w:rPr>
          <w:rFonts w:ascii="Arial" w:hAnsi="Arial" w:cs="Arial"/>
          <w:sz w:val="24"/>
        </w:rPr>
        <w:t xml:space="preserve">Through </w:t>
      </w:r>
      <w:r w:rsidRPr="00365011">
        <w:rPr>
          <w:rFonts w:ascii="Arial" w:hAnsi="Arial" w:cs="Arial"/>
          <w:color w:val="000000"/>
          <w:sz w:val="24"/>
        </w:rPr>
        <w:t>the</w:t>
      </w:r>
      <w:r w:rsidRPr="00365011">
        <w:rPr>
          <w:rFonts w:ascii="Arial" w:hAnsi="Arial" w:cs="Arial"/>
          <w:sz w:val="24"/>
        </w:rPr>
        <w:t xml:space="preserve"> living organ donor registry</w:t>
      </w:r>
      <w:r w:rsidR="00C50EDD">
        <w:rPr>
          <w:rFonts w:ascii="Arial" w:hAnsi="Arial" w:cs="Arial"/>
          <w:sz w:val="24"/>
        </w:rPr>
        <w:t>,</w:t>
      </w:r>
      <w:r w:rsidRPr="00365011">
        <w:rPr>
          <w:rFonts w:ascii="Arial" w:hAnsi="Arial" w:cs="Arial"/>
          <w:sz w:val="24"/>
        </w:rPr>
        <w:t xml:space="preserve"> SRTR will collect</w:t>
      </w:r>
      <w:r w:rsidR="00472655">
        <w:rPr>
          <w:rFonts w:ascii="Arial" w:hAnsi="Arial" w:cs="Arial"/>
          <w:sz w:val="24"/>
        </w:rPr>
        <w:t xml:space="preserve"> baseline</w:t>
      </w:r>
      <w:r w:rsidRPr="00365011">
        <w:rPr>
          <w:rFonts w:ascii="Arial" w:hAnsi="Arial" w:cs="Arial"/>
          <w:sz w:val="24"/>
        </w:rPr>
        <w:t xml:space="preserve"> </w:t>
      </w:r>
      <w:r w:rsidR="00B13BE7">
        <w:rPr>
          <w:rFonts w:ascii="Arial" w:hAnsi="Arial" w:cs="Arial"/>
          <w:sz w:val="24"/>
        </w:rPr>
        <w:t>information</w:t>
      </w:r>
      <w:r w:rsidR="00B13BE7" w:rsidRPr="00365011">
        <w:rPr>
          <w:rFonts w:ascii="Arial" w:hAnsi="Arial" w:cs="Arial"/>
          <w:sz w:val="24"/>
        </w:rPr>
        <w:t xml:space="preserve"> </w:t>
      </w:r>
      <w:r w:rsidRPr="00365011">
        <w:rPr>
          <w:rFonts w:ascii="Arial" w:hAnsi="Arial" w:cs="Arial"/>
          <w:sz w:val="24"/>
        </w:rPr>
        <w:t xml:space="preserve">on </w:t>
      </w:r>
      <w:r w:rsidR="00472655">
        <w:rPr>
          <w:rFonts w:ascii="Arial" w:hAnsi="Arial" w:cs="Arial"/>
          <w:sz w:val="24"/>
        </w:rPr>
        <w:t xml:space="preserve">all potential </w:t>
      </w:r>
      <w:r w:rsidRPr="00365011">
        <w:rPr>
          <w:rFonts w:ascii="Arial" w:hAnsi="Arial" w:cs="Arial"/>
          <w:sz w:val="24"/>
        </w:rPr>
        <w:t>living donor</w:t>
      </w:r>
      <w:r w:rsidR="007E1E40">
        <w:rPr>
          <w:rFonts w:ascii="Arial" w:hAnsi="Arial" w:cs="Arial"/>
          <w:sz w:val="24"/>
        </w:rPr>
        <w:t xml:space="preserve"> candidate</w:t>
      </w:r>
      <w:r w:rsidRPr="00365011">
        <w:rPr>
          <w:rFonts w:ascii="Arial" w:hAnsi="Arial" w:cs="Arial"/>
          <w:sz w:val="24"/>
        </w:rPr>
        <w:t xml:space="preserve">s </w:t>
      </w:r>
      <w:r w:rsidR="007E1E40">
        <w:rPr>
          <w:rFonts w:ascii="Arial" w:hAnsi="Arial" w:cs="Arial"/>
          <w:sz w:val="24"/>
        </w:rPr>
        <w:t xml:space="preserve">who begin the evaluation process </w:t>
      </w:r>
      <w:r w:rsidR="00472655">
        <w:rPr>
          <w:rFonts w:ascii="Arial" w:hAnsi="Arial" w:cs="Arial"/>
          <w:sz w:val="24"/>
        </w:rPr>
        <w:t xml:space="preserve">at </w:t>
      </w:r>
      <w:r w:rsidR="007E1E40">
        <w:rPr>
          <w:rFonts w:ascii="Arial" w:hAnsi="Arial" w:cs="Arial"/>
          <w:sz w:val="24"/>
        </w:rPr>
        <w:t xml:space="preserve">participating transplant centers. </w:t>
      </w:r>
      <w:r w:rsidR="00B4518F">
        <w:rPr>
          <w:rFonts w:ascii="Arial" w:hAnsi="Arial" w:cs="Arial"/>
          <w:sz w:val="24"/>
        </w:rPr>
        <w:t xml:space="preserve"> </w:t>
      </w:r>
      <w:r w:rsidR="007E1E40">
        <w:rPr>
          <w:rFonts w:ascii="Arial" w:hAnsi="Arial" w:cs="Arial"/>
          <w:sz w:val="24"/>
        </w:rPr>
        <w:t>The SRTR</w:t>
      </w:r>
      <w:r w:rsidR="00472655">
        <w:rPr>
          <w:rFonts w:ascii="Arial" w:hAnsi="Arial" w:cs="Arial"/>
          <w:sz w:val="24"/>
        </w:rPr>
        <w:t xml:space="preserve"> </w:t>
      </w:r>
      <w:r w:rsidR="007E1E40">
        <w:rPr>
          <w:rFonts w:ascii="Arial" w:hAnsi="Arial" w:cs="Arial"/>
          <w:sz w:val="24"/>
        </w:rPr>
        <w:t>will collect information</w:t>
      </w:r>
      <w:r w:rsidR="00472655">
        <w:rPr>
          <w:rFonts w:ascii="Arial" w:hAnsi="Arial" w:cs="Arial"/>
          <w:sz w:val="24"/>
        </w:rPr>
        <w:t xml:space="preserve"> from </w:t>
      </w:r>
      <w:r w:rsidR="0027421A">
        <w:rPr>
          <w:rFonts w:ascii="Arial" w:hAnsi="Arial" w:cs="Arial"/>
          <w:sz w:val="24"/>
        </w:rPr>
        <w:t xml:space="preserve">donor candidates </w:t>
      </w:r>
      <w:r w:rsidR="007E1E40">
        <w:rPr>
          <w:rFonts w:ascii="Arial" w:hAnsi="Arial" w:cs="Arial"/>
          <w:sz w:val="24"/>
        </w:rPr>
        <w:t xml:space="preserve">who become living donors as well as those </w:t>
      </w:r>
      <w:r w:rsidR="006B32D1">
        <w:rPr>
          <w:rFonts w:ascii="Arial" w:hAnsi="Arial" w:cs="Arial"/>
          <w:sz w:val="24"/>
        </w:rPr>
        <w:t xml:space="preserve">who </w:t>
      </w:r>
      <w:r w:rsidR="007E1E40">
        <w:rPr>
          <w:rFonts w:ascii="Arial" w:hAnsi="Arial" w:cs="Arial"/>
          <w:sz w:val="24"/>
        </w:rPr>
        <w:t>end up not</w:t>
      </w:r>
      <w:r w:rsidR="0027421A">
        <w:rPr>
          <w:rFonts w:ascii="Arial" w:hAnsi="Arial" w:cs="Arial"/>
          <w:sz w:val="24"/>
        </w:rPr>
        <w:t xml:space="preserve"> donat</w:t>
      </w:r>
      <w:r w:rsidR="007E1E40">
        <w:rPr>
          <w:rFonts w:ascii="Arial" w:hAnsi="Arial" w:cs="Arial"/>
          <w:sz w:val="24"/>
        </w:rPr>
        <w:t>ing</w:t>
      </w:r>
      <w:r w:rsidR="0027421A">
        <w:rPr>
          <w:rFonts w:ascii="Arial" w:hAnsi="Arial" w:cs="Arial"/>
          <w:sz w:val="24"/>
        </w:rPr>
        <w:t xml:space="preserve"> an </w:t>
      </w:r>
      <w:r w:rsidR="0027421A" w:rsidRPr="00C8748F">
        <w:rPr>
          <w:rFonts w:ascii="Arial" w:hAnsi="Arial" w:cs="Arial"/>
          <w:noProof/>
          <w:sz w:val="24"/>
        </w:rPr>
        <w:t>organ</w:t>
      </w:r>
      <w:r w:rsidR="00472655" w:rsidRPr="00C8748F">
        <w:rPr>
          <w:rFonts w:ascii="Arial" w:hAnsi="Arial" w:cs="Arial"/>
          <w:noProof/>
          <w:sz w:val="24"/>
        </w:rPr>
        <w:t>,</w:t>
      </w:r>
      <w:r w:rsidR="00472655">
        <w:rPr>
          <w:rFonts w:ascii="Arial" w:hAnsi="Arial" w:cs="Arial"/>
          <w:sz w:val="24"/>
        </w:rPr>
        <w:t xml:space="preserve"> and </w:t>
      </w:r>
      <w:r w:rsidR="00AC4BF0">
        <w:rPr>
          <w:rFonts w:ascii="Arial" w:hAnsi="Arial" w:cs="Arial"/>
          <w:sz w:val="24"/>
        </w:rPr>
        <w:t xml:space="preserve">it </w:t>
      </w:r>
      <w:r w:rsidR="007E1E40">
        <w:rPr>
          <w:rFonts w:ascii="Arial" w:hAnsi="Arial" w:cs="Arial"/>
          <w:sz w:val="24"/>
        </w:rPr>
        <w:t xml:space="preserve">will </w:t>
      </w:r>
      <w:r w:rsidR="007E1E40">
        <w:rPr>
          <w:rFonts w:ascii="Arial" w:hAnsi="Arial" w:cs="Arial"/>
          <w:sz w:val="24"/>
        </w:rPr>
        <w:lastRenderedPageBreak/>
        <w:t>collect</w:t>
      </w:r>
      <w:r w:rsidR="00472655">
        <w:rPr>
          <w:rFonts w:ascii="Arial" w:hAnsi="Arial" w:cs="Arial"/>
          <w:sz w:val="24"/>
        </w:rPr>
        <w:t xml:space="preserve"> follow-up </w:t>
      </w:r>
      <w:r w:rsidR="007E1E40">
        <w:rPr>
          <w:rFonts w:ascii="Arial" w:hAnsi="Arial" w:cs="Arial"/>
          <w:sz w:val="24"/>
        </w:rPr>
        <w:t xml:space="preserve">data </w:t>
      </w:r>
      <w:r w:rsidR="00472655">
        <w:rPr>
          <w:rFonts w:ascii="Arial" w:hAnsi="Arial" w:cs="Arial"/>
          <w:sz w:val="24"/>
        </w:rPr>
        <w:t xml:space="preserve">at </w:t>
      </w:r>
      <w:r w:rsidR="00472655" w:rsidRPr="00C8748F">
        <w:rPr>
          <w:rFonts w:ascii="Arial" w:hAnsi="Arial" w:cs="Arial"/>
          <w:noProof/>
          <w:sz w:val="24"/>
        </w:rPr>
        <w:t>1</w:t>
      </w:r>
      <w:r w:rsidR="00472655">
        <w:rPr>
          <w:rFonts w:ascii="Arial" w:hAnsi="Arial" w:cs="Arial"/>
          <w:sz w:val="24"/>
        </w:rPr>
        <w:t xml:space="preserve"> year</w:t>
      </w:r>
      <w:r w:rsidR="00FA707B">
        <w:rPr>
          <w:rFonts w:ascii="Arial" w:hAnsi="Arial" w:cs="Arial"/>
          <w:sz w:val="24"/>
        </w:rPr>
        <w:t xml:space="preserve"> from all participants </w:t>
      </w:r>
      <w:r w:rsidR="009749FB">
        <w:rPr>
          <w:rFonts w:ascii="Arial" w:hAnsi="Arial" w:cs="Arial"/>
          <w:sz w:val="24"/>
        </w:rPr>
        <w:t>in</w:t>
      </w:r>
      <w:r w:rsidR="00FA707B">
        <w:rPr>
          <w:rFonts w:ascii="Arial" w:hAnsi="Arial" w:cs="Arial"/>
          <w:sz w:val="24"/>
        </w:rPr>
        <w:t xml:space="preserve"> the registry</w:t>
      </w:r>
      <w:r w:rsidR="0027421A">
        <w:rPr>
          <w:rFonts w:ascii="Arial" w:hAnsi="Arial" w:cs="Arial"/>
          <w:sz w:val="24"/>
        </w:rPr>
        <w:t xml:space="preserve">. </w:t>
      </w:r>
      <w:r w:rsidR="0069600B" w:rsidRPr="0069600B">
        <w:rPr>
          <w:rFonts w:ascii="Arial" w:hAnsi="Arial" w:cs="Arial"/>
          <w:sz w:val="24"/>
        </w:rPr>
        <w:t xml:space="preserve"> </w:t>
      </w:r>
      <w:r w:rsidR="009749FB">
        <w:rPr>
          <w:rFonts w:ascii="Arial" w:hAnsi="Arial" w:cs="Arial"/>
          <w:sz w:val="24"/>
        </w:rPr>
        <w:t>T</w:t>
      </w:r>
      <w:r w:rsidR="0069600B" w:rsidRPr="0069600B">
        <w:rPr>
          <w:rFonts w:ascii="Arial" w:hAnsi="Arial" w:cs="Arial"/>
          <w:sz w:val="24"/>
        </w:rPr>
        <w:t xml:space="preserve">he registry will ascertain long-term health status by </w:t>
      </w:r>
      <w:r w:rsidR="009749FB" w:rsidRPr="009749FB">
        <w:rPr>
          <w:rFonts w:ascii="Arial" w:hAnsi="Arial" w:cs="Arial"/>
          <w:sz w:val="24"/>
        </w:rPr>
        <w:t xml:space="preserve">maintaining contact with the participants </w:t>
      </w:r>
      <w:r w:rsidR="009749FB">
        <w:rPr>
          <w:rFonts w:ascii="Arial" w:hAnsi="Arial" w:cs="Arial"/>
          <w:sz w:val="24"/>
        </w:rPr>
        <w:t>over time</w:t>
      </w:r>
      <w:r w:rsidR="00BA6933">
        <w:rPr>
          <w:rFonts w:ascii="Arial" w:hAnsi="Arial" w:cs="Arial"/>
          <w:sz w:val="24"/>
        </w:rPr>
        <w:t xml:space="preserve"> and</w:t>
      </w:r>
      <w:r w:rsidR="007370B3">
        <w:rPr>
          <w:rFonts w:ascii="Arial" w:hAnsi="Arial" w:cs="Arial"/>
          <w:sz w:val="24"/>
        </w:rPr>
        <w:t xml:space="preserve"> </w:t>
      </w:r>
      <w:r w:rsidR="0069600B" w:rsidRPr="0069600B">
        <w:rPr>
          <w:rFonts w:ascii="Arial" w:hAnsi="Arial" w:cs="Arial"/>
          <w:sz w:val="24"/>
        </w:rPr>
        <w:t>conducting surveys (</w:t>
      </w:r>
      <w:r w:rsidR="009749FB">
        <w:rPr>
          <w:rFonts w:ascii="Arial" w:hAnsi="Arial" w:cs="Arial"/>
          <w:sz w:val="24"/>
        </w:rPr>
        <w:t xml:space="preserve">which </w:t>
      </w:r>
      <w:r w:rsidR="0069600B" w:rsidRPr="0069600B">
        <w:rPr>
          <w:rFonts w:ascii="Arial" w:hAnsi="Arial" w:cs="Arial"/>
          <w:sz w:val="24"/>
        </w:rPr>
        <w:t>will be submitted for OMB approval in the future) every 5 or 10 years</w:t>
      </w:r>
      <w:r w:rsidR="00BA6933">
        <w:rPr>
          <w:rFonts w:ascii="Arial" w:hAnsi="Arial" w:cs="Arial"/>
          <w:sz w:val="24"/>
        </w:rPr>
        <w:t>.  The SRTR will also l</w:t>
      </w:r>
      <w:r w:rsidR="0069600B" w:rsidRPr="0069600B">
        <w:rPr>
          <w:rFonts w:ascii="Arial" w:hAnsi="Arial" w:cs="Arial"/>
          <w:sz w:val="24"/>
        </w:rPr>
        <w:t xml:space="preserve">ink with other </w:t>
      </w:r>
      <w:r w:rsidR="00BA6933">
        <w:rPr>
          <w:rFonts w:ascii="Arial" w:hAnsi="Arial" w:cs="Arial"/>
          <w:sz w:val="24"/>
        </w:rPr>
        <w:t xml:space="preserve">national </w:t>
      </w:r>
      <w:r w:rsidR="0069600B" w:rsidRPr="0069600B">
        <w:rPr>
          <w:rFonts w:ascii="Arial" w:hAnsi="Arial" w:cs="Arial"/>
          <w:sz w:val="24"/>
        </w:rPr>
        <w:t xml:space="preserve">data sources </w:t>
      </w:r>
      <w:r w:rsidR="00BA6933">
        <w:rPr>
          <w:rFonts w:ascii="Arial" w:hAnsi="Arial" w:cs="Arial"/>
          <w:sz w:val="24"/>
        </w:rPr>
        <w:t xml:space="preserve">(such as the </w:t>
      </w:r>
      <w:r w:rsidR="000F27AF">
        <w:rPr>
          <w:rFonts w:ascii="Arial" w:hAnsi="Arial" w:cs="Arial"/>
          <w:sz w:val="24"/>
        </w:rPr>
        <w:t>National Institutes of Health</w:t>
      </w:r>
      <w:r w:rsidR="00BA6933">
        <w:rPr>
          <w:rFonts w:ascii="Arial" w:hAnsi="Arial" w:cs="Arial"/>
          <w:sz w:val="24"/>
        </w:rPr>
        <w:t xml:space="preserve">-funded U.S. Renal Data System and </w:t>
      </w:r>
      <w:r w:rsidR="000F27AF">
        <w:rPr>
          <w:rFonts w:ascii="Arial" w:hAnsi="Arial" w:cs="Arial"/>
          <w:sz w:val="24"/>
        </w:rPr>
        <w:t>the Centers of Disease Control and Prevention</w:t>
      </w:r>
      <w:r w:rsidR="00BA6933">
        <w:rPr>
          <w:rFonts w:ascii="Arial" w:hAnsi="Arial" w:cs="Arial"/>
          <w:sz w:val="24"/>
        </w:rPr>
        <w:t>-funded National Death Index</w:t>
      </w:r>
      <w:r w:rsidR="00CB31A3">
        <w:rPr>
          <w:rFonts w:ascii="Arial" w:hAnsi="Arial" w:cs="Arial"/>
          <w:sz w:val="24"/>
        </w:rPr>
        <w:t>)</w:t>
      </w:r>
      <w:r w:rsidR="00BA6933">
        <w:rPr>
          <w:rFonts w:ascii="Arial" w:hAnsi="Arial" w:cs="Arial"/>
          <w:sz w:val="24"/>
        </w:rPr>
        <w:t xml:space="preserve"> to </w:t>
      </w:r>
      <w:r w:rsidR="00BF0220">
        <w:rPr>
          <w:rFonts w:ascii="Arial" w:hAnsi="Arial" w:cs="Arial"/>
          <w:sz w:val="24"/>
        </w:rPr>
        <w:t>obtain</w:t>
      </w:r>
      <w:r w:rsidR="00BA6933">
        <w:rPr>
          <w:rFonts w:ascii="Arial" w:hAnsi="Arial" w:cs="Arial"/>
          <w:sz w:val="24"/>
        </w:rPr>
        <w:t xml:space="preserve"> relevant clinical information on participants without the burden of additional data collection.</w:t>
      </w:r>
      <w:r w:rsidR="0069600B" w:rsidRPr="0069600B">
        <w:rPr>
          <w:rFonts w:ascii="Arial" w:hAnsi="Arial" w:cs="Arial"/>
          <w:sz w:val="24"/>
        </w:rPr>
        <w:t xml:space="preserve">  </w:t>
      </w:r>
      <w:r w:rsidR="00BA6933">
        <w:rPr>
          <w:rFonts w:ascii="Arial" w:hAnsi="Arial" w:cs="Arial"/>
          <w:sz w:val="24"/>
        </w:rPr>
        <w:t xml:space="preserve">By collecting information on </w:t>
      </w:r>
      <w:r w:rsidR="00CB31A3">
        <w:rPr>
          <w:rFonts w:ascii="Arial" w:hAnsi="Arial" w:cs="Arial"/>
          <w:sz w:val="24"/>
        </w:rPr>
        <w:t>both</w:t>
      </w:r>
      <w:r w:rsidR="00BA6933">
        <w:rPr>
          <w:rFonts w:ascii="Arial" w:hAnsi="Arial" w:cs="Arial"/>
          <w:sz w:val="24"/>
        </w:rPr>
        <w:t xml:space="preserve"> the donor candidates that became living donors </w:t>
      </w:r>
      <w:r w:rsidR="00CB31A3">
        <w:rPr>
          <w:rFonts w:ascii="Arial" w:hAnsi="Arial" w:cs="Arial"/>
          <w:sz w:val="24"/>
        </w:rPr>
        <w:t>as well as the</w:t>
      </w:r>
      <w:r w:rsidR="00BA6933">
        <w:rPr>
          <w:rFonts w:ascii="Arial" w:hAnsi="Arial" w:cs="Arial"/>
          <w:sz w:val="24"/>
        </w:rPr>
        <w:t xml:space="preserve"> candidates who were evaluated but chose not to become living donors, the SRTR will be able to compare </w:t>
      </w:r>
      <w:r w:rsidR="00CB31A3" w:rsidRPr="00CB31A3">
        <w:rPr>
          <w:rFonts w:ascii="Arial" w:hAnsi="Arial" w:cs="Arial"/>
          <w:sz w:val="24"/>
        </w:rPr>
        <w:t xml:space="preserve">the long-term </w:t>
      </w:r>
      <w:r w:rsidR="00CB31A3">
        <w:rPr>
          <w:rFonts w:ascii="Arial" w:hAnsi="Arial" w:cs="Arial"/>
          <w:sz w:val="24"/>
        </w:rPr>
        <w:t>differences in health outcomes between the two groups.</w:t>
      </w:r>
      <w:r w:rsidR="00AC4BF0">
        <w:rPr>
          <w:rFonts w:ascii="Arial" w:hAnsi="Arial" w:cs="Arial"/>
          <w:sz w:val="24"/>
        </w:rPr>
        <w:t xml:space="preserve"> </w:t>
      </w:r>
      <w:r w:rsidR="00CB31A3" w:rsidRPr="00CB31A3">
        <w:rPr>
          <w:rFonts w:ascii="Arial" w:hAnsi="Arial" w:cs="Arial"/>
          <w:sz w:val="24"/>
        </w:rPr>
        <w:t xml:space="preserve"> The registry will also collect information regarding the reasons why some potential living donors ultimately choose not to donate</w:t>
      </w:r>
      <w:r w:rsidR="00B4518F">
        <w:rPr>
          <w:rFonts w:ascii="Arial" w:hAnsi="Arial" w:cs="Arial"/>
          <w:sz w:val="24"/>
        </w:rPr>
        <w:t xml:space="preserve">.  </w:t>
      </w:r>
    </w:p>
    <w:p w14:paraId="6C8D8C3E" w14:textId="77777777" w:rsidR="007103C5" w:rsidRDefault="007103C5" w:rsidP="007103C5">
      <w:pPr>
        <w:rPr>
          <w:rFonts w:ascii="Arial" w:hAnsi="Arial" w:cs="Arial"/>
          <w:sz w:val="24"/>
        </w:rPr>
      </w:pPr>
    </w:p>
    <w:p w14:paraId="5A647229" w14:textId="258EA646" w:rsidR="00BB5EA4" w:rsidRDefault="00F0012C" w:rsidP="007103C5">
      <w:pPr>
        <w:rPr>
          <w:rFonts w:ascii="Arial" w:hAnsi="Arial" w:cs="Arial"/>
          <w:sz w:val="24"/>
        </w:rPr>
      </w:pPr>
      <w:r>
        <w:rPr>
          <w:rFonts w:ascii="Arial" w:hAnsi="Arial" w:cs="Arial"/>
          <w:sz w:val="24"/>
        </w:rPr>
        <w:t>Consumers</w:t>
      </w:r>
      <w:r w:rsidRPr="00365011">
        <w:rPr>
          <w:rFonts w:ascii="Arial" w:hAnsi="Arial" w:cs="Arial"/>
          <w:sz w:val="24"/>
        </w:rPr>
        <w:t xml:space="preserve"> </w:t>
      </w:r>
      <w:r w:rsidR="00365011" w:rsidRPr="00365011">
        <w:rPr>
          <w:rFonts w:ascii="Arial" w:hAnsi="Arial" w:cs="Arial"/>
          <w:sz w:val="24"/>
        </w:rPr>
        <w:t xml:space="preserve">of </w:t>
      </w:r>
      <w:r w:rsidRPr="00365011">
        <w:rPr>
          <w:rFonts w:ascii="Arial" w:hAnsi="Arial" w:cs="Arial"/>
          <w:sz w:val="24"/>
        </w:rPr>
        <w:t>th</w:t>
      </w:r>
      <w:r>
        <w:rPr>
          <w:rFonts w:ascii="Arial" w:hAnsi="Arial" w:cs="Arial"/>
          <w:sz w:val="24"/>
        </w:rPr>
        <w:t>e</w:t>
      </w:r>
      <w:r w:rsidRPr="00365011">
        <w:rPr>
          <w:rFonts w:ascii="Arial" w:hAnsi="Arial" w:cs="Arial"/>
          <w:sz w:val="24"/>
        </w:rPr>
        <w:t xml:space="preserve"> </w:t>
      </w:r>
      <w:r w:rsidR="00365011" w:rsidRPr="00365011">
        <w:rPr>
          <w:rFonts w:ascii="Arial" w:hAnsi="Arial" w:cs="Arial"/>
          <w:sz w:val="24"/>
        </w:rPr>
        <w:t xml:space="preserve">information </w:t>
      </w:r>
      <w:r>
        <w:rPr>
          <w:rFonts w:ascii="Arial" w:hAnsi="Arial" w:cs="Arial"/>
          <w:sz w:val="24"/>
        </w:rPr>
        <w:t xml:space="preserve">provided by the registry </w:t>
      </w:r>
      <w:r w:rsidR="00365011" w:rsidRPr="00365011">
        <w:rPr>
          <w:rFonts w:ascii="Arial" w:hAnsi="Arial" w:cs="Arial"/>
          <w:sz w:val="24"/>
        </w:rPr>
        <w:t>will</w:t>
      </w:r>
      <w:r>
        <w:rPr>
          <w:rFonts w:ascii="Arial" w:hAnsi="Arial" w:cs="Arial"/>
          <w:sz w:val="24"/>
        </w:rPr>
        <w:t xml:space="preserve"> include</w:t>
      </w:r>
      <w:r w:rsidR="00365011" w:rsidRPr="00365011">
        <w:rPr>
          <w:rFonts w:ascii="Arial" w:hAnsi="Arial" w:cs="Arial"/>
          <w:sz w:val="24"/>
        </w:rPr>
        <w:t xml:space="preserve"> potential donors, patients, caregivers, transplant programs, the general public, investigators, HRSA and other federal agencies. </w:t>
      </w:r>
      <w:r w:rsidR="00AC4BF0">
        <w:rPr>
          <w:rFonts w:ascii="Arial" w:hAnsi="Arial" w:cs="Arial"/>
          <w:sz w:val="24"/>
        </w:rPr>
        <w:t xml:space="preserve"> </w:t>
      </w:r>
      <w:r w:rsidR="00B526E7">
        <w:rPr>
          <w:rFonts w:ascii="Arial" w:hAnsi="Arial" w:cs="Arial"/>
          <w:sz w:val="24"/>
        </w:rPr>
        <w:t xml:space="preserve">See </w:t>
      </w:r>
      <w:r w:rsidR="00AC4BF0">
        <w:rPr>
          <w:rFonts w:ascii="Arial" w:hAnsi="Arial" w:cs="Arial"/>
          <w:sz w:val="24"/>
        </w:rPr>
        <w:t xml:space="preserve">the </w:t>
      </w:r>
      <w:r w:rsidR="002B0612">
        <w:rPr>
          <w:rFonts w:ascii="Arial" w:hAnsi="Arial" w:cs="Arial"/>
          <w:sz w:val="24"/>
        </w:rPr>
        <w:t>attached article</w:t>
      </w:r>
      <w:r w:rsidR="000F27AF">
        <w:rPr>
          <w:rFonts w:ascii="Arial" w:hAnsi="Arial" w:cs="Arial"/>
          <w:sz w:val="24"/>
        </w:rPr>
        <w:t xml:space="preserve"> (Attachment A)</w:t>
      </w:r>
      <w:r w:rsidR="002B0612">
        <w:rPr>
          <w:rFonts w:ascii="Arial" w:hAnsi="Arial" w:cs="Arial"/>
          <w:sz w:val="24"/>
        </w:rPr>
        <w:t xml:space="preserve"> </w:t>
      </w:r>
      <w:r w:rsidR="00B526E7">
        <w:rPr>
          <w:rFonts w:ascii="Arial" w:hAnsi="Arial" w:cs="Arial"/>
          <w:sz w:val="24"/>
        </w:rPr>
        <w:t xml:space="preserve">for </w:t>
      </w:r>
      <w:r w:rsidR="00C50EDD">
        <w:rPr>
          <w:rFonts w:ascii="Arial" w:hAnsi="Arial" w:cs="Arial"/>
          <w:sz w:val="24"/>
        </w:rPr>
        <w:t xml:space="preserve">more </w:t>
      </w:r>
      <w:r w:rsidR="00B526E7">
        <w:rPr>
          <w:rFonts w:ascii="Arial" w:hAnsi="Arial" w:cs="Arial"/>
          <w:sz w:val="24"/>
        </w:rPr>
        <w:t>details</w:t>
      </w:r>
      <w:r w:rsidR="00C50EDD">
        <w:rPr>
          <w:rFonts w:ascii="Arial" w:hAnsi="Arial" w:cs="Arial"/>
          <w:sz w:val="24"/>
        </w:rPr>
        <w:t xml:space="preserve"> on the purpose of the registry</w:t>
      </w:r>
      <w:r w:rsidR="00B526E7">
        <w:rPr>
          <w:rFonts w:ascii="Arial" w:hAnsi="Arial" w:cs="Arial"/>
          <w:sz w:val="24"/>
        </w:rPr>
        <w:t>.</w:t>
      </w:r>
    </w:p>
    <w:p w14:paraId="74282158" w14:textId="77777777" w:rsidR="007103C5" w:rsidRPr="00B526E7" w:rsidRDefault="007103C5" w:rsidP="007103C5">
      <w:pPr>
        <w:rPr>
          <w:rFonts w:ascii="Arial" w:hAnsi="Arial" w:cs="Arial"/>
          <w:sz w:val="24"/>
        </w:rPr>
      </w:pPr>
    </w:p>
    <w:p w14:paraId="211D56A8" w14:textId="2B86B6CA" w:rsidR="009B3794" w:rsidRPr="00A55D14" w:rsidRDefault="009B3794" w:rsidP="007103C5">
      <w:pPr>
        <w:numPr>
          <w:ilvl w:val="0"/>
          <w:numId w:val="2"/>
        </w:numPr>
        <w:tabs>
          <w:tab w:val="clear" w:pos="1080"/>
          <w:tab w:val="num" w:pos="360"/>
        </w:tabs>
        <w:ind w:left="360"/>
        <w:rPr>
          <w:rFonts w:ascii="Arial" w:hAnsi="Arial" w:cs="Arial"/>
          <w:sz w:val="24"/>
        </w:rPr>
      </w:pPr>
      <w:r w:rsidRPr="006049D1">
        <w:rPr>
          <w:rFonts w:ascii="Arial" w:hAnsi="Arial" w:cs="Arial"/>
          <w:b/>
          <w:sz w:val="24"/>
          <w:u w:val="single"/>
        </w:rPr>
        <w:t>Use of Improved Information Technology and Burden Reduction</w:t>
      </w:r>
    </w:p>
    <w:p w14:paraId="425C918C" w14:textId="77777777" w:rsidR="007103C5" w:rsidRDefault="007103C5" w:rsidP="007103C5">
      <w:pPr>
        <w:rPr>
          <w:rFonts w:ascii="Arial" w:hAnsi="Arial" w:cs="Arial"/>
          <w:sz w:val="24"/>
        </w:rPr>
      </w:pPr>
    </w:p>
    <w:p w14:paraId="52111C9F" w14:textId="7A1C7CCC" w:rsidR="00A55D14" w:rsidRDefault="00111C1D" w:rsidP="007103C5">
      <w:pPr>
        <w:rPr>
          <w:rFonts w:ascii="Arial" w:hAnsi="Arial" w:cs="Arial"/>
          <w:sz w:val="24"/>
        </w:rPr>
      </w:pPr>
      <w:r>
        <w:rPr>
          <w:rFonts w:ascii="Arial" w:hAnsi="Arial" w:cs="Arial"/>
          <w:sz w:val="24"/>
        </w:rPr>
        <w:t>Registration i</w:t>
      </w:r>
      <w:r w:rsidR="00876414">
        <w:rPr>
          <w:rFonts w:ascii="Arial" w:hAnsi="Arial" w:cs="Arial"/>
          <w:sz w:val="24"/>
        </w:rPr>
        <w:t>nformation</w:t>
      </w:r>
      <w:r w:rsidR="00A55D14">
        <w:rPr>
          <w:rFonts w:ascii="Arial" w:hAnsi="Arial" w:cs="Arial"/>
          <w:sz w:val="24"/>
        </w:rPr>
        <w:t xml:space="preserve"> will </w:t>
      </w:r>
      <w:r w:rsidR="00876414">
        <w:rPr>
          <w:rFonts w:ascii="Arial" w:hAnsi="Arial" w:cs="Arial"/>
          <w:sz w:val="24"/>
        </w:rPr>
        <w:t xml:space="preserve">be </w:t>
      </w:r>
      <w:r w:rsidR="00A55D14">
        <w:rPr>
          <w:rFonts w:ascii="Arial" w:hAnsi="Arial" w:cs="Arial"/>
          <w:sz w:val="24"/>
        </w:rPr>
        <w:t>collected using</w:t>
      </w:r>
      <w:r w:rsidR="00BB5EA4">
        <w:rPr>
          <w:rFonts w:ascii="Arial" w:hAnsi="Arial" w:cs="Arial"/>
          <w:sz w:val="24"/>
        </w:rPr>
        <w:t xml:space="preserve"> a</w:t>
      </w:r>
      <w:r w:rsidR="00A55D14">
        <w:rPr>
          <w:rFonts w:ascii="Arial" w:hAnsi="Arial" w:cs="Arial"/>
          <w:sz w:val="24"/>
        </w:rPr>
        <w:t xml:space="preserve"> </w:t>
      </w:r>
      <w:r w:rsidR="000D72CB">
        <w:rPr>
          <w:rFonts w:ascii="Arial" w:hAnsi="Arial" w:cs="Arial"/>
          <w:sz w:val="24"/>
        </w:rPr>
        <w:t>secure online</w:t>
      </w:r>
      <w:r w:rsidR="00A55D14">
        <w:rPr>
          <w:rFonts w:ascii="Arial" w:hAnsi="Arial" w:cs="Arial"/>
          <w:sz w:val="24"/>
        </w:rPr>
        <w:t xml:space="preserve"> data </w:t>
      </w:r>
      <w:r w:rsidR="000D72CB">
        <w:rPr>
          <w:rFonts w:ascii="Arial" w:hAnsi="Arial" w:cs="Arial"/>
          <w:sz w:val="24"/>
        </w:rPr>
        <w:t>collection system</w:t>
      </w:r>
      <w:r w:rsidR="002814A6">
        <w:rPr>
          <w:rFonts w:ascii="Arial" w:hAnsi="Arial" w:cs="Arial"/>
          <w:sz w:val="24"/>
        </w:rPr>
        <w:t xml:space="preserve"> built spec</w:t>
      </w:r>
      <w:r w:rsidR="00B13BE7">
        <w:rPr>
          <w:rFonts w:ascii="Arial" w:hAnsi="Arial" w:cs="Arial"/>
          <w:sz w:val="24"/>
        </w:rPr>
        <w:t>if</w:t>
      </w:r>
      <w:r w:rsidR="002814A6">
        <w:rPr>
          <w:rFonts w:ascii="Arial" w:hAnsi="Arial" w:cs="Arial"/>
          <w:sz w:val="24"/>
        </w:rPr>
        <w:t xml:space="preserve">ically </w:t>
      </w:r>
      <w:r w:rsidR="00B13BE7">
        <w:rPr>
          <w:rFonts w:ascii="Arial" w:hAnsi="Arial" w:cs="Arial"/>
          <w:sz w:val="24"/>
        </w:rPr>
        <w:t>for</w:t>
      </w:r>
      <w:r w:rsidR="002814A6">
        <w:rPr>
          <w:rFonts w:ascii="Arial" w:hAnsi="Arial" w:cs="Arial"/>
          <w:sz w:val="24"/>
        </w:rPr>
        <w:t xml:space="preserve"> the registry</w:t>
      </w:r>
      <w:r w:rsidR="00B4518F">
        <w:rPr>
          <w:rFonts w:ascii="Arial" w:hAnsi="Arial" w:cs="Arial"/>
          <w:sz w:val="24"/>
        </w:rPr>
        <w:t xml:space="preserve">.  </w:t>
      </w:r>
      <w:r w:rsidR="00954707">
        <w:rPr>
          <w:rFonts w:ascii="Arial" w:hAnsi="Arial" w:cs="Arial"/>
          <w:sz w:val="24"/>
        </w:rPr>
        <w:t>Volunteer t</w:t>
      </w:r>
      <w:r w:rsidR="00A55D14" w:rsidRPr="00A55D14">
        <w:rPr>
          <w:rFonts w:ascii="Arial" w:hAnsi="Arial" w:cs="Arial"/>
          <w:sz w:val="24"/>
        </w:rPr>
        <w:t xml:space="preserve">ransplant programs </w:t>
      </w:r>
      <w:r w:rsidR="00954707">
        <w:rPr>
          <w:rFonts w:ascii="Arial" w:hAnsi="Arial" w:cs="Arial"/>
          <w:sz w:val="24"/>
        </w:rPr>
        <w:t>will</w:t>
      </w:r>
      <w:r w:rsidR="00A55D14" w:rsidRPr="00A55D14">
        <w:rPr>
          <w:rFonts w:ascii="Arial" w:hAnsi="Arial" w:cs="Arial"/>
          <w:sz w:val="24"/>
        </w:rPr>
        <w:t xml:space="preserve"> register each donor</w:t>
      </w:r>
      <w:r w:rsidR="00BB5EA4">
        <w:rPr>
          <w:rFonts w:ascii="Arial" w:hAnsi="Arial" w:cs="Arial"/>
          <w:sz w:val="24"/>
        </w:rPr>
        <w:t xml:space="preserve"> </w:t>
      </w:r>
      <w:r w:rsidR="00954707">
        <w:rPr>
          <w:rFonts w:ascii="Arial" w:hAnsi="Arial" w:cs="Arial"/>
          <w:sz w:val="24"/>
        </w:rPr>
        <w:t xml:space="preserve">candidate </w:t>
      </w:r>
      <w:r w:rsidR="00BB5EA4">
        <w:rPr>
          <w:rFonts w:ascii="Arial" w:hAnsi="Arial" w:cs="Arial"/>
          <w:sz w:val="24"/>
        </w:rPr>
        <w:t>at the time of initial evaluation</w:t>
      </w:r>
      <w:r w:rsidR="00B4518F">
        <w:rPr>
          <w:rFonts w:ascii="Arial" w:hAnsi="Arial" w:cs="Arial"/>
          <w:sz w:val="24"/>
        </w:rPr>
        <w:t xml:space="preserve">.  </w:t>
      </w:r>
      <w:r w:rsidR="00BB5EA4">
        <w:rPr>
          <w:rFonts w:ascii="Arial" w:hAnsi="Arial" w:cs="Arial"/>
          <w:sz w:val="24"/>
        </w:rPr>
        <w:t xml:space="preserve">The </w:t>
      </w:r>
      <w:r w:rsidR="00432632">
        <w:rPr>
          <w:rFonts w:ascii="Arial" w:hAnsi="Arial" w:cs="Arial"/>
          <w:sz w:val="24"/>
        </w:rPr>
        <w:t>program</w:t>
      </w:r>
      <w:r w:rsidR="00BB5EA4">
        <w:rPr>
          <w:rFonts w:ascii="Arial" w:hAnsi="Arial" w:cs="Arial"/>
          <w:sz w:val="24"/>
        </w:rPr>
        <w:t xml:space="preserve"> will ultimately report whether or not the donor candidate donate</w:t>
      </w:r>
      <w:r w:rsidR="00954707">
        <w:rPr>
          <w:rFonts w:ascii="Arial" w:hAnsi="Arial" w:cs="Arial"/>
          <w:sz w:val="24"/>
        </w:rPr>
        <w:t>d</w:t>
      </w:r>
      <w:r w:rsidR="00BB5EA4">
        <w:rPr>
          <w:rFonts w:ascii="Arial" w:hAnsi="Arial" w:cs="Arial"/>
          <w:sz w:val="24"/>
        </w:rPr>
        <w:t xml:space="preserve"> his/her organ</w:t>
      </w:r>
      <w:r w:rsidR="00C50EDD">
        <w:rPr>
          <w:rFonts w:ascii="Arial" w:hAnsi="Arial" w:cs="Arial"/>
          <w:sz w:val="24"/>
        </w:rPr>
        <w:t>,</w:t>
      </w:r>
      <w:r w:rsidR="00954707">
        <w:rPr>
          <w:rFonts w:ascii="Arial" w:hAnsi="Arial" w:cs="Arial"/>
          <w:sz w:val="24"/>
        </w:rPr>
        <w:t xml:space="preserve"> and i</w:t>
      </w:r>
      <w:r w:rsidR="00BB5EA4">
        <w:rPr>
          <w:rFonts w:ascii="Arial" w:hAnsi="Arial" w:cs="Arial"/>
          <w:sz w:val="24"/>
        </w:rPr>
        <w:t>f not</w:t>
      </w:r>
      <w:r w:rsidR="00A55D14" w:rsidRPr="00A55D14">
        <w:rPr>
          <w:rFonts w:ascii="Arial" w:hAnsi="Arial" w:cs="Arial"/>
          <w:sz w:val="24"/>
        </w:rPr>
        <w:t xml:space="preserve">, </w:t>
      </w:r>
      <w:r w:rsidR="00BB5EA4">
        <w:rPr>
          <w:rFonts w:ascii="Arial" w:hAnsi="Arial" w:cs="Arial"/>
          <w:sz w:val="24"/>
        </w:rPr>
        <w:t>the</w:t>
      </w:r>
      <w:r w:rsidR="00A55D14" w:rsidRPr="00A55D14">
        <w:rPr>
          <w:rFonts w:ascii="Arial" w:hAnsi="Arial" w:cs="Arial"/>
          <w:sz w:val="24"/>
        </w:rPr>
        <w:t xml:space="preserve"> reasons for not donating</w:t>
      </w:r>
      <w:r w:rsidR="00B4518F">
        <w:rPr>
          <w:rFonts w:ascii="Arial" w:hAnsi="Arial" w:cs="Arial"/>
          <w:sz w:val="24"/>
        </w:rPr>
        <w:t xml:space="preserve">.  </w:t>
      </w:r>
      <w:r w:rsidR="00A55D14" w:rsidRPr="00A55D14">
        <w:rPr>
          <w:rFonts w:ascii="Arial" w:hAnsi="Arial" w:cs="Arial"/>
          <w:sz w:val="24"/>
        </w:rPr>
        <w:t xml:space="preserve">Data collection will </w:t>
      </w:r>
      <w:r w:rsidR="00A55D14" w:rsidRPr="00C8748F">
        <w:rPr>
          <w:rFonts w:ascii="Arial" w:hAnsi="Arial" w:cs="Arial"/>
          <w:noProof/>
          <w:sz w:val="24"/>
        </w:rPr>
        <w:t>be implemented</w:t>
      </w:r>
      <w:r w:rsidR="00A55D14" w:rsidRPr="00A55D14">
        <w:rPr>
          <w:rFonts w:ascii="Arial" w:hAnsi="Arial" w:cs="Arial"/>
          <w:sz w:val="24"/>
        </w:rPr>
        <w:t xml:space="preserve"> in a manner fully consistent with 5 CFR 1320.5(d)(2)</w:t>
      </w:r>
      <w:r w:rsidR="00B4518F">
        <w:rPr>
          <w:rFonts w:ascii="Arial" w:hAnsi="Arial" w:cs="Arial"/>
          <w:sz w:val="24"/>
        </w:rPr>
        <w:t xml:space="preserve">.  </w:t>
      </w:r>
      <w:r w:rsidR="002814A6">
        <w:rPr>
          <w:rFonts w:ascii="Arial" w:hAnsi="Arial" w:cs="Arial"/>
          <w:sz w:val="24"/>
        </w:rPr>
        <w:t xml:space="preserve">Participating </w:t>
      </w:r>
      <w:r w:rsidR="00954707">
        <w:rPr>
          <w:rFonts w:ascii="Arial" w:hAnsi="Arial" w:cs="Arial"/>
          <w:sz w:val="24"/>
        </w:rPr>
        <w:t xml:space="preserve">volunteer </w:t>
      </w:r>
      <w:r w:rsidR="002814A6">
        <w:rPr>
          <w:rFonts w:ascii="Arial" w:hAnsi="Arial" w:cs="Arial"/>
          <w:sz w:val="24"/>
        </w:rPr>
        <w:t>programs will only be responsible for entering the initial registration</w:t>
      </w:r>
      <w:r w:rsidR="00432632">
        <w:rPr>
          <w:rFonts w:ascii="Arial" w:hAnsi="Arial" w:cs="Arial"/>
          <w:sz w:val="24"/>
        </w:rPr>
        <w:t xml:space="preserve">, </w:t>
      </w:r>
      <w:r w:rsidR="002814A6">
        <w:rPr>
          <w:rFonts w:ascii="Arial" w:hAnsi="Arial" w:cs="Arial"/>
          <w:sz w:val="24"/>
        </w:rPr>
        <w:t>whether the</w:t>
      </w:r>
      <w:r w:rsidR="00954707">
        <w:rPr>
          <w:rFonts w:ascii="Arial" w:hAnsi="Arial" w:cs="Arial"/>
          <w:sz w:val="24"/>
        </w:rPr>
        <w:t xml:space="preserve"> candidate</w:t>
      </w:r>
      <w:r w:rsidR="002814A6">
        <w:rPr>
          <w:rFonts w:ascii="Arial" w:hAnsi="Arial" w:cs="Arial"/>
          <w:sz w:val="24"/>
        </w:rPr>
        <w:t xml:space="preserve"> became a donor</w:t>
      </w:r>
      <w:r w:rsidR="00954707">
        <w:rPr>
          <w:rFonts w:ascii="Arial" w:hAnsi="Arial" w:cs="Arial"/>
          <w:sz w:val="24"/>
        </w:rPr>
        <w:t>, and if not, why not</w:t>
      </w:r>
      <w:r w:rsidR="00B4518F">
        <w:rPr>
          <w:rFonts w:ascii="Arial" w:hAnsi="Arial" w:cs="Arial"/>
          <w:sz w:val="24"/>
        </w:rPr>
        <w:t xml:space="preserve">.  </w:t>
      </w:r>
      <w:r w:rsidR="00954707">
        <w:rPr>
          <w:rFonts w:ascii="Arial" w:hAnsi="Arial" w:cs="Arial"/>
          <w:sz w:val="24"/>
        </w:rPr>
        <w:t>T</w:t>
      </w:r>
      <w:r w:rsidR="002814A6">
        <w:rPr>
          <w:rFonts w:ascii="Arial" w:hAnsi="Arial" w:cs="Arial"/>
          <w:sz w:val="24"/>
        </w:rPr>
        <w:t xml:space="preserve">he </w:t>
      </w:r>
      <w:r w:rsidR="00954707">
        <w:rPr>
          <w:rFonts w:ascii="Arial" w:hAnsi="Arial" w:cs="Arial"/>
          <w:sz w:val="24"/>
        </w:rPr>
        <w:t>SRTR will perform all subs</w:t>
      </w:r>
      <w:r w:rsidR="002814A6">
        <w:rPr>
          <w:rFonts w:ascii="Arial" w:hAnsi="Arial" w:cs="Arial"/>
          <w:sz w:val="24"/>
        </w:rPr>
        <w:t>equent follow-up</w:t>
      </w:r>
      <w:r w:rsidR="00954707">
        <w:rPr>
          <w:rFonts w:ascii="Arial" w:hAnsi="Arial" w:cs="Arial"/>
          <w:sz w:val="24"/>
        </w:rPr>
        <w:t xml:space="preserve"> through d</w:t>
      </w:r>
      <w:r w:rsidR="002814A6">
        <w:rPr>
          <w:rFonts w:ascii="Arial" w:hAnsi="Arial" w:cs="Arial"/>
          <w:sz w:val="24"/>
        </w:rPr>
        <w:t>irect patient contact</w:t>
      </w:r>
      <w:r w:rsidR="00277EC7">
        <w:rPr>
          <w:rFonts w:ascii="Arial" w:hAnsi="Arial" w:cs="Arial"/>
          <w:sz w:val="24"/>
        </w:rPr>
        <w:t xml:space="preserve"> at the </w:t>
      </w:r>
      <w:r w:rsidR="00DC754F">
        <w:rPr>
          <w:rFonts w:ascii="Arial" w:hAnsi="Arial" w:cs="Arial"/>
          <w:sz w:val="24"/>
        </w:rPr>
        <w:t>one-</w:t>
      </w:r>
      <w:r w:rsidR="00277EC7">
        <w:rPr>
          <w:rFonts w:ascii="Arial" w:hAnsi="Arial" w:cs="Arial"/>
          <w:sz w:val="24"/>
        </w:rPr>
        <w:t>year mark,</w:t>
      </w:r>
      <w:r w:rsidR="002814A6">
        <w:rPr>
          <w:rFonts w:ascii="Arial" w:hAnsi="Arial" w:cs="Arial"/>
          <w:sz w:val="24"/>
        </w:rPr>
        <w:t xml:space="preserve"> and </w:t>
      </w:r>
      <w:r w:rsidR="00277EC7">
        <w:rPr>
          <w:rFonts w:ascii="Arial" w:hAnsi="Arial" w:cs="Arial"/>
          <w:sz w:val="24"/>
        </w:rPr>
        <w:t xml:space="preserve">subsequently through </w:t>
      </w:r>
      <w:r>
        <w:rPr>
          <w:rFonts w:ascii="Arial" w:hAnsi="Arial" w:cs="Arial"/>
          <w:sz w:val="24"/>
        </w:rPr>
        <w:t xml:space="preserve">electronic </w:t>
      </w:r>
      <w:r w:rsidR="002814A6">
        <w:rPr>
          <w:rFonts w:ascii="Arial" w:hAnsi="Arial" w:cs="Arial"/>
          <w:sz w:val="24"/>
        </w:rPr>
        <w:t xml:space="preserve">linkages with other </w:t>
      </w:r>
      <w:r w:rsidR="00954707">
        <w:rPr>
          <w:rFonts w:ascii="Arial" w:hAnsi="Arial" w:cs="Arial"/>
          <w:sz w:val="24"/>
        </w:rPr>
        <w:t xml:space="preserve">data </w:t>
      </w:r>
      <w:r w:rsidR="002814A6">
        <w:rPr>
          <w:rFonts w:ascii="Arial" w:hAnsi="Arial" w:cs="Arial"/>
          <w:sz w:val="24"/>
        </w:rPr>
        <w:t>sources</w:t>
      </w:r>
      <w:r w:rsidR="000F27AF">
        <w:rPr>
          <w:rFonts w:ascii="Arial" w:hAnsi="Arial" w:cs="Arial"/>
          <w:sz w:val="24"/>
        </w:rPr>
        <w:t>, such as</w:t>
      </w:r>
      <w:r w:rsidR="00BB7738">
        <w:rPr>
          <w:rFonts w:ascii="Arial" w:hAnsi="Arial" w:cs="Arial"/>
          <w:sz w:val="24"/>
        </w:rPr>
        <w:t xml:space="preserve"> pharmacy claims data and the National Death Index</w:t>
      </w:r>
      <w:r w:rsidR="00B4518F">
        <w:rPr>
          <w:rFonts w:ascii="Arial" w:hAnsi="Arial" w:cs="Arial"/>
          <w:sz w:val="24"/>
        </w:rPr>
        <w:t xml:space="preserve">.  </w:t>
      </w:r>
      <w:r w:rsidRPr="00C8748F">
        <w:rPr>
          <w:rFonts w:ascii="Arial" w:hAnsi="Arial" w:cs="Arial"/>
          <w:noProof/>
          <w:sz w:val="24"/>
        </w:rPr>
        <w:t>This</w:t>
      </w:r>
      <w:r>
        <w:rPr>
          <w:rFonts w:ascii="Arial" w:hAnsi="Arial" w:cs="Arial"/>
          <w:sz w:val="24"/>
        </w:rPr>
        <w:t xml:space="preserve"> will eliminate any burden on transplant programs for providing any follow-up information on donors or candidates for donation.</w:t>
      </w:r>
    </w:p>
    <w:p w14:paraId="6040C198" w14:textId="77777777" w:rsidR="007103C5" w:rsidRPr="00A55D14" w:rsidRDefault="007103C5" w:rsidP="007103C5">
      <w:pPr>
        <w:rPr>
          <w:rFonts w:ascii="Arial" w:hAnsi="Arial" w:cs="Arial"/>
          <w:sz w:val="24"/>
        </w:rPr>
      </w:pPr>
    </w:p>
    <w:p w14:paraId="4A140CC2" w14:textId="541A03AB" w:rsidR="009B3794" w:rsidRPr="001F0C54" w:rsidRDefault="009B3794" w:rsidP="007103C5">
      <w:pPr>
        <w:numPr>
          <w:ilvl w:val="0"/>
          <w:numId w:val="2"/>
        </w:numPr>
        <w:tabs>
          <w:tab w:val="clear" w:pos="1080"/>
          <w:tab w:val="num" w:pos="360"/>
        </w:tabs>
        <w:ind w:left="360"/>
        <w:rPr>
          <w:rFonts w:ascii="Arial" w:hAnsi="Arial" w:cs="Arial"/>
          <w:b/>
          <w:sz w:val="24"/>
        </w:rPr>
      </w:pPr>
      <w:r w:rsidRPr="001F0C54">
        <w:rPr>
          <w:rFonts w:ascii="Arial" w:hAnsi="Arial" w:cs="Arial"/>
          <w:b/>
          <w:sz w:val="24"/>
          <w:u w:val="single"/>
        </w:rPr>
        <w:t>Efforts to  Identify Duplication and Use of Similar Information</w:t>
      </w:r>
    </w:p>
    <w:p w14:paraId="08498D09" w14:textId="77777777" w:rsidR="007103C5" w:rsidRDefault="007103C5" w:rsidP="007103C5">
      <w:pPr>
        <w:rPr>
          <w:rFonts w:ascii="Arial" w:hAnsi="Arial" w:cs="Arial"/>
          <w:sz w:val="24"/>
        </w:rPr>
      </w:pPr>
    </w:p>
    <w:p w14:paraId="71306898" w14:textId="3E9BCF34" w:rsidR="008737E8" w:rsidRDefault="002814A6" w:rsidP="007103C5">
      <w:pPr>
        <w:rPr>
          <w:rFonts w:ascii="Arial" w:hAnsi="Arial" w:cs="Arial"/>
          <w:sz w:val="24"/>
        </w:rPr>
      </w:pPr>
      <w:r>
        <w:rPr>
          <w:rFonts w:ascii="Arial" w:hAnsi="Arial" w:cs="Arial"/>
          <w:sz w:val="24"/>
        </w:rPr>
        <w:t>Components of t</w:t>
      </w:r>
      <w:r w:rsidR="008737E8">
        <w:rPr>
          <w:rFonts w:ascii="Arial" w:hAnsi="Arial" w:cs="Arial"/>
          <w:sz w:val="24"/>
        </w:rPr>
        <w:t xml:space="preserve">he </w:t>
      </w:r>
      <w:r>
        <w:rPr>
          <w:rFonts w:ascii="Arial" w:hAnsi="Arial" w:cs="Arial"/>
          <w:sz w:val="24"/>
        </w:rPr>
        <w:t xml:space="preserve">initial registration </w:t>
      </w:r>
      <w:r w:rsidR="008737E8">
        <w:rPr>
          <w:rFonts w:ascii="Arial" w:hAnsi="Arial" w:cs="Arial"/>
          <w:sz w:val="24"/>
        </w:rPr>
        <w:t>data</w:t>
      </w:r>
      <w:r w:rsidR="008737E8" w:rsidRPr="008737E8">
        <w:rPr>
          <w:rFonts w:ascii="Arial" w:hAnsi="Arial" w:cs="Arial"/>
          <w:sz w:val="24"/>
        </w:rPr>
        <w:t xml:space="preserve"> </w:t>
      </w:r>
      <w:r w:rsidR="008737E8">
        <w:rPr>
          <w:rFonts w:ascii="Arial" w:hAnsi="Arial" w:cs="Arial"/>
          <w:sz w:val="24"/>
        </w:rPr>
        <w:t xml:space="preserve">collected </w:t>
      </w:r>
      <w:r>
        <w:rPr>
          <w:rFonts w:ascii="Arial" w:hAnsi="Arial" w:cs="Arial"/>
          <w:sz w:val="24"/>
        </w:rPr>
        <w:t xml:space="preserve">by the registry will </w:t>
      </w:r>
      <w:r w:rsidR="00432632">
        <w:rPr>
          <w:rFonts w:ascii="Arial" w:hAnsi="Arial" w:cs="Arial"/>
          <w:sz w:val="24"/>
        </w:rPr>
        <w:t xml:space="preserve">duplicate </w:t>
      </w:r>
      <w:r w:rsidR="00B526E7">
        <w:rPr>
          <w:rFonts w:ascii="Arial" w:hAnsi="Arial" w:cs="Arial"/>
          <w:sz w:val="24"/>
        </w:rPr>
        <w:t>some data</w:t>
      </w:r>
      <w:r w:rsidR="008737E8">
        <w:rPr>
          <w:rFonts w:ascii="Arial" w:hAnsi="Arial" w:cs="Arial"/>
          <w:sz w:val="24"/>
        </w:rPr>
        <w:t xml:space="preserve"> </w:t>
      </w:r>
      <w:r w:rsidR="00432632">
        <w:rPr>
          <w:rFonts w:ascii="Arial" w:hAnsi="Arial" w:cs="Arial"/>
          <w:sz w:val="24"/>
        </w:rPr>
        <w:t xml:space="preserve">currently </w:t>
      </w:r>
      <w:r w:rsidR="008737E8">
        <w:rPr>
          <w:rFonts w:ascii="Arial" w:hAnsi="Arial" w:cs="Arial"/>
          <w:sz w:val="24"/>
        </w:rPr>
        <w:t xml:space="preserve">collected </w:t>
      </w:r>
      <w:r>
        <w:rPr>
          <w:rFonts w:ascii="Arial" w:hAnsi="Arial" w:cs="Arial"/>
          <w:sz w:val="24"/>
        </w:rPr>
        <w:t>by</w:t>
      </w:r>
      <w:r w:rsidR="008737E8">
        <w:rPr>
          <w:rFonts w:ascii="Arial" w:hAnsi="Arial" w:cs="Arial"/>
          <w:sz w:val="24"/>
        </w:rPr>
        <w:t xml:space="preserve"> the </w:t>
      </w:r>
      <w:r w:rsidR="008737E8" w:rsidRPr="008737E8">
        <w:rPr>
          <w:rFonts w:ascii="Arial" w:hAnsi="Arial" w:cs="Arial"/>
          <w:sz w:val="24"/>
        </w:rPr>
        <w:t>OPTN</w:t>
      </w:r>
      <w:r w:rsidR="00B4518F">
        <w:rPr>
          <w:rFonts w:ascii="Arial" w:hAnsi="Arial" w:cs="Arial"/>
          <w:sz w:val="24"/>
        </w:rPr>
        <w:t xml:space="preserve">.  </w:t>
      </w:r>
      <w:r w:rsidR="00432632">
        <w:rPr>
          <w:rFonts w:ascii="Arial" w:hAnsi="Arial" w:cs="Arial"/>
          <w:sz w:val="24"/>
        </w:rPr>
        <w:t>H</w:t>
      </w:r>
      <w:r>
        <w:rPr>
          <w:rFonts w:ascii="Arial" w:hAnsi="Arial" w:cs="Arial"/>
          <w:sz w:val="24"/>
        </w:rPr>
        <w:t xml:space="preserve">owever, the registry will be collecting information beyond that collected by the OPTN, e.g., registration information on individuals who do not ultimately donate their organ along with </w:t>
      </w:r>
      <w:r w:rsidR="00806E05">
        <w:rPr>
          <w:rFonts w:ascii="Arial" w:hAnsi="Arial" w:cs="Arial"/>
          <w:sz w:val="24"/>
        </w:rPr>
        <w:t xml:space="preserve">the </w:t>
      </w:r>
      <w:r>
        <w:rPr>
          <w:rFonts w:ascii="Arial" w:hAnsi="Arial" w:cs="Arial"/>
          <w:sz w:val="24"/>
        </w:rPr>
        <w:t>reason</w:t>
      </w:r>
      <w:r w:rsidR="00806E05">
        <w:rPr>
          <w:rFonts w:ascii="Arial" w:hAnsi="Arial" w:cs="Arial"/>
          <w:sz w:val="24"/>
        </w:rPr>
        <w:t>(</w:t>
      </w:r>
      <w:r>
        <w:rPr>
          <w:rFonts w:ascii="Arial" w:hAnsi="Arial" w:cs="Arial"/>
          <w:sz w:val="24"/>
        </w:rPr>
        <w:t>s</w:t>
      </w:r>
      <w:r w:rsidR="00806E05">
        <w:rPr>
          <w:rFonts w:ascii="Arial" w:hAnsi="Arial" w:cs="Arial"/>
          <w:sz w:val="24"/>
        </w:rPr>
        <w:t>)</w:t>
      </w:r>
      <w:r>
        <w:rPr>
          <w:rFonts w:ascii="Arial" w:hAnsi="Arial" w:cs="Arial"/>
          <w:sz w:val="24"/>
        </w:rPr>
        <w:t xml:space="preserve"> those individuals do not become donors</w:t>
      </w:r>
      <w:r w:rsidR="00B4518F">
        <w:rPr>
          <w:rFonts w:ascii="Arial" w:hAnsi="Arial" w:cs="Arial"/>
          <w:sz w:val="24"/>
        </w:rPr>
        <w:t xml:space="preserve">.  </w:t>
      </w:r>
      <w:r w:rsidR="008737E8" w:rsidRPr="008737E8">
        <w:rPr>
          <w:rFonts w:ascii="Arial" w:hAnsi="Arial" w:cs="Arial"/>
          <w:sz w:val="24"/>
        </w:rPr>
        <w:t>Ultimately,</w:t>
      </w:r>
      <w:r w:rsidR="00806E05">
        <w:rPr>
          <w:rFonts w:ascii="Arial" w:hAnsi="Arial" w:cs="Arial"/>
          <w:sz w:val="24"/>
        </w:rPr>
        <w:t xml:space="preserve"> if the registry is successful, SRTR will work with HRSA’s Division of Transplantation to explore whether or not the registry can supplant the OPTN’s collection of data on living donors, particularly the follow-up requirements through the first two</w:t>
      </w:r>
      <w:r w:rsidR="00AB5B15">
        <w:rPr>
          <w:rFonts w:ascii="Arial" w:hAnsi="Arial" w:cs="Arial"/>
          <w:sz w:val="24"/>
        </w:rPr>
        <w:t xml:space="preserve"> </w:t>
      </w:r>
      <w:r w:rsidR="00806E05">
        <w:rPr>
          <w:rFonts w:ascii="Arial" w:hAnsi="Arial" w:cs="Arial"/>
          <w:sz w:val="24"/>
        </w:rPr>
        <w:t>years post-donation</w:t>
      </w:r>
      <w:r w:rsidR="00B4518F">
        <w:rPr>
          <w:rFonts w:ascii="Arial" w:hAnsi="Arial" w:cs="Arial"/>
          <w:sz w:val="24"/>
        </w:rPr>
        <w:t xml:space="preserve">.  </w:t>
      </w:r>
      <w:r w:rsidR="00432632" w:rsidRPr="00E31FD9">
        <w:rPr>
          <w:rFonts w:ascii="Arial" w:hAnsi="Arial" w:cs="Arial"/>
          <w:noProof/>
          <w:sz w:val="24"/>
        </w:rPr>
        <w:t>This</w:t>
      </w:r>
      <w:r w:rsidR="00432632">
        <w:rPr>
          <w:rFonts w:ascii="Arial" w:hAnsi="Arial" w:cs="Arial"/>
          <w:sz w:val="24"/>
        </w:rPr>
        <w:t xml:space="preserve"> would greatly reduce the burden of data collection currently borne by transplant programs.</w:t>
      </w:r>
    </w:p>
    <w:p w14:paraId="7A68C42C" w14:textId="77777777" w:rsidR="005149B4" w:rsidRDefault="005149B4" w:rsidP="007103C5">
      <w:pPr>
        <w:rPr>
          <w:rFonts w:ascii="Arial" w:hAnsi="Arial" w:cs="Arial"/>
          <w:sz w:val="24"/>
        </w:rPr>
      </w:pPr>
    </w:p>
    <w:p w14:paraId="1671AA13" w14:textId="77777777" w:rsidR="00A55D14" w:rsidRDefault="009B3794" w:rsidP="007103C5">
      <w:pPr>
        <w:numPr>
          <w:ilvl w:val="0"/>
          <w:numId w:val="2"/>
        </w:numPr>
        <w:tabs>
          <w:tab w:val="clear" w:pos="1080"/>
          <w:tab w:val="num" w:pos="360"/>
        </w:tabs>
        <w:ind w:left="360"/>
        <w:rPr>
          <w:rFonts w:ascii="Arial" w:hAnsi="Arial" w:cs="Arial"/>
          <w:color w:val="000000"/>
          <w:sz w:val="24"/>
        </w:rPr>
      </w:pPr>
      <w:r w:rsidRPr="006049D1">
        <w:rPr>
          <w:rFonts w:ascii="Arial" w:hAnsi="Arial" w:cs="Arial"/>
          <w:b/>
          <w:sz w:val="24"/>
          <w:u w:val="single"/>
        </w:rPr>
        <w:lastRenderedPageBreak/>
        <w:t>Impact on Small Businesses or Other Small Entities</w:t>
      </w:r>
    </w:p>
    <w:p w14:paraId="1F74F409" w14:textId="77777777" w:rsidR="000F27AF" w:rsidRDefault="000F27AF" w:rsidP="007103C5">
      <w:pPr>
        <w:rPr>
          <w:rFonts w:ascii="Arial" w:hAnsi="Arial" w:cs="Arial"/>
          <w:sz w:val="24"/>
        </w:rPr>
      </w:pPr>
    </w:p>
    <w:p w14:paraId="65C307E0" w14:textId="3670C651" w:rsidR="00A55D14" w:rsidRDefault="00A75FE2" w:rsidP="007103C5">
      <w:pPr>
        <w:rPr>
          <w:rFonts w:ascii="Arial" w:hAnsi="Arial" w:cs="Arial"/>
          <w:sz w:val="24"/>
        </w:rPr>
      </w:pPr>
      <w:r>
        <w:rPr>
          <w:rFonts w:ascii="Arial" w:hAnsi="Arial" w:cs="Arial"/>
          <w:sz w:val="24"/>
        </w:rPr>
        <w:t xml:space="preserve">The data collected by the registry </w:t>
      </w:r>
      <w:r w:rsidRPr="00E31FD9">
        <w:rPr>
          <w:rFonts w:ascii="Arial" w:hAnsi="Arial" w:cs="Arial"/>
          <w:noProof/>
          <w:sz w:val="24"/>
        </w:rPr>
        <w:t xml:space="preserve">were </w:t>
      </w:r>
      <w:r w:rsidR="00C615BE" w:rsidRPr="00E31FD9">
        <w:rPr>
          <w:rFonts w:ascii="Arial" w:hAnsi="Arial" w:cs="Arial"/>
          <w:noProof/>
          <w:sz w:val="24"/>
        </w:rPr>
        <w:t>selected</w:t>
      </w:r>
      <w:r>
        <w:rPr>
          <w:rFonts w:ascii="Arial" w:hAnsi="Arial" w:cs="Arial"/>
          <w:sz w:val="24"/>
        </w:rPr>
        <w:t xml:space="preserve"> by a steering committee of professionals in the fields of kidney and liver transplantation, including professionals from both large and small transplant programs</w:t>
      </w:r>
      <w:r w:rsidR="00B4518F">
        <w:rPr>
          <w:rFonts w:ascii="Arial" w:hAnsi="Arial" w:cs="Arial"/>
          <w:sz w:val="24"/>
        </w:rPr>
        <w:t xml:space="preserve">.  </w:t>
      </w:r>
      <w:r>
        <w:rPr>
          <w:rFonts w:ascii="Arial" w:hAnsi="Arial" w:cs="Arial"/>
          <w:sz w:val="24"/>
        </w:rPr>
        <w:t xml:space="preserve">All data elements were carefully </w:t>
      </w:r>
      <w:r w:rsidR="00432632">
        <w:rPr>
          <w:rFonts w:ascii="Arial" w:hAnsi="Arial" w:cs="Arial"/>
          <w:sz w:val="24"/>
        </w:rPr>
        <w:t xml:space="preserve">selected and </w:t>
      </w:r>
      <w:r w:rsidR="00C615BE">
        <w:rPr>
          <w:rFonts w:ascii="Arial" w:hAnsi="Arial" w:cs="Arial"/>
          <w:sz w:val="24"/>
        </w:rPr>
        <w:t xml:space="preserve">limited to </w:t>
      </w:r>
      <w:r w:rsidR="00432632">
        <w:rPr>
          <w:rFonts w:ascii="Arial" w:hAnsi="Arial" w:cs="Arial"/>
          <w:sz w:val="24"/>
        </w:rPr>
        <w:t xml:space="preserve">those </w:t>
      </w:r>
      <w:r>
        <w:rPr>
          <w:rFonts w:ascii="Arial" w:hAnsi="Arial" w:cs="Arial"/>
          <w:sz w:val="24"/>
        </w:rPr>
        <w:t>need</w:t>
      </w:r>
      <w:r w:rsidR="00432632">
        <w:rPr>
          <w:rFonts w:ascii="Arial" w:hAnsi="Arial" w:cs="Arial"/>
          <w:sz w:val="24"/>
        </w:rPr>
        <w:t>ed to fulfill the purpose of the registry</w:t>
      </w:r>
      <w:r w:rsidR="00B4518F">
        <w:rPr>
          <w:rFonts w:ascii="Arial" w:hAnsi="Arial" w:cs="Arial"/>
          <w:sz w:val="24"/>
        </w:rPr>
        <w:t xml:space="preserve">.  </w:t>
      </w:r>
      <w:r w:rsidR="00432632">
        <w:rPr>
          <w:rFonts w:ascii="Arial" w:hAnsi="Arial" w:cs="Arial"/>
          <w:sz w:val="24"/>
        </w:rPr>
        <w:t>T</w:t>
      </w:r>
      <w:r>
        <w:rPr>
          <w:rFonts w:ascii="Arial" w:hAnsi="Arial" w:cs="Arial"/>
          <w:sz w:val="24"/>
        </w:rPr>
        <w:t>he</w:t>
      </w:r>
      <w:r w:rsidR="00C615BE">
        <w:rPr>
          <w:rFonts w:ascii="Arial" w:hAnsi="Arial" w:cs="Arial"/>
          <w:sz w:val="24"/>
        </w:rPr>
        <w:t xml:space="preserve"> same data will </w:t>
      </w:r>
      <w:r w:rsidR="00C615BE" w:rsidRPr="00E31FD9">
        <w:rPr>
          <w:rFonts w:ascii="Arial" w:hAnsi="Arial" w:cs="Arial"/>
          <w:noProof/>
          <w:sz w:val="24"/>
        </w:rPr>
        <w:t>be collected</w:t>
      </w:r>
      <w:r w:rsidR="00C615BE">
        <w:rPr>
          <w:rFonts w:ascii="Arial" w:hAnsi="Arial" w:cs="Arial"/>
          <w:sz w:val="24"/>
        </w:rPr>
        <w:t xml:space="preserve"> on each donor </w:t>
      </w:r>
      <w:r w:rsidR="00C615BE" w:rsidRPr="00C8748F">
        <w:rPr>
          <w:rFonts w:ascii="Arial" w:hAnsi="Arial" w:cs="Arial"/>
          <w:noProof/>
          <w:sz w:val="24"/>
        </w:rPr>
        <w:t>candidate</w:t>
      </w:r>
      <w:r w:rsidR="00C8748F">
        <w:rPr>
          <w:rFonts w:ascii="Arial" w:hAnsi="Arial" w:cs="Arial"/>
          <w:noProof/>
          <w:sz w:val="24"/>
        </w:rPr>
        <w:t>,</w:t>
      </w:r>
      <w:r w:rsidR="00C615BE">
        <w:rPr>
          <w:rFonts w:ascii="Arial" w:hAnsi="Arial" w:cs="Arial"/>
          <w:sz w:val="24"/>
        </w:rPr>
        <w:t xml:space="preserve"> and therefore the</w:t>
      </w:r>
      <w:r>
        <w:rPr>
          <w:rFonts w:ascii="Arial" w:hAnsi="Arial" w:cs="Arial"/>
          <w:sz w:val="24"/>
        </w:rPr>
        <w:t xml:space="preserve"> burden of the data collection</w:t>
      </w:r>
      <w:r w:rsidR="00277EC7">
        <w:rPr>
          <w:rFonts w:ascii="Arial" w:hAnsi="Arial" w:cs="Arial"/>
          <w:sz w:val="24"/>
        </w:rPr>
        <w:t xml:space="preserve"> on organ transplant programs (for the initial intake of potential living donors)</w:t>
      </w:r>
      <w:r>
        <w:rPr>
          <w:rFonts w:ascii="Arial" w:hAnsi="Arial" w:cs="Arial"/>
          <w:sz w:val="24"/>
        </w:rPr>
        <w:t xml:space="preserve"> will be proportion</w:t>
      </w:r>
      <w:r w:rsidR="00432632">
        <w:rPr>
          <w:rFonts w:ascii="Arial" w:hAnsi="Arial" w:cs="Arial"/>
          <w:sz w:val="24"/>
        </w:rPr>
        <w:t xml:space="preserve">al to </w:t>
      </w:r>
      <w:r>
        <w:rPr>
          <w:rFonts w:ascii="Arial" w:hAnsi="Arial" w:cs="Arial"/>
          <w:sz w:val="24"/>
        </w:rPr>
        <w:t>the number of donors and donor candidates seen by the program</w:t>
      </w:r>
      <w:r w:rsidR="00B4518F">
        <w:rPr>
          <w:rFonts w:ascii="Arial" w:hAnsi="Arial" w:cs="Arial"/>
          <w:sz w:val="24"/>
        </w:rPr>
        <w:t xml:space="preserve">.  </w:t>
      </w:r>
      <w:r w:rsidR="00C615BE">
        <w:rPr>
          <w:rFonts w:ascii="Arial" w:hAnsi="Arial" w:cs="Arial"/>
          <w:sz w:val="24"/>
        </w:rPr>
        <w:t>Small programs will collect less data and vice versa.</w:t>
      </w:r>
      <w:r w:rsidR="00277EC7">
        <w:rPr>
          <w:rFonts w:ascii="Arial" w:hAnsi="Arial" w:cs="Arial"/>
          <w:sz w:val="24"/>
        </w:rPr>
        <w:t xml:space="preserve">  </w:t>
      </w:r>
    </w:p>
    <w:p w14:paraId="26E3FE8A" w14:textId="77777777" w:rsidR="000F27AF" w:rsidRDefault="000F27AF" w:rsidP="007103C5">
      <w:pPr>
        <w:rPr>
          <w:rFonts w:ascii="Arial" w:hAnsi="Arial" w:cs="Arial"/>
          <w:sz w:val="24"/>
        </w:rPr>
      </w:pPr>
    </w:p>
    <w:p w14:paraId="1900DA56" w14:textId="13F130A6" w:rsidR="000F27AF" w:rsidRDefault="000F27AF" w:rsidP="00043798">
      <w:pPr>
        <w:rPr>
          <w:rFonts w:ascii="Arial" w:hAnsi="Arial" w:cs="Arial"/>
          <w:sz w:val="24"/>
        </w:rPr>
      </w:pPr>
      <w:r>
        <w:rPr>
          <w:rFonts w:ascii="Arial" w:hAnsi="Arial" w:cs="Arial"/>
          <w:sz w:val="24"/>
        </w:rPr>
        <w:t>We anticipate that the data collection will minimally impact two (2) small businesses/entities for the Potential Living Donor Registration form and two (2) small businesses/entities for the Reasons Didn’t Donate form.</w:t>
      </w:r>
    </w:p>
    <w:p w14:paraId="0BF72C4D" w14:textId="77777777" w:rsidR="000F27AF" w:rsidRPr="00A55D14" w:rsidRDefault="000F27AF" w:rsidP="00043798">
      <w:pPr>
        <w:rPr>
          <w:rFonts w:ascii="Arial" w:hAnsi="Arial" w:cs="Arial"/>
          <w:color w:val="000000"/>
          <w:sz w:val="24"/>
        </w:rPr>
      </w:pPr>
    </w:p>
    <w:p w14:paraId="6BF10337" w14:textId="5FEC7078" w:rsidR="009B3794" w:rsidRPr="00A55D14"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Consequences of Collecting the Information Less Frequent</w:t>
      </w:r>
      <w:r w:rsidR="001325B2" w:rsidRPr="006049D1">
        <w:rPr>
          <w:rFonts w:ascii="Arial" w:hAnsi="Arial" w:cs="Arial"/>
          <w:b/>
          <w:sz w:val="24"/>
          <w:u w:val="single"/>
        </w:rPr>
        <w:t>ly</w:t>
      </w:r>
    </w:p>
    <w:p w14:paraId="0C1ECE64" w14:textId="2544E40F" w:rsidR="000F27AF" w:rsidRDefault="000F27AF" w:rsidP="007103C5">
      <w:pPr>
        <w:rPr>
          <w:rFonts w:ascii="Arial" w:hAnsi="Arial" w:cs="Arial"/>
          <w:sz w:val="24"/>
        </w:rPr>
      </w:pPr>
    </w:p>
    <w:p w14:paraId="4BBCB55A" w14:textId="40F767E9" w:rsidR="007103C5" w:rsidRDefault="000F27AF" w:rsidP="007103C5">
      <w:pPr>
        <w:rPr>
          <w:rFonts w:ascii="Arial" w:hAnsi="Arial" w:cs="Arial"/>
          <w:sz w:val="24"/>
        </w:rPr>
      </w:pPr>
      <w:r>
        <w:rPr>
          <w:rFonts w:ascii="Arial" w:hAnsi="Arial" w:cs="Arial"/>
          <w:sz w:val="24"/>
        </w:rPr>
        <w:t>If this information collection request is not approved, the SRTR program will be unable to monitor and report the long-term health outcomes of living donors post donation</w:t>
      </w:r>
      <w:r w:rsidR="007103C5">
        <w:rPr>
          <w:rFonts w:ascii="Arial" w:hAnsi="Arial" w:cs="Arial"/>
          <w:sz w:val="24"/>
        </w:rPr>
        <w:t xml:space="preserve">.  This information will be useful to transplant programs in their future donor selection process and to aiding potential living donors in their decision to pursue living donation. </w:t>
      </w:r>
    </w:p>
    <w:p w14:paraId="4EB0A460" w14:textId="77777777" w:rsidR="007103C5" w:rsidRDefault="007103C5" w:rsidP="00043798">
      <w:pPr>
        <w:rPr>
          <w:rFonts w:ascii="Arial" w:hAnsi="Arial" w:cs="Arial"/>
          <w:sz w:val="24"/>
        </w:rPr>
      </w:pPr>
    </w:p>
    <w:p w14:paraId="23773C57" w14:textId="39500A87" w:rsidR="00C615BE" w:rsidRDefault="00C615BE" w:rsidP="00043798">
      <w:pPr>
        <w:rPr>
          <w:rFonts w:ascii="Arial" w:hAnsi="Arial" w:cs="Arial"/>
          <w:sz w:val="24"/>
        </w:rPr>
      </w:pPr>
      <w:r>
        <w:rPr>
          <w:rFonts w:ascii="Arial" w:hAnsi="Arial" w:cs="Arial"/>
          <w:sz w:val="24"/>
        </w:rPr>
        <w:t>The proposed pilot registry will consist entirely of transplant programs that have volunteered to participate</w:t>
      </w:r>
      <w:r w:rsidR="00B4518F">
        <w:rPr>
          <w:rFonts w:ascii="Arial" w:hAnsi="Arial" w:cs="Arial"/>
          <w:sz w:val="24"/>
        </w:rPr>
        <w:t xml:space="preserve">.  </w:t>
      </w:r>
      <w:r>
        <w:rPr>
          <w:rFonts w:ascii="Arial" w:hAnsi="Arial" w:cs="Arial"/>
          <w:sz w:val="24"/>
        </w:rPr>
        <w:t>The registry will demonstrate the feasibility and burden of collecting a minimum of amount of data that will then allow the SRTR to collect the follow-up information needed for donors and candidates that did not donate</w:t>
      </w:r>
      <w:r w:rsidR="00B4518F">
        <w:rPr>
          <w:rFonts w:ascii="Arial" w:hAnsi="Arial" w:cs="Arial"/>
          <w:sz w:val="24"/>
        </w:rPr>
        <w:t xml:space="preserve">.  </w:t>
      </w:r>
      <w:r w:rsidR="0069600B">
        <w:rPr>
          <w:rFonts w:ascii="Arial" w:hAnsi="Arial" w:cs="Arial"/>
          <w:sz w:val="24"/>
        </w:rPr>
        <w:t>Organ transplant p</w:t>
      </w:r>
      <w:r w:rsidR="00AB5B15">
        <w:rPr>
          <w:rFonts w:ascii="Arial" w:hAnsi="Arial" w:cs="Arial"/>
          <w:sz w:val="24"/>
        </w:rPr>
        <w:t xml:space="preserve">rograms will not </w:t>
      </w:r>
      <w:r w:rsidR="00AB5B15" w:rsidRPr="00E31FD9">
        <w:rPr>
          <w:rFonts w:ascii="Arial" w:hAnsi="Arial" w:cs="Arial"/>
          <w:noProof/>
          <w:sz w:val="24"/>
        </w:rPr>
        <w:t>be burdened</w:t>
      </w:r>
      <w:r w:rsidR="00AB5B15">
        <w:rPr>
          <w:rFonts w:ascii="Arial" w:hAnsi="Arial" w:cs="Arial"/>
          <w:sz w:val="24"/>
        </w:rPr>
        <w:t xml:space="preserve"> with collecting follow-up information</w:t>
      </w:r>
      <w:r w:rsidR="00B4518F">
        <w:rPr>
          <w:rFonts w:ascii="Arial" w:hAnsi="Arial" w:cs="Arial"/>
          <w:sz w:val="24"/>
        </w:rPr>
        <w:t xml:space="preserve">.  </w:t>
      </w:r>
      <w:r>
        <w:rPr>
          <w:rFonts w:ascii="Arial" w:hAnsi="Arial" w:cs="Arial"/>
          <w:sz w:val="24"/>
        </w:rPr>
        <w:t xml:space="preserve">The ultimate goal this pilot project is to establish a registry </w:t>
      </w:r>
      <w:r w:rsidR="00AB5B15">
        <w:rPr>
          <w:rFonts w:ascii="Arial" w:hAnsi="Arial" w:cs="Arial"/>
          <w:sz w:val="24"/>
        </w:rPr>
        <w:t xml:space="preserve">of </w:t>
      </w:r>
      <w:r w:rsidR="00AB5B15" w:rsidRPr="00E31FD9">
        <w:rPr>
          <w:rFonts w:ascii="Arial" w:hAnsi="Arial" w:cs="Arial"/>
          <w:noProof/>
          <w:sz w:val="24"/>
        </w:rPr>
        <w:t>minimal</w:t>
      </w:r>
      <w:r w:rsidR="00AB5B15">
        <w:rPr>
          <w:rFonts w:ascii="Arial" w:hAnsi="Arial" w:cs="Arial"/>
          <w:sz w:val="24"/>
        </w:rPr>
        <w:t xml:space="preserve"> burden so </w:t>
      </w:r>
      <w:r>
        <w:rPr>
          <w:rFonts w:ascii="Arial" w:hAnsi="Arial" w:cs="Arial"/>
          <w:sz w:val="24"/>
        </w:rPr>
        <w:t xml:space="preserve">that other </w:t>
      </w:r>
      <w:r w:rsidR="0069600B">
        <w:rPr>
          <w:rFonts w:ascii="Arial" w:hAnsi="Arial" w:cs="Arial"/>
          <w:sz w:val="24"/>
        </w:rPr>
        <w:t xml:space="preserve">organ </w:t>
      </w:r>
      <w:r>
        <w:rPr>
          <w:rFonts w:ascii="Arial" w:hAnsi="Arial" w:cs="Arial"/>
          <w:sz w:val="24"/>
        </w:rPr>
        <w:t>transplant prog</w:t>
      </w:r>
      <w:r w:rsidR="00AB5B15">
        <w:rPr>
          <w:rFonts w:ascii="Arial" w:hAnsi="Arial" w:cs="Arial"/>
          <w:sz w:val="24"/>
        </w:rPr>
        <w:t xml:space="preserve">rams </w:t>
      </w:r>
      <w:r w:rsidR="005C55D7">
        <w:rPr>
          <w:rFonts w:ascii="Arial" w:hAnsi="Arial" w:cs="Arial"/>
          <w:sz w:val="24"/>
        </w:rPr>
        <w:t xml:space="preserve">will </w:t>
      </w:r>
      <w:r w:rsidR="00AB5B15">
        <w:rPr>
          <w:rFonts w:ascii="Arial" w:hAnsi="Arial" w:cs="Arial"/>
          <w:sz w:val="24"/>
        </w:rPr>
        <w:t>want to participate</w:t>
      </w:r>
      <w:r w:rsidR="005C55D7">
        <w:rPr>
          <w:rFonts w:ascii="Arial" w:hAnsi="Arial" w:cs="Arial"/>
          <w:sz w:val="24"/>
        </w:rPr>
        <w:t xml:space="preserve"> after this pilot </w:t>
      </w:r>
      <w:r w:rsidR="005C55D7" w:rsidRPr="00E31FD9">
        <w:rPr>
          <w:rFonts w:ascii="Arial" w:hAnsi="Arial" w:cs="Arial"/>
          <w:noProof/>
          <w:sz w:val="24"/>
        </w:rPr>
        <w:t>is completed</w:t>
      </w:r>
      <w:r w:rsidR="00AB5B15">
        <w:rPr>
          <w:rFonts w:ascii="Arial" w:hAnsi="Arial" w:cs="Arial"/>
          <w:sz w:val="24"/>
        </w:rPr>
        <w:t>.</w:t>
      </w:r>
    </w:p>
    <w:p w14:paraId="0881F269" w14:textId="59BAB180" w:rsidR="00AB5B15" w:rsidRDefault="00AB5B15" w:rsidP="00043798">
      <w:pPr>
        <w:rPr>
          <w:rFonts w:ascii="Arial" w:hAnsi="Arial" w:cs="Arial"/>
          <w:sz w:val="24"/>
        </w:rPr>
      </w:pPr>
    </w:p>
    <w:p w14:paraId="6A387388" w14:textId="3C73C1B2" w:rsidR="00AB5B15" w:rsidRDefault="00AB5B15" w:rsidP="00043798">
      <w:pPr>
        <w:rPr>
          <w:rFonts w:ascii="Arial" w:hAnsi="Arial" w:cs="Arial"/>
          <w:sz w:val="24"/>
        </w:rPr>
      </w:pPr>
      <w:r>
        <w:rPr>
          <w:rFonts w:ascii="Arial" w:hAnsi="Arial" w:cs="Arial"/>
          <w:sz w:val="24"/>
        </w:rPr>
        <w:t xml:space="preserve">The data collection for participating transplant programs will be only once, at the time of initial registration and when it </w:t>
      </w:r>
      <w:r w:rsidRPr="00E31FD9">
        <w:rPr>
          <w:rFonts w:ascii="Arial" w:hAnsi="Arial" w:cs="Arial"/>
          <w:noProof/>
          <w:sz w:val="24"/>
        </w:rPr>
        <w:t>is determined</w:t>
      </w:r>
      <w:r>
        <w:rPr>
          <w:rFonts w:ascii="Arial" w:hAnsi="Arial" w:cs="Arial"/>
          <w:sz w:val="24"/>
        </w:rPr>
        <w:t xml:space="preserve"> whether the donor candidate has become a donor, and if not, why not</w:t>
      </w:r>
      <w:r w:rsidR="00B4518F">
        <w:rPr>
          <w:rFonts w:ascii="Arial" w:hAnsi="Arial" w:cs="Arial"/>
          <w:sz w:val="24"/>
        </w:rPr>
        <w:t xml:space="preserve">.  </w:t>
      </w:r>
      <w:r>
        <w:rPr>
          <w:rFonts w:ascii="Arial" w:hAnsi="Arial" w:cs="Arial"/>
          <w:sz w:val="24"/>
        </w:rPr>
        <w:t>The SRTR will follow-up with donors</w:t>
      </w:r>
      <w:r w:rsidR="005C55D7">
        <w:rPr>
          <w:rFonts w:ascii="Arial" w:hAnsi="Arial" w:cs="Arial"/>
          <w:sz w:val="24"/>
        </w:rPr>
        <w:t xml:space="preserve"> and donor candidates</w:t>
      </w:r>
      <w:r w:rsidR="00B4518F">
        <w:rPr>
          <w:rFonts w:ascii="Arial" w:hAnsi="Arial" w:cs="Arial"/>
          <w:sz w:val="24"/>
        </w:rPr>
        <w:t xml:space="preserve">.  </w:t>
      </w:r>
      <w:r>
        <w:rPr>
          <w:rFonts w:ascii="Arial" w:hAnsi="Arial" w:cs="Arial"/>
          <w:sz w:val="24"/>
        </w:rPr>
        <w:t xml:space="preserve">To determine the feasibility of this registry during this pilot project, the SRTR will contact all donors and donor candidates at </w:t>
      </w:r>
      <w:r w:rsidR="00B4518F">
        <w:rPr>
          <w:rFonts w:ascii="Arial" w:hAnsi="Arial" w:cs="Arial"/>
          <w:sz w:val="24"/>
        </w:rPr>
        <w:t>1</w:t>
      </w:r>
      <w:r>
        <w:rPr>
          <w:rFonts w:ascii="Arial" w:hAnsi="Arial" w:cs="Arial"/>
          <w:sz w:val="24"/>
        </w:rPr>
        <w:t xml:space="preserve"> year after donation or after the </w:t>
      </w:r>
      <w:r w:rsidR="005C55D7">
        <w:rPr>
          <w:rFonts w:ascii="Arial" w:hAnsi="Arial" w:cs="Arial"/>
          <w:sz w:val="24"/>
        </w:rPr>
        <w:t xml:space="preserve">decision that the </w:t>
      </w:r>
      <w:r>
        <w:rPr>
          <w:rFonts w:ascii="Arial" w:hAnsi="Arial" w:cs="Arial"/>
          <w:sz w:val="24"/>
        </w:rPr>
        <w:t>candidate w</w:t>
      </w:r>
      <w:r w:rsidR="005C55D7">
        <w:rPr>
          <w:rFonts w:ascii="Arial" w:hAnsi="Arial" w:cs="Arial"/>
          <w:sz w:val="24"/>
        </w:rPr>
        <w:t>ill</w:t>
      </w:r>
      <w:r>
        <w:rPr>
          <w:rFonts w:ascii="Arial" w:hAnsi="Arial" w:cs="Arial"/>
          <w:sz w:val="24"/>
        </w:rPr>
        <w:t xml:space="preserve"> not donate</w:t>
      </w:r>
      <w:r w:rsidR="00B4518F">
        <w:rPr>
          <w:rFonts w:ascii="Arial" w:hAnsi="Arial" w:cs="Arial"/>
          <w:sz w:val="24"/>
        </w:rPr>
        <w:t xml:space="preserve">.  </w:t>
      </w:r>
      <w:r w:rsidR="005C55D7">
        <w:rPr>
          <w:rFonts w:ascii="Arial" w:hAnsi="Arial" w:cs="Arial"/>
          <w:sz w:val="24"/>
        </w:rPr>
        <w:t xml:space="preserve">The </w:t>
      </w:r>
      <w:r>
        <w:rPr>
          <w:rFonts w:ascii="Arial" w:hAnsi="Arial" w:cs="Arial"/>
          <w:sz w:val="24"/>
        </w:rPr>
        <w:t xml:space="preserve">initial survey that the SRTR will conduct </w:t>
      </w:r>
      <w:r w:rsidR="005C55D7">
        <w:rPr>
          <w:rFonts w:ascii="Arial" w:hAnsi="Arial" w:cs="Arial"/>
          <w:sz w:val="24"/>
        </w:rPr>
        <w:t xml:space="preserve">(by telephone or email) </w:t>
      </w:r>
      <w:r w:rsidR="00115947">
        <w:rPr>
          <w:rFonts w:ascii="Arial" w:hAnsi="Arial" w:cs="Arial"/>
          <w:sz w:val="24"/>
        </w:rPr>
        <w:t xml:space="preserve">will require less than </w:t>
      </w:r>
      <w:r w:rsidR="00B4518F">
        <w:rPr>
          <w:rFonts w:ascii="Arial" w:hAnsi="Arial" w:cs="Arial"/>
          <w:sz w:val="24"/>
        </w:rPr>
        <w:t>5</w:t>
      </w:r>
      <w:r>
        <w:rPr>
          <w:rFonts w:ascii="Arial" w:hAnsi="Arial" w:cs="Arial"/>
          <w:sz w:val="24"/>
        </w:rPr>
        <w:t xml:space="preserve"> minutes</w:t>
      </w:r>
      <w:r w:rsidR="005C55D7">
        <w:rPr>
          <w:rFonts w:ascii="Arial" w:hAnsi="Arial" w:cs="Arial"/>
          <w:sz w:val="24"/>
        </w:rPr>
        <w:t xml:space="preserve"> of the participant’s time</w:t>
      </w:r>
      <w:r w:rsidR="00B4518F">
        <w:rPr>
          <w:rFonts w:ascii="Arial" w:hAnsi="Arial" w:cs="Arial"/>
          <w:sz w:val="24"/>
        </w:rPr>
        <w:t xml:space="preserve">.  </w:t>
      </w:r>
      <w:r w:rsidR="005C55D7">
        <w:rPr>
          <w:rFonts w:ascii="Arial" w:hAnsi="Arial" w:cs="Arial"/>
          <w:sz w:val="24"/>
        </w:rPr>
        <w:t xml:space="preserve">It will be voluntary; </w:t>
      </w:r>
      <w:r w:rsidR="00115947">
        <w:rPr>
          <w:rFonts w:ascii="Arial" w:hAnsi="Arial" w:cs="Arial"/>
          <w:sz w:val="24"/>
        </w:rPr>
        <w:t>d</w:t>
      </w:r>
      <w:r>
        <w:rPr>
          <w:rFonts w:ascii="Arial" w:hAnsi="Arial" w:cs="Arial"/>
          <w:sz w:val="24"/>
        </w:rPr>
        <w:t xml:space="preserve">onors and donor candidates may opt out of any contact with the SRTR if they </w:t>
      </w:r>
      <w:r w:rsidR="005C55D7">
        <w:rPr>
          <w:rFonts w:ascii="Arial" w:hAnsi="Arial" w:cs="Arial"/>
          <w:sz w:val="24"/>
        </w:rPr>
        <w:t>wish</w:t>
      </w:r>
      <w:r w:rsidR="00B4518F">
        <w:rPr>
          <w:rFonts w:ascii="Arial" w:hAnsi="Arial" w:cs="Arial"/>
          <w:sz w:val="24"/>
        </w:rPr>
        <w:t xml:space="preserve">.  </w:t>
      </w:r>
    </w:p>
    <w:p w14:paraId="155BC7DF" w14:textId="6D5F34C1" w:rsidR="00C615BE" w:rsidRDefault="00C615BE" w:rsidP="00043798">
      <w:pPr>
        <w:rPr>
          <w:rFonts w:ascii="Arial" w:hAnsi="Arial" w:cs="Arial"/>
          <w:sz w:val="24"/>
        </w:rPr>
      </w:pPr>
    </w:p>
    <w:p w14:paraId="7877D3FC" w14:textId="6E31B31E" w:rsidR="005C55D7" w:rsidRDefault="002E70A0" w:rsidP="00043798">
      <w:pPr>
        <w:rPr>
          <w:rFonts w:ascii="Arial" w:hAnsi="Arial" w:cs="Arial"/>
          <w:sz w:val="24"/>
        </w:rPr>
      </w:pPr>
      <w:r w:rsidRPr="00393246">
        <w:rPr>
          <w:rFonts w:ascii="Arial" w:hAnsi="Arial" w:cs="Arial"/>
          <w:sz w:val="24"/>
        </w:rPr>
        <w:t xml:space="preserve">This pilot program and any data collection burden </w:t>
      </w:r>
      <w:r w:rsidR="00C8748F">
        <w:rPr>
          <w:rFonts w:ascii="Arial" w:hAnsi="Arial" w:cs="Arial"/>
          <w:noProof/>
          <w:sz w:val="24"/>
        </w:rPr>
        <w:t>are</w:t>
      </w:r>
      <w:r w:rsidRPr="00393246">
        <w:rPr>
          <w:rFonts w:ascii="Arial" w:hAnsi="Arial" w:cs="Arial"/>
          <w:sz w:val="24"/>
        </w:rPr>
        <w:t xml:space="preserve"> voluntary</w:t>
      </w:r>
      <w:r w:rsidR="00B4518F">
        <w:rPr>
          <w:rFonts w:ascii="Arial" w:hAnsi="Arial" w:cs="Arial"/>
          <w:sz w:val="24"/>
        </w:rPr>
        <w:t xml:space="preserve">.  </w:t>
      </w:r>
      <w:r w:rsidR="005C55D7" w:rsidRPr="00393246">
        <w:rPr>
          <w:rFonts w:ascii="Arial" w:hAnsi="Arial" w:cs="Arial"/>
          <w:sz w:val="24"/>
        </w:rPr>
        <w:t>There are no legal obstacles to reduce the burden.</w:t>
      </w:r>
    </w:p>
    <w:p w14:paraId="03B181D5" w14:textId="77777777" w:rsidR="007103C5" w:rsidRPr="00393246" w:rsidRDefault="007103C5" w:rsidP="007103C5">
      <w:pPr>
        <w:rPr>
          <w:rFonts w:ascii="Arial" w:hAnsi="Arial" w:cs="Arial"/>
          <w:sz w:val="24"/>
        </w:rPr>
      </w:pPr>
    </w:p>
    <w:p w14:paraId="592501E3" w14:textId="453702E1" w:rsidR="009B3794" w:rsidRPr="00C3007E" w:rsidRDefault="009B3794" w:rsidP="007103C5">
      <w:pPr>
        <w:numPr>
          <w:ilvl w:val="0"/>
          <w:numId w:val="2"/>
        </w:numPr>
        <w:tabs>
          <w:tab w:val="clear" w:pos="1080"/>
          <w:tab w:val="num" w:pos="360"/>
        </w:tabs>
        <w:ind w:left="360"/>
        <w:rPr>
          <w:rFonts w:ascii="Arial" w:hAnsi="Arial" w:cs="Arial"/>
          <w:b/>
          <w:sz w:val="24"/>
        </w:rPr>
      </w:pPr>
      <w:r w:rsidRPr="00C3007E">
        <w:rPr>
          <w:rFonts w:ascii="Arial" w:hAnsi="Arial" w:cs="Arial"/>
          <w:b/>
          <w:sz w:val="24"/>
          <w:u w:val="single"/>
        </w:rPr>
        <w:t>Special Circumstances Relating to the Guidelines of 5 CFR 1320.5</w:t>
      </w:r>
    </w:p>
    <w:p w14:paraId="7F7B4580" w14:textId="77777777" w:rsidR="007103C5" w:rsidRDefault="007103C5" w:rsidP="007103C5">
      <w:pPr>
        <w:rPr>
          <w:rFonts w:ascii="Arial" w:hAnsi="Arial" w:cs="Arial"/>
          <w:sz w:val="24"/>
        </w:rPr>
      </w:pPr>
    </w:p>
    <w:p w14:paraId="32F201E3" w14:textId="3D22EA17" w:rsidR="007103C5" w:rsidRDefault="00115947" w:rsidP="007103C5">
      <w:pPr>
        <w:rPr>
          <w:rFonts w:ascii="Arial" w:hAnsi="Arial" w:cs="Arial"/>
          <w:sz w:val="24"/>
        </w:rPr>
      </w:pPr>
      <w:r w:rsidRPr="00115947">
        <w:rPr>
          <w:rFonts w:ascii="Arial" w:hAnsi="Arial" w:cs="Arial"/>
          <w:sz w:val="24"/>
        </w:rPr>
        <w:t>This request fully complies with the regulation.</w:t>
      </w:r>
      <w:r w:rsidR="00AC4BF0">
        <w:rPr>
          <w:rFonts w:ascii="Arial" w:hAnsi="Arial" w:cs="Arial"/>
          <w:sz w:val="24"/>
        </w:rPr>
        <w:t xml:space="preserve"> </w:t>
      </w:r>
      <w:r>
        <w:rPr>
          <w:rFonts w:ascii="Arial" w:hAnsi="Arial" w:cs="Arial"/>
          <w:sz w:val="24"/>
        </w:rPr>
        <w:t xml:space="preserve"> </w:t>
      </w:r>
    </w:p>
    <w:p w14:paraId="39DE3E21" w14:textId="77777777" w:rsidR="007103C5" w:rsidRDefault="007103C5" w:rsidP="007103C5">
      <w:pPr>
        <w:rPr>
          <w:rFonts w:ascii="Arial" w:hAnsi="Arial" w:cs="Arial"/>
          <w:sz w:val="24"/>
        </w:rPr>
      </w:pPr>
    </w:p>
    <w:p w14:paraId="3E57517C" w14:textId="4CC2AEE9" w:rsidR="002E70A0" w:rsidRDefault="00D93C2E" w:rsidP="007103C5">
      <w:pPr>
        <w:rPr>
          <w:rFonts w:ascii="Arial" w:hAnsi="Arial" w:cs="Arial"/>
          <w:bCs/>
          <w:color w:val="000000"/>
          <w:sz w:val="24"/>
          <w:bdr w:val="none" w:sz="0" w:space="0" w:color="auto" w:frame="1"/>
        </w:rPr>
      </w:pPr>
      <w:r>
        <w:rPr>
          <w:rFonts w:ascii="Arial" w:hAnsi="Arial" w:cs="Arial"/>
          <w:bCs/>
          <w:color w:val="000000"/>
          <w:sz w:val="24"/>
          <w:bdr w:val="none" w:sz="0" w:space="0" w:color="auto" w:frame="1"/>
        </w:rPr>
        <w:t>The HHS Office of General Counsel</w:t>
      </w:r>
      <w:r w:rsidR="00C3007E" w:rsidRPr="00C3007E">
        <w:rPr>
          <w:rFonts w:ascii="Arial" w:hAnsi="Arial" w:cs="Arial"/>
          <w:bCs/>
          <w:color w:val="000000"/>
          <w:sz w:val="24"/>
          <w:bdr w:val="none" w:sz="0" w:space="0" w:color="auto" w:frame="1"/>
        </w:rPr>
        <w:t xml:space="preserve"> determined the information collection </w:t>
      </w:r>
      <w:r w:rsidR="00C3007E" w:rsidRPr="00E31FD9">
        <w:rPr>
          <w:rFonts w:ascii="Arial" w:hAnsi="Arial" w:cs="Arial"/>
          <w:bCs/>
          <w:noProof/>
          <w:color w:val="000000"/>
          <w:sz w:val="24"/>
          <w:bdr w:val="none" w:sz="0" w:space="0" w:color="auto" w:frame="1"/>
        </w:rPr>
        <w:t>is authorized</w:t>
      </w:r>
      <w:r w:rsidR="00C3007E" w:rsidRPr="00C3007E">
        <w:rPr>
          <w:rFonts w:ascii="Arial" w:hAnsi="Arial" w:cs="Arial"/>
          <w:bCs/>
          <w:color w:val="000000"/>
          <w:sz w:val="24"/>
          <w:bdr w:val="none" w:sz="0" w:space="0" w:color="auto" w:frame="1"/>
        </w:rPr>
        <w:t xml:space="preserve"> under the OPTN Final Rule, which allows transplant centers to submit data to the OPTN and the SRTR. (42 U.S.C. 121)</w:t>
      </w:r>
      <w:r w:rsidR="00B4518F">
        <w:rPr>
          <w:rFonts w:ascii="Arial" w:hAnsi="Arial" w:cs="Arial"/>
          <w:bCs/>
          <w:color w:val="000000"/>
          <w:sz w:val="24"/>
          <w:bdr w:val="none" w:sz="0" w:space="0" w:color="auto" w:frame="1"/>
        </w:rPr>
        <w:t xml:space="preserve">.  </w:t>
      </w:r>
      <w:r w:rsidR="00C3007E" w:rsidRPr="00C3007E">
        <w:rPr>
          <w:rFonts w:ascii="Arial" w:hAnsi="Arial" w:cs="Arial"/>
          <w:bCs/>
          <w:color w:val="000000"/>
          <w:sz w:val="24"/>
          <w:bdr w:val="none" w:sz="0" w:space="0" w:color="auto" w:frame="1"/>
        </w:rPr>
        <w:t xml:space="preserve">Information proposed to </w:t>
      </w:r>
      <w:r w:rsidR="00C3007E" w:rsidRPr="00E31FD9">
        <w:rPr>
          <w:rFonts w:ascii="Arial" w:hAnsi="Arial" w:cs="Arial"/>
          <w:bCs/>
          <w:noProof/>
          <w:color w:val="000000"/>
          <w:sz w:val="24"/>
          <w:bdr w:val="none" w:sz="0" w:space="0" w:color="auto" w:frame="1"/>
        </w:rPr>
        <w:t>be collected</w:t>
      </w:r>
      <w:r w:rsidR="00C3007E" w:rsidRPr="00C3007E">
        <w:rPr>
          <w:rFonts w:ascii="Arial" w:hAnsi="Arial" w:cs="Arial"/>
          <w:bCs/>
          <w:color w:val="000000"/>
          <w:sz w:val="24"/>
          <w:bdr w:val="none" w:sz="0" w:space="0" w:color="auto" w:frame="1"/>
        </w:rPr>
        <w:t xml:space="preserve"> is considered to be </w:t>
      </w:r>
      <w:r w:rsidR="00411739">
        <w:rPr>
          <w:rFonts w:ascii="Arial" w:hAnsi="Arial" w:cs="Arial"/>
          <w:bCs/>
          <w:color w:val="000000"/>
          <w:sz w:val="24"/>
          <w:bdr w:val="none" w:sz="0" w:space="0" w:color="auto" w:frame="1"/>
        </w:rPr>
        <w:t xml:space="preserve">protected </w:t>
      </w:r>
      <w:r w:rsidR="00C3007E" w:rsidRPr="00C3007E">
        <w:rPr>
          <w:rFonts w:ascii="Arial" w:hAnsi="Arial" w:cs="Arial"/>
          <w:bCs/>
          <w:color w:val="000000"/>
          <w:sz w:val="24"/>
          <w:bdr w:val="none" w:sz="0" w:space="0" w:color="auto" w:frame="1"/>
        </w:rPr>
        <w:t>health information</w:t>
      </w:r>
      <w:r w:rsidR="00B4518F">
        <w:rPr>
          <w:rFonts w:ascii="Arial" w:hAnsi="Arial" w:cs="Arial"/>
          <w:bCs/>
          <w:color w:val="000000"/>
          <w:sz w:val="24"/>
          <w:bdr w:val="none" w:sz="0" w:space="0" w:color="auto" w:frame="1"/>
        </w:rPr>
        <w:t xml:space="preserve">.  </w:t>
      </w:r>
      <w:r w:rsidR="00C3007E" w:rsidRPr="00C3007E">
        <w:rPr>
          <w:rFonts w:ascii="Arial" w:hAnsi="Arial" w:cs="Arial"/>
          <w:bCs/>
          <w:color w:val="000000"/>
          <w:sz w:val="24"/>
          <w:bdr w:val="none" w:sz="0" w:space="0" w:color="auto" w:frame="1"/>
        </w:rPr>
        <w:t xml:space="preserve">SRTR </w:t>
      </w:r>
      <w:r w:rsidR="00C3007E" w:rsidRPr="00E31FD9">
        <w:rPr>
          <w:rFonts w:ascii="Arial" w:hAnsi="Arial" w:cs="Arial"/>
          <w:bCs/>
          <w:noProof/>
          <w:color w:val="000000"/>
          <w:sz w:val="24"/>
          <w:bdr w:val="none" w:sz="0" w:space="0" w:color="auto" w:frame="1"/>
        </w:rPr>
        <w:t>is recognized</w:t>
      </w:r>
      <w:r w:rsidR="00C3007E" w:rsidRPr="00C3007E">
        <w:rPr>
          <w:rFonts w:ascii="Arial" w:hAnsi="Arial" w:cs="Arial"/>
          <w:bCs/>
          <w:color w:val="000000"/>
          <w:sz w:val="24"/>
          <w:bdr w:val="none" w:sz="0" w:space="0" w:color="auto" w:frame="1"/>
        </w:rPr>
        <w:t xml:space="preserve"> as a public health authority under the HIPAA Privacy Rule (42 CFR 164.512(b))</w:t>
      </w:r>
      <w:r w:rsidR="00B4518F">
        <w:rPr>
          <w:rFonts w:ascii="Arial" w:hAnsi="Arial" w:cs="Arial"/>
          <w:bCs/>
          <w:color w:val="000000"/>
          <w:sz w:val="24"/>
          <w:bdr w:val="none" w:sz="0" w:space="0" w:color="auto" w:frame="1"/>
        </w:rPr>
        <w:t xml:space="preserve">.  </w:t>
      </w:r>
    </w:p>
    <w:p w14:paraId="63BCEC18" w14:textId="77777777" w:rsidR="007103C5" w:rsidRPr="00B526E7" w:rsidRDefault="007103C5" w:rsidP="007103C5">
      <w:pPr>
        <w:rPr>
          <w:rFonts w:ascii="Arial" w:hAnsi="Arial" w:cs="Arial"/>
          <w:bCs/>
          <w:color w:val="000000"/>
          <w:sz w:val="24"/>
          <w:bdr w:val="none" w:sz="0" w:space="0" w:color="auto" w:frame="1"/>
        </w:rPr>
      </w:pPr>
    </w:p>
    <w:p w14:paraId="1FCA0E8D" w14:textId="77777777" w:rsidR="009B3794" w:rsidRPr="006049D1"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iCs/>
          <w:sz w:val="24"/>
          <w:u w:val="single"/>
        </w:rPr>
        <w:t>Comments in Response to the Federal Register</w:t>
      </w:r>
      <w:r w:rsidRPr="006049D1">
        <w:rPr>
          <w:rFonts w:ascii="Arial" w:hAnsi="Arial" w:cs="Arial"/>
          <w:b/>
          <w:sz w:val="24"/>
          <w:u w:val="single"/>
        </w:rPr>
        <w:t xml:space="preserve"> Notice/Outside Consultation</w:t>
      </w:r>
    </w:p>
    <w:p w14:paraId="7752C325" w14:textId="77777777" w:rsidR="007103C5" w:rsidRDefault="007103C5" w:rsidP="007103C5">
      <w:pPr>
        <w:rPr>
          <w:rFonts w:ascii="Arial" w:hAnsi="Arial" w:cs="Arial"/>
          <w:b/>
          <w:sz w:val="24"/>
        </w:rPr>
      </w:pPr>
    </w:p>
    <w:p w14:paraId="259CFCD5" w14:textId="69B8F318" w:rsidR="00DE3A45" w:rsidRDefault="00DE3A45" w:rsidP="007103C5">
      <w:pPr>
        <w:rPr>
          <w:rFonts w:ascii="Arial" w:hAnsi="Arial" w:cs="Arial"/>
          <w:b/>
          <w:sz w:val="24"/>
        </w:rPr>
      </w:pPr>
      <w:r w:rsidRPr="006049D1">
        <w:rPr>
          <w:rFonts w:ascii="Arial" w:hAnsi="Arial" w:cs="Arial"/>
          <w:b/>
          <w:sz w:val="24"/>
        </w:rPr>
        <w:t>Section 8A:</w:t>
      </w:r>
    </w:p>
    <w:p w14:paraId="512AB4DD" w14:textId="77777777" w:rsidR="007103C5" w:rsidRDefault="007103C5" w:rsidP="007103C5">
      <w:pPr>
        <w:rPr>
          <w:rFonts w:ascii="Arial" w:hAnsi="Arial" w:cs="Arial"/>
          <w:sz w:val="24"/>
        </w:rPr>
      </w:pPr>
    </w:p>
    <w:p w14:paraId="32810AB3" w14:textId="0C69C802" w:rsidR="00C3007E" w:rsidRPr="006049D1" w:rsidRDefault="00C3007E" w:rsidP="007103C5">
      <w:pPr>
        <w:rPr>
          <w:rFonts w:ascii="Arial" w:hAnsi="Arial" w:cs="Arial"/>
          <w:sz w:val="24"/>
        </w:rPr>
      </w:pPr>
      <w:r w:rsidRPr="006049D1">
        <w:rPr>
          <w:rFonts w:ascii="Arial" w:hAnsi="Arial" w:cs="Arial"/>
          <w:sz w:val="24"/>
        </w:rPr>
        <w:t xml:space="preserve">A 60-day Federal Register Notice </w:t>
      </w:r>
      <w:r w:rsidR="00CB3F63">
        <w:rPr>
          <w:rFonts w:ascii="Arial" w:hAnsi="Arial" w:cs="Arial"/>
          <w:sz w:val="24"/>
        </w:rPr>
        <w:t>(</w:t>
      </w:r>
      <w:r w:rsidR="00CB3F63" w:rsidRPr="006049D1">
        <w:rPr>
          <w:rFonts w:ascii="Arial" w:hAnsi="Arial" w:cs="Arial"/>
          <w:sz w:val="24"/>
        </w:rPr>
        <w:t>82 Fed Reg. 22836</w:t>
      </w:r>
      <w:r w:rsidR="00CB3F63">
        <w:rPr>
          <w:rFonts w:ascii="Arial" w:hAnsi="Arial" w:cs="Arial"/>
          <w:sz w:val="24"/>
        </w:rPr>
        <w:t xml:space="preserve">) </w:t>
      </w:r>
      <w:r w:rsidRPr="00E31FD9">
        <w:rPr>
          <w:rFonts w:ascii="Arial" w:hAnsi="Arial" w:cs="Arial"/>
          <w:noProof/>
          <w:sz w:val="24"/>
        </w:rPr>
        <w:t>was published</w:t>
      </w:r>
      <w:r w:rsidRPr="006049D1">
        <w:rPr>
          <w:rFonts w:ascii="Arial" w:hAnsi="Arial" w:cs="Arial"/>
          <w:sz w:val="24"/>
        </w:rPr>
        <w:t xml:space="preserve"> in the </w:t>
      </w:r>
      <w:r w:rsidRPr="006049D1">
        <w:rPr>
          <w:rFonts w:ascii="Arial" w:hAnsi="Arial" w:cs="Arial"/>
          <w:i/>
          <w:iCs/>
          <w:sz w:val="24"/>
        </w:rPr>
        <w:t xml:space="preserve">Federal Register </w:t>
      </w:r>
      <w:r w:rsidR="00CB3F63">
        <w:rPr>
          <w:rFonts w:ascii="Arial" w:hAnsi="Arial" w:cs="Arial"/>
          <w:sz w:val="24"/>
        </w:rPr>
        <w:t>on May 18, 2017</w:t>
      </w:r>
      <w:r w:rsidR="00B4518F">
        <w:rPr>
          <w:rFonts w:ascii="Arial" w:hAnsi="Arial" w:cs="Arial"/>
          <w:sz w:val="24"/>
        </w:rPr>
        <w:t xml:space="preserve">.  </w:t>
      </w:r>
      <w:r w:rsidRPr="00C35766">
        <w:rPr>
          <w:rFonts w:ascii="Arial" w:hAnsi="Arial" w:cs="Arial"/>
          <w:sz w:val="24"/>
        </w:rPr>
        <w:t>There were no public comments</w:t>
      </w:r>
      <w:r w:rsidR="00B4518F">
        <w:rPr>
          <w:rFonts w:ascii="Arial" w:hAnsi="Arial" w:cs="Arial"/>
          <w:sz w:val="24"/>
        </w:rPr>
        <w:t xml:space="preserve">.  </w:t>
      </w:r>
    </w:p>
    <w:p w14:paraId="68F58267" w14:textId="77777777" w:rsidR="007103C5" w:rsidRDefault="007103C5" w:rsidP="007103C5">
      <w:pPr>
        <w:tabs>
          <w:tab w:val="num" w:pos="360"/>
        </w:tabs>
        <w:rPr>
          <w:rFonts w:ascii="Arial" w:hAnsi="Arial" w:cs="Arial"/>
          <w:b/>
          <w:sz w:val="24"/>
        </w:rPr>
      </w:pPr>
    </w:p>
    <w:p w14:paraId="5551F014" w14:textId="7A389D3F" w:rsidR="00DE3A45" w:rsidRDefault="00DE3A45" w:rsidP="007103C5">
      <w:pPr>
        <w:tabs>
          <w:tab w:val="num" w:pos="360"/>
        </w:tabs>
        <w:rPr>
          <w:rFonts w:ascii="Arial" w:hAnsi="Arial" w:cs="Arial"/>
          <w:b/>
          <w:sz w:val="24"/>
        </w:rPr>
      </w:pPr>
      <w:r w:rsidRPr="006049D1">
        <w:rPr>
          <w:rFonts w:ascii="Arial" w:hAnsi="Arial" w:cs="Arial"/>
          <w:b/>
          <w:sz w:val="24"/>
        </w:rPr>
        <w:t>Section 8B:</w:t>
      </w:r>
    </w:p>
    <w:p w14:paraId="094E9153" w14:textId="77777777" w:rsidR="007103C5" w:rsidRDefault="007103C5" w:rsidP="007103C5">
      <w:pPr>
        <w:rPr>
          <w:rFonts w:ascii="Arial" w:hAnsi="Arial" w:cs="Arial"/>
          <w:bCs/>
          <w:color w:val="000000"/>
          <w:sz w:val="24"/>
          <w:bdr w:val="none" w:sz="0" w:space="0" w:color="auto" w:frame="1"/>
        </w:rPr>
      </w:pPr>
    </w:p>
    <w:p w14:paraId="334B33CF" w14:textId="3A2DC796" w:rsidR="00C3007E" w:rsidRDefault="00C3007E" w:rsidP="007103C5">
      <w:pPr>
        <w:rPr>
          <w:rFonts w:ascii="Arial" w:hAnsi="Arial" w:cs="Arial"/>
          <w:bCs/>
          <w:color w:val="000000"/>
          <w:sz w:val="24"/>
          <w:bdr w:val="none" w:sz="0" w:space="0" w:color="auto" w:frame="1"/>
        </w:rPr>
      </w:pPr>
      <w:r w:rsidRPr="006049D1">
        <w:rPr>
          <w:rFonts w:ascii="Arial" w:hAnsi="Arial" w:cs="Arial"/>
          <w:bCs/>
          <w:color w:val="000000"/>
          <w:sz w:val="24"/>
          <w:bdr w:val="none" w:sz="0" w:space="0" w:color="auto" w:frame="1"/>
        </w:rPr>
        <w:t xml:space="preserve">SRTR </w:t>
      </w:r>
      <w:r w:rsidRPr="00C3007E">
        <w:rPr>
          <w:rFonts w:ascii="Arial" w:hAnsi="Arial" w:cs="Arial"/>
          <w:sz w:val="24"/>
        </w:rPr>
        <w:t>and</w:t>
      </w:r>
      <w:r w:rsidRPr="006049D1">
        <w:rPr>
          <w:rFonts w:ascii="Arial" w:hAnsi="Arial" w:cs="Arial"/>
          <w:bCs/>
          <w:color w:val="000000"/>
          <w:sz w:val="24"/>
          <w:bdr w:val="none" w:sz="0" w:space="0" w:color="auto" w:frame="1"/>
        </w:rPr>
        <w:t xml:space="preserve"> HRSA sought feedback from transplant professionals, physicians,</w:t>
      </w:r>
      <w:r w:rsidR="00411739">
        <w:rPr>
          <w:rFonts w:ascii="Arial" w:hAnsi="Arial" w:cs="Arial"/>
          <w:bCs/>
          <w:color w:val="000000"/>
          <w:sz w:val="24"/>
          <w:bdr w:val="none" w:sz="0" w:space="0" w:color="auto" w:frame="1"/>
        </w:rPr>
        <w:t xml:space="preserve"> surgeons,</w:t>
      </w:r>
      <w:r w:rsidRPr="006049D1">
        <w:rPr>
          <w:rFonts w:ascii="Arial" w:hAnsi="Arial" w:cs="Arial"/>
          <w:bCs/>
          <w:color w:val="000000"/>
          <w:sz w:val="24"/>
          <w:bdr w:val="none" w:sz="0" w:space="0" w:color="auto" w:frame="1"/>
        </w:rPr>
        <w:t xml:space="preserve"> organ donation researchers, living donor advocacy organizations and professional organizations in developing the </w:t>
      </w:r>
      <w:r w:rsidR="00411739">
        <w:rPr>
          <w:rFonts w:ascii="Arial" w:hAnsi="Arial" w:cs="Arial"/>
          <w:bCs/>
          <w:color w:val="000000"/>
          <w:sz w:val="24"/>
          <w:bdr w:val="none" w:sz="0" w:space="0" w:color="auto" w:frame="1"/>
        </w:rPr>
        <w:t>elements to be collected by the registry</w:t>
      </w:r>
      <w:r w:rsidR="00B4518F">
        <w:rPr>
          <w:rFonts w:ascii="Arial" w:hAnsi="Arial" w:cs="Arial"/>
          <w:bCs/>
          <w:color w:val="000000"/>
          <w:sz w:val="24"/>
          <w:bdr w:val="none" w:sz="0" w:space="0" w:color="auto" w:frame="1"/>
        </w:rPr>
        <w:t xml:space="preserve">.  </w:t>
      </w:r>
      <w:r w:rsidRPr="006049D1">
        <w:rPr>
          <w:rFonts w:ascii="Arial" w:hAnsi="Arial" w:cs="Arial"/>
          <w:bCs/>
          <w:color w:val="000000"/>
          <w:sz w:val="24"/>
          <w:bdr w:val="none" w:sz="0" w:space="0" w:color="auto" w:frame="1"/>
        </w:rPr>
        <w:t xml:space="preserve">Several meetings to discuss the draft forms and instructions took place between December 2016 and April 2017 </w:t>
      </w:r>
      <w:r w:rsidRPr="00C8748F">
        <w:rPr>
          <w:rFonts w:ascii="Arial" w:hAnsi="Arial" w:cs="Arial"/>
          <w:bCs/>
          <w:noProof/>
          <w:color w:val="000000"/>
          <w:sz w:val="24"/>
          <w:bdr w:val="none" w:sz="0" w:space="0" w:color="auto" w:frame="1"/>
        </w:rPr>
        <w:t>to</w:t>
      </w:r>
      <w:r w:rsidRPr="006049D1">
        <w:rPr>
          <w:rFonts w:ascii="Arial" w:hAnsi="Arial" w:cs="Arial"/>
          <w:bCs/>
          <w:color w:val="000000"/>
          <w:sz w:val="24"/>
          <w:bdr w:val="none" w:sz="0" w:space="0" w:color="auto" w:frame="1"/>
        </w:rPr>
        <w:t xml:space="preserve"> help staff refine the data elements in the forms and provide clear accompanying instructions.</w:t>
      </w:r>
    </w:p>
    <w:p w14:paraId="4F3C3A95" w14:textId="77777777" w:rsidR="007103C5" w:rsidRDefault="007103C5" w:rsidP="007103C5">
      <w:pPr>
        <w:rPr>
          <w:rFonts w:ascii="Arial" w:hAnsi="Arial" w:cs="Arial"/>
          <w:bCs/>
          <w:color w:val="000000"/>
          <w:sz w:val="24"/>
          <w:bdr w:val="none" w:sz="0" w:space="0" w:color="auto" w:frame="1"/>
        </w:rPr>
      </w:pPr>
    </w:p>
    <w:p w14:paraId="3C5C247E" w14:textId="092BA074" w:rsidR="002E70A0" w:rsidRDefault="002E70A0" w:rsidP="007103C5">
      <w:pPr>
        <w:rPr>
          <w:rFonts w:ascii="Arial" w:hAnsi="Arial" w:cs="Arial"/>
          <w:bCs/>
          <w:color w:val="000000"/>
          <w:sz w:val="24"/>
          <w:bdr w:val="none" w:sz="0" w:space="0" w:color="auto" w:frame="1"/>
        </w:rPr>
      </w:pPr>
      <w:r>
        <w:rPr>
          <w:rFonts w:ascii="Arial" w:hAnsi="Arial" w:cs="Arial"/>
          <w:bCs/>
          <w:color w:val="000000"/>
          <w:sz w:val="24"/>
          <w:bdr w:val="none" w:sz="0" w:space="0" w:color="auto" w:frame="1"/>
        </w:rPr>
        <w:t>The participating transplant programs in this pilot project include:</w:t>
      </w:r>
    </w:p>
    <w:p w14:paraId="69B730F8" w14:textId="77777777" w:rsidR="007103C5" w:rsidRDefault="007103C5" w:rsidP="007103C5">
      <w:pPr>
        <w:rPr>
          <w:rFonts w:ascii="Arial" w:hAnsi="Arial" w:cs="Arial"/>
          <w:bCs/>
          <w:color w:val="000000"/>
          <w:sz w:val="24"/>
          <w:bdr w:val="none" w:sz="0" w:space="0" w:color="auto" w:frame="1"/>
        </w:rPr>
      </w:pPr>
    </w:p>
    <w:p w14:paraId="2A328BA7" w14:textId="0BF0D88C" w:rsidR="00D20468" w:rsidRPr="00B526E7" w:rsidRDefault="00D20468" w:rsidP="007103C5">
      <w:pPr>
        <w:pStyle w:val="ListParagraph"/>
        <w:numPr>
          <w:ilvl w:val="0"/>
          <w:numId w:val="48"/>
        </w:numPr>
        <w:rPr>
          <w:rFonts w:ascii="Arial" w:hAnsi="Arial" w:cs="Arial"/>
          <w:bCs/>
          <w:color w:val="000000"/>
          <w:sz w:val="24"/>
          <w:bdr w:val="none" w:sz="0" w:space="0" w:color="auto" w:frame="1"/>
        </w:rPr>
      </w:pPr>
      <w:r w:rsidRPr="00B526E7">
        <w:rPr>
          <w:rFonts w:ascii="Arial" w:hAnsi="Arial" w:cs="Arial"/>
          <w:bCs/>
          <w:color w:val="000000"/>
          <w:sz w:val="24"/>
          <w:bdr w:val="none" w:sz="0" w:space="0" w:color="auto" w:frame="1"/>
        </w:rPr>
        <w:t>Hennepin County Medical, Center, Minneapolis, MN</w:t>
      </w:r>
    </w:p>
    <w:p w14:paraId="3A911C84" w14:textId="7D2ADBA6" w:rsidR="00D20468" w:rsidRPr="00B526E7" w:rsidRDefault="00D20468" w:rsidP="007103C5">
      <w:pPr>
        <w:pStyle w:val="ListParagraph"/>
        <w:numPr>
          <w:ilvl w:val="0"/>
          <w:numId w:val="48"/>
        </w:numPr>
        <w:rPr>
          <w:rFonts w:ascii="Arial" w:hAnsi="Arial" w:cs="Arial"/>
          <w:bCs/>
          <w:color w:val="000000"/>
          <w:sz w:val="24"/>
          <w:bdr w:val="none" w:sz="0" w:space="0" w:color="auto" w:frame="1"/>
        </w:rPr>
      </w:pPr>
      <w:r w:rsidRPr="00B526E7">
        <w:rPr>
          <w:rFonts w:ascii="Arial" w:hAnsi="Arial" w:cs="Arial"/>
          <w:bCs/>
          <w:color w:val="000000"/>
          <w:sz w:val="24"/>
          <w:bdr w:val="none" w:sz="0" w:space="0" w:color="auto" w:frame="1"/>
        </w:rPr>
        <w:t>Baylor University Medical Center, Dallas, TX</w:t>
      </w:r>
    </w:p>
    <w:p w14:paraId="4FD1730E" w14:textId="2B1902D7" w:rsidR="00D20468" w:rsidRPr="00B526E7" w:rsidRDefault="00D20468" w:rsidP="007103C5">
      <w:pPr>
        <w:pStyle w:val="ListParagraph"/>
        <w:numPr>
          <w:ilvl w:val="0"/>
          <w:numId w:val="48"/>
        </w:numPr>
        <w:rPr>
          <w:rFonts w:ascii="Arial" w:hAnsi="Arial" w:cs="Arial"/>
          <w:bCs/>
          <w:color w:val="000000"/>
          <w:sz w:val="24"/>
          <w:bdr w:val="none" w:sz="0" w:space="0" w:color="auto" w:frame="1"/>
        </w:rPr>
      </w:pPr>
      <w:r w:rsidRPr="00B526E7">
        <w:rPr>
          <w:rFonts w:ascii="Arial" w:hAnsi="Arial" w:cs="Arial"/>
          <w:bCs/>
          <w:color w:val="000000"/>
          <w:sz w:val="24"/>
          <w:bdr w:val="none" w:sz="0" w:space="0" w:color="auto" w:frame="1"/>
        </w:rPr>
        <w:t>University of Pittsburgh, Pittsburgh, PA</w:t>
      </w:r>
    </w:p>
    <w:p w14:paraId="4303FDD6" w14:textId="4186E734" w:rsidR="00D20468" w:rsidRPr="00B526E7" w:rsidRDefault="00D20468" w:rsidP="007103C5">
      <w:pPr>
        <w:pStyle w:val="ListParagraph"/>
        <w:numPr>
          <w:ilvl w:val="0"/>
          <w:numId w:val="48"/>
        </w:numPr>
        <w:rPr>
          <w:rFonts w:ascii="Arial" w:hAnsi="Arial" w:cs="Arial"/>
          <w:bCs/>
          <w:color w:val="000000"/>
          <w:sz w:val="24"/>
          <w:bdr w:val="none" w:sz="0" w:space="0" w:color="auto" w:frame="1"/>
        </w:rPr>
      </w:pPr>
      <w:r w:rsidRPr="00B526E7">
        <w:rPr>
          <w:rFonts w:ascii="Arial" w:hAnsi="Arial" w:cs="Arial"/>
          <w:bCs/>
          <w:color w:val="000000"/>
          <w:sz w:val="24"/>
          <w:bdr w:val="none" w:sz="0" w:space="0" w:color="auto" w:frame="1"/>
        </w:rPr>
        <w:t>Johns Hopkins University, Baltimore, MD</w:t>
      </w:r>
    </w:p>
    <w:p w14:paraId="2E854423" w14:textId="6BBED83A" w:rsidR="00D20468" w:rsidRPr="00B526E7" w:rsidRDefault="00D20468" w:rsidP="007103C5">
      <w:pPr>
        <w:pStyle w:val="ListParagraph"/>
        <w:numPr>
          <w:ilvl w:val="0"/>
          <w:numId w:val="48"/>
        </w:numPr>
        <w:rPr>
          <w:rFonts w:ascii="Arial" w:hAnsi="Arial" w:cs="Arial"/>
          <w:bCs/>
          <w:color w:val="000000"/>
          <w:sz w:val="24"/>
          <w:bdr w:val="none" w:sz="0" w:space="0" w:color="auto" w:frame="1"/>
        </w:rPr>
      </w:pPr>
      <w:r w:rsidRPr="00B526E7">
        <w:rPr>
          <w:rFonts w:ascii="Arial" w:hAnsi="Arial" w:cs="Arial"/>
          <w:bCs/>
          <w:color w:val="000000"/>
          <w:sz w:val="24"/>
          <w:bdr w:val="none" w:sz="0" w:space="0" w:color="auto" w:frame="1"/>
        </w:rPr>
        <w:t>Saint Louis University, St. Louis, MO</w:t>
      </w:r>
    </w:p>
    <w:p w14:paraId="41C8870C" w14:textId="1AE18A3D" w:rsidR="00D20468" w:rsidRPr="00B526E7" w:rsidRDefault="00D20468" w:rsidP="007103C5">
      <w:pPr>
        <w:pStyle w:val="ListParagraph"/>
        <w:numPr>
          <w:ilvl w:val="0"/>
          <w:numId w:val="48"/>
        </w:numPr>
        <w:rPr>
          <w:rFonts w:ascii="Arial" w:hAnsi="Arial" w:cs="Arial"/>
          <w:bCs/>
          <w:color w:val="000000"/>
          <w:sz w:val="24"/>
          <w:bdr w:val="none" w:sz="0" w:space="0" w:color="auto" w:frame="1"/>
        </w:rPr>
      </w:pPr>
      <w:r w:rsidRPr="00B526E7">
        <w:rPr>
          <w:rFonts w:ascii="Arial" w:hAnsi="Arial" w:cs="Arial"/>
          <w:bCs/>
          <w:color w:val="000000"/>
          <w:sz w:val="24"/>
          <w:bdr w:val="none" w:sz="0" w:space="0" w:color="auto" w:frame="1"/>
        </w:rPr>
        <w:t>University of Minnesota, Minneapolis, MN</w:t>
      </w:r>
    </w:p>
    <w:p w14:paraId="09248C50" w14:textId="289ABDAA" w:rsidR="00D20468" w:rsidRPr="00B526E7" w:rsidRDefault="00D20468" w:rsidP="007103C5">
      <w:pPr>
        <w:pStyle w:val="ListParagraph"/>
        <w:numPr>
          <w:ilvl w:val="0"/>
          <w:numId w:val="48"/>
        </w:numPr>
        <w:rPr>
          <w:rFonts w:ascii="Arial" w:hAnsi="Arial" w:cs="Arial"/>
          <w:bCs/>
          <w:color w:val="000000"/>
          <w:sz w:val="24"/>
          <w:bdr w:val="none" w:sz="0" w:space="0" w:color="auto" w:frame="1"/>
        </w:rPr>
      </w:pPr>
      <w:r w:rsidRPr="00B526E7">
        <w:rPr>
          <w:rFonts w:ascii="Arial" w:hAnsi="Arial" w:cs="Arial"/>
          <w:bCs/>
          <w:color w:val="000000"/>
          <w:sz w:val="24"/>
          <w:bdr w:val="none" w:sz="0" w:space="0" w:color="auto" w:frame="1"/>
        </w:rPr>
        <w:t>Emory University, Atlanta, GA</w:t>
      </w:r>
    </w:p>
    <w:p w14:paraId="3A21FD7D" w14:textId="4B10B489" w:rsidR="00D20468" w:rsidRPr="00B526E7" w:rsidRDefault="00D20468" w:rsidP="007103C5">
      <w:pPr>
        <w:pStyle w:val="ListParagraph"/>
        <w:numPr>
          <w:ilvl w:val="0"/>
          <w:numId w:val="48"/>
        </w:numPr>
        <w:rPr>
          <w:rFonts w:ascii="Arial" w:hAnsi="Arial" w:cs="Arial"/>
          <w:bCs/>
          <w:color w:val="000000"/>
          <w:sz w:val="24"/>
          <w:bdr w:val="none" w:sz="0" w:space="0" w:color="auto" w:frame="1"/>
        </w:rPr>
      </w:pPr>
      <w:r w:rsidRPr="00B526E7">
        <w:rPr>
          <w:rFonts w:ascii="Arial" w:hAnsi="Arial" w:cs="Arial"/>
          <w:bCs/>
          <w:color w:val="000000"/>
          <w:sz w:val="24"/>
          <w:bdr w:val="none" w:sz="0" w:space="0" w:color="auto" w:frame="1"/>
        </w:rPr>
        <w:t>Transplantation Institute, Mount Sinai Hospital, New York, NY</w:t>
      </w:r>
    </w:p>
    <w:p w14:paraId="219CB7A9" w14:textId="5C888804" w:rsidR="00D20468" w:rsidRPr="00B526E7" w:rsidRDefault="00D20468" w:rsidP="007103C5">
      <w:pPr>
        <w:pStyle w:val="ListParagraph"/>
        <w:numPr>
          <w:ilvl w:val="0"/>
          <w:numId w:val="48"/>
        </w:numPr>
        <w:rPr>
          <w:rFonts w:ascii="Arial" w:hAnsi="Arial" w:cs="Arial"/>
          <w:bCs/>
          <w:color w:val="000000"/>
          <w:sz w:val="24"/>
          <w:bdr w:val="none" w:sz="0" w:space="0" w:color="auto" w:frame="1"/>
        </w:rPr>
      </w:pPr>
      <w:r w:rsidRPr="00B526E7">
        <w:rPr>
          <w:rFonts w:ascii="Arial" w:hAnsi="Arial" w:cs="Arial"/>
          <w:bCs/>
          <w:color w:val="000000"/>
          <w:sz w:val="24"/>
          <w:bdr w:val="none" w:sz="0" w:space="0" w:color="auto" w:frame="1"/>
        </w:rPr>
        <w:t>Mayo Clinic, Rochester, MN</w:t>
      </w:r>
    </w:p>
    <w:p w14:paraId="5906A153" w14:textId="31B89831" w:rsidR="002E70A0" w:rsidRDefault="00D20468" w:rsidP="007103C5">
      <w:pPr>
        <w:pStyle w:val="ListParagraph"/>
        <w:numPr>
          <w:ilvl w:val="0"/>
          <w:numId w:val="48"/>
        </w:numPr>
        <w:rPr>
          <w:rFonts w:ascii="Arial" w:hAnsi="Arial" w:cs="Arial"/>
          <w:bCs/>
          <w:color w:val="000000"/>
          <w:sz w:val="24"/>
          <w:bdr w:val="none" w:sz="0" w:space="0" w:color="auto" w:frame="1"/>
        </w:rPr>
      </w:pPr>
      <w:r w:rsidRPr="00E31FD9">
        <w:rPr>
          <w:rFonts w:ascii="Arial" w:hAnsi="Arial" w:cs="Arial"/>
          <w:bCs/>
          <w:noProof/>
          <w:color w:val="000000"/>
          <w:sz w:val="24"/>
          <w:bdr w:val="none" w:sz="0" w:space="0" w:color="auto" w:frame="1"/>
        </w:rPr>
        <w:t>U</w:t>
      </w:r>
      <w:r w:rsidR="005649E4" w:rsidRPr="00E31FD9">
        <w:rPr>
          <w:rFonts w:ascii="Arial" w:hAnsi="Arial" w:cs="Arial"/>
          <w:bCs/>
          <w:noProof/>
          <w:color w:val="000000"/>
          <w:sz w:val="24"/>
          <w:bdr w:val="none" w:sz="0" w:space="0" w:color="auto" w:frame="1"/>
        </w:rPr>
        <w:t>niversity</w:t>
      </w:r>
      <w:r w:rsidR="005649E4" w:rsidRPr="00B526E7">
        <w:rPr>
          <w:rFonts w:ascii="Arial" w:hAnsi="Arial" w:cs="Arial"/>
          <w:bCs/>
          <w:color w:val="000000"/>
          <w:sz w:val="24"/>
          <w:bdr w:val="none" w:sz="0" w:space="0" w:color="auto" w:frame="1"/>
        </w:rPr>
        <w:t xml:space="preserve"> of </w:t>
      </w:r>
      <w:r w:rsidRPr="00B526E7">
        <w:rPr>
          <w:rFonts w:ascii="Arial" w:hAnsi="Arial" w:cs="Arial"/>
          <w:bCs/>
          <w:color w:val="000000"/>
          <w:sz w:val="24"/>
          <w:bdr w:val="none" w:sz="0" w:space="0" w:color="auto" w:frame="1"/>
        </w:rPr>
        <w:t>C</w:t>
      </w:r>
      <w:r w:rsidR="005649E4" w:rsidRPr="00B526E7">
        <w:rPr>
          <w:rFonts w:ascii="Arial" w:hAnsi="Arial" w:cs="Arial"/>
          <w:bCs/>
          <w:color w:val="000000"/>
          <w:sz w:val="24"/>
          <w:bdr w:val="none" w:sz="0" w:space="0" w:color="auto" w:frame="1"/>
        </w:rPr>
        <w:t xml:space="preserve">alifornia at </w:t>
      </w:r>
      <w:r w:rsidRPr="00B526E7">
        <w:rPr>
          <w:rFonts w:ascii="Arial" w:hAnsi="Arial" w:cs="Arial"/>
          <w:bCs/>
          <w:color w:val="000000"/>
          <w:sz w:val="24"/>
          <w:bdr w:val="none" w:sz="0" w:space="0" w:color="auto" w:frame="1"/>
        </w:rPr>
        <w:t>L</w:t>
      </w:r>
      <w:r w:rsidR="005649E4" w:rsidRPr="00B526E7">
        <w:rPr>
          <w:rFonts w:ascii="Arial" w:hAnsi="Arial" w:cs="Arial"/>
          <w:bCs/>
          <w:color w:val="000000"/>
          <w:sz w:val="24"/>
          <w:bdr w:val="none" w:sz="0" w:space="0" w:color="auto" w:frame="1"/>
        </w:rPr>
        <w:t xml:space="preserve">os </w:t>
      </w:r>
      <w:r w:rsidRPr="00B526E7">
        <w:rPr>
          <w:rFonts w:ascii="Arial" w:hAnsi="Arial" w:cs="Arial"/>
          <w:bCs/>
          <w:color w:val="000000"/>
          <w:sz w:val="24"/>
          <w:bdr w:val="none" w:sz="0" w:space="0" w:color="auto" w:frame="1"/>
        </w:rPr>
        <w:t>A</w:t>
      </w:r>
      <w:r w:rsidR="005649E4" w:rsidRPr="00B526E7">
        <w:rPr>
          <w:rFonts w:ascii="Arial" w:hAnsi="Arial" w:cs="Arial"/>
          <w:bCs/>
          <w:color w:val="000000"/>
          <w:sz w:val="24"/>
          <w:bdr w:val="none" w:sz="0" w:space="0" w:color="auto" w:frame="1"/>
        </w:rPr>
        <w:t>ngeles</w:t>
      </w:r>
      <w:r w:rsidRPr="00B526E7">
        <w:rPr>
          <w:rFonts w:ascii="Arial" w:hAnsi="Arial" w:cs="Arial"/>
          <w:bCs/>
          <w:color w:val="000000"/>
          <w:sz w:val="24"/>
          <w:bdr w:val="none" w:sz="0" w:space="0" w:color="auto" w:frame="1"/>
        </w:rPr>
        <w:t>, Los Angeles, CA</w:t>
      </w:r>
    </w:p>
    <w:p w14:paraId="11B35291" w14:textId="77777777" w:rsidR="007103C5" w:rsidRPr="00B526E7" w:rsidRDefault="007103C5" w:rsidP="007103C5">
      <w:pPr>
        <w:pStyle w:val="ListParagraph"/>
        <w:rPr>
          <w:rFonts w:ascii="Arial" w:hAnsi="Arial" w:cs="Arial"/>
          <w:bCs/>
          <w:color w:val="000000"/>
          <w:sz w:val="24"/>
          <w:bdr w:val="none" w:sz="0" w:space="0" w:color="auto" w:frame="1"/>
        </w:rPr>
      </w:pPr>
    </w:p>
    <w:p w14:paraId="60E7A7E9" w14:textId="77777777" w:rsidR="009B3794" w:rsidRPr="006049D1"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Explanation of any Payment/Gift to Respondents</w:t>
      </w:r>
    </w:p>
    <w:p w14:paraId="5318FB38" w14:textId="77777777" w:rsidR="007103C5" w:rsidRDefault="007103C5" w:rsidP="007103C5">
      <w:pPr>
        <w:rPr>
          <w:rFonts w:ascii="Arial" w:hAnsi="Arial" w:cs="Arial"/>
          <w:sz w:val="24"/>
        </w:rPr>
      </w:pPr>
    </w:p>
    <w:p w14:paraId="268E9F47" w14:textId="6E5A1C00" w:rsidR="007103C5" w:rsidRDefault="00923AB9" w:rsidP="007103C5">
      <w:pPr>
        <w:rPr>
          <w:rFonts w:ascii="Arial" w:hAnsi="Arial" w:cs="Arial"/>
          <w:sz w:val="24"/>
        </w:rPr>
      </w:pPr>
      <w:r>
        <w:rPr>
          <w:rFonts w:ascii="Arial" w:hAnsi="Arial" w:cs="Arial"/>
          <w:sz w:val="24"/>
        </w:rPr>
        <w:t xml:space="preserve">Donors and donor candidates </w:t>
      </w:r>
      <w:r w:rsidR="008467F8" w:rsidRPr="008467F8">
        <w:rPr>
          <w:rFonts w:ascii="Arial" w:hAnsi="Arial" w:cs="Arial"/>
          <w:sz w:val="24"/>
        </w:rPr>
        <w:t>will not receive any payments or gifts</w:t>
      </w:r>
      <w:r w:rsidR="00B4518F">
        <w:rPr>
          <w:rFonts w:ascii="Arial" w:hAnsi="Arial" w:cs="Arial"/>
          <w:sz w:val="24"/>
        </w:rPr>
        <w:t xml:space="preserve">.  </w:t>
      </w:r>
      <w:r>
        <w:rPr>
          <w:rFonts w:ascii="Arial" w:hAnsi="Arial" w:cs="Arial"/>
          <w:sz w:val="24"/>
        </w:rPr>
        <w:t xml:space="preserve">The transplant programs participating in the pilot will have the cost of their data entry time and effort </w:t>
      </w:r>
      <w:r w:rsidR="00EF4BF3">
        <w:rPr>
          <w:rFonts w:ascii="Arial" w:hAnsi="Arial" w:cs="Arial"/>
          <w:sz w:val="24"/>
        </w:rPr>
        <w:t>reimbursed</w:t>
      </w:r>
      <w:r>
        <w:rPr>
          <w:rFonts w:ascii="Arial" w:hAnsi="Arial" w:cs="Arial"/>
          <w:sz w:val="24"/>
        </w:rPr>
        <w:t xml:space="preserve"> by the SRTR</w:t>
      </w:r>
      <w:r w:rsidR="0023639A">
        <w:rPr>
          <w:rFonts w:ascii="Arial" w:hAnsi="Arial" w:cs="Arial"/>
          <w:sz w:val="24"/>
        </w:rPr>
        <w:t xml:space="preserve"> contract</w:t>
      </w:r>
      <w:r w:rsidR="007103C5">
        <w:rPr>
          <w:rFonts w:ascii="Arial" w:hAnsi="Arial" w:cs="Arial"/>
          <w:sz w:val="24"/>
        </w:rPr>
        <w:t>.</w:t>
      </w:r>
    </w:p>
    <w:p w14:paraId="3B8D0E04" w14:textId="056C4B3A" w:rsidR="008467F8" w:rsidRPr="008467F8" w:rsidRDefault="0023639A" w:rsidP="007103C5">
      <w:pPr>
        <w:rPr>
          <w:rFonts w:ascii="Arial" w:hAnsi="Arial" w:cs="Arial"/>
          <w:sz w:val="24"/>
        </w:rPr>
      </w:pPr>
      <w:r>
        <w:rPr>
          <w:rFonts w:ascii="Arial" w:hAnsi="Arial" w:cs="Arial"/>
          <w:sz w:val="24"/>
        </w:rPr>
        <w:t xml:space="preserve"> </w:t>
      </w:r>
    </w:p>
    <w:p w14:paraId="4D5BFE58" w14:textId="2311E131" w:rsidR="009B3794" w:rsidRPr="008467F8"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Assurance of Confidentiality Provided to Respondents</w:t>
      </w:r>
    </w:p>
    <w:p w14:paraId="0FA40870" w14:textId="77777777" w:rsidR="00E26808" w:rsidRDefault="00E26808" w:rsidP="007103C5">
      <w:pPr>
        <w:rPr>
          <w:rFonts w:ascii="Arial" w:hAnsi="Arial" w:cs="Arial"/>
          <w:sz w:val="24"/>
        </w:rPr>
      </w:pPr>
    </w:p>
    <w:p w14:paraId="771978C3" w14:textId="5FF9DD1A" w:rsidR="008467F8" w:rsidRDefault="005649E4" w:rsidP="007103C5">
      <w:pPr>
        <w:rPr>
          <w:rFonts w:ascii="Arial" w:hAnsi="Arial" w:cs="Arial"/>
          <w:sz w:val="24"/>
        </w:rPr>
      </w:pPr>
      <w:r w:rsidRPr="005649E4">
        <w:rPr>
          <w:rFonts w:ascii="Arial" w:hAnsi="Arial" w:cs="Arial"/>
          <w:sz w:val="24"/>
        </w:rPr>
        <w:t xml:space="preserve">Information proposed to </w:t>
      </w:r>
      <w:r w:rsidRPr="00E31FD9">
        <w:rPr>
          <w:rFonts w:ascii="Arial" w:hAnsi="Arial" w:cs="Arial"/>
          <w:noProof/>
          <w:sz w:val="24"/>
        </w:rPr>
        <w:t>be collected</w:t>
      </w:r>
      <w:r w:rsidRPr="005649E4">
        <w:rPr>
          <w:rFonts w:ascii="Arial" w:hAnsi="Arial" w:cs="Arial"/>
          <w:sz w:val="24"/>
        </w:rPr>
        <w:t xml:space="preserve"> is considered to be protected health information</w:t>
      </w:r>
      <w:r w:rsidR="00B4518F">
        <w:rPr>
          <w:rFonts w:ascii="Arial" w:hAnsi="Arial" w:cs="Arial"/>
          <w:sz w:val="24"/>
        </w:rPr>
        <w:t xml:space="preserve">.  </w:t>
      </w:r>
      <w:r w:rsidRPr="005649E4">
        <w:rPr>
          <w:rFonts w:ascii="Arial" w:hAnsi="Arial" w:cs="Arial"/>
          <w:sz w:val="24"/>
        </w:rPr>
        <w:t xml:space="preserve">SRTR </w:t>
      </w:r>
      <w:r w:rsidRPr="00E31FD9">
        <w:rPr>
          <w:rFonts w:ascii="Arial" w:hAnsi="Arial" w:cs="Arial"/>
          <w:noProof/>
          <w:sz w:val="24"/>
        </w:rPr>
        <w:t>is recognized</w:t>
      </w:r>
      <w:r w:rsidRPr="005649E4">
        <w:rPr>
          <w:rFonts w:ascii="Arial" w:hAnsi="Arial" w:cs="Arial"/>
          <w:sz w:val="24"/>
        </w:rPr>
        <w:t xml:space="preserve"> as a public health authority under the HIPAA Privacy Rule (42 CFR 164.512(b))</w:t>
      </w:r>
      <w:r w:rsidR="00B4518F">
        <w:rPr>
          <w:rFonts w:ascii="Arial" w:hAnsi="Arial" w:cs="Arial"/>
          <w:sz w:val="24"/>
        </w:rPr>
        <w:t xml:space="preserve">.  </w:t>
      </w:r>
      <w:r>
        <w:rPr>
          <w:rFonts w:ascii="Arial" w:hAnsi="Arial" w:cs="Arial"/>
          <w:sz w:val="24"/>
        </w:rPr>
        <w:t>See also Section 7, above.</w:t>
      </w:r>
    </w:p>
    <w:p w14:paraId="1F777C96" w14:textId="77777777" w:rsidR="007103C5" w:rsidRPr="005649E4" w:rsidRDefault="007103C5" w:rsidP="007103C5">
      <w:pPr>
        <w:rPr>
          <w:rFonts w:ascii="Arial" w:hAnsi="Arial" w:cs="Arial"/>
          <w:sz w:val="24"/>
          <w:highlight w:val="yellow"/>
        </w:rPr>
      </w:pPr>
    </w:p>
    <w:p w14:paraId="09C5FC04" w14:textId="3B4955D1" w:rsidR="009B3794" w:rsidRPr="008467F8"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Justification for Sensitive Questions</w:t>
      </w:r>
    </w:p>
    <w:p w14:paraId="5C6FD4DC" w14:textId="77777777" w:rsidR="007103C5" w:rsidRDefault="007103C5" w:rsidP="007103C5">
      <w:pPr>
        <w:rPr>
          <w:rFonts w:ascii="Arial" w:hAnsi="Arial" w:cs="Arial"/>
          <w:bCs/>
          <w:color w:val="000000"/>
          <w:sz w:val="24"/>
          <w:bdr w:val="none" w:sz="0" w:space="0" w:color="auto" w:frame="1"/>
        </w:rPr>
      </w:pPr>
    </w:p>
    <w:p w14:paraId="5327440F" w14:textId="541105D3" w:rsidR="008467F8" w:rsidRDefault="008467F8" w:rsidP="007103C5">
      <w:pPr>
        <w:rPr>
          <w:rFonts w:ascii="Arial" w:hAnsi="Arial" w:cs="Arial"/>
          <w:bCs/>
          <w:color w:val="000000"/>
          <w:sz w:val="24"/>
          <w:bdr w:val="none" w:sz="0" w:space="0" w:color="auto" w:frame="1"/>
        </w:rPr>
      </w:pPr>
      <w:r w:rsidRPr="008467F8">
        <w:rPr>
          <w:rFonts w:ascii="Arial" w:hAnsi="Arial" w:cs="Arial"/>
          <w:bCs/>
          <w:color w:val="000000"/>
          <w:sz w:val="24"/>
          <w:bdr w:val="none" w:sz="0" w:space="0" w:color="auto" w:frame="1"/>
        </w:rPr>
        <w:t xml:space="preserve">This </w:t>
      </w:r>
      <w:r w:rsidRPr="00C35766">
        <w:rPr>
          <w:rFonts w:ascii="Arial" w:hAnsi="Arial" w:cs="Arial"/>
          <w:sz w:val="24"/>
        </w:rPr>
        <w:t>collection</w:t>
      </w:r>
      <w:r w:rsidRPr="008467F8">
        <w:rPr>
          <w:rFonts w:ascii="Arial" w:hAnsi="Arial" w:cs="Arial"/>
          <w:bCs/>
          <w:color w:val="000000"/>
          <w:sz w:val="24"/>
          <w:bdr w:val="none" w:sz="0" w:space="0" w:color="auto" w:frame="1"/>
        </w:rPr>
        <w:t xml:space="preserve"> of information contains </w:t>
      </w:r>
      <w:r w:rsidR="005649E4">
        <w:rPr>
          <w:rFonts w:ascii="Arial" w:hAnsi="Arial" w:cs="Arial"/>
          <w:bCs/>
          <w:color w:val="000000"/>
          <w:sz w:val="24"/>
          <w:bdr w:val="none" w:sz="0" w:space="0" w:color="auto" w:frame="1"/>
        </w:rPr>
        <w:t>some</w:t>
      </w:r>
      <w:r w:rsidRPr="008467F8">
        <w:rPr>
          <w:rFonts w:ascii="Arial" w:hAnsi="Arial" w:cs="Arial"/>
          <w:bCs/>
          <w:color w:val="000000"/>
          <w:sz w:val="24"/>
          <w:bdr w:val="none" w:sz="0" w:space="0" w:color="auto" w:frame="1"/>
        </w:rPr>
        <w:t xml:space="preserve"> questions </w:t>
      </w:r>
      <w:r w:rsidR="005649E4">
        <w:rPr>
          <w:rFonts w:ascii="Arial" w:hAnsi="Arial" w:cs="Arial"/>
          <w:bCs/>
          <w:color w:val="000000"/>
          <w:sz w:val="24"/>
          <w:bdr w:val="none" w:sz="0" w:space="0" w:color="auto" w:frame="1"/>
        </w:rPr>
        <w:t xml:space="preserve">that some may consider </w:t>
      </w:r>
      <w:r w:rsidR="00C8748F">
        <w:rPr>
          <w:rFonts w:ascii="Arial" w:hAnsi="Arial" w:cs="Arial"/>
          <w:bCs/>
          <w:noProof/>
          <w:color w:val="000000"/>
          <w:sz w:val="24"/>
          <w:bdr w:val="none" w:sz="0" w:space="0" w:color="auto" w:frame="1"/>
        </w:rPr>
        <w:t>being</w:t>
      </w:r>
      <w:r w:rsidR="005649E4">
        <w:rPr>
          <w:rFonts w:ascii="Arial" w:hAnsi="Arial" w:cs="Arial"/>
          <w:bCs/>
          <w:color w:val="000000"/>
          <w:sz w:val="24"/>
          <w:bdr w:val="none" w:sz="0" w:space="0" w:color="auto" w:frame="1"/>
        </w:rPr>
        <w:t xml:space="preserve"> </w:t>
      </w:r>
      <w:r w:rsidRPr="008467F8">
        <w:rPr>
          <w:rFonts w:ascii="Arial" w:hAnsi="Arial" w:cs="Arial"/>
          <w:bCs/>
          <w:color w:val="000000"/>
          <w:sz w:val="24"/>
          <w:bdr w:val="none" w:sz="0" w:space="0" w:color="auto" w:frame="1"/>
        </w:rPr>
        <w:t>of a sensitive nature</w:t>
      </w:r>
      <w:r w:rsidR="005649E4">
        <w:rPr>
          <w:rFonts w:ascii="Arial" w:hAnsi="Arial" w:cs="Arial"/>
          <w:bCs/>
          <w:color w:val="000000"/>
          <w:sz w:val="24"/>
          <w:bdr w:val="none" w:sz="0" w:space="0" w:color="auto" w:frame="1"/>
        </w:rPr>
        <w:t>, including protected health information</w:t>
      </w:r>
      <w:r w:rsidR="00B4518F">
        <w:rPr>
          <w:rFonts w:ascii="Arial" w:hAnsi="Arial" w:cs="Arial"/>
          <w:bCs/>
          <w:color w:val="000000"/>
          <w:sz w:val="24"/>
          <w:bdr w:val="none" w:sz="0" w:space="0" w:color="auto" w:frame="1"/>
        </w:rPr>
        <w:t xml:space="preserve">.  </w:t>
      </w:r>
      <w:r w:rsidRPr="00E31FD9">
        <w:rPr>
          <w:rFonts w:ascii="Arial" w:hAnsi="Arial" w:cs="Arial"/>
          <w:bCs/>
          <w:noProof/>
          <w:color w:val="000000"/>
          <w:sz w:val="24"/>
          <w:bdr w:val="none" w:sz="0" w:space="0" w:color="auto" w:frame="1"/>
        </w:rPr>
        <w:t>This information is already collected by the transplant centers</w:t>
      </w:r>
      <w:r w:rsidRPr="008467F8">
        <w:rPr>
          <w:rFonts w:ascii="Arial" w:hAnsi="Arial" w:cs="Arial"/>
          <w:bCs/>
          <w:color w:val="000000"/>
          <w:sz w:val="24"/>
          <w:bdr w:val="none" w:sz="0" w:space="0" w:color="auto" w:frame="1"/>
        </w:rPr>
        <w:t xml:space="preserve"> for tracking purposes</w:t>
      </w:r>
      <w:r w:rsidR="005649E4">
        <w:rPr>
          <w:rFonts w:ascii="Arial" w:hAnsi="Arial" w:cs="Arial"/>
          <w:bCs/>
          <w:color w:val="000000"/>
          <w:sz w:val="24"/>
          <w:bdr w:val="none" w:sz="0" w:space="0" w:color="auto" w:frame="1"/>
        </w:rPr>
        <w:t>, and the</w:t>
      </w:r>
      <w:r w:rsidRPr="008467F8">
        <w:rPr>
          <w:rFonts w:ascii="Arial" w:hAnsi="Arial" w:cs="Arial"/>
          <w:bCs/>
          <w:color w:val="000000"/>
          <w:sz w:val="24"/>
          <w:bdr w:val="none" w:sz="0" w:space="0" w:color="auto" w:frame="1"/>
        </w:rPr>
        <w:t xml:space="preserve"> SRTR will </w:t>
      </w:r>
      <w:r w:rsidR="005649E4">
        <w:rPr>
          <w:rFonts w:ascii="Arial" w:hAnsi="Arial" w:cs="Arial"/>
          <w:bCs/>
          <w:color w:val="000000"/>
          <w:sz w:val="24"/>
          <w:bdr w:val="none" w:sz="0" w:space="0" w:color="auto" w:frame="1"/>
        </w:rPr>
        <w:t xml:space="preserve">use </w:t>
      </w:r>
      <w:r w:rsidRPr="008467F8">
        <w:rPr>
          <w:rFonts w:ascii="Arial" w:hAnsi="Arial" w:cs="Arial"/>
          <w:bCs/>
          <w:color w:val="000000"/>
          <w:sz w:val="24"/>
          <w:bdr w:val="none" w:sz="0" w:space="0" w:color="auto" w:frame="1"/>
        </w:rPr>
        <w:t xml:space="preserve">this information </w:t>
      </w:r>
      <w:r w:rsidR="005649E4">
        <w:rPr>
          <w:rFonts w:ascii="Arial" w:hAnsi="Arial" w:cs="Arial"/>
          <w:bCs/>
          <w:color w:val="000000"/>
          <w:sz w:val="24"/>
          <w:bdr w:val="none" w:sz="0" w:space="0" w:color="auto" w:frame="1"/>
        </w:rPr>
        <w:t xml:space="preserve">for </w:t>
      </w:r>
      <w:r w:rsidRPr="008467F8">
        <w:rPr>
          <w:rFonts w:ascii="Arial" w:hAnsi="Arial" w:cs="Arial"/>
          <w:bCs/>
          <w:color w:val="000000"/>
          <w:sz w:val="24"/>
          <w:bdr w:val="none" w:sz="0" w:space="0" w:color="auto" w:frame="1"/>
        </w:rPr>
        <w:t>follow-up purposes</w:t>
      </w:r>
      <w:r w:rsidR="005649E4">
        <w:rPr>
          <w:rFonts w:ascii="Arial" w:hAnsi="Arial" w:cs="Arial"/>
          <w:bCs/>
          <w:color w:val="000000"/>
          <w:sz w:val="24"/>
          <w:bdr w:val="none" w:sz="0" w:space="0" w:color="auto" w:frame="1"/>
        </w:rPr>
        <w:t xml:space="preserve">, </w:t>
      </w:r>
      <w:r w:rsidR="005649E4" w:rsidRPr="00C8748F">
        <w:rPr>
          <w:rFonts w:ascii="Arial" w:hAnsi="Arial" w:cs="Arial"/>
          <w:bCs/>
          <w:noProof/>
          <w:color w:val="000000"/>
          <w:sz w:val="24"/>
          <w:bdr w:val="none" w:sz="0" w:space="0" w:color="auto" w:frame="1"/>
        </w:rPr>
        <w:t>e.g.</w:t>
      </w:r>
      <w:r w:rsidR="00C8748F">
        <w:rPr>
          <w:rFonts w:ascii="Arial" w:hAnsi="Arial" w:cs="Arial"/>
          <w:bCs/>
          <w:noProof/>
          <w:color w:val="000000"/>
          <w:sz w:val="24"/>
          <w:bdr w:val="none" w:sz="0" w:space="0" w:color="auto" w:frame="1"/>
        </w:rPr>
        <w:t>,</w:t>
      </w:r>
      <w:r w:rsidR="005649E4">
        <w:rPr>
          <w:rFonts w:ascii="Arial" w:hAnsi="Arial" w:cs="Arial"/>
          <w:bCs/>
          <w:color w:val="000000"/>
          <w:sz w:val="24"/>
          <w:bdr w:val="none" w:sz="0" w:space="0" w:color="auto" w:frame="1"/>
        </w:rPr>
        <w:t xml:space="preserve"> to find follow-up information from data sources such as the</w:t>
      </w:r>
      <w:r w:rsidRPr="008467F8">
        <w:rPr>
          <w:rFonts w:ascii="Arial" w:hAnsi="Arial" w:cs="Arial"/>
          <w:bCs/>
          <w:color w:val="000000"/>
          <w:sz w:val="24"/>
          <w:bdr w:val="none" w:sz="0" w:space="0" w:color="auto" w:frame="1"/>
        </w:rPr>
        <w:t xml:space="preserve"> National Death Index.</w:t>
      </w:r>
    </w:p>
    <w:p w14:paraId="2C195542" w14:textId="77777777" w:rsidR="007103C5" w:rsidRPr="008467F8" w:rsidRDefault="007103C5" w:rsidP="007103C5">
      <w:pPr>
        <w:rPr>
          <w:rFonts w:ascii="Arial" w:hAnsi="Arial" w:cs="Arial"/>
          <w:bCs/>
          <w:color w:val="000000"/>
          <w:sz w:val="24"/>
          <w:bdr w:val="none" w:sz="0" w:space="0" w:color="auto" w:frame="1"/>
        </w:rPr>
      </w:pPr>
    </w:p>
    <w:p w14:paraId="7193AF61" w14:textId="29972583" w:rsidR="005A7FC6" w:rsidRPr="007103C5" w:rsidRDefault="009B3794" w:rsidP="007103C5">
      <w:pPr>
        <w:numPr>
          <w:ilvl w:val="0"/>
          <w:numId w:val="2"/>
        </w:numPr>
        <w:tabs>
          <w:tab w:val="clear" w:pos="1080"/>
          <w:tab w:val="num" w:pos="360"/>
        </w:tabs>
        <w:ind w:left="360"/>
        <w:rPr>
          <w:rFonts w:ascii="Arial" w:hAnsi="Arial" w:cs="Arial"/>
          <w:sz w:val="24"/>
        </w:rPr>
      </w:pPr>
      <w:r w:rsidRPr="000D72CB">
        <w:rPr>
          <w:rFonts w:ascii="Arial" w:hAnsi="Arial" w:cs="Arial"/>
          <w:b/>
          <w:sz w:val="24"/>
          <w:u w:val="single"/>
        </w:rPr>
        <w:t xml:space="preserve">Estimates of Annualized Hour and Cost Burden </w:t>
      </w:r>
    </w:p>
    <w:p w14:paraId="2686E7A3" w14:textId="77777777" w:rsidR="007103C5" w:rsidRPr="00B90752" w:rsidRDefault="007103C5" w:rsidP="007103C5">
      <w:pPr>
        <w:ind w:left="360"/>
        <w:rPr>
          <w:rFonts w:ascii="Arial" w:hAnsi="Arial" w:cs="Arial"/>
          <w:sz w:val="24"/>
        </w:rPr>
      </w:pPr>
    </w:p>
    <w:p w14:paraId="4119196D" w14:textId="068D437E" w:rsidR="009B3794" w:rsidRDefault="009B3794" w:rsidP="007103C5">
      <w:pPr>
        <w:widowControl/>
        <w:tabs>
          <w:tab w:val="num" w:pos="720"/>
        </w:tabs>
        <w:rPr>
          <w:rFonts w:ascii="Arial" w:hAnsi="Arial" w:cs="Arial"/>
          <w:b/>
          <w:sz w:val="24"/>
        </w:rPr>
      </w:pPr>
      <w:r w:rsidRPr="001F0C54">
        <w:rPr>
          <w:rFonts w:ascii="Arial" w:hAnsi="Arial" w:cs="Arial"/>
          <w:b/>
          <w:sz w:val="24"/>
        </w:rPr>
        <w:t>12A.</w:t>
      </w:r>
      <w:r w:rsidRPr="001F0C54">
        <w:rPr>
          <w:rFonts w:ascii="Arial" w:hAnsi="Arial" w:cs="Arial"/>
          <w:sz w:val="24"/>
        </w:rPr>
        <w:t xml:space="preserve">        </w:t>
      </w:r>
      <w:r w:rsidRPr="001F0C54">
        <w:rPr>
          <w:rFonts w:ascii="Arial" w:hAnsi="Arial" w:cs="Arial"/>
          <w:b/>
          <w:sz w:val="24"/>
        </w:rPr>
        <w:t>Estimated Annualized Burden Hours</w:t>
      </w:r>
    </w:p>
    <w:p w14:paraId="7462FDEE" w14:textId="533BFD94" w:rsidR="00EF79BB" w:rsidRDefault="00EF79BB" w:rsidP="007103C5">
      <w:pPr>
        <w:widowControl/>
        <w:tabs>
          <w:tab w:val="num" w:pos="720"/>
        </w:tabs>
        <w:rPr>
          <w:rFonts w:ascii="Arial" w:hAnsi="Arial" w:cs="Arial"/>
          <w:b/>
          <w:sz w:val="24"/>
        </w:rPr>
      </w:pPr>
    </w:p>
    <w:p w14:paraId="3F7C073C" w14:textId="5BCAB43B" w:rsidR="00EF79BB" w:rsidRPr="00DC754F" w:rsidRDefault="00EF79BB" w:rsidP="007103C5">
      <w:pPr>
        <w:widowControl/>
        <w:tabs>
          <w:tab w:val="num" w:pos="720"/>
        </w:tabs>
        <w:rPr>
          <w:rFonts w:ascii="Arial" w:hAnsi="Arial" w:cs="Arial"/>
          <w:sz w:val="24"/>
        </w:rPr>
      </w:pPr>
      <w:r>
        <w:rPr>
          <w:rFonts w:ascii="Arial" w:hAnsi="Arial" w:cs="Arial"/>
          <w:sz w:val="24"/>
        </w:rPr>
        <w:t>The total estimated annualized burden for this information collection request is 1,358.</w:t>
      </w:r>
    </w:p>
    <w:p w14:paraId="6937F39B" w14:textId="77777777" w:rsidR="00EF79BB" w:rsidRDefault="00EF79BB" w:rsidP="007103C5">
      <w:pPr>
        <w:widowControl/>
        <w:tabs>
          <w:tab w:val="num" w:pos="720"/>
        </w:tabs>
        <w:rPr>
          <w:rFonts w:ascii="Arial" w:hAnsi="Arial" w:cs="Arial"/>
          <w:b/>
          <w:sz w:val="24"/>
        </w:rPr>
      </w:pPr>
    </w:p>
    <w:tbl>
      <w:tblPr>
        <w:tblStyle w:val="TableGrid"/>
        <w:tblW w:w="0" w:type="auto"/>
        <w:tblLook w:val="04A0" w:firstRow="1" w:lastRow="0" w:firstColumn="1" w:lastColumn="0" w:noHBand="0" w:noVBand="1"/>
      </w:tblPr>
      <w:tblGrid>
        <w:gridCol w:w="1372"/>
        <w:gridCol w:w="1751"/>
        <w:gridCol w:w="1483"/>
        <w:gridCol w:w="1372"/>
        <w:gridCol w:w="1284"/>
        <w:gridCol w:w="1172"/>
        <w:gridCol w:w="916"/>
      </w:tblGrid>
      <w:tr w:rsidR="00EF4BF3" w14:paraId="05A29816" w14:textId="77777777" w:rsidTr="00DC754F">
        <w:tc>
          <w:tcPr>
            <w:tcW w:w="1372" w:type="dxa"/>
          </w:tcPr>
          <w:p w14:paraId="674B5A5F" w14:textId="69767E1E" w:rsidR="00EF4BF3" w:rsidRPr="00DC754F" w:rsidRDefault="00EF4BF3" w:rsidP="00DC754F">
            <w:pPr>
              <w:widowControl/>
              <w:tabs>
                <w:tab w:val="num" w:pos="720"/>
              </w:tabs>
              <w:jc w:val="center"/>
              <w:rPr>
                <w:rFonts w:ascii="Arial" w:hAnsi="Arial" w:cs="Arial"/>
                <w:b/>
                <w:szCs w:val="20"/>
              </w:rPr>
            </w:pPr>
            <w:r w:rsidRPr="00DC754F">
              <w:rPr>
                <w:rFonts w:ascii="Arial" w:hAnsi="Arial" w:cs="Arial"/>
                <w:b/>
                <w:szCs w:val="20"/>
              </w:rPr>
              <w:t>Type of Respondent</w:t>
            </w:r>
          </w:p>
        </w:tc>
        <w:tc>
          <w:tcPr>
            <w:tcW w:w="1751" w:type="dxa"/>
          </w:tcPr>
          <w:p w14:paraId="50D6D769" w14:textId="575DD0E0" w:rsidR="00EF4BF3" w:rsidRPr="00DC754F" w:rsidRDefault="00EF4BF3" w:rsidP="00DC754F">
            <w:pPr>
              <w:widowControl/>
              <w:tabs>
                <w:tab w:val="num" w:pos="720"/>
              </w:tabs>
              <w:jc w:val="center"/>
              <w:rPr>
                <w:rFonts w:ascii="Arial" w:hAnsi="Arial" w:cs="Arial"/>
                <w:b/>
                <w:szCs w:val="20"/>
              </w:rPr>
            </w:pPr>
            <w:r>
              <w:rPr>
                <w:rFonts w:ascii="Arial" w:hAnsi="Arial" w:cs="Arial"/>
                <w:b/>
                <w:szCs w:val="20"/>
              </w:rPr>
              <w:t>Form Name</w:t>
            </w:r>
          </w:p>
        </w:tc>
        <w:tc>
          <w:tcPr>
            <w:tcW w:w="1483" w:type="dxa"/>
          </w:tcPr>
          <w:p w14:paraId="5D12BC5F" w14:textId="553DAA4C" w:rsidR="00EF4BF3" w:rsidRPr="00DC754F" w:rsidRDefault="00EF4BF3" w:rsidP="00DC754F">
            <w:pPr>
              <w:widowControl/>
              <w:tabs>
                <w:tab w:val="num" w:pos="720"/>
              </w:tabs>
              <w:jc w:val="center"/>
              <w:rPr>
                <w:rFonts w:ascii="Arial" w:hAnsi="Arial" w:cs="Arial"/>
                <w:b/>
                <w:szCs w:val="20"/>
              </w:rPr>
            </w:pPr>
            <w:r>
              <w:rPr>
                <w:rFonts w:ascii="Arial" w:hAnsi="Arial" w:cs="Arial"/>
                <w:b/>
                <w:szCs w:val="20"/>
              </w:rPr>
              <w:t>No. of Respondents</w:t>
            </w:r>
          </w:p>
        </w:tc>
        <w:tc>
          <w:tcPr>
            <w:tcW w:w="1372" w:type="dxa"/>
          </w:tcPr>
          <w:p w14:paraId="32D17190" w14:textId="2262EE54" w:rsidR="00EF4BF3" w:rsidRPr="00DC754F" w:rsidRDefault="00EF4BF3" w:rsidP="00DC754F">
            <w:pPr>
              <w:widowControl/>
              <w:tabs>
                <w:tab w:val="num" w:pos="720"/>
              </w:tabs>
              <w:jc w:val="center"/>
              <w:rPr>
                <w:rFonts w:ascii="Arial" w:hAnsi="Arial" w:cs="Arial"/>
                <w:b/>
                <w:szCs w:val="20"/>
              </w:rPr>
            </w:pPr>
            <w:r>
              <w:rPr>
                <w:rFonts w:ascii="Arial" w:hAnsi="Arial" w:cs="Arial"/>
                <w:b/>
                <w:szCs w:val="20"/>
              </w:rPr>
              <w:t>Average No. of Responses per Respondent</w:t>
            </w:r>
          </w:p>
        </w:tc>
        <w:tc>
          <w:tcPr>
            <w:tcW w:w="1284" w:type="dxa"/>
          </w:tcPr>
          <w:p w14:paraId="27FE6E1E" w14:textId="784C21D8" w:rsidR="00EF4BF3" w:rsidRPr="00DC754F" w:rsidRDefault="00EF4BF3" w:rsidP="00DC754F">
            <w:pPr>
              <w:widowControl/>
              <w:tabs>
                <w:tab w:val="num" w:pos="720"/>
              </w:tabs>
              <w:jc w:val="center"/>
              <w:rPr>
                <w:rFonts w:ascii="Arial" w:hAnsi="Arial" w:cs="Arial"/>
                <w:b/>
                <w:szCs w:val="20"/>
              </w:rPr>
            </w:pPr>
            <w:r>
              <w:rPr>
                <w:rFonts w:ascii="Arial" w:hAnsi="Arial" w:cs="Arial"/>
                <w:b/>
                <w:szCs w:val="20"/>
              </w:rPr>
              <w:t>Total Number of Responses</w:t>
            </w:r>
          </w:p>
        </w:tc>
        <w:tc>
          <w:tcPr>
            <w:tcW w:w="1172" w:type="dxa"/>
          </w:tcPr>
          <w:p w14:paraId="66D32F57" w14:textId="603BF167" w:rsidR="00EF4BF3" w:rsidRPr="00DC754F" w:rsidRDefault="00EF4BF3" w:rsidP="00DC754F">
            <w:pPr>
              <w:widowControl/>
              <w:tabs>
                <w:tab w:val="num" w:pos="720"/>
              </w:tabs>
              <w:jc w:val="center"/>
              <w:rPr>
                <w:rFonts w:ascii="Arial" w:hAnsi="Arial" w:cs="Arial"/>
                <w:b/>
                <w:szCs w:val="20"/>
              </w:rPr>
            </w:pPr>
            <w:r>
              <w:rPr>
                <w:rFonts w:ascii="Arial" w:hAnsi="Arial" w:cs="Arial"/>
                <w:b/>
                <w:szCs w:val="20"/>
              </w:rPr>
              <w:t>Average Burden per Response (in hours)</w:t>
            </w:r>
          </w:p>
        </w:tc>
        <w:tc>
          <w:tcPr>
            <w:tcW w:w="916" w:type="dxa"/>
          </w:tcPr>
          <w:p w14:paraId="4ECC1085" w14:textId="35DB0529" w:rsidR="00EF4BF3" w:rsidRPr="00DC754F" w:rsidRDefault="00EF4BF3" w:rsidP="00DC754F">
            <w:pPr>
              <w:widowControl/>
              <w:tabs>
                <w:tab w:val="num" w:pos="720"/>
              </w:tabs>
              <w:jc w:val="center"/>
              <w:rPr>
                <w:rFonts w:ascii="Arial" w:hAnsi="Arial" w:cs="Arial"/>
                <w:b/>
                <w:szCs w:val="20"/>
              </w:rPr>
            </w:pPr>
            <w:r>
              <w:rPr>
                <w:rFonts w:ascii="Arial" w:hAnsi="Arial" w:cs="Arial"/>
                <w:b/>
                <w:szCs w:val="20"/>
              </w:rPr>
              <w:t>Total Burden Hours</w:t>
            </w:r>
          </w:p>
        </w:tc>
      </w:tr>
      <w:tr w:rsidR="00EF4BF3" w14:paraId="3D7FB9AD" w14:textId="77777777" w:rsidTr="00DC754F">
        <w:tc>
          <w:tcPr>
            <w:tcW w:w="1372" w:type="dxa"/>
          </w:tcPr>
          <w:p w14:paraId="49B12855" w14:textId="244FD4A8" w:rsidR="00EF4BF3" w:rsidRPr="00DC754F" w:rsidRDefault="00EF4BF3" w:rsidP="00EF4BF3">
            <w:pPr>
              <w:widowControl/>
              <w:tabs>
                <w:tab w:val="num" w:pos="720"/>
              </w:tabs>
              <w:rPr>
                <w:rFonts w:ascii="Arial" w:hAnsi="Arial" w:cs="Arial"/>
                <w:szCs w:val="20"/>
              </w:rPr>
            </w:pPr>
            <w:r>
              <w:rPr>
                <w:rFonts w:ascii="Arial" w:hAnsi="Arial" w:cs="Arial"/>
                <w:szCs w:val="20"/>
              </w:rPr>
              <w:t>Private Sector (Organ Transplant Centers)</w:t>
            </w:r>
          </w:p>
        </w:tc>
        <w:tc>
          <w:tcPr>
            <w:tcW w:w="1751" w:type="dxa"/>
          </w:tcPr>
          <w:p w14:paraId="2C652264" w14:textId="417B4E8C" w:rsidR="00EF4BF3" w:rsidRPr="00DC754F" w:rsidRDefault="00EF4BF3" w:rsidP="00EF4BF3">
            <w:pPr>
              <w:widowControl/>
              <w:tabs>
                <w:tab w:val="num" w:pos="720"/>
              </w:tabs>
              <w:rPr>
                <w:rFonts w:ascii="Arial" w:hAnsi="Arial" w:cs="Arial"/>
                <w:szCs w:val="20"/>
              </w:rPr>
            </w:pPr>
            <w:r w:rsidRPr="00C35766">
              <w:rPr>
                <w:rFonts w:ascii="Arial" w:hAnsi="Arial" w:cs="Arial"/>
                <w:szCs w:val="20"/>
              </w:rPr>
              <w:t>Potential Living Donor Registration form</w:t>
            </w:r>
          </w:p>
        </w:tc>
        <w:tc>
          <w:tcPr>
            <w:tcW w:w="1483" w:type="dxa"/>
          </w:tcPr>
          <w:p w14:paraId="3EE5242E" w14:textId="08D67BC9"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14</w:t>
            </w:r>
          </w:p>
        </w:tc>
        <w:tc>
          <w:tcPr>
            <w:tcW w:w="1372" w:type="dxa"/>
          </w:tcPr>
          <w:p w14:paraId="77A9C7FB" w14:textId="6F2ED3E2"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55.43</w:t>
            </w:r>
          </w:p>
        </w:tc>
        <w:tc>
          <w:tcPr>
            <w:tcW w:w="1284" w:type="dxa"/>
          </w:tcPr>
          <w:p w14:paraId="4769EF21" w14:textId="33E04680"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776</w:t>
            </w:r>
          </w:p>
        </w:tc>
        <w:tc>
          <w:tcPr>
            <w:tcW w:w="1172" w:type="dxa"/>
          </w:tcPr>
          <w:p w14:paraId="4607A412" w14:textId="1DFB54FE"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1</w:t>
            </w:r>
          </w:p>
        </w:tc>
        <w:tc>
          <w:tcPr>
            <w:tcW w:w="916" w:type="dxa"/>
          </w:tcPr>
          <w:p w14:paraId="2E2E33A3" w14:textId="4DF8686B"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776</w:t>
            </w:r>
          </w:p>
        </w:tc>
      </w:tr>
      <w:tr w:rsidR="00EF4BF3" w14:paraId="63710238" w14:textId="77777777" w:rsidTr="00DC754F">
        <w:tc>
          <w:tcPr>
            <w:tcW w:w="1372" w:type="dxa"/>
          </w:tcPr>
          <w:p w14:paraId="6802E3EF" w14:textId="074A8645" w:rsidR="00EF4BF3" w:rsidRPr="00DC754F" w:rsidRDefault="00EF4BF3" w:rsidP="00EF4BF3">
            <w:pPr>
              <w:widowControl/>
              <w:tabs>
                <w:tab w:val="num" w:pos="720"/>
              </w:tabs>
              <w:rPr>
                <w:rFonts w:ascii="Arial" w:hAnsi="Arial" w:cs="Arial"/>
                <w:szCs w:val="20"/>
              </w:rPr>
            </w:pPr>
            <w:r>
              <w:rPr>
                <w:rFonts w:ascii="Arial" w:hAnsi="Arial" w:cs="Arial"/>
                <w:szCs w:val="20"/>
              </w:rPr>
              <w:t>Private Sector (Organ Transplant Centers)</w:t>
            </w:r>
          </w:p>
        </w:tc>
        <w:tc>
          <w:tcPr>
            <w:tcW w:w="1751" w:type="dxa"/>
          </w:tcPr>
          <w:p w14:paraId="51EF299B" w14:textId="4EFDCE77" w:rsidR="00EF4BF3" w:rsidRPr="00DC754F" w:rsidRDefault="00674B66" w:rsidP="00EF4BF3">
            <w:pPr>
              <w:widowControl/>
              <w:tabs>
                <w:tab w:val="num" w:pos="720"/>
              </w:tabs>
              <w:rPr>
                <w:rFonts w:ascii="Arial" w:hAnsi="Arial" w:cs="Arial"/>
                <w:szCs w:val="20"/>
              </w:rPr>
            </w:pPr>
            <w:r>
              <w:rPr>
                <w:rFonts w:ascii="Arial" w:hAnsi="Arial" w:cs="Arial"/>
                <w:szCs w:val="20"/>
              </w:rPr>
              <w:t>Reasons Didn’t Donate f</w:t>
            </w:r>
            <w:r w:rsidR="00EF4BF3" w:rsidRPr="00C35766">
              <w:rPr>
                <w:rFonts w:ascii="Arial" w:hAnsi="Arial" w:cs="Arial"/>
                <w:szCs w:val="20"/>
              </w:rPr>
              <w:t>orm (liver or kidney)</w:t>
            </w:r>
          </w:p>
        </w:tc>
        <w:tc>
          <w:tcPr>
            <w:tcW w:w="1483" w:type="dxa"/>
          </w:tcPr>
          <w:p w14:paraId="5F1BFAB8" w14:textId="275792CE"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14</w:t>
            </w:r>
          </w:p>
        </w:tc>
        <w:tc>
          <w:tcPr>
            <w:tcW w:w="1372" w:type="dxa"/>
          </w:tcPr>
          <w:p w14:paraId="4F6E55C3" w14:textId="72838560"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27.71</w:t>
            </w:r>
          </w:p>
        </w:tc>
        <w:tc>
          <w:tcPr>
            <w:tcW w:w="1284" w:type="dxa"/>
          </w:tcPr>
          <w:p w14:paraId="56DCE96A" w14:textId="3DFD5CB7"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388</w:t>
            </w:r>
          </w:p>
        </w:tc>
        <w:tc>
          <w:tcPr>
            <w:tcW w:w="1172" w:type="dxa"/>
          </w:tcPr>
          <w:p w14:paraId="73F35D99" w14:textId="4DCAAA09"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.50</w:t>
            </w:r>
          </w:p>
        </w:tc>
        <w:tc>
          <w:tcPr>
            <w:tcW w:w="916" w:type="dxa"/>
          </w:tcPr>
          <w:p w14:paraId="5A5AAB78" w14:textId="72E9FAF3"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194</w:t>
            </w:r>
          </w:p>
        </w:tc>
      </w:tr>
      <w:tr w:rsidR="00EF4BF3" w14:paraId="2E20E41C" w14:textId="77777777" w:rsidTr="00DC754F">
        <w:tc>
          <w:tcPr>
            <w:tcW w:w="1372" w:type="dxa"/>
          </w:tcPr>
          <w:p w14:paraId="016F0034" w14:textId="41F92367" w:rsidR="00EF4BF3" w:rsidRPr="00DC754F" w:rsidRDefault="00EF4BF3" w:rsidP="00EF4BF3">
            <w:pPr>
              <w:widowControl/>
              <w:tabs>
                <w:tab w:val="num" w:pos="720"/>
              </w:tabs>
              <w:rPr>
                <w:rFonts w:ascii="Arial" w:hAnsi="Arial" w:cs="Arial"/>
                <w:szCs w:val="20"/>
              </w:rPr>
            </w:pPr>
            <w:r>
              <w:rPr>
                <w:rFonts w:ascii="Arial" w:hAnsi="Arial" w:cs="Arial"/>
                <w:szCs w:val="20"/>
              </w:rPr>
              <w:t>Individual/ Household (Living Donors)</w:t>
            </w:r>
          </w:p>
        </w:tc>
        <w:tc>
          <w:tcPr>
            <w:tcW w:w="1751" w:type="dxa"/>
          </w:tcPr>
          <w:p w14:paraId="1A6786E9" w14:textId="20F0DF76" w:rsidR="00EF4BF3" w:rsidRPr="00DC754F" w:rsidRDefault="00EF4BF3" w:rsidP="00EF4BF3">
            <w:pPr>
              <w:widowControl/>
              <w:tabs>
                <w:tab w:val="num" w:pos="720"/>
              </w:tabs>
              <w:rPr>
                <w:rFonts w:ascii="Arial" w:hAnsi="Arial" w:cs="Arial"/>
                <w:szCs w:val="20"/>
              </w:rPr>
            </w:pPr>
            <w:r w:rsidRPr="00C35766">
              <w:rPr>
                <w:rFonts w:ascii="Arial" w:hAnsi="Arial" w:cs="Arial"/>
                <w:szCs w:val="20"/>
              </w:rPr>
              <w:t xml:space="preserve">Potential Living Donor Follow-up form </w:t>
            </w:r>
          </w:p>
        </w:tc>
        <w:tc>
          <w:tcPr>
            <w:tcW w:w="1483" w:type="dxa"/>
          </w:tcPr>
          <w:p w14:paraId="10AF5F15" w14:textId="65A7B8EF"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776</w:t>
            </w:r>
          </w:p>
        </w:tc>
        <w:tc>
          <w:tcPr>
            <w:tcW w:w="1372" w:type="dxa"/>
          </w:tcPr>
          <w:p w14:paraId="32DF5DB7" w14:textId="3AA0B2E1"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1</w:t>
            </w:r>
          </w:p>
        </w:tc>
        <w:tc>
          <w:tcPr>
            <w:tcW w:w="1284" w:type="dxa"/>
          </w:tcPr>
          <w:p w14:paraId="3E1B16B3" w14:textId="3BDAA582"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776</w:t>
            </w:r>
          </w:p>
        </w:tc>
        <w:tc>
          <w:tcPr>
            <w:tcW w:w="1172" w:type="dxa"/>
          </w:tcPr>
          <w:p w14:paraId="3042B1B9" w14:textId="154D3AC2"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.50</w:t>
            </w:r>
          </w:p>
        </w:tc>
        <w:tc>
          <w:tcPr>
            <w:tcW w:w="916" w:type="dxa"/>
          </w:tcPr>
          <w:p w14:paraId="09A8DC87" w14:textId="4ED3EF54" w:rsidR="00EF4BF3" w:rsidRPr="00DC754F" w:rsidRDefault="00EF4BF3" w:rsidP="00DC754F">
            <w:pPr>
              <w:widowControl/>
              <w:tabs>
                <w:tab w:val="num" w:pos="720"/>
              </w:tabs>
              <w:jc w:val="center"/>
              <w:rPr>
                <w:rFonts w:ascii="Arial" w:hAnsi="Arial" w:cs="Arial"/>
                <w:szCs w:val="20"/>
              </w:rPr>
            </w:pPr>
            <w:r w:rsidRPr="00C35766">
              <w:rPr>
                <w:rFonts w:ascii="Arial" w:hAnsi="Arial" w:cs="Arial"/>
                <w:szCs w:val="20"/>
              </w:rPr>
              <w:t>388</w:t>
            </w:r>
          </w:p>
        </w:tc>
      </w:tr>
      <w:tr w:rsidR="00EF4BF3" w14:paraId="6AC45030" w14:textId="77777777" w:rsidTr="00DC754F">
        <w:tc>
          <w:tcPr>
            <w:tcW w:w="1372" w:type="dxa"/>
          </w:tcPr>
          <w:p w14:paraId="3EDBE16F" w14:textId="561D45B0" w:rsidR="00EF4BF3" w:rsidRPr="00DC754F" w:rsidRDefault="00EF4BF3" w:rsidP="00EF4BF3">
            <w:pPr>
              <w:widowControl/>
              <w:tabs>
                <w:tab w:val="num" w:pos="720"/>
              </w:tabs>
              <w:rPr>
                <w:rFonts w:ascii="Arial" w:hAnsi="Arial" w:cs="Arial"/>
                <w:szCs w:val="20"/>
              </w:rPr>
            </w:pPr>
            <w:r>
              <w:rPr>
                <w:rFonts w:ascii="Arial" w:hAnsi="Arial" w:cs="Arial"/>
                <w:szCs w:val="20"/>
              </w:rPr>
              <w:t>Total</w:t>
            </w:r>
          </w:p>
        </w:tc>
        <w:tc>
          <w:tcPr>
            <w:tcW w:w="1751" w:type="dxa"/>
          </w:tcPr>
          <w:p w14:paraId="1464424F" w14:textId="77777777" w:rsidR="00EF4BF3" w:rsidRPr="00DC754F" w:rsidRDefault="00EF4BF3" w:rsidP="00EF4BF3">
            <w:pPr>
              <w:widowControl/>
              <w:tabs>
                <w:tab w:val="num" w:pos="720"/>
              </w:tabs>
              <w:rPr>
                <w:rFonts w:ascii="Arial" w:hAnsi="Arial" w:cs="Arial"/>
                <w:szCs w:val="20"/>
              </w:rPr>
            </w:pPr>
          </w:p>
        </w:tc>
        <w:tc>
          <w:tcPr>
            <w:tcW w:w="1483" w:type="dxa"/>
          </w:tcPr>
          <w:p w14:paraId="65508226" w14:textId="6E6E8954" w:rsidR="00EF4BF3" w:rsidRPr="00DC754F" w:rsidRDefault="00EF4BF3" w:rsidP="00DC754F">
            <w:pPr>
              <w:widowControl/>
              <w:tabs>
                <w:tab w:val="num" w:pos="720"/>
              </w:tabs>
              <w:jc w:val="center"/>
              <w:rPr>
                <w:rFonts w:ascii="Arial" w:hAnsi="Arial" w:cs="Arial"/>
                <w:szCs w:val="20"/>
              </w:rPr>
            </w:pPr>
            <w:r w:rsidRPr="00C35766">
              <w:rPr>
                <w:rFonts w:ascii="Arial" w:hAnsi="Arial" w:cs="Arial"/>
                <w:b/>
                <w:szCs w:val="20"/>
              </w:rPr>
              <w:t>804*</w:t>
            </w:r>
          </w:p>
        </w:tc>
        <w:tc>
          <w:tcPr>
            <w:tcW w:w="1372" w:type="dxa"/>
          </w:tcPr>
          <w:p w14:paraId="5C9DE783" w14:textId="77777777" w:rsidR="00EF4BF3" w:rsidRPr="00DC754F" w:rsidRDefault="00EF4BF3" w:rsidP="00DC754F">
            <w:pPr>
              <w:widowControl/>
              <w:tabs>
                <w:tab w:val="num" w:pos="720"/>
              </w:tabs>
              <w:jc w:val="center"/>
              <w:rPr>
                <w:rFonts w:ascii="Arial" w:hAnsi="Arial" w:cs="Arial"/>
                <w:szCs w:val="20"/>
              </w:rPr>
            </w:pPr>
          </w:p>
        </w:tc>
        <w:tc>
          <w:tcPr>
            <w:tcW w:w="1284" w:type="dxa"/>
          </w:tcPr>
          <w:p w14:paraId="30C76229" w14:textId="28E0E200" w:rsidR="00EF4BF3" w:rsidRPr="00DC754F" w:rsidRDefault="00EF4BF3" w:rsidP="00DC754F">
            <w:pPr>
              <w:widowControl/>
              <w:tabs>
                <w:tab w:val="num" w:pos="720"/>
              </w:tabs>
              <w:jc w:val="center"/>
              <w:rPr>
                <w:rFonts w:ascii="Arial" w:hAnsi="Arial" w:cs="Arial"/>
                <w:szCs w:val="20"/>
              </w:rPr>
            </w:pPr>
            <w:r w:rsidRPr="00C35766">
              <w:rPr>
                <w:rFonts w:ascii="Arial" w:hAnsi="Arial" w:cs="Arial"/>
                <w:b/>
                <w:szCs w:val="20"/>
              </w:rPr>
              <w:t>1</w:t>
            </w:r>
            <w:r>
              <w:rPr>
                <w:rFonts w:ascii="Arial" w:hAnsi="Arial" w:cs="Arial"/>
                <w:b/>
                <w:szCs w:val="20"/>
              </w:rPr>
              <w:t>,</w:t>
            </w:r>
            <w:r w:rsidRPr="00C35766">
              <w:rPr>
                <w:rFonts w:ascii="Arial" w:hAnsi="Arial" w:cs="Arial"/>
                <w:b/>
                <w:szCs w:val="20"/>
              </w:rPr>
              <w:t>940</w:t>
            </w:r>
          </w:p>
        </w:tc>
        <w:tc>
          <w:tcPr>
            <w:tcW w:w="1172" w:type="dxa"/>
          </w:tcPr>
          <w:p w14:paraId="6C0D8301" w14:textId="77777777" w:rsidR="00EF4BF3" w:rsidRPr="00DC754F" w:rsidRDefault="00EF4BF3" w:rsidP="00DC754F">
            <w:pPr>
              <w:widowControl/>
              <w:tabs>
                <w:tab w:val="num" w:pos="720"/>
              </w:tabs>
              <w:jc w:val="center"/>
              <w:rPr>
                <w:rFonts w:ascii="Arial" w:hAnsi="Arial" w:cs="Arial"/>
                <w:szCs w:val="20"/>
              </w:rPr>
            </w:pPr>
          </w:p>
        </w:tc>
        <w:tc>
          <w:tcPr>
            <w:tcW w:w="916" w:type="dxa"/>
          </w:tcPr>
          <w:p w14:paraId="5D679B79" w14:textId="6E62CF1B" w:rsidR="00EF4BF3" w:rsidRPr="00DC754F" w:rsidRDefault="00EF4BF3" w:rsidP="00DC754F">
            <w:pPr>
              <w:widowControl/>
              <w:tabs>
                <w:tab w:val="num" w:pos="720"/>
              </w:tabs>
              <w:jc w:val="center"/>
              <w:rPr>
                <w:rFonts w:ascii="Arial" w:hAnsi="Arial" w:cs="Arial"/>
                <w:szCs w:val="20"/>
              </w:rPr>
            </w:pPr>
            <w:r w:rsidRPr="00C35766">
              <w:rPr>
                <w:rFonts w:ascii="Arial" w:hAnsi="Arial" w:cs="Arial"/>
                <w:b/>
                <w:szCs w:val="20"/>
              </w:rPr>
              <w:t>1</w:t>
            </w:r>
            <w:r>
              <w:rPr>
                <w:rFonts w:ascii="Arial" w:hAnsi="Arial" w:cs="Arial"/>
                <w:b/>
                <w:szCs w:val="20"/>
              </w:rPr>
              <w:t>,</w:t>
            </w:r>
            <w:r w:rsidRPr="00C35766">
              <w:rPr>
                <w:rFonts w:ascii="Arial" w:hAnsi="Arial" w:cs="Arial"/>
                <w:b/>
                <w:szCs w:val="20"/>
              </w:rPr>
              <w:t>358</w:t>
            </w:r>
          </w:p>
        </w:tc>
      </w:tr>
    </w:tbl>
    <w:p w14:paraId="506F65DD" w14:textId="77777777" w:rsidR="00EF4BF3" w:rsidRDefault="00EF4BF3" w:rsidP="007103C5">
      <w:pPr>
        <w:widowControl/>
        <w:tabs>
          <w:tab w:val="num" w:pos="720"/>
        </w:tabs>
        <w:rPr>
          <w:rFonts w:ascii="Arial" w:hAnsi="Arial" w:cs="Arial"/>
          <w:b/>
          <w:sz w:val="24"/>
          <w:highlight w:val="yellow"/>
        </w:rPr>
      </w:pPr>
    </w:p>
    <w:p w14:paraId="43C88BF1" w14:textId="587E54FB" w:rsidR="00C52212" w:rsidRPr="00DC754F" w:rsidRDefault="00EF4BF3" w:rsidP="007103C5">
      <w:pPr>
        <w:rPr>
          <w:rFonts w:ascii="Arial" w:hAnsi="Arial" w:cs="Arial"/>
          <w:szCs w:val="20"/>
        </w:rPr>
      </w:pPr>
      <w:r w:rsidRPr="00DC754F">
        <w:rPr>
          <w:rFonts w:ascii="Arial" w:hAnsi="Arial" w:cs="Arial"/>
          <w:szCs w:val="20"/>
        </w:rPr>
        <w:t>*</w:t>
      </w:r>
      <w:r w:rsidR="00093AC2" w:rsidRPr="00DC754F">
        <w:rPr>
          <w:rFonts w:ascii="Arial" w:hAnsi="Arial" w:cs="Arial"/>
          <w:szCs w:val="20"/>
        </w:rPr>
        <w:t>The n</w:t>
      </w:r>
      <w:r w:rsidR="001F0C54" w:rsidRPr="00DC754F">
        <w:rPr>
          <w:rFonts w:ascii="Arial" w:hAnsi="Arial" w:cs="Arial"/>
          <w:szCs w:val="20"/>
        </w:rPr>
        <w:t xml:space="preserve">umber of respondents for </w:t>
      </w:r>
      <w:r>
        <w:rPr>
          <w:rFonts w:ascii="Arial" w:hAnsi="Arial" w:cs="Arial"/>
          <w:szCs w:val="20"/>
        </w:rPr>
        <w:t>the P</w:t>
      </w:r>
      <w:r w:rsidR="001F0C54" w:rsidRPr="00DC754F">
        <w:rPr>
          <w:rFonts w:ascii="Arial" w:hAnsi="Arial" w:cs="Arial"/>
          <w:szCs w:val="20"/>
        </w:rPr>
        <w:t xml:space="preserve">otential </w:t>
      </w:r>
      <w:r>
        <w:rPr>
          <w:rFonts w:ascii="Arial" w:hAnsi="Arial" w:cs="Arial"/>
          <w:szCs w:val="20"/>
        </w:rPr>
        <w:t>L</w:t>
      </w:r>
      <w:r w:rsidR="001F0C54" w:rsidRPr="00DC754F">
        <w:rPr>
          <w:rFonts w:ascii="Arial" w:hAnsi="Arial" w:cs="Arial"/>
          <w:szCs w:val="20"/>
        </w:rPr>
        <w:t xml:space="preserve">iving </w:t>
      </w:r>
      <w:r>
        <w:rPr>
          <w:rFonts w:ascii="Arial" w:hAnsi="Arial" w:cs="Arial"/>
          <w:szCs w:val="20"/>
        </w:rPr>
        <w:t>D</w:t>
      </w:r>
      <w:r w:rsidR="001F0C54" w:rsidRPr="00DC754F">
        <w:rPr>
          <w:rFonts w:ascii="Arial" w:hAnsi="Arial" w:cs="Arial"/>
          <w:szCs w:val="20"/>
        </w:rPr>
        <w:t xml:space="preserve">onor </w:t>
      </w:r>
      <w:r>
        <w:rPr>
          <w:rFonts w:ascii="Arial" w:hAnsi="Arial" w:cs="Arial"/>
          <w:szCs w:val="20"/>
        </w:rPr>
        <w:t>R</w:t>
      </w:r>
      <w:r w:rsidR="001F0C54" w:rsidRPr="00DC754F">
        <w:rPr>
          <w:rFonts w:ascii="Arial" w:hAnsi="Arial" w:cs="Arial"/>
          <w:szCs w:val="20"/>
        </w:rPr>
        <w:t xml:space="preserve">egistration and </w:t>
      </w:r>
      <w:r>
        <w:rPr>
          <w:rFonts w:ascii="Arial" w:hAnsi="Arial" w:cs="Arial"/>
          <w:szCs w:val="20"/>
        </w:rPr>
        <w:t>R</w:t>
      </w:r>
      <w:r w:rsidR="001F0C54" w:rsidRPr="00DC754F">
        <w:rPr>
          <w:rFonts w:ascii="Arial" w:hAnsi="Arial" w:cs="Arial"/>
          <w:szCs w:val="20"/>
        </w:rPr>
        <w:t xml:space="preserve">easons </w:t>
      </w:r>
      <w:r>
        <w:rPr>
          <w:rFonts w:ascii="Arial" w:hAnsi="Arial" w:cs="Arial"/>
          <w:szCs w:val="20"/>
        </w:rPr>
        <w:t>D</w:t>
      </w:r>
      <w:r w:rsidR="001F0C54" w:rsidRPr="00DC754F">
        <w:rPr>
          <w:rFonts w:ascii="Arial" w:hAnsi="Arial" w:cs="Arial"/>
          <w:szCs w:val="20"/>
        </w:rPr>
        <w:t xml:space="preserve">idn’t </w:t>
      </w:r>
      <w:r>
        <w:rPr>
          <w:rFonts w:ascii="Arial" w:hAnsi="Arial" w:cs="Arial"/>
          <w:szCs w:val="20"/>
        </w:rPr>
        <w:t>D</w:t>
      </w:r>
      <w:r w:rsidR="001F0C54" w:rsidRPr="00DC754F">
        <w:rPr>
          <w:rFonts w:ascii="Arial" w:hAnsi="Arial" w:cs="Arial"/>
          <w:szCs w:val="20"/>
        </w:rPr>
        <w:t xml:space="preserve">onate </w:t>
      </w:r>
      <w:r w:rsidR="00093AC2" w:rsidRPr="00DC754F">
        <w:rPr>
          <w:rFonts w:ascii="Arial" w:hAnsi="Arial" w:cs="Arial"/>
          <w:szCs w:val="20"/>
        </w:rPr>
        <w:t>f</w:t>
      </w:r>
      <w:r w:rsidR="001F0C54" w:rsidRPr="00DC754F">
        <w:rPr>
          <w:rFonts w:ascii="Arial" w:hAnsi="Arial" w:cs="Arial"/>
          <w:szCs w:val="20"/>
        </w:rPr>
        <w:t xml:space="preserve">orms </w:t>
      </w:r>
      <w:r w:rsidR="00093AC2" w:rsidRPr="00DC754F">
        <w:rPr>
          <w:rFonts w:ascii="Arial" w:hAnsi="Arial" w:cs="Arial"/>
          <w:noProof/>
          <w:szCs w:val="20"/>
        </w:rPr>
        <w:t xml:space="preserve">are </w:t>
      </w:r>
      <w:r w:rsidR="001F0C54" w:rsidRPr="00DC754F">
        <w:rPr>
          <w:rFonts w:ascii="Arial" w:hAnsi="Arial" w:cs="Arial"/>
          <w:noProof/>
          <w:szCs w:val="20"/>
        </w:rPr>
        <w:t>based</w:t>
      </w:r>
      <w:r w:rsidR="001F0C54" w:rsidRPr="00DC754F">
        <w:rPr>
          <w:rFonts w:ascii="Arial" w:hAnsi="Arial" w:cs="Arial"/>
          <w:szCs w:val="20"/>
        </w:rPr>
        <w:t xml:space="preserve"> on </w:t>
      </w:r>
      <w:r w:rsidR="00C8748F" w:rsidRPr="00DC754F">
        <w:rPr>
          <w:rFonts w:ascii="Arial" w:hAnsi="Arial" w:cs="Arial"/>
          <w:noProof/>
          <w:szCs w:val="20"/>
        </w:rPr>
        <w:t xml:space="preserve">a </w:t>
      </w:r>
      <w:r w:rsidR="001F0C54" w:rsidRPr="00DC754F">
        <w:rPr>
          <w:rFonts w:ascii="Arial" w:hAnsi="Arial" w:cs="Arial"/>
          <w:noProof/>
          <w:szCs w:val="20"/>
        </w:rPr>
        <w:t>number of</w:t>
      </w:r>
      <w:r w:rsidR="001F0C54" w:rsidRPr="00DC754F">
        <w:rPr>
          <w:rFonts w:ascii="Arial" w:hAnsi="Arial" w:cs="Arial"/>
          <w:szCs w:val="20"/>
        </w:rPr>
        <w:t xml:space="preserve"> programs participating in the pilot registry</w:t>
      </w:r>
      <w:r w:rsidR="00B4518F" w:rsidRPr="00DC754F">
        <w:rPr>
          <w:rFonts w:ascii="Arial" w:hAnsi="Arial" w:cs="Arial"/>
          <w:szCs w:val="20"/>
        </w:rPr>
        <w:t xml:space="preserve">.  </w:t>
      </w:r>
      <w:r w:rsidR="00093AC2" w:rsidRPr="00DC754F">
        <w:rPr>
          <w:rFonts w:ascii="Arial" w:hAnsi="Arial" w:cs="Arial"/>
          <w:szCs w:val="20"/>
        </w:rPr>
        <w:t>The n</w:t>
      </w:r>
      <w:r w:rsidR="001F0C54" w:rsidRPr="00DC754F">
        <w:rPr>
          <w:rFonts w:ascii="Arial" w:hAnsi="Arial" w:cs="Arial"/>
          <w:szCs w:val="20"/>
        </w:rPr>
        <w:t xml:space="preserve">umber of respondents for </w:t>
      </w:r>
      <w:r w:rsidR="00855CE9">
        <w:rPr>
          <w:rFonts w:ascii="Arial" w:hAnsi="Arial" w:cs="Arial"/>
          <w:szCs w:val="20"/>
        </w:rPr>
        <w:t>P</w:t>
      </w:r>
      <w:r w:rsidR="001F0C54" w:rsidRPr="00DC754F">
        <w:rPr>
          <w:rFonts w:ascii="Arial" w:hAnsi="Arial" w:cs="Arial"/>
          <w:szCs w:val="20"/>
        </w:rPr>
        <w:t xml:space="preserve">otential </w:t>
      </w:r>
      <w:r w:rsidR="00855CE9">
        <w:rPr>
          <w:rFonts w:ascii="Arial" w:hAnsi="Arial" w:cs="Arial"/>
          <w:szCs w:val="20"/>
        </w:rPr>
        <w:t>L</w:t>
      </w:r>
      <w:r w:rsidR="001F0C54" w:rsidRPr="00DC754F">
        <w:rPr>
          <w:rFonts w:ascii="Arial" w:hAnsi="Arial" w:cs="Arial"/>
          <w:szCs w:val="20"/>
        </w:rPr>
        <w:t xml:space="preserve">iving </w:t>
      </w:r>
      <w:r w:rsidR="00855CE9">
        <w:rPr>
          <w:rFonts w:ascii="Arial" w:hAnsi="Arial" w:cs="Arial"/>
          <w:szCs w:val="20"/>
        </w:rPr>
        <w:t>D</w:t>
      </w:r>
      <w:r w:rsidR="001F0C54" w:rsidRPr="00DC754F">
        <w:rPr>
          <w:rFonts w:ascii="Arial" w:hAnsi="Arial" w:cs="Arial"/>
          <w:szCs w:val="20"/>
        </w:rPr>
        <w:t xml:space="preserve">onor </w:t>
      </w:r>
      <w:r w:rsidR="00855CE9">
        <w:rPr>
          <w:rFonts w:ascii="Arial" w:hAnsi="Arial" w:cs="Arial"/>
          <w:szCs w:val="20"/>
        </w:rPr>
        <w:t>F</w:t>
      </w:r>
      <w:r w:rsidR="001F0C54" w:rsidRPr="00DC754F">
        <w:rPr>
          <w:rFonts w:ascii="Arial" w:hAnsi="Arial" w:cs="Arial"/>
          <w:szCs w:val="20"/>
        </w:rPr>
        <w:t xml:space="preserve">ollow-up forms </w:t>
      </w:r>
      <w:r w:rsidR="00093AC2" w:rsidRPr="00DC754F">
        <w:rPr>
          <w:rFonts w:ascii="Arial" w:hAnsi="Arial" w:cs="Arial"/>
          <w:noProof/>
          <w:szCs w:val="20"/>
        </w:rPr>
        <w:t xml:space="preserve">are </w:t>
      </w:r>
      <w:r w:rsidR="001F0C54" w:rsidRPr="00DC754F">
        <w:rPr>
          <w:rFonts w:ascii="Arial" w:hAnsi="Arial" w:cs="Arial"/>
          <w:noProof/>
          <w:szCs w:val="20"/>
        </w:rPr>
        <w:t>based</w:t>
      </w:r>
      <w:r w:rsidR="001F0C54" w:rsidRPr="00DC754F">
        <w:rPr>
          <w:rFonts w:ascii="Arial" w:hAnsi="Arial" w:cs="Arial"/>
          <w:szCs w:val="20"/>
        </w:rPr>
        <w:t xml:space="preserve"> on </w:t>
      </w:r>
      <w:r w:rsidR="00C8748F" w:rsidRPr="00DC754F">
        <w:rPr>
          <w:rFonts w:ascii="Arial" w:hAnsi="Arial" w:cs="Arial"/>
          <w:noProof/>
          <w:szCs w:val="20"/>
        </w:rPr>
        <w:t xml:space="preserve">a </w:t>
      </w:r>
      <w:r w:rsidR="001F0C54" w:rsidRPr="00DC754F">
        <w:rPr>
          <w:rFonts w:ascii="Arial" w:hAnsi="Arial" w:cs="Arial"/>
          <w:noProof/>
          <w:szCs w:val="20"/>
        </w:rPr>
        <w:t>number of</w:t>
      </w:r>
      <w:r w:rsidR="001F0C54" w:rsidRPr="00DC754F">
        <w:rPr>
          <w:rFonts w:ascii="Arial" w:hAnsi="Arial" w:cs="Arial"/>
          <w:szCs w:val="20"/>
        </w:rPr>
        <w:t xml:space="preserve"> potential living donors evaluated at the 14 participating programs in 2015.</w:t>
      </w:r>
    </w:p>
    <w:p w14:paraId="1F220C6F" w14:textId="77777777" w:rsidR="007103C5" w:rsidRDefault="007103C5" w:rsidP="007103C5">
      <w:pPr>
        <w:widowControl/>
        <w:rPr>
          <w:rFonts w:ascii="Arial" w:hAnsi="Arial" w:cs="Arial"/>
          <w:b/>
          <w:sz w:val="24"/>
        </w:rPr>
      </w:pPr>
    </w:p>
    <w:p w14:paraId="1823C475" w14:textId="0D1D2840" w:rsidR="00D92E1D" w:rsidRDefault="009B3794" w:rsidP="007103C5">
      <w:pPr>
        <w:widowControl/>
        <w:rPr>
          <w:rFonts w:ascii="Arial" w:hAnsi="Arial" w:cs="Arial"/>
          <w:sz w:val="24"/>
        </w:rPr>
      </w:pPr>
      <w:r w:rsidRPr="001F0C54">
        <w:rPr>
          <w:rFonts w:ascii="Arial" w:hAnsi="Arial" w:cs="Arial"/>
          <w:b/>
          <w:sz w:val="24"/>
        </w:rPr>
        <w:t>12B</w:t>
      </w:r>
      <w:r w:rsidRPr="001F0C54">
        <w:rPr>
          <w:rFonts w:ascii="Arial" w:hAnsi="Arial" w:cs="Arial"/>
          <w:sz w:val="24"/>
        </w:rPr>
        <w:t>.</w:t>
      </w:r>
      <w:r w:rsidRPr="000D72CB">
        <w:rPr>
          <w:rFonts w:ascii="Arial" w:hAnsi="Arial" w:cs="Arial"/>
          <w:sz w:val="24"/>
        </w:rPr>
        <w:t xml:space="preserve">  </w:t>
      </w:r>
    </w:p>
    <w:p w14:paraId="329DD739" w14:textId="252F1F23" w:rsidR="00EF79BB" w:rsidRDefault="00EF79BB" w:rsidP="007103C5">
      <w:pPr>
        <w:widowControl/>
        <w:rPr>
          <w:rFonts w:ascii="Arial" w:hAnsi="Arial" w:cs="Arial"/>
          <w:sz w:val="24"/>
        </w:rPr>
      </w:pPr>
    </w:p>
    <w:p w14:paraId="1BCA46BA" w14:textId="0400D548" w:rsidR="00EF79BB" w:rsidRPr="00043798" w:rsidRDefault="00EF79BB" w:rsidP="007103C5">
      <w:pPr>
        <w:widowControl/>
        <w:rPr>
          <w:rFonts w:ascii="Arial" w:hAnsi="Arial" w:cs="Arial"/>
          <w:sz w:val="24"/>
        </w:rPr>
      </w:pPr>
      <w:r>
        <w:rPr>
          <w:rFonts w:ascii="Arial" w:hAnsi="Arial" w:cs="Arial"/>
          <w:sz w:val="24"/>
        </w:rPr>
        <w:t>The total estimate of annualized cost to respondents for this information collection request is $43,742.</w:t>
      </w:r>
    </w:p>
    <w:p w14:paraId="1C48D523" w14:textId="77777777" w:rsidR="00EF79BB" w:rsidRPr="000D72CB" w:rsidRDefault="00EF79BB" w:rsidP="007103C5">
      <w:pPr>
        <w:widowControl/>
        <w:rPr>
          <w:rFonts w:ascii="Arial" w:hAnsi="Arial" w:cs="Arial"/>
          <w:sz w:val="24"/>
        </w:rPr>
      </w:pPr>
    </w:p>
    <w:tbl>
      <w:tblPr>
        <w:tblW w:w="7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227"/>
        <w:gridCol w:w="1057"/>
        <w:gridCol w:w="1080"/>
        <w:gridCol w:w="1091"/>
      </w:tblGrid>
      <w:tr w:rsidR="00674B66" w:rsidRPr="000D72CB" w14:paraId="744DFD02" w14:textId="77777777" w:rsidTr="00DC754F">
        <w:tc>
          <w:tcPr>
            <w:tcW w:w="2227" w:type="dxa"/>
          </w:tcPr>
          <w:p w14:paraId="219B9F4D" w14:textId="580EFF8E" w:rsidR="00674B66" w:rsidRPr="00C35766" w:rsidRDefault="00674B66" w:rsidP="0071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Pr>
                <w:rFonts w:ascii="Arial" w:hAnsi="Arial" w:cs="Arial"/>
                <w:b/>
                <w:szCs w:val="20"/>
              </w:rPr>
              <w:t>Type of Respondent</w:t>
            </w:r>
          </w:p>
        </w:tc>
        <w:tc>
          <w:tcPr>
            <w:tcW w:w="2227" w:type="dxa"/>
          </w:tcPr>
          <w:p w14:paraId="79A96E74" w14:textId="018F12C7" w:rsidR="00674B66" w:rsidRPr="00C35766" w:rsidRDefault="00674B66" w:rsidP="0071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Pr>
                <w:rFonts w:ascii="Arial" w:hAnsi="Arial" w:cs="Arial"/>
                <w:b/>
                <w:szCs w:val="20"/>
              </w:rPr>
              <w:t>Form Name</w:t>
            </w:r>
          </w:p>
        </w:tc>
        <w:tc>
          <w:tcPr>
            <w:tcW w:w="1057" w:type="dxa"/>
          </w:tcPr>
          <w:p w14:paraId="50B3B92B" w14:textId="38D48C35"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sidRPr="00C35766">
              <w:rPr>
                <w:rFonts w:ascii="Arial" w:hAnsi="Arial" w:cs="Arial"/>
                <w:b/>
                <w:szCs w:val="20"/>
              </w:rPr>
              <w:t>Total Burden Hours</w:t>
            </w:r>
          </w:p>
        </w:tc>
        <w:tc>
          <w:tcPr>
            <w:tcW w:w="1080" w:type="dxa"/>
          </w:tcPr>
          <w:p w14:paraId="19D38BC7" w14:textId="2909F1D1"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sidRPr="00C35766">
              <w:rPr>
                <w:rFonts w:ascii="Arial" w:hAnsi="Arial" w:cs="Arial"/>
                <w:b/>
                <w:szCs w:val="20"/>
              </w:rPr>
              <w:t>Wage Rate</w:t>
            </w:r>
          </w:p>
        </w:tc>
        <w:tc>
          <w:tcPr>
            <w:tcW w:w="1091" w:type="dxa"/>
          </w:tcPr>
          <w:p w14:paraId="63A60D02" w14:textId="77777777"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sidRPr="00C35766">
              <w:rPr>
                <w:rFonts w:ascii="Arial" w:hAnsi="Arial" w:cs="Arial"/>
                <w:b/>
                <w:szCs w:val="20"/>
              </w:rPr>
              <w:t>Total Hour Cost</w:t>
            </w:r>
          </w:p>
        </w:tc>
      </w:tr>
      <w:tr w:rsidR="00674B66" w:rsidRPr="00782B17" w14:paraId="1871CA57" w14:textId="77777777" w:rsidTr="00DC754F">
        <w:trPr>
          <w:trHeight w:val="552"/>
        </w:trPr>
        <w:tc>
          <w:tcPr>
            <w:tcW w:w="2227" w:type="dxa"/>
          </w:tcPr>
          <w:p w14:paraId="76A69543" w14:textId="0E86F05B" w:rsidR="00674B66" w:rsidRPr="00C35766" w:rsidRDefault="00674B66" w:rsidP="00674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Private Sector (Organ Transplant Centers)</w:t>
            </w:r>
          </w:p>
        </w:tc>
        <w:tc>
          <w:tcPr>
            <w:tcW w:w="2227" w:type="dxa"/>
          </w:tcPr>
          <w:p w14:paraId="6EF03C85" w14:textId="6A3B0E75" w:rsidR="00674B66" w:rsidRPr="00C35766" w:rsidRDefault="00674B66" w:rsidP="00674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C35766">
              <w:rPr>
                <w:rFonts w:ascii="Arial" w:hAnsi="Arial" w:cs="Arial"/>
                <w:szCs w:val="20"/>
              </w:rPr>
              <w:t>Potential Living Donor Registration form</w:t>
            </w:r>
          </w:p>
        </w:tc>
        <w:tc>
          <w:tcPr>
            <w:tcW w:w="1057" w:type="dxa"/>
            <w:vAlign w:val="center"/>
          </w:tcPr>
          <w:p w14:paraId="7C30D1AD" w14:textId="1B5F12AF"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sidRPr="00C35766">
              <w:rPr>
                <w:rFonts w:ascii="Arial" w:hAnsi="Arial" w:cs="Arial"/>
                <w:szCs w:val="20"/>
              </w:rPr>
              <w:t>776</w:t>
            </w:r>
          </w:p>
        </w:tc>
        <w:tc>
          <w:tcPr>
            <w:tcW w:w="1080" w:type="dxa"/>
            <w:vAlign w:val="center"/>
          </w:tcPr>
          <w:p w14:paraId="77E8D45A" w14:textId="14E1ACDB"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sidRPr="00C35766">
              <w:rPr>
                <w:rFonts w:ascii="Arial" w:hAnsi="Arial" w:cs="Arial"/>
                <w:szCs w:val="20"/>
              </w:rPr>
              <w:t>$35.</w:t>
            </w:r>
            <w:r>
              <w:rPr>
                <w:rFonts w:ascii="Arial" w:hAnsi="Arial" w:cs="Arial"/>
                <w:szCs w:val="20"/>
              </w:rPr>
              <w:t>55</w:t>
            </w:r>
          </w:p>
        </w:tc>
        <w:tc>
          <w:tcPr>
            <w:tcW w:w="1091" w:type="dxa"/>
            <w:vAlign w:val="center"/>
          </w:tcPr>
          <w:p w14:paraId="3A27804D" w14:textId="4AC19F5F"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sidRPr="00C35766">
              <w:rPr>
                <w:rFonts w:ascii="Arial" w:hAnsi="Arial" w:cs="Arial"/>
                <w:szCs w:val="20"/>
              </w:rPr>
              <w:t>$27,</w:t>
            </w:r>
            <w:r>
              <w:rPr>
                <w:rFonts w:ascii="Arial" w:hAnsi="Arial" w:cs="Arial"/>
                <w:szCs w:val="20"/>
              </w:rPr>
              <w:t>587</w:t>
            </w:r>
          </w:p>
        </w:tc>
      </w:tr>
      <w:tr w:rsidR="00674B66" w:rsidRPr="00782B17" w14:paraId="1CEFA73F" w14:textId="77777777" w:rsidTr="00DC754F">
        <w:trPr>
          <w:trHeight w:val="552"/>
        </w:trPr>
        <w:tc>
          <w:tcPr>
            <w:tcW w:w="2227" w:type="dxa"/>
          </w:tcPr>
          <w:p w14:paraId="2D35ABC4" w14:textId="69BF8B67" w:rsidR="00674B66" w:rsidRPr="00C35766" w:rsidRDefault="00674B66" w:rsidP="00674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Private Sector (Organ Transplant Centers)</w:t>
            </w:r>
          </w:p>
        </w:tc>
        <w:tc>
          <w:tcPr>
            <w:tcW w:w="2227" w:type="dxa"/>
            <w:shd w:val="clear" w:color="auto" w:fill="auto"/>
          </w:tcPr>
          <w:p w14:paraId="606C2034" w14:textId="6FB927B8" w:rsidR="00674B66" w:rsidRPr="00C35766" w:rsidRDefault="00674B66" w:rsidP="00674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C35766">
              <w:rPr>
                <w:rFonts w:ascii="Arial" w:hAnsi="Arial" w:cs="Arial"/>
                <w:szCs w:val="20"/>
              </w:rPr>
              <w:t>Reasons Didn’t Donate Form (liver or kidney)</w:t>
            </w:r>
          </w:p>
        </w:tc>
        <w:tc>
          <w:tcPr>
            <w:tcW w:w="1057" w:type="dxa"/>
            <w:vAlign w:val="center"/>
          </w:tcPr>
          <w:p w14:paraId="3B8EF2FD" w14:textId="07411DE3"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sidRPr="00C35766">
              <w:rPr>
                <w:rFonts w:ascii="Arial" w:hAnsi="Arial" w:cs="Arial"/>
                <w:szCs w:val="20"/>
              </w:rPr>
              <w:t>194</w:t>
            </w:r>
          </w:p>
        </w:tc>
        <w:tc>
          <w:tcPr>
            <w:tcW w:w="1080" w:type="dxa"/>
            <w:vAlign w:val="center"/>
          </w:tcPr>
          <w:p w14:paraId="760CAD5F" w14:textId="7E7845FA"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sidRPr="00C35766">
              <w:rPr>
                <w:rFonts w:ascii="Arial" w:hAnsi="Arial" w:cs="Arial"/>
                <w:szCs w:val="20"/>
              </w:rPr>
              <w:t>$35.</w:t>
            </w:r>
            <w:r>
              <w:rPr>
                <w:rFonts w:ascii="Arial" w:hAnsi="Arial" w:cs="Arial"/>
                <w:szCs w:val="20"/>
              </w:rPr>
              <w:t>55</w:t>
            </w:r>
          </w:p>
        </w:tc>
        <w:tc>
          <w:tcPr>
            <w:tcW w:w="1091" w:type="dxa"/>
            <w:vAlign w:val="center"/>
          </w:tcPr>
          <w:p w14:paraId="5F641111" w14:textId="3B977FF0"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sidRPr="00C35766">
              <w:rPr>
                <w:rFonts w:ascii="Arial" w:hAnsi="Arial" w:cs="Arial"/>
                <w:szCs w:val="20"/>
              </w:rPr>
              <w:t>$6,</w:t>
            </w:r>
            <w:r>
              <w:rPr>
                <w:rFonts w:ascii="Arial" w:hAnsi="Arial" w:cs="Arial"/>
                <w:szCs w:val="20"/>
              </w:rPr>
              <w:t>897</w:t>
            </w:r>
          </w:p>
        </w:tc>
      </w:tr>
      <w:tr w:rsidR="00674B66" w:rsidRPr="00782B17" w14:paraId="1827A351" w14:textId="77777777" w:rsidTr="00DC754F">
        <w:trPr>
          <w:trHeight w:val="552"/>
        </w:trPr>
        <w:tc>
          <w:tcPr>
            <w:tcW w:w="2227" w:type="dxa"/>
          </w:tcPr>
          <w:p w14:paraId="6E2F92D8" w14:textId="7453DF08" w:rsidR="00674B66" w:rsidRPr="00C35766" w:rsidRDefault="00674B66" w:rsidP="00674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Individual/ Household (Living Donors)</w:t>
            </w:r>
          </w:p>
        </w:tc>
        <w:tc>
          <w:tcPr>
            <w:tcW w:w="2227" w:type="dxa"/>
            <w:shd w:val="clear" w:color="auto" w:fill="auto"/>
          </w:tcPr>
          <w:p w14:paraId="30EFEF35" w14:textId="7F0B43A8" w:rsidR="00674B66" w:rsidRPr="00C35766" w:rsidRDefault="00674B66" w:rsidP="00674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C35766">
              <w:rPr>
                <w:rFonts w:ascii="Arial" w:hAnsi="Arial" w:cs="Arial"/>
                <w:szCs w:val="20"/>
              </w:rPr>
              <w:t>Potential Living Donor Follow-up form</w:t>
            </w:r>
          </w:p>
        </w:tc>
        <w:tc>
          <w:tcPr>
            <w:tcW w:w="1057" w:type="dxa"/>
            <w:vAlign w:val="center"/>
          </w:tcPr>
          <w:p w14:paraId="7F167A60" w14:textId="16C00C0A"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sidRPr="00C35766">
              <w:rPr>
                <w:rFonts w:ascii="Arial" w:hAnsi="Arial" w:cs="Arial"/>
                <w:szCs w:val="20"/>
              </w:rPr>
              <w:t>388</w:t>
            </w:r>
          </w:p>
        </w:tc>
        <w:tc>
          <w:tcPr>
            <w:tcW w:w="1080" w:type="dxa"/>
            <w:vAlign w:val="center"/>
          </w:tcPr>
          <w:p w14:paraId="1C61A618" w14:textId="68D01DDA" w:rsidR="00674B66" w:rsidRPr="00C35766" w:rsidRDefault="00987FDF"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Pr>
                <w:rFonts w:ascii="Arial" w:hAnsi="Arial" w:cs="Arial"/>
                <w:szCs w:val="20"/>
              </w:rPr>
              <w:t>$</w:t>
            </w:r>
            <w:r w:rsidR="00EF79BB">
              <w:rPr>
                <w:rFonts w:ascii="Arial" w:hAnsi="Arial" w:cs="Arial"/>
                <w:szCs w:val="20"/>
              </w:rPr>
              <w:t>23.86</w:t>
            </w:r>
          </w:p>
        </w:tc>
        <w:tc>
          <w:tcPr>
            <w:tcW w:w="1091" w:type="dxa"/>
            <w:vAlign w:val="center"/>
          </w:tcPr>
          <w:p w14:paraId="692DABE0" w14:textId="131631EE" w:rsidR="00674B66" w:rsidRPr="00C35766" w:rsidRDefault="00EF79BB"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Pr>
                <w:rFonts w:ascii="Arial" w:hAnsi="Arial" w:cs="Arial"/>
                <w:szCs w:val="20"/>
              </w:rPr>
              <w:t>$9,258</w:t>
            </w:r>
          </w:p>
        </w:tc>
      </w:tr>
      <w:tr w:rsidR="00674B66" w:rsidRPr="006049D1" w14:paraId="05224491" w14:textId="77777777" w:rsidTr="00DC754F">
        <w:trPr>
          <w:trHeight w:val="552"/>
        </w:trPr>
        <w:tc>
          <w:tcPr>
            <w:tcW w:w="2227" w:type="dxa"/>
          </w:tcPr>
          <w:p w14:paraId="4230147B" w14:textId="77777777" w:rsidR="00674B66" w:rsidRPr="00C35766" w:rsidRDefault="00674B66" w:rsidP="0071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tc>
        <w:tc>
          <w:tcPr>
            <w:tcW w:w="2227" w:type="dxa"/>
            <w:vAlign w:val="center"/>
          </w:tcPr>
          <w:p w14:paraId="6F7E8741" w14:textId="32214A67" w:rsidR="00674B66" w:rsidRPr="00C35766" w:rsidRDefault="00674B66" w:rsidP="0071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C35766">
              <w:rPr>
                <w:rFonts w:ascii="Arial" w:hAnsi="Arial" w:cs="Arial"/>
                <w:b/>
                <w:szCs w:val="20"/>
              </w:rPr>
              <w:t>Total</w:t>
            </w:r>
          </w:p>
        </w:tc>
        <w:tc>
          <w:tcPr>
            <w:tcW w:w="1057" w:type="dxa"/>
            <w:vAlign w:val="center"/>
          </w:tcPr>
          <w:p w14:paraId="2AABE15D" w14:textId="299E9956"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sidRPr="00C35766">
              <w:rPr>
                <w:rFonts w:ascii="Arial" w:hAnsi="Arial" w:cs="Arial"/>
                <w:b/>
                <w:szCs w:val="20"/>
              </w:rPr>
              <w:t>1</w:t>
            </w:r>
            <w:r w:rsidR="00987FDF">
              <w:rPr>
                <w:rFonts w:ascii="Arial" w:hAnsi="Arial" w:cs="Arial"/>
                <w:b/>
                <w:szCs w:val="20"/>
              </w:rPr>
              <w:t>,</w:t>
            </w:r>
            <w:r w:rsidRPr="00C35766">
              <w:rPr>
                <w:rFonts w:ascii="Arial" w:hAnsi="Arial" w:cs="Arial"/>
                <w:b/>
                <w:szCs w:val="20"/>
              </w:rPr>
              <w:t>358</w:t>
            </w:r>
          </w:p>
        </w:tc>
        <w:tc>
          <w:tcPr>
            <w:tcW w:w="1080" w:type="dxa"/>
            <w:vAlign w:val="center"/>
          </w:tcPr>
          <w:p w14:paraId="1EF18953" w14:textId="77777777" w:rsidR="00674B66" w:rsidRPr="00C35766" w:rsidRDefault="00674B66" w:rsidP="0004379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0"/>
              <w:jc w:val="center"/>
              <w:rPr>
                <w:rFonts w:ascii="Arial" w:hAnsi="Arial" w:cs="Arial"/>
                <w:b/>
                <w:szCs w:val="20"/>
              </w:rPr>
            </w:pPr>
          </w:p>
        </w:tc>
        <w:tc>
          <w:tcPr>
            <w:tcW w:w="1091" w:type="dxa"/>
            <w:vAlign w:val="center"/>
          </w:tcPr>
          <w:p w14:paraId="332DF524" w14:textId="17B124C9" w:rsidR="00674B66" w:rsidRPr="00C35766" w:rsidRDefault="00674B66" w:rsidP="00043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sidRPr="00C35766">
              <w:rPr>
                <w:rFonts w:ascii="Arial" w:hAnsi="Arial" w:cs="Arial"/>
                <w:b/>
                <w:szCs w:val="20"/>
              </w:rPr>
              <w:t>$</w:t>
            </w:r>
            <w:r w:rsidR="00EF79BB">
              <w:rPr>
                <w:rFonts w:ascii="Arial" w:hAnsi="Arial" w:cs="Arial"/>
                <w:b/>
                <w:szCs w:val="20"/>
              </w:rPr>
              <w:t>43,742</w:t>
            </w:r>
          </w:p>
        </w:tc>
      </w:tr>
    </w:tbl>
    <w:p w14:paraId="1284F1F0" w14:textId="2B069513" w:rsidR="00674B66" w:rsidRDefault="00674B66" w:rsidP="007103C5">
      <w:pPr>
        <w:rPr>
          <w:rFonts w:ascii="Arial" w:hAnsi="Arial" w:cs="Arial"/>
          <w:sz w:val="24"/>
        </w:rPr>
      </w:pPr>
    </w:p>
    <w:p w14:paraId="59240BBD" w14:textId="12557EA2" w:rsidR="00093AC2" w:rsidRDefault="00093AC2" w:rsidP="007103C5">
      <w:pPr>
        <w:rPr>
          <w:rFonts w:ascii="Arial" w:hAnsi="Arial" w:cs="Arial"/>
          <w:sz w:val="24"/>
        </w:rPr>
      </w:pPr>
      <w:r w:rsidRPr="00CB3F63">
        <w:rPr>
          <w:rFonts w:ascii="Arial" w:hAnsi="Arial" w:cs="Arial"/>
          <w:sz w:val="24"/>
        </w:rPr>
        <w:t xml:space="preserve">The wage rate </w:t>
      </w:r>
      <w:r w:rsidR="00674B66">
        <w:rPr>
          <w:rFonts w:ascii="Arial" w:hAnsi="Arial" w:cs="Arial"/>
          <w:sz w:val="24"/>
        </w:rPr>
        <w:t xml:space="preserve">for Organ Transplant Centers </w:t>
      </w:r>
      <w:r w:rsidRPr="00E31FD9">
        <w:rPr>
          <w:rFonts w:ascii="Arial" w:hAnsi="Arial" w:cs="Arial"/>
          <w:noProof/>
          <w:sz w:val="24"/>
        </w:rPr>
        <w:t>is based</w:t>
      </w:r>
      <w:r w:rsidRPr="00CB3F63">
        <w:rPr>
          <w:rFonts w:ascii="Arial" w:hAnsi="Arial" w:cs="Arial"/>
          <w:sz w:val="24"/>
        </w:rPr>
        <w:t xml:space="preserve"> on </w:t>
      </w:r>
      <w:r w:rsidRPr="00E31FD9">
        <w:rPr>
          <w:rFonts w:ascii="Arial" w:hAnsi="Arial" w:cs="Arial"/>
          <w:noProof/>
          <w:sz w:val="24"/>
        </w:rPr>
        <w:t>the 2016</w:t>
      </w:r>
      <w:r w:rsidRPr="00CB3F63">
        <w:rPr>
          <w:rFonts w:ascii="Arial" w:hAnsi="Arial" w:cs="Arial"/>
          <w:sz w:val="24"/>
        </w:rPr>
        <w:t xml:space="preserve"> mean hourly rate for Registered Nurses in the Minneapolis-St</w:t>
      </w:r>
      <w:r w:rsidR="00B4518F">
        <w:rPr>
          <w:rFonts w:ascii="Arial" w:hAnsi="Arial" w:cs="Arial"/>
          <w:sz w:val="24"/>
        </w:rPr>
        <w:t xml:space="preserve">.  </w:t>
      </w:r>
      <w:r w:rsidRPr="00CB3F63">
        <w:rPr>
          <w:rFonts w:ascii="Arial" w:hAnsi="Arial" w:cs="Arial"/>
          <w:sz w:val="24"/>
        </w:rPr>
        <w:t xml:space="preserve">Paul-St. Cloud area in Minnesota for our estimate (accessed here: </w:t>
      </w:r>
      <w:hyperlink r:id="rId9" w:history="1">
        <w:r w:rsidR="00043798" w:rsidRPr="00B22473">
          <w:rPr>
            <w:rStyle w:val="Hyperlink"/>
            <w:rFonts w:ascii="Arial" w:hAnsi="Arial" w:cs="Arial"/>
            <w:sz w:val="24"/>
          </w:rPr>
          <w:t>https://www.bls.gov/oes/current/oes_MN.htm</w:t>
        </w:r>
      </w:hyperlink>
      <w:r w:rsidRPr="00CB3F63">
        <w:rPr>
          <w:rFonts w:ascii="Arial" w:hAnsi="Arial" w:cs="Arial"/>
          <w:sz w:val="24"/>
        </w:rPr>
        <w:t>)</w:t>
      </w:r>
      <w:r w:rsidR="00B4518F">
        <w:rPr>
          <w:rFonts w:ascii="Arial" w:hAnsi="Arial" w:cs="Arial"/>
          <w:sz w:val="24"/>
        </w:rPr>
        <w:t>.</w:t>
      </w:r>
      <w:r w:rsidR="00043798">
        <w:rPr>
          <w:rFonts w:ascii="Arial" w:hAnsi="Arial" w:cs="Arial"/>
          <w:sz w:val="24"/>
        </w:rPr>
        <w:t xml:space="preserve">  </w:t>
      </w:r>
      <w:r w:rsidR="00987FDF">
        <w:rPr>
          <w:rFonts w:ascii="Arial" w:hAnsi="Arial" w:cs="Arial"/>
          <w:sz w:val="24"/>
        </w:rPr>
        <w:t xml:space="preserve">The wage rate for Living Donors is based on the 2016 mean hourly rate </w:t>
      </w:r>
      <w:r w:rsidR="00EF79BB">
        <w:rPr>
          <w:rFonts w:ascii="Arial" w:hAnsi="Arial" w:cs="Arial"/>
          <w:sz w:val="24"/>
        </w:rPr>
        <w:t xml:space="preserve">for </w:t>
      </w:r>
      <w:r w:rsidR="00987FDF">
        <w:rPr>
          <w:rFonts w:ascii="Arial" w:hAnsi="Arial" w:cs="Arial"/>
          <w:sz w:val="24"/>
        </w:rPr>
        <w:t>all occu</w:t>
      </w:r>
      <w:r w:rsidR="00EF79BB">
        <w:rPr>
          <w:rFonts w:ascii="Arial" w:hAnsi="Arial" w:cs="Arial"/>
          <w:sz w:val="24"/>
        </w:rPr>
        <w:t xml:space="preserve">pations (accessed here: </w:t>
      </w:r>
      <w:hyperlink r:id="rId10" w:history="1">
        <w:r w:rsidR="00987FDF" w:rsidRPr="00B22473">
          <w:rPr>
            <w:rStyle w:val="Hyperlink"/>
            <w:rFonts w:ascii="Arial" w:hAnsi="Arial" w:cs="Arial"/>
            <w:sz w:val="24"/>
          </w:rPr>
          <w:t>https://www.bls.gov/oes/2016/may/oes_nat.htm</w:t>
        </w:r>
      </w:hyperlink>
      <w:r w:rsidR="00EF79BB">
        <w:rPr>
          <w:rFonts w:ascii="Arial" w:hAnsi="Arial" w:cs="Arial"/>
          <w:sz w:val="24"/>
        </w:rPr>
        <w:t>).</w:t>
      </w:r>
      <w:r w:rsidR="00987FDF">
        <w:rPr>
          <w:rFonts w:ascii="Arial" w:hAnsi="Arial" w:cs="Arial"/>
          <w:sz w:val="24"/>
        </w:rPr>
        <w:t xml:space="preserve"> </w:t>
      </w:r>
    </w:p>
    <w:p w14:paraId="3CBD6CC6" w14:textId="77777777" w:rsidR="007103C5" w:rsidRPr="00CB3F63" w:rsidRDefault="007103C5" w:rsidP="007103C5">
      <w:pPr>
        <w:rPr>
          <w:rFonts w:ascii="Arial" w:hAnsi="Arial" w:cs="Arial"/>
          <w:sz w:val="24"/>
          <w:highlight w:val="yellow"/>
        </w:rPr>
      </w:pPr>
    </w:p>
    <w:p w14:paraId="01CA2619" w14:textId="6DA2F3EC" w:rsidR="009B3794" w:rsidRPr="005A7FC6" w:rsidRDefault="00782B17" w:rsidP="007103C5">
      <w:pPr>
        <w:numPr>
          <w:ilvl w:val="0"/>
          <w:numId w:val="2"/>
        </w:numPr>
        <w:tabs>
          <w:tab w:val="clear" w:pos="1080"/>
          <w:tab w:val="num" w:pos="360"/>
        </w:tabs>
        <w:ind w:left="360"/>
        <w:rPr>
          <w:rFonts w:ascii="Arial" w:hAnsi="Arial" w:cs="Arial"/>
          <w:b/>
          <w:sz w:val="24"/>
        </w:rPr>
      </w:pPr>
      <w:r>
        <w:rPr>
          <w:rFonts w:ascii="Arial" w:hAnsi="Arial" w:cs="Arial"/>
          <w:b/>
          <w:sz w:val="24"/>
          <w:u w:val="single"/>
        </w:rPr>
        <w:t>E</w:t>
      </w:r>
      <w:r w:rsidR="009B3794" w:rsidRPr="006049D1">
        <w:rPr>
          <w:rFonts w:ascii="Arial" w:hAnsi="Arial" w:cs="Arial"/>
          <w:b/>
          <w:sz w:val="24"/>
          <w:u w:val="single"/>
        </w:rPr>
        <w:t>stimates of other Total Annual Cost Burden to Respondents or Recordkeepers/Capital Costs</w:t>
      </w:r>
    </w:p>
    <w:p w14:paraId="69FDF07E" w14:textId="77777777" w:rsidR="007103C5" w:rsidRDefault="007103C5" w:rsidP="007103C5">
      <w:pPr>
        <w:pStyle w:val="BodyTextIndent"/>
        <w:ind w:left="0"/>
        <w:rPr>
          <w:rFonts w:ascii="Arial" w:hAnsi="Arial" w:cs="Arial"/>
        </w:rPr>
      </w:pPr>
    </w:p>
    <w:p w14:paraId="2AE44A29" w14:textId="07336A4F" w:rsidR="005A7FC6" w:rsidRDefault="005A7FC6" w:rsidP="007103C5">
      <w:pPr>
        <w:pStyle w:val="BodyTextIndent"/>
        <w:ind w:left="0"/>
        <w:rPr>
          <w:rFonts w:ascii="Arial" w:hAnsi="Arial" w:cs="Arial"/>
        </w:rPr>
      </w:pPr>
      <w:r w:rsidRPr="006049D1">
        <w:rPr>
          <w:rFonts w:ascii="Arial" w:hAnsi="Arial" w:cs="Arial"/>
        </w:rPr>
        <w:t>Other than their time, there is no cost to respondents.</w:t>
      </w:r>
    </w:p>
    <w:p w14:paraId="5A821FF4" w14:textId="77777777" w:rsidR="007103C5" w:rsidRPr="006049D1" w:rsidRDefault="007103C5" w:rsidP="007103C5">
      <w:pPr>
        <w:pStyle w:val="BodyTextIndent"/>
        <w:ind w:left="0"/>
        <w:rPr>
          <w:rFonts w:ascii="Arial" w:hAnsi="Arial" w:cs="Arial"/>
        </w:rPr>
      </w:pPr>
    </w:p>
    <w:p w14:paraId="165611FD" w14:textId="6AC405AA" w:rsidR="009B3794" w:rsidRPr="005A7FC6"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Annualized Cost to Federal Government</w:t>
      </w:r>
    </w:p>
    <w:p w14:paraId="714000E2" w14:textId="77777777" w:rsidR="007103C5" w:rsidRDefault="007103C5" w:rsidP="007103C5">
      <w:pPr>
        <w:rPr>
          <w:rFonts w:ascii="Arial" w:hAnsi="Arial" w:cs="Arial"/>
          <w:sz w:val="24"/>
        </w:rPr>
      </w:pPr>
    </w:p>
    <w:p w14:paraId="7E73333E" w14:textId="6E7ACFD7" w:rsidR="00F30199" w:rsidRDefault="00F30199" w:rsidP="007103C5">
      <w:pPr>
        <w:rPr>
          <w:rFonts w:ascii="Arial" w:hAnsi="Arial" w:cs="Arial"/>
          <w:sz w:val="24"/>
        </w:rPr>
      </w:pPr>
      <w:r w:rsidRPr="00F42A44">
        <w:rPr>
          <w:rFonts w:ascii="Arial" w:hAnsi="Arial" w:cs="Arial"/>
          <w:sz w:val="24"/>
        </w:rPr>
        <w:t xml:space="preserve">The </w:t>
      </w:r>
      <w:r w:rsidR="00CB3134" w:rsidRPr="00F42A44">
        <w:rPr>
          <w:rFonts w:ascii="Arial" w:hAnsi="Arial" w:cs="Arial"/>
          <w:sz w:val="24"/>
        </w:rPr>
        <w:t xml:space="preserve">pilot </w:t>
      </w:r>
      <w:r w:rsidRPr="00F42A44">
        <w:rPr>
          <w:rFonts w:ascii="Arial" w:hAnsi="Arial" w:cs="Arial"/>
          <w:sz w:val="24"/>
        </w:rPr>
        <w:t xml:space="preserve">living donor registry </w:t>
      </w:r>
      <w:r w:rsidR="00CB3134" w:rsidRPr="00E31FD9">
        <w:rPr>
          <w:rFonts w:ascii="Arial" w:hAnsi="Arial" w:cs="Arial"/>
          <w:noProof/>
          <w:sz w:val="24"/>
        </w:rPr>
        <w:t>is funded</w:t>
      </w:r>
      <w:r w:rsidR="00CB3134" w:rsidRPr="00F42A44">
        <w:rPr>
          <w:rFonts w:ascii="Arial" w:hAnsi="Arial" w:cs="Arial"/>
          <w:sz w:val="24"/>
        </w:rPr>
        <w:t xml:space="preserve"> through SRTR contract by HRSA</w:t>
      </w:r>
      <w:r w:rsidR="00B4518F">
        <w:rPr>
          <w:rFonts w:ascii="Arial" w:hAnsi="Arial" w:cs="Arial"/>
          <w:sz w:val="24"/>
        </w:rPr>
        <w:t xml:space="preserve">.  </w:t>
      </w:r>
      <w:r w:rsidR="00CB3134" w:rsidRPr="00F42A44">
        <w:rPr>
          <w:rFonts w:ascii="Arial" w:hAnsi="Arial" w:cs="Arial"/>
          <w:sz w:val="24"/>
        </w:rPr>
        <w:t>The annual cost to Federal Government is $838,386.41 for FY2018, $932,716.57 for FY2019, and $1,010,044.68 for FY2020.</w:t>
      </w:r>
      <w:r w:rsidR="00FF0F2B" w:rsidRPr="00F42A44">
        <w:rPr>
          <w:rFonts w:ascii="Arial" w:hAnsi="Arial" w:cs="Arial"/>
          <w:sz w:val="24"/>
        </w:rPr>
        <w:t xml:space="preserve">  </w:t>
      </w:r>
      <w:r w:rsidR="00F42A44" w:rsidRPr="00F42A44">
        <w:rPr>
          <w:rFonts w:ascii="Arial" w:hAnsi="Arial" w:cs="Arial"/>
          <w:sz w:val="24"/>
        </w:rPr>
        <w:t xml:space="preserve">Monitoring the information collection will be part of the </w:t>
      </w:r>
      <w:r w:rsidR="00F42A44">
        <w:rPr>
          <w:rFonts w:ascii="Arial" w:hAnsi="Arial" w:cs="Arial"/>
          <w:sz w:val="24"/>
        </w:rPr>
        <w:t xml:space="preserve">existing </w:t>
      </w:r>
      <w:r w:rsidR="00F42A44" w:rsidRPr="00F42A44">
        <w:rPr>
          <w:rFonts w:ascii="Arial" w:hAnsi="Arial" w:cs="Arial"/>
          <w:sz w:val="24"/>
        </w:rPr>
        <w:t xml:space="preserve">responsibilities of the </w:t>
      </w:r>
      <w:r w:rsidR="00E26808">
        <w:rPr>
          <w:rFonts w:ascii="Arial" w:hAnsi="Arial" w:cs="Arial"/>
          <w:sz w:val="24"/>
        </w:rPr>
        <w:t>Contract</w:t>
      </w:r>
      <w:r w:rsidR="00F61DD5" w:rsidRPr="00F42A44">
        <w:rPr>
          <w:rFonts w:ascii="Arial" w:hAnsi="Arial" w:cs="Arial"/>
          <w:sz w:val="24"/>
        </w:rPr>
        <w:t xml:space="preserve"> Officer Representative</w:t>
      </w:r>
      <w:r w:rsidR="00BE7874">
        <w:rPr>
          <w:rFonts w:ascii="Arial" w:hAnsi="Arial" w:cs="Arial"/>
          <w:sz w:val="24"/>
        </w:rPr>
        <w:t xml:space="preserve"> (COR)</w:t>
      </w:r>
      <w:r w:rsidR="00F61DD5" w:rsidRPr="00F42A44">
        <w:rPr>
          <w:rFonts w:ascii="Arial" w:hAnsi="Arial" w:cs="Arial"/>
          <w:sz w:val="24"/>
        </w:rPr>
        <w:t xml:space="preserve"> </w:t>
      </w:r>
      <w:r w:rsidR="00F42A44">
        <w:rPr>
          <w:rFonts w:ascii="Arial" w:hAnsi="Arial" w:cs="Arial"/>
          <w:sz w:val="24"/>
        </w:rPr>
        <w:t xml:space="preserve">of the SRTR contract, the </w:t>
      </w:r>
      <w:r w:rsidR="00F42A44" w:rsidRPr="00F42A44">
        <w:rPr>
          <w:rFonts w:ascii="Arial" w:hAnsi="Arial" w:cs="Arial"/>
          <w:sz w:val="24"/>
        </w:rPr>
        <w:t>Federal staff</w:t>
      </w:r>
      <w:r w:rsidR="00F42A44">
        <w:rPr>
          <w:rFonts w:ascii="Arial" w:hAnsi="Arial" w:cs="Arial"/>
          <w:sz w:val="24"/>
        </w:rPr>
        <w:t xml:space="preserve"> monitoring the performance of the SRTR contract</w:t>
      </w:r>
      <w:r w:rsidR="00B4518F">
        <w:rPr>
          <w:rFonts w:ascii="Arial" w:hAnsi="Arial" w:cs="Arial"/>
          <w:sz w:val="24"/>
        </w:rPr>
        <w:t>.</w:t>
      </w:r>
      <w:r w:rsidR="00BE7874">
        <w:rPr>
          <w:rFonts w:ascii="Arial" w:hAnsi="Arial" w:cs="Arial"/>
          <w:sz w:val="24"/>
        </w:rPr>
        <w:t xml:space="preserve">  The COR</w:t>
      </w:r>
      <w:r w:rsidR="00231E11">
        <w:rPr>
          <w:rFonts w:ascii="Arial" w:hAnsi="Arial" w:cs="Arial"/>
          <w:sz w:val="24"/>
        </w:rPr>
        <w:t>’s</w:t>
      </w:r>
      <w:r w:rsidR="00BE7874">
        <w:rPr>
          <w:rFonts w:ascii="Arial" w:hAnsi="Arial" w:cs="Arial"/>
          <w:sz w:val="24"/>
        </w:rPr>
        <w:t xml:space="preserve"> level of effort on this project is 10% at a GS</w:t>
      </w:r>
      <w:r w:rsidR="00231E11">
        <w:rPr>
          <w:rFonts w:ascii="Arial" w:hAnsi="Arial" w:cs="Arial"/>
          <w:sz w:val="24"/>
        </w:rPr>
        <w:t>-</w:t>
      </w:r>
      <w:r w:rsidR="00BE7874">
        <w:rPr>
          <w:rFonts w:ascii="Arial" w:hAnsi="Arial" w:cs="Arial"/>
          <w:sz w:val="24"/>
        </w:rPr>
        <w:t>14</w:t>
      </w:r>
      <w:r w:rsidR="00231E11">
        <w:rPr>
          <w:rFonts w:ascii="Arial" w:hAnsi="Arial" w:cs="Arial"/>
          <w:sz w:val="24"/>
        </w:rPr>
        <w:t xml:space="preserve">, </w:t>
      </w:r>
      <w:r w:rsidR="00BE7874">
        <w:rPr>
          <w:rFonts w:ascii="Arial" w:hAnsi="Arial" w:cs="Arial"/>
          <w:sz w:val="24"/>
        </w:rPr>
        <w:t>Step 10 sa</w:t>
      </w:r>
      <w:r w:rsidR="00231E11">
        <w:rPr>
          <w:rFonts w:ascii="Arial" w:hAnsi="Arial" w:cs="Arial"/>
          <w:sz w:val="24"/>
        </w:rPr>
        <w:t>la</w:t>
      </w:r>
      <w:r w:rsidR="00BE7874">
        <w:rPr>
          <w:rFonts w:ascii="Arial" w:hAnsi="Arial" w:cs="Arial"/>
          <w:sz w:val="24"/>
        </w:rPr>
        <w:t>r</w:t>
      </w:r>
      <w:r w:rsidR="00231E11">
        <w:rPr>
          <w:rFonts w:ascii="Arial" w:hAnsi="Arial" w:cs="Arial"/>
          <w:sz w:val="24"/>
        </w:rPr>
        <w:t xml:space="preserve">y ($145,629) for a cost of $14,563.  </w:t>
      </w:r>
      <w:r w:rsidR="00B4518F">
        <w:rPr>
          <w:rFonts w:ascii="Arial" w:hAnsi="Arial" w:cs="Arial"/>
          <w:sz w:val="24"/>
        </w:rPr>
        <w:t xml:space="preserve">  </w:t>
      </w:r>
    </w:p>
    <w:p w14:paraId="17FB0ADD" w14:textId="77777777" w:rsidR="007103C5" w:rsidRPr="00F42A44" w:rsidRDefault="007103C5" w:rsidP="007103C5">
      <w:pPr>
        <w:rPr>
          <w:rFonts w:ascii="Arial" w:hAnsi="Arial" w:cs="Arial"/>
          <w:sz w:val="24"/>
        </w:rPr>
      </w:pPr>
    </w:p>
    <w:p w14:paraId="551BA2F4" w14:textId="499327E0" w:rsidR="009B3794" w:rsidRPr="004651AA"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Explanation for Program Changes or Adjustments</w:t>
      </w:r>
    </w:p>
    <w:p w14:paraId="0BEFA2DC" w14:textId="77777777" w:rsidR="007103C5" w:rsidRDefault="007103C5" w:rsidP="007103C5">
      <w:pPr>
        <w:shd w:val="clear" w:color="auto" w:fill="FFFFFF"/>
        <w:rPr>
          <w:rFonts w:ascii="Arial" w:hAnsi="Arial" w:cs="Arial"/>
          <w:bCs/>
          <w:noProof/>
          <w:color w:val="000000"/>
          <w:sz w:val="24"/>
          <w:bdr w:val="none" w:sz="0" w:space="0" w:color="auto" w:frame="1"/>
        </w:rPr>
      </w:pPr>
    </w:p>
    <w:p w14:paraId="0E60B025" w14:textId="469650EC" w:rsidR="004651AA" w:rsidRDefault="004651AA" w:rsidP="007103C5">
      <w:pPr>
        <w:shd w:val="clear" w:color="auto" w:fill="FFFFFF"/>
        <w:rPr>
          <w:rFonts w:ascii="Arial" w:hAnsi="Arial" w:cs="Arial"/>
          <w:bCs/>
          <w:color w:val="000000"/>
          <w:sz w:val="24"/>
          <w:bdr w:val="none" w:sz="0" w:space="0" w:color="auto" w:frame="1"/>
        </w:rPr>
      </w:pPr>
      <w:r w:rsidRPr="00E31FD9">
        <w:rPr>
          <w:rFonts w:ascii="Arial" w:hAnsi="Arial" w:cs="Arial"/>
          <w:bCs/>
          <w:noProof/>
          <w:color w:val="000000"/>
          <w:sz w:val="24"/>
          <w:bdr w:val="none" w:sz="0" w:space="0" w:color="auto" w:frame="1"/>
        </w:rPr>
        <w:t>This</w:t>
      </w:r>
      <w:r w:rsidRPr="004651AA">
        <w:rPr>
          <w:rFonts w:ascii="Arial" w:hAnsi="Arial" w:cs="Arial"/>
          <w:bCs/>
          <w:color w:val="000000"/>
          <w:sz w:val="24"/>
          <w:bdr w:val="none" w:sz="0" w:space="0" w:color="auto" w:frame="1"/>
        </w:rPr>
        <w:t xml:space="preserve"> is a new request</w:t>
      </w:r>
      <w:r w:rsidR="00B4518F">
        <w:rPr>
          <w:rFonts w:ascii="Arial" w:hAnsi="Arial" w:cs="Arial"/>
          <w:bCs/>
          <w:color w:val="000000"/>
          <w:sz w:val="24"/>
          <w:bdr w:val="none" w:sz="0" w:space="0" w:color="auto" w:frame="1"/>
        </w:rPr>
        <w:t xml:space="preserve">.  </w:t>
      </w:r>
      <w:r w:rsidRPr="004651AA">
        <w:rPr>
          <w:rFonts w:ascii="Arial" w:hAnsi="Arial" w:cs="Arial"/>
          <w:bCs/>
          <w:color w:val="000000"/>
          <w:sz w:val="24"/>
          <w:bdr w:val="none" w:sz="0" w:space="0" w:color="auto" w:frame="1"/>
        </w:rPr>
        <w:t>There are no changes or adjustments at this time</w:t>
      </w:r>
      <w:r w:rsidR="00B4518F">
        <w:rPr>
          <w:rFonts w:ascii="Arial" w:hAnsi="Arial" w:cs="Arial"/>
          <w:bCs/>
          <w:color w:val="000000"/>
          <w:sz w:val="24"/>
          <w:bdr w:val="none" w:sz="0" w:space="0" w:color="auto" w:frame="1"/>
        </w:rPr>
        <w:t xml:space="preserve">.  </w:t>
      </w:r>
    </w:p>
    <w:p w14:paraId="0FAB361E" w14:textId="77777777" w:rsidR="007103C5" w:rsidRPr="004651AA" w:rsidRDefault="007103C5" w:rsidP="007103C5">
      <w:pPr>
        <w:shd w:val="clear" w:color="auto" w:fill="FFFFFF"/>
        <w:rPr>
          <w:rFonts w:ascii="Arial" w:hAnsi="Arial" w:cs="Arial"/>
          <w:bCs/>
          <w:color w:val="000000"/>
          <w:sz w:val="24"/>
          <w:bdr w:val="none" w:sz="0" w:space="0" w:color="auto" w:frame="1"/>
        </w:rPr>
      </w:pPr>
    </w:p>
    <w:p w14:paraId="3ED4AE4E" w14:textId="07783339" w:rsidR="009B3794" w:rsidRPr="004651AA"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Plans for Tabulation</w:t>
      </w:r>
      <w:r w:rsidR="002118B4" w:rsidRPr="006049D1">
        <w:rPr>
          <w:rFonts w:ascii="Arial" w:hAnsi="Arial" w:cs="Arial"/>
          <w:b/>
          <w:sz w:val="24"/>
          <w:u w:val="single"/>
        </w:rPr>
        <w:t xml:space="preserve">, </w:t>
      </w:r>
      <w:r w:rsidRPr="006049D1">
        <w:rPr>
          <w:rFonts w:ascii="Arial" w:hAnsi="Arial" w:cs="Arial"/>
          <w:b/>
          <w:sz w:val="24"/>
          <w:u w:val="single"/>
        </w:rPr>
        <w:t>Publication</w:t>
      </w:r>
      <w:r w:rsidR="002118B4" w:rsidRPr="006049D1">
        <w:rPr>
          <w:rFonts w:ascii="Arial" w:hAnsi="Arial" w:cs="Arial"/>
          <w:b/>
          <w:sz w:val="24"/>
          <w:u w:val="single"/>
        </w:rPr>
        <w:t>,</w:t>
      </w:r>
      <w:r w:rsidRPr="006049D1">
        <w:rPr>
          <w:rFonts w:ascii="Arial" w:hAnsi="Arial" w:cs="Arial"/>
          <w:b/>
          <w:sz w:val="24"/>
          <w:u w:val="single"/>
        </w:rPr>
        <w:t xml:space="preserve"> and Project Time Schedule</w:t>
      </w:r>
    </w:p>
    <w:p w14:paraId="5DC7B9C5" w14:textId="77777777" w:rsidR="007103C5" w:rsidRDefault="007103C5" w:rsidP="007103C5">
      <w:pPr>
        <w:rPr>
          <w:rFonts w:ascii="Arial" w:hAnsi="Arial" w:cs="Arial"/>
          <w:sz w:val="24"/>
        </w:rPr>
      </w:pPr>
    </w:p>
    <w:p w14:paraId="2951B60D" w14:textId="41C68C26" w:rsidR="004651AA" w:rsidRDefault="004651AA" w:rsidP="007103C5">
      <w:pPr>
        <w:rPr>
          <w:rFonts w:ascii="Arial" w:hAnsi="Arial" w:cs="Arial"/>
          <w:sz w:val="24"/>
        </w:rPr>
      </w:pPr>
      <w:r w:rsidRPr="000D72CB">
        <w:rPr>
          <w:rFonts w:ascii="Arial" w:hAnsi="Arial" w:cs="Arial"/>
          <w:sz w:val="24"/>
        </w:rPr>
        <w:t xml:space="preserve">Data collection will begin </w:t>
      </w:r>
      <w:r w:rsidR="008F4CD0">
        <w:rPr>
          <w:rFonts w:ascii="Arial" w:hAnsi="Arial" w:cs="Arial"/>
          <w:sz w:val="24"/>
        </w:rPr>
        <w:t>following OMB approval</w:t>
      </w:r>
      <w:r w:rsidRPr="000D72CB">
        <w:rPr>
          <w:rFonts w:ascii="Arial" w:hAnsi="Arial" w:cs="Arial"/>
          <w:sz w:val="24"/>
        </w:rPr>
        <w:t xml:space="preserve"> and will </w:t>
      </w:r>
      <w:r w:rsidRPr="00E31FD9">
        <w:rPr>
          <w:rFonts w:ascii="Arial" w:hAnsi="Arial" w:cs="Arial"/>
          <w:noProof/>
          <w:sz w:val="24"/>
        </w:rPr>
        <w:t>be collected</w:t>
      </w:r>
      <w:r w:rsidRPr="000D72CB">
        <w:rPr>
          <w:rFonts w:ascii="Arial" w:hAnsi="Arial" w:cs="Arial"/>
          <w:sz w:val="24"/>
        </w:rPr>
        <w:t xml:space="preserve"> over a period of </w:t>
      </w:r>
      <w:r w:rsidR="00B4518F">
        <w:rPr>
          <w:rFonts w:ascii="Arial" w:hAnsi="Arial" w:cs="Arial"/>
          <w:sz w:val="24"/>
        </w:rPr>
        <w:t>2</w:t>
      </w:r>
      <w:r w:rsidR="000D72CB" w:rsidRPr="000D72CB">
        <w:rPr>
          <w:rFonts w:ascii="Arial" w:hAnsi="Arial" w:cs="Arial"/>
          <w:sz w:val="24"/>
        </w:rPr>
        <w:t xml:space="preserve"> years</w:t>
      </w:r>
      <w:r w:rsidR="00B4518F">
        <w:rPr>
          <w:rFonts w:ascii="Arial" w:hAnsi="Arial" w:cs="Arial"/>
          <w:sz w:val="24"/>
        </w:rPr>
        <w:t xml:space="preserve">.  </w:t>
      </w:r>
      <w:r w:rsidR="008F4CD0" w:rsidRPr="008F4CD0">
        <w:rPr>
          <w:rFonts w:ascii="Arial" w:hAnsi="Arial" w:cs="Arial"/>
          <w:sz w:val="24"/>
        </w:rPr>
        <w:t xml:space="preserve">The results will be presented in a report to HRSA on an ongoing basis (progress reports due every </w:t>
      </w:r>
      <w:r w:rsidR="00B4518F">
        <w:rPr>
          <w:rFonts w:ascii="Arial" w:hAnsi="Arial" w:cs="Arial"/>
          <w:sz w:val="24"/>
        </w:rPr>
        <w:t>3</w:t>
      </w:r>
      <w:r w:rsidR="00981443">
        <w:rPr>
          <w:rFonts w:ascii="Arial" w:hAnsi="Arial" w:cs="Arial"/>
          <w:sz w:val="24"/>
        </w:rPr>
        <w:t xml:space="preserve"> months)</w:t>
      </w:r>
      <w:r w:rsidR="008F4CD0" w:rsidRPr="008F4CD0">
        <w:rPr>
          <w:rFonts w:ascii="Arial" w:hAnsi="Arial" w:cs="Arial"/>
          <w:sz w:val="24"/>
        </w:rPr>
        <w:t xml:space="preserve"> and in a final report </w:t>
      </w:r>
      <w:r w:rsidR="00981443">
        <w:rPr>
          <w:rFonts w:ascii="Arial" w:hAnsi="Arial" w:cs="Arial"/>
          <w:sz w:val="24"/>
        </w:rPr>
        <w:t>at the end of the pilot period (approximately September 2020)</w:t>
      </w:r>
      <w:r w:rsidR="008F4CD0" w:rsidRPr="008F4CD0">
        <w:rPr>
          <w:rFonts w:ascii="Arial" w:hAnsi="Arial" w:cs="Arial"/>
          <w:sz w:val="24"/>
        </w:rPr>
        <w:t>.</w:t>
      </w:r>
    </w:p>
    <w:p w14:paraId="78FB66BE" w14:textId="2293B933" w:rsidR="00B83DC2" w:rsidRDefault="00B83DC2" w:rsidP="007103C5">
      <w:pPr>
        <w:rPr>
          <w:rFonts w:ascii="Arial" w:hAnsi="Arial" w:cs="Arial"/>
          <w:sz w:val="24"/>
        </w:rPr>
      </w:pPr>
    </w:p>
    <w:p w14:paraId="1834A2BC" w14:textId="74098F7C" w:rsidR="00B83DC2" w:rsidRDefault="00B83DC2" w:rsidP="007103C5">
      <w:pPr>
        <w:rPr>
          <w:rFonts w:ascii="Arial" w:hAnsi="Arial" w:cs="Arial"/>
          <w:sz w:val="24"/>
        </w:rPr>
      </w:pPr>
      <w:r>
        <w:rPr>
          <w:rFonts w:ascii="Arial" w:hAnsi="Arial" w:cs="Arial"/>
          <w:sz w:val="24"/>
        </w:rPr>
        <w:t xml:space="preserve">At this time, there are no plans to conduct statistical analyses with the information collected or to publish the information collected. </w:t>
      </w:r>
    </w:p>
    <w:p w14:paraId="462F4690" w14:textId="77777777" w:rsidR="007103C5" w:rsidRPr="008F4CD0" w:rsidRDefault="007103C5" w:rsidP="007103C5">
      <w:pPr>
        <w:rPr>
          <w:rFonts w:ascii="Arial" w:hAnsi="Arial" w:cs="Arial"/>
          <w:sz w:val="24"/>
        </w:rPr>
      </w:pPr>
    </w:p>
    <w:p w14:paraId="0FAEA034" w14:textId="257A954C" w:rsidR="009B3794" w:rsidRPr="004651AA"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Reason(s) Display of OMB Expiration Date is Inappropriate</w:t>
      </w:r>
    </w:p>
    <w:p w14:paraId="5EAC2168" w14:textId="77777777" w:rsidR="007103C5" w:rsidRDefault="007103C5" w:rsidP="007103C5">
      <w:pPr>
        <w:pStyle w:val="BodyTextIndent"/>
        <w:ind w:left="0"/>
        <w:rPr>
          <w:rFonts w:ascii="Arial" w:hAnsi="Arial" w:cs="Arial"/>
        </w:rPr>
      </w:pPr>
    </w:p>
    <w:p w14:paraId="6B346773" w14:textId="012268B0" w:rsidR="004651AA" w:rsidRDefault="004651AA" w:rsidP="007103C5">
      <w:pPr>
        <w:pStyle w:val="BodyTextIndent"/>
        <w:ind w:left="0"/>
        <w:rPr>
          <w:rFonts w:ascii="Arial" w:hAnsi="Arial" w:cs="Arial"/>
        </w:rPr>
      </w:pPr>
      <w:r w:rsidRPr="006049D1">
        <w:rPr>
          <w:rFonts w:ascii="Arial" w:hAnsi="Arial" w:cs="Arial"/>
        </w:rPr>
        <w:t xml:space="preserve">The OMB number and Expiration date will </w:t>
      </w:r>
      <w:r w:rsidRPr="00E31FD9">
        <w:rPr>
          <w:rFonts w:ascii="Arial" w:hAnsi="Arial" w:cs="Arial"/>
          <w:noProof/>
        </w:rPr>
        <w:t>be displayed</w:t>
      </w:r>
      <w:r w:rsidRPr="006049D1">
        <w:rPr>
          <w:rFonts w:ascii="Arial" w:hAnsi="Arial" w:cs="Arial"/>
        </w:rPr>
        <w:t xml:space="preserve"> on every page of every form/instrument.</w:t>
      </w:r>
    </w:p>
    <w:p w14:paraId="2016CDA1" w14:textId="77777777" w:rsidR="007103C5" w:rsidRPr="006049D1" w:rsidRDefault="007103C5" w:rsidP="007103C5">
      <w:pPr>
        <w:pStyle w:val="BodyTextIndent"/>
        <w:ind w:left="0"/>
        <w:rPr>
          <w:rFonts w:ascii="Arial" w:hAnsi="Arial" w:cs="Arial"/>
        </w:rPr>
      </w:pPr>
    </w:p>
    <w:p w14:paraId="442B176F" w14:textId="77777777" w:rsidR="009B3794" w:rsidRPr="006049D1" w:rsidRDefault="009B3794" w:rsidP="007103C5">
      <w:pPr>
        <w:numPr>
          <w:ilvl w:val="0"/>
          <w:numId w:val="2"/>
        </w:numPr>
        <w:tabs>
          <w:tab w:val="clear" w:pos="1080"/>
          <w:tab w:val="num" w:pos="360"/>
        </w:tabs>
        <w:ind w:left="360"/>
        <w:rPr>
          <w:rFonts w:ascii="Arial" w:hAnsi="Arial" w:cs="Arial"/>
          <w:b/>
          <w:sz w:val="24"/>
        </w:rPr>
      </w:pPr>
      <w:r w:rsidRPr="006049D1">
        <w:rPr>
          <w:rFonts w:ascii="Arial" w:hAnsi="Arial" w:cs="Arial"/>
          <w:b/>
          <w:sz w:val="24"/>
          <w:u w:val="single"/>
        </w:rPr>
        <w:t>Exceptions to Certification for Paperwork Reduction Act Submissions</w:t>
      </w:r>
    </w:p>
    <w:p w14:paraId="34F6B29D" w14:textId="77777777" w:rsidR="007103C5" w:rsidRDefault="007103C5" w:rsidP="007103C5">
      <w:pPr>
        <w:pStyle w:val="BodyTextIndent"/>
        <w:ind w:left="0"/>
        <w:rPr>
          <w:rFonts w:ascii="Arial" w:hAnsi="Arial" w:cs="Arial"/>
        </w:rPr>
      </w:pPr>
    </w:p>
    <w:p w14:paraId="0332D709" w14:textId="166828EC" w:rsidR="007D5044" w:rsidRPr="002B0612" w:rsidRDefault="004651AA" w:rsidP="007103C5">
      <w:pPr>
        <w:pStyle w:val="BodyTextIndent"/>
        <w:ind w:left="0"/>
        <w:rPr>
          <w:rFonts w:ascii="Arial" w:hAnsi="Arial" w:cs="Arial"/>
        </w:rPr>
      </w:pPr>
      <w:r w:rsidRPr="004651AA">
        <w:rPr>
          <w:rFonts w:ascii="Arial" w:hAnsi="Arial" w:cs="Arial"/>
        </w:rPr>
        <w:t>This information collection activity will comply with the requirements in 5 CFR 1320.9.</w:t>
      </w:r>
    </w:p>
    <w:sectPr w:rsidR="007D5044" w:rsidRPr="002B0612"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08A86" w14:textId="77777777" w:rsidR="00C152F4" w:rsidRDefault="00C152F4">
      <w:r>
        <w:separator/>
      </w:r>
    </w:p>
  </w:endnote>
  <w:endnote w:type="continuationSeparator" w:id="0">
    <w:p w14:paraId="32507A26" w14:textId="77777777" w:rsidR="00C152F4" w:rsidRDefault="00C1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BE95" w14:textId="77777777" w:rsidR="00AB5B15" w:rsidRDefault="00AB5B15">
    <w:pPr>
      <w:spacing w:line="240" w:lineRule="exact"/>
    </w:pPr>
  </w:p>
  <w:p w14:paraId="22500D62" w14:textId="4E5CAA91" w:rsidR="00AB5B15" w:rsidRDefault="00AB5B15">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00E0C">
      <w:rPr>
        <w:noProof/>
        <w:sz w:val="24"/>
      </w:rPr>
      <w:t>1</w:t>
    </w:r>
    <w:r>
      <w:rPr>
        <w:sz w:val="24"/>
      </w:rPr>
      <w:fldChar w:fldCharType="end"/>
    </w:r>
  </w:p>
  <w:p w14:paraId="741E255E" w14:textId="77777777" w:rsidR="00AB5B15" w:rsidRDefault="00AB5B15">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6CC87" w14:textId="77777777" w:rsidR="00C152F4" w:rsidRDefault="00C152F4">
      <w:r>
        <w:separator/>
      </w:r>
    </w:p>
  </w:footnote>
  <w:footnote w:type="continuationSeparator" w:id="0">
    <w:p w14:paraId="4B3C6D7B" w14:textId="77777777" w:rsidR="00C152F4" w:rsidRDefault="00C15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7B60248"/>
    <w:multiLevelType w:val="hybridMultilevel"/>
    <w:tmpl w:val="676A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28D191E"/>
    <w:multiLevelType w:val="hybridMultilevel"/>
    <w:tmpl w:val="A9D4B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8C72282"/>
    <w:multiLevelType w:val="hybridMultilevel"/>
    <w:tmpl w:val="11AC6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CDD3725"/>
    <w:multiLevelType w:val="hybridMultilevel"/>
    <w:tmpl w:val="6C3E1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4925EFA"/>
    <w:multiLevelType w:val="hybridMultilevel"/>
    <w:tmpl w:val="AC5C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3"/>
  </w:num>
  <w:num w:numId="3">
    <w:abstractNumId w:val="15"/>
  </w:num>
  <w:num w:numId="4">
    <w:abstractNumId w:val="43"/>
  </w:num>
  <w:num w:numId="5">
    <w:abstractNumId w:val="46"/>
  </w:num>
  <w:num w:numId="6">
    <w:abstractNumId w:val="10"/>
  </w:num>
  <w:num w:numId="7">
    <w:abstractNumId w:val="37"/>
  </w:num>
  <w:num w:numId="8">
    <w:abstractNumId w:val="19"/>
  </w:num>
  <w:num w:numId="9">
    <w:abstractNumId w:val="27"/>
  </w:num>
  <w:num w:numId="10">
    <w:abstractNumId w:val="21"/>
  </w:num>
  <w:num w:numId="11">
    <w:abstractNumId w:val="9"/>
  </w:num>
  <w:num w:numId="12">
    <w:abstractNumId w:val="26"/>
  </w:num>
  <w:num w:numId="13">
    <w:abstractNumId w:val="22"/>
  </w:num>
  <w:num w:numId="14">
    <w:abstractNumId w:val="24"/>
  </w:num>
  <w:num w:numId="15">
    <w:abstractNumId w:val="8"/>
  </w:num>
  <w:num w:numId="16">
    <w:abstractNumId w:val="0"/>
  </w:num>
  <w:num w:numId="17">
    <w:abstractNumId w:val="1"/>
  </w:num>
  <w:num w:numId="18">
    <w:abstractNumId w:val="17"/>
  </w:num>
  <w:num w:numId="19">
    <w:abstractNumId w:val="36"/>
  </w:num>
  <w:num w:numId="20">
    <w:abstractNumId w:val="34"/>
  </w:num>
  <w:num w:numId="21">
    <w:abstractNumId w:val="20"/>
  </w:num>
  <w:num w:numId="22">
    <w:abstractNumId w:val="41"/>
  </w:num>
  <w:num w:numId="23">
    <w:abstractNumId w:val="32"/>
  </w:num>
  <w:num w:numId="24">
    <w:abstractNumId w:val="33"/>
  </w:num>
  <w:num w:numId="25">
    <w:abstractNumId w:val="45"/>
  </w:num>
  <w:num w:numId="26">
    <w:abstractNumId w:val="40"/>
  </w:num>
  <w:num w:numId="27">
    <w:abstractNumId w:val="4"/>
  </w:num>
  <w:num w:numId="28">
    <w:abstractNumId w:val="18"/>
  </w:num>
  <w:num w:numId="29">
    <w:abstractNumId w:val="44"/>
  </w:num>
  <w:num w:numId="30">
    <w:abstractNumId w:val="39"/>
  </w:num>
  <w:num w:numId="31">
    <w:abstractNumId w:val="35"/>
  </w:num>
  <w:num w:numId="32">
    <w:abstractNumId w:val="11"/>
  </w:num>
  <w:num w:numId="33">
    <w:abstractNumId w:val="3"/>
  </w:num>
  <w:num w:numId="34">
    <w:abstractNumId w:val="29"/>
  </w:num>
  <w:num w:numId="35">
    <w:abstractNumId w:val="13"/>
  </w:num>
  <w:num w:numId="36">
    <w:abstractNumId w:val="12"/>
  </w:num>
  <w:num w:numId="37">
    <w:abstractNumId w:val="14"/>
  </w:num>
  <w:num w:numId="38">
    <w:abstractNumId w:val="5"/>
  </w:num>
  <w:num w:numId="39">
    <w:abstractNumId w:val="31"/>
  </w:num>
  <w:num w:numId="40">
    <w:abstractNumId w:val="7"/>
  </w:num>
  <w:num w:numId="41">
    <w:abstractNumId w:val="30"/>
  </w:num>
  <w:num w:numId="42">
    <w:abstractNumId w:val="25"/>
  </w:num>
  <w:num w:numId="43">
    <w:abstractNumId w:val="6"/>
  </w:num>
  <w:num w:numId="44">
    <w:abstractNumId w:val="42"/>
  </w:num>
  <w:num w:numId="45">
    <w:abstractNumId w:val="38"/>
  </w:num>
  <w:num w:numId="46">
    <w:abstractNumId w:val="2"/>
  </w:num>
  <w:num w:numId="47">
    <w:abstractNumId w:val="2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wNbEwNzOzMDUxNDVQ0lEKTi0uzszPAykwrAUAVbSN6CwAAAA="/>
  </w:docVars>
  <w:rsids>
    <w:rsidRoot w:val="00A92CAB"/>
    <w:rsid w:val="00015505"/>
    <w:rsid w:val="000318FE"/>
    <w:rsid w:val="00043798"/>
    <w:rsid w:val="0005421A"/>
    <w:rsid w:val="00090B6F"/>
    <w:rsid w:val="00093AC2"/>
    <w:rsid w:val="000A250B"/>
    <w:rsid w:val="000A26CE"/>
    <w:rsid w:val="000C1FCB"/>
    <w:rsid w:val="000D72CB"/>
    <w:rsid w:val="000F0CE8"/>
    <w:rsid w:val="000F27AF"/>
    <w:rsid w:val="00110518"/>
    <w:rsid w:val="00111C1D"/>
    <w:rsid w:val="00115947"/>
    <w:rsid w:val="0012142A"/>
    <w:rsid w:val="001325B2"/>
    <w:rsid w:val="0015252E"/>
    <w:rsid w:val="0016174F"/>
    <w:rsid w:val="001629FB"/>
    <w:rsid w:val="001720FC"/>
    <w:rsid w:val="001920C3"/>
    <w:rsid w:val="001D4856"/>
    <w:rsid w:val="001F0C54"/>
    <w:rsid w:val="002118B4"/>
    <w:rsid w:val="00215799"/>
    <w:rsid w:val="00231E11"/>
    <w:rsid w:val="0023639A"/>
    <w:rsid w:val="002640E7"/>
    <w:rsid w:val="00266789"/>
    <w:rsid w:val="0027421A"/>
    <w:rsid w:val="00277EC7"/>
    <w:rsid w:val="002814A6"/>
    <w:rsid w:val="002B0612"/>
    <w:rsid w:val="002E378B"/>
    <w:rsid w:val="002E70A0"/>
    <w:rsid w:val="00322313"/>
    <w:rsid w:val="003461B8"/>
    <w:rsid w:val="00365011"/>
    <w:rsid w:val="00380991"/>
    <w:rsid w:val="00385767"/>
    <w:rsid w:val="00391E16"/>
    <w:rsid w:val="00393246"/>
    <w:rsid w:val="003A1EE6"/>
    <w:rsid w:val="003A47A3"/>
    <w:rsid w:val="003B3787"/>
    <w:rsid w:val="003C0C51"/>
    <w:rsid w:val="003D23B1"/>
    <w:rsid w:val="003F10A9"/>
    <w:rsid w:val="003F1F61"/>
    <w:rsid w:val="00411739"/>
    <w:rsid w:val="00432632"/>
    <w:rsid w:val="00433037"/>
    <w:rsid w:val="004415E8"/>
    <w:rsid w:val="004651AA"/>
    <w:rsid w:val="00472655"/>
    <w:rsid w:val="00472847"/>
    <w:rsid w:val="004746CA"/>
    <w:rsid w:val="00490720"/>
    <w:rsid w:val="00491EF7"/>
    <w:rsid w:val="004A7CA9"/>
    <w:rsid w:val="004E687D"/>
    <w:rsid w:val="00500E0C"/>
    <w:rsid w:val="00503BAB"/>
    <w:rsid w:val="005149B4"/>
    <w:rsid w:val="005321FF"/>
    <w:rsid w:val="005649E4"/>
    <w:rsid w:val="00571DCA"/>
    <w:rsid w:val="00597F13"/>
    <w:rsid w:val="005A021F"/>
    <w:rsid w:val="005A7FC6"/>
    <w:rsid w:val="005C55D7"/>
    <w:rsid w:val="005D0B5A"/>
    <w:rsid w:val="005D7625"/>
    <w:rsid w:val="005E1765"/>
    <w:rsid w:val="005E27A6"/>
    <w:rsid w:val="005F30D0"/>
    <w:rsid w:val="006049D1"/>
    <w:rsid w:val="00624019"/>
    <w:rsid w:val="00627FFD"/>
    <w:rsid w:val="00674B66"/>
    <w:rsid w:val="00680D76"/>
    <w:rsid w:val="00687B8D"/>
    <w:rsid w:val="0069600B"/>
    <w:rsid w:val="006B32D1"/>
    <w:rsid w:val="006B39B7"/>
    <w:rsid w:val="006D7495"/>
    <w:rsid w:val="00707921"/>
    <w:rsid w:val="007103C5"/>
    <w:rsid w:val="0073114C"/>
    <w:rsid w:val="007370B3"/>
    <w:rsid w:val="00782B17"/>
    <w:rsid w:val="007C1D08"/>
    <w:rsid w:val="007D5044"/>
    <w:rsid w:val="007E1E40"/>
    <w:rsid w:val="007F047A"/>
    <w:rsid w:val="008002AB"/>
    <w:rsid w:val="00806E05"/>
    <w:rsid w:val="008467F8"/>
    <w:rsid w:val="00855CE9"/>
    <w:rsid w:val="008660FB"/>
    <w:rsid w:val="008737E8"/>
    <w:rsid w:val="00876414"/>
    <w:rsid w:val="008B04CA"/>
    <w:rsid w:val="008B0F80"/>
    <w:rsid w:val="008D2D67"/>
    <w:rsid w:val="008E745F"/>
    <w:rsid w:val="008F4CD0"/>
    <w:rsid w:val="00923AB9"/>
    <w:rsid w:val="00935E77"/>
    <w:rsid w:val="00954707"/>
    <w:rsid w:val="009749FB"/>
    <w:rsid w:val="00981443"/>
    <w:rsid w:val="00987FDF"/>
    <w:rsid w:val="00997D36"/>
    <w:rsid w:val="009B3794"/>
    <w:rsid w:val="009B7E4D"/>
    <w:rsid w:val="009E550A"/>
    <w:rsid w:val="009F0CBB"/>
    <w:rsid w:val="00A1688A"/>
    <w:rsid w:val="00A324C2"/>
    <w:rsid w:val="00A55D14"/>
    <w:rsid w:val="00A62C27"/>
    <w:rsid w:val="00A7483D"/>
    <w:rsid w:val="00A75FE2"/>
    <w:rsid w:val="00A92CAB"/>
    <w:rsid w:val="00AB014E"/>
    <w:rsid w:val="00AB5B15"/>
    <w:rsid w:val="00AC4BF0"/>
    <w:rsid w:val="00AE497D"/>
    <w:rsid w:val="00AE7154"/>
    <w:rsid w:val="00B13BE7"/>
    <w:rsid w:val="00B24128"/>
    <w:rsid w:val="00B259D7"/>
    <w:rsid w:val="00B32D5E"/>
    <w:rsid w:val="00B3346A"/>
    <w:rsid w:val="00B4518F"/>
    <w:rsid w:val="00B526E7"/>
    <w:rsid w:val="00B655C6"/>
    <w:rsid w:val="00B83DC2"/>
    <w:rsid w:val="00B90752"/>
    <w:rsid w:val="00BA1A0C"/>
    <w:rsid w:val="00BA6933"/>
    <w:rsid w:val="00BB5EA4"/>
    <w:rsid w:val="00BB7738"/>
    <w:rsid w:val="00BB7F22"/>
    <w:rsid w:val="00BE7874"/>
    <w:rsid w:val="00BF0220"/>
    <w:rsid w:val="00C152F4"/>
    <w:rsid w:val="00C3007E"/>
    <w:rsid w:val="00C35766"/>
    <w:rsid w:val="00C4434F"/>
    <w:rsid w:val="00C45431"/>
    <w:rsid w:val="00C50EDD"/>
    <w:rsid w:val="00C52212"/>
    <w:rsid w:val="00C551B8"/>
    <w:rsid w:val="00C615BE"/>
    <w:rsid w:val="00C65829"/>
    <w:rsid w:val="00C74B86"/>
    <w:rsid w:val="00C74E21"/>
    <w:rsid w:val="00C75C2E"/>
    <w:rsid w:val="00C8748F"/>
    <w:rsid w:val="00CA3DA6"/>
    <w:rsid w:val="00CB3134"/>
    <w:rsid w:val="00CB31A3"/>
    <w:rsid w:val="00CB3F63"/>
    <w:rsid w:val="00CD36E7"/>
    <w:rsid w:val="00CE5AA9"/>
    <w:rsid w:val="00CF009C"/>
    <w:rsid w:val="00CF6AF9"/>
    <w:rsid w:val="00D11CA3"/>
    <w:rsid w:val="00D20468"/>
    <w:rsid w:val="00D46313"/>
    <w:rsid w:val="00D5658B"/>
    <w:rsid w:val="00D56CC2"/>
    <w:rsid w:val="00D666E8"/>
    <w:rsid w:val="00D74B86"/>
    <w:rsid w:val="00D84723"/>
    <w:rsid w:val="00D92E1D"/>
    <w:rsid w:val="00D93C2E"/>
    <w:rsid w:val="00DB59CD"/>
    <w:rsid w:val="00DC4252"/>
    <w:rsid w:val="00DC754F"/>
    <w:rsid w:val="00DE3A45"/>
    <w:rsid w:val="00E00CEE"/>
    <w:rsid w:val="00E203FA"/>
    <w:rsid w:val="00E26808"/>
    <w:rsid w:val="00E30CD1"/>
    <w:rsid w:val="00E31FD9"/>
    <w:rsid w:val="00E34A1F"/>
    <w:rsid w:val="00E87554"/>
    <w:rsid w:val="00E876B7"/>
    <w:rsid w:val="00E962DB"/>
    <w:rsid w:val="00EC38CD"/>
    <w:rsid w:val="00EC3E80"/>
    <w:rsid w:val="00ED18EA"/>
    <w:rsid w:val="00EE529C"/>
    <w:rsid w:val="00EF4BF3"/>
    <w:rsid w:val="00EF79BB"/>
    <w:rsid w:val="00F0012C"/>
    <w:rsid w:val="00F24B36"/>
    <w:rsid w:val="00F30199"/>
    <w:rsid w:val="00F316FC"/>
    <w:rsid w:val="00F4221E"/>
    <w:rsid w:val="00F42A44"/>
    <w:rsid w:val="00F54D6B"/>
    <w:rsid w:val="00F61DD5"/>
    <w:rsid w:val="00F813E5"/>
    <w:rsid w:val="00F819D0"/>
    <w:rsid w:val="00F9785A"/>
    <w:rsid w:val="00FA1152"/>
    <w:rsid w:val="00FA707B"/>
    <w:rsid w:val="00FC3754"/>
    <w:rsid w:val="00FE6C30"/>
    <w:rsid w:val="00FF0F2B"/>
    <w:rsid w:val="00FF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A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noteText">
    <w:name w:val="footnote text"/>
    <w:basedOn w:val="Normal"/>
    <w:link w:val="FootnoteTextChar"/>
    <w:uiPriority w:val="99"/>
    <w:semiHidden/>
    <w:unhideWhenUsed/>
    <w:rsid w:val="00997D36"/>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997D36"/>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E378B"/>
    <w:rPr>
      <w:sz w:val="16"/>
      <w:szCs w:val="16"/>
    </w:rPr>
  </w:style>
  <w:style w:type="paragraph" w:styleId="CommentText">
    <w:name w:val="annotation text"/>
    <w:basedOn w:val="Normal"/>
    <w:link w:val="CommentTextChar"/>
    <w:uiPriority w:val="99"/>
    <w:semiHidden/>
    <w:unhideWhenUsed/>
    <w:rsid w:val="002E378B"/>
    <w:pPr>
      <w:widowControl/>
      <w:autoSpaceDE/>
      <w:autoSpaceDN/>
      <w:adjustRightInd/>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E378B"/>
    <w:rPr>
      <w:rFonts w:asciiTheme="minorHAnsi" w:eastAsiaTheme="minorHAnsi" w:hAnsiTheme="minorHAnsi" w:cstheme="minorBidi"/>
    </w:rPr>
  </w:style>
  <w:style w:type="paragraph" w:styleId="TOC1">
    <w:name w:val="toc 1"/>
    <w:basedOn w:val="Normal"/>
    <w:next w:val="Normal"/>
    <w:autoRedefine/>
    <w:uiPriority w:val="39"/>
    <w:semiHidden/>
    <w:rsid w:val="004A7CA9"/>
    <w:pPr>
      <w:widowControl/>
      <w:tabs>
        <w:tab w:val="left" w:pos="432"/>
      </w:tabs>
      <w:autoSpaceDE/>
      <w:autoSpaceDN/>
      <w:adjustRightInd/>
    </w:pPr>
    <w:rPr>
      <w:sz w:val="24"/>
      <w:szCs w:val="20"/>
    </w:rPr>
  </w:style>
  <w:style w:type="paragraph" w:customStyle="1" w:styleId="NormalSS">
    <w:name w:val="NormalSS"/>
    <w:basedOn w:val="Normal"/>
    <w:rsid w:val="004A7CA9"/>
    <w:pPr>
      <w:widowControl/>
      <w:tabs>
        <w:tab w:val="left" w:pos="432"/>
      </w:tabs>
      <w:autoSpaceDE/>
      <w:autoSpaceDN/>
      <w:adjustRightInd/>
      <w:ind w:firstLine="432"/>
      <w:jc w:val="both"/>
    </w:pPr>
    <w:rPr>
      <w:sz w:val="24"/>
      <w:szCs w:val="20"/>
    </w:rPr>
  </w:style>
  <w:style w:type="paragraph" w:customStyle="1" w:styleId="Center">
    <w:name w:val="Center"/>
    <w:basedOn w:val="Normal"/>
    <w:rsid w:val="004A7CA9"/>
    <w:pPr>
      <w:widowControl/>
      <w:tabs>
        <w:tab w:val="left" w:pos="432"/>
      </w:tabs>
      <w:autoSpaceDE/>
      <w:autoSpaceDN/>
      <w:adjustRightInd/>
      <w:spacing w:line="480" w:lineRule="auto"/>
      <w:jc w:val="center"/>
    </w:pPr>
    <w:rPr>
      <w:sz w:val="24"/>
      <w:szCs w:val="20"/>
    </w:rPr>
  </w:style>
  <w:style w:type="paragraph" w:styleId="CommentSubject">
    <w:name w:val="annotation subject"/>
    <w:basedOn w:val="CommentText"/>
    <w:next w:val="CommentText"/>
    <w:link w:val="CommentSubjectChar"/>
    <w:semiHidden/>
    <w:unhideWhenUsed/>
    <w:rsid w:val="004A7CA9"/>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A7CA9"/>
    <w:rPr>
      <w:rFonts w:asciiTheme="minorHAnsi" w:eastAsiaTheme="minorHAnsi" w:hAnsiTheme="minorHAnsi" w:cstheme="minorBidi"/>
      <w:b/>
      <w:bCs/>
    </w:rPr>
  </w:style>
  <w:style w:type="character" w:styleId="FollowedHyperlink">
    <w:name w:val="FollowedHyperlink"/>
    <w:basedOn w:val="DefaultParagraphFont"/>
    <w:semiHidden/>
    <w:unhideWhenUsed/>
    <w:rsid w:val="00923AB9"/>
    <w:rPr>
      <w:color w:val="800080" w:themeColor="followedHyperlink"/>
      <w:u w:val="single"/>
    </w:rPr>
  </w:style>
  <w:style w:type="paragraph" w:styleId="Header">
    <w:name w:val="header"/>
    <w:basedOn w:val="Normal"/>
    <w:link w:val="HeaderChar"/>
    <w:unhideWhenUsed/>
    <w:rsid w:val="00C35766"/>
    <w:pPr>
      <w:tabs>
        <w:tab w:val="center" w:pos="4680"/>
        <w:tab w:val="right" w:pos="9360"/>
      </w:tabs>
    </w:pPr>
  </w:style>
  <w:style w:type="character" w:customStyle="1" w:styleId="HeaderChar">
    <w:name w:val="Header Char"/>
    <w:basedOn w:val="DefaultParagraphFont"/>
    <w:link w:val="Header"/>
    <w:rsid w:val="00C35766"/>
    <w:rPr>
      <w:szCs w:val="24"/>
    </w:rPr>
  </w:style>
  <w:style w:type="paragraph" w:styleId="Footer">
    <w:name w:val="footer"/>
    <w:basedOn w:val="Normal"/>
    <w:link w:val="FooterChar"/>
    <w:unhideWhenUsed/>
    <w:rsid w:val="00C35766"/>
    <w:pPr>
      <w:tabs>
        <w:tab w:val="center" w:pos="4680"/>
        <w:tab w:val="right" w:pos="9360"/>
      </w:tabs>
    </w:pPr>
  </w:style>
  <w:style w:type="character" w:customStyle="1" w:styleId="FooterChar">
    <w:name w:val="Footer Char"/>
    <w:basedOn w:val="DefaultParagraphFont"/>
    <w:link w:val="Footer"/>
    <w:rsid w:val="00C35766"/>
    <w:rPr>
      <w:szCs w:val="24"/>
    </w:rPr>
  </w:style>
  <w:style w:type="paragraph" w:customStyle="1" w:styleId="Default">
    <w:name w:val="Default"/>
    <w:rsid w:val="00687B8D"/>
    <w:pPr>
      <w:autoSpaceDE w:val="0"/>
      <w:autoSpaceDN w:val="0"/>
      <w:adjustRightInd w:val="0"/>
    </w:pPr>
    <w:rPr>
      <w:color w:val="000000"/>
      <w:sz w:val="24"/>
      <w:szCs w:val="24"/>
    </w:rPr>
  </w:style>
  <w:style w:type="paragraph" w:styleId="Revision">
    <w:name w:val="Revision"/>
    <w:hidden/>
    <w:uiPriority w:val="99"/>
    <w:semiHidden/>
    <w:rsid w:val="0004379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noteText">
    <w:name w:val="footnote text"/>
    <w:basedOn w:val="Normal"/>
    <w:link w:val="FootnoteTextChar"/>
    <w:uiPriority w:val="99"/>
    <w:semiHidden/>
    <w:unhideWhenUsed/>
    <w:rsid w:val="00997D36"/>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997D36"/>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E378B"/>
    <w:rPr>
      <w:sz w:val="16"/>
      <w:szCs w:val="16"/>
    </w:rPr>
  </w:style>
  <w:style w:type="paragraph" w:styleId="CommentText">
    <w:name w:val="annotation text"/>
    <w:basedOn w:val="Normal"/>
    <w:link w:val="CommentTextChar"/>
    <w:uiPriority w:val="99"/>
    <w:semiHidden/>
    <w:unhideWhenUsed/>
    <w:rsid w:val="002E378B"/>
    <w:pPr>
      <w:widowControl/>
      <w:autoSpaceDE/>
      <w:autoSpaceDN/>
      <w:adjustRightInd/>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E378B"/>
    <w:rPr>
      <w:rFonts w:asciiTheme="minorHAnsi" w:eastAsiaTheme="minorHAnsi" w:hAnsiTheme="minorHAnsi" w:cstheme="minorBidi"/>
    </w:rPr>
  </w:style>
  <w:style w:type="paragraph" w:styleId="TOC1">
    <w:name w:val="toc 1"/>
    <w:basedOn w:val="Normal"/>
    <w:next w:val="Normal"/>
    <w:autoRedefine/>
    <w:uiPriority w:val="39"/>
    <w:semiHidden/>
    <w:rsid w:val="004A7CA9"/>
    <w:pPr>
      <w:widowControl/>
      <w:tabs>
        <w:tab w:val="left" w:pos="432"/>
      </w:tabs>
      <w:autoSpaceDE/>
      <w:autoSpaceDN/>
      <w:adjustRightInd/>
    </w:pPr>
    <w:rPr>
      <w:sz w:val="24"/>
      <w:szCs w:val="20"/>
    </w:rPr>
  </w:style>
  <w:style w:type="paragraph" w:customStyle="1" w:styleId="NormalSS">
    <w:name w:val="NormalSS"/>
    <w:basedOn w:val="Normal"/>
    <w:rsid w:val="004A7CA9"/>
    <w:pPr>
      <w:widowControl/>
      <w:tabs>
        <w:tab w:val="left" w:pos="432"/>
      </w:tabs>
      <w:autoSpaceDE/>
      <w:autoSpaceDN/>
      <w:adjustRightInd/>
      <w:ind w:firstLine="432"/>
      <w:jc w:val="both"/>
    </w:pPr>
    <w:rPr>
      <w:sz w:val="24"/>
      <w:szCs w:val="20"/>
    </w:rPr>
  </w:style>
  <w:style w:type="paragraph" w:customStyle="1" w:styleId="Center">
    <w:name w:val="Center"/>
    <w:basedOn w:val="Normal"/>
    <w:rsid w:val="004A7CA9"/>
    <w:pPr>
      <w:widowControl/>
      <w:tabs>
        <w:tab w:val="left" w:pos="432"/>
      </w:tabs>
      <w:autoSpaceDE/>
      <w:autoSpaceDN/>
      <w:adjustRightInd/>
      <w:spacing w:line="480" w:lineRule="auto"/>
      <w:jc w:val="center"/>
    </w:pPr>
    <w:rPr>
      <w:sz w:val="24"/>
      <w:szCs w:val="20"/>
    </w:rPr>
  </w:style>
  <w:style w:type="paragraph" w:styleId="CommentSubject">
    <w:name w:val="annotation subject"/>
    <w:basedOn w:val="CommentText"/>
    <w:next w:val="CommentText"/>
    <w:link w:val="CommentSubjectChar"/>
    <w:semiHidden/>
    <w:unhideWhenUsed/>
    <w:rsid w:val="004A7CA9"/>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A7CA9"/>
    <w:rPr>
      <w:rFonts w:asciiTheme="minorHAnsi" w:eastAsiaTheme="minorHAnsi" w:hAnsiTheme="minorHAnsi" w:cstheme="minorBidi"/>
      <w:b/>
      <w:bCs/>
    </w:rPr>
  </w:style>
  <w:style w:type="character" w:styleId="FollowedHyperlink">
    <w:name w:val="FollowedHyperlink"/>
    <w:basedOn w:val="DefaultParagraphFont"/>
    <w:semiHidden/>
    <w:unhideWhenUsed/>
    <w:rsid w:val="00923AB9"/>
    <w:rPr>
      <w:color w:val="800080" w:themeColor="followedHyperlink"/>
      <w:u w:val="single"/>
    </w:rPr>
  </w:style>
  <w:style w:type="paragraph" w:styleId="Header">
    <w:name w:val="header"/>
    <w:basedOn w:val="Normal"/>
    <w:link w:val="HeaderChar"/>
    <w:unhideWhenUsed/>
    <w:rsid w:val="00C35766"/>
    <w:pPr>
      <w:tabs>
        <w:tab w:val="center" w:pos="4680"/>
        <w:tab w:val="right" w:pos="9360"/>
      </w:tabs>
    </w:pPr>
  </w:style>
  <w:style w:type="character" w:customStyle="1" w:styleId="HeaderChar">
    <w:name w:val="Header Char"/>
    <w:basedOn w:val="DefaultParagraphFont"/>
    <w:link w:val="Header"/>
    <w:rsid w:val="00C35766"/>
    <w:rPr>
      <w:szCs w:val="24"/>
    </w:rPr>
  </w:style>
  <w:style w:type="paragraph" w:styleId="Footer">
    <w:name w:val="footer"/>
    <w:basedOn w:val="Normal"/>
    <w:link w:val="FooterChar"/>
    <w:unhideWhenUsed/>
    <w:rsid w:val="00C35766"/>
    <w:pPr>
      <w:tabs>
        <w:tab w:val="center" w:pos="4680"/>
        <w:tab w:val="right" w:pos="9360"/>
      </w:tabs>
    </w:pPr>
  </w:style>
  <w:style w:type="character" w:customStyle="1" w:styleId="FooterChar">
    <w:name w:val="Footer Char"/>
    <w:basedOn w:val="DefaultParagraphFont"/>
    <w:link w:val="Footer"/>
    <w:rsid w:val="00C35766"/>
    <w:rPr>
      <w:szCs w:val="24"/>
    </w:rPr>
  </w:style>
  <w:style w:type="paragraph" w:customStyle="1" w:styleId="Default">
    <w:name w:val="Default"/>
    <w:rsid w:val="00687B8D"/>
    <w:pPr>
      <w:autoSpaceDE w:val="0"/>
      <w:autoSpaceDN w:val="0"/>
      <w:adjustRightInd w:val="0"/>
    </w:pPr>
    <w:rPr>
      <w:color w:val="000000"/>
      <w:sz w:val="24"/>
      <w:szCs w:val="24"/>
    </w:rPr>
  </w:style>
  <w:style w:type="paragraph" w:styleId="Revision">
    <w:name w:val="Revision"/>
    <w:hidden/>
    <w:uiPriority w:val="99"/>
    <w:semiHidden/>
    <w:rsid w:val="0004379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2016/may/oes_nat.htm" TargetMode="External"/><Relationship Id="rId4" Type="http://schemas.microsoft.com/office/2007/relationships/stylesWithEffects" Target="stylesWithEffects.xml"/><Relationship Id="rId9" Type="http://schemas.openxmlformats.org/officeDocument/2006/relationships/hyperlink" Target="https://www.bls.gov/oes/current/oes_M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28DD-81EB-4B96-9EE9-72A4A2AA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14810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2010-10-14T13:41:00Z</cp:lastPrinted>
  <dcterms:created xsi:type="dcterms:W3CDTF">2017-10-19T20:41:00Z</dcterms:created>
  <dcterms:modified xsi:type="dcterms:W3CDTF">2017-10-19T20:41:00Z</dcterms:modified>
</cp:coreProperties>
</file>