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F5" w:rsidRPr="00B701E8" w:rsidRDefault="004A76F5" w:rsidP="00493868">
      <w:pPr>
        <w:tabs>
          <w:tab w:val="left" w:pos="540"/>
        </w:tabs>
        <w:ind w:left="540" w:hanging="540"/>
        <w:jc w:val="center"/>
        <w:rPr>
          <w:b/>
          <w:sz w:val="24"/>
          <w:szCs w:val="24"/>
        </w:rPr>
      </w:pPr>
      <w:bookmarkStart w:id="0" w:name="_GoBack"/>
      <w:bookmarkEnd w:id="0"/>
      <w:r w:rsidRPr="00B701E8">
        <w:rPr>
          <w:b/>
          <w:sz w:val="24"/>
          <w:szCs w:val="24"/>
        </w:rPr>
        <w:t>SUPPORTING STATEMENT</w:t>
      </w:r>
    </w:p>
    <w:p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rsidR="004A76F5" w:rsidRDefault="004A76F5" w:rsidP="00493868">
      <w:pPr>
        <w:tabs>
          <w:tab w:val="left" w:pos="540"/>
        </w:tabs>
        <w:ind w:left="540" w:hanging="540"/>
        <w:jc w:val="center"/>
        <w:rPr>
          <w:b/>
          <w:sz w:val="24"/>
          <w:szCs w:val="24"/>
        </w:rPr>
      </w:pPr>
      <w:r w:rsidRPr="00B701E8">
        <w:rPr>
          <w:b/>
          <w:sz w:val="24"/>
          <w:szCs w:val="24"/>
        </w:rPr>
        <w:t>National Oceanic &amp; Atmospheric Administration</w:t>
      </w:r>
    </w:p>
    <w:p w:rsidR="007934DF" w:rsidRDefault="007934DF" w:rsidP="00493868">
      <w:pPr>
        <w:tabs>
          <w:tab w:val="left" w:pos="540"/>
        </w:tabs>
        <w:ind w:left="540" w:hanging="540"/>
        <w:jc w:val="center"/>
        <w:rPr>
          <w:b/>
          <w:sz w:val="24"/>
          <w:szCs w:val="24"/>
        </w:rPr>
      </w:pPr>
      <w:r>
        <w:rPr>
          <w:b/>
          <w:sz w:val="24"/>
          <w:szCs w:val="24"/>
        </w:rPr>
        <w:t>West Coast Region Vessel Monitoring System Requirement in the</w:t>
      </w:r>
    </w:p>
    <w:p w:rsidR="007934DF" w:rsidRPr="00B701E8" w:rsidRDefault="007934DF" w:rsidP="00493868">
      <w:pPr>
        <w:tabs>
          <w:tab w:val="left" w:pos="540"/>
        </w:tabs>
        <w:ind w:left="540" w:hanging="540"/>
        <w:jc w:val="center"/>
        <w:rPr>
          <w:b/>
          <w:sz w:val="24"/>
          <w:szCs w:val="24"/>
        </w:rPr>
      </w:pPr>
      <w:r>
        <w:rPr>
          <w:b/>
          <w:sz w:val="24"/>
          <w:szCs w:val="24"/>
        </w:rPr>
        <w:t>Pacific Coast Groundfish Fishery</w:t>
      </w:r>
    </w:p>
    <w:p w:rsidR="004A76F5" w:rsidRPr="00B701E8" w:rsidRDefault="000C0023" w:rsidP="00493868">
      <w:pPr>
        <w:tabs>
          <w:tab w:val="left" w:pos="540"/>
        </w:tabs>
        <w:ind w:left="540" w:hanging="540"/>
        <w:jc w:val="center"/>
        <w:rPr>
          <w:b/>
          <w:sz w:val="24"/>
          <w:szCs w:val="24"/>
        </w:rPr>
      </w:pPr>
      <w:r>
        <w:rPr>
          <w:b/>
          <w:sz w:val="24"/>
          <w:szCs w:val="24"/>
        </w:rPr>
        <w:t>OMB Control No. 0648-0573</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pPr>
    </w:p>
    <w:p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rsidR="004F26E9" w:rsidRDefault="004F26E9" w:rsidP="0020448B">
      <w:pPr>
        <w:rPr>
          <w:sz w:val="24"/>
          <w:szCs w:val="24"/>
        </w:rPr>
      </w:pPr>
    </w:p>
    <w:p w:rsidR="00F25E2D" w:rsidRDefault="00F25E2D" w:rsidP="00F25E2D">
      <w:pPr>
        <w:rPr>
          <w:sz w:val="24"/>
          <w:szCs w:val="24"/>
        </w:rPr>
      </w:pPr>
      <w:r>
        <w:rPr>
          <w:sz w:val="24"/>
          <w:szCs w:val="24"/>
        </w:rPr>
        <w:t xml:space="preserve">This request is for a revision and extension of a currently approved collection of information. The title is changing from </w:t>
      </w:r>
      <w:r>
        <w:rPr>
          <w:i/>
          <w:sz w:val="24"/>
          <w:szCs w:val="24"/>
        </w:rPr>
        <w:t>Vessel Monitoring System Requirement in the Pacific Coast Groundfish Fishery</w:t>
      </w:r>
      <w:r>
        <w:rPr>
          <w:sz w:val="24"/>
          <w:szCs w:val="24"/>
        </w:rPr>
        <w:t xml:space="preserve"> to </w:t>
      </w:r>
      <w:r>
        <w:rPr>
          <w:i/>
          <w:sz w:val="24"/>
          <w:szCs w:val="24"/>
        </w:rPr>
        <w:t>West Coast Region Vessel Monitoring Requirement in the Pacific Coast Groundfish Fishery</w:t>
      </w:r>
      <w:r>
        <w:rPr>
          <w:sz w:val="24"/>
          <w:szCs w:val="24"/>
        </w:rPr>
        <w:t xml:space="preserve"> in order to more accurately describe the collection. </w:t>
      </w:r>
    </w:p>
    <w:p w:rsidR="00F25E2D" w:rsidRDefault="00F25E2D" w:rsidP="00F25E2D">
      <w:pPr>
        <w:rPr>
          <w:sz w:val="24"/>
          <w:szCs w:val="24"/>
        </w:rPr>
      </w:pPr>
    </w:p>
    <w:p w:rsidR="00F25E2D" w:rsidRDefault="00F25E2D" w:rsidP="00F25E2D">
      <w:pPr>
        <w:rPr>
          <w:b/>
          <w:sz w:val="24"/>
          <w:szCs w:val="24"/>
        </w:rPr>
      </w:pPr>
      <w:r>
        <w:rPr>
          <w:b/>
          <w:sz w:val="24"/>
          <w:szCs w:val="24"/>
        </w:rPr>
        <w:t>As part of Proposed Rule RIN: 0648-BI45, the National Oceanic and Atmospheric Administrations (NOAA) National Marine Fisheries Service (NMFS) proposes to revise reporting and monitoring provisions for vessels participating in the Pacific Coast groundfish fishery.  This proposal would increase the position transmission rate for certain vessels using NMFS type-approved vessel monitoring system units and add a declaration for “gear testing.”</w:t>
      </w:r>
    </w:p>
    <w:p w:rsidR="00F25E2D" w:rsidRDefault="00F25E2D" w:rsidP="00F25E2D">
      <w:pPr>
        <w:rPr>
          <w:sz w:val="24"/>
          <w:szCs w:val="24"/>
        </w:rPr>
      </w:pPr>
    </w:p>
    <w:p w:rsidR="00F25E2D" w:rsidRDefault="00F25E2D" w:rsidP="00F25E2D">
      <w:pPr>
        <w:rPr>
          <w:sz w:val="24"/>
          <w:szCs w:val="24"/>
        </w:rPr>
      </w:pPr>
      <w:r>
        <w:rPr>
          <w:sz w:val="24"/>
          <w:szCs w:val="24"/>
        </w:rPr>
        <w:t xml:space="preserve">The </w:t>
      </w:r>
      <w:hyperlink r:id="rId10" w:history="1">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exclusive economic zone (EEZ).  The fishery management plans are intended to regulate fishing to ensure long-term productivity and achievement of optimum yield from the resources for the benefit of the nation.  These plans are implemented by Federal regulations which are enforced by the National Marine Fisheries Service (NMFS) and the United States Coast Guard (USCG), in cooperation with State agencies. </w:t>
      </w:r>
    </w:p>
    <w:p w:rsidR="00F25E2D" w:rsidRDefault="00F25E2D" w:rsidP="00F25E2D">
      <w:pPr>
        <w:rPr>
          <w:sz w:val="24"/>
          <w:szCs w:val="24"/>
        </w:rPr>
      </w:pPr>
    </w:p>
    <w:p w:rsidR="00F25E2D" w:rsidRDefault="00F25E2D" w:rsidP="00F25E2D">
      <w:pPr>
        <w:rPr>
          <w:sz w:val="24"/>
          <w:szCs w:val="24"/>
        </w:rPr>
      </w:pPr>
      <w:r>
        <w:rPr>
          <w:sz w:val="24"/>
          <w:szCs w:val="24"/>
        </w:rPr>
        <w:t>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are prohibited, it is difficult and costly to effectively enforce closures using traditional methods.  Scarce state and federal resources also limit the extent to which traditional enforcement methods can be used effectively.</w:t>
      </w:r>
    </w:p>
    <w:p w:rsidR="00F25E2D" w:rsidRDefault="00F25E2D" w:rsidP="00F25E2D">
      <w:pPr>
        <w:rPr>
          <w:sz w:val="24"/>
          <w:szCs w:val="24"/>
        </w:rPr>
      </w:pPr>
    </w:p>
    <w:p w:rsidR="00F25E2D" w:rsidRDefault="00F25E2D" w:rsidP="00F25E2D">
      <w:pPr>
        <w:rPr>
          <w:sz w:val="24"/>
          <w:szCs w:val="24"/>
        </w:rPr>
      </w:pPr>
      <w:r>
        <w:rPr>
          <w:sz w:val="24"/>
          <w:szCs w:val="24"/>
        </w:rPr>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are allowed to retain existing VMS transceivers providing they are on the list of type-approved models and have been upgraded to the level required for the fishery. </w:t>
      </w:r>
    </w:p>
    <w:p w:rsidR="00F25E2D" w:rsidRDefault="00F25E2D" w:rsidP="00F25E2D">
      <w:pPr>
        <w:rPr>
          <w:sz w:val="24"/>
          <w:szCs w:val="24"/>
        </w:rPr>
      </w:pPr>
    </w:p>
    <w:p w:rsidR="00F25E2D" w:rsidRDefault="00F25E2D" w:rsidP="00F25E2D">
      <w:pPr>
        <w:rPr>
          <w:sz w:val="24"/>
          <w:szCs w:val="24"/>
        </w:rPr>
      </w:pPr>
      <w:r>
        <w:rPr>
          <w:sz w:val="24"/>
          <w:szCs w:val="24"/>
        </w:rPr>
        <w:t xml:space="preserve">To support the VMS monitoring program, the following information must be submitted to NMFS: 1) VMS installation/activation certification reports, 2) position reports, 3) exemption </w:t>
      </w:r>
      <w:r>
        <w:rPr>
          <w:sz w:val="24"/>
          <w:szCs w:val="24"/>
        </w:rPr>
        <w:lastRenderedPageBreak/>
        <w:t>reports, and 4) declaration reports</w:t>
      </w:r>
    </w:p>
    <w:p w:rsidR="00F25E2D" w:rsidRDefault="00F25E2D" w:rsidP="00F25E2D">
      <w:pPr>
        <w:rPr>
          <w:sz w:val="24"/>
          <w:szCs w:val="24"/>
        </w:rPr>
      </w:pPr>
    </w:p>
    <w:p w:rsidR="00F25E2D" w:rsidRDefault="00F25E2D" w:rsidP="00F25E2D">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re-installing a VMS transceiver unit.  Upon activation the VMS installer must complete, sign, and return the certification form to NMFS.  The form contains information on the VMS hardware and satellite communications services that are provided by private communications companies approved by NMFS.  The installation and activation reports request contact information from open access vessels only.  Vessels participating in the limited entry fishery are required to have permits registered to the vessels.  Contact information for vessels registered to limited entry permits are obtained from the permits database.  There are no federal permit requirements for open access fishery participants.</w:t>
      </w:r>
    </w:p>
    <w:p w:rsidR="00F25E2D" w:rsidRDefault="00F25E2D" w:rsidP="00F25E2D">
      <w:pPr>
        <w:rPr>
          <w:sz w:val="24"/>
          <w:szCs w:val="24"/>
          <w:u w:val="single"/>
        </w:rPr>
      </w:pPr>
    </w:p>
    <w:p w:rsidR="00F25E2D" w:rsidRDefault="00F25E2D" w:rsidP="00F25E2D">
      <w:pPr>
        <w:rPr>
          <w:b/>
          <w:sz w:val="24"/>
          <w:szCs w:val="24"/>
        </w:rPr>
      </w:pPr>
      <w:r>
        <w:rPr>
          <w:sz w:val="24"/>
          <w:szCs w:val="24"/>
          <w:u w:val="single"/>
        </w:rPr>
        <w:t>Position reports</w:t>
      </w:r>
      <w:r>
        <w:rPr>
          <w:sz w:val="24"/>
          <w:szCs w:val="24"/>
        </w:rPr>
        <w:t xml:space="preserve"> are automatically transmitted to NMFS via satellite once the VMS transceiver unit is installed and activated.  Vessels that are required to have VMS must operate the mobile transceiver unit continuously 24 hours a day throughout the fishing year, except when a valid exemption report has been received by NMFS.  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Pr>
          <w:b/>
          <w:sz w:val="24"/>
          <w:szCs w:val="24"/>
        </w:rPr>
        <w:t xml:space="preserve">Under the proposed rule, signal transmissions for position reports will increase from once every hour to every 15 minutes. This increase will increase NMFS’s ability to enforce fishing activity around restricted areas. </w:t>
      </w:r>
    </w:p>
    <w:p w:rsidR="00F25E2D" w:rsidRDefault="00F25E2D" w:rsidP="00F25E2D">
      <w:pPr>
        <w:rPr>
          <w:sz w:val="24"/>
          <w:szCs w:val="24"/>
        </w:rPr>
      </w:pPr>
    </w:p>
    <w:p w:rsidR="00F25E2D" w:rsidRDefault="00F25E2D" w:rsidP="00F25E2D">
      <w:pPr>
        <w:rPr>
          <w:sz w:val="24"/>
          <w:szCs w:val="24"/>
        </w:rPr>
      </w:pPr>
      <w:r>
        <w:rPr>
          <w:sz w:val="24"/>
          <w:szCs w:val="24"/>
          <w:u w:val="single"/>
        </w:rPr>
        <w:t>Exemption reports</w:t>
      </w:r>
      <w:r>
        <w:rPr>
          <w:sz w:val="24"/>
          <w:szCs w:val="24"/>
        </w:rPr>
        <w:t xml:space="preserve"> are optional.  The exemption reports are sent by the vessel owner or operator when they want their vessel to be excused from the requirement to operate the mobile transceiver unit continuously 24 hours a day throughout the fishing year.  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and for vessels that have had an emergency situation that resulted in vessel damage such as fire, flooding or other extensive physical damage that would require the VMS or power source to be disconnected.  A vessel may be exempted from the requirement to operate the mobile transceiver unit continuously 24 hours a day if a valid exemption report is received by NMFS, Office for Law Enforcement (OLE) and the vessel is in compliance with all conditions and requirements of the exemption. An exemption report is valid until a second exemption report is sent to cancel the existing exemption.</w:t>
      </w:r>
    </w:p>
    <w:p w:rsidR="00F25E2D" w:rsidRDefault="00F25E2D" w:rsidP="00F25E2D">
      <w:pPr>
        <w:rPr>
          <w:sz w:val="24"/>
          <w:szCs w:val="24"/>
        </w:rPr>
      </w:pPr>
    </w:p>
    <w:p w:rsidR="00F25E2D" w:rsidRDefault="00F25E2D" w:rsidP="00F25E2D">
      <w:pPr>
        <w:rPr>
          <w:b/>
          <w:sz w:val="24"/>
          <w:szCs w:val="24"/>
        </w:rPr>
      </w:pPr>
      <w:r>
        <w:rPr>
          <w:sz w:val="24"/>
          <w:szCs w:val="24"/>
          <w:u w:val="single"/>
        </w:rPr>
        <w:t>Declaration reports</w:t>
      </w:r>
      <w:r>
        <w:rPr>
          <w:sz w:val="24"/>
          <w:szCs w:val="24"/>
        </w:rPr>
        <w:t xml:space="preserve"> are submitted to NMFS OLE by telephone or email and are valid until revised by the vessel operator. Vessel operators making declaration reports receive a confirmation number that verifies that the reporting requirements were satisfied.  After a vessel has made a declaration report to NMFS and has been confirmed for a specific gear category, it cannot fish with any gear other than a gear type that has been declared for the vessel.  If a vessel </w:t>
      </w:r>
      <w:r>
        <w:rPr>
          <w:sz w:val="24"/>
          <w:szCs w:val="24"/>
        </w:rPr>
        <w:lastRenderedPageBreak/>
        <w:t xml:space="preserve">operator intends to use the vessel to fish in a different fishing category, a new declaration report must be submitted to revise the old declaration report. Declaration changes can be made while in port or at-sea. </w:t>
      </w:r>
      <w:r>
        <w:rPr>
          <w:b/>
          <w:sz w:val="24"/>
          <w:szCs w:val="24"/>
        </w:rPr>
        <w:t xml:space="preserve">Under the proposed rule, an additional declaration for “gear/equipment testing” will allow vessels an exemption from observer coverage while testing gear. </w:t>
      </w:r>
    </w:p>
    <w:p w:rsidR="00F25E2D" w:rsidRDefault="00F25E2D" w:rsidP="00F25E2D">
      <w:pPr>
        <w:rPr>
          <w:sz w:val="24"/>
          <w:szCs w:val="24"/>
        </w:rPr>
      </w:pPr>
    </w:p>
    <w:p w:rsidR="0020448B" w:rsidRDefault="00F25E2D" w:rsidP="0020448B">
      <w:pPr>
        <w:rPr>
          <w:sz w:val="24"/>
          <w:szCs w:val="24"/>
        </w:rPr>
      </w:pPr>
      <w:r>
        <w:rPr>
          <w:sz w:val="24"/>
          <w:szCs w:val="24"/>
        </w:rPr>
        <w:t xml:space="preserve">The requirements for this information collection are codified in </w:t>
      </w:r>
      <w:hyperlink r:id="rId11" w:history="1">
        <w:r>
          <w:rPr>
            <w:rStyle w:val="Hyperlink"/>
            <w:sz w:val="24"/>
            <w:szCs w:val="24"/>
          </w:rPr>
          <w:t>50 CFR 660.13</w:t>
        </w:r>
      </w:hyperlink>
      <w:r>
        <w:rPr>
          <w:sz w:val="24"/>
          <w:szCs w:val="24"/>
        </w:rPr>
        <w:t xml:space="preserve"> and </w:t>
      </w:r>
      <w:hyperlink r:id="rId12" w:history="1">
        <w:r>
          <w:rPr>
            <w:rStyle w:val="Hyperlink"/>
            <w:sz w:val="24"/>
            <w:szCs w:val="24"/>
          </w:rPr>
          <w:t>660.14</w:t>
        </w:r>
      </w:hyperlink>
      <w:r>
        <w:rPr>
          <w:sz w:val="24"/>
          <w:szCs w:val="24"/>
        </w:rPr>
        <w:t>, Recordkeeping and Reporting and VMS Requirements.</w:t>
      </w:r>
    </w:p>
    <w:p w:rsidR="00F25E2D" w:rsidRDefault="00F25E2D" w:rsidP="0020448B">
      <w:pPr>
        <w:rPr>
          <w:sz w:val="24"/>
          <w:szCs w:val="24"/>
        </w:rPr>
      </w:pPr>
    </w:p>
    <w:p w:rsidR="004F26E9" w:rsidRDefault="004F26E9" w:rsidP="0020448B">
      <w:pPr>
        <w:rPr>
          <w:sz w:val="24"/>
          <w:szCs w:val="24"/>
        </w:rPr>
      </w:pPr>
    </w:p>
    <w:p w:rsidR="00493868" w:rsidRDefault="00493868" w:rsidP="00493868">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p>
    <w:p w:rsidR="004F26E9" w:rsidRDefault="00493868" w:rsidP="00493868">
      <w:pPr>
        <w:tabs>
          <w:tab w:val="left" w:pos="540"/>
        </w:tabs>
        <w:ind w:left="540" w:hanging="540"/>
        <w:rPr>
          <w:sz w:val="24"/>
          <w:szCs w:val="24"/>
        </w:rPr>
      </w:pP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RDefault="004F26E9" w:rsidP="0020448B">
      <w:pPr>
        <w:rPr>
          <w:sz w:val="24"/>
          <w:szCs w:val="24"/>
        </w:rPr>
      </w:pPr>
    </w:p>
    <w:p w:rsidR="00F25E2D" w:rsidRDefault="00F25E2D" w:rsidP="00F25E2D">
      <w:pPr>
        <w:ind w:left="90"/>
        <w:rPr>
          <w:sz w:val="24"/>
          <w:szCs w:val="24"/>
        </w:rPr>
      </w:pPr>
      <w:r>
        <w:rPr>
          <w:sz w:val="24"/>
          <w:szCs w:val="24"/>
        </w:rPr>
        <w:tab/>
      </w:r>
      <w:r>
        <w:rPr>
          <w:sz w:val="24"/>
          <w:szCs w:val="24"/>
          <w:u w:val="single"/>
        </w:rPr>
        <w:t>Installation/activation certification reports</w:t>
      </w:r>
      <w:r>
        <w:rPr>
          <w:sz w:val="24"/>
          <w:szCs w:val="24"/>
        </w:rPr>
        <w:t xml:space="preserve"> are used by NMFS OLE to confirm that a type-approved VMS unit was installed according to the prescribed procedures and that service has been arranged with an approved communications service provider.  Activating the unit and requiring confirmation from NMFS OLE that automatic position reports are being received without error ensures the integrity of the monitoring program.  Each VMS transceiver unit has a unique transmission signal that needs to be linked with a specific vessel for processing position reports.</w:t>
      </w:r>
    </w:p>
    <w:p w:rsidR="00F25E2D" w:rsidRDefault="00F25E2D" w:rsidP="00F25E2D">
      <w:pPr>
        <w:rPr>
          <w:sz w:val="24"/>
          <w:szCs w:val="24"/>
        </w:rPr>
      </w:pPr>
    </w:p>
    <w:p w:rsidR="00F25E2D" w:rsidRDefault="00F25E2D" w:rsidP="00F25E2D">
      <w:pPr>
        <w:rPr>
          <w:sz w:val="24"/>
          <w:szCs w:val="24"/>
        </w:rPr>
      </w:pPr>
      <w:r>
        <w:rPr>
          <w:sz w:val="24"/>
          <w:szCs w:val="24"/>
        </w:rPr>
        <w:t>Vessels registered to limited entry permits are required to have contact information on file with NMFS.  However, vessels participating in the open access fisheries do not have federal permits.  Therefore, it is necessary to collect contact information from open access fishers.  Having contact information is necessary to provide conformation on the activation and in the event that there are problems with the VMS reports.  If there are transmission problems, NMFS will need to have ready access to contact information and installation information.  NMFS can then apply troubleshooting techniques and as necessary, contact the vessel operator and discern whether the problem is associated with the transmitting hardware or the service provider.</w:t>
      </w:r>
    </w:p>
    <w:p w:rsidR="00F25E2D" w:rsidRDefault="00F25E2D" w:rsidP="00F25E2D">
      <w:pPr>
        <w:rPr>
          <w:sz w:val="24"/>
          <w:szCs w:val="24"/>
        </w:rPr>
      </w:pPr>
    </w:p>
    <w:p w:rsidR="00F25E2D" w:rsidRDefault="00F25E2D" w:rsidP="00F25E2D">
      <w:pPr>
        <w:rPr>
          <w:sz w:val="24"/>
          <w:szCs w:val="24"/>
        </w:rPr>
      </w:pPr>
      <w:r>
        <w:rPr>
          <w:sz w:val="24"/>
          <w:szCs w:val="24"/>
        </w:rPr>
        <w:t>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1 report every 4 years.</w:t>
      </w:r>
    </w:p>
    <w:p w:rsidR="00F25E2D" w:rsidRDefault="00F25E2D" w:rsidP="00F25E2D">
      <w:pPr>
        <w:rPr>
          <w:sz w:val="24"/>
          <w:szCs w:val="24"/>
        </w:rPr>
      </w:pPr>
    </w:p>
    <w:p w:rsidR="00F25E2D" w:rsidRDefault="00F25E2D" w:rsidP="00F25E2D">
      <w:pPr>
        <w:rPr>
          <w:sz w:val="24"/>
          <w:szCs w:val="24"/>
        </w:rPr>
      </w:pPr>
      <w:r>
        <w:rPr>
          <w:sz w:val="24"/>
          <w:szCs w:val="24"/>
          <w:u w:val="single"/>
        </w:rPr>
        <w:t>Position reports</w:t>
      </w:r>
      <w:r>
        <w:rPr>
          <w:sz w:val="24"/>
          <w:szCs w:val="24"/>
        </w:rPr>
        <w:t xml:space="preserve"> are used by NMFS to maintain the integrity of large geographical areas where fishing activities are restricted. On a broad level, the VMS vessel location reports are a cost effective tool used to facilitate enforcement of time/area closures in the fishery. The position reports, are 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Position information will also be used by NMFS fishery managers to evaluate fishing effort and determine whether further management measures are needed to protect low abundance species.</w:t>
      </w:r>
    </w:p>
    <w:p w:rsidR="00F25E2D" w:rsidRDefault="00F25E2D" w:rsidP="00F25E2D">
      <w:pPr>
        <w:rPr>
          <w:sz w:val="24"/>
          <w:szCs w:val="24"/>
        </w:rPr>
      </w:pPr>
    </w:p>
    <w:p w:rsidR="00F25E2D" w:rsidRDefault="00F25E2D" w:rsidP="00F25E2D">
      <w:pPr>
        <w:rPr>
          <w:sz w:val="24"/>
          <w:szCs w:val="24"/>
        </w:rPr>
      </w:pPr>
      <w:r>
        <w:rPr>
          <w:sz w:val="24"/>
          <w:szCs w:val="24"/>
          <w:u w:val="single"/>
        </w:rPr>
        <w:t>Exemption reports</w:t>
      </w:r>
      <w:r>
        <w:rPr>
          <w:sz w:val="24"/>
          <w:szCs w:val="24"/>
        </w:rPr>
        <w:t xml:space="preserve"> are sent by the vessel owner or operator when they want their vessel to be excused from the requirement to operate the mobile transceiver unit continuously 24 hours a day throughout the fishing year. Exemption reports are optional.  The exemption reports allow flexibility to the industry participants while providing NMFS OLE with the information needed to determine why a position report is not being received from the vessel.  Approximately 500 vessels are projected to send 2 exemption reports each per year. The exemption reports allow flexibility to the industry participants while providing NMFS OLE with the information needed to determine why a position report is not being received from the vessel.</w:t>
      </w:r>
    </w:p>
    <w:p w:rsidR="00F25E2D" w:rsidRDefault="00F25E2D" w:rsidP="00F25E2D">
      <w:pPr>
        <w:rPr>
          <w:sz w:val="24"/>
          <w:szCs w:val="24"/>
        </w:rPr>
      </w:pPr>
    </w:p>
    <w:p w:rsidR="00F25E2D" w:rsidRDefault="00F25E2D" w:rsidP="00F25E2D">
      <w:pPr>
        <w:rPr>
          <w:sz w:val="24"/>
          <w:szCs w:val="24"/>
        </w:rPr>
      </w:pPr>
      <w:r>
        <w:rPr>
          <w:sz w:val="24"/>
          <w:szCs w:val="24"/>
          <w:u w:val="single"/>
        </w:rPr>
        <w:t>Declaration reports</w:t>
      </w:r>
      <w:r>
        <w:rPr>
          <w:sz w:val="24"/>
          <w:szCs w:val="24"/>
        </w:rPr>
        <w:t xml:space="preserve"> are used by NMFS OLE to identify the fisher’s intended use for the vessel and if the vessel will participate in a particular fishery with a specific gear.  Because area restrictions are specific to the gear type and target fisheries, declaration reports are needed to adequately assess the vessel’s activity in relation to the area restrictions. In addition to the groundfish fishery, there are numerous state and federal fisheries that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can be used to affirm which regulations the participant is subject to on a particular fishing trip.  Similarly, the declaration system assists the West Coast Groundfish Observer Program and NMFS OLE to know what vessels should have observer coverage.  Therefore, a declaration report is necessary to identify what gear the vessel operator intends to use.</w:t>
      </w:r>
    </w:p>
    <w:p w:rsidR="00F25E2D" w:rsidRDefault="00F25E2D" w:rsidP="00F25E2D">
      <w:pPr>
        <w:rPr>
          <w:sz w:val="24"/>
          <w:szCs w:val="24"/>
        </w:rPr>
      </w:pPr>
    </w:p>
    <w:p w:rsidR="00F25E2D" w:rsidRDefault="00F25E2D" w:rsidP="00F25E2D">
      <w:pPr>
        <w:rPr>
          <w:sz w:val="24"/>
          <w:szCs w:val="24"/>
        </w:rPr>
      </w:pPr>
      <w:r>
        <w:rPr>
          <w:sz w:val="24"/>
          <w:szCs w:val="24"/>
        </w:rPr>
        <w:t>A single gear type is typically used for multiple trips.  Allowing each declaration report to be valid until a new declaration is made or until an exemption report is received reduces the reporting burden.  This information is used in combination with VMS to more efficiently and effectively direct the use of enforcement resources throughout the fishing year.  Each vessel is estimated to send up to 20 declaration reports per year.  The submission of declaration reports was initially proposed as per trip reports.  Following consultation with fishery participants, it was determined that the needs of NMFS OLE and the USCG could be met with less frequently made declaration reports.  Therefore, it was determined that a declaration report identifying the type of gear being used by a vessel would remain valid until revised by the vessel operator or an exemption report was sent.  This results in a significant reduction in the number of reports.</w:t>
      </w:r>
    </w:p>
    <w:p w:rsidR="00F25E2D" w:rsidRDefault="00F25E2D" w:rsidP="00F25E2D">
      <w:pPr>
        <w:rPr>
          <w:sz w:val="24"/>
          <w:szCs w:val="24"/>
        </w:rPr>
      </w:pPr>
    </w:p>
    <w:p w:rsidR="00F25E2D" w:rsidRDefault="00F25E2D" w:rsidP="00F25E2D">
      <w:pPr>
        <w:rPr>
          <w:sz w:val="24"/>
          <w:szCs w:val="24"/>
        </w:rPr>
      </w:pPr>
      <w:r>
        <w:rPr>
          <w:sz w:val="24"/>
          <w:szCs w:val="24"/>
        </w:rPr>
        <w:t xml:space="preserve">The National Oceanic and Atmospheric Administration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Pr>
            <w:rStyle w:val="Hyperlink"/>
            <w:sz w:val="24"/>
            <w:szCs w:val="24"/>
          </w:rPr>
          <w:t>Section 515 of Public Law 106-554</w:t>
        </w:r>
      </w:hyperlink>
      <w:r>
        <w:rPr>
          <w:sz w:val="24"/>
          <w:szCs w:val="24"/>
        </w:rPr>
        <w:t>.</w:t>
      </w:r>
    </w:p>
    <w:p w:rsidR="004F26E9" w:rsidRDefault="004F26E9" w:rsidP="00F25E2D">
      <w:pPr>
        <w:tabs>
          <w:tab w:val="left" w:pos="900"/>
        </w:tabs>
        <w:rPr>
          <w:sz w:val="24"/>
          <w:szCs w:val="24"/>
        </w:rPr>
      </w:pP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RDefault="004F26E9" w:rsidP="0020448B">
      <w:pPr>
        <w:rPr>
          <w:sz w:val="24"/>
          <w:szCs w:val="24"/>
        </w:rPr>
      </w:pPr>
    </w:p>
    <w:p w:rsidR="00F25E2D" w:rsidRDefault="00F25E2D" w:rsidP="00F25E2D">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RDefault="00F25E2D" w:rsidP="00F25E2D">
      <w:pPr>
        <w:rPr>
          <w:sz w:val="24"/>
          <w:szCs w:val="24"/>
        </w:rPr>
      </w:pPr>
    </w:p>
    <w:p w:rsidR="00F25E2D" w:rsidRDefault="00F25E2D" w:rsidP="00F25E2D">
      <w:pPr>
        <w:rPr>
          <w:sz w:val="24"/>
          <w:szCs w:val="24"/>
        </w:rPr>
      </w:pPr>
      <w:r>
        <w:rPr>
          <w:sz w:val="24"/>
          <w:szCs w:val="24"/>
          <w:u w:val="single"/>
        </w:rPr>
        <w:t>Position reports</w:t>
      </w:r>
      <w:r>
        <w:rPr>
          <w:sz w:val="24"/>
          <w:szCs w:val="24"/>
        </w:rPr>
        <w:t xml:space="preserve"> are automatically sent from VMS transceivers installed aboard vessels. The unit automatically determines the vessel’s location and transmits that position to a processing center via a communication satellite.  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RDefault="00F25E2D" w:rsidP="00F25E2D">
      <w:pPr>
        <w:rPr>
          <w:sz w:val="24"/>
          <w:szCs w:val="24"/>
        </w:rPr>
      </w:pPr>
    </w:p>
    <w:p w:rsidR="004F26E9" w:rsidRDefault="00F25E2D" w:rsidP="0020448B">
      <w:pPr>
        <w:rPr>
          <w:sz w:val="24"/>
          <w:szCs w:val="24"/>
        </w:rPr>
      </w:pPr>
      <w:r>
        <w:rPr>
          <w:sz w:val="24"/>
          <w:szCs w:val="24"/>
          <w:u w:val="single"/>
        </w:rPr>
        <w:t>Exemption reports and Declaration reports</w:t>
      </w:r>
      <w:r>
        <w:rPr>
          <w:sz w:val="24"/>
          <w:szCs w:val="24"/>
        </w:rPr>
        <w:t xml:space="preserve"> are submitted by phone on a toll-free number or email.  This form of reporting, available 24 hours per day, creates minimal burden for fishermen reporting, as well as for NMFS staff entering information into the database where it can be used in reports to monitor fishing activity.  NMFS has prepared an example of a worksheet - not for submission to NMFS – that can be used by the caller to organize report information (available on the website).</w:t>
      </w: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rsidR="004F26E9" w:rsidRDefault="004F26E9" w:rsidP="0020448B">
      <w:pPr>
        <w:rPr>
          <w:sz w:val="24"/>
          <w:szCs w:val="24"/>
        </w:rPr>
      </w:pPr>
    </w:p>
    <w:p w:rsidR="004F26E9" w:rsidRDefault="00F25E2D" w:rsidP="0020448B">
      <w:pPr>
        <w:rPr>
          <w:sz w:val="24"/>
          <w:szCs w:val="24"/>
        </w:rPr>
      </w:pPr>
      <w:r>
        <w:rPr>
          <w:sz w:val="24"/>
          <w:szCs w:val="24"/>
        </w:rPr>
        <w:t>There are no alternate sources of this information or duplicative requirements.</w:t>
      </w: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RDefault="004F26E9" w:rsidP="0020448B">
      <w:pPr>
        <w:rPr>
          <w:sz w:val="24"/>
          <w:szCs w:val="24"/>
        </w:rPr>
      </w:pPr>
    </w:p>
    <w:p w:rsidR="004F26E9" w:rsidRDefault="00F25E2D" w:rsidP="0020448B">
      <w:pPr>
        <w:rPr>
          <w:sz w:val="24"/>
          <w:szCs w:val="24"/>
        </w:rPr>
      </w:pPr>
      <w:r>
        <w:rPr>
          <w:sz w:val="24"/>
          <w:szCs w:val="24"/>
        </w:rPr>
        <w:t xml:space="preserve">Most of the respondents qualify as small businesses.  The burden on fishery participant was considered and only the minimum data needed to monitor compliance with regulations are being requested from respondents. </w:t>
      </w:r>
    </w:p>
    <w:p w:rsidR="004F26E9" w:rsidRDefault="004F26E9" w:rsidP="0020448B">
      <w:pPr>
        <w:rPr>
          <w:sz w:val="24"/>
          <w:szCs w:val="24"/>
        </w:rPr>
      </w:pPr>
    </w:p>
    <w:p w:rsidR="004F26E9" w:rsidRDefault="00493868" w:rsidP="000C0023">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RDefault="004F26E9" w:rsidP="0020448B">
      <w:pPr>
        <w:rPr>
          <w:sz w:val="24"/>
          <w:szCs w:val="24"/>
        </w:rPr>
      </w:pPr>
    </w:p>
    <w:p w:rsidR="00F25E2D" w:rsidRDefault="00F25E2D" w:rsidP="00F25E2D">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RDefault="00F25E2D" w:rsidP="00F25E2D">
      <w:pPr>
        <w:rPr>
          <w:sz w:val="24"/>
          <w:szCs w:val="24"/>
        </w:rPr>
      </w:pPr>
    </w:p>
    <w:p w:rsidR="00F25E2D" w:rsidRDefault="00F25E2D" w:rsidP="00F25E2D">
      <w:pPr>
        <w:rPr>
          <w:sz w:val="24"/>
          <w:szCs w:val="24"/>
        </w:rPr>
      </w:pPr>
      <w:r>
        <w:rPr>
          <w:sz w:val="24"/>
          <w:szCs w:val="24"/>
          <w:u w:val="single"/>
        </w:rPr>
        <w:t>Position reports</w:t>
      </w:r>
      <w:r>
        <w:rPr>
          <w:sz w:val="24"/>
          <w:szCs w:val="24"/>
        </w:rPr>
        <w:t xml:space="preserve"> -- If the VMS was not operational, NMFS OLE agents and USCG would be tasked with monitoring closed areas via air and surface patrols. Because the USCG engages in multi-purpose missions, that include at sea surveillance of fisheries, homeland defense, search and rescue, and pollution response, monitoring efforts may be diverted from monitoring depth-based and EFH conservation areas. VMS provides a level of coverage that cannot be attained by these more traditional enforcement methods at a substantially lower cost.</w:t>
      </w:r>
    </w:p>
    <w:p w:rsidR="00F25E2D" w:rsidRDefault="00F25E2D" w:rsidP="00F25E2D">
      <w:pPr>
        <w:rPr>
          <w:sz w:val="24"/>
          <w:szCs w:val="24"/>
        </w:rPr>
      </w:pPr>
    </w:p>
    <w:p w:rsidR="00F25E2D" w:rsidRDefault="00F25E2D" w:rsidP="00F25E2D">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Pr>
          <w:sz w:val="24"/>
          <w:szCs w:val="24"/>
        </w:rPr>
        <w:t xml:space="preserve"> can be ensured.  Without VMS it is likely that the depth-based management strategies are discontinued. VMS is necessary to ensure the integrity of the RCAs. If this were the case, the management structure would revert back to very restrictive limits on healthy stocks in order to protect low abundance species.</w:t>
      </w:r>
    </w:p>
    <w:p w:rsidR="00F25E2D" w:rsidRDefault="00F25E2D" w:rsidP="00F25E2D">
      <w:pPr>
        <w:rPr>
          <w:sz w:val="24"/>
          <w:szCs w:val="24"/>
        </w:rPr>
      </w:pPr>
    </w:p>
    <w:p w:rsidR="00F25E2D" w:rsidRDefault="00F25E2D" w:rsidP="00F25E2D">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grounds are near the boundary line.  If reports were less frequently it would be possible for some vessels to fish within the restricted areas without being detected.  This would undermine the integrity of the RCAs.</w:t>
      </w:r>
    </w:p>
    <w:p w:rsidR="00F25E2D" w:rsidRDefault="00F25E2D" w:rsidP="00F25E2D">
      <w:pPr>
        <w:rPr>
          <w:sz w:val="24"/>
          <w:szCs w:val="24"/>
        </w:rPr>
      </w:pPr>
    </w:p>
    <w:p w:rsidR="00F25E2D" w:rsidRDefault="00F25E2D" w:rsidP="00F25E2D">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were reduced, VMS signals would have to continue 24 hours per day throughout the calendar year.  The reporting frequency has been reduced to the minimum amount needed to maintain the integrity of the RCAs.</w:t>
      </w:r>
    </w:p>
    <w:p w:rsidR="00F25E2D" w:rsidRDefault="00F25E2D" w:rsidP="00F25E2D">
      <w:pPr>
        <w:rPr>
          <w:sz w:val="24"/>
          <w:szCs w:val="24"/>
        </w:rPr>
      </w:pPr>
    </w:p>
    <w:p w:rsidR="00F25E2D" w:rsidRDefault="00F25E2D" w:rsidP="00F25E2D">
      <w:pPr>
        <w:rPr>
          <w:sz w:val="24"/>
          <w:szCs w:val="24"/>
        </w:rPr>
      </w:pPr>
      <w:r>
        <w:rPr>
          <w:sz w:val="24"/>
          <w:szCs w:val="24"/>
          <w:u w:val="single"/>
        </w:rPr>
        <w:t>Declaration reports</w:t>
      </w:r>
      <w:r>
        <w:rPr>
          <w:sz w:val="24"/>
          <w:szCs w:val="24"/>
        </w:rPr>
        <w:t xml:space="preserve"> are needed to determine if the vessels is engaged in an activity (i.e., fishing, transiting, research, or gear testing) that is allowed or prohibited in the closed area.  The declaration reports allow traditional enforcement resources to be directed towards RCA or EFHCA incursions efficiently and effectively throughout the fishing year.  The reporting frequency has been reduced to the minimum amount needed to maintain the integrity of the RCAs.  In addition, the declaration reports are needed to identify a vessel’s intent to participate in a fishery with a specific gear. Groundfish regulations allow switching between fishing strategies on a single fishing trip so the declaration report can be used to affirm which regulations the participant is subject to on a particular fishing trip.  Thus, the declaration report helps support enforcement efforts for participants that are not following the regulations for the fishery they have declared.  Similarly, the declaration system assists the West Coast Groundfish Observer Program and NMFS OLE to know what vessels should have observer coverage.  Therefore, a declaration report is necessary to identify what gear the vessel operator intends to use or if a vessel is testing gear.</w:t>
      </w: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rsidR="00F25E2D" w:rsidRDefault="00F25E2D" w:rsidP="00F25E2D">
      <w:pPr>
        <w:rPr>
          <w:sz w:val="24"/>
          <w:szCs w:val="24"/>
        </w:rPr>
      </w:pPr>
    </w:p>
    <w:p w:rsidR="00F25E2D" w:rsidRDefault="00F25E2D" w:rsidP="00F25E2D">
      <w:pPr>
        <w:rPr>
          <w:sz w:val="24"/>
          <w:szCs w:val="24"/>
        </w:rPr>
      </w:pPr>
      <w:r>
        <w:rPr>
          <w:sz w:val="24"/>
          <w:szCs w:val="24"/>
        </w:rPr>
        <w:t>The collection is consistent with OMB guidelines.</w:t>
      </w:r>
    </w:p>
    <w:p w:rsidR="004F26E9" w:rsidRDefault="004F26E9" w:rsidP="00CD5390">
      <w:pPr>
        <w:rPr>
          <w:sz w:val="24"/>
          <w:szCs w:val="24"/>
        </w:rPr>
      </w:pPr>
    </w:p>
    <w:p w:rsidR="00725C5C" w:rsidRDefault="00725C5C" w:rsidP="00CD5390">
      <w:pPr>
        <w:rPr>
          <w:b/>
          <w:bCs/>
          <w:sz w:val="24"/>
          <w:szCs w:val="24"/>
        </w:rPr>
      </w:pPr>
    </w:p>
    <w:p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RDefault="004F26E9" w:rsidP="00CD5390">
      <w:pPr>
        <w:rPr>
          <w:sz w:val="24"/>
          <w:szCs w:val="24"/>
        </w:rPr>
      </w:pPr>
    </w:p>
    <w:p w:rsidR="00F25E2D" w:rsidRDefault="00F25E2D" w:rsidP="00F25E2D">
      <w:pPr>
        <w:pStyle w:val="ListParagraph"/>
        <w:ind w:left="0"/>
        <w:rPr>
          <w:sz w:val="24"/>
          <w:szCs w:val="24"/>
        </w:rPr>
      </w:pPr>
      <w:r>
        <w:rPr>
          <w:sz w:val="24"/>
          <w:szCs w:val="24"/>
        </w:rPr>
        <w:t xml:space="preserve">A proposed rule (RIN: 0648-BI45) will be published coincident with this request. </w:t>
      </w:r>
    </w:p>
    <w:p w:rsidR="00493868" w:rsidRDefault="00493868" w:rsidP="00CD5390">
      <w:pPr>
        <w:rPr>
          <w:sz w:val="24"/>
          <w:szCs w:val="24"/>
        </w:rPr>
      </w:pPr>
    </w:p>
    <w:p w:rsidR="00493868" w:rsidRDefault="00493868" w:rsidP="00CD5390">
      <w:pPr>
        <w:rPr>
          <w:sz w:val="24"/>
          <w:szCs w:val="24"/>
        </w:rPr>
      </w:pPr>
    </w:p>
    <w:p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rsidR="004F26E9" w:rsidRDefault="004F26E9" w:rsidP="00CD5390">
      <w:pPr>
        <w:rPr>
          <w:sz w:val="24"/>
          <w:szCs w:val="24"/>
        </w:rPr>
      </w:pPr>
    </w:p>
    <w:p w:rsidR="004F26E9" w:rsidRDefault="00F25E2D" w:rsidP="00CD5390">
      <w:pPr>
        <w:rPr>
          <w:sz w:val="24"/>
          <w:szCs w:val="24"/>
        </w:rPr>
      </w:pPr>
      <w:r>
        <w:rPr>
          <w:sz w:val="24"/>
          <w:szCs w:val="24"/>
        </w:rPr>
        <w:t>No payments or gifts are provided under this program at this time.</w:t>
      </w: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rsidR="004F26E9" w:rsidRDefault="004F26E9" w:rsidP="00CD5390">
      <w:pPr>
        <w:rPr>
          <w:sz w:val="24"/>
          <w:szCs w:val="24"/>
        </w:rPr>
      </w:pPr>
    </w:p>
    <w:p w:rsidR="004F26E9" w:rsidRDefault="00F25E2D" w:rsidP="00CD5390">
      <w:pPr>
        <w:rPr>
          <w:sz w:val="24"/>
          <w:szCs w:val="24"/>
        </w:rPr>
      </w:pPr>
      <w:r>
        <w:rPr>
          <w:sz w:val="24"/>
          <w:szCs w:val="24"/>
        </w:rPr>
        <w:t xml:space="preserve">Efforts were made in the design of the VMS program to ensure security of all individual vessel location data, including analysis and storage.  The system includes measures to minimize the risk of direct or inadvertent disclosure of fishing location information.  In addition, VMS data is considered confidential under </w:t>
      </w:r>
      <w:hyperlink r:id="rId14" w:history="1">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RDefault="004F26E9" w:rsidP="00CD5390">
      <w:pPr>
        <w:rPr>
          <w:sz w:val="24"/>
          <w:szCs w:val="24"/>
        </w:rPr>
      </w:pPr>
    </w:p>
    <w:p w:rsidR="004F26E9" w:rsidRDefault="00493868" w:rsidP="000C0023">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RDefault="004F26E9" w:rsidP="00CD5390">
      <w:pPr>
        <w:rPr>
          <w:sz w:val="24"/>
          <w:szCs w:val="24"/>
        </w:rPr>
      </w:pPr>
    </w:p>
    <w:p w:rsidR="00F25E2D" w:rsidRDefault="00F25E2D" w:rsidP="00F25E2D">
      <w:pPr>
        <w:rPr>
          <w:sz w:val="24"/>
          <w:szCs w:val="24"/>
        </w:rPr>
      </w:pPr>
      <w:r>
        <w:rPr>
          <w:sz w:val="24"/>
          <w:szCs w:val="24"/>
        </w:rPr>
        <w:t>No questions of a sensitive nature are asked.</w:t>
      </w:r>
    </w:p>
    <w:p w:rsidR="00CA2B37" w:rsidRDefault="00CA2B37" w:rsidP="00CD5390">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RDefault="00493868" w:rsidP="00493868">
      <w:pPr>
        <w:tabs>
          <w:tab w:val="left" w:pos="540"/>
        </w:tabs>
        <w:ind w:left="540" w:hanging="540"/>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rsidR="00580714" w:rsidRDefault="00D9308B" w:rsidP="00580714">
      <w:pPr>
        <w:rPr>
          <w:sz w:val="24"/>
          <w:szCs w:val="24"/>
        </w:rPr>
      </w:pPr>
      <w:r>
        <w:rPr>
          <w:b/>
          <w:bCs/>
          <w:sz w:val="24"/>
          <w:szCs w:val="24"/>
        </w:rPr>
        <w:t>For wage costs:  u</w:t>
      </w:r>
      <w:r w:rsidR="00580714">
        <w:rPr>
          <w:b/>
          <w:bCs/>
          <w:sz w:val="24"/>
          <w:szCs w:val="24"/>
        </w:rPr>
        <w:t xml:space="preserve">se </w:t>
      </w:r>
      <w:hyperlink r:id="rId15"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RDefault="004F26E9" w:rsidP="00CA2B37">
      <w:pPr>
        <w:ind w:left="-360"/>
        <w:rPr>
          <w:sz w:val="24"/>
          <w:szCs w:val="24"/>
        </w:rPr>
      </w:pPr>
    </w:p>
    <w:tbl>
      <w:tblPr>
        <w:tblW w:w="14110" w:type="dxa"/>
        <w:tblLook w:val="04A0" w:firstRow="1" w:lastRow="0" w:firstColumn="1" w:lastColumn="0" w:noHBand="0" w:noVBand="1"/>
      </w:tblPr>
      <w:tblGrid>
        <w:gridCol w:w="3315"/>
        <w:gridCol w:w="1894"/>
        <w:gridCol w:w="1351"/>
        <w:gridCol w:w="1260"/>
        <w:gridCol w:w="1370"/>
        <w:gridCol w:w="1073"/>
        <w:gridCol w:w="1163"/>
        <w:gridCol w:w="1342"/>
        <w:gridCol w:w="1342"/>
      </w:tblGrid>
      <w:tr w:rsidR="000D49BA" w:rsidRPr="000D49BA" w:rsidTr="003E24F7">
        <w:trPr>
          <w:trHeight w:val="1140"/>
        </w:trPr>
        <w:tc>
          <w:tcPr>
            <w:tcW w:w="3315"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894"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RDefault="00CA2B37" w:rsidP="00580714">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351"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37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73"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63"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4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D9308B" w:rsidP="00CA2B3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34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CA2B37"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RDefault="00CA2B37" w:rsidP="00494B29">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Initial</w:t>
            </w:r>
            <w:r w:rsidR="007A598B">
              <w:rPr>
                <w:rFonts w:ascii="Calibri" w:hAnsi="Calibri" w:cs="Calibri"/>
                <w:color w:val="000000"/>
                <w:sz w:val="16"/>
                <w:szCs w:val="16"/>
              </w:rPr>
              <w:t xml:space="preserve"> installation</w:t>
            </w:r>
          </w:p>
        </w:tc>
        <w:tc>
          <w:tcPr>
            <w:tcW w:w="1894" w:type="dxa"/>
            <w:tcBorders>
              <w:top w:val="nil"/>
              <w:left w:val="nil"/>
              <w:bottom w:val="single" w:sz="4" w:space="0" w:color="auto"/>
              <w:right w:val="single" w:sz="4" w:space="0" w:color="auto"/>
            </w:tcBorders>
            <w:shd w:val="clear" w:color="auto" w:fill="auto"/>
            <w:vAlign w:val="bottom"/>
            <w:hideMark/>
          </w:tcPr>
          <w:p w:rsidR="00CA2B37" w:rsidRPr="00CA2B37" w:rsidRDefault="00F25E2D"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351" w:type="dxa"/>
            <w:tcBorders>
              <w:top w:val="nil"/>
              <w:left w:val="nil"/>
              <w:bottom w:val="single" w:sz="4" w:space="0" w:color="auto"/>
              <w:right w:val="single" w:sz="4" w:space="0" w:color="auto"/>
            </w:tcBorders>
            <w:shd w:val="clear" w:color="auto" w:fill="auto"/>
            <w:vAlign w:val="bottom"/>
            <w:hideMark/>
          </w:tcPr>
          <w:p w:rsidR="00CA2B37" w:rsidRPr="00CA2B37" w:rsidRDefault="00F25E2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RDefault="00F25E2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sz="4" w:space="0" w:color="auto"/>
              <w:right w:val="single" w:sz="4" w:space="0" w:color="auto"/>
            </w:tcBorders>
            <w:shd w:val="clear" w:color="auto" w:fill="auto"/>
            <w:vAlign w:val="bottom"/>
            <w:hideMark/>
          </w:tcPr>
          <w:p w:rsidR="00CA2B37" w:rsidRPr="00CA2B37" w:rsidRDefault="00F25E2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00DF4E8B">
              <w:rPr>
                <w:rFonts w:ascii="Calibri" w:hAnsi="Calibri" w:cs="Calibri"/>
                <w:color w:val="000000"/>
                <w:sz w:val="16"/>
                <w:szCs w:val="16"/>
              </w:rPr>
              <w:t xml:space="preserve"> (333 annualized)</w:t>
            </w:r>
          </w:p>
        </w:tc>
        <w:tc>
          <w:tcPr>
            <w:tcW w:w="1073" w:type="dxa"/>
            <w:tcBorders>
              <w:top w:val="nil"/>
              <w:left w:val="nil"/>
              <w:bottom w:val="single" w:sz="4" w:space="0" w:color="auto"/>
              <w:right w:val="single" w:sz="4" w:space="0" w:color="auto"/>
            </w:tcBorders>
            <w:shd w:val="clear" w:color="auto" w:fill="auto"/>
            <w:vAlign w:val="bottom"/>
            <w:hideMark/>
          </w:tcPr>
          <w:p w:rsidR="00CA2B37" w:rsidRPr="003E24F7" w:rsidRDefault="00F25E2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4</w:t>
            </w:r>
            <w:r w:rsidR="006F340C" w:rsidRPr="003E24F7">
              <w:rPr>
                <w:rFonts w:ascii="Calibri" w:hAnsi="Calibri" w:cs="Calibri"/>
                <w:sz w:val="16"/>
                <w:szCs w:val="16"/>
              </w:rPr>
              <w:t xml:space="preserve"> hours</w:t>
            </w:r>
          </w:p>
        </w:tc>
        <w:tc>
          <w:tcPr>
            <w:tcW w:w="1163" w:type="dxa"/>
            <w:tcBorders>
              <w:top w:val="nil"/>
              <w:left w:val="nil"/>
              <w:bottom w:val="single" w:sz="4" w:space="0" w:color="auto"/>
              <w:right w:val="single" w:sz="4" w:space="0" w:color="auto"/>
            </w:tcBorders>
            <w:shd w:val="clear" w:color="auto" w:fill="auto"/>
            <w:vAlign w:val="bottom"/>
            <w:hideMark/>
          </w:tcPr>
          <w:p w:rsidR="00CA2B37" w:rsidRPr="003E24F7" w:rsidRDefault="006F340C" w:rsidP="005F1CB0">
            <w:pPr>
              <w:widowControl/>
              <w:autoSpaceDE/>
              <w:autoSpaceDN/>
              <w:adjustRightInd/>
              <w:jc w:val="right"/>
              <w:rPr>
                <w:rFonts w:ascii="Calibri" w:hAnsi="Calibri" w:cs="Calibri"/>
                <w:sz w:val="16"/>
                <w:szCs w:val="16"/>
              </w:rPr>
            </w:pPr>
            <w:r w:rsidRPr="003E24F7">
              <w:rPr>
                <w:rFonts w:ascii="Calibri" w:hAnsi="Calibri" w:cs="Calibri"/>
                <w:sz w:val="16"/>
                <w:szCs w:val="16"/>
              </w:rPr>
              <w:t>4,000</w:t>
            </w:r>
            <w:r w:rsidR="005F1CB0" w:rsidRPr="003E24F7">
              <w:rPr>
                <w:rFonts w:ascii="Calibri" w:hAnsi="Calibri" w:cs="Calibri"/>
                <w:sz w:val="16"/>
                <w:szCs w:val="16"/>
              </w:rPr>
              <w:t xml:space="preserve"> </w:t>
            </w:r>
            <w:r w:rsidR="00DF4E8B" w:rsidRPr="003E24F7">
              <w:rPr>
                <w:rFonts w:ascii="Calibri" w:hAnsi="Calibri" w:cs="Calibri"/>
                <w:sz w:val="16"/>
                <w:szCs w:val="16"/>
              </w:rPr>
              <w:t>(</w:t>
            </w:r>
            <w:r w:rsidRPr="003E24F7">
              <w:rPr>
                <w:rFonts w:ascii="Calibri" w:hAnsi="Calibri" w:cs="Calibri"/>
                <w:sz w:val="16"/>
                <w:szCs w:val="16"/>
              </w:rPr>
              <w:t>1,333)</w:t>
            </w:r>
            <w:r w:rsidR="00DF4E8B" w:rsidRPr="003E24F7">
              <w:rPr>
                <w:rFonts w:ascii="Calibri" w:hAnsi="Calibri" w:cs="Calibri"/>
                <w:sz w:val="16"/>
                <w:szCs w:val="16"/>
              </w:rPr>
              <w:t xml:space="preserve"> annualized)</w:t>
            </w:r>
          </w:p>
        </w:tc>
        <w:tc>
          <w:tcPr>
            <w:tcW w:w="1342" w:type="dxa"/>
            <w:tcBorders>
              <w:top w:val="nil"/>
              <w:left w:val="nil"/>
              <w:bottom w:val="single" w:sz="4" w:space="0" w:color="auto"/>
              <w:right w:val="single" w:sz="4" w:space="0" w:color="auto"/>
            </w:tcBorders>
            <w:shd w:val="clear" w:color="auto" w:fill="auto"/>
            <w:noWrap/>
            <w:vAlign w:val="bottom"/>
            <w:hideMark/>
          </w:tcPr>
          <w:p w:rsidR="00CA2B37" w:rsidRPr="003E24F7" w:rsidRDefault="00F25E2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$29.55</w:t>
            </w:r>
          </w:p>
        </w:tc>
        <w:tc>
          <w:tcPr>
            <w:tcW w:w="1342" w:type="dxa"/>
            <w:tcBorders>
              <w:top w:val="nil"/>
              <w:left w:val="nil"/>
              <w:bottom w:val="single" w:sz="4" w:space="0" w:color="auto"/>
              <w:right w:val="single" w:sz="8" w:space="0" w:color="auto"/>
            </w:tcBorders>
            <w:shd w:val="clear" w:color="auto" w:fill="auto"/>
            <w:noWrap/>
            <w:vAlign w:val="bottom"/>
            <w:hideMark/>
          </w:tcPr>
          <w:p w:rsidR="00CA2B37" w:rsidRPr="003E24F7" w:rsidRDefault="005B045E"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494B29" w:rsidRPr="003E24F7">
              <w:rPr>
                <w:rFonts w:ascii="Calibri" w:hAnsi="Calibri" w:cs="Calibri"/>
                <w:sz w:val="16"/>
                <w:szCs w:val="16"/>
              </w:rPr>
              <w:t>39,390.15</w:t>
            </w:r>
            <w:r w:rsidR="00CA2B37" w:rsidRPr="003E24F7">
              <w:rPr>
                <w:rFonts w:ascii="Calibri" w:hAnsi="Calibri" w:cs="Calibri"/>
                <w:sz w:val="16"/>
                <w:szCs w:val="16"/>
              </w:rPr>
              <w:t> </w:t>
            </w:r>
          </w:p>
        </w:tc>
      </w:tr>
      <w:tr w:rsidR="00CA2B37"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RDefault="00CA2B37" w:rsidP="00494B29">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p>
        </w:tc>
        <w:tc>
          <w:tcPr>
            <w:tcW w:w="1894" w:type="dxa"/>
            <w:tcBorders>
              <w:top w:val="nil"/>
              <w:left w:val="nil"/>
              <w:bottom w:val="single" w:sz="4" w:space="0" w:color="auto"/>
              <w:right w:val="single" w:sz="4" w:space="0" w:color="auto"/>
            </w:tcBorders>
            <w:shd w:val="clear" w:color="auto" w:fill="auto"/>
            <w:vAlign w:val="bottom"/>
            <w:hideMark/>
          </w:tcPr>
          <w:p w:rsidR="00CA2B37" w:rsidRPr="00CA2B37" w:rsidRDefault="003278CD"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351" w:type="dxa"/>
            <w:tcBorders>
              <w:top w:val="nil"/>
              <w:left w:val="nil"/>
              <w:bottom w:val="single" w:sz="4" w:space="0" w:color="auto"/>
              <w:right w:val="single" w:sz="4" w:space="0" w:color="auto"/>
            </w:tcBorders>
            <w:shd w:val="clear" w:color="auto" w:fill="auto"/>
            <w:vAlign w:val="bottom"/>
            <w:hideMark/>
          </w:tcPr>
          <w:p w:rsidR="00CA2B37" w:rsidRPr="00CA2B37" w:rsidRDefault="003278C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RDefault="00494B29"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sz="4" w:space="0" w:color="auto"/>
              <w:right w:val="single" w:sz="4" w:space="0" w:color="auto"/>
            </w:tcBorders>
            <w:shd w:val="clear" w:color="auto" w:fill="auto"/>
            <w:vAlign w:val="bottom"/>
            <w:hideMark/>
          </w:tcPr>
          <w:p w:rsidR="00CA2B37" w:rsidRPr="00CA2B37" w:rsidRDefault="003278C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r w:rsidR="00CA2B37" w:rsidRPr="00CA2B37">
              <w:rPr>
                <w:rFonts w:ascii="Calibri" w:hAnsi="Calibri" w:cs="Calibri"/>
                <w:color w:val="000000"/>
                <w:sz w:val="16"/>
                <w:szCs w:val="16"/>
              </w:rPr>
              <w:t> </w:t>
            </w:r>
          </w:p>
        </w:tc>
        <w:tc>
          <w:tcPr>
            <w:tcW w:w="1073" w:type="dxa"/>
            <w:tcBorders>
              <w:top w:val="nil"/>
              <w:left w:val="nil"/>
              <w:bottom w:val="single" w:sz="4" w:space="0" w:color="auto"/>
              <w:right w:val="single" w:sz="4" w:space="0" w:color="auto"/>
            </w:tcBorders>
            <w:shd w:val="clear" w:color="auto" w:fill="auto"/>
            <w:vAlign w:val="bottom"/>
            <w:hideMark/>
          </w:tcPr>
          <w:p w:rsidR="00CA2B37" w:rsidRPr="003E24F7" w:rsidRDefault="00665617"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5 hours</w:t>
            </w:r>
          </w:p>
        </w:tc>
        <w:tc>
          <w:tcPr>
            <w:tcW w:w="1163" w:type="dxa"/>
            <w:tcBorders>
              <w:top w:val="nil"/>
              <w:left w:val="nil"/>
              <w:bottom w:val="single" w:sz="4" w:space="0" w:color="auto"/>
              <w:right w:val="single" w:sz="4" w:space="0" w:color="auto"/>
            </w:tcBorders>
            <w:shd w:val="clear" w:color="auto" w:fill="auto"/>
            <w:vAlign w:val="bottom"/>
            <w:hideMark/>
          </w:tcPr>
          <w:p w:rsidR="00CA2B37" w:rsidRPr="003E24F7" w:rsidRDefault="00665617"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1,250</w:t>
            </w:r>
            <w:r w:rsidR="00CA2B37" w:rsidRPr="003E24F7">
              <w:rPr>
                <w:rFonts w:ascii="Calibri" w:hAnsi="Calibri" w:cs="Calibri"/>
                <w:sz w:val="16"/>
                <w:szCs w:val="16"/>
              </w:rPr>
              <w:t> </w:t>
            </w:r>
          </w:p>
        </w:tc>
        <w:tc>
          <w:tcPr>
            <w:tcW w:w="1342" w:type="dxa"/>
            <w:tcBorders>
              <w:top w:val="nil"/>
              <w:left w:val="nil"/>
              <w:bottom w:val="single" w:sz="4" w:space="0" w:color="auto"/>
              <w:right w:val="single" w:sz="4" w:space="0" w:color="auto"/>
            </w:tcBorders>
            <w:shd w:val="clear" w:color="auto" w:fill="auto"/>
            <w:noWrap/>
            <w:vAlign w:val="bottom"/>
            <w:hideMark/>
          </w:tcPr>
          <w:p w:rsidR="00CA2B37" w:rsidRPr="003E24F7" w:rsidRDefault="003278C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$29.55</w:t>
            </w:r>
            <w:r w:rsidR="00CA2B37" w:rsidRPr="003E24F7">
              <w:rPr>
                <w:rFonts w:ascii="Calibri" w:hAnsi="Calibri" w:cs="Calibri"/>
                <w:sz w:val="16"/>
                <w:szCs w:val="16"/>
              </w:rPr>
              <w:t> </w:t>
            </w:r>
          </w:p>
        </w:tc>
        <w:tc>
          <w:tcPr>
            <w:tcW w:w="1342" w:type="dxa"/>
            <w:tcBorders>
              <w:top w:val="nil"/>
              <w:left w:val="nil"/>
              <w:bottom w:val="single" w:sz="4" w:space="0" w:color="auto"/>
              <w:right w:val="single" w:sz="8" w:space="0" w:color="auto"/>
            </w:tcBorders>
            <w:shd w:val="clear" w:color="auto" w:fill="auto"/>
            <w:noWrap/>
            <w:vAlign w:val="bottom"/>
            <w:hideMark/>
          </w:tcPr>
          <w:p w:rsidR="00CA2B37" w:rsidRPr="003E24F7" w:rsidRDefault="005B045E" w:rsidP="0066561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665617" w:rsidRPr="003E24F7">
              <w:rPr>
                <w:rFonts w:ascii="Calibri" w:hAnsi="Calibri" w:cs="Calibri"/>
                <w:sz w:val="16"/>
                <w:szCs w:val="16"/>
              </w:rPr>
              <w:t>36,937.50</w:t>
            </w:r>
          </w:p>
        </w:tc>
      </w:tr>
      <w:tr w:rsidR="00CA2B37"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894" w:type="dxa"/>
            <w:tcBorders>
              <w:top w:val="nil"/>
              <w:left w:val="nil"/>
              <w:bottom w:val="single" w:sz="4" w:space="0" w:color="auto"/>
              <w:right w:val="single" w:sz="4" w:space="0" w:color="auto"/>
            </w:tcBorders>
            <w:shd w:val="clear" w:color="auto" w:fill="auto"/>
            <w:vAlign w:val="bottom"/>
            <w:hideMark/>
          </w:tcPr>
          <w:p w:rsidR="00CA2B37" w:rsidRPr="00CA2B37" w:rsidRDefault="00CA2B37" w:rsidP="00CA2B3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351" w:type="dxa"/>
            <w:tcBorders>
              <w:top w:val="nil"/>
              <w:left w:val="nil"/>
              <w:bottom w:val="single" w:sz="4" w:space="0" w:color="auto"/>
              <w:right w:val="single" w:sz="4" w:space="0" w:color="auto"/>
            </w:tcBorders>
            <w:shd w:val="clear" w:color="auto" w:fill="auto"/>
            <w:vAlign w:val="bottom"/>
            <w:hideMark/>
          </w:tcPr>
          <w:p w:rsidR="00CA2B37" w:rsidRPr="00CA2B37" w:rsidRDefault="00CA2B37" w:rsidP="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260" w:type="dxa"/>
            <w:tcBorders>
              <w:top w:val="nil"/>
              <w:left w:val="nil"/>
              <w:bottom w:val="single" w:sz="4" w:space="0" w:color="auto"/>
              <w:right w:val="single" w:sz="4" w:space="0" w:color="auto"/>
            </w:tcBorders>
            <w:shd w:val="clear" w:color="auto" w:fill="auto"/>
            <w:vAlign w:val="bottom"/>
            <w:hideMark/>
          </w:tcPr>
          <w:p w:rsidR="00CA2B37" w:rsidRPr="00CA2B37" w:rsidRDefault="003278C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70" w:type="dxa"/>
            <w:tcBorders>
              <w:top w:val="nil"/>
              <w:left w:val="nil"/>
              <w:bottom w:val="single" w:sz="4" w:space="0" w:color="auto"/>
              <w:right w:val="single" w:sz="4" w:space="0" w:color="auto"/>
            </w:tcBorders>
            <w:shd w:val="clear" w:color="auto" w:fill="auto"/>
            <w:vAlign w:val="bottom"/>
            <w:hideMark/>
          </w:tcPr>
          <w:p w:rsidR="00CA2B37" w:rsidRPr="00CA2B37" w:rsidRDefault="003278CD"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00CA2B37" w:rsidRPr="00CA2B37">
              <w:rPr>
                <w:rFonts w:ascii="Calibri" w:hAnsi="Calibri" w:cs="Calibri"/>
                <w:color w:val="000000"/>
                <w:sz w:val="16"/>
                <w:szCs w:val="16"/>
              </w:rPr>
              <w:t> </w:t>
            </w:r>
            <w:r w:rsidR="00DF4E8B">
              <w:rPr>
                <w:rFonts w:ascii="Calibri" w:hAnsi="Calibri" w:cs="Calibri"/>
                <w:color w:val="000000"/>
                <w:sz w:val="16"/>
                <w:szCs w:val="16"/>
              </w:rPr>
              <w:t xml:space="preserve"> (333 annualized)</w:t>
            </w:r>
          </w:p>
        </w:tc>
        <w:tc>
          <w:tcPr>
            <w:tcW w:w="1073" w:type="dxa"/>
            <w:tcBorders>
              <w:top w:val="nil"/>
              <w:left w:val="nil"/>
              <w:bottom w:val="single" w:sz="4" w:space="0" w:color="auto"/>
              <w:right w:val="single" w:sz="4" w:space="0" w:color="auto"/>
            </w:tcBorders>
            <w:shd w:val="clear" w:color="auto" w:fill="auto"/>
            <w:vAlign w:val="bottom"/>
            <w:hideMark/>
          </w:tcPr>
          <w:p w:rsidR="00CA2B37" w:rsidRPr="003E24F7" w:rsidRDefault="003278C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006F340C" w:rsidRPr="003E24F7">
              <w:rPr>
                <w:rFonts w:ascii="Calibri" w:hAnsi="Calibri" w:cs="Calibri"/>
                <w:sz w:val="16"/>
                <w:szCs w:val="16"/>
              </w:rPr>
              <w:t xml:space="preserve"> hours</w:t>
            </w:r>
          </w:p>
        </w:tc>
        <w:tc>
          <w:tcPr>
            <w:tcW w:w="1163" w:type="dxa"/>
            <w:tcBorders>
              <w:top w:val="nil"/>
              <w:left w:val="nil"/>
              <w:bottom w:val="single" w:sz="4" w:space="0" w:color="auto"/>
              <w:right w:val="single" w:sz="4" w:space="0" w:color="auto"/>
            </w:tcBorders>
            <w:shd w:val="clear" w:color="auto" w:fill="auto"/>
            <w:vAlign w:val="bottom"/>
            <w:hideMark/>
          </w:tcPr>
          <w:p w:rsidR="00CA2B37" w:rsidRPr="003E24F7" w:rsidRDefault="006F340C" w:rsidP="005F1CB0">
            <w:pPr>
              <w:widowControl/>
              <w:autoSpaceDE/>
              <w:autoSpaceDN/>
              <w:adjustRightInd/>
              <w:jc w:val="right"/>
              <w:rPr>
                <w:rFonts w:ascii="Calibri" w:hAnsi="Calibri" w:cs="Calibri"/>
                <w:sz w:val="16"/>
                <w:szCs w:val="16"/>
              </w:rPr>
            </w:pPr>
            <w:r w:rsidRPr="003E24F7">
              <w:rPr>
                <w:rFonts w:ascii="Calibri" w:hAnsi="Calibri" w:cs="Calibri"/>
                <w:sz w:val="16"/>
                <w:szCs w:val="16"/>
              </w:rPr>
              <w:t>1000</w:t>
            </w:r>
            <w:r w:rsidR="00CA2B37" w:rsidRPr="003E24F7">
              <w:rPr>
                <w:rFonts w:ascii="Calibri" w:hAnsi="Calibri" w:cs="Calibri"/>
                <w:sz w:val="16"/>
                <w:szCs w:val="16"/>
              </w:rPr>
              <w:t> </w:t>
            </w:r>
            <w:r w:rsidR="00DF4E8B" w:rsidRPr="003E24F7">
              <w:rPr>
                <w:rFonts w:ascii="Calibri" w:hAnsi="Calibri" w:cs="Calibri"/>
                <w:sz w:val="16"/>
                <w:szCs w:val="16"/>
              </w:rPr>
              <w:t>(</w:t>
            </w:r>
            <w:r w:rsidRPr="003E24F7">
              <w:rPr>
                <w:rFonts w:ascii="Calibri" w:hAnsi="Calibri" w:cs="Calibri"/>
                <w:sz w:val="16"/>
                <w:szCs w:val="16"/>
              </w:rPr>
              <w:t>333</w:t>
            </w:r>
            <w:r w:rsidR="00DF4E8B" w:rsidRPr="003E24F7">
              <w:rPr>
                <w:rFonts w:ascii="Calibri" w:hAnsi="Calibri" w:cs="Calibri"/>
                <w:sz w:val="16"/>
                <w:szCs w:val="16"/>
              </w:rPr>
              <w:t xml:space="preserve"> annualized)</w:t>
            </w:r>
          </w:p>
        </w:tc>
        <w:tc>
          <w:tcPr>
            <w:tcW w:w="1342" w:type="dxa"/>
            <w:tcBorders>
              <w:top w:val="nil"/>
              <w:left w:val="nil"/>
              <w:bottom w:val="single" w:sz="4" w:space="0" w:color="auto"/>
              <w:right w:val="single" w:sz="4" w:space="0" w:color="auto"/>
            </w:tcBorders>
            <w:shd w:val="clear" w:color="auto" w:fill="auto"/>
            <w:noWrap/>
            <w:vAlign w:val="bottom"/>
            <w:hideMark/>
          </w:tcPr>
          <w:p w:rsidR="00CA2B37" w:rsidRPr="003E24F7" w:rsidRDefault="003278C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$29.55</w:t>
            </w:r>
            <w:r w:rsidR="00CA2B37" w:rsidRPr="003E24F7">
              <w:rPr>
                <w:rFonts w:ascii="Calibri" w:hAnsi="Calibri" w:cs="Calibri"/>
                <w:sz w:val="16"/>
                <w:szCs w:val="16"/>
              </w:rPr>
              <w:t> </w:t>
            </w:r>
          </w:p>
        </w:tc>
        <w:tc>
          <w:tcPr>
            <w:tcW w:w="1342" w:type="dxa"/>
            <w:tcBorders>
              <w:top w:val="nil"/>
              <w:left w:val="nil"/>
              <w:bottom w:val="single" w:sz="4" w:space="0" w:color="auto"/>
              <w:right w:val="single" w:sz="8" w:space="0" w:color="auto"/>
            </w:tcBorders>
            <w:shd w:val="clear" w:color="auto" w:fill="auto"/>
            <w:noWrap/>
            <w:vAlign w:val="bottom"/>
            <w:hideMark/>
          </w:tcPr>
          <w:p w:rsidR="00CA2B37" w:rsidRPr="003E24F7" w:rsidRDefault="005B045E"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6F340C" w:rsidRPr="003E24F7">
              <w:rPr>
                <w:rFonts w:ascii="Calibri" w:hAnsi="Calibri" w:cs="Calibri"/>
                <w:sz w:val="16"/>
                <w:szCs w:val="16"/>
              </w:rPr>
              <w:t>9,840.15</w:t>
            </w:r>
            <w:r w:rsidR="00CA2B37" w:rsidRPr="003E24F7">
              <w:rPr>
                <w:rFonts w:ascii="Calibri" w:hAnsi="Calibri" w:cs="Calibri"/>
                <w:sz w:val="16"/>
                <w:szCs w:val="16"/>
              </w:rPr>
              <w:t> </w:t>
            </w:r>
          </w:p>
        </w:tc>
      </w:tr>
      <w:tr w:rsidR="00D20BBD"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reports</w:t>
            </w:r>
          </w:p>
        </w:tc>
        <w:tc>
          <w:tcPr>
            <w:tcW w:w="1894"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Automatic</w:t>
            </w:r>
          </w:p>
        </w:tc>
        <w:tc>
          <w:tcPr>
            <w:tcW w:w="1351" w:type="dxa"/>
            <w:tcBorders>
              <w:top w:val="nil"/>
              <w:left w:val="nil"/>
              <w:bottom w:val="single" w:sz="4" w:space="0" w:color="auto"/>
              <w:right w:val="single" w:sz="4" w:space="0" w:color="auto"/>
            </w:tcBorders>
            <w:shd w:val="clear" w:color="auto" w:fill="auto"/>
            <w:vAlign w:val="bottom"/>
          </w:tcPr>
          <w:p w:rsidR="00D20BBD" w:rsidRPr="00CA2B37" w:rsidRDefault="00B64444"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sz="4" w:space="0" w:color="auto"/>
              <w:right w:val="single" w:sz="4" w:space="0" w:color="auto"/>
            </w:tcBorders>
            <w:shd w:val="clear" w:color="auto" w:fill="auto"/>
            <w:vAlign w:val="bottom"/>
          </w:tcPr>
          <w:p w:rsidR="00D20BBD" w:rsidRPr="003E24F7" w:rsidRDefault="005543BE" w:rsidP="00CA2B37">
            <w:pPr>
              <w:widowControl/>
              <w:autoSpaceDE/>
              <w:autoSpaceDN/>
              <w:adjustRightInd/>
              <w:jc w:val="right"/>
              <w:rPr>
                <w:rFonts w:ascii="Calibri" w:hAnsi="Calibri" w:cs="Calibri"/>
                <w:sz w:val="16"/>
                <w:szCs w:val="16"/>
              </w:rPr>
            </w:pPr>
            <w:r>
              <w:rPr>
                <w:rFonts w:ascii="Calibri" w:hAnsi="Calibri" w:cs="Calibri"/>
                <w:sz w:val="16"/>
                <w:szCs w:val="16"/>
              </w:rPr>
              <w:t>25,040</w:t>
            </w:r>
          </w:p>
        </w:tc>
        <w:tc>
          <w:tcPr>
            <w:tcW w:w="1370" w:type="dxa"/>
            <w:tcBorders>
              <w:top w:val="nil"/>
              <w:left w:val="nil"/>
              <w:bottom w:val="single" w:sz="4" w:space="0" w:color="auto"/>
              <w:right w:val="single" w:sz="4" w:space="0" w:color="auto"/>
            </w:tcBorders>
            <w:shd w:val="clear" w:color="auto" w:fill="auto"/>
            <w:vAlign w:val="bottom"/>
          </w:tcPr>
          <w:p w:rsidR="00D20BBD" w:rsidRPr="00665617" w:rsidRDefault="003E24F7" w:rsidP="00CA2B37">
            <w:pPr>
              <w:widowControl/>
              <w:autoSpaceDE/>
              <w:autoSpaceDN/>
              <w:adjustRightInd/>
              <w:jc w:val="right"/>
              <w:rPr>
                <w:rFonts w:ascii="Calibri" w:hAnsi="Calibri" w:cs="Calibri"/>
                <w:color w:val="FF0000"/>
                <w:sz w:val="16"/>
                <w:szCs w:val="16"/>
              </w:rPr>
            </w:pPr>
            <w:r w:rsidRPr="003E24F7">
              <w:rPr>
                <w:rFonts w:ascii="Calibri" w:hAnsi="Calibri" w:cs="Calibri"/>
                <w:sz w:val="16"/>
                <w:szCs w:val="16"/>
              </w:rPr>
              <w:t>25,040,000</w:t>
            </w:r>
          </w:p>
        </w:tc>
        <w:tc>
          <w:tcPr>
            <w:tcW w:w="1073" w:type="dxa"/>
            <w:tcBorders>
              <w:top w:val="nil"/>
              <w:left w:val="nil"/>
              <w:bottom w:val="single" w:sz="4" w:space="0" w:color="auto"/>
              <w:right w:val="single" w:sz="4" w:space="0" w:color="auto"/>
            </w:tcBorders>
            <w:shd w:val="clear" w:color="auto" w:fill="auto"/>
            <w:vAlign w:val="bottom"/>
          </w:tcPr>
          <w:p w:rsidR="00D20BBD" w:rsidRPr="003E24F7" w:rsidRDefault="00646D0D" w:rsidP="00665617">
            <w:pPr>
              <w:widowControl/>
              <w:autoSpaceDE/>
              <w:autoSpaceDN/>
              <w:adjustRightInd/>
              <w:jc w:val="center"/>
              <w:rPr>
                <w:rFonts w:ascii="Calibri" w:hAnsi="Calibri" w:cs="Calibri"/>
                <w:sz w:val="16"/>
                <w:szCs w:val="16"/>
              </w:rPr>
            </w:pPr>
            <w:r w:rsidRPr="003E24F7">
              <w:rPr>
                <w:rFonts w:ascii="Calibri" w:hAnsi="Calibri" w:cs="Calibri"/>
                <w:sz w:val="16"/>
                <w:szCs w:val="16"/>
              </w:rPr>
              <w:t>0</w:t>
            </w:r>
          </w:p>
        </w:tc>
        <w:tc>
          <w:tcPr>
            <w:tcW w:w="1163" w:type="dxa"/>
            <w:tcBorders>
              <w:top w:val="nil"/>
              <w:left w:val="nil"/>
              <w:bottom w:val="single" w:sz="4" w:space="0" w:color="auto"/>
              <w:right w:val="single" w:sz="4" w:space="0" w:color="auto"/>
            </w:tcBorders>
            <w:shd w:val="clear" w:color="auto" w:fill="auto"/>
            <w:vAlign w:val="bottom"/>
          </w:tcPr>
          <w:p w:rsidR="00D20BBD" w:rsidRPr="003E24F7" w:rsidRDefault="00646D0D"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c>
          <w:tcPr>
            <w:tcW w:w="1342" w:type="dxa"/>
            <w:tcBorders>
              <w:top w:val="nil"/>
              <w:left w:val="nil"/>
              <w:bottom w:val="single" w:sz="4" w:space="0" w:color="auto"/>
              <w:right w:val="single" w:sz="4" w:space="0" w:color="auto"/>
            </w:tcBorders>
            <w:shd w:val="clear" w:color="auto" w:fill="auto"/>
            <w:noWrap/>
            <w:vAlign w:val="bottom"/>
          </w:tcPr>
          <w:p w:rsidR="00D20BBD" w:rsidRPr="003E24F7" w:rsidRDefault="00665617"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c>
          <w:tcPr>
            <w:tcW w:w="1342" w:type="dxa"/>
            <w:tcBorders>
              <w:top w:val="nil"/>
              <w:left w:val="nil"/>
              <w:bottom w:val="single" w:sz="4" w:space="0" w:color="auto"/>
              <w:right w:val="single" w:sz="8" w:space="0" w:color="auto"/>
            </w:tcBorders>
            <w:shd w:val="clear" w:color="auto" w:fill="auto"/>
            <w:noWrap/>
            <w:vAlign w:val="bottom"/>
          </w:tcPr>
          <w:p w:rsidR="00D20BBD" w:rsidRPr="003E24F7" w:rsidRDefault="00665617" w:rsidP="00CA2B37">
            <w:pPr>
              <w:widowControl/>
              <w:autoSpaceDE/>
              <w:autoSpaceDN/>
              <w:adjustRightInd/>
              <w:jc w:val="right"/>
              <w:rPr>
                <w:rFonts w:ascii="Calibri" w:hAnsi="Calibri" w:cs="Calibri"/>
                <w:sz w:val="16"/>
                <w:szCs w:val="16"/>
              </w:rPr>
            </w:pPr>
            <w:r w:rsidRPr="003E24F7">
              <w:rPr>
                <w:rFonts w:ascii="Calibri" w:hAnsi="Calibri" w:cs="Calibri"/>
                <w:sz w:val="16"/>
                <w:szCs w:val="16"/>
              </w:rPr>
              <w:t>$0</w:t>
            </w:r>
          </w:p>
        </w:tc>
      </w:tr>
      <w:tr w:rsidR="00D20BBD"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894"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351"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260"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70"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73"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mins</w:t>
            </w:r>
          </w:p>
        </w:tc>
        <w:tc>
          <w:tcPr>
            <w:tcW w:w="1163"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83.33</w:t>
            </w:r>
          </w:p>
        </w:tc>
        <w:tc>
          <w:tcPr>
            <w:tcW w:w="1342" w:type="dxa"/>
            <w:tcBorders>
              <w:top w:val="nil"/>
              <w:left w:val="nil"/>
              <w:bottom w:val="single" w:sz="4" w:space="0" w:color="auto"/>
              <w:right w:val="single" w:sz="4" w:space="0" w:color="auto"/>
            </w:tcBorders>
            <w:shd w:val="clear" w:color="auto" w:fill="auto"/>
            <w:noWrap/>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342" w:type="dxa"/>
            <w:tcBorders>
              <w:top w:val="nil"/>
              <w:left w:val="nil"/>
              <w:bottom w:val="single" w:sz="4" w:space="0" w:color="auto"/>
              <w:right w:val="single" w:sz="8" w:space="0" w:color="auto"/>
            </w:tcBorders>
            <w:shd w:val="clear" w:color="auto" w:fill="auto"/>
            <w:noWrap/>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$1,207.75</w:t>
            </w:r>
          </w:p>
        </w:tc>
      </w:tr>
      <w:tr w:rsidR="00D20BBD" w:rsidRPr="00CA2B37" w:rsidTr="003E24F7">
        <w:trPr>
          <w:trHeight w:val="300"/>
        </w:trPr>
        <w:tc>
          <w:tcPr>
            <w:tcW w:w="3315" w:type="dxa"/>
            <w:tcBorders>
              <w:top w:val="nil"/>
              <w:left w:val="single" w:sz="8" w:space="0" w:color="auto"/>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894"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351"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260"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70"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73"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mins</w:t>
            </w:r>
          </w:p>
        </w:tc>
        <w:tc>
          <w:tcPr>
            <w:tcW w:w="1163" w:type="dxa"/>
            <w:tcBorders>
              <w:top w:val="nil"/>
              <w:left w:val="nil"/>
              <w:bottom w:val="single" w:sz="4" w:space="0" w:color="auto"/>
              <w:right w:val="single" w:sz="4" w:space="0" w:color="auto"/>
            </w:tcBorders>
            <w:shd w:val="clear" w:color="auto" w:fill="auto"/>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342" w:type="dxa"/>
            <w:tcBorders>
              <w:top w:val="nil"/>
              <w:left w:val="nil"/>
              <w:bottom w:val="single" w:sz="4" w:space="0" w:color="auto"/>
              <w:right w:val="single" w:sz="4" w:space="0" w:color="auto"/>
            </w:tcBorders>
            <w:shd w:val="clear" w:color="auto" w:fill="auto"/>
            <w:noWrap/>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342" w:type="dxa"/>
            <w:tcBorders>
              <w:top w:val="nil"/>
              <w:left w:val="nil"/>
              <w:bottom w:val="single" w:sz="4" w:space="0" w:color="auto"/>
              <w:right w:val="single" w:sz="8" w:space="0" w:color="auto"/>
            </w:tcBorders>
            <w:shd w:val="clear" w:color="auto" w:fill="auto"/>
            <w:noWrap/>
            <w:vAlign w:val="bottom"/>
          </w:tcPr>
          <w:p w:rsidR="00D20BBD" w:rsidRPr="00CA2B37" w:rsidRDefault="005B045E"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$9,659.90</w:t>
            </w:r>
          </w:p>
        </w:tc>
      </w:tr>
      <w:tr w:rsidR="00CA2B37" w:rsidRPr="00CA2B37" w:rsidTr="003E24F7">
        <w:trPr>
          <w:trHeight w:val="315"/>
        </w:trPr>
        <w:tc>
          <w:tcPr>
            <w:tcW w:w="3315" w:type="dxa"/>
            <w:tcBorders>
              <w:top w:val="nil"/>
              <w:left w:val="single" w:sz="8" w:space="0" w:color="auto"/>
              <w:bottom w:val="single" w:sz="8" w:space="0" w:color="auto"/>
              <w:right w:val="single" w:sz="8" w:space="0" w:color="auto"/>
            </w:tcBorders>
            <w:shd w:val="clear" w:color="000000" w:fill="BDD7EE"/>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894"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1"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70" w:type="dxa"/>
            <w:tcBorders>
              <w:top w:val="nil"/>
              <w:left w:val="nil"/>
              <w:bottom w:val="single" w:sz="8" w:space="0" w:color="auto"/>
              <w:right w:val="single" w:sz="8" w:space="0" w:color="auto"/>
            </w:tcBorders>
            <w:shd w:val="clear" w:color="000000" w:fill="BDD7EE"/>
            <w:noWrap/>
            <w:vAlign w:val="bottom"/>
          </w:tcPr>
          <w:p w:rsidR="00CA2B37" w:rsidRPr="00CA2B37" w:rsidRDefault="003E24F7" w:rsidP="001827E2">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25,051,916</w:t>
            </w:r>
          </w:p>
        </w:tc>
        <w:tc>
          <w:tcPr>
            <w:tcW w:w="1073"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63" w:type="dxa"/>
            <w:tcBorders>
              <w:top w:val="nil"/>
              <w:left w:val="nil"/>
              <w:bottom w:val="single" w:sz="8" w:space="0" w:color="auto"/>
              <w:right w:val="single" w:sz="8" w:space="0" w:color="auto"/>
            </w:tcBorders>
            <w:shd w:val="clear" w:color="000000" w:fill="BDD7EE"/>
            <w:noWrap/>
            <w:vAlign w:val="bottom"/>
            <w:hideMark/>
          </w:tcPr>
          <w:p w:rsidR="00CA2B37" w:rsidRPr="00CA2B37" w:rsidRDefault="001A407A" w:rsidP="001A407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3,666</w:t>
            </w:r>
          </w:p>
        </w:tc>
        <w:tc>
          <w:tcPr>
            <w:tcW w:w="1342"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42" w:type="dxa"/>
            <w:tcBorders>
              <w:top w:val="nil"/>
              <w:left w:val="nil"/>
              <w:bottom w:val="single" w:sz="8" w:space="0" w:color="auto"/>
              <w:right w:val="single" w:sz="8" w:space="0" w:color="auto"/>
            </w:tcBorders>
            <w:shd w:val="clear" w:color="000000" w:fill="BDD7EE"/>
            <w:noWrap/>
            <w:vAlign w:val="bottom"/>
            <w:hideMark/>
          </w:tcPr>
          <w:p w:rsidR="00CA2B37" w:rsidRPr="00CA2B37" w:rsidRDefault="00CA2B37" w:rsidP="001A407A">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646D0D">
              <w:rPr>
                <w:rFonts w:ascii="Calibri" w:hAnsi="Calibri" w:cs="Calibri"/>
                <w:b/>
                <w:bCs/>
                <w:color w:val="000000"/>
                <w:sz w:val="22"/>
                <w:szCs w:val="22"/>
              </w:rPr>
              <w:t>97,035.</w:t>
            </w:r>
            <w:r w:rsidR="001A407A">
              <w:rPr>
                <w:rFonts w:ascii="Calibri" w:hAnsi="Calibri" w:cs="Calibri"/>
                <w:b/>
                <w:bCs/>
                <w:color w:val="000000"/>
                <w:sz w:val="22"/>
                <w:szCs w:val="22"/>
              </w:rPr>
              <w:t>45</w:t>
            </w:r>
          </w:p>
        </w:tc>
      </w:tr>
    </w:tbl>
    <w:p w:rsidR="00CA2B37" w:rsidRDefault="00CA2B37" w:rsidP="00CA2B37">
      <w:pPr>
        <w:ind w:left="-360"/>
        <w:rPr>
          <w:sz w:val="24"/>
          <w:szCs w:val="24"/>
        </w:rPr>
      </w:pPr>
    </w:p>
    <w:p w:rsidR="004F26E9" w:rsidRDefault="004F26E9" w:rsidP="00CA2B37">
      <w:pPr>
        <w:ind w:left="-360"/>
        <w:rPr>
          <w:sz w:val="24"/>
          <w:szCs w:val="24"/>
        </w:rPr>
      </w:pPr>
    </w:p>
    <w:p w:rsidR="00CA2B37" w:rsidRDefault="00CA2B37" w:rsidP="00CA2B3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3410"/>
        <w:gridCol w:w="1350"/>
        <w:gridCol w:w="1170"/>
        <w:gridCol w:w="1350"/>
        <w:gridCol w:w="1352"/>
        <w:gridCol w:w="1348"/>
      </w:tblGrid>
      <w:tr w:rsidR="00185785" w:rsidRPr="000D49BA" w:rsidTr="00C4704E">
        <w:trPr>
          <w:trHeight w:val="690"/>
        </w:trPr>
        <w:tc>
          <w:tcPr>
            <w:tcW w:w="3410"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52"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8"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185785" w:rsidRPr="00185785"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hideMark/>
          </w:tcPr>
          <w:p w:rsidR="00185785" w:rsidRPr="00185785" w:rsidRDefault="00185785" w:rsidP="00185785">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50" w:type="dxa"/>
            <w:tcBorders>
              <w:top w:val="nil"/>
              <w:left w:val="nil"/>
              <w:bottom w:val="single" w:sz="4" w:space="0" w:color="auto"/>
              <w:right w:val="single" w:sz="4" w:space="0" w:color="auto"/>
            </w:tcBorders>
            <w:shd w:val="clear" w:color="000000" w:fill="FFFFFF"/>
            <w:vAlign w:val="center"/>
            <w:hideMark/>
          </w:tcPr>
          <w:p w:rsidR="00185785"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sz="4" w:space="0" w:color="auto"/>
              <w:right w:val="single" w:sz="4" w:space="0" w:color="auto"/>
            </w:tcBorders>
            <w:shd w:val="clear" w:color="000000" w:fill="FFFFFF"/>
            <w:vAlign w:val="center"/>
            <w:hideMark/>
          </w:tcPr>
          <w:p w:rsidR="00185785"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hideMark/>
          </w:tcPr>
          <w:p w:rsidR="00185785"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 (333 annualized)</w:t>
            </w:r>
          </w:p>
        </w:tc>
        <w:tc>
          <w:tcPr>
            <w:tcW w:w="1352" w:type="dxa"/>
            <w:tcBorders>
              <w:top w:val="nil"/>
              <w:left w:val="nil"/>
              <w:bottom w:val="single" w:sz="4" w:space="0" w:color="auto"/>
              <w:right w:val="single" w:sz="4" w:space="0" w:color="auto"/>
            </w:tcBorders>
            <w:shd w:val="clear" w:color="000000" w:fill="FFFFFF"/>
            <w:vAlign w:val="center"/>
            <w:hideMark/>
          </w:tcPr>
          <w:p w:rsidR="00185785"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00185785" w:rsidRPr="00185785">
              <w:rPr>
                <w:rFonts w:ascii="Calibri" w:hAnsi="Calibri" w:cs="Calibri"/>
                <w:color w:val="000000"/>
                <w:sz w:val="16"/>
                <w:szCs w:val="16"/>
              </w:rPr>
              <w:t> </w:t>
            </w:r>
          </w:p>
        </w:tc>
        <w:tc>
          <w:tcPr>
            <w:tcW w:w="1348" w:type="dxa"/>
            <w:tcBorders>
              <w:top w:val="nil"/>
              <w:left w:val="nil"/>
              <w:bottom w:val="single" w:sz="4" w:space="0" w:color="auto"/>
              <w:right w:val="single" w:sz="8" w:space="0" w:color="auto"/>
            </w:tcBorders>
            <w:shd w:val="clear" w:color="000000" w:fill="FFFFFF"/>
            <w:vAlign w:val="center"/>
            <w:hideMark/>
          </w:tcPr>
          <w:p w:rsidR="00185785" w:rsidRPr="00185785" w:rsidRDefault="007E38C6"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$3,350,000 (</w:t>
            </w:r>
            <w:r w:rsidR="00422592">
              <w:rPr>
                <w:rFonts w:ascii="Calibri" w:hAnsi="Calibri" w:cs="Calibri"/>
                <w:color w:val="000000"/>
                <w:sz w:val="16"/>
                <w:szCs w:val="16"/>
              </w:rPr>
              <w:t>$1,115,550</w:t>
            </w:r>
            <w:r>
              <w:rPr>
                <w:rFonts w:ascii="Calibri" w:hAnsi="Calibri" w:cs="Calibri"/>
                <w:color w:val="000000"/>
                <w:sz w:val="16"/>
                <w:szCs w:val="16"/>
              </w:rPr>
              <w:t>)</w:t>
            </w:r>
          </w:p>
        </w:tc>
      </w:tr>
      <w:tr w:rsidR="00640B76" w:rsidRPr="00185785"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tcPr>
          <w:p w:rsidR="00640B76" w:rsidRPr="00185785" w:rsidRDefault="0042259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50" w:type="dxa"/>
            <w:tcBorders>
              <w:top w:val="nil"/>
              <w:left w:val="nil"/>
              <w:bottom w:val="single" w:sz="4" w:space="0" w:color="auto"/>
              <w:right w:val="single" w:sz="4" w:space="0" w:color="auto"/>
            </w:tcBorders>
            <w:shd w:val="clear" w:color="000000" w:fill="FFFFFF"/>
            <w:vAlign w:val="center"/>
          </w:tcPr>
          <w:p w:rsidR="00640B76"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170" w:type="dxa"/>
            <w:tcBorders>
              <w:top w:val="nil"/>
              <w:left w:val="nil"/>
              <w:bottom w:val="single" w:sz="4" w:space="0" w:color="auto"/>
              <w:right w:val="single" w:sz="4" w:space="0" w:color="auto"/>
            </w:tcBorders>
            <w:shd w:val="clear" w:color="000000" w:fill="FFFFFF"/>
            <w:vAlign w:val="center"/>
          </w:tcPr>
          <w:p w:rsidR="00640B76"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640B76"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c>
          <w:tcPr>
            <w:tcW w:w="1352" w:type="dxa"/>
            <w:tcBorders>
              <w:top w:val="nil"/>
              <w:left w:val="nil"/>
              <w:bottom w:val="single" w:sz="4" w:space="0" w:color="auto"/>
              <w:right w:val="single" w:sz="4" w:space="0" w:color="auto"/>
            </w:tcBorders>
            <w:shd w:val="clear" w:color="000000" w:fill="FFFFFF"/>
            <w:vAlign w:val="center"/>
          </w:tcPr>
          <w:p w:rsidR="00640B76"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sz="4" w:space="0" w:color="auto"/>
              <w:right w:val="single" w:sz="8" w:space="0" w:color="auto"/>
            </w:tcBorders>
            <w:shd w:val="clear" w:color="000000" w:fill="FFFFFF"/>
            <w:vAlign w:val="center"/>
          </w:tcPr>
          <w:p w:rsidR="00640B76"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rsidR="00E6174B" w:rsidRPr="00185785"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tcPr>
          <w:p w:rsidR="00E6174B" w:rsidRPr="00185785" w:rsidRDefault="0042259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00DB7BFC">
              <w:rPr>
                <w:rFonts w:ascii="Calibri" w:hAnsi="Calibri" w:cs="Calibri"/>
                <w:color w:val="000000"/>
                <w:sz w:val="16"/>
                <w:szCs w:val="16"/>
              </w:rPr>
              <w:t xml:space="preserve"> (333 annualized)</w:t>
            </w:r>
          </w:p>
        </w:tc>
        <w:tc>
          <w:tcPr>
            <w:tcW w:w="1352"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348" w:type="dxa"/>
            <w:tcBorders>
              <w:top w:val="nil"/>
              <w:left w:val="nil"/>
              <w:bottom w:val="single" w:sz="4" w:space="0" w:color="auto"/>
              <w:right w:val="single" w:sz="8"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$300,000</w:t>
            </w:r>
            <w:r w:rsidR="00597B79">
              <w:rPr>
                <w:rFonts w:ascii="Calibri" w:hAnsi="Calibri" w:cs="Calibri"/>
                <w:color w:val="000000"/>
                <w:sz w:val="16"/>
                <w:szCs w:val="16"/>
              </w:rPr>
              <w:t xml:space="preserve"> ($99,900)</w:t>
            </w:r>
          </w:p>
        </w:tc>
      </w:tr>
      <w:tr w:rsidR="009D5789" w:rsidRPr="009D5789"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tcPr>
          <w:p w:rsidR="00E6174B" w:rsidRPr="00185785" w:rsidRDefault="00B82F92" w:rsidP="00B82F92">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w:t>
            </w:r>
            <w:r w:rsidR="00422592">
              <w:rPr>
                <w:rFonts w:ascii="Calibri" w:hAnsi="Calibri" w:cs="Calibri"/>
                <w:color w:val="000000"/>
                <w:sz w:val="16"/>
                <w:szCs w:val="16"/>
              </w:rPr>
              <w:t>eport</w:t>
            </w:r>
            <w:r w:rsidR="00B64444">
              <w:rPr>
                <w:rFonts w:ascii="Calibri" w:hAnsi="Calibri" w:cs="Calibri"/>
                <w:color w:val="000000"/>
                <w:sz w:val="16"/>
                <w:szCs w:val="16"/>
              </w:rPr>
              <w:t>s</w:t>
            </w:r>
            <w:r w:rsidR="00646D0D">
              <w:rPr>
                <w:rFonts w:ascii="Calibri" w:hAnsi="Calibri" w:cs="Calibri"/>
                <w:color w:val="000000"/>
                <w:sz w:val="16"/>
                <w:szCs w:val="16"/>
              </w:rPr>
              <w:t xml:space="preserve"> – Annual Cost</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sz="4" w:space="0" w:color="auto"/>
              <w:right w:val="single" w:sz="4" w:space="0" w:color="auto"/>
            </w:tcBorders>
            <w:shd w:val="clear" w:color="000000" w:fill="FFFFFF"/>
            <w:vAlign w:val="center"/>
          </w:tcPr>
          <w:p w:rsidR="00E6174B" w:rsidRPr="004D0E85" w:rsidRDefault="00646D0D" w:rsidP="00F510BF">
            <w:pPr>
              <w:widowControl/>
              <w:autoSpaceDE/>
              <w:autoSpaceDN/>
              <w:adjustRightInd/>
              <w:jc w:val="right"/>
              <w:rPr>
                <w:rFonts w:ascii="Calibri" w:hAnsi="Calibri" w:cs="Calibri"/>
                <w:sz w:val="16"/>
                <w:szCs w:val="16"/>
              </w:rPr>
            </w:pPr>
            <w:r w:rsidRPr="004D0E85">
              <w:rPr>
                <w:rFonts w:ascii="Calibri" w:hAnsi="Calibri" w:cs="Calibri"/>
                <w:sz w:val="16"/>
                <w:szCs w:val="16"/>
              </w:rPr>
              <w:t>25,040</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F510BF" w:rsidP="00185785">
            <w:pPr>
              <w:widowControl/>
              <w:autoSpaceDE/>
              <w:autoSpaceDN/>
              <w:adjustRightInd/>
              <w:jc w:val="right"/>
              <w:rPr>
                <w:rFonts w:ascii="Calibri" w:hAnsi="Calibri" w:cs="Calibri"/>
                <w:color w:val="000000"/>
                <w:sz w:val="16"/>
                <w:szCs w:val="16"/>
              </w:rPr>
            </w:pPr>
            <w:r w:rsidRPr="004D0E85">
              <w:rPr>
                <w:rFonts w:ascii="Calibri" w:hAnsi="Calibri" w:cs="Calibri"/>
                <w:sz w:val="16"/>
                <w:szCs w:val="16"/>
              </w:rPr>
              <w:t>25,040,000</w:t>
            </w:r>
          </w:p>
        </w:tc>
        <w:tc>
          <w:tcPr>
            <w:tcW w:w="1352"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$1,051.20</w:t>
            </w:r>
          </w:p>
        </w:tc>
        <w:tc>
          <w:tcPr>
            <w:tcW w:w="1348" w:type="dxa"/>
            <w:tcBorders>
              <w:top w:val="nil"/>
              <w:left w:val="nil"/>
              <w:bottom w:val="single" w:sz="4" w:space="0" w:color="auto"/>
              <w:right w:val="single" w:sz="8" w:space="0" w:color="auto"/>
            </w:tcBorders>
            <w:shd w:val="clear" w:color="000000" w:fill="FFFFFF"/>
            <w:vAlign w:val="center"/>
          </w:tcPr>
          <w:p w:rsidR="00E6174B" w:rsidRPr="004D0E85" w:rsidRDefault="009D5789" w:rsidP="00185785">
            <w:pPr>
              <w:widowControl/>
              <w:autoSpaceDE/>
              <w:autoSpaceDN/>
              <w:adjustRightInd/>
              <w:jc w:val="right"/>
              <w:rPr>
                <w:rFonts w:ascii="Calibri" w:hAnsi="Calibri" w:cs="Calibri"/>
                <w:sz w:val="16"/>
                <w:szCs w:val="16"/>
              </w:rPr>
            </w:pPr>
            <w:r w:rsidRPr="004D0E85">
              <w:rPr>
                <w:rFonts w:ascii="Calibri" w:hAnsi="Calibri" w:cs="Calibri"/>
                <w:sz w:val="16"/>
                <w:szCs w:val="16"/>
              </w:rPr>
              <w:t>1,051,200</w:t>
            </w:r>
          </w:p>
        </w:tc>
      </w:tr>
      <w:tr w:rsidR="00E6174B" w:rsidRPr="00185785"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tcPr>
          <w:p w:rsidR="00E6174B" w:rsidRPr="00185785" w:rsidRDefault="0042259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352"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48" w:type="dxa"/>
            <w:tcBorders>
              <w:top w:val="nil"/>
              <w:left w:val="nil"/>
              <w:bottom w:val="single" w:sz="4" w:space="0" w:color="auto"/>
              <w:right w:val="single" w:sz="8"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00E6174B" w:rsidRPr="00185785" w:rsidTr="00C4704E">
        <w:trPr>
          <w:trHeight w:val="300"/>
        </w:trPr>
        <w:tc>
          <w:tcPr>
            <w:tcW w:w="3410" w:type="dxa"/>
            <w:tcBorders>
              <w:top w:val="nil"/>
              <w:left w:val="single" w:sz="4" w:space="0" w:color="auto"/>
              <w:bottom w:val="single" w:sz="4" w:space="0" w:color="auto"/>
              <w:right w:val="single" w:sz="4" w:space="0" w:color="auto"/>
            </w:tcBorders>
            <w:shd w:val="clear" w:color="auto" w:fill="auto"/>
            <w:vAlign w:val="center"/>
          </w:tcPr>
          <w:p w:rsidR="00E6174B" w:rsidRPr="00185785" w:rsidRDefault="00422592" w:rsidP="00185785">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352" w:type="dxa"/>
            <w:tcBorders>
              <w:top w:val="nil"/>
              <w:left w:val="nil"/>
              <w:bottom w:val="single" w:sz="4" w:space="0" w:color="auto"/>
              <w:right w:val="single" w:sz="4"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48" w:type="dxa"/>
            <w:tcBorders>
              <w:top w:val="nil"/>
              <w:left w:val="nil"/>
              <w:bottom w:val="single" w:sz="4" w:space="0" w:color="auto"/>
              <w:right w:val="single" w:sz="8" w:space="0" w:color="auto"/>
            </w:tcBorders>
            <w:shd w:val="clear" w:color="000000" w:fill="FFFFFF"/>
            <w:vAlign w:val="center"/>
          </w:tcPr>
          <w:p w:rsidR="00E6174B" w:rsidRPr="00185785" w:rsidRDefault="00422592" w:rsidP="001857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00185785" w:rsidRPr="00185785" w:rsidTr="00C4704E">
        <w:trPr>
          <w:trHeight w:val="315"/>
        </w:trPr>
        <w:tc>
          <w:tcPr>
            <w:tcW w:w="341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185785" w:rsidRPr="00185785" w:rsidRDefault="00185785" w:rsidP="000D49BA">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50"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185785" w:rsidRPr="00185785" w:rsidRDefault="00F510BF" w:rsidP="00F510B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25,051</w:t>
            </w:r>
            <w:r w:rsidR="000D5760">
              <w:rPr>
                <w:rFonts w:ascii="Calibri" w:hAnsi="Calibri" w:cs="Calibri"/>
                <w:b/>
                <w:bCs/>
                <w:color w:val="000000"/>
                <w:sz w:val="16"/>
                <w:szCs w:val="16"/>
              </w:rPr>
              <w:t>,</w:t>
            </w:r>
            <w:r w:rsidR="004D0E85">
              <w:rPr>
                <w:rFonts w:ascii="Calibri" w:hAnsi="Calibri" w:cs="Calibri"/>
                <w:b/>
                <w:bCs/>
                <w:color w:val="000000"/>
                <w:sz w:val="16"/>
                <w:szCs w:val="16"/>
              </w:rPr>
              <w:t>916</w:t>
            </w:r>
          </w:p>
        </w:tc>
        <w:tc>
          <w:tcPr>
            <w:tcW w:w="1352"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RDefault="00185785" w:rsidP="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RPr="00185785" w:rsidRDefault="000D5760" w:rsidP="004D0E8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4D0E85">
              <w:rPr>
                <w:rFonts w:ascii="Calibri" w:hAnsi="Calibri" w:cs="Calibri"/>
                <w:b/>
                <w:bCs/>
                <w:color w:val="000000"/>
                <w:sz w:val="16"/>
                <w:szCs w:val="16"/>
              </w:rPr>
              <w:t>2,266,900</w:t>
            </w:r>
          </w:p>
        </w:tc>
      </w:tr>
    </w:tbl>
    <w:p w:rsidR="004F26E9" w:rsidRDefault="004F26E9" w:rsidP="00493868">
      <w:pPr>
        <w:tabs>
          <w:tab w:val="left" w:pos="540"/>
        </w:tabs>
        <w:ind w:left="540"/>
        <w:rPr>
          <w:sz w:val="24"/>
          <w:szCs w:val="24"/>
        </w:r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0D49BA" w:rsidRPr="00F37052" w:rsidTr="000D49BA">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F37052" w:rsidRPr="00F37052" w:rsidTr="000D49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E25DA1" w:rsidP="008209CF">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RDefault="00824E4E"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00F37052"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556F39" w:rsidP="00346C1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00F37052"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824E4E"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F37052"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556F39" w:rsidP="00346C1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00F37052"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15"/>
        </w:trPr>
        <w:tc>
          <w:tcPr>
            <w:tcW w:w="1970" w:type="dxa"/>
            <w:tcBorders>
              <w:top w:val="nil"/>
              <w:left w:val="single" w:sz="8" w:space="0" w:color="auto"/>
              <w:bottom w:val="nil"/>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1A46F7" w:rsidRPr="00F37052" w:rsidTr="001A46F7">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556F39" w:rsidP="004D0E85">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00F37052"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556F39" w:rsidP="00346C15">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00F37052" w:rsidRPr="00F37052">
              <w:rPr>
                <w:rFonts w:ascii="Calibri" w:hAnsi="Calibri" w:cs="Calibri"/>
                <w:b/>
                <w:color w:val="000000"/>
                <w:sz w:val="16"/>
                <w:szCs w:val="16"/>
              </w:rPr>
              <w:t> </w:t>
            </w:r>
          </w:p>
        </w:tc>
      </w:tr>
    </w:tbl>
    <w:p w:rsidR="004F26E9" w:rsidRDefault="004F26E9" w:rsidP="00493868">
      <w:pPr>
        <w:tabs>
          <w:tab w:val="left" w:pos="540"/>
        </w:tabs>
        <w:ind w:left="540"/>
        <w:rPr>
          <w:sz w:val="24"/>
          <w:szCs w:val="24"/>
        </w:rPr>
      </w:pPr>
    </w:p>
    <w:p w:rsidR="004F26E9" w:rsidRDefault="004F26E9" w:rsidP="00493868">
      <w:pPr>
        <w:tabs>
          <w:tab w:val="left" w:pos="540"/>
        </w:tabs>
        <w:ind w:left="540"/>
        <w:rPr>
          <w:sz w:val="24"/>
          <w:szCs w:val="24"/>
        </w:rPr>
      </w:pPr>
    </w:p>
    <w:p w:rsidR="00732713" w:rsidRDefault="00732713" w:rsidP="00493868">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rsidR="00A110F0" w:rsidRDefault="00A110F0" w:rsidP="00732713">
      <w:pPr>
        <w:rPr>
          <w:sz w:val="24"/>
          <w:szCs w:val="24"/>
        </w:rPr>
      </w:pPr>
    </w:p>
    <w:p w:rsidR="00732713" w:rsidRPr="00732713" w:rsidRDefault="00732713" w:rsidP="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RDefault="004F26E9" w:rsidP="00493868">
      <w:pPr>
        <w:tabs>
          <w:tab w:val="left" w:pos="540"/>
        </w:tabs>
        <w:ind w:left="540"/>
        <w:rPr>
          <w:sz w:val="24"/>
          <w:szCs w:val="24"/>
        </w:rPr>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00732713" w:rsidRPr="00A110F0" w:rsidTr="00984CDB">
        <w:tc>
          <w:tcPr>
            <w:tcW w:w="2478" w:type="dxa"/>
            <w:vMerge w:val="restart"/>
            <w:shd w:val="clear" w:color="auto" w:fill="5B9BD5" w:themeFill="accent1"/>
            <w:vAlign w:val="center"/>
          </w:tcPr>
          <w:p w:rsidR="00732713" w:rsidRPr="00A110F0" w:rsidRDefault="00A110F0"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133" w:type="dxa"/>
            <w:gridSpan w:val="2"/>
            <w:tcBorders>
              <w:bottom w:val="single" w:sz="4" w:space="0" w:color="auto"/>
            </w:tcBorders>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Respondents</w:t>
            </w:r>
          </w:p>
        </w:tc>
        <w:tc>
          <w:tcPr>
            <w:tcW w:w="2132" w:type="dxa"/>
            <w:gridSpan w:val="2"/>
            <w:tcBorders>
              <w:bottom w:val="single" w:sz="4" w:space="0" w:color="auto"/>
            </w:tcBorders>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Responses</w:t>
            </w:r>
          </w:p>
        </w:tc>
        <w:tc>
          <w:tcPr>
            <w:tcW w:w="2259" w:type="dxa"/>
            <w:gridSpan w:val="2"/>
            <w:tcBorders>
              <w:bottom w:val="single" w:sz="4" w:space="0" w:color="auto"/>
            </w:tcBorders>
            <w:shd w:val="clear" w:color="auto" w:fill="5B9BD5" w:themeFill="accent1"/>
            <w:vAlign w:val="center"/>
          </w:tcPr>
          <w:p w:rsidR="00732713" w:rsidRPr="00A110F0" w:rsidRDefault="00A33F94" w:rsidP="00FD3D2A">
            <w:pPr>
              <w:keepNext/>
              <w:jc w:val="center"/>
              <w:rPr>
                <w:rFonts w:asciiTheme="minorHAnsi" w:eastAsia="Calibri" w:hAnsiTheme="minorHAnsi"/>
                <w:b/>
                <w:sz w:val="16"/>
                <w:szCs w:val="16"/>
              </w:rPr>
            </w:pPr>
            <w:r>
              <w:rPr>
                <w:rFonts w:asciiTheme="minorHAnsi" w:eastAsia="Calibri" w:hAnsiTheme="minorHAnsi"/>
                <w:b/>
                <w:sz w:val="16"/>
                <w:szCs w:val="16"/>
              </w:rPr>
              <w:t xml:space="preserve">Annual </w:t>
            </w:r>
            <w:r w:rsidR="00732713" w:rsidRPr="00A110F0">
              <w:rPr>
                <w:rFonts w:asciiTheme="minorHAnsi" w:eastAsia="Calibri" w:hAnsiTheme="minorHAnsi"/>
                <w:b/>
                <w:sz w:val="16"/>
                <w:szCs w:val="16"/>
              </w:rPr>
              <w:t>Burden Hours</w:t>
            </w:r>
          </w:p>
        </w:tc>
        <w:tc>
          <w:tcPr>
            <w:tcW w:w="4390" w:type="dxa"/>
            <w:vMerge w:val="restart"/>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732713" w:rsidRPr="00A110F0" w:rsidTr="00984CDB">
        <w:tc>
          <w:tcPr>
            <w:tcW w:w="2478" w:type="dxa"/>
            <w:vMerge/>
            <w:shd w:val="clear" w:color="auto" w:fill="5B9BD5" w:themeFill="accent1"/>
            <w:vAlign w:val="center"/>
          </w:tcPr>
          <w:p w:rsidR="00732713" w:rsidRPr="00A110F0" w:rsidRDefault="00732713" w:rsidP="00FD3D2A">
            <w:pPr>
              <w:keepNext/>
              <w:rPr>
                <w:rFonts w:asciiTheme="minorHAnsi" w:eastAsia="Calibri" w:hAnsiTheme="minorHAnsi"/>
                <w:sz w:val="16"/>
                <w:szCs w:val="16"/>
              </w:rPr>
            </w:pPr>
          </w:p>
        </w:tc>
        <w:tc>
          <w:tcPr>
            <w:tcW w:w="1071" w:type="dxa"/>
            <w:tcBorders>
              <w:bottom w:val="single" w:sz="4" w:space="0" w:color="auto"/>
              <w:righ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062" w:type="dxa"/>
            <w:tcBorders>
              <w:left w:val="dashed" w:sz="4" w:space="0" w:color="auto"/>
              <w:bottom w:val="single"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003" w:type="dxa"/>
            <w:tcBorders>
              <w:right w:val="dashed" w:sz="4" w:space="0" w:color="auto"/>
            </w:tcBorders>
            <w:shd w:val="clear" w:color="auto" w:fill="FBE4D5"/>
            <w:vAlign w:val="center"/>
          </w:tcPr>
          <w:p w:rsidR="00732713" w:rsidRPr="00A110F0" w:rsidRDefault="00732713" w:rsidP="00A110F0">
            <w:pPr>
              <w:keepNext/>
              <w:jc w:val="center"/>
              <w:rPr>
                <w:rFonts w:asciiTheme="minorHAnsi" w:eastAsia="Calibri" w:hAnsiTheme="minorHAnsi"/>
                <w:sz w:val="16"/>
                <w:szCs w:val="16"/>
              </w:rPr>
            </w:pPr>
            <w:r w:rsidRPr="00A110F0">
              <w:rPr>
                <w:rFonts w:asciiTheme="minorHAnsi" w:eastAsia="Calibri" w:hAnsiTheme="minorHAnsi"/>
                <w:sz w:val="16"/>
                <w:szCs w:val="16"/>
              </w:rPr>
              <w:t>Curren</w:t>
            </w:r>
            <w:r w:rsidR="00A110F0" w:rsidRPr="00A110F0">
              <w:rPr>
                <w:rFonts w:asciiTheme="minorHAnsi" w:eastAsia="Calibri" w:hAnsiTheme="minorHAnsi"/>
                <w:sz w:val="16"/>
                <w:szCs w:val="16"/>
              </w:rPr>
              <w:t>t Renewal / Revision</w:t>
            </w:r>
          </w:p>
        </w:tc>
        <w:tc>
          <w:tcPr>
            <w:tcW w:w="1129" w:type="dxa"/>
            <w:tcBorders>
              <w:lef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129" w:type="dxa"/>
            <w:tcBorders>
              <w:bottom w:val="single" w:sz="4" w:space="0" w:color="auto"/>
              <w:righ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130" w:type="dxa"/>
            <w:tcBorders>
              <w:lef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4390" w:type="dxa"/>
            <w:vMerge/>
            <w:shd w:val="clear" w:color="auto" w:fill="FBE4D5"/>
            <w:vAlign w:val="center"/>
          </w:tcPr>
          <w:p w:rsidR="00732713" w:rsidRPr="00A110F0" w:rsidRDefault="00732713" w:rsidP="00FD3D2A">
            <w:pPr>
              <w:keepNext/>
              <w:rPr>
                <w:rFonts w:asciiTheme="minorHAnsi" w:eastAsia="Calibri" w:hAnsiTheme="minorHAnsi"/>
                <w:sz w:val="16"/>
                <w:szCs w:val="16"/>
              </w:rPr>
            </w:pPr>
          </w:p>
        </w:tc>
      </w:tr>
      <w:tr w:rsidR="00732713" w:rsidRPr="00A110F0" w:rsidTr="00984CDB">
        <w:tc>
          <w:tcPr>
            <w:tcW w:w="2478" w:type="dxa"/>
            <w:shd w:val="clear" w:color="auto" w:fill="auto"/>
            <w:vAlign w:val="center"/>
          </w:tcPr>
          <w:p w:rsidR="00732713" w:rsidRPr="00A110F0" w:rsidRDefault="007A598B" w:rsidP="00FD3D2A">
            <w:pPr>
              <w:rPr>
                <w:rFonts w:asciiTheme="minorHAnsi" w:hAnsiTheme="minorHAnsi"/>
                <w:sz w:val="16"/>
                <w:szCs w:val="16"/>
              </w:rPr>
            </w:pPr>
            <w:r>
              <w:rPr>
                <w:rFonts w:asciiTheme="minorHAnsi" w:hAnsiTheme="minorHAnsi"/>
                <w:sz w:val="16"/>
                <w:szCs w:val="16"/>
              </w:rPr>
              <w:t>Initial Installation</w:t>
            </w:r>
            <w:r w:rsidR="007D0038">
              <w:rPr>
                <w:rFonts w:asciiTheme="minorHAnsi" w:hAnsiTheme="minorHAnsi"/>
                <w:sz w:val="16"/>
                <w:szCs w:val="16"/>
              </w:rPr>
              <w:t xml:space="preserve"> &amp; Maintenance &amp; Activation Report</w:t>
            </w:r>
          </w:p>
        </w:tc>
        <w:tc>
          <w:tcPr>
            <w:tcW w:w="1071" w:type="dxa"/>
            <w:tcBorders>
              <w:bottom w:val="dotted" w:sz="4" w:space="0" w:color="auto"/>
              <w:right w:val="dashed" w:sz="4" w:space="0" w:color="auto"/>
            </w:tcBorders>
            <w:shd w:val="clear" w:color="auto" w:fill="auto"/>
            <w:vAlign w:val="center"/>
          </w:tcPr>
          <w:p w:rsidR="00732713" w:rsidRPr="00A110F0" w:rsidRDefault="007A598B" w:rsidP="00FD3D2A">
            <w:pPr>
              <w:jc w:val="center"/>
              <w:rPr>
                <w:rFonts w:asciiTheme="minorHAnsi" w:eastAsia="Calibri" w:hAnsiTheme="minorHAnsi"/>
                <w:sz w:val="16"/>
                <w:szCs w:val="16"/>
              </w:rPr>
            </w:pPr>
            <w:r>
              <w:rPr>
                <w:rFonts w:asciiTheme="minorHAnsi" w:eastAsia="Calibri" w:hAnsiTheme="minorHAnsi"/>
                <w:sz w:val="16"/>
                <w:szCs w:val="16"/>
              </w:rPr>
              <w:t>1000</w:t>
            </w:r>
          </w:p>
        </w:tc>
        <w:tc>
          <w:tcPr>
            <w:tcW w:w="1062" w:type="dxa"/>
            <w:tcBorders>
              <w:left w:val="dashed" w:sz="4" w:space="0" w:color="auto"/>
              <w:bottom w:val="dotted" w:sz="4" w:space="0" w:color="auto"/>
            </w:tcBorders>
            <w:shd w:val="clear" w:color="auto" w:fill="auto"/>
            <w:vAlign w:val="center"/>
          </w:tcPr>
          <w:p w:rsidR="00732713" w:rsidRPr="00A110F0" w:rsidRDefault="00A33F94" w:rsidP="00FD3D2A">
            <w:pPr>
              <w:keepNext/>
              <w:jc w:val="center"/>
              <w:rPr>
                <w:rFonts w:asciiTheme="minorHAnsi" w:eastAsia="Calibri" w:hAnsiTheme="minorHAnsi"/>
                <w:sz w:val="16"/>
                <w:szCs w:val="16"/>
              </w:rPr>
            </w:pPr>
            <w:r>
              <w:rPr>
                <w:rFonts w:asciiTheme="minorHAnsi" w:eastAsia="Calibri" w:hAnsiTheme="minorHAnsi"/>
                <w:sz w:val="16"/>
                <w:szCs w:val="16"/>
              </w:rPr>
              <w:t>1000</w:t>
            </w:r>
          </w:p>
        </w:tc>
        <w:tc>
          <w:tcPr>
            <w:tcW w:w="1003" w:type="dxa"/>
            <w:tcBorders>
              <w:bottom w:val="dotted" w:sz="4" w:space="0" w:color="auto"/>
              <w:right w:val="dashed" w:sz="4" w:space="0" w:color="auto"/>
            </w:tcBorders>
            <w:shd w:val="clear" w:color="auto" w:fill="auto"/>
            <w:vAlign w:val="center"/>
          </w:tcPr>
          <w:p w:rsidR="00732713" w:rsidRPr="00A110F0" w:rsidRDefault="004C58BE" w:rsidP="00FD3D2A">
            <w:pPr>
              <w:jc w:val="center"/>
              <w:rPr>
                <w:rFonts w:asciiTheme="minorHAnsi" w:eastAsia="Calibri" w:hAnsiTheme="minorHAnsi"/>
                <w:sz w:val="16"/>
                <w:szCs w:val="16"/>
              </w:rPr>
            </w:pPr>
            <w:r>
              <w:rPr>
                <w:rFonts w:asciiTheme="minorHAnsi" w:eastAsia="Calibri" w:hAnsiTheme="minorHAnsi"/>
                <w:sz w:val="16"/>
                <w:szCs w:val="16"/>
              </w:rPr>
              <w:t>333</w:t>
            </w:r>
          </w:p>
        </w:tc>
        <w:tc>
          <w:tcPr>
            <w:tcW w:w="1129" w:type="dxa"/>
            <w:tcBorders>
              <w:left w:val="dashed" w:sz="4" w:space="0" w:color="auto"/>
              <w:bottom w:val="dotted" w:sz="4" w:space="0" w:color="auto"/>
            </w:tcBorders>
            <w:shd w:val="clear" w:color="auto" w:fill="auto"/>
            <w:vAlign w:val="center"/>
          </w:tcPr>
          <w:p w:rsidR="00732713" w:rsidRPr="00A110F0" w:rsidRDefault="00A33F94" w:rsidP="00FD3D2A">
            <w:pPr>
              <w:keepNext/>
              <w:jc w:val="center"/>
              <w:rPr>
                <w:rFonts w:asciiTheme="minorHAnsi" w:eastAsia="Calibri" w:hAnsiTheme="minorHAnsi"/>
                <w:sz w:val="16"/>
                <w:szCs w:val="16"/>
              </w:rPr>
            </w:pPr>
            <w:r>
              <w:rPr>
                <w:rFonts w:asciiTheme="minorHAnsi" w:eastAsia="Calibri" w:hAnsiTheme="minorHAnsi"/>
                <w:sz w:val="16"/>
                <w:szCs w:val="16"/>
              </w:rPr>
              <w:t>250</w:t>
            </w:r>
          </w:p>
        </w:tc>
        <w:tc>
          <w:tcPr>
            <w:tcW w:w="1129" w:type="dxa"/>
            <w:tcBorders>
              <w:bottom w:val="dotted" w:sz="4" w:space="0" w:color="auto"/>
              <w:right w:val="dashed" w:sz="4" w:space="0" w:color="auto"/>
            </w:tcBorders>
            <w:shd w:val="clear" w:color="auto" w:fill="auto"/>
            <w:vAlign w:val="center"/>
          </w:tcPr>
          <w:p w:rsidR="00732713" w:rsidRPr="00A110F0" w:rsidRDefault="009F1247" w:rsidP="00FD3D2A">
            <w:pPr>
              <w:jc w:val="center"/>
              <w:rPr>
                <w:rFonts w:asciiTheme="minorHAnsi" w:eastAsia="Calibri" w:hAnsiTheme="minorHAnsi"/>
                <w:sz w:val="16"/>
                <w:szCs w:val="16"/>
              </w:rPr>
            </w:pPr>
            <w:r>
              <w:rPr>
                <w:rFonts w:asciiTheme="minorHAnsi" w:eastAsia="Calibri" w:hAnsiTheme="minorHAnsi"/>
                <w:sz w:val="16"/>
                <w:szCs w:val="16"/>
              </w:rPr>
              <w:t>2,916</w:t>
            </w:r>
          </w:p>
        </w:tc>
        <w:tc>
          <w:tcPr>
            <w:tcW w:w="1130" w:type="dxa"/>
            <w:tcBorders>
              <w:left w:val="dashed" w:sz="4" w:space="0" w:color="auto"/>
              <w:bottom w:val="dotted" w:sz="4" w:space="0" w:color="auto"/>
            </w:tcBorders>
            <w:shd w:val="clear" w:color="auto" w:fill="auto"/>
            <w:vAlign w:val="center"/>
          </w:tcPr>
          <w:p w:rsidR="00732713" w:rsidRPr="00A110F0" w:rsidRDefault="007D0038" w:rsidP="00FD3D2A">
            <w:pPr>
              <w:keepNext/>
              <w:jc w:val="center"/>
              <w:rPr>
                <w:rFonts w:asciiTheme="minorHAnsi" w:eastAsia="Calibri" w:hAnsiTheme="minorHAnsi"/>
                <w:sz w:val="16"/>
                <w:szCs w:val="16"/>
              </w:rPr>
            </w:pPr>
            <w:r>
              <w:rPr>
                <w:rFonts w:asciiTheme="minorHAnsi" w:eastAsia="Calibri" w:hAnsiTheme="minorHAnsi"/>
                <w:sz w:val="16"/>
                <w:szCs w:val="16"/>
              </w:rPr>
              <w:t>21</w:t>
            </w:r>
          </w:p>
        </w:tc>
        <w:tc>
          <w:tcPr>
            <w:tcW w:w="4390" w:type="dxa"/>
            <w:tcBorders>
              <w:left w:val="dotted" w:sz="4" w:space="0" w:color="auto"/>
              <w:bottom w:val="dotted" w:sz="4" w:space="0" w:color="auto"/>
            </w:tcBorders>
            <w:shd w:val="clear" w:color="auto" w:fill="auto"/>
            <w:vAlign w:val="center"/>
          </w:tcPr>
          <w:p w:rsidR="00732713" w:rsidRPr="00A110F0" w:rsidRDefault="009F1247" w:rsidP="00FD3D2A">
            <w:pPr>
              <w:rPr>
                <w:rFonts w:asciiTheme="minorHAnsi" w:eastAsia="Calibri" w:hAnsiTheme="minorHAnsi"/>
                <w:sz w:val="16"/>
                <w:szCs w:val="16"/>
              </w:rPr>
            </w:pPr>
            <w:r>
              <w:rPr>
                <w:rFonts w:asciiTheme="minorHAnsi" w:eastAsia="Calibri" w:hAnsiTheme="minorHAnsi"/>
                <w:sz w:val="16"/>
                <w:szCs w:val="16"/>
              </w:rPr>
              <w:t>Previous renewal calculated responses on a 4-year renewal period, not 3-year.  Burden hours incorrectly calculated in minutes instead of hours.</w:t>
            </w:r>
          </w:p>
        </w:tc>
      </w:tr>
      <w:tr w:rsidR="00732713" w:rsidRPr="00A110F0" w:rsidTr="00984CDB">
        <w:tc>
          <w:tcPr>
            <w:tcW w:w="2478" w:type="dxa"/>
            <w:shd w:val="clear" w:color="auto" w:fill="auto"/>
            <w:vAlign w:val="center"/>
          </w:tcPr>
          <w:p w:rsidR="00732713" w:rsidRPr="00A110F0" w:rsidRDefault="007A598B" w:rsidP="00FD3D2A">
            <w:pPr>
              <w:rPr>
                <w:rFonts w:asciiTheme="minorHAnsi" w:hAnsiTheme="minorHAnsi"/>
                <w:sz w:val="16"/>
                <w:szCs w:val="16"/>
              </w:rPr>
            </w:pPr>
            <w:r>
              <w:rPr>
                <w:rFonts w:asciiTheme="minorHAnsi" w:hAnsiTheme="minorHAnsi"/>
                <w:sz w:val="16"/>
                <w:szCs w:val="16"/>
              </w:rPr>
              <w:t>Position reports</w:t>
            </w:r>
          </w:p>
        </w:tc>
        <w:tc>
          <w:tcPr>
            <w:tcW w:w="1071" w:type="dxa"/>
            <w:tcBorders>
              <w:bottom w:val="dotted" w:sz="4" w:space="0" w:color="auto"/>
              <w:right w:val="dashed" w:sz="4" w:space="0" w:color="auto"/>
            </w:tcBorders>
            <w:shd w:val="clear" w:color="auto" w:fill="auto"/>
            <w:vAlign w:val="center"/>
          </w:tcPr>
          <w:p w:rsidR="00732713" w:rsidRPr="00A110F0" w:rsidRDefault="007A598B" w:rsidP="00FD3D2A">
            <w:pPr>
              <w:jc w:val="center"/>
              <w:rPr>
                <w:rFonts w:asciiTheme="minorHAnsi" w:eastAsia="Calibri" w:hAnsiTheme="minorHAnsi"/>
                <w:sz w:val="16"/>
                <w:szCs w:val="16"/>
              </w:rPr>
            </w:pPr>
            <w:r>
              <w:rPr>
                <w:rFonts w:asciiTheme="minorHAnsi" w:eastAsia="Calibri" w:hAnsiTheme="minorHAnsi"/>
                <w:sz w:val="16"/>
                <w:szCs w:val="16"/>
              </w:rPr>
              <w:t>1000</w:t>
            </w:r>
          </w:p>
        </w:tc>
        <w:tc>
          <w:tcPr>
            <w:tcW w:w="1062" w:type="dxa"/>
            <w:tcBorders>
              <w:left w:val="dashed" w:sz="4" w:space="0" w:color="auto"/>
              <w:bottom w:val="dotted" w:sz="4" w:space="0" w:color="auto"/>
            </w:tcBorders>
            <w:shd w:val="clear" w:color="auto" w:fill="auto"/>
            <w:vAlign w:val="center"/>
          </w:tcPr>
          <w:p w:rsidR="00732713" w:rsidRPr="00A110F0" w:rsidRDefault="007D71BD" w:rsidP="00FD3D2A">
            <w:pPr>
              <w:keepNext/>
              <w:jc w:val="center"/>
              <w:rPr>
                <w:rFonts w:asciiTheme="minorHAnsi" w:eastAsia="Calibri" w:hAnsiTheme="minorHAnsi"/>
                <w:sz w:val="16"/>
                <w:szCs w:val="16"/>
              </w:rPr>
            </w:pPr>
            <w:r>
              <w:rPr>
                <w:rFonts w:asciiTheme="minorHAnsi" w:eastAsia="Calibri" w:hAnsiTheme="minorHAnsi"/>
                <w:sz w:val="16"/>
                <w:szCs w:val="16"/>
              </w:rPr>
              <w:t>NA</w:t>
            </w:r>
          </w:p>
        </w:tc>
        <w:tc>
          <w:tcPr>
            <w:tcW w:w="1003" w:type="dxa"/>
            <w:tcBorders>
              <w:bottom w:val="dotted" w:sz="4" w:space="0" w:color="auto"/>
              <w:right w:val="dashed" w:sz="4" w:space="0" w:color="auto"/>
            </w:tcBorders>
            <w:shd w:val="clear" w:color="auto" w:fill="auto"/>
            <w:vAlign w:val="center"/>
          </w:tcPr>
          <w:p w:rsidR="00732713" w:rsidRPr="004D0E85" w:rsidRDefault="00193DA0" w:rsidP="00FD3D2A">
            <w:pPr>
              <w:jc w:val="center"/>
              <w:rPr>
                <w:rFonts w:asciiTheme="minorHAnsi" w:hAnsiTheme="minorHAnsi"/>
                <w:sz w:val="16"/>
                <w:szCs w:val="16"/>
              </w:rPr>
            </w:pPr>
            <w:r w:rsidRPr="004D0E85">
              <w:rPr>
                <w:rFonts w:ascii="Calibri" w:hAnsi="Calibri" w:cs="Calibri"/>
                <w:sz w:val="16"/>
                <w:szCs w:val="16"/>
              </w:rPr>
              <w:t>25,040,000</w:t>
            </w:r>
          </w:p>
        </w:tc>
        <w:tc>
          <w:tcPr>
            <w:tcW w:w="1129" w:type="dxa"/>
            <w:tcBorders>
              <w:left w:val="dashed" w:sz="4" w:space="0" w:color="auto"/>
              <w:bottom w:val="dotted" w:sz="4" w:space="0" w:color="auto"/>
            </w:tcBorders>
            <w:shd w:val="clear" w:color="auto" w:fill="auto"/>
            <w:vAlign w:val="center"/>
          </w:tcPr>
          <w:p w:rsidR="00732713" w:rsidRPr="00A110F0" w:rsidRDefault="007A598B" w:rsidP="00FD3D2A">
            <w:pPr>
              <w:keepNext/>
              <w:jc w:val="center"/>
              <w:rPr>
                <w:rFonts w:asciiTheme="minorHAnsi" w:eastAsia="Calibri" w:hAnsiTheme="minorHAnsi"/>
                <w:sz w:val="16"/>
                <w:szCs w:val="16"/>
              </w:rPr>
            </w:pPr>
            <w:r>
              <w:rPr>
                <w:rFonts w:asciiTheme="minorHAnsi" w:eastAsia="Calibri" w:hAnsiTheme="minorHAnsi"/>
                <w:sz w:val="16"/>
                <w:szCs w:val="16"/>
              </w:rPr>
              <w:t>NA</w:t>
            </w:r>
          </w:p>
        </w:tc>
        <w:tc>
          <w:tcPr>
            <w:tcW w:w="1129" w:type="dxa"/>
            <w:tcBorders>
              <w:bottom w:val="dotted" w:sz="4" w:space="0" w:color="auto"/>
              <w:right w:val="dashed" w:sz="4" w:space="0" w:color="auto"/>
            </w:tcBorders>
            <w:shd w:val="clear" w:color="auto" w:fill="auto"/>
            <w:vAlign w:val="center"/>
          </w:tcPr>
          <w:p w:rsidR="00732713" w:rsidRPr="00A110F0" w:rsidRDefault="007A598B" w:rsidP="00FD3D2A">
            <w:pPr>
              <w:jc w:val="center"/>
              <w:rPr>
                <w:rFonts w:asciiTheme="minorHAnsi" w:eastAsia="Calibri" w:hAnsiTheme="minorHAnsi"/>
                <w:sz w:val="16"/>
                <w:szCs w:val="16"/>
              </w:rPr>
            </w:pPr>
            <w:r>
              <w:rPr>
                <w:rFonts w:asciiTheme="minorHAnsi" w:eastAsia="Calibri" w:hAnsiTheme="minorHAnsi"/>
                <w:sz w:val="16"/>
                <w:szCs w:val="16"/>
              </w:rPr>
              <w:t>NA</w:t>
            </w:r>
          </w:p>
        </w:tc>
        <w:tc>
          <w:tcPr>
            <w:tcW w:w="1130" w:type="dxa"/>
            <w:tcBorders>
              <w:left w:val="dashed" w:sz="4" w:space="0" w:color="auto"/>
              <w:bottom w:val="dotted" w:sz="4" w:space="0" w:color="auto"/>
            </w:tcBorders>
            <w:shd w:val="clear" w:color="auto" w:fill="auto"/>
            <w:vAlign w:val="center"/>
          </w:tcPr>
          <w:p w:rsidR="00732713" w:rsidRPr="00A110F0" w:rsidRDefault="007A598B" w:rsidP="00FD3D2A">
            <w:pPr>
              <w:keepNext/>
              <w:jc w:val="center"/>
              <w:rPr>
                <w:rFonts w:asciiTheme="minorHAnsi" w:eastAsia="Calibri" w:hAnsiTheme="minorHAnsi"/>
                <w:sz w:val="16"/>
                <w:szCs w:val="16"/>
              </w:rPr>
            </w:pPr>
            <w:r>
              <w:rPr>
                <w:rFonts w:asciiTheme="minorHAnsi" w:eastAsia="Calibri" w:hAnsiTheme="minorHAnsi"/>
                <w:sz w:val="16"/>
                <w:szCs w:val="16"/>
              </w:rPr>
              <w:t>NA</w:t>
            </w:r>
          </w:p>
        </w:tc>
        <w:tc>
          <w:tcPr>
            <w:tcW w:w="4390" w:type="dxa"/>
            <w:tcBorders>
              <w:left w:val="dotted" w:sz="4" w:space="0" w:color="auto"/>
              <w:bottom w:val="dotted" w:sz="4" w:space="0" w:color="auto"/>
            </w:tcBorders>
            <w:shd w:val="clear" w:color="auto" w:fill="auto"/>
            <w:vAlign w:val="center"/>
          </w:tcPr>
          <w:p w:rsidR="00732713" w:rsidRPr="00A110F0" w:rsidRDefault="00193DA0" w:rsidP="00FD3D2A">
            <w:pPr>
              <w:keepNext/>
              <w:rPr>
                <w:rFonts w:asciiTheme="minorHAnsi" w:eastAsia="Calibri" w:hAnsiTheme="minorHAnsi"/>
                <w:sz w:val="16"/>
                <w:szCs w:val="16"/>
              </w:rPr>
            </w:pPr>
            <w:r>
              <w:rPr>
                <w:rFonts w:asciiTheme="minorHAnsi" w:eastAsia="Calibri" w:hAnsiTheme="minorHAnsi"/>
                <w:sz w:val="16"/>
                <w:szCs w:val="16"/>
              </w:rPr>
              <w:t xml:space="preserve">This is a new requirement.  </w:t>
            </w:r>
            <w:r w:rsidR="007A598B">
              <w:rPr>
                <w:rFonts w:asciiTheme="minorHAnsi" w:eastAsia="Calibri" w:hAnsiTheme="minorHAnsi"/>
                <w:sz w:val="16"/>
                <w:szCs w:val="16"/>
              </w:rPr>
              <w:t>Responses are automated.</w:t>
            </w:r>
          </w:p>
        </w:tc>
      </w:tr>
      <w:tr w:rsidR="00732713" w:rsidRPr="00A110F0" w:rsidTr="00984CDB">
        <w:tc>
          <w:tcPr>
            <w:tcW w:w="2478" w:type="dxa"/>
            <w:shd w:val="clear" w:color="auto" w:fill="auto"/>
            <w:vAlign w:val="center"/>
          </w:tcPr>
          <w:p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hAnsiTheme="minorHAnsi"/>
                <w:sz w:val="16"/>
                <w:szCs w:val="16"/>
              </w:rPr>
            </w:pPr>
          </w:p>
        </w:tc>
        <w:tc>
          <w:tcPr>
            <w:tcW w:w="1129"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rsidR="00732713" w:rsidRPr="00A110F0" w:rsidRDefault="00732713" w:rsidP="00A110F0">
            <w:pPr>
              <w:pStyle w:val="ListParagraph"/>
              <w:keepNext/>
              <w:widowControl/>
              <w:autoSpaceDE/>
              <w:autoSpaceDN/>
              <w:adjustRightInd/>
              <w:ind w:left="144"/>
              <w:contextualSpacing w:val="0"/>
              <w:rPr>
                <w:rFonts w:asciiTheme="minorHAnsi" w:eastAsia="Calibri" w:hAnsiTheme="minorHAnsi"/>
                <w:sz w:val="16"/>
                <w:szCs w:val="16"/>
              </w:rPr>
            </w:pPr>
          </w:p>
        </w:tc>
      </w:tr>
      <w:tr w:rsidR="00732713" w:rsidRPr="00A110F0" w:rsidTr="00984CDB">
        <w:tc>
          <w:tcPr>
            <w:tcW w:w="2478" w:type="dxa"/>
            <w:shd w:val="clear" w:color="auto" w:fill="auto"/>
            <w:vAlign w:val="center"/>
          </w:tcPr>
          <w:p w:rsidR="00732713" w:rsidRPr="00A110F0" w:rsidRDefault="00732713" w:rsidP="00FD3D2A">
            <w:pPr>
              <w:rPr>
                <w:rFonts w:asciiTheme="minorHAnsi" w:hAnsiTheme="minorHAnsi"/>
                <w:sz w:val="16"/>
                <w:szCs w:val="16"/>
              </w:rPr>
            </w:pPr>
          </w:p>
        </w:tc>
        <w:tc>
          <w:tcPr>
            <w:tcW w:w="1071"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eastAsia="Calibri" w:hAnsiTheme="minorHAnsi"/>
                <w:sz w:val="16"/>
                <w:szCs w:val="16"/>
              </w:rPr>
            </w:pPr>
          </w:p>
        </w:tc>
        <w:tc>
          <w:tcPr>
            <w:tcW w:w="1062"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1003"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hAnsiTheme="minorHAnsi"/>
                <w:sz w:val="16"/>
                <w:szCs w:val="16"/>
              </w:rPr>
            </w:pPr>
          </w:p>
        </w:tc>
        <w:tc>
          <w:tcPr>
            <w:tcW w:w="1129"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1129" w:type="dxa"/>
            <w:tcBorders>
              <w:bottom w:val="dotted" w:sz="4" w:space="0" w:color="auto"/>
              <w:right w:val="dashed" w:sz="4" w:space="0" w:color="auto"/>
            </w:tcBorders>
            <w:shd w:val="clear" w:color="auto" w:fill="auto"/>
            <w:vAlign w:val="center"/>
          </w:tcPr>
          <w:p w:rsidR="00732713" w:rsidRPr="00A110F0" w:rsidRDefault="00732713" w:rsidP="00FD3D2A">
            <w:pPr>
              <w:jc w:val="center"/>
              <w:rPr>
                <w:rFonts w:asciiTheme="minorHAnsi" w:eastAsia="Calibri" w:hAnsiTheme="minorHAnsi"/>
                <w:sz w:val="16"/>
                <w:szCs w:val="16"/>
              </w:rPr>
            </w:pPr>
          </w:p>
        </w:tc>
        <w:tc>
          <w:tcPr>
            <w:tcW w:w="1130" w:type="dxa"/>
            <w:tcBorders>
              <w:left w:val="dashed" w:sz="4" w:space="0" w:color="auto"/>
              <w:bottom w:val="dotted" w:sz="4" w:space="0" w:color="auto"/>
            </w:tcBorders>
            <w:shd w:val="clear" w:color="auto" w:fill="auto"/>
            <w:vAlign w:val="center"/>
          </w:tcPr>
          <w:p w:rsidR="00732713" w:rsidRPr="00A110F0" w:rsidRDefault="00732713" w:rsidP="00FD3D2A">
            <w:pPr>
              <w:keepNext/>
              <w:jc w:val="center"/>
              <w:rPr>
                <w:rFonts w:asciiTheme="minorHAnsi" w:eastAsia="Calibri" w:hAnsiTheme="minorHAnsi"/>
                <w:sz w:val="16"/>
                <w:szCs w:val="16"/>
              </w:rPr>
            </w:pPr>
          </w:p>
        </w:tc>
        <w:tc>
          <w:tcPr>
            <w:tcW w:w="4390" w:type="dxa"/>
            <w:tcBorders>
              <w:left w:val="dotted" w:sz="4" w:space="0" w:color="auto"/>
              <w:bottom w:val="dotted" w:sz="4" w:space="0" w:color="auto"/>
            </w:tcBorders>
            <w:shd w:val="clear" w:color="auto" w:fill="auto"/>
            <w:vAlign w:val="center"/>
          </w:tcPr>
          <w:p w:rsidR="00732713" w:rsidRPr="00A110F0" w:rsidRDefault="00732713" w:rsidP="00FD3D2A">
            <w:pPr>
              <w:keepNext/>
              <w:rPr>
                <w:rFonts w:asciiTheme="minorHAnsi" w:eastAsia="Calibri" w:hAnsiTheme="minorHAnsi"/>
                <w:sz w:val="16"/>
                <w:szCs w:val="16"/>
              </w:rPr>
            </w:pPr>
          </w:p>
        </w:tc>
      </w:tr>
      <w:tr w:rsidR="00732713" w:rsidRPr="00A110F0" w:rsidTr="00984CDB">
        <w:tc>
          <w:tcPr>
            <w:tcW w:w="2478" w:type="dxa"/>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071" w:type="dxa"/>
            <w:tcBorders>
              <w:right w:val="dashed" w:sz="4" w:space="0" w:color="auto"/>
            </w:tcBorders>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p>
        </w:tc>
        <w:tc>
          <w:tcPr>
            <w:tcW w:w="1062" w:type="dxa"/>
            <w:tcBorders>
              <w:left w:val="dashed" w:sz="4" w:space="0" w:color="auto"/>
            </w:tcBorders>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p>
        </w:tc>
        <w:tc>
          <w:tcPr>
            <w:tcW w:w="1003" w:type="dxa"/>
            <w:tcBorders>
              <w:bottom w:val="single" w:sz="4" w:space="0" w:color="auto"/>
              <w:right w:val="dashed" w:sz="4" w:space="0" w:color="auto"/>
            </w:tcBorders>
            <w:shd w:val="clear" w:color="auto" w:fill="BDD6EE" w:themeFill="accent1" w:themeFillTint="66"/>
            <w:vAlign w:val="center"/>
          </w:tcPr>
          <w:p w:rsidR="00732713" w:rsidRPr="00A110F0" w:rsidRDefault="00EA7AE2" w:rsidP="00FD3D2A">
            <w:pPr>
              <w:keepNext/>
              <w:jc w:val="center"/>
              <w:rPr>
                <w:rFonts w:asciiTheme="minorHAnsi" w:eastAsia="Calibri" w:hAnsiTheme="minorHAnsi"/>
                <w:b/>
                <w:sz w:val="16"/>
                <w:szCs w:val="16"/>
              </w:rPr>
            </w:pPr>
            <w:r>
              <w:rPr>
                <w:rFonts w:asciiTheme="minorHAnsi" w:eastAsia="Calibri" w:hAnsiTheme="minorHAnsi"/>
                <w:b/>
                <w:sz w:val="16"/>
                <w:szCs w:val="16"/>
              </w:rPr>
              <w:t>25,040,333</w:t>
            </w:r>
          </w:p>
        </w:tc>
        <w:tc>
          <w:tcPr>
            <w:tcW w:w="1129" w:type="dxa"/>
            <w:tcBorders>
              <w:left w:val="dashed" w:sz="4" w:space="0" w:color="auto"/>
              <w:bottom w:val="single" w:sz="4" w:space="0" w:color="auto"/>
            </w:tcBorders>
            <w:shd w:val="clear" w:color="auto" w:fill="BDD6EE" w:themeFill="accent1" w:themeFillTint="66"/>
            <w:vAlign w:val="center"/>
          </w:tcPr>
          <w:p w:rsidR="00732713" w:rsidRPr="00A110F0" w:rsidRDefault="00EA7AE2" w:rsidP="00FD3D2A">
            <w:pPr>
              <w:keepNext/>
              <w:jc w:val="center"/>
              <w:rPr>
                <w:rFonts w:asciiTheme="minorHAnsi" w:eastAsia="Calibri" w:hAnsiTheme="minorHAnsi"/>
                <w:b/>
                <w:sz w:val="16"/>
                <w:szCs w:val="16"/>
              </w:rPr>
            </w:pPr>
            <w:r>
              <w:rPr>
                <w:rFonts w:asciiTheme="minorHAnsi" w:eastAsia="Calibri" w:hAnsiTheme="minorHAnsi"/>
                <w:b/>
                <w:sz w:val="16"/>
                <w:szCs w:val="16"/>
              </w:rPr>
              <w:t>250</w:t>
            </w:r>
          </w:p>
        </w:tc>
        <w:tc>
          <w:tcPr>
            <w:tcW w:w="1129" w:type="dxa"/>
            <w:tcBorders>
              <w:right w:val="dashed" w:sz="4" w:space="0" w:color="auto"/>
            </w:tcBorders>
            <w:shd w:val="clear" w:color="auto" w:fill="BDD6EE" w:themeFill="accent1" w:themeFillTint="66"/>
            <w:vAlign w:val="center"/>
          </w:tcPr>
          <w:p w:rsidR="00732713" w:rsidRPr="00A110F0" w:rsidRDefault="009F1247" w:rsidP="00FD3D2A">
            <w:pPr>
              <w:keepNext/>
              <w:jc w:val="center"/>
              <w:rPr>
                <w:rFonts w:asciiTheme="minorHAnsi" w:eastAsia="Calibri" w:hAnsiTheme="minorHAnsi"/>
                <w:b/>
                <w:sz w:val="16"/>
                <w:szCs w:val="16"/>
              </w:rPr>
            </w:pPr>
            <w:r>
              <w:rPr>
                <w:rFonts w:asciiTheme="minorHAnsi" w:eastAsia="Calibri" w:hAnsiTheme="minorHAnsi"/>
                <w:b/>
                <w:sz w:val="16"/>
                <w:szCs w:val="16"/>
              </w:rPr>
              <w:t>2,916</w:t>
            </w:r>
          </w:p>
        </w:tc>
        <w:tc>
          <w:tcPr>
            <w:tcW w:w="1130" w:type="dxa"/>
            <w:tcBorders>
              <w:left w:val="dashed" w:sz="4" w:space="0" w:color="auto"/>
            </w:tcBorders>
            <w:shd w:val="clear" w:color="auto" w:fill="BDD6EE" w:themeFill="accent1" w:themeFillTint="66"/>
            <w:vAlign w:val="center"/>
          </w:tcPr>
          <w:p w:rsidR="00732713" w:rsidRPr="00A110F0" w:rsidRDefault="009F1247" w:rsidP="00FD3D2A">
            <w:pPr>
              <w:keepNext/>
              <w:jc w:val="center"/>
              <w:rPr>
                <w:rFonts w:asciiTheme="minorHAnsi" w:eastAsia="Calibri" w:hAnsiTheme="minorHAnsi"/>
                <w:b/>
                <w:sz w:val="16"/>
                <w:szCs w:val="16"/>
              </w:rPr>
            </w:pPr>
            <w:r>
              <w:rPr>
                <w:rFonts w:asciiTheme="minorHAnsi" w:eastAsia="Calibri" w:hAnsiTheme="minorHAnsi"/>
                <w:b/>
                <w:sz w:val="16"/>
                <w:szCs w:val="16"/>
              </w:rPr>
              <w:t>21</w:t>
            </w:r>
          </w:p>
        </w:tc>
        <w:tc>
          <w:tcPr>
            <w:tcW w:w="4390" w:type="dxa"/>
            <w:tcBorders>
              <w:left w:val="dotted" w:sz="4" w:space="0" w:color="auto"/>
            </w:tcBorders>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p>
        </w:tc>
      </w:tr>
    </w:tbl>
    <w:p w:rsidR="00732713" w:rsidRPr="00A110F0" w:rsidRDefault="00732713" w:rsidP="00784D9F">
      <w:pPr>
        <w:tabs>
          <w:tab w:val="left" w:pos="540"/>
        </w:tabs>
        <w:ind w:left="540"/>
        <w:rPr>
          <w:rFonts w:asciiTheme="minorHAnsi" w:hAnsiTheme="minorHAnsi"/>
          <w:sz w:val="16"/>
          <w:szCs w:val="16"/>
        </w:rPr>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51"/>
        <w:gridCol w:w="1155"/>
        <w:gridCol w:w="1058"/>
        <w:gridCol w:w="1252"/>
        <w:gridCol w:w="6177"/>
      </w:tblGrid>
      <w:tr w:rsidR="00A110F0" w:rsidRPr="00A110F0" w:rsidTr="00784D9F">
        <w:tc>
          <w:tcPr>
            <w:tcW w:w="2478" w:type="dxa"/>
            <w:vMerge w:val="restart"/>
            <w:shd w:val="clear" w:color="auto" w:fill="5B9BD5" w:themeFill="accent1"/>
            <w:vAlign w:val="center"/>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406" w:type="dxa"/>
            <w:gridSpan w:val="2"/>
            <w:tcBorders>
              <w:bottom w:val="single" w:sz="4" w:space="0" w:color="auto"/>
            </w:tcBorders>
            <w:shd w:val="clear" w:color="auto" w:fill="5B9BD5" w:themeFill="accent1"/>
            <w:vAlign w:val="center"/>
          </w:tcPr>
          <w:p w:rsidR="00A110F0" w:rsidRPr="00A110F0" w:rsidRDefault="00A33F94" w:rsidP="00A110F0">
            <w:pPr>
              <w:keepNext/>
              <w:shd w:val="clear" w:color="auto" w:fill="5B9BD5" w:themeFill="accent1"/>
              <w:jc w:val="center"/>
              <w:rPr>
                <w:rFonts w:asciiTheme="minorHAnsi" w:eastAsia="Calibri" w:hAnsiTheme="minorHAnsi"/>
                <w:b/>
                <w:sz w:val="16"/>
                <w:szCs w:val="16"/>
              </w:rPr>
            </w:pPr>
            <w:r>
              <w:rPr>
                <w:rFonts w:asciiTheme="minorHAnsi" w:eastAsia="Calibri" w:hAnsiTheme="minorHAnsi"/>
                <w:b/>
                <w:sz w:val="16"/>
                <w:szCs w:val="16"/>
              </w:rPr>
              <w:t xml:space="preserve">Total </w:t>
            </w:r>
            <w:r w:rsidR="00A110F0" w:rsidRPr="00A110F0">
              <w:rPr>
                <w:rFonts w:asciiTheme="minorHAnsi" w:eastAsia="Calibri" w:hAnsiTheme="minorHAnsi"/>
                <w:b/>
                <w:sz w:val="16"/>
                <w:szCs w:val="16"/>
              </w:rPr>
              <w:t>Labor Costs</w:t>
            </w:r>
          </w:p>
        </w:tc>
        <w:tc>
          <w:tcPr>
            <w:tcW w:w="2310" w:type="dxa"/>
            <w:gridSpan w:val="2"/>
            <w:shd w:val="clear" w:color="auto" w:fill="5B9BD5" w:themeFill="accent1"/>
          </w:tcPr>
          <w:p w:rsidR="00A110F0" w:rsidRPr="00A110F0" w:rsidRDefault="00A33F94" w:rsidP="00A110F0">
            <w:pPr>
              <w:keepNext/>
              <w:shd w:val="clear" w:color="auto" w:fill="5B9BD5" w:themeFill="accent1"/>
              <w:jc w:val="center"/>
              <w:rPr>
                <w:rFonts w:asciiTheme="minorHAnsi" w:eastAsia="Calibri" w:hAnsiTheme="minorHAnsi"/>
                <w:b/>
                <w:sz w:val="16"/>
                <w:szCs w:val="16"/>
              </w:rPr>
            </w:pPr>
            <w:r>
              <w:rPr>
                <w:rFonts w:asciiTheme="minorHAnsi" w:eastAsia="Calibri" w:hAnsiTheme="minorHAnsi"/>
                <w:b/>
                <w:sz w:val="16"/>
                <w:szCs w:val="16"/>
              </w:rPr>
              <w:t xml:space="preserve">Total </w:t>
            </w:r>
            <w:r w:rsidR="00A110F0" w:rsidRPr="00A110F0">
              <w:rPr>
                <w:rFonts w:asciiTheme="minorHAnsi" w:eastAsia="Calibri" w:hAnsiTheme="minorHAnsi"/>
                <w:b/>
                <w:sz w:val="16"/>
                <w:szCs w:val="16"/>
              </w:rPr>
              <w:t>Miscellaneous Costs</w:t>
            </w:r>
          </w:p>
        </w:tc>
        <w:tc>
          <w:tcPr>
            <w:tcW w:w="6177" w:type="dxa"/>
            <w:vMerge w:val="restart"/>
            <w:tcBorders>
              <w:right w:val="single" w:sz="4" w:space="0" w:color="auto"/>
            </w:tcBorders>
            <w:shd w:val="clear" w:color="auto" w:fill="5B9BD5" w:themeFill="accent1"/>
            <w:vAlign w:val="center"/>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A110F0" w:rsidRPr="00A110F0" w:rsidTr="00784D9F">
        <w:tc>
          <w:tcPr>
            <w:tcW w:w="2478" w:type="dxa"/>
            <w:vMerge/>
            <w:shd w:val="clear" w:color="auto" w:fill="5B9BD5" w:themeFill="accent1"/>
            <w:vAlign w:val="center"/>
          </w:tcPr>
          <w:p w:rsidR="00A110F0" w:rsidRPr="00A110F0" w:rsidRDefault="00A110F0" w:rsidP="00FD3D2A">
            <w:pPr>
              <w:keepNext/>
              <w:jc w:val="center"/>
              <w:rPr>
                <w:rFonts w:asciiTheme="minorHAnsi" w:eastAsia="Calibri" w:hAnsiTheme="minorHAnsi"/>
                <w:sz w:val="16"/>
                <w:szCs w:val="16"/>
              </w:rPr>
            </w:pPr>
          </w:p>
        </w:tc>
        <w:tc>
          <w:tcPr>
            <w:tcW w:w="1251" w:type="dxa"/>
            <w:tcBorders>
              <w:bottom w:val="single" w:sz="4" w:space="0" w:color="auto"/>
              <w:righ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155" w:type="dxa"/>
            <w:tcBorders>
              <w:left w:val="dashSmallGap" w:sz="4" w:space="0" w:color="auto"/>
              <w:bottom w:val="single"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1058" w:type="dxa"/>
            <w:tcBorders>
              <w:righ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252" w:type="dxa"/>
            <w:tcBorders>
              <w:lef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6177" w:type="dxa"/>
            <w:vMerge/>
            <w:tcBorders>
              <w:right w:val="single" w:sz="4" w:space="0" w:color="auto"/>
            </w:tcBorders>
            <w:shd w:val="clear" w:color="auto" w:fill="FBE4D5"/>
            <w:vAlign w:val="center"/>
          </w:tcPr>
          <w:p w:rsidR="00A110F0" w:rsidRPr="00A110F0" w:rsidRDefault="00A110F0" w:rsidP="00FD3D2A">
            <w:pPr>
              <w:keepNext/>
              <w:rPr>
                <w:rFonts w:asciiTheme="minorHAnsi" w:eastAsia="Calibri" w:hAnsiTheme="minorHAnsi"/>
                <w:sz w:val="16"/>
                <w:szCs w:val="16"/>
              </w:rPr>
            </w:pPr>
          </w:p>
        </w:tc>
      </w:tr>
      <w:tr w:rsidR="007D0038" w:rsidRPr="00A110F0" w:rsidTr="00471B0A">
        <w:tc>
          <w:tcPr>
            <w:tcW w:w="2478" w:type="dxa"/>
            <w:shd w:val="clear" w:color="auto" w:fill="auto"/>
            <w:vAlign w:val="center"/>
          </w:tcPr>
          <w:p w:rsidR="007D0038" w:rsidRPr="00A110F0" w:rsidRDefault="007D0038" w:rsidP="007D0038">
            <w:pPr>
              <w:rPr>
                <w:rFonts w:asciiTheme="minorHAnsi" w:hAnsiTheme="minorHAnsi"/>
                <w:sz w:val="16"/>
                <w:szCs w:val="16"/>
              </w:rPr>
            </w:pPr>
            <w:r>
              <w:rPr>
                <w:rFonts w:asciiTheme="minorHAnsi" w:hAnsiTheme="minorHAnsi"/>
                <w:sz w:val="16"/>
                <w:szCs w:val="16"/>
              </w:rPr>
              <w:t>Initial Installation &amp; Maintenance &amp; Activation Report</w:t>
            </w:r>
          </w:p>
        </w:tc>
        <w:tc>
          <w:tcPr>
            <w:tcW w:w="1251" w:type="dxa"/>
            <w:tcBorders>
              <w:bottom w:val="dotted" w:sz="4" w:space="0" w:color="auto"/>
              <w:right w:val="dashSmallGap" w:sz="4" w:space="0" w:color="auto"/>
            </w:tcBorders>
            <w:shd w:val="clear" w:color="auto" w:fill="auto"/>
            <w:vAlign w:val="center"/>
          </w:tcPr>
          <w:p w:rsidR="007D0038" w:rsidRPr="00A110F0" w:rsidRDefault="007D0038" w:rsidP="007D0038">
            <w:pPr>
              <w:jc w:val="center"/>
              <w:rPr>
                <w:rFonts w:asciiTheme="minorHAnsi" w:eastAsia="Calibri" w:hAnsiTheme="minorHAnsi"/>
                <w:sz w:val="16"/>
                <w:szCs w:val="16"/>
              </w:rPr>
            </w:pPr>
            <w:r>
              <w:rPr>
                <w:rFonts w:asciiTheme="minorHAnsi" w:eastAsia="Calibri" w:hAnsiTheme="minorHAnsi"/>
                <w:sz w:val="16"/>
                <w:szCs w:val="16"/>
              </w:rPr>
              <w:t>NA</w:t>
            </w:r>
          </w:p>
        </w:tc>
        <w:tc>
          <w:tcPr>
            <w:tcW w:w="1155" w:type="dxa"/>
            <w:tcBorders>
              <w:left w:val="dashSmallGap" w:sz="4" w:space="0" w:color="auto"/>
              <w:bottom w:val="dotted" w:sz="4" w:space="0" w:color="auto"/>
            </w:tcBorders>
            <w:shd w:val="clear" w:color="auto" w:fill="auto"/>
            <w:vAlign w:val="center"/>
          </w:tcPr>
          <w:p w:rsidR="007D0038" w:rsidRPr="00A110F0" w:rsidRDefault="007D0038" w:rsidP="007D0038">
            <w:pPr>
              <w:keepNext/>
              <w:jc w:val="center"/>
              <w:rPr>
                <w:rFonts w:asciiTheme="minorHAnsi" w:eastAsia="Calibri" w:hAnsiTheme="minorHAnsi"/>
                <w:sz w:val="16"/>
                <w:szCs w:val="16"/>
              </w:rPr>
            </w:pPr>
            <w:r>
              <w:rPr>
                <w:rFonts w:asciiTheme="minorHAnsi" w:eastAsia="Calibri" w:hAnsiTheme="minorHAnsi"/>
                <w:sz w:val="16"/>
                <w:szCs w:val="16"/>
              </w:rPr>
              <w:t>NA</w:t>
            </w:r>
          </w:p>
        </w:tc>
        <w:tc>
          <w:tcPr>
            <w:tcW w:w="1058" w:type="dxa"/>
            <w:tcBorders>
              <w:left w:val="dotted" w:sz="4" w:space="0" w:color="auto"/>
              <w:bottom w:val="dotted" w:sz="4" w:space="0" w:color="auto"/>
              <w:right w:val="dashSmallGap" w:sz="4" w:space="0" w:color="auto"/>
            </w:tcBorders>
            <w:vAlign w:val="center"/>
          </w:tcPr>
          <w:p w:rsidR="007D0038" w:rsidRPr="00A110F0" w:rsidRDefault="007D0038" w:rsidP="007D0038">
            <w:pPr>
              <w:keepNext/>
              <w:jc w:val="center"/>
              <w:rPr>
                <w:rFonts w:asciiTheme="minorHAnsi" w:eastAsia="Calibri" w:hAnsiTheme="minorHAnsi"/>
                <w:sz w:val="16"/>
                <w:szCs w:val="16"/>
              </w:rPr>
            </w:pPr>
            <w:r>
              <w:rPr>
                <w:rFonts w:asciiTheme="minorHAnsi" w:eastAsia="Calibri" w:hAnsiTheme="minorHAnsi"/>
                <w:sz w:val="16"/>
                <w:szCs w:val="16"/>
              </w:rPr>
              <w:t>$1,215,700</w:t>
            </w:r>
          </w:p>
        </w:tc>
        <w:tc>
          <w:tcPr>
            <w:tcW w:w="1252" w:type="dxa"/>
            <w:tcBorders>
              <w:left w:val="dashSmallGap" w:sz="4" w:space="0" w:color="auto"/>
              <w:bottom w:val="dotted" w:sz="4" w:space="0" w:color="auto"/>
              <w:right w:val="single" w:sz="4" w:space="0" w:color="auto"/>
            </w:tcBorders>
            <w:vAlign w:val="center"/>
          </w:tcPr>
          <w:p w:rsidR="007D0038" w:rsidRPr="00A110F0" w:rsidRDefault="007D0038" w:rsidP="007D0038">
            <w:pPr>
              <w:keepNext/>
              <w:jc w:val="center"/>
              <w:rPr>
                <w:rFonts w:asciiTheme="minorHAnsi" w:eastAsia="Calibri" w:hAnsiTheme="minorHAnsi"/>
                <w:sz w:val="16"/>
                <w:szCs w:val="16"/>
              </w:rPr>
            </w:pPr>
            <w:r>
              <w:rPr>
                <w:rFonts w:asciiTheme="minorHAnsi" w:eastAsia="Calibri" w:hAnsiTheme="minorHAnsi"/>
                <w:sz w:val="16"/>
                <w:szCs w:val="16"/>
              </w:rPr>
              <w:t>$1,933,250</w:t>
            </w:r>
          </w:p>
        </w:tc>
        <w:tc>
          <w:tcPr>
            <w:tcW w:w="6177" w:type="dxa"/>
            <w:tcBorders>
              <w:left w:val="single" w:sz="4" w:space="0" w:color="auto"/>
              <w:bottom w:val="dotted" w:sz="4" w:space="0" w:color="auto"/>
              <w:right w:val="single" w:sz="4" w:space="0" w:color="auto"/>
            </w:tcBorders>
            <w:shd w:val="clear" w:color="auto" w:fill="auto"/>
            <w:vAlign w:val="center"/>
          </w:tcPr>
          <w:p w:rsidR="007D0038" w:rsidRPr="00A110F0" w:rsidRDefault="00CE4868" w:rsidP="007D0038">
            <w:pPr>
              <w:keepNext/>
              <w:rPr>
                <w:rFonts w:asciiTheme="minorHAnsi" w:eastAsia="Calibri" w:hAnsiTheme="minorHAnsi"/>
                <w:sz w:val="16"/>
                <w:szCs w:val="16"/>
              </w:rPr>
            </w:pPr>
            <w:r>
              <w:rPr>
                <w:rFonts w:asciiTheme="minorHAnsi" w:eastAsia="Calibri" w:hAnsiTheme="minorHAnsi"/>
                <w:sz w:val="16"/>
                <w:szCs w:val="16"/>
              </w:rPr>
              <w:t>Calculation correction of the maintenance cost.</w:t>
            </w:r>
          </w:p>
        </w:tc>
      </w:tr>
      <w:tr w:rsidR="00A110F0" w:rsidRPr="00A110F0" w:rsidTr="00A110F0">
        <w:tc>
          <w:tcPr>
            <w:tcW w:w="2478" w:type="dxa"/>
            <w:shd w:val="clear" w:color="auto" w:fill="auto"/>
            <w:vAlign w:val="bottom"/>
          </w:tcPr>
          <w:p w:rsidR="00A110F0" w:rsidRPr="00A110F0" w:rsidRDefault="00193DA0" w:rsidP="00A110F0">
            <w:pPr>
              <w:keepNext/>
              <w:rPr>
                <w:rFonts w:asciiTheme="minorHAnsi" w:eastAsia="Calibri" w:hAnsiTheme="minorHAnsi"/>
                <w:sz w:val="16"/>
                <w:szCs w:val="16"/>
              </w:rPr>
            </w:pPr>
            <w:r>
              <w:rPr>
                <w:rFonts w:asciiTheme="minorHAnsi" w:eastAsia="Calibri" w:hAnsiTheme="minorHAnsi"/>
                <w:sz w:val="16"/>
                <w:szCs w:val="16"/>
              </w:rPr>
              <w:t>Position Reports</w:t>
            </w:r>
          </w:p>
        </w:tc>
        <w:tc>
          <w:tcPr>
            <w:tcW w:w="1251" w:type="dxa"/>
            <w:tcBorders>
              <w:bottom w:val="dotted" w:sz="4" w:space="0" w:color="auto"/>
              <w:right w:val="dashSmallGap" w:sz="4" w:space="0" w:color="auto"/>
            </w:tcBorders>
            <w:shd w:val="clear" w:color="auto" w:fill="auto"/>
            <w:vAlign w:val="center"/>
          </w:tcPr>
          <w:p w:rsidR="00A110F0" w:rsidRPr="00A110F0" w:rsidRDefault="00A110F0" w:rsidP="00FD3D2A">
            <w:pPr>
              <w:jc w:val="center"/>
              <w:rPr>
                <w:rFonts w:asciiTheme="minorHAnsi" w:hAnsiTheme="minorHAnsi"/>
                <w:color w:val="000000"/>
                <w:sz w:val="16"/>
                <w:szCs w:val="16"/>
              </w:rPr>
            </w:pPr>
          </w:p>
        </w:tc>
        <w:tc>
          <w:tcPr>
            <w:tcW w:w="1155" w:type="dxa"/>
            <w:tcBorders>
              <w:left w:val="dashSmallGap" w:sz="4" w:space="0" w:color="auto"/>
              <w:bottom w:val="dotted" w:sz="4" w:space="0" w:color="auto"/>
            </w:tcBorders>
            <w:shd w:val="clear" w:color="auto" w:fill="auto"/>
            <w:vAlign w:val="center"/>
          </w:tcPr>
          <w:p w:rsidR="00A110F0" w:rsidRPr="00A110F0" w:rsidRDefault="00A110F0" w:rsidP="00FD3D2A">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rsidR="00A110F0" w:rsidRPr="004D0E85" w:rsidRDefault="00CE4868" w:rsidP="00FD3D2A">
            <w:pPr>
              <w:keepNext/>
              <w:jc w:val="center"/>
              <w:rPr>
                <w:rFonts w:asciiTheme="minorHAnsi" w:eastAsia="Calibri" w:hAnsiTheme="minorHAnsi"/>
                <w:sz w:val="16"/>
                <w:szCs w:val="16"/>
                <w:highlight w:val="cyan"/>
              </w:rPr>
            </w:pPr>
            <w:r>
              <w:rPr>
                <w:rFonts w:ascii="Calibri" w:hAnsi="Calibri" w:cs="Calibri"/>
                <w:sz w:val="16"/>
                <w:szCs w:val="16"/>
              </w:rPr>
              <w:t>$</w:t>
            </w:r>
            <w:r w:rsidR="00193DA0" w:rsidRPr="004D0E85">
              <w:rPr>
                <w:rFonts w:ascii="Calibri" w:hAnsi="Calibri" w:cs="Calibri"/>
                <w:sz w:val="16"/>
                <w:szCs w:val="16"/>
              </w:rPr>
              <w:t>1,051,200</w:t>
            </w:r>
          </w:p>
        </w:tc>
        <w:tc>
          <w:tcPr>
            <w:tcW w:w="1252" w:type="dxa"/>
            <w:tcBorders>
              <w:left w:val="dashSmallGap" w:sz="4" w:space="0" w:color="auto"/>
              <w:bottom w:val="dotted" w:sz="4" w:space="0" w:color="auto"/>
              <w:right w:val="single" w:sz="4" w:space="0" w:color="auto"/>
            </w:tcBorders>
            <w:vAlign w:val="center"/>
          </w:tcPr>
          <w:p w:rsidR="00A110F0" w:rsidRPr="00A110F0" w:rsidRDefault="00193DA0" w:rsidP="00FD3D2A">
            <w:pPr>
              <w:keepNext/>
              <w:jc w:val="center"/>
              <w:rPr>
                <w:rFonts w:asciiTheme="minorHAnsi" w:eastAsia="Calibri" w:hAnsiTheme="minorHAnsi"/>
                <w:sz w:val="16"/>
                <w:szCs w:val="16"/>
              </w:rPr>
            </w:pPr>
            <w:r>
              <w:rPr>
                <w:rFonts w:asciiTheme="minorHAnsi" w:eastAsia="Calibri" w:hAnsiTheme="minorHAnsi"/>
                <w:sz w:val="16"/>
                <w:szCs w:val="16"/>
              </w:rPr>
              <w:t>NA</w:t>
            </w:r>
          </w:p>
        </w:tc>
        <w:tc>
          <w:tcPr>
            <w:tcW w:w="6177" w:type="dxa"/>
            <w:tcBorders>
              <w:left w:val="single" w:sz="4" w:space="0" w:color="auto"/>
              <w:bottom w:val="dotted" w:sz="4" w:space="0" w:color="auto"/>
              <w:right w:val="single" w:sz="4" w:space="0" w:color="auto"/>
            </w:tcBorders>
            <w:shd w:val="clear" w:color="auto" w:fill="auto"/>
            <w:vAlign w:val="center"/>
          </w:tcPr>
          <w:p w:rsidR="00A110F0" w:rsidRPr="00A110F0" w:rsidRDefault="00193DA0" w:rsidP="00FD3D2A">
            <w:pPr>
              <w:keepNext/>
              <w:rPr>
                <w:rFonts w:asciiTheme="minorHAnsi" w:eastAsia="Calibri" w:hAnsiTheme="minorHAnsi"/>
                <w:sz w:val="16"/>
                <w:szCs w:val="16"/>
              </w:rPr>
            </w:pPr>
            <w:r>
              <w:rPr>
                <w:rFonts w:asciiTheme="minorHAnsi" w:eastAsia="Calibri" w:hAnsiTheme="minorHAnsi"/>
                <w:sz w:val="16"/>
                <w:szCs w:val="16"/>
              </w:rPr>
              <w:t>This is a new requirement.  Responses are automated.</w:t>
            </w:r>
            <w:r w:rsidR="0092178B">
              <w:rPr>
                <w:rFonts w:asciiTheme="minorHAnsi" w:eastAsia="Calibri" w:hAnsiTheme="minorHAnsi"/>
                <w:sz w:val="16"/>
                <w:szCs w:val="16"/>
              </w:rPr>
              <w:t xml:space="preserve">  This is the cost to operate the unit for the number of pings.</w:t>
            </w:r>
          </w:p>
        </w:tc>
      </w:tr>
      <w:tr w:rsidR="00A110F0" w:rsidRPr="00A110F0" w:rsidTr="00A110F0">
        <w:tc>
          <w:tcPr>
            <w:tcW w:w="2478" w:type="dxa"/>
            <w:shd w:val="clear" w:color="auto" w:fill="auto"/>
            <w:vAlign w:val="bottom"/>
          </w:tcPr>
          <w:p w:rsidR="00A110F0" w:rsidRPr="00A110F0" w:rsidRDefault="00A110F0" w:rsidP="00A110F0">
            <w:pPr>
              <w:keepNext/>
              <w:rPr>
                <w:rFonts w:asciiTheme="minorHAnsi" w:eastAsia="Calibri" w:hAnsiTheme="minorHAnsi"/>
                <w:sz w:val="16"/>
                <w:szCs w:val="16"/>
              </w:rPr>
            </w:pPr>
          </w:p>
        </w:tc>
        <w:tc>
          <w:tcPr>
            <w:tcW w:w="1251" w:type="dxa"/>
            <w:tcBorders>
              <w:bottom w:val="dotted" w:sz="4" w:space="0" w:color="auto"/>
              <w:right w:val="dashSmallGap" w:sz="4" w:space="0" w:color="auto"/>
            </w:tcBorders>
            <w:shd w:val="clear" w:color="auto" w:fill="auto"/>
            <w:vAlign w:val="center"/>
          </w:tcPr>
          <w:p w:rsidR="00A110F0" w:rsidRPr="00A110F0" w:rsidRDefault="00A110F0" w:rsidP="00FD3D2A">
            <w:pPr>
              <w:jc w:val="center"/>
              <w:rPr>
                <w:rFonts w:asciiTheme="minorHAnsi" w:hAnsiTheme="minorHAnsi"/>
                <w:color w:val="000000"/>
                <w:sz w:val="16"/>
                <w:szCs w:val="16"/>
              </w:rPr>
            </w:pPr>
          </w:p>
        </w:tc>
        <w:tc>
          <w:tcPr>
            <w:tcW w:w="1155" w:type="dxa"/>
            <w:tcBorders>
              <w:left w:val="dashSmallGap" w:sz="4" w:space="0" w:color="auto"/>
              <w:bottom w:val="dotted" w:sz="4" w:space="0" w:color="auto"/>
            </w:tcBorders>
            <w:shd w:val="clear" w:color="auto" w:fill="auto"/>
            <w:vAlign w:val="center"/>
          </w:tcPr>
          <w:p w:rsidR="00A110F0" w:rsidRPr="00A110F0" w:rsidRDefault="00A110F0" w:rsidP="00FD3D2A">
            <w:pPr>
              <w:keepNext/>
              <w:jc w:val="center"/>
              <w:rPr>
                <w:rFonts w:asciiTheme="minorHAnsi" w:eastAsia="Calibri" w:hAnsiTheme="minorHAnsi"/>
                <w:sz w:val="16"/>
                <w:szCs w:val="16"/>
              </w:rPr>
            </w:pPr>
          </w:p>
        </w:tc>
        <w:tc>
          <w:tcPr>
            <w:tcW w:w="1058" w:type="dxa"/>
            <w:tcBorders>
              <w:left w:val="dotted" w:sz="4" w:space="0" w:color="auto"/>
              <w:bottom w:val="dotted" w:sz="4" w:space="0" w:color="auto"/>
              <w:right w:val="dashSmallGap" w:sz="4" w:space="0" w:color="auto"/>
            </w:tcBorders>
            <w:vAlign w:val="center"/>
          </w:tcPr>
          <w:p w:rsidR="00A110F0" w:rsidRPr="00A110F0" w:rsidRDefault="00A110F0" w:rsidP="00FD3D2A">
            <w:pPr>
              <w:keepNext/>
              <w:jc w:val="center"/>
              <w:rPr>
                <w:rFonts w:asciiTheme="minorHAnsi" w:eastAsia="Calibri" w:hAnsiTheme="minorHAnsi"/>
                <w:sz w:val="16"/>
                <w:szCs w:val="16"/>
              </w:rPr>
            </w:pPr>
          </w:p>
        </w:tc>
        <w:tc>
          <w:tcPr>
            <w:tcW w:w="1252" w:type="dxa"/>
            <w:tcBorders>
              <w:left w:val="dashSmallGap" w:sz="4" w:space="0" w:color="auto"/>
              <w:bottom w:val="dotted" w:sz="4" w:space="0" w:color="auto"/>
              <w:right w:val="single" w:sz="4" w:space="0" w:color="auto"/>
            </w:tcBorders>
            <w:vAlign w:val="center"/>
          </w:tcPr>
          <w:p w:rsidR="00A110F0" w:rsidRPr="00A110F0" w:rsidRDefault="00A110F0" w:rsidP="00FD3D2A">
            <w:pPr>
              <w:keepNext/>
              <w:jc w:val="center"/>
              <w:rPr>
                <w:rFonts w:asciiTheme="minorHAnsi" w:eastAsia="Calibri" w:hAnsiTheme="minorHAnsi"/>
                <w:sz w:val="16"/>
                <w:szCs w:val="16"/>
              </w:rPr>
            </w:pPr>
          </w:p>
        </w:tc>
        <w:tc>
          <w:tcPr>
            <w:tcW w:w="6177" w:type="dxa"/>
            <w:tcBorders>
              <w:left w:val="single" w:sz="4" w:space="0" w:color="auto"/>
              <w:bottom w:val="dotted" w:sz="4" w:space="0" w:color="auto"/>
              <w:right w:val="single" w:sz="4" w:space="0" w:color="auto"/>
            </w:tcBorders>
            <w:shd w:val="clear" w:color="auto" w:fill="auto"/>
            <w:vAlign w:val="center"/>
          </w:tcPr>
          <w:p w:rsidR="00A110F0" w:rsidRPr="00A110F0" w:rsidRDefault="00A110F0" w:rsidP="00FD3D2A">
            <w:pPr>
              <w:keepNext/>
              <w:rPr>
                <w:rFonts w:asciiTheme="minorHAnsi" w:eastAsia="Calibri" w:hAnsiTheme="minorHAnsi"/>
                <w:sz w:val="16"/>
                <w:szCs w:val="16"/>
              </w:rPr>
            </w:pPr>
          </w:p>
        </w:tc>
      </w:tr>
      <w:tr w:rsidR="00732713" w:rsidRPr="00A110F0" w:rsidTr="00784D9F">
        <w:tc>
          <w:tcPr>
            <w:tcW w:w="2478" w:type="dxa"/>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251" w:type="dxa"/>
            <w:tcBorders>
              <w:right w:val="dashSmallGap" w:sz="4" w:space="0" w:color="auto"/>
            </w:tcBorders>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p>
        </w:tc>
        <w:tc>
          <w:tcPr>
            <w:tcW w:w="1155" w:type="dxa"/>
            <w:tcBorders>
              <w:left w:val="dashSmallGap" w:sz="4" w:space="0" w:color="auto"/>
            </w:tcBorders>
            <w:shd w:val="clear" w:color="auto" w:fill="BDD6EE" w:themeFill="accent1" w:themeFillTint="66"/>
            <w:vAlign w:val="center"/>
          </w:tcPr>
          <w:p w:rsidR="00732713" w:rsidRPr="00A110F0" w:rsidRDefault="00732713" w:rsidP="00FD3D2A">
            <w:pPr>
              <w:jc w:val="center"/>
              <w:rPr>
                <w:rFonts w:asciiTheme="minorHAnsi" w:eastAsia="Calibri" w:hAnsiTheme="minorHAnsi"/>
                <w:b/>
                <w:bCs/>
                <w:sz w:val="16"/>
                <w:szCs w:val="16"/>
              </w:rPr>
            </w:pPr>
          </w:p>
        </w:tc>
        <w:tc>
          <w:tcPr>
            <w:tcW w:w="1058" w:type="dxa"/>
            <w:tcBorders>
              <w:left w:val="dotted" w:sz="4" w:space="0" w:color="auto"/>
              <w:right w:val="dashSmallGap" w:sz="4" w:space="0" w:color="auto"/>
            </w:tcBorders>
            <w:shd w:val="clear" w:color="auto" w:fill="BDD6EE" w:themeFill="accent1" w:themeFillTint="66"/>
            <w:vAlign w:val="center"/>
          </w:tcPr>
          <w:p w:rsidR="00732713" w:rsidRPr="00A110F0" w:rsidRDefault="00CE4868" w:rsidP="00FD3D2A">
            <w:pPr>
              <w:keepNext/>
              <w:jc w:val="center"/>
              <w:rPr>
                <w:rFonts w:asciiTheme="minorHAnsi" w:eastAsia="Calibri" w:hAnsiTheme="minorHAnsi"/>
                <w:b/>
                <w:sz w:val="16"/>
                <w:szCs w:val="16"/>
              </w:rPr>
            </w:pPr>
            <w:r>
              <w:rPr>
                <w:rFonts w:asciiTheme="minorHAnsi" w:eastAsia="Calibri" w:hAnsiTheme="minorHAnsi"/>
                <w:b/>
                <w:sz w:val="16"/>
                <w:szCs w:val="16"/>
              </w:rPr>
              <w:t>$2,266,900</w:t>
            </w:r>
          </w:p>
        </w:tc>
        <w:tc>
          <w:tcPr>
            <w:tcW w:w="1252" w:type="dxa"/>
            <w:tcBorders>
              <w:left w:val="dashSmallGap" w:sz="4" w:space="0" w:color="auto"/>
              <w:right w:val="single" w:sz="4" w:space="0" w:color="auto"/>
            </w:tcBorders>
            <w:shd w:val="clear" w:color="auto" w:fill="BDD6EE" w:themeFill="accent1" w:themeFillTint="66"/>
            <w:vAlign w:val="center"/>
          </w:tcPr>
          <w:p w:rsidR="00732713" w:rsidRPr="00A110F0" w:rsidRDefault="00CE4868" w:rsidP="00FD3D2A">
            <w:pPr>
              <w:keepNext/>
              <w:jc w:val="center"/>
              <w:rPr>
                <w:rFonts w:asciiTheme="minorHAnsi" w:eastAsia="Calibri" w:hAnsiTheme="minorHAnsi"/>
                <w:b/>
                <w:sz w:val="16"/>
                <w:szCs w:val="16"/>
              </w:rPr>
            </w:pPr>
            <w:r>
              <w:rPr>
                <w:rFonts w:asciiTheme="minorHAnsi" w:eastAsia="Calibri" w:hAnsiTheme="minorHAnsi"/>
                <w:b/>
                <w:sz w:val="16"/>
                <w:szCs w:val="16"/>
              </w:rPr>
              <w:t>$1,933,250</w:t>
            </w:r>
          </w:p>
        </w:tc>
        <w:tc>
          <w:tcPr>
            <w:tcW w:w="6177" w:type="dxa"/>
            <w:tcBorders>
              <w:left w:val="single" w:sz="4" w:space="0" w:color="auto"/>
              <w:bottom w:val="single" w:sz="4" w:space="0" w:color="auto"/>
              <w:right w:val="single" w:sz="4" w:space="0" w:color="auto"/>
            </w:tcBorders>
            <w:shd w:val="clear" w:color="auto" w:fill="BDD6EE" w:themeFill="accent1" w:themeFillTint="66"/>
            <w:vAlign w:val="center"/>
          </w:tcPr>
          <w:p w:rsidR="00732713" w:rsidRPr="00A110F0" w:rsidRDefault="00732713" w:rsidP="00FD3D2A">
            <w:pPr>
              <w:keepNext/>
              <w:jc w:val="center"/>
              <w:rPr>
                <w:rFonts w:asciiTheme="minorHAnsi" w:eastAsia="Calibri" w:hAnsiTheme="minorHAnsi"/>
                <w:b/>
                <w:sz w:val="16"/>
                <w:szCs w:val="16"/>
              </w:rPr>
            </w:pPr>
          </w:p>
        </w:tc>
      </w:tr>
    </w:tbl>
    <w:p w:rsidR="004F26E9" w:rsidRDefault="004F26E9" w:rsidP="00493868">
      <w:pPr>
        <w:tabs>
          <w:tab w:val="left" w:pos="540"/>
        </w:tabs>
        <w:ind w:left="540"/>
        <w:rPr>
          <w:sz w:val="24"/>
          <w:szCs w:val="24"/>
        </w:rPr>
      </w:pPr>
    </w:p>
    <w:p w:rsidR="00493868" w:rsidRDefault="00493868" w:rsidP="00493868">
      <w:pPr>
        <w:tabs>
          <w:tab w:val="left" w:pos="540"/>
        </w:tabs>
        <w:ind w:left="540"/>
        <w:rPr>
          <w:sz w:val="24"/>
          <w:szCs w:val="24"/>
        </w:rPr>
      </w:pPr>
    </w:p>
    <w:p w:rsidR="00732713" w:rsidRDefault="00732713" w:rsidP="00493868">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RDefault="004F26E9" w:rsidP="00CD5390">
      <w:pPr>
        <w:rPr>
          <w:sz w:val="24"/>
          <w:szCs w:val="24"/>
        </w:rPr>
      </w:pPr>
    </w:p>
    <w:p w:rsidR="004F26E9" w:rsidRDefault="00493868" w:rsidP="00493868">
      <w:pPr>
        <w:tabs>
          <w:tab w:val="left" w:pos="540"/>
        </w:tabs>
        <w:ind w:left="540" w:hanging="540"/>
        <w:rPr>
          <w:b/>
          <w:bCs/>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rsidR="002341A0" w:rsidRDefault="002341A0" w:rsidP="00493868">
      <w:pPr>
        <w:tabs>
          <w:tab w:val="left" w:pos="540"/>
        </w:tabs>
        <w:ind w:left="540" w:hanging="540"/>
        <w:rPr>
          <w:sz w:val="24"/>
          <w:szCs w:val="24"/>
        </w:rPr>
      </w:pPr>
    </w:p>
    <w:p w:rsidR="00595FEF" w:rsidRDefault="00595FEF" w:rsidP="00595FEF">
      <w:pPr>
        <w:rPr>
          <w:sz w:val="24"/>
          <w:szCs w:val="24"/>
        </w:rPr>
      </w:pPr>
      <w:r>
        <w:rPr>
          <w:sz w:val="24"/>
          <w:szCs w:val="24"/>
        </w:rPr>
        <w:t>No formal scientific publications based on these collections are planned at this time.  The data will be used for management reports and fishery management plan amendments and evaluations by NMFS and the Council.  However, subsequent use of the data collected over a series of years may be included in scientific papers and publications.</w:t>
      </w: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rsidR="004F26E9" w:rsidRDefault="004F26E9" w:rsidP="00CD5390">
      <w:pPr>
        <w:rPr>
          <w:sz w:val="24"/>
          <w:szCs w:val="24"/>
        </w:rPr>
      </w:pPr>
    </w:p>
    <w:p w:rsidR="004F26E9" w:rsidRDefault="00595FEF" w:rsidP="00CD5390">
      <w:pPr>
        <w:rPr>
          <w:sz w:val="24"/>
          <w:szCs w:val="24"/>
        </w:rPr>
      </w:pPr>
      <w:r>
        <w:rPr>
          <w:sz w:val="24"/>
          <w:szCs w:val="24"/>
        </w:rPr>
        <w:t>Not Applicable.</w:t>
      </w:r>
    </w:p>
    <w:p w:rsidR="004F26E9" w:rsidRDefault="004F26E9" w:rsidP="00CD5390">
      <w:pPr>
        <w:rPr>
          <w:sz w:val="24"/>
          <w:szCs w:val="24"/>
        </w:rPr>
      </w:pPr>
    </w:p>
    <w:p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rsidR="004F26E9" w:rsidRDefault="004F26E9" w:rsidP="00CD5390">
      <w:pPr>
        <w:rPr>
          <w:sz w:val="24"/>
          <w:szCs w:val="24"/>
        </w:rPr>
      </w:pPr>
    </w:p>
    <w:p w:rsidR="00595FEF" w:rsidRDefault="00595FEF" w:rsidP="00595FEF">
      <w:pPr>
        <w:rPr>
          <w:sz w:val="24"/>
          <w:szCs w:val="24"/>
        </w:rPr>
      </w:pPr>
      <w:r>
        <w:rPr>
          <w:sz w:val="24"/>
          <w:szCs w:val="24"/>
        </w:rPr>
        <w:t>Not Applicable.</w:t>
      </w:r>
    </w:p>
    <w:p w:rsidR="004F26E9" w:rsidRDefault="004F26E9" w:rsidP="00CD5390">
      <w:pPr>
        <w:rPr>
          <w:sz w:val="24"/>
          <w:szCs w:val="24"/>
        </w:rPr>
      </w:pPr>
    </w:p>
    <w:p w:rsidR="00FD3D2A" w:rsidRDefault="00FD3D2A" w:rsidP="00CD5390">
      <w:pPr>
        <w:rPr>
          <w:sz w:val="24"/>
          <w:szCs w:val="24"/>
        </w:rPr>
      </w:pPr>
    </w:p>
    <w:p w:rsidR="00FD3D2A" w:rsidRDefault="00FD3D2A" w:rsidP="00CD5390">
      <w:pPr>
        <w:rPr>
          <w:sz w:val="24"/>
          <w:szCs w:val="24"/>
        </w:rPr>
      </w:pPr>
    </w:p>
    <w:sectPr w:rsidR="00FD3D2A"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EA" w:rsidRDefault="005834EA">
      <w:r>
        <w:separator/>
      </w:r>
    </w:p>
  </w:endnote>
  <w:endnote w:type="continuationSeparator" w:id="0">
    <w:p w:rsidR="005834EA" w:rsidRDefault="0058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4DF" w:rsidRDefault="007934D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E5008">
      <w:rPr>
        <w:rStyle w:val="PageNumber"/>
        <w:noProof/>
        <w:sz w:val="24"/>
        <w:szCs w:val="24"/>
      </w:rPr>
      <w:t>1</w:t>
    </w:r>
    <w:r>
      <w:rPr>
        <w:rStyle w:val="PageNumber"/>
        <w:sz w:val="24"/>
        <w:szCs w:val="24"/>
      </w:rPr>
      <w:fldChar w:fldCharType="end"/>
    </w:r>
  </w:p>
  <w:p w:rsidR="007934DF" w:rsidRDefault="00793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EA" w:rsidRDefault="005834EA">
      <w:r>
        <w:separator/>
      </w:r>
    </w:p>
  </w:footnote>
  <w:footnote w:type="continuationSeparator" w:id="0">
    <w:p w:rsidR="005834EA" w:rsidRDefault="00583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876B4"/>
    <w:rsid w:val="000A0540"/>
    <w:rsid w:val="000C0023"/>
    <w:rsid w:val="000D49BA"/>
    <w:rsid w:val="000D5760"/>
    <w:rsid w:val="00107F5D"/>
    <w:rsid w:val="00151EE8"/>
    <w:rsid w:val="001827E2"/>
    <w:rsid w:val="00185785"/>
    <w:rsid w:val="00193DA0"/>
    <w:rsid w:val="00193F97"/>
    <w:rsid w:val="001A407A"/>
    <w:rsid w:val="001A46F7"/>
    <w:rsid w:val="001A68BE"/>
    <w:rsid w:val="001A7B8D"/>
    <w:rsid w:val="001E6663"/>
    <w:rsid w:val="001E6F72"/>
    <w:rsid w:val="0020448B"/>
    <w:rsid w:val="002341A0"/>
    <w:rsid w:val="002C148E"/>
    <w:rsid w:val="003278CD"/>
    <w:rsid w:val="003340D8"/>
    <w:rsid w:val="00346C15"/>
    <w:rsid w:val="003666C0"/>
    <w:rsid w:val="003E24F7"/>
    <w:rsid w:val="003E5008"/>
    <w:rsid w:val="003F2E12"/>
    <w:rsid w:val="00422592"/>
    <w:rsid w:val="0043458D"/>
    <w:rsid w:val="00462CA6"/>
    <w:rsid w:val="00493868"/>
    <w:rsid w:val="00494B29"/>
    <w:rsid w:val="004A76F5"/>
    <w:rsid w:val="004C0EA6"/>
    <w:rsid w:val="004C58BE"/>
    <w:rsid w:val="004D0E85"/>
    <w:rsid w:val="004F26E9"/>
    <w:rsid w:val="00520402"/>
    <w:rsid w:val="00532DD5"/>
    <w:rsid w:val="005543BE"/>
    <w:rsid w:val="00556F39"/>
    <w:rsid w:val="00557696"/>
    <w:rsid w:val="00580714"/>
    <w:rsid w:val="00581C79"/>
    <w:rsid w:val="005834EA"/>
    <w:rsid w:val="00595FEF"/>
    <w:rsid w:val="00597B79"/>
    <w:rsid w:val="005B045E"/>
    <w:rsid w:val="005C6849"/>
    <w:rsid w:val="005F1CB0"/>
    <w:rsid w:val="00612EA4"/>
    <w:rsid w:val="00626CA5"/>
    <w:rsid w:val="00640B76"/>
    <w:rsid w:val="00646D0D"/>
    <w:rsid w:val="00665617"/>
    <w:rsid w:val="006D76FE"/>
    <w:rsid w:val="006F340C"/>
    <w:rsid w:val="00725C5C"/>
    <w:rsid w:val="00732713"/>
    <w:rsid w:val="00772FFC"/>
    <w:rsid w:val="00784D9F"/>
    <w:rsid w:val="007934DF"/>
    <w:rsid w:val="007A598B"/>
    <w:rsid w:val="007B442E"/>
    <w:rsid w:val="007D0038"/>
    <w:rsid w:val="007D71BD"/>
    <w:rsid w:val="007E38C6"/>
    <w:rsid w:val="008123DC"/>
    <w:rsid w:val="008209CF"/>
    <w:rsid w:val="00824E4E"/>
    <w:rsid w:val="00846C18"/>
    <w:rsid w:val="00855631"/>
    <w:rsid w:val="008F479D"/>
    <w:rsid w:val="0090431D"/>
    <w:rsid w:val="0092178B"/>
    <w:rsid w:val="00946AB0"/>
    <w:rsid w:val="00984CDB"/>
    <w:rsid w:val="009D5789"/>
    <w:rsid w:val="009F1247"/>
    <w:rsid w:val="009F499F"/>
    <w:rsid w:val="00A110F0"/>
    <w:rsid w:val="00A33F94"/>
    <w:rsid w:val="00A52249"/>
    <w:rsid w:val="00AD3F53"/>
    <w:rsid w:val="00AE7E8A"/>
    <w:rsid w:val="00AF4B65"/>
    <w:rsid w:val="00B64444"/>
    <w:rsid w:val="00B81548"/>
    <w:rsid w:val="00B82F92"/>
    <w:rsid w:val="00BB7E74"/>
    <w:rsid w:val="00C42C71"/>
    <w:rsid w:val="00C4704E"/>
    <w:rsid w:val="00CA2B37"/>
    <w:rsid w:val="00CD5390"/>
    <w:rsid w:val="00CE005A"/>
    <w:rsid w:val="00CE1E61"/>
    <w:rsid w:val="00CE4868"/>
    <w:rsid w:val="00D20BBD"/>
    <w:rsid w:val="00D878A4"/>
    <w:rsid w:val="00D9308B"/>
    <w:rsid w:val="00DB7BFC"/>
    <w:rsid w:val="00DF4E8B"/>
    <w:rsid w:val="00DF7B97"/>
    <w:rsid w:val="00E166E6"/>
    <w:rsid w:val="00E25DA1"/>
    <w:rsid w:val="00E50EC2"/>
    <w:rsid w:val="00E53B02"/>
    <w:rsid w:val="00E6174B"/>
    <w:rsid w:val="00EA7AE2"/>
    <w:rsid w:val="00F16BFA"/>
    <w:rsid w:val="00F25E2D"/>
    <w:rsid w:val="00F37052"/>
    <w:rsid w:val="00F413AC"/>
    <w:rsid w:val="00F510BF"/>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06">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23905884">
      <w:bodyDiv w:val="1"/>
      <w:marLeft w:val="0"/>
      <w:marRight w:val="0"/>
      <w:marTop w:val="0"/>
      <w:marBottom w:val="0"/>
      <w:divBdr>
        <w:top w:val="none" w:sz="0" w:space="0" w:color="auto"/>
        <w:left w:val="none" w:sz="0" w:space="0" w:color="auto"/>
        <w:bottom w:val="none" w:sz="0" w:space="0" w:color="auto"/>
        <w:right w:val="none" w:sz="0" w:space="0" w:color="auto"/>
      </w:divBdr>
    </w:div>
    <w:div w:id="526528091">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37229321">
      <w:bodyDiv w:val="1"/>
      <w:marLeft w:val="0"/>
      <w:marRight w:val="0"/>
      <w:marTop w:val="0"/>
      <w:marBottom w:val="0"/>
      <w:divBdr>
        <w:top w:val="none" w:sz="0" w:space="0" w:color="auto"/>
        <w:left w:val="none" w:sz="0" w:space="0" w:color="auto"/>
        <w:bottom w:val="none" w:sz="0" w:space="0" w:color="auto"/>
        <w:right w:val="none" w:sz="0" w:space="0" w:color="auto"/>
      </w:divBdr>
    </w:div>
    <w:div w:id="717507615">
      <w:bodyDiv w:val="1"/>
      <w:marLeft w:val="0"/>
      <w:marRight w:val="0"/>
      <w:marTop w:val="0"/>
      <w:marBottom w:val="0"/>
      <w:divBdr>
        <w:top w:val="none" w:sz="0" w:space="0" w:color="auto"/>
        <w:left w:val="none" w:sz="0" w:space="0" w:color="auto"/>
        <w:bottom w:val="none" w:sz="0" w:space="0" w:color="auto"/>
        <w:right w:val="none" w:sz="0" w:space="0" w:color="auto"/>
      </w:divBdr>
    </w:div>
    <w:div w:id="1002900804">
      <w:bodyDiv w:val="1"/>
      <w:marLeft w:val="0"/>
      <w:marRight w:val="0"/>
      <w:marTop w:val="0"/>
      <w:marBottom w:val="0"/>
      <w:divBdr>
        <w:top w:val="none" w:sz="0" w:space="0" w:color="auto"/>
        <w:left w:val="none" w:sz="0" w:space="0" w:color="auto"/>
        <w:bottom w:val="none" w:sz="0" w:space="0" w:color="auto"/>
        <w:right w:val="none" w:sz="0" w:space="0" w:color="auto"/>
      </w:divBdr>
    </w:div>
    <w:div w:id="1027097204">
      <w:bodyDiv w:val="1"/>
      <w:marLeft w:val="0"/>
      <w:marRight w:val="0"/>
      <w:marTop w:val="0"/>
      <w:marBottom w:val="0"/>
      <w:divBdr>
        <w:top w:val="none" w:sz="0" w:space="0" w:color="auto"/>
        <w:left w:val="none" w:sz="0" w:space="0" w:color="auto"/>
        <w:bottom w:val="none" w:sz="0" w:space="0" w:color="auto"/>
        <w:right w:val="none" w:sz="0" w:space="0" w:color="auto"/>
      </w:divBdr>
    </w:div>
    <w:div w:id="1096830920">
      <w:bodyDiv w:val="1"/>
      <w:marLeft w:val="0"/>
      <w:marRight w:val="0"/>
      <w:marTop w:val="0"/>
      <w:marBottom w:val="0"/>
      <w:divBdr>
        <w:top w:val="none" w:sz="0" w:space="0" w:color="auto"/>
        <w:left w:val="none" w:sz="0" w:space="0" w:color="auto"/>
        <w:bottom w:val="none" w:sz="0" w:space="0" w:color="auto"/>
        <w:right w:val="none" w:sz="0" w:space="0" w:color="auto"/>
      </w:divBdr>
    </w:div>
    <w:div w:id="1468428149">
      <w:bodyDiv w:val="1"/>
      <w:marLeft w:val="0"/>
      <w:marRight w:val="0"/>
      <w:marTop w:val="0"/>
      <w:marBottom w:val="0"/>
      <w:divBdr>
        <w:top w:val="none" w:sz="0" w:space="0" w:color="auto"/>
        <w:left w:val="none" w:sz="0" w:space="0" w:color="auto"/>
        <w:bottom w:val="none" w:sz="0" w:space="0" w:color="auto"/>
        <w:right w:val="none" w:sz="0" w:space="0" w:color="auto"/>
      </w:divBdr>
    </w:div>
    <w:div w:id="1531257343">
      <w:bodyDiv w:val="1"/>
      <w:marLeft w:val="0"/>
      <w:marRight w:val="0"/>
      <w:marTop w:val="0"/>
      <w:marBottom w:val="0"/>
      <w:divBdr>
        <w:top w:val="none" w:sz="0" w:space="0" w:color="auto"/>
        <w:left w:val="none" w:sz="0" w:space="0" w:color="auto"/>
        <w:bottom w:val="none" w:sz="0" w:space="0" w:color="auto"/>
        <w:right w:val="none" w:sz="0" w:space="0" w:color="auto"/>
      </w:divBdr>
    </w:div>
    <w:div w:id="159678856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20748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a36e885c0ccca58be9bf9d3a7438b9be&amp;node=50:13.0.1.1.1.3.1.5&amp;rgn=div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a36e885c0ccca58be9bf9d3a7438b9be&amp;node=50:13.0.1.1.1.3.1.4&amp;rgn=div8" TargetMode="External"/><Relationship Id="rId5" Type="http://schemas.openxmlformats.org/officeDocument/2006/relationships/settings" Target="settings.xml"/><Relationship Id="rId15" Type="http://schemas.openxmlformats.org/officeDocument/2006/relationships/hyperlink" Target="http://www.bls.gov/oes" TargetMode="Externa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D243-BE7C-4C62-B71C-C3BAC42D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2019-10-11T20:35:00Z</cp:lastPrinted>
  <dcterms:created xsi:type="dcterms:W3CDTF">2019-10-28T20:28:00Z</dcterms:created>
  <dcterms:modified xsi:type="dcterms:W3CDTF">2019-10-28T20:28:00Z</dcterms:modified>
</cp:coreProperties>
</file>