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D0819" w14:textId="77777777" w:rsidR="00A9224C" w:rsidRDefault="00A9224C">
      <w:pPr>
        <w:pStyle w:val="BodyText"/>
        <w:rPr>
          <w:sz w:val="20"/>
        </w:rPr>
      </w:pPr>
      <w:bookmarkStart w:id="0" w:name="_GoBack"/>
      <w:bookmarkEnd w:id="0"/>
    </w:p>
    <w:p w14:paraId="2F3C60DA" w14:textId="77777777" w:rsidR="00A9224C" w:rsidRDefault="00A9224C">
      <w:pPr>
        <w:pStyle w:val="BodyText"/>
        <w:spacing w:before="8"/>
        <w:rPr>
          <w:sz w:val="22"/>
        </w:rPr>
      </w:pPr>
    </w:p>
    <w:p w14:paraId="3A5C66C2" w14:textId="2760C123" w:rsidR="00A9224C" w:rsidRDefault="003F43FE">
      <w:pPr>
        <w:pStyle w:val="Heading1"/>
        <w:ind w:left="1840" w:right="1759" w:firstLine="0"/>
        <w:jc w:val="center"/>
      </w:pPr>
      <w:r>
        <w:t xml:space="preserve">CONSUMER FINANCIAL PROTECTION </w:t>
      </w:r>
      <w:r w:rsidR="008D78A7">
        <w:t xml:space="preserve">BUREAU </w:t>
      </w:r>
      <w:r>
        <w:t>PAPERWORK REDUCTION ACT SUBMISSION INFORMATION COLLECTION REQUEST</w:t>
      </w:r>
    </w:p>
    <w:p w14:paraId="05DEF8F9" w14:textId="77777777" w:rsidR="00A9224C" w:rsidRDefault="00A9224C">
      <w:pPr>
        <w:pStyle w:val="BodyText"/>
        <w:rPr>
          <w:b/>
          <w:sz w:val="26"/>
        </w:rPr>
      </w:pPr>
    </w:p>
    <w:p w14:paraId="5602096D" w14:textId="77777777" w:rsidR="00A9224C" w:rsidRDefault="00A9224C">
      <w:pPr>
        <w:pStyle w:val="BodyText"/>
        <w:spacing w:before="1"/>
        <w:rPr>
          <w:b/>
          <w:sz w:val="22"/>
        </w:rPr>
      </w:pPr>
    </w:p>
    <w:p w14:paraId="27307171" w14:textId="77777777" w:rsidR="00A9224C" w:rsidRDefault="003F43FE">
      <w:pPr>
        <w:spacing w:before="1"/>
        <w:ind w:left="2782"/>
        <w:rPr>
          <w:b/>
          <w:sz w:val="24"/>
        </w:rPr>
      </w:pPr>
      <w:r>
        <w:rPr>
          <w:b/>
          <w:sz w:val="24"/>
        </w:rPr>
        <w:t>SUPPORTING STATEMENT PART B</w:t>
      </w:r>
    </w:p>
    <w:p w14:paraId="087CC389" w14:textId="77777777" w:rsidR="00A9224C" w:rsidRDefault="00A9224C">
      <w:pPr>
        <w:pStyle w:val="BodyText"/>
        <w:spacing w:before="10"/>
        <w:rPr>
          <w:b/>
          <w:sz w:val="23"/>
        </w:rPr>
      </w:pPr>
    </w:p>
    <w:p w14:paraId="076C4F66" w14:textId="77777777" w:rsidR="00096222" w:rsidRDefault="00096222" w:rsidP="00096222">
      <w:pPr>
        <w:ind w:left="418" w:right="331"/>
        <w:jc w:val="center"/>
        <w:rPr>
          <w:b/>
          <w:caps/>
          <w:sz w:val="24"/>
        </w:rPr>
      </w:pPr>
      <w:r w:rsidRPr="00096222">
        <w:rPr>
          <w:b/>
          <w:caps/>
          <w:sz w:val="24"/>
        </w:rPr>
        <w:t xml:space="preserve">Generic Information Collection Plan to Conduct Cognitive </w:t>
      </w:r>
    </w:p>
    <w:p w14:paraId="5866D6B0" w14:textId="77777777" w:rsidR="00096222" w:rsidRDefault="00096222" w:rsidP="00096222">
      <w:pPr>
        <w:ind w:left="418" w:right="331"/>
        <w:jc w:val="center"/>
        <w:rPr>
          <w:b/>
          <w:caps/>
          <w:sz w:val="24"/>
        </w:rPr>
      </w:pPr>
      <w:r w:rsidRPr="00096222">
        <w:rPr>
          <w:b/>
          <w:caps/>
          <w:sz w:val="24"/>
        </w:rPr>
        <w:t xml:space="preserve">and Pilot Testing of Research Methods, Instruments, and </w:t>
      </w:r>
    </w:p>
    <w:p w14:paraId="4ACA3163" w14:textId="77777777" w:rsidR="00096222" w:rsidRDefault="00096222" w:rsidP="00096222">
      <w:pPr>
        <w:ind w:left="418" w:right="331"/>
        <w:jc w:val="center"/>
        <w:rPr>
          <w:b/>
          <w:caps/>
          <w:sz w:val="24"/>
        </w:rPr>
      </w:pPr>
      <w:r w:rsidRPr="00096222">
        <w:rPr>
          <w:b/>
          <w:caps/>
          <w:sz w:val="24"/>
        </w:rPr>
        <w:t xml:space="preserve">Forms </w:t>
      </w:r>
    </w:p>
    <w:p w14:paraId="35661D30" w14:textId="49D571B7" w:rsidR="00A9224C" w:rsidRDefault="00F873A4">
      <w:pPr>
        <w:spacing w:line="482" w:lineRule="auto"/>
        <w:ind w:left="413" w:right="331"/>
        <w:jc w:val="center"/>
        <w:rPr>
          <w:b/>
          <w:sz w:val="24"/>
        </w:rPr>
      </w:pPr>
      <w:r>
        <w:rPr>
          <w:noProof/>
          <w:lang w:bidi="ar-SA"/>
        </w:rPr>
        <mc:AlternateContent>
          <mc:Choice Requires="wps">
            <w:drawing>
              <wp:anchor distT="0" distB="0" distL="114300" distR="114300" simplePos="0" relativeHeight="251657728" behindDoc="1" locked="0" layoutInCell="1" allowOverlap="1" wp14:anchorId="4A955468" wp14:editId="3E7FCFCB">
                <wp:simplePos x="0" y="0"/>
                <wp:positionH relativeFrom="page">
                  <wp:posOffset>1009650</wp:posOffset>
                </wp:positionH>
                <wp:positionV relativeFrom="paragraph">
                  <wp:posOffset>288925</wp:posOffset>
                </wp:positionV>
                <wp:extent cx="5982335" cy="0"/>
                <wp:effectExtent l="9525" t="5715" r="8890" b="133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23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98B51BF" id="Line 2"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9.5pt,22.75pt" to="550.5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j1NEgIAACg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" strokeweight=".72pt">
                <w10:wrap anchorx="page"/>
              </v:line>
            </w:pict>
          </mc:Fallback>
        </mc:AlternateContent>
      </w:r>
      <w:r w:rsidR="003F43FE">
        <w:rPr>
          <w:b/>
          <w:sz w:val="24"/>
        </w:rPr>
        <w:t>(OMB CONTROL NUMBER: 3170-</w:t>
      </w:r>
      <w:r>
        <w:rPr>
          <w:b/>
          <w:sz w:val="24"/>
        </w:rPr>
        <w:t>0055</w:t>
      </w:r>
      <w:r w:rsidR="003F43FE">
        <w:rPr>
          <w:b/>
          <w:sz w:val="24"/>
        </w:rPr>
        <w:t>)</w:t>
      </w:r>
    </w:p>
    <w:p w14:paraId="297A79AE" w14:textId="77777777" w:rsidR="00A9224C" w:rsidRDefault="003F43FE">
      <w:pPr>
        <w:pStyle w:val="ListParagraph"/>
        <w:numPr>
          <w:ilvl w:val="0"/>
          <w:numId w:val="1"/>
        </w:numPr>
        <w:tabs>
          <w:tab w:val="left" w:pos="500"/>
        </w:tabs>
        <w:spacing w:before="29"/>
        <w:jc w:val="left"/>
        <w:rPr>
          <w:b/>
          <w:sz w:val="24"/>
          <w:u w:val="none"/>
        </w:rPr>
      </w:pPr>
      <w:r>
        <w:rPr>
          <w:b/>
          <w:sz w:val="24"/>
          <w:u w:val="thick"/>
        </w:rPr>
        <w:t>Respondent Universe and Selection</w:t>
      </w:r>
      <w:r>
        <w:rPr>
          <w:b/>
          <w:spacing w:val="-1"/>
          <w:sz w:val="24"/>
          <w:u w:val="thick"/>
        </w:rPr>
        <w:t xml:space="preserve"> </w:t>
      </w:r>
      <w:r>
        <w:rPr>
          <w:b/>
          <w:sz w:val="24"/>
          <w:u w:val="thick"/>
        </w:rPr>
        <w:t>Methods</w:t>
      </w:r>
    </w:p>
    <w:p w14:paraId="5A9AC760" w14:textId="77777777" w:rsidR="00A9224C" w:rsidRDefault="00A9224C">
      <w:pPr>
        <w:pStyle w:val="BodyText"/>
        <w:rPr>
          <w:b/>
          <w:sz w:val="16"/>
        </w:rPr>
      </w:pPr>
    </w:p>
    <w:p w14:paraId="611B6101" w14:textId="0C68C2CC" w:rsidR="00A9224C" w:rsidRPr="005213B0" w:rsidRDefault="003F43FE" w:rsidP="005213B0">
      <w:pPr>
        <w:pStyle w:val="BodyText"/>
        <w:spacing w:before="90" w:line="360" w:lineRule="auto"/>
        <w:ind w:left="140" w:right="182" w:firstLine="720"/>
      </w:pPr>
      <w:r>
        <w:t>The potential respondent universe will vary depending on the research question addressed and method of data collection employed. The data collected will be used for research activities that improve data collection processes</w:t>
      </w:r>
      <w:r w:rsidR="00485AF7">
        <w:t>, data collection materials, and disclosures.</w:t>
      </w:r>
      <w:r>
        <w:t xml:space="preserve"> </w:t>
      </w:r>
      <w:r w:rsidR="00485AF7">
        <w:t>The data collected will not be used</w:t>
      </w:r>
      <w:r>
        <w:t xml:space="preserve"> to produce estimates about the population. </w:t>
      </w:r>
      <w:r w:rsidR="00485AF7">
        <w:t>T</w:t>
      </w:r>
      <w:r>
        <w:t>he testing activities undertaken as part of this clearance primarily will involve purposive or convenience samples, sometimes to cover demographic subgroups or other subpopulations</w:t>
      </w:r>
      <w:r w:rsidR="00485AF7">
        <w:t xml:space="preserve"> such as consumers who have experience with specific financial products</w:t>
      </w:r>
      <w:r>
        <w:t>. The objective usually is to interview a variety of people, rather than a probability sample of the population. An important exception is, in some cases, pilot tests of surveys which may be based on samples selected in a way that could be used to provide estimates for a given population.</w:t>
      </w:r>
    </w:p>
    <w:p w14:paraId="726545BE" w14:textId="7606F142" w:rsidR="00A9224C" w:rsidRDefault="003F43FE" w:rsidP="005213B0">
      <w:pPr>
        <w:pStyle w:val="BodyText"/>
        <w:spacing w:line="360" w:lineRule="auto"/>
        <w:ind w:left="140" w:right="102" w:firstLine="720"/>
      </w:pPr>
      <w:r>
        <w:t xml:space="preserve">A description of the plans for selecting respondents for each individual test will be provided to OMB at the time each </w:t>
      </w:r>
      <w:r w:rsidR="00F02CC2">
        <w:t xml:space="preserve">information collection request </w:t>
      </w:r>
      <w:r>
        <w:t xml:space="preserve">is submitted. Respondents will be identified in different ways, depending on the method of testing. Examples of testing methods include: pilot tests, </w:t>
      </w:r>
      <w:r>
        <w:rPr>
          <w:color w:val="2D2D2D"/>
        </w:rPr>
        <w:t>focus groups, cognitive laboratory activities, field testing, exploratory interviews, experiments with questionnaire design, and usability testing of data collection instruments</w:t>
      </w:r>
      <w:r w:rsidR="00F02CC2">
        <w:rPr>
          <w:color w:val="2D2D2D"/>
        </w:rPr>
        <w:t xml:space="preserve"> and disclosures</w:t>
      </w:r>
      <w:r>
        <w:rPr>
          <w:color w:val="2D2D2D"/>
        </w:rPr>
        <w:t>.</w:t>
      </w:r>
    </w:p>
    <w:p w14:paraId="2EA8263D" w14:textId="77777777" w:rsidR="00A9224C" w:rsidRDefault="003F43FE">
      <w:pPr>
        <w:pStyle w:val="Heading1"/>
        <w:numPr>
          <w:ilvl w:val="0"/>
          <w:numId w:val="1"/>
        </w:numPr>
        <w:tabs>
          <w:tab w:val="left" w:pos="500"/>
        </w:tabs>
        <w:spacing w:before="79"/>
        <w:jc w:val="left"/>
      </w:pPr>
      <w:r>
        <w:rPr>
          <w:u w:val="thick"/>
        </w:rPr>
        <w:t>Information Collection</w:t>
      </w:r>
      <w:r>
        <w:rPr>
          <w:spacing w:val="-1"/>
          <w:u w:val="thick"/>
        </w:rPr>
        <w:t xml:space="preserve"> </w:t>
      </w:r>
      <w:r>
        <w:rPr>
          <w:u w:val="thick"/>
        </w:rPr>
        <w:t>Procedures</w:t>
      </w:r>
    </w:p>
    <w:p w14:paraId="03CFC4BC" w14:textId="77777777" w:rsidR="00A9224C" w:rsidRDefault="00A9224C">
      <w:pPr>
        <w:pStyle w:val="BodyText"/>
        <w:spacing w:before="11"/>
        <w:rPr>
          <w:b/>
          <w:sz w:val="15"/>
        </w:rPr>
      </w:pPr>
    </w:p>
    <w:p w14:paraId="24B1D3EF" w14:textId="38FE4F56" w:rsidR="00A9224C" w:rsidRPr="005213B0" w:rsidRDefault="003F43FE" w:rsidP="005213B0">
      <w:pPr>
        <w:pStyle w:val="BodyText"/>
        <w:spacing w:before="90" w:line="360" w:lineRule="auto"/>
        <w:ind w:left="140" w:right="250" w:firstLine="720"/>
      </w:pPr>
      <w:r>
        <w:t xml:space="preserve">Data collection procedures for the testing conducted under this clearance will be varied, and will most likely include mail surveys, in-person interviews, web-based surveys, telephone surveys (including CATI), and in-person focus groups. More specific information about data </w:t>
      </w:r>
      <w:r>
        <w:lastRenderedPageBreak/>
        <w:t>collection procedures will be contained in the description provided to OMB at the time the development activities are submitted for approval.</w:t>
      </w:r>
    </w:p>
    <w:p w14:paraId="551C3FE7" w14:textId="77777777" w:rsidR="00A9224C" w:rsidRDefault="003F43FE">
      <w:pPr>
        <w:pStyle w:val="Heading1"/>
        <w:numPr>
          <w:ilvl w:val="0"/>
          <w:numId w:val="1"/>
        </w:numPr>
        <w:tabs>
          <w:tab w:val="left" w:pos="500"/>
        </w:tabs>
        <w:spacing w:before="233"/>
        <w:jc w:val="left"/>
      </w:pPr>
      <w:r>
        <w:rPr>
          <w:u w:val="thick"/>
        </w:rPr>
        <w:t>Methods to Maximize Response Rates and Address Issues of</w:t>
      </w:r>
      <w:r>
        <w:rPr>
          <w:spacing w:val="-1"/>
          <w:u w:val="thick"/>
        </w:rPr>
        <w:t xml:space="preserve"> </w:t>
      </w:r>
      <w:r>
        <w:rPr>
          <w:u w:val="thick"/>
        </w:rPr>
        <w:t>Non-Response</w:t>
      </w:r>
    </w:p>
    <w:p w14:paraId="3A012544" w14:textId="7F90A710" w:rsidR="00A9224C" w:rsidRDefault="00A9224C">
      <w:pPr>
        <w:pStyle w:val="BodyText"/>
        <w:rPr>
          <w:b/>
          <w:sz w:val="20"/>
        </w:rPr>
      </w:pPr>
    </w:p>
    <w:p w14:paraId="710D3D3D" w14:textId="09BC2305" w:rsidR="00A9224C" w:rsidRDefault="003F43FE" w:rsidP="005213B0">
      <w:pPr>
        <w:pStyle w:val="BodyText"/>
        <w:spacing w:before="90" w:line="360" w:lineRule="auto"/>
        <w:ind w:left="144" w:right="86" w:firstLine="720"/>
        <w:rPr>
          <w:sz w:val="26"/>
        </w:rPr>
      </w:pPr>
      <w:r>
        <w:t>In general, callbacks will be used to maximize response rates in personal visit or telephone field tests; reminder phone calls, letters, or additional questionnaires will be used to maximize response rates in group administration, mail, and Internet studies. For cognitive interviews, focus groups, and pilot surveys</w:t>
      </w:r>
      <w:r w:rsidR="009E2431">
        <w:t>,</w:t>
      </w:r>
      <w:r>
        <w:t xml:space="preserve"> participants generally will be provided with a token of appreciation for their time and effort. Reminder phone calls or letters to participants will be used to encourage them to keep their appointments. More specific information will be contained in the description provided to OMB at the time each questionnaire is submitted.</w:t>
      </w:r>
    </w:p>
    <w:p w14:paraId="23F33F94" w14:textId="77777777" w:rsidR="00A9224C" w:rsidRDefault="003F43FE">
      <w:pPr>
        <w:pStyle w:val="Heading1"/>
        <w:numPr>
          <w:ilvl w:val="0"/>
          <w:numId w:val="1"/>
        </w:numPr>
        <w:tabs>
          <w:tab w:val="left" w:pos="500"/>
        </w:tabs>
        <w:spacing w:before="191"/>
        <w:jc w:val="left"/>
      </w:pPr>
      <w:r>
        <w:rPr>
          <w:u w:val="thick"/>
        </w:rPr>
        <w:t>Testing of Procedures or</w:t>
      </w:r>
      <w:r>
        <w:rPr>
          <w:spacing w:val="-1"/>
          <w:u w:val="thick"/>
        </w:rPr>
        <w:t xml:space="preserve"> </w:t>
      </w:r>
      <w:r>
        <w:rPr>
          <w:u w:val="thick"/>
        </w:rPr>
        <w:t>Methods</w:t>
      </w:r>
    </w:p>
    <w:p w14:paraId="45DAD254" w14:textId="77777777" w:rsidR="00A9224C" w:rsidRDefault="00A9224C">
      <w:pPr>
        <w:pStyle w:val="BodyText"/>
        <w:spacing w:before="11"/>
        <w:rPr>
          <w:b/>
          <w:sz w:val="15"/>
        </w:rPr>
      </w:pPr>
    </w:p>
    <w:p w14:paraId="76C3B7E1" w14:textId="73BD13AD" w:rsidR="00A9224C" w:rsidRDefault="003F43FE" w:rsidP="00FA1B37">
      <w:pPr>
        <w:pStyle w:val="BodyText"/>
        <w:spacing w:before="90" w:line="360" w:lineRule="auto"/>
        <w:ind w:left="144" w:right="187" w:firstLine="720"/>
      </w:pPr>
      <w:r>
        <w:t xml:space="preserve">This generic clearance </w:t>
      </w:r>
      <w:r w:rsidR="009E2431">
        <w:t>will</w:t>
      </w:r>
      <w:r>
        <w:t xml:space="preserve"> allow the </w:t>
      </w:r>
      <w:r w:rsidR="008D78A7">
        <w:t xml:space="preserve">Bureau </w:t>
      </w:r>
      <w:r>
        <w:t>to test research instruments on a small scale prior to their use in full-scale research studies. A typical information collection under this generic clearance, for example, could include quantitative statistical tests of differences in response patterns or response rates for different versions of questions or qualitative assessments of differences in respondents’ reactions and understanding of materials.</w:t>
      </w:r>
      <w:r w:rsidR="009E2431">
        <w:t xml:space="preserve"> In </w:t>
      </w:r>
      <w:r w:rsidR="00743CFC">
        <w:t>addition, the Bureau or i</w:t>
      </w:r>
      <w:r w:rsidR="00205B88">
        <w:t xml:space="preserve">ts contractors will conduct </w:t>
      </w:r>
      <w:r w:rsidR="00743CFC">
        <w:t>testing of materials or procedures, where applicable, using</w:t>
      </w:r>
      <w:r w:rsidR="009E2431">
        <w:t xml:space="preserve"> </w:t>
      </w:r>
      <w:r w:rsidR="00743CFC">
        <w:t>internal staff or a contractor’s employees as part of their routine job responsibilities.</w:t>
      </w:r>
    </w:p>
    <w:p w14:paraId="2FE86702" w14:textId="77777777" w:rsidR="00A9224C" w:rsidRDefault="003F43FE" w:rsidP="005213B0">
      <w:pPr>
        <w:pStyle w:val="Heading1"/>
        <w:numPr>
          <w:ilvl w:val="0"/>
          <w:numId w:val="1"/>
        </w:numPr>
        <w:tabs>
          <w:tab w:val="left" w:pos="861"/>
        </w:tabs>
        <w:spacing w:before="79"/>
        <w:ind w:left="360"/>
        <w:jc w:val="left"/>
      </w:pPr>
      <w:r>
        <w:rPr>
          <w:u w:val="thick"/>
        </w:rPr>
        <w:t>Contact Information for Statistical Aspects of the</w:t>
      </w:r>
      <w:r>
        <w:rPr>
          <w:spacing w:val="-5"/>
          <w:u w:val="thick"/>
        </w:rPr>
        <w:t xml:space="preserve"> </w:t>
      </w:r>
      <w:r>
        <w:rPr>
          <w:u w:val="thick"/>
        </w:rPr>
        <w:t>Design</w:t>
      </w:r>
    </w:p>
    <w:p w14:paraId="01C48090" w14:textId="77777777" w:rsidR="00A9224C" w:rsidRDefault="00A9224C">
      <w:pPr>
        <w:pStyle w:val="BodyText"/>
        <w:spacing w:before="11"/>
        <w:rPr>
          <w:b/>
          <w:sz w:val="27"/>
        </w:rPr>
      </w:pPr>
    </w:p>
    <w:p w14:paraId="0061FF8C" w14:textId="4A5F0C41" w:rsidR="00A9224C" w:rsidRDefault="003F43FE" w:rsidP="005213B0">
      <w:pPr>
        <w:pStyle w:val="BodyText"/>
        <w:spacing w:before="90" w:line="360" w:lineRule="auto"/>
        <w:ind w:right="548" w:firstLine="720"/>
      </w:pPr>
      <w:r>
        <w:t>The name and telephone numbers of these individuals will be provided in the clearance request for each specific data collection.</w:t>
      </w:r>
      <w:r w:rsidR="005213B0">
        <w:t xml:space="preserve"> </w:t>
      </w:r>
      <w:r>
        <w:t xml:space="preserve">The Office of Research is currently staffed with </w:t>
      </w:r>
      <w:r w:rsidR="008D78A7">
        <w:t>numerous</w:t>
      </w:r>
      <w:r>
        <w:t xml:space="preserve"> employees with PhDs in the social sciences, who are trained in relevant methods. For any research studies that employ statistical methods submitted for approval under this generic information collection plan, such methods will be reviewed by a qualified statistician for scientific rigor; including compliance with the OMB’s statistical program and standards prior to submission to OMB.</w:t>
      </w:r>
      <w:r w:rsidR="002B176E">
        <w:t xml:space="preserve"> </w:t>
      </w:r>
    </w:p>
    <w:sectPr w:rsidR="00A9224C">
      <w:headerReference w:type="default" r:id="rId8"/>
      <w:footerReference w:type="default" r:id="rId9"/>
      <w:pgSz w:w="12240" w:h="15840"/>
      <w:pgMar w:top="1360" w:right="1380" w:bottom="1260" w:left="1300" w:header="0" w:footer="10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961E14" w14:textId="77777777" w:rsidR="007B5800" w:rsidRDefault="007B5800">
      <w:r>
        <w:separator/>
      </w:r>
    </w:p>
  </w:endnote>
  <w:endnote w:type="continuationSeparator" w:id="0">
    <w:p w14:paraId="035AB68C" w14:textId="77777777" w:rsidR="007B5800" w:rsidRDefault="007B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352995"/>
      <w:docPartObj>
        <w:docPartGallery w:val="Page Numbers (Bottom of Page)"/>
        <w:docPartUnique/>
      </w:docPartObj>
    </w:sdtPr>
    <w:sdtEndPr>
      <w:rPr>
        <w:noProof/>
      </w:rPr>
    </w:sdtEndPr>
    <w:sdtContent>
      <w:p w14:paraId="76E2363D" w14:textId="72A9135F" w:rsidR="00205B88" w:rsidRDefault="00205B88">
        <w:pPr>
          <w:pStyle w:val="Footer"/>
          <w:jc w:val="right"/>
        </w:pPr>
        <w:r>
          <w:fldChar w:fldCharType="begin"/>
        </w:r>
        <w:r>
          <w:instrText xml:space="preserve"> PAGE   \* MERGEFORMAT </w:instrText>
        </w:r>
        <w:r>
          <w:fldChar w:fldCharType="separate"/>
        </w:r>
        <w:r w:rsidR="00894523">
          <w:rPr>
            <w:noProof/>
          </w:rPr>
          <w:t>1</w:t>
        </w:r>
        <w:r>
          <w:rPr>
            <w:noProof/>
          </w:rPr>
          <w:fldChar w:fldCharType="end"/>
        </w:r>
      </w:p>
    </w:sdtContent>
  </w:sdt>
  <w:p w14:paraId="37EA8554" w14:textId="054D0C1E" w:rsidR="00A9224C" w:rsidRDefault="00A9224C">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63601E" w14:textId="77777777" w:rsidR="007B5800" w:rsidRDefault="007B5800">
      <w:r>
        <w:separator/>
      </w:r>
    </w:p>
  </w:footnote>
  <w:footnote w:type="continuationSeparator" w:id="0">
    <w:p w14:paraId="365B3D1C" w14:textId="77777777" w:rsidR="007B5800" w:rsidRDefault="007B58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E005C" w14:textId="5C117977" w:rsidR="00510B39" w:rsidRDefault="00510B39" w:rsidP="00A7514D">
    <w:pPr>
      <w:pStyle w:val="Header"/>
      <w:jc w:val="right"/>
    </w:pPr>
    <w:r>
      <w:t xml:space="preserve">30-day </w:t>
    </w:r>
    <w:r w:rsidR="00A7514D">
      <w:t>Federal Register Notice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1B15E6"/>
    <w:multiLevelType w:val="hybridMultilevel"/>
    <w:tmpl w:val="8682C976"/>
    <w:lvl w:ilvl="0" w:tplc="7138EE52">
      <w:start w:val="1"/>
      <w:numFmt w:val="decimal"/>
      <w:lvlText w:val="%1."/>
      <w:lvlJc w:val="left"/>
      <w:pPr>
        <w:ind w:left="500" w:hanging="360"/>
        <w:jc w:val="right"/>
      </w:pPr>
      <w:rPr>
        <w:rFonts w:ascii="Times New Roman" w:eastAsia="Times New Roman" w:hAnsi="Times New Roman" w:cs="Times New Roman" w:hint="default"/>
        <w:b/>
        <w:bCs/>
        <w:spacing w:val="-2"/>
        <w:w w:val="99"/>
        <w:sz w:val="24"/>
        <w:szCs w:val="24"/>
        <w:lang w:val="en-US" w:eastAsia="en-US" w:bidi="en-US"/>
      </w:rPr>
    </w:lvl>
    <w:lvl w:ilvl="1" w:tplc="52E8143C">
      <w:numFmt w:val="bullet"/>
      <w:lvlText w:val="•"/>
      <w:lvlJc w:val="left"/>
      <w:pPr>
        <w:ind w:left="1406" w:hanging="360"/>
      </w:pPr>
      <w:rPr>
        <w:rFonts w:hint="default"/>
        <w:lang w:val="en-US" w:eastAsia="en-US" w:bidi="en-US"/>
      </w:rPr>
    </w:lvl>
    <w:lvl w:ilvl="2" w:tplc="9D96FC18">
      <w:numFmt w:val="bullet"/>
      <w:lvlText w:val="•"/>
      <w:lvlJc w:val="left"/>
      <w:pPr>
        <w:ind w:left="2312" w:hanging="360"/>
      </w:pPr>
      <w:rPr>
        <w:rFonts w:hint="default"/>
        <w:lang w:val="en-US" w:eastAsia="en-US" w:bidi="en-US"/>
      </w:rPr>
    </w:lvl>
    <w:lvl w:ilvl="3" w:tplc="AAA2A9FC">
      <w:numFmt w:val="bullet"/>
      <w:lvlText w:val="•"/>
      <w:lvlJc w:val="left"/>
      <w:pPr>
        <w:ind w:left="3218" w:hanging="360"/>
      </w:pPr>
      <w:rPr>
        <w:rFonts w:hint="default"/>
        <w:lang w:val="en-US" w:eastAsia="en-US" w:bidi="en-US"/>
      </w:rPr>
    </w:lvl>
    <w:lvl w:ilvl="4" w:tplc="C34A810A">
      <w:numFmt w:val="bullet"/>
      <w:lvlText w:val="•"/>
      <w:lvlJc w:val="left"/>
      <w:pPr>
        <w:ind w:left="4124" w:hanging="360"/>
      </w:pPr>
      <w:rPr>
        <w:rFonts w:hint="default"/>
        <w:lang w:val="en-US" w:eastAsia="en-US" w:bidi="en-US"/>
      </w:rPr>
    </w:lvl>
    <w:lvl w:ilvl="5" w:tplc="D5B06C24">
      <w:numFmt w:val="bullet"/>
      <w:lvlText w:val="•"/>
      <w:lvlJc w:val="left"/>
      <w:pPr>
        <w:ind w:left="5030" w:hanging="360"/>
      </w:pPr>
      <w:rPr>
        <w:rFonts w:hint="default"/>
        <w:lang w:val="en-US" w:eastAsia="en-US" w:bidi="en-US"/>
      </w:rPr>
    </w:lvl>
    <w:lvl w:ilvl="6" w:tplc="0332D902">
      <w:numFmt w:val="bullet"/>
      <w:lvlText w:val="•"/>
      <w:lvlJc w:val="left"/>
      <w:pPr>
        <w:ind w:left="5936" w:hanging="360"/>
      </w:pPr>
      <w:rPr>
        <w:rFonts w:hint="default"/>
        <w:lang w:val="en-US" w:eastAsia="en-US" w:bidi="en-US"/>
      </w:rPr>
    </w:lvl>
    <w:lvl w:ilvl="7" w:tplc="A8125C92">
      <w:numFmt w:val="bullet"/>
      <w:lvlText w:val="•"/>
      <w:lvlJc w:val="left"/>
      <w:pPr>
        <w:ind w:left="6842" w:hanging="360"/>
      </w:pPr>
      <w:rPr>
        <w:rFonts w:hint="default"/>
        <w:lang w:val="en-US" w:eastAsia="en-US" w:bidi="en-US"/>
      </w:rPr>
    </w:lvl>
    <w:lvl w:ilvl="8" w:tplc="E5826A78">
      <w:numFmt w:val="bullet"/>
      <w:lvlText w:val="•"/>
      <w:lvlJc w:val="left"/>
      <w:pPr>
        <w:ind w:left="7748"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24C"/>
    <w:rsid w:val="00096222"/>
    <w:rsid w:val="001A45C1"/>
    <w:rsid w:val="00205B88"/>
    <w:rsid w:val="002958DB"/>
    <w:rsid w:val="002A4C19"/>
    <w:rsid w:val="002B176E"/>
    <w:rsid w:val="003F43FE"/>
    <w:rsid w:val="00485AF7"/>
    <w:rsid w:val="004D3453"/>
    <w:rsid w:val="00510B39"/>
    <w:rsid w:val="005213B0"/>
    <w:rsid w:val="006D6471"/>
    <w:rsid w:val="00743CFC"/>
    <w:rsid w:val="007B5800"/>
    <w:rsid w:val="00894523"/>
    <w:rsid w:val="008D78A7"/>
    <w:rsid w:val="00917FF5"/>
    <w:rsid w:val="009E2431"/>
    <w:rsid w:val="00A7514D"/>
    <w:rsid w:val="00A9224C"/>
    <w:rsid w:val="00AC2039"/>
    <w:rsid w:val="00CF540D"/>
    <w:rsid w:val="00DB574C"/>
    <w:rsid w:val="00F02CC2"/>
    <w:rsid w:val="00F873A4"/>
    <w:rsid w:val="00FA1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609F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50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79"/>
      <w:ind w:left="500" w:hanging="360"/>
    </w:pPr>
    <w:rPr>
      <w:u w:val="single" w:color="000000"/>
    </w:r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1A45C1"/>
    <w:rPr>
      <w:sz w:val="16"/>
      <w:szCs w:val="16"/>
    </w:rPr>
  </w:style>
  <w:style w:type="paragraph" w:styleId="CommentText">
    <w:name w:val="annotation text"/>
    <w:basedOn w:val="Normal"/>
    <w:link w:val="CommentTextChar"/>
    <w:uiPriority w:val="99"/>
    <w:semiHidden/>
    <w:unhideWhenUsed/>
    <w:rsid w:val="001A45C1"/>
    <w:rPr>
      <w:sz w:val="20"/>
      <w:szCs w:val="20"/>
    </w:rPr>
  </w:style>
  <w:style w:type="character" w:customStyle="1" w:styleId="CommentTextChar">
    <w:name w:val="Comment Text Char"/>
    <w:basedOn w:val="DefaultParagraphFont"/>
    <w:link w:val="CommentText"/>
    <w:uiPriority w:val="99"/>
    <w:semiHidden/>
    <w:rsid w:val="001A45C1"/>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1A45C1"/>
    <w:rPr>
      <w:b/>
      <w:bCs/>
    </w:rPr>
  </w:style>
  <w:style w:type="character" w:customStyle="1" w:styleId="CommentSubjectChar">
    <w:name w:val="Comment Subject Char"/>
    <w:basedOn w:val="CommentTextChar"/>
    <w:link w:val="CommentSubject"/>
    <w:uiPriority w:val="99"/>
    <w:semiHidden/>
    <w:rsid w:val="001A45C1"/>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1A45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5C1"/>
    <w:rPr>
      <w:rFonts w:ascii="Segoe UI" w:eastAsia="Times New Roman" w:hAnsi="Segoe UI" w:cs="Segoe UI"/>
      <w:sz w:val="18"/>
      <w:szCs w:val="18"/>
      <w:lang w:bidi="en-US"/>
    </w:rPr>
  </w:style>
  <w:style w:type="paragraph" w:styleId="Header">
    <w:name w:val="header"/>
    <w:basedOn w:val="Normal"/>
    <w:link w:val="HeaderChar"/>
    <w:uiPriority w:val="99"/>
    <w:unhideWhenUsed/>
    <w:rsid w:val="00205B88"/>
    <w:pPr>
      <w:tabs>
        <w:tab w:val="center" w:pos="4680"/>
        <w:tab w:val="right" w:pos="9360"/>
      </w:tabs>
    </w:pPr>
  </w:style>
  <w:style w:type="character" w:customStyle="1" w:styleId="HeaderChar">
    <w:name w:val="Header Char"/>
    <w:basedOn w:val="DefaultParagraphFont"/>
    <w:link w:val="Header"/>
    <w:uiPriority w:val="99"/>
    <w:rsid w:val="00205B88"/>
    <w:rPr>
      <w:rFonts w:ascii="Times New Roman" w:eastAsia="Times New Roman" w:hAnsi="Times New Roman" w:cs="Times New Roman"/>
      <w:lang w:bidi="en-US"/>
    </w:rPr>
  </w:style>
  <w:style w:type="paragraph" w:styleId="Footer">
    <w:name w:val="footer"/>
    <w:basedOn w:val="Normal"/>
    <w:link w:val="FooterChar"/>
    <w:uiPriority w:val="99"/>
    <w:unhideWhenUsed/>
    <w:rsid w:val="00205B88"/>
    <w:pPr>
      <w:tabs>
        <w:tab w:val="center" w:pos="4680"/>
        <w:tab w:val="right" w:pos="9360"/>
      </w:tabs>
    </w:pPr>
  </w:style>
  <w:style w:type="character" w:customStyle="1" w:styleId="FooterChar">
    <w:name w:val="Footer Char"/>
    <w:basedOn w:val="DefaultParagraphFont"/>
    <w:link w:val="Footer"/>
    <w:uiPriority w:val="99"/>
    <w:rsid w:val="00205B88"/>
    <w:rPr>
      <w:rFonts w:ascii="Times New Roman" w:eastAsia="Times New Roman" w:hAnsi="Times New Roman"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50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79"/>
      <w:ind w:left="500" w:hanging="360"/>
    </w:pPr>
    <w:rPr>
      <w:u w:val="single" w:color="000000"/>
    </w:r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1A45C1"/>
    <w:rPr>
      <w:sz w:val="16"/>
      <w:szCs w:val="16"/>
    </w:rPr>
  </w:style>
  <w:style w:type="paragraph" w:styleId="CommentText">
    <w:name w:val="annotation text"/>
    <w:basedOn w:val="Normal"/>
    <w:link w:val="CommentTextChar"/>
    <w:uiPriority w:val="99"/>
    <w:semiHidden/>
    <w:unhideWhenUsed/>
    <w:rsid w:val="001A45C1"/>
    <w:rPr>
      <w:sz w:val="20"/>
      <w:szCs w:val="20"/>
    </w:rPr>
  </w:style>
  <w:style w:type="character" w:customStyle="1" w:styleId="CommentTextChar">
    <w:name w:val="Comment Text Char"/>
    <w:basedOn w:val="DefaultParagraphFont"/>
    <w:link w:val="CommentText"/>
    <w:uiPriority w:val="99"/>
    <w:semiHidden/>
    <w:rsid w:val="001A45C1"/>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1A45C1"/>
    <w:rPr>
      <w:b/>
      <w:bCs/>
    </w:rPr>
  </w:style>
  <w:style w:type="character" w:customStyle="1" w:styleId="CommentSubjectChar">
    <w:name w:val="Comment Subject Char"/>
    <w:basedOn w:val="CommentTextChar"/>
    <w:link w:val="CommentSubject"/>
    <w:uiPriority w:val="99"/>
    <w:semiHidden/>
    <w:rsid w:val="001A45C1"/>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1A45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5C1"/>
    <w:rPr>
      <w:rFonts w:ascii="Segoe UI" w:eastAsia="Times New Roman" w:hAnsi="Segoe UI" w:cs="Segoe UI"/>
      <w:sz w:val="18"/>
      <w:szCs w:val="18"/>
      <w:lang w:bidi="en-US"/>
    </w:rPr>
  </w:style>
  <w:style w:type="paragraph" w:styleId="Header">
    <w:name w:val="header"/>
    <w:basedOn w:val="Normal"/>
    <w:link w:val="HeaderChar"/>
    <w:uiPriority w:val="99"/>
    <w:unhideWhenUsed/>
    <w:rsid w:val="00205B88"/>
    <w:pPr>
      <w:tabs>
        <w:tab w:val="center" w:pos="4680"/>
        <w:tab w:val="right" w:pos="9360"/>
      </w:tabs>
    </w:pPr>
  </w:style>
  <w:style w:type="character" w:customStyle="1" w:styleId="HeaderChar">
    <w:name w:val="Header Char"/>
    <w:basedOn w:val="DefaultParagraphFont"/>
    <w:link w:val="Header"/>
    <w:uiPriority w:val="99"/>
    <w:rsid w:val="00205B88"/>
    <w:rPr>
      <w:rFonts w:ascii="Times New Roman" w:eastAsia="Times New Roman" w:hAnsi="Times New Roman" w:cs="Times New Roman"/>
      <w:lang w:bidi="en-US"/>
    </w:rPr>
  </w:style>
  <w:style w:type="paragraph" w:styleId="Footer">
    <w:name w:val="footer"/>
    <w:basedOn w:val="Normal"/>
    <w:link w:val="FooterChar"/>
    <w:uiPriority w:val="99"/>
    <w:unhideWhenUsed/>
    <w:rsid w:val="00205B88"/>
    <w:pPr>
      <w:tabs>
        <w:tab w:val="center" w:pos="4680"/>
        <w:tab w:val="right" w:pos="9360"/>
      </w:tabs>
    </w:pPr>
  </w:style>
  <w:style w:type="character" w:customStyle="1" w:styleId="FooterChar">
    <w:name w:val="Footer Char"/>
    <w:basedOn w:val="DefaultParagraphFont"/>
    <w:link w:val="Footer"/>
    <w:uiPriority w:val="99"/>
    <w:rsid w:val="00205B88"/>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Consumer Financial Protection Bureau</Company>
  <LinksUpToDate>false</LinksUpToDate>
  <CharactersWithSpaces>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Galleher, Michael (Contractor)(CFPB)</dc:creator>
  <cp:lastModifiedBy>SYSTEM</cp:lastModifiedBy>
  <cp:revision>2</cp:revision>
  <dcterms:created xsi:type="dcterms:W3CDTF">2019-09-12T12:48:00Z</dcterms:created>
  <dcterms:modified xsi:type="dcterms:W3CDTF">2019-09-12T12:48:00Z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2015-06-24T00:00:00Z</vt:filetime>
  </property>
  <property fmtid="{D5CDD505-2E9C-101B-9397-08002B2CF9AE}" pid="3" name="Creator">
    <vt:lpwstr>Microsoft® Word 2010</vt:lpwstr>
  </property>
  <property fmtid="{D5CDD505-2E9C-101B-9397-08002B2CF9AE}" pid="4" name="LastSaved">
    <vt:filetime>2018-10-10T00:00:00Z</vt:filetime>
  </property>
</Properties>
</file>