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07A8" w:rsidR="006540CB" w:rsidP="00F00DAE" w:rsidRDefault="00FF214E" w14:paraId="502D12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507A8">
        <w:rPr>
          <w:b/>
        </w:rPr>
        <w:t xml:space="preserve">BUREAU OF </w:t>
      </w:r>
      <w:r w:rsidRPr="00F507A8" w:rsidR="006540CB">
        <w:rPr>
          <w:b/>
        </w:rPr>
        <w:t xml:space="preserve">CONSUMER FINANCIAL PROTECTION </w:t>
      </w:r>
    </w:p>
    <w:p w:rsidRPr="00F507A8" w:rsidR="000A4A49" w:rsidP="00F00DAE" w:rsidRDefault="000A4A49" w14:paraId="502D12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F507A8" w:rsidR="00061BDF" w:rsidP="00F00DAE" w:rsidRDefault="00F06866" w14:paraId="502D12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F507A8">
        <w:rPr>
          <w:b/>
          <w:caps/>
        </w:rPr>
        <w:t xml:space="preserve">Request for Approval under the </w:t>
      </w:r>
    </w:p>
    <w:p w:rsidRPr="00F507A8" w:rsidR="00D825DB" w:rsidP="00F00DAE" w:rsidRDefault="00FA7432" w14:paraId="502D12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507A8">
        <w:rPr>
          <w:b/>
        </w:rPr>
        <w:t>“</w:t>
      </w:r>
      <w:r w:rsidRPr="00F507A8" w:rsidR="00B76FE5">
        <w:rPr>
          <w:b/>
          <w:bCs/>
          <w:caps/>
        </w:rPr>
        <w:t>Generic Information Collection Plan for the Development and Testing of Disclosures and Related Materials</w:t>
      </w:r>
      <w:r w:rsidRPr="00F507A8" w:rsidR="00B05F21">
        <w:rPr>
          <w:b/>
        </w:rPr>
        <w:t>”</w:t>
      </w:r>
      <w:r w:rsidRPr="00F507A8" w:rsidR="00F06866">
        <w:rPr>
          <w:b/>
        </w:rPr>
        <w:t xml:space="preserve"> </w:t>
      </w:r>
    </w:p>
    <w:p w:rsidRPr="00F507A8" w:rsidR="000A4A49" w:rsidP="00F00DAE" w:rsidRDefault="000A4A49" w14:paraId="502D12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F507A8" w:rsidR="00FA7432" w:rsidP="008222BD" w:rsidRDefault="00F06866" w14:paraId="502D126B"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507A8">
        <w:rPr>
          <w:b/>
        </w:rPr>
        <w:t>(OMB Control N</w:t>
      </w:r>
      <w:r w:rsidRPr="00F507A8" w:rsidR="00FA7432">
        <w:rPr>
          <w:b/>
        </w:rPr>
        <w:t>umber: 3170-</w:t>
      </w:r>
      <w:r w:rsidRPr="00F507A8" w:rsidR="001E713F">
        <w:rPr>
          <w:b/>
        </w:rPr>
        <w:t>00</w:t>
      </w:r>
      <w:r w:rsidRPr="00F507A8" w:rsidR="006A50C3">
        <w:rPr>
          <w:b/>
        </w:rPr>
        <w:t>22</w:t>
      </w:r>
      <w:r w:rsidRPr="00F507A8">
        <w:rPr>
          <w:b/>
        </w:rPr>
        <w:t>)</w:t>
      </w:r>
    </w:p>
    <w:p w:rsidRPr="00F507A8" w:rsidR="00D825DB" w:rsidP="00F00DAE" w:rsidRDefault="00D825DB" w14:paraId="502D12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F507A8" w:rsidR="00FA7432" w:rsidP="00FA7432" w:rsidRDefault="00FA7432" w14:paraId="502D126D" w14:textId="77777777">
      <w:pPr>
        <w:pStyle w:val="Heading2"/>
        <w:shd w:val="clear" w:color="auto" w:fill="FFFFFF" w:themeFill="background1"/>
        <w:tabs>
          <w:tab w:val="left" w:pos="900"/>
        </w:tabs>
        <w:ind w:right="-180"/>
        <w:jc w:val="left"/>
        <w:rPr>
          <w:b w:val="0"/>
        </w:rPr>
      </w:pPr>
    </w:p>
    <w:p w:rsidRPr="00F507A8" w:rsidR="00600D87" w:rsidP="008222BD" w:rsidRDefault="00D825DB" w14:paraId="1C2022FA" w14:textId="77777777">
      <w:pPr>
        <w:pStyle w:val="Heading2"/>
        <w:tabs>
          <w:tab w:val="left" w:pos="900"/>
        </w:tabs>
        <w:ind w:left="900" w:right="-180" w:hanging="900"/>
        <w:jc w:val="left"/>
        <w:rPr>
          <w:b w:val="0"/>
        </w:rPr>
      </w:pPr>
      <w:r w:rsidRPr="00F507A8">
        <w:rPr>
          <w:b w:val="0"/>
        </w:rPr>
        <w:t xml:space="preserve">1. </w:t>
      </w:r>
      <w:r w:rsidRPr="00F507A8" w:rsidR="005E714A">
        <w:rPr>
          <w:smallCaps/>
        </w:rPr>
        <w:t>TITLE OF INFORMATION COLLECTION</w:t>
      </w:r>
      <w:r w:rsidRPr="00F507A8" w:rsidR="005E714A">
        <w:rPr>
          <w:b w:val="0"/>
        </w:rPr>
        <w:t xml:space="preserve">: </w:t>
      </w:r>
    </w:p>
    <w:p w:rsidRPr="00F507A8" w:rsidR="00600D87" w:rsidP="00600D87" w:rsidRDefault="00600D87" w14:paraId="1F9C52D6" w14:textId="77777777">
      <w:pPr>
        <w:pStyle w:val="Heading2"/>
        <w:tabs>
          <w:tab w:val="left" w:pos="900"/>
        </w:tabs>
        <w:ind w:right="-180"/>
        <w:jc w:val="left"/>
        <w:rPr>
          <w:b w:val="0"/>
        </w:rPr>
      </w:pPr>
    </w:p>
    <w:p w:rsidRPr="00F507A8" w:rsidR="005E714A" w:rsidP="00600D87" w:rsidRDefault="00600D87" w14:paraId="502D126F" w14:textId="38071318">
      <w:pPr>
        <w:pStyle w:val="Heading2"/>
        <w:tabs>
          <w:tab w:val="left" w:pos="900"/>
        </w:tabs>
        <w:ind w:right="-180"/>
        <w:jc w:val="left"/>
        <w:rPr>
          <w:b w:val="0"/>
        </w:rPr>
      </w:pPr>
      <w:r w:rsidRPr="00F507A8">
        <w:rPr>
          <w:b w:val="0"/>
        </w:rPr>
        <w:t>Debt Collection Validation Notice Qualitative Testing</w:t>
      </w:r>
    </w:p>
    <w:p w:rsidRPr="00F507A8" w:rsidR="00D825DB" w:rsidRDefault="00D825DB" w14:paraId="502D1270" w14:textId="77777777"/>
    <w:p w:rsidRPr="00F507A8" w:rsidR="001B0AAA" w:rsidRDefault="00D825DB" w14:paraId="502D1271" w14:textId="77777777">
      <w:r w:rsidRPr="00F507A8">
        <w:t xml:space="preserve">2. </w:t>
      </w:r>
      <w:r w:rsidRPr="00F507A8" w:rsidR="00872B9E">
        <w:rPr>
          <w:b/>
        </w:rPr>
        <w:t>ABSTRACT/STUDY DESCRIPTION</w:t>
      </w:r>
      <w:r w:rsidRPr="00F507A8" w:rsidR="00F15956">
        <w:t>:</w:t>
      </w:r>
      <w:r w:rsidRPr="00F507A8" w:rsidR="00C14CC4">
        <w:t xml:space="preserve"> </w:t>
      </w:r>
    </w:p>
    <w:p w:rsidRPr="00F507A8" w:rsidR="001B0AAA" w:rsidRDefault="001B0AAA" w14:paraId="502D1272" w14:textId="77777777"/>
    <w:p w:rsidRPr="00F507A8" w:rsidR="007121F4" w:rsidRDefault="00382E3D" w14:paraId="3B059BAE" w14:textId="7EF248CB">
      <w:bookmarkStart w:name="_Hlk36044454" w:id="0"/>
      <w:r w:rsidRPr="00F507A8">
        <w:t xml:space="preserve">The CFPB has hired a contractor to conduct cognitive interviews to assess the effectiveness </w:t>
      </w:r>
      <w:r w:rsidR="00D714F1">
        <w:t xml:space="preserve">and validate the performance </w:t>
      </w:r>
      <w:r w:rsidRPr="00F507A8">
        <w:t xml:space="preserve">of the Bureau’s model debt collection validation notices. The Bureau </w:t>
      </w:r>
      <w:r w:rsidR="00A14293">
        <w:t xml:space="preserve">will collect information on </w:t>
      </w:r>
      <w:r w:rsidR="00D714F1">
        <w:t>how consumers locate and use information in the model notice, including</w:t>
      </w:r>
      <w:r w:rsidRPr="00F507A8" w:rsidR="007121F4">
        <w:t>:</w:t>
      </w:r>
      <w:r w:rsidRPr="00F507A8">
        <w:t xml:space="preserve"> </w:t>
      </w:r>
    </w:p>
    <w:p w:rsidRPr="00F507A8" w:rsidR="007121F4" w:rsidP="00EF0FBD" w:rsidRDefault="007121F4" w14:paraId="5FFFDE58" w14:textId="2FDF881C">
      <w:pPr>
        <w:pStyle w:val="ListParagraph"/>
        <w:numPr>
          <w:ilvl w:val="0"/>
          <w:numId w:val="36"/>
        </w:numPr>
      </w:pPr>
      <w:r w:rsidRPr="00F507A8">
        <w:t>W</w:t>
      </w:r>
      <w:r w:rsidRPr="00F507A8" w:rsidR="00382E3D">
        <w:t xml:space="preserve">hether the consumer can locate and use important information </w:t>
      </w:r>
      <w:r w:rsidR="00F74667">
        <w:t>effectively</w:t>
      </w:r>
      <w:r w:rsidRPr="00F507A8">
        <w:t xml:space="preserve">, </w:t>
      </w:r>
      <w:r w:rsidR="00D714F1">
        <w:t>such as</w:t>
      </w:r>
      <w:r w:rsidRPr="00F507A8" w:rsidR="00D714F1">
        <w:t xml:space="preserve"> </w:t>
      </w:r>
      <w:r w:rsidR="00F74667">
        <w:t xml:space="preserve">information about </w:t>
      </w:r>
      <w:r w:rsidR="00D9168E">
        <w:t>the</w:t>
      </w:r>
      <w:r w:rsidR="00F74667">
        <w:t xml:space="preserve"> debt, information about the consumer’s rights, and information about how the consumer may respond if they so choose</w:t>
      </w:r>
      <w:r w:rsidR="00D714F1">
        <w:t>; and</w:t>
      </w:r>
      <w:r w:rsidRPr="00F507A8">
        <w:t xml:space="preserve"> </w:t>
      </w:r>
    </w:p>
    <w:p w:rsidRPr="00F507A8" w:rsidR="007121F4" w:rsidP="00EF0FBD" w:rsidRDefault="00D714F1" w14:paraId="38253628" w14:textId="564A40FC">
      <w:pPr>
        <w:pStyle w:val="ListParagraph"/>
        <w:numPr>
          <w:ilvl w:val="0"/>
          <w:numId w:val="36"/>
        </w:numPr>
      </w:pPr>
      <w:r>
        <w:t>How consumers view and respond to</w:t>
      </w:r>
      <w:r w:rsidRPr="00F507A8" w:rsidR="00382E3D">
        <w:t xml:space="preserve"> paper and electronic versions of the model validation notice. </w:t>
      </w:r>
    </w:p>
    <w:p w:rsidRPr="00F507A8" w:rsidR="009D7CFD" w:rsidP="00EF0FBD" w:rsidRDefault="00382E3D" w14:paraId="2B589103" w14:textId="6C933393">
      <w:r w:rsidRPr="00F507A8">
        <w:t xml:space="preserve">The contractor will select </w:t>
      </w:r>
      <w:r w:rsidRPr="00F507A8" w:rsidR="009848F0">
        <w:t xml:space="preserve">respondents </w:t>
      </w:r>
      <w:r w:rsidRPr="00F507A8" w:rsidR="003E4CEC">
        <w:t>from a variety of backgrounds, representing various</w:t>
      </w:r>
      <w:r w:rsidRPr="00F507A8">
        <w:t xml:space="preserve"> age</w:t>
      </w:r>
      <w:r w:rsidRPr="00F507A8" w:rsidR="003E4CEC">
        <w:t>s</w:t>
      </w:r>
      <w:r w:rsidRPr="00F507A8">
        <w:t>, gender</w:t>
      </w:r>
      <w:r w:rsidRPr="00F507A8" w:rsidR="003E4CEC">
        <w:t>s</w:t>
      </w:r>
      <w:r w:rsidRPr="00F507A8">
        <w:t>, race</w:t>
      </w:r>
      <w:r w:rsidRPr="00F507A8" w:rsidR="003E4CEC">
        <w:t>s</w:t>
      </w:r>
      <w:r w:rsidRPr="00F507A8">
        <w:t>/ethnicit</w:t>
      </w:r>
      <w:r w:rsidRPr="00F507A8" w:rsidR="003E4CEC">
        <w:t>ies</w:t>
      </w:r>
      <w:r w:rsidRPr="00F507A8">
        <w:t xml:space="preserve">, </w:t>
      </w:r>
      <w:r w:rsidR="00C73D0A">
        <w:t xml:space="preserve">education levels, </w:t>
      </w:r>
      <w:r w:rsidRPr="00F507A8">
        <w:t>and income</w:t>
      </w:r>
      <w:r w:rsidRPr="00F507A8" w:rsidR="003E4CEC">
        <w:t>s</w:t>
      </w:r>
      <w:r w:rsidRPr="00F507A8">
        <w:t xml:space="preserve">.  Additionally, the contractor will </w:t>
      </w:r>
      <w:r w:rsidRPr="00F507A8" w:rsidR="003E4CEC">
        <w:t xml:space="preserve">aim to </w:t>
      </w:r>
      <w:r w:rsidRPr="00F507A8">
        <w:t xml:space="preserve">recruit </w:t>
      </w:r>
      <w:r w:rsidRPr="00F507A8" w:rsidR="00BA1A07">
        <w:t>such that one-third of the sample is comprised of</w:t>
      </w:r>
      <w:r w:rsidRPr="00F507A8" w:rsidR="003E4CEC">
        <w:t xml:space="preserve"> </w:t>
      </w:r>
      <w:r w:rsidRPr="00F507A8" w:rsidR="00BA1A07">
        <w:t xml:space="preserve">consumers without debt collection experience and approximately </w:t>
      </w:r>
      <w:r w:rsidRPr="00F507A8" w:rsidR="003E4CEC">
        <w:t xml:space="preserve">two-thirds of the sample </w:t>
      </w:r>
      <w:r w:rsidRPr="00F507A8" w:rsidR="00BA1A07">
        <w:t xml:space="preserve">is comprised of consumers who have had a debt in collection in the past </w:t>
      </w:r>
      <w:r w:rsidRPr="00F507A8" w:rsidR="00143C67">
        <w:t>two</w:t>
      </w:r>
      <w:r w:rsidRPr="00F507A8" w:rsidR="00BA1A07">
        <w:t xml:space="preserve"> years. The contractor will also </w:t>
      </w:r>
      <w:r w:rsidRPr="00F507A8" w:rsidR="007121F4">
        <w:t>recruit</w:t>
      </w:r>
      <w:r w:rsidRPr="00F507A8" w:rsidR="003E4CEC">
        <w:t xml:space="preserve"> </w:t>
      </w:r>
      <w:r w:rsidRPr="00F507A8" w:rsidR="009848F0">
        <w:t xml:space="preserve">respondents </w:t>
      </w:r>
      <w:r w:rsidRPr="00F507A8" w:rsidR="003E4CEC">
        <w:t>who have had a variety of types of debts (e.g., medical debt, student loan debt, etc.).</w:t>
      </w:r>
    </w:p>
    <w:p w:rsidRPr="00F507A8" w:rsidR="007121F4" w:rsidRDefault="007121F4" w14:paraId="18C14216" w14:textId="77777777"/>
    <w:p w:rsidRPr="00F507A8" w:rsidR="009D2BF2" w:rsidRDefault="009D2BF2" w14:paraId="477C6E06" w14:textId="656AE868">
      <w:r w:rsidRPr="00F507A8">
        <w:t xml:space="preserve">The Bureau </w:t>
      </w:r>
      <w:r w:rsidRPr="00F507A8" w:rsidR="009848F0">
        <w:t xml:space="preserve">intends for </w:t>
      </w:r>
      <w:r w:rsidRPr="00F507A8">
        <w:t xml:space="preserve">these interviews </w:t>
      </w:r>
      <w:r w:rsidRPr="00F507A8" w:rsidR="009848F0">
        <w:t xml:space="preserve">to occur </w:t>
      </w:r>
      <w:r w:rsidRPr="00F507A8">
        <w:t>in</w:t>
      </w:r>
      <w:r w:rsidRPr="00F507A8" w:rsidR="009848F0">
        <w:t>-</w:t>
      </w:r>
      <w:r w:rsidRPr="00F507A8">
        <w:t>person but may decide to use videoconferencing to speak with respondents</w:t>
      </w:r>
      <w:r w:rsidRPr="00F507A8" w:rsidR="009848F0">
        <w:t xml:space="preserve"> instead,</w:t>
      </w:r>
      <w:r w:rsidRPr="00F507A8">
        <w:t xml:space="preserve"> depending on public health guidance at</w:t>
      </w:r>
      <w:r w:rsidRPr="00F507A8" w:rsidR="009F0352">
        <w:t xml:space="preserve"> the time of the interviews</w:t>
      </w:r>
      <w:r w:rsidRPr="00F507A8">
        <w:t>.</w:t>
      </w:r>
      <w:r w:rsidRPr="00F507A8" w:rsidR="00DD622D">
        <w:t xml:space="preserve"> The </w:t>
      </w:r>
      <w:r w:rsidRPr="00F507A8" w:rsidR="009848F0">
        <w:t>c</w:t>
      </w:r>
      <w:r w:rsidRPr="00F507A8" w:rsidR="007121F4">
        <w:t>ontractor</w:t>
      </w:r>
      <w:r w:rsidRPr="00F507A8" w:rsidR="00DD622D">
        <w:t xml:space="preserve"> may mail </w:t>
      </w:r>
      <w:r w:rsidRPr="00F507A8" w:rsidR="005276B5">
        <w:t xml:space="preserve">respondents the </w:t>
      </w:r>
      <w:r w:rsidRPr="00F507A8" w:rsidR="007121F4">
        <w:t xml:space="preserve">validation </w:t>
      </w:r>
      <w:r w:rsidRPr="00F507A8" w:rsidR="005276B5">
        <w:t xml:space="preserve">notices to facilitate </w:t>
      </w:r>
      <w:r w:rsidRPr="00F507A8" w:rsidR="007121F4">
        <w:t>remote</w:t>
      </w:r>
      <w:r w:rsidRPr="00F507A8" w:rsidR="00ED6C49">
        <w:t xml:space="preserve"> interviews.</w:t>
      </w:r>
    </w:p>
    <w:bookmarkEnd w:id="0"/>
    <w:p w:rsidRPr="00F507A8" w:rsidR="00382E3D" w:rsidRDefault="00382E3D" w14:paraId="094DDB8F" w14:textId="77777777"/>
    <w:p w:rsidRPr="00F507A8" w:rsidR="00FC1481" w:rsidP="00434E33" w:rsidRDefault="00D825DB" w14:paraId="502D1274" w14:textId="77777777">
      <w:pPr>
        <w:pStyle w:val="Header"/>
        <w:tabs>
          <w:tab w:val="clear" w:pos="4320"/>
          <w:tab w:val="clear" w:pos="8640"/>
        </w:tabs>
      </w:pPr>
      <w:r w:rsidRPr="00F507A8">
        <w:rPr>
          <w:snapToGrid/>
        </w:rPr>
        <w:t xml:space="preserve">3. </w:t>
      </w:r>
      <w:r w:rsidRPr="00F507A8" w:rsidR="00434E33">
        <w:rPr>
          <w:b/>
        </w:rPr>
        <w:t>DESCRIPTION OF RESPONDENTS</w:t>
      </w:r>
      <w:r w:rsidRPr="00F507A8" w:rsidR="00434E33">
        <w:t xml:space="preserve">: </w:t>
      </w:r>
    </w:p>
    <w:p w:rsidRPr="00F507A8" w:rsidR="00F15956" w:rsidRDefault="00F15956" w14:paraId="502D1275" w14:textId="77777777"/>
    <w:p w:rsidRPr="00F507A8" w:rsidR="009D2BF2" w:rsidRDefault="00314A78" w14:paraId="7999FA20" w14:textId="43143DCA">
      <w:r w:rsidRPr="00F507A8">
        <w:t xml:space="preserve">The contractor will conduct at least 40 and at most 60 </w:t>
      </w:r>
      <w:r w:rsidRPr="00F507A8" w:rsidR="009D2BF2">
        <w:t xml:space="preserve">one-on-one </w:t>
      </w:r>
      <w:r w:rsidRPr="00F507A8">
        <w:t>interviews with respondents from a variety of demographic backgrounds and debt collection experience</w:t>
      </w:r>
      <w:r w:rsidRPr="00F507A8" w:rsidR="000356FD">
        <w:t>s</w:t>
      </w:r>
      <w:r w:rsidRPr="00F507A8">
        <w:t>. The contractor will</w:t>
      </w:r>
      <w:r w:rsidRPr="00F507A8" w:rsidR="00A9008D">
        <w:t xml:space="preserve"> ensure that </w:t>
      </w:r>
      <w:r w:rsidRPr="00F507A8" w:rsidR="009848F0">
        <w:t xml:space="preserve">respondents </w:t>
      </w:r>
      <w:r w:rsidRPr="00F507A8" w:rsidR="00A9008D">
        <w:t xml:space="preserve">represent a variety of </w:t>
      </w:r>
      <w:r w:rsidRPr="00F507A8">
        <w:t>age</w:t>
      </w:r>
      <w:r w:rsidRPr="00F507A8" w:rsidR="00A9008D">
        <w:t>s</w:t>
      </w:r>
      <w:r w:rsidRPr="00F507A8">
        <w:t>, gender</w:t>
      </w:r>
      <w:r w:rsidRPr="00F507A8" w:rsidR="00A9008D">
        <w:t>s</w:t>
      </w:r>
      <w:r w:rsidRPr="00F507A8">
        <w:t>, race</w:t>
      </w:r>
      <w:r w:rsidRPr="00F507A8" w:rsidR="00A9008D">
        <w:t>s</w:t>
      </w:r>
      <w:r w:rsidRPr="00F507A8">
        <w:t>/ethnicit</w:t>
      </w:r>
      <w:r w:rsidRPr="00F507A8" w:rsidR="00A9008D">
        <w:t>ies</w:t>
      </w:r>
      <w:r w:rsidRPr="00F507A8">
        <w:t>, and income</w:t>
      </w:r>
      <w:r w:rsidRPr="00F507A8" w:rsidR="00A9008D">
        <w:t>s</w:t>
      </w:r>
      <w:r w:rsidRPr="00F507A8">
        <w:t xml:space="preserve">.  Additionally, at least two-thirds of respondents will have had </w:t>
      </w:r>
      <w:r w:rsidRPr="00F507A8" w:rsidR="00A9008D">
        <w:t xml:space="preserve">contact with a debt collector within the past </w:t>
      </w:r>
      <w:r w:rsidRPr="00F507A8" w:rsidR="00143C67">
        <w:t>two</w:t>
      </w:r>
      <w:r w:rsidRPr="00F507A8" w:rsidR="00A9008D">
        <w:t xml:space="preserve"> year</w:t>
      </w:r>
      <w:r w:rsidRPr="00F507A8" w:rsidR="003A010D">
        <w:t>s. The contractor will ensure that within the population with debt collection experience</w:t>
      </w:r>
      <w:r w:rsidRPr="00F507A8" w:rsidR="00430ECC">
        <w:t xml:space="preserve"> there are respondents with a diversity of debt types (e.g., medical debt, student loan debt, etc.)</w:t>
      </w:r>
    </w:p>
    <w:p w:rsidRPr="00F507A8" w:rsidR="00314A78" w:rsidRDefault="00314A78" w14:paraId="325AE537" w14:textId="77777777"/>
    <w:p w:rsidRPr="00DA0828" w:rsidR="00FC1481" w:rsidP="00FC1481" w:rsidRDefault="007353C3" w14:paraId="502D1277" w14:textId="77777777">
      <w:pPr>
        <w:widowControl w:val="0"/>
        <w:spacing w:before="11" w:line="260" w:lineRule="exact"/>
        <w:rPr>
          <w:b/>
        </w:rPr>
      </w:pPr>
      <w:r w:rsidRPr="00F507A8">
        <w:rPr>
          <w:caps/>
        </w:rPr>
        <w:t xml:space="preserve">4. </w:t>
      </w:r>
      <w:r w:rsidRPr="00DA0828" w:rsidR="00FC1481">
        <w:rPr>
          <w:b/>
          <w:caps/>
        </w:rPr>
        <w:t>Federal Register Notice Citations</w:t>
      </w:r>
      <w:r w:rsidRPr="00DA0828" w:rsidR="00FC1481">
        <w:rPr>
          <w:b/>
        </w:rPr>
        <w:t>:</w:t>
      </w:r>
    </w:p>
    <w:p w:rsidRPr="00F507A8" w:rsidR="00FC1481" w:rsidP="00FC1481" w:rsidRDefault="00FC1481" w14:paraId="502D1278" w14:textId="77777777">
      <w:pPr>
        <w:pStyle w:val="ListParagraph"/>
        <w:spacing w:before="11" w:line="260" w:lineRule="exact"/>
        <w:ind w:left="460"/>
        <w:rPr>
          <w:b/>
        </w:rPr>
      </w:pPr>
    </w:p>
    <w:p w:rsidRPr="00F507A8" w:rsidR="00FC1481" w:rsidP="00325BE1" w:rsidRDefault="00FC1481" w14:paraId="502D1279" w14:textId="77777777">
      <w:pPr>
        <w:pStyle w:val="ListParagraph"/>
        <w:widowControl w:val="0"/>
        <w:numPr>
          <w:ilvl w:val="1"/>
          <w:numId w:val="21"/>
        </w:numPr>
        <w:spacing w:before="11" w:line="260" w:lineRule="exact"/>
        <w:rPr>
          <w:b/>
        </w:rPr>
      </w:pPr>
      <w:r w:rsidRPr="00F507A8">
        <w:rPr>
          <w:b/>
        </w:rPr>
        <w:t xml:space="preserve">60-day </w:t>
      </w:r>
      <w:r w:rsidRPr="00F507A8">
        <w:rPr>
          <w:b/>
          <w:i/>
        </w:rPr>
        <w:t>Federal Register</w:t>
      </w:r>
      <w:r w:rsidRPr="00F507A8">
        <w:rPr>
          <w:b/>
        </w:rPr>
        <w:t xml:space="preserve"> Notice     </w:t>
      </w:r>
      <w:r w:rsidRPr="00F507A8" w:rsidR="00325BE1">
        <w:rPr>
          <w:u w:val="single"/>
        </w:rPr>
        <w:t>84</w:t>
      </w:r>
      <w:r w:rsidRPr="001F1246" w:rsidR="00325BE1">
        <w:t xml:space="preserve"> FR </w:t>
      </w:r>
      <w:r w:rsidRPr="00F507A8" w:rsidR="00325BE1">
        <w:rPr>
          <w:u w:val="single"/>
        </w:rPr>
        <w:t>27771</w:t>
      </w:r>
      <w:r w:rsidRPr="00F507A8">
        <w:rPr>
          <w:b/>
        </w:rPr>
        <w:t xml:space="preserve">   Date: </w:t>
      </w:r>
      <w:r w:rsidRPr="00F507A8" w:rsidR="00325BE1">
        <w:rPr>
          <w:u w:val="single"/>
        </w:rPr>
        <w:t>06/19/2019</w:t>
      </w:r>
    </w:p>
    <w:p w:rsidRPr="00F507A8" w:rsidR="00FC1481" w:rsidP="00FC1481" w:rsidRDefault="00FC1481" w14:paraId="502D127A" w14:textId="396466A4">
      <w:pPr>
        <w:pStyle w:val="ListParagraph"/>
        <w:widowControl w:val="0"/>
        <w:numPr>
          <w:ilvl w:val="1"/>
          <w:numId w:val="21"/>
        </w:numPr>
        <w:spacing w:before="11" w:line="260" w:lineRule="exact"/>
      </w:pPr>
      <w:r w:rsidRPr="00F507A8">
        <w:rPr>
          <w:b/>
        </w:rPr>
        <w:lastRenderedPageBreak/>
        <w:t xml:space="preserve">30-day </w:t>
      </w:r>
      <w:r w:rsidRPr="00F507A8">
        <w:rPr>
          <w:b/>
          <w:i/>
        </w:rPr>
        <w:t>Federal Register</w:t>
      </w:r>
      <w:r w:rsidRPr="00F507A8">
        <w:rPr>
          <w:b/>
        </w:rPr>
        <w:t xml:space="preserve"> Notice    </w:t>
      </w:r>
      <w:r w:rsidRPr="00F507A8">
        <w:t xml:space="preserve"> </w:t>
      </w:r>
      <w:r w:rsidR="00A006A7">
        <w:rPr>
          <w:u w:val="single"/>
        </w:rPr>
        <w:t>85</w:t>
      </w:r>
      <w:r w:rsidRPr="00F507A8">
        <w:t xml:space="preserve"> FR </w:t>
      </w:r>
      <w:r w:rsidRPr="00A006A7" w:rsidR="00A006A7">
        <w:rPr>
          <w:u w:val="single"/>
        </w:rPr>
        <w:t>38870</w:t>
      </w:r>
      <w:r w:rsidRPr="00F63E7E" w:rsidR="003851F0">
        <w:t xml:space="preserve"> </w:t>
      </w:r>
      <w:r w:rsidRPr="00F63E7E" w:rsidR="00F63E7E">
        <w:t xml:space="preserve">  </w:t>
      </w:r>
      <w:r w:rsidRPr="00F63E7E" w:rsidR="003851F0">
        <w:t>Da</w:t>
      </w:r>
      <w:r w:rsidRPr="00F507A8">
        <w:rPr>
          <w:b/>
        </w:rPr>
        <w:t>te:</w:t>
      </w:r>
      <w:r w:rsidR="00DA0828">
        <w:rPr>
          <w:b/>
        </w:rPr>
        <w:t xml:space="preserve">  </w:t>
      </w:r>
      <w:r w:rsidRPr="001F1246" w:rsidR="003851F0">
        <w:rPr>
          <w:u w:val="single"/>
        </w:rPr>
        <w:t>06/29/202</w:t>
      </w:r>
      <w:r w:rsidR="001F1246">
        <w:rPr>
          <w:u w:val="single"/>
        </w:rPr>
        <w:t>0</w:t>
      </w:r>
    </w:p>
    <w:p w:rsidRPr="00F507A8" w:rsidR="00F829B3" w:rsidP="00F829B3" w:rsidRDefault="00F829B3" w14:paraId="2800F899" w14:textId="1931713B">
      <w:pPr>
        <w:pStyle w:val="ListParagraph"/>
        <w:widowControl w:val="0"/>
        <w:numPr>
          <w:ilvl w:val="1"/>
          <w:numId w:val="21"/>
        </w:numPr>
        <w:tabs>
          <w:tab w:val="left" w:pos="600"/>
          <w:tab w:val="left" w:pos="1320"/>
          <w:tab w:val="left" w:pos="4451"/>
          <w:tab w:val="left" w:pos="5843"/>
        </w:tabs>
        <w:autoSpaceDE w:val="0"/>
        <w:autoSpaceDN w:val="0"/>
        <w:spacing w:before="91"/>
        <w:contextualSpacing w:val="0"/>
      </w:pPr>
      <w:r w:rsidRPr="00F507A8">
        <w:rPr>
          <w:b/>
        </w:rPr>
        <w:t>Comments received in response to the 30-day Notice</w:t>
      </w:r>
      <w:r w:rsidRPr="00F507A8">
        <w:t>:  [</w:t>
      </w:r>
      <w:r w:rsidR="003851F0">
        <w:t>X</w:t>
      </w:r>
      <w:r w:rsidRPr="00F507A8">
        <w:t>] Yes    [ ]  No</w:t>
      </w:r>
    </w:p>
    <w:p w:rsidR="00F829B3" w:rsidP="00F829B3" w:rsidRDefault="00F829B3" w14:paraId="484DBF5A" w14:textId="3F9C0C88">
      <w:pPr>
        <w:pStyle w:val="ListParagraph"/>
        <w:widowControl w:val="0"/>
        <w:numPr>
          <w:ilvl w:val="1"/>
          <w:numId w:val="21"/>
        </w:numPr>
        <w:tabs>
          <w:tab w:val="left" w:pos="600"/>
          <w:tab w:val="left" w:pos="1320"/>
          <w:tab w:val="left" w:pos="4451"/>
          <w:tab w:val="left" w:pos="5843"/>
        </w:tabs>
        <w:autoSpaceDE w:val="0"/>
        <w:autoSpaceDN w:val="0"/>
        <w:spacing w:before="91"/>
        <w:contextualSpacing w:val="0"/>
      </w:pPr>
      <w:r w:rsidRPr="00F507A8">
        <w:rPr>
          <w:b/>
        </w:rPr>
        <w:t>If yes, summarize the comments and the Bureau’s response to those comments</w:t>
      </w:r>
      <w:r w:rsidRPr="00F507A8">
        <w:t>:</w:t>
      </w:r>
    </w:p>
    <w:p w:rsidR="00F32C43" w:rsidP="00F32C43" w:rsidRDefault="00F32C43" w14:paraId="60998F73" w14:textId="4AFE211E">
      <w:pPr>
        <w:pStyle w:val="ListParagraph"/>
        <w:widowControl w:val="0"/>
        <w:tabs>
          <w:tab w:val="left" w:pos="600"/>
          <w:tab w:val="left" w:pos="1320"/>
          <w:tab w:val="left" w:pos="4451"/>
          <w:tab w:val="left" w:pos="5843"/>
        </w:tabs>
        <w:autoSpaceDE w:val="0"/>
        <w:autoSpaceDN w:val="0"/>
        <w:spacing w:before="91"/>
        <w:ind w:left="1180"/>
        <w:contextualSpacing w:val="0"/>
      </w:pPr>
      <w:r w:rsidRPr="00F32C43">
        <w:t>Six responsive comments were re</w:t>
      </w:r>
      <w:r>
        <w:t>cei</w:t>
      </w:r>
      <w:r w:rsidRPr="00F32C43">
        <w:t>ved we discuss each one individually b</w:t>
      </w:r>
      <w:r>
        <w:t>e</w:t>
      </w:r>
      <w:r w:rsidRPr="00F32C43">
        <w:t>lo</w:t>
      </w:r>
      <w:r>
        <w:t>w</w:t>
      </w:r>
      <w:r w:rsidRPr="00F32C43">
        <w:t>:</w:t>
      </w:r>
    </w:p>
    <w:p w:rsidRPr="00D3157C" w:rsidR="00F32C43" w:rsidP="00F32C43" w:rsidRDefault="00F32C43" w14:paraId="017A4389" w14:textId="77777777">
      <w:pPr>
        <w:rPr>
          <w:rFonts w:ascii="Georgia" w:hAnsi="Georgia"/>
          <w:b/>
        </w:rPr>
      </w:pPr>
      <w:r w:rsidRPr="00D3157C">
        <w:rPr>
          <w:rFonts w:ascii="Georgia" w:hAnsi="Georgia"/>
          <w:b/>
        </w:rPr>
        <w:t>ACA</w:t>
      </w:r>
    </w:p>
    <w:p w:rsidRPr="00D3157C" w:rsidR="00F32C43" w:rsidP="00F32C43" w:rsidRDefault="00F32C43" w14:paraId="4A7D8103" w14:textId="77777777">
      <w:pPr>
        <w:rPr>
          <w:rFonts w:ascii="Georgia" w:hAnsi="Georgia"/>
        </w:rPr>
      </w:pPr>
      <w:r w:rsidRPr="00D3157C">
        <w:rPr>
          <w:rFonts w:ascii="Georgia" w:hAnsi="Georgia"/>
        </w:rPr>
        <w:tab/>
        <w:t>Comments from the Association of Credit and Collection Professionals largely pertained to the inclusion and content of a model notice in the Notice of Proposed Rulemaking rather than the testing of the model validation notice. While comments concerning changes to the model notice are appreciated, they constitute commentary on policy beyond the scope of qualitative testing.</w:t>
      </w:r>
    </w:p>
    <w:p w:rsidR="00C61889" w:rsidP="00F32C43" w:rsidRDefault="00C61889" w14:paraId="4F9F80F5" w14:textId="77777777">
      <w:pPr>
        <w:rPr>
          <w:rFonts w:ascii="Georgia" w:hAnsi="Georgia"/>
          <w:b/>
        </w:rPr>
      </w:pPr>
    </w:p>
    <w:p w:rsidRPr="00D3157C" w:rsidR="00F32C43" w:rsidP="00F32C43" w:rsidRDefault="00F32C43" w14:paraId="4BCB2A4E" w14:textId="481102A6">
      <w:pPr>
        <w:rPr>
          <w:rFonts w:ascii="Georgia" w:hAnsi="Georgia"/>
        </w:rPr>
      </w:pPr>
      <w:r w:rsidRPr="00D3157C">
        <w:rPr>
          <w:rFonts w:ascii="Georgia" w:hAnsi="Georgia"/>
          <w:b/>
        </w:rPr>
        <w:t>AAHAM</w:t>
      </w:r>
    </w:p>
    <w:p w:rsidRPr="00D3157C" w:rsidR="00F32C43" w:rsidP="00F32C43" w:rsidRDefault="00F32C43" w14:paraId="4C22CBF3" w14:textId="77777777">
      <w:pPr>
        <w:rPr>
          <w:rFonts w:ascii="Georgia" w:hAnsi="Georgia"/>
        </w:rPr>
      </w:pPr>
      <w:r w:rsidRPr="00D3157C">
        <w:rPr>
          <w:rFonts w:ascii="Georgia" w:hAnsi="Georgia"/>
        </w:rPr>
        <w:tab/>
        <w:t>The American Association of Healthcare Administrative Management (AAHAM) discussed the ways in which medical debt collections require special consideration and customizable notice content. AAHAM also asked that the Bureau change the notices to include more content regarding payment and less on disputes. Additionally, AAHAM requested the opportunity to send model notices through electronic means, including via text and e-mail. While the Bureau appreciates these proposed notice changes, they concern policy decisions beyond the scope of qualitative testing.</w:t>
      </w:r>
    </w:p>
    <w:p w:rsidR="00C61889" w:rsidP="00F32C43" w:rsidRDefault="00C61889" w14:paraId="45CCE001" w14:textId="77777777">
      <w:pPr>
        <w:rPr>
          <w:rFonts w:ascii="Georgia" w:hAnsi="Georgia"/>
          <w:b/>
        </w:rPr>
      </w:pPr>
    </w:p>
    <w:p w:rsidRPr="00D3157C" w:rsidR="00F32C43" w:rsidP="00F32C43" w:rsidRDefault="00F32C43" w14:paraId="6DF70C68" w14:textId="217FFAFF">
      <w:pPr>
        <w:rPr>
          <w:rFonts w:ascii="Georgia" w:hAnsi="Georgia"/>
        </w:rPr>
      </w:pPr>
      <w:r w:rsidRPr="00D3157C">
        <w:rPr>
          <w:rFonts w:ascii="Georgia" w:hAnsi="Georgia"/>
          <w:b/>
        </w:rPr>
        <w:t>Americollect</w:t>
      </w:r>
    </w:p>
    <w:p w:rsidRPr="00D3157C" w:rsidR="00F32C43" w:rsidP="00F32C43" w:rsidRDefault="00F32C43" w14:paraId="39A3D789" w14:textId="77777777">
      <w:pPr>
        <w:rPr>
          <w:rFonts w:ascii="Georgia" w:hAnsi="Georgia"/>
        </w:rPr>
      </w:pPr>
      <w:r w:rsidRPr="00D3157C">
        <w:rPr>
          <w:rFonts w:ascii="Georgia" w:hAnsi="Georgia"/>
        </w:rPr>
        <w:tab/>
        <w:t>Americollect suggested ways in which the Bureau should change the model validation notice, especially to account for multiple accounts, and requested additional testing. Again, while these proposed changes are appreciated, they are beyond the scope of qualitative testing.</w:t>
      </w:r>
      <w:r w:rsidRPr="004F6F80">
        <w:t xml:space="preserve"> </w:t>
      </w:r>
      <w:r w:rsidRPr="004F6F80">
        <w:rPr>
          <w:rFonts w:ascii="Georgia" w:hAnsi="Georgia"/>
        </w:rPr>
        <w:t>The Bureau believes that the current testing, combined with prior model validation notice testing, will provide a sufficient basis to evaluate the form.</w:t>
      </w:r>
    </w:p>
    <w:p w:rsidR="00C61889" w:rsidP="00F32C43" w:rsidRDefault="00C61889" w14:paraId="1C69CA3B" w14:textId="77777777">
      <w:pPr>
        <w:rPr>
          <w:rFonts w:ascii="Georgia" w:hAnsi="Georgia"/>
          <w:b/>
        </w:rPr>
      </w:pPr>
    </w:p>
    <w:p w:rsidRPr="00D3157C" w:rsidR="00F32C43" w:rsidP="00F32C43" w:rsidRDefault="00F32C43" w14:paraId="5D907005" w14:textId="35230B00">
      <w:pPr>
        <w:rPr>
          <w:rFonts w:ascii="Georgia" w:hAnsi="Georgia"/>
          <w:b/>
        </w:rPr>
      </w:pPr>
      <w:r w:rsidRPr="00D3157C">
        <w:rPr>
          <w:rFonts w:ascii="Georgia" w:hAnsi="Georgia"/>
          <w:b/>
        </w:rPr>
        <w:t>Center for Responsible Lending</w:t>
      </w:r>
    </w:p>
    <w:p w:rsidR="00F32C43" w:rsidP="00F32C43" w:rsidRDefault="00F32C43" w14:paraId="09265413" w14:textId="77777777">
      <w:pPr>
        <w:rPr>
          <w:rFonts w:ascii="Georgia" w:hAnsi="Georgia"/>
        </w:rPr>
      </w:pPr>
      <w:r w:rsidRPr="00D3157C">
        <w:rPr>
          <w:rFonts w:ascii="Georgia" w:hAnsi="Georgia"/>
        </w:rPr>
        <w:tab/>
        <w:t>The Center for Responsible Lending (CRL) suggested that the Bureau both increase the size and ensure the diversity of the sample used to conduct qualitative testing.</w:t>
      </w:r>
    </w:p>
    <w:p w:rsidRPr="00D3157C" w:rsidR="00F32C43" w:rsidP="00F32C43" w:rsidRDefault="00F32C43" w14:paraId="1E7411BB" w14:textId="77777777">
      <w:pPr>
        <w:ind w:firstLine="720"/>
        <w:rPr>
          <w:rFonts w:ascii="Georgia" w:hAnsi="Georgia"/>
        </w:rPr>
      </w:pPr>
      <w:r w:rsidRPr="00866076">
        <w:rPr>
          <w:rFonts w:ascii="Georgia" w:hAnsi="Georgia"/>
        </w:rPr>
        <w:t xml:space="preserve">In a </w:t>
      </w:r>
      <w:r>
        <w:rPr>
          <w:rFonts w:ascii="Georgia" w:hAnsi="Georgia"/>
        </w:rPr>
        <w:t>sepa</w:t>
      </w:r>
      <w:r w:rsidRPr="00866076">
        <w:rPr>
          <w:rFonts w:ascii="Georgia" w:hAnsi="Georgia"/>
        </w:rPr>
        <w:t>rate study undertaken during the development of th</w:t>
      </w:r>
      <w:r>
        <w:rPr>
          <w:rFonts w:ascii="Georgia" w:hAnsi="Georgia"/>
        </w:rPr>
        <w:t xml:space="preserve">e validation </w:t>
      </w:r>
      <w:r w:rsidRPr="00866076">
        <w:rPr>
          <w:rFonts w:ascii="Georgia" w:hAnsi="Georgia"/>
        </w:rPr>
        <w:t>notic</w:t>
      </w:r>
      <w:r>
        <w:rPr>
          <w:rFonts w:ascii="Georgia" w:hAnsi="Georgia"/>
        </w:rPr>
        <w:t>e</w:t>
      </w:r>
      <w:r w:rsidRPr="008A7FF5">
        <w:rPr>
          <w:rFonts w:ascii="Georgia" w:hAnsi="Georgia"/>
        </w:rPr>
        <w:t>, under OMB control number 3170-0070</w:t>
      </w:r>
      <w:r>
        <w:rPr>
          <w:rFonts w:ascii="Georgia" w:hAnsi="Georgia"/>
        </w:rPr>
        <w:t>,</w:t>
      </w:r>
      <w:r w:rsidRPr="008A7FF5">
        <w:rPr>
          <w:rFonts w:ascii="Georgia" w:hAnsi="Georgia"/>
        </w:rPr>
        <w:t xml:space="preserve"> </w:t>
      </w:r>
      <w:r>
        <w:rPr>
          <w:rFonts w:ascii="Georgia" w:hAnsi="Georgia"/>
        </w:rPr>
        <w:t>the Bureau</w:t>
      </w:r>
      <w:r w:rsidRPr="00866076">
        <w:rPr>
          <w:rFonts w:ascii="Georgia" w:hAnsi="Georgia"/>
        </w:rPr>
        <w:t xml:space="preserve"> conducte</w:t>
      </w:r>
      <w:r>
        <w:rPr>
          <w:rFonts w:ascii="Georgia" w:hAnsi="Georgia"/>
        </w:rPr>
        <w:t>d</w:t>
      </w:r>
      <w:r w:rsidRPr="00866076">
        <w:rPr>
          <w:rFonts w:ascii="Georgia" w:hAnsi="Georgia"/>
        </w:rPr>
        <w:t xml:space="preserve"> </w:t>
      </w:r>
      <w:r>
        <w:rPr>
          <w:rFonts w:ascii="Georgia" w:hAnsi="Georgia"/>
        </w:rPr>
        <w:t xml:space="preserve">a large </w:t>
      </w:r>
      <w:r w:rsidRPr="00866076">
        <w:rPr>
          <w:rFonts w:ascii="Georgia" w:hAnsi="Georgia"/>
        </w:rPr>
        <w:t xml:space="preserve">demographically diverse testing with more than 8,000 </w:t>
      </w:r>
      <w:r>
        <w:rPr>
          <w:rFonts w:ascii="Georgia" w:hAnsi="Georgia"/>
        </w:rPr>
        <w:t xml:space="preserve">consumers. The </w:t>
      </w:r>
      <w:r w:rsidRPr="00866076">
        <w:rPr>
          <w:rFonts w:ascii="Georgia" w:hAnsi="Georgia"/>
        </w:rPr>
        <w:t>quantitative testing</w:t>
      </w:r>
      <w:r>
        <w:rPr>
          <w:rFonts w:ascii="Georgia" w:hAnsi="Georgia"/>
        </w:rPr>
        <w:t xml:space="preserve"> showed that </w:t>
      </w:r>
      <w:r w:rsidRPr="007C0E60">
        <w:rPr>
          <w:rFonts w:ascii="Georgia" w:hAnsi="Georgia"/>
        </w:rPr>
        <w:t xml:space="preserve">the relative performance of the different notices </w:t>
      </w:r>
      <w:r>
        <w:rPr>
          <w:rFonts w:ascii="Georgia" w:hAnsi="Georgia"/>
        </w:rPr>
        <w:t>were not substantially different demographic groups.</w:t>
      </w:r>
      <w:r>
        <w:rPr>
          <w:rStyle w:val="FootnoteReference"/>
          <w:rFonts w:ascii="Georgia" w:hAnsi="Georgia"/>
        </w:rPr>
        <w:footnoteReference w:id="1"/>
      </w:r>
      <w:r w:rsidRPr="00866076">
        <w:rPr>
          <w:rFonts w:ascii="Georgia" w:hAnsi="Georgia"/>
        </w:rPr>
        <w:t xml:space="preserve"> </w:t>
      </w:r>
      <w:r w:rsidRPr="008F0C4E">
        <w:rPr>
          <w:rFonts w:ascii="Georgia" w:hAnsi="Georgia"/>
        </w:rPr>
        <w:t>At this stage, the CFPB is not trying to obtain representative sampling of the American population but rather</w:t>
      </w:r>
      <w:r>
        <w:rPr>
          <w:rFonts w:ascii="Georgia" w:hAnsi="Georgia"/>
        </w:rPr>
        <w:t xml:space="preserve">, this </w:t>
      </w:r>
      <w:r w:rsidRPr="008F0C4E">
        <w:rPr>
          <w:rFonts w:ascii="Georgia" w:hAnsi="Georgia"/>
        </w:rPr>
        <w:t xml:space="preserve">qualitative testing seeks to explore and confirm that consumers can successfully interact with the notice and obtain important information from the </w:t>
      </w:r>
      <w:r>
        <w:rPr>
          <w:rFonts w:ascii="Georgia" w:hAnsi="Georgia"/>
        </w:rPr>
        <w:t>notice.  Nevertheless, t</w:t>
      </w:r>
      <w:r w:rsidRPr="00D3157C">
        <w:rPr>
          <w:rFonts w:ascii="Georgia" w:hAnsi="Georgia"/>
        </w:rPr>
        <w:t>he Bureau is requesting that its contractor recruit participants from a variety of education and income backgrounds to ensure that consumers with varied forms of financial knowledge will participate in qualitative testing.</w:t>
      </w:r>
      <w:r>
        <w:rPr>
          <w:rFonts w:ascii="Georgia" w:hAnsi="Georgia"/>
        </w:rPr>
        <w:t xml:space="preserve"> </w:t>
      </w:r>
    </w:p>
    <w:p w:rsidRPr="00D3157C" w:rsidR="00F32C43" w:rsidP="00F32C43" w:rsidRDefault="00F32C43" w14:paraId="65D8E895" w14:textId="77777777">
      <w:pPr>
        <w:rPr>
          <w:rFonts w:ascii="Georgia" w:hAnsi="Georgia"/>
        </w:rPr>
      </w:pPr>
      <w:r w:rsidRPr="00D3157C">
        <w:rPr>
          <w:rFonts w:ascii="Georgia" w:hAnsi="Georgia"/>
        </w:rPr>
        <w:tab/>
        <w:t xml:space="preserve">CRL also suggests the Bureau address the ability of consumers to recognize the debts on the model notices. </w:t>
      </w:r>
      <w:r>
        <w:rPr>
          <w:rFonts w:ascii="Georgia" w:hAnsi="Georgia"/>
        </w:rPr>
        <w:t>We agree that it is important for consumers be able to recognize whether a debt is theirs.</w:t>
      </w:r>
      <w:r w:rsidRPr="00D3157C">
        <w:rPr>
          <w:rFonts w:ascii="Georgia" w:hAnsi="Georgia"/>
        </w:rPr>
        <w:t xml:space="preserve"> </w:t>
      </w:r>
      <w:r>
        <w:rPr>
          <w:rFonts w:ascii="Georgia" w:hAnsi="Georgia"/>
        </w:rPr>
        <w:t>S</w:t>
      </w:r>
      <w:r w:rsidRPr="00D3157C">
        <w:rPr>
          <w:rFonts w:ascii="Georgia" w:hAnsi="Georgia"/>
        </w:rPr>
        <w:t>uch questions are beyond the scope of qualitative testing</w:t>
      </w:r>
      <w:r>
        <w:rPr>
          <w:rFonts w:ascii="Georgia" w:hAnsi="Georgia"/>
        </w:rPr>
        <w:t xml:space="preserve">, which is necessarily about hypothetical debts; however, consumers who </w:t>
      </w:r>
      <w:r>
        <w:rPr>
          <w:rFonts w:ascii="Georgia" w:hAnsi="Georgia"/>
        </w:rPr>
        <w:lastRenderedPageBreak/>
        <w:t>understand the content of the notice and can find important information quickly may be in a better position to determine whether a debt is theirs.</w:t>
      </w:r>
    </w:p>
    <w:p w:rsidRPr="00D3157C" w:rsidR="00F32C43" w:rsidP="00F32C43" w:rsidRDefault="00F32C43" w14:paraId="4D5F7811" w14:textId="77777777">
      <w:pPr>
        <w:rPr>
          <w:rFonts w:ascii="Georgia" w:hAnsi="Georgia"/>
        </w:rPr>
      </w:pPr>
      <w:r w:rsidRPr="00D3157C">
        <w:rPr>
          <w:rFonts w:ascii="Georgia" w:hAnsi="Georgia"/>
        </w:rPr>
        <w:tab/>
        <w:t>The Bureau also appreciates CRL’s discussion of potential further research on electronic delivery and least sophisticated consumers’ experiences of the notice. However, both issues concern policy decisions outside the scope of this qualitative testing.</w:t>
      </w:r>
    </w:p>
    <w:p w:rsidR="00C61889" w:rsidP="00F32C43" w:rsidRDefault="00C61889" w14:paraId="0AD8CA46" w14:textId="77777777">
      <w:pPr>
        <w:rPr>
          <w:rFonts w:ascii="Georgia" w:hAnsi="Georgia"/>
          <w:b/>
        </w:rPr>
      </w:pPr>
    </w:p>
    <w:p w:rsidRPr="00D3157C" w:rsidR="00F32C43" w:rsidP="00F32C43" w:rsidRDefault="00F32C43" w14:paraId="628DF925" w14:textId="5FBA5842">
      <w:pPr>
        <w:rPr>
          <w:rFonts w:ascii="Georgia" w:hAnsi="Georgia"/>
          <w:b/>
        </w:rPr>
      </w:pPr>
      <w:r w:rsidRPr="00D3157C">
        <w:rPr>
          <w:rFonts w:ascii="Georgia" w:hAnsi="Georgia"/>
          <w:b/>
        </w:rPr>
        <w:t>NCLC</w:t>
      </w:r>
    </w:p>
    <w:p w:rsidRPr="00D3157C" w:rsidR="00F32C43" w:rsidP="00F32C43" w:rsidRDefault="00F32C43" w14:paraId="7B9BD987" w14:textId="77777777">
      <w:pPr>
        <w:rPr>
          <w:rFonts w:ascii="Georgia" w:hAnsi="Georgia"/>
        </w:rPr>
      </w:pPr>
      <w:r w:rsidRPr="00D3157C">
        <w:rPr>
          <w:rFonts w:ascii="Georgia" w:hAnsi="Georgia"/>
        </w:rPr>
        <w:tab/>
        <w:t>The National Consumer Law Center (NCLC) echoed many of the concerns of CRL, including that the notice be comprehensible to least sophisticated consumers</w:t>
      </w:r>
      <w:r>
        <w:rPr>
          <w:rFonts w:ascii="Georgia" w:hAnsi="Georgia"/>
        </w:rPr>
        <w:t xml:space="preserve">; </w:t>
      </w:r>
      <w:r w:rsidRPr="0015483B">
        <w:rPr>
          <w:rFonts w:ascii="Georgia" w:hAnsi="Georgia"/>
        </w:rPr>
        <w:t>the Bureau’s responses to those shared concerns are addressed above</w:t>
      </w:r>
      <w:r>
        <w:rPr>
          <w:rFonts w:ascii="Georgia" w:hAnsi="Georgia"/>
        </w:rPr>
        <w:t>.</w:t>
      </w:r>
      <w:r w:rsidRPr="00D3157C">
        <w:rPr>
          <w:rFonts w:ascii="Georgia" w:hAnsi="Georgia"/>
        </w:rPr>
        <w:t xml:space="preserve"> </w:t>
      </w:r>
    </w:p>
    <w:p w:rsidRPr="00D3157C" w:rsidR="00F32C43" w:rsidP="00F32C43" w:rsidRDefault="00F32C43" w14:paraId="24F50F20" w14:textId="77777777">
      <w:pPr>
        <w:rPr>
          <w:rFonts w:ascii="Georgia" w:hAnsi="Georgia"/>
        </w:rPr>
      </w:pPr>
      <w:r w:rsidRPr="00D3157C">
        <w:rPr>
          <w:rFonts w:ascii="Georgia" w:hAnsi="Georgia"/>
        </w:rPr>
        <w:tab/>
        <w:t>The NCLC also proposed that testing of the model validation notices has not been sufficient, pointing to cognitive and usability testing conducted prior to 2016. However, the CFPB has also conducted a large-scale survey of 8,000 respondents in 2019.</w:t>
      </w:r>
      <w:r>
        <w:rPr>
          <w:rFonts w:ascii="Georgia" w:hAnsi="Georgia"/>
        </w:rPr>
        <w:t xml:space="preserve"> Although this quantitative testing primarily focused on time barred debt and revival disclosures, there were some questions related to the usability of the notice, which are discussed in the reported findings.</w:t>
      </w:r>
      <w:r w:rsidRPr="00B823B4">
        <w:rPr>
          <w:rFonts w:ascii="Georgia" w:hAnsi="Georgia"/>
          <w:vertAlign w:val="superscript"/>
        </w:rPr>
        <w:t xml:space="preserve"> </w:t>
      </w:r>
      <w:r w:rsidRPr="00B823B4">
        <w:rPr>
          <w:rFonts w:ascii="Georgia" w:hAnsi="Georgia"/>
          <w:vertAlign w:val="superscript"/>
        </w:rPr>
        <w:footnoteReference w:id="2"/>
      </w:r>
      <w:r w:rsidRPr="00B823B4">
        <w:rPr>
          <w:rFonts w:ascii="Georgia" w:hAnsi="Georgia"/>
        </w:rPr>
        <w:t xml:space="preserve"> </w:t>
      </w:r>
      <w:r>
        <w:rPr>
          <w:rFonts w:ascii="Georgia" w:hAnsi="Georgia"/>
        </w:rPr>
        <w:t xml:space="preserve"> A</w:t>
      </w:r>
      <w:r w:rsidRPr="00D3157C">
        <w:rPr>
          <w:rFonts w:ascii="Georgia" w:hAnsi="Georgia"/>
        </w:rPr>
        <w:t>dditional quantitative testing is outside the scope of this PRA notice.</w:t>
      </w:r>
    </w:p>
    <w:p w:rsidRPr="00D3157C" w:rsidR="00F32C43" w:rsidP="00F32C43" w:rsidRDefault="00F32C43" w14:paraId="6851F47F" w14:textId="77777777">
      <w:pPr>
        <w:rPr>
          <w:rFonts w:ascii="Georgia" w:hAnsi="Georgia"/>
        </w:rPr>
      </w:pPr>
      <w:r w:rsidRPr="00D3157C">
        <w:rPr>
          <w:rFonts w:ascii="Georgia" w:hAnsi="Georgia"/>
        </w:rPr>
        <w:tab/>
      </w:r>
    </w:p>
    <w:p w:rsidRPr="00D3157C" w:rsidR="00F32C43" w:rsidP="00F32C43" w:rsidRDefault="00F32C43" w14:paraId="2B1D9CFB" w14:textId="77777777">
      <w:pPr>
        <w:rPr>
          <w:rFonts w:ascii="Georgia" w:hAnsi="Georgia"/>
        </w:rPr>
      </w:pPr>
      <w:r w:rsidRPr="00D3157C">
        <w:rPr>
          <w:rFonts w:ascii="Georgia" w:hAnsi="Georgia"/>
          <w:b/>
        </w:rPr>
        <w:t>RMAI</w:t>
      </w:r>
    </w:p>
    <w:p w:rsidRPr="00D3157C" w:rsidR="00F32C43" w:rsidP="00F32C43" w:rsidRDefault="00F32C43" w14:paraId="2A1C11CA" w14:textId="77777777">
      <w:pPr>
        <w:rPr>
          <w:rFonts w:ascii="Georgia" w:hAnsi="Georgia"/>
        </w:rPr>
      </w:pPr>
      <w:r w:rsidRPr="00D3157C">
        <w:rPr>
          <w:rFonts w:ascii="Georgia" w:hAnsi="Georgia"/>
        </w:rPr>
        <w:tab/>
        <w:t xml:space="preserve">The Receivables Management Association, Inc. (RMAI) requested demographic information for respondents to qualitative testing. At this stage, as mentioned above, the Bureau is not seeking to produce representative samples of the American population but rather to explore the ways in which some consumers may interact with the notice as a complement to the quantitative findings. As such, </w:t>
      </w:r>
      <w:r>
        <w:rPr>
          <w:rFonts w:ascii="Georgia" w:hAnsi="Georgia"/>
        </w:rPr>
        <w:t>any insights from the qualitative testing</w:t>
      </w:r>
      <w:r w:rsidRPr="00D3157C">
        <w:rPr>
          <w:rFonts w:ascii="Georgia" w:hAnsi="Georgia"/>
        </w:rPr>
        <w:t xml:space="preserve"> broken down by demographic groups would suggest a level of precision that will be unavailable for a sample of this size and a survey conducted for this purpose.</w:t>
      </w:r>
    </w:p>
    <w:p w:rsidRPr="00F507A8" w:rsidR="00F32C43" w:rsidP="00F32C43" w:rsidRDefault="00F32C43" w14:paraId="659BC3C4" w14:textId="77777777">
      <w:pPr>
        <w:pStyle w:val="ListParagraph"/>
        <w:widowControl w:val="0"/>
        <w:tabs>
          <w:tab w:val="left" w:pos="600"/>
          <w:tab w:val="left" w:pos="1320"/>
          <w:tab w:val="left" w:pos="4451"/>
          <w:tab w:val="left" w:pos="5843"/>
        </w:tabs>
        <w:autoSpaceDE w:val="0"/>
        <w:autoSpaceDN w:val="0"/>
        <w:spacing w:before="91"/>
        <w:ind w:left="1180"/>
        <w:contextualSpacing w:val="0"/>
      </w:pPr>
    </w:p>
    <w:p w:rsidRPr="00F507A8" w:rsidR="00FC1481" w:rsidP="007353C3" w:rsidRDefault="00FC1481" w14:paraId="502D127B" w14:textId="77777777">
      <w:pPr>
        <w:widowControl w:val="0"/>
        <w:ind w:right="721"/>
        <w:rPr>
          <w:caps/>
        </w:rPr>
      </w:pPr>
    </w:p>
    <w:p w:rsidRPr="00F507A8" w:rsidR="007353C3" w:rsidP="007353C3" w:rsidRDefault="00FC1481" w14:paraId="502D127C" w14:textId="77777777">
      <w:pPr>
        <w:widowControl w:val="0"/>
        <w:ind w:right="721"/>
        <w:rPr>
          <w:caps/>
        </w:rPr>
      </w:pPr>
      <w:r w:rsidRPr="00F507A8">
        <w:rPr>
          <w:b/>
          <w:caps/>
        </w:rPr>
        <w:t xml:space="preserve">5. </w:t>
      </w:r>
      <w:r w:rsidRPr="00F507A8" w:rsidR="007353C3">
        <w:rPr>
          <w:b/>
          <w:caps/>
        </w:rPr>
        <w:t xml:space="preserve">TYPE OF COLLECTION (Administration of the </w:t>
      </w:r>
      <w:r w:rsidRPr="00F507A8" w:rsidR="00635087">
        <w:rPr>
          <w:b/>
          <w:caps/>
        </w:rPr>
        <w:t xml:space="preserve">COLLECTION </w:t>
      </w:r>
      <w:r w:rsidRPr="00F507A8" w:rsidR="007353C3">
        <w:rPr>
          <w:b/>
          <w:caps/>
        </w:rPr>
        <w:t>instrument)</w:t>
      </w:r>
      <w:r w:rsidRPr="00F507A8" w:rsidR="007353C3">
        <w:rPr>
          <w:caps/>
        </w:rPr>
        <w:t>:</w:t>
      </w:r>
    </w:p>
    <w:p w:rsidRPr="00F507A8" w:rsidR="007353C3" w:rsidP="007353C3" w:rsidRDefault="007353C3" w14:paraId="502D127D" w14:textId="77777777">
      <w:pPr>
        <w:pStyle w:val="ListParagraph"/>
        <w:ind w:left="460" w:right="721"/>
      </w:pPr>
    </w:p>
    <w:p w:rsidRPr="00F507A8" w:rsidR="007353C3" w:rsidP="007353C3" w:rsidRDefault="007353C3" w14:paraId="502D127E" w14:textId="77777777">
      <w:pPr>
        <w:pStyle w:val="ListParagraph"/>
        <w:widowControl w:val="0"/>
        <w:numPr>
          <w:ilvl w:val="0"/>
          <w:numId w:val="23"/>
        </w:numPr>
        <w:ind w:right="721"/>
      </w:pPr>
      <w:r w:rsidRPr="00E1427F">
        <w:rPr>
          <w:b/>
        </w:rPr>
        <w:t xml:space="preserve">How will you collect the information? </w:t>
      </w:r>
      <w:r w:rsidRPr="00E1427F" w:rsidR="00AB78E0">
        <w:rPr>
          <w:b/>
        </w:rPr>
        <w:t xml:space="preserve"> </w:t>
      </w:r>
      <w:r w:rsidRPr="00E1427F" w:rsidR="00815E90">
        <w:rPr>
          <w:b/>
        </w:rPr>
        <w:t>C</w:t>
      </w:r>
      <w:r w:rsidRPr="00E1427F">
        <w:rPr>
          <w:b/>
        </w:rPr>
        <w:t xml:space="preserve">heck </w:t>
      </w:r>
      <w:r w:rsidRPr="00E1427F">
        <w:rPr>
          <w:b/>
          <w:u w:val="single"/>
        </w:rPr>
        <w:t>all</w:t>
      </w:r>
      <w:r w:rsidRPr="00E1427F">
        <w:rPr>
          <w:b/>
        </w:rPr>
        <w:t xml:space="preserve"> that apply</w:t>
      </w:r>
      <w:r w:rsidRPr="00F507A8" w:rsidR="00815E90">
        <w:t>.</w:t>
      </w:r>
    </w:p>
    <w:p w:rsidRPr="00F507A8" w:rsidR="007353C3" w:rsidP="007353C3" w:rsidRDefault="007353C3" w14:paraId="502D127F" w14:textId="77777777">
      <w:pPr>
        <w:pStyle w:val="ListParagraph"/>
        <w:ind w:left="1135" w:right="721"/>
      </w:pPr>
    </w:p>
    <w:p w:rsidRPr="00F507A8" w:rsidR="007353C3" w:rsidP="007353C3" w:rsidRDefault="007353C3" w14:paraId="502D1280" w14:textId="459929C1">
      <w:pPr>
        <w:pStyle w:val="ListParagraph"/>
        <w:ind w:left="460" w:right="721"/>
      </w:pPr>
      <w:r w:rsidRPr="00F507A8">
        <w:tab/>
      </w:r>
      <w:r w:rsidRPr="00F507A8">
        <w:tab/>
        <w:t>[</w:t>
      </w:r>
      <w:r w:rsidRPr="00F507A8" w:rsidR="009F0352">
        <w:t>X</w:t>
      </w:r>
      <w:r w:rsidRPr="00F507A8">
        <w:t>] Web-based or other forms of Social Media</w:t>
      </w:r>
      <w:r w:rsidRPr="00F507A8">
        <w:tab/>
        <w:t>[</w:t>
      </w:r>
      <w:r w:rsidRPr="00F507A8" w:rsidR="009F0352">
        <w:t>X</w:t>
      </w:r>
      <w:r w:rsidRPr="00F507A8">
        <w:t xml:space="preserve">] Telephone    </w:t>
      </w:r>
    </w:p>
    <w:p w:rsidRPr="00F507A8" w:rsidR="007353C3" w:rsidP="007353C3" w:rsidRDefault="007353C3" w14:paraId="502D1281" w14:textId="7B05911D">
      <w:pPr>
        <w:pStyle w:val="ListParagraph"/>
        <w:ind w:left="1180" w:right="721" w:firstLine="260"/>
      </w:pPr>
      <w:r w:rsidRPr="00F507A8">
        <w:t>[</w:t>
      </w:r>
      <w:r w:rsidRPr="00F507A8" w:rsidR="008C06EE">
        <w:t>X</w:t>
      </w:r>
      <w:r w:rsidRPr="00F507A8">
        <w:t>] In-person</w:t>
      </w:r>
      <w:r w:rsidR="00F95CFF">
        <w:t>*</w:t>
      </w:r>
      <w:r w:rsidRPr="00F507A8">
        <w:t xml:space="preserve"> </w:t>
      </w:r>
      <w:r w:rsidRPr="00F507A8">
        <w:tab/>
      </w:r>
      <w:r w:rsidRPr="00F507A8">
        <w:tab/>
      </w:r>
      <w:r w:rsidRPr="00F507A8">
        <w:tab/>
      </w:r>
      <w:r w:rsidRPr="00F507A8">
        <w:tab/>
      </w:r>
      <w:r w:rsidRPr="00F507A8">
        <w:tab/>
        <w:t>[</w:t>
      </w:r>
      <w:r w:rsidRPr="00F507A8" w:rsidR="009F0352">
        <w:t>X</w:t>
      </w:r>
      <w:r w:rsidRPr="00F507A8">
        <w:t>] Mail</w:t>
      </w:r>
    </w:p>
    <w:p w:rsidRPr="00F507A8" w:rsidR="007353C3" w:rsidP="008222BD" w:rsidRDefault="007353C3" w14:paraId="502D1282" w14:textId="77777777">
      <w:pPr>
        <w:pStyle w:val="ListParagraph"/>
        <w:ind w:right="721" w:firstLine="720"/>
      </w:pPr>
      <w:r w:rsidRPr="00F507A8">
        <w:t xml:space="preserve">[ </w:t>
      </w:r>
      <w:r w:rsidRPr="00F507A8">
        <w:rPr>
          <w:spacing w:val="1"/>
        </w:rPr>
        <w:t xml:space="preserve"> </w:t>
      </w:r>
      <w:r w:rsidRPr="00F507A8">
        <w:t>]</w:t>
      </w:r>
      <w:r w:rsidRPr="00F507A8">
        <w:rPr>
          <w:spacing w:val="-1"/>
        </w:rPr>
        <w:t xml:space="preserve"> </w:t>
      </w:r>
      <w:r w:rsidRPr="00F507A8">
        <w:rPr>
          <w:spacing w:val="1"/>
        </w:rPr>
        <w:t>S</w:t>
      </w:r>
      <w:r w:rsidRPr="00F507A8">
        <w:t>mall Dis</w:t>
      </w:r>
      <w:r w:rsidRPr="00F507A8">
        <w:rPr>
          <w:spacing w:val="-1"/>
        </w:rPr>
        <w:t>c</w:t>
      </w:r>
      <w:r w:rsidRPr="00F507A8">
        <w:t>uss</w:t>
      </w:r>
      <w:r w:rsidRPr="00F507A8">
        <w:rPr>
          <w:spacing w:val="1"/>
        </w:rPr>
        <w:t>i</w:t>
      </w:r>
      <w:r w:rsidRPr="00F507A8">
        <w:t>on G</w:t>
      </w:r>
      <w:r w:rsidRPr="00F507A8">
        <w:rPr>
          <w:spacing w:val="-1"/>
        </w:rPr>
        <w:t>r</w:t>
      </w:r>
      <w:r w:rsidRPr="00F507A8">
        <w:rPr>
          <w:spacing w:val="-2"/>
        </w:rPr>
        <w:t>o</w:t>
      </w:r>
      <w:r w:rsidRPr="00F507A8">
        <w:t>up</w:t>
      </w:r>
      <w:r w:rsidRPr="00F507A8">
        <w:tab/>
      </w:r>
      <w:r w:rsidRPr="00F507A8">
        <w:tab/>
      </w:r>
      <w:r w:rsidRPr="00F507A8">
        <w:tab/>
      </w:r>
      <w:r w:rsidRPr="00F507A8">
        <w:tab/>
        <w:t xml:space="preserve">[ </w:t>
      </w:r>
      <w:r w:rsidRPr="00F507A8">
        <w:rPr>
          <w:spacing w:val="1"/>
        </w:rPr>
        <w:t xml:space="preserve"> </w:t>
      </w:r>
      <w:r w:rsidRPr="00F507A8">
        <w:t>]</w:t>
      </w:r>
      <w:r w:rsidRPr="00F507A8">
        <w:rPr>
          <w:spacing w:val="2"/>
          <w:position w:val="-1"/>
        </w:rPr>
        <w:t xml:space="preserve"> </w:t>
      </w:r>
      <w:r w:rsidRPr="00F507A8">
        <w:rPr>
          <w:spacing w:val="-1"/>
          <w:position w:val="-1"/>
        </w:rPr>
        <w:t>F</w:t>
      </w:r>
      <w:r w:rsidRPr="00F507A8">
        <w:rPr>
          <w:position w:val="-1"/>
        </w:rPr>
        <w:t>o</w:t>
      </w:r>
      <w:r w:rsidRPr="00F507A8">
        <w:rPr>
          <w:spacing w:val="-1"/>
          <w:position w:val="-1"/>
        </w:rPr>
        <w:t>c</w:t>
      </w:r>
      <w:r w:rsidRPr="00F507A8">
        <w:rPr>
          <w:position w:val="-1"/>
        </w:rPr>
        <w:t>us G</w:t>
      </w:r>
      <w:r w:rsidRPr="00F507A8">
        <w:rPr>
          <w:spacing w:val="-1"/>
          <w:position w:val="-1"/>
        </w:rPr>
        <w:t>r</w:t>
      </w:r>
      <w:r w:rsidRPr="00F507A8">
        <w:rPr>
          <w:position w:val="-1"/>
        </w:rPr>
        <w:t>oup</w:t>
      </w:r>
      <w:r w:rsidRPr="00F507A8">
        <w:rPr>
          <w:position w:val="-1"/>
        </w:rPr>
        <w:tab/>
      </w:r>
      <w:r w:rsidRPr="00F507A8">
        <w:t>[  ] Other</w:t>
      </w:r>
      <w:r w:rsidRPr="00F507A8" w:rsidR="00635087">
        <w:t xml:space="preserve"> (please e</w:t>
      </w:r>
      <w:r w:rsidRPr="00F507A8">
        <w:t>xplain</w:t>
      </w:r>
      <w:r w:rsidRPr="00F507A8" w:rsidR="00635087">
        <w:t>)</w:t>
      </w:r>
      <w:r w:rsidRPr="00F507A8">
        <w:t xml:space="preserve"> ______________________</w:t>
      </w:r>
      <w:r w:rsidRPr="00F507A8" w:rsidR="00635087">
        <w:t>____________</w:t>
      </w:r>
    </w:p>
    <w:p w:rsidR="00CA576C" w:rsidP="007353C3" w:rsidRDefault="00CA576C" w14:paraId="1D2EA81E" w14:textId="77777777">
      <w:pPr>
        <w:tabs>
          <w:tab w:val="left" w:pos="5140"/>
        </w:tabs>
        <w:ind w:left="100" w:right="-20"/>
      </w:pPr>
    </w:p>
    <w:p w:rsidR="00CA576C" w:rsidP="007353C3" w:rsidRDefault="00F95CFF" w14:paraId="718FC676" w14:textId="01C0BDE3">
      <w:pPr>
        <w:tabs>
          <w:tab w:val="left" w:pos="5140"/>
        </w:tabs>
        <w:ind w:left="100" w:right="-20"/>
      </w:pPr>
      <w:r>
        <w:t>*</w:t>
      </w:r>
      <w:r w:rsidRPr="000D3BFD">
        <w:t>The Bureau intends for these interviews to occur in-person but may decide to use videoconferencing to speak with respondents instead, depending on public health guidance at the time of the interviews. The contractor may mail respondents the validation notices to facilitate remote interviews</w:t>
      </w:r>
      <w:r w:rsidR="00CA576C">
        <w:t>.</w:t>
      </w:r>
    </w:p>
    <w:p w:rsidRPr="00F507A8" w:rsidR="007353C3" w:rsidP="007353C3" w:rsidRDefault="007353C3" w14:paraId="502D1283" w14:textId="074EB559">
      <w:pPr>
        <w:tabs>
          <w:tab w:val="left" w:pos="5140"/>
        </w:tabs>
        <w:ind w:left="100" w:right="-20"/>
      </w:pPr>
      <w:r w:rsidRPr="00F507A8">
        <w:tab/>
      </w:r>
    </w:p>
    <w:p w:rsidRPr="00E1427F" w:rsidR="007353C3" w:rsidP="007353C3" w:rsidRDefault="007353C3" w14:paraId="502D1284" w14:textId="77777777">
      <w:pPr>
        <w:pStyle w:val="ListParagraph"/>
        <w:widowControl w:val="0"/>
        <w:numPr>
          <w:ilvl w:val="0"/>
          <w:numId w:val="23"/>
        </w:numPr>
        <w:ind w:right="721"/>
        <w:rPr>
          <w:b/>
        </w:rPr>
      </w:pPr>
      <w:r w:rsidRPr="00E1427F">
        <w:rPr>
          <w:b/>
        </w:rPr>
        <w:t xml:space="preserve">Will interviewers or facilitators be used? </w:t>
      </w:r>
    </w:p>
    <w:p w:rsidRPr="00F507A8" w:rsidR="007353C3" w:rsidP="007353C3" w:rsidRDefault="007353C3" w14:paraId="502D1285" w14:textId="77777777">
      <w:pPr>
        <w:pStyle w:val="ListParagraph"/>
        <w:ind w:left="1135" w:right="721"/>
      </w:pPr>
    </w:p>
    <w:p w:rsidRPr="00F507A8" w:rsidR="007353C3" w:rsidP="007353C3" w:rsidRDefault="007353C3" w14:paraId="502D1286" w14:textId="30783E20">
      <w:pPr>
        <w:pStyle w:val="ListParagraph"/>
        <w:ind w:left="460" w:right="721"/>
      </w:pPr>
      <w:r w:rsidRPr="00F507A8">
        <w:tab/>
      </w:r>
      <w:r w:rsidRPr="00F507A8">
        <w:tab/>
      </w:r>
      <w:r w:rsidRPr="00F507A8" w:rsidR="002F5FF4">
        <w:t>[X</w:t>
      </w:r>
      <w:r w:rsidRPr="00F507A8">
        <w:t xml:space="preserve">] Yes </w:t>
      </w:r>
      <w:r w:rsidRPr="00F507A8" w:rsidR="00635087">
        <w:t xml:space="preserve"> </w:t>
      </w:r>
      <w:r w:rsidRPr="00F507A8">
        <w:t xml:space="preserve">[  ] No </w:t>
      </w:r>
      <w:r w:rsidRPr="00F507A8" w:rsidR="00635087">
        <w:t xml:space="preserve"> </w:t>
      </w:r>
      <w:r w:rsidRPr="00F507A8">
        <w:t>[  ] Not Applicable</w:t>
      </w:r>
    </w:p>
    <w:p w:rsidRPr="00F507A8" w:rsidR="006A50C3" w:rsidP="007353C3" w:rsidRDefault="006A50C3" w14:paraId="502D1287" w14:textId="77777777">
      <w:pPr>
        <w:pStyle w:val="ListParagraph"/>
        <w:ind w:left="460" w:right="721"/>
      </w:pPr>
    </w:p>
    <w:p w:rsidRPr="00F507A8" w:rsidR="006A50C3" w:rsidP="00B05F21" w:rsidRDefault="006A50C3" w14:paraId="502D1288" w14:textId="77777777">
      <w:pPr>
        <w:pStyle w:val="ListParagraph"/>
        <w:widowControl w:val="0"/>
        <w:numPr>
          <w:ilvl w:val="0"/>
          <w:numId w:val="23"/>
        </w:numPr>
        <w:ind w:right="721"/>
        <w:rPr>
          <w:b/>
        </w:rPr>
      </w:pPr>
      <w:r w:rsidRPr="00F507A8">
        <w:rPr>
          <w:b/>
        </w:rPr>
        <w:t>What type of disclosure or model form is being tested?</w:t>
      </w:r>
    </w:p>
    <w:p w:rsidRPr="00F507A8" w:rsidR="006A50C3" w:rsidP="006A50C3" w:rsidRDefault="006A50C3" w14:paraId="502D1289" w14:textId="77777777">
      <w:pPr>
        <w:pStyle w:val="ListParagraph"/>
        <w:ind w:left="1135" w:right="721"/>
      </w:pPr>
    </w:p>
    <w:p w:rsidRPr="00F507A8" w:rsidR="006A50C3" w:rsidP="006A50C3" w:rsidRDefault="006A50C3" w14:paraId="502D128A" w14:textId="77777777">
      <w:pPr>
        <w:pStyle w:val="ListParagraph"/>
        <w:ind w:left="1135" w:right="721"/>
      </w:pPr>
      <w:r w:rsidRPr="00F507A8">
        <w:t>[  ] Mortgage</w:t>
      </w:r>
      <w:r w:rsidRPr="00F507A8">
        <w:tab/>
      </w:r>
      <w:r w:rsidRPr="00F507A8">
        <w:tab/>
        <w:t xml:space="preserve">[  ] Student Loan </w:t>
      </w:r>
      <w:r w:rsidRPr="00F507A8">
        <w:tab/>
        <w:t>[  ] Electronic Disclosure</w:t>
      </w:r>
    </w:p>
    <w:p w:rsidRPr="00F507A8" w:rsidR="006A50C3" w:rsidP="006A50C3" w:rsidRDefault="006A50C3" w14:paraId="502D128B" w14:textId="77777777">
      <w:pPr>
        <w:pStyle w:val="ListParagraph"/>
        <w:ind w:left="1135" w:right="721"/>
      </w:pPr>
      <w:r w:rsidRPr="00F507A8">
        <w:t>[  ] Credit Card</w:t>
      </w:r>
      <w:r w:rsidRPr="00F507A8">
        <w:tab/>
      </w:r>
      <w:r w:rsidRPr="00F507A8">
        <w:tab/>
        <w:t>[  ] Pre-paid Cards</w:t>
      </w:r>
      <w:r w:rsidRPr="00F507A8">
        <w:tab/>
        <w:t>[  ] Check Cashing</w:t>
      </w:r>
    </w:p>
    <w:p w:rsidRPr="00F507A8" w:rsidR="006A50C3" w:rsidP="006A50C3" w:rsidRDefault="006A50C3" w14:paraId="502D128C" w14:textId="20ADDA06">
      <w:pPr>
        <w:pStyle w:val="ListParagraph"/>
        <w:ind w:left="1135" w:right="721"/>
      </w:pPr>
      <w:r w:rsidRPr="00F507A8">
        <w:t xml:space="preserve">[  ] Remittances </w:t>
      </w:r>
      <w:r w:rsidRPr="00F507A8">
        <w:tab/>
      </w:r>
      <w:r w:rsidRPr="00F507A8">
        <w:tab/>
        <w:t>[</w:t>
      </w:r>
      <w:r w:rsidRPr="00F507A8" w:rsidR="002F5FF4">
        <w:t>X</w:t>
      </w:r>
      <w:r w:rsidRPr="00F507A8">
        <w:t>] Debt Collection</w:t>
      </w:r>
      <w:r w:rsidRPr="00F507A8">
        <w:tab/>
        <w:t>[  ] Checking Accounts</w:t>
      </w:r>
    </w:p>
    <w:p w:rsidRPr="00F507A8" w:rsidR="006A50C3" w:rsidP="00B05F21" w:rsidRDefault="006A50C3" w14:paraId="502D128D" w14:textId="77777777">
      <w:pPr>
        <w:pStyle w:val="ListParagraph"/>
        <w:ind w:left="1135" w:right="721"/>
      </w:pPr>
      <w:r w:rsidRPr="00F507A8">
        <w:t>[  ] Payday Loans</w:t>
      </w:r>
      <w:r w:rsidRPr="00F507A8">
        <w:tab/>
      </w:r>
      <w:r w:rsidRPr="00F507A8">
        <w:tab/>
        <w:t>[  ] Other (please explain): _______________</w:t>
      </w:r>
    </w:p>
    <w:p w:rsidRPr="00F507A8" w:rsidR="006A50C3" w:rsidP="007353C3" w:rsidRDefault="006A50C3" w14:paraId="502D128E" w14:textId="48ACE1ED">
      <w:pPr>
        <w:pStyle w:val="ListParagraph"/>
        <w:ind w:left="460" w:right="721"/>
      </w:pPr>
    </w:p>
    <w:p w:rsidRPr="00F507A8" w:rsidR="00F829B3" w:rsidP="007353C3" w:rsidRDefault="00F829B3" w14:paraId="2B6417F1" w14:textId="39F74008">
      <w:pPr>
        <w:pStyle w:val="ListParagraph"/>
        <w:ind w:left="460" w:right="721"/>
      </w:pPr>
    </w:p>
    <w:p w:rsidRPr="00F507A8" w:rsidR="00F829B3" w:rsidP="00C90602" w:rsidRDefault="00F829B3" w14:paraId="20C335E1" w14:textId="77777777">
      <w:pPr>
        <w:ind w:right="721"/>
      </w:pPr>
    </w:p>
    <w:p w:rsidRPr="00F507A8" w:rsidR="007353C3" w:rsidP="00FC1481" w:rsidRDefault="007353C3" w14:paraId="502D128F" w14:textId="77777777">
      <w:pPr>
        <w:pStyle w:val="ListParagraph"/>
        <w:widowControl w:val="0"/>
        <w:numPr>
          <w:ilvl w:val="0"/>
          <w:numId w:val="34"/>
        </w:numPr>
        <w:spacing w:before="72"/>
        <w:ind w:right="-20"/>
        <w:rPr>
          <w:bCs/>
          <w:spacing w:val="-3"/>
        </w:rPr>
      </w:pPr>
      <w:r w:rsidRPr="00F507A8">
        <w:rPr>
          <w:b/>
          <w:bCs/>
          <w:caps/>
          <w:spacing w:val="-3"/>
        </w:rPr>
        <w:t>Focus group or survey</w:t>
      </w:r>
      <w:r w:rsidRPr="00F507A8">
        <w:rPr>
          <w:bCs/>
          <w:caps/>
          <w:spacing w:val="-3"/>
        </w:rPr>
        <w:t>:</w:t>
      </w:r>
      <w:r w:rsidRPr="00F507A8">
        <w:rPr>
          <w:bCs/>
          <w:spacing w:val="-3"/>
        </w:rPr>
        <w:t xml:space="preserve"> </w:t>
      </w:r>
    </w:p>
    <w:p w:rsidRPr="00F507A8" w:rsidR="007353C3" w:rsidP="007353C3" w:rsidRDefault="007353C3" w14:paraId="502D1290" w14:textId="77777777">
      <w:pPr>
        <w:pStyle w:val="ListParagraph"/>
        <w:spacing w:before="72"/>
        <w:ind w:left="460" w:right="-20"/>
        <w:rPr>
          <w:bCs/>
          <w:spacing w:val="-3"/>
        </w:rPr>
      </w:pPr>
    </w:p>
    <w:p w:rsidRPr="00C90602" w:rsidR="007353C3" w:rsidP="007353C3" w:rsidRDefault="007353C3" w14:paraId="502D1291" w14:textId="77777777">
      <w:pPr>
        <w:pStyle w:val="ListParagraph"/>
        <w:spacing w:before="72"/>
        <w:ind w:left="460" w:right="-20"/>
        <w:rPr>
          <w:b/>
          <w:bCs/>
          <w:spacing w:val="-3"/>
        </w:rPr>
      </w:pPr>
      <w:r w:rsidRPr="00C90602">
        <w:rPr>
          <w:b/>
          <w:bCs/>
          <w:spacing w:val="-3"/>
        </w:rPr>
        <w:t>If you plan to conduct a focus group or survey, please provide answers to the following</w:t>
      </w:r>
      <w:r w:rsidRPr="00F507A8">
        <w:rPr>
          <w:bCs/>
          <w:spacing w:val="-3"/>
        </w:rPr>
        <w:t xml:space="preserve"> </w:t>
      </w:r>
      <w:r w:rsidRPr="00C90602">
        <w:rPr>
          <w:b/>
          <w:bCs/>
          <w:spacing w:val="-3"/>
        </w:rPr>
        <w:t>questions:</w:t>
      </w:r>
    </w:p>
    <w:p w:rsidRPr="00C90602" w:rsidR="007353C3" w:rsidP="007353C3" w:rsidRDefault="007353C3" w14:paraId="502D1292" w14:textId="77777777">
      <w:pPr>
        <w:pStyle w:val="ListParagraph"/>
        <w:spacing w:before="72"/>
        <w:ind w:left="460" w:right="-20"/>
        <w:rPr>
          <w:b/>
          <w:bCs/>
          <w:spacing w:val="-3"/>
        </w:rPr>
      </w:pPr>
    </w:p>
    <w:p w:rsidRPr="00C90602" w:rsidR="007353C3" w:rsidP="007353C3" w:rsidRDefault="007353C3" w14:paraId="502D1293" w14:textId="77777777">
      <w:pPr>
        <w:pStyle w:val="ListParagraph"/>
        <w:spacing w:before="72"/>
        <w:ind w:left="460" w:right="-20"/>
        <w:rPr>
          <w:b/>
          <w:bCs/>
          <w:spacing w:val="-3"/>
        </w:rPr>
      </w:pPr>
      <w:r w:rsidRPr="00C90602">
        <w:rPr>
          <w:b/>
          <w:bCs/>
          <w:spacing w:val="-3"/>
        </w:rPr>
        <w:t xml:space="preserve">a. Do you have a customer list or something similar that defines the universe of potential respondents and do you have a sampling plan for selecting from this universe? </w:t>
      </w:r>
    </w:p>
    <w:p w:rsidRPr="00F507A8" w:rsidR="007353C3" w:rsidP="007353C3" w:rsidRDefault="007353C3" w14:paraId="502D1294" w14:textId="77777777">
      <w:pPr>
        <w:pStyle w:val="ListParagraph"/>
        <w:spacing w:before="72"/>
        <w:ind w:left="460" w:right="-20"/>
        <w:rPr>
          <w:bCs/>
          <w:spacing w:val="-3"/>
        </w:rPr>
      </w:pPr>
    </w:p>
    <w:p w:rsidRPr="00F507A8" w:rsidR="007353C3" w:rsidP="007353C3" w:rsidRDefault="007353C3" w14:paraId="502D1295" w14:textId="69367480">
      <w:pPr>
        <w:pStyle w:val="ListParagraph"/>
        <w:spacing w:before="72"/>
        <w:ind w:left="460" w:right="-20"/>
        <w:rPr>
          <w:bCs/>
          <w:spacing w:val="-3"/>
        </w:rPr>
      </w:pPr>
      <w:r w:rsidRPr="00F507A8">
        <w:rPr>
          <w:bCs/>
          <w:spacing w:val="-3"/>
        </w:rPr>
        <w:t>[</w:t>
      </w:r>
      <w:r w:rsidRPr="00F507A8" w:rsidR="00485DA4">
        <w:rPr>
          <w:bCs/>
          <w:spacing w:val="-3"/>
        </w:rPr>
        <w:t>X</w:t>
      </w:r>
      <w:r w:rsidRPr="00F507A8">
        <w:rPr>
          <w:bCs/>
          <w:spacing w:val="-3"/>
        </w:rPr>
        <w:t xml:space="preserve">] Yes </w:t>
      </w:r>
      <w:r w:rsidRPr="00F507A8" w:rsidR="00635087">
        <w:rPr>
          <w:bCs/>
          <w:spacing w:val="-3"/>
        </w:rPr>
        <w:t xml:space="preserve"> </w:t>
      </w:r>
      <w:r w:rsidRPr="00F507A8">
        <w:rPr>
          <w:bCs/>
          <w:spacing w:val="-3"/>
        </w:rPr>
        <w:t xml:space="preserve">[  ] No  [  ] </w:t>
      </w:r>
      <w:r w:rsidRPr="00F507A8">
        <w:t>Not Applicable</w:t>
      </w:r>
    </w:p>
    <w:p w:rsidRPr="00F507A8" w:rsidR="007353C3" w:rsidP="007353C3" w:rsidRDefault="007353C3" w14:paraId="502D1296" w14:textId="77777777">
      <w:pPr>
        <w:pStyle w:val="ListParagraph"/>
        <w:spacing w:before="72"/>
        <w:ind w:left="460" w:right="-20"/>
        <w:rPr>
          <w:bCs/>
          <w:spacing w:val="-3"/>
        </w:rPr>
      </w:pPr>
    </w:p>
    <w:p w:rsidRPr="00C90602" w:rsidR="007353C3" w:rsidP="007353C3" w:rsidRDefault="007353C3" w14:paraId="502D1297" w14:textId="1C4DFDE9">
      <w:pPr>
        <w:pStyle w:val="ListParagraph"/>
        <w:spacing w:before="72"/>
        <w:ind w:left="460" w:right="-20"/>
        <w:rPr>
          <w:b/>
          <w:bCs/>
          <w:spacing w:val="-3"/>
        </w:rPr>
      </w:pPr>
      <w:r w:rsidRPr="00C90602">
        <w:rPr>
          <w:b/>
          <w:bCs/>
          <w:spacing w:val="-3"/>
        </w:rPr>
        <w:t>b. If yes, please provide a description below.  If no, please provide a description of how you plan to identify your potential group of respondents and how you will select them</w:t>
      </w:r>
      <w:r w:rsidRPr="00C90602" w:rsidR="000702CE">
        <w:rPr>
          <w:b/>
          <w:bCs/>
          <w:spacing w:val="-3"/>
        </w:rPr>
        <w:t>.</w:t>
      </w:r>
    </w:p>
    <w:p w:rsidRPr="00F507A8" w:rsidR="00485DA4" w:rsidP="007353C3" w:rsidRDefault="00485DA4" w14:paraId="771298E0" w14:textId="3A5A7B6D">
      <w:pPr>
        <w:pStyle w:val="ListParagraph"/>
        <w:spacing w:before="72"/>
        <w:ind w:left="460" w:right="-20"/>
        <w:rPr>
          <w:bCs/>
          <w:spacing w:val="-3"/>
        </w:rPr>
      </w:pPr>
    </w:p>
    <w:p w:rsidRPr="00F507A8" w:rsidR="00E310A3" w:rsidP="007C481A" w:rsidRDefault="009848F0" w14:paraId="5813C222" w14:textId="000FBB55">
      <w:pPr>
        <w:ind w:left="450" w:firstLine="10"/>
      </w:pPr>
      <w:r w:rsidRPr="00F507A8">
        <w:t xml:space="preserve">Respondents </w:t>
      </w:r>
      <w:r w:rsidRPr="00F507A8" w:rsidR="00E310A3">
        <w:t xml:space="preserve">will be recruited from existing contractor facility research participation panels.  The contractor team will administer a screening questionnaire to panel members to determine eligibility.  If eligible to participate, panel members will be scheduled for predetermined interview timeslots.  The information collected in the screening questionnaire will contain PII for purposes of scheduling the interview.  The PII will not be shared with other members of the contractor team nor CFPB personnel. </w:t>
      </w:r>
    </w:p>
    <w:p w:rsidRPr="00C90602" w:rsidR="007353C3" w:rsidP="00C90602" w:rsidRDefault="007353C3" w14:paraId="502D1298" w14:textId="0F55E30B">
      <w:pPr>
        <w:spacing w:before="72"/>
        <w:ind w:right="-20"/>
        <w:rPr>
          <w:bCs/>
          <w:spacing w:val="-3"/>
        </w:rPr>
      </w:pPr>
    </w:p>
    <w:p w:rsidRPr="00F507A8" w:rsidR="00485DA4" w:rsidP="007353C3" w:rsidRDefault="00485DA4" w14:paraId="6CF3DA6F" w14:textId="77777777">
      <w:pPr>
        <w:pStyle w:val="ListParagraph"/>
        <w:spacing w:before="72"/>
        <w:ind w:left="460" w:right="-20"/>
        <w:rPr>
          <w:bCs/>
          <w:spacing w:val="-3"/>
        </w:rPr>
      </w:pPr>
    </w:p>
    <w:p w:rsidRPr="00F507A8" w:rsidR="008C4E6C" w:rsidP="00FC1481" w:rsidRDefault="008C4E6C" w14:paraId="502D1299" w14:textId="77777777">
      <w:pPr>
        <w:pStyle w:val="ListParagraph"/>
        <w:numPr>
          <w:ilvl w:val="0"/>
          <w:numId w:val="34"/>
        </w:numPr>
        <w:rPr>
          <w:caps/>
        </w:rPr>
      </w:pPr>
      <w:r w:rsidRPr="00F507A8">
        <w:rPr>
          <w:b/>
          <w:caps/>
        </w:rPr>
        <w:t>Information Collection Procedures</w:t>
      </w:r>
      <w:r w:rsidRPr="00F507A8" w:rsidR="00815E90">
        <w:rPr>
          <w:caps/>
        </w:rPr>
        <w:t>:</w:t>
      </w:r>
    </w:p>
    <w:p w:rsidRPr="00F507A8" w:rsidR="008C4E6C" w:rsidP="008C4E6C" w:rsidRDefault="008C4E6C" w14:paraId="502D129B" w14:textId="6FF7C4DE">
      <w:pPr>
        <w:pStyle w:val="ListParagraph"/>
      </w:pPr>
    </w:p>
    <w:p w:rsidRPr="00F507A8" w:rsidR="00485DA4" w:rsidP="009757BA" w:rsidRDefault="00485DA4" w14:paraId="0297C518" w14:textId="5AB0408A">
      <w:pPr>
        <w:ind w:left="720"/>
      </w:pPr>
      <w:r w:rsidRPr="00F507A8">
        <w:t>The</w:t>
      </w:r>
      <w:r w:rsidRPr="00F507A8" w:rsidR="00E310A3">
        <w:t xml:space="preserve"> contractor</w:t>
      </w:r>
      <w:r w:rsidRPr="00F507A8">
        <w:t xml:space="preserve"> interview team will consist of two RIVA-trained moderators </w:t>
      </w:r>
      <w:r w:rsidR="001B51A3">
        <w:t>who specialize</w:t>
      </w:r>
      <w:r w:rsidRPr="00F507A8" w:rsidR="001B51A3">
        <w:t xml:space="preserve"> </w:t>
      </w:r>
      <w:r w:rsidRPr="00F507A8">
        <w:t xml:space="preserve">in cognitive and usability testing. To avoid moderator fatigue, they will alternate between interviewing and observing/notetaking. The additional moderator will also be available to help </w:t>
      </w:r>
      <w:r w:rsidR="00BC4373">
        <w:t>address</w:t>
      </w:r>
      <w:r w:rsidRPr="00F507A8" w:rsidR="00BC4373">
        <w:t xml:space="preserve"> </w:t>
      </w:r>
      <w:r w:rsidRPr="00F507A8">
        <w:t>any possible technical difficulties that may occur during the interview.</w:t>
      </w:r>
    </w:p>
    <w:p w:rsidRPr="00F507A8" w:rsidR="001D7DBB" w:rsidP="009757BA" w:rsidRDefault="00485DA4" w14:paraId="39862FE5" w14:textId="79BAB17E">
      <w:pPr>
        <w:ind w:left="720"/>
      </w:pPr>
      <w:r w:rsidRPr="00F507A8">
        <w:t xml:space="preserve">At the beginning of the session, </w:t>
      </w:r>
      <w:r w:rsidRPr="00F507A8" w:rsidR="009848F0">
        <w:t>respondents</w:t>
      </w:r>
      <w:r w:rsidRPr="00F507A8">
        <w:t xml:space="preserve"> will be provided information about what it means to participate in this study and their rights as a participant.  After getting their permission to audio- and video-record the session, </w:t>
      </w:r>
      <w:r w:rsidRPr="00F507A8" w:rsidR="009848F0">
        <w:t xml:space="preserve">respondents </w:t>
      </w:r>
      <w:r w:rsidRPr="00F507A8">
        <w:t xml:space="preserve">will be provided a paper-based or electronic validation notice and asked to complete a series of tasks that the moderator will observe.  </w:t>
      </w:r>
    </w:p>
    <w:p w:rsidRPr="00F507A8" w:rsidR="00485DA4" w:rsidP="009757BA" w:rsidRDefault="009848F0" w14:paraId="1370E36B" w14:textId="62D4E1C3">
      <w:pPr>
        <w:ind w:left="720"/>
      </w:pPr>
      <w:r w:rsidRPr="00F507A8">
        <w:t xml:space="preserve">Respondents </w:t>
      </w:r>
      <w:r w:rsidRPr="00F507A8" w:rsidR="00485DA4">
        <w:t xml:space="preserve">will review both the paper and electronic validation notice, but </w:t>
      </w:r>
      <w:r w:rsidRPr="00F507A8" w:rsidR="001D7DBB">
        <w:t xml:space="preserve">it will be randomly determined whether they view the paper </w:t>
      </w:r>
      <w:r w:rsidR="0018294A">
        <w:t xml:space="preserve">version </w:t>
      </w:r>
      <w:r w:rsidRPr="00F507A8" w:rsidR="001D7DBB">
        <w:t xml:space="preserve">first or the electronic </w:t>
      </w:r>
      <w:r w:rsidR="0018294A">
        <w:t xml:space="preserve">version </w:t>
      </w:r>
      <w:r w:rsidRPr="00F507A8" w:rsidR="001D7DBB">
        <w:t>first</w:t>
      </w:r>
      <w:r w:rsidRPr="00F507A8" w:rsidR="00485DA4">
        <w:t xml:space="preserve">.  Instead of being asked all of the probes about the </w:t>
      </w:r>
      <w:r w:rsidRPr="00F507A8" w:rsidR="001D7DBB">
        <w:t xml:space="preserve">second </w:t>
      </w:r>
      <w:r w:rsidRPr="00F507A8" w:rsidR="00485DA4">
        <w:t xml:space="preserve">notice, </w:t>
      </w:r>
      <w:r w:rsidRPr="00F507A8">
        <w:t>respondents</w:t>
      </w:r>
      <w:r w:rsidRPr="00F507A8" w:rsidR="00485DA4">
        <w:t xml:space="preserve"> will be asked a few questions </w:t>
      </w:r>
      <w:r w:rsidRPr="00F507A8" w:rsidR="001D7DBB">
        <w:t xml:space="preserve">that encourage the participant to </w:t>
      </w:r>
      <w:r w:rsidRPr="00F507A8" w:rsidR="00485DA4">
        <w:t>compar</w:t>
      </w:r>
      <w:r w:rsidRPr="00F507A8" w:rsidR="001D7DBB">
        <w:t xml:space="preserve">e the </w:t>
      </w:r>
      <w:r w:rsidRPr="00F507A8" w:rsidR="00485DA4">
        <w:t xml:space="preserve">paper and digital notices.  During the session, moderators will encourage </w:t>
      </w:r>
      <w:r w:rsidRPr="00F507A8">
        <w:t xml:space="preserve">respondents </w:t>
      </w:r>
      <w:r w:rsidRPr="00F507A8" w:rsidR="00485DA4">
        <w:t xml:space="preserve">to think out loud.  In </w:t>
      </w:r>
      <w:r w:rsidRPr="00F507A8" w:rsidR="00485DA4">
        <w:lastRenderedPageBreak/>
        <w:t>addition to the scripted probes, they will also ask spontaneous probes as necessary</w:t>
      </w:r>
      <w:r w:rsidRPr="00F507A8" w:rsidR="001D7DBB">
        <w:t xml:space="preserve"> (e.g., </w:t>
      </w:r>
      <w:r w:rsidRPr="00F507A8" w:rsidR="00FA512B">
        <w:t>“Can you explain that more?”)</w:t>
      </w:r>
      <w:r w:rsidRPr="00F507A8" w:rsidR="00485DA4">
        <w:t xml:space="preserve"> to further understand what the participant is thinking; however, they will use care to ensure probes do not interrupt the participant’s natural interaction.  </w:t>
      </w:r>
    </w:p>
    <w:p w:rsidRPr="00F507A8" w:rsidR="00D16B02" w:rsidP="009757BA" w:rsidRDefault="00D16B02" w14:paraId="6729FE14" w14:textId="549D2301">
      <w:pPr>
        <w:ind w:left="720"/>
      </w:pPr>
      <w:r w:rsidRPr="00F507A8">
        <w:t xml:space="preserve">There will be six rounds of testing, where each day is its own round.  For each round (i.e., day) of testing, eight </w:t>
      </w:r>
      <w:r w:rsidRPr="00F507A8" w:rsidR="009848F0">
        <w:t>respondents</w:t>
      </w:r>
      <w:r w:rsidRPr="00F507A8">
        <w:t xml:space="preserve"> will be scheduled.  The contractor will </w:t>
      </w:r>
      <w:r w:rsidRPr="00F507A8" w:rsidR="00FA512B">
        <w:t>interview all who present themselves at the scheduled time</w:t>
      </w:r>
      <w:r w:rsidRPr="00F507A8">
        <w:t xml:space="preserve">, </w:t>
      </w:r>
      <w:r w:rsidRPr="00F507A8" w:rsidR="00FA512B">
        <w:t>to ensure</w:t>
      </w:r>
      <w:r w:rsidRPr="00F507A8">
        <w:t xml:space="preserve"> </w:t>
      </w:r>
      <w:r w:rsidRPr="00F507A8" w:rsidR="00FA512B">
        <w:t xml:space="preserve">that </w:t>
      </w:r>
      <w:r w:rsidRPr="00F507A8">
        <w:t>the minimum requirement of 40 in-person interviews across six rounds</w:t>
      </w:r>
      <w:r w:rsidRPr="00F507A8" w:rsidR="00FA512B">
        <w:t xml:space="preserve"> is met.</w:t>
      </w:r>
    </w:p>
    <w:p w:rsidRPr="00F507A8" w:rsidR="00485DA4" w:rsidP="009757BA" w:rsidRDefault="00FA512B" w14:paraId="0F4874BC" w14:textId="043C0595">
      <w:pPr>
        <w:ind w:left="720"/>
      </w:pPr>
      <w:r w:rsidRPr="00F507A8">
        <w:t xml:space="preserve">Interview </w:t>
      </w:r>
      <w:r w:rsidRPr="00F507A8" w:rsidR="00485DA4">
        <w:t>sessions will take 45 minutes</w:t>
      </w:r>
      <w:r w:rsidRPr="00F507A8">
        <w:t>. R</w:t>
      </w:r>
      <w:r w:rsidRPr="00F507A8" w:rsidR="009848F0">
        <w:t xml:space="preserve">espondents </w:t>
      </w:r>
      <w:r w:rsidRPr="00F507A8" w:rsidR="00485DA4">
        <w:t>will be provided $75 as the honorarium for their participation.  A record of compensation will be provided to the Bureau.</w:t>
      </w:r>
    </w:p>
    <w:p w:rsidR="00485DA4" w:rsidP="008C4E6C" w:rsidRDefault="00485DA4" w14:paraId="1279A20E" w14:textId="62940364">
      <w:pPr>
        <w:pStyle w:val="ListParagraph"/>
      </w:pPr>
    </w:p>
    <w:p w:rsidRPr="00F507A8" w:rsidR="007D2123" w:rsidP="008C4E6C" w:rsidRDefault="007D2123" w14:paraId="6352EE24" w14:textId="77777777">
      <w:pPr>
        <w:pStyle w:val="ListParagraph"/>
      </w:pPr>
    </w:p>
    <w:p w:rsidRPr="00F507A8" w:rsidR="007353C3" w:rsidP="00FC1481" w:rsidRDefault="007353C3" w14:paraId="502D129C" w14:textId="77777777">
      <w:pPr>
        <w:pStyle w:val="ListParagraph"/>
        <w:widowControl w:val="0"/>
        <w:numPr>
          <w:ilvl w:val="0"/>
          <w:numId w:val="34"/>
        </w:numPr>
        <w:spacing w:before="72"/>
        <w:ind w:right="-20"/>
      </w:pPr>
      <w:r w:rsidRPr="00F507A8">
        <w:rPr>
          <w:b/>
          <w:bCs/>
          <w:spacing w:val="-3"/>
        </w:rPr>
        <w:t>P</w:t>
      </w:r>
      <w:r w:rsidRPr="00F507A8">
        <w:rPr>
          <w:b/>
          <w:bCs/>
          <w:caps/>
          <w:spacing w:val="1"/>
        </w:rPr>
        <w:t>e</w:t>
      </w:r>
      <w:r w:rsidRPr="00F507A8">
        <w:rPr>
          <w:b/>
          <w:bCs/>
          <w:caps/>
          <w:spacing w:val="-1"/>
        </w:rPr>
        <w:t>r</w:t>
      </w:r>
      <w:r w:rsidRPr="00F507A8">
        <w:rPr>
          <w:b/>
          <w:bCs/>
          <w:caps/>
        </w:rPr>
        <w:t>so</w:t>
      </w:r>
      <w:r w:rsidRPr="00F507A8">
        <w:rPr>
          <w:b/>
          <w:bCs/>
          <w:caps/>
          <w:spacing w:val="1"/>
        </w:rPr>
        <w:t>n</w:t>
      </w:r>
      <w:r w:rsidRPr="00F507A8">
        <w:rPr>
          <w:b/>
          <w:bCs/>
          <w:caps/>
        </w:rPr>
        <w:t>al</w:t>
      </w:r>
      <w:r w:rsidRPr="00F507A8">
        <w:rPr>
          <w:b/>
          <w:bCs/>
          <w:caps/>
          <w:spacing w:val="1"/>
        </w:rPr>
        <w:t>l</w:t>
      </w:r>
      <w:r w:rsidRPr="00F507A8">
        <w:rPr>
          <w:b/>
          <w:bCs/>
          <w:caps/>
        </w:rPr>
        <w:t>y I</w:t>
      </w:r>
      <w:r w:rsidRPr="00F507A8">
        <w:rPr>
          <w:b/>
          <w:bCs/>
          <w:caps/>
          <w:spacing w:val="1"/>
        </w:rPr>
        <w:t>d</w:t>
      </w:r>
      <w:r w:rsidRPr="00F507A8">
        <w:rPr>
          <w:b/>
          <w:bCs/>
          <w:caps/>
          <w:spacing w:val="-1"/>
        </w:rPr>
        <w:t>e</w:t>
      </w:r>
      <w:r w:rsidRPr="00F507A8">
        <w:rPr>
          <w:b/>
          <w:bCs/>
          <w:caps/>
          <w:spacing w:val="1"/>
        </w:rPr>
        <w:t>n</w:t>
      </w:r>
      <w:r w:rsidRPr="00F507A8">
        <w:rPr>
          <w:b/>
          <w:bCs/>
          <w:caps/>
        </w:rPr>
        <w:t>ti</w:t>
      </w:r>
      <w:r w:rsidRPr="00F507A8">
        <w:rPr>
          <w:b/>
          <w:bCs/>
          <w:caps/>
          <w:spacing w:val="1"/>
        </w:rPr>
        <w:t>f</w:t>
      </w:r>
      <w:r w:rsidRPr="00F507A8">
        <w:rPr>
          <w:b/>
          <w:bCs/>
          <w:caps/>
        </w:rPr>
        <w:t>i</w:t>
      </w:r>
      <w:r w:rsidRPr="00F507A8">
        <w:rPr>
          <w:b/>
          <w:bCs/>
          <w:caps/>
          <w:spacing w:val="-2"/>
        </w:rPr>
        <w:t>a</w:t>
      </w:r>
      <w:r w:rsidRPr="00F507A8">
        <w:rPr>
          <w:b/>
          <w:bCs/>
          <w:caps/>
          <w:spacing w:val="1"/>
        </w:rPr>
        <w:t>b</w:t>
      </w:r>
      <w:r w:rsidRPr="00F507A8">
        <w:rPr>
          <w:b/>
          <w:bCs/>
          <w:caps/>
        </w:rPr>
        <w:t>le In</w:t>
      </w:r>
      <w:r w:rsidRPr="00F507A8">
        <w:rPr>
          <w:b/>
          <w:bCs/>
          <w:caps/>
          <w:spacing w:val="2"/>
        </w:rPr>
        <w:t>f</w:t>
      </w:r>
      <w:r w:rsidRPr="00F507A8">
        <w:rPr>
          <w:b/>
          <w:bCs/>
          <w:caps/>
        </w:rPr>
        <w:t>o</w:t>
      </w:r>
      <w:r w:rsidRPr="00F507A8">
        <w:rPr>
          <w:b/>
          <w:bCs/>
          <w:caps/>
          <w:spacing w:val="-1"/>
        </w:rPr>
        <w:t>r</w:t>
      </w:r>
      <w:r w:rsidRPr="00F507A8">
        <w:rPr>
          <w:b/>
          <w:bCs/>
          <w:caps/>
          <w:spacing w:val="-3"/>
        </w:rPr>
        <w:t>m</w:t>
      </w:r>
      <w:r w:rsidRPr="00F507A8">
        <w:rPr>
          <w:b/>
          <w:bCs/>
          <w:caps/>
        </w:rPr>
        <w:t>a</w:t>
      </w:r>
      <w:r w:rsidRPr="00F507A8">
        <w:rPr>
          <w:b/>
          <w:bCs/>
          <w:caps/>
          <w:spacing w:val="-1"/>
        </w:rPr>
        <w:t>t</w:t>
      </w:r>
      <w:r w:rsidRPr="00F507A8">
        <w:rPr>
          <w:b/>
          <w:bCs/>
          <w:caps/>
        </w:rPr>
        <w:t>io</w:t>
      </w:r>
      <w:r w:rsidRPr="00F507A8">
        <w:rPr>
          <w:b/>
          <w:bCs/>
          <w:caps/>
          <w:spacing w:val="1"/>
        </w:rPr>
        <w:t>n</w:t>
      </w:r>
      <w:r w:rsidRPr="00F507A8">
        <w:rPr>
          <w:bCs/>
          <w:caps/>
        </w:rPr>
        <w:t>:</w:t>
      </w:r>
    </w:p>
    <w:p w:rsidRPr="00F507A8" w:rsidR="007353C3" w:rsidP="007353C3" w:rsidRDefault="007353C3" w14:paraId="502D129D" w14:textId="77777777">
      <w:pPr>
        <w:spacing w:before="12" w:line="260" w:lineRule="exact"/>
      </w:pPr>
    </w:p>
    <w:p w:rsidRPr="00F507A8" w:rsidR="007353C3" w:rsidP="007353C3" w:rsidRDefault="007353C3" w14:paraId="502D129E" w14:textId="472D27E7">
      <w:pPr>
        <w:pStyle w:val="ListParagraph"/>
        <w:widowControl w:val="0"/>
        <w:numPr>
          <w:ilvl w:val="0"/>
          <w:numId w:val="22"/>
        </w:numPr>
        <w:ind w:right="-20"/>
      </w:pPr>
      <w:r w:rsidRPr="007D2123">
        <w:rPr>
          <w:b/>
          <w:spacing w:val="-3"/>
        </w:rPr>
        <w:t>I</w:t>
      </w:r>
      <w:r w:rsidRPr="007D2123">
        <w:rPr>
          <w:b/>
        </w:rPr>
        <w:t xml:space="preserve">s </w:t>
      </w:r>
      <w:r w:rsidRPr="007D2123">
        <w:rPr>
          <w:b/>
          <w:spacing w:val="2"/>
        </w:rPr>
        <w:t>p</w:t>
      </w:r>
      <w:r w:rsidRPr="007D2123">
        <w:rPr>
          <w:b/>
          <w:spacing w:val="-1"/>
        </w:rPr>
        <w:t>e</w:t>
      </w:r>
      <w:r w:rsidRPr="007D2123">
        <w:rPr>
          <w:b/>
        </w:rPr>
        <w:t>rson</w:t>
      </w:r>
      <w:r w:rsidRPr="007D2123">
        <w:rPr>
          <w:b/>
          <w:spacing w:val="-1"/>
        </w:rPr>
        <w:t>a</w:t>
      </w:r>
      <w:r w:rsidRPr="007D2123">
        <w:rPr>
          <w:b/>
        </w:rPr>
        <w:t>l</w:t>
      </w:r>
      <w:r w:rsidRPr="007D2123">
        <w:rPr>
          <w:b/>
          <w:spacing w:val="6"/>
        </w:rPr>
        <w:t>l</w:t>
      </w:r>
      <w:r w:rsidRPr="007D2123">
        <w:rPr>
          <w:b/>
        </w:rPr>
        <w:t>y</w:t>
      </w:r>
      <w:r w:rsidRPr="007D2123">
        <w:rPr>
          <w:b/>
          <w:spacing w:val="-5"/>
        </w:rPr>
        <w:t xml:space="preserve"> </w:t>
      </w:r>
      <w:r w:rsidRPr="007D2123">
        <w:rPr>
          <w:b/>
        </w:rPr>
        <w:t>identifi</w:t>
      </w:r>
      <w:r w:rsidRPr="007D2123">
        <w:rPr>
          <w:b/>
          <w:spacing w:val="-1"/>
        </w:rPr>
        <w:t>a</w:t>
      </w:r>
      <w:r w:rsidRPr="007D2123">
        <w:rPr>
          <w:b/>
        </w:rPr>
        <w:t>ble</w:t>
      </w:r>
      <w:r w:rsidRPr="007D2123">
        <w:rPr>
          <w:b/>
          <w:spacing w:val="2"/>
        </w:rPr>
        <w:t xml:space="preserve"> </w:t>
      </w:r>
      <w:r w:rsidRPr="007D2123">
        <w:rPr>
          <w:b/>
        </w:rPr>
        <w:t>info</w:t>
      </w:r>
      <w:r w:rsidRPr="007D2123">
        <w:rPr>
          <w:b/>
          <w:spacing w:val="-1"/>
        </w:rPr>
        <w:t>r</w:t>
      </w:r>
      <w:r w:rsidRPr="007D2123">
        <w:rPr>
          <w:b/>
        </w:rPr>
        <w:t>mation (</w:t>
      </w:r>
      <w:r w:rsidRPr="007D2123">
        <w:rPr>
          <w:b/>
          <w:spacing w:val="3"/>
        </w:rPr>
        <w:t>P</w:t>
      </w:r>
      <w:r w:rsidRPr="007D2123">
        <w:rPr>
          <w:b/>
        </w:rPr>
        <w:t>I</w:t>
      </w:r>
      <w:r w:rsidRPr="007D2123">
        <w:rPr>
          <w:b/>
          <w:spacing w:val="-4"/>
        </w:rPr>
        <w:t>I</w:t>
      </w:r>
      <w:r w:rsidRPr="007D2123">
        <w:rPr>
          <w:b/>
        </w:rPr>
        <w:t xml:space="preserve">) </w:t>
      </w:r>
      <w:r w:rsidRPr="007D2123">
        <w:rPr>
          <w:b/>
          <w:spacing w:val="-2"/>
        </w:rPr>
        <w:t>c</w:t>
      </w:r>
      <w:r w:rsidRPr="007D2123">
        <w:rPr>
          <w:b/>
        </w:rPr>
        <w:t>ol</w:t>
      </w:r>
      <w:r w:rsidRPr="007D2123">
        <w:rPr>
          <w:b/>
          <w:spacing w:val="1"/>
        </w:rPr>
        <w:t>le</w:t>
      </w:r>
      <w:r w:rsidRPr="007D2123">
        <w:rPr>
          <w:b/>
          <w:spacing w:val="-1"/>
        </w:rPr>
        <w:t>c</w:t>
      </w:r>
      <w:r w:rsidRPr="007D2123">
        <w:rPr>
          <w:b/>
        </w:rPr>
        <w:t>t</w:t>
      </w:r>
      <w:r w:rsidRPr="007D2123">
        <w:rPr>
          <w:b/>
          <w:spacing w:val="2"/>
        </w:rPr>
        <w:t>e</w:t>
      </w:r>
      <w:r w:rsidRPr="007D2123">
        <w:rPr>
          <w:b/>
        </w:rPr>
        <w:t>d?</w:t>
      </w:r>
      <w:r w:rsidRPr="00F507A8">
        <w:t xml:space="preserve"> </w:t>
      </w:r>
      <w:r w:rsidRPr="00F507A8">
        <w:rPr>
          <w:spacing w:val="4"/>
        </w:rPr>
        <w:t xml:space="preserve"> </w:t>
      </w:r>
      <w:r w:rsidR="00EE242E">
        <w:t>[X</w:t>
      </w:r>
      <w:r w:rsidRPr="00F507A8">
        <w:t>]</w:t>
      </w:r>
      <w:r w:rsidRPr="00F507A8">
        <w:rPr>
          <w:spacing w:val="1"/>
        </w:rPr>
        <w:t xml:space="preserve"> </w:t>
      </w:r>
      <w:r w:rsidRPr="00F507A8">
        <w:t>Y</w:t>
      </w:r>
      <w:r w:rsidRPr="00F507A8">
        <w:rPr>
          <w:spacing w:val="-1"/>
        </w:rPr>
        <w:t>e</w:t>
      </w:r>
      <w:r w:rsidRPr="00F507A8">
        <w:t>s  [</w:t>
      </w:r>
      <w:r w:rsidRPr="00F507A8">
        <w:rPr>
          <w:spacing w:val="-1"/>
        </w:rPr>
        <w:t xml:space="preserve"> </w:t>
      </w:r>
      <w:r w:rsidRPr="00F507A8" w:rsidR="000702CE">
        <w:rPr>
          <w:spacing w:val="-1"/>
        </w:rPr>
        <w:t xml:space="preserve"> </w:t>
      </w:r>
      <w:r w:rsidRPr="00F507A8">
        <w:t>]</w:t>
      </w:r>
      <w:r w:rsidRPr="00F507A8">
        <w:rPr>
          <w:spacing w:val="1"/>
        </w:rPr>
        <w:t xml:space="preserve"> </w:t>
      </w:r>
      <w:r w:rsidRPr="00F507A8">
        <w:t>No</w:t>
      </w:r>
    </w:p>
    <w:p w:rsidRPr="00F507A8" w:rsidR="003822CF" w:rsidP="003822CF" w:rsidRDefault="003822CF" w14:paraId="502D129F" w14:textId="77777777">
      <w:pPr>
        <w:pStyle w:val="ListParagraph"/>
        <w:widowControl w:val="0"/>
        <w:ind w:left="820" w:right="-20"/>
      </w:pPr>
    </w:p>
    <w:p w:rsidRPr="00F507A8" w:rsidR="003822CF" w:rsidP="007353C3" w:rsidRDefault="003822CF" w14:paraId="502D12A0" w14:textId="3FCA4C59">
      <w:pPr>
        <w:pStyle w:val="ListParagraph"/>
        <w:widowControl w:val="0"/>
        <w:numPr>
          <w:ilvl w:val="0"/>
          <w:numId w:val="22"/>
        </w:numPr>
        <w:ind w:right="-20"/>
      </w:pPr>
      <w:r w:rsidRPr="007D2123">
        <w:rPr>
          <w:b/>
        </w:rPr>
        <w:t>If Yes, describe the PII that will be collected, why it is needed, and uses</w:t>
      </w:r>
      <w:r w:rsidRPr="00F507A8">
        <w:t>.</w:t>
      </w:r>
    </w:p>
    <w:p w:rsidRPr="00F507A8" w:rsidR="00BE501B" w:rsidP="00BE501B" w:rsidRDefault="00BE501B" w14:paraId="7AD0C3D8" w14:textId="77777777">
      <w:pPr>
        <w:pStyle w:val="ListParagraph"/>
      </w:pPr>
    </w:p>
    <w:p w:rsidRPr="00F507A8" w:rsidR="00A55F38" w:rsidP="00EE242E" w:rsidRDefault="00A55F38" w14:paraId="1081A530" w14:textId="44014B82">
      <w:pPr>
        <w:widowControl w:val="0"/>
        <w:ind w:left="460" w:right="-20"/>
      </w:pPr>
      <w:r w:rsidRPr="00F507A8">
        <w:t xml:space="preserve">The Bureau’s contractor will be collecting PII during the screening questionnaire for the purposes of scheduling the interview. As part of the screening questionnaire, the contractor will collect information regarding </w:t>
      </w:r>
      <w:r w:rsidRPr="00F507A8" w:rsidR="009848F0">
        <w:t>respondents</w:t>
      </w:r>
      <w:r w:rsidRPr="00F507A8" w:rsidR="00FA512B">
        <w:t>’</w:t>
      </w:r>
      <w:r w:rsidRPr="00F507A8">
        <w:t xml:space="preserve"> debt collection experience in order to ensure that respondents represent the relevant demographic groups for this disclosure testing. Questions related to debt collection experience include those that discuss current debts held and types of debt; past debt collection experience; and past or current employment in the debt collection industry. The contractor will also be collecting demographic information including age, sex, race/ethnicity, geographic location, education, and income information to provide context on respondents’ answers to questions regarding debt collection and ensure the recruitment of respondents from a variety of backgrounds. The contractor will also collect contact information in order to arrange the interviews and payments.</w:t>
      </w:r>
    </w:p>
    <w:p w:rsidRPr="00F507A8" w:rsidR="00A55F38" w:rsidP="00EE242E" w:rsidRDefault="004435CA" w14:paraId="58AADADB" w14:textId="4393B312">
      <w:pPr>
        <w:widowControl w:val="0"/>
        <w:ind w:left="460" w:right="-20"/>
      </w:pPr>
      <w:r w:rsidRPr="00F507A8">
        <w:t>While the Bureau’s contractor will be collecting PII during the screening questionnaire for the purposes of scheduling the interview, t</w:t>
      </w:r>
      <w:r w:rsidRPr="00F507A8" w:rsidR="00A55F38">
        <w:t xml:space="preserve">he Bureau will not receive any PII, and will only </w:t>
      </w:r>
      <w:r w:rsidRPr="00F507A8" w:rsidR="00077340">
        <w:t>view the contractor’s summary</w:t>
      </w:r>
      <w:r w:rsidRPr="00F507A8" w:rsidR="00A55F38">
        <w:t xml:space="preserve"> report</w:t>
      </w:r>
      <w:r w:rsidRPr="00F507A8">
        <w:t xml:space="preserve"> of the findings from the interviews</w:t>
      </w:r>
      <w:r w:rsidRPr="00F507A8" w:rsidR="00A55F38">
        <w:t xml:space="preserve">. </w:t>
      </w:r>
      <w:r w:rsidRPr="00F507A8">
        <w:t xml:space="preserve">The contractor will ensure that only personnel responsible for participant recruitment will have access to PII. Bureau research staff involved in the project will view some of the interviews in-person (or live via video streaming). </w:t>
      </w:r>
    </w:p>
    <w:p w:rsidRPr="00F507A8" w:rsidR="007353C3" w:rsidP="007353C3" w:rsidRDefault="007353C3" w14:paraId="502D12A1" w14:textId="77777777">
      <w:pPr>
        <w:spacing w:before="16" w:line="260" w:lineRule="exact"/>
      </w:pPr>
    </w:p>
    <w:p w:rsidRPr="00A7242F" w:rsidR="006A50C3" w:rsidP="00A7242F" w:rsidRDefault="007353C3" w14:paraId="502D12A4" w14:textId="722BDB9C">
      <w:pPr>
        <w:pStyle w:val="ListParagraph"/>
        <w:widowControl w:val="0"/>
        <w:numPr>
          <w:ilvl w:val="0"/>
          <w:numId w:val="22"/>
        </w:numPr>
        <w:ind w:right="-20"/>
        <w:rPr>
          <w:b/>
        </w:rPr>
      </w:pPr>
      <w:r w:rsidRPr="00A7242F">
        <w:rPr>
          <w:b/>
          <w:spacing w:val="-3"/>
        </w:rPr>
        <w:t>I</w:t>
      </w:r>
      <w:r w:rsidRPr="00A7242F">
        <w:rPr>
          <w:b/>
        </w:rPr>
        <w:t>f</w:t>
      </w:r>
      <w:r w:rsidRPr="00A7242F">
        <w:rPr>
          <w:b/>
          <w:spacing w:val="2"/>
        </w:rPr>
        <w:t xml:space="preserve"> </w:t>
      </w:r>
      <w:r w:rsidRPr="00A7242F" w:rsidR="000702CE">
        <w:rPr>
          <w:b/>
          <w:spacing w:val="2"/>
        </w:rPr>
        <w:t>y</w:t>
      </w:r>
      <w:r w:rsidRPr="00A7242F">
        <w:rPr>
          <w:b/>
          <w:spacing w:val="-1"/>
        </w:rPr>
        <w:t>e</w:t>
      </w:r>
      <w:r w:rsidRPr="00A7242F">
        <w:rPr>
          <w:b/>
        </w:rPr>
        <w:t xml:space="preserve">s, is </w:t>
      </w:r>
      <w:r w:rsidRPr="00A7242F">
        <w:rPr>
          <w:b/>
          <w:spacing w:val="1"/>
        </w:rPr>
        <w:t>t</w:t>
      </w:r>
      <w:r w:rsidRPr="00A7242F">
        <w:rPr>
          <w:b/>
        </w:rPr>
        <w:t>he</w:t>
      </w:r>
      <w:r w:rsidRPr="00A7242F">
        <w:rPr>
          <w:b/>
          <w:spacing w:val="-1"/>
        </w:rPr>
        <w:t xml:space="preserve"> </w:t>
      </w:r>
      <w:r w:rsidRPr="00A7242F">
        <w:rPr>
          <w:b/>
        </w:rPr>
        <w:t>info</w:t>
      </w:r>
      <w:r w:rsidRPr="00A7242F">
        <w:rPr>
          <w:b/>
          <w:spacing w:val="-1"/>
        </w:rPr>
        <w:t>r</w:t>
      </w:r>
      <w:r w:rsidRPr="00A7242F">
        <w:rPr>
          <w:b/>
          <w:spacing w:val="3"/>
        </w:rPr>
        <w:t>m</w:t>
      </w:r>
      <w:r w:rsidRPr="00A7242F">
        <w:rPr>
          <w:b/>
          <w:spacing w:val="-1"/>
        </w:rPr>
        <w:t>a</w:t>
      </w:r>
      <w:r w:rsidRPr="00A7242F">
        <w:rPr>
          <w:b/>
        </w:rPr>
        <w:t>t</w:t>
      </w:r>
      <w:r w:rsidRPr="00A7242F">
        <w:rPr>
          <w:b/>
          <w:spacing w:val="1"/>
        </w:rPr>
        <w:t>i</w:t>
      </w:r>
      <w:r w:rsidRPr="00A7242F">
        <w:rPr>
          <w:b/>
        </w:rPr>
        <w:t>on that will</w:t>
      </w:r>
      <w:r w:rsidRPr="00A7242F">
        <w:rPr>
          <w:b/>
          <w:spacing w:val="1"/>
        </w:rPr>
        <w:t xml:space="preserve"> </w:t>
      </w:r>
      <w:r w:rsidRPr="00A7242F">
        <w:rPr>
          <w:b/>
        </w:rPr>
        <w:t>be</w:t>
      </w:r>
      <w:r w:rsidRPr="00A7242F">
        <w:rPr>
          <w:b/>
          <w:spacing w:val="-1"/>
        </w:rPr>
        <w:t xml:space="preserve"> c</w:t>
      </w:r>
      <w:r w:rsidRPr="00A7242F">
        <w:rPr>
          <w:b/>
        </w:rPr>
        <w:t>ol</w:t>
      </w:r>
      <w:r w:rsidRPr="00A7242F">
        <w:rPr>
          <w:b/>
          <w:spacing w:val="1"/>
        </w:rPr>
        <w:t>l</w:t>
      </w:r>
      <w:r w:rsidRPr="00A7242F">
        <w:rPr>
          <w:b/>
          <w:spacing w:val="-1"/>
        </w:rPr>
        <w:t>ec</w:t>
      </w:r>
      <w:r w:rsidRPr="00A7242F">
        <w:rPr>
          <w:b/>
        </w:rPr>
        <w:t>ted in</w:t>
      </w:r>
      <w:r w:rsidRPr="00A7242F">
        <w:rPr>
          <w:b/>
          <w:spacing w:val="1"/>
        </w:rPr>
        <w:t>c</w:t>
      </w:r>
      <w:r w:rsidRPr="00A7242F">
        <w:rPr>
          <w:b/>
        </w:rPr>
        <w:t xml:space="preserve">luded in </w:t>
      </w:r>
      <w:r w:rsidRPr="00A7242F">
        <w:rPr>
          <w:b/>
          <w:spacing w:val="-1"/>
        </w:rPr>
        <w:t>rec</w:t>
      </w:r>
      <w:r w:rsidRPr="00A7242F">
        <w:rPr>
          <w:b/>
        </w:rPr>
        <w:t>o</w:t>
      </w:r>
      <w:r w:rsidRPr="00A7242F">
        <w:rPr>
          <w:b/>
          <w:spacing w:val="-1"/>
        </w:rPr>
        <w:t>r</w:t>
      </w:r>
      <w:r w:rsidRPr="00A7242F">
        <w:rPr>
          <w:b/>
        </w:rPr>
        <w:t>ds th</w:t>
      </w:r>
      <w:r w:rsidRPr="00A7242F">
        <w:rPr>
          <w:b/>
          <w:spacing w:val="-1"/>
        </w:rPr>
        <w:t>a</w:t>
      </w:r>
      <w:r w:rsidRPr="00A7242F">
        <w:rPr>
          <w:b/>
        </w:rPr>
        <w:t>t</w:t>
      </w:r>
      <w:r w:rsidRPr="00A7242F">
        <w:rPr>
          <w:b/>
          <w:spacing w:val="3"/>
        </w:rPr>
        <w:t xml:space="preserve"> </w:t>
      </w:r>
      <w:r w:rsidRPr="00A7242F">
        <w:rPr>
          <w:b/>
          <w:spacing w:val="-1"/>
        </w:rPr>
        <w:t>a</w:t>
      </w:r>
      <w:r w:rsidRPr="00A7242F">
        <w:rPr>
          <w:b/>
        </w:rPr>
        <w:t>re subj</w:t>
      </w:r>
      <w:r w:rsidRPr="00A7242F">
        <w:rPr>
          <w:b/>
          <w:spacing w:val="-1"/>
        </w:rPr>
        <w:t>ec</w:t>
      </w:r>
      <w:r w:rsidRPr="00A7242F">
        <w:rPr>
          <w:b/>
        </w:rPr>
        <w:t xml:space="preserve">t </w:t>
      </w:r>
      <w:r w:rsidRPr="00A7242F">
        <w:rPr>
          <w:b/>
          <w:spacing w:val="1"/>
        </w:rPr>
        <w:t>t</w:t>
      </w:r>
      <w:r w:rsidRPr="00A7242F">
        <w:rPr>
          <w:b/>
        </w:rPr>
        <w:t xml:space="preserve">o the </w:t>
      </w:r>
      <w:r w:rsidRPr="00A7242F">
        <w:rPr>
          <w:b/>
          <w:spacing w:val="1"/>
        </w:rPr>
        <w:t>P</w:t>
      </w:r>
      <w:r w:rsidRPr="00A7242F">
        <w:rPr>
          <w:b/>
        </w:rPr>
        <w:t>riv</w:t>
      </w:r>
      <w:r w:rsidRPr="00A7242F">
        <w:rPr>
          <w:b/>
          <w:spacing w:val="-1"/>
        </w:rPr>
        <w:t>a</w:t>
      </w:r>
      <w:r w:rsidRPr="00A7242F">
        <w:rPr>
          <w:b/>
          <w:spacing w:val="1"/>
        </w:rPr>
        <w:t>c</w:t>
      </w:r>
      <w:r w:rsidRPr="00A7242F">
        <w:rPr>
          <w:b/>
        </w:rPr>
        <w:t>y</w:t>
      </w:r>
      <w:r w:rsidRPr="00A7242F">
        <w:rPr>
          <w:b/>
          <w:spacing w:val="-3"/>
        </w:rPr>
        <w:t xml:space="preserve"> </w:t>
      </w:r>
      <w:r w:rsidRPr="00A7242F">
        <w:rPr>
          <w:b/>
        </w:rPr>
        <w:t>A</w:t>
      </w:r>
      <w:r w:rsidRPr="00A7242F">
        <w:rPr>
          <w:b/>
          <w:spacing w:val="-1"/>
        </w:rPr>
        <w:t>c</w:t>
      </w:r>
      <w:r w:rsidRPr="00A7242F">
        <w:rPr>
          <w:b/>
        </w:rPr>
        <w:t xml:space="preserve">t of 1974?  </w:t>
      </w:r>
      <w:r w:rsidR="00A7242F">
        <w:rPr>
          <w:b/>
        </w:rPr>
        <w:t xml:space="preserve">    </w:t>
      </w:r>
      <w:r w:rsidRPr="00F507A8">
        <w:t>[</w:t>
      </w:r>
      <w:r w:rsidRPr="00F507A8" w:rsidR="008C06EE">
        <w:t>X</w:t>
      </w:r>
      <w:r w:rsidRPr="00F507A8">
        <w:t>]</w:t>
      </w:r>
      <w:r w:rsidRPr="00A7242F">
        <w:rPr>
          <w:spacing w:val="1"/>
        </w:rPr>
        <w:t xml:space="preserve"> </w:t>
      </w:r>
      <w:r w:rsidRPr="00F507A8">
        <w:t>Y</w:t>
      </w:r>
      <w:r w:rsidRPr="00A7242F">
        <w:rPr>
          <w:spacing w:val="-1"/>
        </w:rPr>
        <w:t>e</w:t>
      </w:r>
      <w:r w:rsidRPr="00F507A8">
        <w:t xml:space="preserve">s </w:t>
      </w:r>
      <w:r w:rsidRPr="00F507A8" w:rsidR="000702CE">
        <w:t xml:space="preserve"> </w:t>
      </w:r>
      <w:r w:rsidRPr="00F507A8">
        <w:t>[</w:t>
      </w:r>
      <w:r w:rsidRPr="00F507A8" w:rsidR="000702CE">
        <w:t xml:space="preserve"> </w:t>
      </w:r>
      <w:r w:rsidRPr="00A7242F">
        <w:rPr>
          <w:spacing w:val="59"/>
        </w:rPr>
        <w:t xml:space="preserve"> </w:t>
      </w:r>
      <w:r w:rsidRPr="00F507A8">
        <w:t>]</w:t>
      </w:r>
      <w:r w:rsidRPr="00A7242F">
        <w:rPr>
          <w:spacing w:val="1"/>
        </w:rPr>
        <w:t xml:space="preserve"> </w:t>
      </w:r>
      <w:r w:rsidRPr="00F507A8" w:rsidR="00D6490E">
        <w:t xml:space="preserve">No </w:t>
      </w:r>
      <w:r w:rsidRPr="00F507A8" w:rsidR="000702CE">
        <w:t xml:space="preserve"> </w:t>
      </w:r>
      <w:r w:rsidRPr="00F507A8" w:rsidR="00D6490E">
        <w:t>[  ] Not Applicable</w:t>
      </w:r>
    </w:p>
    <w:p w:rsidRPr="00F507A8" w:rsidR="007353C3" w:rsidP="007353C3" w:rsidRDefault="007353C3" w14:paraId="502D12A5" w14:textId="77777777">
      <w:pPr>
        <w:spacing w:before="16" w:line="260" w:lineRule="exact"/>
      </w:pPr>
    </w:p>
    <w:p w:rsidR="00A7242F" w:rsidP="00A7242F" w:rsidRDefault="000702CE" w14:paraId="6CDD3A42" w14:textId="77777777">
      <w:pPr>
        <w:pStyle w:val="ListParagraph"/>
        <w:widowControl w:val="0"/>
        <w:numPr>
          <w:ilvl w:val="0"/>
          <w:numId w:val="22"/>
        </w:numPr>
        <w:ind w:right="-20"/>
        <w:rPr>
          <w:b/>
        </w:rPr>
      </w:pPr>
      <w:r w:rsidRPr="00A7242F">
        <w:rPr>
          <w:b/>
        </w:rPr>
        <w:t>H</w:t>
      </w:r>
      <w:r w:rsidRPr="00A7242F" w:rsidR="007353C3">
        <w:rPr>
          <w:b/>
          <w:spacing w:val="-1"/>
        </w:rPr>
        <w:t>a</w:t>
      </w:r>
      <w:r w:rsidRPr="00A7242F" w:rsidR="007353C3">
        <w:rPr>
          <w:b/>
        </w:rPr>
        <w:t xml:space="preserve">s a </w:t>
      </w:r>
      <w:r w:rsidRPr="00A7242F" w:rsidR="007353C3">
        <w:rPr>
          <w:b/>
          <w:spacing w:val="5"/>
        </w:rPr>
        <w:t>S</w:t>
      </w:r>
      <w:r w:rsidRPr="00A7242F" w:rsidR="007353C3">
        <w:rPr>
          <w:b/>
          <w:spacing w:val="-5"/>
        </w:rPr>
        <w:t>y</w:t>
      </w:r>
      <w:r w:rsidRPr="00A7242F" w:rsidR="007353C3">
        <w:rPr>
          <w:b/>
        </w:rPr>
        <w:t>stem or R</w:t>
      </w:r>
      <w:r w:rsidRPr="00A7242F" w:rsidR="007353C3">
        <w:rPr>
          <w:b/>
          <w:spacing w:val="-1"/>
        </w:rPr>
        <w:t>ec</w:t>
      </w:r>
      <w:r w:rsidRPr="00A7242F" w:rsidR="007353C3">
        <w:rPr>
          <w:b/>
        </w:rPr>
        <w:t>o</w:t>
      </w:r>
      <w:r w:rsidRPr="00A7242F" w:rsidR="007353C3">
        <w:rPr>
          <w:b/>
          <w:spacing w:val="-1"/>
        </w:rPr>
        <w:t>r</w:t>
      </w:r>
      <w:r w:rsidRPr="00A7242F" w:rsidR="007353C3">
        <w:rPr>
          <w:b/>
        </w:rPr>
        <w:t>ds Noti</w:t>
      </w:r>
      <w:r w:rsidRPr="00A7242F" w:rsidR="007353C3">
        <w:rPr>
          <w:b/>
          <w:spacing w:val="1"/>
        </w:rPr>
        <w:t>c</w:t>
      </w:r>
      <w:r w:rsidRPr="00A7242F" w:rsidR="007353C3">
        <w:rPr>
          <w:b/>
        </w:rPr>
        <w:t>e</w:t>
      </w:r>
      <w:r w:rsidRPr="00A7242F" w:rsidR="007353C3">
        <w:rPr>
          <w:b/>
          <w:spacing w:val="-1"/>
        </w:rPr>
        <w:t xml:space="preserve"> </w:t>
      </w:r>
      <w:r w:rsidRPr="00A7242F" w:rsidR="003C4E67">
        <w:rPr>
          <w:b/>
          <w:spacing w:val="-1"/>
        </w:rPr>
        <w:t xml:space="preserve">(SORN) </w:t>
      </w:r>
      <w:r w:rsidRPr="00A7242F" w:rsidR="007353C3">
        <w:rPr>
          <w:b/>
        </w:rPr>
        <w:t>b</w:t>
      </w:r>
      <w:r w:rsidRPr="00A7242F" w:rsidR="007353C3">
        <w:rPr>
          <w:b/>
          <w:spacing w:val="1"/>
        </w:rPr>
        <w:t>e</w:t>
      </w:r>
      <w:r w:rsidRPr="00A7242F" w:rsidR="007353C3">
        <w:rPr>
          <w:b/>
          <w:spacing w:val="-1"/>
        </w:rPr>
        <w:t>e</w:t>
      </w:r>
      <w:r w:rsidRPr="00A7242F" w:rsidR="007353C3">
        <w:rPr>
          <w:b/>
        </w:rPr>
        <w:t>n publ</w:t>
      </w:r>
      <w:r w:rsidRPr="00A7242F" w:rsidR="007353C3">
        <w:rPr>
          <w:b/>
          <w:spacing w:val="1"/>
        </w:rPr>
        <w:t>i</w:t>
      </w:r>
      <w:r w:rsidRPr="00A7242F" w:rsidR="007353C3">
        <w:rPr>
          <w:b/>
        </w:rPr>
        <w:t xml:space="preserve">shed?  </w:t>
      </w:r>
      <w:r w:rsidR="00A7242F">
        <w:rPr>
          <w:b/>
        </w:rPr>
        <w:t xml:space="preserve"> </w:t>
      </w:r>
    </w:p>
    <w:p w:rsidRPr="00A7242F" w:rsidR="007353C3" w:rsidP="001171F0" w:rsidRDefault="007353C3" w14:paraId="502D12A7" w14:textId="4A16EF0A">
      <w:pPr>
        <w:widowControl w:val="0"/>
        <w:ind w:left="100" w:right="-20" w:firstLine="720"/>
        <w:rPr>
          <w:b/>
        </w:rPr>
      </w:pPr>
      <w:r w:rsidRPr="00F507A8">
        <w:t>[</w:t>
      </w:r>
      <w:r w:rsidRPr="00F507A8" w:rsidR="003E4CEC">
        <w:t>X</w:t>
      </w:r>
      <w:r w:rsidRPr="00F507A8">
        <w:t>]</w:t>
      </w:r>
      <w:r w:rsidRPr="00A7242F">
        <w:rPr>
          <w:spacing w:val="1"/>
        </w:rPr>
        <w:t xml:space="preserve"> </w:t>
      </w:r>
      <w:r w:rsidRPr="00F507A8">
        <w:t>Y</w:t>
      </w:r>
      <w:r w:rsidRPr="00A7242F">
        <w:rPr>
          <w:spacing w:val="-1"/>
        </w:rPr>
        <w:t>e</w:t>
      </w:r>
      <w:r w:rsidRPr="00F507A8">
        <w:t>s  [</w:t>
      </w:r>
      <w:r w:rsidRPr="00A7242F" w:rsidR="000702CE">
        <w:rPr>
          <w:spacing w:val="59"/>
        </w:rPr>
        <w:t xml:space="preserve"> </w:t>
      </w:r>
      <w:r w:rsidRPr="00F507A8">
        <w:t>]</w:t>
      </w:r>
      <w:r w:rsidRPr="00A7242F">
        <w:rPr>
          <w:spacing w:val="1"/>
        </w:rPr>
        <w:t xml:space="preserve"> </w:t>
      </w:r>
      <w:r w:rsidRPr="00F507A8">
        <w:t>No</w:t>
      </w:r>
      <w:r w:rsidRPr="00F507A8" w:rsidR="000702CE">
        <w:t xml:space="preserve"> </w:t>
      </w:r>
      <w:r w:rsidRPr="00F507A8">
        <w:t xml:space="preserve"> [  ] Not Applicable</w:t>
      </w:r>
    </w:p>
    <w:p w:rsidRPr="001171F0" w:rsidR="00F91191" w:rsidP="00671686" w:rsidRDefault="00671686" w14:paraId="502D12A8" w14:textId="77777777">
      <w:pPr>
        <w:ind w:left="220" w:right="-20" w:firstLine="500"/>
        <w:rPr>
          <w:b/>
        </w:rPr>
      </w:pPr>
      <w:r w:rsidRPr="001171F0">
        <w:rPr>
          <w:b/>
        </w:rPr>
        <w:t xml:space="preserve">If yes, </w:t>
      </w:r>
      <w:r w:rsidRPr="001171F0" w:rsidR="000702CE">
        <w:rPr>
          <w:b/>
        </w:rPr>
        <w:t xml:space="preserve">list </w:t>
      </w:r>
      <w:r w:rsidRPr="001171F0">
        <w:rPr>
          <w:b/>
        </w:rPr>
        <w:t>the SORN</w:t>
      </w:r>
      <w:r w:rsidRPr="001171F0" w:rsidR="000702CE">
        <w:rPr>
          <w:b/>
        </w:rPr>
        <w:t xml:space="preserve"> t</w:t>
      </w:r>
      <w:r w:rsidRPr="001171F0">
        <w:rPr>
          <w:b/>
        </w:rPr>
        <w:t>itle</w:t>
      </w:r>
      <w:r w:rsidRPr="001171F0" w:rsidR="000702CE">
        <w:rPr>
          <w:b/>
        </w:rPr>
        <w:t xml:space="preserve"> and </w:t>
      </w:r>
      <w:r w:rsidRPr="001171F0" w:rsidR="00021835">
        <w:rPr>
          <w:b/>
        </w:rPr>
        <w:t xml:space="preserve">the </w:t>
      </w:r>
      <w:r w:rsidRPr="001171F0" w:rsidR="00E32086">
        <w:rPr>
          <w:b/>
          <w:i/>
        </w:rPr>
        <w:t xml:space="preserve">Federal </w:t>
      </w:r>
      <w:r w:rsidRPr="001171F0" w:rsidR="000702CE">
        <w:rPr>
          <w:b/>
          <w:i/>
        </w:rPr>
        <w:t>R</w:t>
      </w:r>
      <w:r w:rsidRPr="001171F0" w:rsidR="00E32086">
        <w:rPr>
          <w:b/>
          <w:i/>
        </w:rPr>
        <w:t>egister</w:t>
      </w:r>
      <w:r w:rsidRPr="001171F0" w:rsidR="00E32086">
        <w:rPr>
          <w:b/>
        </w:rPr>
        <w:t xml:space="preserve"> (FR) citation:</w:t>
      </w:r>
      <w:r w:rsidRPr="001171F0" w:rsidR="00BF16ED">
        <w:rPr>
          <w:b/>
        </w:rPr>
        <w:t xml:space="preserve"> </w:t>
      </w:r>
      <w:r w:rsidRPr="001171F0" w:rsidR="00E32086">
        <w:rPr>
          <w:b/>
        </w:rPr>
        <w:t xml:space="preserve"> </w:t>
      </w:r>
    </w:p>
    <w:p w:rsidRPr="00F507A8" w:rsidR="00671686" w:rsidP="005559F1" w:rsidRDefault="00F91191" w14:paraId="502D12AA" w14:textId="7A23DE34">
      <w:pPr>
        <w:ind w:left="220" w:right="-20" w:firstLine="500"/>
      </w:pPr>
      <w:r w:rsidRPr="001171F0">
        <w:rPr>
          <w:b/>
        </w:rPr>
        <w:t>Title:</w:t>
      </w:r>
      <w:r w:rsidRPr="00F507A8">
        <w:t xml:space="preserve"> </w:t>
      </w:r>
      <w:r w:rsidRPr="00A0222B" w:rsidR="003E4CEC">
        <w:rPr>
          <w:u w:val="single"/>
        </w:rPr>
        <w:t>CFPB.022 - Market and Consumer Research Records</w:t>
      </w:r>
      <w:r w:rsidRPr="00A0222B" w:rsidR="007838A4">
        <w:rPr>
          <w:u w:val="single"/>
        </w:rPr>
        <w:t xml:space="preserve">   (</w:t>
      </w:r>
      <w:r w:rsidRPr="00A0222B" w:rsidR="0001413D">
        <w:rPr>
          <w:u w:val="single"/>
        </w:rPr>
        <w:t>83 FR 23435</w:t>
      </w:r>
      <w:r w:rsidRPr="00A0222B" w:rsidR="007838A4">
        <w:rPr>
          <w:u w:val="single"/>
        </w:rPr>
        <w:t>)</w:t>
      </w:r>
      <w:r w:rsidRPr="00F507A8" w:rsidR="003E4CEC">
        <w:t>.</w:t>
      </w:r>
    </w:p>
    <w:p w:rsidRPr="00F507A8" w:rsidR="00D6490E" w:rsidP="007353C3" w:rsidRDefault="00D6490E" w14:paraId="502D12AB" w14:textId="77777777">
      <w:pPr>
        <w:ind w:left="220" w:right="-20" w:firstLine="500"/>
      </w:pPr>
    </w:p>
    <w:p w:rsidRPr="001171F0" w:rsidR="007353C3" w:rsidP="00D6490E" w:rsidRDefault="00D6490E" w14:paraId="502D12AC" w14:textId="6B0A5086">
      <w:pPr>
        <w:pStyle w:val="ListParagraph"/>
        <w:numPr>
          <w:ilvl w:val="0"/>
          <w:numId w:val="22"/>
        </w:numPr>
        <w:spacing w:before="1" w:line="280" w:lineRule="exact"/>
        <w:rPr>
          <w:b/>
        </w:rPr>
      </w:pPr>
      <w:r w:rsidRPr="001171F0">
        <w:rPr>
          <w:b/>
        </w:rPr>
        <w:t xml:space="preserve">If applicable, </w:t>
      </w:r>
      <w:r w:rsidRPr="001171F0" w:rsidR="00021835">
        <w:rPr>
          <w:b/>
        </w:rPr>
        <w:t xml:space="preserve">please provide a </w:t>
      </w:r>
      <w:r w:rsidRPr="001171F0" w:rsidR="00BF16ED">
        <w:rPr>
          <w:b/>
        </w:rPr>
        <w:t>link to</w:t>
      </w:r>
      <w:r w:rsidRPr="001171F0" w:rsidR="00815E90">
        <w:rPr>
          <w:b/>
        </w:rPr>
        <w:t xml:space="preserve"> </w:t>
      </w:r>
      <w:r w:rsidRPr="001171F0">
        <w:rPr>
          <w:b/>
        </w:rPr>
        <w:t xml:space="preserve">the Privacy Impact </w:t>
      </w:r>
      <w:r w:rsidRPr="001171F0" w:rsidR="00BF16ED">
        <w:rPr>
          <w:b/>
        </w:rPr>
        <w:t>Assessment</w:t>
      </w:r>
      <w:r w:rsidRPr="001171F0" w:rsidR="00021835">
        <w:rPr>
          <w:b/>
        </w:rPr>
        <w:t>.</w:t>
      </w:r>
    </w:p>
    <w:p w:rsidRPr="00F507A8" w:rsidR="003E4CEC" w:rsidP="001171F0" w:rsidRDefault="003E4CEC" w14:paraId="399542BF" w14:textId="2E8D21A0">
      <w:pPr>
        <w:ind w:left="100" w:right="-20" w:firstLine="720"/>
      </w:pPr>
      <w:r w:rsidRPr="00F507A8">
        <w:t>Consumer Experience Research PIA:</w:t>
      </w:r>
    </w:p>
    <w:p w:rsidRPr="00F507A8" w:rsidR="003E4CEC" w:rsidP="001171F0" w:rsidRDefault="001171F0" w14:paraId="2E2E6FDB" w14:textId="750B921B">
      <w:pPr>
        <w:ind w:left="90" w:right="-20" w:firstLine="720"/>
      </w:pPr>
      <w:hyperlink w:history="1" r:id="rId13">
        <w:r w:rsidRPr="004A553C">
          <w:rPr>
            <w:rStyle w:val="Hyperlink"/>
          </w:rPr>
          <w:t>http://files.consumerfinance.gov/f/201406_cfpb_consumer-experience-research_pia.pdf</w:t>
        </w:r>
      </w:hyperlink>
      <w:r w:rsidRPr="00F507A8" w:rsidR="003E4CEC">
        <w:t xml:space="preserve"> </w:t>
      </w:r>
    </w:p>
    <w:p w:rsidRPr="00F507A8" w:rsidR="003E4CEC" w:rsidP="00EF0FBD" w:rsidRDefault="003E4CEC" w14:paraId="3180E9C7" w14:textId="77777777">
      <w:pPr>
        <w:spacing w:before="1" w:line="280" w:lineRule="exact"/>
      </w:pPr>
    </w:p>
    <w:p w:rsidR="007353C3" w:rsidP="007353C3" w:rsidRDefault="007353C3" w14:paraId="502D12AD" w14:textId="57F0FD5C">
      <w:pPr>
        <w:spacing w:before="1" w:line="280" w:lineRule="exact"/>
      </w:pPr>
    </w:p>
    <w:p w:rsidR="001171F0" w:rsidP="007353C3" w:rsidRDefault="001171F0" w14:paraId="53348D75" w14:textId="2223B5F2">
      <w:pPr>
        <w:spacing w:before="1" w:line="280" w:lineRule="exact"/>
      </w:pPr>
    </w:p>
    <w:p w:rsidRPr="00F507A8" w:rsidR="001171F0" w:rsidP="007353C3" w:rsidRDefault="001171F0" w14:paraId="4F07C2BB" w14:textId="77777777">
      <w:pPr>
        <w:spacing w:before="1" w:line="280" w:lineRule="exact"/>
      </w:pPr>
    </w:p>
    <w:p w:rsidRPr="00F507A8" w:rsidR="007353C3" w:rsidP="00FC1481" w:rsidRDefault="007353C3" w14:paraId="502D12AE" w14:textId="77777777">
      <w:pPr>
        <w:pStyle w:val="ListParagraph"/>
        <w:widowControl w:val="0"/>
        <w:numPr>
          <w:ilvl w:val="0"/>
          <w:numId w:val="34"/>
        </w:numPr>
        <w:ind w:right="-20"/>
        <w:rPr>
          <w:caps/>
        </w:rPr>
      </w:pPr>
      <w:r w:rsidRPr="00F507A8">
        <w:rPr>
          <w:b/>
          <w:bCs/>
          <w:caps/>
          <w:spacing w:val="-2"/>
        </w:rPr>
        <w:t>INCENTIVES</w:t>
      </w:r>
      <w:r w:rsidRPr="00F507A8">
        <w:rPr>
          <w:bCs/>
          <w:caps/>
        </w:rPr>
        <w:t>:</w:t>
      </w:r>
    </w:p>
    <w:p w:rsidRPr="00F507A8" w:rsidR="007353C3" w:rsidP="007353C3" w:rsidRDefault="007353C3" w14:paraId="502D12AF" w14:textId="77777777">
      <w:pPr>
        <w:spacing w:before="11" w:line="260" w:lineRule="exact"/>
      </w:pPr>
    </w:p>
    <w:p w:rsidRPr="00F507A8" w:rsidR="007353C3" w:rsidP="007353C3" w:rsidRDefault="007353C3" w14:paraId="502D12B0" w14:textId="7880AF2F">
      <w:pPr>
        <w:pStyle w:val="ListParagraph"/>
        <w:widowControl w:val="0"/>
        <w:numPr>
          <w:ilvl w:val="0"/>
          <w:numId w:val="24"/>
        </w:numPr>
        <w:ind w:right="596"/>
      </w:pPr>
      <w:r w:rsidRPr="008308A5">
        <w:rPr>
          <w:b/>
          <w:spacing w:val="-3"/>
        </w:rPr>
        <w:t>I</w:t>
      </w:r>
      <w:r w:rsidRPr="008308A5">
        <w:rPr>
          <w:b/>
        </w:rPr>
        <w:t>s</w:t>
      </w:r>
      <w:r w:rsidRPr="008308A5">
        <w:rPr>
          <w:b/>
          <w:spacing w:val="2"/>
        </w:rPr>
        <w:t xml:space="preserve"> </w:t>
      </w:r>
      <w:r w:rsidRPr="008308A5">
        <w:rPr>
          <w:b/>
          <w:spacing w:val="-1"/>
        </w:rPr>
        <w:t>a</w:t>
      </w:r>
      <w:r w:rsidRPr="008308A5">
        <w:rPr>
          <w:b/>
        </w:rPr>
        <w:t>n inc</w:t>
      </w:r>
      <w:r w:rsidRPr="008308A5">
        <w:rPr>
          <w:b/>
          <w:spacing w:val="-1"/>
        </w:rPr>
        <w:t>e</w:t>
      </w:r>
      <w:r w:rsidRPr="008308A5">
        <w:rPr>
          <w:b/>
        </w:rPr>
        <w:t>nt</w:t>
      </w:r>
      <w:r w:rsidRPr="008308A5">
        <w:rPr>
          <w:b/>
          <w:spacing w:val="1"/>
        </w:rPr>
        <w:t>i</w:t>
      </w:r>
      <w:r w:rsidRPr="008308A5">
        <w:rPr>
          <w:b/>
        </w:rPr>
        <w:t>ve</w:t>
      </w:r>
      <w:r w:rsidRPr="008308A5">
        <w:rPr>
          <w:b/>
          <w:spacing w:val="-1"/>
        </w:rPr>
        <w:t xml:space="preserve"> </w:t>
      </w:r>
      <w:r w:rsidRPr="008308A5">
        <w:rPr>
          <w:b/>
        </w:rPr>
        <w:t>p</w:t>
      </w:r>
      <w:r w:rsidRPr="008308A5">
        <w:rPr>
          <w:b/>
          <w:spacing w:val="-1"/>
        </w:rPr>
        <w:t>r</w:t>
      </w:r>
      <w:r w:rsidRPr="008308A5">
        <w:rPr>
          <w:b/>
        </w:rPr>
        <w:t xml:space="preserve">ovided to </w:t>
      </w:r>
      <w:r w:rsidRPr="008308A5" w:rsidR="009848F0">
        <w:rPr>
          <w:b/>
        </w:rPr>
        <w:t xml:space="preserve">respondents </w:t>
      </w:r>
      <w:r w:rsidRPr="008308A5">
        <w:rPr>
          <w:b/>
        </w:rPr>
        <w:t>?</w:t>
      </w:r>
      <w:r w:rsidRPr="00F507A8">
        <w:t xml:space="preserve"> </w:t>
      </w:r>
      <w:r w:rsidRPr="00F507A8">
        <w:rPr>
          <w:spacing w:val="2"/>
        </w:rPr>
        <w:t xml:space="preserve"> </w:t>
      </w:r>
      <w:r w:rsidRPr="00F507A8">
        <w:t>[</w:t>
      </w:r>
      <w:r w:rsidRPr="00F507A8" w:rsidR="00485DA4">
        <w:t>X</w:t>
      </w:r>
      <w:r w:rsidRPr="00F507A8">
        <w:t>]</w:t>
      </w:r>
      <w:r w:rsidRPr="00F507A8">
        <w:rPr>
          <w:spacing w:val="1"/>
        </w:rPr>
        <w:t xml:space="preserve"> </w:t>
      </w:r>
      <w:r w:rsidRPr="00F507A8">
        <w:t>Y</w:t>
      </w:r>
      <w:r w:rsidRPr="00F507A8">
        <w:rPr>
          <w:spacing w:val="-1"/>
        </w:rPr>
        <w:t>e</w:t>
      </w:r>
      <w:r w:rsidRPr="00F507A8">
        <w:t>s</w:t>
      </w:r>
      <w:r w:rsidRPr="00F507A8">
        <w:rPr>
          <w:spacing w:val="-2"/>
        </w:rPr>
        <w:t xml:space="preserve"> </w:t>
      </w:r>
      <w:r w:rsidRPr="00F507A8">
        <w:t xml:space="preserve">[ </w:t>
      </w:r>
      <w:r w:rsidRPr="00F507A8">
        <w:rPr>
          <w:spacing w:val="1"/>
        </w:rPr>
        <w:t xml:space="preserve"> </w:t>
      </w:r>
      <w:r w:rsidRPr="00F507A8">
        <w:t>]</w:t>
      </w:r>
      <w:r w:rsidRPr="00F507A8">
        <w:rPr>
          <w:spacing w:val="-1"/>
        </w:rPr>
        <w:t xml:space="preserve"> </w:t>
      </w:r>
      <w:r w:rsidRPr="00F507A8">
        <w:t>No</w:t>
      </w:r>
    </w:p>
    <w:p w:rsidRPr="00F507A8" w:rsidR="007353C3" w:rsidP="007353C3" w:rsidRDefault="007353C3" w14:paraId="502D12B1" w14:textId="77777777">
      <w:pPr>
        <w:pStyle w:val="ListParagraph"/>
        <w:ind w:left="820" w:right="596"/>
      </w:pPr>
    </w:p>
    <w:p w:rsidRPr="008308A5" w:rsidR="007353C3" w:rsidP="007353C3" w:rsidRDefault="007353C3" w14:paraId="502D12B2" w14:textId="2B47CE21">
      <w:pPr>
        <w:pStyle w:val="ListParagraph"/>
        <w:widowControl w:val="0"/>
        <w:numPr>
          <w:ilvl w:val="0"/>
          <w:numId w:val="24"/>
        </w:numPr>
        <w:ind w:right="596"/>
        <w:rPr>
          <w:u w:val="single"/>
        </w:rPr>
      </w:pPr>
      <w:r w:rsidRPr="008308A5">
        <w:rPr>
          <w:b/>
        </w:rPr>
        <w:t xml:space="preserve">If </w:t>
      </w:r>
      <w:r w:rsidRPr="008308A5" w:rsidR="00D763EB">
        <w:rPr>
          <w:b/>
        </w:rPr>
        <w:t>y</w:t>
      </w:r>
      <w:r w:rsidRPr="008308A5">
        <w:rPr>
          <w:b/>
        </w:rPr>
        <w:t xml:space="preserve">es, </w:t>
      </w:r>
      <w:r w:rsidRPr="008308A5" w:rsidR="00815E90">
        <w:rPr>
          <w:b/>
        </w:rPr>
        <w:t xml:space="preserve">provide a statement justifying the use and amount of the incentive </w:t>
      </w:r>
      <w:r w:rsidRPr="008308A5" w:rsidR="00815E90">
        <w:rPr>
          <w:b/>
          <w:i/>
        </w:rPr>
        <w:t>and</w:t>
      </w:r>
      <w:r w:rsidRPr="008308A5" w:rsidR="00815E90">
        <w:rPr>
          <w:b/>
        </w:rPr>
        <w:t xml:space="preserve"> the amount or value of the incentive:</w:t>
      </w:r>
      <w:r w:rsidRPr="00F507A8" w:rsidR="00815E90">
        <w:t xml:space="preserve"> </w:t>
      </w:r>
      <w:r w:rsidRPr="008308A5">
        <w:rPr>
          <w:u w:val="single"/>
        </w:rPr>
        <w:t>$</w:t>
      </w:r>
      <w:r w:rsidRPr="008308A5" w:rsidR="00485DA4">
        <w:rPr>
          <w:u w:val="single"/>
        </w:rPr>
        <w:t>75</w:t>
      </w:r>
      <w:r w:rsidRPr="008308A5">
        <w:rPr>
          <w:u w:val="single"/>
        </w:rPr>
        <w:t>.</w:t>
      </w:r>
    </w:p>
    <w:p w:rsidRPr="00F507A8" w:rsidR="00485DA4" w:rsidP="00485DA4" w:rsidRDefault="00485DA4" w14:paraId="719C9D28" w14:textId="77777777">
      <w:pPr>
        <w:pStyle w:val="ListParagraph"/>
      </w:pPr>
    </w:p>
    <w:p w:rsidRPr="00F507A8" w:rsidR="00485DA4" w:rsidP="00490CA4" w:rsidRDefault="00485DA4" w14:paraId="562C03DA" w14:textId="10F0B75A">
      <w:pPr>
        <w:widowControl w:val="0"/>
        <w:ind w:left="450" w:right="596"/>
      </w:pPr>
      <w:r w:rsidRPr="00F507A8">
        <w:t xml:space="preserve">The Bureau anticipates that compensating </w:t>
      </w:r>
      <w:r w:rsidRPr="00F507A8" w:rsidR="009848F0">
        <w:t xml:space="preserve">respondents </w:t>
      </w:r>
      <w:r w:rsidRPr="00F507A8">
        <w:t>$75 will be sufficient incentive for participation</w:t>
      </w:r>
      <w:r w:rsidRPr="00F507A8" w:rsidR="00CC29DF">
        <w:t xml:space="preserve"> </w:t>
      </w:r>
      <w:r w:rsidR="0049151E">
        <w:t>in</w:t>
      </w:r>
      <w:r w:rsidRPr="00F507A8" w:rsidR="0049151E">
        <w:t xml:space="preserve"> </w:t>
      </w:r>
      <w:r w:rsidRPr="00F507A8" w:rsidR="00CC29DF">
        <w:t>a 45-minute interview.</w:t>
      </w:r>
      <w:r w:rsidRPr="00F507A8" w:rsidR="003E4CEC">
        <w:t xml:space="preserve"> The Bureau has used similar incentive amounts in the past; in earlier rounds of testing the debt collection notice, the Bureau conducted one-hour cognitive interviews for which it also compensated </w:t>
      </w:r>
      <w:r w:rsidRPr="00F507A8" w:rsidR="009848F0">
        <w:t xml:space="preserve">respondents </w:t>
      </w:r>
      <w:r w:rsidRPr="00F507A8" w:rsidR="003E4CEC">
        <w:t>$75.</w:t>
      </w:r>
      <w:r w:rsidRPr="00F507A8" w:rsidR="00AD38E2">
        <w:t xml:space="preserve"> The contractor has provided details supporting this</w:t>
      </w:r>
      <w:r w:rsidR="007E03AC">
        <w:t xml:space="preserve"> $75</w:t>
      </w:r>
      <w:r w:rsidRPr="00F507A8" w:rsidR="00AD38E2">
        <w:t xml:space="preserve"> amount </w:t>
      </w:r>
      <w:r w:rsidR="007E03AC">
        <w:t xml:space="preserve">for </w:t>
      </w:r>
      <w:r w:rsidRPr="0001413D" w:rsidR="007E03AC">
        <w:rPr>
          <w:i/>
          <w:iCs/>
        </w:rPr>
        <w:t>in-person</w:t>
      </w:r>
      <w:r w:rsidR="007E03AC">
        <w:t xml:space="preserve"> sessions </w:t>
      </w:r>
      <w:r w:rsidRPr="00F507A8" w:rsidR="00AD38E2">
        <w:t>below:</w:t>
      </w:r>
    </w:p>
    <w:p w:rsidRPr="00F507A8" w:rsidR="00EF64A7" w:rsidP="00CC29DF" w:rsidRDefault="00EF64A7" w14:paraId="19C7D220" w14:textId="21D4DDEF">
      <w:pPr>
        <w:widowControl w:val="0"/>
        <w:ind w:right="596" w:firstLine="450"/>
      </w:pPr>
    </w:p>
    <w:p w:rsidRPr="00F507A8" w:rsidR="00EF64A7" w:rsidP="00EF0FBD" w:rsidRDefault="00EF64A7" w14:paraId="4B3BA1E4" w14:textId="178982B8">
      <w:pPr>
        <w:pStyle w:val="ListParagraph"/>
        <w:numPr>
          <w:ilvl w:val="2"/>
          <w:numId w:val="21"/>
        </w:numPr>
        <w:ind w:left="1080" w:right="-10"/>
      </w:pPr>
      <w:r w:rsidRPr="00F507A8">
        <w:t xml:space="preserve">While sessions will last approximately </w:t>
      </w:r>
      <w:r w:rsidRPr="00F507A8" w:rsidR="007E56FA">
        <w:t>45</w:t>
      </w:r>
      <w:r w:rsidRPr="00F507A8">
        <w:t xml:space="preserve"> minutes, </w:t>
      </w:r>
      <w:r w:rsidRPr="00F507A8" w:rsidR="009848F0">
        <w:t>respondents</w:t>
      </w:r>
      <w:r w:rsidRPr="00F507A8">
        <w:t xml:space="preserve"> are </w:t>
      </w:r>
      <w:r w:rsidRPr="00F507A8" w:rsidR="004435CA">
        <w:t>asked</w:t>
      </w:r>
      <w:r w:rsidRPr="00F507A8">
        <w:t xml:space="preserve"> to arrive 10 minutes early to sign in and to ensure sessions begin as scheduled. Upon completion of the session, </w:t>
      </w:r>
      <w:r w:rsidRPr="00F507A8" w:rsidR="009848F0">
        <w:t xml:space="preserve">respondents </w:t>
      </w:r>
      <w:r w:rsidRPr="00F507A8">
        <w:t xml:space="preserve">are </w:t>
      </w:r>
      <w:r w:rsidRPr="00F507A8" w:rsidR="004435CA">
        <w:t>asked</w:t>
      </w:r>
      <w:r w:rsidRPr="00F507A8">
        <w:t xml:space="preserve"> to sign out and receive their incentive. Thus, they are in the office for up to </w:t>
      </w:r>
      <w:r w:rsidRPr="00F507A8" w:rsidR="007E3AE3">
        <w:t>75</w:t>
      </w:r>
      <w:r w:rsidRPr="00F507A8">
        <w:t xml:space="preserve"> minutes. Further, many </w:t>
      </w:r>
      <w:r w:rsidRPr="00F507A8" w:rsidR="009848F0">
        <w:t xml:space="preserve">respondents </w:t>
      </w:r>
      <w:r w:rsidRPr="00F507A8" w:rsidR="004435CA">
        <w:t xml:space="preserve">must </w:t>
      </w:r>
      <w:r w:rsidRPr="00F507A8">
        <w:t xml:space="preserve">travel 30-60 minutes to and from the facility. In our experience, a $75 incentive for a </w:t>
      </w:r>
      <w:r w:rsidRPr="00F507A8" w:rsidR="007E3AE3">
        <w:t>45-</w:t>
      </w:r>
      <w:r w:rsidRPr="00F507A8">
        <w:t>minute</w:t>
      </w:r>
      <w:r w:rsidR="005D0F54">
        <w:t xml:space="preserve"> in-person</w:t>
      </w:r>
      <w:r w:rsidRPr="00F507A8">
        <w:t xml:space="preserve"> session allows for successful recruitment by reducing the amount of time required to recruit (i.e., it is more difficult and takes longer to recruit </w:t>
      </w:r>
      <w:r w:rsidRPr="00F507A8" w:rsidR="009848F0">
        <w:t>respondents</w:t>
      </w:r>
      <w:r w:rsidRPr="00F507A8">
        <w:t xml:space="preserve"> when </w:t>
      </w:r>
      <w:r w:rsidRPr="00F507A8" w:rsidR="004435CA">
        <w:t>a lower incentive is</w:t>
      </w:r>
      <w:r w:rsidRPr="00F507A8">
        <w:t xml:space="preserve"> offer</w:t>
      </w:r>
      <w:r w:rsidRPr="00F507A8" w:rsidR="004435CA">
        <w:t>ed)</w:t>
      </w:r>
      <w:r w:rsidRPr="00F507A8">
        <w:t xml:space="preserve"> and simultaneously increasing the attendance rate. </w:t>
      </w:r>
    </w:p>
    <w:p w:rsidRPr="00F507A8" w:rsidR="00EF64A7" w:rsidP="00EF0FBD" w:rsidRDefault="00EF64A7" w14:paraId="49BE918D" w14:textId="77777777">
      <w:pPr>
        <w:ind w:right="-10"/>
      </w:pPr>
    </w:p>
    <w:p w:rsidRPr="00F507A8" w:rsidR="00EF64A7" w:rsidP="00EF0FBD" w:rsidRDefault="00EF64A7" w14:paraId="2EE2B361" w14:textId="55745AB5">
      <w:pPr>
        <w:pStyle w:val="ListParagraph"/>
        <w:numPr>
          <w:ilvl w:val="2"/>
          <w:numId w:val="21"/>
        </w:numPr>
        <w:ind w:left="1080" w:right="-10"/>
      </w:pPr>
      <w:r w:rsidRPr="00F507A8">
        <w:t>When considering the potential estimated time and cost of participating in this test, such costs as childcare, transportation, and potential lost wages could result in a high no</w:t>
      </w:r>
      <w:r w:rsidRPr="00F507A8" w:rsidR="00AD38E2">
        <w:t>-</w:t>
      </w:r>
      <w:r w:rsidRPr="00F507A8">
        <w:t>show rate. For example, a conservatively estimated childcare cost of $22.50, transportation cost $35, and potential lost wages of $16.50 amounts to an estimated $74 cost of participation. The basis for our participant cost analysis is outlined below:</w:t>
      </w:r>
    </w:p>
    <w:p w:rsidRPr="00F507A8" w:rsidR="00AD38E2" w:rsidP="00EF0FBD" w:rsidRDefault="00AD38E2" w14:paraId="6DFCA1C7" w14:textId="77777777">
      <w:pPr>
        <w:pStyle w:val="ListParagraph"/>
        <w:ind w:left="0"/>
      </w:pPr>
    </w:p>
    <w:p w:rsidRPr="00F507A8" w:rsidR="00EF64A7" w:rsidP="00EF0FBD" w:rsidRDefault="00EF64A7" w14:paraId="3B56C6ED" w14:textId="3E5738AE">
      <w:pPr>
        <w:pStyle w:val="ListParagraph"/>
        <w:numPr>
          <w:ilvl w:val="2"/>
          <w:numId w:val="21"/>
        </w:numPr>
        <w:ind w:left="1080" w:right="-10"/>
      </w:pPr>
      <w:r w:rsidRPr="00F507A8">
        <w:t xml:space="preserve">Summary of Estimated Participant Costs </w:t>
      </w:r>
    </w:p>
    <w:p w:rsidRPr="00F507A8" w:rsidR="00AD38E2" w:rsidP="00EF0FBD" w:rsidRDefault="00EF64A7" w14:paraId="64432D92" w14:textId="0CE47276">
      <w:pPr>
        <w:pStyle w:val="ListParagraph"/>
        <w:numPr>
          <w:ilvl w:val="3"/>
          <w:numId w:val="21"/>
        </w:numPr>
        <w:ind w:left="1620" w:right="-10"/>
      </w:pPr>
      <w:r w:rsidRPr="00F507A8">
        <w:t xml:space="preserve">Child Care: $22.50 ($10 per hour / per child with up to 1 hour commuting + 1.25 hours at test site = 2.25 hours of child care) </w:t>
      </w:r>
    </w:p>
    <w:p w:rsidRPr="00F507A8" w:rsidR="00AD38E2" w:rsidP="00EF0FBD" w:rsidRDefault="00AD38E2" w14:paraId="46242BB8" w14:textId="7DB6BD60">
      <w:pPr>
        <w:pStyle w:val="ListParagraph"/>
        <w:numPr>
          <w:ilvl w:val="4"/>
          <w:numId w:val="21"/>
        </w:numPr>
        <w:ind w:left="2340" w:right="-10"/>
      </w:pPr>
      <w:r w:rsidRPr="00F507A8">
        <w:t>Child Care: The contractor ha</w:t>
      </w:r>
      <w:r w:rsidR="005D0F54">
        <w:t>s</w:t>
      </w:r>
      <w:r w:rsidRPr="00F507A8">
        <w:t xml:space="preserve"> found that nationally the babysitting rate is typically around $8 - $12 per hour with an average of $10 per hour. While some respondents will have multiple children who will require childcare, others will have none. Therefore, we are taking a conservative estimate of only one child</w:t>
      </w:r>
    </w:p>
    <w:p w:rsidRPr="00F507A8" w:rsidR="00AD38E2" w:rsidP="00EF0FBD" w:rsidRDefault="00EF64A7" w14:paraId="501B5D4F" w14:textId="4FF47E16">
      <w:pPr>
        <w:pStyle w:val="ListParagraph"/>
        <w:numPr>
          <w:ilvl w:val="3"/>
          <w:numId w:val="21"/>
        </w:numPr>
        <w:ind w:left="1620" w:right="-10"/>
      </w:pPr>
      <w:r w:rsidRPr="00F507A8">
        <w:t xml:space="preserve"> Transportation: $35 (2015 Federal mileage rate of </w:t>
      </w:r>
      <w:r w:rsidRPr="00F507A8" w:rsidR="0036506B">
        <w:t xml:space="preserve">58 </w:t>
      </w:r>
      <w:r w:rsidRPr="00F507A8">
        <w:t xml:space="preserve">cents per mile </w:t>
      </w:r>
      <w:r w:rsidRPr="00F507A8" w:rsidR="0036506B">
        <w:t>at</w:t>
      </w:r>
      <w:r w:rsidRPr="00F507A8">
        <w:t xml:space="preserve"> an average of 60 miles). </w:t>
      </w:r>
    </w:p>
    <w:p w:rsidRPr="00F507A8" w:rsidR="00EF64A7" w:rsidP="00EF0FBD" w:rsidRDefault="00EF64A7" w14:paraId="64BF81F5" w14:textId="7195E349">
      <w:pPr>
        <w:pStyle w:val="ListParagraph"/>
        <w:numPr>
          <w:ilvl w:val="3"/>
          <w:numId w:val="21"/>
        </w:numPr>
        <w:ind w:left="1620" w:right="-10"/>
      </w:pPr>
      <w:r w:rsidRPr="00F507A8">
        <w:t xml:space="preserve"> Lost Wages: $16.50 (Federal minimum wage of $7.25 per hour x </w:t>
      </w:r>
      <w:r w:rsidRPr="00F507A8" w:rsidR="00136B67">
        <w:t>[</w:t>
      </w:r>
      <w:r w:rsidRPr="00F507A8">
        <w:t>1 hour commuting + 1.25 hours at test site</w:t>
      </w:r>
      <w:r w:rsidRPr="00F507A8" w:rsidR="00136B67">
        <w:t>]</w:t>
      </w:r>
      <w:r w:rsidRPr="00F507A8">
        <w:t xml:space="preserve"> = 2.25 hours of potential lost wages) </w:t>
      </w:r>
    </w:p>
    <w:p w:rsidRPr="00F507A8" w:rsidR="00EF64A7" w:rsidP="00EF0FBD" w:rsidRDefault="00EF64A7" w14:paraId="21E98048" w14:textId="77777777">
      <w:pPr>
        <w:ind w:left="1160" w:right="-10"/>
      </w:pPr>
    </w:p>
    <w:p w:rsidRPr="00F507A8" w:rsidR="00EF64A7" w:rsidP="0001413D" w:rsidRDefault="00EF64A7" w14:paraId="15EB0055" w14:textId="77777777">
      <w:pPr>
        <w:ind w:left="1260" w:right="-10"/>
      </w:pPr>
      <w:r w:rsidRPr="00F507A8">
        <w:t xml:space="preserve">Total: $74 (Estimated participant cost) </w:t>
      </w:r>
    </w:p>
    <w:p w:rsidRPr="00F507A8" w:rsidR="00EF64A7" w:rsidP="00EF0FBD" w:rsidRDefault="00EF64A7" w14:paraId="7E52D829" w14:textId="77777777">
      <w:pPr>
        <w:widowControl w:val="0"/>
        <w:ind w:right="596"/>
      </w:pPr>
    </w:p>
    <w:p w:rsidR="007E03AC" w:rsidP="007E03AC" w:rsidRDefault="004906B9" w14:paraId="6E745B94" w14:textId="24049C9F">
      <w:r>
        <w:lastRenderedPageBreak/>
        <w:t>We will also providing a $75 incentive</w:t>
      </w:r>
      <w:r w:rsidRPr="00F507A8" w:rsidR="007E03AC">
        <w:t xml:space="preserve"> </w:t>
      </w:r>
      <w:r w:rsidR="007E03AC">
        <w:t xml:space="preserve">for </w:t>
      </w:r>
      <w:r w:rsidRPr="0001413D" w:rsidR="0087426B">
        <w:rPr>
          <w:i/>
          <w:iCs/>
        </w:rPr>
        <w:t>remote</w:t>
      </w:r>
      <w:r w:rsidR="007E03AC">
        <w:t xml:space="preserve"> sessions </w:t>
      </w:r>
      <w:r>
        <w:t>which we believe is justified by the following factors</w:t>
      </w:r>
      <w:r w:rsidRPr="00F507A8" w:rsidR="007E03AC">
        <w:t>:</w:t>
      </w:r>
    </w:p>
    <w:p w:rsidR="0087426B" w:rsidP="007E03AC" w:rsidRDefault="0087426B" w14:paraId="655501CE" w14:textId="7BB48866"/>
    <w:p w:rsidR="00854659" w:rsidP="0087426B" w:rsidRDefault="00854659" w14:paraId="7345B3E9" w14:textId="407FE521">
      <w:pPr>
        <w:pStyle w:val="ListParagraph"/>
        <w:numPr>
          <w:ilvl w:val="0"/>
          <w:numId w:val="38"/>
        </w:numPr>
        <w:ind w:left="1080" w:right="-10"/>
      </w:pPr>
      <w:r>
        <w:t>R</w:t>
      </w:r>
      <w:r w:rsidRPr="00F507A8" w:rsidR="0087426B">
        <w:t xml:space="preserve">espondents are asked to </w:t>
      </w:r>
      <w:r>
        <w:t xml:space="preserve">test their access to the remote meeting software in advance of the meeting. If the </w:t>
      </w:r>
      <w:r w:rsidR="005D0F54">
        <w:t>respondent</w:t>
      </w:r>
      <w:r>
        <w:t xml:space="preserve"> encounters issues (e.g., </w:t>
      </w:r>
      <w:r w:rsidR="005D0F54">
        <w:t>downloading and installing</w:t>
      </w:r>
      <w:r>
        <w:t xml:space="preserve"> specific updates for access, troubleshoot</w:t>
      </w:r>
      <w:r w:rsidR="005D0F54">
        <w:t>ing</w:t>
      </w:r>
      <w:r>
        <w:t xml:space="preserve"> permissions), this process may take as long as one hour</w:t>
      </w:r>
      <w:r w:rsidR="005D0F54">
        <w:t xml:space="preserve"> to complete</w:t>
      </w:r>
      <w:r>
        <w:t xml:space="preserve">. </w:t>
      </w:r>
    </w:p>
    <w:p w:rsidR="006E3B84" w:rsidP="0001413D" w:rsidRDefault="006E3B84" w14:paraId="48817B8A" w14:textId="77777777">
      <w:pPr>
        <w:pStyle w:val="ListParagraph"/>
        <w:ind w:left="1080" w:right="-10"/>
      </w:pPr>
    </w:p>
    <w:p w:rsidRPr="00F507A8" w:rsidR="0087426B" w:rsidP="0087426B" w:rsidRDefault="00854659" w14:paraId="50B21D4C" w14:textId="5CAFF5F6">
      <w:pPr>
        <w:pStyle w:val="ListParagraph"/>
        <w:numPr>
          <w:ilvl w:val="0"/>
          <w:numId w:val="38"/>
        </w:numPr>
        <w:ind w:left="1080" w:right="-10"/>
      </w:pPr>
      <w:r>
        <w:t xml:space="preserve">Respondents are asked to </w:t>
      </w:r>
      <w:r w:rsidRPr="00F507A8" w:rsidR="0087426B">
        <w:t xml:space="preserve">arrive </w:t>
      </w:r>
      <w:r w:rsidR="005D0F54">
        <w:t xml:space="preserve">at least </w:t>
      </w:r>
      <w:r>
        <w:t>5</w:t>
      </w:r>
      <w:r w:rsidRPr="00F507A8" w:rsidR="0087426B">
        <w:t xml:space="preserve"> minutes early </w:t>
      </w:r>
      <w:r w:rsidR="005D0F54">
        <w:t>to the interview to</w:t>
      </w:r>
      <w:r w:rsidRPr="00F507A8" w:rsidR="0087426B">
        <w:t xml:space="preserve"> </w:t>
      </w:r>
      <w:r>
        <w:t>log</w:t>
      </w:r>
      <w:r w:rsidRPr="00F507A8" w:rsidR="0087426B">
        <w:t>in</w:t>
      </w:r>
      <w:r>
        <w:t xml:space="preserve"> and setup their web camera</w:t>
      </w:r>
      <w:r w:rsidRPr="00F507A8" w:rsidR="0087426B">
        <w:t xml:space="preserve"> to ensure </w:t>
      </w:r>
      <w:r w:rsidR="005D0F54">
        <w:t xml:space="preserve">the </w:t>
      </w:r>
      <w:r w:rsidRPr="00F507A8" w:rsidR="0087426B">
        <w:t>session begin</w:t>
      </w:r>
      <w:r w:rsidR="005D0F54">
        <w:t>s</w:t>
      </w:r>
      <w:r w:rsidRPr="00F507A8" w:rsidR="0087426B">
        <w:t xml:space="preserve"> as scheduled. In our experience, a $75 incentive for a 45-minute</w:t>
      </w:r>
      <w:r w:rsidR="005D0F54">
        <w:t xml:space="preserve"> remote</w:t>
      </w:r>
      <w:r w:rsidRPr="00F507A8" w:rsidR="0087426B">
        <w:t xml:space="preserve"> session allows for successful recruitment by reducing the amount of time required to recruit (i.e., it is more difficult and takes longer to recruit respondents when a lower incentive is offered) and simultaneously increasing the attendance rate. </w:t>
      </w:r>
    </w:p>
    <w:p w:rsidRPr="00F507A8" w:rsidR="0087426B" w:rsidP="0087426B" w:rsidRDefault="0087426B" w14:paraId="5C1ADC2D" w14:textId="77777777">
      <w:pPr>
        <w:ind w:right="-10"/>
      </w:pPr>
    </w:p>
    <w:p w:rsidRPr="00F507A8" w:rsidR="0087426B" w:rsidP="0001413D" w:rsidRDefault="00854659" w14:paraId="0D7D95F3" w14:textId="365C5551">
      <w:pPr>
        <w:pStyle w:val="ListParagraph"/>
        <w:numPr>
          <w:ilvl w:val="0"/>
          <w:numId w:val="38"/>
        </w:numPr>
        <w:ind w:left="1080" w:right="-10"/>
      </w:pPr>
      <w:r>
        <w:t xml:space="preserve">Respondents in remote sessions, have similar costs to participating in the test, such as </w:t>
      </w:r>
      <w:r w:rsidRPr="00F507A8" w:rsidR="0087426B">
        <w:t>childcare and potential lost wages</w:t>
      </w:r>
      <w:r>
        <w:t xml:space="preserve">. Respondents in remote sessions, may also need to </w:t>
      </w:r>
      <w:r w:rsidR="006E3B84">
        <w:t>purchase</w:t>
      </w:r>
      <w:r>
        <w:t xml:space="preserve"> </w:t>
      </w:r>
      <w:r w:rsidR="005D0F54">
        <w:t xml:space="preserve">metered </w:t>
      </w:r>
      <w:r>
        <w:t>high-speed interne</w:t>
      </w:r>
      <w:r w:rsidR="005D0F54">
        <w:t>t</w:t>
      </w:r>
      <w:r>
        <w:t xml:space="preserve"> access or a web camera to participate.</w:t>
      </w:r>
      <w:r w:rsidRPr="00F507A8" w:rsidR="0087426B">
        <w:t xml:space="preserve"> For example, a conservatively estimated childcare cost of $2</w:t>
      </w:r>
      <w:r w:rsidR="005D0F54">
        <w:t>0</w:t>
      </w:r>
      <w:r w:rsidRPr="00F507A8" w:rsidR="0087426B">
        <w:t xml:space="preserve">, </w:t>
      </w:r>
      <w:r w:rsidR="005D0F54">
        <w:t xml:space="preserve">an </w:t>
      </w:r>
      <w:r w:rsidR="006E3B84">
        <w:t xml:space="preserve">average </w:t>
      </w:r>
      <w:r w:rsidR="009307C5">
        <w:t>equipment/internet access</w:t>
      </w:r>
      <w:r w:rsidRPr="00F507A8" w:rsidR="0087426B">
        <w:t xml:space="preserve"> cost</w:t>
      </w:r>
      <w:r w:rsidR="006E3B84">
        <w:t xml:space="preserve"> across participants</w:t>
      </w:r>
      <w:r w:rsidR="009307C5">
        <w:t xml:space="preserve"> of</w:t>
      </w:r>
      <w:r w:rsidRPr="00F507A8" w:rsidR="0087426B">
        <w:t xml:space="preserve"> $3</w:t>
      </w:r>
      <w:r w:rsidR="005D0F54">
        <w:t>0</w:t>
      </w:r>
      <w:r w:rsidRPr="00F507A8" w:rsidR="0087426B">
        <w:t>, and potential lost wages of $16.50 amounts to an estimated $</w:t>
      </w:r>
      <w:r w:rsidR="005D0F54">
        <w:t>66.50</w:t>
      </w:r>
      <w:r w:rsidRPr="00F507A8" w:rsidR="0087426B">
        <w:t xml:space="preserve"> cost of participation. The basis for our participant cost analysis is outlined below:</w:t>
      </w:r>
    </w:p>
    <w:p w:rsidRPr="00F507A8" w:rsidR="0087426B" w:rsidP="0087426B" w:rsidRDefault="0087426B" w14:paraId="25EE3876" w14:textId="77777777">
      <w:pPr>
        <w:pStyle w:val="ListParagraph"/>
        <w:ind w:left="0"/>
      </w:pPr>
    </w:p>
    <w:p w:rsidRPr="00F507A8" w:rsidR="0087426B" w:rsidP="0001413D" w:rsidRDefault="0087426B" w14:paraId="3EF8CEA6" w14:textId="77777777">
      <w:pPr>
        <w:pStyle w:val="ListParagraph"/>
        <w:numPr>
          <w:ilvl w:val="0"/>
          <w:numId w:val="38"/>
        </w:numPr>
        <w:ind w:left="1080" w:right="-10"/>
      </w:pPr>
      <w:r w:rsidRPr="00F507A8">
        <w:t xml:space="preserve">Summary of Estimated Participant Costs </w:t>
      </w:r>
    </w:p>
    <w:p w:rsidRPr="00F507A8" w:rsidR="0087426B" w:rsidP="0001413D" w:rsidRDefault="0087426B" w14:paraId="6A1C9097" w14:textId="155C2D9C">
      <w:pPr>
        <w:pStyle w:val="ListParagraph"/>
        <w:numPr>
          <w:ilvl w:val="0"/>
          <w:numId w:val="40"/>
        </w:numPr>
        <w:ind w:left="1620" w:right="-10"/>
      </w:pPr>
      <w:r w:rsidRPr="00F507A8">
        <w:t>Child Care: $2</w:t>
      </w:r>
      <w:r w:rsidR="006E3B84">
        <w:t>0</w:t>
      </w:r>
      <w:r w:rsidRPr="00F507A8">
        <w:t xml:space="preserve"> ($10 per hour / per child with up to 1 hour</w:t>
      </w:r>
      <w:r w:rsidR="006E3B84">
        <w:t xml:space="preserve"> for testing and troubleshooting computer issues</w:t>
      </w:r>
      <w:r w:rsidRPr="00F507A8">
        <w:t xml:space="preserve"> + 1 hour  = 2 hours of child care) </w:t>
      </w:r>
    </w:p>
    <w:p w:rsidRPr="00F507A8" w:rsidR="0087426B" w:rsidP="0087426B" w:rsidRDefault="0087426B" w14:paraId="64E3EC56" w14:textId="0C4E66B5">
      <w:pPr>
        <w:pStyle w:val="ListParagraph"/>
        <w:numPr>
          <w:ilvl w:val="4"/>
          <w:numId w:val="21"/>
        </w:numPr>
        <w:ind w:left="2340" w:right="-10"/>
      </w:pPr>
      <w:r w:rsidRPr="00F507A8">
        <w:t>Child Care: The contractor have found that nationally the babysitting rate is typically around $8 - $12 per hour with an average of $10 per hour. While some respondents will have multiple children who will require childcare, others will have none. Therefore, we are taking a conservative estimate of only one child</w:t>
      </w:r>
      <w:r w:rsidR="006E3B84">
        <w:t>.</w:t>
      </w:r>
    </w:p>
    <w:p w:rsidRPr="00F507A8" w:rsidR="0087426B" w:rsidP="0001413D" w:rsidRDefault="0087426B" w14:paraId="16EE8645" w14:textId="4FDA2F5A">
      <w:pPr>
        <w:pStyle w:val="ListParagraph"/>
        <w:numPr>
          <w:ilvl w:val="0"/>
          <w:numId w:val="40"/>
        </w:numPr>
        <w:ind w:left="1620" w:right="-10"/>
      </w:pPr>
      <w:r w:rsidRPr="00F507A8">
        <w:t xml:space="preserve"> </w:t>
      </w:r>
      <w:r w:rsidR="006E3B84">
        <w:t>Internet/computer equipment access</w:t>
      </w:r>
      <w:r w:rsidRPr="00F507A8">
        <w:t>: $</w:t>
      </w:r>
      <w:r w:rsidR="006E3B84">
        <w:t>10</w:t>
      </w:r>
      <w:r w:rsidRPr="00F507A8">
        <w:t xml:space="preserve"> (</w:t>
      </w:r>
      <w:r w:rsidR="006E3B84">
        <w:t>for metered internet costs</w:t>
      </w:r>
      <w:r w:rsidRPr="00F507A8">
        <w:t>)</w:t>
      </w:r>
      <w:r w:rsidR="006E3B84">
        <w:t xml:space="preserve"> + $2</w:t>
      </w:r>
      <w:r w:rsidR="005D0F54">
        <w:t>0</w:t>
      </w:r>
      <w:r w:rsidR="006E3B84">
        <w:t xml:space="preserve"> </w:t>
      </w:r>
      <w:r w:rsidR="005D0F54">
        <w:t>(for average equipment costs)</w:t>
      </w:r>
    </w:p>
    <w:p w:rsidRPr="00F507A8" w:rsidR="0087426B" w:rsidP="0001413D" w:rsidRDefault="0087426B" w14:paraId="57A1D58A" w14:textId="77777777">
      <w:pPr>
        <w:pStyle w:val="ListParagraph"/>
        <w:numPr>
          <w:ilvl w:val="0"/>
          <w:numId w:val="40"/>
        </w:numPr>
        <w:ind w:left="1620" w:right="-10"/>
      </w:pPr>
      <w:r w:rsidRPr="00F507A8">
        <w:t xml:space="preserve"> Lost Wages: $16.50 (Federal minimum wage of $7.25 per hour x [1 hour commuting + 1.25 hours at test site] = 2.25 hours of potential lost wages) </w:t>
      </w:r>
    </w:p>
    <w:p w:rsidRPr="00F507A8" w:rsidR="0087426B" w:rsidP="0087426B" w:rsidRDefault="0087426B" w14:paraId="7689EC1E" w14:textId="77777777">
      <w:pPr>
        <w:ind w:left="1160" w:right="-10"/>
      </w:pPr>
    </w:p>
    <w:p w:rsidRPr="00F507A8" w:rsidR="0087426B" w:rsidP="0001413D" w:rsidRDefault="0087426B" w14:paraId="243424B3" w14:textId="6AEABC0B">
      <w:pPr>
        <w:ind w:left="1260" w:right="-10"/>
      </w:pPr>
      <w:r w:rsidRPr="00F507A8">
        <w:t>Total: $</w:t>
      </w:r>
      <w:r w:rsidR="005D0F54">
        <w:t>66.50</w:t>
      </w:r>
      <w:r w:rsidRPr="00F507A8">
        <w:t xml:space="preserve"> (Estimated participant cost) </w:t>
      </w:r>
    </w:p>
    <w:p w:rsidR="0087426B" w:rsidP="007E03AC" w:rsidRDefault="0087426B" w14:paraId="16C76D30" w14:textId="2DF89E0C"/>
    <w:p w:rsidR="003C366A" w:rsidP="007E03AC" w:rsidRDefault="003C366A" w14:paraId="35D3EE74" w14:textId="77777777"/>
    <w:p w:rsidRPr="00F507A8" w:rsidR="00F8707B" w:rsidP="00FC1481" w:rsidRDefault="00F8707B" w14:paraId="502D12B4" w14:textId="77777777">
      <w:pPr>
        <w:pStyle w:val="ListParagraph"/>
        <w:numPr>
          <w:ilvl w:val="0"/>
          <w:numId w:val="34"/>
        </w:numPr>
      </w:pPr>
      <w:r w:rsidRPr="00F507A8">
        <w:rPr>
          <w:b/>
          <w:caps/>
        </w:rPr>
        <w:t>Assurances of Confidentiality</w:t>
      </w:r>
      <w:r w:rsidRPr="00F507A8">
        <w:t>:</w:t>
      </w:r>
    </w:p>
    <w:p w:rsidRPr="00F507A8" w:rsidR="008C4E6C" w:rsidP="008C4E6C" w:rsidRDefault="008C4E6C" w14:paraId="502D12B5" w14:textId="77777777"/>
    <w:p w:rsidRPr="00F507A8" w:rsidR="00F8707B" w:rsidP="008C4E6C" w:rsidRDefault="00F8707B" w14:paraId="502D12B6" w14:textId="27377846">
      <w:pPr>
        <w:pStyle w:val="ListParagraph"/>
        <w:numPr>
          <w:ilvl w:val="0"/>
          <w:numId w:val="28"/>
        </w:numPr>
      </w:pPr>
      <w:r w:rsidRPr="008308A5">
        <w:rPr>
          <w:b/>
        </w:rPr>
        <w:t>Will a pledge of confidentiality be made to respondents?</w:t>
      </w:r>
      <w:r w:rsidRPr="00F507A8">
        <w:t xml:space="preserve"> [</w:t>
      </w:r>
      <w:r w:rsidR="00037FBE">
        <w:t xml:space="preserve"> </w:t>
      </w:r>
      <w:r w:rsidRPr="00F507A8">
        <w:t>] Yes  [</w:t>
      </w:r>
      <w:r w:rsidR="003851F0">
        <w:t>X</w:t>
      </w:r>
      <w:r w:rsidRPr="00F507A8">
        <w:t>] No</w:t>
      </w:r>
    </w:p>
    <w:p w:rsidRPr="00F507A8" w:rsidR="00F8707B" w:rsidP="00F8707B" w:rsidRDefault="00F8707B" w14:paraId="502D12B7" w14:textId="77777777">
      <w:pPr>
        <w:pStyle w:val="ListParagraph"/>
        <w:ind w:left="360"/>
      </w:pPr>
    </w:p>
    <w:p w:rsidRPr="008308A5" w:rsidR="00875D2C" w:rsidP="008C4E6C" w:rsidRDefault="00F8707B" w14:paraId="3A51E057" w14:textId="77777777">
      <w:pPr>
        <w:pStyle w:val="ListParagraph"/>
        <w:numPr>
          <w:ilvl w:val="0"/>
          <w:numId w:val="28"/>
        </w:numPr>
        <w:rPr>
          <w:b/>
        </w:rPr>
      </w:pPr>
      <w:r w:rsidRPr="008308A5">
        <w:rPr>
          <w:b/>
        </w:rPr>
        <w:t xml:space="preserve">If </w:t>
      </w:r>
      <w:r w:rsidRPr="008308A5" w:rsidR="00D763EB">
        <w:rPr>
          <w:b/>
        </w:rPr>
        <w:t>y</w:t>
      </w:r>
      <w:r w:rsidRPr="008308A5">
        <w:rPr>
          <w:b/>
        </w:rPr>
        <w:t>es, please cite the statue, regulation, or contractual terms supporting the pledge.</w:t>
      </w:r>
    </w:p>
    <w:p w:rsidRPr="00F507A8" w:rsidR="00875D2C" w:rsidP="00875D2C" w:rsidRDefault="00875D2C" w14:paraId="29A701AA" w14:textId="77777777"/>
    <w:p w:rsidR="000114F7" w:rsidP="008308A5" w:rsidRDefault="00037FBE" w14:paraId="5C7646CD" w14:textId="5B50E856">
      <w:pPr>
        <w:spacing w:before="16" w:line="240" w:lineRule="exact"/>
        <w:ind w:left="720"/>
      </w:pPr>
      <w:r>
        <w:t xml:space="preserve">There is no pledge of confidently.  </w:t>
      </w:r>
      <w:r w:rsidRPr="00212897">
        <w:t>Although the CFPB does not anticipate disclosing the information provided</w:t>
      </w:r>
      <w:r>
        <w:t xml:space="preserve"> beyond the study team</w:t>
      </w:r>
      <w:r w:rsidRPr="002C4574">
        <w:t>.</w:t>
      </w:r>
      <w:r>
        <w:t xml:space="preserve"> </w:t>
      </w:r>
    </w:p>
    <w:p w:rsidRPr="00F507A8" w:rsidR="008308A5" w:rsidP="008308A5" w:rsidRDefault="008308A5" w14:paraId="49EE1EEE" w14:textId="77777777">
      <w:pPr>
        <w:spacing w:before="16" w:line="240" w:lineRule="exact"/>
        <w:ind w:left="720"/>
      </w:pPr>
    </w:p>
    <w:p w:rsidRPr="00F507A8" w:rsidR="00F8707B" w:rsidP="00F8707B" w:rsidRDefault="00F8707B" w14:paraId="502D12B9" w14:textId="77777777">
      <w:bookmarkStart w:name="_GoBack" w:id="1"/>
      <w:bookmarkEnd w:id="1"/>
    </w:p>
    <w:p w:rsidRPr="00F507A8" w:rsidR="00F8707B" w:rsidP="00FC1481" w:rsidRDefault="00F8707B" w14:paraId="502D12BA" w14:textId="77777777">
      <w:pPr>
        <w:pStyle w:val="ListParagraph"/>
        <w:numPr>
          <w:ilvl w:val="0"/>
          <w:numId w:val="34"/>
        </w:numPr>
      </w:pPr>
      <w:r w:rsidRPr="00F507A8">
        <w:rPr>
          <w:b/>
        </w:rPr>
        <w:t>JUSTIFICATION OF SENSITIVE QUESTIONS (if applicable)</w:t>
      </w:r>
      <w:r w:rsidRPr="00F507A8">
        <w:t>:</w:t>
      </w:r>
    </w:p>
    <w:p w:rsidRPr="00F507A8" w:rsidR="00F8707B" w:rsidP="00F8707B" w:rsidRDefault="00F8707B" w14:paraId="502D12BB" w14:textId="456363B7"/>
    <w:p w:rsidR="005751ED" w:rsidP="008308A5" w:rsidRDefault="005751ED" w14:paraId="10F54E68" w14:textId="4F257BAF">
      <w:pPr>
        <w:ind w:left="450"/>
      </w:pPr>
      <w:r w:rsidRPr="00F507A8">
        <w:t xml:space="preserve">The Bureau will be soliciting sensitive information regarding </w:t>
      </w:r>
      <w:r w:rsidRPr="00F507A8" w:rsidR="009848F0">
        <w:t>respondents</w:t>
      </w:r>
      <w:r w:rsidRPr="00F507A8">
        <w:t xml:space="preserve">’ demographic </w:t>
      </w:r>
      <w:r w:rsidRPr="00F507A8" w:rsidR="00080586">
        <w:t xml:space="preserve">backgrounds and debt collection experience (as described in </w:t>
      </w:r>
      <w:r w:rsidRPr="00F507A8" w:rsidR="00520446">
        <w:t xml:space="preserve">Question </w:t>
      </w:r>
      <w:r w:rsidRPr="00F507A8" w:rsidR="00080586">
        <w:t xml:space="preserve">8. Personally Identifiable Information) in order to better contextualize responses to questions about the disclosures and to ensure that </w:t>
      </w:r>
      <w:r w:rsidRPr="00F507A8" w:rsidR="005D19FA">
        <w:t>the contractor recruit</w:t>
      </w:r>
      <w:r w:rsidR="00EC6127">
        <w:t>s</w:t>
      </w:r>
      <w:r w:rsidRPr="00F507A8" w:rsidR="005D19FA">
        <w:t xml:space="preserve"> </w:t>
      </w:r>
      <w:r w:rsidRPr="00F507A8" w:rsidR="009848F0">
        <w:t xml:space="preserve">respondents </w:t>
      </w:r>
      <w:r w:rsidRPr="00F507A8" w:rsidR="005D19FA">
        <w:t>from a variety of backgrounds and circumstances.</w:t>
      </w:r>
      <w:r w:rsidRPr="00F507A8" w:rsidR="00DC1ECD">
        <w:t xml:space="preserve"> Participant demographic information will be useful in ensuring that the Bureau recruits a diverse group of respondents.</w:t>
      </w:r>
      <w:r w:rsidRPr="00F507A8" w:rsidR="00003109">
        <w:t xml:space="preserve"> Without this information, the data the Bureau collects could be unknowingly skewed towards certain age groups, income levels, races/ethnicities, or </w:t>
      </w:r>
      <w:r w:rsidRPr="00F507A8" w:rsidR="0099423D">
        <w:t>gender. For example,</w:t>
      </w:r>
      <w:r w:rsidRPr="00F507A8" w:rsidR="00C77C78">
        <w:t xml:space="preserve"> if the contractor did not use PII to facilitate diverse recruitment,</w:t>
      </w:r>
      <w:r w:rsidRPr="00F507A8" w:rsidR="0099423D">
        <w:t xml:space="preserve"> </w:t>
      </w:r>
      <w:r w:rsidRPr="00F507A8" w:rsidR="00C77C78">
        <w:t>the sample could be comprised of only those with no debt collection experience, or mostly younger participants, limiting the Bureau’s ability to understand whether the model notice funct</w:t>
      </w:r>
      <w:r w:rsidRPr="00F507A8" w:rsidR="00EF0FBD">
        <w:t>ions equally well for those who have debt collection experience or who are older. I</w:t>
      </w:r>
      <w:r w:rsidR="00556135">
        <w:t>f</w:t>
      </w:r>
      <w:r w:rsidRPr="00F507A8" w:rsidR="00EF0FBD">
        <w:t xml:space="preserve"> the contractor did not use PII to facilitate diverse recruitment, the usefulness of the findings from this project would be severely undermined to the point where the information could not reasonably be used to inform statements about the quality of the validation notice in the final rule-making. </w:t>
      </w:r>
    </w:p>
    <w:p w:rsidRPr="00F507A8" w:rsidR="008308A5" w:rsidP="008308A5" w:rsidRDefault="008308A5" w14:paraId="6C06BFA3" w14:textId="77777777">
      <w:pPr>
        <w:ind w:left="450"/>
      </w:pPr>
    </w:p>
    <w:p w:rsidRPr="00F507A8" w:rsidR="005751ED" w:rsidP="00F8707B" w:rsidRDefault="005751ED" w14:paraId="458B8B54" w14:textId="77777777"/>
    <w:p w:rsidRPr="00F507A8" w:rsidR="005E714A" w:rsidP="00FC1481" w:rsidRDefault="005E714A" w14:paraId="502D12BC" w14:textId="77777777">
      <w:pPr>
        <w:pStyle w:val="ListParagraph"/>
        <w:numPr>
          <w:ilvl w:val="0"/>
          <w:numId w:val="34"/>
        </w:numPr>
      </w:pPr>
      <w:r w:rsidRPr="00F507A8">
        <w:rPr>
          <w:b/>
        </w:rPr>
        <w:t>BURDEN HOUR</w:t>
      </w:r>
      <w:r w:rsidRPr="00F507A8" w:rsidR="00441434">
        <w:rPr>
          <w:b/>
        </w:rPr>
        <w:t>S</w:t>
      </w:r>
      <w:r w:rsidRPr="00F507A8" w:rsidR="008C4E6C">
        <w:t>:</w:t>
      </w:r>
    </w:p>
    <w:p w:rsidRPr="00F507A8" w:rsidR="006832D9" w:rsidP="00F3170F" w:rsidRDefault="006832D9" w14:paraId="502D12BD"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F507A8" w:rsidR="004564BF" w:rsidTr="009C53DA" w14:paraId="502D12C6" w14:textId="77777777">
        <w:trPr>
          <w:trHeight w:val="274"/>
        </w:trPr>
        <w:tc>
          <w:tcPr>
            <w:tcW w:w="2898" w:type="dxa"/>
            <w:shd w:val="clear" w:color="auto" w:fill="BFBFBF" w:themeFill="background1" w:themeFillShade="BF"/>
          </w:tcPr>
          <w:p w:rsidRPr="00F507A8" w:rsidR="004564BF" w:rsidP="00C8488C" w:rsidRDefault="000A4A49" w14:paraId="502D12BE" w14:textId="77777777">
            <w:pPr>
              <w:rPr>
                <w:b/>
              </w:rPr>
            </w:pPr>
            <w:r w:rsidRPr="00F507A8">
              <w:rPr>
                <w:b/>
              </w:rPr>
              <w:t>Information C</w:t>
            </w:r>
            <w:r w:rsidRPr="00F507A8" w:rsidR="006540CB">
              <w:rPr>
                <w:b/>
              </w:rPr>
              <w:t>ollection</w:t>
            </w:r>
            <w:r w:rsidRPr="00F507A8" w:rsidR="004564BF">
              <w:rPr>
                <w:b/>
              </w:rPr>
              <w:t xml:space="preserve"> </w:t>
            </w:r>
          </w:p>
        </w:tc>
        <w:tc>
          <w:tcPr>
            <w:tcW w:w="1800" w:type="dxa"/>
            <w:shd w:val="clear" w:color="auto" w:fill="BFBFBF" w:themeFill="background1" w:themeFillShade="BF"/>
          </w:tcPr>
          <w:p w:rsidRPr="00F507A8" w:rsidR="004564BF" w:rsidP="00AC7F7A" w:rsidRDefault="004564BF" w14:paraId="502D12BF" w14:textId="77777777">
            <w:pPr>
              <w:jc w:val="center"/>
              <w:rPr>
                <w:b/>
              </w:rPr>
            </w:pPr>
            <w:r w:rsidRPr="00F507A8">
              <w:rPr>
                <w:b/>
              </w:rPr>
              <w:t>Number of Respondents</w:t>
            </w:r>
          </w:p>
        </w:tc>
        <w:tc>
          <w:tcPr>
            <w:tcW w:w="1350" w:type="dxa"/>
            <w:shd w:val="clear" w:color="auto" w:fill="BFBFBF" w:themeFill="background1" w:themeFillShade="BF"/>
          </w:tcPr>
          <w:p w:rsidRPr="00F507A8" w:rsidR="004564BF" w:rsidP="00AC7F7A" w:rsidRDefault="004564BF" w14:paraId="502D12C0" w14:textId="77777777">
            <w:pPr>
              <w:jc w:val="center"/>
              <w:rPr>
                <w:b/>
              </w:rPr>
            </w:pPr>
            <w:r w:rsidRPr="00F507A8">
              <w:rPr>
                <w:b/>
              </w:rPr>
              <w:t>Frequency</w:t>
            </w:r>
          </w:p>
        </w:tc>
        <w:tc>
          <w:tcPr>
            <w:tcW w:w="1350" w:type="dxa"/>
            <w:shd w:val="clear" w:color="auto" w:fill="BFBFBF" w:themeFill="background1" w:themeFillShade="BF"/>
          </w:tcPr>
          <w:p w:rsidRPr="00F507A8" w:rsidR="004564BF" w:rsidP="00021835" w:rsidRDefault="004564BF" w14:paraId="502D12C1" w14:textId="77777777">
            <w:pPr>
              <w:jc w:val="center"/>
              <w:rPr>
                <w:b/>
              </w:rPr>
            </w:pPr>
            <w:r w:rsidRPr="00F507A8">
              <w:rPr>
                <w:b/>
              </w:rPr>
              <w:t xml:space="preserve">Number of </w:t>
            </w:r>
            <w:r w:rsidRPr="00F507A8" w:rsidR="00021835">
              <w:rPr>
                <w:b/>
              </w:rPr>
              <w:t xml:space="preserve">Annual </w:t>
            </w:r>
            <w:r w:rsidRPr="00F507A8">
              <w:rPr>
                <w:b/>
              </w:rPr>
              <w:t>Responses</w:t>
            </w:r>
          </w:p>
        </w:tc>
        <w:tc>
          <w:tcPr>
            <w:tcW w:w="1440" w:type="dxa"/>
            <w:shd w:val="clear" w:color="auto" w:fill="BFBFBF" w:themeFill="background1" w:themeFillShade="BF"/>
          </w:tcPr>
          <w:p w:rsidRPr="00F507A8" w:rsidR="004564BF" w:rsidP="00AC7F7A" w:rsidRDefault="00021835" w14:paraId="502D12C2" w14:textId="77777777">
            <w:pPr>
              <w:jc w:val="center"/>
              <w:rPr>
                <w:b/>
              </w:rPr>
            </w:pPr>
            <w:r w:rsidRPr="00F507A8">
              <w:rPr>
                <w:b/>
              </w:rPr>
              <w:t xml:space="preserve">Average </w:t>
            </w:r>
            <w:r w:rsidRPr="00F507A8" w:rsidR="004564BF">
              <w:rPr>
                <w:b/>
              </w:rPr>
              <w:t>Response Time</w:t>
            </w:r>
          </w:p>
          <w:p w:rsidRPr="00F507A8" w:rsidR="004564BF" w:rsidP="00AC7F7A" w:rsidRDefault="004564BF" w14:paraId="502D12C3" w14:textId="77777777">
            <w:pPr>
              <w:jc w:val="center"/>
              <w:rPr>
                <w:b/>
              </w:rPr>
            </w:pPr>
            <w:r w:rsidRPr="00F507A8">
              <w:rPr>
                <w:b/>
              </w:rPr>
              <w:t>(hours)</w:t>
            </w:r>
          </w:p>
        </w:tc>
        <w:tc>
          <w:tcPr>
            <w:tcW w:w="1530" w:type="dxa"/>
            <w:shd w:val="clear" w:color="auto" w:fill="BFBFBF" w:themeFill="background1" w:themeFillShade="BF"/>
          </w:tcPr>
          <w:p w:rsidRPr="00F507A8" w:rsidR="004564BF" w:rsidP="00AC7F7A" w:rsidRDefault="004564BF" w14:paraId="502D12C4" w14:textId="77777777">
            <w:pPr>
              <w:jc w:val="center"/>
              <w:rPr>
                <w:b/>
              </w:rPr>
            </w:pPr>
            <w:r w:rsidRPr="00F507A8">
              <w:rPr>
                <w:b/>
              </w:rPr>
              <w:t>Burden</w:t>
            </w:r>
          </w:p>
          <w:p w:rsidRPr="00F507A8" w:rsidR="004564BF" w:rsidP="00AC7F7A" w:rsidRDefault="004564BF" w14:paraId="502D12C5" w14:textId="77777777">
            <w:pPr>
              <w:jc w:val="center"/>
              <w:rPr>
                <w:b/>
              </w:rPr>
            </w:pPr>
            <w:r w:rsidRPr="00F507A8">
              <w:rPr>
                <w:b/>
              </w:rPr>
              <w:t>(hours)</w:t>
            </w:r>
          </w:p>
        </w:tc>
      </w:tr>
      <w:tr w:rsidRPr="00F507A8" w:rsidR="0067635D" w:rsidTr="004564BF" w14:paraId="06514D5C" w14:textId="77777777">
        <w:trPr>
          <w:trHeight w:val="274"/>
        </w:trPr>
        <w:tc>
          <w:tcPr>
            <w:tcW w:w="2898" w:type="dxa"/>
          </w:tcPr>
          <w:p w:rsidRPr="00F507A8" w:rsidR="0067635D" w:rsidP="0067635D" w:rsidRDefault="0067635D" w14:paraId="28C56475" w14:textId="6D9EF02C">
            <w:r w:rsidRPr="00F507A8">
              <w:t>Participant Screener</w:t>
            </w:r>
          </w:p>
        </w:tc>
        <w:tc>
          <w:tcPr>
            <w:tcW w:w="1800" w:type="dxa"/>
          </w:tcPr>
          <w:p w:rsidRPr="00F507A8" w:rsidR="0067635D" w:rsidP="0067635D" w:rsidRDefault="0067635D" w14:paraId="37ABAE54" w14:textId="70F882A5">
            <w:pPr>
              <w:jc w:val="right"/>
            </w:pPr>
            <w:r w:rsidRPr="00F507A8">
              <w:t>400</w:t>
            </w:r>
          </w:p>
        </w:tc>
        <w:tc>
          <w:tcPr>
            <w:tcW w:w="1350" w:type="dxa"/>
          </w:tcPr>
          <w:p w:rsidRPr="00F507A8" w:rsidR="0067635D" w:rsidP="0067635D" w:rsidRDefault="0067635D" w14:paraId="504B8D7A" w14:textId="362A0610">
            <w:pPr>
              <w:jc w:val="right"/>
            </w:pPr>
            <w:r w:rsidRPr="00F507A8">
              <w:t>1</w:t>
            </w:r>
          </w:p>
        </w:tc>
        <w:tc>
          <w:tcPr>
            <w:tcW w:w="1350" w:type="dxa"/>
          </w:tcPr>
          <w:p w:rsidRPr="00F507A8" w:rsidR="0067635D" w:rsidP="0067635D" w:rsidRDefault="0067635D" w14:paraId="7D7F6DAA" w14:textId="0244937B">
            <w:pPr>
              <w:jc w:val="right"/>
            </w:pPr>
            <w:r>
              <w:t>400</w:t>
            </w:r>
          </w:p>
        </w:tc>
        <w:tc>
          <w:tcPr>
            <w:tcW w:w="1440" w:type="dxa"/>
          </w:tcPr>
          <w:p w:rsidRPr="00F507A8" w:rsidR="0067635D" w:rsidP="0067635D" w:rsidRDefault="0067635D" w14:paraId="1C9F05A0" w14:textId="55CFE48F">
            <w:pPr>
              <w:jc w:val="right"/>
            </w:pPr>
            <w:r>
              <w:t>.08</w:t>
            </w:r>
          </w:p>
        </w:tc>
        <w:tc>
          <w:tcPr>
            <w:tcW w:w="1530" w:type="dxa"/>
          </w:tcPr>
          <w:p w:rsidRPr="00F507A8" w:rsidR="0067635D" w:rsidP="0067635D" w:rsidRDefault="0067635D" w14:paraId="1BA79023" w14:textId="495C1CFF">
            <w:pPr>
              <w:jc w:val="right"/>
            </w:pPr>
            <w:r w:rsidRPr="00E77889">
              <w:t>33</w:t>
            </w:r>
          </w:p>
        </w:tc>
      </w:tr>
      <w:tr w:rsidRPr="00F507A8" w:rsidR="0067635D" w:rsidTr="004564BF" w14:paraId="502D12CD" w14:textId="77777777">
        <w:trPr>
          <w:trHeight w:val="274"/>
        </w:trPr>
        <w:tc>
          <w:tcPr>
            <w:tcW w:w="2898" w:type="dxa"/>
          </w:tcPr>
          <w:p w:rsidRPr="00F507A8" w:rsidR="0067635D" w:rsidP="0067635D" w:rsidRDefault="0067635D" w14:paraId="502D12C7" w14:textId="39C61896">
            <w:r w:rsidRPr="00F507A8">
              <w:t>Cognitive Interviews*</w:t>
            </w:r>
          </w:p>
        </w:tc>
        <w:tc>
          <w:tcPr>
            <w:tcW w:w="1800" w:type="dxa"/>
          </w:tcPr>
          <w:p w:rsidRPr="00F507A8" w:rsidR="0067635D" w:rsidP="0067635D" w:rsidRDefault="0067635D" w14:paraId="502D12C8" w14:textId="514E7308">
            <w:pPr>
              <w:jc w:val="right"/>
            </w:pPr>
            <w:r w:rsidRPr="00F507A8">
              <w:t>60</w:t>
            </w:r>
          </w:p>
        </w:tc>
        <w:tc>
          <w:tcPr>
            <w:tcW w:w="1350" w:type="dxa"/>
          </w:tcPr>
          <w:p w:rsidRPr="00F507A8" w:rsidR="0067635D" w:rsidP="0067635D" w:rsidRDefault="0067635D" w14:paraId="502D12C9" w14:textId="525F1D5C">
            <w:pPr>
              <w:jc w:val="right"/>
            </w:pPr>
            <w:r w:rsidRPr="00F507A8">
              <w:t>1</w:t>
            </w:r>
          </w:p>
        </w:tc>
        <w:tc>
          <w:tcPr>
            <w:tcW w:w="1350" w:type="dxa"/>
          </w:tcPr>
          <w:p w:rsidRPr="00F507A8" w:rsidR="0067635D" w:rsidP="0067635D" w:rsidRDefault="0067635D" w14:paraId="502D12CA" w14:textId="3B8DAC35">
            <w:pPr>
              <w:jc w:val="right"/>
            </w:pPr>
            <w:r>
              <w:t>60</w:t>
            </w:r>
          </w:p>
        </w:tc>
        <w:tc>
          <w:tcPr>
            <w:tcW w:w="1440" w:type="dxa"/>
          </w:tcPr>
          <w:p w:rsidRPr="00F507A8" w:rsidR="0067635D" w:rsidP="0067635D" w:rsidRDefault="0067635D" w14:paraId="502D12CB" w14:textId="1D1B2612">
            <w:pPr>
              <w:jc w:val="right"/>
            </w:pPr>
            <w:r w:rsidRPr="00F507A8">
              <w:t>.75</w:t>
            </w:r>
          </w:p>
        </w:tc>
        <w:tc>
          <w:tcPr>
            <w:tcW w:w="1530" w:type="dxa"/>
          </w:tcPr>
          <w:p w:rsidRPr="00F507A8" w:rsidR="0067635D" w:rsidP="0067635D" w:rsidRDefault="0067635D" w14:paraId="502D12CC" w14:textId="0F184559">
            <w:pPr>
              <w:jc w:val="right"/>
            </w:pPr>
            <w:r>
              <w:t>45</w:t>
            </w:r>
          </w:p>
        </w:tc>
      </w:tr>
      <w:tr w:rsidRPr="00E77889" w:rsidR="0067635D" w:rsidTr="004564BF" w14:paraId="502D12DB" w14:textId="77777777">
        <w:trPr>
          <w:trHeight w:val="289"/>
        </w:trPr>
        <w:tc>
          <w:tcPr>
            <w:tcW w:w="2898" w:type="dxa"/>
          </w:tcPr>
          <w:p w:rsidRPr="00F507A8" w:rsidR="0067635D" w:rsidP="0067635D" w:rsidRDefault="0067635D" w14:paraId="502D12D5" w14:textId="77777777">
            <w:pPr>
              <w:jc w:val="right"/>
              <w:rPr>
                <w:b/>
              </w:rPr>
            </w:pPr>
            <w:r w:rsidRPr="00F507A8">
              <w:rPr>
                <w:b/>
              </w:rPr>
              <w:t>Totals</w:t>
            </w:r>
          </w:p>
        </w:tc>
        <w:tc>
          <w:tcPr>
            <w:tcW w:w="1800" w:type="dxa"/>
          </w:tcPr>
          <w:p w:rsidRPr="00F507A8" w:rsidR="0067635D" w:rsidP="0067635D" w:rsidRDefault="0067635D" w14:paraId="502D12D6" w14:textId="776A3B9A">
            <w:pPr>
              <w:jc w:val="right"/>
              <w:rPr>
                <w:b/>
              </w:rPr>
            </w:pPr>
            <w:r>
              <w:rPr>
                <w:b/>
              </w:rPr>
              <w:t>400</w:t>
            </w:r>
          </w:p>
        </w:tc>
        <w:tc>
          <w:tcPr>
            <w:tcW w:w="1350" w:type="dxa"/>
          </w:tcPr>
          <w:p w:rsidRPr="00F507A8" w:rsidR="0067635D" w:rsidP="0067635D" w:rsidRDefault="0067635D" w14:paraId="502D12D7" w14:textId="77777777">
            <w:pPr>
              <w:jc w:val="right"/>
              <w:rPr>
                <w:b/>
              </w:rPr>
            </w:pPr>
            <w:r w:rsidRPr="00F507A8">
              <w:rPr>
                <w:b/>
              </w:rPr>
              <w:t>///////////////</w:t>
            </w:r>
          </w:p>
        </w:tc>
        <w:tc>
          <w:tcPr>
            <w:tcW w:w="1350" w:type="dxa"/>
          </w:tcPr>
          <w:p w:rsidRPr="00F507A8" w:rsidR="0067635D" w:rsidP="0067635D" w:rsidRDefault="0067635D" w14:paraId="502D12D8" w14:textId="493B7580">
            <w:pPr>
              <w:jc w:val="right"/>
              <w:rPr>
                <w:b/>
              </w:rPr>
            </w:pPr>
            <w:r>
              <w:rPr>
                <w:b/>
              </w:rPr>
              <w:t>460</w:t>
            </w:r>
          </w:p>
        </w:tc>
        <w:tc>
          <w:tcPr>
            <w:tcW w:w="1440" w:type="dxa"/>
          </w:tcPr>
          <w:p w:rsidRPr="00F507A8" w:rsidR="0067635D" w:rsidP="0067635D" w:rsidRDefault="0067635D" w14:paraId="502D12D9" w14:textId="77777777">
            <w:pPr>
              <w:jc w:val="right"/>
              <w:rPr>
                <w:b/>
              </w:rPr>
            </w:pPr>
            <w:r w:rsidRPr="00F507A8">
              <w:rPr>
                <w:b/>
              </w:rPr>
              <w:t>////////////////</w:t>
            </w:r>
          </w:p>
        </w:tc>
        <w:tc>
          <w:tcPr>
            <w:tcW w:w="1530" w:type="dxa"/>
          </w:tcPr>
          <w:p w:rsidRPr="00E77889" w:rsidR="0067635D" w:rsidP="0067635D" w:rsidRDefault="0067635D" w14:paraId="502D12DA" w14:textId="13912ADF">
            <w:pPr>
              <w:jc w:val="right"/>
              <w:rPr>
                <w:b/>
              </w:rPr>
            </w:pPr>
            <w:r w:rsidRPr="00E77889">
              <w:rPr>
                <w:b/>
                <w:bCs/>
              </w:rPr>
              <w:t>78</w:t>
            </w:r>
          </w:p>
        </w:tc>
      </w:tr>
    </w:tbl>
    <w:p w:rsidRPr="00475F9D" w:rsidR="00F3170F" w:rsidP="00F3170F" w:rsidRDefault="00BA39D7" w14:paraId="502D12DC" w14:textId="6F686234">
      <w:pPr>
        <w:rPr>
          <w:i/>
          <w:sz w:val="20"/>
          <w:szCs w:val="20"/>
        </w:rPr>
      </w:pPr>
      <w:r w:rsidRPr="00475F9D">
        <w:rPr>
          <w:i/>
          <w:sz w:val="20"/>
          <w:szCs w:val="20"/>
        </w:rPr>
        <w:t xml:space="preserve">*Those participating in cognitive interviews will be a subset of those </w:t>
      </w:r>
      <w:r w:rsidRPr="00475F9D" w:rsidR="007E2E4D">
        <w:rPr>
          <w:i/>
          <w:sz w:val="20"/>
          <w:szCs w:val="20"/>
        </w:rPr>
        <w:t>selected from</w:t>
      </w:r>
      <w:r w:rsidRPr="00475F9D">
        <w:rPr>
          <w:i/>
          <w:sz w:val="20"/>
          <w:szCs w:val="20"/>
        </w:rPr>
        <w:t xml:space="preserve"> the</w:t>
      </w:r>
      <w:r w:rsidRPr="00475F9D" w:rsidR="00475F9D">
        <w:rPr>
          <w:i/>
          <w:sz w:val="20"/>
          <w:szCs w:val="20"/>
        </w:rPr>
        <w:t xml:space="preserve"> </w:t>
      </w:r>
      <w:r w:rsidRPr="00475F9D">
        <w:rPr>
          <w:i/>
          <w:sz w:val="20"/>
          <w:szCs w:val="20"/>
        </w:rPr>
        <w:t>participant screener.</w:t>
      </w:r>
    </w:p>
    <w:p w:rsidR="00520446" w:rsidP="00F3170F" w:rsidRDefault="00520446" w14:paraId="2E9900E0" w14:textId="25C81497"/>
    <w:p w:rsidRPr="00F507A8" w:rsidR="00475F9D" w:rsidP="00F3170F" w:rsidRDefault="00475F9D" w14:paraId="07CAB27C" w14:textId="77777777"/>
    <w:p w:rsidRPr="00F507A8" w:rsidR="005E714A" w:rsidRDefault="008C4E6C" w14:paraId="502D12DE" w14:textId="71642668">
      <w:r w:rsidRPr="00F507A8">
        <w:t xml:space="preserve">12. </w:t>
      </w:r>
      <w:r w:rsidRPr="00F507A8" w:rsidR="001C39F7">
        <w:rPr>
          <w:b/>
        </w:rPr>
        <w:t xml:space="preserve">FEDERAL </w:t>
      </w:r>
      <w:r w:rsidRPr="00F507A8" w:rsidR="009F5923">
        <w:rPr>
          <w:b/>
        </w:rPr>
        <w:t>COST</w:t>
      </w:r>
      <w:r w:rsidRPr="00F507A8" w:rsidR="00F06866">
        <w:t>:</w:t>
      </w:r>
      <w:r w:rsidRPr="00F507A8" w:rsidR="00895229">
        <w:t xml:space="preserve"> </w:t>
      </w:r>
      <w:r w:rsidRPr="00F507A8" w:rsidR="00C86E91">
        <w:t xml:space="preserve"> The estimated annual cost to the Fed</w:t>
      </w:r>
      <w:r w:rsidRPr="00F507A8">
        <w:t>eral government is $</w:t>
      </w:r>
      <w:r w:rsidRPr="00F507A8" w:rsidR="00EA37B2">
        <w:t>105,000</w:t>
      </w:r>
      <w:r w:rsidRPr="00F507A8">
        <w:t>.</w:t>
      </w:r>
    </w:p>
    <w:p w:rsidRPr="00F507A8" w:rsidR="007508E3" w:rsidP="007508E3" w:rsidRDefault="00FA7432" w14:paraId="502D12DF" w14:textId="77777777">
      <w:pPr>
        <w:rPr>
          <w:bCs/>
          <w:u w:val="single"/>
        </w:rPr>
      </w:pPr>
      <w:r w:rsidRPr="00F507A8">
        <w:rPr>
          <w:bCs/>
          <w:u w:val="single"/>
        </w:rPr>
        <w:br w:type="page"/>
      </w:r>
      <w:r w:rsidRPr="00F507A8" w:rsidR="008C4E6C">
        <w:lastRenderedPageBreak/>
        <w:t xml:space="preserve">13. </w:t>
      </w:r>
      <w:r w:rsidRPr="00F507A8" w:rsidR="007508E3">
        <w:rPr>
          <w:b/>
        </w:rPr>
        <w:t>CERTIFICATION</w:t>
      </w:r>
      <w:r w:rsidRPr="00F507A8" w:rsidR="007508E3">
        <w:t>:</w:t>
      </w:r>
    </w:p>
    <w:p w:rsidRPr="00F507A8" w:rsidR="00A95606" w:rsidP="00A95606" w:rsidRDefault="00A95606" w14:paraId="502D12E0" w14:textId="77777777">
      <w:pPr>
        <w:spacing w:before="29"/>
        <w:ind w:right="-20"/>
      </w:pPr>
    </w:p>
    <w:p w:rsidRPr="00F507A8" w:rsidR="00AB78E0" w:rsidP="00A95606" w:rsidRDefault="00A95606" w14:paraId="502D12E1" w14:textId="77777777">
      <w:pPr>
        <w:spacing w:before="29"/>
        <w:ind w:right="-20"/>
        <w:rPr>
          <w:i/>
        </w:rPr>
      </w:pPr>
      <w:r w:rsidRPr="00F507A8">
        <w:rPr>
          <w:i/>
        </w:rPr>
        <w:t xml:space="preserve">CERTIFICATION PURSUANT TO 5 CFR 1320.9, AND THE RELATED PROVISIONS OF </w:t>
      </w:r>
    </w:p>
    <w:p w:rsidRPr="00F507A8" w:rsidR="00A95606" w:rsidP="00A95606" w:rsidRDefault="00A95606" w14:paraId="502D12E2" w14:textId="77777777">
      <w:pPr>
        <w:spacing w:before="29"/>
        <w:ind w:right="-20"/>
        <w:rPr>
          <w:i/>
        </w:rPr>
      </w:pPr>
      <w:r w:rsidRPr="00F507A8">
        <w:rPr>
          <w:i/>
        </w:rPr>
        <w:t>5 CFR 1320.8(b)(3):</w:t>
      </w:r>
    </w:p>
    <w:p w:rsidRPr="00F507A8" w:rsidR="00A95606" w:rsidP="00A95606" w:rsidRDefault="00A95606" w14:paraId="502D12E3" w14:textId="77777777">
      <w:pPr>
        <w:pStyle w:val="ListParagraph"/>
        <w:spacing w:before="29"/>
        <w:ind w:left="460" w:right="-20"/>
      </w:pPr>
    </w:p>
    <w:p w:rsidRPr="00F507A8" w:rsidR="00A95606" w:rsidP="00A95606" w:rsidRDefault="00A95606" w14:paraId="502D12E4" w14:textId="77777777">
      <w:pPr>
        <w:pStyle w:val="ListParagraph"/>
        <w:spacing w:before="29"/>
        <w:ind w:left="460" w:right="-20"/>
      </w:pPr>
      <w:r w:rsidRPr="00F507A8">
        <w:t>By submitting this document, the Bureau certifies the following to be true:</w:t>
      </w:r>
    </w:p>
    <w:p w:rsidRPr="00F507A8" w:rsidR="00A95606" w:rsidP="00A95606" w:rsidRDefault="00A95606" w14:paraId="502D12E5" w14:textId="77777777">
      <w:pPr>
        <w:pStyle w:val="ListParagraph"/>
        <w:spacing w:before="29"/>
        <w:ind w:left="460" w:right="-20"/>
      </w:pPr>
    </w:p>
    <w:p w:rsidRPr="00F507A8" w:rsidR="00A95606" w:rsidP="00A95606" w:rsidRDefault="00A95606" w14:paraId="502D12E6" w14:textId="77777777">
      <w:pPr>
        <w:pStyle w:val="ListParagraph"/>
        <w:spacing w:before="29"/>
        <w:ind w:left="460" w:right="-20"/>
      </w:pPr>
      <w:r w:rsidRPr="00F507A8">
        <w:t xml:space="preserve">(a) It is necessary for the proper performance of agency functions; </w:t>
      </w:r>
    </w:p>
    <w:p w:rsidRPr="00F507A8" w:rsidR="00A95606" w:rsidP="00A95606" w:rsidRDefault="00A95606" w14:paraId="502D12E7" w14:textId="77777777">
      <w:pPr>
        <w:pStyle w:val="ListParagraph"/>
        <w:spacing w:before="29"/>
        <w:ind w:left="460" w:right="-20"/>
      </w:pPr>
      <w:r w:rsidRPr="00F507A8">
        <w:t xml:space="preserve">(b) It avoids unnecessary duplication; </w:t>
      </w:r>
    </w:p>
    <w:p w:rsidRPr="00F507A8" w:rsidR="00A95606" w:rsidP="00A95606" w:rsidRDefault="00A95606" w14:paraId="502D12E8" w14:textId="77777777">
      <w:pPr>
        <w:pStyle w:val="ListParagraph"/>
        <w:spacing w:before="29"/>
        <w:ind w:left="460" w:right="-20"/>
      </w:pPr>
      <w:r w:rsidRPr="00F507A8">
        <w:t>(c) It uses plain, coherent, and unambiguous terminology that is understandable to respondents;</w:t>
      </w:r>
    </w:p>
    <w:p w:rsidRPr="00F507A8" w:rsidR="00A95606" w:rsidP="00A95606" w:rsidRDefault="00A95606" w14:paraId="502D12E9" w14:textId="77777777">
      <w:pPr>
        <w:pStyle w:val="ListParagraph"/>
        <w:spacing w:before="29"/>
        <w:ind w:left="460" w:right="-20"/>
      </w:pPr>
      <w:r w:rsidRPr="00F507A8">
        <w:t>(d) Its implementation will be consistent and compatible with current reporting and recordkeeping practices;</w:t>
      </w:r>
    </w:p>
    <w:p w:rsidRPr="00F507A8" w:rsidR="00A95606" w:rsidP="00A95606" w:rsidRDefault="00A95606" w14:paraId="502D12EA" w14:textId="77777777">
      <w:pPr>
        <w:pStyle w:val="ListParagraph"/>
        <w:spacing w:before="29"/>
        <w:ind w:left="460" w:right="-20"/>
      </w:pPr>
      <w:r w:rsidRPr="00F507A8">
        <w:t>(e) It indicates the retention period for recordkeeping requirements;</w:t>
      </w:r>
    </w:p>
    <w:p w:rsidRPr="00F507A8" w:rsidR="00A95606" w:rsidP="00A95606" w:rsidRDefault="00A95606" w14:paraId="502D12EB" w14:textId="77777777">
      <w:pPr>
        <w:pStyle w:val="ListParagraph"/>
        <w:spacing w:before="29"/>
        <w:ind w:left="460" w:right="-20"/>
      </w:pPr>
      <w:r w:rsidRPr="00F507A8">
        <w:t>(f)</w:t>
      </w:r>
      <w:r w:rsidRPr="00F507A8">
        <w:tab/>
        <w:t>It informs respondents of the information called for under 5 CFR 1320.8(b)(3):</w:t>
      </w:r>
    </w:p>
    <w:p w:rsidRPr="00F507A8" w:rsidR="00A95606" w:rsidP="00A95606" w:rsidRDefault="00A95606" w14:paraId="502D12EC" w14:textId="77777777">
      <w:pPr>
        <w:pStyle w:val="ListParagraph"/>
        <w:spacing w:before="29"/>
        <w:ind w:left="460" w:right="-20" w:firstLine="260"/>
      </w:pPr>
      <w:r w:rsidRPr="00F507A8">
        <w:t>(i) Why the information is being collected;</w:t>
      </w:r>
    </w:p>
    <w:p w:rsidRPr="00F507A8" w:rsidR="00A95606" w:rsidP="00A95606" w:rsidRDefault="00A95606" w14:paraId="502D12ED" w14:textId="77777777">
      <w:pPr>
        <w:pStyle w:val="ListParagraph"/>
        <w:spacing w:before="29"/>
        <w:ind w:left="460" w:right="-20" w:firstLine="260"/>
      </w:pPr>
      <w:r w:rsidRPr="00F507A8">
        <w:t>(ii) Use of information;</w:t>
      </w:r>
    </w:p>
    <w:p w:rsidRPr="00F507A8" w:rsidR="00A95606" w:rsidP="00A95606" w:rsidRDefault="00A95606" w14:paraId="502D12EE" w14:textId="77777777">
      <w:pPr>
        <w:pStyle w:val="ListParagraph"/>
        <w:spacing w:before="29"/>
        <w:ind w:left="460" w:right="-20" w:firstLine="260"/>
      </w:pPr>
      <w:r w:rsidRPr="00F507A8">
        <w:t>(iii) Burden estimate;</w:t>
      </w:r>
    </w:p>
    <w:p w:rsidRPr="00F507A8" w:rsidR="00A95606" w:rsidP="00A95606" w:rsidRDefault="00A95606" w14:paraId="502D12EF" w14:textId="77777777">
      <w:pPr>
        <w:pStyle w:val="ListParagraph"/>
        <w:spacing w:before="29"/>
        <w:ind w:left="460" w:right="-20" w:firstLine="260"/>
      </w:pPr>
      <w:r w:rsidRPr="00F507A8">
        <w:t>(iv) Nature of response (voluntary);</w:t>
      </w:r>
    </w:p>
    <w:p w:rsidRPr="00F507A8" w:rsidR="00A95606" w:rsidP="00A95606" w:rsidRDefault="00A95606" w14:paraId="502D12F0" w14:textId="77777777">
      <w:pPr>
        <w:pStyle w:val="ListParagraph"/>
        <w:spacing w:before="29"/>
        <w:ind w:left="460" w:right="-20" w:firstLine="260"/>
      </w:pPr>
      <w:r w:rsidRPr="00F507A8">
        <w:t>(v) Nature and extent of confidentiality; and</w:t>
      </w:r>
    </w:p>
    <w:p w:rsidRPr="00F507A8" w:rsidR="00A95606" w:rsidP="00A95606" w:rsidRDefault="00A95606" w14:paraId="502D12F1" w14:textId="77777777">
      <w:pPr>
        <w:pStyle w:val="ListParagraph"/>
        <w:spacing w:before="29"/>
        <w:ind w:left="460" w:right="-20" w:firstLine="260"/>
      </w:pPr>
      <w:r w:rsidRPr="00F507A8">
        <w:t>(vi) Need to display currently valid OMB control number;</w:t>
      </w:r>
    </w:p>
    <w:p w:rsidRPr="00F507A8" w:rsidR="00A95606" w:rsidP="00A95606" w:rsidRDefault="00A95606" w14:paraId="502D12F2" w14:textId="77777777">
      <w:pPr>
        <w:spacing w:before="29"/>
        <w:ind w:left="460" w:right="-20"/>
      </w:pPr>
      <w:r w:rsidRPr="00F507A8">
        <w:t>(g) It was developed by an office that has planned and allocated resources for the efficient and effective management and use of the information to be collected;</w:t>
      </w:r>
    </w:p>
    <w:p w:rsidRPr="00F507A8" w:rsidR="00A95606" w:rsidP="00A95606" w:rsidRDefault="00A95606" w14:paraId="502D12F3" w14:textId="77777777">
      <w:pPr>
        <w:pStyle w:val="ListParagraph"/>
        <w:spacing w:before="29"/>
        <w:ind w:left="460" w:right="-20"/>
      </w:pPr>
      <w:r w:rsidRPr="00F507A8">
        <w:t>(h) It uses effective and efficient statistical survey methodology; and</w:t>
      </w:r>
    </w:p>
    <w:p w:rsidRPr="00F507A8" w:rsidR="00A95606" w:rsidP="00A95606" w:rsidRDefault="00A95606" w14:paraId="502D12F4" w14:textId="77777777">
      <w:pPr>
        <w:pStyle w:val="ListParagraph"/>
        <w:spacing w:before="29"/>
        <w:ind w:left="460" w:right="-20"/>
      </w:pPr>
      <w:r w:rsidRPr="00F507A8">
        <w:t>(i) It makes appropriate use of information technology.</w:t>
      </w:r>
    </w:p>
    <w:p w:rsidRPr="00F507A8" w:rsidR="00A95606" w:rsidP="00A95606" w:rsidRDefault="00A95606" w14:paraId="502D12F5" w14:textId="77777777">
      <w:pPr>
        <w:pStyle w:val="ListParagraph"/>
        <w:spacing w:before="29"/>
        <w:ind w:left="460" w:right="-20"/>
      </w:pPr>
    </w:p>
    <w:p w:rsidRPr="00F507A8" w:rsidR="00A95606" w:rsidP="00A95606" w:rsidRDefault="00A95606" w14:paraId="502D12F6" w14:textId="77777777">
      <w:pPr>
        <w:pStyle w:val="ListParagraph"/>
        <w:spacing w:before="29"/>
        <w:ind w:left="460" w:right="-20"/>
      </w:pPr>
    </w:p>
    <w:p w:rsidRPr="00F507A8" w:rsidR="00A95606" w:rsidP="00A95606" w:rsidRDefault="00A95606" w14:paraId="502D12F7" w14:textId="77777777">
      <w:pPr>
        <w:spacing w:before="29"/>
        <w:ind w:right="-20"/>
        <w:rPr>
          <w:i/>
        </w:rPr>
      </w:pPr>
      <w:r w:rsidRPr="00F507A8">
        <w:rPr>
          <w:i/>
        </w:rPr>
        <w:t>CERTIFICATION FOR INFORMATION COLLECTIONS SUBMITTED UNDER A GENERIC INFORMATION COLLECTION PLAN</w:t>
      </w:r>
    </w:p>
    <w:p w:rsidRPr="00F507A8" w:rsidR="007508E3" w:rsidP="007508E3" w:rsidRDefault="007508E3" w14:paraId="502D12F8" w14:textId="77777777"/>
    <w:p w:rsidRPr="00F507A8" w:rsidR="007508E3" w:rsidP="007508E3" w:rsidRDefault="007508E3" w14:paraId="502D12F9" w14:textId="77777777">
      <w:r w:rsidRPr="00F507A8">
        <w:t xml:space="preserve">By submitting this document, the Bureau certifies the following to be true: </w:t>
      </w:r>
    </w:p>
    <w:p w:rsidRPr="00F507A8" w:rsidR="007508E3" w:rsidP="00410F81" w:rsidRDefault="007508E3" w14:paraId="502D12FA" w14:textId="77777777">
      <w:pPr>
        <w:pStyle w:val="ListParagraph"/>
        <w:numPr>
          <w:ilvl w:val="0"/>
          <w:numId w:val="26"/>
        </w:numPr>
      </w:pPr>
      <w:r w:rsidRPr="00F507A8">
        <w:t xml:space="preserve">The collection is voluntary. </w:t>
      </w:r>
    </w:p>
    <w:p w:rsidRPr="00F507A8" w:rsidR="007508E3" w:rsidP="007508E3" w:rsidRDefault="007508E3" w14:paraId="502D12FB" w14:textId="77777777">
      <w:pPr>
        <w:pStyle w:val="ListParagraph"/>
        <w:numPr>
          <w:ilvl w:val="0"/>
          <w:numId w:val="26"/>
        </w:numPr>
      </w:pPr>
      <w:r w:rsidRPr="00F507A8">
        <w:t>The collection is low-burden for respondents.</w:t>
      </w:r>
    </w:p>
    <w:p w:rsidRPr="00F507A8" w:rsidR="007508E3" w:rsidP="007508E3" w:rsidRDefault="007508E3" w14:paraId="502D12FC" w14:textId="77777777">
      <w:pPr>
        <w:pStyle w:val="ListParagraph"/>
        <w:numPr>
          <w:ilvl w:val="0"/>
          <w:numId w:val="26"/>
        </w:numPr>
      </w:pPr>
      <w:r w:rsidRPr="00F507A8">
        <w:t xml:space="preserve">The collection is non-controversial and does </w:t>
      </w:r>
      <w:r w:rsidRPr="00F507A8">
        <w:rPr>
          <w:u w:val="single"/>
        </w:rPr>
        <w:t>not</w:t>
      </w:r>
      <w:r w:rsidRPr="00F507A8">
        <w:t xml:space="preserve"> raise issues of concern to other </w:t>
      </w:r>
      <w:r w:rsidRPr="00F507A8" w:rsidR="00306F1B">
        <w:t>F</w:t>
      </w:r>
      <w:r w:rsidRPr="00F507A8">
        <w:t>ederal agencies.</w:t>
      </w:r>
      <w:r w:rsidRPr="00F507A8">
        <w:tab/>
      </w:r>
      <w:r w:rsidRPr="00F507A8">
        <w:tab/>
      </w:r>
    </w:p>
    <w:p w:rsidRPr="00F507A8" w:rsidR="007508E3" w:rsidP="007508E3" w:rsidRDefault="007508E3" w14:paraId="502D12FD" w14:textId="77777777">
      <w:pPr>
        <w:pStyle w:val="ListParagraph"/>
        <w:numPr>
          <w:ilvl w:val="0"/>
          <w:numId w:val="26"/>
        </w:numPr>
        <w:ind w:right="86"/>
      </w:pPr>
      <w:r w:rsidRPr="00F507A8">
        <w:rPr>
          <w:spacing w:val="-3"/>
        </w:rPr>
        <w:t>I</w:t>
      </w:r>
      <w:r w:rsidRPr="00F507A8">
        <w:rPr>
          <w:spacing w:val="2"/>
        </w:rPr>
        <w:t>n</w:t>
      </w:r>
      <w:r w:rsidRPr="00F507A8">
        <w:t>fo</w:t>
      </w:r>
      <w:r w:rsidRPr="00F507A8">
        <w:rPr>
          <w:spacing w:val="-1"/>
        </w:rPr>
        <w:t>r</w:t>
      </w:r>
      <w:r w:rsidRPr="00F507A8">
        <w:t>mation</w:t>
      </w:r>
      <w:r w:rsidRPr="00F507A8">
        <w:rPr>
          <w:spacing w:val="3"/>
        </w:rPr>
        <w:t xml:space="preserve"> </w:t>
      </w:r>
      <w:r w:rsidRPr="00F507A8">
        <w:rPr>
          <w:spacing w:val="-2"/>
        </w:rPr>
        <w:t>g</w:t>
      </w:r>
      <w:r w:rsidRPr="00F507A8">
        <w:rPr>
          <w:spacing w:val="-1"/>
        </w:rPr>
        <w:t>a</w:t>
      </w:r>
      <w:r w:rsidRPr="00F507A8">
        <w:t>th</w:t>
      </w:r>
      <w:r w:rsidRPr="00F507A8">
        <w:rPr>
          <w:spacing w:val="2"/>
        </w:rPr>
        <w:t>e</w:t>
      </w:r>
      <w:r w:rsidRPr="00F507A8">
        <w:t>r</w:t>
      </w:r>
      <w:r w:rsidRPr="00F507A8">
        <w:rPr>
          <w:spacing w:val="-2"/>
        </w:rPr>
        <w:t>e</w:t>
      </w:r>
      <w:r w:rsidRPr="00F507A8">
        <w:t>d wi</w:t>
      </w:r>
      <w:r w:rsidRPr="00F507A8">
        <w:rPr>
          <w:spacing w:val="3"/>
        </w:rPr>
        <w:t>l</w:t>
      </w:r>
      <w:r w:rsidRPr="00F507A8">
        <w:t xml:space="preserve">l </w:t>
      </w:r>
      <w:r w:rsidRPr="00475F9D">
        <w:rPr>
          <w:u w:val="single"/>
        </w:rPr>
        <w:t>not</w:t>
      </w:r>
      <w:r w:rsidRPr="00F507A8">
        <w:rPr>
          <w:spacing w:val="1"/>
        </w:rPr>
        <w:t xml:space="preserve"> </w:t>
      </w:r>
      <w:r w:rsidRPr="00F507A8">
        <w:t>be</w:t>
      </w:r>
      <w:r w:rsidRPr="00F507A8">
        <w:rPr>
          <w:spacing w:val="-1"/>
        </w:rPr>
        <w:t xml:space="preserve"> </w:t>
      </w:r>
      <w:r w:rsidRPr="00F507A8">
        <w:t>used</w:t>
      </w:r>
      <w:r w:rsidRPr="00F507A8">
        <w:rPr>
          <w:spacing w:val="-1"/>
        </w:rPr>
        <w:t xml:space="preserve"> f</w:t>
      </w:r>
      <w:r w:rsidRPr="00F507A8">
        <w:t>or</w:t>
      </w:r>
      <w:r w:rsidRPr="00F507A8">
        <w:rPr>
          <w:spacing w:val="-1"/>
        </w:rPr>
        <w:t xml:space="preserve"> </w:t>
      </w:r>
      <w:r w:rsidRPr="00F507A8">
        <w:t>the pu</w:t>
      </w:r>
      <w:r w:rsidRPr="00F507A8">
        <w:rPr>
          <w:spacing w:val="-1"/>
        </w:rPr>
        <w:t>r</w:t>
      </w:r>
      <w:r w:rsidRPr="00F507A8">
        <w:rPr>
          <w:spacing w:val="2"/>
        </w:rPr>
        <w:t>p</w:t>
      </w:r>
      <w:r w:rsidRPr="00F507A8">
        <w:t xml:space="preserve">ose </w:t>
      </w:r>
      <w:r w:rsidRPr="00F507A8">
        <w:rPr>
          <w:spacing w:val="-1"/>
        </w:rPr>
        <w:t>o</w:t>
      </w:r>
      <w:r w:rsidRPr="00F507A8">
        <w:t>f</w:t>
      </w:r>
      <w:r w:rsidRPr="00F507A8">
        <w:rPr>
          <w:spacing w:val="2"/>
        </w:rPr>
        <w:t xml:space="preserve"> </w:t>
      </w:r>
      <w:r w:rsidRPr="00F507A8">
        <w:t>subs</w:t>
      </w:r>
      <w:r w:rsidRPr="00F507A8">
        <w:rPr>
          <w:spacing w:val="1"/>
        </w:rPr>
        <w:t>t</w:t>
      </w:r>
      <w:r w:rsidRPr="00F507A8">
        <w:rPr>
          <w:spacing w:val="-1"/>
        </w:rPr>
        <w:t>a</w:t>
      </w:r>
      <w:r w:rsidRPr="00F507A8">
        <w:t>nt</w:t>
      </w:r>
      <w:r w:rsidRPr="00F507A8">
        <w:rPr>
          <w:spacing w:val="1"/>
        </w:rPr>
        <w:t>i</w:t>
      </w:r>
      <w:r w:rsidRPr="00F507A8">
        <w:rPr>
          <w:spacing w:val="-1"/>
        </w:rPr>
        <w:t>a</w:t>
      </w:r>
      <w:r w:rsidRPr="00F507A8">
        <w:t>l</w:t>
      </w:r>
      <w:r w:rsidRPr="00F507A8">
        <w:rPr>
          <w:spacing w:val="3"/>
        </w:rPr>
        <w:t>l</w:t>
      </w:r>
      <w:r w:rsidRPr="00F507A8">
        <w:t>y</w:t>
      </w:r>
      <w:r w:rsidRPr="00F507A8">
        <w:rPr>
          <w:spacing w:val="-4"/>
        </w:rPr>
        <w:t xml:space="preserve"> </w:t>
      </w:r>
      <w:r w:rsidRPr="00F507A8">
        <w:t>inf</w:t>
      </w:r>
      <w:r w:rsidRPr="00F507A8">
        <w:rPr>
          <w:spacing w:val="2"/>
        </w:rPr>
        <w:t>o</w:t>
      </w:r>
      <w:r w:rsidRPr="00F507A8">
        <w:rPr>
          <w:spacing w:val="1"/>
        </w:rPr>
        <w:t>r</w:t>
      </w:r>
      <w:r w:rsidRPr="00F507A8">
        <w:t>m</w:t>
      </w:r>
      <w:r w:rsidRPr="00F507A8">
        <w:rPr>
          <w:spacing w:val="1"/>
        </w:rPr>
        <w:t>i</w:t>
      </w:r>
      <w:r w:rsidRPr="00F507A8">
        <w:t>ng</w:t>
      </w:r>
      <w:r w:rsidRPr="00F507A8">
        <w:rPr>
          <w:spacing w:val="-1"/>
        </w:rPr>
        <w:t xml:space="preserve"> </w:t>
      </w:r>
      <w:r w:rsidRPr="00F507A8">
        <w:t>influ</w:t>
      </w:r>
      <w:r w:rsidRPr="00F507A8">
        <w:rPr>
          <w:spacing w:val="-1"/>
        </w:rPr>
        <w:t>e</w:t>
      </w:r>
      <w:r w:rsidRPr="00F507A8">
        <w:t>nt</w:t>
      </w:r>
      <w:r w:rsidRPr="00F507A8">
        <w:rPr>
          <w:spacing w:val="1"/>
        </w:rPr>
        <w:t>i</w:t>
      </w:r>
      <w:r w:rsidRPr="00F507A8">
        <w:rPr>
          <w:spacing w:val="-1"/>
        </w:rPr>
        <w:t>a</w:t>
      </w:r>
      <w:r w:rsidRPr="00F507A8">
        <w:t>l pol</w:t>
      </w:r>
      <w:r w:rsidRPr="00F507A8">
        <w:rPr>
          <w:spacing w:val="1"/>
        </w:rPr>
        <w:t>ic</w:t>
      </w:r>
      <w:r w:rsidRPr="00F507A8">
        <w:t>y</w:t>
      </w:r>
      <w:r w:rsidRPr="00F507A8">
        <w:rPr>
          <w:spacing w:val="-5"/>
        </w:rPr>
        <w:t xml:space="preserve"> </w:t>
      </w:r>
      <w:r w:rsidRPr="00F507A8">
        <w:t>d</w:t>
      </w:r>
      <w:r w:rsidRPr="00F507A8">
        <w:rPr>
          <w:spacing w:val="1"/>
        </w:rPr>
        <w:t>e</w:t>
      </w:r>
      <w:r w:rsidRPr="00F507A8">
        <w:rPr>
          <w:spacing w:val="-1"/>
        </w:rPr>
        <w:t>c</w:t>
      </w:r>
      <w:r w:rsidRPr="00F507A8">
        <w:t>is</w:t>
      </w:r>
      <w:r w:rsidRPr="00F507A8">
        <w:rPr>
          <w:spacing w:val="1"/>
        </w:rPr>
        <w:t>i</w:t>
      </w:r>
      <w:r w:rsidRPr="00F507A8">
        <w:t>ons.</w:t>
      </w:r>
    </w:p>
    <w:p w:rsidRPr="00F507A8" w:rsidR="007A0098" w:rsidP="007508E3" w:rsidRDefault="007A0098" w14:paraId="502D12FE" w14:textId="77777777">
      <w:pPr>
        <w:pStyle w:val="ListParagraph"/>
        <w:numPr>
          <w:ilvl w:val="0"/>
          <w:numId w:val="26"/>
        </w:numPr>
        <w:ind w:right="86"/>
      </w:pPr>
      <w:r w:rsidRPr="00F507A8">
        <w:t>The collection is not statistically significant; the results are not intended to be generalizable beyond the survey population.</w:t>
      </w:r>
    </w:p>
    <w:p w:rsidRPr="00F507A8" w:rsidR="007508E3" w:rsidP="007508E3" w:rsidRDefault="007508E3" w14:paraId="502D12FF" w14:textId="77777777">
      <w:pPr>
        <w:pStyle w:val="ListParagraph"/>
        <w:numPr>
          <w:ilvl w:val="0"/>
          <w:numId w:val="26"/>
        </w:numPr>
        <w:ind w:right="86"/>
      </w:pPr>
      <w:r w:rsidRPr="00F507A8">
        <w:t>The results will not be used to measure regulatory compliance or for program evaluation.</w:t>
      </w:r>
    </w:p>
    <w:p w:rsidRPr="00713D29" w:rsidR="008C4E6C" w:rsidP="001C1054" w:rsidRDefault="008C4E6C" w14:paraId="502D1300" w14:textId="77777777"/>
    <w:sectPr w:rsidRPr="00713D29" w:rsidR="008C4E6C" w:rsidSect="001C1054">
      <w:footerReference w:type="default" r:id="rId14"/>
      <w:pgSz w:w="12240" w:h="15840"/>
      <w:pgMar w:top="920" w:right="1560" w:bottom="920" w:left="1340" w:header="720" w:footer="7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C316F" w14:textId="77777777" w:rsidR="00E320B5" w:rsidRDefault="00E320B5">
      <w:r>
        <w:separator/>
      </w:r>
    </w:p>
  </w:endnote>
  <w:endnote w:type="continuationSeparator" w:id="0">
    <w:p w14:paraId="3AD40A7B" w14:textId="77777777" w:rsidR="00E320B5" w:rsidRDefault="00E3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408065"/>
      <w:docPartObj>
        <w:docPartGallery w:val="Page Numbers (Bottom of Page)"/>
        <w:docPartUnique/>
      </w:docPartObj>
    </w:sdtPr>
    <w:sdtEndPr>
      <w:rPr>
        <w:noProof/>
      </w:rPr>
    </w:sdtEndPr>
    <w:sdtContent>
      <w:p w14:paraId="420E7CD0" w14:textId="14FA3725" w:rsidR="001171F0" w:rsidRDefault="00117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D1306" w14:textId="64DCFBF8"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B816C" w14:textId="77777777" w:rsidR="00E320B5" w:rsidRDefault="00E320B5">
      <w:r>
        <w:separator/>
      </w:r>
    </w:p>
  </w:footnote>
  <w:footnote w:type="continuationSeparator" w:id="0">
    <w:p w14:paraId="0DD44214" w14:textId="77777777" w:rsidR="00E320B5" w:rsidRDefault="00E320B5">
      <w:r>
        <w:continuationSeparator/>
      </w:r>
    </w:p>
  </w:footnote>
  <w:footnote w:id="1">
    <w:p w14:paraId="11E34C9A" w14:textId="77777777" w:rsidR="00F32C43" w:rsidRDefault="00F32C43" w:rsidP="00F32C43">
      <w:pPr>
        <w:pStyle w:val="FootnoteText"/>
      </w:pPr>
      <w:r>
        <w:rPr>
          <w:rStyle w:val="FootnoteReference"/>
        </w:rPr>
        <w:footnoteRef/>
      </w:r>
      <w:r>
        <w:t xml:space="preserve"> </w:t>
      </w:r>
      <w:hyperlink r:id="rId1" w:history="1">
        <w:r w:rsidRPr="005C616F">
          <w:rPr>
            <w:rStyle w:val="Hyperlink"/>
          </w:rPr>
          <w:t>https://www.consumerfinance.gov/data-research/research-reports/disclosure-time-barred-debt-and-revival-findings-cfpbs-quantitative-disclosure-testing/</w:t>
        </w:r>
      </w:hyperlink>
    </w:p>
  </w:footnote>
  <w:footnote w:id="2">
    <w:p w14:paraId="57FE57BB" w14:textId="77777777" w:rsidR="00F32C43" w:rsidRDefault="00F32C43" w:rsidP="00F32C43">
      <w:pPr>
        <w:pStyle w:val="FootnoteText"/>
      </w:pPr>
      <w:r>
        <w:rPr>
          <w:rStyle w:val="FootnoteReference"/>
        </w:rPr>
        <w:footnoteRef/>
      </w:r>
      <w:r>
        <w:t xml:space="preserve"> See footnote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E40"/>
    <w:multiLevelType w:val="hybridMultilevel"/>
    <w:tmpl w:val="C1D0BC02"/>
    <w:lvl w:ilvl="0" w:tplc="0409000F">
      <w:start w:val="1"/>
      <w:numFmt w:val="decimal"/>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0C0962F8"/>
    <w:multiLevelType w:val="hybridMultilevel"/>
    <w:tmpl w:val="178A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8"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1A4626"/>
    <w:multiLevelType w:val="hybridMultilevel"/>
    <w:tmpl w:val="E28820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476E32"/>
    <w:multiLevelType w:val="hybridMultilevel"/>
    <w:tmpl w:val="7AD828F0"/>
    <w:lvl w:ilvl="0" w:tplc="0409000F">
      <w:start w:val="5"/>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3812ABD"/>
    <w:multiLevelType w:val="hybridMultilevel"/>
    <w:tmpl w:val="04F6A422"/>
    <w:lvl w:ilvl="0" w:tplc="FB7C653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3E2A23F8">
      <w:start w:val="1"/>
      <w:numFmt w:val="lowerLetter"/>
      <w:lvlText w:val="(%3)"/>
      <w:lvlJc w:val="left"/>
      <w:pPr>
        <w:ind w:left="2080" w:hanging="360"/>
      </w:pPr>
      <w:rPr>
        <w:rFonts w:hint="default"/>
      </w:r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B18351F"/>
    <w:multiLevelType w:val="hybridMultilevel"/>
    <w:tmpl w:val="9112D86E"/>
    <w:lvl w:ilvl="0" w:tplc="251E3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3A4AB4"/>
    <w:multiLevelType w:val="hybridMultilevel"/>
    <w:tmpl w:val="59D8384A"/>
    <w:lvl w:ilvl="0" w:tplc="E8E6489A">
      <w:start w:val="1"/>
      <w:numFmt w:val="decimal"/>
      <w:lvlText w:val="%1."/>
      <w:lvlJc w:val="left"/>
      <w:pPr>
        <w:ind w:left="599" w:hanging="360"/>
      </w:pPr>
      <w:rPr>
        <w:rFonts w:hint="default"/>
        <w:b/>
        <w:bCs/>
        <w:w w:val="99"/>
        <w:lang w:val="en-US" w:eastAsia="en-US" w:bidi="en-US"/>
      </w:rPr>
    </w:lvl>
    <w:lvl w:ilvl="1" w:tplc="B89822B0">
      <w:start w:val="1"/>
      <w:numFmt w:val="lowerLetter"/>
      <w:lvlText w:val="%2."/>
      <w:lvlJc w:val="left"/>
      <w:pPr>
        <w:ind w:left="959" w:hanging="360"/>
      </w:pPr>
      <w:rPr>
        <w:rFonts w:hint="default"/>
        <w:spacing w:val="-1"/>
        <w:w w:val="99"/>
        <w:lang w:val="en-US" w:eastAsia="en-US" w:bidi="en-US"/>
      </w:rPr>
    </w:lvl>
    <w:lvl w:ilvl="2" w:tplc="4716867A">
      <w:start w:val="1"/>
      <w:numFmt w:val="decimal"/>
      <w:lvlText w:val="%3."/>
      <w:lvlJc w:val="left"/>
      <w:pPr>
        <w:ind w:left="1319" w:hanging="360"/>
      </w:pPr>
      <w:rPr>
        <w:rFonts w:ascii="Times New Roman" w:eastAsia="Times New Roman" w:hAnsi="Times New Roman" w:cs="Times New Roman" w:hint="default"/>
        <w:b/>
        <w:bCs/>
        <w:w w:val="99"/>
        <w:sz w:val="22"/>
        <w:szCs w:val="22"/>
        <w:lang w:val="en-US" w:eastAsia="en-US" w:bidi="en-US"/>
      </w:rPr>
    </w:lvl>
    <w:lvl w:ilvl="3" w:tplc="7B9A3432">
      <w:numFmt w:val="bullet"/>
      <w:lvlText w:val="•"/>
      <w:lvlJc w:val="left"/>
      <w:pPr>
        <w:ind w:left="1280" w:hanging="360"/>
      </w:pPr>
      <w:rPr>
        <w:rFonts w:hint="default"/>
        <w:lang w:val="en-US" w:eastAsia="en-US" w:bidi="en-US"/>
      </w:rPr>
    </w:lvl>
    <w:lvl w:ilvl="4" w:tplc="D7244140">
      <w:numFmt w:val="bullet"/>
      <w:lvlText w:val="•"/>
      <w:lvlJc w:val="left"/>
      <w:pPr>
        <w:ind w:left="1320" w:hanging="360"/>
      </w:pPr>
      <w:rPr>
        <w:rFonts w:hint="default"/>
        <w:lang w:val="en-US" w:eastAsia="en-US" w:bidi="en-US"/>
      </w:rPr>
    </w:lvl>
    <w:lvl w:ilvl="5" w:tplc="B13CF02E">
      <w:numFmt w:val="bullet"/>
      <w:lvlText w:val="•"/>
      <w:lvlJc w:val="left"/>
      <w:pPr>
        <w:ind w:left="2763" w:hanging="360"/>
      </w:pPr>
      <w:rPr>
        <w:rFonts w:hint="default"/>
        <w:lang w:val="en-US" w:eastAsia="en-US" w:bidi="en-US"/>
      </w:rPr>
    </w:lvl>
    <w:lvl w:ilvl="6" w:tplc="A356AA08">
      <w:numFmt w:val="bullet"/>
      <w:lvlText w:val="•"/>
      <w:lvlJc w:val="left"/>
      <w:pPr>
        <w:ind w:left="4206" w:hanging="360"/>
      </w:pPr>
      <w:rPr>
        <w:rFonts w:hint="default"/>
        <w:lang w:val="en-US" w:eastAsia="en-US" w:bidi="en-US"/>
      </w:rPr>
    </w:lvl>
    <w:lvl w:ilvl="7" w:tplc="7ED4EB62">
      <w:numFmt w:val="bullet"/>
      <w:lvlText w:val="•"/>
      <w:lvlJc w:val="left"/>
      <w:pPr>
        <w:ind w:left="5650" w:hanging="360"/>
      </w:pPr>
      <w:rPr>
        <w:rFonts w:hint="default"/>
        <w:lang w:val="en-US" w:eastAsia="en-US" w:bidi="en-US"/>
      </w:rPr>
    </w:lvl>
    <w:lvl w:ilvl="8" w:tplc="AAFCEF9A">
      <w:numFmt w:val="bullet"/>
      <w:lvlText w:val="•"/>
      <w:lvlJc w:val="left"/>
      <w:pPr>
        <w:ind w:left="7093" w:hanging="360"/>
      </w:pPr>
      <w:rPr>
        <w:rFonts w:hint="default"/>
        <w:lang w:val="en-US" w:eastAsia="en-US" w:bidi="en-US"/>
      </w:rPr>
    </w:lvl>
  </w:abstractNum>
  <w:abstractNum w:abstractNumId="23"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DAA5529"/>
    <w:multiLevelType w:val="hybridMultilevel"/>
    <w:tmpl w:val="9FCAADAA"/>
    <w:lvl w:ilvl="0" w:tplc="3E2A23F8">
      <w:start w:val="1"/>
      <w:numFmt w:val="lowerLetter"/>
      <w:lvlText w:val="(%1)"/>
      <w:lvlJc w:val="left"/>
      <w:pPr>
        <w:ind w:left="2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850FAE"/>
    <w:multiLevelType w:val="hybridMultilevel"/>
    <w:tmpl w:val="33C8D3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C3CA0"/>
    <w:multiLevelType w:val="hybridMultilevel"/>
    <w:tmpl w:val="241A6DDC"/>
    <w:lvl w:ilvl="0" w:tplc="3EC8E04A">
      <w:start w:val="6"/>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36"/>
  </w:num>
  <w:num w:numId="4">
    <w:abstractNumId w:val="38"/>
  </w:num>
  <w:num w:numId="5">
    <w:abstractNumId w:val="8"/>
  </w:num>
  <w:num w:numId="6">
    <w:abstractNumId w:val="2"/>
  </w:num>
  <w:num w:numId="7">
    <w:abstractNumId w:val="18"/>
  </w:num>
  <w:num w:numId="8">
    <w:abstractNumId w:val="29"/>
  </w:num>
  <w:num w:numId="9">
    <w:abstractNumId w:val="20"/>
  </w:num>
  <w:num w:numId="10">
    <w:abstractNumId w:val="3"/>
  </w:num>
  <w:num w:numId="11">
    <w:abstractNumId w:val="11"/>
  </w:num>
  <w:num w:numId="12">
    <w:abstractNumId w:val="13"/>
  </w:num>
  <w:num w:numId="13">
    <w:abstractNumId w:val="1"/>
  </w:num>
  <w:num w:numId="14">
    <w:abstractNumId w:val="34"/>
  </w:num>
  <w:num w:numId="15">
    <w:abstractNumId w:val="28"/>
  </w:num>
  <w:num w:numId="16">
    <w:abstractNumId w:val="24"/>
  </w:num>
  <w:num w:numId="17">
    <w:abstractNumId w:val="9"/>
  </w:num>
  <w:num w:numId="18">
    <w:abstractNumId w:val="10"/>
  </w:num>
  <w:num w:numId="19">
    <w:abstractNumId w:val="39"/>
  </w:num>
  <w:num w:numId="20">
    <w:abstractNumId w:val="14"/>
  </w:num>
  <w:num w:numId="21">
    <w:abstractNumId w:val="17"/>
  </w:num>
  <w:num w:numId="22">
    <w:abstractNumId w:val="5"/>
  </w:num>
  <w:num w:numId="23">
    <w:abstractNumId w:val="7"/>
  </w:num>
  <w:num w:numId="24">
    <w:abstractNumId w:val="25"/>
  </w:num>
  <w:num w:numId="25">
    <w:abstractNumId w:val="16"/>
  </w:num>
  <w:num w:numId="26">
    <w:abstractNumId w:val="23"/>
  </w:num>
  <w:num w:numId="27">
    <w:abstractNumId w:val="12"/>
  </w:num>
  <w:num w:numId="28">
    <w:abstractNumId w:val="32"/>
  </w:num>
  <w:num w:numId="29">
    <w:abstractNumId w:val="27"/>
  </w:num>
  <w:num w:numId="30">
    <w:abstractNumId w:val="26"/>
  </w:num>
  <w:num w:numId="31">
    <w:abstractNumId w:val="31"/>
  </w:num>
  <w:num w:numId="32">
    <w:abstractNumId w:val="4"/>
  </w:num>
  <w:num w:numId="33">
    <w:abstractNumId w:val="33"/>
  </w:num>
  <w:num w:numId="34">
    <w:abstractNumId w:val="35"/>
  </w:num>
  <w:num w:numId="35">
    <w:abstractNumId w:val="22"/>
  </w:num>
  <w:num w:numId="36">
    <w:abstractNumId w:val="19"/>
  </w:num>
  <w:num w:numId="37">
    <w:abstractNumId w:val="6"/>
  </w:num>
  <w:num w:numId="38">
    <w:abstractNumId w:val="30"/>
  </w:num>
  <w:num w:numId="39">
    <w:abstractNumId w:val="15"/>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109"/>
    <w:rsid w:val="000114F7"/>
    <w:rsid w:val="00013E02"/>
    <w:rsid w:val="0001413D"/>
    <w:rsid w:val="00016542"/>
    <w:rsid w:val="00021835"/>
    <w:rsid w:val="00023A57"/>
    <w:rsid w:val="000339B3"/>
    <w:rsid w:val="000356FD"/>
    <w:rsid w:val="00037FBE"/>
    <w:rsid w:val="00043D89"/>
    <w:rsid w:val="00046C97"/>
    <w:rsid w:val="00047A64"/>
    <w:rsid w:val="00061BDF"/>
    <w:rsid w:val="00067329"/>
    <w:rsid w:val="0006753A"/>
    <w:rsid w:val="000702CE"/>
    <w:rsid w:val="00075A04"/>
    <w:rsid w:val="00077340"/>
    <w:rsid w:val="00080586"/>
    <w:rsid w:val="000A1C35"/>
    <w:rsid w:val="000A364B"/>
    <w:rsid w:val="000A4A49"/>
    <w:rsid w:val="000A716D"/>
    <w:rsid w:val="000B2838"/>
    <w:rsid w:val="000B550C"/>
    <w:rsid w:val="000B792C"/>
    <w:rsid w:val="000C3C86"/>
    <w:rsid w:val="000D3BFD"/>
    <w:rsid w:val="000D44CA"/>
    <w:rsid w:val="000E200B"/>
    <w:rsid w:val="000F68BE"/>
    <w:rsid w:val="001171F0"/>
    <w:rsid w:val="00136B67"/>
    <w:rsid w:val="00137EEB"/>
    <w:rsid w:val="00142F75"/>
    <w:rsid w:val="00143C67"/>
    <w:rsid w:val="00147E42"/>
    <w:rsid w:val="00164139"/>
    <w:rsid w:val="0018294A"/>
    <w:rsid w:val="00192201"/>
    <w:rsid w:val="001927A4"/>
    <w:rsid w:val="00194AC6"/>
    <w:rsid w:val="001A09E0"/>
    <w:rsid w:val="001A23B0"/>
    <w:rsid w:val="001A25CC"/>
    <w:rsid w:val="001B0AAA"/>
    <w:rsid w:val="001B51A3"/>
    <w:rsid w:val="001C1054"/>
    <w:rsid w:val="001C39F7"/>
    <w:rsid w:val="001C7A91"/>
    <w:rsid w:val="001D0281"/>
    <w:rsid w:val="001D0B48"/>
    <w:rsid w:val="001D2CC5"/>
    <w:rsid w:val="001D7DBB"/>
    <w:rsid w:val="001E0987"/>
    <w:rsid w:val="001E713F"/>
    <w:rsid w:val="001F1246"/>
    <w:rsid w:val="002042C5"/>
    <w:rsid w:val="0020537A"/>
    <w:rsid w:val="00212897"/>
    <w:rsid w:val="00221809"/>
    <w:rsid w:val="00237B48"/>
    <w:rsid w:val="0024521E"/>
    <w:rsid w:val="00255BF1"/>
    <w:rsid w:val="002562F9"/>
    <w:rsid w:val="00263C3D"/>
    <w:rsid w:val="00271167"/>
    <w:rsid w:val="00274D0B"/>
    <w:rsid w:val="002842BC"/>
    <w:rsid w:val="002A5093"/>
    <w:rsid w:val="002B3C95"/>
    <w:rsid w:val="002C118E"/>
    <w:rsid w:val="002C4574"/>
    <w:rsid w:val="002D020E"/>
    <w:rsid w:val="002D0B92"/>
    <w:rsid w:val="002F4669"/>
    <w:rsid w:val="002F5FF4"/>
    <w:rsid w:val="00306F1B"/>
    <w:rsid w:val="00314A78"/>
    <w:rsid w:val="003151D4"/>
    <w:rsid w:val="00324FD6"/>
    <w:rsid w:val="00325BE1"/>
    <w:rsid w:val="003373C0"/>
    <w:rsid w:val="00363D7F"/>
    <w:rsid w:val="003642E1"/>
    <w:rsid w:val="0036506B"/>
    <w:rsid w:val="0037177F"/>
    <w:rsid w:val="003822CF"/>
    <w:rsid w:val="00382E3D"/>
    <w:rsid w:val="003851F0"/>
    <w:rsid w:val="003907DA"/>
    <w:rsid w:val="00397D2E"/>
    <w:rsid w:val="003A010D"/>
    <w:rsid w:val="003A0167"/>
    <w:rsid w:val="003C366A"/>
    <w:rsid w:val="003C4E67"/>
    <w:rsid w:val="003C5460"/>
    <w:rsid w:val="003D3454"/>
    <w:rsid w:val="003D5BBE"/>
    <w:rsid w:val="003E2ED7"/>
    <w:rsid w:val="003E3C61"/>
    <w:rsid w:val="003E4CEC"/>
    <w:rsid w:val="003F1C5B"/>
    <w:rsid w:val="003F26CE"/>
    <w:rsid w:val="00410F81"/>
    <w:rsid w:val="00430ECC"/>
    <w:rsid w:val="0043206F"/>
    <w:rsid w:val="00434E33"/>
    <w:rsid w:val="004373F1"/>
    <w:rsid w:val="00441434"/>
    <w:rsid w:val="004435CA"/>
    <w:rsid w:val="0045264C"/>
    <w:rsid w:val="004564BF"/>
    <w:rsid w:val="004713ED"/>
    <w:rsid w:val="00471DD6"/>
    <w:rsid w:val="00475F9D"/>
    <w:rsid w:val="00485DA4"/>
    <w:rsid w:val="004876EC"/>
    <w:rsid w:val="004906B9"/>
    <w:rsid w:val="00490CA4"/>
    <w:rsid w:val="0049151E"/>
    <w:rsid w:val="004952D6"/>
    <w:rsid w:val="004C3B20"/>
    <w:rsid w:val="004C76D0"/>
    <w:rsid w:val="004D475D"/>
    <w:rsid w:val="004D6E14"/>
    <w:rsid w:val="004E1F1A"/>
    <w:rsid w:val="004E1FC4"/>
    <w:rsid w:val="004F0E18"/>
    <w:rsid w:val="004F37F2"/>
    <w:rsid w:val="005009B0"/>
    <w:rsid w:val="00503F20"/>
    <w:rsid w:val="00505892"/>
    <w:rsid w:val="00514298"/>
    <w:rsid w:val="00517AEC"/>
    <w:rsid w:val="00520446"/>
    <w:rsid w:val="005276B5"/>
    <w:rsid w:val="005559F1"/>
    <w:rsid w:val="00556135"/>
    <w:rsid w:val="0057411C"/>
    <w:rsid w:val="005751ED"/>
    <w:rsid w:val="005762F0"/>
    <w:rsid w:val="005850D0"/>
    <w:rsid w:val="00586692"/>
    <w:rsid w:val="005963BE"/>
    <w:rsid w:val="0059738B"/>
    <w:rsid w:val="005A1006"/>
    <w:rsid w:val="005C03C2"/>
    <w:rsid w:val="005D0F54"/>
    <w:rsid w:val="005D19FA"/>
    <w:rsid w:val="005E714A"/>
    <w:rsid w:val="00600D87"/>
    <w:rsid w:val="006140A0"/>
    <w:rsid w:val="00614DC4"/>
    <w:rsid w:val="00615495"/>
    <w:rsid w:val="00620B83"/>
    <w:rsid w:val="00622387"/>
    <w:rsid w:val="00631060"/>
    <w:rsid w:val="00632758"/>
    <w:rsid w:val="00635087"/>
    <w:rsid w:val="00636621"/>
    <w:rsid w:val="00640909"/>
    <w:rsid w:val="00642B49"/>
    <w:rsid w:val="00643A78"/>
    <w:rsid w:val="006516EC"/>
    <w:rsid w:val="006540CB"/>
    <w:rsid w:val="0066030B"/>
    <w:rsid w:val="00671686"/>
    <w:rsid w:val="006731FF"/>
    <w:rsid w:val="0067635D"/>
    <w:rsid w:val="00682F88"/>
    <w:rsid w:val="006832D9"/>
    <w:rsid w:val="006866C5"/>
    <w:rsid w:val="0069403B"/>
    <w:rsid w:val="006A3A30"/>
    <w:rsid w:val="006A48D0"/>
    <w:rsid w:val="006A50C3"/>
    <w:rsid w:val="006C36C9"/>
    <w:rsid w:val="006E3B84"/>
    <w:rsid w:val="006E7D81"/>
    <w:rsid w:val="006F3DDE"/>
    <w:rsid w:val="006F4368"/>
    <w:rsid w:val="00704678"/>
    <w:rsid w:val="007071FB"/>
    <w:rsid w:val="007121F4"/>
    <w:rsid w:val="00713D29"/>
    <w:rsid w:val="00715B8C"/>
    <w:rsid w:val="0072004B"/>
    <w:rsid w:val="007353C3"/>
    <w:rsid w:val="007425E7"/>
    <w:rsid w:val="007508E3"/>
    <w:rsid w:val="007838A4"/>
    <w:rsid w:val="007A0098"/>
    <w:rsid w:val="007B0AFF"/>
    <w:rsid w:val="007C04D5"/>
    <w:rsid w:val="007C4173"/>
    <w:rsid w:val="007C481A"/>
    <w:rsid w:val="007C7E7F"/>
    <w:rsid w:val="007D2123"/>
    <w:rsid w:val="007D251B"/>
    <w:rsid w:val="007E03AC"/>
    <w:rsid w:val="007E2224"/>
    <w:rsid w:val="007E2E4D"/>
    <w:rsid w:val="007E3AE3"/>
    <w:rsid w:val="007E56FA"/>
    <w:rsid w:val="007E641F"/>
    <w:rsid w:val="007F0D9B"/>
    <w:rsid w:val="00802607"/>
    <w:rsid w:val="00806C5B"/>
    <w:rsid w:val="008101A5"/>
    <w:rsid w:val="00812F77"/>
    <w:rsid w:val="008158E6"/>
    <w:rsid w:val="00815E90"/>
    <w:rsid w:val="008222BD"/>
    <w:rsid w:val="00822664"/>
    <w:rsid w:val="008308A5"/>
    <w:rsid w:val="00832097"/>
    <w:rsid w:val="00842D4E"/>
    <w:rsid w:val="00843796"/>
    <w:rsid w:val="008501A2"/>
    <w:rsid w:val="00854659"/>
    <w:rsid w:val="00860661"/>
    <w:rsid w:val="00872B9E"/>
    <w:rsid w:val="0087426B"/>
    <w:rsid w:val="00875D2C"/>
    <w:rsid w:val="0087678C"/>
    <w:rsid w:val="00885E76"/>
    <w:rsid w:val="00894FDB"/>
    <w:rsid w:val="00895229"/>
    <w:rsid w:val="008C06EE"/>
    <w:rsid w:val="008C1672"/>
    <w:rsid w:val="008C4E6C"/>
    <w:rsid w:val="008E2734"/>
    <w:rsid w:val="008E7431"/>
    <w:rsid w:val="008F0203"/>
    <w:rsid w:val="008F50D4"/>
    <w:rsid w:val="00904A95"/>
    <w:rsid w:val="009239AA"/>
    <w:rsid w:val="00927E7B"/>
    <w:rsid w:val="009307C5"/>
    <w:rsid w:val="0093244E"/>
    <w:rsid w:val="00935ADA"/>
    <w:rsid w:val="00943271"/>
    <w:rsid w:val="00943340"/>
    <w:rsid w:val="00946B6C"/>
    <w:rsid w:val="009470A2"/>
    <w:rsid w:val="00955A71"/>
    <w:rsid w:val="009607A9"/>
    <w:rsid w:val="0096108F"/>
    <w:rsid w:val="009720CC"/>
    <w:rsid w:val="00975718"/>
    <w:rsid w:val="009757BA"/>
    <w:rsid w:val="009848F0"/>
    <w:rsid w:val="00986507"/>
    <w:rsid w:val="0099423D"/>
    <w:rsid w:val="009B494D"/>
    <w:rsid w:val="009C13B9"/>
    <w:rsid w:val="009C33B0"/>
    <w:rsid w:val="009C53DA"/>
    <w:rsid w:val="009C5D1D"/>
    <w:rsid w:val="009D01A2"/>
    <w:rsid w:val="009D2BF2"/>
    <w:rsid w:val="009D7CFD"/>
    <w:rsid w:val="009F0352"/>
    <w:rsid w:val="009F2B79"/>
    <w:rsid w:val="009F5923"/>
    <w:rsid w:val="00A006A7"/>
    <w:rsid w:val="00A00CC0"/>
    <w:rsid w:val="00A0222B"/>
    <w:rsid w:val="00A14293"/>
    <w:rsid w:val="00A30F3D"/>
    <w:rsid w:val="00A322D9"/>
    <w:rsid w:val="00A335C5"/>
    <w:rsid w:val="00A403BB"/>
    <w:rsid w:val="00A55F38"/>
    <w:rsid w:val="00A674DF"/>
    <w:rsid w:val="00A7242F"/>
    <w:rsid w:val="00A83AA6"/>
    <w:rsid w:val="00A850B0"/>
    <w:rsid w:val="00A9008D"/>
    <w:rsid w:val="00A94E2D"/>
    <w:rsid w:val="00A95606"/>
    <w:rsid w:val="00A96ADA"/>
    <w:rsid w:val="00AA57AD"/>
    <w:rsid w:val="00AB78E0"/>
    <w:rsid w:val="00AC7F7A"/>
    <w:rsid w:val="00AD38E2"/>
    <w:rsid w:val="00AD6330"/>
    <w:rsid w:val="00AE07E6"/>
    <w:rsid w:val="00AE1809"/>
    <w:rsid w:val="00AE40A6"/>
    <w:rsid w:val="00AE652E"/>
    <w:rsid w:val="00AE7EC7"/>
    <w:rsid w:val="00B040A0"/>
    <w:rsid w:val="00B05F21"/>
    <w:rsid w:val="00B123B4"/>
    <w:rsid w:val="00B211B2"/>
    <w:rsid w:val="00B31CDB"/>
    <w:rsid w:val="00B3500D"/>
    <w:rsid w:val="00B636CE"/>
    <w:rsid w:val="00B73D64"/>
    <w:rsid w:val="00B75103"/>
    <w:rsid w:val="00B76FE5"/>
    <w:rsid w:val="00B80D76"/>
    <w:rsid w:val="00BA1A07"/>
    <w:rsid w:val="00BA2105"/>
    <w:rsid w:val="00BA39D7"/>
    <w:rsid w:val="00BA7E06"/>
    <w:rsid w:val="00BB43B5"/>
    <w:rsid w:val="00BB6219"/>
    <w:rsid w:val="00BC4373"/>
    <w:rsid w:val="00BD290F"/>
    <w:rsid w:val="00BE11E2"/>
    <w:rsid w:val="00BE501B"/>
    <w:rsid w:val="00BF16ED"/>
    <w:rsid w:val="00C14CC4"/>
    <w:rsid w:val="00C33C52"/>
    <w:rsid w:val="00C36CC5"/>
    <w:rsid w:val="00C40D8B"/>
    <w:rsid w:val="00C44C4D"/>
    <w:rsid w:val="00C5370E"/>
    <w:rsid w:val="00C56511"/>
    <w:rsid w:val="00C61889"/>
    <w:rsid w:val="00C61CC9"/>
    <w:rsid w:val="00C73D0A"/>
    <w:rsid w:val="00C7503B"/>
    <w:rsid w:val="00C7694E"/>
    <w:rsid w:val="00C77C78"/>
    <w:rsid w:val="00C8407A"/>
    <w:rsid w:val="00C8488C"/>
    <w:rsid w:val="00C86E91"/>
    <w:rsid w:val="00C90602"/>
    <w:rsid w:val="00CA0599"/>
    <w:rsid w:val="00CA2650"/>
    <w:rsid w:val="00CA576C"/>
    <w:rsid w:val="00CB1078"/>
    <w:rsid w:val="00CC29DF"/>
    <w:rsid w:val="00CC4684"/>
    <w:rsid w:val="00CC6FAF"/>
    <w:rsid w:val="00CC7A69"/>
    <w:rsid w:val="00D16B02"/>
    <w:rsid w:val="00D22206"/>
    <w:rsid w:val="00D24698"/>
    <w:rsid w:val="00D3227A"/>
    <w:rsid w:val="00D5251A"/>
    <w:rsid w:val="00D6383F"/>
    <w:rsid w:val="00D6490E"/>
    <w:rsid w:val="00D714F1"/>
    <w:rsid w:val="00D763EB"/>
    <w:rsid w:val="00D825DB"/>
    <w:rsid w:val="00D87124"/>
    <w:rsid w:val="00D913A3"/>
    <w:rsid w:val="00D9168E"/>
    <w:rsid w:val="00D919B3"/>
    <w:rsid w:val="00D955EB"/>
    <w:rsid w:val="00DA0828"/>
    <w:rsid w:val="00DA2768"/>
    <w:rsid w:val="00DB59D0"/>
    <w:rsid w:val="00DC1ECD"/>
    <w:rsid w:val="00DC33D3"/>
    <w:rsid w:val="00DD0E84"/>
    <w:rsid w:val="00DD622D"/>
    <w:rsid w:val="00E02203"/>
    <w:rsid w:val="00E03ED4"/>
    <w:rsid w:val="00E0471E"/>
    <w:rsid w:val="00E0475A"/>
    <w:rsid w:val="00E1427F"/>
    <w:rsid w:val="00E26329"/>
    <w:rsid w:val="00E307E2"/>
    <w:rsid w:val="00E310A3"/>
    <w:rsid w:val="00E32086"/>
    <w:rsid w:val="00E320B5"/>
    <w:rsid w:val="00E404BE"/>
    <w:rsid w:val="00E40B50"/>
    <w:rsid w:val="00E50293"/>
    <w:rsid w:val="00E550E1"/>
    <w:rsid w:val="00E61670"/>
    <w:rsid w:val="00E65FFC"/>
    <w:rsid w:val="00E72B7E"/>
    <w:rsid w:val="00E77889"/>
    <w:rsid w:val="00E80951"/>
    <w:rsid w:val="00E86CC6"/>
    <w:rsid w:val="00E94669"/>
    <w:rsid w:val="00EA37B2"/>
    <w:rsid w:val="00EB56B3"/>
    <w:rsid w:val="00EC6127"/>
    <w:rsid w:val="00ED6492"/>
    <w:rsid w:val="00ED6C49"/>
    <w:rsid w:val="00EE242E"/>
    <w:rsid w:val="00EE3AD1"/>
    <w:rsid w:val="00EF0FBD"/>
    <w:rsid w:val="00EF2095"/>
    <w:rsid w:val="00EF352E"/>
    <w:rsid w:val="00EF528E"/>
    <w:rsid w:val="00EF64A7"/>
    <w:rsid w:val="00F00DAE"/>
    <w:rsid w:val="00F0258C"/>
    <w:rsid w:val="00F03E5D"/>
    <w:rsid w:val="00F06866"/>
    <w:rsid w:val="00F15956"/>
    <w:rsid w:val="00F24CFC"/>
    <w:rsid w:val="00F3170F"/>
    <w:rsid w:val="00F31858"/>
    <w:rsid w:val="00F32C43"/>
    <w:rsid w:val="00F4240F"/>
    <w:rsid w:val="00F507A8"/>
    <w:rsid w:val="00F54D86"/>
    <w:rsid w:val="00F57A01"/>
    <w:rsid w:val="00F63E7E"/>
    <w:rsid w:val="00F74667"/>
    <w:rsid w:val="00F75371"/>
    <w:rsid w:val="00F829B3"/>
    <w:rsid w:val="00F85219"/>
    <w:rsid w:val="00F8707B"/>
    <w:rsid w:val="00F91191"/>
    <w:rsid w:val="00F95CFF"/>
    <w:rsid w:val="00F976B0"/>
    <w:rsid w:val="00FA512B"/>
    <w:rsid w:val="00FA6DE7"/>
    <w:rsid w:val="00FA7432"/>
    <w:rsid w:val="00FC0A8E"/>
    <w:rsid w:val="00FC1481"/>
    <w:rsid w:val="00FC16D1"/>
    <w:rsid w:val="00FC752F"/>
    <w:rsid w:val="00FD1322"/>
    <w:rsid w:val="00FE2FA6"/>
    <w:rsid w:val="00FE3DF2"/>
    <w:rsid w:val="00FF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2D1266"/>
  <w15:docId w15:val="{D5698F80-7828-42AF-92AB-0E16A39D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1"/>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620B83"/>
    <w:rPr>
      <w:sz w:val="24"/>
      <w:szCs w:val="24"/>
    </w:rPr>
  </w:style>
  <w:style w:type="character" w:customStyle="1" w:styleId="et03">
    <w:name w:val="et03"/>
    <w:basedOn w:val="DefaultParagraphFont"/>
    <w:rsid w:val="00AD6330"/>
  </w:style>
  <w:style w:type="paragraph" w:styleId="FootnoteText">
    <w:name w:val="footnote text"/>
    <w:basedOn w:val="Normal"/>
    <w:link w:val="FootnoteTextChar"/>
    <w:uiPriority w:val="99"/>
    <w:semiHidden/>
    <w:unhideWhenUsed/>
    <w:rsid w:val="00FA512B"/>
    <w:rPr>
      <w:sz w:val="20"/>
      <w:szCs w:val="20"/>
    </w:rPr>
  </w:style>
  <w:style w:type="character" w:customStyle="1" w:styleId="FootnoteTextChar">
    <w:name w:val="Footnote Text Char"/>
    <w:basedOn w:val="DefaultParagraphFont"/>
    <w:link w:val="FootnoteText"/>
    <w:uiPriority w:val="99"/>
    <w:semiHidden/>
    <w:rsid w:val="00FA512B"/>
  </w:style>
  <w:style w:type="character" w:styleId="FootnoteReference">
    <w:name w:val="footnote reference"/>
    <w:basedOn w:val="DefaultParagraphFont"/>
    <w:uiPriority w:val="99"/>
    <w:semiHidden/>
    <w:unhideWhenUsed/>
    <w:rsid w:val="00FA512B"/>
    <w:rPr>
      <w:vertAlign w:val="superscript"/>
    </w:rPr>
  </w:style>
  <w:style w:type="character" w:styleId="UnresolvedMention">
    <w:name w:val="Unresolved Mention"/>
    <w:basedOn w:val="DefaultParagraphFont"/>
    <w:uiPriority w:val="99"/>
    <w:semiHidden/>
    <w:unhideWhenUsed/>
    <w:rsid w:val="00117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37265">
      <w:bodyDiv w:val="1"/>
      <w:marLeft w:val="0"/>
      <w:marRight w:val="0"/>
      <w:marTop w:val="0"/>
      <w:marBottom w:val="0"/>
      <w:divBdr>
        <w:top w:val="none" w:sz="0" w:space="0" w:color="auto"/>
        <w:left w:val="none" w:sz="0" w:space="0" w:color="auto"/>
        <w:bottom w:val="none" w:sz="0" w:space="0" w:color="auto"/>
        <w:right w:val="none" w:sz="0" w:space="0" w:color="auto"/>
      </w:divBdr>
      <w:divsChild>
        <w:div w:id="2082484421">
          <w:marLeft w:val="0"/>
          <w:marRight w:val="0"/>
          <w:marTop w:val="0"/>
          <w:marBottom w:val="0"/>
          <w:divBdr>
            <w:top w:val="none" w:sz="0" w:space="0" w:color="auto"/>
            <w:left w:val="none" w:sz="0" w:space="0" w:color="auto"/>
            <w:bottom w:val="none" w:sz="0" w:space="0" w:color="auto"/>
            <w:right w:val="none" w:sz="0" w:space="0" w:color="auto"/>
          </w:divBdr>
        </w:div>
      </w:divsChild>
    </w:div>
    <w:div w:id="689525752">
      <w:bodyDiv w:val="1"/>
      <w:marLeft w:val="0"/>
      <w:marRight w:val="0"/>
      <w:marTop w:val="0"/>
      <w:marBottom w:val="0"/>
      <w:divBdr>
        <w:top w:val="none" w:sz="0" w:space="0" w:color="auto"/>
        <w:left w:val="none" w:sz="0" w:space="0" w:color="auto"/>
        <w:bottom w:val="none" w:sz="0" w:space="0" w:color="auto"/>
        <w:right w:val="none" w:sz="0" w:space="0" w:color="auto"/>
      </w:divBdr>
    </w:div>
    <w:div w:id="795375366">
      <w:bodyDiv w:val="1"/>
      <w:marLeft w:val="0"/>
      <w:marRight w:val="0"/>
      <w:marTop w:val="0"/>
      <w:marBottom w:val="0"/>
      <w:divBdr>
        <w:top w:val="none" w:sz="0" w:space="0" w:color="auto"/>
        <w:left w:val="none" w:sz="0" w:space="0" w:color="auto"/>
        <w:bottom w:val="none" w:sz="0" w:space="0" w:color="auto"/>
        <w:right w:val="none" w:sz="0" w:space="0" w:color="auto"/>
      </w:divBdr>
    </w:div>
    <w:div w:id="1136023771">
      <w:bodyDiv w:val="1"/>
      <w:marLeft w:val="0"/>
      <w:marRight w:val="0"/>
      <w:marTop w:val="0"/>
      <w:marBottom w:val="0"/>
      <w:divBdr>
        <w:top w:val="none" w:sz="0" w:space="0" w:color="auto"/>
        <w:left w:val="none" w:sz="0" w:space="0" w:color="auto"/>
        <w:bottom w:val="none" w:sz="0" w:space="0" w:color="auto"/>
        <w:right w:val="none" w:sz="0" w:space="0" w:color="auto"/>
      </w:divBdr>
    </w:div>
    <w:div w:id="1225292401">
      <w:bodyDiv w:val="1"/>
      <w:marLeft w:val="0"/>
      <w:marRight w:val="0"/>
      <w:marTop w:val="0"/>
      <w:marBottom w:val="0"/>
      <w:divBdr>
        <w:top w:val="none" w:sz="0" w:space="0" w:color="auto"/>
        <w:left w:val="none" w:sz="0" w:space="0" w:color="auto"/>
        <w:bottom w:val="none" w:sz="0" w:space="0" w:color="auto"/>
        <w:right w:val="none" w:sz="0" w:space="0" w:color="auto"/>
      </w:divBdr>
    </w:div>
    <w:div w:id="18171452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files.consumerfinance.gov/f/201406_cfpb_consumer-experience-research_pia.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nsumerfinance.gov/data-research/research-reports/disclosure-time-barred-debt-and-revival-findings-cfpbs-quantitative-disclosure-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CFPBCDO-2004683907-2106923</_dlc_DocId>
    <_dlc_DocIdUrl xmlns="5e6029f0-4cb2-4578-9dca-18ac3ce3eaca">
      <Url>https://bcfp365.sharepoint.com/sites/cdo/_layouts/15/DocIdRedir.aspx?ID=CFPBCDO-2004683907-2106923</Url>
      <Description>CFPBCDO-2004683907-2106923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03" ma:contentTypeDescription="" ma:contentTypeScope="" ma:versionID="5a487c7d223b58dbdbea79ab70bcbfd2">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2E6EB-1189-4754-A388-6452924D306E}">
  <ds:schemaRefs>
    <ds:schemaRef ds:uri="http://schemas.microsoft.com/sharepoint/events"/>
  </ds:schemaRefs>
</ds:datastoreItem>
</file>

<file path=customXml/itemProps2.xml><?xml version="1.0" encoding="utf-8"?>
<ds:datastoreItem xmlns:ds="http://schemas.openxmlformats.org/officeDocument/2006/customXml" ds:itemID="{CD4F993F-867A-4ED9-91BE-10BDD83A778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b7b1617e-6a94-47af-ad6f-e20732201e63"/>
    <ds:schemaRef ds:uri="http://schemas.openxmlformats.org/package/2006/metadata/core-properties"/>
    <ds:schemaRef ds:uri="http://purl.org/dc/terms/"/>
    <ds:schemaRef ds:uri="5e6029f0-4cb2-4578-9dca-18ac3ce3eaca"/>
    <ds:schemaRef ds:uri="8ad2afa7-ad9a-4224-8e10-f94b3ba3fda2"/>
    <ds:schemaRef ds:uri="http://www.w3.org/XML/1998/namespace"/>
    <ds:schemaRef ds:uri="http://purl.org/dc/dcmitype/"/>
  </ds:schemaRefs>
</ds:datastoreItem>
</file>

<file path=customXml/itemProps3.xml><?xml version="1.0" encoding="utf-8"?>
<ds:datastoreItem xmlns:ds="http://schemas.openxmlformats.org/officeDocument/2006/customXml" ds:itemID="{D69E5DC9-B2EF-48A4-BD34-71AAC13847D2}">
  <ds:schemaRefs>
    <ds:schemaRef ds:uri="http://schemas.microsoft.com/sharepoint/v3/contenttype/forms"/>
  </ds:schemaRefs>
</ds:datastoreItem>
</file>

<file path=customXml/itemProps4.xml><?xml version="1.0" encoding="utf-8"?>
<ds:datastoreItem xmlns:ds="http://schemas.openxmlformats.org/officeDocument/2006/customXml" ds:itemID="{D1736761-B0E5-487C-8AA9-6C6CF15BD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0C04BD-7453-492D-931F-9C0B7DC503D0}">
  <ds:schemaRefs>
    <ds:schemaRef ds:uri="Microsoft.SharePoint.Taxonomy.ContentTypeSync"/>
  </ds:schemaRefs>
</ds:datastoreItem>
</file>

<file path=customXml/itemProps6.xml><?xml version="1.0" encoding="utf-8"?>
<ds:datastoreItem xmlns:ds="http://schemas.openxmlformats.org/officeDocument/2006/customXml" ds:itemID="{3657F7A2-B470-464B-A946-A0AAFB00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3399</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King, Darrin (CFPB)</cp:lastModifiedBy>
  <cp:revision>17</cp:revision>
  <cp:lastPrinted>2010-10-04T16:59:00Z</cp:lastPrinted>
  <dcterms:created xsi:type="dcterms:W3CDTF">2020-08-12T21:46:00Z</dcterms:created>
  <dcterms:modified xsi:type="dcterms:W3CDTF">2020-08-13T14:41:00Z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Order">
    <vt:r8>3106400</vt:r8>
  </property>
  <property fmtid="{D5CDD505-2E9C-101B-9397-08002B2CF9AE}" pid="5" name="TaxKeyword">
    <vt:lpwstr/>
  </property>
  <property fmtid="{D5CDD505-2E9C-101B-9397-08002B2CF9AE}" pid="6" name="_dlc_DocIdItemGuid">
    <vt:lpwstr>31736c35-caf1-4a12-a9c2-2b8cbbfa197c</vt:lpwstr>
  </property>
</Properties>
</file>