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7BA3" w:rsidP="00D67BA3" w14:paraId="1F4CD6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67BA3" w:rsidP="00D67BA3" w14:paraId="61D6FC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67BA3" w:rsidP="00D67BA3" w14:paraId="0FB2225C" w14:textId="5D772750">
      <w:pPr>
        <w:pStyle w:val="Heading1"/>
      </w:pPr>
      <w:r>
        <w:t xml:space="preserve">Single Family Survey Document for the FHA Resource Center Project </w:t>
      </w:r>
    </w:p>
    <w:p w:rsidR="00D67BA3" w:rsidP="00D67BA3" w14:paraId="3FDCEC7A" w14:textId="05D5549C">
      <w:pPr>
        <w:pStyle w:val="Heading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Times New Roman" w:hAnsi="Times New Roman"/>
          <w:bCs/>
        </w:rPr>
      </w:pPr>
      <w:r>
        <w:rPr>
          <w:rFonts w:ascii="Times New Roman" w:hAnsi="Times New Roman"/>
          <w:bCs/>
        </w:rPr>
        <w:t xml:space="preserve">OMB Control Number </w:t>
      </w:r>
      <w:r w:rsidRPr="004874A0" w:rsidR="004874A0">
        <w:rPr>
          <w:rFonts w:ascii="Times New Roman" w:hAnsi="Times New Roman"/>
          <w:bCs/>
        </w:rPr>
        <w:t>2535-0116</w:t>
      </w:r>
    </w:p>
    <w:p w:rsidR="00D67BA3" w:rsidP="00D67BA3" w14:paraId="67B235F8" w14:textId="77777777">
      <w:pPr>
        <w:rPr>
          <w:sz w:val="24"/>
        </w:rPr>
      </w:pPr>
    </w:p>
    <w:p w:rsidR="00D67BA3" w:rsidRPr="00052BEC" w:rsidP="005D5F18" w14:paraId="3ACD587D" w14:textId="77777777">
      <w:pPr>
        <w:tabs>
          <w:tab w:val="left" w:pos="360"/>
        </w:tabs>
        <w:rPr>
          <w:b/>
          <w:sz w:val="24"/>
          <w:u w:val="single"/>
        </w:rPr>
      </w:pPr>
      <w:r w:rsidRPr="00052BEC">
        <w:rPr>
          <w:b/>
          <w:sz w:val="24"/>
        </w:rPr>
        <w:t>A.</w:t>
      </w:r>
      <w:r w:rsidRPr="00052BEC">
        <w:rPr>
          <w:b/>
          <w:sz w:val="24"/>
        </w:rPr>
        <w:tab/>
      </w:r>
      <w:r w:rsidRPr="00052BEC">
        <w:rPr>
          <w:b/>
          <w:sz w:val="24"/>
          <w:u w:val="single"/>
        </w:rPr>
        <w:t>Justification</w:t>
      </w:r>
    </w:p>
    <w:p w:rsidR="00D67BA3" w:rsidRPr="00FE4BC9" w:rsidP="00D67BA3" w14:paraId="72C894BD" w14:textId="77777777">
      <w:pPr>
        <w:rPr>
          <w:sz w:val="24"/>
        </w:rPr>
      </w:pPr>
    </w:p>
    <w:p w:rsidR="00357241" w:rsidP="001568FC" w14:paraId="69034838" w14:textId="6C8306A9">
      <w:pPr>
        <w:pStyle w:val="BodyTextIndent"/>
        <w:rPr>
          <w:szCs w:val="24"/>
        </w:rPr>
      </w:pPr>
      <w:r w:rsidRPr="00FE4BC9">
        <w:t>1.</w:t>
      </w:r>
      <w:r w:rsidRPr="00FE4BC9">
        <w:tab/>
      </w:r>
      <w:r w:rsidRPr="001568FC">
        <w:rPr>
          <w:rFonts w:eastAsia="Verdana"/>
          <w:color w:val="000000"/>
          <w:szCs w:val="24"/>
        </w:rPr>
        <w:t xml:space="preserve">The Federal Government mandates </w:t>
      </w:r>
      <w:r w:rsidRPr="001568FC" w:rsidR="001D55E4">
        <w:rPr>
          <w:rFonts w:eastAsia="Verdana"/>
          <w:color w:val="000000"/>
          <w:szCs w:val="24"/>
        </w:rPr>
        <w:t xml:space="preserve">the collection of </w:t>
      </w:r>
      <w:r w:rsidRPr="001568FC">
        <w:rPr>
          <w:rFonts w:eastAsia="Verdana"/>
          <w:color w:val="000000"/>
          <w:szCs w:val="24"/>
        </w:rPr>
        <w:t xml:space="preserve">this survey information through Executive Order (EO) 13571 </w:t>
      </w:r>
      <w:r w:rsidRPr="001568FC" w:rsidR="001D55E4">
        <w:rPr>
          <w:rFonts w:eastAsia="Verdana"/>
          <w:color w:val="000000"/>
          <w:szCs w:val="24"/>
        </w:rPr>
        <w:t xml:space="preserve">-Streamlining Service Delivery and Improving Customer Service </w:t>
      </w:r>
      <w:r w:rsidRPr="001568FC">
        <w:rPr>
          <w:rFonts w:eastAsia="Verdana"/>
          <w:color w:val="000000"/>
          <w:szCs w:val="24"/>
        </w:rPr>
        <w:t>and OMB Circular A-11 Section 280</w:t>
      </w:r>
      <w:r w:rsidRPr="001568FC" w:rsidR="001D55E4">
        <w:rPr>
          <w:szCs w:val="24"/>
        </w:rPr>
        <w:t xml:space="preserve"> </w:t>
      </w:r>
      <w:r w:rsidRPr="001568FC" w:rsidR="001D55E4">
        <w:rPr>
          <w:rFonts w:eastAsia="Verdana"/>
          <w:color w:val="000000"/>
          <w:szCs w:val="24"/>
        </w:rPr>
        <w:t>Managing Customer Experience and Improving Service Delivery</w:t>
      </w:r>
      <w:r w:rsidRPr="001568FC">
        <w:rPr>
          <w:rFonts w:eastAsia="Verdana"/>
          <w:color w:val="000000"/>
          <w:szCs w:val="24"/>
        </w:rPr>
        <w:t xml:space="preserve">. This EO mandates that agencies survey their customers to identify the quality of </w:t>
      </w:r>
      <w:r w:rsidRPr="001568FC" w:rsidR="001D55E4">
        <w:rPr>
          <w:rFonts w:eastAsia="Verdana"/>
          <w:color w:val="000000"/>
          <w:szCs w:val="24"/>
        </w:rPr>
        <w:t xml:space="preserve">customer </w:t>
      </w:r>
      <w:r w:rsidRPr="001568FC">
        <w:rPr>
          <w:rFonts w:eastAsia="Verdana"/>
          <w:color w:val="000000"/>
          <w:szCs w:val="24"/>
        </w:rPr>
        <w:t>services and satisfaction with existing services.</w:t>
      </w:r>
      <w:r w:rsidRPr="001568FC" w:rsidR="001D55E4">
        <w:rPr>
          <w:rFonts w:eastAsia="Verdana"/>
          <w:color w:val="000000"/>
          <w:szCs w:val="24"/>
        </w:rPr>
        <w:t xml:space="preserve">  It provides agencies on best practices for measuring and managing customer experience along with </w:t>
      </w:r>
      <w:r w:rsidRPr="001568FC" w:rsidR="001D55E4">
        <w:rPr>
          <w:szCs w:val="24"/>
        </w:rPr>
        <w:t>guidance to agencies on implementing the Federal Government’s customer experience framework.  These requirements</w:t>
      </w:r>
      <w:r w:rsidRPr="001568FC" w:rsidR="001568FC">
        <w:rPr>
          <w:szCs w:val="24"/>
        </w:rPr>
        <w:t xml:space="preserve"> provide details </w:t>
      </w:r>
      <w:r w:rsidRPr="001568FC" w:rsidR="001D55E4">
        <w:rPr>
          <w:szCs w:val="24"/>
        </w:rPr>
        <w:t xml:space="preserve">for agencies on how to effectively manage customer experience improvement efforts. </w:t>
      </w:r>
    </w:p>
    <w:p w:rsidR="001568FC" w:rsidP="001568FC" w14:paraId="79A3693E" w14:textId="3CAB945B">
      <w:pPr>
        <w:pStyle w:val="BodyTextIndent"/>
        <w:rPr>
          <w:szCs w:val="24"/>
        </w:rPr>
      </w:pPr>
      <w:r>
        <w:rPr>
          <w:szCs w:val="24"/>
        </w:rPr>
        <w:tab/>
      </w:r>
    </w:p>
    <w:p w:rsidR="00942CAF" w:rsidRPr="001568FC" w:rsidP="001568FC" w14:paraId="2941DFE3" w14:textId="77777777">
      <w:pPr>
        <w:pStyle w:val="BodyTextIndent"/>
        <w:rPr>
          <w:rFonts w:eastAsia="Verdana"/>
          <w:color w:val="000000"/>
          <w:szCs w:val="24"/>
        </w:rPr>
      </w:pPr>
      <w:r>
        <w:rPr>
          <w:szCs w:val="24"/>
        </w:rPr>
        <w:tab/>
      </w:r>
      <w:r w:rsidRPr="001568FC">
        <w:rPr>
          <w:rFonts w:eastAsia="Verdana"/>
          <w:color w:val="000000"/>
          <w:szCs w:val="24"/>
        </w:rPr>
        <w:t xml:space="preserve">This information collection consists of </w:t>
      </w:r>
      <w:r w:rsidRPr="001568FC" w:rsidR="00357241">
        <w:rPr>
          <w:rFonts w:eastAsia="Verdana"/>
          <w:color w:val="000000"/>
          <w:szCs w:val="24"/>
        </w:rPr>
        <w:t xml:space="preserve">the </w:t>
      </w:r>
      <w:r w:rsidRPr="001568FC">
        <w:rPr>
          <w:rFonts w:eastAsia="Verdana"/>
          <w:color w:val="000000"/>
          <w:szCs w:val="24"/>
        </w:rPr>
        <w:t xml:space="preserve">survey of users of the Department's Federal Housing Administration (FHA) primary contact center. It is designed to determine whether the Department is appropriately and adequately serving their </w:t>
      </w:r>
      <w:r w:rsidRPr="001568FC">
        <w:rPr>
          <w:rFonts w:eastAsia="Verdana"/>
          <w:color w:val="000000"/>
          <w:szCs w:val="24"/>
        </w:rPr>
        <w:t xml:space="preserve">client’s </w:t>
      </w:r>
      <w:r w:rsidRPr="001568FC">
        <w:rPr>
          <w:rFonts w:eastAsia="Verdana"/>
          <w:color w:val="000000"/>
          <w:szCs w:val="24"/>
        </w:rPr>
        <w:t>needs. It follows HUD's commitment to use surveys to measure performance and changes in performance</w:t>
      </w:r>
      <w:r w:rsidRPr="001568FC" w:rsidR="00357241">
        <w:rPr>
          <w:rFonts w:eastAsia="Verdana"/>
          <w:color w:val="000000"/>
          <w:szCs w:val="24"/>
        </w:rPr>
        <w:t xml:space="preserve">. There is a significant </w:t>
      </w:r>
      <w:r w:rsidRPr="001568FC">
        <w:rPr>
          <w:rFonts w:eastAsia="Verdana"/>
          <w:color w:val="000000"/>
          <w:szCs w:val="24"/>
        </w:rPr>
        <w:t xml:space="preserve">importance </w:t>
      </w:r>
      <w:r w:rsidRPr="001568FC" w:rsidR="00357241">
        <w:rPr>
          <w:rFonts w:eastAsia="Verdana"/>
          <w:color w:val="000000"/>
          <w:szCs w:val="24"/>
        </w:rPr>
        <w:t xml:space="preserve">that </w:t>
      </w:r>
      <w:r w:rsidRPr="001568FC">
        <w:rPr>
          <w:rFonts w:eastAsia="Verdana"/>
          <w:color w:val="000000"/>
          <w:szCs w:val="24"/>
        </w:rPr>
        <w:t>HUD management places on the information provided by customers</w:t>
      </w:r>
      <w:r w:rsidRPr="001568FC" w:rsidR="00357241">
        <w:rPr>
          <w:rFonts w:eastAsia="Verdana"/>
          <w:color w:val="000000"/>
          <w:szCs w:val="24"/>
        </w:rPr>
        <w:t xml:space="preserve">. </w:t>
      </w:r>
    </w:p>
    <w:p w:rsidR="00942CAF" w:rsidRPr="00FE4BC9" w:rsidP="00D67BA3" w14:paraId="4DC4B296" w14:textId="77777777">
      <w:pPr>
        <w:pStyle w:val="BodyTextIndent"/>
      </w:pPr>
    </w:p>
    <w:p w:rsidR="00942CAF" w:rsidRPr="00942CAF" w:rsidP="001568FC" w14:paraId="005129B5" w14:textId="2EF7221F">
      <w:pPr>
        <w:pStyle w:val="BodyTextIndent"/>
        <w:rPr>
          <w:rFonts w:eastAsia="Verdana"/>
          <w:color w:val="000000"/>
          <w:szCs w:val="24"/>
        </w:rPr>
      </w:pPr>
      <w:r w:rsidRPr="00FE4BC9">
        <w:t>2.</w:t>
      </w:r>
      <w:r w:rsidRPr="00FE4BC9">
        <w:tab/>
      </w:r>
      <w:r w:rsidRPr="00942CAF">
        <w:rPr>
          <w:rFonts w:eastAsia="Verdana"/>
          <w:color w:val="000000"/>
          <w:szCs w:val="24"/>
        </w:rPr>
        <w:t xml:space="preserve">The information </w:t>
      </w:r>
      <w:r w:rsidRPr="001568FC" w:rsidR="001568FC">
        <w:rPr>
          <w:rFonts w:eastAsia="Verdana"/>
          <w:color w:val="000000"/>
          <w:szCs w:val="24"/>
        </w:rPr>
        <w:t xml:space="preserve">collected from these formerly approved OMB surveys by our HUD FHA Resource Center management team </w:t>
      </w:r>
      <w:r w:rsidRPr="00942CAF">
        <w:rPr>
          <w:rFonts w:eastAsia="Verdana"/>
          <w:color w:val="000000"/>
          <w:szCs w:val="24"/>
        </w:rPr>
        <w:t xml:space="preserve">will be utilized to determine the effectiveness of our customer service operations and </w:t>
      </w:r>
      <w:r w:rsidRPr="001568FC" w:rsidR="001568FC">
        <w:rPr>
          <w:rFonts w:eastAsia="Verdana"/>
          <w:color w:val="000000"/>
          <w:szCs w:val="24"/>
        </w:rPr>
        <w:t>applications</w:t>
      </w:r>
      <w:r w:rsidRPr="00942CAF">
        <w:rPr>
          <w:rFonts w:eastAsia="Verdana"/>
          <w:color w:val="000000"/>
          <w:szCs w:val="24"/>
        </w:rPr>
        <w:t>. Client feedback is a significant portion of the evaluation of any contact center operation and will be utilized to identify areas for improvement, establish baselines of client satisfaction, and determine improvement or decline in service over time.</w:t>
      </w:r>
    </w:p>
    <w:p w:rsidR="00942CAF" w:rsidP="00942CAF" w14:paraId="28DA010F" w14:textId="77777777">
      <w:pPr>
        <w:widowControl w:val="0"/>
        <w:kinsoku w:val="0"/>
        <w:autoSpaceDE/>
        <w:autoSpaceDN/>
        <w:adjustRightInd/>
        <w:spacing w:before="212" w:line="211" w:lineRule="exact"/>
        <w:ind w:right="360"/>
        <w:rPr>
          <w:rFonts w:ascii="Arial Narrow" w:hAnsi="Arial Narrow"/>
          <w:spacing w:val="-4"/>
          <w:sz w:val="17"/>
        </w:rPr>
      </w:pPr>
    </w:p>
    <w:p w:rsidR="009E1544" w:rsidP="009E1544" w14:paraId="4872C65A" w14:textId="77777777">
      <w:pPr>
        <w:ind w:left="360" w:hanging="270"/>
        <w:rPr>
          <w:rFonts w:eastAsia="Verdana"/>
          <w:color w:val="000000"/>
          <w:sz w:val="24"/>
          <w:szCs w:val="24"/>
        </w:rPr>
      </w:pPr>
      <w:r w:rsidRPr="00FE4BC9">
        <w:rPr>
          <w:sz w:val="24"/>
          <w:szCs w:val="24"/>
        </w:rPr>
        <w:t xml:space="preserve">3.  </w:t>
      </w:r>
      <w:r w:rsidRPr="00942CAF" w:rsidR="00942CAF">
        <w:rPr>
          <w:rFonts w:eastAsia="Verdana"/>
          <w:color w:val="000000"/>
          <w:sz w:val="24"/>
          <w:szCs w:val="24"/>
        </w:rPr>
        <w:t xml:space="preserve">Information collection will be done utilizing a </w:t>
      </w:r>
      <w:r>
        <w:rPr>
          <w:rFonts w:eastAsia="Verdana"/>
          <w:color w:val="000000"/>
          <w:sz w:val="24"/>
          <w:szCs w:val="24"/>
        </w:rPr>
        <w:t xml:space="preserve">secured </w:t>
      </w:r>
      <w:r w:rsidRPr="00942CAF" w:rsidR="00942CAF">
        <w:rPr>
          <w:rFonts w:eastAsia="Verdana"/>
          <w:color w:val="000000"/>
          <w:sz w:val="24"/>
          <w:szCs w:val="24"/>
        </w:rPr>
        <w:t xml:space="preserve">web-based survey </w:t>
      </w:r>
      <w:r w:rsidRPr="009E1544" w:rsidR="001568FC">
        <w:rPr>
          <w:rFonts w:eastAsia="Verdana"/>
          <w:color w:val="000000"/>
          <w:sz w:val="24"/>
          <w:szCs w:val="24"/>
        </w:rPr>
        <w:t xml:space="preserve">electronic </w:t>
      </w:r>
      <w:r w:rsidRPr="00942CAF" w:rsidR="00942CAF">
        <w:rPr>
          <w:rFonts w:eastAsia="Verdana"/>
          <w:color w:val="000000"/>
          <w:sz w:val="24"/>
          <w:szCs w:val="24"/>
        </w:rPr>
        <w:t>mechanism</w:t>
      </w:r>
      <w:r w:rsidRPr="009E1544" w:rsidR="001568FC">
        <w:rPr>
          <w:rFonts w:eastAsia="Verdana"/>
          <w:color w:val="000000"/>
          <w:sz w:val="24"/>
          <w:szCs w:val="24"/>
        </w:rPr>
        <w:t xml:space="preserve"> called Survey Monkey</w:t>
      </w:r>
      <w:r w:rsidRPr="00942CAF" w:rsidR="00942CAF">
        <w:rPr>
          <w:rFonts w:eastAsia="Verdana"/>
          <w:color w:val="000000"/>
          <w:sz w:val="24"/>
          <w:szCs w:val="24"/>
        </w:rPr>
        <w:t xml:space="preserve">. HUD's decision to utilize this method will ease the time burden on the client in the collection of the information, improve the accuracy of the survey responses, and improve the agency's ability to sort and report on the resulting survey data. </w:t>
      </w:r>
    </w:p>
    <w:p w:rsidR="009E1544" w:rsidP="009E1544" w14:paraId="33F036E2" w14:textId="77777777">
      <w:pPr>
        <w:ind w:left="360" w:hanging="270"/>
        <w:rPr>
          <w:rFonts w:eastAsia="Verdana"/>
          <w:color w:val="000000"/>
          <w:sz w:val="24"/>
          <w:szCs w:val="24"/>
        </w:rPr>
      </w:pPr>
    </w:p>
    <w:p w:rsidR="00942CAF" w:rsidP="009E1544" w14:paraId="22F3E3AD" w14:textId="77D5993E">
      <w:pPr>
        <w:ind w:left="360" w:hanging="270"/>
        <w:rPr>
          <w:rFonts w:eastAsia="Verdana"/>
          <w:color w:val="000000"/>
          <w:sz w:val="24"/>
          <w:szCs w:val="24"/>
        </w:rPr>
      </w:pPr>
      <w:r>
        <w:rPr>
          <w:rFonts w:eastAsia="Verdana"/>
          <w:color w:val="000000"/>
          <w:sz w:val="24"/>
          <w:szCs w:val="24"/>
        </w:rPr>
        <w:t xml:space="preserve">    </w:t>
      </w:r>
      <w:r w:rsidRPr="00942CAF">
        <w:rPr>
          <w:rFonts w:eastAsia="Verdana"/>
          <w:color w:val="000000"/>
          <w:sz w:val="24"/>
          <w:szCs w:val="24"/>
        </w:rPr>
        <w:t xml:space="preserve">The web-based survey will be initiated randomly for those that seek information from </w:t>
      </w:r>
      <w:r>
        <w:rPr>
          <w:rFonts w:eastAsia="Verdana"/>
          <w:color w:val="000000"/>
          <w:sz w:val="24"/>
          <w:szCs w:val="24"/>
        </w:rPr>
        <w:t xml:space="preserve">a client </w:t>
      </w:r>
      <w:r w:rsidRPr="00942CAF">
        <w:rPr>
          <w:rFonts w:eastAsia="Verdana"/>
          <w:color w:val="000000"/>
          <w:sz w:val="24"/>
          <w:szCs w:val="24"/>
        </w:rPr>
        <w:t>whether</w:t>
      </w:r>
      <w:r>
        <w:rPr>
          <w:rFonts w:eastAsia="Verdana"/>
          <w:color w:val="000000"/>
          <w:sz w:val="24"/>
          <w:szCs w:val="24"/>
        </w:rPr>
        <w:t xml:space="preserve"> they contacted the FHA Resource Center contact center </w:t>
      </w:r>
      <w:r w:rsidRPr="00942CAF">
        <w:rPr>
          <w:rFonts w:eastAsia="Verdana"/>
          <w:color w:val="000000"/>
          <w:sz w:val="24"/>
          <w:szCs w:val="24"/>
        </w:rPr>
        <w:t xml:space="preserve">by telephone, email, or via our web-based FAQ site. A random selection of service requests will be selected each month and provided with an email requesting their consideration </w:t>
      </w:r>
      <w:r>
        <w:rPr>
          <w:rFonts w:eastAsia="Verdana"/>
          <w:color w:val="000000"/>
          <w:sz w:val="24"/>
          <w:szCs w:val="24"/>
        </w:rPr>
        <w:t xml:space="preserve">in the participation </w:t>
      </w:r>
      <w:r w:rsidRPr="00942CAF">
        <w:rPr>
          <w:rFonts w:eastAsia="Verdana"/>
          <w:color w:val="000000"/>
          <w:sz w:val="24"/>
          <w:szCs w:val="24"/>
        </w:rPr>
        <w:t xml:space="preserve">of a survey related to their recent </w:t>
      </w:r>
      <w:r>
        <w:rPr>
          <w:rFonts w:eastAsia="Verdana"/>
          <w:color w:val="000000"/>
          <w:sz w:val="24"/>
          <w:szCs w:val="24"/>
        </w:rPr>
        <w:t>inquiry</w:t>
      </w:r>
      <w:r w:rsidRPr="00942CAF">
        <w:rPr>
          <w:rFonts w:eastAsia="Verdana"/>
          <w:color w:val="000000"/>
          <w:sz w:val="24"/>
          <w:szCs w:val="24"/>
        </w:rPr>
        <w:t xml:space="preserve">. If the client agrees to </w:t>
      </w:r>
      <w:r>
        <w:rPr>
          <w:rFonts w:eastAsia="Verdana"/>
          <w:color w:val="000000"/>
          <w:sz w:val="24"/>
          <w:szCs w:val="24"/>
        </w:rPr>
        <w:t xml:space="preserve">participate in </w:t>
      </w:r>
      <w:r w:rsidRPr="00942CAF">
        <w:rPr>
          <w:rFonts w:eastAsia="Verdana"/>
          <w:color w:val="000000"/>
          <w:sz w:val="24"/>
          <w:szCs w:val="24"/>
        </w:rPr>
        <w:t xml:space="preserve">the </w:t>
      </w:r>
      <w:r w:rsidRPr="00942CAF" w:rsidR="00A15F22">
        <w:rPr>
          <w:rFonts w:eastAsia="Verdana"/>
          <w:color w:val="000000"/>
          <w:sz w:val="24"/>
          <w:szCs w:val="24"/>
        </w:rPr>
        <w:t>survey,</w:t>
      </w:r>
      <w:r w:rsidRPr="00942CAF">
        <w:rPr>
          <w:rFonts w:eastAsia="Verdana"/>
          <w:color w:val="000000"/>
          <w:sz w:val="24"/>
          <w:szCs w:val="24"/>
        </w:rPr>
        <w:t xml:space="preserve"> they will select a link from within the requesting email and be guided to a</w:t>
      </w:r>
      <w:r>
        <w:rPr>
          <w:rFonts w:eastAsia="Verdana"/>
          <w:color w:val="000000"/>
          <w:sz w:val="24"/>
          <w:szCs w:val="24"/>
        </w:rPr>
        <w:t>n</w:t>
      </w:r>
      <w:r w:rsidRPr="00942CAF">
        <w:rPr>
          <w:rFonts w:eastAsia="Verdana"/>
          <w:color w:val="000000"/>
          <w:sz w:val="24"/>
          <w:szCs w:val="24"/>
        </w:rPr>
        <w:t xml:space="preserve"> </w:t>
      </w:r>
      <w:r>
        <w:rPr>
          <w:rFonts w:eastAsia="Verdana"/>
          <w:color w:val="000000"/>
          <w:sz w:val="24"/>
          <w:szCs w:val="24"/>
        </w:rPr>
        <w:t xml:space="preserve">electronic </w:t>
      </w:r>
      <w:r w:rsidRPr="00942CAF">
        <w:rPr>
          <w:rFonts w:eastAsia="Verdana"/>
          <w:color w:val="000000"/>
          <w:sz w:val="24"/>
          <w:szCs w:val="24"/>
        </w:rPr>
        <w:t xml:space="preserve">web-based survey tool. The responses to the survey questions are </w:t>
      </w:r>
      <w:r>
        <w:rPr>
          <w:rFonts w:eastAsia="Verdana"/>
          <w:color w:val="000000"/>
          <w:sz w:val="24"/>
          <w:szCs w:val="24"/>
        </w:rPr>
        <w:t xml:space="preserve">securely </w:t>
      </w:r>
      <w:r w:rsidRPr="00942CAF">
        <w:rPr>
          <w:rFonts w:eastAsia="Verdana"/>
          <w:color w:val="000000"/>
          <w:sz w:val="24"/>
          <w:szCs w:val="24"/>
        </w:rPr>
        <w:t>housed in an on-line database. The survey tool neither seeks privacy related information nor collects it within the survey mechanism.</w:t>
      </w:r>
    </w:p>
    <w:p w:rsidR="00097ECE" w:rsidP="009E1544" w14:paraId="467AB2FC" w14:textId="77777777">
      <w:pPr>
        <w:ind w:left="360" w:hanging="270"/>
        <w:rPr>
          <w:rFonts w:eastAsia="Verdana"/>
          <w:color w:val="000000"/>
          <w:sz w:val="24"/>
          <w:szCs w:val="24"/>
        </w:rPr>
      </w:pPr>
    </w:p>
    <w:p w:rsidR="00942CAF" w:rsidP="00D67BA3" w14:paraId="1D2B61CB" w14:textId="4C33343A">
      <w:pPr>
        <w:pStyle w:val="BodyTextIndent"/>
      </w:pPr>
      <w:r w:rsidRPr="00FE4BC9">
        <w:t>4.</w:t>
      </w:r>
      <w:r w:rsidRPr="00FE4BC9">
        <w:tab/>
        <w:t xml:space="preserve">There is no duplication of information.  </w:t>
      </w:r>
      <w:r w:rsidR="009E1544">
        <w:t>A review of the agenc</w:t>
      </w:r>
      <w:r w:rsidR="00843783">
        <w:t xml:space="preserve">y’s </w:t>
      </w:r>
      <w:r w:rsidR="009E1544">
        <w:t>approved customer service survey mechanisms was completed</w:t>
      </w:r>
      <w:r w:rsidR="00843783">
        <w:t xml:space="preserve">.  The existing mechanisms lacked the specificity necessary to active the required goals. </w:t>
      </w:r>
    </w:p>
    <w:p w:rsidR="00097ECE" w:rsidRPr="00FE4BC9" w:rsidP="00D67BA3" w14:paraId="63677042" w14:textId="77777777">
      <w:pPr>
        <w:pStyle w:val="BodyTextIndent"/>
      </w:pPr>
    </w:p>
    <w:p w:rsidR="00942CAF" w:rsidRPr="00FE4BC9" w:rsidP="00D67BA3" w14:paraId="398D8C2D" w14:textId="549218D8">
      <w:pPr>
        <w:ind w:left="360" w:hanging="360"/>
        <w:rPr>
          <w:sz w:val="24"/>
        </w:rPr>
      </w:pPr>
      <w:r w:rsidRPr="00FE4BC9">
        <w:rPr>
          <w:sz w:val="24"/>
        </w:rPr>
        <w:t>5.</w:t>
      </w:r>
      <w:r w:rsidRPr="00FE4BC9">
        <w:rPr>
          <w:sz w:val="24"/>
        </w:rPr>
        <w:tab/>
        <w:t>The collection of information does not impact small businesses or other small entities</w:t>
      </w:r>
      <w:r w:rsidR="00843783">
        <w:rPr>
          <w:sz w:val="24"/>
        </w:rPr>
        <w:t xml:space="preserve">. </w:t>
      </w:r>
    </w:p>
    <w:p w:rsidR="00FE4BC9" w:rsidRPr="00FE4BC9" w:rsidP="00D67BA3" w14:paraId="18C1E647" w14:textId="77777777">
      <w:pPr>
        <w:ind w:left="360" w:hanging="360"/>
        <w:rPr>
          <w:sz w:val="24"/>
        </w:rPr>
      </w:pPr>
    </w:p>
    <w:p w:rsidR="008660F8" w:rsidP="00843783" w14:paraId="158283EB" w14:textId="3DF82C0D">
      <w:pPr>
        <w:pStyle w:val="BodyTextIndent"/>
        <w:rPr>
          <w:rFonts w:eastAsia="Verdana"/>
          <w:color w:val="000000"/>
          <w:szCs w:val="24"/>
        </w:rPr>
      </w:pPr>
      <w:r w:rsidRPr="00FE4BC9">
        <w:t>6.</w:t>
      </w:r>
      <w:r w:rsidRPr="00FE4BC9">
        <w:tab/>
      </w:r>
      <w:r>
        <w:t xml:space="preserve">If the </w:t>
      </w:r>
      <w:r w:rsidRPr="00FE4BC9">
        <w:t>collection of</w:t>
      </w:r>
      <w:r w:rsidR="00D17251">
        <w:t xml:space="preserve"> survey</w:t>
      </w:r>
      <w:r w:rsidRPr="00FE4BC9">
        <w:t xml:space="preserve"> information </w:t>
      </w:r>
      <w:r w:rsidR="00843783">
        <w:t>is not completed or conducted less frequently there would not be a</w:t>
      </w:r>
      <w:r>
        <w:t>n effective</w:t>
      </w:r>
      <w:r w:rsidR="00843783">
        <w:t xml:space="preserve"> way to measure the quality of the delivery of our customer service on the FHA Resource Center</w:t>
      </w:r>
      <w:r w:rsidR="00D17251">
        <w:t xml:space="preserve"> project</w:t>
      </w:r>
      <w:r w:rsidR="00843783">
        <w:t>.  In addition, the inability to receive this client feedback would not allow us to determine areas for customer service improvement</w:t>
      </w:r>
      <w:r>
        <w:t xml:space="preserve"> since the </w:t>
      </w:r>
      <w:r w:rsidR="00843783">
        <w:t>r</w:t>
      </w:r>
      <w:r w:rsidRPr="00E77E39" w:rsidR="00E77E39">
        <w:rPr>
          <w:rFonts w:eastAsia="Verdana"/>
          <w:color w:val="000000"/>
          <w:szCs w:val="24"/>
        </w:rPr>
        <w:t xml:space="preserve">espondents to this survey </w:t>
      </w:r>
      <w:r w:rsidRPr="00843783" w:rsidR="00843783">
        <w:rPr>
          <w:rFonts w:eastAsia="Verdana"/>
          <w:color w:val="000000"/>
          <w:szCs w:val="24"/>
        </w:rPr>
        <w:t>i</w:t>
      </w:r>
      <w:r w:rsidRPr="00E77E39" w:rsidR="00E77E39">
        <w:rPr>
          <w:rFonts w:eastAsia="Verdana"/>
          <w:color w:val="000000"/>
          <w:szCs w:val="24"/>
        </w:rPr>
        <w:t>nclude</w:t>
      </w:r>
      <w:r>
        <w:rPr>
          <w:rFonts w:eastAsia="Verdana"/>
          <w:color w:val="000000"/>
          <w:szCs w:val="24"/>
        </w:rPr>
        <w:t xml:space="preserve"> the general public, </w:t>
      </w:r>
      <w:r w:rsidRPr="00E77E39">
        <w:rPr>
          <w:rFonts w:eastAsia="Verdana"/>
          <w:color w:val="000000"/>
          <w:szCs w:val="24"/>
        </w:rPr>
        <w:t>representatives</w:t>
      </w:r>
      <w:r w:rsidRPr="00E77E39" w:rsidR="00E77E39">
        <w:rPr>
          <w:rFonts w:eastAsia="Verdana"/>
          <w:color w:val="000000"/>
          <w:szCs w:val="24"/>
        </w:rPr>
        <w:t xml:space="preserve"> of organizations and </w:t>
      </w:r>
      <w:r w:rsidRPr="00843783" w:rsidR="00843783">
        <w:rPr>
          <w:rFonts w:eastAsia="Verdana"/>
          <w:color w:val="000000"/>
          <w:szCs w:val="24"/>
        </w:rPr>
        <w:t xml:space="preserve">companies </w:t>
      </w:r>
      <w:r w:rsidRPr="00E77E39" w:rsidR="00E77E39">
        <w:rPr>
          <w:rFonts w:eastAsia="Verdana"/>
          <w:color w:val="000000"/>
          <w:szCs w:val="24"/>
        </w:rPr>
        <w:t>that do business with HUD to provide services or benefits to end customers. These organizations and businesses consist of non</w:t>
      </w:r>
      <w:r w:rsidRPr="00E77E39" w:rsidR="00E77E39">
        <w:rPr>
          <w:rFonts w:eastAsia="Verdana"/>
          <w:color w:val="000000"/>
          <w:szCs w:val="24"/>
        </w:rPr>
        <w:softHyphen/>
        <w:t xml:space="preserve">profit organizations and for-profit entities. </w:t>
      </w:r>
    </w:p>
    <w:p w:rsidR="008660F8" w:rsidP="00843783" w14:paraId="15755D01" w14:textId="77777777">
      <w:pPr>
        <w:pStyle w:val="BodyTextIndent"/>
        <w:rPr>
          <w:rFonts w:eastAsia="Verdana"/>
          <w:color w:val="000000"/>
          <w:szCs w:val="24"/>
        </w:rPr>
      </w:pPr>
    </w:p>
    <w:p w:rsidR="00E77E39" w:rsidRPr="00E77E39" w:rsidP="008660F8" w14:paraId="71CC9DC8" w14:textId="490F79CD">
      <w:pPr>
        <w:pStyle w:val="BodyTextIndent"/>
        <w:ind w:firstLine="0"/>
        <w:rPr>
          <w:rFonts w:eastAsia="Verdana"/>
          <w:color w:val="000000"/>
          <w:szCs w:val="24"/>
        </w:rPr>
      </w:pPr>
      <w:r>
        <w:rPr>
          <w:rFonts w:eastAsia="Verdana"/>
          <w:color w:val="000000"/>
          <w:szCs w:val="24"/>
        </w:rPr>
        <w:t>The current ongoing process under the current OMB approval that includes s</w:t>
      </w:r>
      <w:r w:rsidRPr="00E77E39">
        <w:rPr>
          <w:rFonts w:eastAsia="Verdana"/>
          <w:color w:val="000000"/>
          <w:szCs w:val="24"/>
        </w:rPr>
        <w:t xml:space="preserve">ampling </w:t>
      </w:r>
      <w:r>
        <w:rPr>
          <w:rFonts w:eastAsia="Verdana"/>
          <w:color w:val="000000"/>
          <w:szCs w:val="24"/>
        </w:rPr>
        <w:t xml:space="preserve">of </w:t>
      </w:r>
      <w:r w:rsidRPr="00E77E39">
        <w:rPr>
          <w:rFonts w:eastAsia="Verdana"/>
          <w:color w:val="000000"/>
          <w:szCs w:val="24"/>
        </w:rPr>
        <w:t>only a</w:t>
      </w:r>
      <w:r w:rsidR="008660F8">
        <w:rPr>
          <w:rFonts w:eastAsia="Verdana"/>
          <w:color w:val="000000"/>
          <w:szCs w:val="24"/>
        </w:rPr>
        <w:t xml:space="preserve"> </w:t>
      </w:r>
      <w:r w:rsidRPr="00E77E39">
        <w:rPr>
          <w:rFonts w:eastAsia="Verdana"/>
          <w:color w:val="000000"/>
          <w:szCs w:val="24"/>
        </w:rPr>
        <w:t>portion of the universe of such entities and establishing the voluntary nature of participation in this survey are all geared to minimize the burden, and perceived burden, on such entities.</w:t>
      </w:r>
      <w:r w:rsidR="008660F8">
        <w:rPr>
          <w:rFonts w:eastAsia="Verdana"/>
          <w:color w:val="000000"/>
          <w:szCs w:val="24"/>
        </w:rPr>
        <w:t xml:space="preserve"> </w:t>
      </w:r>
      <w:r w:rsidRPr="00E77E39">
        <w:rPr>
          <w:rFonts w:eastAsia="Verdana"/>
          <w:color w:val="000000"/>
          <w:spacing w:val="-1"/>
          <w:szCs w:val="24"/>
        </w:rPr>
        <w:t>The data collection is designed to obtain feedback on the performance of the largest provider of information and technical support for FHA residential mortgage insurance programs. This feedback is essential to ensure that the agency is providing not only the highest level of customer service to our clients</w:t>
      </w:r>
      <w:r w:rsidRPr="00E77E39">
        <w:rPr>
          <w:rFonts w:eastAsia="Verdana"/>
          <w:color w:val="000000"/>
          <w:szCs w:val="24"/>
        </w:rPr>
        <w:t xml:space="preserve"> but to ensure that the nature and type of information being provided is adequate to support the agency's mission and programs.</w:t>
      </w:r>
    </w:p>
    <w:p w:rsidR="00E77E39" w:rsidP="00E77E39" w14:paraId="61ABFB61" w14:textId="77777777">
      <w:pPr>
        <w:widowControl w:val="0"/>
        <w:kinsoku w:val="0"/>
        <w:autoSpaceDE/>
        <w:autoSpaceDN/>
        <w:adjustRightInd/>
        <w:spacing w:before="212" w:line="211" w:lineRule="exact"/>
        <w:ind w:right="72"/>
        <w:jc w:val="both"/>
        <w:rPr>
          <w:rFonts w:ascii="Arial Narrow" w:hAnsi="Arial Narrow"/>
          <w:spacing w:val="-3"/>
          <w:sz w:val="17"/>
        </w:rPr>
      </w:pPr>
    </w:p>
    <w:p w:rsidR="00C43B71" w:rsidP="00097ECE" w14:paraId="41CBD8B6" w14:textId="2425F067">
      <w:pPr>
        <w:pStyle w:val="BodyTextIndent"/>
        <w:rPr>
          <w:bCs/>
          <w:szCs w:val="24"/>
        </w:rPr>
      </w:pPr>
      <w:r w:rsidRPr="00FE4BC9">
        <w:t xml:space="preserve">7.   </w:t>
      </w:r>
      <w:r w:rsidRPr="00FE4BC9">
        <w:rPr>
          <w:bCs/>
          <w:szCs w:val="24"/>
        </w:rPr>
        <w:t xml:space="preserve">Explain any special circumstances that would cause an information collection to be conducted in a manner: </w:t>
      </w:r>
    </w:p>
    <w:p w:rsidR="00097ECE" w:rsidRPr="00FE4BC9" w:rsidP="00097ECE" w14:paraId="7AE74E54" w14:textId="77777777">
      <w:pPr>
        <w:keepNext/>
        <w:numPr>
          <w:ilvl w:val="0"/>
          <w:numId w:val="3"/>
        </w:numPr>
        <w:tabs>
          <w:tab w:val="left" w:pos="360"/>
        </w:tabs>
        <w:textAlignment w:val="auto"/>
        <w:rPr>
          <w:bCs/>
          <w:sz w:val="24"/>
          <w:szCs w:val="24"/>
        </w:rPr>
      </w:pPr>
      <w:r w:rsidRPr="00FE4BC9">
        <w:rPr>
          <w:bCs/>
          <w:sz w:val="24"/>
          <w:szCs w:val="24"/>
        </w:rPr>
        <w:t xml:space="preserve">requiring respondents to report information to the agency more than quarterly; </w:t>
      </w:r>
    </w:p>
    <w:p w:rsidR="00097ECE" w:rsidRPr="004A4099" w:rsidP="00097ECE" w14:paraId="16B4E78D" w14:textId="77777777">
      <w:pPr>
        <w:keepNext/>
        <w:tabs>
          <w:tab w:val="left" w:pos="360"/>
        </w:tabs>
        <w:ind w:left="504"/>
        <w:rPr>
          <w:b/>
          <w:bCs/>
          <w:sz w:val="24"/>
          <w:szCs w:val="24"/>
        </w:rPr>
      </w:pPr>
      <w:r w:rsidRPr="004A4099">
        <w:rPr>
          <w:b/>
          <w:bCs/>
          <w:sz w:val="24"/>
          <w:szCs w:val="24"/>
        </w:rPr>
        <w:t>Not Applicable</w:t>
      </w:r>
    </w:p>
    <w:p w:rsidR="00097ECE" w:rsidRPr="00FE4BC9" w:rsidP="00097ECE" w14:paraId="3523C997" w14:textId="77777777">
      <w:pPr>
        <w:keepNext/>
        <w:numPr>
          <w:ilvl w:val="0"/>
          <w:numId w:val="3"/>
        </w:numPr>
        <w:tabs>
          <w:tab w:val="left" w:pos="360"/>
        </w:tabs>
        <w:textAlignment w:val="auto"/>
        <w:rPr>
          <w:bCs/>
          <w:sz w:val="24"/>
          <w:szCs w:val="24"/>
        </w:rPr>
      </w:pPr>
      <w:r w:rsidRPr="00FE4BC9">
        <w:rPr>
          <w:bCs/>
          <w:sz w:val="24"/>
          <w:szCs w:val="24"/>
        </w:rPr>
        <w:t xml:space="preserve">requiring respondents to prepare a written response to a collection of information in fewer than 30 days after receipt of it; </w:t>
      </w:r>
    </w:p>
    <w:p w:rsidR="00097ECE" w:rsidRPr="00573F8E" w:rsidP="00097ECE" w14:paraId="38F976A1" w14:textId="77777777">
      <w:pPr>
        <w:keepNext/>
        <w:tabs>
          <w:tab w:val="left" w:pos="360"/>
        </w:tabs>
        <w:ind w:left="504"/>
        <w:textAlignment w:val="auto"/>
        <w:rPr>
          <w:b/>
          <w:bCs/>
          <w:sz w:val="24"/>
          <w:szCs w:val="24"/>
        </w:rPr>
      </w:pPr>
      <w:r>
        <w:rPr>
          <w:b/>
          <w:bCs/>
          <w:sz w:val="24"/>
          <w:szCs w:val="24"/>
        </w:rPr>
        <w:t xml:space="preserve">Not </w:t>
      </w:r>
      <w:r w:rsidRPr="00573F8E">
        <w:rPr>
          <w:b/>
          <w:bCs/>
          <w:sz w:val="24"/>
          <w:szCs w:val="24"/>
        </w:rPr>
        <w:t xml:space="preserve">Applicable </w:t>
      </w:r>
    </w:p>
    <w:p w:rsidR="00097ECE" w:rsidRPr="00FE4BC9" w:rsidP="00097ECE" w14:paraId="5548D0FC" w14:textId="77777777">
      <w:pPr>
        <w:keepNext/>
        <w:numPr>
          <w:ilvl w:val="0"/>
          <w:numId w:val="3"/>
        </w:numPr>
        <w:tabs>
          <w:tab w:val="left" w:pos="360"/>
        </w:tabs>
        <w:textAlignment w:val="auto"/>
        <w:rPr>
          <w:bCs/>
          <w:sz w:val="24"/>
          <w:szCs w:val="24"/>
        </w:rPr>
      </w:pPr>
      <w:r w:rsidRPr="00FE4BC9">
        <w:rPr>
          <w:bCs/>
          <w:sz w:val="24"/>
          <w:szCs w:val="24"/>
        </w:rPr>
        <w:t xml:space="preserve">requiring respondents to submit more than an original and two copies of any document; </w:t>
      </w:r>
    </w:p>
    <w:p w:rsidR="00097ECE" w:rsidRPr="004A4099" w:rsidP="00097ECE" w14:paraId="65862CDC" w14:textId="77777777">
      <w:pPr>
        <w:keepNext/>
        <w:tabs>
          <w:tab w:val="left" w:pos="360"/>
        </w:tabs>
        <w:ind w:left="504"/>
        <w:rPr>
          <w:b/>
          <w:bCs/>
          <w:sz w:val="24"/>
          <w:szCs w:val="24"/>
        </w:rPr>
      </w:pPr>
      <w:r w:rsidRPr="004A4099">
        <w:rPr>
          <w:b/>
          <w:bCs/>
          <w:sz w:val="24"/>
          <w:szCs w:val="24"/>
        </w:rPr>
        <w:t>Not Applicable</w:t>
      </w:r>
    </w:p>
    <w:p w:rsidR="00097ECE" w:rsidRPr="00FE4BC9" w:rsidP="00097ECE" w14:paraId="6773E18A" w14:textId="77777777">
      <w:pPr>
        <w:keepNext/>
        <w:numPr>
          <w:ilvl w:val="0"/>
          <w:numId w:val="3"/>
        </w:numPr>
        <w:tabs>
          <w:tab w:val="left" w:pos="360"/>
        </w:tabs>
        <w:textAlignment w:val="auto"/>
        <w:rPr>
          <w:bCs/>
          <w:sz w:val="24"/>
          <w:szCs w:val="24"/>
        </w:rPr>
      </w:pPr>
      <w:r w:rsidRPr="00FE4BC9">
        <w:rPr>
          <w:bCs/>
          <w:sz w:val="24"/>
          <w:szCs w:val="24"/>
        </w:rPr>
        <w:t xml:space="preserve">requiring respondents to retain records other than health, medical, government contract, grant-in-aid, or tax records for more than three years; </w:t>
      </w:r>
    </w:p>
    <w:p w:rsidR="00097ECE" w:rsidP="00097ECE" w14:paraId="63A0615E" w14:textId="77777777">
      <w:pPr>
        <w:keepNext/>
        <w:tabs>
          <w:tab w:val="left" w:pos="360"/>
        </w:tabs>
        <w:ind w:left="504"/>
        <w:rPr>
          <w:b/>
          <w:bCs/>
          <w:sz w:val="24"/>
          <w:szCs w:val="24"/>
        </w:rPr>
      </w:pPr>
      <w:r w:rsidRPr="004A4099">
        <w:rPr>
          <w:b/>
          <w:bCs/>
          <w:sz w:val="24"/>
          <w:szCs w:val="24"/>
        </w:rPr>
        <w:t>Not Applicable</w:t>
      </w:r>
    </w:p>
    <w:p w:rsidR="00097ECE" w:rsidRPr="00FE4BC9" w:rsidP="00097ECE" w14:paraId="1AC4451E" w14:textId="77777777">
      <w:pPr>
        <w:keepNext/>
        <w:numPr>
          <w:ilvl w:val="0"/>
          <w:numId w:val="3"/>
        </w:numPr>
        <w:tabs>
          <w:tab w:val="left" w:pos="360"/>
        </w:tabs>
        <w:textAlignment w:val="auto"/>
        <w:rPr>
          <w:bCs/>
          <w:sz w:val="24"/>
          <w:szCs w:val="24"/>
        </w:rPr>
      </w:pPr>
      <w:r w:rsidRPr="00FE4BC9">
        <w:rPr>
          <w:bCs/>
          <w:sz w:val="24"/>
          <w:szCs w:val="24"/>
        </w:rPr>
        <w:t xml:space="preserve">in connection with a statistical survey, that is not designed to produce valid and reliable results than can be generalized to the universe of study; </w:t>
      </w:r>
    </w:p>
    <w:p w:rsidR="00097ECE" w:rsidRPr="004A4099" w:rsidP="00097ECE" w14:paraId="769C4DF0" w14:textId="77777777">
      <w:pPr>
        <w:keepNext/>
        <w:tabs>
          <w:tab w:val="left" w:pos="360"/>
        </w:tabs>
        <w:ind w:left="504"/>
        <w:rPr>
          <w:b/>
          <w:bCs/>
          <w:sz w:val="24"/>
          <w:szCs w:val="24"/>
        </w:rPr>
      </w:pPr>
      <w:r w:rsidRPr="004A4099">
        <w:rPr>
          <w:b/>
          <w:bCs/>
          <w:sz w:val="24"/>
          <w:szCs w:val="24"/>
        </w:rPr>
        <w:t>Not Applicable</w:t>
      </w:r>
    </w:p>
    <w:p w:rsidR="00097ECE" w:rsidRPr="00FE4BC9" w:rsidP="00097ECE" w14:paraId="6566D94F" w14:textId="77777777">
      <w:pPr>
        <w:keepNext/>
        <w:numPr>
          <w:ilvl w:val="0"/>
          <w:numId w:val="3"/>
        </w:numPr>
        <w:tabs>
          <w:tab w:val="left" w:pos="360"/>
        </w:tabs>
        <w:textAlignment w:val="auto"/>
        <w:rPr>
          <w:bCs/>
          <w:sz w:val="24"/>
          <w:szCs w:val="24"/>
        </w:rPr>
      </w:pPr>
      <w:bookmarkStart w:id="0" w:name="_Hlk19209267"/>
      <w:bookmarkStart w:id="1" w:name="_Hlk19209223"/>
      <w:r w:rsidRPr="00FE4BC9">
        <w:rPr>
          <w:bCs/>
          <w:sz w:val="24"/>
          <w:szCs w:val="24"/>
        </w:rPr>
        <w:t xml:space="preserve">requiring the use of a statistical data classification that has not been reviewed and approved by OMB; </w:t>
      </w:r>
      <w:bookmarkEnd w:id="0"/>
    </w:p>
    <w:bookmarkEnd w:id="1"/>
    <w:p w:rsidR="00097ECE" w:rsidRPr="004A4099" w:rsidP="00A15F22" w14:paraId="09C249C6" w14:textId="1EE55373">
      <w:pPr>
        <w:keepNext/>
        <w:tabs>
          <w:tab w:val="left" w:pos="360"/>
        </w:tabs>
        <w:ind w:left="360"/>
        <w:textAlignment w:val="auto"/>
        <w:rPr>
          <w:b/>
          <w:bCs/>
          <w:sz w:val="24"/>
          <w:szCs w:val="24"/>
        </w:rPr>
      </w:pPr>
      <w:r>
        <w:rPr>
          <w:b/>
          <w:bCs/>
          <w:sz w:val="24"/>
          <w:szCs w:val="24"/>
        </w:rPr>
        <w:t xml:space="preserve">  </w:t>
      </w:r>
      <w:r w:rsidRPr="004A4099">
        <w:rPr>
          <w:b/>
          <w:bCs/>
          <w:sz w:val="24"/>
          <w:szCs w:val="24"/>
        </w:rPr>
        <w:t>Not Applicable</w:t>
      </w:r>
    </w:p>
    <w:p w:rsidR="00097ECE" w:rsidRPr="00A15F22" w:rsidP="00A15F22" w14:paraId="7D94D56B" w14:textId="77777777">
      <w:pPr>
        <w:pStyle w:val="ListParagraph"/>
        <w:keepNext/>
        <w:numPr>
          <w:ilvl w:val="0"/>
          <w:numId w:val="3"/>
        </w:numPr>
        <w:tabs>
          <w:tab w:val="left" w:pos="360"/>
        </w:tabs>
        <w:rPr>
          <w:bCs/>
          <w:sz w:val="24"/>
          <w:szCs w:val="24"/>
        </w:rPr>
      </w:pPr>
      <w:r w:rsidRPr="00A15F22">
        <w:rPr>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97ECE" w:rsidRPr="004A4099" w:rsidP="00097ECE" w14:paraId="4C79E6F4" w14:textId="77777777">
      <w:pPr>
        <w:keepNext/>
        <w:tabs>
          <w:tab w:val="left" w:pos="360"/>
        </w:tabs>
        <w:ind w:left="504"/>
        <w:rPr>
          <w:b/>
          <w:bCs/>
          <w:sz w:val="24"/>
          <w:szCs w:val="24"/>
        </w:rPr>
      </w:pPr>
      <w:r w:rsidRPr="004A4099">
        <w:rPr>
          <w:b/>
          <w:bCs/>
          <w:sz w:val="24"/>
          <w:szCs w:val="24"/>
        </w:rPr>
        <w:t>Not Applicable</w:t>
      </w:r>
    </w:p>
    <w:p w:rsidR="00097ECE" w:rsidP="00097ECE" w14:paraId="7E9D4574" w14:textId="77777777">
      <w:pPr>
        <w:keepNext/>
        <w:tabs>
          <w:tab w:val="left" w:pos="360"/>
        </w:tabs>
        <w:ind w:left="288"/>
        <w:textAlignment w:val="auto"/>
        <w:rPr>
          <w:sz w:val="24"/>
          <w:szCs w:val="24"/>
        </w:rPr>
      </w:pPr>
    </w:p>
    <w:p w:rsidR="00097ECE" w:rsidP="00097ECE" w14:paraId="34382531" w14:textId="48C9B104">
      <w:pPr>
        <w:keepNext/>
        <w:tabs>
          <w:tab w:val="left" w:pos="360"/>
        </w:tabs>
        <w:ind w:left="288"/>
        <w:textAlignment w:val="auto"/>
        <w:rPr>
          <w:sz w:val="24"/>
          <w:szCs w:val="24"/>
        </w:rPr>
      </w:pPr>
      <w:r>
        <w:rPr>
          <w:sz w:val="24"/>
          <w:szCs w:val="24"/>
        </w:rPr>
        <w:t>T</w:t>
      </w:r>
      <w:r w:rsidRPr="00097ECE">
        <w:rPr>
          <w:sz w:val="24"/>
          <w:szCs w:val="24"/>
        </w:rPr>
        <w:t>he proposed data collection activities are consistent with the guidelines set forth in 5 CFR 1320.6 (Controlling Paperwork Burden on the Public - General Information Collection Guidelines}. There are no special circumstances that require deviation from these guidelines.</w:t>
      </w:r>
    </w:p>
    <w:p w:rsidR="00097ECE" w:rsidP="00097ECE" w14:paraId="5E8474FC" w14:textId="77777777">
      <w:pPr>
        <w:pStyle w:val="BodyTextIndent"/>
        <w:rPr>
          <w:bCs/>
          <w:szCs w:val="24"/>
        </w:rPr>
      </w:pPr>
    </w:p>
    <w:p w:rsidR="00097ECE" w:rsidRPr="00097ECE" w:rsidP="00097ECE" w14:paraId="04C1451B" w14:textId="77777777">
      <w:pPr>
        <w:keepNext/>
        <w:tabs>
          <w:tab w:val="left" w:pos="360"/>
        </w:tabs>
        <w:ind w:left="504"/>
        <w:textAlignment w:val="auto"/>
        <w:rPr>
          <w:b/>
          <w:sz w:val="24"/>
          <w:szCs w:val="24"/>
        </w:rPr>
      </w:pPr>
    </w:p>
    <w:p w:rsidR="00D67BA3" w:rsidRPr="00FE4BC9" w:rsidP="00297A3C" w14:paraId="002E4F97" w14:textId="460E134B">
      <w:pPr>
        <w:tabs>
          <w:tab w:val="left" w:pos="360"/>
        </w:tabs>
        <w:ind w:left="360" w:hanging="360"/>
        <w:rPr>
          <w:sz w:val="24"/>
        </w:rPr>
      </w:pPr>
      <w:r w:rsidRPr="00FE4BC9">
        <w:rPr>
          <w:sz w:val="24"/>
        </w:rPr>
        <w:t>8.</w:t>
      </w:r>
      <w:r w:rsidRPr="00FE4BC9">
        <w:rPr>
          <w:sz w:val="24"/>
        </w:rPr>
        <w:tab/>
      </w:r>
      <w:r w:rsidRPr="00FE4BC9" w:rsidR="00E421F9">
        <w:rPr>
          <w:sz w:val="24"/>
        </w:rPr>
        <w:t xml:space="preserve">In accordance with 5CFR 1320.8(d), this information collection soliciting public comments was announced in the Federal Register on </w:t>
      </w:r>
      <w:r w:rsidR="00BC1970">
        <w:rPr>
          <w:sz w:val="24"/>
        </w:rPr>
        <w:t>July 8, 2019,</w:t>
      </w:r>
      <w:r w:rsidR="00264860">
        <w:rPr>
          <w:sz w:val="24"/>
        </w:rPr>
        <w:t xml:space="preserve"> </w:t>
      </w:r>
      <w:r w:rsidRPr="00FE4BC9" w:rsidR="00E421F9">
        <w:rPr>
          <w:sz w:val="24"/>
        </w:rPr>
        <w:t>Volume</w:t>
      </w:r>
      <w:r w:rsidRPr="00FE4BC9" w:rsidR="004C2CC5">
        <w:rPr>
          <w:sz w:val="24"/>
        </w:rPr>
        <w:t xml:space="preserve"> </w:t>
      </w:r>
      <w:r w:rsidR="00BC1970">
        <w:rPr>
          <w:sz w:val="24"/>
        </w:rPr>
        <w:t>84</w:t>
      </w:r>
      <w:r w:rsidR="00264860">
        <w:rPr>
          <w:sz w:val="24"/>
        </w:rPr>
        <w:t xml:space="preserve">, </w:t>
      </w:r>
      <w:r w:rsidRPr="00FE4BC9" w:rsidR="00E421F9">
        <w:rPr>
          <w:sz w:val="24"/>
        </w:rPr>
        <w:t>No</w:t>
      </w:r>
      <w:r w:rsidR="00BC1970">
        <w:rPr>
          <w:sz w:val="24"/>
        </w:rPr>
        <w:t>. 130,</w:t>
      </w:r>
      <w:r w:rsidRPr="00FE4BC9" w:rsidR="00E421F9">
        <w:rPr>
          <w:sz w:val="24"/>
        </w:rPr>
        <w:t xml:space="preserve"> Pages</w:t>
      </w:r>
      <w:r w:rsidR="00BC1970">
        <w:rPr>
          <w:sz w:val="24"/>
        </w:rPr>
        <w:t xml:space="preserve"> 32469. </w:t>
      </w:r>
      <w:r w:rsidRPr="00FE4BC9" w:rsidR="004C2CC5">
        <w:rPr>
          <w:sz w:val="24"/>
        </w:rPr>
        <w:t xml:space="preserve"> </w:t>
      </w:r>
      <w:r w:rsidRPr="00097ECE" w:rsidR="00264860">
        <w:rPr>
          <w:bCs/>
          <w:sz w:val="24"/>
        </w:rPr>
        <w:t>No</w:t>
      </w:r>
      <w:r w:rsidRPr="00097ECE" w:rsidR="00E421F9">
        <w:rPr>
          <w:bCs/>
          <w:sz w:val="24"/>
        </w:rPr>
        <w:t xml:space="preserve"> </w:t>
      </w:r>
      <w:r w:rsidRPr="00FE4BC9" w:rsidR="004C2CC5">
        <w:rPr>
          <w:sz w:val="24"/>
        </w:rPr>
        <w:t>c</w:t>
      </w:r>
      <w:r w:rsidRPr="00FE4BC9" w:rsidR="00E421F9">
        <w:rPr>
          <w:sz w:val="24"/>
        </w:rPr>
        <w:t>omments received.</w:t>
      </w:r>
    </w:p>
    <w:p w:rsidR="00D67BA3" w:rsidRPr="00FE4BC9" w:rsidP="00D67BA3" w14:paraId="0BB0053D" w14:textId="77777777">
      <w:pPr>
        <w:pStyle w:val="BodyTextIndent2"/>
      </w:pPr>
    </w:p>
    <w:p w:rsidR="00D67BA3" w:rsidP="00D67BA3" w14:paraId="43358DD1" w14:textId="2B698772">
      <w:pPr>
        <w:pStyle w:val="BodyTextIndent"/>
      </w:pPr>
      <w:r w:rsidRPr="00FE4BC9">
        <w:t>9.</w:t>
      </w:r>
      <w:r w:rsidRPr="00FE4BC9">
        <w:tab/>
        <w:t>No payments or gifts are provided to respondents.</w:t>
      </w:r>
    </w:p>
    <w:p w:rsidR="00E77E39" w:rsidP="00D67BA3" w14:paraId="0A7DFADB" w14:textId="1E0D6041">
      <w:pPr>
        <w:pStyle w:val="BodyTextIndent"/>
      </w:pPr>
    </w:p>
    <w:p w:rsidR="00D67BA3" w:rsidRPr="00FE4BC9" w:rsidP="00D67BA3" w14:paraId="788E5973" w14:textId="77777777">
      <w:pPr>
        <w:rPr>
          <w:sz w:val="24"/>
        </w:rPr>
      </w:pPr>
    </w:p>
    <w:p w:rsidR="00D67BA3" w:rsidRPr="00970A8F" w:rsidP="00D67BA3" w14:paraId="080A7868" w14:textId="4C89A3A6">
      <w:pPr>
        <w:pStyle w:val="BodyTextIndent"/>
      </w:pPr>
      <w:r w:rsidRPr="00FE4BC9">
        <w:t>10.</w:t>
      </w:r>
      <w:r w:rsidRPr="00FE4BC9">
        <w:tab/>
        <w:t>There are no assurances of confidentiality provided to respondents.</w:t>
      </w:r>
      <w:r w:rsidR="00970A8F">
        <w:t xml:space="preserve"> Our clients are notified that </w:t>
      </w:r>
      <w:r w:rsidRPr="00970A8F" w:rsidR="00970A8F">
        <w:t>“</w:t>
      </w:r>
      <w:r w:rsidRPr="00970A8F" w:rsidR="00970A8F">
        <w:rPr>
          <w:szCs w:val="24"/>
        </w:rPr>
        <w:t xml:space="preserve">Responding to this survey is voluntary and completely anonymous.  No personal information is collected or maintained in conjunction with your response to this survey.” </w:t>
      </w:r>
      <w:r w:rsidRPr="00970A8F" w:rsidR="00970A8F">
        <w:t xml:space="preserve"> </w:t>
      </w:r>
    </w:p>
    <w:p w:rsidR="00E77E39" w:rsidP="00D67BA3" w14:paraId="4C4B6EDD" w14:textId="04E8E86F">
      <w:pPr>
        <w:pStyle w:val="BodyTextIndent"/>
      </w:pPr>
    </w:p>
    <w:p w:rsidR="00D67BA3" w:rsidRPr="00FE4BC9" w:rsidP="00D67BA3" w14:paraId="14B9E95A" w14:textId="77777777">
      <w:pPr>
        <w:rPr>
          <w:sz w:val="24"/>
        </w:rPr>
      </w:pPr>
    </w:p>
    <w:p w:rsidR="00D67BA3" w:rsidP="00D67BA3" w14:paraId="3B39E4AF" w14:textId="71A5D965">
      <w:pPr>
        <w:ind w:left="360" w:hanging="360"/>
        <w:rPr>
          <w:sz w:val="24"/>
        </w:rPr>
      </w:pPr>
      <w:r w:rsidRPr="00FE4BC9">
        <w:rPr>
          <w:sz w:val="24"/>
        </w:rPr>
        <w:t>11.</w:t>
      </w:r>
      <w:r w:rsidRPr="00FE4BC9">
        <w:rPr>
          <w:sz w:val="24"/>
        </w:rPr>
        <w:tab/>
        <w:t>The information collection does not contain information of a sensitive nature about sexual behavior or attitudes, religious beliefs, or private matters.</w:t>
      </w:r>
    </w:p>
    <w:p w:rsidR="00E77E39" w:rsidP="00D67BA3" w14:paraId="0291FD38" w14:textId="35ABF4D5">
      <w:pPr>
        <w:ind w:left="360" w:hanging="360"/>
        <w:rPr>
          <w:sz w:val="24"/>
        </w:rPr>
      </w:pPr>
    </w:p>
    <w:p w:rsidR="004A4099" w:rsidP="00D67BA3" w14:paraId="50C0BF2C" w14:textId="265F38C9">
      <w:pPr>
        <w:pStyle w:val="BodyTextIndent"/>
      </w:pPr>
      <w:r w:rsidRPr="00FE4BC9">
        <w:t>12.</w:t>
      </w:r>
      <w:r w:rsidRPr="00FE4BC9">
        <w:tab/>
        <w:t xml:space="preserve">The burden estimate is based on the time required to </w:t>
      </w:r>
      <w:r w:rsidR="00970A8F">
        <w:t xml:space="preserve">collect the survey </w:t>
      </w:r>
      <w:r w:rsidRPr="00FE4BC9">
        <w:t xml:space="preserve">data, analyze </w:t>
      </w:r>
      <w:r w:rsidRPr="00FE4BC9" w:rsidR="00970A8F">
        <w:t xml:space="preserve">information, </w:t>
      </w:r>
      <w:r w:rsidR="00970A8F">
        <w:t xml:space="preserve">export and analyze </w:t>
      </w:r>
      <w:r w:rsidRPr="00FE4BC9">
        <w:t xml:space="preserve">the information, and maintain applicable </w:t>
      </w:r>
      <w:r w:rsidR="00970A8F">
        <w:t>statistics</w:t>
      </w:r>
      <w:r w:rsidRPr="00FE4BC9">
        <w:t xml:space="preserve">.  </w:t>
      </w:r>
    </w:p>
    <w:p w:rsidR="00D67BA3" w:rsidRPr="00FE4BC9" w:rsidP="00D67BA3" w14:paraId="1B6207CA" w14:textId="02068FA1">
      <w:pPr>
        <w:pStyle w:val="BodyTextIndent"/>
      </w:pPr>
      <w:r w:rsidRPr="00FE4BC9">
        <w:t xml:space="preserve"> </w:t>
      </w:r>
    </w:p>
    <w:p w:rsidR="00D67BA3" w:rsidP="00D67BA3" w14:paraId="1AD19F6F" w14:textId="65DA5B4D">
      <w:pPr>
        <w:ind w:left="360"/>
        <w:rPr>
          <w:rFonts w:cs="Arial"/>
          <w:sz w:val="24"/>
          <w:szCs w:val="24"/>
        </w:rPr>
      </w:pPr>
      <w:r w:rsidRPr="00FE4BC9">
        <w:rPr>
          <w:rFonts w:cs="Arial"/>
          <w:sz w:val="24"/>
          <w:szCs w:val="24"/>
        </w:rPr>
        <w:t>The contact</w:t>
      </w:r>
      <w:r w:rsidR="00970A8F">
        <w:rPr>
          <w:rFonts w:cs="Arial"/>
          <w:sz w:val="24"/>
          <w:szCs w:val="24"/>
        </w:rPr>
        <w:t>s</w:t>
      </w:r>
      <w:r w:rsidRPr="00FE4BC9">
        <w:rPr>
          <w:rFonts w:cs="Arial"/>
          <w:sz w:val="24"/>
          <w:szCs w:val="24"/>
        </w:rPr>
        <w:t xml:space="preserve"> are as follows:</w:t>
      </w:r>
    </w:p>
    <w:p w:rsidR="004A4099" w:rsidRPr="00FE4BC9" w:rsidP="00D67BA3" w14:paraId="1A1258B2" w14:textId="77777777">
      <w:pPr>
        <w:ind w:left="360"/>
        <w:rPr>
          <w:rFonts w:cs="Arial"/>
          <w:sz w:val="24"/>
          <w:szCs w:val="24"/>
        </w:rPr>
      </w:pPr>
    </w:p>
    <w:p w:rsidR="003774C0" w:rsidP="00F37262" w14:paraId="2DFF075D" w14:textId="34D16E3D">
      <w:pPr>
        <w:numPr>
          <w:ilvl w:val="0"/>
          <w:numId w:val="1"/>
        </w:numPr>
        <w:rPr>
          <w:rFonts w:cs="Arial"/>
          <w:sz w:val="24"/>
          <w:szCs w:val="24"/>
        </w:rPr>
      </w:pPr>
      <w:r>
        <w:rPr>
          <w:rFonts w:cs="Arial"/>
          <w:sz w:val="24"/>
          <w:szCs w:val="24"/>
        </w:rPr>
        <w:t>FHA Resource Center, HUD Philadelphia Homeownership Center</w:t>
      </w:r>
    </w:p>
    <w:p w:rsidR="003774C0" w:rsidP="003774C0" w14:paraId="617EE862" w14:textId="59112C78">
      <w:pPr>
        <w:ind w:left="720"/>
        <w:rPr>
          <w:rFonts w:cs="Arial"/>
          <w:sz w:val="24"/>
          <w:szCs w:val="24"/>
        </w:rPr>
      </w:pPr>
      <w:r>
        <w:rPr>
          <w:rFonts w:cs="Arial"/>
          <w:sz w:val="24"/>
          <w:szCs w:val="24"/>
        </w:rPr>
        <w:t>Lance L. Litty Jr. COR</w:t>
      </w:r>
    </w:p>
    <w:p w:rsidR="003774C0" w:rsidP="003774C0" w14:paraId="02E3D509" w14:textId="1BAAE8AA">
      <w:pPr>
        <w:ind w:left="720"/>
        <w:rPr>
          <w:rFonts w:cs="Arial"/>
          <w:sz w:val="24"/>
          <w:szCs w:val="24"/>
        </w:rPr>
      </w:pPr>
      <w:r>
        <w:rPr>
          <w:rFonts w:cs="Arial"/>
          <w:sz w:val="24"/>
          <w:szCs w:val="24"/>
        </w:rPr>
        <w:t xml:space="preserve">(215) </w:t>
      </w:r>
      <w:r w:rsidR="002C1CA1">
        <w:rPr>
          <w:rFonts w:cs="Arial"/>
          <w:sz w:val="24"/>
          <w:szCs w:val="24"/>
        </w:rPr>
        <w:t>861-7541</w:t>
      </w:r>
    </w:p>
    <w:p w:rsidR="003774C0" w:rsidP="003774C0" w14:paraId="07E1A08E" w14:textId="77777777">
      <w:pPr>
        <w:ind w:left="720"/>
        <w:rPr>
          <w:rFonts w:cs="Arial"/>
          <w:sz w:val="24"/>
          <w:szCs w:val="24"/>
        </w:rPr>
      </w:pPr>
    </w:p>
    <w:p w:rsidR="00D67BA3" w:rsidRPr="00FE4BC9" w:rsidP="00F37262" w14:paraId="76DE3100" w14:textId="2BCA3861">
      <w:pPr>
        <w:numPr>
          <w:ilvl w:val="0"/>
          <w:numId w:val="1"/>
        </w:numPr>
        <w:rPr>
          <w:rFonts w:cs="Arial"/>
          <w:sz w:val="24"/>
          <w:szCs w:val="24"/>
        </w:rPr>
      </w:pPr>
      <w:r>
        <w:rPr>
          <w:rFonts w:cs="Arial"/>
          <w:sz w:val="24"/>
          <w:szCs w:val="24"/>
        </w:rPr>
        <w:t>FHA Resource Center</w:t>
      </w:r>
      <w:r w:rsidR="00721A4E">
        <w:rPr>
          <w:rFonts w:cs="Arial"/>
          <w:sz w:val="24"/>
          <w:szCs w:val="24"/>
        </w:rPr>
        <w:t>, HUD Philadelphia Homeownership Center</w:t>
      </w:r>
    </w:p>
    <w:p w:rsidR="00D67BA3" w:rsidRPr="00FE4BC9" w:rsidP="00981F27" w14:paraId="450AB85F" w14:textId="11AC0214">
      <w:pPr>
        <w:ind w:left="720"/>
        <w:rPr>
          <w:rFonts w:cs="Arial"/>
          <w:sz w:val="24"/>
          <w:szCs w:val="24"/>
        </w:rPr>
      </w:pPr>
      <w:r>
        <w:rPr>
          <w:rFonts w:cs="Arial"/>
          <w:sz w:val="24"/>
          <w:szCs w:val="24"/>
        </w:rPr>
        <w:t>Thomas Longo</w:t>
      </w:r>
      <w:r w:rsidR="00970A8F">
        <w:rPr>
          <w:rFonts w:cs="Arial"/>
          <w:sz w:val="24"/>
          <w:szCs w:val="24"/>
        </w:rPr>
        <w:t xml:space="preserve">, </w:t>
      </w:r>
      <w:r>
        <w:rPr>
          <w:rFonts w:cs="Arial"/>
          <w:sz w:val="24"/>
          <w:szCs w:val="24"/>
        </w:rPr>
        <w:t xml:space="preserve">Alternate </w:t>
      </w:r>
      <w:r w:rsidR="00721A4E">
        <w:rPr>
          <w:rFonts w:cs="Arial"/>
          <w:sz w:val="24"/>
          <w:szCs w:val="24"/>
        </w:rPr>
        <w:t>COR</w:t>
      </w:r>
    </w:p>
    <w:p w:rsidR="003774C0" w:rsidP="00D67BA3" w14:paraId="61608428" w14:textId="21999222">
      <w:pPr>
        <w:rPr>
          <w:rFonts w:cs="Arial"/>
          <w:sz w:val="24"/>
          <w:szCs w:val="24"/>
        </w:rPr>
      </w:pPr>
      <w:r w:rsidRPr="00FE4BC9">
        <w:rPr>
          <w:rFonts w:cs="Arial"/>
          <w:sz w:val="24"/>
          <w:szCs w:val="24"/>
        </w:rPr>
        <w:t xml:space="preserve">           (</w:t>
      </w:r>
      <w:r w:rsidR="00721A4E">
        <w:rPr>
          <w:rFonts w:cs="Arial"/>
          <w:sz w:val="24"/>
          <w:szCs w:val="24"/>
        </w:rPr>
        <w:t>215</w:t>
      </w:r>
      <w:r w:rsidRPr="00FE4BC9">
        <w:rPr>
          <w:rFonts w:cs="Arial"/>
          <w:sz w:val="24"/>
          <w:szCs w:val="24"/>
        </w:rPr>
        <w:t xml:space="preserve">) </w:t>
      </w:r>
      <w:r w:rsidR="00721A4E">
        <w:rPr>
          <w:rFonts w:cs="Arial"/>
          <w:sz w:val="24"/>
          <w:szCs w:val="24"/>
        </w:rPr>
        <w:t>861-754</w:t>
      </w:r>
      <w:r w:rsidR="002C1CA1">
        <w:rPr>
          <w:rFonts w:cs="Arial"/>
          <w:sz w:val="24"/>
          <w:szCs w:val="24"/>
        </w:rPr>
        <w:t>8</w:t>
      </w:r>
    </w:p>
    <w:p w:rsidR="003774C0" w:rsidP="00D67BA3" w14:paraId="3EAF94BE" w14:textId="4A5C748C">
      <w:pPr>
        <w:rPr>
          <w:rFonts w:cs="Arial"/>
          <w:sz w:val="24"/>
          <w:szCs w:val="24"/>
        </w:rPr>
      </w:pPr>
      <w:r>
        <w:rPr>
          <w:rFonts w:cs="Arial"/>
          <w:sz w:val="24"/>
          <w:szCs w:val="24"/>
        </w:rPr>
        <w:t xml:space="preserve"> </w:t>
      </w:r>
      <w:r>
        <w:rPr>
          <w:rFonts w:cs="Arial"/>
          <w:sz w:val="24"/>
          <w:szCs w:val="24"/>
        </w:rPr>
        <w:t xml:space="preserve"> </w:t>
      </w:r>
    </w:p>
    <w:tbl>
      <w:tblPr>
        <w:tblW w:w="105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3"/>
        <w:gridCol w:w="1443"/>
        <w:gridCol w:w="1331"/>
        <w:gridCol w:w="1328"/>
        <w:gridCol w:w="1294"/>
        <w:gridCol w:w="1217"/>
        <w:gridCol w:w="1294"/>
        <w:gridCol w:w="1301"/>
      </w:tblGrid>
      <w:tr w14:paraId="21893F14" w14:textId="77777777" w:rsidTr="0099046A">
        <w:tblPrEx>
          <w:tblW w:w="105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60"/>
        </w:trPr>
        <w:tc>
          <w:tcPr>
            <w:tcW w:w="1363" w:type="dxa"/>
            <w:vAlign w:val="center"/>
          </w:tcPr>
          <w:p w:rsidR="00D67BA3" w:rsidRPr="004A4099" w:rsidP="00ED5A77" w14:paraId="4F34828B" w14:textId="77777777">
            <w:pPr>
              <w:jc w:val="center"/>
              <w:rPr>
                <w:sz w:val="24"/>
                <w:szCs w:val="24"/>
              </w:rPr>
            </w:pPr>
            <w:r w:rsidRPr="004A4099">
              <w:rPr>
                <w:sz w:val="24"/>
                <w:szCs w:val="24"/>
              </w:rPr>
              <w:t>Information Collection</w:t>
            </w:r>
          </w:p>
        </w:tc>
        <w:tc>
          <w:tcPr>
            <w:tcW w:w="1443" w:type="dxa"/>
            <w:vAlign w:val="center"/>
          </w:tcPr>
          <w:p w:rsidR="00D67BA3" w:rsidRPr="004A4099" w:rsidP="00ED5A77" w14:paraId="2C80E3D7" w14:textId="77777777">
            <w:pPr>
              <w:jc w:val="center"/>
              <w:rPr>
                <w:sz w:val="24"/>
                <w:szCs w:val="24"/>
              </w:rPr>
            </w:pPr>
            <w:r w:rsidRPr="004A4099">
              <w:rPr>
                <w:sz w:val="24"/>
                <w:szCs w:val="24"/>
              </w:rPr>
              <w:t>Number of Respondents</w:t>
            </w:r>
          </w:p>
        </w:tc>
        <w:tc>
          <w:tcPr>
            <w:tcW w:w="1331" w:type="dxa"/>
            <w:vAlign w:val="center"/>
          </w:tcPr>
          <w:p w:rsidR="00D67BA3" w:rsidRPr="004A4099" w:rsidP="00ED5A77" w14:paraId="67B184AC" w14:textId="77777777">
            <w:pPr>
              <w:jc w:val="center"/>
              <w:rPr>
                <w:sz w:val="24"/>
                <w:szCs w:val="24"/>
              </w:rPr>
            </w:pPr>
            <w:r w:rsidRPr="004A4099">
              <w:rPr>
                <w:sz w:val="24"/>
                <w:szCs w:val="24"/>
              </w:rPr>
              <w:t>Frequency of Response</w:t>
            </w:r>
          </w:p>
        </w:tc>
        <w:tc>
          <w:tcPr>
            <w:tcW w:w="1328" w:type="dxa"/>
            <w:vAlign w:val="center"/>
          </w:tcPr>
          <w:p w:rsidR="00D67BA3" w:rsidRPr="004A4099" w:rsidP="003D30EF" w14:paraId="203BA4F6" w14:textId="77777777">
            <w:pPr>
              <w:jc w:val="center"/>
              <w:rPr>
                <w:sz w:val="24"/>
                <w:szCs w:val="24"/>
              </w:rPr>
            </w:pPr>
            <w:r w:rsidRPr="004A4099">
              <w:rPr>
                <w:sz w:val="24"/>
                <w:szCs w:val="24"/>
              </w:rPr>
              <w:t>Responses Per Annum</w:t>
            </w:r>
            <w:r w:rsidRPr="004A4099">
              <w:rPr>
                <w:sz w:val="24"/>
                <w:szCs w:val="24"/>
              </w:rPr>
              <w:t xml:space="preserve"> </w:t>
            </w:r>
          </w:p>
        </w:tc>
        <w:tc>
          <w:tcPr>
            <w:tcW w:w="1294" w:type="dxa"/>
            <w:vAlign w:val="center"/>
          </w:tcPr>
          <w:p w:rsidR="00D67BA3" w:rsidRPr="004A4099" w:rsidP="00ED5A77" w14:paraId="2B34291E" w14:textId="77777777">
            <w:pPr>
              <w:jc w:val="center"/>
              <w:rPr>
                <w:sz w:val="24"/>
                <w:szCs w:val="24"/>
              </w:rPr>
            </w:pPr>
            <w:r w:rsidRPr="004A4099">
              <w:rPr>
                <w:sz w:val="24"/>
                <w:szCs w:val="24"/>
              </w:rPr>
              <w:t>Burden Hour Per Response</w:t>
            </w:r>
          </w:p>
        </w:tc>
        <w:tc>
          <w:tcPr>
            <w:tcW w:w="1217" w:type="dxa"/>
            <w:vAlign w:val="center"/>
          </w:tcPr>
          <w:p w:rsidR="00D67BA3" w:rsidRPr="004A4099" w:rsidP="00ED5A77" w14:paraId="0B1A1CC6" w14:textId="77777777">
            <w:pPr>
              <w:jc w:val="center"/>
              <w:rPr>
                <w:sz w:val="24"/>
                <w:szCs w:val="24"/>
              </w:rPr>
            </w:pPr>
            <w:r w:rsidRPr="004A4099">
              <w:rPr>
                <w:sz w:val="24"/>
                <w:szCs w:val="24"/>
              </w:rPr>
              <w:t>Annual Burden Hrs.</w:t>
            </w:r>
          </w:p>
        </w:tc>
        <w:tc>
          <w:tcPr>
            <w:tcW w:w="1294" w:type="dxa"/>
            <w:vAlign w:val="center"/>
          </w:tcPr>
          <w:p w:rsidR="00D67BA3" w:rsidRPr="004A4099" w:rsidP="00DA3359" w14:paraId="03CE863D" w14:textId="77777777">
            <w:pPr>
              <w:jc w:val="center"/>
              <w:rPr>
                <w:sz w:val="24"/>
                <w:szCs w:val="24"/>
              </w:rPr>
            </w:pPr>
            <w:r w:rsidRPr="004A4099">
              <w:rPr>
                <w:sz w:val="24"/>
                <w:szCs w:val="24"/>
              </w:rPr>
              <w:t>Hourly Cost</w:t>
            </w:r>
            <w:r w:rsidRPr="004A4099" w:rsidR="00BC4873">
              <w:rPr>
                <w:sz w:val="24"/>
                <w:szCs w:val="24"/>
              </w:rPr>
              <w:t xml:space="preserve"> Per Response</w:t>
            </w:r>
          </w:p>
        </w:tc>
        <w:tc>
          <w:tcPr>
            <w:tcW w:w="1301" w:type="dxa"/>
            <w:vAlign w:val="center"/>
          </w:tcPr>
          <w:p w:rsidR="00D67BA3" w:rsidRPr="004A4099" w:rsidP="00ED5A77" w14:paraId="25008F61" w14:textId="77777777">
            <w:pPr>
              <w:jc w:val="center"/>
              <w:rPr>
                <w:sz w:val="24"/>
                <w:szCs w:val="24"/>
              </w:rPr>
            </w:pPr>
            <w:r w:rsidRPr="004A4099">
              <w:rPr>
                <w:sz w:val="24"/>
                <w:szCs w:val="24"/>
              </w:rPr>
              <w:t xml:space="preserve">Total </w:t>
            </w:r>
            <w:r w:rsidRPr="004A4099">
              <w:rPr>
                <w:sz w:val="24"/>
                <w:szCs w:val="24"/>
              </w:rPr>
              <w:t>Annual Cost</w:t>
            </w:r>
          </w:p>
        </w:tc>
      </w:tr>
      <w:tr w14:paraId="16F54966" w14:textId="77777777" w:rsidTr="0099046A">
        <w:tblPrEx>
          <w:tblW w:w="10571" w:type="dxa"/>
          <w:tblInd w:w="85" w:type="dxa"/>
          <w:tblLook w:val="0000"/>
        </w:tblPrEx>
        <w:trPr>
          <w:trHeight w:val="527"/>
        </w:trPr>
        <w:tc>
          <w:tcPr>
            <w:tcW w:w="1363" w:type="dxa"/>
          </w:tcPr>
          <w:p w:rsidR="00D67BA3" w:rsidRPr="004A4099" w:rsidP="00ED5A77" w14:paraId="294596A4" w14:textId="04DFA088">
            <w:pPr>
              <w:rPr>
                <w:sz w:val="24"/>
                <w:szCs w:val="24"/>
              </w:rPr>
            </w:pPr>
            <w:r>
              <w:rPr>
                <w:sz w:val="24"/>
                <w:szCs w:val="24"/>
              </w:rPr>
              <w:t>FHA Survey Instrument</w:t>
            </w:r>
          </w:p>
        </w:tc>
        <w:tc>
          <w:tcPr>
            <w:tcW w:w="1443" w:type="dxa"/>
          </w:tcPr>
          <w:p w:rsidR="00D67BA3" w:rsidRPr="004A4099" w:rsidP="00420E75" w14:paraId="6DB0EA24" w14:textId="09C9A4E9">
            <w:pPr>
              <w:jc w:val="center"/>
              <w:rPr>
                <w:sz w:val="24"/>
                <w:szCs w:val="24"/>
              </w:rPr>
            </w:pPr>
            <w:r>
              <w:rPr>
                <w:sz w:val="24"/>
                <w:szCs w:val="24"/>
              </w:rPr>
              <w:t>1</w:t>
            </w:r>
            <w:r w:rsidR="00250DED">
              <w:rPr>
                <w:sz w:val="24"/>
                <w:szCs w:val="24"/>
              </w:rPr>
              <w:t>,</w:t>
            </w:r>
            <w:r w:rsidR="004E3162">
              <w:rPr>
                <w:sz w:val="24"/>
                <w:szCs w:val="24"/>
              </w:rPr>
              <w:t>658</w:t>
            </w:r>
          </w:p>
        </w:tc>
        <w:tc>
          <w:tcPr>
            <w:tcW w:w="1331" w:type="dxa"/>
          </w:tcPr>
          <w:p w:rsidR="00D67BA3" w:rsidRPr="004A4099" w:rsidP="00ED5A77" w14:paraId="37135BBE" w14:textId="77777777">
            <w:pPr>
              <w:jc w:val="center"/>
              <w:rPr>
                <w:sz w:val="24"/>
                <w:szCs w:val="24"/>
              </w:rPr>
            </w:pPr>
            <w:r w:rsidRPr="004A4099">
              <w:rPr>
                <w:sz w:val="24"/>
                <w:szCs w:val="24"/>
              </w:rPr>
              <w:t>12</w:t>
            </w:r>
          </w:p>
        </w:tc>
        <w:tc>
          <w:tcPr>
            <w:tcW w:w="1328" w:type="dxa"/>
          </w:tcPr>
          <w:p w:rsidR="00D67BA3" w:rsidRPr="004A4099" w:rsidP="00420E75" w14:paraId="7CB35AD1" w14:textId="0A360B82">
            <w:pPr>
              <w:jc w:val="center"/>
              <w:rPr>
                <w:sz w:val="24"/>
                <w:szCs w:val="24"/>
              </w:rPr>
            </w:pPr>
            <w:r>
              <w:rPr>
                <w:sz w:val="24"/>
                <w:szCs w:val="24"/>
              </w:rPr>
              <w:t>19</w:t>
            </w:r>
            <w:r w:rsidRPr="004A4099" w:rsidR="00BA4CD5">
              <w:rPr>
                <w:sz w:val="24"/>
                <w:szCs w:val="24"/>
              </w:rPr>
              <w:t>,</w:t>
            </w:r>
            <w:r>
              <w:rPr>
                <w:sz w:val="24"/>
                <w:szCs w:val="24"/>
              </w:rPr>
              <w:t>896</w:t>
            </w:r>
          </w:p>
        </w:tc>
        <w:tc>
          <w:tcPr>
            <w:tcW w:w="1294" w:type="dxa"/>
          </w:tcPr>
          <w:p w:rsidR="00D67BA3" w:rsidRPr="004A4099" w:rsidP="00ED5A77" w14:paraId="07AFF91E" w14:textId="5D684471">
            <w:pPr>
              <w:jc w:val="center"/>
              <w:rPr>
                <w:sz w:val="24"/>
                <w:szCs w:val="24"/>
              </w:rPr>
            </w:pPr>
            <w:r>
              <w:rPr>
                <w:sz w:val="24"/>
                <w:szCs w:val="24"/>
              </w:rPr>
              <w:t>.05</w:t>
            </w:r>
            <w:r w:rsidR="000D2DB8">
              <w:rPr>
                <w:sz w:val="24"/>
                <w:szCs w:val="24"/>
              </w:rPr>
              <w:t xml:space="preserve"> /          3 minutes</w:t>
            </w:r>
          </w:p>
        </w:tc>
        <w:tc>
          <w:tcPr>
            <w:tcW w:w="1217" w:type="dxa"/>
          </w:tcPr>
          <w:p w:rsidR="00D67BA3" w:rsidRPr="004A4099" w:rsidP="00A242BB" w14:paraId="04F4AAAD" w14:textId="6B90A594">
            <w:pPr>
              <w:jc w:val="center"/>
              <w:rPr>
                <w:sz w:val="24"/>
                <w:szCs w:val="24"/>
              </w:rPr>
            </w:pPr>
            <w:r>
              <w:rPr>
                <w:sz w:val="24"/>
                <w:szCs w:val="24"/>
              </w:rPr>
              <w:t>99</w:t>
            </w:r>
            <w:r w:rsidR="007D4FBC">
              <w:rPr>
                <w:sz w:val="24"/>
                <w:szCs w:val="24"/>
              </w:rPr>
              <w:t>5</w:t>
            </w:r>
          </w:p>
        </w:tc>
        <w:tc>
          <w:tcPr>
            <w:tcW w:w="1294" w:type="dxa"/>
          </w:tcPr>
          <w:p w:rsidR="00D67BA3" w:rsidRPr="004A4099" w:rsidP="00BC4873" w14:paraId="394459DB" w14:textId="3E69BB23">
            <w:pPr>
              <w:jc w:val="center"/>
              <w:rPr>
                <w:sz w:val="24"/>
                <w:szCs w:val="24"/>
              </w:rPr>
            </w:pPr>
            <w:r>
              <w:rPr>
                <w:sz w:val="24"/>
                <w:szCs w:val="24"/>
              </w:rPr>
              <w:t>$</w:t>
            </w:r>
            <w:r w:rsidRPr="00932055">
              <w:rPr>
                <w:sz w:val="24"/>
                <w:szCs w:val="24"/>
              </w:rPr>
              <w:t>1</w:t>
            </w:r>
            <w:r w:rsidR="007D4FBC">
              <w:rPr>
                <w:sz w:val="24"/>
                <w:szCs w:val="24"/>
              </w:rPr>
              <w:t>6.40</w:t>
            </w:r>
          </w:p>
        </w:tc>
        <w:tc>
          <w:tcPr>
            <w:tcW w:w="1301" w:type="dxa"/>
          </w:tcPr>
          <w:p w:rsidR="00D67BA3" w:rsidRPr="004A4099" w:rsidP="00542D4E" w14:paraId="0E380A71" w14:textId="70731910">
            <w:pPr>
              <w:jc w:val="right"/>
              <w:rPr>
                <w:sz w:val="24"/>
                <w:szCs w:val="24"/>
              </w:rPr>
            </w:pPr>
            <w:r w:rsidRPr="004A4099">
              <w:rPr>
                <w:sz w:val="24"/>
                <w:szCs w:val="24"/>
              </w:rPr>
              <w:t>$</w:t>
            </w:r>
            <w:r w:rsidR="00C9401D">
              <w:rPr>
                <w:sz w:val="24"/>
                <w:szCs w:val="24"/>
              </w:rPr>
              <w:t>1</w:t>
            </w:r>
            <w:r w:rsidR="007D4FBC">
              <w:rPr>
                <w:sz w:val="24"/>
                <w:szCs w:val="24"/>
              </w:rPr>
              <w:t>6,318</w:t>
            </w:r>
          </w:p>
        </w:tc>
      </w:tr>
      <w:tr w14:paraId="61F9B146" w14:textId="77777777" w:rsidTr="0099046A">
        <w:tblPrEx>
          <w:tblW w:w="10571" w:type="dxa"/>
          <w:tblInd w:w="85" w:type="dxa"/>
          <w:tblLook w:val="0000"/>
        </w:tblPrEx>
        <w:trPr>
          <w:trHeight w:val="326"/>
        </w:trPr>
        <w:tc>
          <w:tcPr>
            <w:tcW w:w="1363" w:type="dxa"/>
          </w:tcPr>
          <w:p w:rsidR="003D30EF" w:rsidRPr="004A4099" w:rsidP="00ED5A77" w14:paraId="5B0D984F" w14:textId="2533EEC9">
            <w:pPr>
              <w:rPr>
                <w:b/>
                <w:sz w:val="24"/>
                <w:szCs w:val="24"/>
              </w:rPr>
            </w:pPr>
            <w:r>
              <w:rPr>
                <w:b/>
                <w:sz w:val="24"/>
                <w:szCs w:val="24"/>
              </w:rPr>
              <w:t>**</w:t>
            </w:r>
            <w:r w:rsidR="002E23A9">
              <w:rPr>
                <w:b/>
                <w:sz w:val="24"/>
                <w:szCs w:val="24"/>
              </w:rPr>
              <w:t>*</w:t>
            </w:r>
            <w:r w:rsidRPr="004A4099">
              <w:rPr>
                <w:b/>
                <w:sz w:val="24"/>
                <w:szCs w:val="24"/>
              </w:rPr>
              <w:t>Totals</w:t>
            </w:r>
          </w:p>
        </w:tc>
        <w:tc>
          <w:tcPr>
            <w:tcW w:w="1443" w:type="dxa"/>
          </w:tcPr>
          <w:p w:rsidR="003D30EF" w:rsidRPr="004A4099" w:rsidP="00420E75" w14:paraId="3398E8C4" w14:textId="77777777">
            <w:pPr>
              <w:jc w:val="center"/>
              <w:rPr>
                <w:b/>
                <w:sz w:val="24"/>
                <w:szCs w:val="24"/>
              </w:rPr>
            </w:pPr>
          </w:p>
        </w:tc>
        <w:tc>
          <w:tcPr>
            <w:tcW w:w="1331" w:type="dxa"/>
          </w:tcPr>
          <w:p w:rsidR="003D30EF" w:rsidRPr="004A4099" w:rsidP="00ED5A77" w14:paraId="0C26676C" w14:textId="77777777">
            <w:pPr>
              <w:jc w:val="center"/>
              <w:rPr>
                <w:b/>
                <w:sz w:val="24"/>
                <w:szCs w:val="24"/>
              </w:rPr>
            </w:pPr>
          </w:p>
        </w:tc>
        <w:tc>
          <w:tcPr>
            <w:tcW w:w="1328" w:type="dxa"/>
          </w:tcPr>
          <w:p w:rsidR="003D30EF" w:rsidRPr="004A4099" w:rsidP="00420E75" w14:paraId="385A40E6" w14:textId="071B83AD">
            <w:pPr>
              <w:jc w:val="center"/>
              <w:rPr>
                <w:b/>
                <w:sz w:val="24"/>
                <w:szCs w:val="24"/>
              </w:rPr>
            </w:pPr>
            <w:r>
              <w:rPr>
                <w:b/>
                <w:sz w:val="24"/>
                <w:szCs w:val="24"/>
              </w:rPr>
              <w:t>19</w:t>
            </w:r>
            <w:r w:rsidRPr="004A4099" w:rsidR="00BA4CD5">
              <w:rPr>
                <w:b/>
                <w:sz w:val="24"/>
                <w:szCs w:val="24"/>
              </w:rPr>
              <w:t>,</w:t>
            </w:r>
            <w:r>
              <w:rPr>
                <w:b/>
                <w:sz w:val="24"/>
                <w:szCs w:val="24"/>
              </w:rPr>
              <w:t>896</w:t>
            </w:r>
          </w:p>
        </w:tc>
        <w:tc>
          <w:tcPr>
            <w:tcW w:w="1294" w:type="dxa"/>
          </w:tcPr>
          <w:p w:rsidR="003D30EF" w:rsidRPr="004A4099" w:rsidP="00ED5A77" w14:paraId="797886E7" w14:textId="77777777">
            <w:pPr>
              <w:jc w:val="center"/>
              <w:rPr>
                <w:b/>
                <w:sz w:val="24"/>
                <w:szCs w:val="24"/>
              </w:rPr>
            </w:pPr>
          </w:p>
        </w:tc>
        <w:tc>
          <w:tcPr>
            <w:tcW w:w="1217" w:type="dxa"/>
          </w:tcPr>
          <w:p w:rsidR="003D30EF" w:rsidRPr="004A4099" w:rsidP="00A242BB" w14:paraId="1FDC3379" w14:textId="67E23178">
            <w:pPr>
              <w:jc w:val="center"/>
              <w:rPr>
                <w:b/>
                <w:sz w:val="24"/>
                <w:szCs w:val="24"/>
              </w:rPr>
            </w:pPr>
            <w:r>
              <w:rPr>
                <w:b/>
                <w:sz w:val="24"/>
                <w:szCs w:val="24"/>
              </w:rPr>
              <w:t>99</w:t>
            </w:r>
            <w:r w:rsidR="007D4FBC">
              <w:rPr>
                <w:b/>
                <w:sz w:val="24"/>
                <w:szCs w:val="24"/>
              </w:rPr>
              <w:t>5</w:t>
            </w:r>
          </w:p>
        </w:tc>
        <w:tc>
          <w:tcPr>
            <w:tcW w:w="1294" w:type="dxa"/>
          </w:tcPr>
          <w:p w:rsidR="003D30EF" w:rsidRPr="004A4099" w:rsidP="00ED5A77" w14:paraId="5DAF5DA1" w14:textId="77777777">
            <w:pPr>
              <w:jc w:val="right"/>
              <w:rPr>
                <w:b/>
                <w:sz w:val="24"/>
                <w:szCs w:val="24"/>
              </w:rPr>
            </w:pPr>
          </w:p>
        </w:tc>
        <w:tc>
          <w:tcPr>
            <w:tcW w:w="1301" w:type="dxa"/>
          </w:tcPr>
          <w:p w:rsidR="003D30EF" w:rsidRPr="004A4099" w:rsidP="00542D4E" w14:paraId="2BA7DDEE" w14:textId="4B0294C8">
            <w:pPr>
              <w:jc w:val="right"/>
              <w:rPr>
                <w:b/>
                <w:sz w:val="24"/>
                <w:szCs w:val="24"/>
              </w:rPr>
            </w:pPr>
            <w:r w:rsidRPr="004A4099">
              <w:rPr>
                <w:b/>
                <w:sz w:val="24"/>
                <w:szCs w:val="24"/>
              </w:rPr>
              <w:t>$</w:t>
            </w:r>
            <w:r w:rsidR="00E43EFD">
              <w:rPr>
                <w:b/>
                <w:sz w:val="24"/>
                <w:szCs w:val="24"/>
              </w:rPr>
              <w:t>1</w:t>
            </w:r>
            <w:r w:rsidR="007D4FBC">
              <w:rPr>
                <w:b/>
                <w:sz w:val="24"/>
                <w:szCs w:val="24"/>
              </w:rPr>
              <w:t>6</w:t>
            </w:r>
            <w:r w:rsidR="00E43EFD">
              <w:rPr>
                <w:b/>
                <w:sz w:val="24"/>
                <w:szCs w:val="24"/>
              </w:rPr>
              <w:t>,</w:t>
            </w:r>
            <w:r w:rsidR="007D4FBC">
              <w:rPr>
                <w:b/>
                <w:sz w:val="24"/>
                <w:szCs w:val="24"/>
              </w:rPr>
              <w:t>318</w:t>
            </w:r>
          </w:p>
        </w:tc>
      </w:tr>
    </w:tbl>
    <w:p w:rsidR="002E23A9" w:rsidP="00E32E34" w14:paraId="56E2A6F8" w14:textId="77777777">
      <w:pPr>
        <w:ind w:left="360"/>
      </w:pPr>
      <w:bookmarkStart w:id="2" w:name="_Hlk19205883"/>
    </w:p>
    <w:tbl>
      <w:tblPr>
        <w:tblStyle w:val="TableGrid"/>
        <w:tblW w:w="9710" w:type="dxa"/>
        <w:tblInd w:w="720" w:type="dxa"/>
        <w:tblLook w:val="04A0"/>
      </w:tblPr>
      <w:tblGrid>
        <w:gridCol w:w="6295"/>
        <w:gridCol w:w="1990"/>
        <w:gridCol w:w="1425"/>
      </w:tblGrid>
      <w:tr w14:paraId="74B06CD0" w14:textId="77777777" w:rsidTr="002E23A9">
        <w:tblPrEx>
          <w:tblW w:w="9710" w:type="dxa"/>
          <w:tblInd w:w="720" w:type="dxa"/>
          <w:tblLook w:val="04A0"/>
        </w:tblPrEx>
        <w:tc>
          <w:tcPr>
            <w:tcW w:w="6295" w:type="dxa"/>
          </w:tcPr>
          <w:p w:rsidR="002E23A9" w:rsidP="005B6B20" w14:paraId="593024E1" w14:textId="545C65DE">
            <w:pPr>
              <w:ind w:left="360"/>
            </w:pPr>
            <w:r>
              <w:t>***</w:t>
            </w:r>
          </w:p>
        </w:tc>
        <w:tc>
          <w:tcPr>
            <w:tcW w:w="1990" w:type="dxa"/>
          </w:tcPr>
          <w:p w:rsidR="002E23A9" w:rsidP="002E23A9" w14:paraId="2703AD4C" w14:textId="3290DC35">
            <w:pPr>
              <w:ind w:left="360"/>
            </w:pPr>
            <w:r>
              <w:t xml:space="preserve">Responses </w:t>
            </w:r>
          </w:p>
        </w:tc>
        <w:tc>
          <w:tcPr>
            <w:tcW w:w="1425" w:type="dxa"/>
          </w:tcPr>
          <w:p w:rsidR="002E23A9" w:rsidP="002E23A9" w14:paraId="531C031E" w14:textId="4C1833A9">
            <w:pPr>
              <w:ind w:left="360"/>
            </w:pPr>
            <w:r>
              <w:t>Hours</w:t>
            </w:r>
          </w:p>
        </w:tc>
      </w:tr>
      <w:tr w14:paraId="5B3A2DA6" w14:textId="77777777" w:rsidTr="002E23A9">
        <w:tblPrEx>
          <w:tblW w:w="9710" w:type="dxa"/>
          <w:tblInd w:w="720" w:type="dxa"/>
          <w:tblLook w:val="04A0"/>
        </w:tblPrEx>
        <w:tc>
          <w:tcPr>
            <w:tcW w:w="6295" w:type="dxa"/>
          </w:tcPr>
          <w:p w:rsidR="002E23A9" w:rsidP="002E23A9" w14:paraId="2F4B5C61" w14:textId="54702AAB">
            <w:pPr>
              <w:pStyle w:val="ListParagraph"/>
              <w:ind w:left="0"/>
              <w:jc w:val="both"/>
            </w:pPr>
            <w:r>
              <w:t>Total Burden Requested for Generic ICs Submitted with This ICR</w:t>
            </w:r>
          </w:p>
        </w:tc>
        <w:tc>
          <w:tcPr>
            <w:tcW w:w="1990" w:type="dxa"/>
          </w:tcPr>
          <w:p w:rsidR="002E23A9" w:rsidP="002E23A9" w14:paraId="7923AF9B" w14:textId="10229015">
            <w:pPr>
              <w:ind w:left="360"/>
            </w:pPr>
            <w:r>
              <w:t>19896</w:t>
            </w:r>
          </w:p>
        </w:tc>
        <w:tc>
          <w:tcPr>
            <w:tcW w:w="1425" w:type="dxa"/>
          </w:tcPr>
          <w:p w:rsidR="002E23A9" w:rsidP="002E23A9" w14:paraId="6914BA41" w14:textId="6D726597">
            <w:pPr>
              <w:ind w:left="360"/>
            </w:pPr>
            <w:r>
              <w:t xml:space="preserve">      </w:t>
            </w:r>
            <w:r>
              <w:t>99</w:t>
            </w:r>
            <w:r w:rsidR="00C42AE2">
              <w:t>5</w:t>
            </w:r>
          </w:p>
        </w:tc>
      </w:tr>
      <w:tr w14:paraId="01EE33B2" w14:textId="77777777" w:rsidTr="002E23A9">
        <w:tblPrEx>
          <w:tblW w:w="9710" w:type="dxa"/>
          <w:tblInd w:w="720" w:type="dxa"/>
          <w:tblLook w:val="04A0"/>
        </w:tblPrEx>
        <w:tc>
          <w:tcPr>
            <w:tcW w:w="6295" w:type="dxa"/>
          </w:tcPr>
          <w:p w:rsidR="002E23A9" w:rsidP="002E23A9" w14:paraId="3D2CEF11" w14:textId="20AA4D3B">
            <w:r>
              <w:t>Total Burden Requested Under This ICR</w:t>
            </w:r>
          </w:p>
        </w:tc>
        <w:tc>
          <w:tcPr>
            <w:tcW w:w="1990" w:type="dxa"/>
          </w:tcPr>
          <w:p w:rsidR="002E23A9" w:rsidP="002E23A9" w14:paraId="7FDC2827" w14:textId="2719FF85">
            <w:pPr>
              <w:ind w:left="360"/>
            </w:pPr>
            <w:r>
              <w:t>117248</w:t>
            </w:r>
          </w:p>
        </w:tc>
        <w:tc>
          <w:tcPr>
            <w:tcW w:w="1425" w:type="dxa"/>
          </w:tcPr>
          <w:p w:rsidR="002E23A9" w:rsidP="002E23A9" w14:paraId="3BFD5D39" w14:textId="41A808FD">
            <w:pPr>
              <w:ind w:left="360"/>
            </w:pPr>
            <w:r>
              <w:t>37</w:t>
            </w:r>
            <w:r w:rsidR="003D0E99">
              <w:t>,</w:t>
            </w:r>
            <w:r>
              <w:t>519</w:t>
            </w:r>
            <w:r w:rsidR="003D0E99">
              <w:t>.</w:t>
            </w:r>
            <w:r>
              <w:t>26</w:t>
            </w:r>
          </w:p>
        </w:tc>
      </w:tr>
      <w:tr w14:paraId="73DEF81F" w14:textId="77777777" w:rsidTr="002E23A9">
        <w:tblPrEx>
          <w:tblW w:w="9710" w:type="dxa"/>
          <w:tblInd w:w="720" w:type="dxa"/>
          <w:tblLook w:val="04A0"/>
        </w:tblPrEx>
        <w:tc>
          <w:tcPr>
            <w:tcW w:w="6295" w:type="dxa"/>
          </w:tcPr>
          <w:p w:rsidR="002E23A9" w:rsidP="002E23A9" w14:paraId="0E23F83E" w14:textId="42B76CD0">
            <w:r>
              <w:t>Burden Available for Future Generic IC Submissions</w:t>
            </w:r>
          </w:p>
        </w:tc>
        <w:tc>
          <w:tcPr>
            <w:tcW w:w="1990" w:type="dxa"/>
          </w:tcPr>
          <w:p w:rsidR="002E23A9" w:rsidP="002E23A9" w14:paraId="14F71268" w14:textId="14B34693">
            <w:pPr>
              <w:ind w:left="360"/>
            </w:pPr>
            <w:r>
              <w:t>97352</w:t>
            </w:r>
          </w:p>
        </w:tc>
        <w:tc>
          <w:tcPr>
            <w:tcW w:w="1425" w:type="dxa"/>
          </w:tcPr>
          <w:p w:rsidR="002E23A9" w:rsidP="002E23A9" w14:paraId="6589D5E1" w14:textId="59C51B01">
            <w:pPr>
              <w:ind w:left="360"/>
            </w:pPr>
            <w:r>
              <w:t>3741978</w:t>
            </w:r>
          </w:p>
        </w:tc>
      </w:tr>
    </w:tbl>
    <w:p w:rsidR="0036197A" w:rsidRPr="0036197A" w:rsidP="0036197A" w14:paraId="5ED82D59" w14:textId="6ABB005B">
      <w:pPr>
        <w:tabs>
          <w:tab w:val="left" w:pos="6290"/>
        </w:tabs>
      </w:pPr>
    </w:p>
    <w:p w:rsidR="009D4FD7" w:rsidP="00E32E34" w14:paraId="1208C4BE" w14:textId="281E17B4">
      <w:pPr>
        <w:ind w:left="360"/>
      </w:pPr>
      <w:r w:rsidRPr="00E43EFD">
        <w:t>The hourly cost per response is based on the per capita income of the United States of $3</w:t>
      </w:r>
      <w:r w:rsidR="007D4FBC">
        <w:t>4</w:t>
      </w:r>
      <w:r w:rsidRPr="00E43EFD">
        <w:t>,</w:t>
      </w:r>
      <w:r w:rsidR="007D4FBC">
        <w:t>103</w:t>
      </w:r>
      <w:r w:rsidRPr="00E43EFD">
        <w:t xml:space="preserve"> (US Bureau of the Census, 201</w:t>
      </w:r>
      <w:r w:rsidR="007D4FBC">
        <w:t>9</w:t>
      </w:r>
      <w:r w:rsidRPr="00E43EFD">
        <w:t xml:space="preserve"> American Community Survey) and the corresponding hourly earnings of $1</w:t>
      </w:r>
      <w:r w:rsidR="007D4FBC">
        <w:t>6</w:t>
      </w:r>
      <w:r w:rsidRPr="00E43EFD">
        <w:t>.</w:t>
      </w:r>
      <w:r w:rsidR="007D4FBC">
        <w:t>40</w:t>
      </w:r>
      <w:r w:rsidRPr="00E43EFD">
        <w:t>.</w:t>
      </w:r>
      <w:r w:rsidR="007D4FBC">
        <w:t xml:space="preserve">   </w:t>
      </w:r>
      <w:hyperlink r:id="rId7" w:history="1">
        <w:r w:rsidRPr="00B27FB2" w:rsidR="007D4FBC">
          <w:rPr>
            <w:rStyle w:val="Hyperlink"/>
          </w:rPr>
          <w:t>https://www.census.gov/quickfacts/fact/table/US/SEX255219</w:t>
        </w:r>
      </w:hyperlink>
      <w:r w:rsidR="007D4FBC">
        <w:t xml:space="preserve"> </w:t>
      </w:r>
    </w:p>
    <w:bookmarkEnd w:id="2"/>
    <w:p w:rsidR="009D4FD7" w:rsidP="00E32E34" w14:paraId="76159EEF" w14:textId="77777777">
      <w:pPr>
        <w:ind w:left="360"/>
      </w:pPr>
    </w:p>
    <w:p w:rsidR="00973338" w:rsidRPr="00302CB4" w:rsidP="00E32E34" w14:paraId="756B92F0" w14:textId="764851DF">
      <w:pPr>
        <w:ind w:left="360"/>
        <w:rPr>
          <w:rFonts w:eastAsia="PMingLiU"/>
          <w:color w:val="000000"/>
          <w:sz w:val="24"/>
          <w:szCs w:val="24"/>
        </w:rPr>
      </w:pPr>
      <w:r w:rsidRPr="00302CB4">
        <w:rPr>
          <w:rFonts w:eastAsia="PMingLiU"/>
          <w:color w:val="000000"/>
          <w:sz w:val="24"/>
          <w:szCs w:val="24"/>
        </w:rPr>
        <w:t xml:space="preserve">The proposed </w:t>
      </w:r>
      <w:r w:rsidRPr="00302CB4" w:rsidR="003B1B1D">
        <w:rPr>
          <w:rFonts w:eastAsia="PMingLiU"/>
          <w:color w:val="000000"/>
          <w:sz w:val="24"/>
          <w:szCs w:val="24"/>
        </w:rPr>
        <w:t xml:space="preserve">survey collection method for each month </w:t>
      </w:r>
      <w:r w:rsidRPr="00302CB4" w:rsidR="00320CAD">
        <w:rPr>
          <w:rFonts w:eastAsia="PMingLiU"/>
          <w:color w:val="000000"/>
          <w:sz w:val="24"/>
          <w:szCs w:val="24"/>
        </w:rPr>
        <w:t xml:space="preserve">to utilize </w:t>
      </w:r>
      <w:r w:rsidRPr="00302CB4">
        <w:rPr>
          <w:rFonts w:eastAsia="PMingLiU"/>
          <w:color w:val="000000"/>
          <w:sz w:val="24"/>
          <w:szCs w:val="24"/>
        </w:rPr>
        <w:t xml:space="preserve">one week of </w:t>
      </w:r>
      <w:r w:rsidRPr="00302CB4" w:rsidR="00320CAD">
        <w:rPr>
          <w:rFonts w:eastAsia="PMingLiU"/>
          <w:color w:val="000000"/>
          <w:sz w:val="24"/>
          <w:szCs w:val="24"/>
        </w:rPr>
        <w:t xml:space="preserve">the </w:t>
      </w:r>
      <w:r w:rsidRPr="00302CB4">
        <w:rPr>
          <w:rFonts w:eastAsia="PMingLiU"/>
          <w:color w:val="000000"/>
          <w:sz w:val="24"/>
          <w:szCs w:val="24"/>
        </w:rPr>
        <w:t>inquiries processed as the pool for randomly selecting customers to receive a survey invitation. The number of survey invitations sent to HUD FHA Resource Center customer</w:t>
      </w:r>
      <w:r w:rsidRPr="00302CB4" w:rsidR="00302CB4">
        <w:rPr>
          <w:rFonts w:eastAsia="PMingLiU"/>
          <w:color w:val="000000"/>
          <w:sz w:val="24"/>
          <w:szCs w:val="24"/>
        </w:rPr>
        <w:t xml:space="preserve"> out </w:t>
      </w:r>
      <w:r w:rsidRPr="00302CB4">
        <w:rPr>
          <w:rFonts w:eastAsia="PMingLiU"/>
          <w:color w:val="000000"/>
          <w:sz w:val="24"/>
          <w:szCs w:val="24"/>
        </w:rPr>
        <w:t>of the total pool, will follow these guidelines:</w:t>
      </w:r>
    </w:p>
    <w:p w:rsidR="00302CB4" w:rsidRPr="00302CB4" w:rsidP="00E32E34" w14:paraId="4F79BC91" w14:textId="77777777">
      <w:pPr>
        <w:ind w:left="360"/>
        <w:rPr>
          <w:rFonts w:eastAsia="PMingLiU"/>
          <w:color w:val="000000"/>
          <w:sz w:val="24"/>
          <w:szCs w:val="24"/>
        </w:rPr>
      </w:pPr>
    </w:p>
    <w:p w:rsidR="00973338" w:rsidRPr="00302CB4" w:rsidP="00973338" w14:paraId="3AF0F241" w14:textId="07CB550E">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Pr="00302CB4">
        <w:rPr>
          <w:rFonts w:eastAsia="PMingLiU"/>
          <w:color w:val="000000"/>
          <w:sz w:val="24"/>
          <w:szCs w:val="24"/>
        </w:rPr>
        <w:t>•</w:t>
      </w:r>
      <w:r w:rsidRPr="00302CB4">
        <w:rPr>
          <w:rFonts w:eastAsia="PMingLiU"/>
          <w:color w:val="000000"/>
          <w:sz w:val="24"/>
          <w:szCs w:val="24"/>
        </w:rPr>
        <w:tab/>
      </w:r>
      <w:r w:rsidRPr="00302CB4" w:rsidR="00302CB4">
        <w:rPr>
          <w:rFonts w:eastAsia="PMingLiU"/>
          <w:color w:val="000000"/>
          <w:sz w:val="24"/>
          <w:szCs w:val="24"/>
        </w:rPr>
        <w:t xml:space="preserve">Inquiries responded to by </w:t>
      </w:r>
      <w:r w:rsidRPr="00302CB4">
        <w:rPr>
          <w:rFonts w:eastAsia="PMingLiU"/>
          <w:color w:val="000000"/>
          <w:sz w:val="24"/>
          <w:szCs w:val="24"/>
        </w:rPr>
        <w:t>Resource Center</w:t>
      </w:r>
      <w:r w:rsidRPr="00302CB4" w:rsidR="00302CB4">
        <w:rPr>
          <w:rFonts w:eastAsia="PMingLiU"/>
          <w:color w:val="000000"/>
          <w:sz w:val="24"/>
          <w:szCs w:val="24"/>
        </w:rPr>
        <w:t xml:space="preserve"> staff</w:t>
      </w:r>
      <w:r w:rsidRPr="00302CB4">
        <w:rPr>
          <w:rFonts w:eastAsia="PMingLiU"/>
          <w:color w:val="000000"/>
          <w:sz w:val="24"/>
          <w:szCs w:val="24"/>
        </w:rPr>
        <w:t>: 15%</w:t>
      </w:r>
    </w:p>
    <w:p w:rsidR="00973338" w:rsidRPr="00302CB4" w:rsidP="00973338" w14:paraId="488A8533" w14:textId="7DF368FC">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Pr="00302CB4">
        <w:rPr>
          <w:rFonts w:eastAsia="PMingLiU"/>
          <w:color w:val="000000"/>
          <w:sz w:val="24"/>
          <w:szCs w:val="24"/>
        </w:rPr>
        <w:t>•</w:t>
      </w:r>
      <w:r w:rsidRPr="00302CB4">
        <w:rPr>
          <w:rFonts w:eastAsia="PMingLiU"/>
          <w:color w:val="000000"/>
          <w:sz w:val="24"/>
          <w:szCs w:val="24"/>
        </w:rPr>
        <w:tab/>
      </w:r>
      <w:r w:rsidRPr="00302CB4" w:rsidR="00302CB4">
        <w:rPr>
          <w:rFonts w:eastAsia="PMingLiU"/>
          <w:color w:val="000000"/>
          <w:sz w:val="24"/>
          <w:szCs w:val="24"/>
        </w:rPr>
        <w:t xml:space="preserve">Inquiries responded to by </w:t>
      </w:r>
      <w:r w:rsidRPr="00302CB4">
        <w:rPr>
          <w:rFonts w:eastAsia="PMingLiU"/>
          <w:color w:val="000000"/>
          <w:sz w:val="24"/>
          <w:szCs w:val="24"/>
        </w:rPr>
        <w:t>All four HOCs &amp; NSC</w:t>
      </w:r>
      <w:r w:rsidRPr="00302CB4" w:rsidR="00302CB4">
        <w:rPr>
          <w:rFonts w:eastAsia="PMingLiU"/>
          <w:color w:val="000000"/>
          <w:sz w:val="24"/>
          <w:szCs w:val="24"/>
        </w:rPr>
        <w:t xml:space="preserve"> staff</w:t>
      </w:r>
      <w:r w:rsidRPr="00302CB4">
        <w:rPr>
          <w:rFonts w:eastAsia="PMingLiU"/>
          <w:color w:val="000000"/>
          <w:sz w:val="24"/>
          <w:szCs w:val="24"/>
        </w:rPr>
        <w:t>: 30%</w:t>
      </w:r>
    </w:p>
    <w:p w:rsidR="00973338" w:rsidRPr="00302CB4" w:rsidP="00973338" w14:paraId="0524CA5A" w14:textId="342B9EFF">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Pr="00302CB4">
        <w:rPr>
          <w:rFonts w:eastAsia="PMingLiU"/>
          <w:color w:val="000000"/>
          <w:sz w:val="24"/>
          <w:szCs w:val="24"/>
        </w:rPr>
        <w:t>•</w:t>
      </w:r>
      <w:r w:rsidRPr="00302CB4">
        <w:rPr>
          <w:rFonts w:eastAsia="PMingLiU"/>
          <w:color w:val="000000"/>
          <w:sz w:val="24"/>
          <w:szCs w:val="24"/>
        </w:rPr>
        <w:tab/>
      </w:r>
      <w:r w:rsidRPr="00302CB4" w:rsidR="00302CB4">
        <w:rPr>
          <w:rFonts w:eastAsia="PMingLiU"/>
          <w:color w:val="000000"/>
          <w:sz w:val="24"/>
          <w:szCs w:val="24"/>
        </w:rPr>
        <w:t xml:space="preserve">Inquiries responded to by </w:t>
      </w:r>
      <w:r w:rsidRPr="00302CB4">
        <w:rPr>
          <w:rFonts w:eastAsia="PMingLiU"/>
          <w:color w:val="000000"/>
          <w:sz w:val="24"/>
          <w:szCs w:val="24"/>
        </w:rPr>
        <w:t>All HQ Office</w:t>
      </w:r>
      <w:r w:rsidRPr="00302CB4" w:rsidR="00302CB4">
        <w:rPr>
          <w:rFonts w:eastAsia="PMingLiU"/>
          <w:color w:val="000000"/>
          <w:sz w:val="24"/>
          <w:szCs w:val="24"/>
        </w:rPr>
        <w:t xml:space="preserve"> </w:t>
      </w:r>
      <w:r w:rsidRPr="00302CB4">
        <w:rPr>
          <w:rFonts w:eastAsia="PMingLiU"/>
          <w:color w:val="000000"/>
          <w:sz w:val="24"/>
          <w:szCs w:val="24"/>
        </w:rPr>
        <w:t>s</w:t>
      </w:r>
      <w:r w:rsidRPr="00302CB4" w:rsidR="00302CB4">
        <w:rPr>
          <w:rFonts w:eastAsia="PMingLiU"/>
          <w:color w:val="000000"/>
          <w:sz w:val="24"/>
          <w:szCs w:val="24"/>
        </w:rPr>
        <w:t>taff</w:t>
      </w:r>
      <w:r w:rsidRPr="00302CB4">
        <w:rPr>
          <w:rFonts w:eastAsia="PMingLiU"/>
          <w:color w:val="000000"/>
          <w:sz w:val="24"/>
          <w:szCs w:val="24"/>
        </w:rPr>
        <w:t>: 50%</w:t>
      </w:r>
    </w:p>
    <w:p w:rsidR="00973338" w:rsidRPr="00302CB4" w:rsidP="00973338" w14:paraId="6F73837C" w14:textId="389EF5B7">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Pr="00302CB4">
        <w:rPr>
          <w:rFonts w:eastAsia="PMingLiU"/>
          <w:color w:val="000000"/>
          <w:sz w:val="24"/>
          <w:szCs w:val="24"/>
        </w:rPr>
        <w:t>•</w:t>
      </w:r>
      <w:r w:rsidRPr="00302CB4">
        <w:rPr>
          <w:rFonts w:eastAsia="PMingLiU"/>
          <w:color w:val="000000"/>
          <w:sz w:val="24"/>
          <w:szCs w:val="24"/>
        </w:rPr>
        <w:tab/>
      </w:r>
      <w:r w:rsidRPr="00302CB4" w:rsidR="00302CB4">
        <w:rPr>
          <w:rFonts w:eastAsia="PMingLiU"/>
          <w:color w:val="000000"/>
          <w:sz w:val="24"/>
          <w:szCs w:val="24"/>
        </w:rPr>
        <w:t xml:space="preserve">Inquiries responded to by </w:t>
      </w:r>
      <w:r w:rsidRPr="00302CB4">
        <w:rPr>
          <w:rFonts w:eastAsia="PMingLiU"/>
          <w:color w:val="000000"/>
          <w:sz w:val="24"/>
          <w:szCs w:val="24"/>
        </w:rPr>
        <w:t>FHA online Frequently Asked Question (FAQ) site: 50%</w:t>
      </w:r>
    </w:p>
    <w:p w:rsidR="00E77E39" w:rsidP="00CA7FE6" w14:paraId="7B24F369" w14:textId="6587CAE5">
      <w:pPr>
        <w:ind w:left="360"/>
        <w:rPr>
          <w:rFonts w:ascii="Arial" w:hAnsi="Arial" w:cs="Arial"/>
          <w:sz w:val="24"/>
          <w:szCs w:val="24"/>
        </w:rPr>
      </w:pPr>
      <w:r>
        <w:rPr>
          <w:sz w:val="24"/>
          <w:szCs w:val="24"/>
        </w:rPr>
        <w:t xml:space="preserve">Adjustments were made to the </w:t>
      </w:r>
      <w:r w:rsidR="00D755B9">
        <w:rPr>
          <w:sz w:val="24"/>
          <w:szCs w:val="24"/>
        </w:rPr>
        <w:t>percentages responded to by the FHA Resource Center staff due to the</w:t>
      </w:r>
      <w:r w:rsidR="00CA7FE6">
        <w:rPr>
          <w:sz w:val="24"/>
          <w:szCs w:val="24"/>
        </w:rPr>
        <w:t xml:space="preserve"> overall volume of service requests being</w:t>
      </w:r>
      <w:r w:rsidR="00C15FE3">
        <w:rPr>
          <w:sz w:val="24"/>
          <w:szCs w:val="24"/>
        </w:rPr>
        <w:t xml:space="preserve"> resolved is </w:t>
      </w:r>
      <w:r w:rsidR="00CA7FE6">
        <w:rPr>
          <w:sz w:val="24"/>
          <w:szCs w:val="24"/>
        </w:rPr>
        <w:t>lower from their group over the past several years</w:t>
      </w:r>
      <w:r w:rsidR="00C15FE3">
        <w:rPr>
          <w:sz w:val="24"/>
          <w:szCs w:val="24"/>
        </w:rPr>
        <w:t>.</w:t>
      </w:r>
    </w:p>
    <w:p w:rsidR="00E77E39" w:rsidP="00D67BA3" w14:paraId="7B9A4D8F" w14:textId="77777777">
      <w:pPr>
        <w:rPr>
          <w:rFonts w:ascii="Arial" w:hAnsi="Arial" w:cs="Arial"/>
          <w:sz w:val="24"/>
          <w:szCs w:val="24"/>
        </w:rPr>
      </w:pPr>
    </w:p>
    <w:p w:rsidR="00D67BA3" w:rsidP="00D67BA3" w14:paraId="7804418E" w14:textId="5024D6BC">
      <w:pPr>
        <w:pStyle w:val="BodyTextIndent"/>
      </w:pPr>
      <w:r>
        <w:t>13.</w:t>
      </w:r>
      <w:r>
        <w:tab/>
        <w:t>There are no additional costs to respondents.</w:t>
      </w:r>
      <w:r w:rsidR="00985A53">
        <w:t xml:space="preserve">  </w:t>
      </w:r>
      <w:r w:rsidRPr="00985A53" w:rsidR="00985A53">
        <w:t>The agency anticipates no additional cost burden</w:t>
      </w:r>
      <w:r w:rsidR="00985A53">
        <w:t xml:space="preserve"> to the respondents </w:t>
      </w:r>
      <w:r w:rsidRPr="00985A53" w:rsidR="00985A53">
        <w:t>for the technology utilized, collection of data, project management, or report preparation.</w:t>
      </w:r>
      <w:r w:rsidR="00985A53">
        <w:t xml:space="preserve"> </w:t>
      </w:r>
    </w:p>
    <w:p w:rsidR="00973338" w:rsidP="00D67BA3" w14:paraId="5250D581" w14:textId="77777777">
      <w:pPr>
        <w:pStyle w:val="BodyTextIndent"/>
      </w:pPr>
    </w:p>
    <w:p w:rsidR="001C09BE" w:rsidP="00D67BA3" w14:paraId="68B6EAFF" w14:textId="7616DA28">
      <w:pPr>
        <w:ind w:left="360" w:hanging="360"/>
        <w:rPr>
          <w:sz w:val="24"/>
        </w:rPr>
      </w:pPr>
      <w:r>
        <w:rPr>
          <w:bCs/>
          <w:sz w:val="24"/>
        </w:rPr>
        <w:t>14.</w:t>
      </w:r>
      <w:r>
        <w:rPr>
          <w:bCs/>
          <w:sz w:val="24"/>
        </w:rPr>
        <w:tab/>
      </w:r>
      <w:r>
        <w:rPr>
          <w:sz w:val="24"/>
        </w:rPr>
        <w:t xml:space="preserve">Cost to the Federal Government is based on a </w:t>
      </w:r>
      <w:r w:rsidR="003D30EF">
        <w:rPr>
          <w:sz w:val="24"/>
        </w:rPr>
        <w:t xml:space="preserve">burden of </w:t>
      </w:r>
      <w:r w:rsidR="00C15FE3">
        <w:rPr>
          <w:sz w:val="24"/>
        </w:rPr>
        <w:t>.05</w:t>
      </w:r>
      <w:r>
        <w:rPr>
          <w:sz w:val="24"/>
        </w:rPr>
        <w:t xml:space="preserve"> hours </w:t>
      </w:r>
      <w:r w:rsidR="00C15FE3">
        <w:rPr>
          <w:sz w:val="24"/>
        </w:rPr>
        <w:t>/ 3 minutes per response on average</w:t>
      </w:r>
      <w:r w:rsidR="00A26ADF">
        <w:rPr>
          <w:sz w:val="24"/>
        </w:rPr>
        <w:t xml:space="preserve"> </w:t>
      </w:r>
      <w:r>
        <w:rPr>
          <w:sz w:val="24"/>
        </w:rPr>
        <w:t xml:space="preserve">and an hourly cost of </w:t>
      </w:r>
      <w:r w:rsidR="00A26ADF">
        <w:rPr>
          <w:sz w:val="24"/>
          <w:szCs w:val="24"/>
        </w:rPr>
        <w:t>$</w:t>
      </w:r>
      <w:r w:rsidR="0036197A">
        <w:rPr>
          <w:sz w:val="24"/>
          <w:szCs w:val="24"/>
        </w:rPr>
        <w:t>43.56</w:t>
      </w:r>
      <w:r w:rsidR="00BC4873">
        <w:rPr>
          <w:sz w:val="24"/>
        </w:rPr>
        <w:t>,</w:t>
      </w:r>
      <w:r>
        <w:rPr>
          <w:sz w:val="24"/>
        </w:rPr>
        <w:t xml:space="preserve"> which includes an annual cost as follows:</w:t>
      </w:r>
    </w:p>
    <w:p w:rsidR="00861BF2" w:rsidP="00D67BA3" w14:paraId="7D2919D5" w14:textId="77777777">
      <w:pPr>
        <w:ind w:left="360" w:hanging="360"/>
        <w:rPr>
          <w:sz w:val="24"/>
        </w:rPr>
      </w:pPr>
    </w:p>
    <w:tbl>
      <w:tblPr>
        <w:tblW w:w="105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1"/>
        <w:gridCol w:w="1443"/>
        <w:gridCol w:w="1315"/>
        <w:gridCol w:w="1313"/>
        <w:gridCol w:w="1269"/>
        <w:gridCol w:w="1171"/>
        <w:gridCol w:w="1269"/>
        <w:gridCol w:w="1300"/>
      </w:tblGrid>
      <w:tr w14:paraId="62B8D537" w14:textId="77777777" w:rsidTr="003E47F2">
        <w:tblPrEx>
          <w:tblW w:w="105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60"/>
        </w:trPr>
        <w:tc>
          <w:tcPr>
            <w:tcW w:w="1363" w:type="dxa"/>
            <w:vAlign w:val="center"/>
          </w:tcPr>
          <w:p w:rsidR="00A26ADF" w:rsidRPr="004A4099" w:rsidP="003E47F2" w14:paraId="6CCA7F07" w14:textId="77777777">
            <w:pPr>
              <w:jc w:val="center"/>
              <w:rPr>
                <w:sz w:val="24"/>
                <w:szCs w:val="24"/>
              </w:rPr>
            </w:pPr>
            <w:r w:rsidRPr="004A4099">
              <w:rPr>
                <w:sz w:val="24"/>
                <w:szCs w:val="24"/>
              </w:rPr>
              <w:t>Information Collection</w:t>
            </w:r>
          </w:p>
        </w:tc>
        <w:tc>
          <w:tcPr>
            <w:tcW w:w="1443" w:type="dxa"/>
            <w:vAlign w:val="center"/>
          </w:tcPr>
          <w:p w:rsidR="00A26ADF" w:rsidRPr="004A4099" w:rsidP="003E47F2" w14:paraId="2F781B97" w14:textId="77777777">
            <w:pPr>
              <w:jc w:val="center"/>
              <w:rPr>
                <w:sz w:val="24"/>
                <w:szCs w:val="24"/>
              </w:rPr>
            </w:pPr>
            <w:r w:rsidRPr="004A4099">
              <w:rPr>
                <w:sz w:val="24"/>
                <w:szCs w:val="24"/>
              </w:rPr>
              <w:t>Number of Respondents</w:t>
            </w:r>
          </w:p>
        </w:tc>
        <w:tc>
          <w:tcPr>
            <w:tcW w:w="1331" w:type="dxa"/>
            <w:vAlign w:val="center"/>
          </w:tcPr>
          <w:p w:rsidR="00A26ADF" w:rsidRPr="004A4099" w:rsidP="003E47F2" w14:paraId="2DC74700" w14:textId="77777777">
            <w:pPr>
              <w:jc w:val="center"/>
              <w:rPr>
                <w:sz w:val="24"/>
                <w:szCs w:val="24"/>
              </w:rPr>
            </w:pPr>
            <w:r w:rsidRPr="004A4099">
              <w:rPr>
                <w:sz w:val="24"/>
                <w:szCs w:val="24"/>
              </w:rPr>
              <w:t>Frequency of Response</w:t>
            </w:r>
          </w:p>
        </w:tc>
        <w:tc>
          <w:tcPr>
            <w:tcW w:w="1328" w:type="dxa"/>
            <w:vAlign w:val="center"/>
          </w:tcPr>
          <w:p w:rsidR="00A26ADF" w:rsidRPr="004A4099" w:rsidP="003E47F2" w14:paraId="50FB87FE" w14:textId="77777777">
            <w:pPr>
              <w:jc w:val="center"/>
              <w:rPr>
                <w:sz w:val="24"/>
                <w:szCs w:val="24"/>
              </w:rPr>
            </w:pPr>
            <w:r w:rsidRPr="004A4099">
              <w:rPr>
                <w:sz w:val="24"/>
                <w:szCs w:val="24"/>
              </w:rPr>
              <w:t xml:space="preserve">Responses Per Annum </w:t>
            </w:r>
          </w:p>
        </w:tc>
        <w:tc>
          <w:tcPr>
            <w:tcW w:w="1294" w:type="dxa"/>
            <w:vAlign w:val="center"/>
          </w:tcPr>
          <w:p w:rsidR="00A26ADF" w:rsidRPr="004A4099" w:rsidP="003E47F2" w14:paraId="5C9CEF91" w14:textId="77777777">
            <w:pPr>
              <w:jc w:val="center"/>
              <w:rPr>
                <w:sz w:val="24"/>
                <w:szCs w:val="24"/>
              </w:rPr>
            </w:pPr>
            <w:r w:rsidRPr="004A4099">
              <w:rPr>
                <w:sz w:val="24"/>
                <w:szCs w:val="24"/>
              </w:rPr>
              <w:t>Burden Hour Per Response</w:t>
            </w:r>
          </w:p>
        </w:tc>
        <w:tc>
          <w:tcPr>
            <w:tcW w:w="1217" w:type="dxa"/>
            <w:vAlign w:val="center"/>
          </w:tcPr>
          <w:p w:rsidR="00A26ADF" w:rsidRPr="004A4099" w:rsidP="003E47F2" w14:paraId="0B9F74C8" w14:textId="77777777">
            <w:pPr>
              <w:jc w:val="center"/>
              <w:rPr>
                <w:sz w:val="24"/>
                <w:szCs w:val="24"/>
              </w:rPr>
            </w:pPr>
            <w:r w:rsidRPr="004A4099">
              <w:rPr>
                <w:sz w:val="24"/>
                <w:szCs w:val="24"/>
              </w:rPr>
              <w:t>Annual Burden Hrs.</w:t>
            </w:r>
          </w:p>
        </w:tc>
        <w:tc>
          <w:tcPr>
            <w:tcW w:w="1294" w:type="dxa"/>
            <w:vAlign w:val="center"/>
          </w:tcPr>
          <w:p w:rsidR="00A26ADF" w:rsidRPr="004A4099" w:rsidP="003E47F2" w14:paraId="7F4FCDBB" w14:textId="77777777">
            <w:pPr>
              <w:jc w:val="center"/>
              <w:rPr>
                <w:sz w:val="24"/>
                <w:szCs w:val="24"/>
              </w:rPr>
            </w:pPr>
            <w:r w:rsidRPr="004A4099">
              <w:rPr>
                <w:sz w:val="24"/>
                <w:szCs w:val="24"/>
              </w:rPr>
              <w:t>Hourly Cost Per Response</w:t>
            </w:r>
          </w:p>
        </w:tc>
        <w:tc>
          <w:tcPr>
            <w:tcW w:w="1301" w:type="dxa"/>
            <w:vAlign w:val="center"/>
          </w:tcPr>
          <w:p w:rsidR="00A26ADF" w:rsidRPr="004A4099" w:rsidP="003E47F2" w14:paraId="33947E2A" w14:textId="77777777">
            <w:pPr>
              <w:jc w:val="center"/>
              <w:rPr>
                <w:sz w:val="24"/>
                <w:szCs w:val="24"/>
              </w:rPr>
            </w:pPr>
            <w:r w:rsidRPr="004A4099">
              <w:rPr>
                <w:sz w:val="24"/>
                <w:szCs w:val="24"/>
              </w:rPr>
              <w:t>Total Annual Cost</w:t>
            </w:r>
          </w:p>
        </w:tc>
      </w:tr>
      <w:tr w14:paraId="40674638" w14:textId="77777777" w:rsidTr="003E47F2">
        <w:tblPrEx>
          <w:tblW w:w="10571" w:type="dxa"/>
          <w:tblInd w:w="85" w:type="dxa"/>
          <w:tblLook w:val="0000"/>
        </w:tblPrEx>
        <w:trPr>
          <w:trHeight w:val="527"/>
        </w:trPr>
        <w:tc>
          <w:tcPr>
            <w:tcW w:w="1363" w:type="dxa"/>
          </w:tcPr>
          <w:p w:rsidR="00556F18" w:rsidP="00556F18" w14:paraId="04A7249C" w14:textId="31F01AC7">
            <w:pPr>
              <w:rPr>
                <w:sz w:val="24"/>
                <w:szCs w:val="24"/>
              </w:rPr>
            </w:pPr>
            <w:r>
              <w:rPr>
                <w:sz w:val="24"/>
                <w:szCs w:val="24"/>
              </w:rPr>
              <w:t>FHA Survey Instrument Costs associated with generating survey, sending out survey, collecting and analyzing data.</w:t>
            </w:r>
          </w:p>
        </w:tc>
        <w:tc>
          <w:tcPr>
            <w:tcW w:w="1443" w:type="dxa"/>
          </w:tcPr>
          <w:p w:rsidR="00556F18" w:rsidP="00556F18" w14:paraId="1B343424" w14:textId="08A520DC">
            <w:pPr>
              <w:jc w:val="center"/>
              <w:rPr>
                <w:sz w:val="24"/>
                <w:szCs w:val="24"/>
              </w:rPr>
            </w:pPr>
            <w:r>
              <w:rPr>
                <w:sz w:val="24"/>
                <w:szCs w:val="24"/>
              </w:rPr>
              <w:t>1,658</w:t>
            </w:r>
          </w:p>
        </w:tc>
        <w:tc>
          <w:tcPr>
            <w:tcW w:w="1331" w:type="dxa"/>
          </w:tcPr>
          <w:p w:rsidR="00556F18" w:rsidRPr="004A4099" w:rsidP="00556F18" w14:paraId="3CC0F6C9" w14:textId="41EA4D0C">
            <w:pPr>
              <w:jc w:val="center"/>
              <w:rPr>
                <w:sz w:val="24"/>
                <w:szCs w:val="24"/>
              </w:rPr>
            </w:pPr>
            <w:r w:rsidRPr="004A4099">
              <w:rPr>
                <w:sz w:val="24"/>
                <w:szCs w:val="24"/>
              </w:rPr>
              <w:t>12</w:t>
            </w:r>
          </w:p>
        </w:tc>
        <w:tc>
          <w:tcPr>
            <w:tcW w:w="1328" w:type="dxa"/>
          </w:tcPr>
          <w:p w:rsidR="00556F18" w:rsidP="00556F18" w14:paraId="51C84F37" w14:textId="549A96E1">
            <w:pPr>
              <w:jc w:val="center"/>
              <w:rPr>
                <w:sz w:val="24"/>
                <w:szCs w:val="24"/>
              </w:rPr>
            </w:pPr>
            <w:r>
              <w:rPr>
                <w:sz w:val="24"/>
                <w:szCs w:val="24"/>
              </w:rPr>
              <w:t>19</w:t>
            </w:r>
            <w:r w:rsidRPr="004A4099">
              <w:rPr>
                <w:sz w:val="24"/>
                <w:szCs w:val="24"/>
              </w:rPr>
              <w:t>,</w:t>
            </w:r>
            <w:r>
              <w:rPr>
                <w:sz w:val="24"/>
                <w:szCs w:val="24"/>
              </w:rPr>
              <w:t>896</w:t>
            </w:r>
          </w:p>
        </w:tc>
        <w:tc>
          <w:tcPr>
            <w:tcW w:w="1294" w:type="dxa"/>
          </w:tcPr>
          <w:p w:rsidR="00556F18" w:rsidP="00556F18" w14:paraId="0C93D4CA" w14:textId="70ED3FF7">
            <w:pPr>
              <w:jc w:val="center"/>
              <w:rPr>
                <w:sz w:val="24"/>
                <w:szCs w:val="24"/>
              </w:rPr>
            </w:pPr>
            <w:r w:rsidRPr="0036197A">
              <w:rPr>
                <w:sz w:val="24"/>
                <w:szCs w:val="24"/>
              </w:rPr>
              <w:t>.05 /          3 minutes</w:t>
            </w:r>
            <w:r>
              <w:rPr>
                <w:sz w:val="24"/>
                <w:szCs w:val="24"/>
              </w:rPr>
              <w:t xml:space="preserve"> </w:t>
            </w:r>
            <w:r w:rsidR="006F4703">
              <w:rPr>
                <w:sz w:val="24"/>
                <w:szCs w:val="24"/>
              </w:rPr>
              <w:t>per response</w:t>
            </w:r>
          </w:p>
        </w:tc>
        <w:tc>
          <w:tcPr>
            <w:tcW w:w="1217" w:type="dxa"/>
          </w:tcPr>
          <w:p w:rsidR="00556F18" w:rsidP="00556F18" w14:paraId="1E56FAC3" w14:textId="47D5ACBE">
            <w:pPr>
              <w:jc w:val="center"/>
              <w:rPr>
                <w:sz w:val="24"/>
                <w:szCs w:val="24"/>
              </w:rPr>
            </w:pPr>
            <w:r>
              <w:rPr>
                <w:sz w:val="24"/>
                <w:szCs w:val="24"/>
              </w:rPr>
              <w:t>9</w:t>
            </w:r>
            <w:r w:rsidR="0036197A">
              <w:rPr>
                <w:sz w:val="24"/>
                <w:szCs w:val="24"/>
              </w:rPr>
              <w:t>95</w:t>
            </w:r>
          </w:p>
        </w:tc>
        <w:tc>
          <w:tcPr>
            <w:tcW w:w="1294" w:type="dxa"/>
          </w:tcPr>
          <w:p w:rsidR="00556F18" w:rsidP="00556F18" w14:paraId="09DED938" w14:textId="0201165F">
            <w:pPr>
              <w:jc w:val="center"/>
              <w:rPr>
                <w:sz w:val="24"/>
                <w:szCs w:val="24"/>
              </w:rPr>
            </w:pPr>
            <w:r>
              <w:rPr>
                <w:sz w:val="24"/>
                <w:szCs w:val="24"/>
              </w:rPr>
              <w:t>$</w:t>
            </w:r>
            <w:r w:rsidR="0036197A">
              <w:rPr>
                <w:sz w:val="24"/>
                <w:szCs w:val="24"/>
              </w:rPr>
              <w:t>43</w:t>
            </w:r>
            <w:r w:rsidR="001929E8">
              <w:rPr>
                <w:sz w:val="24"/>
                <w:szCs w:val="24"/>
              </w:rPr>
              <w:t>.5</w:t>
            </w:r>
            <w:r w:rsidR="0036197A">
              <w:rPr>
                <w:sz w:val="24"/>
                <w:szCs w:val="24"/>
              </w:rPr>
              <w:t>6</w:t>
            </w:r>
          </w:p>
        </w:tc>
        <w:tc>
          <w:tcPr>
            <w:tcW w:w="1301" w:type="dxa"/>
          </w:tcPr>
          <w:p w:rsidR="00556F18" w:rsidRPr="004A4099" w:rsidP="00556F18" w14:paraId="453FECAB" w14:textId="514F5A20">
            <w:pPr>
              <w:jc w:val="right"/>
              <w:rPr>
                <w:sz w:val="24"/>
                <w:szCs w:val="24"/>
              </w:rPr>
            </w:pPr>
            <w:r w:rsidRPr="004A4099">
              <w:rPr>
                <w:sz w:val="24"/>
                <w:szCs w:val="24"/>
              </w:rPr>
              <w:t>$</w:t>
            </w:r>
            <w:r w:rsidR="0036197A">
              <w:rPr>
                <w:sz w:val="24"/>
                <w:szCs w:val="24"/>
              </w:rPr>
              <w:t>43,342</w:t>
            </w:r>
            <w:r w:rsidR="001929E8">
              <w:rPr>
                <w:sz w:val="24"/>
                <w:szCs w:val="24"/>
              </w:rPr>
              <w:t>.</w:t>
            </w:r>
            <w:r w:rsidR="0036197A">
              <w:rPr>
                <w:sz w:val="24"/>
                <w:szCs w:val="24"/>
              </w:rPr>
              <w:t>20</w:t>
            </w:r>
          </w:p>
        </w:tc>
      </w:tr>
      <w:tr w14:paraId="451DBD23" w14:textId="77777777" w:rsidTr="003E47F2">
        <w:tblPrEx>
          <w:tblW w:w="10571" w:type="dxa"/>
          <w:tblInd w:w="85" w:type="dxa"/>
          <w:tblLook w:val="0000"/>
        </w:tblPrEx>
        <w:trPr>
          <w:trHeight w:val="527"/>
        </w:trPr>
        <w:tc>
          <w:tcPr>
            <w:tcW w:w="1363" w:type="dxa"/>
          </w:tcPr>
          <w:p w:rsidR="00556F18" w:rsidRPr="004A4099" w:rsidP="00556F18" w14:paraId="67D89584" w14:textId="6F62B496">
            <w:pPr>
              <w:rPr>
                <w:sz w:val="24"/>
                <w:szCs w:val="24"/>
              </w:rPr>
            </w:pPr>
            <w:r>
              <w:rPr>
                <w:sz w:val="24"/>
                <w:szCs w:val="24"/>
              </w:rPr>
              <w:t>FHA Survey Instrument annual cost of Survey Monkey Subscription.</w:t>
            </w:r>
          </w:p>
        </w:tc>
        <w:tc>
          <w:tcPr>
            <w:tcW w:w="1443" w:type="dxa"/>
          </w:tcPr>
          <w:p w:rsidR="00556F18" w:rsidRPr="004A4099" w:rsidP="00556F18" w14:paraId="7AECD06D" w14:textId="52690B87">
            <w:pPr>
              <w:jc w:val="center"/>
              <w:rPr>
                <w:sz w:val="24"/>
                <w:szCs w:val="24"/>
              </w:rPr>
            </w:pPr>
          </w:p>
        </w:tc>
        <w:tc>
          <w:tcPr>
            <w:tcW w:w="1331" w:type="dxa"/>
          </w:tcPr>
          <w:p w:rsidR="00556F18" w:rsidRPr="004A4099" w:rsidP="00556F18" w14:paraId="6A04DFE1" w14:textId="4EE56BE5">
            <w:pPr>
              <w:jc w:val="center"/>
              <w:rPr>
                <w:sz w:val="24"/>
                <w:szCs w:val="24"/>
              </w:rPr>
            </w:pPr>
          </w:p>
        </w:tc>
        <w:tc>
          <w:tcPr>
            <w:tcW w:w="1328" w:type="dxa"/>
          </w:tcPr>
          <w:p w:rsidR="00556F18" w:rsidRPr="004A4099" w:rsidP="00556F18" w14:paraId="580DA55C" w14:textId="6E7663F4">
            <w:pPr>
              <w:jc w:val="center"/>
              <w:rPr>
                <w:sz w:val="24"/>
                <w:szCs w:val="24"/>
              </w:rPr>
            </w:pPr>
          </w:p>
        </w:tc>
        <w:tc>
          <w:tcPr>
            <w:tcW w:w="1294" w:type="dxa"/>
          </w:tcPr>
          <w:p w:rsidR="00556F18" w:rsidRPr="004A4099" w:rsidP="00556F18" w14:paraId="1E8DA679" w14:textId="4B5A9E44">
            <w:pPr>
              <w:jc w:val="center"/>
              <w:rPr>
                <w:sz w:val="24"/>
                <w:szCs w:val="24"/>
              </w:rPr>
            </w:pPr>
          </w:p>
        </w:tc>
        <w:tc>
          <w:tcPr>
            <w:tcW w:w="1217" w:type="dxa"/>
          </w:tcPr>
          <w:p w:rsidR="00556F18" w:rsidRPr="004A4099" w:rsidP="00556F18" w14:paraId="3B382096" w14:textId="573A2A7C">
            <w:pPr>
              <w:jc w:val="center"/>
              <w:rPr>
                <w:sz w:val="24"/>
                <w:szCs w:val="24"/>
              </w:rPr>
            </w:pPr>
          </w:p>
        </w:tc>
        <w:tc>
          <w:tcPr>
            <w:tcW w:w="1294" w:type="dxa"/>
          </w:tcPr>
          <w:p w:rsidR="00556F18" w:rsidRPr="004A4099" w:rsidP="00556F18" w14:paraId="7346EFE8" w14:textId="38B6C897">
            <w:pPr>
              <w:jc w:val="center"/>
              <w:rPr>
                <w:sz w:val="24"/>
                <w:szCs w:val="24"/>
              </w:rPr>
            </w:pPr>
          </w:p>
        </w:tc>
        <w:tc>
          <w:tcPr>
            <w:tcW w:w="1301" w:type="dxa"/>
          </w:tcPr>
          <w:p w:rsidR="00556F18" w:rsidRPr="004A4099" w:rsidP="00556F18" w14:paraId="036E9A2F" w14:textId="27FE1467">
            <w:pPr>
              <w:jc w:val="right"/>
              <w:rPr>
                <w:sz w:val="24"/>
                <w:szCs w:val="24"/>
              </w:rPr>
            </w:pPr>
            <w:r w:rsidRPr="004A4099">
              <w:rPr>
                <w:sz w:val="24"/>
                <w:szCs w:val="24"/>
              </w:rPr>
              <w:t>$</w:t>
            </w:r>
            <w:r>
              <w:rPr>
                <w:sz w:val="24"/>
                <w:szCs w:val="24"/>
              </w:rPr>
              <w:t>1,188</w:t>
            </w:r>
            <w:r w:rsidR="001929E8">
              <w:rPr>
                <w:sz w:val="24"/>
                <w:szCs w:val="24"/>
              </w:rPr>
              <w:t>.00</w:t>
            </w:r>
          </w:p>
        </w:tc>
      </w:tr>
      <w:tr w14:paraId="69C4DB48" w14:textId="77777777" w:rsidTr="003E47F2">
        <w:tblPrEx>
          <w:tblW w:w="10571" w:type="dxa"/>
          <w:tblInd w:w="85" w:type="dxa"/>
          <w:tblLook w:val="0000"/>
        </w:tblPrEx>
        <w:trPr>
          <w:trHeight w:val="326"/>
        </w:trPr>
        <w:tc>
          <w:tcPr>
            <w:tcW w:w="1363" w:type="dxa"/>
          </w:tcPr>
          <w:p w:rsidR="00556F18" w:rsidRPr="004A4099" w:rsidP="00556F18" w14:paraId="20EDCD2C" w14:textId="77777777">
            <w:pPr>
              <w:rPr>
                <w:b/>
                <w:sz w:val="24"/>
                <w:szCs w:val="24"/>
              </w:rPr>
            </w:pPr>
            <w:r w:rsidRPr="004A4099">
              <w:rPr>
                <w:b/>
                <w:sz w:val="24"/>
                <w:szCs w:val="24"/>
              </w:rPr>
              <w:t>Totals</w:t>
            </w:r>
          </w:p>
        </w:tc>
        <w:tc>
          <w:tcPr>
            <w:tcW w:w="1443" w:type="dxa"/>
          </w:tcPr>
          <w:p w:rsidR="00556F18" w:rsidRPr="004A4099" w:rsidP="00556F18" w14:paraId="5DE4C236" w14:textId="77777777">
            <w:pPr>
              <w:jc w:val="center"/>
              <w:rPr>
                <w:b/>
                <w:sz w:val="24"/>
                <w:szCs w:val="24"/>
              </w:rPr>
            </w:pPr>
          </w:p>
        </w:tc>
        <w:tc>
          <w:tcPr>
            <w:tcW w:w="1331" w:type="dxa"/>
          </w:tcPr>
          <w:p w:rsidR="00556F18" w:rsidRPr="004A4099" w:rsidP="00556F18" w14:paraId="2BFB786C" w14:textId="77777777">
            <w:pPr>
              <w:jc w:val="center"/>
              <w:rPr>
                <w:b/>
                <w:sz w:val="24"/>
                <w:szCs w:val="24"/>
              </w:rPr>
            </w:pPr>
          </w:p>
        </w:tc>
        <w:tc>
          <w:tcPr>
            <w:tcW w:w="1328" w:type="dxa"/>
          </w:tcPr>
          <w:p w:rsidR="00556F18" w:rsidRPr="004A4099" w:rsidP="00556F18" w14:paraId="694782CD" w14:textId="77777777">
            <w:pPr>
              <w:jc w:val="center"/>
              <w:rPr>
                <w:b/>
                <w:sz w:val="24"/>
                <w:szCs w:val="24"/>
              </w:rPr>
            </w:pPr>
            <w:r>
              <w:rPr>
                <w:b/>
                <w:sz w:val="24"/>
                <w:szCs w:val="24"/>
              </w:rPr>
              <w:t>19</w:t>
            </w:r>
            <w:r w:rsidRPr="004A4099">
              <w:rPr>
                <w:b/>
                <w:sz w:val="24"/>
                <w:szCs w:val="24"/>
              </w:rPr>
              <w:t>,</w:t>
            </w:r>
            <w:r>
              <w:rPr>
                <w:b/>
                <w:sz w:val="24"/>
                <w:szCs w:val="24"/>
              </w:rPr>
              <w:t>896</w:t>
            </w:r>
          </w:p>
        </w:tc>
        <w:tc>
          <w:tcPr>
            <w:tcW w:w="1294" w:type="dxa"/>
          </w:tcPr>
          <w:p w:rsidR="00556F18" w:rsidRPr="004A4099" w:rsidP="00556F18" w14:paraId="7771DBD2" w14:textId="77777777">
            <w:pPr>
              <w:jc w:val="center"/>
              <w:rPr>
                <w:b/>
                <w:sz w:val="24"/>
                <w:szCs w:val="24"/>
              </w:rPr>
            </w:pPr>
          </w:p>
        </w:tc>
        <w:tc>
          <w:tcPr>
            <w:tcW w:w="1217" w:type="dxa"/>
          </w:tcPr>
          <w:p w:rsidR="00556F18" w:rsidRPr="004A4099" w:rsidP="00556F18" w14:paraId="660AEFF6" w14:textId="3750C66E">
            <w:pPr>
              <w:jc w:val="center"/>
              <w:rPr>
                <w:b/>
                <w:sz w:val="24"/>
                <w:szCs w:val="24"/>
              </w:rPr>
            </w:pPr>
            <w:r>
              <w:rPr>
                <w:b/>
                <w:sz w:val="24"/>
                <w:szCs w:val="24"/>
              </w:rPr>
              <w:t>9</w:t>
            </w:r>
            <w:r w:rsidR="0036197A">
              <w:rPr>
                <w:b/>
                <w:sz w:val="24"/>
                <w:szCs w:val="24"/>
              </w:rPr>
              <w:t>95</w:t>
            </w:r>
          </w:p>
        </w:tc>
        <w:tc>
          <w:tcPr>
            <w:tcW w:w="1294" w:type="dxa"/>
          </w:tcPr>
          <w:p w:rsidR="00556F18" w:rsidRPr="004A4099" w:rsidP="00556F18" w14:paraId="4CA4A721" w14:textId="77777777">
            <w:pPr>
              <w:jc w:val="right"/>
              <w:rPr>
                <w:b/>
                <w:sz w:val="24"/>
                <w:szCs w:val="24"/>
              </w:rPr>
            </w:pPr>
          </w:p>
        </w:tc>
        <w:tc>
          <w:tcPr>
            <w:tcW w:w="1301" w:type="dxa"/>
          </w:tcPr>
          <w:p w:rsidR="00556F18" w:rsidRPr="004A4099" w:rsidP="00556F18" w14:paraId="63AC7301" w14:textId="48356F0E">
            <w:pPr>
              <w:jc w:val="right"/>
              <w:rPr>
                <w:b/>
                <w:sz w:val="24"/>
                <w:szCs w:val="24"/>
              </w:rPr>
            </w:pPr>
            <w:r w:rsidRPr="004A4099">
              <w:rPr>
                <w:b/>
                <w:sz w:val="24"/>
                <w:szCs w:val="24"/>
              </w:rPr>
              <w:t>$</w:t>
            </w:r>
            <w:r w:rsidR="0036197A">
              <w:rPr>
                <w:b/>
                <w:sz w:val="24"/>
                <w:szCs w:val="24"/>
              </w:rPr>
              <w:t>44,530</w:t>
            </w:r>
            <w:r w:rsidR="001929E8">
              <w:rPr>
                <w:b/>
                <w:sz w:val="24"/>
                <w:szCs w:val="24"/>
              </w:rPr>
              <w:t>.</w:t>
            </w:r>
            <w:r w:rsidR="0036197A">
              <w:rPr>
                <w:b/>
                <w:sz w:val="24"/>
                <w:szCs w:val="24"/>
              </w:rPr>
              <w:t>20</w:t>
            </w:r>
          </w:p>
        </w:tc>
      </w:tr>
    </w:tbl>
    <w:p w:rsidR="00A26ADF" w:rsidP="001929E8" w14:paraId="6B9FE872" w14:textId="7FD7FE49">
      <w:pPr>
        <w:spacing w:before="240"/>
        <w:ind w:left="360"/>
      </w:pPr>
      <w:r>
        <w:t xml:space="preserve">The hourly rate is based on the annual salary of a Business Analyst </w:t>
      </w:r>
      <w:r w:rsidRPr="001929E8">
        <w:t>$</w:t>
      </w:r>
      <w:r w:rsidR="00D14C81">
        <w:t>90,621</w:t>
      </w:r>
      <w:r>
        <w:t xml:space="preserve"> (GS-14, step 1) along with </w:t>
      </w:r>
      <w:r w:rsidRPr="00E43EFD">
        <w:t>the corresponding hourly earnings of $</w:t>
      </w:r>
      <w:r w:rsidR="00D14C81">
        <w:t>43.56</w:t>
      </w:r>
      <w:r w:rsidRPr="00E43EFD">
        <w:t>.</w:t>
      </w:r>
      <w:r w:rsidR="00D14C81">
        <w:t xml:space="preserve">    </w:t>
      </w:r>
      <w:hyperlink r:id="rId8" w:history="1">
        <w:r w:rsidRPr="00B27FB2" w:rsidR="00D14C81">
          <w:rPr>
            <w:rStyle w:val="Hyperlink"/>
          </w:rPr>
          <w:t>https://www.federalpay.org/gs/2019</w:t>
        </w:r>
      </w:hyperlink>
      <w:r w:rsidR="00D14C81">
        <w:t xml:space="preserve"> </w:t>
      </w:r>
    </w:p>
    <w:p w:rsidR="00973338" w:rsidP="00D67BA3" w14:paraId="5576FA87" w14:textId="5075E010">
      <w:pPr>
        <w:ind w:left="360"/>
      </w:pPr>
    </w:p>
    <w:p w:rsidR="00106C50" w:rsidP="00FE4BC9" w14:paraId="2F83525F" w14:textId="5B7306DD">
      <w:pPr>
        <w:ind w:left="450" w:hanging="450"/>
        <w:rPr>
          <w:sz w:val="24"/>
        </w:rPr>
      </w:pPr>
      <w:r w:rsidRPr="00FE4BC9">
        <w:rPr>
          <w:sz w:val="24"/>
        </w:rPr>
        <w:t>15.</w:t>
      </w:r>
      <w:r w:rsidR="00802D95">
        <w:rPr>
          <w:sz w:val="24"/>
        </w:rPr>
        <w:t xml:space="preserve">  </w:t>
      </w:r>
      <w:r w:rsidRPr="00FE4BC9">
        <w:rPr>
          <w:sz w:val="24"/>
        </w:rPr>
        <w:t>This is a</w:t>
      </w:r>
      <w:r w:rsidR="00985A53">
        <w:rPr>
          <w:sz w:val="24"/>
        </w:rPr>
        <w:t>n</w:t>
      </w:r>
      <w:r w:rsidRPr="00985A53" w:rsidR="00985A53">
        <w:t xml:space="preserve"> </w:t>
      </w:r>
      <w:r w:rsidRPr="00985A53" w:rsidR="00985A53">
        <w:rPr>
          <w:sz w:val="24"/>
        </w:rPr>
        <w:t>update to the survey included under 2535-0116</w:t>
      </w:r>
      <w:r w:rsidR="00985A53">
        <w:rPr>
          <w:sz w:val="24"/>
        </w:rPr>
        <w:t xml:space="preserve"> to a</w:t>
      </w:r>
      <w:r w:rsidR="00573F8E">
        <w:rPr>
          <w:sz w:val="24"/>
        </w:rPr>
        <w:t xml:space="preserve"> change</w:t>
      </w:r>
      <w:r w:rsidRPr="00FE4BC9">
        <w:rPr>
          <w:sz w:val="24"/>
        </w:rPr>
        <w:t xml:space="preserve"> of a</w:t>
      </w:r>
      <w:r w:rsidR="00573F8E">
        <w:rPr>
          <w:sz w:val="24"/>
        </w:rPr>
        <w:t>n expiring</w:t>
      </w:r>
      <w:r w:rsidRPr="00FE4BC9">
        <w:rPr>
          <w:sz w:val="24"/>
        </w:rPr>
        <w:t xml:space="preserve"> collection.  </w:t>
      </w:r>
      <w:r w:rsidRPr="00973338" w:rsidR="00973338">
        <w:rPr>
          <w:sz w:val="24"/>
        </w:rPr>
        <w:t xml:space="preserve">The survey </w:t>
      </w:r>
      <w:r w:rsidR="00D843F8">
        <w:rPr>
          <w:sz w:val="24"/>
        </w:rPr>
        <w:t>which measures c</w:t>
      </w:r>
      <w:r w:rsidRPr="00973338" w:rsidR="00973338">
        <w:rPr>
          <w:sz w:val="24"/>
        </w:rPr>
        <w:t xml:space="preserve">ustomer </w:t>
      </w:r>
      <w:r w:rsidR="00D843F8">
        <w:rPr>
          <w:sz w:val="24"/>
        </w:rPr>
        <w:t>s</w:t>
      </w:r>
      <w:r w:rsidRPr="00973338" w:rsidR="00973338">
        <w:rPr>
          <w:sz w:val="24"/>
        </w:rPr>
        <w:t xml:space="preserve">atisfaction </w:t>
      </w:r>
      <w:r w:rsidR="00D843F8">
        <w:rPr>
          <w:sz w:val="24"/>
        </w:rPr>
        <w:t xml:space="preserve">and other OMB A-11 mandatory survey questions for </w:t>
      </w:r>
      <w:r w:rsidRPr="00973338" w:rsidR="00973338">
        <w:rPr>
          <w:sz w:val="24"/>
        </w:rPr>
        <w:t xml:space="preserve">the FHA Resource Center </w:t>
      </w:r>
      <w:r w:rsidR="00D843F8">
        <w:rPr>
          <w:sz w:val="24"/>
        </w:rPr>
        <w:t xml:space="preserve">instruments </w:t>
      </w:r>
      <w:r w:rsidRPr="00973338" w:rsidR="00973338">
        <w:rPr>
          <w:sz w:val="24"/>
        </w:rPr>
        <w:t xml:space="preserve">will be the primary method for obtaining feedback from the contact center users. The </w:t>
      </w:r>
      <w:r w:rsidR="00985A53">
        <w:rPr>
          <w:sz w:val="24"/>
        </w:rPr>
        <w:t>focus</w:t>
      </w:r>
      <w:r w:rsidRPr="00973338" w:rsidR="00973338">
        <w:rPr>
          <w:sz w:val="24"/>
        </w:rPr>
        <w:t xml:space="preserve"> of this survey is to assess customers' satisfaction with their interactions with the FHA Resource Center </w:t>
      </w:r>
      <w:r w:rsidR="00985A53">
        <w:rPr>
          <w:sz w:val="24"/>
        </w:rPr>
        <w:t xml:space="preserve">project. </w:t>
      </w:r>
      <w:r w:rsidR="00B35220">
        <w:rPr>
          <w:sz w:val="24"/>
        </w:rPr>
        <w:t>There are 7 survey instruments presently approved under 2535-0116</w:t>
      </w:r>
      <w:r w:rsidR="00D843F8">
        <w:rPr>
          <w:sz w:val="24"/>
        </w:rPr>
        <w:t>.    These surveys are for the following program areas</w:t>
      </w:r>
      <w:r>
        <w:rPr>
          <w:sz w:val="24"/>
        </w:rPr>
        <w:t>.  There are f</w:t>
      </w:r>
      <w:r w:rsidR="00D843F8">
        <w:rPr>
          <w:sz w:val="24"/>
        </w:rPr>
        <w:t>our agency HUD Homeownership Centers</w:t>
      </w:r>
      <w:r>
        <w:rPr>
          <w:sz w:val="24"/>
        </w:rPr>
        <w:t xml:space="preserve"> (Atlanta, Denver, </w:t>
      </w:r>
      <w:r w:rsidR="00FF5215">
        <w:rPr>
          <w:sz w:val="24"/>
        </w:rPr>
        <w:t>Philadelphia,</w:t>
      </w:r>
      <w:r>
        <w:rPr>
          <w:sz w:val="24"/>
        </w:rPr>
        <w:t xml:space="preserve"> and Santa Ana)</w:t>
      </w:r>
      <w:r w:rsidR="00D843F8">
        <w:rPr>
          <w:sz w:val="24"/>
        </w:rPr>
        <w:t xml:space="preserve">, Headquarters, </w:t>
      </w:r>
      <w:r>
        <w:rPr>
          <w:sz w:val="24"/>
        </w:rPr>
        <w:t xml:space="preserve">FHA FAQ Self Service Website and our FHA Resource Center – contact center which all have a survey to measure the quality of their services. </w:t>
      </w:r>
    </w:p>
    <w:p w:rsidR="00106C50" w:rsidP="00FE4BC9" w14:paraId="6833F5DE" w14:textId="77777777">
      <w:pPr>
        <w:ind w:left="450" w:hanging="450"/>
        <w:rPr>
          <w:sz w:val="24"/>
        </w:rPr>
      </w:pPr>
    </w:p>
    <w:p w:rsidR="00973338" w:rsidRPr="00FE4BC9" w:rsidP="00106C50" w14:paraId="44E91232" w14:textId="0A68A5F3">
      <w:pPr>
        <w:ind w:left="450" w:hanging="90"/>
        <w:rPr>
          <w:sz w:val="24"/>
        </w:rPr>
      </w:pPr>
      <w:r>
        <w:rPr>
          <w:sz w:val="24"/>
        </w:rPr>
        <w:t xml:space="preserve">  </w:t>
      </w:r>
      <w:r w:rsidR="00D843F8">
        <w:rPr>
          <w:sz w:val="24"/>
        </w:rPr>
        <w:t xml:space="preserve">In the second quarter of 2019, the FHA Resource Center was requested to integrate one of our agency’s contact centers (National Servicing Center) into this project.  In an effort to assess the customer satisfaction from this division which employees both federal workers and contractor staff, two </w:t>
      </w:r>
      <w:r>
        <w:rPr>
          <w:sz w:val="24"/>
        </w:rPr>
        <w:t xml:space="preserve">new </w:t>
      </w:r>
      <w:r w:rsidR="00D843F8">
        <w:rPr>
          <w:sz w:val="24"/>
        </w:rPr>
        <w:t xml:space="preserve">additional surveys are being added to the collection. These two surveys are similar in content with the primary objective of measuring the quality of services from the National Servicing Center. </w:t>
      </w:r>
      <w:r>
        <w:rPr>
          <w:sz w:val="24"/>
        </w:rPr>
        <w:t xml:space="preserve">This is the division which services clients FHA mortgages. These two new surveys being added into the collection will also contain the OMB A-11 mandatory survey questions. </w:t>
      </w:r>
      <w:r w:rsidR="00D843F8">
        <w:rPr>
          <w:sz w:val="24"/>
        </w:rPr>
        <w:t xml:space="preserve"> </w:t>
      </w:r>
      <w:r w:rsidR="007E7CD5">
        <w:rPr>
          <w:sz w:val="24"/>
        </w:rPr>
        <w:t xml:space="preserve">There is an increase due to the low burden hours requested in the previous collection.   The agency is requesting higher hours in case the agency wants to submit individual </w:t>
      </w:r>
      <w:r w:rsidR="00CA0222">
        <w:rPr>
          <w:sz w:val="24"/>
        </w:rPr>
        <w:t>clearances for</w:t>
      </w:r>
      <w:r w:rsidR="007E7CD5">
        <w:rPr>
          <w:sz w:val="24"/>
        </w:rPr>
        <w:t xml:space="preserve"> expedited review under the umbrella clearance.</w:t>
      </w:r>
    </w:p>
    <w:p w:rsidR="00D67BA3" w:rsidRPr="00FE4BC9" w:rsidP="00D67BA3" w14:paraId="1A2ABDB2" w14:textId="77777777">
      <w:pPr>
        <w:rPr>
          <w:sz w:val="24"/>
        </w:rPr>
      </w:pPr>
    </w:p>
    <w:p w:rsidR="00D67BA3" w:rsidP="00D67BA3" w14:paraId="74BC1054" w14:textId="6D68484E">
      <w:pPr>
        <w:pStyle w:val="BodyTextIndent"/>
      </w:pPr>
      <w:r w:rsidRPr="00FE4BC9">
        <w:t>16.</w:t>
      </w:r>
      <w:r w:rsidRPr="00FE4BC9">
        <w:tab/>
        <w:t>The collection of information is not scheduled for publication.</w:t>
      </w:r>
      <w:r w:rsidRPr="00985A53" w:rsidR="00985A53">
        <w:t xml:space="preserve"> Results from the survey will not be </w:t>
      </w:r>
      <w:r w:rsidR="00802D95">
        <w:t xml:space="preserve">  </w:t>
      </w:r>
      <w:r w:rsidRPr="00985A53" w:rsidR="00985A53">
        <w:t>published</w:t>
      </w:r>
      <w:r w:rsidR="00985A53">
        <w:t xml:space="preserve"> or shared with any other agencies.</w:t>
      </w:r>
      <w:r w:rsidRPr="00985A53" w:rsidR="00985A53">
        <w:t xml:space="preserve"> Data will be reported </w:t>
      </w:r>
      <w:r w:rsidR="00985A53">
        <w:t xml:space="preserve">within </w:t>
      </w:r>
      <w:r w:rsidRPr="00985A53" w:rsidR="00985A53">
        <w:t>the agency on a monthly basis for use in identifying and facilitating necessary changes to the contact center operations.</w:t>
      </w:r>
    </w:p>
    <w:p w:rsidR="00D67BA3" w:rsidRPr="00FE4BC9" w:rsidP="00D67BA3" w14:paraId="6DCB6F55" w14:textId="78C17C0D">
      <w:pPr>
        <w:rPr>
          <w:bCs/>
          <w:sz w:val="24"/>
        </w:rPr>
      </w:pPr>
    </w:p>
    <w:p w:rsidR="00D67BA3" w:rsidP="00D67BA3" w14:paraId="307B03CB" w14:textId="50E19576">
      <w:pPr>
        <w:ind w:left="360" w:hanging="360"/>
        <w:rPr>
          <w:sz w:val="24"/>
        </w:rPr>
      </w:pPr>
      <w:r w:rsidRPr="00FE4BC9">
        <w:rPr>
          <w:bCs/>
          <w:sz w:val="24"/>
        </w:rPr>
        <w:t>17.</w:t>
      </w:r>
      <w:r w:rsidRPr="00FE4BC9">
        <w:rPr>
          <w:bCs/>
          <w:sz w:val="24"/>
        </w:rPr>
        <w:tab/>
      </w:r>
      <w:r w:rsidRPr="00FE4BC9">
        <w:rPr>
          <w:sz w:val="24"/>
        </w:rPr>
        <w:t>HUD is not seeking approval to avoid displaying the expiration date.</w:t>
      </w:r>
    </w:p>
    <w:p w:rsidR="00ED6C4B" w:rsidP="00D67BA3" w14:paraId="792FAE59" w14:textId="35408E69">
      <w:pPr>
        <w:ind w:left="360" w:hanging="360"/>
        <w:rPr>
          <w:sz w:val="24"/>
        </w:rPr>
      </w:pPr>
    </w:p>
    <w:p w:rsidR="00D67BA3" w:rsidP="00D67BA3" w14:paraId="04E5B82B" w14:textId="60397D5F">
      <w:pPr>
        <w:ind w:left="360" w:hanging="360"/>
        <w:rPr>
          <w:sz w:val="24"/>
        </w:rPr>
      </w:pPr>
      <w:r w:rsidRPr="00FE4BC9">
        <w:rPr>
          <w:bCs/>
          <w:sz w:val="24"/>
        </w:rPr>
        <w:t>18.</w:t>
      </w:r>
      <w:r w:rsidRPr="00FE4BC9">
        <w:rPr>
          <w:bCs/>
          <w:sz w:val="24"/>
        </w:rPr>
        <w:tab/>
      </w:r>
      <w:r w:rsidRPr="00FE4BC9">
        <w:rPr>
          <w:sz w:val="24"/>
        </w:rPr>
        <w:t>There are no exceptions to the certification statement identified in Item 19 of the OMB 83-I.</w:t>
      </w:r>
    </w:p>
    <w:p w:rsidR="001A5C12" w:rsidP="00D67BA3" w14:paraId="36613B9E" w14:textId="77777777">
      <w:pPr>
        <w:rPr>
          <w:b/>
          <w:sz w:val="24"/>
        </w:rPr>
      </w:pPr>
    </w:p>
    <w:p w:rsidR="00D67BA3" w:rsidRPr="00052BEC" w:rsidP="00D67BA3" w14:paraId="640A1317" w14:textId="27991256">
      <w:pPr>
        <w:rPr>
          <w:b/>
          <w:sz w:val="24"/>
        </w:rPr>
      </w:pPr>
      <w:r w:rsidRPr="00052BEC">
        <w:rPr>
          <w:b/>
          <w:sz w:val="24"/>
        </w:rPr>
        <w:t>B.</w:t>
      </w:r>
      <w:r w:rsidRPr="00052BEC">
        <w:rPr>
          <w:b/>
          <w:sz w:val="24"/>
        </w:rPr>
        <w:tab/>
      </w:r>
      <w:r w:rsidRPr="00052BEC">
        <w:rPr>
          <w:b/>
          <w:sz w:val="24"/>
          <w:u w:val="single"/>
        </w:rPr>
        <w:t>Collection of Information Employing Statistical Methods</w:t>
      </w:r>
    </w:p>
    <w:p w:rsidR="00D67BA3" w:rsidRPr="00FE4BC9" w:rsidP="00D67BA3" w14:paraId="718B3405" w14:textId="77777777">
      <w:pPr>
        <w:rPr>
          <w:sz w:val="24"/>
        </w:rPr>
      </w:pPr>
    </w:p>
    <w:p w:rsidR="00D67BA3" w:rsidP="00D67BA3" w14:paraId="2DB2AE3A" w14:textId="01B7005F">
      <w:pPr>
        <w:rPr>
          <w:sz w:val="24"/>
          <w:u w:val="single"/>
        </w:rPr>
      </w:pPr>
      <w:r>
        <w:rPr>
          <w:sz w:val="24"/>
        </w:rPr>
        <w:t xml:space="preserve">1. </w:t>
      </w:r>
      <w:r w:rsidR="00A41D65">
        <w:rPr>
          <w:sz w:val="24"/>
        </w:rPr>
        <w:t>The following is an estimate of the potential respondent universe</w:t>
      </w:r>
      <w:r w:rsidR="00C15637">
        <w:rPr>
          <w:sz w:val="24"/>
        </w:rPr>
        <w:t xml:space="preserve"> for a </w:t>
      </w:r>
      <w:r w:rsidR="00FA0222">
        <w:rPr>
          <w:sz w:val="24"/>
        </w:rPr>
        <w:t>1-year</w:t>
      </w:r>
      <w:r w:rsidR="00C15637">
        <w:rPr>
          <w:sz w:val="24"/>
        </w:rPr>
        <w:t xml:space="preserve"> period.</w:t>
      </w:r>
      <w:r w:rsidR="00C71C50">
        <w:rPr>
          <w:sz w:val="24"/>
        </w:rPr>
        <w:t xml:space="preserve">  See chart below.</w:t>
      </w:r>
      <w:r w:rsidR="00C15637">
        <w:rPr>
          <w:sz w:val="24"/>
        </w:rPr>
        <w:t xml:space="preserve"> </w:t>
      </w:r>
      <w:bookmarkStart w:id="3" w:name="_Hlk19198150"/>
      <w:r w:rsidR="00C71C50">
        <w:rPr>
          <w:sz w:val="24"/>
        </w:rPr>
        <w:t xml:space="preserve">A formula is applied to the number of clients being surveyed so only a portion of these clients are proposed </w:t>
      </w:r>
      <w:bookmarkEnd w:id="3"/>
      <w:r w:rsidR="00C71C50">
        <w:rPr>
          <w:sz w:val="24"/>
        </w:rPr>
        <w:t>re</w:t>
      </w:r>
      <w:r>
        <w:rPr>
          <w:sz w:val="24"/>
        </w:rPr>
        <w:t>s</w:t>
      </w:r>
      <w:r w:rsidR="00C71C50">
        <w:rPr>
          <w:sz w:val="24"/>
        </w:rPr>
        <w:t>pondents.</w:t>
      </w:r>
    </w:p>
    <w:tbl>
      <w:tblPr>
        <w:tblW w:w="7665" w:type="dxa"/>
        <w:tblInd w:w="108" w:type="dxa"/>
        <w:tblLook w:val="04A0"/>
      </w:tblPr>
      <w:tblGrid>
        <w:gridCol w:w="3651"/>
        <w:gridCol w:w="4014"/>
      </w:tblGrid>
      <w:tr w14:paraId="5709308B" w14:textId="77777777" w:rsidTr="00EE546A">
        <w:tblPrEx>
          <w:tblW w:w="7665" w:type="dxa"/>
          <w:tblInd w:w="108" w:type="dxa"/>
          <w:tblLook w:val="04A0"/>
        </w:tblPrEx>
        <w:trPr>
          <w:trHeight w:val="182"/>
        </w:trPr>
        <w:tc>
          <w:tcPr>
            <w:tcW w:w="3651" w:type="dxa"/>
            <w:tcBorders>
              <w:top w:val="nil"/>
              <w:left w:val="nil"/>
              <w:bottom w:val="nil"/>
              <w:right w:val="nil"/>
            </w:tcBorders>
            <w:shd w:val="clear" w:color="000000" w:fill="002060"/>
            <w:noWrap/>
            <w:vAlign w:val="bottom"/>
            <w:hideMark/>
          </w:tcPr>
          <w:p w:rsidR="004874A0" w:rsidRPr="004874A0" w:rsidP="004874A0" w14:paraId="284A7B1C"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xml:space="preserve">CLIENT TYPE REPORT </w:t>
            </w:r>
          </w:p>
        </w:tc>
        <w:tc>
          <w:tcPr>
            <w:tcW w:w="4014" w:type="dxa"/>
            <w:tcBorders>
              <w:top w:val="nil"/>
              <w:left w:val="nil"/>
              <w:bottom w:val="nil"/>
              <w:right w:val="nil"/>
            </w:tcBorders>
            <w:shd w:val="clear" w:color="000000" w:fill="002060"/>
            <w:noWrap/>
            <w:vAlign w:val="bottom"/>
            <w:hideMark/>
          </w:tcPr>
          <w:p w:rsidR="004874A0" w:rsidRPr="004874A0" w:rsidP="004874A0" w14:paraId="4C6197CB" w14:textId="10FFAC85">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xml:space="preserve">JULY </w:t>
            </w:r>
            <w:r w:rsidRPr="004874A0" w:rsidR="00A15F22">
              <w:rPr>
                <w:rFonts w:ascii="Calibri" w:hAnsi="Calibri" w:cs="Calibri"/>
                <w:color w:val="FFFFFF"/>
                <w:sz w:val="22"/>
                <w:szCs w:val="22"/>
              </w:rPr>
              <w:t>1ST,</w:t>
            </w:r>
            <w:r w:rsidRPr="004874A0">
              <w:rPr>
                <w:rFonts w:ascii="Calibri" w:hAnsi="Calibri" w:cs="Calibri"/>
                <w:color w:val="FFFFFF"/>
                <w:sz w:val="22"/>
                <w:szCs w:val="22"/>
              </w:rPr>
              <w:t xml:space="preserve"> 2018 to JUNE </w:t>
            </w:r>
            <w:r w:rsidRPr="004874A0" w:rsidR="00A15F22">
              <w:rPr>
                <w:rFonts w:ascii="Calibri" w:hAnsi="Calibri" w:cs="Calibri"/>
                <w:color w:val="FFFFFF"/>
                <w:sz w:val="22"/>
                <w:szCs w:val="22"/>
              </w:rPr>
              <w:t>30TH,</w:t>
            </w:r>
            <w:r w:rsidRPr="004874A0">
              <w:rPr>
                <w:rFonts w:ascii="Calibri" w:hAnsi="Calibri" w:cs="Calibri"/>
                <w:color w:val="FFFFFF"/>
                <w:sz w:val="22"/>
                <w:szCs w:val="22"/>
              </w:rPr>
              <w:t xml:space="preserve"> 2019 </w:t>
            </w:r>
          </w:p>
        </w:tc>
      </w:tr>
      <w:tr w14:paraId="4CF0C9B8" w14:textId="77777777" w:rsidTr="00EE546A">
        <w:tblPrEx>
          <w:tblW w:w="7665" w:type="dxa"/>
          <w:tblInd w:w="108" w:type="dxa"/>
          <w:tblLook w:val="04A0"/>
        </w:tblPrEx>
        <w:trPr>
          <w:trHeight w:val="62"/>
        </w:trPr>
        <w:tc>
          <w:tcPr>
            <w:tcW w:w="3651" w:type="dxa"/>
            <w:tcBorders>
              <w:top w:val="nil"/>
              <w:left w:val="nil"/>
              <w:bottom w:val="nil"/>
              <w:right w:val="nil"/>
            </w:tcBorders>
            <w:shd w:val="clear" w:color="000000" w:fill="FFFFFF"/>
            <w:noWrap/>
            <w:vAlign w:val="bottom"/>
            <w:hideMark/>
          </w:tcPr>
          <w:p w:rsidR="004874A0" w:rsidRPr="004874A0" w:rsidP="004874A0" w14:paraId="1698309F"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w:t>
            </w:r>
          </w:p>
        </w:tc>
        <w:tc>
          <w:tcPr>
            <w:tcW w:w="4014" w:type="dxa"/>
            <w:tcBorders>
              <w:top w:val="nil"/>
              <w:left w:val="nil"/>
              <w:bottom w:val="nil"/>
              <w:right w:val="nil"/>
            </w:tcBorders>
            <w:shd w:val="clear" w:color="000000" w:fill="FFFFFF"/>
            <w:noWrap/>
            <w:vAlign w:val="bottom"/>
            <w:hideMark/>
          </w:tcPr>
          <w:p w:rsidR="004874A0" w:rsidRPr="004874A0" w:rsidP="004874A0" w14:paraId="678DFB5B"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w:t>
            </w:r>
          </w:p>
        </w:tc>
      </w:tr>
      <w:tr w14:paraId="7462F7CA" w14:textId="77777777" w:rsidTr="00EE546A">
        <w:tblPrEx>
          <w:tblW w:w="7665" w:type="dxa"/>
          <w:tblInd w:w="108" w:type="dxa"/>
          <w:tblLook w:val="04A0"/>
        </w:tblPrEx>
        <w:trPr>
          <w:trHeight w:val="182"/>
        </w:trPr>
        <w:tc>
          <w:tcPr>
            <w:tcW w:w="3651" w:type="dxa"/>
            <w:tcBorders>
              <w:top w:val="nil"/>
              <w:left w:val="nil"/>
              <w:bottom w:val="nil"/>
              <w:right w:val="nil"/>
            </w:tcBorders>
            <w:shd w:val="clear" w:color="000000" w:fill="1F4E78"/>
            <w:noWrap/>
            <w:vAlign w:val="bottom"/>
            <w:hideMark/>
          </w:tcPr>
          <w:p w:rsidR="004874A0" w:rsidRPr="004874A0" w:rsidP="004874A0" w14:paraId="4C7774C1"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Client Type</w:t>
            </w:r>
          </w:p>
        </w:tc>
        <w:tc>
          <w:tcPr>
            <w:tcW w:w="4014" w:type="dxa"/>
            <w:tcBorders>
              <w:top w:val="nil"/>
              <w:left w:val="nil"/>
              <w:bottom w:val="nil"/>
              <w:right w:val="nil"/>
            </w:tcBorders>
            <w:shd w:val="clear" w:color="000000" w:fill="1F4E78"/>
            <w:noWrap/>
            <w:vAlign w:val="bottom"/>
            <w:hideMark/>
          </w:tcPr>
          <w:p w:rsidR="004874A0" w:rsidRPr="004874A0" w:rsidP="004874A0" w14:paraId="1DC6F2F2"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Total Service Requests</w:t>
            </w:r>
          </w:p>
        </w:tc>
      </w:tr>
      <w:tr w14:paraId="2BC24F0D" w14:textId="77777777" w:rsidTr="00EE546A">
        <w:tblPrEx>
          <w:tblW w:w="7665" w:type="dxa"/>
          <w:tblInd w:w="108" w:type="dxa"/>
          <w:tblLook w:val="04A0"/>
        </w:tblPrEx>
        <w:trPr>
          <w:trHeight w:val="182"/>
        </w:trPr>
        <w:tc>
          <w:tcPr>
            <w:tcW w:w="3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4A0" w:rsidRPr="004874A0" w:rsidP="004874A0" w14:paraId="13C90456"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Appraiser</w:t>
            </w:r>
          </w:p>
        </w:tc>
        <w:tc>
          <w:tcPr>
            <w:tcW w:w="4014" w:type="dxa"/>
            <w:tcBorders>
              <w:top w:val="single" w:sz="4" w:space="0" w:color="auto"/>
              <w:left w:val="nil"/>
              <w:bottom w:val="single" w:sz="4" w:space="0" w:color="auto"/>
              <w:right w:val="single" w:sz="4" w:space="0" w:color="auto"/>
            </w:tcBorders>
            <w:shd w:val="clear" w:color="auto" w:fill="auto"/>
            <w:noWrap/>
            <w:vAlign w:val="bottom"/>
            <w:hideMark/>
          </w:tcPr>
          <w:p w:rsidR="004874A0" w:rsidRPr="004874A0" w:rsidP="00C42AE2" w14:paraId="21B805C6"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16,427</w:t>
            </w:r>
          </w:p>
        </w:tc>
      </w:tr>
      <w:tr w14:paraId="716D908F"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585F828F" w14:textId="01614BE8">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 xml:space="preserve">Asset </w:t>
            </w:r>
            <w:r w:rsidRPr="004874A0" w:rsidR="00A15F22">
              <w:rPr>
                <w:rFonts w:ascii="Calibri" w:hAnsi="Calibri" w:cs="Calibri"/>
                <w:color w:val="000000"/>
                <w:sz w:val="22"/>
                <w:szCs w:val="22"/>
              </w:rPr>
              <w:t>Mgr.</w:t>
            </w:r>
            <w:r w:rsidRPr="004874A0">
              <w:rPr>
                <w:rFonts w:ascii="Calibri" w:hAnsi="Calibri" w:cs="Calibri"/>
                <w:color w:val="000000"/>
                <w:sz w:val="22"/>
                <w:szCs w:val="22"/>
              </w:rPr>
              <w:t xml:space="preserve">/Field Service </w:t>
            </w:r>
            <w:r w:rsidRPr="004874A0" w:rsidR="00A15F22">
              <w:rPr>
                <w:rFonts w:ascii="Calibri" w:hAnsi="Calibri" w:cs="Calibri"/>
                <w:color w:val="000000"/>
                <w:sz w:val="22"/>
                <w:szCs w:val="22"/>
              </w:rPr>
              <w:t>Mgr.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632083CF"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16</w:t>
            </w:r>
          </w:p>
        </w:tc>
      </w:tr>
      <w:tr w14:paraId="634D4193"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134FC187"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Attorney</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75C00A04"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2,599</w:t>
            </w:r>
          </w:p>
        </w:tc>
      </w:tr>
      <w:tr w14:paraId="09DC39AF"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25D983A3"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Audit/CPA</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249BD8E3"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348</w:t>
            </w:r>
          </w:p>
        </w:tc>
      </w:tr>
      <w:tr w14:paraId="09522DAC"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609DB169"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Builder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1CABE3E3"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407</w:t>
            </w:r>
          </w:p>
        </w:tc>
      </w:tr>
      <w:tr w14:paraId="7E061ADB"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30AEC76C"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Closing Agent</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3C254CF5"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4,242</w:t>
            </w:r>
          </w:p>
        </w:tc>
      </w:tr>
      <w:tr w14:paraId="1DD76AE6"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4B414B2E"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Congressional</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22EDF4DC"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22</w:t>
            </w:r>
          </w:p>
        </w:tc>
      </w:tr>
      <w:tr w14:paraId="14E27303"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6C2CBE43"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FHA</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0B8BFFD6"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52</w:t>
            </w:r>
          </w:p>
        </w:tc>
      </w:tr>
      <w:tr w14:paraId="011A21E5"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4E62EB64"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Gov - Federal</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43ED4919"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488</w:t>
            </w:r>
          </w:p>
        </w:tc>
      </w:tr>
      <w:tr w14:paraId="2B60D76C"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6293118D"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Gov - Local</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3F153361"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587</w:t>
            </w:r>
          </w:p>
        </w:tc>
      </w:tr>
      <w:tr w14:paraId="0F336B81"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3D351324"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Gov - State</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382C1BCD"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190</w:t>
            </w:r>
          </w:p>
        </w:tc>
      </w:tr>
      <w:tr w14:paraId="7BAF3DBC"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42AFFA25"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HOA</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741C45D0"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1,386</w:t>
            </w:r>
          </w:p>
        </w:tc>
      </w:tr>
      <w:tr w14:paraId="18817DF0"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0CE05B32"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Home Owner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1617576C"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65,096</w:t>
            </w:r>
          </w:p>
        </w:tc>
      </w:tr>
      <w:tr w14:paraId="29D1D0C4"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3AC92067"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Homebuyer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50ECDC72"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44,928</w:t>
            </w:r>
          </w:p>
        </w:tc>
      </w:tr>
      <w:tr w14:paraId="0F686F90"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7142B063"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Housing Counselor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2675C738"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422</w:t>
            </w:r>
          </w:p>
        </w:tc>
      </w:tr>
      <w:tr w14:paraId="2C2E7C2C"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348C8DFA"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Inspector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0F2F7F2C"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348</w:t>
            </w:r>
          </w:p>
        </w:tc>
      </w:tr>
      <w:tr w14:paraId="6830E902"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0E5E7EE0"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Landlord</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5A361783"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487</w:t>
            </w:r>
          </w:p>
        </w:tc>
      </w:tr>
      <w:tr w14:paraId="1D3F0E09"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3767EB90"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Applicant</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28C4B421"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238</w:t>
            </w:r>
          </w:p>
        </w:tc>
      </w:tr>
      <w:tr w14:paraId="52117F4B"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170A4404"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Loan Officer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7FE011A2"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29,281</w:t>
            </w:r>
          </w:p>
        </w:tc>
      </w:tr>
      <w:tr w14:paraId="3FB6D82E"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044D3B70"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Manager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21EDED57"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36,365</w:t>
            </w:r>
          </w:p>
        </w:tc>
      </w:tr>
      <w:tr w14:paraId="37A797B0"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649031AD"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Processor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0ACEB94E"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76,427</w:t>
            </w:r>
          </w:p>
        </w:tc>
      </w:tr>
      <w:tr w14:paraId="5DCD049F"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3373172D"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Quality Control Manager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614CE3D3"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1,024</w:t>
            </w:r>
          </w:p>
        </w:tc>
      </w:tr>
      <w:tr w14:paraId="3532B23E"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1D3721FA"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Sales Manager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671F41F8"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2,301</w:t>
            </w:r>
          </w:p>
        </w:tc>
      </w:tr>
      <w:tr w14:paraId="40BE771C"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74ECC49E"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Staff</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3A3FE845"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99,218</w:t>
            </w:r>
          </w:p>
        </w:tc>
      </w:tr>
      <w:tr w14:paraId="206B5344"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65EC310E"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Underwriter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3122D5A8"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93,007</w:t>
            </w:r>
          </w:p>
        </w:tc>
      </w:tr>
      <w:tr w14:paraId="673F5331"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50662B3F"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Non-Profit</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7A95FE07"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1,253</w:t>
            </w:r>
          </w:p>
        </w:tc>
      </w:tr>
      <w:tr w14:paraId="7C8C5C6F"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03677A5D"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Other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33CDE30E"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23,600</w:t>
            </w:r>
          </w:p>
        </w:tc>
      </w:tr>
      <w:tr w14:paraId="1060D07A"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2FC3120D"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Real Estate Professional</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69983CC9"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46,407</w:t>
            </w:r>
          </w:p>
        </w:tc>
      </w:tr>
      <w:tr w14:paraId="52658353"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6D2A898C"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Rehab Consultant</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13EBA6AA"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357</w:t>
            </w:r>
          </w:p>
        </w:tc>
      </w:tr>
      <w:tr w14:paraId="011559AD"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1B6BF081"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Renter</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16F6472D"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20,134</w:t>
            </w:r>
          </w:p>
        </w:tc>
      </w:tr>
      <w:tr w14:paraId="6EC9ED49"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2B1DEA89"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Trade Association</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35BB5573"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749</w:t>
            </w:r>
          </w:p>
        </w:tc>
      </w:tr>
      <w:tr w14:paraId="518AB063"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53A0FD35"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Unknown</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621EC579"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3,957</w:t>
            </w:r>
          </w:p>
        </w:tc>
      </w:tr>
      <w:tr w14:paraId="669E2BE6" w14:textId="77777777" w:rsidTr="00EE546A">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4874A0" w:rsidRPr="004874A0" w:rsidP="004874A0" w14:paraId="509DA25A"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(blank)</w:t>
            </w:r>
          </w:p>
        </w:tc>
        <w:tc>
          <w:tcPr>
            <w:tcW w:w="4014" w:type="dxa"/>
            <w:tcBorders>
              <w:top w:val="nil"/>
              <w:left w:val="nil"/>
              <w:bottom w:val="single" w:sz="4" w:space="0" w:color="auto"/>
              <w:right w:val="single" w:sz="4" w:space="0" w:color="auto"/>
            </w:tcBorders>
            <w:shd w:val="clear" w:color="auto" w:fill="auto"/>
            <w:noWrap/>
            <w:vAlign w:val="bottom"/>
            <w:hideMark/>
          </w:tcPr>
          <w:p w:rsidR="004874A0" w:rsidRPr="004874A0" w:rsidP="00C42AE2" w14:paraId="4A6A2F1C" w14:textId="77777777">
            <w:pPr>
              <w:overflowPunct/>
              <w:autoSpaceDE/>
              <w:autoSpaceDN/>
              <w:adjustRightInd/>
              <w:jc w:val="right"/>
              <w:textAlignment w:val="auto"/>
              <w:rPr>
                <w:rFonts w:ascii="Calibri" w:hAnsi="Calibri" w:cs="Calibri"/>
                <w:color w:val="000000"/>
                <w:sz w:val="22"/>
                <w:szCs w:val="22"/>
              </w:rPr>
            </w:pPr>
            <w:r w:rsidRPr="004874A0">
              <w:rPr>
                <w:rFonts w:ascii="Calibri" w:hAnsi="Calibri" w:cs="Calibri"/>
                <w:color w:val="000000"/>
                <w:sz w:val="22"/>
                <w:szCs w:val="22"/>
              </w:rPr>
              <w:t>14,329</w:t>
            </w:r>
          </w:p>
        </w:tc>
      </w:tr>
      <w:tr w14:paraId="4A3D1189" w14:textId="77777777" w:rsidTr="00EE546A">
        <w:tblPrEx>
          <w:tblW w:w="7665" w:type="dxa"/>
          <w:tblInd w:w="108" w:type="dxa"/>
          <w:tblLook w:val="04A0"/>
        </w:tblPrEx>
        <w:trPr>
          <w:trHeight w:val="182"/>
        </w:trPr>
        <w:tc>
          <w:tcPr>
            <w:tcW w:w="3651" w:type="dxa"/>
            <w:tcBorders>
              <w:top w:val="nil"/>
              <w:left w:val="nil"/>
              <w:bottom w:val="nil"/>
              <w:right w:val="nil"/>
            </w:tcBorders>
            <w:shd w:val="clear" w:color="000000" w:fill="1F4E78"/>
            <w:noWrap/>
            <w:vAlign w:val="bottom"/>
            <w:hideMark/>
          </w:tcPr>
          <w:p w:rsidR="004874A0" w:rsidRPr="004874A0" w:rsidP="004874A0" w14:paraId="5D06F184"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TOTAL CLIENT TYPES</w:t>
            </w:r>
          </w:p>
        </w:tc>
        <w:tc>
          <w:tcPr>
            <w:tcW w:w="4014" w:type="dxa"/>
            <w:tcBorders>
              <w:top w:val="nil"/>
              <w:left w:val="nil"/>
              <w:bottom w:val="nil"/>
              <w:right w:val="nil"/>
            </w:tcBorders>
            <w:shd w:val="clear" w:color="000000" w:fill="1F4E78"/>
            <w:noWrap/>
            <w:vAlign w:val="bottom"/>
            <w:hideMark/>
          </w:tcPr>
          <w:p w:rsidR="004874A0" w:rsidRPr="004874A0" w:rsidP="00C42AE2" w14:paraId="6E6C426C" w14:textId="77777777">
            <w:pPr>
              <w:overflowPunct/>
              <w:autoSpaceDE/>
              <w:autoSpaceDN/>
              <w:adjustRightInd/>
              <w:jc w:val="right"/>
              <w:textAlignment w:val="auto"/>
              <w:rPr>
                <w:rFonts w:ascii="Calibri" w:hAnsi="Calibri" w:cs="Calibri"/>
                <w:color w:val="FFFFFF"/>
                <w:sz w:val="22"/>
                <w:szCs w:val="22"/>
              </w:rPr>
            </w:pPr>
            <w:r w:rsidRPr="004874A0">
              <w:rPr>
                <w:rFonts w:ascii="Calibri" w:hAnsi="Calibri" w:cs="Calibri"/>
                <w:color w:val="FFFFFF"/>
                <w:sz w:val="22"/>
                <w:szCs w:val="22"/>
              </w:rPr>
              <w:t>586,692</w:t>
            </w:r>
          </w:p>
        </w:tc>
      </w:tr>
    </w:tbl>
    <w:p w:rsidR="00ED6C4B" w:rsidP="00D67BA3" w14:paraId="2FFDE734" w14:textId="651DB5ED">
      <w:pPr>
        <w:rPr>
          <w:sz w:val="24"/>
        </w:rPr>
      </w:pPr>
      <w:r w:rsidRPr="004D1CB1">
        <w:rPr>
          <w:sz w:val="24"/>
        </w:rPr>
        <w:t xml:space="preserve">Each month, one week of </w:t>
      </w:r>
      <w:r w:rsidR="00ED5A77">
        <w:rPr>
          <w:sz w:val="24"/>
        </w:rPr>
        <w:t xml:space="preserve">the service request </w:t>
      </w:r>
      <w:r w:rsidRPr="004D1CB1">
        <w:rPr>
          <w:sz w:val="24"/>
        </w:rPr>
        <w:t>inqu</w:t>
      </w:r>
      <w:r w:rsidR="00ED5A77">
        <w:rPr>
          <w:sz w:val="24"/>
        </w:rPr>
        <w:t>i</w:t>
      </w:r>
      <w:r w:rsidRPr="004D1CB1">
        <w:rPr>
          <w:sz w:val="24"/>
        </w:rPr>
        <w:t xml:space="preserve">ries processed will be used as the pool for randomly </w:t>
      </w:r>
      <w:r w:rsidR="00ED5A77">
        <w:rPr>
          <w:sz w:val="24"/>
        </w:rPr>
        <w:t xml:space="preserve">selection of </w:t>
      </w:r>
      <w:r w:rsidRPr="004D1CB1">
        <w:rPr>
          <w:sz w:val="24"/>
        </w:rPr>
        <w:t xml:space="preserve">customers to receive a survey invitation. </w:t>
      </w:r>
      <w:r>
        <w:rPr>
          <w:sz w:val="24"/>
        </w:rPr>
        <w:t xml:space="preserve">Only a portion of the </w:t>
      </w:r>
      <w:r w:rsidR="00C71C50">
        <w:rPr>
          <w:sz w:val="24"/>
        </w:rPr>
        <w:t xml:space="preserve">clients </w:t>
      </w:r>
      <w:r>
        <w:rPr>
          <w:sz w:val="24"/>
        </w:rPr>
        <w:t xml:space="preserve">who contacted the FHA Resource Center during this week will </w:t>
      </w:r>
      <w:r w:rsidR="00C71C50">
        <w:rPr>
          <w:sz w:val="24"/>
        </w:rPr>
        <w:t xml:space="preserve">be surveyed </w:t>
      </w:r>
      <w:r>
        <w:rPr>
          <w:sz w:val="24"/>
        </w:rPr>
        <w:t>so there is not a collection burden for our clients.  See percentages below</w:t>
      </w:r>
      <w:r w:rsidR="00ED5A77">
        <w:rPr>
          <w:sz w:val="24"/>
        </w:rPr>
        <w:t xml:space="preserve"> which were applied to the </w:t>
      </w:r>
      <w:r w:rsidR="00FA0222">
        <w:rPr>
          <w:sz w:val="24"/>
        </w:rPr>
        <w:t>one-year</w:t>
      </w:r>
      <w:r w:rsidR="00ED5A77">
        <w:rPr>
          <w:sz w:val="24"/>
        </w:rPr>
        <w:t xml:space="preserve"> collection period.</w:t>
      </w:r>
    </w:p>
    <w:p w:rsidR="004D1CB1" w:rsidP="00D67BA3" w14:paraId="3ADEA6A4" w14:textId="0AABBC9F">
      <w:pPr>
        <w:rPr>
          <w:sz w:val="24"/>
        </w:rPr>
      </w:pPr>
    </w:p>
    <w:p w:rsidR="004D1CB1" w:rsidRPr="004D1CB1" w:rsidP="004D1CB1" w14:paraId="6CA64DD7" w14:textId="517E6297">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bookmarkStart w:id="4" w:name="_Hlk19198825"/>
      <w:r w:rsidRPr="00ED5A77">
        <w:rPr>
          <w:rFonts w:eastAsia="PMingLiU"/>
          <w:color w:val="000000"/>
          <w:sz w:val="22"/>
          <w:szCs w:val="22"/>
        </w:rPr>
        <w:t>Inquiries responded to b</w:t>
      </w:r>
      <w:r w:rsidRPr="00ED5A77" w:rsidR="00ED5A77">
        <w:rPr>
          <w:rFonts w:eastAsia="PMingLiU"/>
          <w:color w:val="000000"/>
          <w:sz w:val="22"/>
          <w:szCs w:val="22"/>
        </w:rPr>
        <w:t>y</w:t>
      </w:r>
      <w:r w:rsidRPr="00ED5A77">
        <w:rPr>
          <w:rFonts w:eastAsia="PMingLiU"/>
          <w:color w:val="000000"/>
          <w:sz w:val="22"/>
          <w:szCs w:val="22"/>
        </w:rPr>
        <w:t xml:space="preserve"> </w:t>
      </w:r>
      <w:bookmarkEnd w:id="4"/>
      <w:r w:rsidRPr="00ED5A77">
        <w:rPr>
          <w:rFonts w:eastAsia="PMingLiU"/>
          <w:color w:val="000000"/>
          <w:sz w:val="22"/>
          <w:szCs w:val="22"/>
        </w:rPr>
        <w:t xml:space="preserve">FHA </w:t>
      </w:r>
      <w:r w:rsidRPr="004D1CB1">
        <w:rPr>
          <w:rFonts w:eastAsia="PMingLiU"/>
          <w:color w:val="000000"/>
          <w:sz w:val="22"/>
          <w:szCs w:val="22"/>
        </w:rPr>
        <w:t>Resource Center</w:t>
      </w:r>
      <w:r w:rsidRPr="00ED5A77" w:rsidR="00ED5A77">
        <w:rPr>
          <w:rFonts w:eastAsia="PMingLiU"/>
          <w:color w:val="000000"/>
          <w:sz w:val="22"/>
          <w:szCs w:val="22"/>
        </w:rPr>
        <w:t xml:space="preserve"> staff</w:t>
      </w:r>
      <w:r w:rsidRPr="004D1CB1">
        <w:rPr>
          <w:rFonts w:eastAsia="PMingLiU"/>
          <w:color w:val="000000"/>
          <w:sz w:val="22"/>
          <w:szCs w:val="22"/>
        </w:rPr>
        <w:t xml:space="preserve">: </w:t>
      </w:r>
      <w:r w:rsidRPr="00ED5A77" w:rsidR="00ED5A77">
        <w:rPr>
          <w:rFonts w:eastAsia="PMingLiU"/>
          <w:color w:val="000000"/>
          <w:sz w:val="22"/>
          <w:szCs w:val="22"/>
        </w:rPr>
        <w:t>3</w:t>
      </w:r>
      <w:r w:rsidRPr="004D1CB1">
        <w:rPr>
          <w:rFonts w:eastAsia="PMingLiU"/>
          <w:color w:val="000000"/>
          <w:sz w:val="22"/>
          <w:szCs w:val="22"/>
        </w:rPr>
        <w:t>%</w:t>
      </w:r>
    </w:p>
    <w:p w:rsidR="004D1CB1" w:rsidRPr="004D1CB1" w:rsidP="004D1CB1" w14:paraId="43051788" w14:textId="5CBF92C1">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bookmarkStart w:id="5" w:name="_Hlk19198814"/>
      <w:r w:rsidRPr="00ED5A77" w:rsidR="00ED5A77">
        <w:rPr>
          <w:rFonts w:eastAsia="PMingLiU"/>
          <w:color w:val="000000"/>
          <w:sz w:val="22"/>
          <w:szCs w:val="22"/>
        </w:rPr>
        <w:t xml:space="preserve">Inquiries responded to by </w:t>
      </w:r>
      <w:r w:rsidRPr="004D1CB1">
        <w:rPr>
          <w:rFonts w:eastAsia="PMingLiU"/>
          <w:color w:val="000000"/>
          <w:sz w:val="22"/>
          <w:szCs w:val="22"/>
        </w:rPr>
        <w:t xml:space="preserve">four </w:t>
      </w:r>
      <w:r w:rsidRPr="00ED5A77" w:rsidR="00ED5A77">
        <w:rPr>
          <w:rFonts w:eastAsia="PMingLiU"/>
          <w:color w:val="000000"/>
          <w:sz w:val="22"/>
          <w:szCs w:val="22"/>
        </w:rPr>
        <w:t xml:space="preserve">HUD agency </w:t>
      </w:r>
      <w:r w:rsidRPr="004D1CB1">
        <w:rPr>
          <w:rFonts w:eastAsia="PMingLiU"/>
          <w:color w:val="000000"/>
          <w:sz w:val="22"/>
          <w:szCs w:val="22"/>
        </w:rPr>
        <w:t>H</w:t>
      </w:r>
      <w:r w:rsidRPr="00ED5A77" w:rsidR="00ED5A77">
        <w:rPr>
          <w:rFonts w:eastAsia="PMingLiU"/>
          <w:color w:val="000000"/>
          <w:sz w:val="22"/>
          <w:szCs w:val="22"/>
        </w:rPr>
        <w:t xml:space="preserve">omeownership Centers </w:t>
      </w:r>
      <w:r w:rsidRPr="004D1CB1">
        <w:rPr>
          <w:rFonts w:eastAsia="PMingLiU"/>
          <w:color w:val="000000"/>
          <w:sz w:val="22"/>
          <w:szCs w:val="22"/>
        </w:rPr>
        <w:t>&amp; N</w:t>
      </w:r>
      <w:r w:rsidRPr="00ED5A77" w:rsidR="00ED5A77">
        <w:rPr>
          <w:rFonts w:eastAsia="PMingLiU"/>
          <w:color w:val="000000"/>
          <w:sz w:val="22"/>
          <w:szCs w:val="22"/>
        </w:rPr>
        <w:t xml:space="preserve">ational </w:t>
      </w:r>
      <w:r w:rsidRPr="004D1CB1">
        <w:rPr>
          <w:rFonts w:eastAsia="PMingLiU"/>
          <w:color w:val="000000"/>
          <w:sz w:val="22"/>
          <w:szCs w:val="22"/>
        </w:rPr>
        <w:t>S</w:t>
      </w:r>
      <w:r w:rsidRPr="00ED5A77" w:rsidR="00ED5A77">
        <w:rPr>
          <w:rFonts w:eastAsia="PMingLiU"/>
          <w:color w:val="000000"/>
          <w:sz w:val="22"/>
          <w:szCs w:val="22"/>
        </w:rPr>
        <w:t xml:space="preserve">ervicing </w:t>
      </w:r>
      <w:r w:rsidRPr="004D1CB1">
        <w:rPr>
          <w:rFonts w:eastAsia="PMingLiU"/>
          <w:color w:val="000000"/>
          <w:sz w:val="22"/>
          <w:szCs w:val="22"/>
        </w:rPr>
        <w:t>C</w:t>
      </w:r>
      <w:bookmarkEnd w:id="5"/>
      <w:r w:rsidRPr="00ED5A77" w:rsidR="00ED5A77">
        <w:rPr>
          <w:rFonts w:eastAsia="PMingLiU"/>
          <w:color w:val="000000"/>
          <w:sz w:val="22"/>
          <w:szCs w:val="22"/>
        </w:rPr>
        <w:t>enter</w:t>
      </w:r>
      <w:r w:rsidRPr="004D1CB1">
        <w:rPr>
          <w:rFonts w:eastAsia="PMingLiU"/>
          <w:color w:val="000000"/>
          <w:sz w:val="22"/>
          <w:szCs w:val="22"/>
        </w:rPr>
        <w:t>: 30%</w:t>
      </w:r>
    </w:p>
    <w:p w:rsidR="004D1CB1" w:rsidRPr="004D1CB1" w:rsidP="004D1CB1" w14:paraId="3564A1EF" w14:textId="407C9AFC">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r w:rsidRPr="00ED5A77" w:rsidR="00ED5A77">
        <w:rPr>
          <w:rFonts w:eastAsia="PMingLiU"/>
          <w:color w:val="000000"/>
          <w:sz w:val="22"/>
          <w:szCs w:val="22"/>
        </w:rPr>
        <w:t xml:space="preserve">Inquiries responded to by </w:t>
      </w:r>
      <w:r w:rsidRPr="004D1CB1">
        <w:rPr>
          <w:rFonts w:eastAsia="PMingLiU"/>
          <w:color w:val="000000"/>
          <w:sz w:val="22"/>
          <w:szCs w:val="22"/>
        </w:rPr>
        <w:t>HQ Offices (no National Oversight): 50%</w:t>
      </w:r>
    </w:p>
    <w:p w:rsidR="004D1CB1" w:rsidRPr="004D1CB1" w:rsidP="004D1CB1" w14:paraId="70A52C62" w14:textId="7321FE63">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r w:rsidRPr="00ED5A77" w:rsidR="00ED5A77">
        <w:rPr>
          <w:rFonts w:eastAsia="PMingLiU"/>
          <w:color w:val="000000"/>
          <w:sz w:val="22"/>
          <w:szCs w:val="22"/>
        </w:rPr>
        <w:t xml:space="preserve">Inquiries responded </w:t>
      </w:r>
      <w:r w:rsidRPr="004D1CB1">
        <w:rPr>
          <w:rFonts w:eastAsia="PMingLiU"/>
          <w:color w:val="000000"/>
          <w:sz w:val="22"/>
          <w:szCs w:val="22"/>
        </w:rPr>
        <w:t>FHA online Frequently Asked Question (FAQ) site: 50%</w:t>
      </w:r>
    </w:p>
    <w:p w:rsidR="004D1CB1" w:rsidP="004D1CB1" w14:paraId="1856AFB7" w14:textId="2E74E8EA">
      <w:pPr>
        <w:rPr>
          <w:sz w:val="24"/>
        </w:rPr>
      </w:pPr>
      <w:r>
        <w:rPr>
          <w:sz w:val="24"/>
        </w:rPr>
        <w:t xml:space="preserve">In the reporting period last year, there were 16,273 survey </w:t>
      </w:r>
      <w:r w:rsidR="00ED5A77">
        <w:rPr>
          <w:sz w:val="24"/>
        </w:rPr>
        <w:t xml:space="preserve">instruments </w:t>
      </w:r>
      <w:r>
        <w:rPr>
          <w:sz w:val="24"/>
        </w:rPr>
        <w:t xml:space="preserve">completed with an average of 1,356 completed surveys being </w:t>
      </w:r>
      <w:r w:rsidR="00ED5A77">
        <w:rPr>
          <w:sz w:val="24"/>
        </w:rPr>
        <w:t xml:space="preserve">completed </w:t>
      </w:r>
      <w:r>
        <w:rPr>
          <w:sz w:val="24"/>
        </w:rPr>
        <w:t>on average each month.   The average monthly response rate per month during this time period was 14.09%.</w:t>
      </w:r>
    </w:p>
    <w:p w:rsidR="004D1CB1" w:rsidP="00D67BA3" w14:paraId="796FC778" w14:textId="77777777">
      <w:pPr>
        <w:rPr>
          <w:sz w:val="24"/>
          <w:u w:val="single"/>
        </w:rPr>
      </w:pPr>
    </w:p>
    <w:p w:rsidR="0081477C" w:rsidP="00D67BA3" w14:paraId="65143E3B" w14:textId="77777777">
      <w:pPr>
        <w:rPr>
          <w:sz w:val="24"/>
        </w:rPr>
      </w:pPr>
    </w:p>
    <w:p w:rsidR="00ED6C4B" w:rsidP="00D67BA3" w14:paraId="7B0B7FF1" w14:textId="1B348586">
      <w:pPr>
        <w:rPr>
          <w:sz w:val="24"/>
        </w:rPr>
      </w:pPr>
      <w:r w:rsidRPr="00ED5A77">
        <w:rPr>
          <w:sz w:val="24"/>
        </w:rPr>
        <w:t xml:space="preserve">2. </w:t>
      </w:r>
      <w:bookmarkStart w:id="6" w:name="_Hlk19199467"/>
      <w:r>
        <w:rPr>
          <w:sz w:val="24"/>
        </w:rPr>
        <w:t>Surveys will be conducted</w:t>
      </w:r>
      <w:bookmarkEnd w:id="6"/>
      <w:r>
        <w:rPr>
          <w:sz w:val="24"/>
        </w:rPr>
        <w:t xml:space="preserve"> each month on a random selection of contact center clients specific to each </w:t>
      </w:r>
      <w:r w:rsidR="009E464F">
        <w:rPr>
          <w:sz w:val="24"/>
        </w:rPr>
        <w:t xml:space="preserve">survey </w:t>
      </w:r>
      <w:r w:rsidR="00FA0222">
        <w:rPr>
          <w:sz w:val="24"/>
        </w:rPr>
        <w:t>instrument</w:t>
      </w:r>
      <w:r w:rsidR="009E464F">
        <w:rPr>
          <w:sz w:val="24"/>
        </w:rPr>
        <w:t>. One week out of the month,</w:t>
      </w:r>
      <w:r w:rsidRPr="009E464F" w:rsidR="009E464F">
        <w:t xml:space="preserve"> </w:t>
      </w:r>
      <w:r w:rsidR="009E464F">
        <w:rPr>
          <w:sz w:val="24"/>
        </w:rPr>
        <w:t>s</w:t>
      </w:r>
      <w:r w:rsidRPr="009E464F" w:rsidR="009E464F">
        <w:rPr>
          <w:sz w:val="24"/>
        </w:rPr>
        <w:t>urveys will be conducted</w:t>
      </w:r>
      <w:r w:rsidR="009E464F">
        <w:rPr>
          <w:sz w:val="24"/>
        </w:rPr>
        <w:t xml:space="preserve"> typically between 24 to 48 to ensure that each respondent interaction with the FHA Resource Center project is still fresh in their mind.</w:t>
      </w:r>
    </w:p>
    <w:p w:rsidR="009E464F" w:rsidP="00D67BA3" w14:paraId="258E1401" w14:textId="56A21F69">
      <w:pPr>
        <w:rPr>
          <w:sz w:val="24"/>
        </w:rPr>
      </w:pPr>
    </w:p>
    <w:p w:rsidR="009E464F" w:rsidP="00D67BA3" w14:paraId="14F39F6A" w14:textId="13234666">
      <w:pPr>
        <w:rPr>
          <w:sz w:val="24"/>
        </w:rPr>
      </w:pPr>
      <w:r>
        <w:rPr>
          <w:sz w:val="24"/>
        </w:rPr>
        <w:t xml:space="preserve">The statistical methodology for the stratification and sample selection is to have this </w:t>
      </w:r>
      <w:r w:rsidRPr="009E464F">
        <w:rPr>
          <w:sz w:val="24"/>
        </w:rPr>
        <w:t xml:space="preserve">division of </w:t>
      </w:r>
      <w:r w:rsidR="00340506">
        <w:rPr>
          <w:sz w:val="24"/>
        </w:rPr>
        <w:t xml:space="preserve">the </w:t>
      </w:r>
      <w:r w:rsidRPr="009E464F" w:rsidR="00340506">
        <w:rPr>
          <w:sz w:val="24"/>
        </w:rPr>
        <w:t>population</w:t>
      </w:r>
      <w:r w:rsidRPr="009E464F">
        <w:rPr>
          <w:sz w:val="24"/>
        </w:rPr>
        <w:t xml:space="preserve"> into smaller sub-groups </w:t>
      </w:r>
      <w:r w:rsidR="00340506">
        <w:rPr>
          <w:sz w:val="24"/>
        </w:rPr>
        <w:t xml:space="preserve">to evaluate </w:t>
      </w:r>
      <w:r>
        <w:rPr>
          <w:sz w:val="24"/>
        </w:rPr>
        <w:t xml:space="preserve">the </w:t>
      </w:r>
      <w:r w:rsidR="00340506">
        <w:rPr>
          <w:sz w:val="24"/>
        </w:rPr>
        <w:t xml:space="preserve">quality of customer service from the </w:t>
      </w:r>
      <w:r>
        <w:rPr>
          <w:sz w:val="24"/>
        </w:rPr>
        <w:t>agencies various offices.</w:t>
      </w:r>
    </w:p>
    <w:p w:rsidR="00340506" w:rsidP="00D67BA3" w14:paraId="0C01A7EA" w14:textId="4B506FB3">
      <w:pPr>
        <w:rPr>
          <w:sz w:val="24"/>
        </w:rPr>
      </w:pPr>
    </w:p>
    <w:p w:rsidR="00340506" w:rsidP="00D67BA3" w14:paraId="67DA0C27" w14:textId="497F05A3">
      <w:pPr>
        <w:rPr>
          <w:sz w:val="24"/>
        </w:rPr>
      </w:pPr>
      <w:r>
        <w:rPr>
          <w:sz w:val="24"/>
        </w:rPr>
        <w:t xml:space="preserve">The estimation procedure being utilized to apply the various percentages as mentioned above to ensure there are </w:t>
      </w:r>
      <w:r w:rsidR="00A15F22">
        <w:rPr>
          <w:sz w:val="24"/>
        </w:rPr>
        <w:t>enough</w:t>
      </w:r>
      <w:r>
        <w:rPr>
          <w:sz w:val="24"/>
        </w:rPr>
        <w:t xml:space="preserve"> sample sizes to conduct an analysis based upon the anticipated number of responses.</w:t>
      </w:r>
    </w:p>
    <w:p w:rsidR="00340506" w:rsidP="00D67BA3" w14:paraId="6575077A" w14:textId="55ACC6C9">
      <w:pPr>
        <w:rPr>
          <w:sz w:val="24"/>
        </w:rPr>
      </w:pPr>
    </w:p>
    <w:p w:rsidR="00340506" w:rsidP="00D67BA3" w14:paraId="6052E356" w14:textId="4BD9BA81">
      <w:pPr>
        <w:rPr>
          <w:sz w:val="24"/>
        </w:rPr>
      </w:pPr>
      <w:r>
        <w:rPr>
          <w:sz w:val="24"/>
        </w:rPr>
        <w:t>A high degree of accuracy is needed to collect the survey responses.  This data integrity is ensured by utilizing a highly reliable off the shelf application which is a best in class in industry standards.</w:t>
      </w:r>
    </w:p>
    <w:p w:rsidR="00340506" w:rsidP="00D67BA3" w14:paraId="7AD4CB6A" w14:textId="508C9891">
      <w:pPr>
        <w:rPr>
          <w:sz w:val="24"/>
        </w:rPr>
      </w:pPr>
    </w:p>
    <w:p w:rsidR="00585812" w:rsidP="00585812" w14:paraId="1ECD1E21" w14:textId="48F333E8">
      <w:pPr>
        <w:rPr>
          <w:sz w:val="24"/>
        </w:rPr>
      </w:pPr>
      <w:r>
        <w:rPr>
          <w:sz w:val="24"/>
        </w:rPr>
        <w:t xml:space="preserve">There are not any unusual problems requiring specialized sampling procedures.  Quality control processes are utilized to ensure the data collection processes are accurate.   We only conduct surveys one week during the month </w:t>
      </w:r>
      <w:r w:rsidR="0081477C">
        <w:rPr>
          <w:sz w:val="24"/>
        </w:rPr>
        <w:t>as a data collection cycle to reduce burden.</w:t>
      </w:r>
    </w:p>
    <w:p w:rsidR="00FA0222" w:rsidP="00585812" w14:paraId="351B1709" w14:textId="77777777">
      <w:pPr>
        <w:rPr>
          <w:sz w:val="24"/>
        </w:rPr>
      </w:pPr>
    </w:p>
    <w:p w:rsidR="00585812" w:rsidP="00585812" w14:paraId="122C23E5" w14:textId="77777777">
      <w:pPr>
        <w:rPr>
          <w:sz w:val="24"/>
        </w:rPr>
      </w:pPr>
    </w:p>
    <w:p w:rsidR="00585812" w:rsidP="00585812" w14:paraId="14246A27" w14:textId="77777777">
      <w:pPr>
        <w:rPr>
          <w:spacing w:val="-3"/>
          <w:sz w:val="24"/>
          <w:szCs w:val="24"/>
        </w:rPr>
      </w:pPr>
      <w:r>
        <w:rPr>
          <w:sz w:val="24"/>
        </w:rPr>
        <w:t xml:space="preserve">3. </w:t>
      </w:r>
      <w:r w:rsidRPr="00DD3428" w:rsidR="0081477C">
        <w:rPr>
          <w:spacing w:val="-3"/>
          <w:sz w:val="24"/>
          <w:szCs w:val="24"/>
        </w:rPr>
        <w:t>The methods being utilized maximize response rates and deal with non-response include validating clients being selected for a survey instrument are not sent more than one survey during the collection period. All potential survey respondents will be provided an opportunity to participate via the email address provided or confirmed in their most recent interaction with the FHA Resource Center for the web-based surveys to ensure accurate delivery to their email account. In addition, the immediacy of the survey will maximize the response rate by increasing the respondent's understanding of the subject of the survey request (higher recognition rate) as well as reduce the possibility of a change in the respondent's email address (higher delivery rate).</w:t>
      </w:r>
      <w:r>
        <w:rPr>
          <w:spacing w:val="-3"/>
          <w:sz w:val="24"/>
          <w:szCs w:val="24"/>
        </w:rPr>
        <w:t xml:space="preserve"> </w:t>
      </w:r>
    </w:p>
    <w:p w:rsidR="00585812" w:rsidP="00585812" w14:paraId="79FE68E1" w14:textId="77777777">
      <w:pPr>
        <w:rPr>
          <w:spacing w:val="-3"/>
          <w:sz w:val="24"/>
          <w:szCs w:val="24"/>
        </w:rPr>
      </w:pPr>
    </w:p>
    <w:p w:rsidR="003E39DC" w14:paraId="75AFFF76" w14:textId="6B4F803F">
      <w:pPr>
        <w:rPr>
          <w:spacing w:val="-3"/>
          <w:sz w:val="24"/>
          <w:szCs w:val="24"/>
        </w:rPr>
      </w:pPr>
      <w:r w:rsidRPr="00DD3428">
        <w:rPr>
          <w:spacing w:val="-3"/>
          <w:sz w:val="24"/>
          <w:szCs w:val="24"/>
        </w:rPr>
        <w:t>A true random selection of participants with the anticipated sample size based on the percentages / number of survey instruments being completed should produce reliable data adequate for the intended purposes of this survey.</w:t>
      </w:r>
    </w:p>
    <w:p w:rsidR="00FA0222" w14:paraId="63F7D1C4" w14:textId="77777777">
      <w:pPr>
        <w:rPr>
          <w:spacing w:val="-3"/>
          <w:sz w:val="24"/>
          <w:szCs w:val="24"/>
        </w:rPr>
      </w:pPr>
    </w:p>
    <w:p w:rsidR="003E39DC" w14:paraId="191A5FE0" w14:textId="77777777">
      <w:pPr>
        <w:rPr>
          <w:spacing w:val="-3"/>
          <w:sz w:val="24"/>
          <w:szCs w:val="24"/>
        </w:rPr>
      </w:pPr>
    </w:p>
    <w:p w:rsidR="00ED6C4B" w:rsidRPr="00585812" w14:paraId="1968C473" w14:textId="0E98784A">
      <w:pPr>
        <w:rPr>
          <w:rFonts w:ascii="Arial Narrow" w:hAnsi="Arial Narrow"/>
          <w:spacing w:val="-3"/>
          <w:sz w:val="24"/>
          <w:szCs w:val="24"/>
        </w:rPr>
      </w:pPr>
      <w:r>
        <w:rPr>
          <w:spacing w:val="-3"/>
          <w:sz w:val="24"/>
          <w:szCs w:val="24"/>
        </w:rPr>
        <w:t>4.</w:t>
      </w:r>
      <w:r w:rsidRPr="005371B1" w:rsidR="005371B1">
        <w:rPr>
          <w:sz w:val="24"/>
          <w:szCs w:val="24"/>
        </w:rPr>
        <w:t xml:space="preserve"> The Office of Single-Family Housing convened a focus group to review the proposed survey instruments and provide feedback. The focus group consisted of a cross section of user types and provided feedback on all aspects of the survey instruments, method of collection, data collection, and record keeping. Feedback from this focus group did not generate any concerns with the </w:t>
      </w:r>
      <w:r w:rsidR="005371B1">
        <w:rPr>
          <w:sz w:val="24"/>
          <w:szCs w:val="24"/>
        </w:rPr>
        <w:t xml:space="preserve">procedures, </w:t>
      </w:r>
      <w:r w:rsidRPr="005371B1" w:rsidR="005371B1">
        <w:rPr>
          <w:sz w:val="24"/>
          <w:szCs w:val="24"/>
        </w:rPr>
        <w:t>method of delivery, the technology utilized to solicit and collect survey responses or the burden necessary to access or complete the survey.  In addition, th</w:t>
      </w:r>
      <w:r w:rsidR="005371B1">
        <w:rPr>
          <w:sz w:val="24"/>
          <w:szCs w:val="24"/>
        </w:rPr>
        <w:t xml:space="preserve">ese updated proposed </w:t>
      </w:r>
      <w:r w:rsidRPr="005371B1" w:rsidR="005371B1">
        <w:rPr>
          <w:sz w:val="24"/>
          <w:szCs w:val="24"/>
        </w:rPr>
        <w:t>survey instrument</w:t>
      </w:r>
      <w:r w:rsidR="005371B1">
        <w:rPr>
          <w:sz w:val="24"/>
          <w:szCs w:val="24"/>
        </w:rPr>
        <w:t>s</w:t>
      </w:r>
      <w:r w:rsidRPr="005371B1" w:rsidR="005371B1">
        <w:rPr>
          <w:sz w:val="24"/>
          <w:szCs w:val="24"/>
        </w:rPr>
        <w:t xml:space="preserve"> </w:t>
      </w:r>
      <w:r w:rsidRPr="005371B1" w:rsidR="00A15F22">
        <w:rPr>
          <w:sz w:val="24"/>
          <w:szCs w:val="24"/>
        </w:rPr>
        <w:t>were</w:t>
      </w:r>
      <w:r w:rsidRPr="005371B1" w:rsidR="005371B1">
        <w:rPr>
          <w:sz w:val="24"/>
          <w:szCs w:val="24"/>
        </w:rPr>
        <w:t xml:space="preserve"> </w:t>
      </w:r>
      <w:r w:rsidR="005371B1">
        <w:rPr>
          <w:sz w:val="24"/>
          <w:szCs w:val="24"/>
        </w:rPr>
        <w:t xml:space="preserve">reviewed </w:t>
      </w:r>
      <w:r w:rsidRPr="005371B1" w:rsidR="005371B1">
        <w:rPr>
          <w:sz w:val="24"/>
          <w:szCs w:val="24"/>
        </w:rPr>
        <w:t>with</w:t>
      </w:r>
      <w:r w:rsidR="005371B1">
        <w:rPr>
          <w:sz w:val="24"/>
          <w:szCs w:val="24"/>
        </w:rPr>
        <w:t xml:space="preserve"> the</w:t>
      </w:r>
      <w:r w:rsidRPr="005371B1" w:rsidR="005371B1">
        <w:rPr>
          <w:sz w:val="24"/>
          <w:szCs w:val="24"/>
        </w:rPr>
        <w:t xml:space="preserve"> Office of Management &amp; </w:t>
      </w:r>
      <w:r w:rsidRPr="005371B1" w:rsidR="00A15F22">
        <w:rPr>
          <w:sz w:val="24"/>
          <w:szCs w:val="24"/>
        </w:rPr>
        <w:t xml:space="preserve">Budget </w:t>
      </w:r>
      <w:r w:rsidR="00A15F22">
        <w:rPr>
          <w:sz w:val="24"/>
          <w:szCs w:val="24"/>
        </w:rPr>
        <w:t>-</w:t>
      </w:r>
      <w:r w:rsidR="005371B1">
        <w:rPr>
          <w:sz w:val="24"/>
          <w:szCs w:val="24"/>
        </w:rPr>
        <w:t xml:space="preserve"> </w:t>
      </w:r>
      <w:r w:rsidRPr="005371B1" w:rsidR="005371B1">
        <w:rPr>
          <w:sz w:val="24"/>
          <w:szCs w:val="24"/>
        </w:rPr>
        <w:t xml:space="preserve">Performance Team </w:t>
      </w:r>
      <w:r w:rsidR="005371B1">
        <w:rPr>
          <w:sz w:val="24"/>
          <w:szCs w:val="24"/>
        </w:rPr>
        <w:t>/</w:t>
      </w:r>
      <w:r w:rsidRPr="005371B1" w:rsidR="005371B1">
        <w:rPr>
          <w:sz w:val="24"/>
          <w:szCs w:val="24"/>
        </w:rPr>
        <w:t xml:space="preserve"> Customer Experience</w:t>
      </w:r>
      <w:r w:rsidR="005371B1">
        <w:rPr>
          <w:sz w:val="24"/>
          <w:szCs w:val="24"/>
        </w:rPr>
        <w:t xml:space="preserve"> for feedback. Their recommendations were incorporated into the surveys.</w:t>
      </w:r>
    </w:p>
    <w:p w:rsidR="00ED6C4B" w:rsidP="00ED6C4B" w14:paraId="53464A05" w14:textId="440257DA">
      <w:pPr>
        <w:widowControl w:val="0"/>
        <w:kinsoku w:val="0"/>
        <w:autoSpaceDE/>
        <w:autoSpaceDN/>
        <w:adjustRightInd/>
        <w:spacing w:before="213" w:line="211" w:lineRule="exact"/>
        <w:rPr>
          <w:rFonts w:ascii="Arial Narrow" w:hAnsi="Arial Narrow"/>
          <w:sz w:val="17"/>
        </w:rPr>
      </w:pPr>
    </w:p>
    <w:p w:rsidR="00A10F5F" w:rsidRPr="00CF77DA" w:rsidP="00ED6C4B" w14:paraId="28F13205" w14:textId="68FC0714">
      <w:pPr>
        <w:widowControl w:val="0"/>
        <w:kinsoku w:val="0"/>
        <w:autoSpaceDE/>
        <w:autoSpaceDN/>
        <w:adjustRightInd/>
        <w:spacing w:before="213" w:line="211" w:lineRule="exact"/>
        <w:rPr>
          <w:sz w:val="24"/>
          <w:szCs w:val="24"/>
        </w:rPr>
      </w:pPr>
      <w:r w:rsidRPr="00CF77DA">
        <w:rPr>
          <w:sz w:val="24"/>
          <w:szCs w:val="24"/>
        </w:rPr>
        <w:t>5.</w:t>
      </w:r>
      <w:r w:rsidR="00CF77DA">
        <w:rPr>
          <w:sz w:val="24"/>
          <w:szCs w:val="24"/>
        </w:rPr>
        <w:t xml:space="preserve"> The following are the names and telephone numbers of </w:t>
      </w:r>
      <w:r w:rsidR="00475B0C">
        <w:rPr>
          <w:sz w:val="24"/>
          <w:szCs w:val="24"/>
        </w:rPr>
        <w:t xml:space="preserve">individuals for </w:t>
      </w:r>
      <w:r w:rsidR="00316223">
        <w:rPr>
          <w:sz w:val="24"/>
          <w:szCs w:val="24"/>
        </w:rPr>
        <w:t xml:space="preserve">the </w:t>
      </w:r>
      <w:r w:rsidR="00475B0C">
        <w:rPr>
          <w:sz w:val="24"/>
          <w:szCs w:val="24"/>
        </w:rPr>
        <w:t>consulting of the statistical aspects of the design</w:t>
      </w:r>
      <w:r w:rsidR="002F625B">
        <w:rPr>
          <w:sz w:val="24"/>
          <w:szCs w:val="24"/>
        </w:rPr>
        <w:t>, collection and analytics for the agency.</w:t>
      </w:r>
    </w:p>
    <w:p w:rsidR="00266A46" w:rsidP="00ED6C4B" w14:paraId="0A577539" w14:textId="2E04A544">
      <w:pPr>
        <w:widowControl w:val="0"/>
        <w:kinsoku w:val="0"/>
        <w:autoSpaceDE/>
        <w:autoSpaceDN/>
        <w:adjustRightInd/>
        <w:spacing w:before="213" w:line="211" w:lineRule="exact"/>
        <w:rPr>
          <w:sz w:val="24"/>
          <w:szCs w:val="24"/>
        </w:rPr>
      </w:pPr>
      <w:r>
        <w:rPr>
          <w:rFonts w:ascii="Arial Narrow" w:hAnsi="Arial Narrow"/>
          <w:sz w:val="17"/>
        </w:rPr>
        <w:tab/>
      </w:r>
      <w:r w:rsidRPr="00B16916">
        <w:rPr>
          <w:sz w:val="24"/>
          <w:szCs w:val="24"/>
        </w:rPr>
        <w:t>Lance</w:t>
      </w:r>
      <w:r>
        <w:rPr>
          <w:sz w:val="24"/>
          <w:szCs w:val="24"/>
        </w:rPr>
        <w:t xml:space="preserve"> Litty</w:t>
      </w:r>
      <w:r>
        <w:rPr>
          <w:sz w:val="24"/>
          <w:szCs w:val="24"/>
        </w:rPr>
        <w:t xml:space="preserve"> </w:t>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Pr>
          <w:sz w:val="24"/>
          <w:szCs w:val="24"/>
        </w:rPr>
        <w:t>Business Analyst</w:t>
      </w:r>
      <w:r w:rsidR="00AB237D">
        <w:rPr>
          <w:sz w:val="24"/>
          <w:szCs w:val="24"/>
        </w:rPr>
        <w:t xml:space="preserve">                                                                                                                      </w:t>
      </w:r>
      <w:r w:rsidR="00AB237D">
        <w:rPr>
          <w:sz w:val="24"/>
          <w:szCs w:val="24"/>
        </w:rPr>
        <w:tab/>
        <w:t xml:space="preserve">U.S. Department of Housing and Urban Development </w:t>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r>
      <w:r w:rsidR="00AB237D">
        <w:rPr>
          <w:sz w:val="24"/>
          <w:szCs w:val="24"/>
        </w:rPr>
        <w:tab/>
        <w:t>Phone</w:t>
      </w:r>
      <w:r w:rsidR="00A8708A">
        <w:rPr>
          <w:sz w:val="24"/>
          <w:szCs w:val="24"/>
        </w:rPr>
        <w:t>:</w:t>
      </w:r>
      <w:r w:rsidR="00AB237D">
        <w:rPr>
          <w:sz w:val="24"/>
          <w:szCs w:val="24"/>
        </w:rPr>
        <w:t xml:space="preserve"> (215) 861-7541 </w:t>
      </w:r>
      <w:r w:rsidR="00A8708A">
        <w:rPr>
          <w:sz w:val="24"/>
          <w:szCs w:val="24"/>
        </w:rPr>
        <w:tab/>
      </w:r>
      <w:r w:rsidR="00A8708A">
        <w:rPr>
          <w:sz w:val="24"/>
          <w:szCs w:val="24"/>
        </w:rPr>
        <w:tab/>
      </w:r>
      <w:r w:rsidR="00A8708A">
        <w:rPr>
          <w:sz w:val="24"/>
          <w:szCs w:val="24"/>
        </w:rPr>
        <w:tab/>
      </w:r>
      <w:r w:rsidR="00A8708A">
        <w:rPr>
          <w:sz w:val="24"/>
          <w:szCs w:val="24"/>
        </w:rPr>
        <w:tab/>
      </w:r>
      <w:r w:rsidR="00A8708A">
        <w:rPr>
          <w:sz w:val="24"/>
          <w:szCs w:val="24"/>
        </w:rPr>
        <w:tab/>
      </w:r>
      <w:r w:rsidR="00A8708A">
        <w:rPr>
          <w:sz w:val="24"/>
          <w:szCs w:val="24"/>
        </w:rPr>
        <w:tab/>
      </w:r>
      <w:r w:rsidR="00A8708A">
        <w:rPr>
          <w:sz w:val="24"/>
          <w:szCs w:val="24"/>
        </w:rPr>
        <w:tab/>
      </w:r>
      <w:r w:rsidR="00A8708A">
        <w:rPr>
          <w:sz w:val="24"/>
          <w:szCs w:val="24"/>
        </w:rPr>
        <w:tab/>
      </w:r>
      <w:r w:rsidR="00A8708A">
        <w:rPr>
          <w:sz w:val="24"/>
          <w:szCs w:val="24"/>
        </w:rPr>
        <w:tab/>
      </w:r>
      <w:r w:rsidR="00A8708A">
        <w:rPr>
          <w:sz w:val="24"/>
          <w:szCs w:val="24"/>
        </w:rPr>
        <w:tab/>
      </w:r>
      <w:r w:rsidR="00AB237D">
        <w:rPr>
          <w:sz w:val="24"/>
          <w:szCs w:val="24"/>
        </w:rPr>
        <w:t>Email</w:t>
      </w:r>
      <w:r w:rsidR="00A8708A">
        <w:rPr>
          <w:sz w:val="24"/>
          <w:szCs w:val="24"/>
        </w:rPr>
        <w:t xml:space="preserve"> </w:t>
      </w:r>
      <w:r w:rsidR="00AB237D">
        <w:rPr>
          <w:sz w:val="24"/>
          <w:szCs w:val="24"/>
        </w:rPr>
        <w:t>Address</w:t>
      </w:r>
      <w:r w:rsidR="00A8708A">
        <w:rPr>
          <w:sz w:val="24"/>
          <w:szCs w:val="24"/>
        </w:rPr>
        <w:t>:</w:t>
      </w:r>
      <w:r w:rsidR="00AB237D">
        <w:rPr>
          <w:sz w:val="24"/>
          <w:szCs w:val="24"/>
        </w:rPr>
        <w:t xml:space="preserve"> Lance.L.Litty@hud.gov</w:t>
      </w:r>
    </w:p>
    <w:p w:rsidR="00ED6C4B" w:rsidP="00ED6C4B" w14:paraId="3271F7D7" w14:textId="0BE1B3B1">
      <w:pPr>
        <w:widowControl w:val="0"/>
        <w:kinsoku w:val="0"/>
        <w:autoSpaceDE/>
        <w:autoSpaceDN/>
        <w:adjustRightInd/>
        <w:spacing w:before="213" w:line="211" w:lineRule="exact"/>
        <w:rPr>
          <w:rFonts w:ascii="Arial Narrow" w:hAnsi="Arial Narrow"/>
          <w:sz w:val="17"/>
        </w:rPr>
      </w:pPr>
      <w:r>
        <w:rPr>
          <w:sz w:val="24"/>
          <w:szCs w:val="24"/>
        </w:rPr>
        <w:t xml:space="preserve">     </w:t>
      </w:r>
      <w:r>
        <w:rPr>
          <w:sz w:val="24"/>
          <w:szCs w:val="24"/>
        </w:rPr>
        <w:tab/>
        <w:t>Thomas Longo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Business Analyst                                                                                                                      </w:t>
      </w:r>
      <w:r>
        <w:rPr>
          <w:sz w:val="24"/>
          <w:szCs w:val="24"/>
        </w:rPr>
        <w:tab/>
        <w:t xml:space="preserve">U.S. Department of Housing and Urban Development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Phone: (215) 861-7548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Address: </w:t>
      </w:r>
      <w:r w:rsidR="00D851C7">
        <w:rPr>
          <w:sz w:val="24"/>
          <w:szCs w:val="24"/>
        </w:rPr>
        <w:t>Thomas.J.Longo</w:t>
      </w:r>
      <w:r>
        <w:rPr>
          <w:sz w:val="24"/>
          <w:szCs w:val="24"/>
        </w:rPr>
        <w:t>@hud.gov</w:t>
      </w:r>
    </w:p>
    <w:p w:rsidR="00ED6C4B" w:rsidP="00ED6C4B" w14:paraId="2E82846A" w14:textId="601E91D9">
      <w:pPr>
        <w:widowControl w:val="0"/>
        <w:kinsoku w:val="0"/>
        <w:autoSpaceDE/>
        <w:autoSpaceDN/>
        <w:adjustRightInd/>
        <w:spacing w:before="213" w:line="211" w:lineRule="exact"/>
        <w:rPr>
          <w:rFonts w:ascii="Arial Narrow" w:hAnsi="Arial Narrow"/>
          <w:sz w:val="17"/>
        </w:rPr>
      </w:pPr>
    </w:p>
    <w:p w:rsidR="00ED6C4B" w:rsidRPr="00B16916" w:rsidP="00D851C7" w14:paraId="05B24699" w14:textId="254D9DE8">
      <w:pPr>
        <w:spacing w:line="234" w:lineRule="exact"/>
        <w:ind w:right="6264"/>
      </w:pPr>
      <w:r w:rsidRPr="00B16916">
        <w:rPr>
          <w:noProof/>
          <w:u w:val="single"/>
        </w:rPr>
        <mc:AlternateContent>
          <mc:Choice Requires="wps">
            <w:drawing>
              <wp:anchor distT="0" distB="0" distL="0" distR="0" simplePos="0" relativeHeight="251658240" behindDoc="1" locked="0" layoutInCell="1" allowOverlap="1">
                <wp:simplePos x="0" y="0"/>
                <wp:positionH relativeFrom="page">
                  <wp:posOffset>6897370</wp:posOffset>
                </wp:positionH>
                <wp:positionV relativeFrom="page">
                  <wp:posOffset>6239510</wp:posOffset>
                </wp:positionV>
                <wp:extent cx="243840" cy="283210"/>
                <wp:effectExtent l="0" t="0" r="0" b="0"/>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840" cy="283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A77" w:rsidP="00ED6C4B" w14:textId="77777777">
                            <w:pPr>
                              <w:spacing w:after="5"/>
                              <w:ind w:right="19"/>
                            </w:pPr>
                            <w:r>
                              <w:rPr>
                                <w:noProof/>
                              </w:rPr>
                              <w:drawing>
                                <wp:inline distT="0" distB="0" distL="0" distR="0">
                                  <wp:extent cx="231775" cy="280035"/>
                                  <wp:effectExtent l="0" t="0" r="0" b="0"/>
                                  <wp:docPr id="1992501480" name="Picture"/>
                                  <wp:cNvGraphicFramePr/>
                                  <a:graphic xmlns:a="http://schemas.openxmlformats.org/drawingml/2006/main">
                                    <a:graphicData uri="http://schemas.openxmlformats.org/drawingml/2006/picture">
                                      <pic:pic xmlns:pic="http://schemas.openxmlformats.org/drawingml/2006/picture">
                                        <pic:nvPicPr>
                                          <pic:cNvPr id="1992501480" name="test1"/>
                                          <pic:cNvPicPr/>
                                        </pic:nvPicPr>
                                        <pic:blipFill>
                                          <a:blip xmlns:r="http://schemas.openxmlformats.org/officeDocument/2006/relationships" r:embed="rId9"/>
                                          <a:stretch>
                                            <a:fillRect/>
                                          </a:stretch>
                                        </pic:blipFill>
                                        <pic:spPr>
                                          <a:xfrm>
                                            <a:off x="0" y="0"/>
                                            <a:ext cx="231775" cy="2800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19.2pt;height:22.3pt;margin-top:491.3pt;margin-left:543.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ED5A77" w:rsidP="00ED6C4B" w14:paraId="1398E626" w14:textId="77777777">
                      <w:pPr>
                        <w:spacing w:after="5"/>
                        <w:ind w:right="19"/>
                      </w:pPr>
                      <w:drawing>
                        <wp:inline distT="0" distB="0" distL="0" distR="0">
                          <wp:extent cx="231775" cy="28003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test1"/>
                                  <pic:cNvPicPr/>
                                </pic:nvPicPr>
                                <pic:blipFill>
                                  <a:blip xmlns:r="http://schemas.openxmlformats.org/officeDocument/2006/relationships" r:embed="rId9"/>
                                  <a:stretch>
                                    <a:fillRect/>
                                  </a:stretch>
                                </pic:blipFill>
                                <pic:spPr>
                                  <a:xfrm>
                                    <a:off x="0" y="0"/>
                                    <a:ext cx="231775" cy="280035"/>
                                  </a:xfrm>
                                  <a:prstGeom prst="rect">
                                    <a:avLst/>
                                  </a:prstGeom>
                                </pic:spPr>
                              </pic:pic>
                            </a:graphicData>
                          </a:graphic>
                        </wp:inline>
                      </w:drawing>
                    </w:p>
                  </w:txbxContent>
                </v:textbox>
                <w10:wrap type="square"/>
              </v:shape>
            </w:pict>
          </mc:Fallback>
        </mc:AlternateContent>
      </w:r>
      <w:r w:rsidRPr="00B16916" w:rsidR="00D851C7">
        <w:t xml:space="preserve"> </w:t>
      </w:r>
    </w:p>
    <w:p w:rsidR="00ED6C4B" w:rsidP="00ED6C4B" w14:paraId="0FCE2CA5" w14:textId="77777777">
      <w:pPr>
        <w:widowControl w:val="0"/>
        <w:kinsoku w:val="0"/>
        <w:autoSpaceDE/>
        <w:autoSpaceDN/>
        <w:adjustRightInd/>
        <w:spacing w:before="213" w:line="211" w:lineRule="exact"/>
        <w:rPr>
          <w:rFonts w:ascii="Arial Narrow" w:hAnsi="Arial Narrow"/>
          <w:sz w:val="17"/>
        </w:rPr>
      </w:pPr>
    </w:p>
    <w:p w:rsidR="00ED6C4B" w:rsidRPr="00FE4BC9" w14:paraId="7879F244" w14:textId="77777777"/>
    <w:sectPr w:rsidSect="00FE4BC9">
      <w:footerReference w:type="default" r:id="rId10"/>
      <w:footerReference w:type="first" r:id="rId11"/>
      <w:pgSz w:w="12240" w:h="15840"/>
      <w:pgMar w:top="1440" w:right="1080" w:bottom="1440" w:left="1080" w:header="480" w:footer="480" w:gutter="0"/>
      <w:cols w:space="480" w:equalWidth="0">
        <w:col w:w="1044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A77" w14:paraId="6BE9C822" w14:textId="5B807B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D5A77" w14:paraId="02AFA3DC"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A77" w14:paraId="2795263F"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027E47DF"/>
    <w:multiLevelType w:val="multilevel"/>
    <w:tmpl w:val="F1B8BBE0"/>
    <w:lvl w:ilvl="0">
      <w:start w:val="1"/>
      <w:numFmt w:val="bullet"/>
      <w:lvlText w:val="·"/>
      <w:lvlJc w:val="left"/>
      <w:pPr>
        <w:tabs>
          <w:tab w:val="left" w:pos="360"/>
        </w:tabs>
        <w:ind w:left="720"/>
      </w:pPr>
      <w:rPr>
        <w:rFonts w:ascii="Symbol" w:eastAsia="Symbol" w:hAnsi="Symbol"/>
        <w:strike w:val="0"/>
        <w:color w:val="000000"/>
        <w:spacing w:val="0"/>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30EC499"/>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3">
    <w:nsid w:val="0660058E"/>
    <w:multiLevelType w:val="singleLevel"/>
    <w:tmpl w:val="0399F156"/>
    <w:lvl w:ilvl="0">
      <w:start w:val="2"/>
      <w:numFmt w:val="decimal"/>
      <w:lvlText w:val="%1."/>
      <w:lvlJc w:val="left"/>
      <w:pPr>
        <w:tabs>
          <w:tab w:val="num" w:pos="144"/>
        </w:tabs>
      </w:pPr>
      <w:rPr>
        <w:rFonts w:ascii="Arial Narrow" w:hAnsi="Arial Narrow"/>
        <w:snapToGrid/>
        <w:spacing w:val="-4"/>
        <w:sz w:val="17"/>
      </w:rPr>
    </w:lvl>
  </w:abstractNum>
  <w:abstractNum w:abstractNumId="4">
    <w:nsid w:val="07E02F1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5">
    <w:nsid w:val="0F7B2757"/>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6">
    <w:nsid w:val="43707485"/>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7">
    <w:nsid w:val="43C93F9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abstractNum w:abstractNumId="9">
    <w:nsid w:val="534841FB"/>
    <w:multiLevelType w:val="hybridMultilevel"/>
    <w:tmpl w:val="0024D7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182270"/>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11">
    <w:nsid w:val="6A0B6379"/>
    <w:multiLevelType w:val="hybridMultilevel"/>
    <w:tmpl w:val="EE20F7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066C1B"/>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13">
    <w:nsid w:val="798C419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num w:numId="1" w16cid:durableId="1168255382">
    <w:abstractNumId w:val="11"/>
  </w:num>
  <w:num w:numId="2" w16cid:durableId="1959137996">
    <w:abstractNumId w:val="8"/>
    <w:lvlOverride w:ilvl="0">
      <w:startOverride w:val="7"/>
    </w:lvlOverride>
  </w:num>
  <w:num w:numId="3" w16cid:durableId="2064597952">
    <w:abstractNumId w:val="0"/>
    <w:lvlOverride w:ilvl="0">
      <w:lvl w:ilvl="0">
        <w:start w:val="0"/>
        <w:numFmt w:val="bullet"/>
        <w:lvlText w:val=""/>
        <w:lvlJc w:val="left"/>
        <w:pPr>
          <w:ind w:left="720" w:hanging="360"/>
        </w:pPr>
        <w:rPr>
          <w:rFonts w:ascii="Symbol" w:hAnsi="Symbol" w:hint="default"/>
          <w:sz w:val="16"/>
        </w:rPr>
      </w:lvl>
    </w:lvlOverride>
  </w:num>
  <w:num w:numId="4" w16cid:durableId="2034963653">
    <w:abstractNumId w:val="4"/>
  </w:num>
  <w:num w:numId="5" w16cid:durableId="1314068894">
    <w:abstractNumId w:val="1"/>
  </w:num>
  <w:num w:numId="6" w16cid:durableId="138307865">
    <w:abstractNumId w:val="5"/>
  </w:num>
  <w:num w:numId="7" w16cid:durableId="106853446">
    <w:abstractNumId w:val="13"/>
  </w:num>
  <w:num w:numId="8" w16cid:durableId="439495246">
    <w:abstractNumId w:val="6"/>
  </w:num>
  <w:num w:numId="9" w16cid:durableId="1288509721">
    <w:abstractNumId w:val="7"/>
  </w:num>
  <w:num w:numId="10" w16cid:durableId="1667246563">
    <w:abstractNumId w:val="12"/>
  </w:num>
  <w:num w:numId="11" w16cid:durableId="1548641848">
    <w:abstractNumId w:val="4"/>
    <w:lvlOverride w:ilvl="0">
      <w:lvl w:ilvl="0">
        <w:start w:val="0"/>
        <w:numFmt w:val="decimal"/>
        <w:lvlText w:val="%1."/>
        <w:lvlJc w:val="left"/>
        <w:pPr>
          <w:tabs>
            <w:tab w:val="num" w:pos="144"/>
          </w:tabs>
        </w:pPr>
        <w:rPr>
          <w:rFonts w:ascii="Arial Narrow" w:hAnsi="Arial Narrow"/>
          <w:snapToGrid/>
          <w:spacing w:val="-4"/>
          <w:sz w:val="17"/>
        </w:rPr>
      </w:lvl>
    </w:lvlOverride>
  </w:num>
  <w:num w:numId="12" w16cid:durableId="869881255">
    <w:abstractNumId w:val="4"/>
    <w:lvlOverride w:ilvl="0">
      <w:lvl w:ilvl="0">
        <w:start w:val="0"/>
        <w:numFmt w:val="decimal"/>
        <w:lvlText w:val="%1."/>
        <w:lvlJc w:val="left"/>
        <w:pPr>
          <w:tabs>
            <w:tab w:val="num" w:pos="216"/>
          </w:tabs>
        </w:pPr>
        <w:rPr>
          <w:rFonts w:ascii="Arial Narrow" w:hAnsi="Arial Narrow"/>
          <w:snapToGrid/>
          <w:spacing w:val="-3"/>
          <w:sz w:val="17"/>
        </w:rPr>
      </w:lvl>
    </w:lvlOverride>
  </w:num>
  <w:num w:numId="13" w16cid:durableId="1743527849">
    <w:abstractNumId w:val="2"/>
  </w:num>
  <w:num w:numId="14" w16cid:durableId="2010984918">
    <w:abstractNumId w:val="2"/>
    <w:lvlOverride w:ilvl="0">
      <w:lvl w:ilvl="0">
        <w:start w:val="0"/>
        <w:numFmt w:val="decimal"/>
        <w:lvlText w:val="%1."/>
        <w:lvlJc w:val="left"/>
        <w:pPr>
          <w:tabs>
            <w:tab w:val="num" w:pos="504"/>
          </w:tabs>
          <w:ind w:left="288"/>
        </w:pPr>
        <w:rPr>
          <w:rFonts w:ascii="Arial Narrow" w:hAnsi="Arial Narrow"/>
          <w:snapToGrid/>
          <w:spacing w:val="-4"/>
          <w:sz w:val="17"/>
        </w:rPr>
      </w:lvl>
    </w:lvlOverride>
  </w:num>
  <w:num w:numId="15" w16cid:durableId="855533010">
    <w:abstractNumId w:val="10"/>
  </w:num>
  <w:num w:numId="16" w16cid:durableId="481585512">
    <w:abstractNumId w:val="3"/>
  </w:num>
  <w:num w:numId="17" w16cid:durableId="1702970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A3"/>
    <w:rsid w:val="00010354"/>
    <w:rsid w:val="00023715"/>
    <w:rsid w:val="000255EC"/>
    <w:rsid w:val="00027E0D"/>
    <w:rsid w:val="00052BEC"/>
    <w:rsid w:val="00090A1B"/>
    <w:rsid w:val="00097ECE"/>
    <w:rsid w:val="000B0A13"/>
    <w:rsid w:val="000D0FA2"/>
    <w:rsid w:val="000D231C"/>
    <w:rsid w:val="000D2DB8"/>
    <w:rsid w:val="00102413"/>
    <w:rsid w:val="00106C50"/>
    <w:rsid w:val="00153DD5"/>
    <w:rsid w:val="001568FC"/>
    <w:rsid w:val="00160B09"/>
    <w:rsid w:val="001929E8"/>
    <w:rsid w:val="001A5C12"/>
    <w:rsid w:val="001C09BE"/>
    <w:rsid w:val="001C565E"/>
    <w:rsid w:val="001D55E4"/>
    <w:rsid w:val="001F19B4"/>
    <w:rsid w:val="00232D20"/>
    <w:rsid w:val="00250DED"/>
    <w:rsid w:val="00264860"/>
    <w:rsid w:val="00266A46"/>
    <w:rsid w:val="002978EA"/>
    <w:rsid w:val="00297A3C"/>
    <w:rsid w:val="002C1CA1"/>
    <w:rsid w:val="002C565F"/>
    <w:rsid w:val="002D0C22"/>
    <w:rsid w:val="002D4A10"/>
    <w:rsid w:val="002E23A9"/>
    <w:rsid w:val="002F625B"/>
    <w:rsid w:val="00302CB4"/>
    <w:rsid w:val="00316223"/>
    <w:rsid w:val="00317315"/>
    <w:rsid w:val="00320CAD"/>
    <w:rsid w:val="00335E93"/>
    <w:rsid w:val="00340506"/>
    <w:rsid w:val="00357241"/>
    <w:rsid w:val="0036197A"/>
    <w:rsid w:val="00366A49"/>
    <w:rsid w:val="0037445A"/>
    <w:rsid w:val="003774C0"/>
    <w:rsid w:val="00395669"/>
    <w:rsid w:val="003A7C3A"/>
    <w:rsid w:val="003B0A53"/>
    <w:rsid w:val="003B1B1D"/>
    <w:rsid w:val="003B5E2D"/>
    <w:rsid w:val="003D0E99"/>
    <w:rsid w:val="003D297B"/>
    <w:rsid w:val="003D30EF"/>
    <w:rsid w:val="003E39DC"/>
    <w:rsid w:val="003E47F2"/>
    <w:rsid w:val="00420E75"/>
    <w:rsid w:val="004265DC"/>
    <w:rsid w:val="0043696B"/>
    <w:rsid w:val="0043792B"/>
    <w:rsid w:val="00463627"/>
    <w:rsid w:val="004712F8"/>
    <w:rsid w:val="00475B0C"/>
    <w:rsid w:val="004874A0"/>
    <w:rsid w:val="00487729"/>
    <w:rsid w:val="00497C62"/>
    <w:rsid w:val="004A4099"/>
    <w:rsid w:val="004A7C81"/>
    <w:rsid w:val="004C2CC5"/>
    <w:rsid w:val="004D1CB1"/>
    <w:rsid w:val="004E1D8F"/>
    <w:rsid w:val="004E3162"/>
    <w:rsid w:val="004E7058"/>
    <w:rsid w:val="004F1C5C"/>
    <w:rsid w:val="005371B1"/>
    <w:rsid w:val="00542D4E"/>
    <w:rsid w:val="00556F18"/>
    <w:rsid w:val="00573F8E"/>
    <w:rsid w:val="00585812"/>
    <w:rsid w:val="005B6B20"/>
    <w:rsid w:val="005D5F18"/>
    <w:rsid w:val="0065243F"/>
    <w:rsid w:val="006C561E"/>
    <w:rsid w:val="006D6E1E"/>
    <w:rsid w:val="006E0797"/>
    <w:rsid w:val="006F4703"/>
    <w:rsid w:val="00721A4E"/>
    <w:rsid w:val="007A74DF"/>
    <w:rsid w:val="007D4FBC"/>
    <w:rsid w:val="007E7CD5"/>
    <w:rsid w:val="00802D95"/>
    <w:rsid w:val="0081477C"/>
    <w:rsid w:val="00817373"/>
    <w:rsid w:val="00843783"/>
    <w:rsid w:val="00853DE6"/>
    <w:rsid w:val="00861BF2"/>
    <w:rsid w:val="008660F8"/>
    <w:rsid w:val="008667C7"/>
    <w:rsid w:val="00890A83"/>
    <w:rsid w:val="00895E95"/>
    <w:rsid w:val="008A3B68"/>
    <w:rsid w:val="008F4140"/>
    <w:rsid w:val="00904FB6"/>
    <w:rsid w:val="00932055"/>
    <w:rsid w:val="00932E00"/>
    <w:rsid w:val="00942CAF"/>
    <w:rsid w:val="00970A8F"/>
    <w:rsid w:val="00971295"/>
    <w:rsid w:val="00973338"/>
    <w:rsid w:val="00981360"/>
    <w:rsid w:val="00981F27"/>
    <w:rsid w:val="00982EE1"/>
    <w:rsid w:val="00985A53"/>
    <w:rsid w:val="0099046A"/>
    <w:rsid w:val="00995C04"/>
    <w:rsid w:val="009D4FD7"/>
    <w:rsid w:val="009E1544"/>
    <w:rsid w:val="009E464F"/>
    <w:rsid w:val="00A10F5F"/>
    <w:rsid w:val="00A15F22"/>
    <w:rsid w:val="00A242BB"/>
    <w:rsid w:val="00A26ADF"/>
    <w:rsid w:val="00A41D65"/>
    <w:rsid w:val="00A55A2F"/>
    <w:rsid w:val="00A8708A"/>
    <w:rsid w:val="00A91DC4"/>
    <w:rsid w:val="00A925B8"/>
    <w:rsid w:val="00AA574F"/>
    <w:rsid w:val="00AB237D"/>
    <w:rsid w:val="00AC185A"/>
    <w:rsid w:val="00AE34F2"/>
    <w:rsid w:val="00B16916"/>
    <w:rsid w:val="00B27FB2"/>
    <w:rsid w:val="00B35220"/>
    <w:rsid w:val="00B43588"/>
    <w:rsid w:val="00B652A4"/>
    <w:rsid w:val="00B74A21"/>
    <w:rsid w:val="00B9111E"/>
    <w:rsid w:val="00BA4CD5"/>
    <w:rsid w:val="00BB45D5"/>
    <w:rsid w:val="00BB728C"/>
    <w:rsid w:val="00BC1970"/>
    <w:rsid w:val="00BC4873"/>
    <w:rsid w:val="00BF4E80"/>
    <w:rsid w:val="00BF5930"/>
    <w:rsid w:val="00BF770D"/>
    <w:rsid w:val="00C15637"/>
    <w:rsid w:val="00C15FE3"/>
    <w:rsid w:val="00C42AE2"/>
    <w:rsid w:val="00C43B71"/>
    <w:rsid w:val="00C67DA3"/>
    <w:rsid w:val="00C71C50"/>
    <w:rsid w:val="00C9401D"/>
    <w:rsid w:val="00C95784"/>
    <w:rsid w:val="00CA0222"/>
    <w:rsid w:val="00CA7FE6"/>
    <w:rsid w:val="00CE0672"/>
    <w:rsid w:val="00CF77DA"/>
    <w:rsid w:val="00D04762"/>
    <w:rsid w:val="00D14575"/>
    <w:rsid w:val="00D14C81"/>
    <w:rsid w:val="00D17251"/>
    <w:rsid w:val="00D67BA3"/>
    <w:rsid w:val="00D755B9"/>
    <w:rsid w:val="00D843F8"/>
    <w:rsid w:val="00D851C7"/>
    <w:rsid w:val="00DA16CA"/>
    <w:rsid w:val="00DA16CF"/>
    <w:rsid w:val="00DA3359"/>
    <w:rsid w:val="00DB7F24"/>
    <w:rsid w:val="00DC2E6B"/>
    <w:rsid w:val="00DD3428"/>
    <w:rsid w:val="00E03454"/>
    <w:rsid w:val="00E3174B"/>
    <w:rsid w:val="00E32E34"/>
    <w:rsid w:val="00E421F9"/>
    <w:rsid w:val="00E43EFD"/>
    <w:rsid w:val="00E77E39"/>
    <w:rsid w:val="00E946AF"/>
    <w:rsid w:val="00E97007"/>
    <w:rsid w:val="00EA2265"/>
    <w:rsid w:val="00EA7844"/>
    <w:rsid w:val="00ED5A77"/>
    <w:rsid w:val="00ED6C4B"/>
    <w:rsid w:val="00EE546A"/>
    <w:rsid w:val="00F16F4F"/>
    <w:rsid w:val="00F37262"/>
    <w:rsid w:val="00F560D3"/>
    <w:rsid w:val="00F8107D"/>
    <w:rsid w:val="00F82BDF"/>
    <w:rsid w:val="00FA0222"/>
    <w:rsid w:val="00FB0B80"/>
    <w:rsid w:val="00FB1254"/>
    <w:rsid w:val="00FE4BC9"/>
    <w:rsid w:val="00FF52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EE935"/>
  <w15:docId w15:val="{A7721722-FB50-4A56-BEB8-5402A73E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 w:type="character" w:styleId="Hyperlink">
    <w:name w:val="Hyperlink"/>
    <w:basedOn w:val="DefaultParagraphFont"/>
    <w:uiPriority w:val="99"/>
    <w:unhideWhenUsed/>
    <w:rsid w:val="00ED6C4B"/>
    <w:rPr>
      <w:color w:val="0000FF" w:themeColor="hyperlink"/>
      <w:u w:val="single"/>
    </w:rPr>
  </w:style>
  <w:style w:type="character" w:styleId="CommentReference">
    <w:name w:val="annotation reference"/>
    <w:basedOn w:val="DefaultParagraphFont"/>
    <w:uiPriority w:val="99"/>
    <w:semiHidden/>
    <w:unhideWhenUsed/>
    <w:rsid w:val="00E946AF"/>
    <w:rPr>
      <w:sz w:val="16"/>
      <w:szCs w:val="16"/>
    </w:rPr>
  </w:style>
  <w:style w:type="paragraph" w:styleId="CommentText">
    <w:name w:val="annotation text"/>
    <w:basedOn w:val="Normal"/>
    <w:link w:val="CommentTextChar"/>
    <w:uiPriority w:val="99"/>
    <w:semiHidden/>
    <w:unhideWhenUsed/>
    <w:rsid w:val="00E946AF"/>
  </w:style>
  <w:style w:type="character" w:customStyle="1" w:styleId="CommentTextChar">
    <w:name w:val="Comment Text Char"/>
    <w:basedOn w:val="DefaultParagraphFont"/>
    <w:link w:val="CommentText"/>
    <w:uiPriority w:val="99"/>
    <w:semiHidden/>
    <w:rsid w:val="00E946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6AF"/>
    <w:rPr>
      <w:b/>
      <w:bCs/>
    </w:rPr>
  </w:style>
  <w:style w:type="character" w:customStyle="1" w:styleId="CommentSubjectChar">
    <w:name w:val="Comment Subject Char"/>
    <w:basedOn w:val="CommentTextChar"/>
    <w:link w:val="CommentSubject"/>
    <w:uiPriority w:val="99"/>
    <w:semiHidden/>
    <w:rsid w:val="00E946AF"/>
    <w:rPr>
      <w:rFonts w:ascii="Times New Roman" w:eastAsia="Times New Roman" w:hAnsi="Times New Roman" w:cs="Times New Roman"/>
      <w:b/>
      <w:bCs/>
      <w:sz w:val="20"/>
      <w:szCs w:val="20"/>
    </w:rPr>
  </w:style>
  <w:style w:type="table" w:styleId="TableGrid">
    <w:name w:val="Table Grid"/>
    <w:basedOn w:val="TableNormal"/>
    <w:uiPriority w:val="59"/>
    <w:rsid w:val="002E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quickfacts/fact/table/US/SEX255219" TargetMode="External" /><Relationship Id="rId8" Type="http://schemas.openxmlformats.org/officeDocument/2006/relationships/hyperlink" Target="https://www.federalpay.org/gs/2019"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427BB213101498BDF2079F0A1A054" ma:contentTypeVersion="15" ma:contentTypeDescription="Create a new document." ma:contentTypeScope="" ma:versionID="24585d7e4743119b23a2a9d18e3e9cc7">
  <xsd:schema xmlns:xsd="http://www.w3.org/2001/XMLSchema" xmlns:xs="http://www.w3.org/2001/XMLSchema" xmlns:p="http://schemas.microsoft.com/office/2006/metadata/properties" xmlns:ns1="http://schemas.microsoft.com/sharepoint/v3" xmlns:ns3="75a381d1-40ba-4c39-b864-2f1f22342c07" xmlns:ns4="0c0f50af-3e01-4f8e-b84b-be12040b8ada" targetNamespace="http://schemas.microsoft.com/office/2006/metadata/properties" ma:root="true" ma:fieldsID="71901c17ec89ceba2151c49ab0dc7706" ns1:_="" ns3:_="" ns4:_="">
    <xsd:import namespace="http://schemas.microsoft.com/sharepoint/v3"/>
    <xsd:import namespace="75a381d1-40ba-4c39-b864-2f1f22342c07"/>
    <xsd:import namespace="0c0f50af-3e01-4f8e-b84b-be12040b8a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381d1-40ba-4c39-b864-2f1f22342c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f50af-3e01-4f8e-b84b-be12040b8a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FFB705-87A0-4EB3-AD2D-CFCBDAB15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381d1-40ba-4c39-b864-2f1f22342c07"/>
    <ds:schemaRef ds:uri="0c0f50af-3e01-4f8e-b84b-be1204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0C196-99E9-4ABE-9387-2827BE77EB49}">
  <ds:schemaRefs>
    <ds:schemaRef ds:uri="http://schemas.microsoft.com/sharepoint/v3/contenttype/forms"/>
  </ds:schemaRefs>
</ds:datastoreItem>
</file>

<file path=customXml/itemProps3.xml><?xml version="1.0" encoding="utf-8"?>
<ds:datastoreItem xmlns:ds="http://schemas.openxmlformats.org/officeDocument/2006/customXml" ds:itemID="{AE08EC3F-DC76-422B-AC8E-ED0288AE62D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Pollard, Colette</cp:lastModifiedBy>
  <cp:revision>11</cp:revision>
  <cp:lastPrinted>2019-09-24T10:58:00Z</cp:lastPrinted>
  <dcterms:created xsi:type="dcterms:W3CDTF">2023-03-24T18:11:00Z</dcterms:created>
  <dcterms:modified xsi:type="dcterms:W3CDTF">2023-03-24T19:05:00Z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0x0101008D8427BB213101498BDF2079F0A1A054</vt:lpwstr>
  </property>
</Properties>
</file>