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5EF6" w:rsidRPr="00052BEC" w:rsidP="00E25EF6" w14:paraId="7DE42419" w14:textId="77777777">
      <w:pPr>
        <w:rPr>
          <w:b/>
          <w:sz w:val="24"/>
        </w:rPr>
      </w:pPr>
      <w:r w:rsidRPr="00052BEC">
        <w:rPr>
          <w:b/>
          <w:sz w:val="24"/>
        </w:rPr>
        <w:tab/>
      </w:r>
      <w:r w:rsidRPr="00052BEC">
        <w:rPr>
          <w:b/>
          <w:sz w:val="24"/>
          <w:u w:val="single"/>
        </w:rPr>
        <w:t>Collection of Information Employing Statistical Methods</w:t>
      </w:r>
    </w:p>
    <w:p w:rsidR="00E25EF6" w:rsidRPr="00FE4BC9" w:rsidP="00E25EF6" w14:paraId="3449DD07" w14:textId="77777777">
      <w:pPr>
        <w:rPr>
          <w:sz w:val="24"/>
        </w:rPr>
      </w:pPr>
    </w:p>
    <w:p w:rsidR="00E25EF6" w:rsidP="00E25EF6" w14:paraId="10B11875" w14:textId="77777777">
      <w:pPr>
        <w:rPr>
          <w:sz w:val="24"/>
          <w:u w:val="single"/>
        </w:rPr>
      </w:pPr>
      <w:r>
        <w:rPr>
          <w:sz w:val="24"/>
        </w:rPr>
        <w:t xml:space="preserve">1. The following is an estimate of the potential respondent universe for a 1-year period.  See chart below. </w:t>
      </w:r>
      <w:bookmarkStart w:id="0" w:name="_Hlk19198150"/>
      <w:r>
        <w:rPr>
          <w:sz w:val="24"/>
        </w:rPr>
        <w:t xml:space="preserve">A formula is applied to the number of clients being surveyed so only a portion of these clients are proposed </w:t>
      </w:r>
      <w:bookmarkEnd w:id="0"/>
      <w:r>
        <w:rPr>
          <w:sz w:val="24"/>
        </w:rPr>
        <w:t>respondents.</w:t>
      </w:r>
    </w:p>
    <w:tbl>
      <w:tblPr>
        <w:tblW w:w="7665" w:type="dxa"/>
        <w:tblInd w:w="108" w:type="dxa"/>
        <w:tblLook w:val="04A0"/>
      </w:tblPr>
      <w:tblGrid>
        <w:gridCol w:w="3651"/>
        <w:gridCol w:w="4014"/>
      </w:tblGrid>
      <w:tr w14:paraId="4B35DA8B" w14:textId="77777777" w:rsidTr="00D40982">
        <w:tblPrEx>
          <w:tblW w:w="7665" w:type="dxa"/>
          <w:tblInd w:w="108" w:type="dxa"/>
          <w:tblLook w:val="04A0"/>
        </w:tblPrEx>
        <w:trPr>
          <w:trHeight w:val="182"/>
        </w:trPr>
        <w:tc>
          <w:tcPr>
            <w:tcW w:w="3651" w:type="dxa"/>
            <w:tcBorders>
              <w:top w:val="nil"/>
              <w:left w:val="nil"/>
              <w:bottom w:val="nil"/>
              <w:right w:val="nil"/>
            </w:tcBorders>
            <w:shd w:val="clear" w:color="000000" w:fill="002060"/>
            <w:noWrap/>
            <w:vAlign w:val="bottom"/>
            <w:hideMark/>
          </w:tcPr>
          <w:p w:rsidR="00E25EF6" w:rsidRPr="004874A0" w:rsidP="00D40982" w14:paraId="7503FBD8"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 xml:space="preserve">CLIENT TYPE REPORT </w:t>
            </w:r>
          </w:p>
        </w:tc>
        <w:tc>
          <w:tcPr>
            <w:tcW w:w="4014" w:type="dxa"/>
            <w:tcBorders>
              <w:top w:val="nil"/>
              <w:left w:val="nil"/>
              <w:bottom w:val="nil"/>
              <w:right w:val="nil"/>
            </w:tcBorders>
            <w:shd w:val="clear" w:color="000000" w:fill="002060"/>
            <w:noWrap/>
            <w:vAlign w:val="bottom"/>
            <w:hideMark/>
          </w:tcPr>
          <w:p w:rsidR="00E25EF6" w:rsidRPr="004874A0" w:rsidP="00D40982" w14:paraId="34E18847"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 xml:space="preserve">JULY 1ST, 2018 to JUNE 30TH, 2019 </w:t>
            </w:r>
          </w:p>
        </w:tc>
      </w:tr>
      <w:tr w14:paraId="5E08E9D4" w14:textId="77777777" w:rsidTr="00D40982">
        <w:tblPrEx>
          <w:tblW w:w="7665" w:type="dxa"/>
          <w:tblInd w:w="108" w:type="dxa"/>
          <w:tblLook w:val="04A0"/>
        </w:tblPrEx>
        <w:trPr>
          <w:trHeight w:val="62"/>
        </w:trPr>
        <w:tc>
          <w:tcPr>
            <w:tcW w:w="3651" w:type="dxa"/>
            <w:tcBorders>
              <w:top w:val="nil"/>
              <w:left w:val="nil"/>
              <w:bottom w:val="nil"/>
              <w:right w:val="nil"/>
            </w:tcBorders>
            <w:shd w:val="clear" w:color="000000" w:fill="FFFFFF"/>
            <w:noWrap/>
            <w:vAlign w:val="bottom"/>
            <w:hideMark/>
          </w:tcPr>
          <w:p w:rsidR="00E25EF6" w:rsidRPr="004874A0" w:rsidP="00D40982" w14:paraId="6C0DDCA9"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 </w:t>
            </w:r>
          </w:p>
        </w:tc>
        <w:tc>
          <w:tcPr>
            <w:tcW w:w="4014" w:type="dxa"/>
            <w:tcBorders>
              <w:top w:val="nil"/>
              <w:left w:val="nil"/>
              <w:bottom w:val="nil"/>
              <w:right w:val="nil"/>
            </w:tcBorders>
            <w:shd w:val="clear" w:color="000000" w:fill="FFFFFF"/>
            <w:noWrap/>
            <w:vAlign w:val="bottom"/>
            <w:hideMark/>
          </w:tcPr>
          <w:p w:rsidR="00E25EF6" w:rsidRPr="004874A0" w:rsidP="00D40982" w14:paraId="6AD73B40"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 </w:t>
            </w:r>
          </w:p>
        </w:tc>
      </w:tr>
      <w:tr w14:paraId="7D67B84C" w14:textId="77777777" w:rsidTr="00D40982">
        <w:tblPrEx>
          <w:tblW w:w="7665" w:type="dxa"/>
          <w:tblInd w:w="108" w:type="dxa"/>
          <w:tblLook w:val="04A0"/>
        </w:tblPrEx>
        <w:trPr>
          <w:trHeight w:val="182"/>
        </w:trPr>
        <w:tc>
          <w:tcPr>
            <w:tcW w:w="3651" w:type="dxa"/>
            <w:tcBorders>
              <w:top w:val="nil"/>
              <w:left w:val="nil"/>
              <w:bottom w:val="nil"/>
              <w:right w:val="nil"/>
            </w:tcBorders>
            <w:shd w:val="clear" w:color="000000" w:fill="1F4E78"/>
            <w:noWrap/>
            <w:vAlign w:val="bottom"/>
            <w:hideMark/>
          </w:tcPr>
          <w:p w:rsidR="00E25EF6" w:rsidRPr="004874A0" w:rsidP="00D40982" w14:paraId="16FF534B"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Client Type</w:t>
            </w:r>
          </w:p>
        </w:tc>
        <w:tc>
          <w:tcPr>
            <w:tcW w:w="4014" w:type="dxa"/>
            <w:tcBorders>
              <w:top w:val="nil"/>
              <w:left w:val="nil"/>
              <w:bottom w:val="nil"/>
              <w:right w:val="nil"/>
            </w:tcBorders>
            <w:shd w:val="clear" w:color="000000" w:fill="1F4E78"/>
            <w:noWrap/>
            <w:vAlign w:val="bottom"/>
            <w:hideMark/>
          </w:tcPr>
          <w:p w:rsidR="00E25EF6" w:rsidRPr="004874A0" w:rsidP="00D40982" w14:paraId="5C2B1F97"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Total Service Requests</w:t>
            </w:r>
          </w:p>
        </w:tc>
      </w:tr>
      <w:tr w14:paraId="19AC3139" w14:textId="77777777" w:rsidTr="00D40982">
        <w:tblPrEx>
          <w:tblW w:w="7665" w:type="dxa"/>
          <w:tblInd w:w="108" w:type="dxa"/>
          <w:tblLook w:val="04A0"/>
        </w:tblPrEx>
        <w:trPr>
          <w:trHeight w:val="182"/>
        </w:trPr>
        <w:tc>
          <w:tcPr>
            <w:tcW w:w="3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EF6" w:rsidRPr="004874A0" w:rsidP="00D40982" w14:paraId="0F1630A7"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Appraiser</w:t>
            </w:r>
          </w:p>
        </w:tc>
        <w:tc>
          <w:tcPr>
            <w:tcW w:w="4014" w:type="dxa"/>
            <w:tcBorders>
              <w:top w:val="single" w:sz="4" w:space="0" w:color="auto"/>
              <w:left w:val="nil"/>
              <w:bottom w:val="single" w:sz="4" w:space="0" w:color="auto"/>
              <w:right w:val="single" w:sz="4" w:space="0" w:color="auto"/>
            </w:tcBorders>
            <w:shd w:val="clear" w:color="auto" w:fill="auto"/>
            <w:noWrap/>
            <w:vAlign w:val="bottom"/>
            <w:hideMark/>
          </w:tcPr>
          <w:p w:rsidR="00E25EF6" w:rsidRPr="004874A0" w:rsidP="00D40982" w14:paraId="61551FA7"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16,427</w:t>
            </w:r>
          </w:p>
        </w:tc>
      </w:tr>
      <w:tr w14:paraId="09FAD240"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7DE90C3A"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Asset Mgr./Field Service Mgr.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708719EF"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16</w:t>
            </w:r>
          </w:p>
        </w:tc>
      </w:tr>
      <w:tr w14:paraId="7F21E63E"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76608E6E"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Attorney</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7145001A"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2,599</w:t>
            </w:r>
          </w:p>
        </w:tc>
      </w:tr>
      <w:tr w14:paraId="65BE3339"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528AE204"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Audit/CPA</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350D9948"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348</w:t>
            </w:r>
          </w:p>
        </w:tc>
      </w:tr>
      <w:tr w14:paraId="5FA470F7"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4CC00A44"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Builder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7E56B681"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407</w:t>
            </w:r>
          </w:p>
        </w:tc>
      </w:tr>
      <w:tr w14:paraId="63396725"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428EA88B"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Closing Agent</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75E4BD27"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4,242</w:t>
            </w:r>
          </w:p>
        </w:tc>
      </w:tr>
      <w:tr w14:paraId="349CBD61"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2C36D886"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Congressional</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4F1D5D9A"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22</w:t>
            </w:r>
          </w:p>
        </w:tc>
      </w:tr>
      <w:tr w14:paraId="01F06773"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7C1A034F"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FHA</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0CFDDC12"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52</w:t>
            </w:r>
          </w:p>
        </w:tc>
      </w:tr>
      <w:tr w14:paraId="187FA6AD"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7EBD5022"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Gov - Federal</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3FB832BF"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488</w:t>
            </w:r>
          </w:p>
        </w:tc>
      </w:tr>
      <w:tr w14:paraId="60B52522"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7429F3CA"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Gov - Local</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087A8E63"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587</w:t>
            </w:r>
          </w:p>
        </w:tc>
      </w:tr>
      <w:tr w14:paraId="6B11F037"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205E79E5"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Gov - State</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63771949"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190</w:t>
            </w:r>
          </w:p>
        </w:tc>
      </w:tr>
      <w:tr w14:paraId="32EFD5E4"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2A3960FF"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HOA</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764AE994"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1,386</w:t>
            </w:r>
          </w:p>
        </w:tc>
      </w:tr>
      <w:tr w14:paraId="11432623"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35ED60DF"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Home Owner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6EAA2B11"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65,096</w:t>
            </w:r>
          </w:p>
        </w:tc>
      </w:tr>
      <w:tr w14:paraId="7ABC5830"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581AC309"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Homebuyer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15B92490"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44,928</w:t>
            </w:r>
          </w:p>
        </w:tc>
      </w:tr>
      <w:tr w14:paraId="64C58C8D"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26902C44"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Housing Counselor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03FEE5E1"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422</w:t>
            </w:r>
          </w:p>
        </w:tc>
      </w:tr>
      <w:tr w14:paraId="541BC64C"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09ADF6AF"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Inspector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71DD5BE8"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348</w:t>
            </w:r>
          </w:p>
        </w:tc>
      </w:tr>
      <w:tr w14:paraId="00F4833B"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4893248E"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Landlord</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4FEE3859"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487</w:t>
            </w:r>
          </w:p>
        </w:tc>
      </w:tr>
      <w:tr w14:paraId="57EDA28A"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3F5B1A31"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Applicant</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2508A6A4"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238</w:t>
            </w:r>
          </w:p>
        </w:tc>
      </w:tr>
      <w:tr w14:paraId="7E76795E"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5281747A"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Loan Officer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4B5E5F2F"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29,281</w:t>
            </w:r>
          </w:p>
        </w:tc>
      </w:tr>
      <w:tr w14:paraId="6E01F249"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221B0F8D"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Manager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03304634"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36,365</w:t>
            </w:r>
          </w:p>
        </w:tc>
      </w:tr>
      <w:tr w14:paraId="3E5981C1"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5BB8B99B"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Processor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58B54D0B"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76,427</w:t>
            </w:r>
          </w:p>
        </w:tc>
      </w:tr>
      <w:tr w14:paraId="1D2F0FE9"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0AD38C07"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Quality Control Manager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70AFA3E2"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1,024</w:t>
            </w:r>
          </w:p>
        </w:tc>
      </w:tr>
      <w:tr w14:paraId="68D7716A"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31822C65"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Sales Manager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69EDF4DB"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2,301</w:t>
            </w:r>
          </w:p>
        </w:tc>
      </w:tr>
      <w:tr w14:paraId="2AD1B4A6"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2C26D304"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Staff</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6879FC52"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99,218</w:t>
            </w:r>
          </w:p>
        </w:tc>
      </w:tr>
      <w:tr w14:paraId="28276F55"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4A0C1C7F"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Lender Underwriter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4DAE05F5"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93,007</w:t>
            </w:r>
          </w:p>
        </w:tc>
      </w:tr>
      <w:tr w14:paraId="7A134950"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0BE6D5DE"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Non-Profit</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31A74BCA"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1,253</w:t>
            </w:r>
          </w:p>
        </w:tc>
      </w:tr>
      <w:tr w14:paraId="16FD1204"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50F08676"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Other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36633535"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23,600</w:t>
            </w:r>
          </w:p>
        </w:tc>
      </w:tr>
      <w:tr w14:paraId="16E5F817"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05A8DC2D"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Real Estate Professional</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3A137115"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46,407</w:t>
            </w:r>
          </w:p>
        </w:tc>
      </w:tr>
      <w:tr w14:paraId="683C02CA"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0F6B4C72"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Rehab Consultant</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22606CD6"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357</w:t>
            </w:r>
          </w:p>
        </w:tc>
      </w:tr>
      <w:tr w14:paraId="26B795F4"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6143F04C"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Renter</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0666898D"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20,134</w:t>
            </w:r>
          </w:p>
        </w:tc>
      </w:tr>
      <w:tr w14:paraId="75786A08"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6C00802A"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Trade Association</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6A41B2E2"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749</w:t>
            </w:r>
          </w:p>
        </w:tc>
      </w:tr>
      <w:tr w14:paraId="17E602F3"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27889E42"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Unknown</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3F2C0C70"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3,957</w:t>
            </w:r>
          </w:p>
        </w:tc>
      </w:tr>
      <w:tr w14:paraId="5C602833" w14:textId="77777777" w:rsidTr="00D40982">
        <w:tblPrEx>
          <w:tblW w:w="7665" w:type="dxa"/>
          <w:tblInd w:w="108" w:type="dxa"/>
          <w:tblLook w:val="04A0"/>
        </w:tblPrEx>
        <w:trPr>
          <w:trHeight w:val="182"/>
        </w:trPr>
        <w:tc>
          <w:tcPr>
            <w:tcW w:w="3651" w:type="dxa"/>
            <w:tcBorders>
              <w:top w:val="nil"/>
              <w:left w:val="single" w:sz="4" w:space="0" w:color="auto"/>
              <w:bottom w:val="single" w:sz="4" w:space="0" w:color="auto"/>
              <w:right w:val="single" w:sz="4" w:space="0" w:color="auto"/>
            </w:tcBorders>
            <w:shd w:val="clear" w:color="auto" w:fill="auto"/>
            <w:noWrap/>
            <w:vAlign w:val="bottom"/>
            <w:hideMark/>
          </w:tcPr>
          <w:p w:rsidR="00E25EF6" w:rsidRPr="004874A0" w:rsidP="00D40982" w14:paraId="6E0BEB15" w14:textId="77777777">
            <w:pPr>
              <w:overflowPunct/>
              <w:autoSpaceDE/>
              <w:autoSpaceDN/>
              <w:adjustRightInd/>
              <w:textAlignment w:val="auto"/>
              <w:rPr>
                <w:rFonts w:ascii="Calibri" w:hAnsi="Calibri" w:cs="Calibri"/>
                <w:color w:val="000000"/>
                <w:sz w:val="22"/>
                <w:szCs w:val="22"/>
              </w:rPr>
            </w:pPr>
            <w:r w:rsidRPr="004874A0">
              <w:rPr>
                <w:rFonts w:ascii="Calibri" w:hAnsi="Calibri" w:cs="Calibri"/>
                <w:color w:val="000000"/>
                <w:sz w:val="22"/>
                <w:szCs w:val="22"/>
              </w:rPr>
              <w:t>(blank)</w:t>
            </w:r>
          </w:p>
        </w:tc>
        <w:tc>
          <w:tcPr>
            <w:tcW w:w="4014" w:type="dxa"/>
            <w:tcBorders>
              <w:top w:val="nil"/>
              <w:left w:val="nil"/>
              <w:bottom w:val="single" w:sz="4" w:space="0" w:color="auto"/>
              <w:right w:val="single" w:sz="4" w:space="0" w:color="auto"/>
            </w:tcBorders>
            <w:shd w:val="clear" w:color="auto" w:fill="auto"/>
            <w:noWrap/>
            <w:vAlign w:val="bottom"/>
            <w:hideMark/>
          </w:tcPr>
          <w:p w:rsidR="00E25EF6" w:rsidRPr="004874A0" w:rsidP="00D40982" w14:paraId="5A46776B" w14:textId="77777777">
            <w:pPr>
              <w:overflowPunct/>
              <w:autoSpaceDE/>
              <w:autoSpaceDN/>
              <w:adjustRightInd/>
              <w:jc w:val="center"/>
              <w:textAlignment w:val="auto"/>
              <w:rPr>
                <w:rFonts w:ascii="Calibri" w:hAnsi="Calibri" w:cs="Calibri"/>
                <w:color w:val="000000"/>
                <w:sz w:val="22"/>
                <w:szCs w:val="22"/>
              </w:rPr>
            </w:pPr>
            <w:r w:rsidRPr="004874A0">
              <w:rPr>
                <w:rFonts w:ascii="Calibri" w:hAnsi="Calibri" w:cs="Calibri"/>
                <w:color w:val="000000"/>
                <w:sz w:val="22"/>
                <w:szCs w:val="22"/>
              </w:rPr>
              <w:t>14,329</w:t>
            </w:r>
          </w:p>
        </w:tc>
      </w:tr>
      <w:tr w14:paraId="0E01DC9F" w14:textId="77777777" w:rsidTr="00D40982">
        <w:tblPrEx>
          <w:tblW w:w="7665" w:type="dxa"/>
          <w:tblInd w:w="108" w:type="dxa"/>
          <w:tblLook w:val="04A0"/>
        </w:tblPrEx>
        <w:trPr>
          <w:trHeight w:val="182"/>
        </w:trPr>
        <w:tc>
          <w:tcPr>
            <w:tcW w:w="3651" w:type="dxa"/>
            <w:tcBorders>
              <w:top w:val="nil"/>
              <w:left w:val="nil"/>
              <w:bottom w:val="nil"/>
              <w:right w:val="nil"/>
            </w:tcBorders>
            <w:shd w:val="clear" w:color="000000" w:fill="1F4E78"/>
            <w:noWrap/>
            <w:vAlign w:val="bottom"/>
            <w:hideMark/>
          </w:tcPr>
          <w:p w:rsidR="00E25EF6" w:rsidRPr="004874A0" w:rsidP="00D40982" w14:paraId="6FF30EAE"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TOTAL CLIENT TYPES</w:t>
            </w:r>
          </w:p>
        </w:tc>
        <w:tc>
          <w:tcPr>
            <w:tcW w:w="4014" w:type="dxa"/>
            <w:tcBorders>
              <w:top w:val="nil"/>
              <w:left w:val="nil"/>
              <w:bottom w:val="nil"/>
              <w:right w:val="nil"/>
            </w:tcBorders>
            <w:shd w:val="clear" w:color="000000" w:fill="1F4E78"/>
            <w:noWrap/>
            <w:vAlign w:val="bottom"/>
            <w:hideMark/>
          </w:tcPr>
          <w:p w:rsidR="00E25EF6" w:rsidRPr="004874A0" w:rsidP="00D40982" w14:paraId="5A872777" w14:textId="77777777">
            <w:pPr>
              <w:overflowPunct/>
              <w:autoSpaceDE/>
              <w:autoSpaceDN/>
              <w:adjustRightInd/>
              <w:jc w:val="center"/>
              <w:textAlignment w:val="auto"/>
              <w:rPr>
                <w:rFonts w:ascii="Calibri" w:hAnsi="Calibri" w:cs="Calibri"/>
                <w:color w:val="FFFFFF"/>
                <w:sz w:val="22"/>
                <w:szCs w:val="22"/>
              </w:rPr>
            </w:pPr>
            <w:r w:rsidRPr="004874A0">
              <w:rPr>
                <w:rFonts w:ascii="Calibri" w:hAnsi="Calibri" w:cs="Calibri"/>
                <w:color w:val="FFFFFF"/>
                <w:sz w:val="22"/>
                <w:szCs w:val="22"/>
              </w:rPr>
              <w:t>586,692</w:t>
            </w:r>
          </w:p>
        </w:tc>
      </w:tr>
    </w:tbl>
    <w:p w:rsidR="00E25EF6" w:rsidP="00E25EF6" w14:paraId="787971D0" w14:textId="77777777">
      <w:pPr>
        <w:rPr>
          <w:sz w:val="24"/>
        </w:rPr>
      </w:pPr>
      <w:r w:rsidRPr="004D1CB1">
        <w:rPr>
          <w:sz w:val="24"/>
        </w:rPr>
        <w:t xml:space="preserve">Each month, one week of </w:t>
      </w:r>
      <w:r>
        <w:rPr>
          <w:sz w:val="24"/>
        </w:rPr>
        <w:t xml:space="preserve">the service request </w:t>
      </w:r>
      <w:r w:rsidRPr="004D1CB1">
        <w:rPr>
          <w:sz w:val="24"/>
        </w:rPr>
        <w:t>inqu</w:t>
      </w:r>
      <w:r>
        <w:rPr>
          <w:sz w:val="24"/>
        </w:rPr>
        <w:t>i</w:t>
      </w:r>
      <w:r w:rsidRPr="004D1CB1">
        <w:rPr>
          <w:sz w:val="24"/>
        </w:rPr>
        <w:t xml:space="preserve">ries processed will be used as the pool for randomly </w:t>
      </w:r>
      <w:r>
        <w:rPr>
          <w:sz w:val="24"/>
        </w:rPr>
        <w:t xml:space="preserve">selection of </w:t>
      </w:r>
      <w:r w:rsidRPr="004D1CB1">
        <w:rPr>
          <w:sz w:val="24"/>
        </w:rPr>
        <w:t xml:space="preserve">customers to receive a survey invitation. </w:t>
      </w:r>
      <w:r>
        <w:rPr>
          <w:sz w:val="24"/>
        </w:rPr>
        <w:t>Only a portion of the clients who contacted the FHA Resource Center during this week will be surveyed so there is not a collection burden for our clients.  See percentages below which were applied to the one-year collection period.</w:t>
      </w:r>
    </w:p>
    <w:p w:rsidR="00E25EF6" w:rsidP="00E25EF6" w14:paraId="66101F4A" w14:textId="77777777">
      <w:pPr>
        <w:rPr>
          <w:sz w:val="24"/>
        </w:rPr>
      </w:pPr>
    </w:p>
    <w:p w:rsidR="00E25EF6" w:rsidRPr="004D1CB1" w:rsidP="00E25EF6" w14:paraId="138D34EC" w14:textId="77777777">
      <w:pPr>
        <w:tabs>
          <w:tab w:val="left" w:pos="-720"/>
        </w:tabs>
        <w:suppressAutoHyphens/>
        <w:overflowPunct/>
        <w:autoSpaceDE/>
        <w:autoSpaceDN/>
        <w:adjustRightInd/>
        <w:spacing w:line="480" w:lineRule="auto"/>
        <w:textAlignment w:val="auto"/>
        <w:rPr>
          <w:rFonts w:eastAsia="PMingLiU"/>
          <w:color w:val="000000"/>
          <w:sz w:val="22"/>
          <w:szCs w:val="22"/>
        </w:rPr>
      </w:pPr>
      <w:r w:rsidRPr="004D1CB1">
        <w:rPr>
          <w:rFonts w:eastAsia="PMingLiU"/>
          <w:color w:val="000000"/>
          <w:sz w:val="22"/>
          <w:szCs w:val="22"/>
        </w:rPr>
        <w:t>•</w:t>
      </w:r>
      <w:r w:rsidRPr="004D1CB1">
        <w:rPr>
          <w:rFonts w:eastAsia="PMingLiU"/>
          <w:color w:val="000000"/>
          <w:sz w:val="22"/>
          <w:szCs w:val="22"/>
        </w:rPr>
        <w:tab/>
      </w:r>
      <w:bookmarkStart w:id="1" w:name="_Hlk19198825"/>
      <w:r w:rsidRPr="00ED5A77">
        <w:rPr>
          <w:rFonts w:eastAsia="PMingLiU"/>
          <w:color w:val="000000"/>
          <w:sz w:val="22"/>
          <w:szCs w:val="22"/>
        </w:rPr>
        <w:t xml:space="preserve">Inquiries responded to by </w:t>
      </w:r>
      <w:bookmarkEnd w:id="1"/>
      <w:r w:rsidRPr="00ED5A77">
        <w:rPr>
          <w:rFonts w:eastAsia="PMingLiU"/>
          <w:color w:val="000000"/>
          <w:sz w:val="22"/>
          <w:szCs w:val="22"/>
        </w:rPr>
        <w:t xml:space="preserve">FHA </w:t>
      </w:r>
      <w:r w:rsidRPr="004D1CB1">
        <w:rPr>
          <w:rFonts w:eastAsia="PMingLiU"/>
          <w:color w:val="000000"/>
          <w:sz w:val="22"/>
          <w:szCs w:val="22"/>
        </w:rPr>
        <w:t>Resource Center</w:t>
      </w:r>
      <w:r w:rsidRPr="00ED5A77">
        <w:rPr>
          <w:rFonts w:eastAsia="PMingLiU"/>
          <w:color w:val="000000"/>
          <w:sz w:val="22"/>
          <w:szCs w:val="22"/>
        </w:rPr>
        <w:t xml:space="preserve"> staff</w:t>
      </w:r>
      <w:r w:rsidRPr="004D1CB1">
        <w:rPr>
          <w:rFonts w:eastAsia="PMingLiU"/>
          <w:color w:val="000000"/>
          <w:sz w:val="22"/>
          <w:szCs w:val="22"/>
        </w:rPr>
        <w:t xml:space="preserve">: </w:t>
      </w:r>
      <w:r w:rsidRPr="00ED5A77">
        <w:rPr>
          <w:rFonts w:eastAsia="PMingLiU"/>
          <w:color w:val="000000"/>
          <w:sz w:val="22"/>
          <w:szCs w:val="22"/>
        </w:rPr>
        <w:t>3</w:t>
      </w:r>
      <w:r w:rsidRPr="004D1CB1">
        <w:rPr>
          <w:rFonts w:eastAsia="PMingLiU"/>
          <w:color w:val="000000"/>
          <w:sz w:val="22"/>
          <w:szCs w:val="22"/>
        </w:rPr>
        <w:t>%</w:t>
      </w:r>
    </w:p>
    <w:p w:rsidR="00E25EF6" w:rsidRPr="004D1CB1" w:rsidP="00E25EF6" w14:paraId="2B340FD0" w14:textId="77777777">
      <w:pPr>
        <w:tabs>
          <w:tab w:val="left" w:pos="-720"/>
        </w:tabs>
        <w:suppressAutoHyphens/>
        <w:overflowPunct/>
        <w:autoSpaceDE/>
        <w:autoSpaceDN/>
        <w:adjustRightInd/>
        <w:spacing w:line="480" w:lineRule="auto"/>
        <w:textAlignment w:val="auto"/>
        <w:rPr>
          <w:rFonts w:eastAsia="PMingLiU"/>
          <w:color w:val="000000"/>
          <w:sz w:val="22"/>
          <w:szCs w:val="22"/>
        </w:rPr>
      </w:pPr>
      <w:r w:rsidRPr="004D1CB1">
        <w:rPr>
          <w:rFonts w:eastAsia="PMingLiU"/>
          <w:color w:val="000000"/>
          <w:sz w:val="22"/>
          <w:szCs w:val="22"/>
        </w:rPr>
        <w:t>•</w:t>
      </w:r>
      <w:r w:rsidRPr="004D1CB1">
        <w:rPr>
          <w:rFonts w:eastAsia="PMingLiU"/>
          <w:color w:val="000000"/>
          <w:sz w:val="22"/>
          <w:szCs w:val="22"/>
        </w:rPr>
        <w:tab/>
      </w:r>
      <w:bookmarkStart w:id="2" w:name="_Hlk19198814"/>
      <w:r w:rsidRPr="00ED5A77">
        <w:rPr>
          <w:rFonts w:eastAsia="PMingLiU"/>
          <w:color w:val="000000"/>
          <w:sz w:val="22"/>
          <w:szCs w:val="22"/>
        </w:rPr>
        <w:t xml:space="preserve">Inquiries responded to by </w:t>
      </w:r>
      <w:r w:rsidRPr="004D1CB1">
        <w:rPr>
          <w:rFonts w:eastAsia="PMingLiU"/>
          <w:color w:val="000000"/>
          <w:sz w:val="22"/>
          <w:szCs w:val="22"/>
        </w:rPr>
        <w:t xml:space="preserve">four </w:t>
      </w:r>
      <w:r w:rsidRPr="00ED5A77">
        <w:rPr>
          <w:rFonts w:eastAsia="PMingLiU"/>
          <w:color w:val="000000"/>
          <w:sz w:val="22"/>
          <w:szCs w:val="22"/>
        </w:rPr>
        <w:t xml:space="preserve">HUD agency </w:t>
      </w:r>
      <w:r w:rsidRPr="004D1CB1">
        <w:rPr>
          <w:rFonts w:eastAsia="PMingLiU"/>
          <w:color w:val="000000"/>
          <w:sz w:val="22"/>
          <w:szCs w:val="22"/>
        </w:rPr>
        <w:t>H</w:t>
      </w:r>
      <w:r w:rsidRPr="00ED5A77">
        <w:rPr>
          <w:rFonts w:eastAsia="PMingLiU"/>
          <w:color w:val="000000"/>
          <w:sz w:val="22"/>
          <w:szCs w:val="22"/>
        </w:rPr>
        <w:t xml:space="preserve">omeownership Centers </w:t>
      </w:r>
      <w:r w:rsidRPr="004D1CB1">
        <w:rPr>
          <w:rFonts w:eastAsia="PMingLiU"/>
          <w:color w:val="000000"/>
          <w:sz w:val="22"/>
          <w:szCs w:val="22"/>
        </w:rPr>
        <w:t>&amp; N</w:t>
      </w:r>
      <w:r w:rsidRPr="00ED5A77">
        <w:rPr>
          <w:rFonts w:eastAsia="PMingLiU"/>
          <w:color w:val="000000"/>
          <w:sz w:val="22"/>
          <w:szCs w:val="22"/>
        </w:rPr>
        <w:t xml:space="preserve">ational </w:t>
      </w:r>
      <w:r w:rsidRPr="004D1CB1">
        <w:rPr>
          <w:rFonts w:eastAsia="PMingLiU"/>
          <w:color w:val="000000"/>
          <w:sz w:val="22"/>
          <w:szCs w:val="22"/>
        </w:rPr>
        <w:t>S</w:t>
      </w:r>
      <w:r w:rsidRPr="00ED5A77">
        <w:rPr>
          <w:rFonts w:eastAsia="PMingLiU"/>
          <w:color w:val="000000"/>
          <w:sz w:val="22"/>
          <w:szCs w:val="22"/>
        </w:rPr>
        <w:t xml:space="preserve">ervicing </w:t>
      </w:r>
      <w:r w:rsidRPr="004D1CB1">
        <w:rPr>
          <w:rFonts w:eastAsia="PMingLiU"/>
          <w:color w:val="000000"/>
          <w:sz w:val="22"/>
          <w:szCs w:val="22"/>
        </w:rPr>
        <w:t>C</w:t>
      </w:r>
      <w:bookmarkEnd w:id="2"/>
      <w:r w:rsidRPr="00ED5A77">
        <w:rPr>
          <w:rFonts w:eastAsia="PMingLiU"/>
          <w:color w:val="000000"/>
          <w:sz w:val="22"/>
          <w:szCs w:val="22"/>
        </w:rPr>
        <w:t>enter</w:t>
      </w:r>
      <w:r w:rsidRPr="004D1CB1">
        <w:rPr>
          <w:rFonts w:eastAsia="PMingLiU"/>
          <w:color w:val="000000"/>
          <w:sz w:val="22"/>
          <w:szCs w:val="22"/>
        </w:rPr>
        <w:t>: 30%</w:t>
      </w:r>
    </w:p>
    <w:p w:rsidR="00E25EF6" w:rsidRPr="004D1CB1" w:rsidP="00E25EF6" w14:paraId="074F5C62" w14:textId="77777777">
      <w:pPr>
        <w:tabs>
          <w:tab w:val="left" w:pos="-720"/>
        </w:tabs>
        <w:suppressAutoHyphens/>
        <w:overflowPunct/>
        <w:autoSpaceDE/>
        <w:autoSpaceDN/>
        <w:adjustRightInd/>
        <w:spacing w:line="480" w:lineRule="auto"/>
        <w:textAlignment w:val="auto"/>
        <w:rPr>
          <w:rFonts w:eastAsia="PMingLiU"/>
          <w:color w:val="000000"/>
          <w:sz w:val="22"/>
          <w:szCs w:val="22"/>
        </w:rPr>
      </w:pPr>
      <w:r w:rsidRPr="004D1CB1">
        <w:rPr>
          <w:rFonts w:eastAsia="PMingLiU"/>
          <w:color w:val="000000"/>
          <w:sz w:val="22"/>
          <w:szCs w:val="22"/>
        </w:rPr>
        <w:t>•</w:t>
      </w:r>
      <w:r w:rsidRPr="004D1CB1">
        <w:rPr>
          <w:rFonts w:eastAsia="PMingLiU"/>
          <w:color w:val="000000"/>
          <w:sz w:val="22"/>
          <w:szCs w:val="22"/>
        </w:rPr>
        <w:tab/>
      </w:r>
      <w:r w:rsidRPr="00ED5A77">
        <w:rPr>
          <w:rFonts w:eastAsia="PMingLiU"/>
          <w:color w:val="000000"/>
          <w:sz w:val="22"/>
          <w:szCs w:val="22"/>
        </w:rPr>
        <w:t xml:space="preserve">Inquiries responded to by </w:t>
      </w:r>
      <w:r w:rsidRPr="004D1CB1">
        <w:rPr>
          <w:rFonts w:eastAsia="PMingLiU"/>
          <w:color w:val="000000"/>
          <w:sz w:val="22"/>
          <w:szCs w:val="22"/>
        </w:rPr>
        <w:t>HQ Offices (no National Oversight): 50%</w:t>
      </w:r>
    </w:p>
    <w:p w:rsidR="00E25EF6" w:rsidRPr="004D1CB1" w:rsidP="00E25EF6" w14:paraId="0A97C976" w14:textId="77777777">
      <w:pPr>
        <w:tabs>
          <w:tab w:val="left" w:pos="-720"/>
        </w:tabs>
        <w:suppressAutoHyphens/>
        <w:overflowPunct/>
        <w:autoSpaceDE/>
        <w:autoSpaceDN/>
        <w:adjustRightInd/>
        <w:spacing w:line="480" w:lineRule="auto"/>
        <w:textAlignment w:val="auto"/>
        <w:rPr>
          <w:rFonts w:eastAsia="PMingLiU"/>
          <w:color w:val="000000"/>
          <w:sz w:val="22"/>
          <w:szCs w:val="22"/>
        </w:rPr>
      </w:pPr>
      <w:r w:rsidRPr="004D1CB1">
        <w:rPr>
          <w:rFonts w:eastAsia="PMingLiU"/>
          <w:color w:val="000000"/>
          <w:sz w:val="22"/>
          <w:szCs w:val="22"/>
        </w:rPr>
        <w:t>•</w:t>
      </w:r>
      <w:r w:rsidRPr="004D1CB1">
        <w:rPr>
          <w:rFonts w:eastAsia="PMingLiU"/>
          <w:color w:val="000000"/>
          <w:sz w:val="22"/>
          <w:szCs w:val="22"/>
        </w:rPr>
        <w:tab/>
      </w:r>
      <w:r w:rsidRPr="00ED5A77">
        <w:rPr>
          <w:rFonts w:eastAsia="PMingLiU"/>
          <w:color w:val="000000"/>
          <w:sz w:val="22"/>
          <w:szCs w:val="22"/>
        </w:rPr>
        <w:t xml:space="preserve">Inquiries responded </w:t>
      </w:r>
      <w:r w:rsidRPr="004D1CB1">
        <w:rPr>
          <w:rFonts w:eastAsia="PMingLiU"/>
          <w:color w:val="000000"/>
          <w:sz w:val="22"/>
          <w:szCs w:val="22"/>
        </w:rPr>
        <w:t>FHA online Frequently Asked Question (FAQ) site: 50%</w:t>
      </w:r>
    </w:p>
    <w:p w:rsidR="00E25EF6" w:rsidP="00E25EF6" w14:paraId="7C186DA2" w14:textId="77777777">
      <w:pPr>
        <w:rPr>
          <w:sz w:val="24"/>
        </w:rPr>
      </w:pPr>
      <w:r>
        <w:rPr>
          <w:sz w:val="24"/>
        </w:rPr>
        <w:t xml:space="preserve">In the reporting period last year, there were 16,273 survey instruments completed with an average of 1,356 completed surveys being completed on average each month.   The average monthly response rate per month during this </w:t>
      </w:r>
      <w:r>
        <w:rPr>
          <w:sz w:val="24"/>
        </w:rPr>
        <w:t>time period</w:t>
      </w:r>
      <w:r>
        <w:rPr>
          <w:sz w:val="24"/>
        </w:rPr>
        <w:t xml:space="preserve"> was 14.09%.</w:t>
      </w:r>
    </w:p>
    <w:p w:rsidR="00E25EF6" w:rsidP="00E25EF6" w14:paraId="5032E1C7" w14:textId="77777777">
      <w:pPr>
        <w:rPr>
          <w:sz w:val="24"/>
          <w:u w:val="single"/>
        </w:rPr>
      </w:pPr>
    </w:p>
    <w:p w:rsidR="00E25EF6" w:rsidP="00E25EF6" w14:paraId="4B0C67EF" w14:textId="77777777">
      <w:pPr>
        <w:rPr>
          <w:sz w:val="24"/>
        </w:rPr>
      </w:pPr>
    </w:p>
    <w:p w:rsidR="00E25EF6" w:rsidP="00E25EF6" w14:paraId="35FC1118" w14:textId="1C47F937">
      <w:pPr>
        <w:rPr>
          <w:sz w:val="24"/>
        </w:rPr>
      </w:pPr>
      <w:r w:rsidRPr="00ED5A77">
        <w:rPr>
          <w:sz w:val="24"/>
        </w:rPr>
        <w:t xml:space="preserve">2. </w:t>
      </w:r>
      <w:bookmarkStart w:id="3" w:name="_Hlk19199467"/>
      <w:r>
        <w:rPr>
          <w:sz w:val="24"/>
        </w:rPr>
        <w:t>Surveys will be conducted</w:t>
      </w:r>
      <w:bookmarkEnd w:id="3"/>
      <w:r>
        <w:rPr>
          <w:sz w:val="24"/>
        </w:rPr>
        <w:t xml:space="preserve"> each month on a random selection of contact center clients specific to each survey instrument. One week out of the month,</w:t>
      </w:r>
      <w:r w:rsidRPr="009E464F">
        <w:t xml:space="preserve"> </w:t>
      </w:r>
      <w:r>
        <w:rPr>
          <w:sz w:val="24"/>
        </w:rPr>
        <w:t>s</w:t>
      </w:r>
      <w:r w:rsidRPr="009E464F">
        <w:rPr>
          <w:sz w:val="24"/>
        </w:rPr>
        <w:t>urveys will be conducted</w:t>
      </w:r>
      <w:r>
        <w:rPr>
          <w:sz w:val="24"/>
        </w:rPr>
        <w:t xml:space="preserve"> typically between 24 to 48 </w:t>
      </w:r>
      <w:r w:rsidR="00A11E4A">
        <w:rPr>
          <w:sz w:val="24"/>
        </w:rPr>
        <w:t>hours</w:t>
      </w:r>
      <w:r w:rsidR="00A11E4A">
        <w:rPr>
          <w:sz w:val="24"/>
        </w:rPr>
        <w:t xml:space="preserve"> </w:t>
      </w:r>
      <w:r>
        <w:rPr>
          <w:sz w:val="24"/>
        </w:rPr>
        <w:t>to ensure that each respondent interaction with the FHA Resource Center project is still fresh in their mind.</w:t>
      </w:r>
    </w:p>
    <w:p w:rsidR="00E25EF6" w:rsidP="00E25EF6" w14:paraId="22289452" w14:textId="77777777">
      <w:pPr>
        <w:rPr>
          <w:sz w:val="24"/>
        </w:rPr>
      </w:pPr>
    </w:p>
    <w:p w:rsidR="00E25EF6" w:rsidP="00E25EF6" w14:paraId="09CED606" w14:textId="77777777">
      <w:pPr>
        <w:rPr>
          <w:sz w:val="24"/>
        </w:rPr>
      </w:pPr>
      <w:r>
        <w:rPr>
          <w:sz w:val="24"/>
        </w:rPr>
        <w:t xml:space="preserve">The statistical methodology for the stratification and sample selection is to have this </w:t>
      </w:r>
      <w:r w:rsidRPr="009E464F">
        <w:rPr>
          <w:sz w:val="24"/>
        </w:rPr>
        <w:t xml:space="preserve">division of </w:t>
      </w:r>
      <w:r>
        <w:rPr>
          <w:sz w:val="24"/>
        </w:rPr>
        <w:t xml:space="preserve">the </w:t>
      </w:r>
      <w:r w:rsidRPr="009E464F">
        <w:rPr>
          <w:sz w:val="24"/>
        </w:rPr>
        <w:t xml:space="preserve">population into smaller sub-groups </w:t>
      </w:r>
      <w:r>
        <w:rPr>
          <w:sz w:val="24"/>
        </w:rPr>
        <w:t>to evaluate the quality of customer service from the agencies various offices.</w:t>
      </w:r>
    </w:p>
    <w:p w:rsidR="00E25EF6" w:rsidP="00E25EF6" w14:paraId="5EF55B8D" w14:textId="77777777">
      <w:pPr>
        <w:rPr>
          <w:sz w:val="24"/>
        </w:rPr>
      </w:pPr>
    </w:p>
    <w:p w:rsidR="00E25EF6" w:rsidP="00E25EF6" w14:paraId="05C612FB" w14:textId="77777777">
      <w:pPr>
        <w:rPr>
          <w:sz w:val="24"/>
        </w:rPr>
      </w:pPr>
      <w:r>
        <w:rPr>
          <w:sz w:val="24"/>
        </w:rPr>
        <w:t>The estimation procedure being utilized to apply the various percentages as mentioned above to ensure there are enough sample sizes to conduct an analysis based upon the anticipated number of responses.</w:t>
      </w:r>
    </w:p>
    <w:p w:rsidR="00E25EF6" w:rsidP="00E25EF6" w14:paraId="1AD2EA19" w14:textId="77777777">
      <w:pPr>
        <w:rPr>
          <w:sz w:val="24"/>
        </w:rPr>
      </w:pPr>
    </w:p>
    <w:p w:rsidR="00E25EF6" w:rsidP="00E25EF6" w14:paraId="286B7C6D" w14:textId="77777777">
      <w:pPr>
        <w:rPr>
          <w:sz w:val="24"/>
        </w:rPr>
      </w:pPr>
      <w:r>
        <w:rPr>
          <w:sz w:val="24"/>
        </w:rPr>
        <w:t>A high degree of accuracy is needed to collect the survey responses.  This data integrity is ensured by utilizing a highly reliable off the shelf application which is a best in class in industry standards.</w:t>
      </w:r>
    </w:p>
    <w:p w:rsidR="00E25EF6" w:rsidP="00E25EF6" w14:paraId="3E91360B" w14:textId="77777777">
      <w:pPr>
        <w:rPr>
          <w:sz w:val="24"/>
        </w:rPr>
      </w:pPr>
    </w:p>
    <w:p w:rsidR="00E25EF6" w:rsidP="00E25EF6" w14:paraId="63D312AB" w14:textId="77777777">
      <w:pPr>
        <w:rPr>
          <w:sz w:val="24"/>
        </w:rPr>
      </w:pPr>
      <w:r>
        <w:rPr>
          <w:sz w:val="24"/>
        </w:rPr>
        <w:t>There are not any unusual problems requiring specialized sampling procedures.  Quality control processes are utilized to ensure the data collection processes are accurate.   We only conduct surveys one week during the month as a data collection cycle to reduce burden.</w:t>
      </w:r>
    </w:p>
    <w:p w:rsidR="00E25EF6" w:rsidP="00E25EF6" w14:paraId="33801FAF" w14:textId="77777777">
      <w:pPr>
        <w:rPr>
          <w:sz w:val="24"/>
        </w:rPr>
      </w:pPr>
    </w:p>
    <w:p w:rsidR="00E25EF6" w:rsidP="00E25EF6" w14:paraId="554C5630" w14:textId="77777777">
      <w:pPr>
        <w:rPr>
          <w:sz w:val="24"/>
        </w:rPr>
      </w:pPr>
    </w:p>
    <w:p w:rsidR="00E25EF6" w:rsidP="00E25EF6" w14:paraId="6C935291" w14:textId="77777777">
      <w:pPr>
        <w:rPr>
          <w:spacing w:val="-3"/>
          <w:sz w:val="24"/>
          <w:szCs w:val="24"/>
        </w:rPr>
      </w:pPr>
      <w:r>
        <w:rPr>
          <w:sz w:val="24"/>
        </w:rPr>
        <w:t xml:space="preserve">3. </w:t>
      </w:r>
      <w:r w:rsidRPr="00DD3428">
        <w:rPr>
          <w:spacing w:val="-3"/>
          <w:sz w:val="24"/>
          <w:szCs w:val="24"/>
        </w:rPr>
        <w:t>The methods being utilized maximize response rates and deal with non-response include validating clients being selected for a survey instrument are not sent more than one survey during the collection period. All potential survey respondents will be provided an opportunity to participate via the email address provided or confirmed in their most recent interaction with the FHA Resource Center for the web-based surveys to ensure accurate delivery to their email account. In addition, the immediacy of the survey will maximize the response rate by increasing the respondent's understanding of the subject of the survey request (higher recognition rate) as well as reduce the possibility of a change in the respondent's email address (higher delivery rate).</w:t>
      </w:r>
      <w:r>
        <w:rPr>
          <w:spacing w:val="-3"/>
          <w:sz w:val="24"/>
          <w:szCs w:val="24"/>
        </w:rPr>
        <w:t xml:space="preserve"> </w:t>
      </w:r>
    </w:p>
    <w:p w:rsidR="00E25EF6" w:rsidP="00E25EF6" w14:paraId="6AD36A6D" w14:textId="77777777">
      <w:pPr>
        <w:rPr>
          <w:spacing w:val="-3"/>
          <w:sz w:val="24"/>
          <w:szCs w:val="24"/>
        </w:rPr>
      </w:pPr>
    </w:p>
    <w:p w:rsidR="00E25EF6" w:rsidP="00E25EF6" w14:paraId="4BA6CB36" w14:textId="77777777">
      <w:pPr>
        <w:rPr>
          <w:spacing w:val="-3"/>
          <w:sz w:val="24"/>
          <w:szCs w:val="24"/>
        </w:rPr>
      </w:pPr>
      <w:r w:rsidRPr="00DD3428">
        <w:rPr>
          <w:spacing w:val="-3"/>
          <w:sz w:val="24"/>
          <w:szCs w:val="24"/>
        </w:rPr>
        <w:t>A true random selection of participants with the anticipated sample size based on the percentages / number of survey instruments being completed should produce reliable data adequate for the intended purposes of this survey.</w:t>
      </w:r>
    </w:p>
    <w:p w:rsidR="00E25EF6" w:rsidP="00E25EF6" w14:paraId="58CEBAF2" w14:textId="77777777">
      <w:pPr>
        <w:rPr>
          <w:spacing w:val="-3"/>
          <w:sz w:val="24"/>
          <w:szCs w:val="24"/>
        </w:rPr>
      </w:pPr>
    </w:p>
    <w:p w:rsidR="00E25EF6" w:rsidP="00E25EF6" w14:paraId="0DE6B813" w14:textId="77777777">
      <w:pPr>
        <w:rPr>
          <w:spacing w:val="-3"/>
          <w:sz w:val="24"/>
          <w:szCs w:val="24"/>
        </w:rPr>
      </w:pPr>
    </w:p>
    <w:p w:rsidR="00E25EF6" w:rsidRPr="00585812" w:rsidP="00E25EF6" w14:paraId="6730626E" w14:textId="77777777">
      <w:pPr>
        <w:rPr>
          <w:rFonts w:ascii="Arial Narrow" w:hAnsi="Arial Narrow"/>
          <w:spacing w:val="-3"/>
          <w:sz w:val="24"/>
          <w:szCs w:val="24"/>
        </w:rPr>
      </w:pPr>
      <w:r>
        <w:rPr>
          <w:spacing w:val="-3"/>
          <w:sz w:val="24"/>
          <w:szCs w:val="24"/>
        </w:rPr>
        <w:t>4.</w:t>
      </w:r>
      <w:r w:rsidRPr="005371B1">
        <w:rPr>
          <w:sz w:val="24"/>
          <w:szCs w:val="24"/>
        </w:rPr>
        <w:t xml:space="preserve"> The Office of Single-Family Housing convened a focus group to review the proposed survey instruments and provide feedback. The focus group consisted of a cross section of user types and provided feedback on all aspects of the survey instruments, method of collection, data collection, and record keeping. Feedback from this focus group did not generate any concerns with the </w:t>
      </w:r>
      <w:r>
        <w:rPr>
          <w:sz w:val="24"/>
          <w:szCs w:val="24"/>
        </w:rPr>
        <w:t xml:space="preserve">procedures, </w:t>
      </w:r>
      <w:r w:rsidRPr="005371B1">
        <w:rPr>
          <w:sz w:val="24"/>
          <w:szCs w:val="24"/>
        </w:rPr>
        <w:t>method of delivery, the technology utilized to solicit and collect survey responses or the burden necessary to access or complete the survey.  In addition, th</w:t>
      </w:r>
      <w:r>
        <w:rPr>
          <w:sz w:val="24"/>
          <w:szCs w:val="24"/>
        </w:rPr>
        <w:t xml:space="preserve">ese updated proposed </w:t>
      </w:r>
      <w:r w:rsidRPr="005371B1">
        <w:rPr>
          <w:sz w:val="24"/>
          <w:szCs w:val="24"/>
        </w:rPr>
        <w:t>survey instrument</w:t>
      </w:r>
      <w:r>
        <w:rPr>
          <w:sz w:val="24"/>
          <w:szCs w:val="24"/>
        </w:rPr>
        <w:t>s</w:t>
      </w:r>
      <w:r w:rsidRPr="005371B1">
        <w:rPr>
          <w:sz w:val="24"/>
          <w:szCs w:val="24"/>
        </w:rPr>
        <w:t xml:space="preserve"> were </w:t>
      </w:r>
      <w:r>
        <w:rPr>
          <w:sz w:val="24"/>
          <w:szCs w:val="24"/>
        </w:rPr>
        <w:t xml:space="preserve">reviewed </w:t>
      </w:r>
      <w:r w:rsidRPr="005371B1">
        <w:rPr>
          <w:sz w:val="24"/>
          <w:szCs w:val="24"/>
        </w:rPr>
        <w:t>with</w:t>
      </w:r>
      <w:r>
        <w:rPr>
          <w:sz w:val="24"/>
          <w:szCs w:val="24"/>
        </w:rPr>
        <w:t xml:space="preserve"> the</w:t>
      </w:r>
      <w:r w:rsidRPr="005371B1">
        <w:rPr>
          <w:sz w:val="24"/>
          <w:szCs w:val="24"/>
        </w:rPr>
        <w:t xml:space="preserve"> Office of Management &amp; Budget </w:t>
      </w:r>
      <w:r>
        <w:rPr>
          <w:sz w:val="24"/>
          <w:szCs w:val="24"/>
        </w:rPr>
        <w:t xml:space="preserve">- </w:t>
      </w:r>
      <w:r w:rsidRPr="005371B1">
        <w:rPr>
          <w:sz w:val="24"/>
          <w:szCs w:val="24"/>
        </w:rPr>
        <w:t xml:space="preserve">Performance Team </w:t>
      </w:r>
      <w:r>
        <w:rPr>
          <w:sz w:val="24"/>
          <w:szCs w:val="24"/>
        </w:rPr>
        <w:t>/</w:t>
      </w:r>
      <w:r w:rsidRPr="005371B1">
        <w:rPr>
          <w:sz w:val="24"/>
          <w:szCs w:val="24"/>
        </w:rPr>
        <w:t xml:space="preserve"> Customer Experience</w:t>
      </w:r>
      <w:r>
        <w:rPr>
          <w:sz w:val="24"/>
          <w:szCs w:val="24"/>
        </w:rPr>
        <w:t xml:space="preserve"> for feedback. Their recommendations were incorporated into the surveys.</w:t>
      </w:r>
    </w:p>
    <w:p w:rsidR="00E25EF6" w:rsidP="00E25EF6" w14:paraId="463CF246" w14:textId="77777777">
      <w:pPr>
        <w:widowControl w:val="0"/>
        <w:kinsoku w:val="0"/>
        <w:autoSpaceDE/>
        <w:autoSpaceDN/>
        <w:adjustRightInd/>
        <w:spacing w:before="213" w:line="211" w:lineRule="exact"/>
        <w:rPr>
          <w:rFonts w:ascii="Arial Narrow" w:hAnsi="Arial Narrow"/>
          <w:sz w:val="17"/>
        </w:rPr>
      </w:pPr>
    </w:p>
    <w:p w:rsidR="00E25EF6" w:rsidRPr="00CF77DA" w:rsidP="00E25EF6" w14:paraId="2B2738E1" w14:textId="77777777">
      <w:pPr>
        <w:widowControl w:val="0"/>
        <w:kinsoku w:val="0"/>
        <w:autoSpaceDE/>
        <w:autoSpaceDN/>
        <w:adjustRightInd/>
        <w:spacing w:before="213" w:line="211" w:lineRule="exact"/>
        <w:rPr>
          <w:sz w:val="24"/>
          <w:szCs w:val="24"/>
        </w:rPr>
      </w:pPr>
      <w:r w:rsidRPr="00CF77DA">
        <w:rPr>
          <w:sz w:val="24"/>
          <w:szCs w:val="24"/>
        </w:rPr>
        <w:t>5.</w:t>
      </w:r>
      <w:r>
        <w:rPr>
          <w:sz w:val="24"/>
          <w:szCs w:val="24"/>
        </w:rPr>
        <w:t xml:space="preserve"> The following are the names and telephone numbers of individuals for the consulting of the statistical aspects of the design, collection and analytics for the agency.</w:t>
      </w:r>
    </w:p>
    <w:p w:rsidR="00E25EF6" w:rsidP="00E25EF6" w14:paraId="1ABDD43A" w14:textId="77777777">
      <w:pPr>
        <w:widowControl w:val="0"/>
        <w:kinsoku w:val="0"/>
        <w:autoSpaceDE/>
        <w:autoSpaceDN/>
        <w:adjustRightInd/>
        <w:spacing w:before="213" w:line="211" w:lineRule="exact"/>
        <w:rPr>
          <w:sz w:val="24"/>
          <w:szCs w:val="24"/>
        </w:rPr>
      </w:pPr>
      <w:r>
        <w:rPr>
          <w:rFonts w:ascii="Arial Narrow" w:hAnsi="Arial Narrow"/>
          <w:sz w:val="17"/>
        </w:rPr>
        <w:tab/>
      </w:r>
      <w:r w:rsidRPr="00B16916">
        <w:rPr>
          <w:sz w:val="24"/>
          <w:szCs w:val="24"/>
        </w:rPr>
        <w:t>Lance</w:t>
      </w:r>
      <w:r>
        <w:rPr>
          <w:sz w:val="24"/>
          <w:szCs w:val="24"/>
        </w:rPr>
        <w:t xml:space="preserve"> Litty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Business Analyst                                                                                                                      </w:t>
      </w:r>
      <w:r>
        <w:rPr>
          <w:sz w:val="24"/>
          <w:szCs w:val="24"/>
        </w:rPr>
        <w:tab/>
        <w:t xml:space="preserve">U.S. Department of Housing and Urban Development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Phone: (215) 861-7541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Email Address: Lance.L.Litty@hud.gov</w:t>
      </w:r>
    </w:p>
    <w:p w:rsidR="00E25EF6" w:rsidP="00E25EF6" w14:paraId="7F83694B" w14:textId="77777777">
      <w:pPr>
        <w:widowControl w:val="0"/>
        <w:kinsoku w:val="0"/>
        <w:autoSpaceDE/>
        <w:autoSpaceDN/>
        <w:adjustRightInd/>
        <w:spacing w:before="213" w:line="211" w:lineRule="exact"/>
        <w:rPr>
          <w:rFonts w:ascii="Arial Narrow" w:hAnsi="Arial Narrow"/>
          <w:sz w:val="17"/>
        </w:rPr>
      </w:pPr>
      <w:r>
        <w:rPr>
          <w:sz w:val="24"/>
          <w:szCs w:val="24"/>
        </w:rPr>
        <w:t xml:space="preserve">     </w:t>
      </w:r>
      <w:r>
        <w:rPr>
          <w:sz w:val="24"/>
          <w:szCs w:val="24"/>
        </w:rPr>
        <w:tab/>
        <w:t>Thomas Longo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Business Analyst                                                                                                                      </w:t>
      </w:r>
      <w:r>
        <w:rPr>
          <w:sz w:val="24"/>
          <w:szCs w:val="24"/>
        </w:rPr>
        <w:tab/>
        <w:t xml:space="preserve">U.S. Department of Housing and Urban Development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Phone: (215) 861-7548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Email Address: Thomas.J.Longo@hud.gov</w:t>
      </w:r>
    </w:p>
    <w:p w:rsidR="00E25EF6" w:rsidP="00E25EF6" w14:paraId="6F6B533C" w14:textId="77777777">
      <w:pPr>
        <w:widowControl w:val="0"/>
        <w:kinsoku w:val="0"/>
        <w:autoSpaceDE/>
        <w:autoSpaceDN/>
        <w:adjustRightInd/>
        <w:spacing w:before="213" w:line="211" w:lineRule="exact"/>
        <w:rPr>
          <w:rFonts w:ascii="Arial Narrow" w:hAnsi="Arial Narrow"/>
          <w:sz w:val="17"/>
        </w:rPr>
      </w:pPr>
    </w:p>
    <w:p w:rsidR="00E25EF6" w:rsidRPr="00B16916" w:rsidP="00E25EF6" w14:paraId="036521B5" w14:textId="77777777">
      <w:pPr>
        <w:spacing w:line="234" w:lineRule="exact"/>
        <w:ind w:right="6264"/>
      </w:pPr>
      <w:r w:rsidRPr="00B16916">
        <w:rPr>
          <w:noProof/>
          <w:u w:val="single"/>
        </w:rPr>
        <mc:AlternateContent>
          <mc:Choice Requires="wps">
            <w:drawing>
              <wp:anchor distT="0" distB="0" distL="0" distR="0" simplePos="0" relativeHeight="251658240" behindDoc="1" locked="0" layoutInCell="1" allowOverlap="1">
                <wp:simplePos x="0" y="0"/>
                <wp:positionH relativeFrom="page">
                  <wp:posOffset>6897370</wp:posOffset>
                </wp:positionH>
                <wp:positionV relativeFrom="page">
                  <wp:posOffset>6239510</wp:posOffset>
                </wp:positionV>
                <wp:extent cx="243840" cy="283210"/>
                <wp:effectExtent l="0" t="0" r="0" b="0"/>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840" cy="2832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25EF6" w:rsidP="00E25EF6" w14:textId="77777777">
                            <w:pPr>
                              <w:spacing w:after="5"/>
                              <w:ind w:right="19"/>
                            </w:pPr>
                            <w:r>
                              <w:rPr>
                                <w:noProof/>
                              </w:rPr>
                              <w:drawing>
                                <wp:inline distT="0" distB="0" distL="0" distR="0">
                                  <wp:extent cx="231775" cy="280035"/>
                                  <wp:effectExtent l="0" t="0" r="0" b="0"/>
                                  <wp:docPr id="1428192842" name="Picture"/>
                                  <wp:cNvGraphicFramePr/>
                                  <a:graphic xmlns:a="http://schemas.openxmlformats.org/drawingml/2006/main">
                                    <a:graphicData uri="http://schemas.openxmlformats.org/drawingml/2006/picture">
                                      <pic:pic xmlns:pic="http://schemas.openxmlformats.org/drawingml/2006/picture">
                                        <pic:nvPicPr>
                                          <pic:cNvPr id="1428192842" name="test1"/>
                                          <pic:cNvPicPr/>
                                        </pic:nvPicPr>
                                        <pic:blipFill>
                                          <a:blip xmlns:r="http://schemas.openxmlformats.org/officeDocument/2006/relationships" r:embed="rId5"/>
                                          <a:stretch>
                                            <a:fillRect/>
                                          </a:stretch>
                                        </pic:blipFill>
                                        <pic:spPr>
                                          <a:xfrm>
                                            <a:off x="0" y="0"/>
                                            <a:ext cx="231775" cy="2800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19.2pt;height:22.3pt;margin-top:491.3pt;margin-left:543.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E25EF6" w:rsidP="00E25EF6" w14:paraId="5461FA2A" w14:textId="77777777">
                      <w:pPr>
                        <w:spacing w:after="5"/>
                        <w:ind w:right="19"/>
                      </w:pPr>
                      <w:drawing>
                        <wp:inline distT="0" distB="0" distL="0" distR="0">
                          <wp:extent cx="231775" cy="280035"/>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test1"/>
                                  <pic:cNvPicPr/>
                                </pic:nvPicPr>
                                <pic:blipFill>
                                  <a:blip xmlns:r="http://schemas.openxmlformats.org/officeDocument/2006/relationships" r:embed="rId5"/>
                                  <a:stretch>
                                    <a:fillRect/>
                                  </a:stretch>
                                </pic:blipFill>
                                <pic:spPr>
                                  <a:xfrm>
                                    <a:off x="0" y="0"/>
                                    <a:ext cx="231775" cy="280035"/>
                                  </a:xfrm>
                                  <a:prstGeom prst="rect">
                                    <a:avLst/>
                                  </a:prstGeom>
                                </pic:spPr>
                              </pic:pic>
                            </a:graphicData>
                          </a:graphic>
                        </wp:inline>
                      </w:drawing>
                    </w:p>
                  </w:txbxContent>
                </v:textbox>
                <w10:wrap type="square"/>
              </v:shape>
            </w:pict>
          </mc:Fallback>
        </mc:AlternateContent>
      </w:r>
      <w:r w:rsidRPr="00B16916">
        <w:t xml:space="preserve"> </w:t>
      </w:r>
    </w:p>
    <w:p w:rsidR="00E25EF6" w:rsidP="00E25EF6" w14:paraId="59CAC870" w14:textId="77777777">
      <w:pPr>
        <w:widowControl w:val="0"/>
        <w:kinsoku w:val="0"/>
        <w:autoSpaceDE/>
        <w:autoSpaceDN/>
        <w:adjustRightInd/>
        <w:spacing w:before="213" w:line="211" w:lineRule="exact"/>
        <w:rPr>
          <w:rFonts w:ascii="Arial Narrow" w:hAnsi="Arial Narrow"/>
          <w:sz w:val="17"/>
        </w:rPr>
      </w:pPr>
    </w:p>
    <w:p w:rsidR="00E25EF6" w:rsidRPr="00FE4BC9" w:rsidP="00E25EF6" w14:paraId="5378468E" w14:textId="77777777"/>
    <w:p w:rsidR="00E25EF6" w14:paraId="402ADE1C" w14:textId="77777777"/>
    <w:sectPr w:rsidSect="00FE4BC9">
      <w:footerReference w:type="default" r:id="rId6"/>
      <w:footerReference w:type="first" r:id="rId7"/>
      <w:pgSz w:w="12240" w:h="15840"/>
      <w:pgMar w:top="1440" w:right="1080" w:bottom="1440" w:left="1080" w:header="480" w:footer="480" w:gutter="0"/>
      <w:cols w:space="480" w:equalWidth="0">
        <w:col w:w="10440"/>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A77" w14:paraId="04388D7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407">
      <w:rPr>
        <w:rStyle w:val="PageNumber"/>
        <w:noProof/>
      </w:rPr>
      <w:t>2</w:t>
    </w:r>
    <w:r>
      <w:rPr>
        <w:rStyle w:val="PageNumber"/>
      </w:rPr>
      <w:fldChar w:fldCharType="end"/>
    </w:r>
  </w:p>
  <w:p w:rsidR="00ED5A77" w14:paraId="0898E15C"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A77" w14:paraId="5FF7373E"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F6"/>
    <w:rsid w:val="00052BEC"/>
    <w:rsid w:val="000E682E"/>
    <w:rsid w:val="001A3407"/>
    <w:rsid w:val="002B4B40"/>
    <w:rsid w:val="003651C9"/>
    <w:rsid w:val="0039344F"/>
    <w:rsid w:val="003C0CDC"/>
    <w:rsid w:val="004874A0"/>
    <w:rsid w:val="004D1CB1"/>
    <w:rsid w:val="005371B1"/>
    <w:rsid w:val="00585812"/>
    <w:rsid w:val="00935172"/>
    <w:rsid w:val="009C3B94"/>
    <w:rsid w:val="009E464F"/>
    <w:rsid w:val="00A11E4A"/>
    <w:rsid w:val="00A80184"/>
    <w:rsid w:val="00B16916"/>
    <w:rsid w:val="00CF77DA"/>
    <w:rsid w:val="00D24176"/>
    <w:rsid w:val="00D40982"/>
    <w:rsid w:val="00DD3428"/>
    <w:rsid w:val="00E02EEC"/>
    <w:rsid w:val="00E25EF6"/>
    <w:rsid w:val="00EA589C"/>
    <w:rsid w:val="00ED5A77"/>
    <w:rsid w:val="00F641C7"/>
    <w:rsid w:val="00FE4B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D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E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5EF6"/>
    <w:pPr>
      <w:tabs>
        <w:tab w:val="center" w:pos="4320"/>
        <w:tab w:val="right" w:pos="8640"/>
      </w:tabs>
    </w:pPr>
  </w:style>
  <w:style w:type="character" w:customStyle="1" w:styleId="FooterChar">
    <w:name w:val="Footer Char"/>
    <w:basedOn w:val="DefaultParagraphFont"/>
    <w:link w:val="Footer"/>
    <w:rsid w:val="00E25EF6"/>
    <w:rPr>
      <w:rFonts w:ascii="Times New Roman" w:eastAsia="Times New Roman" w:hAnsi="Times New Roman" w:cs="Times New Roman"/>
      <w:sz w:val="20"/>
      <w:szCs w:val="20"/>
    </w:rPr>
  </w:style>
  <w:style w:type="character" w:styleId="PageNumber">
    <w:name w:val="page number"/>
    <w:basedOn w:val="DefaultParagraphFont"/>
    <w:rsid w:val="00E25EF6"/>
  </w:style>
  <w:style w:type="character" w:styleId="CommentReference">
    <w:name w:val="annotation reference"/>
    <w:basedOn w:val="DefaultParagraphFont"/>
    <w:uiPriority w:val="99"/>
    <w:semiHidden/>
    <w:unhideWhenUsed/>
    <w:rsid w:val="00EA589C"/>
    <w:rPr>
      <w:sz w:val="16"/>
      <w:szCs w:val="16"/>
    </w:rPr>
  </w:style>
  <w:style w:type="paragraph" w:styleId="CommentText">
    <w:name w:val="annotation text"/>
    <w:basedOn w:val="Normal"/>
    <w:link w:val="CommentTextChar"/>
    <w:uiPriority w:val="99"/>
    <w:semiHidden/>
    <w:unhideWhenUsed/>
    <w:rsid w:val="00EA589C"/>
  </w:style>
  <w:style w:type="character" w:customStyle="1" w:styleId="CommentTextChar">
    <w:name w:val="Comment Text Char"/>
    <w:basedOn w:val="DefaultParagraphFont"/>
    <w:link w:val="CommentText"/>
    <w:uiPriority w:val="99"/>
    <w:semiHidden/>
    <w:rsid w:val="00EA58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589C"/>
    <w:rPr>
      <w:b/>
      <w:bCs/>
    </w:rPr>
  </w:style>
  <w:style w:type="character" w:customStyle="1" w:styleId="CommentSubjectChar">
    <w:name w:val="Comment Subject Char"/>
    <w:basedOn w:val="CommentTextChar"/>
    <w:link w:val="CommentSubject"/>
    <w:uiPriority w:val="99"/>
    <w:semiHidden/>
    <w:rsid w:val="00EA589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B4B40"/>
    <w:pPr>
      <w:tabs>
        <w:tab w:val="center" w:pos="4680"/>
        <w:tab w:val="right" w:pos="9360"/>
      </w:tabs>
    </w:pPr>
  </w:style>
  <w:style w:type="character" w:customStyle="1" w:styleId="HeaderChar">
    <w:name w:val="Header Char"/>
    <w:basedOn w:val="DefaultParagraphFont"/>
    <w:link w:val="Header"/>
    <w:uiPriority w:val="99"/>
    <w:rsid w:val="002B4B40"/>
    <w:rPr>
      <w:rFonts w:ascii="Times New Roman" w:eastAsia="Times New Roman" w:hAnsi="Times New Roman" w:cs="Times New Roman"/>
      <w:sz w:val="20"/>
      <w:szCs w:val="20"/>
    </w:rPr>
  </w:style>
  <w:style w:type="paragraph" w:styleId="Revision">
    <w:name w:val="Revision"/>
    <w:hidden/>
    <w:uiPriority w:val="99"/>
    <w:semiHidden/>
    <w:rsid w:val="00A11E4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3E13-3717-4DCE-9BCC-081F97EA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2023-03-24T18:09:00Z</dcterms:created>
  <dcterms:modified xsi:type="dcterms:W3CDTF">2023-03-24T18:09:00Z</dcterms:modified>
</cp:coreProperties>
</file>