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8E253" w14:textId="77777777" w:rsidR="007D61CE" w:rsidRPr="00A5668C" w:rsidRDefault="007D61CE" w:rsidP="00FB7FA3">
      <w:pPr>
        <w:jc w:val="center"/>
        <w:rPr>
          <w:b/>
          <w:bCs/>
          <w:sz w:val="28"/>
          <w:szCs w:val="28"/>
        </w:rPr>
      </w:pPr>
      <w:bookmarkStart w:id="0" w:name="_GoBack"/>
      <w:bookmarkEnd w:id="0"/>
      <w:r w:rsidRPr="00A5668C">
        <w:rPr>
          <w:b/>
          <w:bCs/>
          <w:sz w:val="28"/>
          <w:szCs w:val="28"/>
        </w:rPr>
        <w:t>SUPPORTING JUSTIFICATION</w:t>
      </w:r>
      <w:r w:rsidR="00096CDB" w:rsidRPr="00A5668C">
        <w:rPr>
          <w:b/>
          <w:bCs/>
          <w:sz w:val="28"/>
          <w:szCs w:val="28"/>
        </w:rPr>
        <w:t xml:space="preserve"> – Part A</w:t>
      </w:r>
    </w:p>
    <w:p w14:paraId="3EBF6DE2" w14:textId="77777777" w:rsidR="007D61CE" w:rsidRPr="00A5668C" w:rsidRDefault="00096CDB" w:rsidP="00FB7FA3">
      <w:pPr>
        <w:jc w:val="center"/>
        <w:rPr>
          <w:b/>
          <w:bCs/>
          <w:sz w:val="28"/>
          <w:szCs w:val="28"/>
        </w:rPr>
      </w:pPr>
      <w:r w:rsidRPr="00A5668C">
        <w:rPr>
          <w:b/>
          <w:bCs/>
          <w:sz w:val="28"/>
          <w:szCs w:val="28"/>
        </w:rPr>
        <w:t xml:space="preserve">Inquiry into Blocked Highway-Rail Grade Crossings throughout the United States; OMB No. 2130-NEW </w:t>
      </w:r>
    </w:p>
    <w:p w14:paraId="50E747E0" w14:textId="77777777" w:rsidR="007D61CE" w:rsidRPr="00A5668C" w:rsidRDefault="007D61CE" w:rsidP="00FB7FA3">
      <w:pPr>
        <w:jc w:val="center"/>
        <w:rPr>
          <w:b/>
          <w:bCs/>
          <w:sz w:val="28"/>
          <w:szCs w:val="28"/>
        </w:rPr>
      </w:pPr>
      <w:r w:rsidRPr="00A5668C">
        <w:rPr>
          <w:b/>
          <w:bCs/>
          <w:sz w:val="28"/>
          <w:szCs w:val="28"/>
        </w:rPr>
        <w:t>Form Number FRA F 6180.1</w:t>
      </w:r>
      <w:r w:rsidR="006E4C2B" w:rsidRPr="00A5668C">
        <w:rPr>
          <w:b/>
          <w:bCs/>
          <w:sz w:val="28"/>
          <w:szCs w:val="28"/>
        </w:rPr>
        <w:t>7</w:t>
      </w:r>
      <w:r w:rsidRPr="00A5668C">
        <w:rPr>
          <w:b/>
          <w:bCs/>
          <w:sz w:val="28"/>
          <w:szCs w:val="28"/>
        </w:rPr>
        <w:t>5</w:t>
      </w:r>
    </w:p>
    <w:p w14:paraId="53BD2EDF" w14:textId="77777777" w:rsidR="00E82AB1" w:rsidRDefault="00E82AB1" w:rsidP="00FB7FA3">
      <w:pPr>
        <w:jc w:val="center"/>
        <w:rPr>
          <w:b/>
          <w:bCs/>
          <w:sz w:val="32"/>
          <w:szCs w:val="32"/>
        </w:rPr>
      </w:pPr>
    </w:p>
    <w:p w14:paraId="1BBBFA54" w14:textId="77777777" w:rsidR="008417E3" w:rsidRDefault="008417E3" w:rsidP="00FB7FA3">
      <w:pPr>
        <w:jc w:val="center"/>
        <w:rPr>
          <w:b/>
          <w:bCs/>
          <w:sz w:val="32"/>
          <w:szCs w:val="32"/>
        </w:rPr>
      </w:pPr>
    </w:p>
    <w:p w14:paraId="157F2FC6" w14:textId="77777777" w:rsidR="008417E3" w:rsidRDefault="008417E3" w:rsidP="00E82AB1">
      <w:pPr>
        <w:widowControl w:val="0"/>
        <w:ind w:left="720"/>
        <w:rPr>
          <w:u w:val="single"/>
        </w:rPr>
      </w:pPr>
    </w:p>
    <w:p w14:paraId="4B588ECE" w14:textId="77777777" w:rsidR="00E82AB1" w:rsidRPr="00AD423C" w:rsidRDefault="00E82AB1" w:rsidP="00E82AB1">
      <w:pPr>
        <w:widowControl w:val="0"/>
        <w:ind w:left="720"/>
        <w:rPr>
          <w:u w:val="single"/>
        </w:rPr>
      </w:pPr>
      <w:r w:rsidRPr="00AD423C">
        <w:rPr>
          <w:u w:val="single"/>
        </w:rPr>
        <w:t>Summary of Submission</w:t>
      </w:r>
    </w:p>
    <w:p w14:paraId="1F6B4071" w14:textId="77777777" w:rsidR="00E82AB1" w:rsidRDefault="00E82AB1" w:rsidP="00E82AB1">
      <w:pPr>
        <w:widowControl w:val="0"/>
        <w:ind w:left="720"/>
        <w:rPr>
          <w:u w:val="single"/>
        </w:rPr>
      </w:pPr>
    </w:p>
    <w:p w14:paraId="7093ED17" w14:textId="77777777" w:rsidR="008417E3" w:rsidRPr="00AD423C" w:rsidRDefault="008417E3" w:rsidP="00E82AB1">
      <w:pPr>
        <w:widowControl w:val="0"/>
        <w:ind w:left="720"/>
        <w:rPr>
          <w:u w:val="single"/>
        </w:rPr>
      </w:pPr>
    </w:p>
    <w:p w14:paraId="75FB747A" w14:textId="77777777" w:rsidR="00E82AB1" w:rsidRDefault="00E82AB1" w:rsidP="00E82AB1">
      <w:pPr>
        <w:widowControl w:val="0"/>
        <w:numPr>
          <w:ilvl w:val="1"/>
          <w:numId w:val="6"/>
        </w:numPr>
      </w:pPr>
      <w:r w:rsidRPr="00AD423C">
        <w:t>Th</w:t>
      </w:r>
      <w:r>
        <w:t xml:space="preserve">is is a </w:t>
      </w:r>
      <w:r w:rsidRPr="008417E3">
        <w:t>new</w:t>
      </w:r>
      <w:r>
        <w:t xml:space="preserve"> collection of information related to blocked highway-rail grade crossings in the U.S.</w:t>
      </w:r>
    </w:p>
    <w:p w14:paraId="4AB06687" w14:textId="77777777" w:rsidR="00E82AB1" w:rsidRDefault="00E82AB1" w:rsidP="00E82AB1">
      <w:pPr>
        <w:widowControl w:val="0"/>
        <w:ind w:left="1080"/>
      </w:pPr>
    </w:p>
    <w:p w14:paraId="6C5A2CC5" w14:textId="77777777" w:rsidR="00E82AB1" w:rsidRDefault="00E82AB1" w:rsidP="00E82AB1">
      <w:pPr>
        <w:widowControl w:val="0"/>
        <w:numPr>
          <w:ilvl w:val="1"/>
          <w:numId w:val="6"/>
        </w:numPr>
      </w:pPr>
      <w:r>
        <w:t xml:space="preserve">FRA published the required 60-day </w:t>
      </w:r>
      <w:r w:rsidRPr="0061628C">
        <w:rPr>
          <w:b/>
        </w:rPr>
        <w:t xml:space="preserve">Federal Register </w:t>
      </w:r>
      <w:r w:rsidRPr="00257124">
        <w:t>Notice</w:t>
      </w:r>
      <w:r>
        <w:rPr>
          <w:b/>
        </w:rPr>
        <w:t xml:space="preserve"> </w:t>
      </w:r>
      <w:r>
        <w:t xml:space="preserve">on June 14, 2019.  </w:t>
      </w:r>
      <w:r w:rsidRPr="0061628C">
        <w:rPr>
          <w:u w:val="single"/>
        </w:rPr>
        <w:t>See</w:t>
      </w:r>
      <w:r>
        <w:t xml:space="preserve"> </w:t>
      </w:r>
    </w:p>
    <w:p w14:paraId="5A7478B3" w14:textId="77777777" w:rsidR="00E82AB1" w:rsidRDefault="00E82AB1" w:rsidP="00E82AB1">
      <w:pPr>
        <w:widowControl w:val="0"/>
        <w:ind w:left="1080"/>
      </w:pPr>
      <w:r>
        <w:t>84 FR 2</w:t>
      </w:r>
      <w:r w:rsidR="0027249C">
        <w:t>7832</w:t>
      </w:r>
      <w:r>
        <w:t xml:space="preserve">.  FRA received </w:t>
      </w:r>
      <w:r w:rsidR="0027249C">
        <w:rPr>
          <w:u w:val="single"/>
        </w:rPr>
        <w:t>191</w:t>
      </w:r>
      <w:r>
        <w:t xml:space="preserve"> comment</w:t>
      </w:r>
      <w:r w:rsidR="0027249C">
        <w:t>s</w:t>
      </w:r>
      <w:r>
        <w:t xml:space="preserve"> in response to this Notice.   </w:t>
      </w:r>
    </w:p>
    <w:p w14:paraId="41476409" w14:textId="77777777" w:rsidR="00E82AB1" w:rsidRDefault="00E82AB1" w:rsidP="00E82AB1">
      <w:pPr>
        <w:widowControl w:val="0"/>
        <w:ind w:left="1080"/>
      </w:pPr>
    </w:p>
    <w:p w14:paraId="6AD59485" w14:textId="77777777" w:rsidR="00E82AB1" w:rsidRDefault="0027249C" w:rsidP="00E82AB1">
      <w:pPr>
        <w:widowControl w:val="0"/>
        <w:numPr>
          <w:ilvl w:val="1"/>
          <w:numId w:val="6"/>
        </w:numPr>
        <w:outlineLvl w:val="0"/>
      </w:pPr>
      <w:r>
        <w:t xml:space="preserve">FRA is publishing the required 30-day Notice in the Federal Register on </w:t>
      </w:r>
      <w:r>
        <w:rPr>
          <w:b/>
        </w:rPr>
        <w:t>September 20, 2019</w:t>
      </w:r>
      <w:r>
        <w:t xml:space="preserve">.  </w:t>
      </w:r>
      <w:r>
        <w:rPr>
          <w:u w:val="single"/>
        </w:rPr>
        <w:t>See</w:t>
      </w:r>
      <w:r>
        <w:t xml:space="preserve"> 84 FR </w:t>
      </w:r>
      <w:r w:rsidR="00BC3EF8">
        <w:t>49611</w:t>
      </w:r>
      <w:r>
        <w:t>.</w:t>
      </w:r>
    </w:p>
    <w:p w14:paraId="1EAF97B2" w14:textId="77777777" w:rsidR="00E82AB1" w:rsidRDefault="00E82AB1" w:rsidP="00E82AB1">
      <w:pPr>
        <w:widowControl w:val="0"/>
      </w:pPr>
    </w:p>
    <w:p w14:paraId="515B585C" w14:textId="77777777" w:rsidR="00E82AB1" w:rsidRPr="00730AA3" w:rsidRDefault="00E82AB1" w:rsidP="00E82AB1">
      <w:pPr>
        <w:widowControl w:val="0"/>
        <w:numPr>
          <w:ilvl w:val="1"/>
          <w:numId w:val="6"/>
        </w:numPr>
        <w:outlineLvl w:val="0"/>
      </w:pPr>
      <w:r>
        <w:t xml:space="preserve">The total </w:t>
      </w:r>
      <w:r w:rsidRPr="008417E3">
        <w:t>burden</w:t>
      </w:r>
      <w:r w:rsidRPr="0001327B">
        <w:rPr>
          <w:b/>
        </w:rPr>
        <w:t xml:space="preserve"> </w:t>
      </w:r>
      <w:r w:rsidR="00942140">
        <w:rPr>
          <w:b/>
        </w:rPr>
        <w:t xml:space="preserve">hours </w:t>
      </w:r>
      <w:r w:rsidRPr="0001327B">
        <w:rPr>
          <w:b/>
        </w:rPr>
        <w:t>requested</w:t>
      </w:r>
      <w:r>
        <w:t xml:space="preserve"> for this</w:t>
      </w:r>
      <w:r w:rsidRPr="003A17A2">
        <w:rPr>
          <w:sz w:val="22"/>
        </w:rPr>
        <w:t xml:space="preserve"> </w:t>
      </w:r>
      <w:r>
        <w:t xml:space="preserve">information collection submission is                 </w:t>
      </w:r>
      <w:r w:rsidR="00942140">
        <w:rPr>
          <w:b/>
        </w:rPr>
        <w:t>250</w:t>
      </w:r>
      <w:r>
        <w:rPr>
          <w:b/>
        </w:rPr>
        <w:t xml:space="preserve"> </w:t>
      </w:r>
      <w:r w:rsidRPr="00D41B3D">
        <w:rPr>
          <w:b/>
        </w:rPr>
        <w:t>hours</w:t>
      </w:r>
      <w:r w:rsidRPr="00842BE2">
        <w:rPr>
          <w:b/>
        </w:rPr>
        <w:t>.</w:t>
      </w:r>
      <w:r>
        <w:rPr>
          <w:b/>
        </w:rPr>
        <w:t xml:space="preserve">  </w:t>
      </w:r>
    </w:p>
    <w:p w14:paraId="3859B350" w14:textId="77777777" w:rsidR="00E82AB1" w:rsidRDefault="00E82AB1" w:rsidP="00E82AB1">
      <w:pPr>
        <w:pStyle w:val="ListParagraph"/>
      </w:pPr>
    </w:p>
    <w:p w14:paraId="6440E17F" w14:textId="77777777" w:rsidR="00E82AB1" w:rsidRPr="00AF2953" w:rsidRDefault="00E82AB1" w:rsidP="00E82AB1">
      <w:pPr>
        <w:widowControl w:val="0"/>
        <w:numPr>
          <w:ilvl w:val="1"/>
          <w:numId w:val="6"/>
        </w:numPr>
        <w:outlineLvl w:val="0"/>
      </w:pPr>
      <w:r w:rsidRPr="00B42C51">
        <w:t xml:space="preserve">Total number of </w:t>
      </w:r>
      <w:r w:rsidRPr="008E1866">
        <w:rPr>
          <w:b/>
        </w:rPr>
        <w:t>responses requested</w:t>
      </w:r>
      <w:r w:rsidRPr="00B42C51">
        <w:t xml:space="preserve"> for this submission is</w:t>
      </w:r>
      <w:r>
        <w:t xml:space="preserve"> </w:t>
      </w:r>
      <w:r w:rsidR="00942140" w:rsidRPr="008417E3">
        <w:rPr>
          <w:b/>
        </w:rPr>
        <w:t>5,000</w:t>
      </w:r>
      <w:r>
        <w:rPr>
          <w:b/>
        </w:rPr>
        <w:t xml:space="preserve">. </w:t>
      </w:r>
    </w:p>
    <w:p w14:paraId="2817B262" w14:textId="77777777" w:rsidR="00E82AB1" w:rsidRDefault="00E82AB1" w:rsidP="00E82AB1">
      <w:pPr>
        <w:pStyle w:val="ListParagraph"/>
      </w:pPr>
    </w:p>
    <w:p w14:paraId="30232CFF" w14:textId="77777777" w:rsidR="00942140" w:rsidRDefault="00942140" w:rsidP="00E82AB1">
      <w:pPr>
        <w:widowControl w:val="0"/>
        <w:numPr>
          <w:ilvl w:val="1"/>
          <w:numId w:val="6"/>
        </w:numPr>
        <w:outlineLvl w:val="0"/>
      </w:pPr>
      <w:r>
        <w:t xml:space="preserve">By definition, this entire information collection submission is a </w:t>
      </w:r>
      <w:r>
        <w:rPr>
          <w:b/>
        </w:rPr>
        <w:t>program change</w:t>
      </w:r>
      <w:r>
        <w:t>.</w:t>
      </w:r>
    </w:p>
    <w:p w14:paraId="508212D8" w14:textId="77777777" w:rsidR="00942140" w:rsidRDefault="00942140" w:rsidP="008417E3">
      <w:pPr>
        <w:pStyle w:val="ListParagraph"/>
      </w:pPr>
    </w:p>
    <w:p w14:paraId="2919CB00" w14:textId="77777777" w:rsidR="00E82AB1" w:rsidRPr="000176AF" w:rsidRDefault="00E82AB1" w:rsidP="008417E3">
      <w:pPr>
        <w:widowControl w:val="0"/>
        <w:ind w:left="1080"/>
        <w:outlineLvl w:val="0"/>
      </w:pPr>
      <w:r w:rsidRPr="00AD423C">
        <w:t xml:space="preserve">**The answer to question </w:t>
      </w:r>
      <w:r w:rsidRPr="00F76C3A">
        <w:rPr>
          <w:b/>
          <w:u w:val="single"/>
        </w:rPr>
        <w:t>number 12</w:t>
      </w:r>
      <w:r w:rsidRPr="00AD423C">
        <w:t xml:space="preserve"> itemizes the hourly burden associated with each requirement of this </w:t>
      </w:r>
      <w:r w:rsidRPr="003E0632">
        <w:t xml:space="preserve">rule (See pp. </w:t>
      </w:r>
      <w:r w:rsidR="00942140" w:rsidRPr="003E0632">
        <w:t>6-7</w:t>
      </w:r>
      <w:r w:rsidRPr="003E0632">
        <w:t xml:space="preserve">).  </w:t>
      </w:r>
    </w:p>
    <w:p w14:paraId="5D8D935E" w14:textId="77777777" w:rsidR="00E82AB1" w:rsidRDefault="00E82AB1" w:rsidP="00E82AB1">
      <w:pPr>
        <w:pStyle w:val="ListParagraph"/>
      </w:pPr>
    </w:p>
    <w:p w14:paraId="1B5B6B38" w14:textId="77777777" w:rsidR="00E82AB1" w:rsidRDefault="00E82AB1" w:rsidP="00FB7FA3">
      <w:pPr>
        <w:jc w:val="center"/>
        <w:rPr>
          <w:b/>
          <w:bCs/>
          <w:sz w:val="32"/>
          <w:szCs w:val="32"/>
        </w:rPr>
      </w:pPr>
    </w:p>
    <w:p w14:paraId="1D2D16AB" w14:textId="77777777" w:rsidR="00942140" w:rsidRDefault="00942140" w:rsidP="00FB7FA3">
      <w:pPr>
        <w:jc w:val="center"/>
        <w:rPr>
          <w:b/>
          <w:bCs/>
          <w:sz w:val="32"/>
          <w:szCs w:val="32"/>
        </w:rPr>
      </w:pPr>
    </w:p>
    <w:p w14:paraId="65CB50FF" w14:textId="77777777" w:rsidR="00942140" w:rsidRDefault="00942140" w:rsidP="00FB7FA3">
      <w:pPr>
        <w:jc w:val="center"/>
        <w:rPr>
          <w:b/>
          <w:bCs/>
          <w:sz w:val="32"/>
          <w:szCs w:val="32"/>
        </w:rPr>
      </w:pPr>
    </w:p>
    <w:p w14:paraId="43EF2D4A" w14:textId="77777777" w:rsidR="00942140" w:rsidRDefault="00942140" w:rsidP="00FB7FA3">
      <w:pPr>
        <w:jc w:val="center"/>
        <w:rPr>
          <w:b/>
          <w:bCs/>
          <w:sz w:val="32"/>
          <w:szCs w:val="32"/>
        </w:rPr>
      </w:pPr>
    </w:p>
    <w:p w14:paraId="49A943E1" w14:textId="77777777" w:rsidR="00942140" w:rsidRDefault="00942140" w:rsidP="00FB7FA3">
      <w:pPr>
        <w:jc w:val="center"/>
        <w:rPr>
          <w:b/>
          <w:bCs/>
          <w:sz w:val="32"/>
          <w:szCs w:val="32"/>
        </w:rPr>
      </w:pPr>
    </w:p>
    <w:p w14:paraId="7D9DD9F6" w14:textId="77777777" w:rsidR="00942140" w:rsidRDefault="00942140" w:rsidP="00FB7FA3">
      <w:pPr>
        <w:jc w:val="center"/>
        <w:rPr>
          <w:b/>
          <w:bCs/>
          <w:sz w:val="32"/>
          <w:szCs w:val="32"/>
        </w:rPr>
      </w:pPr>
    </w:p>
    <w:p w14:paraId="2BBFC0A8" w14:textId="77777777" w:rsidR="00942140" w:rsidRDefault="00942140" w:rsidP="00FB7FA3">
      <w:pPr>
        <w:jc w:val="center"/>
        <w:rPr>
          <w:b/>
          <w:bCs/>
          <w:sz w:val="32"/>
          <w:szCs w:val="32"/>
        </w:rPr>
      </w:pPr>
    </w:p>
    <w:p w14:paraId="764EC478" w14:textId="77777777" w:rsidR="00942140" w:rsidRDefault="00942140" w:rsidP="00FB7FA3">
      <w:pPr>
        <w:jc w:val="center"/>
        <w:rPr>
          <w:b/>
          <w:bCs/>
          <w:sz w:val="32"/>
          <w:szCs w:val="32"/>
        </w:rPr>
      </w:pPr>
    </w:p>
    <w:p w14:paraId="46D42ED2" w14:textId="77777777" w:rsidR="00942140" w:rsidRDefault="00942140" w:rsidP="00FB7FA3">
      <w:pPr>
        <w:jc w:val="center"/>
        <w:rPr>
          <w:b/>
          <w:bCs/>
          <w:sz w:val="32"/>
          <w:szCs w:val="32"/>
        </w:rPr>
      </w:pPr>
    </w:p>
    <w:p w14:paraId="5515189D" w14:textId="77777777" w:rsidR="00942140" w:rsidRDefault="00942140" w:rsidP="00FB7FA3">
      <w:pPr>
        <w:jc w:val="center"/>
        <w:rPr>
          <w:b/>
          <w:bCs/>
          <w:sz w:val="32"/>
          <w:szCs w:val="32"/>
        </w:rPr>
      </w:pPr>
    </w:p>
    <w:p w14:paraId="255E0F36" w14:textId="77777777" w:rsidR="00EB7DD0" w:rsidRDefault="009F22C0" w:rsidP="001068F0">
      <w:pPr>
        <w:widowControl w:val="0"/>
        <w:tabs>
          <w:tab w:val="center" w:pos="4680"/>
        </w:tabs>
        <w:rPr>
          <w:b/>
        </w:rPr>
      </w:pPr>
      <w:r>
        <w:lastRenderedPageBreak/>
        <w:fldChar w:fldCharType="begin"/>
      </w:r>
      <w:r>
        <w:instrText xml:space="preserve"> SEQ CHAPTER \h \r 1</w:instrText>
      </w:r>
      <w:r>
        <w:fldChar w:fldCharType="end"/>
      </w:r>
      <w:r>
        <w:rPr>
          <w:b/>
        </w:rPr>
        <w:tab/>
      </w:r>
    </w:p>
    <w:p w14:paraId="247A4BBB" w14:textId="77777777" w:rsidR="00B061CE" w:rsidRPr="00A5668C" w:rsidRDefault="00780204" w:rsidP="00A5668C">
      <w:pPr>
        <w:pStyle w:val="ListParagraph"/>
        <w:widowControl w:val="0"/>
        <w:numPr>
          <w:ilvl w:val="0"/>
          <w:numId w:val="7"/>
        </w:numPr>
        <w:rPr>
          <w:b/>
          <w:szCs w:val="24"/>
        </w:rPr>
      </w:pPr>
      <w:r w:rsidRPr="00A5668C">
        <w:rPr>
          <w:b/>
          <w:szCs w:val="24"/>
        </w:rPr>
        <w:t>Circumstances that make the collection of information necessary.</w:t>
      </w:r>
    </w:p>
    <w:p w14:paraId="02B818DB" w14:textId="77777777" w:rsidR="00780204" w:rsidRDefault="00780204" w:rsidP="001068F0">
      <w:pPr>
        <w:ind w:left="720"/>
        <w:rPr>
          <w:bCs/>
          <w:szCs w:val="24"/>
        </w:rPr>
      </w:pPr>
    </w:p>
    <w:p w14:paraId="6B9E4DD1" w14:textId="77777777" w:rsidR="00E8038A" w:rsidRDefault="00E8038A" w:rsidP="001068F0">
      <w:pPr>
        <w:ind w:left="720"/>
        <w:rPr>
          <w:bCs/>
          <w:szCs w:val="24"/>
        </w:rPr>
      </w:pPr>
      <w:r>
        <w:rPr>
          <w:bCs/>
          <w:szCs w:val="24"/>
        </w:rPr>
        <w:t xml:space="preserve">Blocked highway-rail crossings are a safety concern, </w:t>
      </w:r>
      <w:r w:rsidR="001068F0">
        <w:rPr>
          <w:bCs/>
          <w:szCs w:val="24"/>
        </w:rPr>
        <w:t xml:space="preserve">an </w:t>
      </w:r>
      <w:r w:rsidR="005C3209">
        <w:rPr>
          <w:bCs/>
          <w:szCs w:val="24"/>
        </w:rPr>
        <w:t>economic issue</w:t>
      </w:r>
      <w:r>
        <w:rPr>
          <w:bCs/>
          <w:szCs w:val="24"/>
        </w:rPr>
        <w:t xml:space="preserve">, and a quality of life issue around the country.  </w:t>
      </w:r>
      <w:r w:rsidRPr="00E8038A">
        <w:rPr>
          <w:bCs/>
          <w:szCs w:val="24"/>
        </w:rPr>
        <w:t>For instance, pedestrians may cut under or through idling trains</w:t>
      </w:r>
      <w:r w:rsidR="001068F0">
        <w:rPr>
          <w:bCs/>
          <w:szCs w:val="24"/>
        </w:rPr>
        <w:t xml:space="preserve">, and </w:t>
      </w:r>
      <w:r w:rsidRPr="00E8038A">
        <w:rPr>
          <w:bCs/>
          <w:szCs w:val="24"/>
        </w:rPr>
        <w:t>emergency response vehicles and first responders may be delayed or prevented from responding to an incident or transporting patients to a hospital.  In addition, drivers may take more risks, such as driving around lowered gates at a crossing or attempting to beat a train through a crossing without gates to avoid a lengthy delay</w:t>
      </w:r>
      <w:r w:rsidR="005E0995">
        <w:rPr>
          <w:bCs/>
          <w:szCs w:val="24"/>
        </w:rPr>
        <w:t>,</w:t>
      </w:r>
      <w:r w:rsidRPr="00E8038A">
        <w:rPr>
          <w:bCs/>
          <w:szCs w:val="24"/>
        </w:rPr>
        <w:t xml:space="preserve"> if they are aware that trains routinely block a crossing for extended periods of time.  Besides the safety concerns, there are also economic impacts that affect businesses, such as stores or restaurants not being accessible to a customer base for an extended period of time.  Finally, excessively blocked crossings may create societal nuisances, such as roadway congestion, late mail service and deliveries, disrupted school and work arrival</w:t>
      </w:r>
      <w:r w:rsidR="005E0995">
        <w:rPr>
          <w:bCs/>
          <w:szCs w:val="24"/>
        </w:rPr>
        <w:t>s</w:t>
      </w:r>
      <w:r w:rsidRPr="00E8038A">
        <w:rPr>
          <w:bCs/>
          <w:szCs w:val="24"/>
        </w:rPr>
        <w:t xml:space="preserve"> and dismissal</w:t>
      </w:r>
      <w:r w:rsidR="005E0995">
        <w:rPr>
          <w:bCs/>
          <w:szCs w:val="24"/>
        </w:rPr>
        <w:t>s</w:t>
      </w:r>
      <w:r w:rsidRPr="00E8038A">
        <w:rPr>
          <w:bCs/>
          <w:szCs w:val="24"/>
        </w:rPr>
        <w:t>, or missed appointments.</w:t>
      </w:r>
    </w:p>
    <w:p w14:paraId="331C36FA" w14:textId="77777777" w:rsidR="00E8038A" w:rsidRDefault="00E8038A" w:rsidP="001068F0">
      <w:pPr>
        <w:ind w:left="720"/>
        <w:rPr>
          <w:bCs/>
          <w:szCs w:val="24"/>
        </w:rPr>
      </w:pPr>
    </w:p>
    <w:p w14:paraId="5C75DC86" w14:textId="77777777" w:rsidR="00E8038A" w:rsidRPr="00E8038A" w:rsidRDefault="00E8038A" w:rsidP="001068F0">
      <w:pPr>
        <w:ind w:left="720"/>
        <w:rPr>
          <w:bCs/>
          <w:szCs w:val="24"/>
        </w:rPr>
      </w:pPr>
      <w:r>
        <w:rPr>
          <w:bCs/>
          <w:szCs w:val="24"/>
        </w:rPr>
        <w:t xml:space="preserve">Although there are no </w:t>
      </w:r>
      <w:r w:rsidR="001775D0">
        <w:rPr>
          <w:bCs/>
          <w:szCs w:val="24"/>
        </w:rPr>
        <w:t>F</w:t>
      </w:r>
      <w:r>
        <w:rPr>
          <w:bCs/>
          <w:szCs w:val="24"/>
        </w:rPr>
        <w:t xml:space="preserve">ederal regulations regarding blocked crossings, the </w:t>
      </w:r>
      <w:r w:rsidR="005C3209">
        <w:rPr>
          <w:bCs/>
          <w:szCs w:val="24"/>
        </w:rPr>
        <w:t>Federal Railroad Administration (</w:t>
      </w:r>
      <w:r>
        <w:rPr>
          <w:bCs/>
          <w:szCs w:val="24"/>
        </w:rPr>
        <w:t>FRA</w:t>
      </w:r>
      <w:r w:rsidR="005C3209">
        <w:rPr>
          <w:bCs/>
          <w:szCs w:val="24"/>
        </w:rPr>
        <w:t>)</w:t>
      </w:r>
      <w:r>
        <w:rPr>
          <w:bCs/>
          <w:szCs w:val="24"/>
        </w:rPr>
        <w:t xml:space="preserve"> is often involved in the outreach and facilitation of solutions between stakeholders</w:t>
      </w:r>
      <w:r w:rsidR="001068F0">
        <w:rPr>
          <w:bCs/>
          <w:szCs w:val="24"/>
        </w:rPr>
        <w:t>,</w:t>
      </w:r>
      <w:r>
        <w:rPr>
          <w:bCs/>
          <w:szCs w:val="24"/>
        </w:rPr>
        <w:t xml:space="preserve"> which include local agencies, EMS personnel, railroad companies, and others.  </w:t>
      </w:r>
      <w:r w:rsidR="00F57924">
        <w:rPr>
          <w:bCs/>
          <w:szCs w:val="24"/>
        </w:rPr>
        <w:t>L</w:t>
      </w:r>
      <w:r>
        <w:rPr>
          <w:bCs/>
          <w:szCs w:val="24"/>
        </w:rPr>
        <w:t xml:space="preserve">ocal communities and the general public </w:t>
      </w:r>
      <w:r w:rsidR="00F57924">
        <w:rPr>
          <w:bCs/>
          <w:szCs w:val="24"/>
        </w:rPr>
        <w:t xml:space="preserve">often consult </w:t>
      </w:r>
      <w:r w:rsidR="0000210A">
        <w:rPr>
          <w:bCs/>
          <w:szCs w:val="24"/>
        </w:rPr>
        <w:t xml:space="preserve">with </w:t>
      </w:r>
      <w:r w:rsidR="00F57924">
        <w:rPr>
          <w:bCs/>
          <w:szCs w:val="24"/>
        </w:rPr>
        <w:t xml:space="preserve">congressional representatives </w:t>
      </w:r>
      <w:r>
        <w:rPr>
          <w:bCs/>
          <w:szCs w:val="24"/>
        </w:rPr>
        <w:t>regarding blocked crossings in their area, and th</w:t>
      </w:r>
      <w:r w:rsidR="0000210A">
        <w:rPr>
          <w:bCs/>
          <w:szCs w:val="24"/>
        </w:rPr>
        <w:t>ose</w:t>
      </w:r>
      <w:r>
        <w:rPr>
          <w:bCs/>
          <w:szCs w:val="24"/>
        </w:rPr>
        <w:t xml:space="preserve"> congressional representatives then inquire </w:t>
      </w:r>
      <w:r w:rsidR="0000210A">
        <w:rPr>
          <w:bCs/>
          <w:szCs w:val="24"/>
        </w:rPr>
        <w:t xml:space="preserve">with </w:t>
      </w:r>
      <w:r>
        <w:rPr>
          <w:bCs/>
          <w:szCs w:val="24"/>
        </w:rPr>
        <w:t xml:space="preserve">FRA about blocked crossing data </w:t>
      </w:r>
      <w:r w:rsidR="00E13EF2">
        <w:rPr>
          <w:bCs/>
          <w:szCs w:val="24"/>
        </w:rPr>
        <w:t>for</w:t>
      </w:r>
      <w:r>
        <w:rPr>
          <w:bCs/>
          <w:szCs w:val="24"/>
        </w:rPr>
        <w:t xml:space="preserve"> that location.  However, FRA does not have a consistent method of tracking blocked crossing data and information.</w:t>
      </w:r>
    </w:p>
    <w:p w14:paraId="3099FA5D" w14:textId="77777777" w:rsidR="00E8038A" w:rsidRDefault="00E8038A" w:rsidP="001068F0">
      <w:pPr>
        <w:ind w:left="720"/>
        <w:rPr>
          <w:bCs/>
          <w:szCs w:val="24"/>
        </w:rPr>
      </w:pPr>
    </w:p>
    <w:p w14:paraId="1E269B07" w14:textId="77777777" w:rsidR="00F505D9" w:rsidRDefault="00E8038A" w:rsidP="001068F0">
      <w:pPr>
        <w:ind w:left="720"/>
        <w:rPr>
          <w:bCs/>
          <w:szCs w:val="24"/>
        </w:rPr>
      </w:pPr>
      <w:r w:rsidRPr="00E8038A">
        <w:rPr>
          <w:bCs/>
          <w:szCs w:val="24"/>
        </w:rPr>
        <w:t>Currently, FRA is typically notified of blocked crossings</w:t>
      </w:r>
      <w:r>
        <w:rPr>
          <w:bCs/>
          <w:szCs w:val="24"/>
        </w:rPr>
        <w:t xml:space="preserve"> from the public</w:t>
      </w:r>
      <w:r w:rsidRPr="00E8038A">
        <w:rPr>
          <w:bCs/>
          <w:szCs w:val="24"/>
        </w:rPr>
        <w:t xml:space="preserve"> via e-mail through a generic “Contact Us” </w:t>
      </w:r>
      <w:r w:rsidR="00F505D9">
        <w:rPr>
          <w:bCs/>
          <w:szCs w:val="24"/>
        </w:rPr>
        <w:t xml:space="preserve">link on FRA’s </w:t>
      </w:r>
      <w:r w:rsidRPr="00E8038A">
        <w:rPr>
          <w:bCs/>
          <w:szCs w:val="24"/>
        </w:rPr>
        <w:t xml:space="preserve">website.  That </w:t>
      </w:r>
      <w:r w:rsidR="006C1853">
        <w:rPr>
          <w:bCs/>
          <w:szCs w:val="24"/>
        </w:rPr>
        <w:t>link</w:t>
      </w:r>
      <w:r w:rsidR="00F505D9">
        <w:rPr>
          <w:bCs/>
          <w:szCs w:val="24"/>
        </w:rPr>
        <w:t xml:space="preserve"> </w:t>
      </w:r>
      <w:r w:rsidRPr="00E8038A">
        <w:rPr>
          <w:bCs/>
          <w:szCs w:val="24"/>
        </w:rPr>
        <w:t>is used by the general public to submit comment</w:t>
      </w:r>
      <w:r w:rsidR="009B048F">
        <w:rPr>
          <w:bCs/>
          <w:szCs w:val="24"/>
        </w:rPr>
        <w:t>s and</w:t>
      </w:r>
      <w:r w:rsidR="00F505D9">
        <w:rPr>
          <w:bCs/>
          <w:szCs w:val="24"/>
        </w:rPr>
        <w:t xml:space="preserve"> </w:t>
      </w:r>
      <w:r w:rsidRPr="00E8038A">
        <w:rPr>
          <w:bCs/>
          <w:szCs w:val="24"/>
        </w:rPr>
        <w:t>question</w:t>
      </w:r>
      <w:r w:rsidR="009B048F">
        <w:rPr>
          <w:bCs/>
          <w:szCs w:val="24"/>
        </w:rPr>
        <w:t>s</w:t>
      </w:r>
      <w:r w:rsidRPr="00E8038A">
        <w:rPr>
          <w:bCs/>
          <w:szCs w:val="24"/>
        </w:rPr>
        <w:t xml:space="preserve"> to FRA’s Office of Railroad Safety, not just reports of blocked crossings</w:t>
      </w:r>
      <w:r w:rsidR="009B048F">
        <w:rPr>
          <w:bCs/>
          <w:szCs w:val="24"/>
        </w:rPr>
        <w:t>.</w:t>
      </w:r>
      <w:r w:rsidRPr="00E8038A">
        <w:rPr>
          <w:bCs/>
          <w:szCs w:val="24"/>
        </w:rPr>
        <w:t xml:space="preserve"> </w:t>
      </w:r>
      <w:r w:rsidR="009B048F">
        <w:rPr>
          <w:bCs/>
          <w:szCs w:val="24"/>
        </w:rPr>
        <w:t>A</w:t>
      </w:r>
      <w:r w:rsidRPr="00E8038A">
        <w:rPr>
          <w:bCs/>
          <w:szCs w:val="24"/>
        </w:rPr>
        <w:t xml:space="preserve">ccordingly, the information submitted </w:t>
      </w:r>
      <w:r w:rsidR="00E13EF2">
        <w:rPr>
          <w:bCs/>
          <w:szCs w:val="24"/>
        </w:rPr>
        <w:t>varies</w:t>
      </w:r>
      <w:r w:rsidRPr="00E8038A">
        <w:rPr>
          <w:bCs/>
          <w:szCs w:val="24"/>
        </w:rPr>
        <w:t xml:space="preserve"> and often does not identify the key facts (e.g., location, time, duration, impact) of the incident being reported</w:t>
      </w:r>
      <w:r w:rsidR="00E13EF2">
        <w:rPr>
          <w:bCs/>
          <w:szCs w:val="24"/>
        </w:rPr>
        <w:t>,</w:t>
      </w:r>
      <w:r w:rsidRPr="00E8038A">
        <w:rPr>
          <w:bCs/>
          <w:szCs w:val="24"/>
        </w:rPr>
        <w:t xml:space="preserve"> making it difficult (or even impossible) for FRA to follow</w:t>
      </w:r>
      <w:r w:rsidR="00146640">
        <w:rPr>
          <w:bCs/>
          <w:szCs w:val="24"/>
        </w:rPr>
        <w:t xml:space="preserve"> </w:t>
      </w:r>
      <w:r w:rsidRPr="00E8038A">
        <w:rPr>
          <w:bCs/>
          <w:szCs w:val="24"/>
        </w:rPr>
        <w:t xml:space="preserve">up </w:t>
      </w:r>
      <w:r w:rsidR="009B048F">
        <w:rPr>
          <w:bCs/>
          <w:szCs w:val="24"/>
        </w:rPr>
        <w:t>and</w:t>
      </w:r>
      <w:r w:rsidRPr="00E8038A">
        <w:rPr>
          <w:bCs/>
          <w:szCs w:val="24"/>
        </w:rPr>
        <w:t xml:space="preserve"> determine the cause of the incident.  </w:t>
      </w:r>
    </w:p>
    <w:p w14:paraId="4A161BD5" w14:textId="77777777" w:rsidR="00F505D9" w:rsidRDefault="00F505D9" w:rsidP="001068F0">
      <w:pPr>
        <w:ind w:left="720"/>
        <w:rPr>
          <w:bCs/>
          <w:szCs w:val="24"/>
        </w:rPr>
      </w:pPr>
    </w:p>
    <w:p w14:paraId="4D368E5F" w14:textId="77777777" w:rsidR="00E8038A" w:rsidRDefault="00E8038A" w:rsidP="001068F0">
      <w:pPr>
        <w:ind w:left="720"/>
        <w:rPr>
          <w:b/>
        </w:rPr>
      </w:pPr>
      <w:r w:rsidRPr="00E8038A">
        <w:rPr>
          <w:bCs/>
          <w:szCs w:val="24"/>
        </w:rPr>
        <w:t xml:space="preserve">FRA is proposing to add new, dedicated links to its existing website and </w:t>
      </w:r>
      <w:r w:rsidR="009B048F">
        <w:rPr>
          <w:bCs/>
          <w:szCs w:val="24"/>
        </w:rPr>
        <w:t>smart</w:t>
      </w:r>
      <w:r w:rsidRPr="00E8038A">
        <w:rPr>
          <w:bCs/>
          <w:szCs w:val="24"/>
        </w:rPr>
        <w:t xml:space="preserve">phone application (the </w:t>
      </w:r>
      <w:r w:rsidR="00FD13B8">
        <w:rPr>
          <w:bCs/>
          <w:szCs w:val="24"/>
        </w:rPr>
        <w:t xml:space="preserve">Rail </w:t>
      </w:r>
      <w:r w:rsidRPr="00E8038A">
        <w:rPr>
          <w:bCs/>
          <w:szCs w:val="24"/>
        </w:rPr>
        <w:t xml:space="preserve">Crossing Locator </w:t>
      </w:r>
      <w:r w:rsidR="00FD13B8">
        <w:rPr>
          <w:bCs/>
          <w:szCs w:val="24"/>
        </w:rPr>
        <w:t>smartp</w:t>
      </w:r>
      <w:r w:rsidRPr="00E8038A">
        <w:rPr>
          <w:bCs/>
          <w:szCs w:val="24"/>
        </w:rPr>
        <w:t xml:space="preserve">hone </w:t>
      </w:r>
      <w:r w:rsidR="00FD13B8">
        <w:rPr>
          <w:bCs/>
          <w:szCs w:val="24"/>
        </w:rPr>
        <w:t>a</w:t>
      </w:r>
      <w:r w:rsidRPr="00E8038A">
        <w:rPr>
          <w:bCs/>
          <w:szCs w:val="24"/>
        </w:rPr>
        <w:t>pp) for users (including members of the public) to report blocked crossings.  The links will specifically request information on the location of the blocked crossing</w:t>
      </w:r>
      <w:r w:rsidR="00E13EF2">
        <w:rPr>
          <w:bCs/>
          <w:szCs w:val="24"/>
        </w:rPr>
        <w:t xml:space="preserve"> and </w:t>
      </w:r>
      <w:r w:rsidRPr="00E8038A">
        <w:rPr>
          <w:bCs/>
          <w:szCs w:val="24"/>
        </w:rPr>
        <w:t>the time, duration, and impacts of the blocked crossing</w:t>
      </w:r>
      <w:r w:rsidR="00E13EF2">
        <w:rPr>
          <w:bCs/>
          <w:szCs w:val="24"/>
        </w:rPr>
        <w:t xml:space="preserve"> event</w:t>
      </w:r>
      <w:r w:rsidRPr="00E8038A">
        <w:rPr>
          <w:bCs/>
          <w:szCs w:val="24"/>
        </w:rPr>
        <w:t xml:space="preserve">.  The website and </w:t>
      </w:r>
      <w:r w:rsidR="00625022">
        <w:rPr>
          <w:bCs/>
          <w:szCs w:val="24"/>
        </w:rPr>
        <w:t>smart</w:t>
      </w:r>
      <w:r w:rsidRPr="00E8038A">
        <w:rPr>
          <w:bCs/>
          <w:szCs w:val="24"/>
        </w:rPr>
        <w:t xml:space="preserve">phone app portal will allow for the collection of standardized information </w:t>
      </w:r>
      <w:r w:rsidR="00F505D9">
        <w:rPr>
          <w:bCs/>
          <w:szCs w:val="24"/>
        </w:rPr>
        <w:t>and</w:t>
      </w:r>
      <w:r w:rsidRPr="00E8038A">
        <w:rPr>
          <w:bCs/>
          <w:szCs w:val="24"/>
        </w:rPr>
        <w:t xml:space="preserve"> will tell </w:t>
      </w:r>
      <w:r w:rsidR="0000210A">
        <w:rPr>
          <w:bCs/>
          <w:szCs w:val="24"/>
        </w:rPr>
        <w:t>FRA</w:t>
      </w:r>
      <w:r w:rsidR="0000210A" w:rsidRPr="00E8038A">
        <w:rPr>
          <w:bCs/>
          <w:szCs w:val="24"/>
        </w:rPr>
        <w:t xml:space="preserve"> </w:t>
      </w:r>
      <w:r w:rsidR="00F505D9">
        <w:rPr>
          <w:bCs/>
          <w:szCs w:val="24"/>
        </w:rPr>
        <w:t>the location, time, and duration</w:t>
      </w:r>
      <w:r w:rsidRPr="00E8038A">
        <w:rPr>
          <w:bCs/>
          <w:szCs w:val="24"/>
        </w:rPr>
        <w:t xml:space="preserve">, and what potential impacts resulted from the identified blocked crossing incidents.  </w:t>
      </w:r>
      <w:r w:rsidR="009B048F">
        <w:rPr>
          <w:bCs/>
          <w:szCs w:val="24"/>
        </w:rPr>
        <w:t>The website</w:t>
      </w:r>
      <w:r w:rsidR="009B048F" w:rsidRPr="00E8038A">
        <w:rPr>
          <w:bCs/>
          <w:szCs w:val="24"/>
        </w:rPr>
        <w:t xml:space="preserve"> </w:t>
      </w:r>
      <w:r w:rsidRPr="00E8038A">
        <w:rPr>
          <w:bCs/>
          <w:szCs w:val="24"/>
        </w:rPr>
        <w:t>will also have a separate dedicated portal (secured by login), for law enforcement agencies to report blocked crossings in a similar manner</w:t>
      </w:r>
      <w:r w:rsidR="005C3209">
        <w:rPr>
          <w:bCs/>
          <w:szCs w:val="24"/>
        </w:rPr>
        <w:t>.</w:t>
      </w:r>
    </w:p>
    <w:p w14:paraId="4100C41A" w14:textId="77777777" w:rsidR="009F22C0" w:rsidRDefault="009F22C0" w:rsidP="001068F0">
      <w:pPr>
        <w:widowControl w:val="0"/>
        <w:rPr>
          <w:b/>
        </w:rPr>
      </w:pPr>
    </w:p>
    <w:p w14:paraId="5570015F" w14:textId="77777777" w:rsidR="00837B29" w:rsidRDefault="00837B29" w:rsidP="001068F0">
      <w:pPr>
        <w:widowControl w:val="0"/>
        <w:rPr>
          <w:b/>
        </w:rPr>
      </w:pPr>
    </w:p>
    <w:p w14:paraId="44F170E1" w14:textId="77777777" w:rsidR="00780204" w:rsidRPr="00A5668C" w:rsidRDefault="00780204" w:rsidP="00A5668C">
      <w:pPr>
        <w:pStyle w:val="ListParagraph"/>
        <w:numPr>
          <w:ilvl w:val="0"/>
          <w:numId w:val="7"/>
        </w:numPr>
        <w:rPr>
          <w:b/>
          <w:szCs w:val="24"/>
        </w:rPr>
      </w:pPr>
      <w:r w:rsidRPr="00A5668C">
        <w:rPr>
          <w:b/>
          <w:szCs w:val="24"/>
        </w:rPr>
        <w:lastRenderedPageBreak/>
        <w:t>How, by whom, and for what purpose the information is to be used.</w:t>
      </w:r>
    </w:p>
    <w:p w14:paraId="7D8439A2" w14:textId="77777777" w:rsidR="00780204" w:rsidRPr="00435B09" w:rsidRDefault="00780204" w:rsidP="001A49D6">
      <w:pPr>
        <w:ind w:left="360"/>
        <w:rPr>
          <w:b/>
          <w:szCs w:val="24"/>
        </w:rPr>
      </w:pPr>
    </w:p>
    <w:p w14:paraId="54A3EA25" w14:textId="77777777" w:rsidR="005C3209" w:rsidRDefault="005C3209" w:rsidP="003B1F5D">
      <w:pPr>
        <w:widowControl w:val="0"/>
        <w:ind w:left="720"/>
      </w:pPr>
      <w:r w:rsidRPr="005C3209">
        <w:t>The proposed data collection would be gathered using three methods:</w:t>
      </w:r>
    </w:p>
    <w:p w14:paraId="2F5A75AB" w14:textId="77777777" w:rsidR="005C3209" w:rsidRPr="005C3209" w:rsidRDefault="005C3209" w:rsidP="003B1F5D">
      <w:pPr>
        <w:widowControl w:val="0"/>
        <w:ind w:left="720"/>
      </w:pPr>
    </w:p>
    <w:p w14:paraId="3C60EE00" w14:textId="77777777" w:rsidR="005C3209" w:rsidRDefault="005C3209" w:rsidP="005E0995">
      <w:pPr>
        <w:widowControl w:val="0"/>
        <w:numPr>
          <w:ilvl w:val="0"/>
          <w:numId w:val="2"/>
        </w:numPr>
        <w:tabs>
          <w:tab w:val="left" w:pos="1080"/>
        </w:tabs>
      </w:pPr>
      <w:r w:rsidRPr="005C3209">
        <w:t>A link would be added to FRA’s existing website directing user</w:t>
      </w:r>
      <w:r w:rsidR="00E13EF2">
        <w:t>s</w:t>
      </w:r>
      <w:r w:rsidRPr="005C3209">
        <w:t xml:space="preserve"> to a web-based form to submit information about a blocked crossing to FRA.  </w:t>
      </w:r>
      <w:r w:rsidR="009B048F">
        <w:t>A</w:t>
      </w:r>
      <w:r w:rsidRPr="005C3209">
        <w:t>ccess to this web form would be unrestricted and available to the general public.</w:t>
      </w:r>
    </w:p>
    <w:p w14:paraId="6D973769" w14:textId="77777777" w:rsidR="005C3209" w:rsidRPr="005C3209" w:rsidRDefault="005C3209" w:rsidP="005E0995">
      <w:pPr>
        <w:widowControl w:val="0"/>
        <w:tabs>
          <w:tab w:val="left" w:pos="1080"/>
        </w:tabs>
        <w:ind w:left="1080"/>
      </w:pPr>
    </w:p>
    <w:p w14:paraId="5D35A6F0" w14:textId="77777777" w:rsidR="005C3209" w:rsidRDefault="005C3209" w:rsidP="00D85736">
      <w:pPr>
        <w:widowControl w:val="0"/>
        <w:numPr>
          <w:ilvl w:val="0"/>
          <w:numId w:val="2"/>
        </w:numPr>
        <w:tabs>
          <w:tab w:val="left" w:pos="1080"/>
        </w:tabs>
      </w:pPr>
      <w:r w:rsidRPr="005C3209">
        <w:t xml:space="preserve">A link would be added to the existing FRA </w:t>
      </w:r>
      <w:r w:rsidR="00625022">
        <w:t>smart</w:t>
      </w:r>
      <w:r w:rsidRPr="005C3209">
        <w:t>phone app “</w:t>
      </w:r>
      <w:r w:rsidR="00FD13B8">
        <w:t>Rail</w:t>
      </w:r>
      <w:r w:rsidRPr="005C3209">
        <w:t xml:space="preserve"> Crossing Locator” that will direct users to </w:t>
      </w:r>
      <w:r>
        <w:t>the web-based form</w:t>
      </w:r>
      <w:r w:rsidRPr="005C3209">
        <w:t xml:space="preserve"> to submit information about a blocked crossing to FRA.  </w:t>
      </w:r>
      <w:r w:rsidR="00FD13B8">
        <w:t>A</w:t>
      </w:r>
      <w:r w:rsidRPr="005C3209">
        <w:t xml:space="preserve">ccess to the form on the </w:t>
      </w:r>
      <w:r w:rsidR="00FD13B8">
        <w:t>smart</w:t>
      </w:r>
      <w:r w:rsidRPr="005C3209">
        <w:t>phone app would be unrestricted and available to the general public.</w:t>
      </w:r>
    </w:p>
    <w:p w14:paraId="6E521F53" w14:textId="77777777" w:rsidR="005C3209" w:rsidRDefault="005C3209" w:rsidP="00452D9A">
      <w:pPr>
        <w:pStyle w:val="ListParagraph"/>
      </w:pPr>
    </w:p>
    <w:p w14:paraId="5F88A0B2" w14:textId="77777777" w:rsidR="005C3209" w:rsidRDefault="005C3209" w:rsidP="00452D9A">
      <w:pPr>
        <w:widowControl w:val="0"/>
        <w:numPr>
          <w:ilvl w:val="0"/>
          <w:numId w:val="2"/>
        </w:numPr>
        <w:tabs>
          <w:tab w:val="left" w:pos="1080"/>
        </w:tabs>
      </w:pPr>
      <w:r w:rsidRPr="005C3209">
        <w:t>A link would be added to FRA’s existing website directing Law Enforcement Personnel (LE) to submit information about a blocked crossing.</w:t>
      </w:r>
      <w:r w:rsidR="00175551">
        <w:t xml:space="preserve"> </w:t>
      </w:r>
      <w:r w:rsidRPr="005C3209">
        <w:t xml:space="preserve"> </w:t>
      </w:r>
      <w:r w:rsidR="00216070">
        <w:t>A</w:t>
      </w:r>
      <w:r w:rsidRPr="005C3209">
        <w:t>ccess for LE to use the form would be restricted to a username and password, managed by FRA to ensure only LE can access th</w:t>
      </w:r>
      <w:r w:rsidR="00216070">
        <w:t>is</w:t>
      </w:r>
      <w:r w:rsidRPr="005C3209">
        <w:t xml:space="preserve"> form.</w:t>
      </w:r>
    </w:p>
    <w:p w14:paraId="1789BC16" w14:textId="77777777" w:rsidR="005C3209" w:rsidRDefault="005C3209" w:rsidP="009B048F">
      <w:pPr>
        <w:pStyle w:val="ListParagraph"/>
        <w:rPr>
          <w:bCs/>
          <w:szCs w:val="24"/>
        </w:rPr>
      </w:pPr>
    </w:p>
    <w:p w14:paraId="1A014F4B" w14:textId="15B47AE3" w:rsidR="005C3209" w:rsidRPr="005C3209" w:rsidRDefault="00AE4677" w:rsidP="009B048F">
      <w:pPr>
        <w:pStyle w:val="ListParagraph"/>
      </w:pPr>
      <w:r w:rsidRPr="00B32A57">
        <w:t>FRA will use the data to gain a more complete picture of where, when, for how long and what impacts result from reported blocked crossing incidents.</w:t>
      </w:r>
      <w:r>
        <w:rPr>
          <w:bCs/>
          <w:szCs w:val="24"/>
        </w:rPr>
        <w:t xml:space="preserve">  </w:t>
      </w:r>
      <w:r w:rsidR="005C3209">
        <w:rPr>
          <w:bCs/>
          <w:szCs w:val="24"/>
        </w:rPr>
        <w:t xml:space="preserve">FRA will </w:t>
      </w:r>
      <w:r w:rsidR="006D4410">
        <w:rPr>
          <w:bCs/>
          <w:szCs w:val="24"/>
        </w:rPr>
        <w:t>maintain this data to</w:t>
      </w:r>
      <w:r w:rsidR="005C3209">
        <w:rPr>
          <w:bCs/>
          <w:szCs w:val="24"/>
        </w:rPr>
        <w:t xml:space="preserve"> </w:t>
      </w:r>
      <w:r w:rsidR="00E8116A">
        <w:rPr>
          <w:bCs/>
          <w:szCs w:val="24"/>
        </w:rPr>
        <w:t>facilitate</w:t>
      </w:r>
      <w:r w:rsidR="005C3209">
        <w:rPr>
          <w:bCs/>
          <w:szCs w:val="24"/>
        </w:rPr>
        <w:t xml:space="preserve"> meetings, outreach, and other solutions between stakeholders </w:t>
      </w:r>
      <w:r w:rsidR="0000210A">
        <w:rPr>
          <w:bCs/>
          <w:szCs w:val="24"/>
        </w:rPr>
        <w:t xml:space="preserve">to </w:t>
      </w:r>
      <w:r w:rsidR="005C3209">
        <w:rPr>
          <w:bCs/>
          <w:szCs w:val="24"/>
        </w:rPr>
        <w:t xml:space="preserve">reduce or eliminate blocked crossing concerns. </w:t>
      </w:r>
      <w:r w:rsidR="00E13EF2">
        <w:rPr>
          <w:bCs/>
          <w:szCs w:val="24"/>
        </w:rPr>
        <w:t xml:space="preserve"> </w:t>
      </w:r>
      <w:r w:rsidR="006D4410">
        <w:rPr>
          <w:bCs/>
          <w:szCs w:val="24"/>
        </w:rPr>
        <w:t>Also</w:t>
      </w:r>
      <w:r w:rsidR="005C3209">
        <w:rPr>
          <w:bCs/>
          <w:szCs w:val="24"/>
        </w:rPr>
        <w:t xml:space="preserve">, FRA will be </w:t>
      </w:r>
      <w:r w:rsidR="005C4185">
        <w:rPr>
          <w:bCs/>
          <w:szCs w:val="24"/>
        </w:rPr>
        <w:t xml:space="preserve">better </w:t>
      </w:r>
      <w:r w:rsidR="005C3209">
        <w:rPr>
          <w:bCs/>
          <w:szCs w:val="24"/>
        </w:rPr>
        <w:t xml:space="preserve">able to respond to congressional inquiries so that congressional staff </w:t>
      </w:r>
      <w:r w:rsidR="005C4185">
        <w:rPr>
          <w:bCs/>
          <w:szCs w:val="24"/>
        </w:rPr>
        <w:t>can</w:t>
      </w:r>
      <w:r w:rsidR="005C3209">
        <w:rPr>
          <w:bCs/>
          <w:szCs w:val="24"/>
        </w:rPr>
        <w:t xml:space="preserve"> respond to </w:t>
      </w:r>
      <w:r w:rsidR="0000210A">
        <w:rPr>
          <w:bCs/>
          <w:szCs w:val="24"/>
        </w:rPr>
        <w:t>their constituents</w:t>
      </w:r>
      <w:r w:rsidR="005C3209">
        <w:rPr>
          <w:bCs/>
          <w:szCs w:val="24"/>
        </w:rPr>
        <w:t>.</w:t>
      </w:r>
    </w:p>
    <w:p w14:paraId="3F4BA5AC" w14:textId="77777777" w:rsidR="00A5668C" w:rsidRDefault="00A5668C" w:rsidP="00A5668C">
      <w:pPr>
        <w:widowControl w:val="0"/>
        <w:rPr>
          <w:b/>
        </w:rPr>
      </w:pPr>
    </w:p>
    <w:p w14:paraId="541F7E84" w14:textId="77777777" w:rsidR="005C3209" w:rsidRDefault="005524C9" w:rsidP="00A5668C">
      <w:pPr>
        <w:pStyle w:val="ListParagraph"/>
        <w:widowControl w:val="0"/>
        <w:numPr>
          <w:ilvl w:val="0"/>
          <w:numId w:val="7"/>
        </w:numPr>
      </w:pPr>
      <w:r w:rsidRPr="00A5668C">
        <w:rPr>
          <w:b/>
        </w:rPr>
        <w:t>Extent of automated information collection.</w:t>
      </w:r>
    </w:p>
    <w:p w14:paraId="57456F49" w14:textId="77777777" w:rsidR="005524C9" w:rsidRDefault="005524C9" w:rsidP="003B1F5D">
      <w:pPr>
        <w:widowControl w:val="0"/>
        <w:ind w:left="720" w:hanging="720"/>
        <w:rPr>
          <w:b/>
        </w:rPr>
      </w:pPr>
    </w:p>
    <w:p w14:paraId="1DCB1B7D" w14:textId="77777777" w:rsidR="005C3209" w:rsidRDefault="005C3209" w:rsidP="003B1F5D">
      <w:pPr>
        <w:pStyle w:val="ListParagraph"/>
        <w:rPr>
          <w:bCs/>
          <w:szCs w:val="24"/>
        </w:rPr>
      </w:pPr>
      <w:r>
        <w:rPr>
          <w:bCs/>
          <w:szCs w:val="24"/>
        </w:rPr>
        <w:t>The collection of information will be completed through electronic means over the internet.  The website portal</w:t>
      </w:r>
      <w:r w:rsidR="004A1481">
        <w:rPr>
          <w:bCs/>
          <w:szCs w:val="24"/>
        </w:rPr>
        <w:t xml:space="preserve"> will contain</w:t>
      </w:r>
      <w:r w:rsidR="00050069">
        <w:rPr>
          <w:bCs/>
          <w:szCs w:val="24"/>
        </w:rPr>
        <w:t xml:space="preserve"> </w:t>
      </w:r>
      <w:r>
        <w:rPr>
          <w:bCs/>
          <w:szCs w:val="24"/>
        </w:rPr>
        <w:t xml:space="preserve">form questions to be entered and submitted online </w:t>
      </w:r>
      <w:r w:rsidR="004A1481">
        <w:rPr>
          <w:bCs/>
          <w:szCs w:val="24"/>
        </w:rPr>
        <w:t>by</w:t>
      </w:r>
      <w:r>
        <w:rPr>
          <w:bCs/>
          <w:szCs w:val="24"/>
        </w:rPr>
        <w:t xml:space="preserve"> the general public </w:t>
      </w:r>
      <w:r w:rsidR="000D0714">
        <w:rPr>
          <w:bCs/>
          <w:szCs w:val="24"/>
        </w:rPr>
        <w:t xml:space="preserve">for </w:t>
      </w:r>
      <w:r>
        <w:rPr>
          <w:bCs/>
          <w:szCs w:val="24"/>
        </w:rPr>
        <w:t xml:space="preserve">free with unrestricted access.  The existing </w:t>
      </w:r>
      <w:r w:rsidR="004A1481">
        <w:rPr>
          <w:bCs/>
          <w:szCs w:val="24"/>
        </w:rPr>
        <w:t xml:space="preserve">Rail </w:t>
      </w:r>
      <w:r>
        <w:rPr>
          <w:bCs/>
          <w:szCs w:val="24"/>
        </w:rPr>
        <w:t xml:space="preserve">Crossing Locator </w:t>
      </w:r>
      <w:r w:rsidR="004A1481">
        <w:rPr>
          <w:bCs/>
          <w:szCs w:val="24"/>
        </w:rPr>
        <w:t>smartp</w:t>
      </w:r>
      <w:r>
        <w:rPr>
          <w:bCs/>
          <w:szCs w:val="24"/>
        </w:rPr>
        <w:t xml:space="preserve">hone </w:t>
      </w:r>
      <w:r w:rsidR="004A1481">
        <w:rPr>
          <w:bCs/>
          <w:szCs w:val="24"/>
        </w:rPr>
        <w:t>a</w:t>
      </w:r>
      <w:r>
        <w:rPr>
          <w:bCs/>
          <w:szCs w:val="24"/>
        </w:rPr>
        <w:t xml:space="preserve">pp will also </w:t>
      </w:r>
      <w:r w:rsidR="004A1481">
        <w:rPr>
          <w:bCs/>
          <w:szCs w:val="24"/>
        </w:rPr>
        <w:t>contain</w:t>
      </w:r>
      <w:r>
        <w:rPr>
          <w:bCs/>
          <w:szCs w:val="24"/>
        </w:rPr>
        <w:t xml:space="preserve"> a link to the online website portal.  Finally, LE will have free access via a secured login website to the same form to report the information to FRA.</w:t>
      </w:r>
    </w:p>
    <w:p w14:paraId="13EA4754" w14:textId="77777777" w:rsidR="000D0714" w:rsidRDefault="000D0714" w:rsidP="005E0995">
      <w:pPr>
        <w:pStyle w:val="ListParagraph"/>
        <w:rPr>
          <w:bCs/>
          <w:szCs w:val="24"/>
        </w:rPr>
      </w:pPr>
    </w:p>
    <w:p w14:paraId="1DBF2ED8" w14:textId="77777777" w:rsidR="009F22C0" w:rsidRDefault="005C3209" w:rsidP="005E0995">
      <w:pPr>
        <w:pStyle w:val="ListParagraph"/>
        <w:rPr>
          <w:b/>
        </w:rPr>
      </w:pPr>
      <w:r>
        <w:rPr>
          <w:bCs/>
          <w:szCs w:val="24"/>
        </w:rPr>
        <w:t xml:space="preserve">There will be no cost to the general public or LE </w:t>
      </w:r>
      <w:r w:rsidR="00E8116A">
        <w:rPr>
          <w:bCs/>
          <w:szCs w:val="24"/>
        </w:rPr>
        <w:t xml:space="preserve">to access </w:t>
      </w:r>
      <w:r w:rsidR="000D0714">
        <w:rPr>
          <w:bCs/>
          <w:szCs w:val="24"/>
        </w:rPr>
        <w:t xml:space="preserve">the form </w:t>
      </w:r>
      <w:r w:rsidR="00E8116A">
        <w:rPr>
          <w:bCs/>
          <w:szCs w:val="24"/>
        </w:rPr>
        <w:t xml:space="preserve">and submit the information.  It will also be </w:t>
      </w:r>
      <w:r w:rsidR="0000210A">
        <w:rPr>
          <w:bCs/>
          <w:szCs w:val="24"/>
        </w:rPr>
        <w:t xml:space="preserve">more </w:t>
      </w:r>
      <w:r w:rsidR="004A1481">
        <w:rPr>
          <w:bCs/>
          <w:szCs w:val="24"/>
        </w:rPr>
        <w:t>efficient</w:t>
      </w:r>
      <w:r w:rsidR="00E8116A">
        <w:rPr>
          <w:bCs/>
          <w:szCs w:val="24"/>
        </w:rPr>
        <w:t xml:space="preserve"> and less </w:t>
      </w:r>
      <w:r w:rsidR="000D0714">
        <w:rPr>
          <w:bCs/>
          <w:szCs w:val="24"/>
        </w:rPr>
        <w:t>burdensome</w:t>
      </w:r>
      <w:r w:rsidR="00E8116A">
        <w:rPr>
          <w:bCs/>
          <w:szCs w:val="24"/>
        </w:rPr>
        <w:t xml:space="preserve"> than printing hard-copy forms and mailing them to FRA.  </w:t>
      </w:r>
      <w:r w:rsidR="000D0714">
        <w:rPr>
          <w:bCs/>
          <w:szCs w:val="24"/>
        </w:rPr>
        <w:t>Using the web form</w:t>
      </w:r>
      <w:r w:rsidR="00E8116A">
        <w:rPr>
          <w:bCs/>
          <w:szCs w:val="24"/>
        </w:rPr>
        <w:t xml:space="preserve"> will also reduce FRA’s costs by automating how the data is received.</w:t>
      </w:r>
    </w:p>
    <w:p w14:paraId="4A74D954" w14:textId="77777777" w:rsidR="00A5668C" w:rsidRDefault="00A5668C" w:rsidP="00A5668C">
      <w:pPr>
        <w:widowControl w:val="0"/>
        <w:rPr>
          <w:b/>
          <w:szCs w:val="24"/>
        </w:rPr>
      </w:pPr>
    </w:p>
    <w:p w14:paraId="7FC24294" w14:textId="77777777" w:rsidR="009F22C0" w:rsidRPr="00A5668C" w:rsidRDefault="005524C9" w:rsidP="00A5668C">
      <w:pPr>
        <w:pStyle w:val="ListParagraph"/>
        <w:widowControl w:val="0"/>
        <w:numPr>
          <w:ilvl w:val="0"/>
          <w:numId w:val="7"/>
        </w:numPr>
        <w:rPr>
          <w:b/>
          <w:szCs w:val="24"/>
        </w:rPr>
      </w:pPr>
      <w:r w:rsidRPr="00A5668C">
        <w:rPr>
          <w:b/>
          <w:szCs w:val="24"/>
        </w:rPr>
        <w:t>Efforts to identify duplication.</w:t>
      </w:r>
    </w:p>
    <w:p w14:paraId="5A812A84" w14:textId="77777777" w:rsidR="00E8116A" w:rsidRPr="005E0995" w:rsidRDefault="00E8116A" w:rsidP="003B1F5D">
      <w:pPr>
        <w:widowControl w:val="0"/>
        <w:ind w:left="720" w:hanging="720"/>
        <w:rPr>
          <w:b/>
          <w:szCs w:val="24"/>
        </w:rPr>
      </w:pPr>
    </w:p>
    <w:p w14:paraId="2848E272" w14:textId="77777777" w:rsidR="009F22C0" w:rsidRDefault="00A5668C" w:rsidP="00A5668C">
      <w:pPr>
        <w:widowControl w:val="0"/>
        <w:ind w:left="720"/>
        <w:rPr>
          <w:bCs/>
          <w:szCs w:val="24"/>
        </w:rPr>
      </w:pPr>
      <w:r w:rsidRPr="00A5668C">
        <w:rPr>
          <w:bCs/>
          <w:szCs w:val="24"/>
        </w:rPr>
        <w:t>At this time, there is no other central or formal way for the public to submit a report of a blocked crossing that identifies the key facts (e.g., location, time, duration, impact) of the incident being reported within the Federal Government or Department of Transportation.   Currently, FRA is typically notified of blocked crossings from the public via e-mail through a generic “Contact Us” link on the FRA website.  However, once the new reporting website portal is active, it will be displayed prominently on the FRA website homepage. Therefore, FRA expects a significant reduction of blocked crossing reports to be through the generic “Contact Us” link.  In addition, it is expected that a person will report through the new website portal and not through the generic “Contact Us” link, nor through both options.  Thus, there shouldn’t be duplicated reports from the same person sent to FRA from both sources.  Also, because there are very few blocked reports expected to come through the generic “Contact Us” link after the new website portal is active, any that do will be cross-checked against the reports that come in through the new website portal.</w:t>
      </w:r>
    </w:p>
    <w:p w14:paraId="0F23F6C0" w14:textId="77777777" w:rsidR="00A5668C" w:rsidRDefault="00A5668C" w:rsidP="00A5668C">
      <w:pPr>
        <w:widowControl w:val="0"/>
        <w:rPr>
          <w:b/>
          <w:szCs w:val="24"/>
        </w:rPr>
      </w:pPr>
    </w:p>
    <w:p w14:paraId="71BDD43A" w14:textId="77777777" w:rsidR="009F22C0" w:rsidRPr="00A5668C" w:rsidRDefault="005524C9" w:rsidP="00A5668C">
      <w:pPr>
        <w:pStyle w:val="ListParagraph"/>
        <w:widowControl w:val="0"/>
        <w:numPr>
          <w:ilvl w:val="0"/>
          <w:numId w:val="7"/>
        </w:numPr>
        <w:rPr>
          <w:b/>
          <w:szCs w:val="24"/>
        </w:rPr>
      </w:pPr>
      <w:r w:rsidRPr="00A5668C">
        <w:rPr>
          <w:b/>
          <w:szCs w:val="24"/>
        </w:rPr>
        <w:t xml:space="preserve">Efforts to </w:t>
      </w:r>
      <w:r w:rsidR="00CF07AB" w:rsidRPr="00A5668C">
        <w:rPr>
          <w:b/>
          <w:szCs w:val="24"/>
        </w:rPr>
        <w:t>minimize the burden on small businesses</w:t>
      </w:r>
      <w:r w:rsidRPr="00A5668C">
        <w:rPr>
          <w:b/>
          <w:szCs w:val="24"/>
        </w:rPr>
        <w:t>.</w:t>
      </w:r>
    </w:p>
    <w:p w14:paraId="1A83A2EB" w14:textId="77777777" w:rsidR="00E8116A" w:rsidRPr="003B1F5D" w:rsidRDefault="00E8116A" w:rsidP="003B1F5D">
      <w:pPr>
        <w:widowControl w:val="0"/>
        <w:ind w:left="720" w:hanging="720"/>
        <w:rPr>
          <w:b/>
          <w:szCs w:val="24"/>
        </w:rPr>
      </w:pPr>
    </w:p>
    <w:p w14:paraId="470DCFF0" w14:textId="77777777" w:rsidR="00E8116A" w:rsidRPr="005E0995" w:rsidRDefault="00E8116A" w:rsidP="005E0995">
      <w:pPr>
        <w:widowControl w:val="0"/>
        <w:ind w:left="720"/>
        <w:rPr>
          <w:b/>
          <w:szCs w:val="24"/>
        </w:rPr>
      </w:pPr>
      <w:r w:rsidRPr="005E0995">
        <w:rPr>
          <w:bCs/>
          <w:szCs w:val="24"/>
        </w:rPr>
        <w:t>There are no impacts to small businesses anticipated in this data collection.</w:t>
      </w:r>
    </w:p>
    <w:p w14:paraId="77EEF75C" w14:textId="77777777" w:rsidR="009F22C0" w:rsidRPr="005E0995" w:rsidRDefault="009F22C0" w:rsidP="005E0995">
      <w:pPr>
        <w:widowControl w:val="0"/>
        <w:rPr>
          <w:b/>
          <w:szCs w:val="24"/>
        </w:rPr>
      </w:pPr>
    </w:p>
    <w:p w14:paraId="25948813" w14:textId="77777777" w:rsidR="009F22C0" w:rsidRPr="00A5668C" w:rsidRDefault="005524C9" w:rsidP="00A5668C">
      <w:pPr>
        <w:pStyle w:val="ListParagraph"/>
        <w:widowControl w:val="0"/>
        <w:numPr>
          <w:ilvl w:val="0"/>
          <w:numId w:val="7"/>
        </w:numPr>
        <w:rPr>
          <w:b/>
          <w:szCs w:val="24"/>
        </w:rPr>
      </w:pPr>
      <w:r w:rsidRPr="00A5668C">
        <w:rPr>
          <w:b/>
          <w:szCs w:val="24"/>
        </w:rPr>
        <w:t xml:space="preserve">Impacts of less frequent collection of information.  </w:t>
      </w:r>
    </w:p>
    <w:p w14:paraId="4E34F9EC" w14:textId="77777777" w:rsidR="00E8116A" w:rsidRPr="009B048F" w:rsidRDefault="00E8116A" w:rsidP="003B1F5D">
      <w:pPr>
        <w:rPr>
          <w:szCs w:val="24"/>
        </w:rPr>
      </w:pPr>
    </w:p>
    <w:p w14:paraId="6164B557" w14:textId="77777777" w:rsidR="009F22C0" w:rsidRPr="00625022" w:rsidRDefault="00E8116A" w:rsidP="005E0995">
      <w:pPr>
        <w:ind w:left="720"/>
        <w:rPr>
          <w:szCs w:val="24"/>
        </w:rPr>
      </w:pPr>
      <w:r w:rsidRPr="009B048F">
        <w:rPr>
          <w:szCs w:val="24"/>
        </w:rPr>
        <w:t xml:space="preserve">Along with the fast and efficient movement of people and goods throughout the United States, FRA’s core mission is to improve safety by reducing the number of rail accidents/incidents that occur annually and the injuries, property damage, and fatalities that accompany them.  Both missions may be compromised by blocked highway-rail </w:t>
      </w:r>
      <w:r w:rsidR="0000210A">
        <w:rPr>
          <w:szCs w:val="24"/>
        </w:rPr>
        <w:t xml:space="preserve">grade </w:t>
      </w:r>
      <w:r w:rsidRPr="009B048F">
        <w:rPr>
          <w:szCs w:val="24"/>
        </w:rPr>
        <w:t>crossings.  Without accurate data on the locations, times, durations, and impacts of blocked crossings, FRA cannot effectively help the parties involved mitigate or eliminate the safety, economic, and quality of life issues from blocked crossings.</w:t>
      </w:r>
    </w:p>
    <w:p w14:paraId="6F8DA5F1" w14:textId="77777777" w:rsidR="00E8116A" w:rsidRPr="00625022" w:rsidRDefault="00E8116A" w:rsidP="005E0995">
      <w:pPr>
        <w:widowControl w:val="0"/>
        <w:rPr>
          <w:b/>
          <w:szCs w:val="24"/>
        </w:rPr>
      </w:pPr>
    </w:p>
    <w:p w14:paraId="2823F880" w14:textId="77777777" w:rsidR="009F22C0" w:rsidRPr="00A5668C" w:rsidRDefault="005524C9" w:rsidP="00A5668C">
      <w:pPr>
        <w:pStyle w:val="ListParagraph"/>
        <w:widowControl w:val="0"/>
        <w:numPr>
          <w:ilvl w:val="0"/>
          <w:numId w:val="7"/>
        </w:numPr>
        <w:rPr>
          <w:b/>
          <w:szCs w:val="24"/>
        </w:rPr>
      </w:pPr>
      <w:r w:rsidRPr="00A5668C">
        <w:rPr>
          <w:b/>
          <w:szCs w:val="24"/>
        </w:rPr>
        <w:t>Special circumstances.</w:t>
      </w:r>
    </w:p>
    <w:p w14:paraId="07011A59" w14:textId="77777777" w:rsidR="00E8116A" w:rsidRPr="00625022" w:rsidRDefault="00E8116A" w:rsidP="003B1F5D">
      <w:pPr>
        <w:widowControl w:val="0"/>
        <w:rPr>
          <w:szCs w:val="24"/>
        </w:rPr>
      </w:pPr>
    </w:p>
    <w:p w14:paraId="505C859F" w14:textId="77777777" w:rsidR="009F22C0" w:rsidRPr="00216070" w:rsidRDefault="00E8116A" w:rsidP="005E0995">
      <w:pPr>
        <w:widowControl w:val="0"/>
        <w:ind w:left="720"/>
        <w:rPr>
          <w:b/>
          <w:szCs w:val="24"/>
        </w:rPr>
      </w:pPr>
      <w:r w:rsidRPr="00FD13B8">
        <w:rPr>
          <w:szCs w:val="24"/>
        </w:rPr>
        <w:t>There are no special circumstances related to the information being collected for this study.</w:t>
      </w:r>
    </w:p>
    <w:p w14:paraId="087F14EF" w14:textId="77777777" w:rsidR="00E8116A" w:rsidRPr="005C4185" w:rsidRDefault="00E8116A" w:rsidP="005E0995">
      <w:pPr>
        <w:widowControl w:val="0"/>
        <w:ind w:left="720" w:hanging="720"/>
        <w:rPr>
          <w:b/>
          <w:szCs w:val="24"/>
        </w:rPr>
      </w:pPr>
    </w:p>
    <w:p w14:paraId="0E52C515" w14:textId="77777777" w:rsidR="009F22C0" w:rsidRPr="00A5668C" w:rsidRDefault="005524C9" w:rsidP="00A5668C">
      <w:pPr>
        <w:pStyle w:val="ListParagraph"/>
        <w:widowControl w:val="0"/>
        <w:numPr>
          <w:ilvl w:val="0"/>
          <w:numId w:val="7"/>
        </w:numPr>
        <w:rPr>
          <w:b/>
          <w:szCs w:val="24"/>
        </w:rPr>
      </w:pPr>
      <w:r w:rsidRPr="00A5668C">
        <w:rPr>
          <w:b/>
          <w:szCs w:val="24"/>
        </w:rPr>
        <w:t xml:space="preserve">Compliance with </w:t>
      </w:r>
      <w:r w:rsidR="004F7CEA" w:rsidRPr="00A5668C">
        <w:rPr>
          <w:b/>
          <w:szCs w:val="24"/>
        </w:rPr>
        <w:t xml:space="preserve">Title </w:t>
      </w:r>
      <w:r w:rsidR="00122CB4" w:rsidRPr="00A5668C">
        <w:rPr>
          <w:b/>
          <w:szCs w:val="24"/>
        </w:rPr>
        <w:t>5 C</w:t>
      </w:r>
      <w:r w:rsidR="004F7CEA" w:rsidRPr="00A5668C">
        <w:rPr>
          <w:b/>
          <w:szCs w:val="24"/>
        </w:rPr>
        <w:t xml:space="preserve">ode of </w:t>
      </w:r>
      <w:r w:rsidR="00122CB4" w:rsidRPr="00A5668C">
        <w:rPr>
          <w:b/>
          <w:szCs w:val="24"/>
        </w:rPr>
        <w:t>F</w:t>
      </w:r>
      <w:r w:rsidR="004F7CEA" w:rsidRPr="00A5668C">
        <w:rPr>
          <w:b/>
          <w:szCs w:val="24"/>
        </w:rPr>
        <w:t xml:space="preserve">ederal </w:t>
      </w:r>
      <w:r w:rsidR="00122CB4" w:rsidRPr="00A5668C">
        <w:rPr>
          <w:b/>
          <w:szCs w:val="24"/>
        </w:rPr>
        <w:t>R</w:t>
      </w:r>
      <w:r w:rsidR="004F7CEA" w:rsidRPr="00A5668C">
        <w:rPr>
          <w:b/>
          <w:szCs w:val="24"/>
        </w:rPr>
        <w:t>egulations Section</w:t>
      </w:r>
      <w:r w:rsidR="00122CB4" w:rsidRPr="00A5668C">
        <w:rPr>
          <w:b/>
          <w:szCs w:val="24"/>
        </w:rPr>
        <w:t xml:space="preserve"> 1320.8.</w:t>
      </w:r>
    </w:p>
    <w:p w14:paraId="185F6935" w14:textId="77777777" w:rsidR="009F22C0" w:rsidRPr="005E0995" w:rsidRDefault="009F22C0" w:rsidP="003B1F5D">
      <w:pPr>
        <w:widowControl w:val="0"/>
        <w:rPr>
          <w:b/>
          <w:szCs w:val="24"/>
        </w:rPr>
      </w:pPr>
    </w:p>
    <w:p w14:paraId="1F53E109" w14:textId="77777777" w:rsidR="00E8116A" w:rsidRPr="009B048F" w:rsidRDefault="00E8116A" w:rsidP="005E0995">
      <w:pPr>
        <w:ind w:left="720"/>
        <w:rPr>
          <w:szCs w:val="24"/>
        </w:rPr>
      </w:pPr>
      <w:r w:rsidRPr="005E0995">
        <w:rPr>
          <w:szCs w:val="24"/>
        </w:rPr>
        <w:t>FRA published the required 60-</w:t>
      </w:r>
      <w:r w:rsidR="004F7CEA">
        <w:rPr>
          <w:szCs w:val="24"/>
        </w:rPr>
        <w:t>d</w:t>
      </w:r>
      <w:r w:rsidRPr="005E0995">
        <w:rPr>
          <w:szCs w:val="24"/>
        </w:rPr>
        <w:t xml:space="preserve">ay </w:t>
      </w:r>
      <w:r w:rsidR="004F7CEA">
        <w:rPr>
          <w:szCs w:val="24"/>
        </w:rPr>
        <w:t>N</w:t>
      </w:r>
      <w:r w:rsidRPr="005E0995">
        <w:rPr>
          <w:szCs w:val="24"/>
        </w:rPr>
        <w:t xml:space="preserve">otice in the </w:t>
      </w:r>
      <w:r w:rsidRPr="005E0995">
        <w:rPr>
          <w:b/>
          <w:szCs w:val="24"/>
        </w:rPr>
        <w:t>Federal Register</w:t>
      </w:r>
      <w:r w:rsidRPr="005E0995">
        <w:rPr>
          <w:szCs w:val="24"/>
        </w:rPr>
        <w:t xml:space="preserve"> on </w:t>
      </w:r>
      <w:r w:rsidR="001D45D2" w:rsidRPr="001D45D2">
        <w:rPr>
          <w:b/>
          <w:szCs w:val="24"/>
        </w:rPr>
        <w:t>June</w:t>
      </w:r>
      <w:r w:rsidR="001D45D2">
        <w:rPr>
          <w:szCs w:val="24"/>
        </w:rPr>
        <w:t xml:space="preserve"> </w:t>
      </w:r>
      <w:r w:rsidR="001D45D2">
        <w:rPr>
          <w:b/>
          <w:szCs w:val="24"/>
        </w:rPr>
        <w:t>14</w:t>
      </w:r>
      <w:r w:rsidRPr="001D45D2">
        <w:rPr>
          <w:b/>
          <w:szCs w:val="24"/>
        </w:rPr>
        <w:t>, 2019</w:t>
      </w:r>
      <w:r w:rsidRPr="00D85736">
        <w:rPr>
          <w:szCs w:val="24"/>
        </w:rPr>
        <w:t xml:space="preserve">, requesting public comment on the proposed study pertaining to this new information collection.  </w:t>
      </w:r>
      <w:r w:rsidRPr="00452D9A">
        <w:rPr>
          <w:szCs w:val="24"/>
          <w:u w:val="single"/>
        </w:rPr>
        <w:t>See</w:t>
      </w:r>
      <w:r w:rsidRPr="00452D9A">
        <w:rPr>
          <w:szCs w:val="24"/>
        </w:rPr>
        <w:t xml:space="preserve"> </w:t>
      </w:r>
      <w:r w:rsidR="001D45D2">
        <w:rPr>
          <w:szCs w:val="24"/>
        </w:rPr>
        <w:t>84</w:t>
      </w:r>
      <w:r w:rsidRPr="001D45D2">
        <w:rPr>
          <w:szCs w:val="24"/>
        </w:rPr>
        <w:t xml:space="preserve"> FR </w:t>
      </w:r>
      <w:r w:rsidR="001D45D2">
        <w:rPr>
          <w:szCs w:val="24"/>
        </w:rPr>
        <w:t>27832</w:t>
      </w:r>
      <w:r w:rsidRPr="009B048F">
        <w:rPr>
          <w:szCs w:val="24"/>
        </w:rPr>
        <w:t xml:space="preserve">.  </w:t>
      </w:r>
      <w:r w:rsidRPr="001D45D2">
        <w:rPr>
          <w:szCs w:val="24"/>
        </w:rPr>
        <w:t xml:space="preserve">FRA received </w:t>
      </w:r>
      <w:r w:rsidR="001D45D2">
        <w:rPr>
          <w:szCs w:val="24"/>
        </w:rPr>
        <w:t xml:space="preserve">191 </w:t>
      </w:r>
      <w:r w:rsidRPr="001D45D2">
        <w:rPr>
          <w:szCs w:val="24"/>
        </w:rPr>
        <w:t>comments in response to this Notice.</w:t>
      </w:r>
      <w:r w:rsidRPr="009B048F">
        <w:rPr>
          <w:szCs w:val="24"/>
        </w:rPr>
        <w:t xml:space="preserve"> </w:t>
      </w:r>
    </w:p>
    <w:p w14:paraId="6FECD462" w14:textId="77777777" w:rsidR="00E8116A" w:rsidRDefault="00E8116A" w:rsidP="005E0995">
      <w:pPr>
        <w:ind w:left="720"/>
        <w:rPr>
          <w:szCs w:val="24"/>
        </w:rPr>
      </w:pPr>
    </w:p>
    <w:p w14:paraId="6B9CA3B1" w14:textId="77777777" w:rsidR="00A469D6" w:rsidRDefault="00A469D6" w:rsidP="008417E3">
      <w:pPr>
        <w:widowControl w:val="0"/>
        <w:ind w:left="720"/>
        <w:contextualSpacing/>
      </w:pPr>
      <w:r w:rsidRPr="000176AF">
        <w:rPr>
          <w:szCs w:val="24"/>
        </w:rPr>
        <w:t xml:space="preserve">FRA received numerous comments on the 60-day notice from individuals, representatives </w:t>
      </w:r>
      <w:r w:rsidRPr="008F01DE">
        <w:rPr>
          <w:szCs w:val="24"/>
        </w:rPr>
        <w:t>of private companies, cities, community hospitals, police departments, and State agencies, including the Washington Utilities and Transportation Commission (UTC), the Illinois Commerce Commission (ICC), and the Public Utilities Commission of Ohio.  Commente</w:t>
      </w:r>
      <w:r w:rsidRPr="008417E3">
        <w:rPr>
          <w:szCs w:val="24"/>
        </w:rPr>
        <w:t xml:space="preserve">rs across several states, including Indiana, Illinois, Texas, Oklahoma, Nebraska, Utah and Washington, alluded to the severity of the problem of blocked crossings in their communities.  Many commenters provided FRA with feedback regarding ongoing problems with blocked highway-rail grade crossings in their communities.  FRA thanks these commenters for their input.  However, for purposes of this information collection request, FRA is only responding to comments that relate to the proposed blocked crossing data collection’s burden estimates and not on blocked crossings generally. </w:t>
      </w:r>
    </w:p>
    <w:p w14:paraId="7340B34F" w14:textId="77777777" w:rsidR="00A469D6" w:rsidRDefault="00A469D6" w:rsidP="00A5668C">
      <w:pPr>
        <w:widowControl w:val="0"/>
        <w:contextualSpacing/>
      </w:pPr>
    </w:p>
    <w:p w14:paraId="142BE134" w14:textId="77777777" w:rsidR="00A469D6" w:rsidRDefault="00A469D6" w:rsidP="008417E3">
      <w:pPr>
        <w:widowControl w:val="0"/>
        <w:ind w:left="720"/>
        <w:contextualSpacing/>
      </w:pPr>
      <w:r>
        <w:t xml:space="preserve">FRA reviewed numerous comments in support of the blocked crossing data collection from individuals who expressed their frustrations with the current reporting process.  These comments discussed the need for greater reporting accuracy and for the public to have a mechanism for reporting slow-moving or stopped trains at railroad crossings.  One commenter questioned the low number of blocked crossing complaints (669 complaints over a two-year period) cited in the 60-day notice of the proposed data collection and asserted that the number of responses will be significantly higher if the proposed data collection is properly promoted.  The Chicago Metropolitan Agency for Planning shared with FRA potential alternative techniques for data collection to evaluate the impacts of blocked crossings on local communities, and the UTC urged FRA to gather information about the location, duration, and nature of the crossing blockages and recommended that FRA develop a national educational campaign providing information on how to report blocked crossings.    </w:t>
      </w:r>
    </w:p>
    <w:p w14:paraId="726B32F9" w14:textId="77777777" w:rsidR="00A469D6" w:rsidRDefault="00A469D6" w:rsidP="008417E3">
      <w:pPr>
        <w:widowControl w:val="0"/>
        <w:ind w:left="720"/>
        <w:contextualSpacing/>
      </w:pPr>
      <w:r>
        <w:t xml:space="preserve"> </w:t>
      </w:r>
    </w:p>
    <w:p w14:paraId="158F654F" w14:textId="77777777" w:rsidR="00A469D6" w:rsidRDefault="00A469D6" w:rsidP="008417E3">
      <w:pPr>
        <w:ind w:left="720"/>
        <w:contextualSpacing/>
      </w:pPr>
      <w:r>
        <w:t>The Association of American Railroads (AAR) commented on what it believes to be several issues with the method and quality of the proposed data collection.  The AAR notes that the 60-day notice did not “define what constitutes either a ‘blocked crossing’ or a ‘slow moving’ train.”  Further, the AAR asserts that FRA has not established any mechanism that would enable it – or the railroads – to verify or investigate public reports of blocked crossings and therefore questions the reliability and usefulness of the data.  Instead, the AAR recommends that FRA direct the public to the railroad for any “blocked crossing” or “slow moving train” concerns.</w:t>
      </w:r>
    </w:p>
    <w:p w14:paraId="392E3C13" w14:textId="77777777" w:rsidR="00A469D6" w:rsidRDefault="00A469D6" w:rsidP="008417E3">
      <w:pPr>
        <w:widowControl w:val="0"/>
        <w:ind w:firstLine="720"/>
        <w:contextualSpacing/>
      </w:pPr>
    </w:p>
    <w:p w14:paraId="3DC37D78" w14:textId="77777777" w:rsidR="0000210A" w:rsidRDefault="00A469D6" w:rsidP="008417E3">
      <w:pPr>
        <w:widowControl w:val="0"/>
        <w:ind w:left="720"/>
        <w:contextualSpacing/>
      </w:pPr>
      <w:r>
        <w:t xml:space="preserve">FRA believes the number of comments submitted illustrates both the need and the urgency to carry out the proposed data collection.  The proposed data collection will collect information on the impacts of blocked crossings, while also gathering data on the location, time, and duration of reported blocked crossing incidents.  </w:t>
      </w:r>
      <w:r w:rsidRPr="00422725">
        <w:t>FRA does not believe th</w:t>
      </w:r>
      <w:r>
        <w:t>e proposed data collection</w:t>
      </w:r>
      <w:r w:rsidRPr="00422725">
        <w:t xml:space="preserve"> will create </w:t>
      </w:r>
      <w:r>
        <w:t>the</w:t>
      </w:r>
      <w:r w:rsidRPr="00422725">
        <w:t xml:space="preserve"> expectation that FRA and </w:t>
      </w:r>
      <w:r>
        <w:t xml:space="preserve">the </w:t>
      </w:r>
      <w:r w:rsidRPr="00422725">
        <w:t xml:space="preserve">railroads </w:t>
      </w:r>
      <w:r>
        <w:t xml:space="preserve">involved </w:t>
      </w:r>
      <w:r w:rsidRPr="00422725">
        <w:t>will investigate and take action</w:t>
      </w:r>
      <w:r>
        <w:t xml:space="preserve"> in response to reported blocked crossing incidents</w:t>
      </w:r>
      <w:r w:rsidRPr="00422725">
        <w:t xml:space="preserve">.  </w:t>
      </w:r>
    </w:p>
    <w:p w14:paraId="0FB132E6" w14:textId="77777777" w:rsidR="0000210A" w:rsidRDefault="0000210A" w:rsidP="008417E3">
      <w:pPr>
        <w:widowControl w:val="0"/>
        <w:ind w:left="720"/>
        <w:contextualSpacing/>
      </w:pPr>
    </w:p>
    <w:p w14:paraId="1BFA4DEA" w14:textId="77777777" w:rsidR="00A469D6" w:rsidRDefault="00A469D6" w:rsidP="008417E3">
      <w:pPr>
        <w:widowControl w:val="0"/>
        <w:ind w:left="720"/>
        <w:contextualSpacing/>
      </w:pPr>
      <w:r w:rsidRPr="00422725">
        <w:t>As noted, the form will state</w:t>
      </w:r>
      <w:r>
        <w:t xml:space="preserve"> that t</w:t>
      </w:r>
      <w:r w:rsidRPr="00422725">
        <w:t xml:space="preserve">here are no federal laws or regulations </w:t>
      </w:r>
      <w:r>
        <w:t xml:space="preserve">that specifically address the length of time trains are permitted </w:t>
      </w:r>
      <w:r w:rsidRPr="00422725">
        <w:t xml:space="preserve">to </w:t>
      </w:r>
      <w:r>
        <w:t xml:space="preserve">occupy a </w:t>
      </w:r>
      <w:r w:rsidRPr="00422725">
        <w:t>crossing.  The</w:t>
      </w:r>
      <w:r>
        <w:t xml:space="preserve"> form will also state that </w:t>
      </w:r>
      <w:r w:rsidRPr="00422725">
        <w:t>th</w:t>
      </w:r>
      <w:r>
        <w:t>e</w:t>
      </w:r>
      <w:r w:rsidRPr="00422725">
        <w:t xml:space="preserve"> information </w:t>
      </w:r>
      <w:r>
        <w:t xml:space="preserve">collected </w:t>
      </w:r>
      <w:r w:rsidRPr="00422725">
        <w:t xml:space="preserve">is only being used to </w:t>
      </w:r>
      <w:r>
        <w:t>determine</w:t>
      </w:r>
      <w:r w:rsidRPr="00422725">
        <w:t xml:space="preserve"> the location</w:t>
      </w:r>
      <w:r>
        <w:t>s, times,</w:t>
      </w:r>
      <w:r w:rsidRPr="00422725">
        <w:t xml:space="preserve"> and impacts of blocked crossing</w:t>
      </w:r>
      <w:r>
        <w:t xml:space="preserve"> incident</w:t>
      </w:r>
      <w:r w:rsidRPr="00422725">
        <w:t xml:space="preserve">s.  However, FRA will consider modifying language </w:t>
      </w:r>
      <w:r>
        <w:t xml:space="preserve">on the form </w:t>
      </w:r>
      <w:r w:rsidRPr="00422725">
        <w:t>to</w:t>
      </w:r>
      <w:r>
        <w:t xml:space="preserve"> clarify</w:t>
      </w:r>
      <w:r w:rsidRPr="00422725">
        <w:t xml:space="preserve"> that no investigation or action should be expected by submitting the survey and that there may be legitimate safety and operation</w:t>
      </w:r>
      <w:r>
        <w:t>s</w:t>
      </w:r>
      <w:r w:rsidRPr="00422725">
        <w:t xml:space="preserve">-related reasons </w:t>
      </w:r>
      <w:r>
        <w:t>for</w:t>
      </w:r>
      <w:r w:rsidRPr="00422725">
        <w:t xml:space="preserve"> a crossing </w:t>
      </w:r>
      <w:r>
        <w:t>to</w:t>
      </w:r>
      <w:r w:rsidRPr="00422725">
        <w:t xml:space="preserve"> be occupied by a </w:t>
      </w:r>
      <w:r>
        <w:t>slow-moving or idling</w:t>
      </w:r>
      <w:r w:rsidRPr="00422725">
        <w:t xml:space="preserve"> train.</w:t>
      </w:r>
      <w:r>
        <w:t xml:space="preserve"> </w:t>
      </w:r>
    </w:p>
    <w:p w14:paraId="6C8BD1DD" w14:textId="77777777" w:rsidR="00A469D6" w:rsidRDefault="00A469D6" w:rsidP="008417E3">
      <w:pPr>
        <w:widowControl w:val="0"/>
        <w:ind w:firstLine="720"/>
        <w:contextualSpacing/>
      </w:pPr>
    </w:p>
    <w:p w14:paraId="4AFEEC8B" w14:textId="77777777" w:rsidR="00A469D6" w:rsidRDefault="00A469D6" w:rsidP="008417E3">
      <w:pPr>
        <w:widowControl w:val="0"/>
        <w:ind w:left="720"/>
        <w:contextualSpacing/>
      </w:pPr>
      <w:r>
        <w:t>S</w:t>
      </w:r>
      <w:r w:rsidRPr="00EB3EFC">
        <w:t xml:space="preserve">ome commenters, such as the ICC, observed that FRA’s estimates for the proposed data collection in the 60-day notice were much too low and that FRA’s simple survey could take </w:t>
      </w:r>
      <w:r>
        <w:t>less than two minutes to complete</w:t>
      </w:r>
      <w:r w:rsidRPr="00EB3EFC">
        <w:t xml:space="preserve">. </w:t>
      </w:r>
      <w:r>
        <w:t xml:space="preserve"> In response to those comments, FRA has taken a second look at its estimates proposed in the 60-day notice and revised them.  </w:t>
      </w:r>
      <w:r w:rsidRPr="00CC666F">
        <w:t xml:space="preserve">FRA estimated the number of responses </w:t>
      </w:r>
      <w:r>
        <w:t>based on</w:t>
      </w:r>
      <w:r w:rsidRPr="00CC666F">
        <w:t xml:space="preserve"> the existing rate of </w:t>
      </w:r>
      <w:r>
        <w:t>complaints</w:t>
      </w:r>
      <w:r w:rsidRPr="00CC666F">
        <w:t xml:space="preserve"> received about blocked crossings.  However, </w:t>
      </w:r>
      <w:r>
        <w:t>this estimate</w:t>
      </w:r>
      <w:r w:rsidRPr="00CC666F">
        <w:t xml:space="preserve"> did not include the </w:t>
      </w:r>
      <w:r>
        <w:t xml:space="preserve">anticipated impact of </w:t>
      </w:r>
      <w:r w:rsidRPr="00CC666F">
        <w:t>future</w:t>
      </w:r>
      <w:r>
        <w:t xml:space="preserve"> public</w:t>
      </w:r>
      <w:r w:rsidRPr="00CC666F">
        <w:t xml:space="preserve"> promotion of this </w:t>
      </w:r>
      <w:r>
        <w:t>proposed data collection</w:t>
      </w:r>
      <w:r w:rsidRPr="00CC666F">
        <w:t xml:space="preserve">.  FRA agrees with the comment that </w:t>
      </w:r>
      <w:r>
        <w:t>it</w:t>
      </w:r>
      <w:r w:rsidRPr="00CC666F">
        <w:t xml:space="preserve"> should promote the </w:t>
      </w:r>
      <w:r>
        <w:t>proposed data collection and educate the public on how to report blocked crossings</w:t>
      </w:r>
      <w:r w:rsidRPr="00CC666F">
        <w:t xml:space="preserve">.  FRA believes this could result in a </w:t>
      </w:r>
      <w:r>
        <w:t>tenfold</w:t>
      </w:r>
      <w:r w:rsidRPr="00CC666F">
        <w:t xml:space="preserve"> increase in the </w:t>
      </w:r>
      <w:r>
        <w:t xml:space="preserve">response </w:t>
      </w:r>
      <w:r w:rsidRPr="00CC666F">
        <w:t>rate</w:t>
      </w:r>
      <w:r>
        <w:t>.</w:t>
      </w:r>
      <w:r w:rsidRPr="00CC666F">
        <w:t xml:space="preserve">  The</w:t>
      </w:r>
      <w:r>
        <w:t>refore, the</w:t>
      </w:r>
      <w:r w:rsidRPr="00CC666F">
        <w:t xml:space="preserve"> estimated number of responses has been increased by doubling the previous estimate.</w:t>
      </w:r>
      <w:r>
        <w:t xml:space="preserve">  FRA revaluated its estimated time to complete the survey and estimates that it will take a responder approximately 3 minutes to complete.  </w:t>
      </w:r>
    </w:p>
    <w:p w14:paraId="30C561A5" w14:textId="77777777" w:rsidR="00A469D6" w:rsidRDefault="00A469D6" w:rsidP="005E0995">
      <w:pPr>
        <w:ind w:left="720"/>
        <w:rPr>
          <w:szCs w:val="24"/>
        </w:rPr>
      </w:pPr>
    </w:p>
    <w:p w14:paraId="1F3FC5EB" w14:textId="77777777" w:rsidR="00E8116A" w:rsidRPr="003B1F5D" w:rsidRDefault="00E8116A" w:rsidP="00D85736">
      <w:pPr>
        <w:widowControl w:val="0"/>
        <w:tabs>
          <w:tab w:val="left" w:pos="4500"/>
        </w:tabs>
        <w:ind w:left="720"/>
        <w:outlineLvl w:val="0"/>
        <w:rPr>
          <w:szCs w:val="24"/>
        </w:rPr>
      </w:pPr>
      <w:r w:rsidRPr="009B048F">
        <w:rPr>
          <w:szCs w:val="24"/>
        </w:rPr>
        <w:t xml:space="preserve">Further, FRA is publishing the required second or 30-day Notice in the </w:t>
      </w:r>
      <w:r w:rsidRPr="009B048F">
        <w:rPr>
          <w:b/>
          <w:szCs w:val="24"/>
        </w:rPr>
        <w:t>Federal Register</w:t>
      </w:r>
      <w:r w:rsidRPr="009B048F">
        <w:rPr>
          <w:szCs w:val="24"/>
        </w:rPr>
        <w:t xml:space="preserve"> on </w:t>
      </w:r>
      <w:r w:rsidR="001D45D2">
        <w:rPr>
          <w:b/>
          <w:szCs w:val="24"/>
        </w:rPr>
        <w:t xml:space="preserve">September </w:t>
      </w:r>
      <w:r w:rsidR="008F01DE">
        <w:rPr>
          <w:b/>
          <w:szCs w:val="24"/>
        </w:rPr>
        <w:t>20</w:t>
      </w:r>
      <w:r w:rsidRPr="001D45D2">
        <w:rPr>
          <w:b/>
          <w:szCs w:val="24"/>
        </w:rPr>
        <w:t>, 2019</w:t>
      </w:r>
      <w:r w:rsidRPr="009B048F">
        <w:rPr>
          <w:szCs w:val="24"/>
        </w:rPr>
        <w:t xml:space="preserve">, specifying any public comments be sent directly to </w:t>
      </w:r>
      <w:r w:rsidR="00B22A56">
        <w:rPr>
          <w:szCs w:val="24"/>
        </w:rPr>
        <w:t xml:space="preserve">the </w:t>
      </w:r>
      <w:r w:rsidRPr="009B048F">
        <w:rPr>
          <w:szCs w:val="24"/>
        </w:rPr>
        <w:t>O</w:t>
      </w:r>
      <w:r w:rsidR="00B22A56">
        <w:rPr>
          <w:szCs w:val="24"/>
        </w:rPr>
        <w:t xml:space="preserve">ffice of </w:t>
      </w:r>
      <w:r w:rsidRPr="009B048F">
        <w:rPr>
          <w:szCs w:val="24"/>
        </w:rPr>
        <w:t>M</w:t>
      </w:r>
      <w:r w:rsidR="00B22A56">
        <w:rPr>
          <w:szCs w:val="24"/>
        </w:rPr>
        <w:t xml:space="preserve">anagement and </w:t>
      </w:r>
      <w:r w:rsidRPr="009B048F">
        <w:rPr>
          <w:szCs w:val="24"/>
        </w:rPr>
        <w:t>B</w:t>
      </w:r>
      <w:r w:rsidR="00B22A56">
        <w:rPr>
          <w:szCs w:val="24"/>
        </w:rPr>
        <w:t>udget</w:t>
      </w:r>
      <w:r w:rsidR="00FA73D0">
        <w:rPr>
          <w:szCs w:val="24"/>
        </w:rPr>
        <w:t xml:space="preserve"> (OMB)</w:t>
      </w:r>
      <w:r w:rsidRPr="009B048F">
        <w:rPr>
          <w:szCs w:val="24"/>
        </w:rPr>
        <w:t xml:space="preserve">.  </w:t>
      </w:r>
      <w:r w:rsidRPr="00625022">
        <w:rPr>
          <w:szCs w:val="24"/>
          <w:u w:val="single"/>
        </w:rPr>
        <w:t>See</w:t>
      </w:r>
      <w:r w:rsidRPr="00625022">
        <w:rPr>
          <w:szCs w:val="24"/>
        </w:rPr>
        <w:t xml:space="preserve"> </w:t>
      </w:r>
      <w:r w:rsidR="001D45D2">
        <w:rPr>
          <w:szCs w:val="24"/>
        </w:rPr>
        <w:t>84</w:t>
      </w:r>
      <w:r w:rsidR="00EB7DD0" w:rsidRPr="001D45D2">
        <w:rPr>
          <w:szCs w:val="24"/>
        </w:rPr>
        <w:t> </w:t>
      </w:r>
      <w:r w:rsidRPr="001D45D2">
        <w:rPr>
          <w:szCs w:val="24"/>
        </w:rPr>
        <w:t xml:space="preserve">FR </w:t>
      </w:r>
      <w:r w:rsidR="00BC3EF8">
        <w:rPr>
          <w:szCs w:val="24"/>
        </w:rPr>
        <w:t>49611</w:t>
      </w:r>
      <w:r w:rsidRPr="001D45D2">
        <w:rPr>
          <w:szCs w:val="24"/>
        </w:rPr>
        <w:t>.</w:t>
      </w:r>
      <w:r w:rsidRPr="003B1F5D">
        <w:rPr>
          <w:szCs w:val="24"/>
        </w:rPr>
        <w:t xml:space="preserve">  </w:t>
      </w:r>
    </w:p>
    <w:p w14:paraId="6C988D14" w14:textId="77777777" w:rsidR="00E8116A" w:rsidRPr="005E0995" w:rsidRDefault="00E8116A" w:rsidP="00452D9A">
      <w:pPr>
        <w:widowControl w:val="0"/>
        <w:rPr>
          <w:b/>
          <w:szCs w:val="24"/>
        </w:rPr>
      </w:pPr>
    </w:p>
    <w:p w14:paraId="336927C3" w14:textId="77777777" w:rsidR="009F22C0" w:rsidRPr="00A5668C" w:rsidRDefault="00122CB4" w:rsidP="00A5668C">
      <w:pPr>
        <w:pStyle w:val="ListParagraph"/>
        <w:widowControl w:val="0"/>
        <w:numPr>
          <w:ilvl w:val="0"/>
          <w:numId w:val="7"/>
        </w:numPr>
        <w:rPr>
          <w:b/>
          <w:szCs w:val="24"/>
        </w:rPr>
      </w:pPr>
      <w:r w:rsidRPr="00A5668C">
        <w:rPr>
          <w:b/>
          <w:szCs w:val="24"/>
        </w:rPr>
        <w:t xml:space="preserve">Payment or gifts to respondents. </w:t>
      </w:r>
    </w:p>
    <w:p w14:paraId="6427221A" w14:textId="77777777" w:rsidR="00E8116A" w:rsidRPr="00D85736" w:rsidRDefault="00E8116A" w:rsidP="003B1F5D">
      <w:pPr>
        <w:widowControl w:val="0"/>
        <w:ind w:left="720" w:hanging="720"/>
        <w:rPr>
          <w:b/>
          <w:szCs w:val="24"/>
        </w:rPr>
      </w:pPr>
    </w:p>
    <w:p w14:paraId="4C543D79" w14:textId="77777777" w:rsidR="00E8116A" w:rsidRPr="00452D9A" w:rsidRDefault="00E8116A" w:rsidP="005E0995">
      <w:pPr>
        <w:widowControl w:val="0"/>
        <w:ind w:left="720"/>
        <w:rPr>
          <w:b/>
          <w:szCs w:val="24"/>
        </w:rPr>
      </w:pPr>
      <w:r w:rsidRPr="00452D9A">
        <w:rPr>
          <w:szCs w:val="24"/>
        </w:rPr>
        <w:t>There are no payments or gifts for the respondents of this collection.</w:t>
      </w:r>
    </w:p>
    <w:p w14:paraId="56C738BA" w14:textId="77777777" w:rsidR="009F22C0" w:rsidRPr="009B048F" w:rsidRDefault="009F22C0" w:rsidP="005E0995">
      <w:pPr>
        <w:widowControl w:val="0"/>
        <w:rPr>
          <w:b/>
          <w:szCs w:val="24"/>
        </w:rPr>
      </w:pPr>
    </w:p>
    <w:p w14:paraId="33D81562" w14:textId="77777777" w:rsidR="009F22C0" w:rsidRPr="00A5668C" w:rsidRDefault="00122CB4" w:rsidP="00A5668C">
      <w:pPr>
        <w:pStyle w:val="ListParagraph"/>
        <w:widowControl w:val="0"/>
        <w:numPr>
          <w:ilvl w:val="0"/>
          <w:numId w:val="7"/>
        </w:numPr>
        <w:rPr>
          <w:b/>
          <w:szCs w:val="24"/>
        </w:rPr>
      </w:pPr>
      <w:r w:rsidRPr="00A5668C">
        <w:rPr>
          <w:b/>
          <w:szCs w:val="24"/>
        </w:rPr>
        <w:t>Assurances of Confidentiality.</w:t>
      </w:r>
    </w:p>
    <w:p w14:paraId="03B913F7" w14:textId="77777777" w:rsidR="00E8116A" w:rsidRPr="009B048F" w:rsidRDefault="00E8116A" w:rsidP="003B1F5D">
      <w:pPr>
        <w:widowControl w:val="0"/>
        <w:ind w:left="720" w:hanging="720"/>
        <w:rPr>
          <w:b/>
          <w:szCs w:val="24"/>
        </w:rPr>
      </w:pPr>
    </w:p>
    <w:p w14:paraId="6E3FA985" w14:textId="77777777" w:rsidR="00E8116A" w:rsidRDefault="00E8116A" w:rsidP="005E0995">
      <w:pPr>
        <w:widowControl w:val="0"/>
        <w:ind w:left="720"/>
        <w:rPr>
          <w:szCs w:val="24"/>
        </w:rPr>
      </w:pPr>
      <w:r w:rsidRPr="009B048F">
        <w:rPr>
          <w:szCs w:val="24"/>
        </w:rPr>
        <w:t>There will be no personally identifying information</w:t>
      </w:r>
      <w:r w:rsidR="00092E9B" w:rsidRPr="009B048F">
        <w:rPr>
          <w:szCs w:val="24"/>
        </w:rPr>
        <w:t xml:space="preserve"> collected from the respondents.  The questions on the form will only ask about the date, time, location, duration, and impacts of the blocked crossings.  The respondent will not be able to submit any </w:t>
      </w:r>
      <w:r w:rsidR="004F7CEA">
        <w:rPr>
          <w:szCs w:val="24"/>
        </w:rPr>
        <w:t xml:space="preserve">personal </w:t>
      </w:r>
      <w:r w:rsidR="00092E9B" w:rsidRPr="009B048F">
        <w:rPr>
          <w:szCs w:val="24"/>
        </w:rPr>
        <w:t>information</w:t>
      </w:r>
      <w:r w:rsidR="001A49D6">
        <w:rPr>
          <w:szCs w:val="24"/>
        </w:rPr>
        <w:t>,</w:t>
      </w:r>
      <w:r w:rsidR="00092E9B" w:rsidRPr="009B048F">
        <w:rPr>
          <w:szCs w:val="24"/>
        </w:rPr>
        <w:t xml:space="preserve"> such as </w:t>
      </w:r>
      <w:r w:rsidR="004F7CEA">
        <w:rPr>
          <w:szCs w:val="24"/>
        </w:rPr>
        <w:t xml:space="preserve">their </w:t>
      </w:r>
      <w:r w:rsidR="00092E9B" w:rsidRPr="009B048F">
        <w:rPr>
          <w:szCs w:val="24"/>
        </w:rPr>
        <w:t xml:space="preserve">name, address, phone number, email address, etc.  </w:t>
      </w:r>
      <w:r w:rsidR="00E03633" w:rsidRPr="00625022">
        <w:rPr>
          <w:szCs w:val="24"/>
        </w:rPr>
        <w:t>Therefore,</w:t>
      </w:r>
      <w:r w:rsidR="00092E9B" w:rsidRPr="00625022">
        <w:rPr>
          <w:szCs w:val="24"/>
        </w:rPr>
        <w:t xml:space="preserve"> there are no concerns with confidentiality.</w:t>
      </w:r>
    </w:p>
    <w:p w14:paraId="1B573566" w14:textId="77777777" w:rsidR="00337476" w:rsidRPr="00FD13B8" w:rsidRDefault="00337476" w:rsidP="005E0995">
      <w:pPr>
        <w:widowControl w:val="0"/>
        <w:ind w:left="720"/>
        <w:rPr>
          <w:b/>
          <w:szCs w:val="24"/>
        </w:rPr>
      </w:pPr>
    </w:p>
    <w:p w14:paraId="7BA85B0D" w14:textId="77777777" w:rsidR="009F22C0" w:rsidRPr="00A5668C" w:rsidRDefault="00122CB4" w:rsidP="00A5668C">
      <w:pPr>
        <w:pStyle w:val="ListParagraph"/>
        <w:widowControl w:val="0"/>
        <w:numPr>
          <w:ilvl w:val="0"/>
          <w:numId w:val="7"/>
        </w:numPr>
        <w:rPr>
          <w:b/>
          <w:szCs w:val="24"/>
        </w:rPr>
      </w:pPr>
      <w:r w:rsidRPr="00A5668C">
        <w:rPr>
          <w:b/>
          <w:szCs w:val="24"/>
        </w:rPr>
        <w:t>Justification for collection of sensitive information.</w:t>
      </w:r>
    </w:p>
    <w:p w14:paraId="04B9E921" w14:textId="77777777" w:rsidR="00092E9B" w:rsidRPr="004A1481" w:rsidRDefault="00092E9B" w:rsidP="003B1F5D">
      <w:pPr>
        <w:widowControl w:val="0"/>
        <w:ind w:left="720"/>
        <w:rPr>
          <w:szCs w:val="24"/>
        </w:rPr>
      </w:pPr>
    </w:p>
    <w:p w14:paraId="6B313D93" w14:textId="77777777" w:rsidR="00092E9B" w:rsidRPr="006C1853" w:rsidRDefault="00092E9B" w:rsidP="005E0995">
      <w:pPr>
        <w:widowControl w:val="0"/>
        <w:ind w:left="720"/>
        <w:rPr>
          <w:b/>
          <w:szCs w:val="24"/>
        </w:rPr>
      </w:pPr>
      <w:r w:rsidRPr="004A1481">
        <w:rPr>
          <w:szCs w:val="24"/>
        </w:rPr>
        <w:t>There will be no sensitive information collected from the respondents.  The questions on the form will only ask about the date, time, location, duration, and impacts of the blocked crossings.</w:t>
      </w:r>
    </w:p>
    <w:p w14:paraId="5B141F25" w14:textId="77777777" w:rsidR="009F22C0" w:rsidRPr="00146640" w:rsidRDefault="009F22C0" w:rsidP="005E0995">
      <w:pPr>
        <w:widowControl w:val="0"/>
        <w:rPr>
          <w:b/>
          <w:szCs w:val="24"/>
        </w:rPr>
      </w:pPr>
    </w:p>
    <w:p w14:paraId="2DFBBA44" w14:textId="77777777" w:rsidR="009F22C0" w:rsidRPr="00A5668C" w:rsidRDefault="00122CB4" w:rsidP="00A5668C">
      <w:pPr>
        <w:pStyle w:val="ListParagraph"/>
        <w:widowControl w:val="0"/>
        <w:numPr>
          <w:ilvl w:val="0"/>
          <w:numId w:val="7"/>
        </w:numPr>
        <w:tabs>
          <w:tab w:val="left" w:pos="720"/>
        </w:tabs>
        <w:rPr>
          <w:b/>
          <w:szCs w:val="24"/>
        </w:rPr>
      </w:pPr>
      <w:r w:rsidRPr="00A5668C">
        <w:rPr>
          <w:b/>
          <w:szCs w:val="24"/>
        </w:rPr>
        <w:t>Estimate of burden hours for information requested.</w:t>
      </w:r>
    </w:p>
    <w:p w14:paraId="2D2584CB" w14:textId="77777777" w:rsidR="009F22C0" w:rsidRPr="00B863BF" w:rsidRDefault="009F22C0" w:rsidP="003B1F5D">
      <w:pPr>
        <w:widowControl w:val="0"/>
        <w:rPr>
          <w:b/>
          <w:szCs w:val="24"/>
        </w:rPr>
      </w:pPr>
    </w:p>
    <w:p w14:paraId="13641B2B" w14:textId="77777777" w:rsidR="00092E9B" w:rsidRPr="005E0995" w:rsidRDefault="00092E9B" w:rsidP="001A49D6">
      <w:pPr>
        <w:ind w:left="720"/>
        <w:rPr>
          <w:rFonts w:eastAsia="Calibri"/>
          <w:szCs w:val="24"/>
        </w:rPr>
      </w:pPr>
      <w:bookmarkStart w:id="1" w:name="_Hlk14683302"/>
      <w:r w:rsidRPr="00B863BF">
        <w:rPr>
          <w:rFonts w:eastAsia="Calibri"/>
          <w:szCs w:val="24"/>
        </w:rPr>
        <w:t xml:space="preserve">The information collection burden is estimated to be approximately </w:t>
      </w:r>
      <w:r w:rsidR="00D15338">
        <w:rPr>
          <w:rFonts w:eastAsia="Calibri"/>
          <w:szCs w:val="24"/>
        </w:rPr>
        <w:t>three</w:t>
      </w:r>
      <w:r w:rsidR="00D15338" w:rsidRPr="00B863BF">
        <w:rPr>
          <w:rFonts w:eastAsia="Calibri"/>
          <w:szCs w:val="24"/>
        </w:rPr>
        <w:t xml:space="preserve"> </w:t>
      </w:r>
      <w:r w:rsidRPr="00B863BF">
        <w:rPr>
          <w:rFonts w:eastAsia="Calibri"/>
          <w:szCs w:val="24"/>
        </w:rPr>
        <w:t xml:space="preserve">minutes per report submitted.  </w:t>
      </w:r>
      <w:r w:rsidR="00842662" w:rsidRPr="004F7CEA">
        <w:rPr>
          <w:rFonts w:eastAsia="Calibri"/>
          <w:szCs w:val="24"/>
        </w:rPr>
        <w:t xml:space="preserve">FRA uses </w:t>
      </w:r>
      <w:r w:rsidR="00513519" w:rsidRPr="004F7CEA">
        <w:rPr>
          <w:rFonts w:eastAsia="Calibri"/>
          <w:szCs w:val="24"/>
        </w:rPr>
        <w:t>a</w:t>
      </w:r>
      <w:r w:rsidR="00D15338">
        <w:rPr>
          <w:rFonts w:eastAsia="Calibri"/>
          <w:szCs w:val="24"/>
        </w:rPr>
        <w:t xml:space="preserve"> wage rate of $27 per hour for each respondent</w:t>
      </w:r>
      <w:r w:rsidR="0000210A">
        <w:rPr>
          <w:rFonts w:eastAsia="Calibri"/>
          <w:szCs w:val="24"/>
        </w:rPr>
        <w:t>.</w:t>
      </w:r>
      <w:r w:rsidR="00D15338">
        <w:rPr>
          <w:rStyle w:val="FootnoteReference"/>
          <w:rFonts w:eastAsia="Calibri"/>
          <w:szCs w:val="24"/>
        </w:rPr>
        <w:footnoteReference w:id="1"/>
      </w:r>
      <w:r w:rsidR="00D15338">
        <w:rPr>
          <w:rFonts w:eastAsia="Calibri"/>
          <w:szCs w:val="24"/>
        </w:rPr>
        <w:t xml:space="preserve">  FRA estimates a total of 250 annual burden hours for this information collection request.  FRA estimates </w:t>
      </w:r>
      <w:r w:rsidR="0083308A">
        <w:rPr>
          <w:rFonts w:eastAsia="Calibri"/>
          <w:szCs w:val="24"/>
        </w:rPr>
        <w:t>the total annual cost equivalent of this burden to be approximately $6,750.</w:t>
      </w:r>
    </w:p>
    <w:p w14:paraId="0272F5AD" w14:textId="77777777" w:rsidR="00E03633" w:rsidRPr="005E0995" w:rsidRDefault="00E03633" w:rsidP="001A49D6">
      <w:pPr>
        <w:ind w:left="720"/>
        <w:rPr>
          <w:rFonts w:eastAsia="Calibri"/>
          <w:szCs w:val="24"/>
        </w:rPr>
      </w:pPr>
    </w:p>
    <w:tbl>
      <w:tblPr>
        <w:tblW w:w="8845" w:type="dxa"/>
        <w:tblInd w:w="65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263"/>
        <w:gridCol w:w="1444"/>
        <w:gridCol w:w="1442"/>
        <w:gridCol w:w="1305"/>
        <w:gridCol w:w="973"/>
        <w:gridCol w:w="1418"/>
      </w:tblGrid>
      <w:tr w:rsidR="00B454D9" w:rsidRPr="000176AF" w14:paraId="2C40560D" w14:textId="77777777" w:rsidTr="008417E3">
        <w:trPr>
          <w:cantSplit/>
          <w:trHeight w:val="115"/>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47920B"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Form</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BA5935"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Total Annual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FD3359"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Average Time Per Response</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A7C927"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14:paraId="7DDCC59D"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Wages</w:t>
            </w:r>
            <w:r w:rsidR="00B454D9">
              <w:rPr>
                <w:b/>
                <w:sz w:val="22"/>
                <w:szCs w:val="24"/>
                <w:lang w:val="en-CA"/>
              </w:rPr>
              <w:t xml:space="preserve"> ($U.S.)</w:t>
            </w:r>
          </w:p>
        </w:tc>
        <w:tc>
          <w:tcPr>
            <w:tcW w:w="0" w:type="auto"/>
            <w:tcBorders>
              <w:top w:val="single" w:sz="7" w:space="0" w:color="000000"/>
              <w:left w:val="single" w:sz="7" w:space="0" w:color="000000"/>
              <w:bottom w:val="single" w:sz="7" w:space="0" w:color="000000"/>
              <w:right w:val="single" w:sz="7" w:space="0" w:color="000000"/>
            </w:tcBorders>
          </w:tcPr>
          <w:p w14:paraId="1996202F" w14:textId="77777777" w:rsidR="00D15338" w:rsidRPr="000176AF" w:rsidRDefault="00D15338" w:rsidP="008417E3">
            <w:pPr>
              <w:keepNext/>
              <w:widowControl w:val="0"/>
              <w:contextualSpacing/>
              <w:jc w:val="center"/>
              <w:rPr>
                <w:b/>
                <w:sz w:val="22"/>
                <w:szCs w:val="24"/>
                <w:lang w:val="en-CA"/>
              </w:rPr>
            </w:pPr>
            <w:r w:rsidRPr="000176AF">
              <w:rPr>
                <w:b/>
                <w:sz w:val="22"/>
                <w:szCs w:val="24"/>
                <w:lang w:val="en-CA"/>
              </w:rPr>
              <w:t>Total Cost Equivalent</w:t>
            </w:r>
          </w:p>
          <w:p w14:paraId="2F5D6033" w14:textId="77777777" w:rsidR="00D15338" w:rsidRPr="000176AF" w:rsidRDefault="00D15338" w:rsidP="008417E3">
            <w:pPr>
              <w:keepNext/>
              <w:widowControl w:val="0"/>
              <w:contextualSpacing/>
              <w:jc w:val="center"/>
              <w:rPr>
                <w:b/>
                <w:sz w:val="22"/>
                <w:szCs w:val="24"/>
                <w:lang w:val="en-CA"/>
              </w:rPr>
            </w:pPr>
          </w:p>
        </w:tc>
      </w:tr>
      <w:tr w:rsidR="00B454D9" w:rsidRPr="000176AF" w14:paraId="098AF2A8" w14:textId="77777777" w:rsidTr="008417E3">
        <w:trPr>
          <w:cantSplit/>
          <w:trHeight w:val="106"/>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31FC2D" w14:textId="77777777" w:rsidR="00D15338" w:rsidRPr="000176AF" w:rsidRDefault="00D15338" w:rsidP="000176AF">
            <w:pPr>
              <w:keepNext/>
              <w:widowControl w:val="0"/>
              <w:contextualSpacing/>
              <w:rPr>
                <w:sz w:val="22"/>
                <w:szCs w:val="24"/>
                <w:lang w:val="en-CA"/>
              </w:rPr>
            </w:pPr>
            <w:r w:rsidRPr="000176AF">
              <w:rPr>
                <w:sz w:val="22"/>
                <w:szCs w:val="24"/>
                <w:lang w:val="en-CA"/>
              </w:rPr>
              <w:t>General Public via the unrestricted form on the FRA website</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A420D2" w14:textId="77777777" w:rsidR="00D15338" w:rsidRPr="000176AF" w:rsidRDefault="00D15338" w:rsidP="000176AF">
            <w:pPr>
              <w:keepNext/>
              <w:widowControl w:val="0"/>
              <w:contextualSpacing/>
              <w:rPr>
                <w:sz w:val="22"/>
                <w:szCs w:val="24"/>
                <w:lang w:val="en-CA"/>
              </w:rPr>
            </w:pPr>
            <w:r w:rsidRPr="000176AF">
              <w:rPr>
                <w:sz w:val="22"/>
                <w:szCs w:val="24"/>
                <w:lang w:val="en-CA"/>
              </w:rPr>
              <w:t>3,500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8BBCEE"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3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DBC97C"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175 hours</w:t>
            </w:r>
          </w:p>
        </w:tc>
        <w:tc>
          <w:tcPr>
            <w:tcW w:w="0" w:type="auto"/>
            <w:tcBorders>
              <w:top w:val="single" w:sz="7" w:space="0" w:color="000000"/>
              <w:left w:val="single" w:sz="7" w:space="0" w:color="000000"/>
              <w:bottom w:val="single" w:sz="7" w:space="0" w:color="000000"/>
              <w:right w:val="single" w:sz="7" w:space="0" w:color="000000"/>
            </w:tcBorders>
          </w:tcPr>
          <w:p w14:paraId="37CD576A"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$27</w:t>
            </w:r>
          </w:p>
        </w:tc>
        <w:tc>
          <w:tcPr>
            <w:tcW w:w="0" w:type="auto"/>
            <w:tcBorders>
              <w:top w:val="single" w:sz="7" w:space="0" w:color="000000"/>
              <w:left w:val="single" w:sz="7" w:space="0" w:color="000000"/>
              <w:bottom w:val="single" w:sz="7" w:space="0" w:color="000000"/>
              <w:right w:val="single" w:sz="7" w:space="0" w:color="000000"/>
            </w:tcBorders>
          </w:tcPr>
          <w:p w14:paraId="5B9F4E47"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$4,725</w:t>
            </w:r>
          </w:p>
        </w:tc>
      </w:tr>
      <w:tr w:rsidR="00B454D9" w:rsidRPr="000176AF" w14:paraId="1FFC2DDD" w14:textId="77777777" w:rsidTr="008417E3">
        <w:trPr>
          <w:cantSplit/>
          <w:trHeight w:val="124"/>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8BC9FC" w14:textId="77777777" w:rsidR="00D15338" w:rsidRPr="000176AF" w:rsidRDefault="00D15338" w:rsidP="000176AF">
            <w:pPr>
              <w:keepNext/>
              <w:widowControl w:val="0"/>
              <w:contextualSpacing/>
              <w:rPr>
                <w:sz w:val="22"/>
                <w:szCs w:val="24"/>
                <w:lang w:val="en-CA"/>
              </w:rPr>
            </w:pPr>
            <w:r w:rsidRPr="000176AF">
              <w:rPr>
                <w:sz w:val="22"/>
                <w:szCs w:val="24"/>
                <w:lang w:val="en-CA"/>
              </w:rPr>
              <w:t>General Public via the FRA Crossing Locator Phone Application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D08FCE" w14:textId="77777777" w:rsidR="00D15338" w:rsidRPr="000176AF" w:rsidRDefault="00D15338" w:rsidP="000176AF">
            <w:pPr>
              <w:keepNext/>
              <w:widowControl w:val="0"/>
              <w:contextualSpacing/>
              <w:rPr>
                <w:sz w:val="22"/>
                <w:szCs w:val="24"/>
                <w:lang w:val="en-CA"/>
              </w:rPr>
            </w:pPr>
            <w:r w:rsidRPr="000176AF">
              <w:rPr>
                <w:sz w:val="22"/>
                <w:szCs w:val="24"/>
                <w:lang w:val="en-CA"/>
              </w:rPr>
              <w:t>500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29A1B5"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3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D8EB8"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25 hours</w:t>
            </w:r>
          </w:p>
        </w:tc>
        <w:tc>
          <w:tcPr>
            <w:tcW w:w="0" w:type="auto"/>
            <w:tcBorders>
              <w:top w:val="single" w:sz="7" w:space="0" w:color="000000"/>
              <w:left w:val="single" w:sz="7" w:space="0" w:color="000000"/>
              <w:bottom w:val="single" w:sz="7" w:space="0" w:color="000000"/>
              <w:right w:val="single" w:sz="7" w:space="0" w:color="000000"/>
            </w:tcBorders>
          </w:tcPr>
          <w:p w14:paraId="35C90D40"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$27</w:t>
            </w:r>
          </w:p>
        </w:tc>
        <w:tc>
          <w:tcPr>
            <w:tcW w:w="0" w:type="auto"/>
            <w:tcBorders>
              <w:top w:val="single" w:sz="7" w:space="0" w:color="000000"/>
              <w:left w:val="single" w:sz="7" w:space="0" w:color="000000"/>
              <w:bottom w:val="single" w:sz="7" w:space="0" w:color="000000"/>
              <w:right w:val="single" w:sz="7" w:space="0" w:color="000000"/>
            </w:tcBorders>
          </w:tcPr>
          <w:p w14:paraId="7D0E1302"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$675</w:t>
            </w:r>
          </w:p>
        </w:tc>
      </w:tr>
      <w:tr w:rsidR="00B454D9" w:rsidRPr="000176AF" w14:paraId="18DAAB78" w14:textId="77777777" w:rsidTr="008417E3">
        <w:trPr>
          <w:cantSplit/>
          <w:trHeight w:val="124"/>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782DC3" w14:textId="77777777" w:rsidR="00D15338" w:rsidRPr="000176AF" w:rsidRDefault="00D15338" w:rsidP="000176AF">
            <w:pPr>
              <w:keepNext/>
              <w:widowControl w:val="0"/>
              <w:contextualSpacing/>
              <w:rPr>
                <w:sz w:val="22"/>
                <w:szCs w:val="24"/>
                <w:lang w:val="en-CA"/>
              </w:rPr>
            </w:pPr>
            <w:r w:rsidRPr="000176AF">
              <w:rPr>
                <w:sz w:val="22"/>
                <w:szCs w:val="24"/>
                <w:lang w:val="en-CA"/>
              </w:rPr>
              <w:t>Law Enforcement Agencies via the secure form on the FRA website</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804757" w14:textId="77777777" w:rsidR="00D15338" w:rsidRPr="000176AF" w:rsidRDefault="00D15338" w:rsidP="000176AF">
            <w:pPr>
              <w:keepNext/>
              <w:widowControl w:val="0"/>
              <w:contextualSpacing/>
              <w:rPr>
                <w:sz w:val="22"/>
                <w:szCs w:val="24"/>
                <w:lang w:val="en-CA"/>
              </w:rPr>
            </w:pPr>
            <w:r w:rsidRPr="000176AF">
              <w:rPr>
                <w:sz w:val="22"/>
                <w:szCs w:val="24"/>
                <w:lang w:val="en-CA"/>
              </w:rPr>
              <w:t>1,000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3DA29B"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3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93F184"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50 hours</w:t>
            </w:r>
          </w:p>
        </w:tc>
        <w:tc>
          <w:tcPr>
            <w:tcW w:w="0" w:type="auto"/>
            <w:tcBorders>
              <w:top w:val="single" w:sz="7" w:space="0" w:color="000000"/>
              <w:left w:val="single" w:sz="7" w:space="0" w:color="000000"/>
              <w:bottom w:val="single" w:sz="7" w:space="0" w:color="000000"/>
              <w:right w:val="single" w:sz="7" w:space="0" w:color="000000"/>
            </w:tcBorders>
          </w:tcPr>
          <w:p w14:paraId="0EA553A9"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$27</w:t>
            </w:r>
          </w:p>
        </w:tc>
        <w:tc>
          <w:tcPr>
            <w:tcW w:w="0" w:type="auto"/>
            <w:tcBorders>
              <w:top w:val="single" w:sz="7" w:space="0" w:color="000000"/>
              <w:left w:val="single" w:sz="7" w:space="0" w:color="000000"/>
              <w:bottom w:val="single" w:sz="7" w:space="0" w:color="000000"/>
              <w:right w:val="single" w:sz="7" w:space="0" w:color="000000"/>
            </w:tcBorders>
          </w:tcPr>
          <w:p w14:paraId="778733C9"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$1,350</w:t>
            </w:r>
          </w:p>
        </w:tc>
      </w:tr>
      <w:tr w:rsidR="00B454D9" w:rsidRPr="000176AF" w14:paraId="1C0C4FBA" w14:textId="77777777" w:rsidTr="008417E3">
        <w:trPr>
          <w:cantSplit/>
          <w:trHeight w:val="91"/>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F0E167" w14:textId="77777777" w:rsidR="00D15338" w:rsidRPr="000176AF" w:rsidRDefault="00D15338" w:rsidP="000176AF">
            <w:pPr>
              <w:keepNext/>
              <w:widowControl w:val="0"/>
              <w:contextualSpacing/>
              <w:rPr>
                <w:sz w:val="22"/>
                <w:szCs w:val="24"/>
                <w:lang w:val="en-CA"/>
              </w:rPr>
            </w:pPr>
            <w:r w:rsidRPr="000176AF">
              <w:rPr>
                <w:sz w:val="22"/>
                <w:szCs w:val="24"/>
                <w:lang w:val="en-CA"/>
              </w:rPr>
              <w:t>Total</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03F8D9" w14:textId="77777777" w:rsidR="00D15338" w:rsidRPr="000176AF" w:rsidRDefault="00D15338" w:rsidP="000176AF">
            <w:pPr>
              <w:keepNext/>
              <w:widowControl w:val="0"/>
              <w:contextualSpacing/>
              <w:rPr>
                <w:sz w:val="22"/>
                <w:szCs w:val="24"/>
                <w:lang w:val="en-CA"/>
              </w:rPr>
            </w:pPr>
            <w:r w:rsidRPr="000176AF">
              <w:rPr>
                <w:sz w:val="22"/>
                <w:szCs w:val="24"/>
                <w:lang w:val="en-CA"/>
              </w:rPr>
              <w:t>5,000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6E5ACD" w14:textId="77777777" w:rsidR="00D15338" w:rsidRPr="000176AF" w:rsidRDefault="00B454D9" w:rsidP="00B454D9">
            <w:pPr>
              <w:keepNext/>
              <w:widowControl w:val="0"/>
              <w:contextualSpacing/>
              <w:jc w:val="right"/>
              <w:rPr>
                <w:sz w:val="22"/>
                <w:szCs w:val="24"/>
                <w:lang w:val="en-CA"/>
              </w:rPr>
            </w:pPr>
            <w:r>
              <w:rPr>
                <w:sz w:val="22"/>
                <w:szCs w:val="24"/>
                <w:lang w:val="en-CA"/>
              </w:rPr>
              <w:t>NA</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9E2643"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250 hours</w:t>
            </w:r>
          </w:p>
        </w:tc>
        <w:tc>
          <w:tcPr>
            <w:tcW w:w="0" w:type="auto"/>
            <w:tcBorders>
              <w:top w:val="single" w:sz="7" w:space="0" w:color="000000"/>
              <w:left w:val="single" w:sz="7" w:space="0" w:color="000000"/>
              <w:bottom w:val="single" w:sz="7" w:space="0" w:color="000000"/>
              <w:right w:val="single" w:sz="7" w:space="0" w:color="000000"/>
            </w:tcBorders>
          </w:tcPr>
          <w:p w14:paraId="382ED698" w14:textId="77777777" w:rsidR="00D15338" w:rsidRPr="000176AF" w:rsidRDefault="00D15338" w:rsidP="00B454D9">
            <w:pPr>
              <w:keepNext/>
              <w:widowControl w:val="0"/>
              <w:contextualSpacing/>
              <w:jc w:val="right"/>
              <w:rPr>
                <w:sz w:val="22"/>
                <w:szCs w:val="24"/>
                <w:lang w:val="en-CA"/>
              </w:rPr>
            </w:pPr>
          </w:p>
        </w:tc>
        <w:tc>
          <w:tcPr>
            <w:tcW w:w="0" w:type="auto"/>
            <w:tcBorders>
              <w:top w:val="single" w:sz="7" w:space="0" w:color="000000"/>
              <w:left w:val="single" w:sz="7" w:space="0" w:color="000000"/>
              <w:bottom w:val="single" w:sz="7" w:space="0" w:color="000000"/>
              <w:right w:val="single" w:sz="7" w:space="0" w:color="000000"/>
            </w:tcBorders>
          </w:tcPr>
          <w:p w14:paraId="77EB619A" w14:textId="77777777" w:rsidR="00D15338" w:rsidRPr="000176AF" w:rsidRDefault="00D15338" w:rsidP="00B454D9">
            <w:pPr>
              <w:keepNext/>
              <w:widowControl w:val="0"/>
              <w:contextualSpacing/>
              <w:jc w:val="right"/>
              <w:rPr>
                <w:sz w:val="22"/>
                <w:szCs w:val="24"/>
                <w:lang w:val="en-CA"/>
              </w:rPr>
            </w:pPr>
            <w:r w:rsidRPr="000176AF">
              <w:rPr>
                <w:sz w:val="22"/>
                <w:szCs w:val="24"/>
                <w:lang w:val="en-CA"/>
              </w:rPr>
              <w:t>$6,750</w:t>
            </w:r>
          </w:p>
        </w:tc>
      </w:tr>
    </w:tbl>
    <w:p w14:paraId="1F5B52F0" w14:textId="77777777" w:rsidR="00092E9B" w:rsidRPr="003B1F5D" w:rsidRDefault="00092E9B" w:rsidP="001068F0">
      <w:pPr>
        <w:widowControl w:val="0"/>
        <w:rPr>
          <w:b/>
          <w:szCs w:val="24"/>
        </w:rPr>
      </w:pPr>
    </w:p>
    <w:p w14:paraId="0D8975CA" w14:textId="77777777" w:rsidR="00D853D8" w:rsidRPr="00B863BF" w:rsidRDefault="00D853D8" w:rsidP="009B048F">
      <w:pPr>
        <w:widowControl w:val="0"/>
        <w:rPr>
          <w:b/>
          <w:szCs w:val="24"/>
        </w:rPr>
      </w:pPr>
    </w:p>
    <w:bookmarkEnd w:id="1"/>
    <w:p w14:paraId="6D788D7D" w14:textId="77777777" w:rsidR="009F22C0" w:rsidRPr="00A5668C" w:rsidRDefault="00842662" w:rsidP="00A5668C">
      <w:pPr>
        <w:pStyle w:val="ListParagraph"/>
        <w:widowControl w:val="0"/>
        <w:numPr>
          <w:ilvl w:val="0"/>
          <w:numId w:val="7"/>
        </w:numPr>
        <w:rPr>
          <w:b/>
          <w:szCs w:val="24"/>
        </w:rPr>
      </w:pPr>
      <w:r w:rsidRPr="00A5668C">
        <w:rPr>
          <w:b/>
          <w:szCs w:val="24"/>
        </w:rPr>
        <w:t xml:space="preserve">Estimate the total annual costs to respondents. </w:t>
      </w:r>
    </w:p>
    <w:p w14:paraId="44D8DCB6" w14:textId="77777777" w:rsidR="000319C1" w:rsidRPr="004F7CEA" w:rsidRDefault="000319C1" w:rsidP="003B1F5D">
      <w:pPr>
        <w:widowControl w:val="0"/>
        <w:ind w:left="1440"/>
        <w:rPr>
          <w:b/>
          <w:szCs w:val="24"/>
        </w:rPr>
      </w:pPr>
    </w:p>
    <w:p w14:paraId="4E9805F6" w14:textId="77777777" w:rsidR="000319C1" w:rsidRPr="007B6D46" w:rsidRDefault="000319C1" w:rsidP="005E0995">
      <w:pPr>
        <w:ind w:left="810"/>
        <w:rPr>
          <w:szCs w:val="24"/>
        </w:rPr>
      </w:pPr>
      <w:r w:rsidRPr="004F7CEA">
        <w:rPr>
          <w:szCs w:val="24"/>
        </w:rPr>
        <w:t>There are no capital costs anticipated with this collecti</w:t>
      </w:r>
      <w:r w:rsidRPr="00826662">
        <w:rPr>
          <w:szCs w:val="24"/>
        </w:rPr>
        <w:t xml:space="preserve">on.  </w:t>
      </w:r>
    </w:p>
    <w:p w14:paraId="39299206" w14:textId="77777777" w:rsidR="009F22C0" w:rsidRPr="007B6D46" w:rsidRDefault="009F22C0" w:rsidP="00D85736">
      <w:pPr>
        <w:widowControl w:val="0"/>
        <w:rPr>
          <w:b/>
          <w:szCs w:val="24"/>
        </w:rPr>
      </w:pPr>
    </w:p>
    <w:p w14:paraId="0AD3B9FD" w14:textId="77777777" w:rsidR="009F22C0" w:rsidRPr="00A5668C" w:rsidRDefault="00842662" w:rsidP="00A5668C">
      <w:pPr>
        <w:pStyle w:val="ListParagraph"/>
        <w:widowControl w:val="0"/>
        <w:numPr>
          <w:ilvl w:val="0"/>
          <w:numId w:val="7"/>
        </w:numPr>
        <w:rPr>
          <w:b/>
          <w:szCs w:val="24"/>
        </w:rPr>
      </w:pPr>
      <w:r w:rsidRPr="00A5668C">
        <w:rPr>
          <w:b/>
          <w:szCs w:val="24"/>
        </w:rPr>
        <w:t>Estimate of costs to the Federal Government.</w:t>
      </w:r>
    </w:p>
    <w:p w14:paraId="7792CF29" w14:textId="77777777" w:rsidR="00D853D8" w:rsidRPr="007B6D46" w:rsidRDefault="00D853D8" w:rsidP="003B1F5D">
      <w:pPr>
        <w:widowControl w:val="0"/>
        <w:ind w:left="720" w:hanging="720"/>
        <w:rPr>
          <w:b/>
          <w:szCs w:val="24"/>
        </w:rPr>
      </w:pPr>
    </w:p>
    <w:p w14:paraId="56225732" w14:textId="77777777" w:rsidR="00D853D8" w:rsidRPr="005E0995" w:rsidRDefault="009D432F" w:rsidP="005E0995">
      <w:pPr>
        <w:ind w:left="810"/>
        <w:rPr>
          <w:szCs w:val="24"/>
        </w:rPr>
      </w:pPr>
      <w:r w:rsidRPr="007B6D46">
        <w:rPr>
          <w:szCs w:val="24"/>
        </w:rPr>
        <w:t>The average hourly rate for the GS-12, 13, and 14 employees in the Washington, D</w:t>
      </w:r>
      <w:r w:rsidR="000176AF">
        <w:rPr>
          <w:szCs w:val="24"/>
        </w:rPr>
        <w:t>.</w:t>
      </w:r>
      <w:r w:rsidRPr="007B6D46">
        <w:rPr>
          <w:szCs w:val="24"/>
        </w:rPr>
        <w:t>C</w:t>
      </w:r>
      <w:r w:rsidR="000176AF">
        <w:rPr>
          <w:szCs w:val="24"/>
        </w:rPr>
        <w:t>.</w:t>
      </w:r>
      <w:r w:rsidRPr="007B6D46">
        <w:rPr>
          <w:szCs w:val="24"/>
        </w:rPr>
        <w:t xml:space="preserve"> metro</w:t>
      </w:r>
      <w:r w:rsidR="000176AF">
        <w:rPr>
          <w:szCs w:val="24"/>
        </w:rPr>
        <w:t>politan</w:t>
      </w:r>
      <w:r w:rsidRPr="007B6D46">
        <w:rPr>
          <w:szCs w:val="24"/>
        </w:rPr>
        <w:t xml:space="preserve"> area are found by taking the annual salaries from </w:t>
      </w:r>
      <w:r w:rsidR="00175551" w:rsidRPr="007B6D46">
        <w:rPr>
          <w:szCs w:val="24"/>
        </w:rPr>
        <w:t xml:space="preserve">the </w:t>
      </w:r>
      <w:r w:rsidRPr="007B6D46">
        <w:rPr>
          <w:szCs w:val="24"/>
        </w:rPr>
        <w:t>O</w:t>
      </w:r>
      <w:r w:rsidR="00175551" w:rsidRPr="007B6D46">
        <w:rPr>
          <w:szCs w:val="24"/>
        </w:rPr>
        <w:t xml:space="preserve">ffice of </w:t>
      </w:r>
      <w:r w:rsidR="005A7E35" w:rsidRPr="007B6D46">
        <w:rPr>
          <w:szCs w:val="24"/>
        </w:rPr>
        <w:t>P</w:t>
      </w:r>
      <w:r w:rsidR="00175551" w:rsidRPr="007B6D46">
        <w:rPr>
          <w:szCs w:val="24"/>
        </w:rPr>
        <w:t xml:space="preserve">ersonnel </w:t>
      </w:r>
      <w:r w:rsidR="005A7E35" w:rsidRPr="007B6D46">
        <w:rPr>
          <w:szCs w:val="24"/>
        </w:rPr>
        <w:t>M</w:t>
      </w:r>
      <w:r w:rsidR="00175551" w:rsidRPr="007B6D46">
        <w:rPr>
          <w:szCs w:val="24"/>
        </w:rPr>
        <w:t>anagement</w:t>
      </w:r>
      <w:r w:rsidR="005A7E35" w:rsidRPr="003B1F5D">
        <w:rPr>
          <w:rStyle w:val="FootnoteReference"/>
          <w:szCs w:val="24"/>
        </w:rPr>
        <w:footnoteReference w:id="2"/>
      </w:r>
      <w:r w:rsidRPr="003B1F5D">
        <w:rPr>
          <w:szCs w:val="24"/>
        </w:rPr>
        <w:t xml:space="preserve"> </w:t>
      </w:r>
      <w:r w:rsidRPr="005E0995">
        <w:rPr>
          <w:szCs w:val="24"/>
        </w:rPr>
        <w:t xml:space="preserve">and dividing by 2,080 (52 weeks x 40 hours per week).  </w:t>
      </w:r>
      <w:r w:rsidR="000176AF">
        <w:rPr>
          <w:szCs w:val="24"/>
        </w:rPr>
        <w:t xml:space="preserve">The </w:t>
      </w:r>
      <w:r w:rsidR="0000210A">
        <w:rPr>
          <w:szCs w:val="24"/>
        </w:rPr>
        <w:t>midpoint</w:t>
      </w:r>
      <w:r w:rsidR="0000210A" w:rsidRPr="005E0995">
        <w:rPr>
          <w:szCs w:val="24"/>
        </w:rPr>
        <w:t xml:space="preserve"> </w:t>
      </w:r>
      <w:r w:rsidRPr="005E0995">
        <w:rPr>
          <w:szCs w:val="24"/>
        </w:rPr>
        <w:t>for each pay range, Step 5, is used in this estimate.</w:t>
      </w:r>
    </w:p>
    <w:p w14:paraId="7E780A61" w14:textId="77777777" w:rsidR="009D432F" w:rsidRPr="005E0995" w:rsidRDefault="009D432F" w:rsidP="005E0995">
      <w:pPr>
        <w:ind w:left="810"/>
        <w:rPr>
          <w:szCs w:val="24"/>
        </w:rPr>
      </w:pPr>
    </w:p>
    <w:p w14:paraId="5E3316AF" w14:textId="77777777" w:rsidR="009D432F" w:rsidRPr="00D85736" w:rsidRDefault="009D432F" w:rsidP="00D85736">
      <w:pPr>
        <w:ind w:left="810"/>
        <w:rPr>
          <w:szCs w:val="24"/>
        </w:rPr>
      </w:pPr>
      <w:r w:rsidRPr="00D85736">
        <w:rPr>
          <w:szCs w:val="24"/>
        </w:rPr>
        <w:t>GS-12, Step 5 = $94,520 per year, $45.44 per hour</w:t>
      </w:r>
    </w:p>
    <w:p w14:paraId="68FA23B2" w14:textId="77777777" w:rsidR="009D432F" w:rsidRPr="00452D9A" w:rsidRDefault="009D432F" w:rsidP="00452D9A">
      <w:pPr>
        <w:ind w:left="810"/>
        <w:rPr>
          <w:szCs w:val="24"/>
        </w:rPr>
      </w:pPr>
      <w:r w:rsidRPr="00452D9A">
        <w:rPr>
          <w:szCs w:val="24"/>
        </w:rPr>
        <w:t>GS-13, Step 5 = $112,393 per year, $54.04 per hour</w:t>
      </w:r>
    </w:p>
    <w:p w14:paraId="5F38419F" w14:textId="77777777" w:rsidR="009D432F" w:rsidRPr="009B048F" w:rsidRDefault="009D432F" w:rsidP="009B048F">
      <w:pPr>
        <w:ind w:left="810"/>
        <w:rPr>
          <w:szCs w:val="24"/>
        </w:rPr>
      </w:pPr>
      <w:r w:rsidRPr="009B048F">
        <w:rPr>
          <w:szCs w:val="24"/>
        </w:rPr>
        <w:t>GS-14, Step 5 = $132,818 per year, $63.85 per hour</w:t>
      </w:r>
    </w:p>
    <w:p w14:paraId="0C3A686D" w14:textId="77777777" w:rsidR="009D432F" w:rsidRPr="009B048F" w:rsidRDefault="009D432F" w:rsidP="009B048F">
      <w:pPr>
        <w:ind w:left="810"/>
        <w:rPr>
          <w:szCs w:val="24"/>
        </w:rPr>
      </w:pPr>
    </w:p>
    <w:p w14:paraId="37C4D425" w14:textId="77777777" w:rsidR="00565680" w:rsidRPr="001A49D6" w:rsidRDefault="00891F3A" w:rsidP="00A5668C">
      <w:pPr>
        <w:widowControl w:val="0"/>
        <w:ind w:left="720"/>
        <w:rPr>
          <w:i/>
          <w:szCs w:val="24"/>
        </w:rPr>
      </w:pPr>
      <w:r>
        <w:t xml:space="preserve">FRA estimates an annual cost of </w:t>
      </w:r>
      <w:r w:rsidR="00096CDB">
        <w:t xml:space="preserve">approximately </w:t>
      </w:r>
      <w:r>
        <w:t>$60,2</w:t>
      </w:r>
      <w:r w:rsidR="00096CDB">
        <w:t>80 to the Federal G</w:t>
      </w:r>
      <w:r>
        <w:t xml:space="preserve">overnment for this information collection request.  This estimate comprises of </w:t>
      </w:r>
      <w:r w:rsidR="0008191E">
        <w:t xml:space="preserve">a year one </w:t>
      </w:r>
      <w:r w:rsidR="00096CDB">
        <w:t xml:space="preserve">cost </w:t>
      </w:r>
      <w:r w:rsidR="0008191E">
        <w:t xml:space="preserve">estimate of </w:t>
      </w:r>
      <w:r w:rsidR="00096CDB">
        <w:t xml:space="preserve">approximately </w:t>
      </w:r>
      <w:r w:rsidR="0008191E">
        <w:t>$</w:t>
      </w:r>
      <w:r w:rsidR="00096CDB">
        <w:t xml:space="preserve">67,263 to account for </w:t>
      </w:r>
      <w:r w:rsidR="0008191E">
        <w:t xml:space="preserve">one-time first year costs for </w:t>
      </w:r>
      <w:r w:rsidR="00096CDB">
        <w:t xml:space="preserve">website and smartphone application </w:t>
      </w:r>
      <w:r w:rsidR="0008191E">
        <w:t>development</w:t>
      </w:r>
      <w:r w:rsidR="00096CDB">
        <w:t>; and</w:t>
      </w:r>
      <w:r w:rsidR="0008191E">
        <w:t xml:space="preserve"> recurring costs </w:t>
      </w:r>
      <w:r w:rsidR="00096CDB">
        <w:t xml:space="preserve">in years two and three of $56,788 for inquiry analysis and responses.  </w:t>
      </w:r>
      <w:r w:rsidR="0008191E">
        <w:t xml:space="preserve"> </w:t>
      </w:r>
      <w:r w:rsidR="00096CDB">
        <w:t xml:space="preserve">The table below displays the estimated costs to the Federal Government.  </w:t>
      </w:r>
      <w:r w:rsidR="00A5668C">
        <w:rPr>
          <w:szCs w:val="24"/>
        </w:rPr>
        <w:br/>
      </w:r>
      <w:r w:rsidR="00A5668C">
        <w:rPr>
          <w:szCs w:val="24"/>
        </w:rPr>
        <w:br/>
      </w:r>
      <w:r w:rsidR="00565680" w:rsidRPr="001A49D6">
        <w:rPr>
          <w:i/>
          <w:szCs w:val="24"/>
        </w:rPr>
        <w:t xml:space="preserve">Estimated Costs </w:t>
      </w:r>
      <w:r w:rsidR="005A7E35" w:rsidRPr="001A49D6">
        <w:rPr>
          <w:i/>
          <w:szCs w:val="24"/>
        </w:rPr>
        <w:t>t</w:t>
      </w:r>
      <w:r w:rsidR="00565680" w:rsidRPr="001A49D6">
        <w:rPr>
          <w:i/>
          <w:szCs w:val="24"/>
        </w:rPr>
        <w:t xml:space="preserve">o </w:t>
      </w:r>
      <w:r w:rsidR="00E01DAF">
        <w:rPr>
          <w:i/>
          <w:szCs w:val="24"/>
        </w:rPr>
        <w:t>t</w:t>
      </w:r>
      <w:r w:rsidR="00565680" w:rsidRPr="001A49D6">
        <w:rPr>
          <w:i/>
          <w:szCs w:val="24"/>
        </w:rPr>
        <w:t>he Federal Government:</w:t>
      </w:r>
    </w:p>
    <w:p w14:paraId="150B7246" w14:textId="77777777" w:rsidR="00B470A8" w:rsidRPr="00B470A8" w:rsidRDefault="00B470A8" w:rsidP="00B470A8">
      <w:pPr>
        <w:rPr>
          <w:vanish/>
        </w:rPr>
      </w:pPr>
    </w:p>
    <w:tbl>
      <w:tblPr>
        <w:tblpPr w:leftFromText="180" w:rightFromText="180" w:vertAnchor="text" w:horzAnchor="margin" w:tblpXSpec="center" w:tblpY="221"/>
        <w:tblW w:w="867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60"/>
        <w:gridCol w:w="1230"/>
        <w:gridCol w:w="1440"/>
        <w:gridCol w:w="1350"/>
        <w:gridCol w:w="1260"/>
        <w:gridCol w:w="1530"/>
      </w:tblGrid>
      <w:tr w:rsidR="00E03633" w:rsidRPr="00B454D9" w14:paraId="7EA33EBA" w14:textId="77777777" w:rsidTr="00B454D9">
        <w:trPr>
          <w:cantSplit/>
          <w:trHeight w:val="565"/>
          <w:tblHeader/>
        </w:trPr>
        <w:tc>
          <w:tcPr>
            <w:tcW w:w="18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BB14E" w14:textId="77777777" w:rsidR="00E03633" w:rsidRPr="00B454D9" w:rsidRDefault="00E03633" w:rsidP="00E03633">
            <w:pPr>
              <w:widowControl w:val="0"/>
              <w:jc w:val="center"/>
              <w:rPr>
                <w:b/>
                <w:sz w:val="22"/>
                <w:szCs w:val="22"/>
                <w:lang w:val="en-CA"/>
              </w:rPr>
            </w:pPr>
            <w:r w:rsidRPr="00B454D9">
              <w:rPr>
                <w:b/>
                <w:sz w:val="22"/>
                <w:szCs w:val="22"/>
                <w:lang w:val="en-CA"/>
              </w:rPr>
              <w:t>Task</w:t>
            </w:r>
          </w:p>
        </w:tc>
        <w:tc>
          <w:tcPr>
            <w:tcW w:w="1230" w:type="dxa"/>
            <w:tcBorders>
              <w:top w:val="single" w:sz="7" w:space="0" w:color="000000"/>
              <w:left w:val="single" w:sz="7" w:space="0" w:color="000000"/>
              <w:bottom w:val="single" w:sz="7" w:space="0" w:color="000000"/>
              <w:right w:val="single" w:sz="7" w:space="0" w:color="000000"/>
            </w:tcBorders>
          </w:tcPr>
          <w:p w14:paraId="6E3E0148" w14:textId="77777777" w:rsidR="00E03633" w:rsidRPr="00B454D9" w:rsidRDefault="00E03633" w:rsidP="000176AF">
            <w:pPr>
              <w:widowControl w:val="0"/>
              <w:jc w:val="center"/>
              <w:rPr>
                <w:b/>
                <w:sz w:val="22"/>
                <w:szCs w:val="22"/>
                <w:lang w:val="en-CA"/>
              </w:rPr>
            </w:pPr>
            <w:r w:rsidRPr="00B454D9">
              <w:rPr>
                <w:b/>
                <w:sz w:val="22"/>
                <w:szCs w:val="22"/>
                <w:lang w:val="en-CA"/>
              </w:rPr>
              <w:t>GS Level</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42269" w14:textId="77777777" w:rsidR="00E03633" w:rsidRPr="00B454D9" w:rsidRDefault="00E03633" w:rsidP="008F01DE">
            <w:pPr>
              <w:widowControl w:val="0"/>
              <w:jc w:val="center"/>
              <w:rPr>
                <w:b/>
                <w:sz w:val="22"/>
                <w:szCs w:val="22"/>
                <w:lang w:val="en-CA"/>
              </w:rPr>
            </w:pPr>
            <w:r w:rsidRPr="00B454D9">
              <w:rPr>
                <w:b/>
                <w:sz w:val="22"/>
                <w:szCs w:val="22"/>
                <w:lang w:val="en-CA"/>
              </w:rPr>
              <w:t>Annual Hours</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690EB5" w14:textId="77777777" w:rsidR="00E03633" w:rsidRPr="00B454D9" w:rsidRDefault="00E03633" w:rsidP="008F01DE">
            <w:pPr>
              <w:widowControl w:val="0"/>
              <w:jc w:val="center"/>
              <w:rPr>
                <w:b/>
                <w:sz w:val="22"/>
                <w:szCs w:val="22"/>
                <w:lang w:val="en-CA"/>
              </w:rPr>
            </w:pPr>
            <w:r w:rsidRPr="00B454D9">
              <w:rPr>
                <w:b/>
                <w:sz w:val="22"/>
                <w:szCs w:val="22"/>
                <w:lang w:val="en-CA"/>
              </w:rPr>
              <w:t>Hourly Rate</w:t>
            </w:r>
          </w:p>
        </w:tc>
        <w:tc>
          <w:tcPr>
            <w:tcW w:w="1260" w:type="dxa"/>
            <w:tcBorders>
              <w:top w:val="single" w:sz="7" w:space="0" w:color="000000"/>
              <w:left w:val="single" w:sz="7" w:space="0" w:color="000000"/>
              <w:bottom w:val="single" w:sz="7" w:space="0" w:color="000000"/>
              <w:right w:val="single" w:sz="7" w:space="0" w:color="000000"/>
            </w:tcBorders>
          </w:tcPr>
          <w:p w14:paraId="6F65F331" w14:textId="77777777" w:rsidR="00E03633" w:rsidRPr="00B454D9" w:rsidRDefault="00E03633" w:rsidP="008417E3">
            <w:pPr>
              <w:widowControl w:val="0"/>
              <w:jc w:val="center"/>
              <w:rPr>
                <w:b/>
                <w:sz w:val="22"/>
                <w:szCs w:val="22"/>
                <w:lang w:val="en-CA"/>
              </w:rPr>
            </w:pPr>
            <w:r w:rsidRPr="00B454D9">
              <w:rPr>
                <w:b/>
                <w:sz w:val="22"/>
                <w:szCs w:val="22"/>
                <w:lang w:val="en-CA"/>
              </w:rPr>
              <w:t xml:space="preserve">Total Annual Cost </w:t>
            </w:r>
            <w:r w:rsidR="009B7011" w:rsidRPr="00B454D9">
              <w:rPr>
                <w:b/>
                <w:sz w:val="22"/>
                <w:szCs w:val="22"/>
                <w:lang w:val="en-CA"/>
              </w:rPr>
              <w:t>f</w:t>
            </w:r>
            <w:r w:rsidRPr="00B454D9">
              <w:rPr>
                <w:b/>
                <w:sz w:val="22"/>
                <w:szCs w:val="22"/>
                <w:lang w:val="en-CA"/>
              </w:rPr>
              <w:t xml:space="preserve">or </w:t>
            </w:r>
            <w:r w:rsidR="00D75822" w:rsidRPr="00B454D9">
              <w:rPr>
                <w:b/>
                <w:sz w:val="22"/>
                <w:szCs w:val="22"/>
                <w:lang w:val="en-CA"/>
              </w:rPr>
              <w:t>Year 1</w:t>
            </w:r>
          </w:p>
        </w:tc>
        <w:tc>
          <w:tcPr>
            <w:tcW w:w="1530" w:type="dxa"/>
            <w:tcBorders>
              <w:top w:val="single" w:sz="7" w:space="0" w:color="000000"/>
              <w:left w:val="single" w:sz="7" w:space="0" w:color="000000"/>
              <w:bottom w:val="single" w:sz="7" w:space="0" w:color="000000"/>
              <w:right w:val="single" w:sz="7" w:space="0" w:color="000000"/>
            </w:tcBorders>
          </w:tcPr>
          <w:p w14:paraId="352F9CE8" w14:textId="77777777" w:rsidR="00E03633" w:rsidRPr="00B454D9" w:rsidRDefault="00E03633" w:rsidP="008417E3">
            <w:pPr>
              <w:widowControl w:val="0"/>
              <w:jc w:val="center"/>
              <w:rPr>
                <w:b/>
                <w:sz w:val="22"/>
                <w:szCs w:val="22"/>
                <w:lang w:val="en-CA"/>
              </w:rPr>
            </w:pPr>
            <w:r w:rsidRPr="00B454D9">
              <w:rPr>
                <w:b/>
                <w:sz w:val="22"/>
                <w:szCs w:val="22"/>
                <w:lang w:val="en-CA"/>
              </w:rPr>
              <w:t xml:space="preserve">Total Annual </w:t>
            </w:r>
            <w:r w:rsidR="00D75822" w:rsidRPr="00B454D9">
              <w:rPr>
                <w:b/>
                <w:sz w:val="22"/>
                <w:szCs w:val="22"/>
                <w:lang w:val="en-CA"/>
              </w:rPr>
              <w:t>Costs for Y</w:t>
            </w:r>
            <w:r w:rsidRPr="00B454D9">
              <w:rPr>
                <w:b/>
                <w:sz w:val="22"/>
                <w:szCs w:val="22"/>
                <w:lang w:val="en-CA"/>
              </w:rPr>
              <w:t>ears</w:t>
            </w:r>
            <w:r w:rsidR="00D75822" w:rsidRPr="00B454D9">
              <w:rPr>
                <w:b/>
                <w:sz w:val="22"/>
                <w:szCs w:val="22"/>
                <w:lang w:val="en-CA"/>
              </w:rPr>
              <w:t xml:space="preserve"> 2 &amp; 3</w:t>
            </w:r>
          </w:p>
        </w:tc>
      </w:tr>
      <w:tr w:rsidR="00E03633" w:rsidRPr="00B454D9" w14:paraId="615AE929" w14:textId="77777777" w:rsidTr="00B454D9">
        <w:trPr>
          <w:cantSplit/>
          <w:trHeight w:val="520"/>
          <w:tblHeader/>
        </w:trPr>
        <w:tc>
          <w:tcPr>
            <w:tcW w:w="1860" w:type="dxa"/>
            <w:vMerge w:val="restart"/>
            <w:tcBorders>
              <w:top w:val="single" w:sz="7" w:space="0" w:color="000000"/>
              <w:left w:val="single" w:sz="7" w:space="0" w:color="000000"/>
              <w:right w:val="single" w:sz="7" w:space="0" w:color="000000"/>
            </w:tcBorders>
            <w:tcMar>
              <w:top w:w="120" w:type="dxa"/>
              <w:left w:w="120" w:type="dxa"/>
              <w:bottom w:w="58" w:type="dxa"/>
              <w:right w:w="120" w:type="dxa"/>
            </w:tcMar>
          </w:tcPr>
          <w:p w14:paraId="57AA6C97" w14:textId="77777777" w:rsidR="00E03633" w:rsidRPr="00B454D9" w:rsidRDefault="00E01DAF" w:rsidP="00E03633">
            <w:pPr>
              <w:widowControl w:val="0"/>
              <w:rPr>
                <w:sz w:val="22"/>
                <w:szCs w:val="22"/>
                <w:lang w:val="en-CA"/>
              </w:rPr>
            </w:pPr>
            <w:r w:rsidRPr="00B454D9">
              <w:rPr>
                <w:sz w:val="22"/>
                <w:szCs w:val="22"/>
                <w:lang w:val="en-CA"/>
              </w:rPr>
              <w:t>Paperwork Reduction Act R</w:t>
            </w:r>
            <w:r w:rsidR="00E03633" w:rsidRPr="00B454D9">
              <w:rPr>
                <w:sz w:val="22"/>
                <w:szCs w:val="22"/>
                <w:lang w:val="en-CA"/>
              </w:rPr>
              <w:t>equirements (First Year Only)</w:t>
            </w:r>
          </w:p>
          <w:p w14:paraId="4014C2FC"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77890720" w14:textId="77777777" w:rsidR="00E03633" w:rsidRPr="00B454D9" w:rsidRDefault="00E03633" w:rsidP="008417E3">
            <w:pPr>
              <w:widowControl w:val="0"/>
              <w:jc w:val="center"/>
              <w:rPr>
                <w:sz w:val="22"/>
                <w:szCs w:val="22"/>
                <w:lang w:val="en-CA"/>
              </w:rPr>
            </w:pPr>
            <w:r w:rsidRPr="00B454D9">
              <w:rPr>
                <w:sz w:val="22"/>
                <w:szCs w:val="22"/>
                <w:lang w:val="en-CA"/>
              </w:rPr>
              <w:t>12</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E33EB3" w14:textId="77777777" w:rsidR="00E03633" w:rsidRPr="00B454D9" w:rsidRDefault="00E03633" w:rsidP="008417E3">
            <w:pPr>
              <w:widowControl w:val="0"/>
              <w:jc w:val="center"/>
              <w:rPr>
                <w:sz w:val="22"/>
                <w:szCs w:val="22"/>
                <w:lang w:val="en-CA"/>
              </w:rPr>
            </w:pPr>
            <w:r w:rsidRPr="00B454D9">
              <w:rPr>
                <w:sz w:val="22"/>
                <w:szCs w:val="22"/>
                <w:lang w:val="en-CA"/>
              </w:rPr>
              <w:t>16</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E93E68" w14:textId="77777777" w:rsidR="00E03633" w:rsidRPr="00B454D9" w:rsidRDefault="00E03633" w:rsidP="008417E3">
            <w:pPr>
              <w:widowControl w:val="0"/>
              <w:jc w:val="center"/>
              <w:rPr>
                <w:sz w:val="22"/>
                <w:szCs w:val="22"/>
                <w:lang w:val="en-CA"/>
              </w:rPr>
            </w:pPr>
            <w:r w:rsidRPr="00B454D9">
              <w:rPr>
                <w:sz w:val="22"/>
                <w:szCs w:val="22"/>
                <w:lang w:val="en-CA"/>
              </w:rPr>
              <w:t>$45.44</w:t>
            </w:r>
          </w:p>
        </w:tc>
        <w:tc>
          <w:tcPr>
            <w:tcW w:w="1260" w:type="dxa"/>
            <w:tcBorders>
              <w:top w:val="single" w:sz="7" w:space="0" w:color="000000"/>
              <w:left w:val="single" w:sz="7" w:space="0" w:color="000000"/>
              <w:bottom w:val="single" w:sz="7" w:space="0" w:color="000000"/>
              <w:right w:val="single" w:sz="7" w:space="0" w:color="000000"/>
            </w:tcBorders>
          </w:tcPr>
          <w:p w14:paraId="650BEC67" w14:textId="77777777" w:rsidR="00E03633" w:rsidRPr="00B454D9" w:rsidRDefault="00846490" w:rsidP="008417E3">
            <w:pPr>
              <w:widowControl w:val="0"/>
              <w:jc w:val="center"/>
              <w:rPr>
                <w:sz w:val="22"/>
                <w:szCs w:val="22"/>
                <w:lang w:val="en-CA"/>
              </w:rPr>
            </w:pPr>
            <w:r w:rsidRPr="00B454D9">
              <w:rPr>
                <w:sz w:val="22"/>
                <w:szCs w:val="22"/>
                <w:lang w:val="en-CA"/>
              </w:rPr>
              <w:t>$727</w:t>
            </w:r>
          </w:p>
        </w:tc>
        <w:tc>
          <w:tcPr>
            <w:tcW w:w="1530" w:type="dxa"/>
            <w:tcBorders>
              <w:top w:val="single" w:sz="7" w:space="0" w:color="000000"/>
              <w:left w:val="single" w:sz="7" w:space="0" w:color="000000"/>
              <w:bottom w:val="single" w:sz="7" w:space="0" w:color="000000"/>
              <w:right w:val="single" w:sz="7" w:space="0" w:color="000000"/>
            </w:tcBorders>
          </w:tcPr>
          <w:p w14:paraId="15791658"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10484CB6" w14:textId="77777777" w:rsidTr="00B454D9">
        <w:trPr>
          <w:cantSplit/>
          <w:trHeight w:val="610"/>
          <w:tblHeader/>
        </w:trPr>
        <w:tc>
          <w:tcPr>
            <w:tcW w:w="1860" w:type="dxa"/>
            <w:vMerge/>
            <w:tcBorders>
              <w:left w:val="single" w:sz="7" w:space="0" w:color="000000"/>
              <w:right w:val="single" w:sz="7" w:space="0" w:color="000000"/>
            </w:tcBorders>
            <w:tcMar>
              <w:top w:w="120" w:type="dxa"/>
              <w:left w:w="120" w:type="dxa"/>
              <w:bottom w:w="58" w:type="dxa"/>
              <w:right w:w="120" w:type="dxa"/>
            </w:tcMar>
          </w:tcPr>
          <w:p w14:paraId="77AFB6C3"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2B03541F" w14:textId="77777777" w:rsidR="00E03633" w:rsidRPr="00B454D9" w:rsidRDefault="00E03633" w:rsidP="008417E3">
            <w:pPr>
              <w:widowControl w:val="0"/>
              <w:jc w:val="center"/>
              <w:rPr>
                <w:sz w:val="22"/>
                <w:szCs w:val="22"/>
                <w:lang w:val="en-CA"/>
              </w:rPr>
            </w:pPr>
            <w:r w:rsidRPr="00B454D9">
              <w:rPr>
                <w:sz w:val="22"/>
                <w:szCs w:val="22"/>
                <w:lang w:val="en-CA"/>
              </w:rPr>
              <w:t>13</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BEF7B6" w14:textId="77777777" w:rsidR="00E03633" w:rsidRPr="00B454D9" w:rsidRDefault="00E03633" w:rsidP="008417E3">
            <w:pPr>
              <w:widowControl w:val="0"/>
              <w:jc w:val="center"/>
              <w:rPr>
                <w:sz w:val="22"/>
                <w:szCs w:val="22"/>
                <w:lang w:val="en-CA"/>
              </w:rPr>
            </w:pPr>
            <w:r w:rsidRPr="00B454D9">
              <w:rPr>
                <w:sz w:val="22"/>
                <w:szCs w:val="22"/>
                <w:lang w:val="en-CA"/>
              </w:rPr>
              <w:t>24</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31E1C6" w14:textId="77777777" w:rsidR="00E03633" w:rsidRPr="00B454D9" w:rsidRDefault="00E03633" w:rsidP="008417E3">
            <w:pPr>
              <w:widowControl w:val="0"/>
              <w:jc w:val="center"/>
              <w:rPr>
                <w:sz w:val="22"/>
                <w:szCs w:val="22"/>
                <w:lang w:val="en-CA"/>
              </w:rPr>
            </w:pPr>
            <w:r w:rsidRPr="00B454D9">
              <w:rPr>
                <w:sz w:val="22"/>
                <w:szCs w:val="22"/>
                <w:lang w:val="en-CA"/>
              </w:rPr>
              <w:t>$54.44</w:t>
            </w:r>
          </w:p>
        </w:tc>
        <w:tc>
          <w:tcPr>
            <w:tcW w:w="1260" w:type="dxa"/>
            <w:tcBorders>
              <w:top w:val="single" w:sz="7" w:space="0" w:color="000000"/>
              <w:left w:val="single" w:sz="7" w:space="0" w:color="000000"/>
              <w:bottom w:val="single" w:sz="7" w:space="0" w:color="000000"/>
              <w:right w:val="single" w:sz="7" w:space="0" w:color="000000"/>
            </w:tcBorders>
          </w:tcPr>
          <w:p w14:paraId="0AAF4EE9" w14:textId="77777777" w:rsidR="00E03633" w:rsidRPr="00B454D9" w:rsidRDefault="00846490" w:rsidP="00846490">
            <w:pPr>
              <w:widowControl w:val="0"/>
              <w:jc w:val="center"/>
              <w:rPr>
                <w:sz w:val="22"/>
                <w:szCs w:val="22"/>
                <w:lang w:val="en-CA"/>
              </w:rPr>
            </w:pPr>
            <w:r w:rsidRPr="00B454D9">
              <w:rPr>
                <w:sz w:val="22"/>
                <w:szCs w:val="22"/>
                <w:lang w:val="en-CA"/>
              </w:rPr>
              <w:t>$1,307</w:t>
            </w:r>
          </w:p>
        </w:tc>
        <w:tc>
          <w:tcPr>
            <w:tcW w:w="1530" w:type="dxa"/>
            <w:tcBorders>
              <w:top w:val="single" w:sz="7" w:space="0" w:color="000000"/>
              <w:left w:val="single" w:sz="7" w:space="0" w:color="000000"/>
              <w:bottom w:val="single" w:sz="7" w:space="0" w:color="000000"/>
              <w:right w:val="single" w:sz="7" w:space="0" w:color="000000"/>
            </w:tcBorders>
          </w:tcPr>
          <w:p w14:paraId="0272FC5E"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60A46DF5" w14:textId="77777777" w:rsidTr="00B454D9">
        <w:trPr>
          <w:cantSplit/>
          <w:trHeight w:val="610"/>
          <w:tblHeader/>
        </w:trPr>
        <w:tc>
          <w:tcPr>
            <w:tcW w:w="1860" w:type="dxa"/>
            <w:vMerge/>
            <w:tcBorders>
              <w:left w:val="single" w:sz="7" w:space="0" w:color="000000"/>
              <w:bottom w:val="single" w:sz="7" w:space="0" w:color="000000"/>
              <w:right w:val="single" w:sz="7" w:space="0" w:color="000000"/>
            </w:tcBorders>
            <w:tcMar>
              <w:top w:w="120" w:type="dxa"/>
              <w:left w:w="120" w:type="dxa"/>
              <w:bottom w:w="58" w:type="dxa"/>
              <w:right w:w="120" w:type="dxa"/>
            </w:tcMar>
          </w:tcPr>
          <w:p w14:paraId="40B39C30"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457BC583" w14:textId="77777777" w:rsidR="00E03633" w:rsidRPr="00B454D9" w:rsidRDefault="00E03633" w:rsidP="008417E3">
            <w:pPr>
              <w:widowControl w:val="0"/>
              <w:jc w:val="center"/>
              <w:rPr>
                <w:sz w:val="22"/>
                <w:szCs w:val="22"/>
                <w:lang w:val="en-CA"/>
              </w:rPr>
            </w:pPr>
            <w:r w:rsidRPr="00B454D9">
              <w:rPr>
                <w:sz w:val="22"/>
                <w:szCs w:val="22"/>
                <w:lang w:val="en-CA"/>
              </w:rPr>
              <w:t>14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5517E5" w14:textId="77777777" w:rsidR="00E03633" w:rsidRPr="00B454D9" w:rsidRDefault="00E03633" w:rsidP="008417E3">
            <w:pPr>
              <w:widowControl w:val="0"/>
              <w:jc w:val="center"/>
              <w:rPr>
                <w:sz w:val="22"/>
                <w:szCs w:val="22"/>
                <w:lang w:val="en-CA"/>
              </w:rPr>
            </w:pPr>
            <w:r w:rsidRPr="00B454D9">
              <w:rPr>
                <w:sz w:val="22"/>
                <w:szCs w:val="22"/>
                <w:lang w:val="en-CA"/>
              </w:rPr>
              <w:t>16</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275D9" w14:textId="77777777" w:rsidR="00E03633" w:rsidRPr="00B454D9" w:rsidRDefault="00E03633" w:rsidP="008417E3">
            <w:pPr>
              <w:widowControl w:val="0"/>
              <w:jc w:val="center"/>
              <w:rPr>
                <w:sz w:val="22"/>
                <w:szCs w:val="22"/>
                <w:lang w:val="en-CA"/>
              </w:rPr>
            </w:pPr>
            <w:r w:rsidRPr="00B454D9">
              <w:rPr>
                <w:sz w:val="22"/>
                <w:szCs w:val="22"/>
                <w:lang w:val="en-CA"/>
              </w:rPr>
              <w:t>$63.85</w:t>
            </w:r>
          </w:p>
        </w:tc>
        <w:tc>
          <w:tcPr>
            <w:tcW w:w="1260" w:type="dxa"/>
            <w:tcBorders>
              <w:top w:val="single" w:sz="7" w:space="0" w:color="000000"/>
              <w:left w:val="single" w:sz="7" w:space="0" w:color="000000"/>
              <w:bottom w:val="single" w:sz="7" w:space="0" w:color="000000"/>
              <w:right w:val="single" w:sz="7" w:space="0" w:color="000000"/>
            </w:tcBorders>
          </w:tcPr>
          <w:p w14:paraId="2EEFCE84" w14:textId="77777777" w:rsidR="00E03633" w:rsidRPr="00B454D9" w:rsidRDefault="00846490" w:rsidP="00846490">
            <w:pPr>
              <w:widowControl w:val="0"/>
              <w:jc w:val="center"/>
              <w:rPr>
                <w:sz w:val="22"/>
                <w:szCs w:val="22"/>
                <w:lang w:val="en-CA"/>
              </w:rPr>
            </w:pPr>
            <w:r w:rsidRPr="00B454D9">
              <w:rPr>
                <w:sz w:val="22"/>
                <w:szCs w:val="22"/>
                <w:lang w:val="en-CA"/>
              </w:rPr>
              <w:t>$1,022</w:t>
            </w:r>
          </w:p>
        </w:tc>
        <w:tc>
          <w:tcPr>
            <w:tcW w:w="1530" w:type="dxa"/>
            <w:tcBorders>
              <w:top w:val="single" w:sz="7" w:space="0" w:color="000000"/>
              <w:left w:val="single" w:sz="7" w:space="0" w:color="000000"/>
              <w:bottom w:val="single" w:sz="7" w:space="0" w:color="000000"/>
              <w:right w:val="single" w:sz="7" w:space="0" w:color="000000"/>
            </w:tcBorders>
          </w:tcPr>
          <w:p w14:paraId="40D258C6"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062B6538" w14:textId="77777777" w:rsidTr="00B454D9">
        <w:trPr>
          <w:cantSplit/>
          <w:trHeight w:val="610"/>
          <w:tblHeader/>
        </w:trPr>
        <w:tc>
          <w:tcPr>
            <w:tcW w:w="1860" w:type="dxa"/>
            <w:vMerge w:val="restart"/>
            <w:tcBorders>
              <w:top w:val="single" w:sz="7" w:space="0" w:color="000000"/>
              <w:left w:val="single" w:sz="7" w:space="0" w:color="000000"/>
              <w:right w:val="single" w:sz="7" w:space="0" w:color="000000"/>
            </w:tcBorders>
            <w:tcMar>
              <w:top w:w="120" w:type="dxa"/>
              <w:left w:w="120" w:type="dxa"/>
              <w:bottom w:w="58" w:type="dxa"/>
              <w:right w:w="120" w:type="dxa"/>
            </w:tcMar>
          </w:tcPr>
          <w:p w14:paraId="1F1B3B87" w14:textId="77777777" w:rsidR="00E03633" w:rsidRPr="00B454D9" w:rsidRDefault="00E03633" w:rsidP="00E03633">
            <w:pPr>
              <w:widowControl w:val="0"/>
              <w:rPr>
                <w:sz w:val="22"/>
                <w:szCs w:val="22"/>
                <w:lang w:val="en-CA"/>
              </w:rPr>
            </w:pPr>
            <w:r w:rsidRPr="00B454D9">
              <w:rPr>
                <w:sz w:val="22"/>
                <w:szCs w:val="22"/>
                <w:lang w:val="en-CA"/>
              </w:rPr>
              <w:t>Develop and Test Website Form (First Year Only)</w:t>
            </w:r>
          </w:p>
          <w:p w14:paraId="72C7769E"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691E7DA9" w14:textId="77777777" w:rsidR="00E03633" w:rsidRPr="00B454D9" w:rsidRDefault="00E03633" w:rsidP="008417E3">
            <w:pPr>
              <w:widowControl w:val="0"/>
              <w:jc w:val="center"/>
              <w:rPr>
                <w:sz w:val="22"/>
                <w:szCs w:val="22"/>
                <w:lang w:val="en-CA"/>
              </w:rPr>
            </w:pPr>
            <w:r w:rsidRPr="00B454D9">
              <w:rPr>
                <w:sz w:val="22"/>
                <w:szCs w:val="22"/>
                <w:lang w:val="en-CA"/>
              </w:rPr>
              <w:t>13</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C7BCBF" w14:textId="77777777" w:rsidR="00E03633" w:rsidRPr="00B454D9" w:rsidRDefault="00E03633" w:rsidP="008417E3">
            <w:pPr>
              <w:widowControl w:val="0"/>
              <w:jc w:val="center"/>
              <w:rPr>
                <w:sz w:val="22"/>
                <w:szCs w:val="22"/>
                <w:lang w:val="en-CA"/>
              </w:rPr>
            </w:pPr>
            <w:r w:rsidRPr="00B454D9">
              <w:rPr>
                <w:sz w:val="22"/>
                <w:szCs w:val="22"/>
                <w:lang w:val="en-CA"/>
              </w:rPr>
              <w:t>40</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6A0CAFE" w14:textId="77777777" w:rsidR="00E03633" w:rsidRPr="00B454D9" w:rsidRDefault="00E03633" w:rsidP="008417E3">
            <w:pPr>
              <w:widowControl w:val="0"/>
              <w:jc w:val="center"/>
              <w:rPr>
                <w:sz w:val="22"/>
                <w:szCs w:val="22"/>
                <w:lang w:val="en-CA"/>
              </w:rPr>
            </w:pPr>
            <w:r w:rsidRPr="00B454D9">
              <w:rPr>
                <w:sz w:val="22"/>
                <w:szCs w:val="22"/>
                <w:lang w:val="en-CA"/>
              </w:rPr>
              <w:t>$54.44</w:t>
            </w:r>
          </w:p>
        </w:tc>
        <w:tc>
          <w:tcPr>
            <w:tcW w:w="1260" w:type="dxa"/>
            <w:tcBorders>
              <w:top w:val="single" w:sz="7" w:space="0" w:color="000000"/>
              <w:left w:val="single" w:sz="7" w:space="0" w:color="000000"/>
              <w:bottom w:val="single" w:sz="7" w:space="0" w:color="000000"/>
              <w:right w:val="single" w:sz="7" w:space="0" w:color="000000"/>
            </w:tcBorders>
          </w:tcPr>
          <w:p w14:paraId="119869CA" w14:textId="77777777" w:rsidR="00E03633" w:rsidRPr="00B454D9" w:rsidRDefault="00846490" w:rsidP="00846490">
            <w:pPr>
              <w:widowControl w:val="0"/>
              <w:jc w:val="center"/>
              <w:rPr>
                <w:sz w:val="22"/>
                <w:szCs w:val="22"/>
                <w:lang w:val="en-CA"/>
              </w:rPr>
            </w:pPr>
            <w:r w:rsidRPr="00B454D9">
              <w:rPr>
                <w:sz w:val="22"/>
                <w:szCs w:val="22"/>
                <w:lang w:val="en-CA"/>
              </w:rPr>
              <w:t>$2,178</w:t>
            </w:r>
          </w:p>
        </w:tc>
        <w:tc>
          <w:tcPr>
            <w:tcW w:w="1530" w:type="dxa"/>
            <w:tcBorders>
              <w:top w:val="single" w:sz="7" w:space="0" w:color="000000"/>
              <w:left w:val="single" w:sz="7" w:space="0" w:color="000000"/>
              <w:bottom w:val="single" w:sz="7" w:space="0" w:color="000000"/>
              <w:right w:val="single" w:sz="7" w:space="0" w:color="000000"/>
            </w:tcBorders>
          </w:tcPr>
          <w:p w14:paraId="1F1F1312"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130BC8C5" w14:textId="77777777" w:rsidTr="00B454D9">
        <w:trPr>
          <w:cantSplit/>
          <w:trHeight w:val="409"/>
          <w:tblHeader/>
        </w:trPr>
        <w:tc>
          <w:tcPr>
            <w:tcW w:w="1860" w:type="dxa"/>
            <w:vMerge/>
            <w:tcBorders>
              <w:left w:val="single" w:sz="7" w:space="0" w:color="000000"/>
              <w:bottom w:val="single" w:sz="7" w:space="0" w:color="000000"/>
              <w:right w:val="single" w:sz="7" w:space="0" w:color="000000"/>
            </w:tcBorders>
            <w:tcMar>
              <w:top w:w="120" w:type="dxa"/>
              <w:left w:w="120" w:type="dxa"/>
              <w:bottom w:w="58" w:type="dxa"/>
              <w:right w:w="120" w:type="dxa"/>
            </w:tcMar>
          </w:tcPr>
          <w:p w14:paraId="49D6DA5A"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528393B3" w14:textId="77777777" w:rsidR="00E03633" w:rsidRPr="00B454D9" w:rsidRDefault="00E03633" w:rsidP="008417E3">
            <w:pPr>
              <w:widowControl w:val="0"/>
              <w:jc w:val="center"/>
              <w:rPr>
                <w:sz w:val="22"/>
                <w:szCs w:val="22"/>
                <w:lang w:val="en-CA"/>
              </w:rPr>
            </w:pPr>
            <w:r w:rsidRPr="00B454D9">
              <w:rPr>
                <w:sz w:val="22"/>
                <w:szCs w:val="22"/>
                <w:lang w:val="en-CA"/>
              </w:rPr>
              <w:t>14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C60E2D" w14:textId="77777777" w:rsidR="00E03633" w:rsidRPr="00B454D9" w:rsidRDefault="00E03633" w:rsidP="008417E3">
            <w:pPr>
              <w:widowControl w:val="0"/>
              <w:jc w:val="center"/>
              <w:rPr>
                <w:sz w:val="22"/>
                <w:szCs w:val="22"/>
                <w:lang w:val="en-CA"/>
              </w:rPr>
            </w:pPr>
            <w:r w:rsidRPr="00B454D9">
              <w:rPr>
                <w:sz w:val="22"/>
                <w:szCs w:val="22"/>
                <w:lang w:val="en-CA"/>
              </w:rPr>
              <w:t>24</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1A8725" w14:textId="77777777" w:rsidR="00E03633" w:rsidRPr="00B454D9" w:rsidRDefault="00E03633" w:rsidP="008417E3">
            <w:pPr>
              <w:widowControl w:val="0"/>
              <w:jc w:val="center"/>
              <w:rPr>
                <w:sz w:val="22"/>
                <w:szCs w:val="22"/>
                <w:lang w:val="en-CA"/>
              </w:rPr>
            </w:pPr>
            <w:r w:rsidRPr="00B454D9">
              <w:rPr>
                <w:sz w:val="22"/>
                <w:szCs w:val="22"/>
                <w:lang w:val="en-CA"/>
              </w:rPr>
              <w:t>$63.85</w:t>
            </w:r>
          </w:p>
        </w:tc>
        <w:tc>
          <w:tcPr>
            <w:tcW w:w="1260" w:type="dxa"/>
            <w:tcBorders>
              <w:top w:val="single" w:sz="7" w:space="0" w:color="000000"/>
              <w:left w:val="single" w:sz="7" w:space="0" w:color="000000"/>
              <w:bottom w:val="single" w:sz="7" w:space="0" w:color="000000"/>
              <w:right w:val="single" w:sz="7" w:space="0" w:color="000000"/>
            </w:tcBorders>
          </w:tcPr>
          <w:p w14:paraId="15BF9C7E" w14:textId="77777777" w:rsidR="00E03633" w:rsidRPr="00B454D9" w:rsidRDefault="00846490" w:rsidP="008417E3">
            <w:pPr>
              <w:widowControl w:val="0"/>
              <w:jc w:val="center"/>
              <w:rPr>
                <w:sz w:val="22"/>
                <w:szCs w:val="22"/>
                <w:lang w:val="en-CA"/>
              </w:rPr>
            </w:pPr>
            <w:r w:rsidRPr="00B454D9">
              <w:rPr>
                <w:sz w:val="22"/>
                <w:szCs w:val="22"/>
                <w:lang w:val="en-CA"/>
              </w:rPr>
              <w:t>$1,532</w:t>
            </w:r>
          </w:p>
        </w:tc>
        <w:tc>
          <w:tcPr>
            <w:tcW w:w="1530" w:type="dxa"/>
            <w:tcBorders>
              <w:top w:val="single" w:sz="7" w:space="0" w:color="000000"/>
              <w:left w:val="single" w:sz="7" w:space="0" w:color="000000"/>
              <w:bottom w:val="single" w:sz="7" w:space="0" w:color="000000"/>
              <w:right w:val="single" w:sz="7" w:space="0" w:color="000000"/>
            </w:tcBorders>
          </w:tcPr>
          <w:p w14:paraId="72E33F99"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0CF6085C" w14:textId="77777777" w:rsidTr="00B454D9">
        <w:trPr>
          <w:cantSplit/>
          <w:trHeight w:val="610"/>
          <w:tblHeader/>
        </w:trPr>
        <w:tc>
          <w:tcPr>
            <w:tcW w:w="1860" w:type="dxa"/>
            <w:vMerge w:val="restart"/>
            <w:tcBorders>
              <w:top w:val="single" w:sz="7" w:space="0" w:color="000000"/>
              <w:left w:val="single" w:sz="7" w:space="0" w:color="000000"/>
              <w:right w:val="single" w:sz="7" w:space="0" w:color="000000"/>
            </w:tcBorders>
            <w:tcMar>
              <w:top w:w="120" w:type="dxa"/>
              <w:left w:w="120" w:type="dxa"/>
              <w:bottom w:w="58" w:type="dxa"/>
              <w:right w:w="120" w:type="dxa"/>
            </w:tcMar>
          </w:tcPr>
          <w:p w14:paraId="4621EE87" w14:textId="77777777" w:rsidR="00E03633" w:rsidRPr="00B454D9" w:rsidRDefault="00E03633" w:rsidP="00E03633">
            <w:pPr>
              <w:widowControl w:val="0"/>
              <w:rPr>
                <w:sz w:val="22"/>
                <w:szCs w:val="22"/>
                <w:lang w:val="en-CA"/>
              </w:rPr>
            </w:pPr>
            <w:r w:rsidRPr="00B454D9">
              <w:rPr>
                <w:sz w:val="22"/>
                <w:szCs w:val="22"/>
                <w:lang w:val="en-CA"/>
              </w:rPr>
              <w:t xml:space="preserve">Develop and Test Link </w:t>
            </w:r>
            <w:r w:rsidR="00891F3A" w:rsidRPr="00B454D9">
              <w:rPr>
                <w:sz w:val="22"/>
                <w:szCs w:val="22"/>
                <w:lang w:val="en-CA"/>
              </w:rPr>
              <w:t>f</w:t>
            </w:r>
            <w:r w:rsidRPr="00B454D9">
              <w:rPr>
                <w:sz w:val="22"/>
                <w:szCs w:val="22"/>
                <w:lang w:val="en-CA"/>
              </w:rPr>
              <w:t xml:space="preserve">rom </w:t>
            </w:r>
            <w:r w:rsidR="00B76C26" w:rsidRPr="00B454D9">
              <w:rPr>
                <w:sz w:val="22"/>
                <w:szCs w:val="22"/>
                <w:lang w:val="en-CA"/>
              </w:rPr>
              <w:t>Smartp</w:t>
            </w:r>
            <w:r w:rsidRPr="00B454D9">
              <w:rPr>
                <w:sz w:val="22"/>
                <w:szCs w:val="22"/>
                <w:lang w:val="en-CA"/>
              </w:rPr>
              <w:t>hone App (First Year Only)</w:t>
            </w:r>
          </w:p>
          <w:p w14:paraId="1EC89D64"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114AD1D5" w14:textId="77777777" w:rsidR="00E03633" w:rsidRPr="00B454D9" w:rsidRDefault="00E03633" w:rsidP="008417E3">
            <w:pPr>
              <w:widowControl w:val="0"/>
              <w:jc w:val="center"/>
              <w:rPr>
                <w:sz w:val="22"/>
                <w:szCs w:val="22"/>
                <w:lang w:val="en-CA"/>
              </w:rPr>
            </w:pPr>
            <w:r w:rsidRPr="00B454D9">
              <w:rPr>
                <w:sz w:val="22"/>
                <w:szCs w:val="22"/>
                <w:lang w:val="en-CA"/>
              </w:rPr>
              <w:t>13</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609D4F" w14:textId="77777777" w:rsidR="00E03633" w:rsidRPr="00B454D9" w:rsidRDefault="00E03633" w:rsidP="008417E3">
            <w:pPr>
              <w:widowControl w:val="0"/>
              <w:jc w:val="center"/>
              <w:rPr>
                <w:sz w:val="22"/>
                <w:szCs w:val="22"/>
                <w:lang w:val="en-CA"/>
              </w:rPr>
            </w:pPr>
            <w:r w:rsidRPr="00B454D9">
              <w:rPr>
                <w:sz w:val="22"/>
                <w:szCs w:val="22"/>
                <w:lang w:val="en-CA"/>
              </w:rPr>
              <w:t>40</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7FE419" w14:textId="77777777" w:rsidR="00E03633" w:rsidRPr="00B454D9" w:rsidRDefault="00E03633" w:rsidP="008417E3">
            <w:pPr>
              <w:widowControl w:val="0"/>
              <w:jc w:val="center"/>
              <w:rPr>
                <w:sz w:val="22"/>
                <w:szCs w:val="22"/>
                <w:lang w:val="en-CA"/>
              </w:rPr>
            </w:pPr>
            <w:r w:rsidRPr="00B454D9">
              <w:rPr>
                <w:sz w:val="22"/>
                <w:szCs w:val="22"/>
                <w:lang w:val="en-CA"/>
              </w:rPr>
              <w:t>$54.44</w:t>
            </w:r>
          </w:p>
        </w:tc>
        <w:tc>
          <w:tcPr>
            <w:tcW w:w="1260" w:type="dxa"/>
            <w:tcBorders>
              <w:top w:val="single" w:sz="7" w:space="0" w:color="000000"/>
              <w:left w:val="single" w:sz="7" w:space="0" w:color="000000"/>
              <w:bottom w:val="single" w:sz="7" w:space="0" w:color="000000"/>
              <w:right w:val="single" w:sz="7" w:space="0" w:color="000000"/>
            </w:tcBorders>
          </w:tcPr>
          <w:p w14:paraId="545E6B6C" w14:textId="77777777" w:rsidR="00E03633" w:rsidRPr="00B454D9" w:rsidRDefault="00846490" w:rsidP="00846490">
            <w:pPr>
              <w:widowControl w:val="0"/>
              <w:jc w:val="center"/>
              <w:rPr>
                <w:sz w:val="22"/>
                <w:szCs w:val="22"/>
                <w:lang w:val="en-CA"/>
              </w:rPr>
            </w:pPr>
            <w:r w:rsidRPr="00B454D9">
              <w:rPr>
                <w:sz w:val="22"/>
                <w:szCs w:val="22"/>
                <w:lang w:val="en-CA"/>
              </w:rPr>
              <w:t>$2,178</w:t>
            </w:r>
          </w:p>
        </w:tc>
        <w:tc>
          <w:tcPr>
            <w:tcW w:w="1530" w:type="dxa"/>
            <w:tcBorders>
              <w:top w:val="single" w:sz="7" w:space="0" w:color="000000"/>
              <w:left w:val="single" w:sz="7" w:space="0" w:color="000000"/>
              <w:bottom w:val="single" w:sz="7" w:space="0" w:color="000000"/>
              <w:right w:val="single" w:sz="7" w:space="0" w:color="000000"/>
            </w:tcBorders>
          </w:tcPr>
          <w:p w14:paraId="454BEDFE"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0EDDAA68" w14:textId="77777777" w:rsidTr="00B454D9">
        <w:trPr>
          <w:cantSplit/>
          <w:trHeight w:val="610"/>
          <w:tblHeader/>
        </w:trPr>
        <w:tc>
          <w:tcPr>
            <w:tcW w:w="1860" w:type="dxa"/>
            <w:vMerge/>
            <w:tcBorders>
              <w:left w:val="single" w:sz="7" w:space="0" w:color="000000"/>
              <w:bottom w:val="single" w:sz="7" w:space="0" w:color="000000"/>
              <w:right w:val="single" w:sz="7" w:space="0" w:color="000000"/>
            </w:tcBorders>
            <w:tcMar>
              <w:top w:w="120" w:type="dxa"/>
              <w:left w:w="120" w:type="dxa"/>
              <w:bottom w:w="58" w:type="dxa"/>
              <w:right w:w="120" w:type="dxa"/>
            </w:tcMar>
          </w:tcPr>
          <w:p w14:paraId="55AB7827"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2E2D5BFE" w14:textId="77777777" w:rsidR="00E03633" w:rsidRPr="00B454D9" w:rsidRDefault="00E03633" w:rsidP="008417E3">
            <w:pPr>
              <w:widowControl w:val="0"/>
              <w:jc w:val="center"/>
              <w:rPr>
                <w:sz w:val="22"/>
                <w:szCs w:val="22"/>
                <w:lang w:val="en-CA"/>
              </w:rPr>
            </w:pPr>
            <w:r w:rsidRPr="00B454D9">
              <w:rPr>
                <w:sz w:val="22"/>
                <w:szCs w:val="22"/>
                <w:lang w:val="en-CA"/>
              </w:rPr>
              <w:t>14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2EE15D" w14:textId="77777777" w:rsidR="00E03633" w:rsidRPr="00B454D9" w:rsidRDefault="00E03633" w:rsidP="008417E3">
            <w:pPr>
              <w:widowControl w:val="0"/>
              <w:jc w:val="center"/>
              <w:rPr>
                <w:sz w:val="22"/>
                <w:szCs w:val="22"/>
                <w:lang w:val="en-CA"/>
              </w:rPr>
            </w:pPr>
            <w:r w:rsidRPr="00B454D9">
              <w:rPr>
                <w:sz w:val="22"/>
                <w:szCs w:val="22"/>
                <w:lang w:val="en-CA"/>
              </w:rPr>
              <w:t>24</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886834" w14:textId="77777777" w:rsidR="00E03633" w:rsidRPr="00B454D9" w:rsidRDefault="00E03633" w:rsidP="008417E3">
            <w:pPr>
              <w:widowControl w:val="0"/>
              <w:jc w:val="center"/>
              <w:rPr>
                <w:sz w:val="22"/>
                <w:szCs w:val="22"/>
                <w:lang w:val="en-CA"/>
              </w:rPr>
            </w:pPr>
            <w:r w:rsidRPr="00B454D9">
              <w:rPr>
                <w:sz w:val="22"/>
                <w:szCs w:val="22"/>
                <w:lang w:val="en-CA"/>
              </w:rPr>
              <w:t>$63.85</w:t>
            </w:r>
          </w:p>
        </w:tc>
        <w:tc>
          <w:tcPr>
            <w:tcW w:w="1260" w:type="dxa"/>
            <w:tcBorders>
              <w:top w:val="single" w:sz="7" w:space="0" w:color="000000"/>
              <w:left w:val="single" w:sz="7" w:space="0" w:color="000000"/>
              <w:bottom w:val="single" w:sz="7" w:space="0" w:color="000000"/>
              <w:right w:val="single" w:sz="7" w:space="0" w:color="000000"/>
            </w:tcBorders>
          </w:tcPr>
          <w:p w14:paraId="4E126E4D" w14:textId="77777777" w:rsidR="00E03633" w:rsidRPr="00B454D9" w:rsidRDefault="00846490" w:rsidP="008417E3">
            <w:pPr>
              <w:widowControl w:val="0"/>
              <w:jc w:val="center"/>
              <w:rPr>
                <w:sz w:val="22"/>
                <w:szCs w:val="22"/>
                <w:lang w:val="en-CA"/>
              </w:rPr>
            </w:pPr>
            <w:r w:rsidRPr="00B454D9">
              <w:rPr>
                <w:sz w:val="22"/>
                <w:szCs w:val="22"/>
                <w:lang w:val="en-CA"/>
              </w:rPr>
              <w:t>$1,532</w:t>
            </w:r>
          </w:p>
        </w:tc>
        <w:tc>
          <w:tcPr>
            <w:tcW w:w="1530" w:type="dxa"/>
            <w:tcBorders>
              <w:top w:val="single" w:sz="7" w:space="0" w:color="000000"/>
              <w:left w:val="single" w:sz="7" w:space="0" w:color="000000"/>
              <w:bottom w:val="single" w:sz="7" w:space="0" w:color="000000"/>
              <w:right w:val="single" w:sz="7" w:space="0" w:color="000000"/>
            </w:tcBorders>
          </w:tcPr>
          <w:p w14:paraId="341E70E4" w14:textId="77777777" w:rsidR="00E03633" w:rsidRPr="00B454D9" w:rsidRDefault="00E03633" w:rsidP="008417E3">
            <w:pPr>
              <w:widowControl w:val="0"/>
              <w:jc w:val="center"/>
              <w:rPr>
                <w:sz w:val="22"/>
                <w:szCs w:val="22"/>
                <w:lang w:val="en-CA"/>
              </w:rPr>
            </w:pPr>
            <w:r w:rsidRPr="00B454D9">
              <w:rPr>
                <w:sz w:val="22"/>
                <w:szCs w:val="22"/>
                <w:lang w:val="en-CA"/>
              </w:rPr>
              <w:t>$0</w:t>
            </w:r>
          </w:p>
        </w:tc>
      </w:tr>
      <w:tr w:rsidR="00E03633" w:rsidRPr="00B454D9" w14:paraId="668A0DBF" w14:textId="77777777" w:rsidTr="00B454D9">
        <w:trPr>
          <w:cantSplit/>
          <w:trHeight w:val="610"/>
          <w:tblHeader/>
        </w:trPr>
        <w:tc>
          <w:tcPr>
            <w:tcW w:w="1860" w:type="dxa"/>
            <w:vMerge w:val="restart"/>
            <w:tcBorders>
              <w:top w:val="single" w:sz="7" w:space="0" w:color="000000"/>
              <w:left w:val="single" w:sz="7" w:space="0" w:color="000000"/>
              <w:right w:val="single" w:sz="7" w:space="0" w:color="000000"/>
            </w:tcBorders>
            <w:tcMar>
              <w:top w:w="120" w:type="dxa"/>
              <w:left w:w="120" w:type="dxa"/>
              <w:bottom w:w="58" w:type="dxa"/>
              <w:right w:w="120" w:type="dxa"/>
            </w:tcMar>
          </w:tcPr>
          <w:p w14:paraId="68DF0782" w14:textId="77777777" w:rsidR="00E03633" w:rsidRPr="00B454D9" w:rsidRDefault="00E03633" w:rsidP="00E03633">
            <w:pPr>
              <w:widowControl w:val="0"/>
              <w:rPr>
                <w:sz w:val="22"/>
                <w:szCs w:val="22"/>
                <w:lang w:val="en-CA"/>
              </w:rPr>
            </w:pPr>
            <w:r w:rsidRPr="00B454D9">
              <w:rPr>
                <w:sz w:val="22"/>
                <w:szCs w:val="22"/>
                <w:lang w:val="en-CA"/>
              </w:rPr>
              <w:t>Data Analysis</w:t>
            </w:r>
          </w:p>
        </w:tc>
        <w:tc>
          <w:tcPr>
            <w:tcW w:w="1230" w:type="dxa"/>
            <w:tcBorders>
              <w:top w:val="single" w:sz="7" w:space="0" w:color="000000"/>
              <w:left w:val="single" w:sz="7" w:space="0" w:color="000000"/>
              <w:bottom w:val="single" w:sz="7" w:space="0" w:color="000000"/>
              <w:right w:val="single" w:sz="7" w:space="0" w:color="000000"/>
            </w:tcBorders>
          </w:tcPr>
          <w:p w14:paraId="4F2FFB1D" w14:textId="77777777" w:rsidR="00E03633" w:rsidRPr="00B454D9" w:rsidRDefault="00E03633" w:rsidP="008417E3">
            <w:pPr>
              <w:widowControl w:val="0"/>
              <w:jc w:val="center"/>
              <w:rPr>
                <w:sz w:val="22"/>
                <w:szCs w:val="22"/>
                <w:lang w:val="en-CA"/>
              </w:rPr>
            </w:pPr>
            <w:r w:rsidRPr="00B454D9">
              <w:rPr>
                <w:sz w:val="22"/>
                <w:szCs w:val="22"/>
                <w:lang w:val="en-CA"/>
              </w:rPr>
              <w:t>12</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C16F28" w14:textId="77777777" w:rsidR="00E03633" w:rsidRPr="00B454D9" w:rsidRDefault="00E03633" w:rsidP="008417E3">
            <w:pPr>
              <w:widowControl w:val="0"/>
              <w:jc w:val="center"/>
              <w:rPr>
                <w:sz w:val="22"/>
                <w:szCs w:val="22"/>
                <w:lang w:val="en-CA"/>
              </w:rPr>
            </w:pPr>
            <w:r w:rsidRPr="00B454D9">
              <w:rPr>
                <w:sz w:val="22"/>
                <w:szCs w:val="22"/>
                <w:lang w:val="en-CA"/>
              </w:rPr>
              <w:t>416 (8 hours per week</w:t>
            </w:r>
            <w:r w:rsidR="0000210A">
              <w:rPr>
                <w:sz w:val="22"/>
                <w:szCs w:val="22"/>
                <w:lang w:val="en-CA"/>
              </w:rPr>
              <w:t>)</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D259C0" w14:textId="77777777" w:rsidR="00E03633" w:rsidRPr="00B454D9" w:rsidRDefault="00E03633" w:rsidP="008417E3">
            <w:pPr>
              <w:widowControl w:val="0"/>
              <w:jc w:val="center"/>
              <w:rPr>
                <w:sz w:val="22"/>
                <w:szCs w:val="22"/>
                <w:lang w:val="en-CA"/>
              </w:rPr>
            </w:pPr>
            <w:r w:rsidRPr="00B454D9">
              <w:rPr>
                <w:sz w:val="22"/>
                <w:szCs w:val="22"/>
                <w:lang w:val="en-CA"/>
              </w:rPr>
              <w:t>$45.44</w:t>
            </w:r>
          </w:p>
        </w:tc>
        <w:tc>
          <w:tcPr>
            <w:tcW w:w="1260" w:type="dxa"/>
            <w:tcBorders>
              <w:top w:val="single" w:sz="7" w:space="0" w:color="000000"/>
              <w:left w:val="single" w:sz="7" w:space="0" w:color="000000"/>
              <w:bottom w:val="single" w:sz="7" w:space="0" w:color="000000"/>
              <w:right w:val="single" w:sz="7" w:space="0" w:color="000000"/>
            </w:tcBorders>
          </w:tcPr>
          <w:p w14:paraId="69C9FD47" w14:textId="77777777" w:rsidR="00E03633" w:rsidRPr="00B454D9" w:rsidRDefault="00846490" w:rsidP="008417E3">
            <w:pPr>
              <w:widowControl w:val="0"/>
              <w:jc w:val="center"/>
              <w:rPr>
                <w:sz w:val="22"/>
                <w:szCs w:val="22"/>
                <w:lang w:val="en-CA"/>
              </w:rPr>
            </w:pPr>
            <w:r w:rsidRPr="00B454D9">
              <w:rPr>
                <w:sz w:val="22"/>
                <w:szCs w:val="22"/>
                <w:lang w:val="en-CA"/>
              </w:rPr>
              <w:t>$18,903</w:t>
            </w:r>
          </w:p>
        </w:tc>
        <w:tc>
          <w:tcPr>
            <w:tcW w:w="1530" w:type="dxa"/>
            <w:tcBorders>
              <w:top w:val="single" w:sz="7" w:space="0" w:color="000000"/>
              <w:left w:val="single" w:sz="7" w:space="0" w:color="000000"/>
              <w:bottom w:val="single" w:sz="7" w:space="0" w:color="000000"/>
              <w:right w:val="single" w:sz="7" w:space="0" w:color="000000"/>
            </w:tcBorders>
          </w:tcPr>
          <w:p w14:paraId="05068788" w14:textId="77777777" w:rsidR="00E03633" w:rsidRPr="00B454D9" w:rsidRDefault="00E03633" w:rsidP="008417E3">
            <w:pPr>
              <w:widowControl w:val="0"/>
              <w:jc w:val="center"/>
              <w:rPr>
                <w:sz w:val="22"/>
                <w:szCs w:val="22"/>
                <w:lang w:val="en-CA"/>
              </w:rPr>
            </w:pPr>
            <w:r w:rsidRPr="00B454D9">
              <w:rPr>
                <w:sz w:val="22"/>
                <w:szCs w:val="22"/>
                <w:lang w:val="en-CA"/>
              </w:rPr>
              <w:t>$18,903</w:t>
            </w:r>
          </w:p>
        </w:tc>
      </w:tr>
      <w:tr w:rsidR="00E03633" w:rsidRPr="00B454D9" w14:paraId="1301DDC5" w14:textId="77777777" w:rsidTr="00B454D9">
        <w:trPr>
          <w:cantSplit/>
          <w:trHeight w:val="448"/>
          <w:tblHeader/>
        </w:trPr>
        <w:tc>
          <w:tcPr>
            <w:tcW w:w="1860" w:type="dxa"/>
            <w:vMerge/>
            <w:tcBorders>
              <w:left w:val="single" w:sz="7" w:space="0" w:color="000000"/>
              <w:bottom w:val="single" w:sz="7" w:space="0" w:color="000000"/>
              <w:right w:val="single" w:sz="7" w:space="0" w:color="000000"/>
            </w:tcBorders>
            <w:tcMar>
              <w:top w:w="120" w:type="dxa"/>
              <w:left w:w="120" w:type="dxa"/>
              <w:bottom w:w="58" w:type="dxa"/>
              <w:right w:w="120" w:type="dxa"/>
            </w:tcMar>
          </w:tcPr>
          <w:p w14:paraId="593E5212"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46DF55C7" w14:textId="77777777" w:rsidR="00E03633" w:rsidRPr="00B454D9" w:rsidRDefault="00E03633" w:rsidP="008417E3">
            <w:pPr>
              <w:widowControl w:val="0"/>
              <w:jc w:val="center"/>
              <w:rPr>
                <w:sz w:val="22"/>
                <w:szCs w:val="22"/>
                <w:lang w:val="en-CA"/>
              </w:rPr>
            </w:pPr>
            <w:r w:rsidRPr="00B454D9">
              <w:rPr>
                <w:sz w:val="22"/>
                <w:szCs w:val="22"/>
                <w:lang w:val="en-CA"/>
              </w:rPr>
              <w:t>14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EA99F3" w14:textId="77777777" w:rsidR="00E03633" w:rsidRPr="00B454D9" w:rsidRDefault="00E03633" w:rsidP="008417E3">
            <w:pPr>
              <w:widowControl w:val="0"/>
              <w:jc w:val="center"/>
              <w:rPr>
                <w:sz w:val="22"/>
                <w:szCs w:val="22"/>
                <w:lang w:val="en-CA"/>
              </w:rPr>
            </w:pPr>
            <w:r w:rsidRPr="00B454D9">
              <w:rPr>
                <w:sz w:val="22"/>
                <w:szCs w:val="22"/>
                <w:lang w:val="en-CA"/>
              </w:rPr>
              <w:t>208 (4 hours per week</w:t>
            </w:r>
            <w:r w:rsidR="0000210A">
              <w:rPr>
                <w:sz w:val="22"/>
                <w:szCs w:val="22"/>
                <w:lang w:val="en-CA"/>
              </w:rPr>
              <w:t>)</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20ACE9" w14:textId="77777777" w:rsidR="00E03633" w:rsidRPr="00B454D9" w:rsidRDefault="00E03633" w:rsidP="008417E3">
            <w:pPr>
              <w:widowControl w:val="0"/>
              <w:jc w:val="center"/>
              <w:rPr>
                <w:sz w:val="22"/>
                <w:szCs w:val="22"/>
                <w:lang w:val="en-CA"/>
              </w:rPr>
            </w:pPr>
            <w:r w:rsidRPr="00B454D9">
              <w:rPr>
                <w:sz w:val="22"/>
                <w:szCs w:val="22"/>
                <w:lang w:val="en-CA"/>
              </w:rPr>
              <w:t>$63.85</w:t>
            </w:r>
          </w:p>
        </w:tc>
        <w:tc>
          <w:tcPr>
            <w:tcW w:w="1260" w:type="dxa"/>
            <w:tcBorders>
              <w:top w:val="single" w:sz="7" w:space="0" w:color="000000"/>
              <w:left w:val="single" w:sz="7" w:space="0" w:color="000000"/>
              <w:bottom w:val="single" w:sz="7" w:space="0" w:color="000000"/>
              <w:right w:val="single" w:sz="7" w:space="0" w:color="000000"/>
            </w:tcBorders>
          </w:tcPr>
          <w:p w14:paraId="579631DF" w14:textId="77777777" w:rsidR="00E03633" w:rsidRPr="00B454D9" w:rsidRDefault="00E03633" w:rsidP="00846490">
            <w:pPr>
              <w:widowControl w:val="0"/>
              <w:jc w:val="center"/>
              <w:rPr>
                <w:sz w:val="22"/>
                <w:szCs w:val="22"/>
                <w:lang w:val="en-CA"/>
              </w:rPr>
            </w:pPr>
            <w:r w:rsidRPr="00B454D9">
              <w:rPr>
                <w:sz w:val="22"/>
                <w:szCs w:val="22"/>
                <w:lang w:val="en-CA"/>
              </w:rPr>
              <w:t>$13,28</w:t>
            </w:r>
            <w:r w:rsidR="00846490" w:rsidRPr="00B454D9">
              <w:rPr>
                <w:sz w:val="22"/>
                <w:szCs w:val="22"/>
                <w:lang w:val="en-CA"/>
              </w:rPr>
              <w:t>1</w:t>
            </w:r>
          </w:p>
        </w:tc>
        <w:tc>
          <w:tcPr>
            <w:tcW w:w="1530" w:type="dxa"/>
            <w:tcBorders>
              <w:top w:val="single" w:sz="7" w:space="0" w:color="000000"/>
              <w:left w:val="single" w:sz="7" w:space="0" w:color="000000"/>
              <w:bottom w:val="single" w:sz="7" w:space="0" w:color="000000"/>
              <w:right w:val="single" w:sz="7" w:space="0" w:color="000000"/>
            </w:tcBorders>
          </w:tcPr>
          <w:p w14:paraId="38042B67" w14:textId="77777777" w:rsidR="00E03633" w:rsidRPr="00B454D9" w:rsidRDefault="00E03633" w:rsidP="00846490">
            <w:pPr>
              <w:widowControl w:val="0"/>
              <w:jc w:val="center"/>
              <w:rPr>
                <w:sz w:val="22"/>
                <w:szCs w:val="22"/>
                <w:lang w:val="en-CA"/>
              </w:rPr>
            </w:pPr>
            <w:r w:rsidRPr="00B454D9">
              <w:rPr>
                <w:sz w:val="22"/>
                <w:szCs w:val="22"/>
                <w:lang w:val="en-CA"/>
              </w:rPr>
              <w:t>$13,28</w:t>
            </w:r>
            <w:r w:rsidR="00846490" w:rsidRPr="00B454D9">
              <w:rPr>
                <w:sz w:val="22"/>
                <w:szCs w:val="22"/>
                <w:lang w:val="en-CA"/>
              </w:rPr>
              <w:t>1</w:t>
            </w:r>
          </w:p>
        </w:tc>
      </w:tr>
      <w:tr w:rsidR="00E03633" w:rsidRPr="00B454D9" w14:paraId="1478717B" w14:textId="77777777" w:rsidTr="00B454D9">
        <w:trPr>
          <w:cantSplit/>
          <w:trHeight w:val="448"/>
          <w:tblHeader/>
        </w:trPr>
        <w:tc>
          <w:tcPr>
            <w:tcW w:w="1860" w:type="dxa"/>
            <w:vMerge w:val="restart"/>
            <w:tcBorders>
              <w:top w:val="single" w:sz="7" w:space="0" w:color="000000"/>
              <w:left w:val="single" w:sz="7" w:space="0" w:color="000000"/>
              <w:right w:val="single" w:sz="7" w:space="0" w:color="000000"/>
            </w:tcBorders>
            <w:tcMar>
              <w:top w:w="120" w:type="dxa"/>
              <w:left w:w="120" w:type="dxa"/>
              <w:bottom w:w="58" w:type="dxa"/>
              <w:right w:w="120" w:type="dxa"/>
            </w:tcMar>
          </w:tcPr>
          <w:p w14:paraId="49A58FC1" w14:textId="77777777" w:rsidR="00E03633" w:rsidRPr="00B454D9" w:rsidRDefault="00E03633" w:rsidP="00E03633">
            <w:pPr>
              <w:widowControl w:val="0"/>
              <w:rPr>
                <w:sz w:val="22"/>
                <w:szCs w:val="22"/>
                <w:lang w:val="en-CA"/>
              </w:rPr>
            </w:pPr>
            <w:r w:rsidRPr="00B454D9">
              <w:rPr>
                <w:sz w:val="22"/>
                <w:szCs w:val="22"/>
                <w:lang w:val="en-CA"/>
              </w:rPr>
              <w:t>Respond to External Inquiries</w:t>
            </w:r>
          </w:p>
        </w:tc>
        <w:tc>
          <w:tcPr>
            <w:tcW w:w="1230" w:type="dxa"/>
            <w:tcBorders>
              <w:top w:val="single" w:sz="7" w:space="0" w:color="000000"/>
              <w:left w:val="single" w:sz="7" w:space="0" w:color="000000"/>
              <w:bottom w:val="single" w:sz="7" w:space="0" w:color="000000"/>
              <w:right w:val="single" w:sz="7" w:space="0" w:color="000000"/>
            </w:tcBorders>
          </w:tcPr>
          <w:p w14:paraId="6F88BA00" w14:textId="77777777" w:rsidR="00E03633" w:rsidRPr="00B454D9" w:rsidRDefault="00E03633" w:rsidP="008417E3">
            <w:pPr>
              <w:widowControl w:val="0"/>
              <w:jc w:val="center"/>
              <w:rPr>
                <w:sz w:val="22"/>
                <w:szCs w:val="22"/>
                <w:lang w:val="en-CA"/>
              </w:rPr>
            </w:pPr>
            <w:r w:rsidRPr="00B454D9">
              <w:rPr>
                <w:sz w:val="22"/>
                <w:szCs w:val="22"/>
                <w:lang w:val="en-CA"/>
              </w:rPr>
              <w:t>13</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547880" w14:textId="77777777" w:rsidR="00E03633" w:rsidRPr="00B454D9" w:rsidRDefault="00E03633" w:rsidP="008417E3">
            <w:pPr>
              <w:widowControl w:val="0"/>
              <w:jc w:val="center"/>
              <w:rPr>
                <w:sz w:val="22"/>
                <w:szCs w:val="22"/>
                <w:lang w:val="en-CA"/>
              </w:rPr>
            </w:pPr>
            <w:r w:rsidRPr="00B454D9">
              <w:rPr>
                <w:sz w:val="22"/>
                <w:szCs w:val="22"/>
                <w:lang w:val="en-CA"/>
              </w:rPr>
              <w:t>208 (4 hours per week</w:t>
            </w:r>
            <w:r w:rsidR="0000210A">
              <w:rPr>
                <w:sz w:val="22"/>
                <w:szCs w:val="22"/>
                <w:lang w:val="en-CA"/>
              </w:rPr>
              <w:t>)</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9FB2EC" w14:textId="77777777" w:rsidR="00E03633" w:rsidRPr="00B454D9" w:rsidRDefault="00E03633" w:rsidP="008417E3">
            <w:pPr>
              <w:widowControl w:val="0"/>
              <w:jc w:val="center"/>
              <w:rPr>
                <w:sz w:val="22"/>
                <w:szCs w:val="22"/>
                <w:lang w:val="en-CA"/>
              </w:rPr>
            </w:pPr>
            <w:r w:rsidRPr="00B454D9">
              <w:rPr>
                <w:sz w:val="22"/>
                <w:szCs w:val="22"/>
                <w:lang w:val="en-CA"/>
              </w:rPr>
              <w:t>$54.44</w:t>
            </w:r>
          </w:p>
        </w:tc>
        <w:tc>
          <w:tcPr>
            <w:tcW w:w="1260" w:type="dxa"/>
            <w:tcBorders>
              <w:top w:val="single" w:sz="7" w:space="0" w:color="000000"/>
              <w:left w:val="single" w:sz="7" w:space="0" w:color="000000"/>
              <w:bottom w:val="single" w:sz="7" w:space="0" w:color="000000"/>
              <w:right w:val="single" w:sz="7" w:space="0" w:color="000000"/>
            </w:tcBorders>
          </w:tcPr>
          <w:p w14:paraId="639FDB47" w14:textId="77777777" w:rsidR="00E03633" w:rsidRPr="00B454D9" w:rsidRDefault="00846490" w:rsidP="00846490">
            <w:pPr>
              <w:widowControl w:val="0"/>
              <w:jc w:val="center"/>
              <w:rPr>
                <w:sz w:val="22"/>
                <w:szCs w:val="22"/>
                <w:lang w:val="en-CA"/>
              </w:rPr>
            </w:pPr>
            <w:r w:rsidRPr="00B454D9">
              <w:rPr>
                <w:sz w:val="22"/>
                <w:szCs w:val="22"/>
                <w:lang w:val="en-CA"/>
              </w:rPr>
              <w:t>$11,324</w:t>
            </w:r>
          </w:p>
        </w:tc>
        <w:tc>
          <w:tcPr>
            <w:tcW w:w="1530" w:type="dxa"/>
            <w:tcBorders>
              <w:top w:val="single" w:sz="7" w:space="0" w:color="000000"/>
              <w:left w:val="single" w:sz="7" w:space="0" w:color="000000"/>
              <w:bottom w:val="single" w:sz="7" w:space="0" w:color="000000"/>
              <w:right w:val="single" w:sz="7" w:space="0" w:color="000000"/>
            </w:tcBorders>
          </w:tcPr>
          <w:p w14:paraId="06AC20F1" w14:textId="77777777" w:rsidR="00E03633" w:rsidRPr="00B454D9" w:rsidRDefault="00E03633" w:rsidP="00846490">
            <w:pPr>
              <w:widowControl w:val="0"/>
              <w:jc w:val="center"/>
              <w:rPr>
                <w:sz w:val="22"/>
                <w:szCs w:val="22"/>
                <w:lang w:val="en-CA"/>
              </w:rPr>
            </w:pPr>
            <w:r w:rsidRPr="00B454D9">
              <w:rPr>
                <w:sz w:val="22"/>
                <w:szCs w:val="22"/>
                <w:lang w:val="en-CA"/>
              </w:rPr>
              <w:t>$</w:t>
            </w:r>
            <w:r w:rsidR="00846490" w:rsidRPr="00B454D9">
              <w:rPr>
                <w:sz w:val="22"/>
                <w:szCs w:val="22"/>
                <w:lang w:val="en-CA"/>
              </w:rPr>
              <w:t>11,324</w:t>
            </w:r>
          </w:p>
        </w:tc>
      </w:tr>
      <w:tr w:rsidR="00E03633" w:rsidRPr="00B454D9" w14:paraId="1E3180E4" w14:textId="77777777" w:rsidTr="00B454D9">
        <w:trPr>
          <w:cantSplit/>
          <w:trHeight w:val="448"/>
          <w:tblHeader/>
        </w:trPr>
        <w:tc>
          <w:tcPr>
            <w:tcW w:w="1860" w:type="dxa"/>
            <w:vMerge/>
            <w:tcBorders>
              <w:left w:val="single" w:sz="7" w:space="0" w:color="000000"/>
              <w:bottom w:val="single" w:sz="7" w:space="0" w:color="000000"/>
              <w:right w:val="single" w:sz="7" w:space="0" w:color="000000"/>
            </w:tcBorders>
            <w:tcMar>
              <w:top w:w="120" w:type="dxa"/>
              <w:left w:w="120" w:type="dxa"/>
              <w:bottom w:w="58" w:type="dxa"/>
              <w:right w:w="120" w:type="dxa"/>
            </w:tcMar>
          </w:tcPr>
          <w:p w14:paraId="6BA62A70" w14:textId="77777777" w:rsidR="00E03633" w:rsidRPr="00B454D9" w:rsidRDefault="00E03633" w:rsidP="00E03633">
            <w:pPr>
              <w:widowControl w:val="0"/>
              <w:rPr>
                <w:sz w:val="22"/>
                <w:szCs w:val="22"/>
                <w:lang w:val="en-CA"/>
              </w:rPr>
            </w:pPr>
          </w:p>
        </w:tc>
        <w:tc>
          <w:tcPr>
            <w:tcW w:w="1230" w:type="dxa"/>
            <w:tcBorders>
              <w:top w:val="single" w:sz="7" w:space="0" w:color="000000"/>
              <w:left w:val="single" w:sz="7" w:space="0" w:color="000000"/>
              <w:bottom w:val="single" w:sz="7" w:space="0" w:color="000000"/>
              <w:right w:val="single" w:sz="7" w:space="0" w:color="000000"/>
            </w:tcBorders>
          </w:tcPr>
          <w:p w14:paraId="60B6F1B6" w14:textId="77777777" w:rsidR="00E03633" w:rsidRPr="00B454D9" w:rsidRDefault="00E03633" w:rsidP="008417E3">
            <w:pPr>
              <w:widowControl w:val="0"/>
              <w:jc w:val="center"/>
              <w:rPr>
                <w:sz w:val="22"/>
                <w:szCs w:val="22"/>
                <w:lang w:val="en-CA"/>
              </w:rPr>
            </w:pPr>
            <w:r w:rsidRPr="00B454D9">
              <w:rPr>
                <w:sz w:val="22"/>
                <w:szCs w:val="22"/>
                <w:lang w:val="en-CA"/>
              </w:rPr>
              <w:t>14</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63CA07" w14:textId="77777777" w:rsidR="00E03633" w:rsidRPr="00B454D9" w:rsidRDefault="00E03633" w:rsidP="008417E3">
            <w:pPr>
              <w:widowControl w:val="0"/>
              <w:jc w:val="center"/>
              <w:rPr>
                <w:sz w:val="22"/>
                <w:szCs w:val="22"/>
                <w:lang w:val="en-CA"/>
              </w:rPr>
            </w:pPr>
            <w:r w:rsidRPr="00B454D9">
              <w:rPr>
                <w:sz w:val="22"/>
                <w:szCs w:val="22"/>
                <w:lang w:val="en-CA"/>
              </w:rPr>
              <w:t>208 (4 hours per week</w:t>
            </w:r>
            <w:r w:rsidR="0000210A">
              <w:rPr>
                <w:sz w:val="22"/>
                <w:szCs w:val="22"/>
                <w:lang w:val="en-CA"/>
              </w:rPr>
              <w:t>)</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4A527F" w14:textId="77777777" w:rsidR="00E03633" w:rsidRPr="00B454D9" w:rsidRDefault="00E03633" w:rsidP="008417E3">
            <w:pPr>
              <w:widowControl w:val="0"/>
              <w:jc w:val="center"/>
              <w:rPr>
                <w:sz w:val="22"/>
                <w:szCs w:val="22"/>
                <w:lang w:val="en-CA"/>
              </w:rPr>
            </w:pPr>
            <w:r w:rsidRPr="00B454D9">
              <w:rPr>
                <w:sz w:val="22"/>
                <w:szCs w:val="22"/>
                <w:lang w:val="en-CA"/>
              </w:rPr>
              <w:t>$63.85</w:t>
            </w:r>
          </w:p>
        </w:tc>
        <w:tc>
          <w:tcPr>
            <w:tcW w:w="1260" w:type="dxa"/>
            <w:tcBorders>
              <w:top w:val="single" w:sz="7" w:space="0" w:color="000000"/>
              <w:left w:val="single" w:sz="7" w:space="0" w:color="000000"/>
              <w:bottom w:val="single" w:sz="7" w:space="0" w:color="000000"/>
              <w:right w:val="single" w:sz="7" w:space="0" w:color="000000"/>
            </w:tcBorders>
          </w:tcPr>
          <w:p w14:paraId="7E4BB7D0" w14:textId="77777777" w:rsidR="00E03633" w:rsidRPr="00B454D9" w:rsidRDefault="00846490" w:rsidP="00846490">
            <w:pPr>
              <w:widowControl w:val="0"/>
              <w:jc w:val="center"/>
              <w:rPr>
                <w:sz w:val="22"/>
                <w:szCs w:val="22"/>
                <w:lang w:val="en-CA"/>
              </w:rPr>
            </w:pPr>
            <w:r w:rsidRPr="00B454D9">
              <w:rPr>
                <w:sz w:val="22"/>
                <w:szCs w:val="22"/>
                <w:lang w:val="en-CA"/>
              </w:rPr>
              <w:t>$13,281</w:t>
            </w:r>
          </w:p>
        </w:tc>
        <w:tc>
          <w:tcPr>
            <w:tcW w:w="1530" w:type="dxa"/>
            <w:tcBorders>
              <w:top w:val="single" w:sz="7" w:space="0" w:color="000000"/>
              <w:left w:val="single" w:sz="7" w:space="0" w:color="000000"/>
              <w:bottom w:val="single" w:sz="7" w:space="0" w:color="000000"/>
              <w:right w:val="single" w:sz="7" w:space="0" w:color="000000"/>
            </w:tcBorders>
          </w:tcPr>
          <w:p w14:paraId="39D7930F" w14:textId="77777777" w:rsidR="00E03633" w:rsidRPr="00B454D9" w:rsidRDefault="00E03633" w:rsidP="00846490">
            <w:pPr>
              <w:widowControl w:val="0"/>
              <w:jc w:val="center"/>
              <w:rPr>
                <w:sz w:val="22"/>
                <w:szCs w:val="22"/>
                <w:lang w:val="en-CA"/>
              </w:rPr>
            </w:pPr>
            <w:r w:rsidRPr="00B454D9">
              <w:rPr>
                <w:sz w:val="22"/>
                <w:szCs w:val="22"/>
                <w:lang w:val="en-CA"/>
              </w:rPr>
              <w:t>$</w:t>
            </w:r>
            <w:r w:rsidR="00846490" w:rsidRPr="00B454D9">
              <w:rPr>
                <w:sz w:val="22"/>
                <w:szCs w:val="22"/>
                <w:lang w:val="en-CA"/>
              </w:rPr>
              <w:t>13,281</w:t>
            </w:r>
          </w:p>
        </w:tc>
      </w:tr>
      <w:tr w:rsidR="00E03633" w:rsidRPr="00B454D9" w14:paraId="04A56BF0" w14:textId="77777777" w:rsidTr="00B454D9">
        <w:trPr>
          <w:cantSplit/>
          <w:trHeight w:val="448"/>
          <w:tblHeader/>
        </w:trPr>
        <w:tc>
          <w:tcPr>
            <w:tcW w:w="5880"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C2A6785" w14:textId="77777777" w:rsidR="00E03633" w:rsidRPr="00B454D9" w:rsidRDefault="00E03633" w:rsidP="00E03633">
            <w:pPr>
              <w:widowControl w:val="0"/>
              <w:rPr>
                <w:sz w:val="22"/>
                <w:szCs w:val="22"/>
                <w:lang w:val="en-CA"/>
              </w:rPr>
            </w:pPr>
            <w:r w:rsidRPr="00B454D9">
              <w:rPr>
                <w:sz w:val="22"/>
                <w:szCs w:val="22"/>
                <w:lang w:val="en-CA"/>
              </w:rPr>
              <w:t>Total</w:t>
            </w:r>
          </w:p>
        </w:tc>
        <w:tc>
          <w:tcPr>
            <w:tcW w:w="1260" w:type="dxa"/>
            <w:tcBorders>
              <w:top w:val="single" w:sz="7" w:space="0" w:color="000000"/>
              <w:left w:val="single" w:sz="7" w:space="0" w:color="000000"/>
              <w:bottom w:val="single" w:sz="7" w:space="0" w:color="000000"/>
              <w:right w:val="single" w:sz="7" w:space="0" w:color="000000"/>
            </w:tcBorders>
          </w:tcPr>
          <w:p w14:paraId="31D2381A" w14:textId="77777777" w:rsidR="00E03633" w:rsidRPr="00B454D9" w:rsidRDefault="00E03633" w:rsidP="00846490">
            <w:pPr>
              <w:widowControl w:val="0"/>
              <w:jc w:val="center"/>
              <w:rPr>
                <w:sz w:val="22"/>
                <w:szCs w:val="22"/>
                <w:lang w:val="en-CA"/>
              </w:rPr>
            </w:pPr>
            <w:r w:rsidRPr="00B454D9">
              <w:rPr>
                <w:sz w:val="22"/>
                <w:szCs w:val="22"/>
                <w:lang w:val="en-CA"/>
              </w:rPr>
              <w:t>$67,263</w:t>
            </w:r>
          </w:p>
        </w:tc>
        <w:tc>
          <w:tcPr>
            <w:tcW w:w="1530" w:type="dxa"/>
            <w:tcBorders>
              <w:top w:val="single" w:sz="7" w:space="0" w:color="000000"/>
              <w:left w:val="single" w:sz="7" w:space="0" w:color="000000"/>
              <w:bottom w:val="single" w:sz="7" w:space="0" w:color="000000"/>
              <w:right w:val="single" w:sz="7" w:space="0" w:color="000000"/>
            </w:tcBorders>
          </w:tcPr>
          <w:p w14:paraId="68BF0EBE" w14:textId="77777777" w:rsidR="00E03633" w:rsidRPr="00B454D9" w:rsidRDefault="00E03633" w:rsidP="00846490">
            <w:pPr>
              <w:widowControl w:val="0"/>
              <w:jc w:val="center"/>
              <w:rPr>
                <w:sz w:val="22"/>
                <w:szCs w:val="22"/>
                <w:lang w:val="en-CA"/>
              </w:rPr>
            </w:pPr>
            <w:r w:rsidRPr="00B454D9">
              <w:rPr>
                <w:sz w:val="22"/>
                <w:szCs w:val="22"/>
                <w:lang w:val="en-CA"/>
              </w:rPr>
              <w:t>$56,788</w:t>
            </w:r>
          </w:p>
        </w:tc>
      </w:tr>
      <w:tr w:rsidR="00891F3A" w:rsidRPr="00B454D9" w14:paraId="78B4C83A" w14:textId="77777777" w:rsidTr="00B454D9">
        <w:trPr>
          <w:cantSplit/>
          <w:trHeight w:val="448"/>
          <w:tblHeader/>
        </w:trPr>
        <w:tc>
          <w:tcPr>
            <w:tcW w:w="5880"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2A92A7" w14:textId="77777777" w:rsidR="00891F3A" w:rsidRPr="00B454D9" w:rsidRDefault="00891F3A" w:rsidP="00E03633">
            <w:pPr>
              <w:widowControl w:val="0"/>
              <w:rPr>
                <w:sz w:val="22"/>
                <w:szCs w:val="22"/>
                <w:lang w:val="en-CA"/>
              </w:rPr>
            </w:pPr>
            <w:r w:rsidRPr="00B454D9">
              <w:rPr>
                <w:sz w:val="22"/>
                <w:szCs w:val="22"/>
                <w:lang w:val="en-CA"/>
              </w:rPr>
              <w:t>Annual Average Cost</w:t>
            </w:r>
          </w:p>
        </w:tc>
        <w:tc>
          <w:tcPr>
            <w:tcW w:w="2790" w:type="dxa"/>
            <w:gridSpan w:val="2"/>
            <w:tcBorders>
              <w:top w:val="single" w:sz="7" w:space="0" w:color="000000"/>
              <w:left w:val="single" w:sz="7" w:space="0" w:color="000000"/>
              <w:bottom w:val="single" w:sz="7" w:space="0" w:color="000000"/>
              <w:right w:val="single" w:sz="7" w:space="0" w:color="000000"/>
            </w:tcBorders>
          </w:tcPr>
          <w:p w14:paraId="514900E9" w14:textId="77777777" w:rsidR="00891F3A" w:rsidRPr="00B454D9" w:rsidRDefault="00891F3A" w:rsidP="00846490">
            <w:pPr>
              <w:widowControl w:val="0"/>
              <w:jc w:val="center"/>
              <w:rPr>
                <w:sz w:val="22"/>
                <w:szCs w:val="22"/>
                <w:lang w:val="en-CA"/>
              </w:rPr>
            </w:pPr>
            <w:r w:rsidRPr="00B454D9">
              <w:rPr>
                <w:sz w:val="22"/>
                <w:szCs w:val="22"/>
                <w:lang w:val="en-CA"/>
              </w:rPr>
              <w:t>$60,2</w:t>
            </w:r>
            <w:r w:rsidR="00846490" w:rsidRPr="00B454D9">
              <w:rPr>
                <w:sz w:val="22"/>
                <w:szCs w:val="22"/>
                <w:lang w:val="en-CA"/>
              </w:rPr>
              <w:t>80</w:t>
            </w:r>
          </w:p>
        </w:tc>
      </w:tr>
    </w:tbl>
    <w:p w14:paraId="4A725441" w14:textId="77777777" w:rsidR="00EC4A35" w:rsidRPr="00846490" w:rsidRDefault="00846490" w:rsidP="00B454D9">
      <w:pPr>
        <w:widowControl w:val="0"/>
        <w:ind w:left="360"/>
        <w:rPr>
          <w:i/>
          <w:sz w:val="20"/>
        </w:rPr>
      </w:pPr>
      <w:r w:rsidRPr="00846490">
        <w:rPr>
          <w:i/>
          <w:sz w:val="20"/>
        </w:rPr>
        <w:t>Note:  Table may not sum due to rounding</w:t>
      </w:r>
    </w:p>
    <w:p w14:paraId="1F170CC5" w14:textId="77777777" w:rsidR="00565680" w:rsidRDefault="00565680" w:rsidP="001775D0">
      <w:pPr>
        <w:widowControl w:val="0"/>
        <w:ind w:left="720"/>
      </w:pPr>
    </w:p>
    <w:p w14:paraId="52519C29" w14:textId="77777777" w:rsidR="009F22C0" w:rsidRDefault="00E03633" w:rsidP="001A49D6">
      <w:pPr>
        <w:widowControl w:val="0"/>
        <w:ind w:left="1080" w:hanging="720"/>
        <w:rPr>
          <w:b/>
        </w:rPr>
      </w:pPr>
      <w:r>
        <w:br w:type="page"/>
      </w:r>
      <w:r w:rsidR="00972809" w:rsidRPr="001A49D6" w:rsidDel="00972809">
        <w:rPr>
          <w:i/>
        </w:rPr>
        <w:t xml:space="preserve"> </w:t>
      </w:r>
      <w:r w:rsidR="008417E3">
        <w:rPr>
          <w:b/>
        </w:rPr>
        <w:t xml:space="preserve">15. </w:t>
      </w:r>
      <w:r w:rsidR="00842662">
        <w:rPr>
          <w:b/>
        </w:rPr>
        <w:t xml:space="preserve">Explanation of program changes or adjustments. </w:t>
      </w:r>
    </w:p>
    <w:p w14:paraId="1FE0AC62" w14:textId="77777777" w:rsidR="008D17BA" w:rsidRDefault="008D17BA" w:rsidP="001A49D6">
      <w:pPr>
        <w:widowControl w:val="0"/>
        <w:ind w:left="1080" w:hanging="720"/>
        <w:rPr>
          <w:b/>
        </w:rPr>
      </w:pPr>
    </w:p>
    <w:p w14:paraId="0941FD21" w14:textId="77777777" w:rsidR="008D17BA" w:rsidRDefault="001863CA" w:rsidP="003B1F5D">
      <w:pPr>
        <w:ind w:left="720"/>
        <w:rPr>
          <w:b/>
        </w:rPr>
      </w:pPr>
      <w:r>
        <w:rPr>
          <w:szCs w:val="24"/>
        </w:rPr>
        <w:t>T</w:t>
      </w:r>
      <w:r w:rsidR="008D17BA" w:rsidRPr="008D17BA">
        <w:rPr>
          <w:szCs w:val="24"/>
        </w:rPr>
        <w:t xml:space="preserve">his is a new collection of information.  </w:t>
      </w:r>
      <w:r>
        <w:rPr>
          <w:szCs w:val="24"/>
        </w:rPr>
        <w:t xml:space="preserve">The total requested burden for this information collection is </w:t>
      </w:r>
      <w:r w:rsidR="004F12E9">
        <w:rPr>
          <w:szCs w:val="24"/>
        </w:rPr>
        <w:t xml:space="preserve">250 </w:t>
      </w:r>
      <w:r>
        <w:rPr>
          <w:szCs w:val="24"/>
        </w:rPr>
        <w:t xml:space="preserve">hours and </w:t>
      </w:r>
      <w:r w:rsidR="004F12E9">
        <w:rPr>
          <w:szCs w:val="24"/>
        </w:rPr>
        <w:t xml:space="preserve">5,000 </w:t>
      </w:r>
      <w:r>
        <w:rPr>
          <w:szCs w:val="24"/>
        </w:rPr>
        <w:t>responses.  B</w:t>
      </w:r>
      <w:r w:rsidR="008D17BA" w:rsidRPr="008D17BA">
        <w:rPr>
          <w:szCs w:val="24"/>
        </w:rPr>
        <w:t xml:space="preserve">y definition, </w:t>
      </w:r>
      <w:r>
        <w:rPr>
          <w:szCs w:val="24"/>
        </w:rPr>
        <w:t xml:space="preserve">this entire submission </w:t>
      </w:r>
      <w:r w:rsidR="008D17BA" w:rsidRPr="008D17BA">
        <w:rPr>
          <w:szCs w:val="24"/>
        </w:rPr>
        <w:t xml:space="preserve">is a </w:t>
      </w:r>
      <w:r w:rsidR="008D17BA" w:rsidRPr="00805197">
        <w:rPr>
          <w:b/>
          <w:szCs w:val="24"/>
        </w:rPr>
        <w:t>program change</w:t>
      </w:r>
      <w:r w:rsidR="008D17BA" w:rsidRPr="008D17BA">
        <w:rPr>
          <w:szCs w:val="24"/>
        </w:rPr>
        <w:t>.</w:t>
      </w:r>
    </w:p>
    <w:p w14:paraId="43988014" w14:textId="77777777" w:rsidR="009F22C0" w:rsidRDefault="009F22C0" w:rsidP="005E0995">
      <w:pPr>
        <w:widowControl w:val="0"/>
        <w:rPr>
          <w:b/>
        </w:rPr>
      </w:pPr>
    </w:p>
    <w:p w14:paraId="4C7655BC" w14:textId="77777777" w:rsidR="009F22C0" w:rsidRDefault="00A5668C" w:rsidP="001A49D6">
      <w:pPr>
        <w:widowControl w:val="0"/>
        <w:ind w:left="1080" w:hanging="720"/>
        <w:rPr>
          <w:b/>
        </w:rPr>
      </w:pPr>
      <w:r>
        <w:rPr>
          <w:b/>
        </w:rPr>
        <w:t xml:space="preserve">16. </w:t>
      </w:r>
      <w:r w:rsidR="00842662">
        <w:rPr>
          <w:b/>
        </w:rPr>
        <w:t>Publication of results of data collection.</w:t>
      </w:r>
    </w:p>
    <w:p w14:paraId="72C3D84C" w14:textId="77777777" w:rsidR="008D17BA" w:rsidRDefault="008D17BA" w:rsidP="003B1F5D">
      <w:pPr>
        <w:widowControl w:val="0"/>
        <w:ind w:left="720" w:hanging="720"/>
        <w:rPr>
          <w:b/>
        </w:rPr>
      </w:pPr>
    </w:p>
    <w:p w14:paraId="5E4DD4FE" w14:textId="77777777" w:rsidR="008D17BA" w:rsidRPr="008D17BA" w:rsidRDefault="008D17BA" w:rsidP="00E03633">
      <w:pPr>
        <w:widowControl w:val="0"/>
        <w:ind w:left="720"/>
      </w:pPr>
      <w:r w:rsidRPr="008D17BA">
        <w:t xml:space="preserve">There are no plans to publish the </w:t>
      </w:r>
      <w:r w:rsidR="00E03633" w:rsidRPr="008D17BA">
        <w:t xml:space="preserve">collected </w:t>
      </w:r>
      <w:r w:rsidRPr="008D17BA">
        <w:t>data in a report or on a public website.  The information will be used internally at FRA to identify trends, impacts, and “hot spot” locations.  The information will also be shared as needed with local communities, railroads, and inquiring parties.</w:t>
      </w:r>
    </w:p>
    <w:p w14:paraId="6AF0F800" w14:textId="77777777" w:rsidR="009F22C0" w:rsidRDefault="009F22C0" w:rsidP="003B1F5D">
      <w:pPr>
        <w:widowControl w:val="0"/>
        <w:rPr>
          <w:b/>
        </w:rPr>
      </w:pPr>
    </w:p>
    <w:p w14:paraId="39670F23" w14:textId="77777777" w:rsidR="009F22C0" w:rsidRDefault="00A5668C" w:rsidP="001A49D6">
      <w:pPr>
        <w:widowControl w:val="0"/>
        <w:ind w:left="1080" w:hanging="720"/>
        <w:rPr>
          <w:b/>
        </w:rPr>
      </w:pPr>
      <w:r>
        <w:rPr>
          <w:b/>
        </w:rPr>
        <w:t xml:space="preserve">17. </w:t>
      </w:r>
      <w:r w:rsidR="00842662">
        <w:rPr>
          <w:b/>
        </w:rPr>
        <w:t>Approval for not displaying the expiration date of OMB Approval.</w:t>
      </w:r>
    </w:p>
    <w:p w14:paraId="41BC845C" w14:textId="77777777" w:rsidR="008D17BA" w:rsidRDefault="008D17BA" w:rsidP="003B1F5D">
      <w:pPr>
        <w:widowControl w:val="0"/>
        <w:ind w:left="720" w:hanging="720"/>
        <w:rPr>
          <w:b/>
        </w:rPr>
      </w:pPr>
    </w:p>
    <w:p w14:paraId="782EA4AC" w14:textId="77777777" w:rsidR="008D17BA" w:rsidRPr="008D17BA" w:rsidRDefault="008D17BA" w:rsidP="005E0995">
      <w:pPr>
        <w:widowControl w:val="0"/>
        <w:ind w:left="720"/>
      </w:pPr>
      <w:r w:rsidRPr="008D17BA">
        <w:t xml:space="preserve">Once OMB approval </w:t>
      </w:r>
      <w:r>
        <w:t>is received, FRA will list the approval number and expiration date on the website forms.</w:t>
      </w:r>
    </w:p>
    <w:p w14:paraId="30703FDD" w14:textId="77777777" w:rsidR="009F22C0" w:rsidRDefault="009F22C0" w:rsidP="005E0995">
      <w:pPr>
        <w:widowControl w:val="0"/>
        <w:rPr>
          <w:b/>
        </w:rPr>
      </w:pPr>
    </w:p>
    <w:p w14:paraId="5D4ED1FB" w14:textId="77777777" w:rsidR="009F22C0" w:rsidRDefault="00842662" w:rsidP="001A49D6">
      <w:pPr>
        <w:widowControl w:val="0"/>
        <w:numPr>
          <w:ilvl w:val="0"/>
          <w:numId w:val="1"/>
        </w:numPr>
        <w:tabs>
          <w:tab w:val="clear" w:pos="360"/>
          <w:tab w:val="num" w:pos="720"/>
        </w:tabs>
        <w:ind w:left="1080" w:hanging="720"/>
        <w:rPr>
          <w:b/>
        </w:rPr>
      </w:pPr>
      <w:r>
        <w:rPr>
          <w:b/>
        </w:rPr>
        <w:t xml:space="preserve">Exceptions to certification statement. </w:t>
      </w:r>
    </w:p>
    <w:p w14:paraId="33DA7C13" w14:textId="77777777" w:rsidR="009E012B" w:rsidRDefault="009E012B" w:rsidP="003B1F5D">
      <w:pPr>
        <w:widowControl w:val="0"/>
        <w:rPr>
          <w:b/>
        </w:rPr>
      </w:pPr>
    </w:p>
    <w:p w14:paraId="5FD6C256" w14:textId="77777777" w:rsidR="009E012B" w:rsidRPr="008D17BA" w:rsidRDefault="00842662" w:rsidP="005E0995">
      <w:pPr>
        <w:widowControl w:val="0"/>
        <w:ind w:left="720"/>
      </w:pPr>
      <w:r>
        <w:t xml:space="preserve"> </w:t>
      </w:r>
      <w:r w:rsidR="008D17BA" w:rsidRPr="008D17BA">
        <w:t>No exceptions are taken at this time.</w:t>
      </w:r>
    </w:p>
    <w:p w14:paraId="4CEA4A7D" w14:textId="77777777" w:rsidR="009E012B" w:rsidRDefault="009E012B" w:rsidP="005E0995">
      <w:pPr>
        <w:widowControl w:val="0"/>
        <w:rPr>
          <w:b/>
        </w:rPr>
      </w:pPr>
    </w:p>
    <w:p w14:paraId="533870CE" w14:textId="77777777" w:rsidR="00280316" w:rsidRDefault="00280316" w:rsidP="008417E3">
      <w:pPr>
        <w:rPr>
          <w:b/>
        </w:rPr>
      </w:pPr>
      <w:bookmarkStart w:id="2" w:name="QuickMark_1"/>
      <w:bookmarkEnd w:id="2"/>
    </w:p>
    <w:sectPr w:rsidR="00280316">
      <w:footerReference w:type="even" r:id="rId9"/>
      <w:footerReference w:type="default" r:id="rId1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AFC0C" w14:textId="77777777" w:rsidR="00E523C2" w:rsidRDefault="00E523C2" w:rsidP="00842662">
      <w:r>
        <w:separator/>
      </w:r>
    </w:p>
  </w:endnote>
  <w:endnote w:type="continuationSeparator" w:id="0">
    <w:p w14:paraId="74D400B7" w14:textId="77777777" w:rsidR="00E523C2" w:rsidRDefault="00E523C2" w:rsidP="0084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3B78" w14:textId="318DCF4D" w:rsidR="00942140" w:rsidRDefault="00942140">
    <w:pPr>
      <w:pStyle w:val="Footer"/>
      <w:jc w:val="center"/>
    </w:pPr>
    <w:r>
      <w:fldChar w:fldCharType="begin"/>
    </w:r>
    <w:r>
      <w:instrText xml:space="preserve"> PAGE   \* MERGEFORMAT </w:instrText>
    </w:r>
    <w:r>
      <w:fldChar w:fldCharType="separate"/>
    </w:r>
    <w:r w:rsidR="00FC1AC1">
      <w:rPr>
        <w:noProof/>
      </w:rPr>
      <w:t>2</w:t>
    </w:r>
    <w:r>
      <w:rPr>
        <w:noProof/>
      </w:rPr>
      <w:fldChar w:fldCharType="end"/>
    </w:r>
  </w:p>
  <w:p w14:paraId="544566D3" w14:textId="77777777" w:rsidR="00942140" w:rsidRDefault="00942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D696" w14:textId="5A6D406D" w:rsidR="00942140" w:rsidRDefault="00942140">
    <w:pPr>
      <w:pStyle w:val="Footer"/>
      <w:jc w:val="center"/>
    </w:pPr>
    <w:r>
      <w:fldChar w:fldCharType="begin"/>
    </w:r>
    <w:r>
      <w:instrText xml:space="preserve"> PAGE   \* MERGEFORMAT </w:instrText>
    </w:r>
    <w:r>
      <w:fldChar w:fldCharType="separate"/>
    </w:r>
    <w:r w:rsidR="00FC1AC1">
      <w:rPr>
        <w:noProof/>
      </w:rPr>
      <w:t>1</w:t>
    </w:r>
    <w:r>
      <w:rPr>
        <w:noProof/>
      </w:rPr>
      <w:fldChar w:fldCharType="end"/>
    </w:r>
  </w:p>
  <w:p w14:paraId="7ADBEA9E" w14:textId="77777777" w:rsidR="00942140" w:rsidRDefault="00942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2E2E6" w14:textId="77777777" w:rsidR="00E523C2" w:rsidRDefault="00E523C2" w:rsidP="00842662">
      <w:r>
        <w:separator/>
      </w:r>
    </w:p>
  </w:footnote>
  <w:footnote w:type="continuationSeparator" w:id="0">
    <w:p w14:paraId="77AB18AE" w14:textId="77777777" w:rsidR="00E523C2" w:rsidRDefault="00E523C2" w:rsidP="00842662">
      <w:r>
        <w:continuationSeparator/>
      </w:r>
    </w:p>
  </w:footnote>
  <w:footnote w:id="1">
    <w:p w14:paraId="6EDCF3CB" w14:textId="77777777" w:rsidR="00D15338" w:rsidRDefault="00D15338">
      <w:pPr>
        <w:pStyle w:val="FootnoteText"/>
      </w:pPr>
      <w:r>
        <w:rPr>
          <w:rStyle w:val="FootnoteReference"/>
        </w:rPr>
        <w:footnoteRef/>
      </w:r>
      <w:r>
        <w:t xml:space="preserve"> FRA obtained the $27/hour wage rate to represent the value of each public respondent’s time.  FRA obtained this data from the Department of Labor, Bureau of Labor Statistics.</w:t>
      </w:r>
    </w:p>
  </w:footnote>
  <w:footnote w:id="2">
    <w:p w14:paraId="2D819787" w14:textId="77777777" w:rsidR="005A7E35" w:rsidRDefault="005A7E35">
      <w:pPr>
        <w:pStyle w:val="FootnoteText"/>
      </w:pPr>
      <w:r>
        <w:rPr>
          <w:rStyle w:val="FootnoteReference"/>
        </w:rPr>
        <w:footnoteRef/>
      </w:r>
      <w:r>
        <w:t xml:space="preserve"> </w:t>
      </w:r>
      <w:hyperlink r:id="rId1" w:history="1">
        <w:r>
          <w:rPr>
            <w:rStyle w:val="Hyperlink"/>
          </w:rPr>
          <w:t>https://www.opm.gov/policy-data-oversight/pay-leave/salaries-wages/salary-tables/pdf/2019/DCB.pdf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3DB"/>
    <w:multiLevelType w:val="hybridMultilevel"/>
    <w:tmpl w:val="DF4E6BDE"/>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A0048B"/>
    <w:multiLevelType w:val="hybridMultilevel"/>
    <w:tmpl w:val="0A3AABCC"/>
    <w:lvl w:ilvl="0" w:tplc="6AE664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A61A6"/>
    <w:multiLevelType w:val="hybridMultilevel"/>
    <w:tmpl w:val="045825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53C4F326">
      <w:start w:val="1"/>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8FE6DC24">
      <w:start w:val="1"/>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D5707A"/>
    <w:multiLevelType w:val="hybridMultilevel"/>
    <w:tmpl w:val="F5B2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139EF"/>
    <w:multiLevelType w:val="hybridMultilevel"/>
    <w:tmpl w:val="B7FA833E"/>
    <w:lvl w:ilvl="0" w:tplc="718465B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CC22FA4"/>
    <w:multiLevelType w:val="hybridMultilevel"/>
    <w:tmpl w:val="B62E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F6A85"/>
    <w:multiLevelType w:val="hybridMultilevel"/>
    <w:tmpl w:val="F6642010"/>
    <w:lvl w:ilvl="0" w:tplc="535C6CB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EF6DB8"/>
    <w:multiLevelType w:val="hybridMultilevel"/>
    <w:tmpl w:val="97508072"/>
    <w:lvl w:ilvl="0" w:tplc="3F089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5529CD"/>
    <w:multiLevelType w:val="hybridMultilevel"/>
    <w:tmpl w:val="9D3C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3"/>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B"/>
    <w:rsid w:val="0000210A"/>
    <w:rsid w:val="00002DF6"/>
    <w:rsid w:val="000065B1"/>
    <w:rsid w:val="000176AF"/>
    <w:rsid w:val="000319C1"/>
    <w:rsid w:val="00050069"/>
    <w:rsid w:val="0008191E"/>
    <w:rsid w:val="00092E9B"/>
    <w:rsid w:val="00096CDB"/>
    <w:rsid w:val="000C2550"/>
    <w:rsid w:val="000D0714"/>
    <w:rsid w:val="000F3266"/>
    <w:rsid w:val="001068F0"/>
    <w:rsid w:val="00122CB4"/>
    <w:rsid w:val="00140529"/>
    <w:rsid w:val="00146640"/>
    <w:rsid w:val="00175551"/>
    <w:rsid w:val="001775D0"/>
    <w:rsid w:val="001863CA"/>
    <w:rsid w:val="001A49D6"/>
    <w:rsid w:val="001D45D2"/>
    <w:rsid w:val="00206410"/>
    <w:rsid w:val="00216070"/>
    <w:rsid w:val="002503CF"/>
    <w:rsid w:val="00253353"/>
    <w:rsid w:val="00266CCF"/>
    <w:rsid w:val="0027249C"/>
    <w:rsid w:val="00277B43"/>
    <w:rsid w:val="00280316"/>
    <w:rsid w:val="002B23F8"/>
    <w:rsid w:val="002E16DD"/>
    <w:rsid w:val="00337476"/>
    <w:rsid w:val="00360842"/>
    <w:rsid w:val="003609AC"/>
    <w:rsid w:val="00362D88"/>
    <w:rsid w:val="003728E0"/>
    <w:rsid w:val="00390D4D"/>
    <w:rsid w:val="003B1F5D"/>
    <w:rsid w:val="003E0632"/>
    <w:rsid w:val="003F0858"/>
    <w:rsid w:val="003F7A0E"/>
    <w:rsid w:val="004042E6"/>
    <w:rsid w:val="00452D9A"/>
    <w:rsid w:val="004A1481"/>
    <w:rsid w:val="004E18E5"/>
    <w:rsid w:val="004F12E9"/>
    <w:rsid w:val="004F7CEA"/>
    <w:rsid w:val="00513519"/>
    <w:rsid w:val="00540214"/>
    <w:rsid w:val="005524C9"/>
    <w:rsid w:val="00565045"/>
    <w:rsid w:val="00565602"/>
    <w:rsid w:val="00565680"/>
    <w:rsid w:val="0058485D"/>
    <w:rsid w:val="005A7E35"/>
    <w:rsid w:val="005C3209"/>
    <w:rsid w:val="005C4185"/>
    <w:rsid w:val="005E0995"/>
    <w:rsid w:val="006110C2"/>
    <w:rsid w:val="00622311"/>
    <w:rsid w:val="00624D90"/>
    <w:rsid w:val="00625022"/>
    <w:rsid w:val="00656268"/>
    <w:rsid w:val="006C1853"/>
    <w:rsid w:val="006C777F"/>
    <w:rsid w:val="006D4410"/>
    <w:rsid w:val="006E4C2B"/>
    <w:rsid w:val="006F5F1D"/>
    <w:rsid w:val="00780204"/>
    <w:rsid w:val="007B6D46"/>
    <w:rsid w:val="007C238A"/>
    <w:rsid w:val="007C290B"/>
    <w:rsid w:val="007D61CE"/>
    <w:rsid w:val="007E05BC"/>
    <w:rsid w:val="007E2766"/>
    <w:rsid w:val="007F10E9"/>
    <w:rsid w:val="00805197"/>
    <w:rsid w:val="00826662"/>
    <w:rsid w:val="0083308A"/>
    <w:rsid w:val="00837B29"/>
    <w:rsid w:val="008417E3"/>
    <w:rsid w:val="00842662"/>
    <w:rsid w:val="00844D1B"/>
    <w:rsid w:val="00846490"/>
    <w:rsid w:val="0089023B"/>
    <w:rsid w:val="00891F3A"/>
    <w:rsid w:val="008A5CEB"/>
    <w:rsid w:val="008D17BA"/>
    <w:rsid w:val="008F01DE"/>
    <w:rsid w:val="00903F9A"/>
    <w:rsid w:val="00907E5D"/>
    <w:rsid w:val="00942140"/>
    <w:rsid w:val="009643DF"/>
    <w:rsid w:val="00972809"/>
    <w:rsid w:val="009A65E5"/>
    <w:rsid w:val="009B048F"/>
    <w:rsid w:val="009B7011"/>
    <w:rsid w:val="009D432F"/>
    <w:rsid w:val="009E012B"/>
    <w:rsid w:val="009F22C0"/>
    <w:rsid w:val="00A469D6"/>
    <w:rsid w:val="00A5668C"/>
    <w:rsid w:val="00A64563"/>
    <w:rsid w:val="00A7565A"/>
    <w:rsid w:val="00AD4AB6"/>
    <w:rsid w:val="00AE4677"/>
    <w:rsid w:val="00B061CE"/>
    <w:rsid w:val="00B12FE7"/>
    <w:rsid w:val="00B22A56"/>
    <w:rsid w:val="00B454D9"/>
    <w:rsid w:val="00B45E2E"/>
    <w:rsid w:val="00B470A8"/>
    <w:rsid w:val="00B76C26"/>
    <w:rsid w:val="00B863BF"/>
    <w:rsid w:val="00BA0B11"/>
    <w:rsid w:val="00BB5907"/>
    <w:rsid w:val="00BC3EF8"/>
    <w:rsid w:val="00C01540"/>
    <w:rsid w:val="00C442DA"/>
    <w:rsid w:val="00C83FAD"/>
    <w:rsid w:val="00C9111A"/>
    <w:rsid w:val="00CD28FE"/>
    <w:rsid w:val="00CF07AB"/>
    <w:rsid w:val="00D15338"/>
    <w:rsid w:val="00D552EE"/>
    <w:rsid w:val="00D57027"/>
    <w:rsid w:val="00D64ABF"/>
    <w:rsid w:val="00D75822"/>
    <w:rsid w:val="00D853D8"/>
    <w:rsid w:val="00D85736"/>
    <w:rsid w:val="00DA7A35"/>
    <w:rsid w:val="00DC179A"/>
    <w:rsid w:val="00DF34CE"/>
    <w:rsid w:val="00E01DAF"/>
    <w:rsid w:val="00E03633"/>
    <w:rsid w:val="00E13EF2"/>
    <w:rsid w:val="00E20D9C"/>
    <w:rsid w:val="00E523C2"/>
    <w:rsid w:val="00E8038A"/>
    <w:rsid w:val="00E8116A"/>
    <w:rsid w:val="00E82AB1"/>
    <w:rsid w:val="00EB7DD0"/>
    <w:rsid w:val="00EC4A35"/>
    <w:rsid w:val="00ED3728"/>
    <w:rsid w:val="00F406E8"/>
    <w:rsid w:val="00F505D9"/>
    <w:rsid w:val="00F57924"/>
    <w:rsid w:val="00FA73D0"/>
    <w:rsid w:val="00FB7FA3"/>
    <w:rsid w:val="00FC1AC1"/>
    <w:rsid w:val="00FD13B8"/>
    <w:rsid w:val="00FE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rsid w:val="00842662"/>
    <w:rPr>
      <w:sz w:val="20"/>
    </w:rPr>
  </w:style>
  <w:style w:type="character" w:customStyle="1" w:styleId="CommentTextChar">
    <w:name w:val="Comment Text Char"/>
    <w:basedOn w:val="DefaultParagraphFont"/>
    <w:link w:val="CommentText"/>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rsid w:val="00842662"/>
    <w:rPr>
      <w:sz w:val="20"/>
    </w:rPr>
  </w:style>
  <w:style w:type="character" w:customStyle="1" w:styleId="FootnoteTextChar">
    <w:name w:val="Footnote Text Char"/>
    <w:basedOn w:val="DefaultParagraphFont"/>
    <w:link w:val="FootnoteText"/>
    <w:rsid w:val="00842662"/>
  </w:style>
  <w:style w:type="character" w:styleId="FootnoteReference">
    <w:name w:val="footnote reference"/>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rsid w:val="00842662"/>
    <w:rPr>
      <w:sz w:val="20"/>
    </w:rPr>
  </w:style>
  <w:style w:type="character" w:customStyle="1" w:styleId="CommentTextChar">
    <w:name w:val="Comment Text Char"/>
    <w:basedOn w:val="DefaultParagraphFont"/>
    <w:link w:val="CommentText"/>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rsid w:val="00842662"/>
    <w:rPr>
      <w:sz w:val="20"/>
    </w:rPr>
  </w:style>
  <w:style w:type="character" w:customStyle="1" w:styleId="FootnoteTextChar">
    <w:name w:val="Footnote Text Char"/>
    <w:basedOn w:val="DefaultParagraphFont"/>
    <w:link w:val="FootnoteText"/>
    <w:rsid w:val="00842662"/>
  </w:style>
  <w:style w:type="character" w:styleId="FootnoteReference">
    <w:name w:val="footnote reference"/>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164B-50CC-4308-83BE-C39A2851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17947</CharactersWithSpaces>
  <SharedDoc>false</SharedDoc>
  <HLinks>
    <vt:vector size="6" baseType="variant">
      <vt:variant>
        <vt:i4>1703957</vt:i4>
      </vt:variant>
      <vt:variant>
        <vt:i4>0</vt:i4>
      </vt:variant>
      <vt:variant>
        <vt:i4>0</vt:i4>
      </vt:variant>
      <vt:variant>
        <vt:i4>5</vt:i4>
      </vt:variant>
      <vt:variant>
        <vt:lpwstr>https://www.opm.gov/policy-data-oversight/pay-leave/salaries-wages/salary-tables/pdf/2019/DCB.pdf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SYSTEM</cp:lastModifiedBy>
  <cp:revision>2</cp:revision>
  <cp:lastPrinted>2019-09-19T21:40:00Z</cp:lastPrinted>
  <dcterms:created xsi:type="dcterms:W3CDTF">2019-11-18T15:05:00Z</dcterms:created>
  <dcterms:modified xsi:type="dcterms:W3CDTF">2019-11-18T15:05:00Z</dcterms:modified>
</cp:coreProperties>
</file>