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7133A" w14:textId="60E97801" w:rsidR="00C47DDD" w:rsidRPr="00F204D4" w:rsidRDefault="00C47DDD" w:rsidP="008B7CCF">
      <w:pPr>
        <w:jc w:val="center"/>
        <w:outlineLvl w:val="0"/>
        <w:rPr>
          <w:rFonts w:asciiTheme="majorBidi" w:hAnsiTheme="majorBidi" w:cstheme="majorBidi"/>
          <w:b/>
        </w:rPr>
      </w:pPr>
      <w:r w:rsidRPr="00F204D4">
        <w:rPr>
          <w:rFonts w:asciiTheme="majorBidi" w:hAnsiTheme="majorBidi" w:cstheme="majorBidi"/>
          <w:b/>
        </w:rPr>
        <w:t>SUPPORTING STATEMENT</w:t>
      </w:r>
    </w:p>
    <w:p w14:paraId="516985FD" w14:textId="77777777" w:rsidR="00C47DDD" w:rsidRPr="00F204D4" w:rsidRDefault="00C47DDD" w:rsidP="008B7CCF">
      <w:pPr>
        <w:jc w:val="center"/>
        <w:outlineLvl w:val="0"/>
        <w:rPr>
          <w:rFonts w:asciiTheme="majorBidi" w:hAnsiTheme="majorBidi" w:cstheme="majorBidi"/>
          <w:b/>
        </w:rPr>
      </w:pPr>
      <w:r w:rsidRPr="00F204D4">
        <w:rPr>
          <w:rFonts w:asciiTheme="majorBidi" w:hAnsiTheme="majorBidi" w:cstheme="majorBidi"/>
          <w:b/>
        </w:rPr>
        <w:t>FOR AN INFORMATION COLLECTION REQUEST (ICR)</w:t>
      </w:r>
    </w:p>
    <w:p w14:paraId="584626BB" w14:textId="77777777" w:rsidR="00C47DDD" w:rsidRPr="00F204D4" w:rsidRDefault="00C47DDD" w:rsidP="008B7CCF">
      <w:pPr>
        <w:rPr>
          <w:rFonts w:asciiTheme="majorBidi" w:hAnsiTheme="majorBidi" w:cstheme="majorBidi"/>
        </w:rPr>
      </w:pPr>
    </w:p>
    <w:p w14:paraId="1648BC63" w14:textId="77777777" w:rsidR="00C47DDD" w:rsidRPr="00F204D4" w:rsidRDefault="00C47DDD" w:rsidP="008B7CCF">
      <w:pPr>
        <w:rPr>
          <w:rFonts w:asciiTheme="majorBidi" w:hAnsiTheme="majorBidi" w:cstheme="majorBidi"/>
          <w:b/>
        </w:rPr>
      </w:pPr>
      <w:r w:rsidRPr="00F204D4">
        <w:rPr>
          <w:rFonts w:asciiTheme="majorBidi" w:hAnsiTheme="majorBidi" w:cstheme="majorBidi"/>
          <w:b/>
        </w:rPr>
        <w:t>1.</w:t>
      </w:r>
      <w:r w:rsidRPr="00F204D4">
        <w:rPr>
          <w:rFonts w:asciiTheme="majorBidi" w:hAnsiTheme="majorBidi" w:cstheme="majorBidi"/>
          <w:b/>
        </w:rPr>
        <w:tab/>
        <w:t>IDENTIFICATION OF THE INFORMATION COLLECTION</w:t>
      </w:r>
    </w:p>
    <w:p w14:paraId="7F6FDD61" w14:textId="12B500F1" w:rsidR="00C47DDD" w:rsidRPr="00F204D4" w:rsidRDefault="193E34D8" w:rsidP="008B7CCF">
      <w:pPr>
        <w:rPr>
          <w:rFonts w:asciiTheme="majorBidi" w:hAnsiTheme="majorBidi" w:cstheme="majorBidi"/>
        </w:rPr>
      </w:pPr>
      <w:r w:rsidRPr="00F204D4">
        <w:rPr>
          <w:rFonts w:asciiTheme="majorBidi" w:hAnsiTheme="majorBidi" w:cstheme="majorBidi"/>
        </w:rPr>
        <w:t xml:space="preserve"> </w:t>
      </w:r>
    </w:p>
    <w:p w14:paraId="018CD405"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1(a)</w:t>
      </w:r>
      <w:r w:rsidRPr="00F204D4">
        <w:rPr>
          <w:rFonts w:asciiTheme="majorBidi" w:hAnsiTheme="majorBidi" w:cstheme="majorBidi"/>
          <w:b/>
        </w:rPr>
        <w:tab/>
        <w:t>Title of the Information Collection</w:t>
      </w:r>
    </w:p>
    <w:p w14:paraId="12AE6803" w14:textId="77777777" w:rsidR="00C47DDD" w:rsidRPr="00F204D4" w:rsidRDefault="00C47DDD" w:rsidP="008B7CCF">
      <w:pPr>
        <w:rPr>
          <w:rFonts w:asciiTheme="majorBidi" w:hAnsiTheme="majorBidi" w:cstheme="majorBidi"/>
        </w:rPr>
      </w:pPr>
    </w:p>
    <w:p w14:paraId="47D8E44D" w14:textId="77777777" w:rsidR="00C47DDD" w:rsidRPr="00F204D4" w:rsidRDefault="00C47DDD" w:rsidP="008B7CCF">
      <w:pPr>
        <w:ind w:firstLine="720"/>
        <w:rPr>
          <w:rFonts w:asciiTheme="majorBidi" w:hAnsiTheme="majorBidi" w:cstheme="majorBidi"/>
        </w:rPr>
      </w:pPr>
      <w:r w:rsidRPr="00F204D4">
        <w:rPr>
          <w:rFonts w:asciiTheme="majorBidi" w:hAnsiTheme="majorBidi" w:cstheme="majorBidi"/>
        </w:rPr>
        <w:t xml:space="preserve">TITLE: Application for New and Amended Pesticide Registration </w:t>
      </w:r>
    </w:p>
    <w:p w14:paraId="66BB3F91" w14:textId="77777777" w:rsidR="00C47DDD" w:rsidRPr="00F204D4" w:rsidRDefault="00C47DDD" w:rsidP="008B7CCF">
      <w:pPr>
        <w:ind w:firstLine="720"/>
        <w:rPr>
          <w:rFonts w:asciiTheme="majorBidi" w:hAnsiTheme="majorBidi" w:cstheme="majorBidi"/>
        </w:rPr>
      </w:pPr>
    </w:p>
    <w:p w14:paraId="38827AE3" w14:textId="55ECD060" w:rsidR="00C47DDD" w:rsidRDefault="00C47DDD" w:rsidP="008B7CCF">
      <w:pPr>
        <w:ind w:firstLine="720"/>
        <w:rPr>
          <w:rFonts w:asciiTheme="majorBidi" w:hAnsiTheme="majorBidi" w:cstheme="majorBidi"/>
        </w:rPr>
      </w:pPr>
      <w:r w:rsidRPr="00F204D4">
        <w:rPr>
          <w:rFonts w:asciiTheme="majorBidi" w:hAnsiTheme="majorBidi" w:cstheme="majorBidi"/>
        </w:rPr>
        <w:t>OM</w:t>
      </w:r>
      <w:r w:rsidR="00772F0C" w:rsidRPr="00F204D4">
        <w:rPr>
          <w:rFonts w:asciiTheme="majorBidi" w:hAnsiTheme="majorBidi" w:cstheme="majorBidi"/>
        </w:rPr>
        <w:t>B No.</w:t>
      </w:r>
      <w:r w:rsidR="005A59D5">
        <w:rPr>
          <w:rFonts w:asciiTheme="majorBidi" w:hAnsiTheme="majorBidi" w:cstheme="majorBidi"/>
        </w:rPr>
        <w:t>:</w:t>
      </w:r>
      <w:r w:rsidR="00772F0C" w:rsidRPr="00F204D4">
        <w:rPr>
          <w:rFonts w:asciiTheme="majorBidi" w:hAnsiTheme="majorBidi" w:cstheme="majorBidi"/>
        </w:rPr>
        <w:t xml:space="preserve"> 2070-0060</w:t>
      </w:r>
      <w:r w:rsidR="00772F0C" w:rsidRPr="00F204D4">
        <w:rPr>
          <w:rFonts w:asciiTheme="majorBidi" w:hAnsiTheme="majorBidi" w:cstheme="majorBidi"/>
        </w:rPr>
        <w:tab/>
      </w:r>
      <w:r w:rsidR="00772F0C" w:rsidRPr="00F204D4">
        <w:rPr>
          <w:rFonts w:asciiTheme="majorBidi" w:hAnsiTheme="majorBidi" w:cstheme="majorBidi"/>
        </w:rPr>
        <w:tab/>
        <w:t>EPA No.</w:t>
      </w:r>
      <w:r w:rsidR="005A59D5">
        <w:rPr>
          <w:rFonts w:asciiTheme="majorBidi" w:hAnsiTheme="majorBidi" w:cstheme="majorBidi"/>
        </w:rPr>
        <w:t>:</w:t>
      </w:r>
      <w:r w:rsidR="00772F0C" w:rsidRPr="00F204D4">
        <w:rPr>
          <w:rFonts w:asciiTheme="majorBidi" w:hAnsiTheme="majorBidi" w:cstheme="majorBidi"/>
        </w:rPr>
        <w:t xml:space="preserve"> 0277.</w:t>
      </w:r>
      <w:r w:rsidR="0050291B" w:rsidRPr="00A2652E">
        <w:rPr>
          <w:rFonts w:asciiTheme="majorBidi" w:hAnsiTheme="majorBidi" w:cstheme="majorBidi"/>
        </w:rPr>
        <w:t>17</w:t>
      </w:r>
    </w:p>
    <w:p w14:paraId="5732357C" w14:textId="77777777" w:rsidR="005A59D5" w:rsidRDefault="005A59D5" w:rsidP="008B7CCF">
      <w:pPr>
        <w:ind w:firstLine="720"/>
        <w:rPr>
          <w:rFonts w:asciiTheme="majorBidi" w:hAnsiTheme="majorBidi" w:cstheme="majorBidi"/>
        </w:rPr>
      </w:pPr>
    </w:p>
    <w:p w14:paraId="3C3AAE3D" w14:textId="7902DC85" w:rsidR="005A59D5" w:rsidRPr="00F204D4" w:rsidRDefault="005A59D5" w:rsidP="008B7CCF">
      <w:pPr>
        <w:ind w:firstLine="720"/>
        <w:rPr>
          <w:rFonts w:asciiTheme="majorBidi" w:hAnsiTheme="majorBidi" w:cstheme="majorBidi"/>
        </w:rPr>
      </w:pPr>
      <w:r>
        <w:rPr>
          <w:rFonts w:asciiTheme="majorBidi" w:hAnsiTheme="majorBidi" w:cstheme="majorBidi"/>
        </w:rPr>
        <w:t xml:space="preserve">Docket ID No.: </w:t>
      </w:r>
      <w:r w:rsidRPr="00EF31B3">
        <w:t>EPA-HQ-OPP-2015-0332</w:t>
      </w:r>
    </w:p>
    <w:p w14:paraId="00B12ECF" w14:textId="77777777" w:rsidR="00C47DDD" w:rsidRPr="00F204D4" w:rsidRDefault="00C47DDD" w:rsidP="008B7CCF">
      <w:pPr>
        <w:rPr>
          <w:rFonts w:asciiTheme="majorBidi" w:hAnsiTheme="majorBidi" w:cstheme="majorBidi"/>
        </w:rPr>
      </w:pPr>
    </w:p>
    <w:p w14:paraId="285D7499"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1(b)</w:t>
      </w:r>
      <w:r w:rsidRPr="00F204D4">
        <w:rPr>
          <w:rFonts w:asciiTheme="majorBidi" w:hAnsiTheme="majorBidi" w:cstheme="majorBidi"/>
          <w:b/>
        </w:rPr>
        <w:tab/>
        <w:t>Short Characterization/Abstract</w:t>
      </w:r>
    </w:p>
    <w:p w14:paraId="244ECA4E" w14:textId="77777777" w:rsidR="00C47DDD" w:rsidRPr="00F204D4" w:rsidRDefault="00C47DDD" w:rsidP="008B7CCF">
      <w:pPr>
        <w:rPr>
          <w:rFonts w:asciiTheme="majorBidi" w:hAnsiTheme="majorBidi" w:cstheme="majorBidi"/>
        </w:rPr>
      </w:pPr>
    </w:p>
    <w:p w14:paraId="1913B4BB" w14:textId="3C43DDCB" w:rsidR="00650B2D" w:rsidRPr="00F204D4" w:rsidRDefault="00C47DDD" w:rsidP="00DC6C7E">
      <w:pPr>
        <w:ind w:firstLine="720"/>
        <w:rPr>
          <w:rFonts w:asciiTheme="majorBidi" w:hAnsiTheme="majorBidi" w:cstheme="majorBidi"/>
        </w:rPr>
      </w:pPr>
      <w:r w:rsidRPr="00F204D4">
        <w:rPr>
          <w:rFonts w:asciiTheme="majorBidi" w:hAnsiTheme="majorBidi" w:cstheme="majorBidi"/>
        </w:rPr>
        <w:t xml:space="preserve">This </w:t>
      </w:r>
      <w:r w:rsidR="00E11A72" w:rsidRPr="00F204D4">
        <w:rPr>
          <w:rFonts w:asciiTheme="majorBidi" w:hAnsiTheme="majorBidi" w:cstheme="majorBidi"/>
        </w:rPr>
        <w:t xml:space="preserve">information </w:t>
      </w:r>
      <w:r w:rsidRPr="00F204D4">
        <w:rPr>
          <w:rFonts w:asciiTheme="majorBidi" w:hAnsiTheme="majorBidi" w:cstheme="majorBidi"/>
        </w:rPr>
        <w:t xml:space="preserve">collection is designed to provide the Environmental Protection Agency (EPA) with </w:t>
      </w:r>
      <w:r w:rsidR="00791009" w:rsidRPr="00F204D4">
        <w:rPr>
          <w:rFonts w:asciiTheme="majorBidi" w:hAnsiTheme="majorBidi" w:cstheme="majorBidi"/>
        </w:rPr>
        <w:t xml:space="preserve">the </w:t>
      </w:r>
      <w:r w:rsidRPr="00F204D4">
        <w:rPr>
          <w:rFonts w:asciiTheme="majorBidi" w:hAnsiTheme="majorBidi" w:cstheme="majorBidi"/>
        </w:rPr>
        <w:t xml:space="preserve">necessary </w:t>
      </w:r>
      <w:r w:rsidR="00791009" w:rsidRPr="00F204D4">
        <w:rPr>
          <w:rFonts w:asciiTheme="majorBidi" w:hAnsiTheme="majorBidi" w:cstheme="majorBidi"/>
        </w:rPr>
        <w:t xml:space="preserve">information </w:t>
      </w:r>
      <w:r w:rsidRPr="00F204D4">
        <w:rPr>
          <w:rFonts w:asciiTheme="majorBidi" w:hAnsiTheme="majorBidi" w:cstheme="majorBidi"/>
        </w:rPr>
        <w:t xml:space="preserve">to evaluate an application </w:t>
      </w:r>
      <w:r w:rsidR="006066A7" w:rsidRPr="00F204D4">
        <w:rPr>
          <w:rFonts w:asciiTheme="majorBidi" w:hAnsiTheme="majorBidi" w:cstheme="majorBidi"/>
        </w:rPr>
        <w:t xml:space="preserve">for the registration of </w:t>
      </w:r>
      <w:r w:rsidRPr="00F204D4">
        <w:rPr>
          <w:rFonts w:asciiTheme="majorBidi" w:hAnsiTheme="majorBidi" w:cstheme="majorBidi"/>
        </w:rPr>
        <w:t>a pesticide product</w:t>
      </w:r>
      <w:r w:rsidR="006066A7" w:rsidRPr="00F204D4">
        <w:rPr>
          <w:rFonts w:asciiTheme="majorBidi" w:hAnsiTheme="majorBidi" w:cstheme="majorBidi"/>
        </w:rPr>
        <w:t>,</w:t>
      </w:r>
      <w:r w:rsidRPr="00F204D4">
        <w:rPr>
          <w:rFonts w:asciiTheme="majorBidi" w:hAnsiTheme="majorBidi" w:cstheme="majorBidi"/>
        </w:rPr>
        <w:t xml:space="preserve"> as required under Section 3 of the Federal Insecticide, Fungicide, and Rodenticide Act</w:t>
      </w:r>
      <w:r w:rsidR="00F114A0" w:rsidRPr="00F204D4">
        <w:rPr>
          <w:rFonts w:asciiTheme="majorBidi" w:hAnsiTheme="majorBidi" w:cstheme="majorBidi"/>
        </w:rPr>
        <w:t xml:space="preserve"> (FIFRA)</w:t>
      </w:r>
      <w:r w:rsidRPr="00F204D4">
        <w:rPr>
          <w:rFonts w:asciiTheme="majorBidi" w:hAnsiTheme="majorBidi" w:cstheme="majorBidi"/>
        </w:rPr>
        <w:t xml:space="preserve"> and</w:t>
      </w:r>
      <w:r w:rsidR="00F114A0" w:rsidRPr="00F204D4">
        <w:rPr>
          <w:rFonts w:asciiTheme="majorBidi" w:hAnsiTheme="majorBidi" w:cstheme="majorBidi"/>
        </w:rPr>
        <w:t xml:space="preserve"> </w:t>
      </w:r>
      <w:r w:rsidR="005A59D5">
        <w:rPr>
          <w:rFonts w:asciiTheme="majorBidi" w:hAnsiTheme="majorBidi" w:cstheme="majorBidi"/>
        </w:rPr>
        <w:t xml:space="preserve">section 408 of </w:t>
      </w:r>
      <w:r w:rsidR="00F114A0" w:rsidRPr="00F204D4">
        <w:rPr>
          <w:rFonts w:asciiTheme="majorBidi" w:hAnsiTheme="majorBidi" w:cstheme="majorBidi"/>
        </w:rPr>
        <w:t>the</w:t>
      </w:r>
      <w:r w:rsidRPr="00F204D4">
        <w:rPr>
          <w:rFonts w:asciiTheme="majorBidi" w:hAnsiTheme="majorBidi" w:cstheme="majorBidi"/>
        </w:rPr>
        <w:t xml:space="preserve"> Feder</w:t>
      </w:r>
      <w:r w:rsidR="00F114A0" w:rsidRPr="00F204D4">
        <w:rPr>
          <w:rFonts w:asciiTheme="majorBidi" w:hAnsiTheme="majorBidi" w:cstheme="majorBidi"/>
        </w:rPr>
        <w:t>al Food, Drug, and Cosmetic Act</w:t>
      </w:r>
      <w:r w:rsidRPr="00F204D4">
        <w:rPr>
          <w:rFonts w:asciiTheme="majorBidi" w:hAnsiTheme="majorBidi" w:cstheme="majorBidi"/>
        </w:rPr>
        <w:t xml:space="preserve"> (FFDCA</w:t>
      </w:r>
      <w:r w:rsidR="00F114A0" w:rsidRPr="00F204D4">
        <w:rPr>
          <w:rFonts w:asciiTheme="majorBidi" w:hAnsiTheme="majorBidi" w:cstheme="majorBidi"/>
        </w:rPr>
        <w:t xml:space="preserve">) </w:t>
      </w:r>
      <w:r w:rsidRPr="00F204D4">
        <w:rPr>
          <w:rFonts w:asciiTheme="majorBidi" w:hAnsiTheme="majorBidi" w:cstheme="majorBidi"/>
        </w:rPr>
        <w:t xml:space="preserve">(see </w:t>
      </w:r>
      <w:r w:rsidRPr="00F204D4">
        <w:rPr>
          <w:rFonts w:asciiTheme="majorBidi" w:hAnsiTheme="majorBidi" w:cstheme="majorBidi"/>
          <w:b/>
        </w:rPr>
        <w:t>Attachment A</w:t>
      </w:r>
      <w:r w:rsidRPr="00F204D4">
        <w:rPr>
          <w:rFonts w:asciiTheme="majorBidi" w:hAnsiTheme="majorBidi" w:cstheme="majorBidi"/>
        </w:rPr>
        <w:t xml:space="preserve">). Under FIFRA, EPA must evaluate pesticides </w:t>
      </w:r>
      <w:r w:rsidR="002E6F41" w:rsidRPr="00F204D4">
        <w:rPr>
          <w:rFonts w:asciiTheme="majorBidi" w:hAnsiTheme="majorBidi" w:cstheme="majorBidi"/>
        </w:rPr>
        <w:t xml:space="preserve">comprehensively </w:t>
      </w:r>
      <w:r w:rsidRPr="00F204D4">
        <w:rPr>
          <w:rFonts w:asciiTheme="majorBidi" w:hAnsiTheme="majorBidi" w:cstheme="majorBidi"/>
        </w:rPr>
        <w:t>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14:paraId="61A5B992" w14:textId="2D14EFF6" w:rsidR="00650B2D" w:rsidRPr="00F204D4" w:rsidRDefault="00650B2D" w:rsidP="008B7CCF">
      <w:pPr>
        <w:ind w:firstLine="720"/>
        <w:rPr>
          <w:rFonts w:asciiTheme="majorBidi" w:hAnsiTheme="majorBidi" w:cstheme="majorBidi"/>
          <w:color w:val="151515"/>
          <w:shd w:val="clear" w:color="auto" w:fill="FFFFFF"/>
        </w:rPr>
      </w:pPr>
    </w:p>
    <w:p w14:paraId="3B1E396B" w14:textId="77F38C36" w:rsidR="00C47DDD" w:rsidRPr="00F204D4" w:rsidRDefault="00C47DDD" w:rsidP="00C20A8E">
      <w:pPr>
        <w:ind w:firstLine="720"/>
        <w:rPr>
          <w:rFonts w:asciiTheme="majorBidi" w:hAnsiTheme="majorBidi" w:cstheme="majorBidi"/>
        </w:rPr>
      </w:pPr>
      <w:r w:rsidRPr="00F204D4">
        <w:rPr>
          <w:rFonts w:asciiTheme="majorBidi" w:hAnsiTheme="majorBidi" w:cstheme="majorBidi"/>
        </w:rPr>
        <w:t xml:space="preserve">In evaluating a pesticide registration application, </w:t>
      </w:r>
      <w:r w:rsidR="0099007A" w:rsidRPr="00F204D4">
        <w:rPr>
          <w:rFonts w:asciiTheme="majorBidi" w:hAnsiTheme="majorBidi" w:cstheme="majorBidi"/>
        </w:rPr>
        <w:t xml:space="preserve">the </w:t>
      </w:r>
      <w:r w:rsidRPr="00F204D4">
        <w:rPr>
          <w:rFonts w:asciiTheme="majorBidi" w:hAnsiTheme="majorBidi" w:cstheme="majorBidi"/>
        </w:rPr>
        <w:t xml:space="preserve">EPA assesses a wide </w:t>
      </w:r>
      <w:r w:rsidR="002E6F41" w:rsidRPr="00F204D4">
        <w:rPr>
          <w:rFonts w:asciiTheme="majorBidi" w:hAnsiTheme="majorBidi" w:cstheme="majorBidi"/>
        </w:rPr>
        <w:t xml:space="preserve">range </w:t>
      </w:r>
      <w:r w:rsidRPr="00F204D4">
        <w:rPr>
          <w:rFonts w:asciiTheme="majorBidi" w:hAnsiTheme="majorBidi" w:cstheme="majorBidi"/>
        </w:rPr>
        <w:t xml:space="preserve">of potential human health and environmental effects associated with use of the product. The producer of the pesticide must provide data from tests </w:t>
      </w:r>
      <w:r w:rsidR="00C20A8E" w:rsidRPr="00F204D4">
        <w:rPr>
          <w:rFonts w:asciiTheme="majorBidi" w:hAnsiTheme="majorBidi" w:cstheme="majorBidi"/>
        </w:rPr>
        <w:t xml:space="preserve">conducted </w:t>
      </w:r>
      <w:r w:rsidRPr="00F204D4">
        <w:rPr>
          <w:rFonts w:asciiTheme="majorBidi" w:hAnsiTheme="majorBidi" w:cstheme="majorBidi"/>
        </w:rPr>
        <w:t>according to EPA guidelines or other test methods that provide acceptable data. These tests must determine whether a pesticide has the potential to cause adverse effects on humans, wildlife, fish and plants, including endangered species and non-target organisms, as well as possible contamination of surface water or groundwater from leaching, runoff and spray drift</w:t>
      </w:r>
      <w:r w:rsidR="00650B2D" w:rsidRPr="00F204D4">
        <w:rPr>
          <w:rFonts w:asciiTheme="majorBidi" w:hAnsiTheme="majorBidi" w:cstheme="majorBidi"/>
        </w:rPr>
        <w:t>.</w:t>
      </w:r>
      <w:r w:rsidRPr="00F204D4">
        <w:rPr>
          <w:rFonts w:asciiTheme="majorBidi" w:hAnsiTheme="majorBidi" w:cstheme="majorBidi"/>
        </w:rPr>
        <w:t xml:space="preserve"> </w:t>
      </w:r>
      <w:r w:rsidR="7A80B6C0" w:rsidRPr="00F204D4">
        <w:rPr>
          <w:rFonts w:asciiTheme="majorBidi" w:hAnsiTheme="majorBidi" w:cstheme="majorBidi"/>
        </w:rPr>
        <w:t xml:space="preserve">The assessments </w:t>
      </w:r>
      <w:r w:rsidR="00650B2D" w:rsidRPr="00F204D4">
        <w:rPr>
          <w:rFonts w:asciiTheme="majorBidi" w:hAnsiTheme="majorBidi" w:cstheme="majorBidi"/>
        </w:rPr>
        <w:t>involve</w:t>
      </w:r>
      <w:r w:rsidR="7A80B6C0" w:rsidRPr="00F204D4">
        <w:rPr>
          <w:rFonts w:asciiTheme="majorBidi" w:hAnsiTheme="majorBidi" w:cstheme="majorBidi"/>
        </w:rPr>
        <w:t xml:space="preserve"> </w:t>
      </w:r>
      <w:r w:rsidRPr="00F204D4">
        <w:rPr>
          <w:rFonts w:asciiTheme="majorBidi" w:hAnsiTheme="majorBidi" w:cstheme="majorBidi"/>
        </w:rPr>
        <w:t xml:space="preserve">short-term toxicity and long-term effects such as cancer and reproductive system disorders. </w:t>
      </w:r>
      <w:r w:rsidR="000B6821" w:rsidRPr="00F204D4">
        <w:rPr>
          <w:rFonts w:asciiTheme="majorBidi" w:hAnsiTheme="majorBidi" w:cstheme="majorBidi"/>
        </w:rPr>
        <w:t xml:space="preserve">The </w:t>
      </w:r>
      <w:r w:rsidRPr="00F204D4">
        <w:rPr>
          <w:rFonts w:asciiTheme="majorBidi" w:hAnsiTheme="majorBidi" w:cstheme="majorBidi"/>
        </w:rPr>
        <w:t xml:space="preserve">EPA also must approve the language that appears on each pesticide label. A pesticide product can only be used according to the directions on the labeling accompanying it at the time of sale, through its use and disposal. </w:t>
      </w:r>
      <w:r w:rsidR="1B37F8E2" w:rsidRPr="00F204D4">
        <w:rPr>
          <w:rFonts w:asciiTheme="majorBidi" w:hAnsiTheme="majorBidi" w:cstheme="majorBidi"/>
        </w:rPr>
        <w:t>L</w:t>
      </w:r>
      <w:r w:rsidRPr="00F204D4">
        <w:rPr>
          <w:rFonts w:asciiTheme="majorBidi" w:hAnsiTheme="majorBidi" w:cstheme="majorBidi"/>
        </w:rPr>
        <w:t xml:space="preserve">abeling instructions </w:t>
      </w:r>
      <w:r w:rsidR="1B37F8E2" w:rsidRPr="00F204D4">
        <w:rPr>
          <w:rFonts w:asciiTheme="majorBidi" w:hAnsiTheme="majorBidi" w:cstheme="majorBidi"/>
        </w:rPr>
        <w:t xml:space="preserve">must be </w:t>
      </w:r>
      <w:r w:rsidRPr="00F204D4">
        <w:rPr>
          <w:rFonts w:asciiTheme="majorBidi" w:hAnsiTheme="majorBidi" w:cstheme="majorBidi"/>
        </w:rPr>
        <w:t xml:space="preserve">carefully and precisely </w:t>
      </w:r>
      <w:r w:rsidR="1B37F8E2" w:rsidRPr="00F204D4">
        <w:rPr>
          <w:rFonts w:asciiTheme="majorBidi" w:hAnsiTheme="majorBidi" w:cstheme="majorBidi"/>
        </w:rPr>
        <w:t>followed in or</w:t>
      </w:r>
      <w:r w:rsidR="3EC1DDA8" w:rsidRPr="00F204D4">
        <w:rPr>
          <w:rFonts w:asciiTheme="majorBidi" w:hAnsiTheme="majorBidi" w:cstheme="majorBidi"/>
        </w:rPr>
        <w:t>der to</w:t>
      </w:r>
      <w:r w:rsidRPr="00F204D4">
        <w:rPr>
          <w:rFonts w:asciiTheme="majorBidi" w:hAnsiTheme="majorBidi" w:cstheme="majorBidi"/>
        </w:rPr>
        <w:t xml:space="preserve"> ensure safe use.</w:t>
      </w:r>
    </w:p>
    <w:p w14:paraId="118D83C8" w14:textId="77777777" w:rsidR="00C47DDD" w:rsidRPr="00F204D4" w:rsidRDefault="00C47DDD" w:rsidP="008B7CCF">
      <w:pPr>
        <w:ind w:firstLine="720"/>
        <w:rPr>
          <w:rFonts w:asciiTheme="majorBidi" w:hAnsiTheme="majorBidi" w:cstheme="majorBidi"/>
        </w:rPr>
      </w:pPr>
    </w:p>
    <w:p w14:paraId="7D055530" w14:textId="027E805B" w:rsidR="00C47DDD" w:rsidRDefault="004E1187" w:rsidP="008B7CCF">
      <w:pPr>
        <w:ind w:firstLine="720"/>
        <w:rPr>
          <w:rFonts w:asciiTheme="majorBidi" w:hAnsiTheme="majorBidi" w:cstheme="majorBidi"/>
        </w:rPr>
      </w:pPr>
      <w:r w:rsidRPr="00F204D4">
        <w:rPr>
          <w:rFonts w:asciiTheme="majorBidi" w:hAnsiTheme="majorBidi" w:cstheme="majorBidi"/>
        </w:rPr>
        <w:t xml:space="preserve">An individual or entity wanting to obtain a registration for a pesticide product must submit an application package consisting of information relating to the identity and composition of the product, proposed labeling, and supporting data (or compensation for others’ data) for the product, as outlined in 40 CFR part 158. </w:t>
      </w:r>
      <w:r w:rsidR="00C47DDD" w:rsidRPr="00F204D4">
        <w:rPr>
          <w:rFonts w:asciiTheme="majorBidi" w:hAnsiTheme="majorBidi" w:cstheme="majorBidi"/>
        </w:rPr>
        <w:t xml:space="preserve">The EPA bases registration decisions for pesticides on its evaluation of a battery of test data provided primarily by applicants for registration. Required studies include testing to show whether a pesticide has the potential to cause unreasonable adverse human health or environmental effects. The Agency currently collects data on physical </w:t>
      </w:r>
      <w:proofErr w:type="gramStart"/>
      <w:r w:rsidR="00C47DDD" w:rsidRPr="00F204D4">
        <w:rPr>
          <w:rFonts w:asciiTheme="majorBidi" w:hAnsiTheme="majorBidi" w:cstheme="majorBidi"/>
        </w:rPr>
        <w:t>chemistry</w:t>
      </w:r>
      <w:proofErr w:type="gramEnd"/>
      <w:r w:rsidR="00C47DDD" w:rsidRPr="00F204D4">
        <w:rPr>
          <w:rFonts w:asciiTheme="majorBidi" w:hAnsiTheme="majorBidi" w:cstheme="majorBidi"/>
        </w:rPr>
        <w:t xml:space="preserve">, toxicology, environmental fate, ecological effects, worker exposure, residue </w:t>
      </w:r>
      <w:r w:rsidR="00C47DDD" w:rsidRPr="00F204D4">
        <w:rPr>
          <w:rFonts w:asciiTheme="majorBidi" w:hAnsiTheme="majorBidi" w:cstheme="majorBidi"/>
        </w:rPr>
        <w:lastRenderedPageBreak/>
        <w:t>chemistry, environmental chemistry, and product performance.</w:t>
      </w:r>
      <w:r w:rsidR="007841AD" w:rsidRPr="00F204D4">
        <w:rPr>
          <w:rFonts w:asciiTheme="majorBidi" w:hAnsiTheme="majorBidi" w:cstheme="majorBidi"/>
        </w:rPr>
        <w:t xml:space="preserve"> </w:t>
      </w:r>
      <w:r w:rsidR="00C47DDD" w:rsidRPr="00F204D4">
        <w:rPr>
          <w:rFonts w:asciiTheme="majorBidi" w:hAnsiTheme="majorBidi" w:cstheme="majorBidi"/>
        </w:rPr>
        <w:t>All or part of this information may be required depending on use and type of product.</w:t>
      </w:r>
      <w:r w:rsidR="007841AD" w:rsidRPr="00F204D4">
        <w:rPr>
          <w:rFonts w:asciiTheme="majorBidi" w:hAnsiTheme="majorBidi" w:cstheme="majorBidi"/>
        </w:rPr>
        <w:t xml:space="preserve"> </w:t>
      </w:r>
      <w:r w:rsidR="00C47DDD" w:rsidRPr="00F204D4">
        <w:rPr>
          <w:rFonts w:asciiTheme="majorBidi" w:hAnsiTheme="majorBidi" w:cstheme="majorBidi"/>
        </w:rPr>
        <w:t xml:space="preserve">If EPA’s evaluation of the data shows that the statutory requirements of FIFRA are met, a registration is approved. </w:t>
      </w:r>
    </w:p>
    <w:p w14:paraId="2C87BDC7" w14:textId="77777777" w:rsidR="005A59D5" w:rsidRDefault="005A59D5" w:rsidP="008B7CCF">
      <w:pPr>
        <w:ind w:firstLine="720"/>
        <w:rPr>
          <w:rFonts w:asciiTheme="majorBidi" w:hAnsiTheme="majorBidi" w:cstheme="majorBidi"/>
        </w:rPr>
      </w:pPr>
    </w:p>
    <w:p w14:paraId="6E883E47" w14:textId="49187788" w:rsidR="005A59D5" w:rsidRDefault="005A59D5" w:rsidP="0084521B">
      <w:pPr>
        <w:ind w:firstLine="720"/>
      </w:pPr>
      <w:r w:rsidRPr="006D11D1">
        <w:t>Under FFDCA, EPA sets tolerances, or maximum residue limits, for pesticide residues on foods. In the absence of a tolerance for a pesticide residue, a food containing such a residue is subject to seizure by the government. In setting tolerances, EPA must make a finding that the tolerance is "safe." Safe is defined as meaning that there is a "reasonable certainty that no harm will result from aggregate exposure to the pesticide residue." To make the safety finding, EPA considers, among other things: the toxicity of the pesticide and its break-down products, aggregate exposure to the pesticide in foods and from other sources of exposure, and any special risks posed to infants and children. Some pesticides are exempted from the requirement to have a tolerance. EPA may grant exemptions in cases where the pesticide residues do not pose a dietary risk under reasonably foreseeable circumstances.</w:t>
      </w:r>
      <w:r w:rsidR="00D12983">
        <w:t xml:space="preserve"> </w:t>
      </w:r>
      <w:r w:rsidR="0084521B">
        <w:t>I</w:t>
      </w:r>
      <w:r w:rsidR="00D12983">
        <w:t xml:space="preserve">nformation collection activities associated with the tolerance petition process, </w:t>
      </w:r>
      <w:r w:rsidR="0084521B">
        <w:t xml:space="preserve">including generation of residue chemistry data required in 40 CFR part 158 with registration applications for a new food use </w:t>
      </w:r>
      <w:r w:rsidR="00EB5198">
        <w:t xml:space="preserve">of a registered </w:t>
      </w:r>
      <w:r w:rsidR="0084521B">
        <w:t xml:space="preserve">pesticide active ingredient, </w:t>
      </w:r>
      <w:r w:rsidR="00D12983">
        <w:t>are covered separately under OMB Control No. 2070-0024 (EPA ICR No. 0597).</w:t>
      </w:r>
    </w:p>
    <w:p w14:paraId="2B46AA9C" w14:textId="77777777" w:rsidR="0020630C" w:rsidRDefault="0020630C" w:rsidP="008B7CCF">
      <w:pPr>
        <w:ind w:firstLine="720"/>
      </w:pPr>
    </w:p>
    <w:p w14:paraId="510BDDA4" w14:textId="6AF0BA85" w:rsidR="0020630C" w:rsidRPr="00D12983" w:rsidRDefault="0020630C" w:rsidP="00D12983">
      <w:pPr>
        <w:ind w:firstLine="720"/>
        <w:rPr>
          <w:rFonts w:asciiTheme="majorBidi" w:hAnsiTheme="majorBidi" w:cstheme="majorBidi"/>
          <w:color w:val="151515"/>
          <w:shd w:val="clear" w:color="auto" w:fill="FFFFFF"/>
        </w:rPr>
      </w:pPr>
      <w:r w:rsidRPr="00F204D4">
        <w:rPr>
          <w:rFonts w:asciiTheme="majorBidi" w:hAnsiTheme="majorBidi" w:cstheme="majorBidi"/>
          <w:lang w:val="en"/>
        </w:rPr>
        <w:t xml:space="preserve">Pursuant to </w:t>
      </w:r>
      <w:hyperlink r:id="rId15" w:history="1">
        <w:r w:rsidRPr="00F204D4">
          <w:rPr>
            <w:rStyle w:val="Hyperlink"/>
            <w:rFonts w:asciiTheme="majorBidi" w:hAnsiTheme="majorBidi" w:cstheme="majorBidi"/>
            <w:shd w:val="clear" w:color="auto" w:fill="FFFFFF"/>
          </w:rPr>
          <w:t>FIFRA Section 33--Pesticide Registration Service Fees</w:t>
        </w:r>
      </w:hyperlink>
      <w:r w:rsidRPr="00F204D4">
        <w:rPr>
          <w:rFonts w:asciiTheme="majorBidi" w:hAnsiTheme="majorBidi" w:cstheme="majorBidi"/>
        </w:rPr>
        <w:t xml:space="preserve">, </w:t>
      </w:r>
      <w:r w:rsidRPr="00F204D4">
        <w:rPr>
          <w:rFonts w:asciiTheme="majorBidi" w:hAnsiTheme="majorBidi" w:cstheme="majorBidi"/>
          <w:lang w:val="en"/>
        </w:rPr>
        <w:t>the Consolidated Appropriations Act of 2004 established the Pesticide Registration Improvement Act, or PRIA (s</w:t>
      </w:r>
      <w:proofErr w:type="spellStart"/>
      <w:r w:rsidRPr="00F204D4">
        <w:rPr>
          <w:rFonts w:asciiTheme="majorBidi" w:hAnsiTheme="majorBidi" w:cstheme="majorBidi"/>
          <w:color w:val="151515"/>
          <w:shd w:val="clear" w:color="auto" w:fill="FFFFFF"/>
        </w:rPr>
        <w:t>ee</w:t>
      </w:r>
      <w:proofErr w:type="spellEnd"/>
      <w:r w:rsidRPr="00F204D4">
        <w:rPr>
          <w:rFonts w:asciiTheme="majorBidi" w:hAnsiTheme="majorBidi" w:cstheme="majorBidi"/>
          <w:color w:val="151515"/>
          <w:shd w:val="clear" w:color="auto" w:fill="FFFFFF"/>
        </w:rPr>
        <w:t> </w:t>
      </w:r>
      <w:r w:rsidRPr="00F204D4">
        <w:rPr>
          <w:rFonts w:asciiTheme="majorBidi" w:hAnsiTheme="majorBidi" w:cstheme="majorBidi"/>
          <w:b/>
          <w:color w:val="151515"/>
          <w:shd w:val="clear" w:color="auto" w:fill="FFFFFF"/>
        </w:rPr>
        <w:t>Attachment B</w:t>
      </w:r>
      <w:r w:rsidRPr="00F204D4">
        <w:rPr>
          <w:rFonts w:asciiTheme="majorBidi" w:hAnsiTheme="majorBidi" w:cstheme="majorBidi"/>
          <w:color w:val="151515"/>
          <w:shd w:val="clear" w:color="auto" w:fill="FFFFFF"/>
        </w:rPr>
        <w:t>)</w:t>
      </w:r>
      <w:r w:rsidRPr="00F204D4">
        <w:rPr>
          <w:rFonts w:asciiTheme="majorBidi" w:hAnsiTheme="majorBidi" w:cstheme="majorBidi"/>
          <w:lang w:val="en"/>
        </w:rPr>
        <w:t xml:space="preserve">. This statute created a registration service fee system for applications specific to </w:t>
      </w:r>
      <w:r w:rsidRPr="00F204D4">
        <w:rPr>
          <w:rFonts w:asciiTheme="majorBidi" w:hAnsiTheme="majorBidi" w:cstheme="majorBidi"/>
          <w:color w:val="151515"/>
          <w:shd w:val="clear" w:color="auto" w:fill="FFFFFF"/>
        </w:rPr>
        <w:t>pesticide</w:t>
      </w:r>
      <w:r w:rsidRPr="00F204D4">
        <w:rPr>
          <w:rStyle w:val="apple-converted-space"/>
          <w:rFonts w:asciiTheme="majorBidi" w:hAnsiTheme="majorBidi" w:cstheme="majorBidi"/>
          <w:color w:val="151515"/>
          <w:shd w:val="clear" w:color="auto" w:fill="FFFFFF"/>
        </w:rPr>
        <w:t> registrations, amended registrations, and associated tolerance actions.</w:t>
      </w:r>
      <w:r w:rsidRPr="00F204D4">
        <w:rPr>
          <w:rFonts w:asciiTheme="majorBidi" w:hAnsiTheme="majorBidi" w:cstheme="majorBidi"/>
          <w:lang w:val="en"/>
        </w:rPr>
        <w:t xml:space="preserve"> Since its approval, PRIA has been reauthorized twice (2007, and 2013). Under PRIA, the EPA is required to make a determination on pesticide registration applications within specified decision time frames</w:t>
      </w:r>
      <w:r w:rsidRPr="00F204D4">
        <w:rPr>
          <w:rFonts w:asciiTheme="majorBidi" w:hAnsiTheme="majorBidi" w:cstheme="majorBidi"/>
          <w:shd w:val="clear" w:color="auto" w:fill="FFFFFF"/>
        </w:rPr>
        <w:t>.</w:t>
      </w:r>
      <w:r w:rsidR="00926632">
        <w:rPr>
          <w:rFonts w:asciiTheme="majorBidi" w:hAnsiTheme="majorBidi" w:cstheme="majorBidi"/>
          <w:shd w:val="clear" w:color="auto" w:fill="FFFFFF"/>
        </w:rPr>
        <w:t xml:space="preserve"> The paperwork burden associated with PRIA fees is covered under a separate ICR, OMB Control No. </w:t>
      </w:r>
      <w:r w:rsidR="00926632" w:rsidRPr="003B2DF6">
        <w:rPr>
          <w:bCs/>
        </w:rPr>
        <w:t>2070-0179 (EPA ICR No.</w:t>
      </w:r>
      <w:r w:rsidR="003B2DF6" w:rsidRPr="003B2DF6">
        <w:rPr>
          <w:bCs/>
        </w:rPr>
        <w:t xml:space="preserve"> 2330).</w:t>
      </w:r>
      <w:r w:rsidR="00926632">
        <w:rPr>
          <w:b/>
        </w:rPr>
        <w:t xml:space="preserve"> </w:t>
      </w:r>
    </w:p>
    <w:p w14:paraId="50A201DB" w14:textId="77777777" w:rsidR="00C47DDD" w:rsidRPr="00F204D4" w:rsidRDefault="00C47DDD" w:rsidP="008B7CCF">
      <w:pPr>
        <w:ind w:firstLine="720"/>
        <w:rPr>
          <w:rFonts w:asciiTheme="majorBidi" w:hAnsiTheme="majorBidi" w:cstheme="majorBidi"/>
        </w:rPr>
      </w:pPr>
    </w:p>
    <w:p w14:paraId="722E0C4B" w14:textId="46E6D53C" w:rsidR="00C47DDD" w:rsidRPr="00F204D4" w:rsidRDefault="5A59979E" w:rsidP="008B7CCF">
      <w:pPr>
        <w:ind w:firstLine="720"/>
        <w:rPr>
          <w:rFonts w:asciiTheme="majorBidi" w:hAnsiTheme="majorBidi" w:cstheme="majorBidi"/>
        </w:rPr>
      </w:pPr>
      <w:r w:rsidRPr="00F204D4">
        <w:rPr>
          <w:rFonts w:asciiTheme="majorBidi" w:hAnsiTheme="majorBidi" w:cstheme="majorBidi"/>
        </w:rPr>
        <w:t>R</w:t>
      </w:r>
      <w:r w:rsidR="3DF2EC12" w:rsidRPr="00F204D4">
        <w:rPr>
          <w:rFonts w:asciiTheme="majorBidi" w:hAnsiTheme="majorBidi" w:cstheme="majorBidi"/>
        </w:rPr>
        <w:t xml:space="preserve">egistrants may </w:t>
      </w:r>
      <w:r w:rsidR="1A6B7761" w:rsidRPr="00F204D4">
        <w:rPr>
          <w:rFonts w:asciiTheme="majorBidi" w:hAnsiTheme="majorBidi" w:cstheme="majorBidi"/>
        </w:rPr>
        <w:t>seek, at their discretion, to amend a registration by submitting data and revis</w:t>
      </w:r>
      <w:r w:rsidR="62B520A4" w:rsidRPr="00F204D4">
        <w:rPr>
          <w:rFonts w:asciiTheme="majorBidi" w:hAnsiTheme="majorBidi" w:cstheme="majorBidi"/>
        </w:rPr>
        <w:t>ed</w:t>
      </w:r>
      <w:r w:rsidR="0099007A" w:rsidRPr="00F204D4">
        <w:rPr>
          <w:rFonts w:asciiTheme="majorBidi" w:hAnsiTheme="majorBidi" w:cstheme="majorBidi"/>
        </w:rPr>
        <w:t>,</w:t>
      </w:r>
      <w:r w:rsidR="62B520A4" w:rsidRPr="00F204D4">
        <w:rPr>
          <w:rFonts w:asciiTheme="majorBidi" w:hAnsiTheme="majorBidi" w:cstheme="majorBidi"/>
        </w:rPr>
        <w:t xml:space="preserve"> proposed labeling to EPA.</w:t>
      </w:r>
      <w:r w:rsidR="007841AD" w:rsidRPr="00F204D4">
        <w:rPr>
          <w:rFonts w:asciiTheme="majorBidi" w:hAnsiTheme="majorBidi" w:cstheme="majorBidi"/>
        </w:rPr>
        <w:t xml:space="preserve"> </w:t>
      </w:r>
      <w:r w:rsidR="62B520A4" w:rsidRPr="00F204D4">
        <w:rPr>
          <w:rFonts w:asciiTheme="majorBidi" w:hAnsiTheme="majorBidi" w:cstheme="majorBidi"/>
        </w:rPr>
        <w:t>Also, r</w:t>
      </w:r>
      <w:r w:rsidR="00C47DDD" w:rsidRPr="00F204D4">
        <w:rPr>
          <w:rFonts w:asciiTheme="majorBidi" w:hAnsiTheme="majorBidi" w:cstheme="majorBidi"/>
        </w:rPr>
        <w:t xml:space="preserve">egistrants of EPA-registered pesticide products at times become subject to regulations or guidance </w:t>
      </w:r>
      <w:r w:rsidR="00C51A10" w:rsidRPr="00F204D4">
        <w:rPr>
          <w:rFonts w:asciiTheme="majorBidi" w:hAnsiTheme="majorBidi" w:cstheme="majorBidi"/>
        </w:rPr>
        <w:t>which necessitate</w:t>
      </w:r>
      <w:r w:rsidR="55396A9B" w:rsidRPr="00F204D4">
        <w:rPr>
          <w:rFonts w:asciiTheme="majorBidi" w:hAnsiTheme="majorBidi" w:cstheme="majorBidi"/>
        </w:rPr>
        <w:t xml:space="preserve"> </w:t>
      </w:r>
      <w:r w:rsidR="00C47DDD" w:rsidRPr="00F204D4">
        <w:rPr>
          <w:rFonts w:asciiTheme="majorBidi" w:hAnsiTheme="majorBidi" w:cstheme="majorBidi"/>
        </w:rPr>
        <w:t xml:space="preserve">labeling revisions. The revised labeling is submitted to the Agency </w:t>
      </w:r>
      <w:r w:rsidR="0050291B" w:rsidRPr="00F204D4">
        <w:rPr>
          <w:rFonts w:asciiTheme="majorBidi" w:hAnsiTheme="majorBidi" w:cstheme="majorBidi"/>
        </w:rPr>
        <w:t>as an amendment</w:t>
      </w:r>
      <w:r w:rsidR="00C47DDD" w:rsidRPr="00F204D4">
        <w:rPr>
          <w:rFonts w:asciiTheme="majorBidi" w:hAnsiTheme="majorBidi" w:cstheme="majorBidi"/>
        </w:rPr>
        <w:t xml:space="preserve"> along with the completed application (EPA Form 8570-1 and other forms as needed</w:t>
      </w:r>
      <w:r w:rsidR="00753F7E" w:rsidRPr="00F204D4">
        <w:rPr>
          <w:rFonts w:asciiTheme="majorBidi" w:hAnsiTheme="majorBidi" w:cstheme="majorBidi"/>
        </w:rPr>
        <w:t xml:space="preserve">; </w:t>
      </w:r>
      <w:r w:rsidR="00C47DDD" w:rsidRPr="00F204D4">
        <w:rPr>
          <w:rFonts w:asciiTheme="majorBidi" w:hAnsiTheme="majorBidi" w:cstheme="majorBidi"/>
        </w:rPr>
        <w:t>see</w:t>
      </w:r>
      <w:r w:rsidR="00753F7E" w:rsidRPr="00F204D4">
        <w:rPr>
          <w:rFonts w:asciiTheme="majorBidi" w:hAnsiTheme="majorBidi" w:cstheme="majorBidi"/>
        </w:rPr>
        <w:t xml:space="preserve"> </w:t>
      </w:r>
      <w:r w:rsidR="00C47DDD" w:rsidRPr="00F204D4">
        <w:rPr>
          <w:rFonts w:asciiTheme="majorBidi" w:hAnsiTheme="majorBidi" w:cstheme="majorBidi"/>
          <w:b/>
        </w:rPr>
        <w:t xml:space="preserve">Attachment </w:t>
      </w:r>
      <w:r w:rsidR="00F26DCD" w:rsidRPr="00F204D4">
        <w:rPr>
          <w:rFonts w:asciiTheme="majorBidi" w:hAnsiTheme="majorBidi" w:cstheme="majorBidi"/>
          <w:b/>
        </w:rPr>
        <w:t>C</w:t>
      </w:r>
      <w:r w:rsidR="00C47DDD" w:rsidRPr="00F204D4">
        <w:rPr>
          <w:rFonts w:asciiTheme="majorBidi" w:hAnsiTheme="majorBidi" w:cstheme="majorBidi"/>
        </w:rPr>
        <w:t>).</w:t>
      </w:r>
      <w:r w:rsidR="007841AD" w:rsidRPr="00F204D4">
        <w:rPr>
          <w:rFonts w:asciiTheme="majorBidi" w:hAnsiTheme="majorBidi" w:cstheme="majorBidi"/>
        </w:rPr>
        <w:t xml:space="preserve"> </w:t>
      </w:r>
    </w:p>
    <w:p w14:paraId="6B9A7C00" w14:textId="77777777" w:rsidR="00C47DDD" w:rsidRPr="00F204D4" w:rsidRDefault="00C47DDD" w:rsidP="008B7CCF">
      <w:pPr>
        <w:rPr>
          <w:rFonts w:asciiTheme="majorBidi" w:hAnsiTheme="majorBidi" w:cstheme="majorBidi"/>
        </w:rPr>
      </w:pPr>
    </w:p>
    <w:p w14:paraId="2093F56D" w14:textId="4AAE7772" w:rsidR="00C47DDD" w:rsidRPr="00F204D4" w:rsidRDefault="134A0AF4" w:rsidP="008B7CCF">
      <w:pPr>
        <w:ind w:firstLine="720"/>
        <w:rPr>
          <w:rFonts w:asciiTheme="majorBidi" w:hAnsiTheme="majorBidi" w:cstheme="majorBidi"/>
        </w:rPr>
      </w:pPr>
      <w:r w:rsidRPr="00F204D4">
        <w:rPr>
          <w:rFonts w:asciiTheme="majorBidi" w:hAnsiTheme="majorBidi" w:cstheme="majorBidi"/>
        </w:rPr>
        <w:t>In</w:t>
      </w:r>
      <w:r w:rsidR="00C47DDD" w:rsidRPr="00F204D4">
        <w:rPr>
          <w:rFonts w:asciiTheme="majorBidi" w:hAnsiTheme="majorBidi" w:cstheme="majorBidi"/>
        </w:rPr>
        <w:t xml:space="preserve"> </w:t>
      </w:r>
      <w:r w:rsidRPr="00F204D4">
        <w:rPr>
          <w:rFonts w:asciiTheme="majorBidi" w:hAnsiTheme="majorBidi" w:cstheme="majorBidi"/>
        </w:rPr>
        <w:t xml:space="preserve">the context of its conventional pesticide </w:t>
      </w:r>
      <w:r w:rsidR="498E8E20" w:rsidRPr="00F204D4">
        <w:rPr>
          <w:rFonts w:asciiTheme="majorBidi" w:hAnsiTheme="majorBidi" w:cstheme="majorBidi"/>
        </w:rPr>
        <w:t xml:space="preserve">registration </w:t>
      </w:r>
      <w:r w:rsidR="12B5D809" w:rsidRPr="00F204D4">
        <w:rPr>
          <w:rFonts w:asciiTheme="majorBidi" w:hAnsiTheme="majorBidi" w:cstheme="majorBidi"/>
        </w:rPr>
        <w:t>a</w:t>
      </w:r>
      <w:r w:rsidR="31767C52" w:rsidRPr="00F204D4">
        <w:rPr>
          <w:rFonts w:asciiTheme="majorBidi" w:hAnsiTheme="majorBidi" w:cstheme="majorBidi"/>
        </w:rPr>
        <w:t xml:space="preserve">ctivities, </w:t>
      </w:r>
      <w:r w:rsidR="498E8E20" w:rsidRPr="00F204D4">
        <w:rPr>
          <w:rFonts w:asciiTheme="majorBidi" w:hAnsiTheme="majorBidi" w:cstheme="majorBidi"/>
        </w:rPr>
        <w:t>EPA operates a</w:t>
      </w:r>
      <w:r w:rsidRPr="00F204D4">
        <w:rPr>
          <w:rFonts w:asciiTheme="majorBidi" w:hAnsiTheme="majorBidi" w:cstheme="majorBidi"/>
        </w:rPr>
        <w:t xml:space="preserve"> </w:t>
      </w:r>
      <w:r w:rsidR="12B5D809" w:rsidRPr="00F204D4">
        <w:rPr>
          <w:rFonts w:asciiTheme="majorBidi" w:hAnsiTheme="majorBidi" w:cstheme="majorBidi"/>
        </w:rPr>
        <w:t xml:space="preserve">reduced risk program </w:t>
      </w:r>
      <w:r w:rsidR="31767C52" w:rsidRPr="00F204D4">
        <w:rPr>
          <w:rFonts w:asciiTheme="majorBidi" w:hAnsiTheme="majorBidi" w:cstheme="majorBidi"/>
        </w:rPr>
        <w:t xml:space="preserve">that offers an incentive </w:t>
      </w:r>
      <w:r w:rsidR="6964E08B" w:rsidRPr="00F204D4">
        <w:rPr>
          <w:rFonts w:asciiTheme="majorBidi" w:hAnsiTheme="majorBidi" w:cstheme="majorBidi"/>
        </w:rPr>
        <w:t xml:space="preserve">through a shortened regulatory review schedule for </w:t>
      </w:r>
      <w:r w:rsidR="31767C52" w:rsidRPr="00F204D4">
        <w:rPr>
          <w:rFonts w:asciiTheme="majorBidi" w:hAnsiTheme="majorBidi" w:cstheme="majorBidi"/>
        </w:rPr>
        <w:t>p</w:t>
      </w:r>
      <w:r w:rsidR="23919254" w:rsidRPr="00F204D4">
        <w:rPr>
          <w:rFonts w:asciiTheme="majorBidi" w:hAnsiTheme="majorBidi" w:cstheme="majorBidi"/>
        </w:rPr>
        <w:t xml:space="preserve">roposed uses that might be </w:t>
      </w:r>
      <w:r w:rsidR="5D13F8C5" w:rsidRPr="00F204D4">
        <w:rPr>
          <w:rFonts w:asciiTheme="majorBidi" w:hAnsiTheme="majorBidi" w:cstheme="majorBidi"/>
        </w:rPr>
        <w:t xml:space="preserve">beneficial to the public and the environment owing </w:t>
      </w:r>
      <w:r w:rsidR="3C934C4E" w:rsidRPr="00F204D4">
        <w:rPr>
          <w:rFonts w:asciiTheme="majorBidi" w:hAnsiTheme="majorBidi" w:cstheme="majorBidi"/>
        </w:rPr>
        <w:t>to their risk profile, compared to alternatives</w:t>
      </w:r>
      <w:r w:rsidR="3636E3D0" w:rsidRPr="00F204D4">
        <w:rPr>
          <w:rFonts w:asciiTheme="majorBidi" w:hAnsiTheme="majorBidi" w:cstheme="majorBidi"/>
        </w:rPr>
        <w:t xml:space="preserve"> for pest control</w:t>
      </w:r>
      <w:r w:rsidR="3C934C4E" w:rsidRPr="00F204D4">
        <w:rPr>
          <w:rFonts w:asciiTheme="majorBidi" w:hAnsiTheme="majorBidi" w:cstheme="majorBidi"/>
        </w:rPr>
        <w:t>.</w:t>
      </w:r>
      <w:r w:rsidR="007841AD" w:rsidRPr="00F204D4">
        <w:rPr>
          <w:rFonts w:asciiTheme="majorBidi" w:hAnsiTheme="majorBidi" w:cstheme="majorBidi"/>
        </w:rPr>
        <w:t xml:space="preserve"> </w:t>
      </w:r>
      <w:r w:rsidR="3C934C4E" w:rsidRPr="00F204D4">
        <w:rPr>
          <w:rFonts w:asciiTheme="majorBidi" w:hAnsiTheme="majorBidi" w:cstheme="majorBidi"/>
        </w:rPr>
        <w:t xml:space="preserve">The reduced risk program </w:t>
      </w:r>
      <w:r w:rsidR="685E050B" w:rsidRPr="00F204D4">
        <w:rPr>
          <w:rFonts w:asciiTheme="majorBidi" w:hAnsiTheme="majorBidi" w:cstheme="majorBidi"/>
        </w:rPr>
        <w:t xml:space="preserve">is </w:t>
      </w:r>
      <w:r w:rsidR="3636E3D0" w:rsidRPr="00F204D4">
        <w:rPr>
          <w:rFonts w:asciiTheme="majorBidi" w:hAnsiTheme="majorBidi" w:cstheme="majorBidi"/>
        </w:rPr>
        <w:t>described in a p</w:t>
      </w:r>
      <w:r w:rsidR="0D716033" w:rsidRPr="00F204D4">
        <w:rPr>
          <w:rFonts w:asciiTheme="majorBidi" w:hAnsiTheme="majorBidi" w:cstheme="majorBidi"/>
        </w:rPr>
        <w:t>olicy notice</w:t>
      </w:r>
      <w:r w:rsidR="00C51A10" w:rsidRPr="00F204D4">
        <w:rPr>
          <w:rFonts w:asciiTheme="majorBidi" w:hAnsiTheme="majorBidi" w:cstheme="majorBidi"/>
        </w:rPr>
        <w:t xml:space="preserve"> known as</w:t>
      </w:r>
      <w:r w:rsidR="0D716033" w:rsidRPr="00F204D4">
        <w:rPr>
          <w:rFonts w:asciiTheme="majorBidi" w:hAnsiTheme="majorBidi" w:cstheme="majorBidi"/>
          <w:strike/>
          <w:color w:val="FF0000"/>
        </w:rPr>
        <w:t>,</w:t>
      </w:r>
      <w:r w:rsidR="00C47DDD" w:rsidRPr="00F204D4">
        <w:rPr>
          <w:rFonts w:asciiTheme="majorBidi" w:hAnsiTheme="majorBidi" w:cstheme="majorBidi"/>
        </w:rPr>
        <w:t xml:space="preserve"> the </w:t>
      </w:r>
      <w:r w:rsidR="00C47DDD" w:rsidRPr="005A59D5">
        <w:rPr>
          <w:rFonts w:asciiTheme="majorBidi" w:hAnsiTheme="majorBidi" w:cstheme="majorBidi"/>
          <w:b/>
        </w:rPr>
        <w:t>Reduced-Risk Initiative</w:t>
      </w:r>
      <w:r w:rsidR="00C47DDD" w:rsidRPr="00F204D4">
        <w:rPr>
          <w:rFonts w:asciiTheme="majorBidi" w:hAnsiTheme="majorBidi" w:cstheme="majorBidi"/>
        </w:rPr>
        <w:t xml:space="preserve"> (</w:t>
      </w:r>
      <w:hyperlink r:id="rId16" w:history="1">
        <w:r w:rsidR="00C47DDD" w:rsidRPr="00F204D4">
          <w:rPr>
            <w:rStyle w:val="Hyperlink"/>
            <w:rFonts w:asciiTheme="majorBidi" w:hAnsiTheme="majorBidi" w:cstheme="majorBidi"/>
          </w:rPr>
          <w:t>PR Notice 97-3, “Guidelines for Expedited Review of Conventional Pesticides under Reduced-Risk Initiative and for Biological Pesticides</w:t>
        </w:r>
      </w:hyperlink>
      <w:r w:rsidR="00C47DDD" w:rsidRPr="00F204D4">
        <w:rPr>
          <w:rFonts w:asciiTheme="majorBidi" w:hAnsiTheme="majorBidi" w:cstheme="majorBidi"/>
        </w:rPr>
        <w:t xml:space="preserve">;” see </w:t>
      </w:r>
      <w:r w:rsidR="00C47DDD" w:rsidRPr="00F204D4">
        <w:rPr>
          <w:rFonts w:asciiTheme="majorBidi" w:hAnsiTheme="majorBidi" w:cstheme="majorBidi"/>
          <w:b/>
        </w:rPr>
        <w:t xml:space="preserve">Attachment </w:t>
      </w:r>
      <w:r w:rsidR="00F26DCD" w:rsidRPr="00F204D4">
        <w:rPr>
          <w:rFonts w:asciiTheme="majorBidi" w:hAnsiTheme="majorBidi" w:cstheme="majorBidi"/>
          <w:b/>
        </w:rPr>
        <w:t>D</w:t>
      </w:r>
      <w:r w:rsidR="00C47DDD" w:rsidRPr="00F204D4">
        <w:rPr>
          <w:rFonts w:asciiTheme="majorBidi" w:hAnsiTheme="majorBidi" w:cstheme="majorBidi"/>
        </w:rPr>
        <w:t xml:space="preserve">). The guidance in this </w:t>
      </w:r>
      <w:r w:rsidR="005A59D5">
        <w:rPr>
          <w:rFonts w:asciiTheme="majorBidi" w:hAnsiTheme="majorBidi" w:cstheme="majorBidi"/>
        </w:rPr>
        <w:t>PR N</w:t>
      </w:r>
      <w:r w:rsidR="00C47DDD" w:rsidRPr="00F204D4">
        <w:rPr>
          <w:rFonts w:asciiTheme="majorBidi" w:hAnsiTheme="majorBidi" w:cstheme="majorBidi"/>
        </w:rPr>
        <w:t xml:space="preserve">otice is intended to give </w:t>
      </w:r>
      <w:r w:rsidR="008D79E5" w:rsidRPr="00F204D4">
        <w:rPr>
          <w:rFonts w:asciiTheme="majorBidi" w:hAnsiTheme="majorBidi" w:cstheme="majorBidi"/>
        </w:rPr>
        <w:t>expedited review timeframes</w:t>
      </w:r>
      <w:r w:rsidR="00C47DDD" w:rsidRPr="00F204D4">
        <w:rPr>
          <w:rFonts w:asciiTheme="majorBidi" w:hAnsiTheme="majorBidi" w:cstheme="majorBidi"/>
        </w:rPr>
        <w:t xml:space="preserve"> to </w:t>
      </w:r>
      <w:r w:rsidR="68A4D590" w:rsidRPr="00F204D4">
        <w:rPr>
          <w:rFonts w:asciiTheme="majorBidi" w:hAnsiTheme="majorBidi" w:cstheme="majorBidi"/>
        </w:rPr>
        <w:t>ne</w:t>
      </w:r>
      <w:r w:rsidR="23D07DBC" w:rsidRPr="00F204D4">
        <w:rPr>
          <w:rFonts w:asciiTheme="majorBidi" w:hAnsiTheme="majorBidi" w:cstheme="majorBidi"/>
        </w:rPr>
        <w:t>w</w:t>
      </w:r>
      <w:r w:rsidR="00C47DDD" w:rsidRPr="00F204D4">
        <w:rPr>
          <w:rFonts w:asciiTheme="majorBidi" w:hAnsiTheme="majorBidi" w:cstheme="majorBidi"/>
        </w:rPr>
        <w:t xml:space="preserve"> </w:t>
      </w:r>
      <w:r w:rsidR="00C51A10" w:rsidRPr="00F204D4">
        <w:rPr>
          <w:rFonts w:asciiTheme="majorBidi" w:hAnsiTheme="majorBidi" w:cstheme="majorBidi"/>
        </w:rPr>
        <w:t xml:space="preserve">registrations of </w:t>
      </w:r>
      <w:r w:rsidR="00C47DDD" w:rsidRPr="00F204D4">
        <w:rPr>
          <w:rFonts w:asciiTheme="majorBidi" w:hAnsiTheme="majorBidi" w:cstheme="majorBidi"/>
        </w:rPr>
        <w:t>pesticide products that can be expected to accomplish one or more of the following:</w:t>
      </w:r>
    </w:p>
    <w:p w14:paraId="673B1FF3" w14:textId="77777777" w:rsidR="00C47DDD" w:rsidRPr="00F204D4" w:rsidRDefault="00C47DDD" w:rsidP="008B7CCF">
      <w:pPr>
        <w:ind w:firstLine="720"/>
        <w:rPr>
          <w:rFonts w:asciiTheme="majorBidi" w:hAnsiTheme="majorBidi" w:cstheme="majorBidi"/>
        </w:rPr>
      </w:pPr>
    </w:p>
    <w:p w14:paraId="6245A6CF" w14:textId="77777777" w:rsidR="00C47DDD" w:rsidRPr="00F204D4" w:rsidRDefault="00C47DDD" w:rsidP="008B7CCF">
      <w:pPr>
        <w:ind w:firstLine="720"/>
        <w:rPr>
          <w:rFonts w:asciiTheme="majorBidi" w:hAnsiTheme="majorBidi" w:cstheme="majorBidi"/>
        </w:rPr>
      </w:pPr>
      <w:r w:rsidRPr="00F204D4">
        <w:rPr>
          <w:rFonts w:asciiTheme="majorBidi" w:hAnsiTheme="majorBidi" w:cstheme="majorBidi"/>
        </w:rPr>
        <w:t>(1)</w:t>
      </w:r>
      <w:r w:rsidRPr="00F204D4">
        <w:rPr>
          <w:rFonts w:asciiTheme="majorBidi" w:hAnsiTheme="majorBidi" w:cstheme="majorBidi"/>
        </w:rPr>
        <w:tab/>
        <w:t>Reduce the risks of pesticides to human health.</w:t>
      </w:r>
    </w:p>
    <w:p w14:paraId="251D44DE" w14:textId="77777777" w:rsidR="00C47DDD" w:rsidRPr="00F204D4" w:rsidRDefault="00C47DDD" w:rsidP="008B7CCF">
      <w:pPr>
        <w:ind w:firstLine="720"/>
        <w:rPr>
          <w:rFonts w:asciiTheme="majorBidi" w:hAnsiTheme="majorBidi" w:cstheme="majorBidi"/>
        </w:rPr>
      </w:pPr>
    </w:p>
    <w:p w14:paraId="6EE7C12D" w14:textId="6705E57E" w:rsidR="00C47DDD" w:rsidRPr="00F204D4" w:rsidRDefault="00C47DDD" w:rsidP="008B7CCF">
      <w:pPr>
        <w:ind w:firstLine="720"/>
        <w:rPr>
          <w:rFonts w:asciiTheme="majorBidi" w:hAnsiTheme="majorBidi" w:cstheme="majorBidi"/>
        </w:rPr>
      </w:pPr>
      <w:r w:rsidRPr="00F204D4">
        <w:rPr>
          <w:rFonts w:asciiTheme="majorBidi" w:hAnsiTheme="majorBidi" w:cstheme="majorBidi"/>
        </w:rPr>
        <w:t>(2)</w:t>
      </w:r>
      <w:r w:rsidRPr="00F204D4">
        <w:rPr>
          <w:rFonts w:asciiTheme="majorBidi" w:hAnsiTheme="majorBidi" w:cstheme="majorBidi"/>
        </w:rPr>
        <w:tab/>
        <w:t>Reduce the risks of pesticides to non</w:t>
      </w:r>
      <w:r w:rsidR="00F434E2" w:rsidRPr="00F204D4">
        <w:rPr>
          <w:rFonts w:asciiTheme="majorBidi" w:hAnsiTheme="majorBidi" w:cstheme="majorBidi"/>
        </w:rPr>
        <w:t>-</w:t>
      </w:r>
      <w:r w:rsidRPr="00F204D4">
        <w:rPr>
          <w:rFonts w:asciiTheme="majorBidi" w:hAnsiTheme="majorBidi" w:cstheme="majorBidi"/>
        </w:rPr>
        <w:t>target organisms.</w:t>
      </w:r>
    </w:p>
    <w:p w14:paraId="4BEAD4F5" w14:textId="77777777" w:rsidR="00C47DDD" w:rsidRPr="00F204D4" w:rsidRDefault="00C47DDD" w:rsidP="008B7CCF">
      <w:pPr>
        <w:ind w:firstLine="720"/>
        <w:rPr>
          <w:rFonts w:asciiTheme="majorBidi" w:hAnsiTheme="majorBidi" w:cstheme="majorBidi"/>
        </w:rPr>
      </w:pPr>
    </w:p>
    <w:p w14:paraId="0AF88D5B" w14:textId="77777777" w:rsidR="00C47DDD" w:rsidRPr="00F204D4" w:rsidRDefault="00C47DDD" w:rsidP="002E6F41">
      <w:pPr>
        <w:ind w:left="1440" w:hanging="720"/>
        <w:rPr>
          <w:rFonts w:asciiTheme="majorBidi" w:hAnsiTheme="majorBidi" w:cstheme="majorBidi"/>
        </w:rPr>
      </w:pPr>
      <w:r w:rsidRPr="00F204D4">
        <w:rPr>
          <w:rFonts w:asciiTheme="majorBidi" w:hAnsiTheme="majorBidi" w:cstheme="majorBidi"/>
        </w:rPr>
        <w:t>(3)</w:t>
      </w:r>
      <w:r w:rsidRPr="00F204D4">
        <w:rPr>
          <w:rFonts w:asciiTheme="majorBidi" w:hAnsiTheme="majorBidi" w:cstheme="majorBidi"/>
        </w:rPr>
        <w:tab/>
        <w:t>Reduce the potential for contamination of groundwater, surface water, or other valued environmental resources.</w:t>
      </w:r>
    </w:p>
    <w:p w14:paraId="7C538112" w14:textId="77777777" w:rsidR="00C47DDD" w:rsidRPr="00F204D4" w:rsidRDefault="00C47DDD" w:rsidP="008B7CCF">
      <w:pPr>
        <w:ind w:left="1440" w:hanging="720"/>
        <w:rPr>
          <w:rFonts w:asciiTheme="majorBidi" w:hAnsiTheme="majorBidi" w:cstheme="majorBidi"/>
        </w:rPr>
      </w:pPr>
    </w:p>
    <w:p w14:paraId="2A8B8567" w14:textId="77777777" w:rsidR="00C47DDD" w:rsidRPr="00F204D4" w:rsidRDefault="00C47DDD" w:rsidP="002E6F41">
      <w:pPr>
        <w:ind w:left="1440" w:hanging="720"/>
        <w:rPr>
          <w:rFonts w:asciiTheme="majorBidi" w:hAnsiTheme="majorBidi" w:cstheme="majorBidi"/>
        </w:rPr>
      </w:pPr>
      <w:r w:rsidRPr="00F204D4">
        <w:rPr>
          <w:rFonts w:asciiTheme="majorBidi" w:hAnsiTheme="majorBidi" w:cstheme="majorBidi"/>
        </w:rPr>
        <w:t>(4)</w:t>
      </w:r>
      <w:r w:rsidRPr="00F204D4">
        <w:rPr>
          <w:rFonts w:asciiTheme="majorBidi" w:hAnsiTheme="majorBidi" w:cstheme="majorBidi"/>
        </w:rPr>
        <w:tab/>
        <w:t>Broaden the adoption of integrated pest management strategies, or make such strategies more available or more effective.</w:t>
      </w:r>
    </w:p>
    <w:p w14:paraId="45898F9E" w14:textId="77777777" w:rsidR="00C47DDD" w:rsidRPr="00F204D4" w:rsidRDefault="00C47DDD" w:rsidP="008B7CCF">
      <w:pPr>
        <w:rPr>
          <w:rFonts w:asciiTheme="majorBidi" w:hAnsiTheme="majorBidi" w:cstheme="majorBidi"/>
        </w:rPr>
      </w:pPr>
    </w:p>
    <w:p w14:paraId="49577A03" w14:textId="75BBBC88" w:rsidR="00C47DDD" w:rsidRDefault="00C47DDD" w:rsidP="008B7CCF">
      <w:pPr>
        <w:ind w:firstLine="720"/>
        <w:rPr>
          <w:rFonts w:asciiTheme="majorBidi" w:hAnsiTheme="majorBidi" w:cstheme="majorBidi"/>
        </w:rPr>
      </w:pPr>
      <w:r w:rsidRPr="00F204D4">
        <w:rPr>
          <w:rFonts w:asciiTheme="majorBidi" w:hAnsiTheme="majorBidi" w:cstheme="majorBidi"/>
        </w:rPr>
        <w:t xml:space="preserve">Applicants for the registration of such products provide an explanation accompanied by </w:t>
      </w:r>
      <w:r w:rsidR="00F11C94" w:rsidRPr="00F204D4">
        <w:rPr>
          <w:rFonts w:asciiTheme="majorBidi" w:hAnsiTheme="majorBidi" w:cstheme="majorBidi"/>
        </w:rPr>
        <w:t xml:space="preserve">relevant </w:t>
      </w:r>
      <w:r w:rsidRPr="00F204D4">
        <w:rPr>
          <w:rFonts w:asciiTheme="majorBidi" w:hAnsiTheme="majorBidi" w:cstheme="majorBidi"/>
        </w:rPr>
        <w:t>supporting information</w:t>
      </w:r>
      <w:r w:rsidR="00F11C94" w:rsidRPr="00F204D4">
        <w:rPr>
          <w:rFonts w:asciiTheme="majorBidi" w:hAnsiTheme="majorBidi" w:cstheme="majorBidi"/>
        </w:rPr>
        <w:t xml:space="preserve">, including </w:t>
      </w:r>
      <w:r w:rsidRPr="00F204D4">
        <w:rPr>
          <w:rFonts w:asciiTheme="majorBidi" w:hAnsiTheme="majorBidi" w:cstheme="majorBidi"/>
        </w:rPr>
        <w:t xml:space="preserve">associated tolerance petitions for special consideration based on these factors. </w:t>
      </w:r>
      <w:r w:rsidR="000A6BEF" w:rsidRPr="00F204D4">
        <w:rPr>
          <w:rFonts w:asciiTheme="majorBidi" w:hAnsiTheme="majorBidi" w:cstheme="majorBidi"/>
        </w:rPr>
        <w:t xml:space="preserve"> </w:t>
      </w:r>
      <w:r w:rsidRPr="00F204D4">
        <w:rPr>
          <w:rFonts w:asciiTheme="majorBidi" w:hAnsiTheme="majorBidi" w:cstheme="majorBidi"/>
        </w:rPr>
        <w:t>Products that are successfully classified as presenting the potential to reduce risk will receive earlier registration and consequent earlier marketability.</w:t>
      </w:r>
    </w:p>
    <w:p w14:paraId="440FF9B2" w14:textId="77777777" w:rsidR="00D12983" w:rsidRDefault="00D12983" w:rsidP="008B7CCF">
      <w:pPr>
        <w:ind w:firstLine="720"/>
        <w:rPr>
          <w:rFonts w:asciiTheme="majorBidi" w:hAnsiTheme="majorBidi" w:cstheme="majorBidi"/>
        </w:rPr>
      </w:pPr>
    </w:p>
    <w:p w14:paraId="33EB0C37" w14:textId="55EDB729" w:rsidR="00D12983" w:rsidRPr="00F204D4" w:rsidRDefault="00D12983" w:rsidP="008B7CCF">
      <w:pPr>
        <w:ind w:firstLine="720"/>
        <w:rPr>
          <w:rFonts w:asciiTheme="majorBidi" w:hAnsiTheme="majorBidi" w:cstheme="majorBidi"/>
        </w:rPr>
      </w:pPr>
      <w:r>
        <w:rPr>
          <w:rFonts w:asciiTheme="majorBidi" w:hAnsiTheme="majorBidi" w:cstheme="majorBidi"/>
        </w:rPr>
        <w:t>Although this ICR covers the majority of the information collection activities associated with the pesticide application process, which includes the generation of data under 40 CFR part 158, it is important to note that there are also other ICRs that address registration related information collection activities. For example, t</w:t>
      </w:r>
      <w:r w:rsidRPr="00F204D4">
        <w:rPr>
          <w:rFonts w:asciiTheme="majorBidi" w:hAnsiTheme="majorBidi" w:cstheme="majorBidi"/>
        </w:rPr>
        <w:t xml:space="preserve">he paperwork burden for tolerance petitions is not included in the estimates for </w:t>
      </w:r>
      <w:r>
        <w:rPr>
          <w:rFonts w:asciiTheme="majorBidi" w:hAnsiTheme="majorBidi" w:cstheme="majorBidi"/>
        </w:rPr>
        <w:t>this</w:t>
      </w:r>
      <w:r w:rsidRPr="00F204D4">
        <w:rPr>
          <w:rFonts w:asciiTheme="majorBidi" w:hAnsiTheme="majorBidi" w:cstheme="majorBidi"/>
        </w:rPr>
        <w:t xml:space="preserve"> ICR. They are covered in a separate ICR under OMB No. 2070-0024, </w:t>
      </w:r>
      <w:r w:rsidRPr="00F204D4">
        <w:rPr>
          <w:rFonts w:asciiTheme="majorBidi" w:hAnsiTheme="majorBidi" w:cstheme="majorBidi"/>
          <w:b/>
        </w:rPr>
        <w:t>Tolerance Petitions for Pesticides on Food/Feed Crops and New Inert Ingredients</w:t>
      </w:r>
      <w:r>
        <w:rPr>
          <w:rFonts w:asciiTheme="majorBidi" w:hAnsiTheme="majorBidi" w:cstheme="majorBidi"/>
          <w:b/>
        </w:rPr>
        <w:t xml:space="preserve"> </w:t>
      </w:r>
      <w:r w:rsidRPr="005A59D5">
        <w:rPr>
          <w:rFonts w:asciiTheme="majorBidi" w:hAnsiTheme="majorBidi" w:cstheme="majorBidi"/>
        </w:rPr>
        <w:t>(EPA ICR No. 0597).</w:t>
      </w:r>
    </w:p>
    <w:p w14:paraId="3BF0A838" w14:textId="77777777" w:rsidR="00C47DDD" w:rsidRPr="00F204D4" w:rsidRDefault="00C47DDD" w:rsidP="008B7CCF">
      <w:pPr>
        <w:rPr>
          <w:rFonts w:asciiTheme="majorBidi" w:hAnsiTheme="majorBidi" w:cstheme="majorBidi"/>
        </w:rPr>
      </w:pPr>
    </w:p>
    <w:p w14:paraId="1A725219" w14:textId="77777777" w:rsidR="008B7CCF" w:rsidRPr="00F204D4" w:rsidRDefault="008B7CCF" w:rsidP="008B7CCF">
      <w:pPr>
        <w:rPr>
          <w:rFonts w:asciiTheme="majorBidi" w:hAnsiTheme="majorBidi" w:cstheme="majorBidi"/>
        </w:rPr>
      </w:pPr>
    </w:p>
    <w:p w14:paraId="2EC4562F" w14:textId="77777777" w:rsidR="00C47DDD" w:rsidRPr="00F204D4" w:rsidRDefault="00C47DDD" w:rsidP="008B7CCF">
      <w:pPr>
        <w:rPr>
          <w:rFonts w:asciiTheme="majorBidi" w:hAnsiTheme="majorBidi" w:cstheme="majorBidi"/>
          <w:b/>
        </w:rPr>
      </w:pPr>
      <w:r w:rsidRPr="00F204D4">
        <w:rPr>
          <w:rFonts w:asciiTheme="majorBidi" w:hAnsiTheme="majorBidi" w:cstheme="majorBidi"/>
          <w:b/>
        </w:rPr>
        <w:t>2.</w:t>
      </w:r>
      <w:r w:rsidRPr="00F204D4">
        <w:rPr>
          <w:rFonts w:asciiTheme="majorBidi" w:hAnsiTheme="majorBidi" w:cstheme="majorBidi"/>
          <w:b/>
        </w:rPr>
        <w:tab/>
      </w:r>
      <w:r w:rsidRPr="00F204D4">
        <w:rPr>
          <w:rFonts w:asciiTheme="majorBidi" w:hAnsiTheme="majorBidi" w:cstheme="majorBidi"/>
          <w:b/>
          <w:u w:val="single"/>
        </w:rPr>
        <w:t>NEED FOR AND USE OF THE COLLECTION</w:t>
      </w:r>
    </w:p>
    <w:p w14:paraId="3D2B1F64" w14:textId="77777777" w:rsidR="00C47DDD" w:rsidRPr="00F204D4" w:rsidRDefault="00C47DDD" w:rsidP="008B7CCF">
      <w:pPr>
        <w:rPr>
          <w:rFonts w:asciiTheme="majorBidi" w:hAnsiTheme="majorBidi" w:cstheme="majorBidi"/>
        </w:rPr>
      </w:pPr>
    </w:p>
    <w:p w14:paraId="3A6022C2"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2(a)</w:t>
      </w:r>
      <w:r w:rsidRPr="00F204D4">
        <w:rPr>
          <w:rFonts w:asciiTheme="majorBidi" w:hAnsiTheme="majorBidi" w:cstheme="majorBidi"/>
          <w:b/>
        </w:rPr>
        <w:tab/>
        <w:t>Need/Authority for the Collection</w:t>
      </w:r>
    </w:p>
    <w:p w14:paraId="152247BE" w14:textId="77777777" w:rsidR="00C47DDD" w:rsidRPr="00F204D4" w:rsidRDefault="00C47DDD" w:rsidP="008B7CCF">
      <w:pPr>
        <w:ind w:firstLine="720"/>
        <w:rPr>
          <w:rFonts w:asciiTheme="majorBidi" w:hAnsiTheme="majorBidi" w:cstheme="majorBidi"/>
        </w:rPr>
      </w:pPr>
    </w:p>
    <w:p w14:paraId="5F2700A4" w14:textId="2E65C867" w:rsidR="00C47DDD" w:rsidRPr="00F204D4" w:rsidRDefault="00C47DDD" w:rsidP="000E6472">
      <w:pPr>
        <w:ind w:firstLine="720"/>
        <w:rPr>
          <w:rFonts w:asciiTheme="majorBidi" w:hAnsiTheme="majorBidi" w:cstheme="majorBidi"/>
        </w:rPr>
      </w:pPr>
      <w:r w:rsidRPr="00F204D4">
        <w:rPr>
          <w:rFonts w:asciiTheme="majorBidi" w:hAnsiTheme="majorBidi" w:cstheme="majorBidi"/>
        </w:rPr>
        <w:t>Authorizing legislation is contained in Section 3 of FIFRA</w:t>
      </w:r>
      <w:r w:rsidR="005A59D5">
        <w:rPr>
          <w:rFonts w:asciiTheme="majorBidi" w:hAnsiTheme="majorBidi" w:cstheme="majorBidi"/>
        </w:rPr>
        <w:t xml:space="preserve"> (</w:t>
      </w:r>
      <w:r w:rsidR="003062E9">
        <w:rPr>
          <w:rFonts w:asciiTheme="majorBidi" w:hAnsiTheme="majorBidi" w:cstheme="majorBidi"/>
        </w:rPr>
        <w:t>7 USC 136a</w:t>
      </w:r>
      <w:r w:rsidR="000E6472">
        <w:rPr>
          <w:rFonts w:asciiTheme="majorBidi" w:hAnsiTheme="majorBidi" w:cstheme="majorBidi"/>
        </w:rPr>
        <w:t>7 USC 136a</w:t>
      </w:r>
      <w:r w:rsidR="005A59D5">
        <w:rPr>
          <w:rFonts w:asciiTheme="majorBidi" w:hAnsiTheme="majorBidi" w:cstheme="majorBidi"/>
        </w:rPr>
        <w:t>) and section 408 of FFDCA (</w:t>
      </w:r>
      <w:r w:rsidR="00B816F9">
        <w:rPr>
          <w:rFonts w:asciiTheme="majorBidi" w:hAnsiTheme="majorBidi" w:cstheme="majorBidi"/>
        </w:rPr>
        <w:t>21 USC 346a</w:t>
      </w:r>
      <w:r w:rsidR="005A59D5">
        <w:rPr>
          <w:rFonts w:asciiTheme="majorBidi" w:hAnsiTheme="majorBidi" w:cstheme="majorBidi"/>
        </w:rPr>
        <w:t>)</w:t>
      </w:r>
      <w:r w:rsidRPr="00F204D4">
        <w:rPr>
          <w:rFonts w:asciiTheme="majorBidi" w:hAnsiTheme="majorBidi" w:cstheme="majorBidi"/>
        </w:rPr>
        <w:t>. Governing regulations and guidelines are contained in 40 CFR parts 152, 156, 158 (</w:t>
      </w:r>
      <w:r w:rsidR="007A6470" w:rsidRPr="00F204D4">
        <w:rPr>
          <w:rFonts w:asciiTheme="majorBidi" w:hAnsiTheme="majorBidi" w:cstheme="majorBidi"/>
          <w:b/>
        </w:rPr>
        <w:t xml:space="preserve">Attachments </w:t>
      </w:r>
      <w:r w:rsidRPr="00F204D4">
        <w:rPr>
          <w:rFonts w:asciiTheme="majorBidi" w:hAnsiTheme="majorBidi" w:cstheme="majorBidi"/>
          <w:b/>
        </w:rPr>
        <w:t>E</w:t>
      </w:r>
      <w:r w:rsidRPr="00F204D4">
        <w:rPr>
          <w:rFonts w:asciiTheme="majorBidi" w:hAnsiTheme="majorBidi" w:cstheme="majorBidi"/>
        </w:rPr>
        <w:t xml:space="preserve">, </w:t>
      </w:r>
      <w:r w:rsidR="001E1FC5" w:rsidRPr="00F204D4">
        <w:rPr>
          <w:rFonts w:asciiTheme="majorBidi" w:hAnsiTheme="majorBidi" w:cstheme="majorBidi"/>
          <w:b/>
        </w:rPr>
        <w:t>F</w:t>
      </w:r>
      <w:r w:rsidR="001E1FC5" w:rsidRPr="00F204D4">
        <w:rPr>
          <w:rFonts w:asciiTheme="majorBidi" w:hAnsiTheme="majorBidi" w:cstheme="majorBidi"/>
        </w:rPr>
        <w:t xml:space="preserve"> </w:t>
      </w:r>
      <w:r w:rsidRPr="00F204D4">
        <w:rPr>
          <w:rFonts w:asciiTheme="majorBidi" w:hAnsiTheme="majorBidi" w:cstheme="majorBidi"/>
        </w:rPr>
        <w:t xml:space="preserve">and </w:t>
      </w:r>
      <w:r w:rsidR="001E1FC5" w:rsidRPr="00F204D4">
        <w:rPr>
          <w:rFonts w:asciiTheme="majorBidi" w:hAnsiTheme="majorBidi" w:cstheme="majorBidi"/>
          <w:b/>
        </w:rPr>
        <w:t>G</w:t>
      </w:r>
      <w:r w:rsidRPr="00F204D4">
        <w:rPr>
          <w:rFonts w:asciiTheme="majorBidi" w:hAnsiTheme="majorBidi" w:cstheme="majorBidi"/>
        </w:rPr>
        <w:t xml:space="preserve">, respectively), and in </w:t>
      </w:r>
      <w:r w:rsidRPr="00F204D4">
        <w:rPr>
          <w:rFonts w:asciiTheme="majorBidi" w:hAnsiTheme="majorBidi" w:cstheme="majorBidi"/>
          <w:b/>
        </w:rPr>
        <w:t>PR Notice (PRN) 97-3</w:t>
      </w:r>
      <w:r w:rsidRPr="00F204D4">
        <w:rPr>
          <w:rFonts w:asciiTheme="majorBidi" w:hAnsiTheme="majorBidi" w:cstheme="majorBidi"/>
        </w:rPr>
        <w:t>. Label amendments</w:t>
      </w:r>
      <w:r w:rsidR="00D12983">
        <w:rPr>
          <w:rFonts w:asciiTheme="majorBidi" w:hAnsiTheme="majorBidi" w:cstheme="majorBidi"/>
        </w:rPr>
        <w:t xml:space="preserve"> under </w:t>
      </w:r>
      <w:r w:rsidRPr="00F204D4">
        <w:rPr>
          <w:rFonts w:asciiTheme="majorBidi" w:hAnsiTheme="majorBidi" w:cstheme="majorBidi"/>
        </w:rPr>
        <w:t>40 CFR 156, may be required to maintain continued registration followi</w:t>
      </w:r>
      <w:r w:rsidR="00393228" w:rsidRPr="00F204D4">
        <w:rPr>
          <w:rFonts w:asciiTheme="majorBidi" w:hAnsiTheme="majorBidi" w:cstheme="majorBidi"/>
        </w:rPr>
        <w:t xml:space="preserve">ng a regulatory review (e.g., </w:t>
      </w:r>
      <w:r w:rsidRPr="00F204D4">
        <w:rPr>
          <w:rFonts w:asciiTheme="majorBidi" w:hAnsiTheme="majorBidi" w:cstheme="majorBidi"/>
        </w:rPr>
        <w:t>registration</w:t>
      </w:r>
      <w:r w:rsidR="00393228" w:rsidRPr="00F204D4">
        <w:rPr>
          <w:rFonts w:asciiTheme="majorBidi" w:hAnsiTheme="majorBidi" w:cstheme="majorBidi"/>
        </w:rPr>
        <w:t xml:space="preserve"> review</w:t>
      </w:r>
      <w:r w:rsidRPr="00F204D4">
        <w:rPr>
          <w:rFonts w:asciiTheme="majorBidi" w:hAnsiTheme="majorBidi" w:cstheme="majorBidi"/>
        </w:rPr>
        <w:t xml:space="preserve">). Labeling amendments pertaining to groups of products may be implemented through </w:t>
      </w:r>
      <w:r w:rsidR="007A6470" w:rsidRPr="00F204D4">
        <w:rPr>
          <w:rFonts w:asciiTheme="majorBidi" w:hAnsiTheme="majorBidi" w:cstheme="majorBidi"/>
        </w:rPr>
        <w:t xml:space="preserve">a </w:t>
      </w:r>
      <w:r w:rsidRPr="00F204D4">
        <w:rPr>
          <w:rFonts w:asciiTheme="majorBidi" w:hAnsiTheme="majorBidi" w:cstheme="majorBidi"/>
        </w:rPr>
        <w:t xml:space="preserve">PRN or </w:t>
      </w:r>
      <w:r w:rsidR="005A59D5">
        <w:rPr>
          <w:rFonts w:asciiTheme="majorBidi" w:hAnsiTheme="majorBidi" w:cstheme="majorBidi"/>
        </w:rPr>
        <w:t xml:space="preserve">notice in the </w:t>
      </w:r>
      <w:r w:rsidRPr="005A59D5">
        <w:rPr>
          <w:rFonts w:asciiTheme="majorBidi" w:hAnsiTheme="majorBidi" w:cstheme="majorBidi"/>
          <w:b/>
        </w:rPr>
        <w:t>Federal Register</w:t>
      </w:r>
      <w:r w:rsidRPr="00F204D4">
        <w:rPr>
          <w:rFonts w:asciiTheme="majorBidi" w:hAnsiTheme="majorBidi" w:cstheme="majorBidi"/>
        </w:rPr>
        <w:t xml:space="preserve"> (FRN).</w:t>
      </w:r>
    </w:p>
    <w:p w14:paraId="76506B64" w14:textId="77777777" w:rsidR="00216001" w:rsidRPr="00F204D4" w:rsidRDefault="00216001" w:rsidP="008B7CCF">
      <w:pPr>
        <w:rPr>
          <w:rFonts w:asciiTheme="majorBidi" w:hAnsiTheme="majorBidi" w:cstheme="majorBidi"/>
        </w:rPr>
      </w:pPr>
    </w:p>
    <w:p w14:paraId="0634D70A"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2(b)</w:t>
      </w:r>
      <w:r w:rsidRPr="00F204D4">
        <w:rPr>
          <w:rFonts w:asciiTheme="majorBidi" w:hAnsiTheme="majorBidi" w:cstheme="majorBidi"/>
          <w:b/>
        </w:rPr>
        <w:tab/>
        <w:t>Practical Utility/Users of the Data</w:t>
      </w:r>
    </w:p>
    <w:p w14:paraId="342A49EA" w14:textId="77777777" w:rsidR="00C47DDD" w:rsidRPr="00F204D4" w:rsidRDefault="00C47DDD" w:rsidP="008B7CCF">
      <w:pPr>
        <w:rPr>
          <w:rFonts w:asciiTheme="majorBidi" w:hAnsiTheme="majorBidi" w:cstheme="majorBidi"/>
        </w:rPr>
      </w:pPr>
    </w:p>
    <w:p w14:paraId="55626116" w14:textId="33C198B5" w:rsidR="00C47DDD" w:rsidRPr="00F204D4" w:rsidRDefault="00C47DDD" w:rsidP="008B7CCF">
      <w:pPr>
        <w:rPr>
          <w:rFonts w:asciiTheme="majorBidi" w:hAnsiTheme="majorBidi" w:cstheme="majorBidi"/>
        </w:rPr>
      </w:pPr>
      <w:r w:rsidRPr="00F204D4">
        <w:rPr>
          <w:rFonts w:asciiTheme="majorBidi" w:hAnsiTheme="majorBidi" w:cstheme="majorBidi"/>
        </w:rPr>
        <w:tab/>
        <w:t>The information collected under this ICR is used to support registration decisions for new or amended pesticides. Once all data reviews are completed satisfactorily, the labeling is determined to be adequate, and the product is determined to meet the statutory standards of FIFRA, registration is issued to the applicant.</w:t>
      </w:r>
      <w:r w:rsidR="005B64B5">
        <w:rPr>
          <w:rFonts w:asciiTheme="majorBidi" w:hAnsiTheme="majorBidi" w:cstheme="majorBidi"/>
        </w:rPr>
        <w:t xml:space="preserve"> </w:t>
      </w:r>
    </w:p>
    <w:p w14:paraId="3A3362FB" w14:textId="77777777" w:rsidR="00C47DDD" w:rsidRPr="00F204D4" w:rsidRDefault="00C47DDD" w:rsidP="008B7CCF">
      <w:pPr>
        <w:rPr>
          <w:rFonts w:asciiTheme="majorBidi" w:hAnsiTheme="majorBidi" w:cstheme="majorBidi"/>
        </w:rPr>
      </w:pPr>
    </w:p>
    <w:p w14:paraId="606916CA" w14:textId="77777777" w:rsidR="00C47DDD" w:rsidRPr="00F204D4" w:rsidRDefault="00C47DDD" w:rsidP="008B7CCF">
      <w:pPr>
        <w:rPr>
          <w:rFonts w:asciiTheme="majorBidi" w:hAnsiTheme="majorBidi" w:cstheme="majorBidi"/>
        </w:rPr>
      </w:pPr>
    </w:p>
    <w:p w14:paraId="3A9C3AE5" w14:textId="77777777" w:rsidR="00C47DDD" w:rsidRPr="00F204D4" w:rsidRDefault="00C47DDD" w:rsidP="008B7CCF">
      <w:pPr>
        <w:ind w:left="720" w:hanging="720"/>
        <w:rPr>
          <w:rFonts w:asciiTheme="majorBidi" w:hAnsiTheme="majorBidi" w:cstheme="majorBidi"/>
          <w:b/>
        </w:rPr>
      </w:pPr>
      <w:r w:rsidRPr="00F204D4">
        <w:rPr>
          <w:rFonts w:asciiTheme="majorBidi" w:hAnsiTheme="majorBidi" w:cstheme="majorBidi"/>
          <w:b/>
        </w:rPr>
        <w:t>3.</w:t>
      </w:r>
      <w:r w:rsidRPr="00F204D4">
        <w:rPr>
          <w:rFonts w:asciiTheme="majorBidi" w:hAnsiTheme="majorBidi" w:cstheme="majorBidi"/>
          <w:b/>
        </w:rPr>
        <w:tab/>
      </w:r>
      <w:r w:rsidRPr="00F204D4">
        <w:rPr>
          <w:rFonts w:asciiTheme="majorBidi" w:hAnsiTheme="majorBidi" w:cstheme="majorBidi"/>
          <w:b/>
          <w:u w:val="single"/>
        </w:rPr>
        <w:t>NON-DUPLICATION, CONSULTATIONS, AND OTHER COLLECTION CRITERIA</w:t>
      </w:r>
    </w:p>
    <w:p w14:paraId="168C322B" w14:textId="77777777" w:rsidR="00C47DDD" w:rsidRPr="00F204D4" w:rsidRDefault="00C47DDD" w:rsidP="008B7CCF">
      <w:pPr>
        <w:rPr>
          <w:rFonts w:asciiTheme="majorBidi" w:hAnsiTheme="majorBidi" w:cstheme="majorBidi"/>
        </w:rPr>
      </w:pPr>
    </w:p>
    <w:p w14:paraId="1B6D6055"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3(a)</w:t>
      </w:r>
      <w:r w:rsidRPr="00F204D4">
        <w:rPr>
          <w:rFonts w:asciiTheme="majorBidi" w:hAnsiTheme="majorBidi" w:cstheme="majorBidi"/>
          <w:b/>
        </w:rPr>
        <w:tab/>
        <w:t>Non-duplication</w:t>
      </w:r>
    </w:p>
    <w:p w14:paraId="4E156602" w14:textId="77777777" w:rsidR="00C47DDD" w:rsidRPr="00F204D4" w:rsidRDefault="00C47DDD" w:rsidP="008B7CCF">
      <w:pPr>
        <w:rPr>
          <w:rFonts w:asciiTheme="majorBidi" w:hAnsiTheme="majorBidi" w:cstheme="majorBidi"/>
        </w:rPr>
      </w:pPr>
    </w:p>
    <w:p w14:paraId="141F6F3E" w14:textId="6DD1702B" w:rsidR="00662F48" w:rsidRDefault="00C47DDD" w:rsidP="008B7CCF">
      <w:pPr>
        <w:ind w:firstLine="720"/>
        <w:rPr>
          <w:rFonts w:asciiTheme="majorBidi" w:hAnsiTheme="majorBidi" w:cstheme="majorBidi"/>
        </w:rPr>
      </w:pPr>
      <w:r w:rsidRPr="00F204D4">
        <w:rPr>
          <w:rFonts w:asciiTheme="majorBidi" w:hAnsiTheme="majorBidi" w:cstheme="majorBidi"/>
        </w:rPr>
        <w:lastRenderedPageBreak/>
        <w:t xml:space="preserve">Duplication will not occur in this program, as each applicant must submit information unique to the particular product being offered for registration. If the product is not unique, existing data may be referenced by the applicant as described in </w:t>
      </w:r>
      <w:r w:rsidR="005B64B5">
        <w:rPr>
          <w:rFonts w:asciiTheme="majorBidi" w:hAnsiTheme="majorBidi" w:cstheme="majorBidi"/>
        </w:rPr>
        <w:t>unit</w:t>
      </w:r>
      <w:r w:rsidR="005B64B5" w:rsidRPr="00F204D4">
        <w:rPr>
          <w:rFonts w:asciiTheme="majorBidi" w:hAnsiTheme="majorBidi" w:cstheme="majorBidi"/>
        </w:rPr>
        <w:t xml:space="preserve"> </w:t>
      </w:r>
      <w:r w:rsidRPr="00F204D4">
        <w:rPr>
          <w:rFonts w:asciiTheme="majorBidi" w:hAnsiTheme="majorBidi" w:cstheme="majorBidi"/>
        </w:rPr>
        <w:t>5(c)</w:t>
      </w:r>
      <w:r w:rsidR="005B64B5">
        <w:rPr>
          <w:rFonts w:asciiTheme="majorBidi" w:hAnsiTheme="majorBidi" w:cstheme="majorBidi"/>
        </w:rPr>
        <w:t xml:space="preserve"> of this ICR</w:t>
      </w:r>
      <w:r w:rsidR="00BD3A4E" w:rsidRPr="00F204D4">
        <w:rPr>
          <w:rFonts w:asciiTheme="majorBidi" w:hAnsiTheme="majorBidi" w:cstheme="majorBidi"/>
        </w:rPr>
        <w:t>, entitled “Small Entity Flexibility</w:t>
      </w:r>
      <w:r w:rsidRPr="00F204D4">
        <w:rPr>
          <w:rFonts w:asciiTheme="majorBidi" w:hAnsiTheme="majorBidi" w:cstheme="majorBidi"/>
        </w:rPr>
        <w:t>.</w:t>
      </w:r>
      <w:r w:rsidR="00BD3A4E" w:rsidRPr="00F204D4">
        <w:rPr>
          <w:rFonts w:asciiTheme="majorBidi" w:hAnsiTheme="majorBidi" w:cstheme="majorBidi"/>
        </w:rPr>
        <w:t>”</w:t>
      </w:r>
      <w:r w:rsidRPr="00F204D4">
        <w:rPr>
          <w:rFonts w:asciiTheme="majorBidi" w:hAnsiTheme="majorBidi" w:cstheme="majorBidi"/>
        </w:rPr>
        <w:t xml:space="preserve"> On amended applications, the applicant is able to refer to any </w:t>
      </w:r>
      <w:r w:rsidR="00BD3A4E" w:rsidRPr="00F204D4">
        <w:rPr>
          <w:rFonts w:asciiTheme="majorBidi" w:hAnsiTheme="majorBidi" w:cstheme="majorBidi"/>
        </w:rPr>
        <w:t xml:space="preserve">previously submitted </w:t>
      </w:r>
      <w:r w:rsidRPr="00F204D4">
        <w:rPr>
          <w:rFonts w:asciiTheme="majorBidi" w:hAnsiTheme="majorBidi" w:cstheme="majorBidi"/>
        </w:rPr>
        <w:t>information, thereby satisfying data requirements without the burden of providing duplicate information or additional data development.</w:t>
      </w:r>
      <w:r w:rsidR="005B64B5">
        <w:rPr>
          <w:rFonts w:asciiTheme="majorBidi" w:hAnsiTheme="majorBidi" w:cstheme="majorBidi"/>
        </w:rPr>
        <w:t xml:space="preserve"> In fact, EPA’s registration program encourages a collaborative approach to developing data whenever relevant, facilitating data citation and ensuring that original data generators/submitters are compensated when their data are cited in another application.</w:t>
      </w:r>
    </w:p>
    <w:p w14:paraId="0B98398F" w14:textId="77777777" w:rsidR="00662F48" w:rsidRDefault="00662F48" w:rsidP="008B7CCF">
      <w:pPr>
        <w:ind w:firstLine="720"/>
        <w:rPr>
          <w:rFonts w:asciiTheme="majorBidi" w:hAnsiTheme="majorBidi" w:cstheme="majorBidi"/>
        </w:rPr>
      </w:pPr>
    </w:p>
    <w:p w14:paraId="25F73F5B" w14:textId="16C91A2F" w:rsidR="00C47DDD" w:rsidRPr="00F204D4" w:rsidRDefault="00662F48" w:rsidP="00662F48">
      <w:pPr>
        <w:keepNext/>
        <w:ind w:firstLine="720"/>
        <w:rPr>
          <w:rFonts w:asciiTheme="majorBidi" w:hAnsiTheme="majorBidi" w:cstheme="majorBidi"/>
        </w:rPr>
      </w:pPr>
      <w:r>
        <w:rPr>
          <w:color w:val="000000"/>
        </w:rPr>
        <w:t>To avoid potential overlap between the requirement of study data in support of an application for the regis</w:t>
      </w:r>
      <w:r w:rsidRPr="00DC6C7E">
        <w:t xml:space="preserve">tration </w:t>
      </w:r>
      <w:r w:rsidRPr="00DC6C7E">
        <w:rPr>
          <w:rFonts w:asciiTheme="majorBidi" w:hAnsiTheme="majorBidi" w:cstheme="majorBidi"/>
        </w:rPr>
        <w:t xml:space="preserve">for a new food use pesticide active ingredient </w:t>
      </w:r>
      <w:r>
        <w:rPr>
          <w:color w:val="000000"/>
        </w:rPr>
        <w:t>under FIFRA, and developing data to support a tolerance petition, the EPA allows the use of data required to support a tolerance petition that are already archived in EPA records for use as part of a FIFRA registration of a pesticide to be used in a like manner and in the same use pattern.</w:t>
      </w:r>
      <w:r>
        <w:rPr>
          <w:rFonts w:asciiTheme="majorBidi" w:hAnsiTheme="majorBidi" w:cstheme="majorBidi"/>
        </w:rPr>
        <w:t xml:space="preserve"> Information collection activities to establish tolerance limits are covered under the Tolerance ICR (OMB Control No. 2070-0024), and therefore not included in this ICR.</w:t>
      </w:r>
    </w:p>
    <w:p w14:paraId="19465DBA" w14:textId="77777777" w:rsidR="00C47DDD" w:rsidRPr="00F204D4" w:rsidRDefault="00C47DDD" w:rsidP="008B7CCF">
      <w:pPr>
        <w:ind w:firstLine="720"/>
        <w:rPr>
          <w:rFonts w:asciiTheme="majorBidi" w:hAnsiTheme="majorBidi" w:cstheme="majorBidi"/>
        </w:rPr>
      </w:pPr>
    </w:p>
    <w:p w14:paraId="3B866FFA"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3(b)</w:t>
      </w:r>
      <w:r w:rsidRPr="00F204D4">
        <w:rPr>
          <w:rFonts w:asciiTheme="majorBidi" w:hAnsiTheme="majorBidi" w:cstheme="majorBidi"/>
          <w:b/>
        </w:rPr>
        <w:tab/>
        <w:t>Public Notice Required Prior to ICR Submission to OMB</w:t>
      </w:r>
    </w:p>
    <w:p w14:paraId="2F82A7A2" w14:textId="77777777" w:rsidR="00552A01" w:rsidRPr="00F204D4" w:rsidRDefault="00552A01" w:rsidP="008B7CCF">
      <w:pPr>
        <w:autoSpaceDE w:val="0"/>
        <w:autoSpaceDN w:val="0"/>
        <w:adjustRightInd w:val="0"/>
        <w:ind w:firstLine="720"/>
        <w:rPr>
          <w:rFonts w:asciiTheme="majorBidi" w:hAnsiTheme="majorBidi" w:cstheme="majorBidi"/>
        </w:rPr>
      </w:pPr>
    </w:p>
    <w:p w14:paraId="7A46E6D6" w14:textId="54E5E9D6" w:rsidR="0096265D" w:rsidRPr="00F204D4" w:rsidRDefault="00351E14" w:rsidP="00C12321">
      <w:pPr>
        <w:autoSpaceDE w:val="0"/>
        <w:autoSpaceDN w:val="0"/>
        <w:adjustRightInd w:val="0"/>
        <w:ind w:firstLine="720"/>
        <w:rPr>
          <w:rFonts w:asciiTheme="majorBidi" w:hAnsiTheme="majorBidi" w:cstheme="majorBidi"/>
        </w:rPr>
      </w:pPr>
      <w:r w:rsidRPr="00F204D4">
        <w:rPr>
          <w:rFonts w:asciiTheme="majorBidi" w:hAnsiTheme="majorBidi" w:cstheme="majorBidi"/>
        </w:rPr>
        <w:t>Pursuant to 5 CFR 1320.8(d), i</w:t>
      </w:r>
      <w:r w:rsidR="008B7CCF" w:rsidRPr="00F204D4">
        <w:rPr>
          <w:rFonts w:asciiTheme="majorBidi" w:hAnsiTheme="majorBidi" w:cstheme="majorBidi"/>
        </w:rPr>
        <w:t xml:space="preserve">n proposing to renew this ICR, </w:t>
      </w:r>
      <w:r w:rsidR="0096265D" w:rsidRPr="00F204D4">
        <w:rPr>
          <w:rFonts w:asciiTheme="majorBidi" w:hAnsiTheme="majorBidi" w:cstheme="majorBidi"/>
        </w:rPr>
        <w:t xml:space="preserve">the </w:t>
      </w:r>
      <w:r w:rsidR="008B7CCF" w:rsidRPr="00F204D4">
        <w:rPr>
          <w:rFonts w:asciiTheme="majorBidi" w:hAnsiTheme="majorBidi" w:cstheme="majorBidi"/>
        </w:rPr>
        <w:t>EPA</w:t>
      </w:r>
      <w:r w:rsidR="000B6821" w:rsidRPr="00F204D4">
        <w:rPr>
          <w:rFonts w:asciiTheme="majorBidi" w:hAnsiTheme="majorBidi" w:cstheme="majorBidi"/>
        </w:rPr>
        <w:t xml:space="preserve"> published a </w:t>
      </w:r>
      <w:r w:rsidR="000B6821" w:rsidRPr="005B64B5">
        <w:rPr>
          <w:rFonts w:asciiTheme="majorBidi" w:hAnsiTheme="majorBidi" w:cstheme="majorBidi"/>
          <w:b/>
        </w:rPr>
        <w:t xml:space="preserve">Federal Register </w:t>
      </w:r>
      <w:r w:rsidR="000B6821" w:rsidRPr="00F204D4">
        <w:rPr>
          <w:rFonts w:asciiTheme="majorBidi" w:hAnsiTheme="majorBidi" w:cstheme="majorBidi"/>
        </w:rPr>
        <w:t>Notice (</w:t>
      </w:r>
      <w:r w:rsidR="000B6821" w:rsidRPr="00F204D4">
        <w:rPr>
          <w:rStyle w:val="volume"/>
          <w:rFonts w:asciiTheme="majorBidi" w:hAnsiTheme="majorBidi" w:cstheme="majorBidi"/>
        </w:rPr>
        <w:t>80</w:t>
      </w:r>
      <w:r w:rsidR="000B6821" w:rsidRPr="00F204D4">
        <w:rPr>
          <w:rFonts w:asciiTheme="majorBidi" w:hAnsiTheme="majorBidi" w:cstheme="majorBidi"/>
        </w:rPr>
        <w:t xml:space="preserve"> FR </w:t>
      </w:r>
      <w:r w:rsidR="000B6821" w:rsidRPr="00F204D4">
        <w:rPr>
          <w:rStyle w:val="page"/>
          <w:rFonts w:asciiTheme="majorBidi" w:hAnsiTheme="majorBidi" w:cstheme="majorBidi"/>
        </w:rPr>
        <w:t>34153</w:t>
      </w:r>
      <w:r w:rsidRPr="00F204D4">
        <w:rPr>
          <w:rStyle w:val="page"/>
          <w:rFonts w:asciiTheme="majorBidi" w:hAnsiTheme="majorBidi" w:cstheme="majorBidi"/>
        </w:rPr>
        <w:t xml:space="preserve">; June 15, 2015) </w:t>
      </w:r>
      <w:r w:rsidR="000A6BEF" w:rsidRPr="00F204D4">
        <w:rPr>
          <w:rFonts w:asciiTheme="majorBidi" w:hAnsiTheme="majorBidi" w:cstheme="majorBidi"/>
        </w:rPr>
        <w:t xml:space="preserve">providing </w:t>
      </w:r>
      <w:r w:rsidR="008B7CCF" w:rsidRPr="00F204D4">
        <w:rPr>
          <w:rFonts w:asciiTheme="majorBidi" w:hAnsiTheme="majorBidi" w:cstheme="majorBidi"/>
        </w:rPr>
        <w:t>a 60-day public comment period</w:t>
      </w:r>
      <w:r w:rsidR="000D678A" w:rsidRPr="00F204D4">
        <w:rPr>
          <w:rFonts w:asciiTheme="majorBidi" w:hAnsiTheme="majorBidi" w:cstheme="majorBidi"/>
        </w:rPr>
        <w:t>.</w:t>
      </w:r>
      <w:r w:rsidR="00552A01" w:rsidRPr="00F204D4">
        <w:rPr>
          <w:rFonts w:asciiTheme="majorBidi" w:hAnsiTheme="majorBidi" w:cstheme="majorBidi"/>
        </w:rPr>
        <w:t xml:space="preserve"> </w:t>
      </w:r>
      <w:r w:rsidR="00272E88" w:rsidRPr="00F204D4">
        <w:rPr>
          <w:rFonts w:asciiTheme="majorBidi" w:hAnsiTheme="majorBidi" w:cstheme="majorBidi"/>
        </w:rPr>
        <w:t xml:space="preserve">The Agency received </w:t>
      </w:r>
      <w:r w:rsidRPr="00F204D4">
        <w:rPr>
          <w:rFonts w:asciiTheme="majorBidi" w:hAnsiTheme="majorBidi" w:cstheme="majorBidi"/>
        </w:rPr>
        <w:t xml:space="preserve">comments </w:t>
      </w:r>
      <w:r w:rsidR="00272E88" w:rsidRPr="00F204D4">
        <w:rPr>
          <w:rFonts w:asciiTheme="majorBidi" w:hAnsiTheme="majorBidi" w:cstheme="majorBidi"/>
        </w:rPr>
        <w:t>from two registrants:</w:t>
      </w:r>
      <w:r w:rsidR="0096265D" w:rsidRPr="00F204D4">
        <w:rPr>
          <w:rFonts w:asciiTheme="majorBidi" w:hAnsiTheme="majorBidi" w:cstheme="majorBidi"/>
        </w:rPr>
        <w:t xml:space="preserve"> the American Chemical Council’s Biocides Panel (</w:t>
      </w:r>
      <w:r w:rsidR="007278E0" w:rsidRPr="00F204D4">
        <w:rPr>
          <w:rFonts w:asciiTheme="majorBidi" w:hAnsiTheme="majorBidi" w:cstheme="majorBidi"/>
        </w:rPr>
        <w:t xml:space="preserve">ACC, or </w:t>
      </w:r>
      <w:r w:rsidR="00F434E2" w:rsidRPr="00F204D4">
        <w:rPr>
          <w:rFonts w:asciiTheme="majorBidi" w:hAnsiTheme="majorBidi" w:cstheme="majorBidi"/>
        </w:rPr>
        <w:t xml:space="preserve">the </w:t>
      </w:r>
      <w:r w:rsidR="0096265D" w:rsidRPr="00F204D4">
        <w:rPr>
          <w:rFonts w:asciiTheme="majorBidi" w:hAnsiTheme="majorBidi" w:cstheme="majorBidi"/>
        </w:rPr>
        <w:t xml:space="preserve">Panel) and Bayer </w:t>
      </w:r>
      <w:proofErr w:type="spellStart"/>
      <w:r w:rsidR="0096265D" w:rsidRPr="00F204D4">
        <w:rPr>
          <w:rFonts w:asciiTheme="majorBidi" w:hAnsiTheme="majorBidi" w:cstheme="majorBidi"/>
        </w:rPr>
        <w:t>CropScience</w:t>
      </w:r>
      <w:proofErr w:type="spellEnd"/>
      <w:r w:rsidR="0096265D" w:rsidRPr="00F204D4">
        <w:rPr>
          <w:rFonts w:asciiTheme="majorBidi" w:hAnsiTheme="majorBidi" w:cstheme="majorBidi"/>
        </w:rPr>
        <w:t xml:space="preserve"> LP (Bayer). </w:t>
      </w:r>
      <w:r w:rsidR="00AC22C4">
        <w:rPr>
          <w:rFonts w:asciiTheme="majorBidi" w:hAnsiTheme="majorBidi" w:cstheme="majorBidi"/>
        </w:rPr>
        <w:t xml:space="preserve">The comments and EPA’s responses are discussed in </w:t>
      </w:r>
      <w:r w:rsidR="00AC22C4" w:rsidRPr="00AC22C4">
        <w:rPr>
          <w:rFonts w:asciiTheme="majorBidi" w:hAnsiTheme="majorBidi" w:cstheme="majorBidi"/>
          <w:b/>
        </w:rPr>
        <w:t>Attachment M</w:t>
      </w:r>
      <w:r w:rsidR="00AC22C4">
        <w:rPr>
          <w:rFonts w:asciiTheme="majorBidi" w:hAnsiTheme="majorBidi" w:cstheme="majorBidi"/>
        </w:rPr>
        <w:t xml:space="preserve">, and changes made to the ICR are </w:t>
      </w:r>
      <w:r w:rsidRPr="00F204D4">
        <w:rPr>
          <w:rFonts w:asciiTheme="majorBidi" w:hAnsiTheme="majorBidi" w:cstheme="majorBidi"/>
        </w:rPr>
        <w:t>summarize</w:t>
      </w:r>
      <w:r w:rsidR="00AC22C4">
        <w:rPr>
          <w:rFonts w:asciiTheme="majorBidi" w:hAnsiTheme="majorBidi" w:cstheme="majorBidi"/>
        </w:rPr>
        <w:t>d in this unit of the ICR</w:t>
      </w:r>
      <w:r w:rsidR="0096265D" w:rsidRPr="00F204D4">
        <w:rPr>
          <w:rFonts w:asciiTheme="majorBidi" w:hAnsiTheme="majorBidi" w:cstheme="majorBidi"/>
        </w:rPr>
        <w:t>.</w:t>
      </w:r>
    </w:p>
    <w:p w14:paraId="01A7480E" w14:textId="77777777" w:rsidR="0096265D" w:rsidRDefault="0096265D" w:rsidP="0096265D">
      <w:pPr>
        <w:ind w:firstLine="720"/>
        <w:rPr>
          <w:rFonts w:asciiTheme="majorBidi" w:hAnsiTheme="majorBidi" w:cstheme="majorBidi"/>
        </w:rPr>
      </w:pPr>
    </w:p>
    <w:p w14:paraId="3165B7E4" w14:textId="2BFF58D3" w:rsidR="00C1437E" w:rsidRDefault="00AC22C4" w:rsidP="00AC22C4">
      <w:pPr>
        <w:keepNext/>
        <w:ind w:firstLine="720"/>
        <w:rPr>
          <w:rFonts w:asciiTheme="majorBidi" w:hAnsiTheme="majorBidi" w:cstheme="majorBidi"/>
        </w:rPr>
      </w:pPr>
      <w:r>
        <w:rPr>
          <w:rFonts w:asciiTheme="majorBidi" w:hAnsiTheme="majorBidi" w:cstheme="majorBidi"/>
        </w:rPr>
        <w:t xml:space="preserve">In general, both commenters raised different concerns about whether other registration related activities were properly included in the ICR, and whether EPA’s estimated burden and costs </w:t>
      </w:r>
      <w:r w:rsidR="0096265D" w:rsidRPr="00F204D4">
        <w:rPr>
          <w:rFonts w:asciiTheme="majorBidi" w:hAnsiTheme="majorBidi" w:cstheme="majorBidi"/>
        </w:rPr>
        <w:t xml:space="preserve">significantly underestimated the </w:t>
      </w:r>
      <w:r w:rsidR="00586D28" w:rsidRPr="00F204D4">
        <w:rPr>
          <w:rFonts w:asciiTheme="majorBidi" w:hAnsiTheme="majorBidi" w:cstheme="majorBidi"/>
        </w:rPr>
        <w:t>P</w:t>
      </w:r>
      <w:r w:rsidR="0096265D" w:rsidRPr="00F204D4">
        <w:rPr>
          <w:rFonts w:asciiTheme="majorBidi" w:hAnsiTheme="majorBidi" w:cstheme="majorBidi"/>
        </w:rPr>
        <w:t xml:space="preserve">RA burden associated with this information collection. </w:t>
      </w:r>
    </w:p>
    <w:p w14:paraId="489A4926" w14:textId="77777777" w:rsidR="00C1437E" w:rsidRDefault="00C1437E" w:rsidP="00AC22C4">
      <w:pPr>
        <w:keepNext/>
        <w:ind w:firstLine="720"/>
        <w:rPr>
          <w:rFonts w:asciiTheme="majorBidi" w:hAnsiTheme="majorBidi" w:cstheme="majorBidi"/>
        </w:rPr>
      </w:pPr>
    </w:p>
    <w:p w14:paraId="0324497C" w14:textId="78033AC3" w:rsidR="00C565FB" w:rsidRPr="00F204D4" w:rsidRDefault="00AC22C4" w:rsidP="00D35AD3">
      <w:pPr>
        <w:keepNext/>
        <w:ind w:firstLine="720"/>
        <w:rPr>
          <w:rFonts w:asciiTheme="majorBidi" w:hAnsiTheme="majorBidi" w:cstheme="majorBidi"/>
        </w:rPr>
      </w:pPr>
      <w:r>
        <w:rPr>
          <w:rFonts w:asciiTheme="majorBidi" w:hAnsiTheme="majorBidi" w:cstheme="majorBidi"/>
        </w:rPr>
        <w:t xml:space="preserve">Some of the activities mentioned by the commenters are already covered by other ICRs and are purposely excluded from this one. For example, </w:t>
      </w:r>
      <w:r w:rsidR="00C1437E">
        <w:rPr>
          <w:rFonts w:asciiTheme="majorBidi" w:hAnsiTheme="majorBidi" w:cstheme="majorBidi"/>
        </w:rPr>
        <w:t>t</w:t>
      </w:r>
      <w:r w:rsidR="00C1437E" w:rsidRPr="00F204D4">
        <w:rPr>
          <w:rFonts w:asciiTheme="majorBidi" w:hAnsiTheme="majorBidi" w:cstheme="majorBidi"/>
        </w:rPr>
        <w:t xml:space="preserve">he </w:t>
      </w:r>
      <w:r w:rsidR="00C1437E">
        <w:rPr>
          <w:rFonts w:asciiTheme="majorBidi" w:hAnsiTheme="majorBidi" w:cstheme="majorBidi"/>
        </w:rPr>
        <w:t>burden and</w:t>
      </w:r>
      <w:r w:rsidR="00C1437E" w:rsidRPr="00F204D4">
        <w:rPr>
          <w:rFonts w:asciiTheme="majorBidi" w:hAnsiTheme="majorBidi" w:cstheme="majorBidi"/>
        </w:rPr>
        <w:t xml:space="preserve"> costs </w:t>
      </w:r>
      <w:r w:rsidR="00C1437E">
        <w:rPr>
          <w:rFonts w:asciiTheme="majorBidi" w:hAnsiTheme="majorBidi" w:cstheme="majorBidi"/>
        </w:rPr>
        <w:t>from</w:t>
      </w:r>
      <w:r w:rsidR="00C1437E" w:rsidRPr="00F204D4">
        <w:rPr>
          <w:rFonts w:asciiTheme="majorBidi" w:hAnsiTheme="majorBidi" w:cstheme="majorBidi"/>
        </w:rPr>
        <w:t xml:space="preserve"> archiving data </w:t>
      </w:r>
      <w:r w:rsidR="00C1437E">
        <w:rPr>
          <w:rFonts w:asciiTheme="majorBidi" w:hAnsiTheme="majorBidi" w:cstheme="majorBidi"/>
        </w:rPr>
        <w:t xml:space="preserve">as </w:t>
      </w:r>
      <w:r w:rsidR="00C1437E" w:rsidRPr="00F204D4">
        <w:rPr>
          <w:rFonts w:asciiTheme="majorBidi" w:hAnsiTheme="majorBidi" w:cstheme="majorBidi"/>
        </w:rPr>
        <w:t xml:space="preserve">required under 40 CFR 158 </w:t>
      </w:r>
      <w:r w:rsidR="00C1437E">
        <w:rPr>
          <w:rFonts w:asciiTheme="majorBidi" w:hAnsiTheme="majorBidi" w:cstheme="majorBidi"/>
        </w:rPr>
        <w:t xml:space="preserve">is covered by a separate </w:t>
      </w:r>
      <w:r w:rsidR="00C1437E" w:rsidRPr="00F204D4">
        <w:rPr>
          <w:rFonts w:asciiTheme="majorBidi" w:hAnsiTheme="majorBidi" w:cstheme="majorBidi"/>
        </w:rPr>
        <w:t xml:space="preserve">ICR (see OMB Control No. 2070-0028, Recordkeeping Requirements for Producers of Pesticides under Section 8 of FIFRA). That information collection includes the paperwork burden associated with the storage of </w:t>
      </w:r>
      <w:r w:rsidR="00C1437E">
        <w:rPr>
          <w:rFonts w:asciiTheme="majorBidi" w:hAnsiTheme="majorBidi" w:cstheme="majorBidi"/>
        </w:rPr>
        <w:t xml:space="preserve">study </w:t>
      </w:r>
      <w:r w:rsidR="00C1437E" w:rsidRPr="00F204D4">
        <w:rPr>
          <w:rFonts w:asciiTheme="majorBidi" w:hAnsiTheme="majorBidi" w:cstheme="majorBidi"/>
        </w:rPr>
        <w:t xml:space="preserve">documents developed in accordance with Good Laboratory Practice Standards. </w:t>
      </w:r>
      <w:r w:rsidR="00C1437E">
        <w:rPr>
          <w:rFonts w:asciiTheme="majorBidi" w:hAnsiTheme="majorBidi" w:cstheme="majorBidi"/>
        </w:rPr>
        <w:t xml:space="preserve">Likewise, the </w:t>
      </w:r>
      <w:r w:rsidR="00C1437E" w:rsidRPr="00F204D4">
        <w:rPr>
          <w:rFonts w:asciiTheme="majorBidi" w:hAnsiTheme="majorBidi" w:cstheme="majorBidi"/>
        </w:rPr>
        <w:t>paperwork burden for tolerance petitions is not included in the estimates for this ICR</w:t>
      </w:r>
      <w:r w:rsidR="00C1437E">
        <w:rPr>
          <w:rFonts w:asciiTheme="majorBidi" w:hAnsiTheme="majorBidi" w:cstheme="majorBidi"/>
        </w:rPr>
        <w:t xml:space="preserve"> because </w:t>
      </w:r>
      <w:r w:rsidR="00C1437E" w:rsidRPr="00F204D4">
        <w:rPr>
          <w:rFonts w:asciiTheme="majorBidi" w:hAnsiTheme="majorBidi" w:cstheme="majorBidi"/>
        </w:rPr>
        <w:t xml:space="preserve">they are covered in a separate ICR </w:t>
      </w:r>
      <w:r w:rsidR="00C1437E">
        <w:rPr>
          <w:rFonts w:asciiTheme="majorBidi" w:hAnsiTheme="majorBidi" w:cstheme="majorBidi"/>
        </w:rPr>
        <w:t>(see</w:t>
      </w:r>
      <w:r w:rsidR="00C1437E" w:rsidRPr="00F204D4">
        <w:rPr>
          <w:rFonts w:asciiTheme="majorBidi" w:hAnsiTheme="majorBidi" w:cstheme="majorBidi"/>
        </w:rPr>
        <w:t xml:space="preserve"> OMB </w:t>
      </w:r>
      <w:r w:rsidR="003F0E9A">
        <w:rPr>
          <w:rFonts w:asciiTheme="majorBidi" w:hAnsiTheme="majorBidi" w:cstheme="majorBidi"/>
        </w:rPr>
        <w:t xml:space="preserve">Control </w:t>
      </w:r>
      <w:r w:rsidR="00C1437E" w:rsidRPr="00F204D4">
        <w:rPr>
          <w:rFonts w:asciiTheme="majorBidi" w:hAnsiTheme="majorBidi" w:cstheme="majorBidi"/>
        </w:rPr>
        <w:t xml:space="preserve">No. 2070-0024, Tolerance Petitions for Pesticides on Food/Feed Crops and New Inert Ingredients). </w:t>
      </w:r>
      <w:r w:rsidR="00C1437E">
        <w:rPr>
          <w:rFonts w:asciiTheme="majorBidi" w:hAnsiTheme="majorBidi" w:cstheme="majorBidi"/>
        </w:rPr>
        <w:t>Th</w:t>
      </w:r>
      <w:r w:rsidR="00C1437E" w:rsidRPr="00F204D4">
        <w:rPr>
          <w:rFonts w:asciiTheme="majorBidi" w:hAnsiTheme="majorBidi" w:cstheme="majorBidi"/>
        </w:rPr>
        <w:t>at ICR</w:t>
      </w:r>
      <w:r w:rsidR="00C1437E">
        <w:rPr>
          <w:rFonts w:asciiTheme="majorBidi" w:hAnsiTheme="majorBidi" w:cstheme="majorBidi"/>
        </w:rPr>
        <w:t xml:space="preserve"> </w:t>
      </w:r>
      <w:r w:rsidR="00C1437E" w:rsidRPr="00F204D4">
        <w:rPr>
          <w:rFonts w:asciiTheme="majorBidi" w:hAnsiTheme="majorBidi" w:cstheme="majorBidi"/>
        </w:rPr>
        <w:t>include</w:t>
      </w:r>
      <w:r w:rsidR="000E6472">
        <w:rPr>
          <w:rFonts w:asciiTheme="majorBidi" w:hAnsiTheme="majorBidi" w:cstheme="majorBidi"/>
        </w:rPr>
        <w:t>s</w:t>
      </w:r>
      <w:r w:rsidR="00C1437E" w:rsidRPr="00F204D4">
        <w:rPr>
          <w:rFonts w:asciiTheme="majorBidi" w:hAnsiTheme="majorBidi" w:cstheme="majorBidi"/>
        </w:rPr>
        <w:t xml:space="preserve"> the paperwork </w:t>
      </w:r>
      <w:r w:rsidR="00C1437E">
        <w:rPr>
          <w:rFonts w:asciiTheme="majorBidi" w:hAnsiTheme="majorBidi" w:cstheme="majorBidi"/>
        </w:rPr>
        <w:t xml:space="preserve">burden or costs for </w:t>
      </w:r>
      <w:r w:rsidR="00C1437E" w:rsidRPr="00F204D4">
        <w:rPr>
          <w:rFonts w:asciiTheme="majorBidi" w:hAnsiTheme="majorBidi" w:cstheme="majorBidi"/>
        </w:rPr>
        <w:t>studies required under 40 CFR 158</w:t>
      </w:r>
      <w:r w:rsidR="00C1437E">
        <w:rPr>
          <w:rFonts w:asciiTheme="majorBidi" w:hAnsiTheme="majorBidi" w:cstheme="majorBidi"/>
        </w:rPr>
        <w:t xml:space="preserve">, i.e., the </w:t>
      </w:r>
      <w:r w:rsidR="00C1437E" w:rsidRPr="00F204D4">
        <w:rPr>
          <w:rFonts w:asciiTheme="majorBidi" w:hAnsiTheme="majorBidi" w:cstheme="majorBidi"/>
        </w:rPr>
        <w:t>cost of residue data</w:t>
      </w:r>
      <w:r w:rsidR="00C1437E">
        <w:rPr>
          <w:rFonts w:asciiTheme="majorBidi" w:hAnsiTheme="majorBidi" w:cstheme="majorBidi"/>
        </w:rPr>
        <w:t>, which E</w:t>
      </w:r>
      <w:r w:rsidR="00C1437E" w:rsidRPr="00F204D4">
        <w:rPr>
          <w:rFonts w:asciiTheme="majorBidi" w:hAnsiTheme="majorBidi" w:cstheme="majorBidi"/>
        </w:rPr>
        <w:t>PA has chosen to include in th</w:t>
      </w:r>
      <w:r w:rsidR="00D35AD3">
        <w:rPr>
          <w:rFonts w:asciiTheme="majorBidi" w:hAnsiTheme="majorBidi" w:cstheme="majorBidi"/>
        </w:rPr>
        <w:t>e Tolerance Petitions</w:t>
      </w:r>
      <w:r w:rsidR="00C1437E" w:rsidRPr="00F204D4">
        <w:rPr>
          <w:rFonts w:asciiTheme="majorBidi" w:hAnsiTheme="majorBidi" w:cstheme="majorBidi"/>
        </w:rPr>
        <w:t xml:space="preserve"> ICR</w:t>
      </w:r>
      <w:r w:rsidR="00D35AD3">
        <w:rPr>
          <w:rFonts w:asciiTheme="majorBidi" w:hAnsiTheme="majorBidi" w:cstheme="majorBidi"/>
        </w:rPr>
        <w:t xml:space="preserve"> </w:t>
      </w:r>
      <w:r w:rsidR="00C1437E" w:rsidRPr="00F204D4">
        <w:rPr>
          <w:rFonts w:asciiTheme="majorBidi" w:hAnsiTheme="majorBidi" w:cstheme="majorBidi"/>
        </w:rPr>
        <w:t>in order to avoid double counting</w:t>
      </w:r>
      <w:r w:rsidR="00C1437E">
        <w:rPr>
          <w:rFonts w:asciiTheme="majorBidi" w:hAnsiTheme="majorBidi" w:cstheme="majorBidi"/>
        </w:rPr>
        <w:t>.</w:t>
      </w:r>
      <w:r w:rsidR="003F0E9A">
        <w:rPr>
          <w:rFonts w:asciiTheme="majorBidi" w:hAnsiTheme="majorBidi" w:cstheme="majorBidi"/>
        </w:rPr>
        <w:t xml:space="preserve"> </w:t>
      </w:r>
      <w:r w:rsidR="00D35AD3">
        <w:rPr>
          <w:rFonts w:asciiTheme="majorBidi" w:hAnsiTheme="majorBidi" w:cstheme="majorBidi"/>
        </w:rPr>
        <w:t xml:space="preserve">This includes studies that are submitted with an application for registration of a new food use for a registered pesticide active ingredient. </w:t>
      </w:r>
      <w:r w:rsidR="003F0E9A" w:rsidRPr="00F204D4">
        <w:rPr>
          <w:rFonts w:asciiTheme="majorBidi" w:hAnsiTheme="majorBidi" w:cstheme="majorBidi"/>
        </w:rPr>
        <w:t xml:space="preserve">The </w:t>
      </w:r>
      <w:r w:rsidR="003F0E9A" w:rsidRPr="00F204D4">
        <w:rPr>
          <w:rFonts w:asciiTheme="majorBidi" w:eastAsia="Calibri" w:hAnsiTheme="majorBidi" w:cstheme="majorBidi"/>
        </w:rPr>
        <w:t xml:space="preserve">paperwork burden hours and costs </w:t>
      </w:r>
      <w:r w:rsidR="003F0E9A" w:rsidRPr="00F204D4">
        <w:rPr>
          <w:rFonts w:asciiTheme="majorBidi" w:hAnsiTheme="majorBidi" w:cstheme="majorBidi"/>
        </w:rPr>
        <w:t>associated with</w:t>
      </w:r>
      <w:r w:rsidR="003F0E9A" w:rsidRPr="00F204D4">
        <w:rPr>
          <w:rFonts w:asciiTheme="majorBidi" w:eastAsia="Calibri" w:hAnsiTheme="majorBidi" w:cstheme="majorBidi"/>
        </w:rPr>
        <w:t xml:space="preserve"> the </w:t>
      </w:r>
      <w:r w:rsidR="003F0E9A" w:rsidRPr="00F204D4">
        <w:rPr>
          <w:rFonts w:asciiTheme="majorBidi" w:eastAsia="Calibri" w:hAnsiTheme="majorBidi" w:cstheme="majorBidi"/>
        </w:rPr>
        <w:lastRenderedPageBreak/>
        <w:t>pesticide registration fee programs</w:t>
      </w:r>
      <w:r w:rsidR="003F0E9A" w:rsidRPr="00F204D4">
        <w:rPr>
          <w:rFonts w:asciiTheme="majorBidi" w:hAnsiTheme="majorBidi" w:cstheme="majorBidi"/>
        </w:rPr>
        <w:t xml:space="preserve"> are covered under a separate information collection titled Pesticide Registration Fees Program (OMB Control </w:t>
      </w:r>
      <w:r w:rsidR="003F0E9A">
        <w:rPr>
          <w:rFonts w:asciiTheme="majorBidi" w:hAnsiTheme="majorBidi" w:cstheme="majorBidi"/>
        </w:rPr>
        <w:t>No.</w:t>
      </w:r>
      <w:r w:rsidR="003F0E9A" w:rsidRPr="00F204D4">
        <w:rPr>
          <w:rFonts w:asciiTheme="majorBidi" w:hAnsiTheme="majorBidi" w:cstheme="majorBidi"/>
        </w:rPr>
        <w:t xml:space="preserve"> 2070-0179)</w:t>
      </w:r>
      <w:r w:rsidR="003F0E9A" w:rsidRPr="00F204D4">
        <w:rPr>
          <w:rFonts w:asciiTheme="majorBidi" w:eastAsia="Calibri" w:hAnsiTheme="majorBidi" w:cstheme="majorBidi"/>
        </w:rPr>
        <w:t>.</w:t>
      </w:r>
    </w:p>
    <w:p w14:paraId="50D2D366" w14:textId="77777777" w:rsidR="00C565FB" w:rsidRDefault="00C565FB" w:rsidP="00C565FB">
      <w:pPr>
        <w:keepNext/>
        <w:ind w:firstLine="720"/>
        <w:rPr>
          <w:rFonts w:asciiTheme="majorBidi" w:hAnsiTheme="majorBidi" w:cstheme="majorBidi"/>
        </w:rPr>
      </w:pPr>
    </w:p>
    <w:p w14:paraId="479A17E0" w14:textId="77777777" w:rsidR="00D636E3" w:rsidRDefault="00C1437E" w:rsidP="00C565FB">
      <w:pPr>
        <w:keepNext/>
        <w:ind w:firstLine="720"/>
        <w:rPr>
          <w:rFonts w:asciiTheme="majorBidi" w:hAnsiTheme="majorBidi" w:cstheme="majorBidi"/>
        </w:rPr>
      </w:pPr>
      <w:r>
        <w:rPr>
          <w:rFonts w:asciiTheme="majorBidi" w:hAnsiTheme="majorBidi" w:cstheme="majorBidi"/>
        </w:rPr>
        <w:t xml:space="preserve">The Panel’s comments focused on the inclusion of adequate burden and costs and activities associated with the 2013 final rule that established 40 CFR part 158 Subpart W to consolidate the data requirements for antimicrobial pesticides in one place. Some comments echoed concern raised for the proposed rule that were addressed in the final rule. For example, </w:t>
      </w:r>
      <w:r w:rsidR="00D636E3">
        <w:rPr>
          <w:rFonts w:asciiTheme="majorBidi" w:hAnsiTheme="majorBidi" w:cstheme="majorBidi"/>
        </w:rPr>
        <w:t>consultation on studies or protocols is not required; it remains a long standing practice for EPA to provide assistance whenever circumstances warrant or the registrant requests it. This practice occurs on a case-by-case basis and is not an information collection activity.</w:t>
      </w:r>
    </w:p>
    <w:p w14:paraId="6C11AD74" w14:textId="77777777" w:rsidR="009227BF" w:rsidRDefault="009227BF" w:rsidP="00C565FB">
      <w:pPr>
        <w:keepNext/>
        <w:ind w:firstLine="720"/>
        <w:rPr>
          <w:rFonts w:asciiTheme="majorBidi" w:hAnsiTheme="majorBidi" w:cstheme="majorBidi"/>
        </w:rPr>
      </w:pPr>
    </w:p>
    <w:p w14:paraId="37BB5898" w14:textId="77777777" w:rsidR="003F0E9A" w:rsidRDefault="009227BF" w:rsidP="00C565FB">
      <w:pPr>
        <w:keepNext/>
        <w:ind w:firstLine="720"/>
        <w:rPr>
          <w:rFonts w:asciiTheme="majorBidi" w:hAnsiTheme="majorBidi" w:cstheme="majorBidi"/>
        </w:rPr>
      </w:pPr>
      <w:r w:rsidRPr="00F204D4">
        <w:rPr>
          <w:rFonts w:asciiTheme="majorBidi" w:hAnsiTheme="majorBidi" w:cstheme="majorBidi"/>
        </w:rPr>
        <w:t xml:space="preserve">Regarding the costs to generate the required studies, the EPA believes Bayer’s method of calculating the burden of new A.I. development </w:t>
      </w:r>
      <w:r>
        <w:rPr>
          <w:rFonts w:asciiTheme="majorBidi" w:hAnsiTheme="majorBidi" w:cstheme="majorBidi"/>
        </w:rPr>
        <w:t xml:space="preserve">significantly </w:t>
      </w:r>
      <w:r w:rsidRPr="00F204D4">
        <w:rPr>
          <w:rFonts w:asciiTheme="majorBidi" w:hAnsiTheme="majorBidi" w:cstheme="majorBidi"/>
        </w:rPr>
        <w:t xml:space="preserve">overestimates the cost. The EPA believes Bayer simply added the cost of all tests for each of the science disciplines (ecological effects, environmental fate, health effects, product chemistry, and residue chemistry) without regard to the use patterns. </w:t>
      </w:r>
      <w:r>
        <w:rPr>
          <w:rFonts w:asciiTheme="majorBidi" w:hAnsiTheme="majorBidi" w:cstheme="majorBidi"/>
        </w:rPr>
        <w:t>Since d</w:t>
      </w:r>
      <w:r w:rsidRPr="00F204D4">
        <w:rPr>
          <w:rFonts w:asciiTheme="majorBidi" w:hAnsiTheme="majorBidi" w:cstheme="majorBidi"/>
        </w:rPr>
        <w:t>ata may or may not be required for a particular use pattern, as indicated in the data requirement tables</w:t>
      </w:r>
      <w:r>
        <w:rPr>
          <w:rFonts w:asciiTheme="majorBidi" w:hAnsiTheme="majorBidi" w:cstheme="majorBidi"/>
        </w:rPr>
        <w:t xml:space="preserve">, </w:t>
      </w:r>
      <w:r w:rsidR="003F0E9A">
        <w:rPr>
          <w:rFonts w:asciiTheme="majorBidi" w:hAnsiTheme="majorBidi" w:cstheme="majorBidi"/>
        </w:rPr>
        <w:t xml:space="preserve">the </w:t>
      </w:r>
      <w:r w:rsidRPr="00F204D4">
        <w:rPr>
          <w:rFonts w:asciiTheme="majorBidi" w:hAnsiTheme="majorBidi" w:cstheme="majorBidi"/>
        </w:rPr>
        <w:t>cost for data generation</w:t>
      </w:r>
      <w:r w:rsidR="003F0E9A">
        <w:rPr>
          <w:rFonts w:asciiTheme="majorBidi" w:hAnsiTheme="majorBidi" w:cstheme="majorBidi"/>
        </w:rPr>
        <w:t xml:space="preserve"> must first be estimated </w:t>
      </w:r>
      <w:r w:rsidRPr="00F204D4">
        <w:rPr>
          <w:rFonts w:asciiTheme="majorBidi" w:hAnsiTheme="majorBidi" w:cstheme="majorBidi"/>
        </w:rPr>
        <w:t>for each use pattern, and then averaged over the use patterns. As reflected in 40 CFR 158, the use patterns the EPA used are terrestrial (food, feed, nonfood), aquatic (food, nonfood), greenhouse (food, nonfood), forestry, residential (indoor, outdoor), indoor (food, nonfood), and industrial uses (the parenthesis represent further granulation, e.g., a greenhouse food use is considered separate</w:t>
      </w:r>
      <w:r w:rsidR="003F0E9A">
        <w:rPr>
          <w:rFonts w:asciiTheme="majorBidi" w:hAnsiTheme="majorBidi" w:cstheme="majorBidi"/>
        </w:rPr>
        <w:t>ly from greenhouse nonfood use)</w:t>
      </w:r>
      <w:r w:rsidRPr="00F204D4">
        <w:rPr>
          <w:rFonts w:asciiTheme="majorBidi" w:hAnsiTheme="majorBidi" w:cstheme="majorBidi"/>
        </w:rPr>
        <w:t>.</w:t>
      </w:r>
      <w:r w:rsidR="003F0E9A">
        <w:rPr>
          <w:rFonts w:asciiTheme="majorBidi" w:hAnsiTheme="majorBidi" w:cstheme="majorBidi"/>
        </w:rPr>
        <w:t xml:space="preserve"> </w:t>
      </w:r>
    </w:p>
    <w:p w14:paraId="79363A4B" w14:textId="77777777" w:rsidR="003F0E9A" w:rsidRDefault="003F0E9A" w:rsidP="00C565FB">
      <w:pPr>
        <w:keepNext/>
        <w:ind w:firstLine="720"/>
        <w:rPr>
          <w:rFonts w:asciiTheme="majorBidi" w:hAnsiTheme="majorBidi" w:cstheme="majorBidi"/>
        </w:rPr>
      </w:pPr>
    </w:p>
    <w:p w14:paraId="7D383379" w14:textId="306745B6" w:rsidR="009227BF" w:rsidRDefault="003F0E9A" w:rsidP="00C565FB">
      <w:pPr>
        <w:keepNext/>
        <w:ind w:firstLine="720"/>
        <w:rPr>
          <w:rFonts w:asciiTheme="majorBidi" w:hAnsiTheme="majorBidi" w:cstheme="majorBidi"/>
        </w:rPr>
      </w:pPr>
      <w:r>
        <w:rPr>
          <w:rFonts w:asciiTheme="majorBidi" w:hAnsiTheme="majorBidi" w:cstheme="majorBidi"/>
        </w:rPr>
        <w:t>The test costs are periodically updated and represent the study cost that would be sought by an independent laboratory hired to conduct the study. Laboratories consulted are provided with study protocols and asked to provide a high and low estimate. Without comparable information that can be reproduced and is reliable, EPA did not change these estimates.</w:t>
      </w:r>
    </w:p>
    <w:p w14:paraId="02F8FB96" w14:textId="77777777" w:rsidR="00D636E3" w:rsidRDefault="00D636E3" w:rsidP="00C565FB">
      <w:pPr>
        <w:keepNext/>
        <w:ind w:firstLine="720"/>
        <w:rPr>
          <w:rFonts w:asciiTheme="majorBidi" w:hAnsiTheme="majorBidi" w:cstheme="majorBidi"/>
        </w:rPr>
      </w:pPr>
    </w:p>
    <w:p w14:paraId="137A452A" w14:textId="3C63AE59" w:rsidR="009227BF" w:rsidRDefault="009227BF" w:rsidP="00C565FB">
      <w:pPr>
        <w:keepNext/>
        <w:ind w:firstLine="720"/>
        <w:rPr>
          <w:rFonts w:asciiTheme="majorBidi" w:hAnsiTheme="majorBidi" w:cstheme="majorBidi"/>
        </w:rPr>
      </w:pPr>
      <w:r w:rsidRPr="00F204D4">
        <w:rPr>
          <w:rFonts w:asciiTheme="majorBidi" w:hAnsiTheme="majorBidi" w:cstheme="majorBidi"/>
        </w:rPr>
        <w:t xml:space="preserve">Prior to submitting comments, Bayer </w:t>
      </w:r>
      <w:r>
        <w:rPr>
          <w:rFonts w:asciiTheme="majorBidi" w:hAnsiTheme="majorBidi" w:cstheme="majorBidi"/>
        </w:rPr>
        <w:t>asked EPA</w:t>
      </w:r>
      <w:r w:rsidR="00337EAD">
        <w:rPr>
          <w:rFonts w:asciiTheme="majorBidi" w:hAnsiTheme="majorBidi" w:cstheme="majorBidi"/>
        </w:rPr>
        <w:t xml:space="preserve"> to</w:t>
      </w:r>
      <w:r>
        <w:rPr>
          <w:rFonts w:asciiTheme="majorBidi" w:hAnsiTheme="majorBidi" w:cstheme="majorBidi"/>
        </w:rPr>
        <w:t xml:space="preserve"> </w:t>
      </w:r>
      <w:r w:rsidRPr="00F204D4">
        <w:rPr>
          <w:rFonts w:asciiTheme="majorBidi" w:hAnsiTheme="majorBidi" w:cstheme="majorBidi"/>
        </w:rPr>
        <w:t xml:space="preserve">provide </w:t>
      </w:r>
      <w:r>
        <w:rPr>
          <w:rFonts w:asciiTheme="majorBidi" w:hAnsiTheme="majorBidi" w:cstheme="majorBidi"/>
        </w:rPr>
        <w:t xml:space="preserve">additional information </w:t>
      </w:r>
      <w:r w:rsidRPr="00F204D4">
        <w:rPr>
          <w:rFonts w:asciiTheme="majorBidi" w:hAnsiTheme="majorBidi" w:cstheme="majorBidi"/>
        </w:rPr>
        <w:t xml:space="preserve">supporting a statement in </w:t>
      </w:r>
      <w:r>
        <w:rPr>
          <w:rFonts w:asciiTheme="majorBidi" w:hAnsiTheme="majorBidi" w:cstheme="majorBidi"/>
        </w:rPr>
        <w:t>unit</w:t>
      </w:r>
      <w:r w:rsidRPr="00F204D4">
        <w:rPr>
          <w:rFonts w:asciiTheme="majorBidi" w:hAnsiTheme="majorBidi" w:cstheme="majorBidi"/>
        </w:rPr>
        <w:t xml:space="preserve"> 3(e) of the draft supporting statement</w:t>
      </w:r>
      <w:r>
        <w:rPr>
          <w:rFonts w:asciiTheme="majorBidi" w:hAnsiTheme="majorBidi" w:cstheme="majorBidi"/>
        </w:rPr>
        <w:t xml:space="preserve">, which indicated that </w:t>
      </w:r>
      <w:r w:rsidRPr="00F204D4">
        <w:rPr>
          <w:rFonts w:asciiTheme="majorBidi" w:hAnsiTheme="majorBidi" w:cstheme="majorBidi"/>
        </w:rPr>
        <w:t xml:space="preserve">general OMB guidelines for third party disclosure requirements </w:t>
      </w:r>
      <w:r>
        <w:rPr>
          <w:rFonts w:asciiTheme="majorBidi" w:hAnsiTheme="majorBidi" w:cstheme="majorBidi"/>
        </w:rPr>
        <w:t xml:space="preserve">did not apply to </w:t>
      </w:r>
      <w:r w:rsidRPr="00F204D4">
        <w:rPr>
          <w:rFonts w:asciiTheme="majorBidi" w:hAnsiTheme="majorBidi" w:cstheme="majorBidi"/>
        </w:rPr>
        <w:t xml:space="preserve">labeling </w:t>
      </w:r>
      <w:r>
        <w:rPr>
          <w:rFonts w:asciiTheme="majorBidi" w:hAnsiTheme="majorBidi" w:cstheme="majorBidi"/>
        </w:rPr>
        <w:t>of pesticide products</w:t>
      </w:r>
      <w:r w:rsidRPr="00F204D4">
        <w:rPr>
          <w:rFonts w:asciiTheme="majorBidi" w:hAnsiTheme="majorBidi" w:cstheme="majorBidi"/>
        </w:rPr>
        <w:t xml:space="preserve">. The Agency has revised relevant sections of this ICR, including </w:t>
      </w:r>
      <w:r>
        <w:rPr>
          <w:rFonts w:asciiTheme="majorBidi" w:hAnsiTheme="majorBidi" w:cstheme="majorBidi"/>
        </w:rPr>
        <w:t>unit</w:t>
      </w:r>
      <w:r w:rsidRPr="00F204D4">
        <w:rPr>
          <w:rFonts w:asciiTheme="majorBidi" w:hAnsiTheme="majorBidi" w:cstheme="majorBidi"/>
        </w:rPr>
        <w:t xml:space="preserve"> 3(e), to clarify the basis for the conclusion that the third party disclosure </w:t>
      </w:r>
      <w:r>
        <w:rPr>
          <w:rFonts w:asciiTheme="majorBidi" w:hAnsiTheme="majorBidi" w:cstheme="majorBidi"/>
        </w:rPr>
        <w:t xml:space="preserve">provision do not apply to </w:t>
      </w:r>
      <w:r w:rsidRPr="00F204D4">
        <w:rPr>
          <w:rFonts w:asciiTheme="majorBidi" w:hAnsiTheme="majorBidi" w:cstheme="majorBidi"/>
        </w:rPr>
        <w:t>displaying specific product information on pesticide labeling</w:t>
      </w:r>
      <w:r>
        <w:rPr>
          <w:rFonts w:asciiTheme="majorBidi" w:hAnsiTheme="majorBidi" w:cstheme="majorBidi"/>
        </w:rPr>
        <w:t xml:space="preserve">. Pesticide labels must meet EPA requirements, contain specifically established language, and be approved by EPA. The burden and cost associated with labeling aspects of the application are accounted for in this ICR, but the provision of a label on the product for the intended user is not because the later does not qualify as </w:t>
      </w:r>
      <w:r w:rsidRPr="00F204D4">
        <w:rPr>
          <w:rFonts w:asciiTheme="majorBidi" w:hAnsiTheme="majorBidi" w:cstheme="majorBidi"/>
        </w:rPr>
        <w:t>a collection of information</w:t>
      </w:r>
      <w:r>
        <w:rPr>
          <w:rFonts w:asciiTheme="majorBidi" w:hAnsiTheme="majorBidi" w:cstheme="majorBidi"/>
        </w:rPr>
        <w:t xml:space="preserve"> under the terms of the PRA</w:t>
      </w:r>
      <w:r w:rsidRPr="00F204D4">
        <w:rPr>
          <w:rFonts w:asciiTheme="majorBidi" w:hAnsiTheme="majorBidi" w:cstheme="majorBidi"/>
        </w:rPr>
        <w:t>. The EPA has posted Bayer’s request and our response email in the docket (</w:t>
      </w:r>
      <w:r w:rsidRPr="00F204D4">
        <w:rPr>
          <w:rFonts w:asciiTheme="majorBidi" w:hAnsiTheme="majorBidi" w:cstheme="majorBidi"/>
          <w:b/>
          <w:bCs/>
        </w:rPr>
        <w:t>Attachment L</w:t>
      </w:r>
      <w:r w:rsidRPr="00F204D4">
        <w:rPr>
          <w:rFonts w:asciiTheme="majorBidi" w:hAnsiTheme="majorBidi" w:cstheme="majorBidi"/>
        </w:rPr>
        <w:t>).</w:t>
      </w:r>
    </w:p>
    <w:p w14:paraId="128D8CA3" w14:textId="77777777" w:rsidR="009227BF" w:rsidRDefault="009227BF" w:rsidP="00C565FB">
      <w:pPr>
        <w:keepNext/>
        <w:ind w:firstLine="720"/>
        <w:rPr>
          <w:rFonts w:asciiTheme="majorBidi" w:hAnsiTheme="majorBidi" w:cstheme="majorBidi"/>
        </w:rPr>
      </w:pPr>
    </w:p>
    <w:p w14:paraId="621E846E" w14:textId="2EF25575" w:rsidR="00D636E3" w:rsidRDefault="00D636E3" w:rsidP="00C565FB">
      <w:pPr>
        <w:keepNext/>
        <w:ind w:firstLine="720"/>
        <w:rPr>
          <w:rFonts w:asciiTheme="majorBidi" w:hAnsiTheme="majorBidi" w:cstheme="majorBidi"/>
        </w:rPr>
      </w:pPr>
      <w:r>
        <w:rPr>
          <w:rFonts w:asciiTheme="majorBidi" w:hAnsiTheme="majorBidi" w:cstheme="majorBidi"/>
        </w:rPr>
        <w:t>The discussion in unit</w:t>
      </w:r>
      <w:r w:rsidRPr="00F204D4">
        <w:rPr>
          <w:rFonts w:asciiTheme="majorBidi" w:hAnsiTheme="majorBidi" w:cstheme="majorBidi"/>
        </w:rPr>
        <w:t xml:space="preserve"> 3(e) of this ICR (the </w:t>
      </w:r>
      <w:r w:rsidRPr="00F204D4">
        <w:rPr>
          <w:bCs/>
          <w:i/>
          <w:iCs/>
        </w:rPr>
        <w:t>Electronic submissions</w:t>
      </w:r>
      <w:r w:rsidRPr="00F204D4">
        <w:rPr>
          <w:bCs/>
        </w:rPr>
        <w:t xml:space="preserve"> sub</w:t>
      </w:r>
      <w:r w:rsidRPr="00F204D4">
        <w:rPr>
          <w:rFonts w:asciiTheme="majorBidi" w:hAnsiTheme="majorBidi" w:cstheme="majorBidi"/>
          <w:b/>
        </w:rPr>
        <w:t>-s</w:t>
      </w:r>
      <w:r w:rsidRPr="00F204D4">
        <w:rPr>
          <w:rFonts w:asciiTheme="majorBidi" w:hAnsiTheme="majorBidi" w:cstheme="majorBidi"/>
        </w:rPr>
        <w:t xml:space="preserve">ection) has </w:t>
      </w:r>
      <w:r w:rsidR="009227BF">
        <w:rPr>
          <w:rFonts w:asciiTheme="majorBidi" w:hAnsiTheme="majorBidi" w:cstheme="majorBidi"/>
        </w:rPr>
        <w:t xml:space="preserve">also </w:t>
      </w:r>
      <w:r w:rsidRPr="00F204D4">
        <w:rPr>
          <w:rFonts w:asciiTheme="majorBidi" w:hAnsiTheme="majorBidi" w:cstheme="majorBidi"/>
        </w:rPr>
        <w:t>been updated to more fully describe both the anticipated overall burden decrease and the recent changes in the electronic data submission portal.</w:t>
      </w:r>
    </w:p>
    <w:p w14:paraId="3A75190F" w14:textId="3E8CB26C" w:rsidR="00D12983" w:rsidRPr="00F204D4" w:rsidRDefault="001E50BC" w:rsidP="00C565FB">
      <w:pPr>
        <w:keepNext/>
        <w:ind w:firstLine="720"/>
        <w:rPr>
          <w:rFonts w:asciiTheme="majorBidi" w:hAnsiTheme="majorBidi" w:cstheme="majorBidi"/>
        </w:rPr>
      </w:pPr>
      <w:r>
        <w:rPr>
          <w:rFonts w:asciiTheme="majorBidi" w:hAnsiTheme="majorBidi" w:cstheme="majorBidi"/>
        </w:rPr>
        <w:t>As discussed in the Response to Comment document, a</w:t>
      </w:r>
      <w:r w:rsidR="00D12983">
        <w:rPr>
          <w:rFonts w:asciiTheme="majorBidi" w:hAnsiTheme="majorBidi" w:cstheme="majorBidi"/>
        </w:rPr>
        <w:t xml:space="preserve">lthough EPA did not </w:t>
      </w:r>
      <w:r>
        <w:rPr>
          <w:rFonts w:asciiTheme="majorBidi" w:hAnsiTheme="majorBidi" w:cstheme="majorBidi"/>
        </w:rPr>
        <w:t>incorporate the significant increases in burden estimate that were suggested by the commenters, t</w:t>
      </w:r>
      <w:r w:rsidR="00D12983">
        <w:rPr>
          <w:rFonts w:asciiTheme="majorBidi" w:hAnsiTheme="majorBidi" w:cstheme="majorBidi"/>
        </w:rPr>
        <w:t>he Agency is</w:t>
      </w:r>
      <w:r>
        <w:rPr>
          <w:rFonts w:asciiTheme="majorBidi" w:hAnsiTheme="majorBidi" w:cstheme="majorBidi"/>
        </w:rPr>
        <w:t xml:space="preserve"> </w:t>
      </w:r>
      <w:r w:rsidR="00D12983">
        <w:rPr>
          <w:rFonts w:asciiTheme="majorBidi" w:hAnsiTheme="majorBidi" w:cstheme="majorBidi"/>
        </w:rPr>
        <w:t xml:space="preserve">interested in </w:t>
      </w:r>
      <w:r>
        <w:rPr>
          <w:rFonts w:asciiTheme="majorBidi" w:hAnsiTheme="majorBidi" w:cstheme="majorBidi"/>
        </w:rPr>
        <w:t xml:space="preserve">exploring those areas and </w:t>
      </w:r>
      <w:r w:rsidR="00D12983">
        <w:rPr>
          <w:rFonts w:asciiTheme="majorBidi" w:hAnsiTheme="majorBidi" w:cstheme="majorBidi"/>
        </w:rPr>
        <w:t xml:space="preserve">in the context of developing a revised ICR at the next </w:t>
      </w:r>
      <w:r w:rsidR="00D12983">
        <w:rPr>
          <w:rFonts w:asciiTheme="majorBidi" w:hAnsiTheme="majorBidi" w:cstheme="majorBidi"/>
        </w:rPr>
        <w:lastRenderedPageBreak/>
        <w:t xml:space="preserve">renewal cycle, using the 3 years from approval of this ICR to explore </w:t>
      </w:r>
      <w:r>
        <w:rPr>
          <w:rFonts w:asciiTheme="majorBidi" w:hAnsiTheme="majorBidi" w:cstheme="majorBidi"/>
        </w:rPr>
        <w:t xml:space="preserve">and discuss </w:t>
      </w:r>
      <w:r w:rsidR="00D12983">
        <w:rPr>
          <w:rFonts w:asciiTheme="majorBidi" w:hAnsiTheme="majorBidi" w:cstheme="majorBidi"/>
        </w:rPr>
        <w:t>alternatives</w:t>
      </w:r>
      <w:r>
        <w:rPr>
          <w:rFonts w:asciiTheme="majorBidi" w:hAnsiTheme="majorBidi" w:cstheme="majorBidi"/>
        </w:rPr>
        <w:t xml:space="preserve"> with the registrants and other stakeholders</w:t>
      </w:r>
      <w:r w:rsidR="00D12983">
        <w:rPr>
          <w:rFonts w:asciiTheme="majorBidi" w:hAnsiTheme="majorBidi" w:cstheme="majorBidi"/>
        </w:rPr>
        <w:t>.</w:t>
      </w:r>
    </w:p>
    <w:p w14:paraId="036A6BC2" w14:textId="0FE08C95" w:rsidR="006F0B3C" w:rsidRPr="00F204D4" w:rsidRDefault="006F0B3C" w:rsidP="003F0E9A">
      <w:pPr>
        <w:pStyle w:val="NormalWeb"/>
        <w:ind w:firstLine="720"/>
        <w:rPr>
          <w:rFonts w:asciiTheme="majorBidi" w:hAnsiTheme="majorBidi" w:cstheme="majorBidi"/>
        </w:rPr>
      </w:pPr>
    </w:p>
    <w:p w14:paraId="24B4B54A" w14:textId="77777777" w:rsidR="006F0B3C" w:rsidRPr="00F204D4" w:rsidRDefault="006F0B3C" w:rsidP="006F0B3C">
      <w:pPr>
        <w:autoSpaceDE w:val="0"/>
        <w:autoSpaceDN w:val="0"/>
        <w:adjustRightInd w:val="0"/>
        <w:ind w:firstLine="720"/>
        <w:rPr>
          <w:rFonts w:asciiTheme="majorBidi" w:hAnsiTheme="majorBidi" w:cstheme="majorBidi"/>
        </w:rPr>
      </w:pPr>
    </w:p>
    <w:p w14:paraId="6C876E80" w14:textId="77777777" w:rsidR="00C15D86" w:rsidRPr="00F204D4" w:rsidRDefault="00C47DDD">
      <w:pPr>
        <w:autoSpaceDE w:val="0"/>
        <w:autoSpaceDN w:val="0"/>
        <w:adjustRightInd w:val="0"/>
        <w:rPr>
          <w:rFonts w:asciiTheme="majorBidi" w:hAnsiTheme="majorBidi" w:cstheme="majorBidi"/>
          <w:b/>
        </w:rPr>
      </w:pPr>
      <w:r w:rsidRPr="00F204D4">
        <w:rPr>
          <w:rFonts w:asciiTheme="majorBidi" w:hAnsiTheme="majorBidi" w:cstheme="majorBidi"/>
          <w:color w:val="000000"/>
        </w:rPr>
        <w:tab/>
      </w:r>
      <w:r w:rsidRPr="00F204D4">
        <w:rPr>
          <w:rFonts w:asciiTheme="majorBidi" w:hAnsiTheme="majorBidi" w:cstheme="majorBidi"/>
          <w:b/>
        </w:rPr>
        <w:t>3(c)</w:t>
      </w:r>
      <w:r w:rsidRPr="00F204D4">
        <w:rPr>
          <w:rFonts w:asciiTheme="majorBidi" w:hAnsiTheme="majorBidi" w:cstheme="majorBidi"/>
          <w:b/>
        </w:rPr>
        <w:tab/>
        <w:t>Consultations</w:t>
      </w:r>
    </w:p>
    <w:p w14:paraId="22A71C03" w14:textId="77777777" w:rsidR="00C15D86" w:rsidRPr="00F204D4" w:rsidRDefault="00C15D86">
      <w:pPr>
        <w:rPr>
          <w:rFonts w:asciiTheme="majorBidi" w:hAnsiTheme="majorBidi" w:cstheme="majorBidi"/>
        </w:rPr>
      </w:pPr>
    </w:p>
    <w:p w14:paraId="16C50A45" w14:textId="6E2687B5" w:rsidR="00704668" w:rsidRPr="00F204D4" w:rsidRDefault="0015567E" w:rsidP="00D37E1C">
      <w:pPr>
        <w:pStyle w:val="Default"/>
        <w:ind w:firstLine="720"/>
        <w:rPr>
          <w:rFonts w:asciiTheme="majorBidi" w:hAnsiTheme="majorBidi" w:cstheme="majorBidi"/>
        </w:rPr>
      </w:pPr>
      <w:r w:rsidRPr="00F204D4">
        <w:rPr>
          <w:rFonts w:asciiTheme="majorBidi" w:hAnsiTheme="majorBidi" w:cstheme="majorBidi"/>
          <w:lang w:val="en-CA"/>
        </w:rPr>
        <w:t>Under 5 CFR 1320.8(d</w:t>
      </w:r>
      <w:proofErr w:type="gramStart"/>
      <w:r w:rsidRPr="00F204D4">
        <w:rPr>
          <w:rFonts w:asciiTheme="majorBidi" w:hAnsiTheme="majorBidi" w:cstheme="majorBidi"/>
          <w:lang w:val="en-CA"/>
        </w:rPr>
        <w:t>)(</w:t>
      </w:r>
      <w:proofErr w:type="gramEnd"/>
      <w:r w:rsidRPr="00F204D4">
        <w:rPr>
          <w:rFonts w:asciiTheme="majorBidi" w:hAnsiTheme="majorBidi" w:cstheme="majorBidi"/>
          <w:lang w:val="en-CA"/>
        </w:rPr>
        <w:t xml:space="preserve">1), agencies are required to consult with respondents about specific aspects of </w:t>
      </w:r>
      <w:r w:rsidR="00483E44" w:rsidRPr="00F204D4">
        <w:rPr>
          <w:rFonts w:asciiTheme="majorBidi" w:hAnsiTheme="majorBidi" w:cstheme="majorBidi"/>
          <w:lang w:val="en-CA"/>
        </w:rPr>
        <w:t xml:space="preserve">information collection </w:t>
      </w:r>
      <w:r w:rsidRPr="00F204D4">
        <w:rPr>
          <w:rFonts w:asciiTheme="majorBidi" w:hAnsiTheme="majorBidi" w:cstheme="majorBidi"/>
          <w:lang w:val="en-CA"/>
        </w:rPr>
        <w:t xml:space="preserve">before submitting </w:t>
      </w:r>
      <w:r w:rsidR="00B728E1" w:rsidRPr="00F204D4">
        <w:rPr>
          <w:rFonts w:asciiTheme="majorBidi" w:hAnsiTheme="majorBidi" w:cstheme="majorBidi"/>
          <w:lang w:val="en-CA"/>
        </w:rPr>
        <w:t>approval requests</w:t>
      </w:r>
      <w:r w:rsidRPr="00F204D4">
        <w:rPr>
          <w:rFonts w:asciiTheme="majorBidi" w:hAnsiTheme="majorBidi" w:cstheme="majorBidi"/>
          <w:lang w:val="en-CA"/>
        </w:rPr>
        <w:t xml:space="preserve"> to OMB.</w:t>
      </w:r>
      <w:r w:rsidR="007841AD" w:rsidRPr="00F204D4">
        <w:rPr>
          <w:rFonts w:asciiTheme="majorBidi" w:hAnsiTheme="majorBidi" w:cstheme="majorBidi"/>
          <w:lang w:val="en-CA"/>
        </w:rPr>
        <w:t xml:space="preserve"> </w:t>
      </w:r>
      <w:r w:rsidRPr="00F204D4">
        <w:rPr>
          <w:rFonts w:asciiTheme="majorBidi" w:hAnsiTheme="majorBidi" w:cstheme="majorBidi"/>
          <w:lang w:val="en-CA"/>
        </w:rPr>
        <w:t>In accordance with this regulation, EPA</w:t>
      </w:r>
      <w:r w:rsidR="00C310BF" w:rsidRPr="00F204D4">
        <w:rPr>
          <w:rFonts w:asciiTheme="majorBidi" w:hAnsiTheme="majorBidi" w:cstheme="majorBidi"/>
          <w:lang w:val="en-CA"/>
        </w:rPr>
        <w:t xml:space="preserve"> </w:t>
      </w:r>
      <w:r w:rsidR="00283E1E" w:rsidRPr="00F204D4">
        <w:rPr>
          <w:rFonts w:asciiTheme="majorBidi" w:hAnsiTheme="majorBidi" w:cstheme="majorBidi"/>
          <w:lang w:val="en-CA"/>
        </w:rPr>
        <w:t>staff contacted</w:t>
      </w:r>
      <w:r w:rsidR="00D52372" w:rsidRPr="00F204D4">
        <w:rPr>
          <w:rFonts w:asciiTheme="majorBidi" w:hAnsiTheme="majorBidi" w:cstheme="majorBidi"/>
          <w:lang w:val="en-CA"/>
        </w:rPr>
        <w:t xml:space="preserve"> </w:t>
      </w:r>
      <w:r w:rsidR="00C310BF" w:rsidRPr="00F204D4">
        <w:rPr>
          <w:rFonts w:asciiTheme="majorBidi" w:hAnsiTheme="majorBidi" w:cstheme="majorBidi"/>
          <w:lang w:val="en-CA"/>
        </w:rPr>
        <w:t>representatives</w:t>
      </w:r>
      <w:r w:rsidR="00283E1E" w:rsidRPr="00F204D4">
        <w:rPr>
          <w:rFonts w:asciiTheme="majorBidi" w:hAnsiTheme="majorBidi" w:cstheme="majorBidi"/>
          <w:lang w:val="en-CA"/>
        </w:rPr>
        <w:t xml:space="preserve"> </w:t>
      </w:r>
      <w:r w:rsidR="00D52372" w:rsidRPr="00F204D4">
        <w:rPr>
          <w:rFonts w:asciiTheme="majorBidi" w:hAnsiTheme="majorBidi" w:cstheme="majorBidi"/>
          <w:lang w:val="en-CA"/>
        </w:rPr>
        <w:t xml:space="preserve">from a cross section of </w:t>
      </w:r>
      <w:r w:rsidR="00D37E1C" w:rsidRPr="00F204D4">
        <w:rPr>
          <w:rFonts w:asciiTheme="majorBidi" w:hAnsiTheme="majorBidi" w:cstheme="majorBidi"/>
          <w:lang w:val="en-CA"/>
        </w:rPr>
        <w:t>stakeholder</w:t>
      </w:r>
      <w:r w:rsidR="00D52372" w:rsidRPr="00F204D4">
        <w:rPr>
          <w:rFonts w:asciiTheme="majorBidi" w:hAnsiTheme="majorBidi" w:cstheme="majorBidi"/>
          <w:lang w:val="en-CA"/>
        </w:rPr>
        <w:t xml:space="preserve">s </w:t>
      </w:r>
      <w:r w:rsidR="00D37E1C" w:rsidRPr="00F204D4">
        <w:rPr>
          <w:rFonts w:asciiTheme="majorBidi" w:hAnsiTheme="majorBidi" w:cstheme="majorBidi"/>
          <w:lang w:val="en-CA"/>
        </w:rPr>
        <w:t>to seek</w:t>
      </w:r>
      <w:r w:rsidR="00B728E1" w:rsidRPr="00F204D4">
        <w:rPr>
          <w:rFonts w:asciiTheme="majorBidi" w:hAnsiTheme="majorBidi" w:cstheme="majorBidi"/>
          <w:lang w:val="en-CA"/>
        </w:rPr>
        <w:t xml:space="preserve"> </w:t>
      </w:r>
      <w:r w:rsidR="00283E1E" w:rsidRPr="00F204D4">
        <w:rPr>
          <w:rFonts w:asciiTheme="majorBidi" w:hAnsiTheme="majorBidi" w:cstheme="majorBidi"/>
        </w:rPr>
        <w:t xml:space="preserve">feedback </w:t>
      </w:r>
      <w:r w:rsidR="00D37E1C" w:rsidRPr="00F204D4">
        <w:rPr>
          <w:rFonts w:asciiTheme="majorBidi" w:hAnsiTheme="majorBidi" w:cstheme="majorBidi"/>
        </w:rPr>
        <w:t>on the burden estimates in this ICR, and on the clarity of the information collection process</w:t>
      </w:r>
      <w:r w:rsidR="00283E1E" w:rsidRPr="00F204D4">
        <w:rPr>
          <w:rFonts w:asciiTheme="majorBidi" w:hAnsiTheme="majorBidi" w:cstheme="majorBidi"/>
        </w:rPr>
        <w:t>.</w:t>
      </w:r>
      <w:r w:rsidR="00D52372" w:rsidRPr="00F204D4">
        <w:rPr>
          <w:rFonts w:asciiTheme="majorBidi" w:hAnsiTheme="majorBidi" w:cstheme="majorBidi"/>
        </w:rPr>
        <w:t xml:space="preserve"> </w:t>
      </w:r>
      <w:r w:rsidR="00D37E1C" w:rsidRPr="00F204D4">
        <w:rPr>
          <w:rFonts w:asciiTheme="majorBidi" w:hAnsiTheme="majorBidi" w:cstheme="majorBidi"/>
        </w:rPr>
        <w:t>The following three of several companies contacted agreed to receive consultations questions for their responses</w:t>
      </w:r>
      <w:r w:rsidR="00281A6D" w:rsidRPr="00F204D4">
        <w:rPr>
          <w:rFonts w:asciiTheme="majorBidi" w:hAnsiTheme="majorBidi" w:cstheme="majorBidi"/>
        </w:rPr>
        <w:t>:</w:t>
      </w:r>
    </w:p>
    <w:p w14:paraId="14711861" w14:textId="77777777" w:rsidR="00765F61" w:rsidRPr="00F204D4" w:rsidRDefault="00765F61" w:rsidP="00704668">
      <w:pPr>
        <w:ind w:firstLine="720"/>
        <w:rPr>
          <w:rFonts w:asciiTheme="majorBidi" w:hAnsiTheme="majorBidi" w:cstheme="majorBidi"/>
          <w:lang w:val="en-CA"/>
        </w:rPr>
      </w:pPr>
    </w:p>
    <w:p w14:paraId="234C84C8" w14:textId="498EB5A3" w:rsidR="00765F61" w:rsidRPr="00F204D4" w:rsidRDefault="00765F61" w:rsidP="00704668">
      <w:pPr>
        <w:ind w:firstLine="720"/>
        <w:rPr>
          <w:rFonts w:asciiTheme="majorBidi" w:hAnsiTheme="majorBidi" w:cstheme="majorBidi"/>
          <w:lang w:val="en-CA"/>
        </w:rPr>
      </w:pPr>
      <w:r w:rsidRPr="00F204D4">
        <w:rPr>
          <w:rFonts w:asciiTheme="majorBidi" w:hAnsiTheme="majorBidi" w:cstheme="majorBidi"/>
          <w:lang w:val="en-CA"/>
        </w:rPr>
        <w:t>John J. Arthur</w:t>
      </w:r>
    </w:p>
    <w:p w14:paraId="1CBF5235" w14:textId="1AC33D98" w:rsidR="00704668" w:rsidRPr="00F204D4" w:rsidRDefault="00704668" w:rsidP="00704668">
      <w:pPr>
        <w:ind w:firstLine="720"/>
        <w:rPr>
          <w:rFonts w:asciiTheme="majorBidi" w:hAnsiTheme="majorBidi" w:cstheme="majorBidi"/>
          <w:lang w:val="en-CA"/>
        </w:rPr>
      </w:pPr>
      <w:r w:rsidRPr="00F204D4">
        <w:rPr>
          <w:rFonts w:asciiTheme="majorBidi" w:hAnsiTheme="majorBidi" w:cstheme="majorBidi"/>
          <w:lang w:val="en-CA"/>
        </w:rPr>
        <w:t>BASF Corp.</w:t>
      </w:r>
    </w:p>
    <w:p w14:paraId="340407D3" w14:textId="77777777" w:rsidR="00704668" w:rsidRPr="00F204D4" w:rsidRDefault="00704668" w:rsidP="00704668">
      <w:pPr>
        <w:ind w:firstLine="720"/>
        <w:rPr>
          <w:rFonts w:asciiTheme="majorBidi" w:hAnsiTheme="majorBidi" w:cstheme="majorBidi"/>
          <w:lang w:val="en-CA"/>
        </w:rPr>
      </w:pPr>
    </w:p>
    <w:p w14:paraId="6C3A63E1" w14:textId="5A0BDED9" w:rsidR="00765F61" w:rsidRPr="00F204D4" w:rsidRDefault="00765F61" w:rsidP="00704668">
      <w:pPr>
        <w:ind w:firstLine="720"/>
        <w:rPr>
          <w:rFonts w:asciiTheme="majorBidi" w:hAnsiTheme="majorBidi" w:cstheme="majorBidi"/>
          <w:lang w:val="en-CA"/>
        </w:rPr>
      </w:pPr>
      <w:r w:rsidRPr="00F204D4">
        <w:rPr>
          <w:rFonts w:asciiTheme="majorBidi" w:hAnsiTheme="majorBidi" w:cstheme="majorBidi"/>
          <w:lang w:val="en-CA"/>
        </w:rPr>
        <w:t xml:space="preserve">George </w:t>
      </w:r>
      <w:proofErr w:type="spellStart"/>
      <w:r w:rsidRPr="00F204D4">
        <w:rPr>
          <w:rFonts w:asciiTheme="majorBidi" w:hAnsiTheme="majorBidi" w:cstheme="majorBidi"/>
          <w:lang w:val="en-CA"/>
        </w:rPr>
        <w:t>Katsigas</w:t>
      </w:r>
      <w:proofErr w:type="spellEnd"/>
    </w:p>
    <w:p w14:paraId="684939B2" w14:textId="4F00C961" w:rsidR="00765F61" w:rsidRPr="00F204D4" w:rsidRDefault="00765F61" w:rsidP="00704668">
      <w:pPr>
        <w:ind w:firstLine="720"/>
        <w:rPr>
          <w:rFonts w:asciiTheme="majorBidi" w:hAnsiTheme="majorBidi" w:cstheme="majorBidi"/>
        </w:rPr>
      </w:pPr>
      <w:r w:rsidRPr="00F204D4">
        <w:rPr>
          <w:rFonts w:asciiTheme="majorBidi" w:hAnsiTheme="majorBidi" w:cstheme="majorBidi"/>
        </w:rPr>
        <w:t xml:space="preserve">Baker </w:t>
      </w:r>
      <w:proofErr w:type="spellStart"/>
      <w:r w:rsidRPr="00F204D4">
        <w:rPr>
          <w:rFonts w:asciiTheme="majorBidi" w:hAnsiTheme="majorBidi" w:cstheme="majorBidi"/>
        </w:rPr>
        <w:t>Petrolite</w:t>
      </w:r>
      <w:proofErr w:type="spellEnd"/>
      <w:r w:rsidRPr="00F204D4">
        <w:rPr>
          <w:rFonts w:asciiTheme="majorBidi" w:hAnsiTheme="majorBidi" w:cstheme="majorBidi"/>
        </w:rPr>
        <w:t>, LLC</w:t>
      </w:r>
    </w:p>
    <w:p w14:paraId="2437953E" w14:textId="77777777" w:rsidR="00765F61" w:rsidRPr="00F204D4" w:rsidRDefault="00765F61" w:rsidP="00704668">
      <w:pPr>
        <w:ind w:firstLine="720"/>
        <w:rPr>
          <w:rFonts w:asciiTheme="majorBidi" w:hAnsiTheme="majorBidi" w:cstheme="majorBidi"/>
        </w:rPr>
      </w:pPr>
    </w:p>
    <w:p w14:paraId="6A0D9A7E" w14:textId="63AD1099" w:rsidR="00765F61" w:rsidRPr="00F204D4" w:rsidRDefault="00765F61" w:rsidP="00704668">
      <w:pPr>
        <w:ind w:firstLine="720"/>
        <w:rPr>
          <w:rFonts w:asciiTheme="majorBidi" w:hAnsiTheme="majorBidi" w:cstheme="majorBidi"/>
        </w:rPr>
      </w:pPr>
      <w:r w:rsidRPr="00F204D4">
        <w:rPr>
          <w:rFonts w:asciiTheme="majorBidi" w:hAnsiTheme="majorBidi" w:cstheme="majorBidi"/>
        </w:rPr>
        <w:t xml:space="preserve">Michael </w:t>
      </w:r>
      <w:proofErr w:type="spellStart"/>
      <w:r w:rsidRPr="00F204D4">
        <w:rPr>
          <w:rFonts w:asciiTheme="majorBidi" w:hAnsiTheme="majorBidi" w:cstheme="majorBidi"/>
        </w:rPr>
        <w:t>Sarli</w:t>
      </w:r>
      <w:proofErr w:type="spellEnd"/>
    </w:p>
    <w:p w14:paraId="5C37428C" w14:textId="02DB04E9" w:rsidR="00765F61" w:rsidRPr="00F204D4" w:rsidRDefault="00765F61" w:rsidP="00765F61">
      <w:pPr>
        <w:ind w:firstLine="720"/>
        <w:rPr>
          <w:rFonts w:asciiTheme="majorBidi" w:hAnsiTheme="majorBidi" w:cstheme="majorBidi"/>
          <w:lang w:val="en-CA"/>
        </w:rPr>
      </w:pPr>
      <w:r w:rsidRPr="00F204D4">
        <w:rPr>
          <w:rFonts w:asciiTheme="majorBidi" w:hAnsiTheme="majorBidi" w:cstheme="majorBidi"/>
          <w:lang w:val="en-CA"/>
        </w:rPr>
        <w:t>United Industries</w:t>
      </w:r>
    </w:p>
    <w:p w14:paraId="19ACFF00" w14:textId="77777777" w:rsidR="00704668" w:rsidRPr="00F204D4" w:rsidRDefault="00704668" w:rsidP="00704668">
      <w:pPr>
        <w:ind w:firstLine="720"/>
        <w:rPr>
          <w:rFonts w:asciiTheme="majorBidi" w:hAnsiTheme="majorBidi" w:cstheme="majorBidi"/>
          <w:lang w:val="en-CA"/>
        </w:rPr>
      </w:pPr>
    </w:p>
    <w:p w14:paraId="08261B77" w14:textId="50CAA2D6" w:rsidR="00C15D86" w:rsidRPr="00F204D4" w:rsidRDefault="00B728E1" w:rsidP="00162E01">
      <w:pPr>
        <w:ind w:firstLine="720"/>
        <w:rPr>
          <w:rFonts w:asciiTheme="majorBidi" w:hAnsiTheme="majorBidi" w:cstheme="majorBidi"/>
        </w:rPr>
      </w:pPr>
      <w:r w:rsidRPr="00F204D4">
        <w:rPr>
          <w:rFonts w:asciiTheme="majorBidi" w:hAnsiTheme="majorBidi" w:cstheme="majorBidi"/>
          <w:lang w:val="en-CA"/>
        </w:rPr>
        <w:t xml:space="preserve">United Industries provided responses, and agreed with the Agency’s burden estimates. </w:t>
      </w:r>
      <w:r w:rsidR="00D37E1C" w:rsidRPr="00F204D4">
        <w:rPr>
          <w:rFonts w:asciiTheme="majorBidi" w:hAnsiTheme="majorBidi" w:cstheme="majorBidi"/>
          <w:lang w:val="en-CA"/>
        </w:rPr>
        <w:t xml:space="preserve">See </w:t>
      </w:r>
      <w:r w:rsidR="00D37E1C" w:rsidRPr="00F204D4">
        <w:rPr>
          <w:rFonts w:asciiTheme="majorBidi" w:hAnsiTheme="majorBidi" w:cstheme="majorBidi"/>
          <w:b/>
          <w:bCs/>
          <w:lang w:val="en-CA"/>
        </w:rPr>
        <w:t>Attachment H</w:t>
      </w:r>
      <w:r w:rsidR="00D37E1C" w:rsidRPr="00F204D4">
        <w:rPr>
          <w:rFonts w:asciiTheme="majorBidi" w:hAnsiTheme="majorBidi" w:cstheme="majorBidi"/>
          <w:lang w:val="en-CA"/>
        </w:rPr>
        <w:t xml:space="preserve"> for </w:t>
      </w:r>
      <w:r w:rsidR="00D37E1C" w:rsidRPr="00F204D4">
        <w:rPr>
          <w:rFonts w:asciiTheme="majorBidi" w:hAnsiTheme="majorBidi" w:cstheme="majorBidi"/>
          <w:color w:val="000000"/>
        </w:rPr>
        <w:t>contact information</w:t>
      </w:r>
      <w:r w:rsidR="00162E01" w:rsidRPr="00F204D4">
        <w:rPr>
          <w:rFonts w:asciiTheme="majorBidi" w:hAnsiTheme="majorBidi" w:cstheme="majorBidi"/>
          <w:color w:val="000000"/>
        </w:rPr>
        <w:t xml:space="preserve"> for those consulted</w:t>
      </w:r>
      <w:r w:rsidR="00D37E1C" w:rsidRPr="00F204D4">
        <w:rPr>
          <w:rFonts w:asciiTheme="majorBidi" w:hAnsiTheme="majorBidi" w:cstheme="majorBidi"/>
          <w:color w:val="000000"/>
        </w:rPr>
        <w:t xml:space="preserve">, the </w:t>
      </w:r>
      <w:r w:rsidR="00162E01" w:rsidRPr="00F204D4">
        <w:rPr>
          <w:rFonts w:asciiTheme="majorBidi" w:hAnsiTheme="majorBidi" w:cstheme="majorBidi"/>
          <w:color w:val="000000"/>
        </w:rPr>
        <w:t>questions asked</w:t>
      </w:r>
      <w:r w:rsidR="00D37E1C" w:rsidRPr="00F204D4">
        <w:rPr>
          <w:rFonts w:asciiTheme="majorBidi" w:hAnsiTheme="majorBidi" w:cstheme="majorBidi"/>
          <w:color w:val="000000"/>
        </w:rPr>
        <w:t>,</w:t>
      </w:r>
      <w:r w:rsidR="00704668" w:rsidRPr="00F204D4">
        <w:rPr>
          <w:rFonts w:asciiTheme="majorBidi" w:hAnsiTheme="majorBidi" w:cstheme="majorBidi"/>
          <w:color w:val="000000"/>
        </w:rPr>
        <w:t xml:space="preserve"> </w:t>
      </w:r>
      <w:r w:rsidRPr="00F204D4">
        <w:rPr>
          <w:rFonts w:asciiTheme="majorBidi" w:hAnsiTheme="majorBidi" w:cstheme="majorBidi"/>
          <w:color w:val="000000"/>
        </w:rPr>
        <w:t xml:space="preserve">and </w:t>
      </w:r>
      <w:r w:rsidR="00281A6D" w:rsidRPr="00F204D4">
        <w:rPr>
          <w:rFonts w:asciiTheme="majorBidi" w:hAnsiTheme="majorBidi" w:cstheme="majorBidi"/>
          <w:color w:val="000000"/>
        </w:rPr>
        <w:t>United Industries’</w:t>
      </w:r>
      <w:r w:rsidRPr="00F204D4">
        <w:rPr>
          <w:rFonts w:asciiTheme="majorBidi" w:hAnsiTheme="majorBidi" w:cstheme="majorBidi"/>
          <w:color w:val="000000"/>
        </w:rPr>
        <w:t xml:space="preserve"> responses</w:t>
      </w:r>
      <w:r w:rsidR="00D37E1C" w:rsidRPr="00F204D4">
        <w:rPr>
          <w:rFonts w:asciiTheme="majorBidi" w:hAnsiTheme="majorBidi" w:cstheme="majorBidi"/>
          <w:color w:val="000000"/>
        </w:rPr>
        <w:t>.</w:t>
      </w:r>
    </w:p>
    <w:p w14:paraId="38F8675E" w14:textId="77777777" w:rsidR="00C15D86" w:rsidRPr="00F204D4" w:rsidRDefault="00C15D86">
      <w:pPr>
        <w:rPr>
          <w:rFonts w:asciiTheme="majorBidi" w:hAnsiTheme="majorBidi" w:cstheme="majorBidi"/>
        </w:rPr>
      </w:pPr>
    </w:p>
    <w:p w14:paraId="2CA25166"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t>3(d)</w:t>
      </w:r>
      <w:r w:rsidRPr="00F204D4">
        <w:rPr>
          <w:rFonts w:asciiTheme="majorBidi" w:hAnsiTheme="majorBidi" w:cstheme="majorBidi"/>
          <w:b/>
        </w:rPr>
        <w:tab/>
        <w:t>Effects of Less Frequent Collection</w:t>
      </w:r>
    </w:p>
    <w:p w14:paraId="6A197E22" w14:textId="77777777" w:rsidR="00C15D86" w:rsidRPr="00F204D4" w:rsidRDefault="00C15D86">
      <w:pPr>
        <w:rPr>
          <w:rFonts w:asciiTheme="majorBidi" w:hAnsiTheme="majorBidi" w:cstheme="majorBidi"/>
        </w:rPr>
      </w:pPr>
    </w:p>
    <w:p w14:paraId="6F08D483" w14:textId="77777777" w:rsidR="00C15D86" w:rsidRPr="00F204D4" w:rsidRDefault="00C47DDD">
      <w:pPr>
        <w:ind w:firstLine="720"/>
        <w:rPr>
          <w:rFonts w:asciiTheme="majorBidi" w:hAnsiTheme="majorBidi" w:cstheme="majorBidi"/>
          <w:strike/>
        </w:rPr>
      </w:pPr>
      <w:r w:rsidRPr="00F204D4">
        <w:rPr>
          <w:rFonts w:asciiTheme="majorBidi" w:hAnsiTheme="majorBidi" w:cstheme="majorBidi"/>
        </w:rPr>
        <w:t>Not applicable. The Section 3 information collection activity is initiated by applicants for registration. Information is submitted in conjunction with the application. There is no set means by which the EPA can reduce the frequency. If the information were not submitted, EPA would be unable to fulfill its statutory responsibilities relative to the review and registration of pesticides and protection of human health and the environment.</w:t>
      </w:r>
    </w:p>
    <w:p w14:paraId="40CD9096" w14:textId="77777777" w:rsidR="00C15D86" w:rsidRPr="00F204D4" w:rsidRDefault="00C15D86">
      <w:pPr>
        <w:rPr>
          <w:rFonts w:asciiTheme="majorBidi" w:hAnsiTheme="majorBidi" w:cstheme="majorBidi"/>
          <w:strike/>
        </w:rPr>
      </w:pPr>
    </w:p>
    <w:p w14:paraId="2930B305"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t>3(e)</w:t>
      </w:r>
      <w:r w:rsidRPr="00F204D4">
        <w:rPr>
          <w:rFonts w:asciiTheme="majorBidi" w:hAnsiTheme="majorBidi" w:cstheme="majorBidi"/>
          <w:b/>
        </w:rPr>
        <w:tab/>
        <w:t>General Guidelines</w:t>
      </w:r>
    </w:p>
    <w:p w14:paraId="4C508934" w14:textId="77777777" w:rsidR="00C15D86" w:rsidRPr="00F204D4" w:rsidRDefault="00C15D86">
      <w:pPr>
        <w:rPr>
          <w:rFonts w:asciiTheme="majorBidi" w:hAnsiTheme="majorBidi" w:cstheme="majorBidi"/>
        </w:rPr>
      </w:pPr>
    </w:p>
    <w:p w14:paraId="3EDEC84D" w14:textId="056DDE9F" w:rsidR="001E50BC" w:rsidRDefault="000E43FA" w:rsidP="007B2652">
      <w:pPr>
        <w:ind w:firstLine="720"/>
        <w:rPr>
          <w:rFonts w:asciiTheme="majorBidi" w:hAnsiTheme="majorBidi" w:cstheme="majorBidi"/>
        </w:rPr>
      </w:pPr>
      <w:r w:rsidRPr="00F204D4">
        <w:rPr>
          <w:rFonts w:asciiTheme="majorBidi" w:hAnsiTheme="majorBidi" w:cstheme="majorBidi"/>
          <w:b/>
        </w:rPr>
        <w:t>Third-party disclosure</w:t>
      </w:r>
      <w:r w:rsidR="001F192E" w:rsidRPr="00F204D4">
        <w:rPr>
          <w:rFonts w:asciiTheme="majorBidi" w:hAnsiTheme="majorBidi" w:cstheme="majorBidi"/>
          <w:b/>
        </w:rPr>
        <w:t xml:space="preserve"> of label information</w:t>
      </w:r>
      <w:r w:rsidR="000E19D5" w:rsidRPr="00F204D4">
        <w:rPr>
          <w:rFonts w:asciiTheme="majorBidi" w:hAnsiTheme="majorBidi" w:cstheme="majorBidi"/>
          <w:b/>
        </w:rPr>
        <w:t>:</w:t>
      </w:r>
      <w:r w:rsidR="00C47DDD" w:rsidRPr="00F204D4">
        <w:rPr>
          <w:rFonts w:asciiTheme="majorBidi" w:hAnsiTheme="majorBidi" w:cstheme="majorBidi"/>
          <w:bCs/>
        </w:rPr>
        <w:t xml:space="preserve">  </w:t>
      </w:r>
      <w:r w:rsidR="003F09F8" w:rsidRPr="00F204D4">
        <w:rPr>
          <w:rFonts w:asciiTheme="majorBidi" w:hAnsiTheme="majorBidi" w:cstheme="majorBidi"/>
          <w:bCs/>
        </w:rPr>
        <w:t>Labeling regulations under 40 CFR 156</w:t>
      </w:r>
      <w:r w:rsidR="00AE2E47" w:rsidRPr="00F204D4">
        <w:rPr>
          <w:rFonts w:asciiTheme="majorBidi" w:hAnsiTheme="majorBidi" w:cstheme="majorBidi"/>
        </w:rPr>
        <w:t xml:space="preserve"> </w:t>
      </w:r>
      <w:r w:rsidR="003F09F8" w:rsidRPr="00F204D4">
        <w:rPr>
          <w:rFonts w:asciiTheme="majorBidi" w:hAnsiTheme="majorBidi" w:cstheme="majorBidi"/>
        </w:rPr>
        <w:t>require</w:t>
      </w:r>
      <w:r w:rsidRPr="00F204D4">
        <w:rPr>
          <w:rFonts w:asciiTheme="majorBidi" w:hAnsiTheme="majorBidi" w:cstheme="majorBidi"/>
        </w:rPr>
        <w:t xml:space="preserve"> registrants to dis</w:t>
      </w:r>
      <w:r w:rsidR="00203F9F" w:rsidRPr="00F204D4">
        <w:rPr>
          <w:rFonts w:asciiTheme="majorBidi" w:hAnsiTheme="majorBidi" w:cstheme="majorBidi"/>
        </w:rPr>
        <w:t>play</w:t>
      </w:r>
      <w:r w:rsidRPr="00F204D4">
        <w:rPr>
          <w:rFonts w:asciiTheme="majorBidi" w:hAnsiTheme="majorBidi" w:cstheme="majorBidi"/>
        </w:rPr>
        <w:t xml:space="preserve"> product specific information to potential users and the general public through the pesticide label</w:t>
      </w:r>
      <w:r w:rsidR="003F0E9A">
        <w:rPr>
          <w:rFonts w:asciiTheme="majorBidi" w:hAnsiTheme="majorBidi" w:cstheme="majorBidi"/>
        </w:rPr>
        <w:t xml:space="preserve"> that is approved by EPA</w:t>
      </w:r>
      <w:r w:rsidRPr="00F204D4">
        <w:rPr>
          <w:rFonts w:asciiTheme="majorBidi" w:hAnsiTheme="majorBidi" w:cstheme="majorBidi"/>
        </w:rPr>
        <w:t xml:space="preserve">. </w:t>
      </w:r>
      <w:r w:rsidR="001C44AA" w:rsidRPr="00F204D4">
        <w:rPr>
          <w:rFonts w:asciiTheme="majorBidi" w:hAnsiTheme="majorBidi" w:cstheme="majorBidi"/>
        </w:rPr>
        <w:t xml:space="preserve">The required information for the label is gathered and prepared by the registrant and submitted as part of the application for registration. The burden and cost of preparing and submitting the label information to EPA are included in this ICR as part of the burden </w:t>
      </w:r>
      <w:r w:rsidR="007B2652">
        <w:rPr>
          <w:rFonts w:asciiTheme="majorBidi" w:hAnsiTheme="majorBidi" w:cstheme="majorBidi"/>
        </w:rPr>
        <w:t xml:space="preserve">associated with preparing </w:t>
      </w:r>
      <w:r w:rsidR="001C44AA" w:rsidRPr="00F204D4">
        <w:rPr>
          <w:rFonts w:asciiTheme="majorBidi" w:hAnsiTheme="majorBidi" w:cstheme="majorBidi"/>
        </w:rPr>
        <w:t xml:space="preserve">the application for registration. </w:t>
      </w:r>
      <w:r w:rsidR="00C71DFC" w:rsidRPr="00F204D4">
        <w:rPr>
          <w:rFonts w:asciiTheme="majorBidi" w:hAnsiTheme="majorBidi" w:cstheme="majorBidi"/>
        </w:rPr>
        <w:t>T</w:t>
      </w:r>
      <w:r w:rsidR="00586D28" w:rsidRPr="00F204D4">
        <w:rPr>
          <w:rFonts w:asciiTheme="majorBidi" w:hAnsiTheme="majorBidi" w:cstheme="majorBidi"/>
        </w:rPr>
        <w:t xml:space="preserve">he information that must be included as the product labeling is approved and provided to the registrant by EPA as part of the original registration. </w:t>
      </w:r>
    </w:p>
    <w:p w14:paraId="48AC672F" w14:textId="5B7D9501" w:rsidR="00C15D86" w:rsidRPr="00F204D4" w:rsidRDefault="001E50BC" w:rsidP="007B2652">
      <w:pPr>
        <w:ind w:firstLine="720"/>
        <w:rPr>
          <w:rFonts w:asciiTheme="majorBidi" w:hAnsiTheme="majorBidi" w:cstheme="majorBidi"/>
        </w:rPr>
      </w:pPr>
      <w:r w:rsidRPr="00DC6C7E">
        <w:rPr>
          <w:rFonts w:asciiTheme="majorBidi" w:hAnsiTheme="majorBidi" w:cstheme="majorBidi"/>
        </w:rPr>
        <w:lastRenderedPageBreak/>
        <w:t>T</w:t>
      </w:r>
      <w:r w:rsidR="00716707" w:rsidRPr="00DC6C7E">
        <w:rPr>
          <w:rFonts w:asciiTheme="majorBidi" w:hAnsiTheme="majorBidi" w:cstheme="majorBidi"/>
        </w:rPr>
        <w:t>his ICR does not</w:t>
      </w:r>
      <w:r w:rsidRPr="00DC6C7E">
        <w:rPr>
          <w:rFonts w:asciiTheme="majorBidi" w:hAnsiTheme="majorBidi" w:cstheme="majorBidi"/>
        </w:rPr>
        <w:t>, however,</w:t>
      </w:r>
      <w:r w:rsidR="00716707" w:rsidRPr="00DC6C7E">
        <w:rPr>
          <w:rFonts w:asciiTheme="majorBidi" w:hAnsiTheme="majorBidi" w:cstheme="majorBidi"/>
        </w:rPr>
        <w:t xml:space="preserve"> include any third party burden or cost </w:t>
      </w:r>
      <w:r w:rsidR="00DC6C7E" w:rsidRPr="00DC6C7E">
        <w:rPr>
          <w:rFonts w:asciiTheme="majorBidi" w:hAnsiTheme="majorBidi" w:cstheme="majorBidi"/>
        </w:rPr>
        <w:t>estimates for</w:t>
      </w:r>
      <w:r w:rsidRPr="00DC6C7E">
        <w:rPr>
          <w:rFonts w:asciiTheme="majorBidi" w:hAnsiTheme="majorBidi" w:cstheme="majorBidi"/>
        </w:rPr>
        <w:t xml:space="preserve"> </w:t>
      </w:r>
      <w:r>
        <w:rPr>
          <w:rFonts w:asciiTheme="majorBidi" w:hAnsiTheme="majorBidi" w:cstheme="majorBidi"/>
        </w:rPr>
        <w:t>providing the</w:t>
      </w:r>
      <w:r w:rsidRPr="00F204D4">
        <w:rPr>
          <w:rFonts w:asciiTheme="majorBidi" w:hAnsiTheme="majorBidi" w:cstheme="majorBidi"/>
        </w:rPr>
        <w:t xml:space="preserve"> pesticide label </w:t>
      </w:r>
      <w:r>
        <w:rPr>
          <w:rFonts w:asciiTheme="majorBidi" w:hAnsiTheme="majorBidi" w:cstheme="majorBidi"/>
        </w:rPr>
        <w:t xml:space="preserve">on each product so as to disclose use and safety information </w:t>
      </w:r>
      <w:r w:rsidRPr="00F204D4">
        <w:rPr>
          <w:rFonts w:asciiTheme="majorBidi" w:hAnsiTheme="majorBidi" w:cstheme="majorBidi"/>
        </w:rPr>
        <w:t>to potential users and the general public</w:t>
      </w:r>
      <w:r>
        <w:rPr>
          <w:rFonts w:asciiTheme="majorBidi" w:hAnsiTheme="majorBidi" w:cstheme="majorBidi"/>
        </w:rPr>
        <w:t>. The use of the pesticide label to accomplish this disclosure, is not a</w:t>
      </w:r>
      <w:r w:rsidRPr="00F204D4">
        <w:rPr>
          <w:rFonts w:asciiTheme="majorBidi" w:hAnsiTheme="majorBidi" w:cstheme="majorBidi"/>
        </w:rPr>
        <w:t xml:space="preserve"> collection of information </w:t>
      </w:r>
      <w:r>
        <w:rPr>
          <w:rFonts w:asciiTheme="majorBidi" w:hAnsiTheme="majorBidi" w:cstheme="majorBidi"/>
        </w:rPr>
        <w:t xml:space="preserve">as defined by the PRA and OMB implementing regulations </w:t>
      </w:r>
      <w:r w:rsidRPr="00F204D4">
        <w:rPr>
          <w:rFonts w:asciiTheme="majorBidi" w:hAnsiTheme="majorBidi" w:cstheme="majorBidi"/>
        </w:rPr>
        <w:t>(5 CFR 1320.3(c</w:t>
      </w:r>
      <w:proofErr w:type="gramStart"/>
      <w:r w:rsidRPr="00F204D4">
        <w:rPr>
          <w:rFonts w:asciiTheme="majorBidi" w:hAnsiTheme="majorBidi" w:cstheme="majorBidi"/>
        </w:rPr>
        <w:t>)(</w:t>
      </w:r>
      <w:proofErr w:type="gramEnd"/>
      <w:r w:rsidRPr="00F204D4">
        <w:rPr>
          <w:rFonts w:asciiTheme="majorBidi" w:hAnsiTheme="majorBidi" w:cstheme="majorBidi"/>
        </w:rPr>
        <w:t xml:space="preserve">2)). This determination was </w:t>
      </w:r>
      <w:r>
        <w:rPr>
          <w:rFonts w:asciiTheme="majorBidi" w:hAnsiTheme="majorBidi" w:cstheme="majorBidi"/>
        </w:rPr>
        <w:t xml:space="preserve">made by OMB in the context of implementing the 1995 </w:t>
      </w:r>
      <w:r w:rsidRPr="00F204D4">
        <w:rPr>
          <w:rFonts w:asciiTheme="majorBidi" w:hAnsiTheme="majorBidi" w:cstheme="majorBidi"/>
        </w:rPr>
        <w:t xml:space="preserve">PRA amendments and </w:t>
      </w:r>
      <w:r>
        <w:rPr>
          <w:rFonts w:asciiTheme="majorBidi" w:hAnsiTheme="majorBidi" w:cstheme="majorBidi"/>
        </w:rPr>
        <w:t>related OMB final regulations of 1995.</w:t>
      </w:r>
      <w:r w:rsidRPr="00F204D4">
        <w:rPr>
          <w:rFonts w:asciiTheme="majorBidi" w:hAnsiTheme="majorBidi" w:cstheme="majorBidi"/>
        </w:rPr>
        <w:t xml:space="preserve"> In general, </w:t>
      </w:r>
      <w:r>
        <w:rPr>
          <w:rFonts w:asciiTheme="majorBidi" w:hAnsiTheme="majorBidi" w:cstheme="majorBidi"/>
        </w:rPr>
        <w:t>OMB explained that the new 3</w:t>
      </w:r>
      <w:r w:rsidRPr="00B4315A">
        <w:rPr>
          <w:rFonts w:asciiTheme="majorBidi" w:hAnsiTheme="majorBidi" w:cstheme="majorBidi"/>
          <w:vertAlign w:val="superscript"/>
        </w:rPr>
        <w:t>rd</w:t>
      </w:r>
      <w:r>
        <w:rPr>
          <w:rFonts w:asciiTheme="majorBidi" w:hAnsiTheme="majorBidi" w:cstheme="majorBidi"/>
        </w:rPr>
        <w:t xml:space="preserve"> party disclosure provision added to the PRA in 1995 was not intended to require agencies to estimate burden for the required disclosure of important health and safety information on product labels, in particular if the label or language for the label is specifically provided by law (e.g., the Surgeon General warnings required to be on the labels of alcohol or tobacco products), or required to be approved by an agency (e.g., EPA labels on pesticide products or PCB containing transformers).</w:t>
      </w:r>
    </w:p>
    <w:p w14:paraId="18FF4101" w14:textId="77777777" w:rsidR="00C15D86" w:rsidRPr="00F204D4" w:rsidRDefault="00C15D86">
      <w:pPr>
        <w:rPr>
          <w:rFonts w:asciiTheme="majorBidi" w:hAnsiTheme="majorBidi" w:cstheme="majorBidi"/>
        </w:rPr>
      </w:pPr>
    </w:p>
    <w:p w14:paraId="136D8F6B" w14:textId="1D687D49" w:rsidR="00C15D86" w:rsidRPr="00F204D4" w:rsidRDefault="00C47DDD">
      <w:pPr>
        <w:ind w:firstLine="720"/>
      </w:pPr>
      <w:r w:rsidRPr="00F204D4">
        <w:rPr>
          <w:rFonts w:asciiTheme="majorBidi" w:hAnsiTheme="majorBidi" w:cstheme="majorBidi"/>
          <w:b/>
        </w:rPr>
        <w:t>Long-term recordkeeping</w:t>
      </w:r>
      <w:r w:rsidR="007961C2" w:rsidRPr="00F204D4">
        <w:rPr>
          <w:rFonts w:asciiTheme="majorBidi" w:hAnsiTheme="majorBidi" w:cstheme="majorBidi"/>
          <w:b/>
        </w:rPr>
        <w:t>:</w:t>
      </w:r>
      <w:r w:rsidRPr="00F204D4">
        <w:rPr>
          <w:rFonts w:asciiTheme="majorBidi" w:hAnsiTheme="majorBidi" w:cstheme="majorBidi"/>
          <w:b/>
        </w:rPr>
        <w:t xml:space="preserve">  </w:t>
      </w:r>
      <w:r w:rsidR="007841AD" w:rsidRPr="00F204D4">
        <w:rPr>
          <w:rFonts w:asciiTheme="majorBidi" w:hAnsiTheme="majorBidi" w:cstheme="majorBidi"/>
          <w:b/>
        </w:rPr>
        <w:t xml:space="preserve"> </w:t>
      </w:r>
      <w:r w:rsidRPr="00F204D4">
        <w:rPr>
          <w:rFonts w:asciiTheme="majorBidi" w:hAnsiTheme="majorBidi" w:cstheme="majorBidi"/>
        </w:rPr>
        <w:t xml:space="preserve">The recordkeeping activities briefly described in this ICR exceed OMB’s guideline that agencies not require that records be retained for more than 3 years </w:t>
      </w:r>
      <w:r w:rsidRPr="00F204D4">
        <w:t>(5 CFR 1320.5(d</w:t>
      </w:r>
      <w:proofErr w:type="gramStart"/>
      <w:r w:rsidRPr="00F204D4">
        <w:t>)(</w:t>
      </w:r>
      <w:proofErr w:type="gramEnd"/>
      <w:r w:rsidRPr="00F204D4">
        <w:t xml:space="preserve">2)(iv)). As authorized under FIFRA section 8, EPA regulations </w:t>
      </w:r>
      <w:r w:rsidR="00C66206" w:rsidRPr="00F204D4">
        <w:t xml:space="preserve">under </w:t>
      </w:r>
      <w:r w:rsidR="000A6BEF" w:rsidRPr="00F204D4">
        <w:t xml:space="preserve">40 CFR 169.2(k) </w:t>
      </w:r>
      <w:r w:rsidRPr="00F204D4">
        <w:t xml:space="preserve">require that registrants retain records containing research data relating to </w:t>
      </w:r>
      <w:r w:rsidR="007B2652">
        <w:t xml:space="preserve">a </w:t>
      </w:r>
      <w:r w:rsidRPr="00F204D4">
        <w:t>registered pesticide</w:t>
      </w:r>
      <w:r w:rsidR="007961C2" w:rsidRPr="00F204D4">
        <w:t>,</w:t>
      </w:r>
      <w:r w:rsidRPr="00F204D4">
        <w:t xml:space="preserve"> including all data submitted to EPA in support of a registration</w:t>
      </w:r>
      <w:r w:rsidR="00C66206" w:rsidRPr="00F204D4">
        <w:t>,</w:t>
      </w:r>
      <w:r w:rsidRPr="00F204D4">
        <w:t xml:space="preserve"> for as long as the registration is valid and the producer is in business. However, the burden related to the recordkeeping requirements is covered under another ICR (see OMB Control No. 2070-0028, </w:t>
      </w:r>
      <w:r w:rsidRPr="00F204D4">
        <w:rPr>
          <w:b/>
        </w:rPr>
        <w:t>Recordkeeping Requirements for Producers of Pesticides under Section 8 of FIFRA</w:t>
      </w:r>
      <w:r w:rsidR="008D79E5" w:rsidRPr="00F204D4">
        <w:t>)</w:t>
      </w:r>
      <w:r w:rsidRPr="00F204D4">
        <w:t>.</w:t>
      </w:r>
    </w:p>
    <w:p w14:paraId="6D23BD5B" w14:textId="77777777" w:rsidR="00C15D86" w:rsidRPr="00F204D4" w:rsidRDefault="00C15D86"/>
    <w:p w14:paraId="568214D1" w14:textId="1B201079" w:rsidR="004445F4" w:rsidRPr="00F204D4" w:rsidRDefault="00B574AA" w:rsidP="00E23E12">
      <w:pPr>
        <w:pStyle w:val="CommentText"/>
        <w:ind w:firstLine="720"/>
        <w:rPr>
          <w:sz w:val="24"/>
          <w:szCs w:val="24"/>
          <w:lang w:val="en"/>
        </w:rPr>
      </w:pPr>
      <w:r w:rsidRPr="00F204D4">
        <w:rPr>
          <w:b/>
          <w:sz w:val="24"/>
          <w:szCs w:val="24"/>
        </w:rPr>
        <w:t>Electronic submissions</w:t>
      </w:r>
      <w:r w:rsidR="00C66206" w:rsidRPr="00F204D4">
        <w:rPr>
          <w:b/>
          <w:sz w:val="24"/>
          <w:szCs w:val="24"/>
        </w:rPr>
        <w:t>:</w:t>
      </w:r>
      <w:r w:rsidRPr="00F204D4">
        <w:rPr>
          <w:b/>
          <w:sz w:val="24"/>
          <w:szCs w:val="24"/>
        </w:rPr>
        <w:t xml:space="preserve">  </w:t>
      </w:r>
      <w:r w:rsidR="007B2652">
        <w:rPr>
          <w:sz w:val="24"/>
          <w:szCs w:val="24"/>
        </w:rPr>
        <w:t>While mechanisms and guidance are under development,</w:t>
      </w:r>
      <w:r w:rsidR="007841AD" w:rsidRPr="00F204D4">
        <w:rPr>
          <w:b/>
          <w:sz w:val="24"/>
          <w:szCs w:val="24"/>
        </w:rPr>
        <w:t xml:space="preserve"> </w:t>
      </w:r>
      <w:r w:rsidR="004445F4" w:rsidRPr="00F204D4">
        <w:rPr>
          <w:sz w:val="24"/>
          <w:szCs w:val="24"/>
          <w:lang w:val="en"/>
        </w:rPr>
        <w:t xml:space="preserve">EPA encourages electronic submissions for the following </w:t>
      </w:r>
      <w:r w:rsidR="007B2652">
        <w:rPr>
          <w:sz w:val="24"/>
          <w:szCs w:val="24"/>
          <w:lang w:val="en"/>
        </w:rPr>
        <w:t xml:space="preserve">types of </w:t>
      </w:r>
      <w:r w:rsidR="004445F4" w:rsidRPr="00F204D4">
        <w:rPr>
          <w:sz w:val="24"/>
          <w:szCs w:val="24"/>
          <w:lang w:val="en"/>
        </w:rPr>
        <w:t>regulatory actions:</w:t>
      </w:r>
    </w:p>
    <w:p w14:paraId="5765821F" w14:textId="77777777" w:rsidR="004445F4" w:rsidRPr="00F204D4" w:rsidRDefault="004445F4" w:rsidP="004445F4">
      <w:pPr>
        <w:numPr>
          <w:ilvl w:val="0"/>
          <w:numId w:val="17"/>
        </w:numPr>
        <w:spacing w:before="100" w:beforeAutospacing="1" w:after="100" w:afterAutospacing="1"/>
        <w:rPr>
          <w:lang w:val="en"/>
        </w:rPr>
      </w:pPr>
      <w:r w:rsidRPr="00F204D4">
        <w:rPr>
          <w:lang w:val="en"/>
        </w:rPr>
        <w:t>New pesticide active ingredients.</w:t>
      </w:r>
    </w:p>
    <w:p w14:paraId="6C3DC430" w14:textId="77777777" w:rsidR="004445F4" w:rsidRPr="00F204D4" w:rsidRDefault="004445F4" w:rsidP="004445F4">
      <w:pPr>
        <w:numPr>
          <w:ilvl w:val="0"/>
          <w:numId w:val="17"/>
        </w:numPr>
        <w:spacing w:before="100" w:beforeAutospacing="1" w:after="100" w:afterAutospacing="1"/>
        <w:rPr>
          <w:lang w:val="en"/>
        </w:rPr>
      </w:pPr>
      <w:r w:rsidRPr="00F204D4">
        <w:rPr>
          <w:lang w:val="en"/>
        </w:rPr>
        <w:t>New pesticide products containing already-registered pesticide active ingredients.</w:t>
      </w:r>
    </w:p>
    <w:p w14:paraId="189C58FB" w14:textId="77777777" w:rsidR="004445F4" w:rsidRPr="00F204D4" w:rsidRDefault="004445F4" w:rsidP="004445F4">
      <w:pPr>
        <w:numPr>
          <w:ilvl w:val="0"/>
          <w:numId w:val="17"/>
        </w:numPr>
        <w:spacing w:before="100" w:beforeAutospacing="1" w:after="100" w:afterAutospacing="1"/>
        <w:rPr>
          <w:lang w:val="en"/>
        </w:rPr>
      </w:pPr>
      <w:r w:rsidRPr="00F204D4">
        <w:rPr>
          <w:lang w:val="en"/>
        </w:rPr>
        <w:t>Amendments to registered pesticide products.</w:t>
      </w:r>
    </w:p>
    <w:p w14:paraId="410E4C42" w14:textId="77777777" w:rsidR="004445F4" w:rsidRPr="00F204D4" w:rsidRDefault="004445F4" w:rsidP="004445F4">
      <w:pPr>
        <w:numPr>
          <w:ilvl w:val="0"/>
          <w:numId w:val="17"/>
        </w:numPr>
        <w:spacing w:before="100" w:beforeAutospacing="1" w:after="100" w:afterAutospacing="1"/>
        <w:rPr>
          <w:lang w:val="en"/>
        </w:rPr>
      </w:pPr>
      <w:r w:rsidRPr="00F204D4">
        <w:rPr>
          <w:lang w:val="en"/>
        </w:rPr>
        <w:t>Experimental use permits.</w:t>
      </w:r>
    </w:p>
    <w:p w14:paraId="5C9046DB" w14:textId="77777777" w:rsidR="004445F4" w:rsidRPr="00F204D4" w:rsidRDefault="004445F4" w:rsidP="004445F4">
      <w:pPr>
        <w:numPr>
          <w:ilvl w:val="0"/>
          <w:numId w:val="17"/>
        </w:numPr>
        <w:spacing w:before="100" w:beforeAutospacing="1" w:after="100" w:afterAutospacing="1"/>
        <w:rPr>
          <w:lang w:val="en"/>
        </w:rPr>
      </w:pPr>
      <w:r w:rsidRPr="00F204D4">
        <w:rPr>
          <w:lang w:val="en"/>
        </w:rPr>
        <w:t>Petitions for food tolerance.</w:t>
      </w:r>
    </w:p>
    <w:p w14:paraId="25FB3952" w14:textId="77777777" w:rsidR="004445F4" w:rsidRPr="00F204D4" w:rsidRDefault="004445F4" w:rsidP="004445F4">
      <w:pPr>
        <w:numPr>
          <w:ilvl w:val="0"/>
          <w:numId w:val="17"/>
        </w:numPr>
        <w:spacing w:before="100" w:beforeAutospacing="1" w:after="100" w:afterAutospacing="1"/>
        <w:rPr>
          <w:lang w:val="en"/>
        </w:rPr>
      </w:pPr>
      <w:r w:rsidRPr="00F204D4">
        <w:rPr>
          <w:lang w:val="en"/>
        </w:rPr>
        <w:t>Distributor products.</w:t>
      </w:r>
    </w:p>
    <w:p w14:paraId="31D2B8A3" w14:textId="77777777" w:rsidR="004445F4" w:rsidRPr="00F204D4" w:rsidRDefault="004445F4" w:rsidP="004445F4">
      <w:pPr>
        <w:numPr>
          <w:ilvl w:val="0"/>
          <w:numId w:val="17"/>
        </w:numPr>
        <w:spacing w:before="100" w:beforeAutospacing="1" w:after="100" w:afterAutospacing="1"/>
        <w:rPr>
          <w:lang w:val="en"/>
        </w:rPr>
      </w:pPr>
      <w:r w:rsidRPr="00F204D4">
        <w:rPr>
          <w:lang w:val="en"/>
        </w:rPr>
        <w:t>Endocrine Disruptor Screening Program (EDSP) Orders.</w:t>
      </w:r>
    </w:p>
    <w:p w14:paraId="7C020161" w14:textId="75F1E5EA" w:rsidR="004445F4" w:rsidRPr="00F204D4" w:rsidRDefault="004445F4" w:rsidP="005502CD">
      <w:pPr>
        <w:ind w:firstLine="720"/>
      </w:pPr>
      <w:r w:rsidRPr="00F204D4">
        <w:t xml:space="preserve">The Government Paperwork Elimination Act </w:t>
      </w:r>
      <w:r w:rsidR="007B2652" w:rsidRPr="00F204D4">
        <w:t>require</w:t>
      </w:r>
      <w:r w:rsidR="007B2652">
        <w:t>d</w:t>
      </w:r>
      <w:r w:rsidR="007B2652" w:rsidRPr="00F204D4">
        <w:t xml:space="preserve"> </w:t>
      </w:r>
      <w:r w:rsidRPr="00F204D4">
        <w:t xml:space="preserve">agencies </w:t>
      </w:r>
      <w:r w:rsidR="007B2652">
        <w:t xml:space="preserve">to </w:t>
      </w:r>
      <w:r w:rsidRPr="00F204D4">
        <w:t xml:space="preserve">make available to the public electronic reporting alternatives to paper-based submissions by 2003, unless there is a strong reason for not doing so. </w:t>
      </w:r>
      <w:r w:rsidR="005502CD" w:rsidRPr="00F204D4">
        <w:t>In the past</w:t>
      </w:r>
      <w:r w:rsidRPr="00F204D4">
        <w:t xml:space="preserve">, the Agency was unable to ensure the security of CBI </w:t>
      </w:r>
      <w:r w:rsidR="005502CD" w:rsidRPr="00F204D4">
        <w:t xml:space="preserve">material </w:t>
      </w:r>
      <w:r w:rsidRPr="00F204D4">
        <w:t>that might be transmitted over the Internet. Starting in September, 2015, the EPA started offering</w:t>
      </w:r>
      <w:r w:rsidR="005502CD" w:rsidRPr="00F204D4">
        <w:rPr>
          <w:rFonts w:eastAsiaTheme="minorHAnsi"/>
          <w:color w:val="000000"/>
        </w:rPr>
        <w:t xml:space="preserve"> </w:t>
      </w:r>
      <w:r w:rsidR="005502CD" w:rsidRPr="00C95E04">
        <w:rPr>
          <w:rFonts w:eastAsiaTheme="minorHAnsi"/>
          <w:color w:val="000000"/>
        </w:rPr>
        <w:t>the Pesticide Submission Portal</w:t>
      </w:r>
      <w:r w:rsidR="007B2652">
        <w:rPr>
          <w:rFonts w:eastAsiaTheme="minorHAnsi"/>
          <w:color w:val="000000"/>
        </w:rPr>
        <w:t xml:space="preserve"> (PSP)</w:t>
      </w:r>
      <w:r w:rsidR="005502CD" w:rsidRPr="00F204D4">
        <w:rPr>
          <w:rFonts w:eastAsiaTheme="minorHAnsi"/>
          <w:color w:val="000000"/>
        </w:rPr>
        <w:t>,</w:t>
      </w:r>
      <w:r w:rsidRPr="00F204D4">
        <w:t xml:space="preserve"> a fully electronic alternative as an option for submitting registration forms electronically, as well as the ability to</w:t>
      </w:r>
      <w:r w:rsidR="00767431">
        <w:t xml:space="preserve"> sign and</w:t>
      </w:r>
      <w:r w:rsidRPr="00F204D4">
        <w:t xml:space="preserve"> submit confidential information using Central Data Exchange (CDX) technology. The development of a web-based submission portal is a critical step in the realization of EPA’s long-term vision for secure data exchange between registrants and the Agency. </w:t>
      </w:r>
      <w:r w:rsidR="007B2652">
        <w:t xml:space="preserve">(See Attachment </w:t>
      </w:r>
      <w:r w:rsidR="00381D02">
        <w:t>N for screen shots of PSP, along with available online instructions and guidance).</w:t>
      </w:r>
    </w:p>
    <w:p w14:paraId="73FBE0F8" w14:textId="77777777" w:rsidR="004445F4" w:rsidRPr="00F204D4" w:rsidRDefault="004445F4" w:rsidP="004445F4">
      <w:pPr>
        <w:pStyle w:val="Default"/>
        <w:ind w:firstLine="720"/>
        <w:rPr>
          <w:rFonts w:ascii="Times New Roman" w:hAnsi="Times New Roman" w:cs="Times New Roman"/>
        </w:rPr>
      </w:pPr>
    </w:p>
    <w:p w14:paraId="66BA789F" w14:textId="7C8217CD" w:rsidR="00C95E04" w:rsidRPr="00767431" w:rsidRDefault="00C95E04" w:rsidP="005502CD">
      <w:pPr>
        <w:pStyle w:val="Default"/>
        <w:ind w:firstLine="720"/>
        <w:rPr>
          <w:rFonts w:ascii="Times New Roman" w:hAnsi="Times New Roman" w:cs="Times New Roman"/>
        </w:rPr>
      </w:pPr>
      <w:r w:rsidRPr="00C95E04">
        <w:rPr>
          <w:rFonts w:ascii="Times New Roman" w:hAnsi="Times New Roman" w:cs="Times New Roman"/>
        </w:rPr>
        <w:t xml:space="preserve">The </w:t>
      </w:r>
      <w:r w:rsidR="005502CD" w:rsidRPr="00F204D4">
        <w:rPr>
          <w:rFonts w:ascii="Times New Roman" w:hAnsi="Times New Roman" w:cs="Times New Roman"/>
        </w:rPr>
        <w:t xml:space="preserve">new </w:t>
      </w:r>
      <w:r w:rsidRPr="00C95E04">
        <w:rPr>
          <w:rFonts w:ascii="Times New Roman" w:hAnsi="Times New Roman" w:cs="Times New Roman"/>
        </w:rPr>
        <w:t xml:space="preserve">electronic submission process is a combination of document file uploads and providing information online that is equivalent to existing OMB approved forms that would </w:t>
      </w:r>
      <w:r w:rsidRPr="00C95E04">
        <w:rPr>
          <w:rFonts w:ascii="Times New Roman" w:hAnsi="Times New Roman" w:cs="Times New Roman"/>
        </w:rPr>
        <w:lastRenderedPageBreak/>
        <w:t>otherwise be filled out, printed, and mailed to EPA. The PSP leverages the Agency’s existing Central Data Exchange (CDX) to provide a secure method of submitting these documents and information within a secure online environment. CDX does require initial user registration for which the paperwork burden estimate is covered under “</w:t>
      </w:r>
      <w:r w:rsidRPr="00C95E04">
        <w:rPr>
          <w:rFonts w:ascii="Times New Roman" w:hAnsi="Times New Roman" w:cs="Times New Roman"/>
          <w:i/>
          <w:iCs/>
        </w:rPr>
        <w:t>Cross-Media Electronic Reporting Rule</w:t>
      </w:r>
      <w:r w:rsidRPr="00C95E04">
        <w:rPr>
          <w:rFonts w:ascii="Times New Roman" w:hAnsi="Times New Roman" w:cs="Times New Roman"/>
        </w:rPr>
        <w:t>” ICR,OMB No. 2025-0003; EPA No. 2002.26.</w:t>
      </w:r>
    </w:p>
    <w:p w14:paraId="502DEDBC" w14:textId="77777777" w:rsidR="00C95E04" w:rsidRPr="00C95E04" w:rsidRDefault="00C95E04" w:rsidP="00C95E04">
      <w:pPr>
        <w:autoSpaceDE w:val="0"/>
        <w:autoSpaceDN w:val="0"/>
        <w:adjustRightInd w:val="0"/>
        <w:rPr>
          <w:rFonts w:eastAsiaTheme="minorHAnsi"/>
          <w:color w:val="000000"/>
        </w:rPr>
      </w:pPr>
    </w:p>
    <w:p w14:paraId="2AD57E19" w14:textId="3FE45B1B" w:rsidR="00767431" w:rsidRDefault="00767431" w:rsidP="00767431">
      <w:pPr>
        <w:autoSpaceDE w:val="0"/>
        <w:autoSpaceDN w:val="0"/>
        <w:adjustRightInd w:val="0"/>
        <w:ind w:firstLine="720"/>
      </w:pPr>
      <w:r>
        <w:t>Application packages and files</w:t>
      </w:r>
      <w:r w:rsidRPr="00767431">
        <w:t xml:space="preserve"> for pesticide registration can be submitted</w:t>
      </w:r>
      <w:r>
        <w:t xml:space="preserve"> via PSP. This </w:t>
      </w:r>
      <w:r w:rsidRPr="00767431">
        <w:t>includ</w:t>
      </w:r>
      <w:r>
        <w:t>es</w:t>
      </w:r>
      <w:r w:rsidRPr="00767431">
        <w:t xml:space="preserve"> forms, studies, and draft product labeling. Applicants need not submit multiple electronic copies of any pieces of their applications. In PR Notice 2011-3, EPA made clear that the requirement to submit multiple copies of data is applicable only to paper submissions. Similarly, EPA interprets the requirement to submit five copies of draft labeling in 40 CFR 152.50(e) to apply only to applications made on paper. As electronic submissions are easily reproducible, EPA will accept electronic applications containing one</w:t>
      </w:r>
      <w:r w:rsidR="007B2652">
        <w:t xml:space="preserve"> electronic</w:t>
      </w:r>
      <w:r w:rsidRPr="00767431">
        <w:t xml:space="preserve"> cop</w:t>
      </w:r>
      <w:r>
        <w:t>y of all the required elements.</w:t>
      </w:r>
    </w:p>
    <w:p w14:paraId="45ECCA06" w14:textId="77777777" w:rsidR="00767431" w:rsidRPr="00767431" w:rsidRDefault="00767431" w:rsidP="00767431">
      <w:pPr>
        <w:autoSpaceDE w:val="0"/>
        <w:autoSpaceDN w:val="0"/>
        <w:adjustRightInd w:val="0"/>
        <w:ind w:firstLine="720"/>
      </w:pPr>
    </w:p>
    <w:p w14:paraId="6B892789" w14:textId="5B535448" w:rsidR="00FC65BE" w:rsidRPr="00767431" w:rsidRDefault="00C95E04" w:rsidP="00C95E04">
      <w:pPr>
        <w:autoSpaceDE w:val="0"/>
        <w:autoSpaceDN w:val="0"/>
        <w:adjustRightInd w:val="0"/>
        <w:ind w:firstLine="720"/>
        <w:rPr>
          <w:rFonts w:eastAsiaTheme="minorHAnsi"/>
          <w:color w:val="000000"/>
        </w:rPr>
      </w:pPr>
      <w:r w:rsidRPr="00C95E04">
        <w:rPr>
          <w:rFonts w:eastAsiaTheme="minorHAnsi"/>
          <w:color w:val="000000"/>
        </w:rPr>
        <w:t xml:space="preserve">EPA will continue to accept paper applications but encourages applicants to take advantage of this new, more efficient option and forego the courier costs to send to EPA. For electronic submissions, applicants do not need to submit multiple copies of any pieces of their application, the requirement for multiple copies of data and five copies draft labeling only applies to paper submissions. </w:t>
      </w:r>
    </w:p>
    <w:p w14:paraId="39CAED72" w14:textId="77777777" w:rsidR="00FC65BE" w:rsidRPr="00F204D4" w:rsidRDefault="00FC65BE" w:rsidP="00C95E04">
      <w:pPr>
        <w:autoSpaceDE w:val="0"/>
        <w:autoSpaceDN w:val="0"/>
        <w:adjustRightInd w:val="0"/>
        <w:ind w:firstLine="720"/>
        <w:rPr>
          <w:rFonts w:eastAsiaTheme="minorHAnsi"/>
          <w:color w:val="000000"/>
        </w:rPr>
      </w:pPr>
    </w:p>
    <w:p w14:paraId="635D752F" w14:textId="63C7620D" w:rsidR="00FC65BE" w:rsidRPr="00F204D4" w:rsidRDefault="00FC65BE" w:rsidP="00FD6598">
      <w:pPr>
        <w:ind w:firstLine="720"/>
      </w:pPr>
      <w:r w:rsidRPr="00F204D4">
        <w:t xml:space="preserve">Whereas existing registration application forms </w:t>
      </w:r>
      <w:r w:rsidRPr="00F204D4">
        <w:rPr>
          <w:iCs/>
        </w:rPr>
        <w:t>require</w:t>
      </w:r>
      <w:r w:rsidRPr="00F204D4">
        <w:rPr>
          <w:b/>
          <w:iCs/>
        </w:rPr>
        <w:t xml:space="preserve"> </w:t>
      </w:r>
      <w:r w:rsidRPr="00F204D4">
        <w:rPr>
          <w:rStyle w:val="Strong"/>
          <w:b w:val="0"/>
          <w:lang w:val="en"/>
        </w:rPr>
        <w:t xml:space="preserve">an ink signature, the web-based portal uses </w:t>
      </w:r>
      <w:r w:rsidRPr="00F204D4">
        <w:t xml:space="preserve">EPA’s Central Data Exchange (CDX) to allow </w:t>
      </w:r>
      <w:r w:rsidRPr="00F204D4">
        <w:rPr>
          <w:rStyle w:val="Strong"/>
          <w:b w:val="0"/>
          <w:lang w:val="en"/>
        </w:rPr>
        <w:t>applicants to electronically sign and securely submit the required information</w:t>
      </w:r>
      <w:r w:rsidRPr="00F204D4">
        <w:t xml:space="preserve">. The use of CDX is intended to save registrants’ and the Agency’s time and resources by simplifying data submissions, receipt confirmation, information access and reporting. The electronic reporting option for CBI-related data through EPA’s CDX reporting site has only been in place for a few months. Therefore, the Agency has not yet evaluated whether respondents are more inclined to </w:t>
      </w:r>
      <w:r w:rsidR="00FD6598" w:rsidRPr="00F204D4">
        <w:t>use</w:t>
      </w:r>
      <w:r w:rsidRPr="00F204D4">
        <w:t xml:space="preserve"> the new submission portal, PSP</w:t>
      </w:r>
      <w:r w:rsidR="00FD6598" w:rsidRPr="00F204D4">
        <w:t>, for that purpose</w:t>
      </w:r>
      <w:r w:rsidRPr="00F204D4">
        <w:t>.</w:t>
      </w:r>
    </w:p>
    <w:p w14:paraId="13657DAB" w14:textId="77777777" w:rsidR="00FC65BE" w:rsidRPr="00F204D4" w:rsidRDefault="00FC65BE" w:rsidP="00FC65BE">
      <w:pPr>
        <w:autoSpaceDE w:val="0"/>
        <w:autoSpaceDN w:val="0"/>
        <w:adjustRightInd w:val="0"/>
        <w:ind w:firstLine="720"/>
        <w:rPr>
          <w:rFonts w:eastAsiaTheme="minorHAnsi"/>
          <w:color w:val="000000"/>
        </w:rPr>
      </w:pPr>
    </w:p>
    <w:p w14:paraId="2B17814E" w14:textId="54EC3876" w:rsidR="00FC65BE" w:rsidRPr="00F204D4" w:rsidRDefault="00FC65BE" w:rsidP="00C95E04">
      <w:pPr>
        <w:autoSpaceDE w:val="0"/>
        <w:autoSpaceDN w:val="0"/>
        <w:adjustRightInd w:val="0"/>
        <w:ind w:firstLine="720"/>
      </w:pPr>
      <w:r w:rsidRPr="00F204D4">
        <w:rPr>
          <w:rFonts w:eastAsiaTheme="minorHAnsi"/>
          <w:color w:val="000000"/>
        </w:rPr>
        <w:t xml:space="preserve">While it is too early to be able to quantify any change in burden, the Agency's pesticide program, along with the pesticide industry, recognizes the advantages in terms of accuracy, speed, cost and personnel from electronic data transfer technologies. </w:t>
      </w:r>
      <w:r w:rsidRPr="00F204D4">
        <w:t xml:space="preserve">The Agency believes that the ability to electronically submit information required for registration reduces the burden of sending, receiving, and archiving paper submissions, minimizes errors, and eliminates the need for multiple data entries across forms. </w:t>
      </w:r>
    </w:p>
    <w:p w14:paraId="04988D21" w14:textId="77777777" w:rsidR="00FC65BE" w:rsidRPr="00F204D4" w:rsidRDefault="00FC65BE" w:rsidP="00C95E04">
      <w:pPr>
        <w:autoSpaceDE w:val="0"/>
        <w:autoSpaceDN w:val="0"/>
        <w:adjustRightInd w:val="0"/>
        <w:ind w:firstLine="720"/>
      </w:pPr>
    </w:p>
    <w:p w14:paraId="5666DD8A" w14:textId="3FC85CAF" w:rsidR="00EB48F9" w:rsidRPr="00F204D4" w:rsidRDefault="00C95E04" w:rsidP="00C95E04">
      <w:pPr>
        <w:autoSpaceDE w:val="0"/>
        <w:autoSpaceDN w:val="0"/>
        <w:adjustRightInd w:val="0"/>
        <w:ind w:firstLine="720"/>
      </w:pPr>
      <w:r w:rsidRPr="00C95E04">
        <w:rPr>
          <w:rFonts w:eastAsiaTheme="minorHAnsi"/>
          <w:color w:val="000000"/>
        </w:rPr>
        <w:t xml:space="preserve">Additional benefits of using the Portal include a status indicator that allows registrants to track the movement of their submissions and automatically generated MRID numbers. </w:t>
      </w:r>
      <w:r w:rsidR="00B96BE0" w:rsidRPr="00F204D4">
        <w:t>Extensive guidance regarding available electronic submission option</w:t>
      </w:r>
      <w:r w:rsidR="0006236F" w:rsidRPr="00F204D4">
        <w:t>s</w:t>
      </w:r>
      <w:r w:rsidR="00B96BE0" w:rsidRPr="00F204D4">
        <w:t xml:space="preserve"> is available to registrants via OPP</w:t>
      </w:r>
      <w:r w:rsidR="00832560" w:rsidRPr="00F204D4">
        <w:t>’s</w:t>
      </w:r>
      <w:r w:rsidR="00B96BE0" w:rsidRPr="00F204D4">
        <w:t xml:space="preserve"> </w:t>
      </w:r>
      <w:r w:rsidR="00832560" w:rsidRPr="00F204D4">
        <w:t>web</w:t>
      </w:r>
      <w:r w:rsidR="00B96BE0" w:rsidRPr="00F204D4">
        <w:t xml:space="preserve">site at </w:t>
      </w:r>
      <w:hyperlink r:id="rId17" w:history="1">
        <w:r w:rsidR="0006236F" w:rsidRPr="00F204D4">
          <w:rPr>
            <w:rStyle w:val="Hyperlink"/>
          </w:rPr>
          <w:t>http://www2.epa.gov/pesticide-registration/electronic-submissions-pesticide-applications</w:t>
        </w:r>
      </w:hyperlink>
      <w:r w:rsidR="00B96BE0" w:rsidRPr="00F204D4">
        <w:t>.</w:t>
      </w:r>
    </w:p>
    <w:p w14:paraId="2A29D75C" w14:textId="77777777" w:rsidR="0006236F" w:rsidRPr="00F204D4" w:rsidRDefault="0006236F" w:rsidP="0006236F">
      <w:pPr>
        <w:autoSpaceDE w:val="0"/>
        <w:autoSpaceDN w:val="0"/>
        <w:adjustRightInd w:val="0"/>
      </w:pPr>
    </w:p>
    <w:p w14:paraId="0F91E1B9" w14:textId="4028F6E1" w:rsidR="004445F4" w:rsidRPr="00F204D4" w:rsidRDefault="004445F4" w:rsidP="00FC65BE">
      <w:pPr>
        <w:ind w:firstLine="720"/>
      </w:pPr>
      <w:r w:rsidRPr="00F204D4">
        <w:t>Overall, the EPA is continuing to investigate opportunities for technological improvements which focus on information collection using fully electronic tools.</w:t>
      </w:r>
      <w:r w:rsidR="00FC65BE" w:rsidRPr="00F204D4">
        <w:t xml:space="preserve"> </w:t>
      </w:r>
      <w:r w:rsidR="00FC65BE" w:rsidRPr="00F204D4">
        <w:rPr>
          <w:rFonts w:eastAsiaTheme="minorHAnsi"/>
          <w:color w:val="000000"/>
        </w:rPr>
        <w:t xml:space="preserve">OPP continues to consult with industry associations and other federal agencies and is participating in an </w:t>
      </w:r>
      <w:r w:rsidR="00FC65BE" w:rsidRPr="00F204D4">
        <w:rPr>
          <w:rFonts w:eastAsiaTheme="minorHAnsi"/>
          <w:color w:val="000000"/>
        </w:rPr>
        <w:lastRenderedPageBreak/>
        <w:t>Agency-wide workgroup to develop electronic reporting standards</w:t>
      </w:r>
      <w:r w:rsidR="00FC65BE" w:rsidRPr="00F204D4">
        <w:t>.</w:t>
      </w:r>
      <w:r w:rsidRPr="00F204D4">
        <w:t xml:space="preserve"> One of OPP’s priority areas in developing such electronic tools is related to electronic submission of data and labels. Some of the tools discussed in this ICR under this initiative are the electronic Confidential Statement of Product Specifications (CSPS) form (to be used in lieu of the Confidential Statement of Formula or CSF) the </w:t>
      </w:r>
      <w:proofErr w:type="spellStart"/>
      <w:r w:rsidRPr="00F204D4">
        <w:t>SmartLabel</w:t>
      </w:r>
      <w:proofErr w:type="spellEnd"/>
      <w:r w:rsidRPr="00F204D4">
        <w:t xml:space="preserve">, and the web-based </w:t>
      </w:r>
      <w:r w:rsidR="007247A6" w:rsidRPr="00F204D4">
        <w:t>PSP</w:t>
      </w:r>
      <w:r w:rsidRPr="00F204D4">
        <w:t>.</w:t>
      </w:r>
    </w:p>
    <w:p w14:paraId="6A8D2F0A" w14:textId="77777777" w:rsidR="004445F4" w:rsidRPr="00F204D4" w:rsidRDefault="004445F4" w:rsidP="004445F4">
      <w:pPr>
        <w:ind w:firstLine="720"/>
        <w:rPr>
          <w:rFonts w:asciiTheme="majorBidi" w:hAnsiTheme="majorBidi" w:cstheme="majorBidi"/>
        </w:rPr>
      </w:pPr>
    </w:p>
    <w:p w14:paraId="4C014AF3" w14:textId="77777777" w:rsidR="00E23E12" w:rsidRPr="00F204D4" w:rsidRDefault="004445F4" w:rsidP="004445F4">
      <w:pPr>
        <w:tabs>
          <w:tab w:val="left" w:pos="720"/>
          <w:tab w:val="left" w:pos="2160"/>
          <w:tab w:val="left" w:pos="2880"/>
          <w:tab w:val="left" w:pos="3600"/>
          <w:tab w:val="left" w:pos="4320"/>
          <w:tab w:val="center" w:pos="5040"/>
          <w:tab w:val="left" w:pos="5760"/>
          <w:tab w:val="left" w:pos="6480"/>
          <w:tab w:val="left" w:pos="7200"/>
          <w:tab w:val="left" w:pos="7920"/>
          <w:tab w:val="left" w:pos="8640"/>
          <w:tab w:val="left" w:pos="9360"/>
        </w:tabs>
        <w:ind w:firstLine="720"/>
        <w:rPr>
          <w:rFonts w:asciiTheme="majorBidi" w:hAnsiTheme="majorBidi" w:cstheme="majorBidi"/>
          <w:bCs/>
        </w:rPr>
      </w:pPr>
      <w:r w:rsidRPr="00F204D4">
        <w:rPr>
          <w:rFonts w:asciiTheme="majorBidi" w:hAnsiTheme="majorBidi" w:cstheme="majorBidi"/>
          <w:sz w:val="23"/>
          <w:szCs w:val="23"/>
        </w:rPr>
        <w:t>The web-based submission portal initiative is expected to leverage existing collaboration between Canada and the US toward a harmonized single portal usable for electronic submissions to either Agency.</w:t>
      </w:r>
      <w:r w:rsidRPr="00F204D4">
        <w:rPr>
          <w:rFonts w:asciiTheme="majorBidi" w:hAnsiTheme="majorBidi" w:cstheme="majorBidi"/>
        </w:rPr>
        <w:t xml:space="preserve"> </w:t>
      </w:r>
      <w:r w:rsidRPr="00F204D4">
        <w:rPr>
          <w:rFonts w:asciiTheme="majorBidi" w:hAnsiTheme="majorBidi" w:cstheme="majorBidi"/>
          <w:bCs/>
        </w:rPr>
        <w:t xml:space="preserve">In 2014, under the joint U.S. - Canada </w:t>
      </w:r>
      <w:r w:rsidRPr="00F204D4">
        <w:rPr>
          <w:rFonts w:asciiTheme="majorBidi" w:hAnsiTheme="majorBidi" w:cstheme="majorBidi"/>
          <w:bCs/>
          <w:i/>
          <w:iCs/>
        </w:rPr>
        <w:t>Regulatory Cooperation Council</w:t>
      </w:r>
      <w:r w:rsidRPr="00F204D4">
        <w:rPr>
          <w:rFonts w:asciiTheme="majorBidi" w:hAnsiTheme="majorBidi" w:cstheme="majorBidi"/>
          <w:bCs/>
        </w:rPr>
        <w:t xml:space="preserve">’s (RCC) </w:t>
      </w:r>
      <w:r w:rsidRPr="00F204D4">
        <w:rPr>
          <w:rFonts w:asciiTheme="majorBidi" w:hAnsiTheme="majorBidi" w:cstheme="majorBidi"/>
          <w:bCs/>
          <w:i/>
          <w:iCs/>
        </w:rPr>
        <w:t>Crop Protection Products Initiative</w:t>
      </w:r>
      <w:r w:rsidRPr="00F204D4">
        <w:rPr>
          <w:rFonts w:asciiTheme="majorBidi" w:hAnsiTheme="majorBidi" w:cstheme="majorBidi"/>
          <w:bCs/>
        </w:rPr>
        <w:t xml:space="preserve">, OPP and Canada’s Pest Management Regulatory Agency (PMRA) developed a joint product specification form (see </w:t>
      </w:r>
      <w:r w:rsidRPr="00F204D4">
        <w:rPr>
          <w:rFonts w:asciiTheme="majorBidi" w:hAnsiTheme="majorBidi" w:cstheme="majorBidi"/>
          <w:b/>
          <w:bCs/>
        </w:rPr>
        <w:t>Attachment I</w:t>
      </w:r>
      <w:r w:rsidRPr="00F204D4">
        <w:rPr>
          <w:rFonts w:asciiTheme="majorBidi" w:hAnsiTheme="majorBidi" w:cstheme="majorBidi"/>
          <w:bCs/>
        </w:rPr>
        <w:t xml:space="preserve">). The Confidential Statement of Product Specifications (CSPS) form is intended to provide an optional, fully electronic alternate to the Confidential Statement of Formula, or CSF (EPA Form 8570-4). The proposed joint form (CSPS) is a combined and harmonized version of the CSF form and Canada’s </w:t>
      </w:r>
      <w:r w:rsidRPr="00F204D4">
        <w:rPr>
          <w:rFonts w:asciiTheme="majorBidi" w:hAnsiTheme="majorBidi" w:cstheme="majorBidi"/>
        </w:rPr>
        <w:t>Statement of Product Specification Form</w:t>
      </w:r>
      <w:r w:rsidRPr="00F204D4">
        <w:rPr>
          <w:rFonts w:asciiTheme="majorBidi" w:hAnsiTheme="majorBidi" w:cstheme="majorBidi"/>
          <w:bCs/>
        </w:rPr>
        <w:t xml:space="preserve"> (SPSF). </w:t>
      </w:r>
    </w:p>
    <w:p w14:paraId="20B8AE6F" w14:textId="77777777" w:rsidR="00E23E12" w:rsidRPr="00F204D4" w:rsidRDefault="00E23E12" w:rsidP="004445F4">
      <w:pPr>
        <w:tabs>
          <w:tab w:val="left" w:pos="720"/>
          <w:tab w:val="left" w:pos="2160"/>
          <w:tab w:val="left" w:pos="2880"/>
          <w:tab w:val="left" w:pos="3600"/>
          <w:tab w:val="left" w:pos="4320"/>
          <w:tab w:val="center" w:pos="5040"/>
          <w:tab w:val="left" w:pos="5760"/>
          <w:tab w:val="left" w:pos="6480"/>
          <w:tab w:val="left" w:pos="7200"/>
          <w:tab w:val="left" w:pos="7920"/>
          <w:tab w:val="left" w:pos="8640"/>
          <w:tab w:val="left" w:pos="9360"/>
        </w:tabs>
        <w:ind w:firstLine="720"/>
        <w:rPr>
          <w:rFonts w:asciiTheme="majorBidi" w:hAnsiTheme="majorBidi" w:cstheme="majorBidi"/>
          <w:bCs/>
        </w:rPr>
      </w:pPr>
    </w:p>
    <w:p w14:paraId="45527700" w14:textId="68A518E3" w:rsidR="004445F4" w:rsidRPr="00F204D4" w:rsidRDefault="004445F4" w:rsidP="004445F4">
      <w:pPr>
        <w:tabs>
          <w:tab w:val="left" w:pos="720"/>
          <w:tab w:val="left" w:pos="2160"/>
          <w:tab w:val="left" w:pos="2880"/>
          <w:tab w:val="left" w:pos="3600"/>
          <w:tab w:val="left" w:pos="4320"/>
          <w:tab w:val="center" w:pos="5040"/>
          <w:tab w:val="left" w:pos="5760"/>
          <w:tab w:val="left" w:pos="6480"/>
          <w:tab w:val="left" w:pos="7200"/>
          <w:tab w:val="left" w:pos="7920"/>
          <w:tab w:val="left" w:pos="8640"/>
          <w:tab w:val="left" w:pos="9360"/>
        </w:tabs>
        <w:ind w:firstLine="720"/>
        <w:rPr>
          <w:rFonts w:asciiTheme="majorBidi" w:eastAsiaTheme="minorHAnsi" w:hAnsiTheme="majorBidi" w:cstheme="majorBidi"/>
          <w:bCs/>
        </w:rPr>
      </w:pPr>
      <w:r w:rsidRPr="00F204D4">
        <w:rPr>
          <w:rFonts w:asciiTheme="majorBidi" w:hAnsiTheme="majorBidi" w:cstheme="majorBidi"/>
          <w:bCs/>
        </w:rPr>
        <w:t xml:space="preserve">The harmonized form reflects a baseline level of information already submitted to either agency in the registration application. While there are some differences between PMRA and EPA information requirements, many CSPS data elements are overlapping. Some data elements on the form are specific to EPA or PMRA requirements, and PMRA requirements that do not overlap with EPA’s </w:t>
      </w:r>
      <w:r w:rsidRPr="00F204D4">
        <w:rPr>
          <w:rFonts w:asciiTheme="majorBidi" w:eastAsiaTheme="minorHAnsi" w:hAnsiTheme="majorBidi" w:cstheme="majorBidi"/>
        </w:rPr>
        <w:t xml:space="preserve">will </w:t>
      </w:r>
      <w:r w:rsidRPr="00F204D4">
        <w:rPr>
          <w:rFonts w:asciiTheme="majorBidi" w:hAnsiTheme="majorBidi" w:cstheme="majorBidi"/>
        </w:rPr>
        <w:t>not be required for a US registration application. A guidance document as well as detailed form instructions are available to help the applicant determine which fields are required to be completed based on their product type, and the types of content for those fields. For the electronic version of the CSPS, ‘tool tips,’ help text and validation tools will be available while using the electronic wizard module.</w:t>
      </w:r>
    </w:p>
    <w:p w14:paraId="07AC0D6D" w14:textId="77777777" w:rsidR="004445F4" w:rsidRPr="00F204D4" w:rsidRDefault="004445F4" w:rsidP="004445F4">
      <w:pPr>
        <w:autoSpaceDE w:val="0"/>
        <w:autoSpaceDN w:val="0"/>
        <w:ind w:firstLine="720"/>
        <w:rPr>
          <w:rFonts w:asciiTheme="majorBidi" w:eastAsiaTheme="minorHAnsi" w:hAnsiTheme="majorBidi" w:cstheme="majorBidi"/>
        </w:rPr>
      </w:pPr>
      <w:r w:rsidRPr="00F204D4">
        <w:rPr>
          <w:rFonts w:asciiTheme="majorBidi" w:eastAsiaTheme="minorHAnsi" w:hAnsiTheme="majorBidi" w:cstheme="majorBidi"/>
        </w:rPr>
        <w:t xml:space="preserve"> </w:t>
      </w:r>
    </w:p>
    <w:p w14:paraId="6E8BBA94" w14:textId="7E93F412" w:rsidR="004445F4" w:rsidRPr="00F204D4" w:rsidRDefault="004445F4" w:rsidP="00547514">
      <w:pPr>
        <w:autoSpaceDE w:val="0"/>
        <w:autoSpaceDN w:val="0"/>
        <w:ind w:firstLine="720"/>
        <w:rPr>
          <w:rFonts w:asciiTheme="majorBidi" w:hAnsiTheme="majorBidi" w:cstheme="majorBidi"/>
          <w:bCs/>
        </w:rPr>
      </w:pPr>
      <w:r w:rsidRPr="00F204D4">
        <w:rPr>
          <w:rFonts w:asciiTheme="majorBidi" w:hAnsiTheme="majorBidi" w:cstheme="majorBidi"/>
          <w:bCs/>
        </w:rPr>
        <w:t xml:space="preserve">The </w:t>
      </w:r>
      <w:r w:rsidR="00547514" w:rsidRPr="00F204D4">
        <w:rPr>
          <w:rFonts w:asciiTheme="majorBidi" w:hAnsiTheme="majorBidi" w:cstheme="majorBidi"/>
          <w:bCs/>
        </w:rPr>
        <w:t>existing EPA Form 8570-4 (</w:t>
      </w:r>
      <w:r w:rsidRPr="00F204D4">
        <w:rPr>
          <w:rFonts w:asciiTheme="majorBidi" w:hAnsiTheme="majorBidi" w:cstheme="majorBidi"/>
          <w:bCs/>
        </w:rPr>
        <w:t>CSF</w:t>
      </w:r>
      <w:r w:rsidR="00547514" w:rsidRPr="00F204D4">
        <w:rPr>
          <w:rFonts w:asciiTheme="majorBidi" w:hAnsiTheme="majorBidi" w:cstheme="majorBidi"/>
          <w:bCs/>
        </w:rPr>
        <w:t>)</w:t>
      </w:r>
      <w:r w:rsidRPr="00F204D4">
        <w:rPr>
          <w:rFonts w:asciiTheme="majorBidi" w:hAnsiTheme="majorBidi" w:cstheme="majorBidi"/>
          <w:bCs/>
        </w:rPr>
        <w:t xml:space="preserve"> is currently submitted only on paper, and as a result, no structured data are collected. Each time any change is needed, some of the common data must be re-entered and submitted on a different form. Because the </w:t>
      </w:r>
      <w:r w:rsidRPr="00F204D4">
        <w:rPr>
          <w:rFonts w:asciiTheme="majorBidi" w:eastAsiaTheme="minorHAnsi" w:hAnsiTheme="majorBidi" w:cstheme="majorBidi"/>
        </w:rPr>
        <w:t xml:space="preserve">CSPS would collect structured data, submitters who opt to use the electronic version would be able to access information already stored in the data system to partially complete their submissions </w:t>
      </w:r>
      <w:r w:rsidRPr="00F204D4">
        <w:rPr>
          <w:rFonts w:asciiTheme="majorBidi" w:hAnsiTheme="majorBidi" w:cstheme="majorBidi"/>
          <w:bCs/>
        </w:rPr>
        <w:t>such that the data would not need to be reentered for every submission. As most CSF forms submitted to EPA are modifications to previously submitted versions, a</w:t>
      </w:r>
      <w:r w:rsidRPr="00F204D4">
        <w:rPr>
          <w:rFonts w:asciiTheme="majorBidi" w:eastAsiaTheme="minorHAnsi" w:hAnsiTheme="majorBidi" w:cstheme="majorBidi"/>
        </w:rPr>
        <w:t xml:space="preserve">doption of an electronic reporting option </w:t>
      </w:r>
      <w:r w:rsidRPr="00F204D4">
        <w:rPr>
          <w:rFonts w:asciiTheme="majorBidi" w:hAnsiTheme="majorBidi" w:cstheme="majorBidi"/>
          <w:bCs/>
        </w:rPr>
        <w:t xml:space="preserve">is anticipated to result in significant time savings for the applicant and the reviewing agency or agencies. </w:t>
      </w:r>
    </w:p>
    <w:p w14:paraId="0181B183" w14:textId="77777777" w:rsidR="004445F4" w:rsidRPr="00F204D4" w:rsidRDefault="004445F4" w:rsidP="004445F4">
      <w:pPr>
        <w:autoSpaceDE w:val="0"/>
        <w:autoSpaceDN w:val="0"/>
        <w:ind w:firstLine="720"/>
        <w:rPr>
          <w:rFonts w:asciiTheme="majorBidi" w:hAnsiTheme="majorBidi" w:cstheme="majorBidi"/>
          <w:bCs/>
        </w:rPr>
      </w:pPr>
    </w:p>
    <w:p w14:paraId="678397E0" w14:textId="77777777" w:rsidR="004445F4" w:rsidRPr="00F204D4" w:rsidRDefault="004445F4" w:rsidP="004445F4">
      <w:pPr>
        <w:autoSpaceDE w:val="0"/>
        <w:autoSpaceDN w:val="0"/>
        <w:ind w:firstLine="720"/>
        <w:rPr>
          <w:rFonts w:asciiTheme="majorBidi" w:hAnsiTheme="majorBidi" w:cstheme="majorBidi"/>
          <w:bCs/>
        </w:rPr>
      </w:pPr>
      <w:r w:rsidRPr="00F204D4">
        <w:rPr>
          <w:rFonts w:asciiTheme="majorBidi" w:hAnsiTheme="majorBidi" w:cstheme="majorBidi"/>
          <w:bCs/>
        </w:rPr>
        <w:t>In addition, the electronic wizard module would perform error checks and validations, flagging issues that registrants may need to address before being permitted to advance to the next step in a given submission. One of the error checks performed in the CDX module is CBI claims. If the submitter of the CSPS checks a box to indicate a response includes CBI, the field provided for substantiation of that claim cannot be left blank. This technology is expected to provide significant improvement in data accuracy by reducing common errors such as mathematical calculations. The electronic wizard module would also greatly enhance registrants’ ability to correctly designate information for pesticide product types and for food use applications (e.g., with antimicrobial and inert ingredients).</w:t>
      </w:r>
    </w:p>
    <w:p w14:paraId="3E664970" w14:textId="77777777" w:rsidR="004445F4" w:rsidRPr="00F204D4" w:rsidRDefault="004445F4" w:rsidP="00832560">
      <w:pPr>
        <w:autoSpaceDE w:val="0"/>
        <w:autoSpaceDN w:val="0"/>
        <w:adjustRightInd w:val="0"/>
        <w:ind w:firstLine="720"/>
        <w:rPr>
          <w:rFonts w:asciiTheme="majorBidi" w:hAnsiTheme="majorBidi" w:cstheme="majorBidi"/>
        </w:rPr>
      </w:pPr>
    </w:p>
    <w:p w14:paraId="36BF25D5" w14:textId="7F7EC76F" w:rsidR="00B96BE0" w:rsidRPr="00F204D4" w:rsidRDefault="004445F4" w:rsidP="00832560">
      <w:pPr>
        <w:autoSpaceDE w:val="0"/>
        <w:autoSpaceDN w:val="0"/>
        <w:adjustRightInd w:val="0"/>
        <w:ind w:firstLine="720"/>
        <w:rPr>
          <w:rFonts w:asciiTheme="majorBidi" w:hAnsiTheme="majorBidi" w:cstheme="majorBidi"/>
        </w:rPr>
      </w:pPr>
      <w:r w:rsidRPr="00F204D4">
        <w:rPr>
          <w:rFonts w:asciiTheme="majorBidi" w:hAnsiTheme="majorBidi" w:cstheme="majorBidi"/>
          <w:b/>
          <w:bCs/>
        </w:rPr>
        <w:lastRenderedPageBreak/>
        <w:t>Other information submission methods:</w:t>
      </w:r>
      <w:r w:rsidRPr="00F204D4">
        <w:rPr>
          <w:rFonts w:asciiTheme="majorBidi" w:hAnsiTheme="majorBidi" w:cstheme="majorBidi"/>
        </w:rPr>
        <w:tab/>
      </w:r>
      <w:r w:rsidR="003A6E9A" w:rsidRPr="00F204D4">
        <w:rPr>
          <w:rFonts w:asciiTheme="majorBidi" w:hAnsiTheme="majorBidi" w:cstheme="majorBidi"/>
        </w:rPr>
        <w:t>With paper submissions, o</w:t>
      </w:r>
      <w:r w:rsidR="005B2C0F" w:rsidRPr="00F204D4">
        <w:rPr>
          <w:rFonts w:asciiTheme="majorBidi" w:hAnsiTheme="majorBidi" w:cstheme="majorBidi"/>
        </w:rPr>
        <w:t xml:space="preserve">rdinarily, registrants would be required to submit three paper copies of study data to EPA, </w:t>
      </w:r>
      <w:r w:rsidR="00832560" w:rsidRPr="00F204D4">
        <w:rPr>
          <w:rFonts w:asciiTheme="majorBidi" w:hAnsiTheme="majorBidi" w:cstheme="majorBidi"/>
        </w:rPr>
        <w:t xml:space="preserve">or </w:t>
      </w:r>
      <w:r w:rsidR="005B2C0F" w:rsidRPr="00F204D4">
        <w:rPr>
          <w:rFonts w:asciiTheme="majorBidi" w:hAnsiTheme="majorBidi" w:cstheme="majorBidi"/>
        </w:rPr>
        <w:t xml:space="preserve">two paper copies if they submit the required study data in Adobe Acrobat Portable Document Format (PDF) on a compact disc. </w:t>
      </w:r>
    </w:p>
    <w:p w14:paraId="542FBD32" w14:textId="77777777" w:rsidR="00B96BE0" w:rsidRPr="00F204D4" w:rsidRDefault="00B96BE0" w:rsidP="00B96BE0">
      <w:pPr>
        <w:autoSpaceDE w:val="0"/>
        <w:autoSpaceDN w:val="0"/>
        <w:adjustRightInd w:val="0"/>
        <w:ind w:firstLine="720"/>
        <w:rPr>
          <w:rFonts w:asciiTheme="majorBidi" w:hAnsiTheme="majorBidi" w:cstheme="majorBidi"/>
        </w:rPr>
      </w:pPr>
    </w:p>
    <w:p w14:paraId="508EFC99" w14:textId="5F7BFC6A" w:rsidR="005B2C0F" w:rsidRPr="00F204D4" w:rsidRDefault="00832560" w:rsidP="00B96BE0">
      <w:pPr>
        <w:autoSpaceDE w:val="0"/>
        <w:autoSpaceDN w:val="0"/>
        <w:adjustRightInd w:val="0"/>
        <w:ind w:firstLine="720"/>
        <w:rPr>
          <w:rFonts w:asciiTheme="majorBidi" w:hAnsiTheme="majorBidi" w:cstheme="majorBidi"/>
        </w:rPr>
      </w:pPr>
      <w:r w:rsidRPr="00F204D4">
        <w:rPr>
          <w:rFonts w:asciiTheme="majorBidi" w:hAnsiTheme="majorBidi" w:cstheme="majorBidi"/>
        </w:rPr>
        <w:t>A</w:t>
      </w:r>
      <w:r w:rsidR="00B96BE0" w:rsidRPr="00F204D4">
        <w:rPr>
          <w:rFonts w:asciiTheme="majorBidi" w:hAnsiTheme="majorBidi" w:cstheme="majorBidi"/>
        </w:rPr>
        <w:t xml:space="preserve">lternatives to paper-based records and data submissions include the use of “web forms”/XML based submissions via the Agency’s Internet site, magnetic media-based submissions (e.g., diskette, CD-ROM, etc.), and </w:t>
      </w:r>
      <w:r w:rsidR="00E23E12" w:rsidRPr="00F204D4">
        <w:rPr>
          <w:rFonts w:asciiTheme="majorBidi" w:hAnsiTheme="majorBidi" w:cstheme="majorBidi"/>
        </w:rPr>
        <w:t xml:space="preserve">now </w:t>
      </w:r>
      <w:r w:rsidR="00B96BE0" w:rsidRPr="00F204D4">
        <w:rPr>
          <w:rFonts w:asciiTheme="majorBidi" w:hAnsiTheme="majorBidi" w:cstheme="majorBidi"/>
        </w:rPr>
        <w:t xml:space="preserve">through EPA’s new Pesticide Submissions Portal (PSP). </w:t>
      </w:r>
    </w:p>
    <w:p w14:paraId="1B2FA553" w14:textId="77777777" w:rsidR="005B2C0F" w:rsidRPr="00F204D4" w:rsidRDefault="005B2C0F" w:rsidP="00365D44">
      <w:pPr>
        <w:autoSpaceDE w:val="0"/>
        <w:autoSpaceDN w:val="0"/>
        <w:adjustRightInd w:val="0"/>
        <w:ind w:firstLine="720"/>
        <w:rPr>
          <w:rFonts w:asciiTheme="majorBidi" w:hAnsiTheme="majorBidi" w:cstheme="majorBidi"/>
        </w:rPr>
      </w:pPr>
    </w:p>
    <w:p w14:paraId="0D1DE85A" w14:textId="0D074AAE" w:rsidR="00911512" w:rsidRPr="00F204D4" w:rsidRDefault="00365D44" w:rsidP="009E5FFA">
      <w:pPr>
        <w:ind w:firstLine="720"/>
        <w:rPr>
          <w:rFonts w:asciiTheme="majorBidi" w:hAnsiTheme="majorBidi" w:cstheme="majorBidi"/>
        </w:rPr>
      </w:pPr>
      <w:r w:rsidRPr="00F204D4">
        <w:rPr>
          <w:rFonts w:asciiTheme="majorBidi" w:hAnsiTheme="majorBidi" w:cstheme="majorBidi"/>
          <w:color w:val="000000"/>
        </w:rPr>
        <w:t xml:space="preserve">There are two </w:t>
      </w:r>
      <w:r w:rsidR="009E5FFA" w:rsidRPr="00F204D4">
        <w:rPr>
          <w:rFonts w:asciiTheme="majorBidi" w:hAnsiTheme="majorBidi" w:cstheme="majorBidi"/>
          <w:color w:val="000000"/>
        </w:rPr>
        <w:t xml:space="preserve">non-CDX based </w:t>
      </w:r>
      <w:r w:rsidRPr="00F204D4">
        <w:rPr>
          <w:rFonts w:asciiTheme="majorBidi" w:hAnsiTheme="majorBidi" w:cstheme="majorBidi"/>
          <w:color w:val="000000"/>
        </w:rPr>
        <w:t>methods by which companies can assemble the e-submission discs for</w:t>
      </w:r>
      <w:r w:rsidRPr="00F204D4">
        <w:rPr>
          <w:rFonts w:asciiTheme="majorBidi" w:hAnsiTheme="majorBidi" w:cstheme="majorBidi"/>
        </w:rPr>
        <w:t xml:space="preserve"> e</w:t>
      </w:r>
      <w:r w:rsidRPr="00F204D4">
        <w:rPr>
          <w:rFonts w:asciiTheme="majorBidi" w:hAnsiTheme="majorBidi" w:cstheme="majorBidi"/>
          <w:color w:val="000000"/>
        </w:rPr>
        <w:t xml:space="preserve">lectronic-Submission (or "e-Submissions). In both methods, the files to be submitted along with an XML data file containing information about the files and the submission itself are “zipped” into a single file and placed on a disc (CD/DVD) for submission to the EPA. The first is a newer method introducing the use of a “builder” application. The second, introduced in July 2008, requires the manual editing of the XML file. </w:t>
      </w:r>
      <w:r w:rsidR="00186403" w:rsidRPr="00F204D4">
        <w:rPr>
          <w:rFonts w:asciiTheme="majorBidi" w:hAnsiTheme="majorBidi" w:cstheme="majorBidi"/>
          <w:lang w:val="en"/>
        </w:rPr>
        <w:t xml:space="preserve">The XML method of information exchange from industry to EPA is based on a harmonized XML schema used by Canada's PMRA, which OPP has adapted. This harmonization assures industry that a documentation package submitted to one participating regulatory agency can also be submitted to the other participating agency, increasing standardization and decreasing the burden on industry. </w:t>
      </w:r>
      <w:r w:rsidR="00113037" w:rsidRPr="00F204D4">
        <w:rPr>
          <w:rFonts w:asciiTheme="majorBidi" w:hAnsiTheme="majorBidi" w:cstheme="majorBidi"/>
          <w:color w:val="000000"/>
        </w:rPr>
        <w:t xml:space="preserve">Additional information about both </w:t>
      </w:r>
      <w:r w:rsidR="005B2C0F" w:rsidRPr="00F204D4">
        <w:rPr>
          <w:rFonts w:asciiTheme="majorBidi" w:hAnsiTheme="majorBidi" w:cstheme="majorBidi"/>
          <w:color w:val="000000"/>
        </w:rPr>
        <w:t>e-submission methods can be accessed at:</w:t>
      </w:r>
      <w:r w:rsidR="005B2C0F" w:rsidRPr="00F204D4">
        <w:rPr>
          <w:rFonts w:asciiTheme="majorBidi" w:hAnsiTheme="majorBidi" w:cstheme="majorBidi"/>
          <w:color w:val="FF0000"/>
        </w:rPr>
        <w:t xml:space="preserve"> </w:t>
      </w:r>
      <w:hyperlink r:id="rId18" w:history="1">
        <w:r w:rsidR="004A6CF5" w:rsidRPr="00F204D4">
          <w:rPr>
            <w:rStyle w:val="Hyperlink"/>
            <w:rFonts w:asciiTheme="majorBidi" w:hAnsiTheme="majorBidi" w:cstheme="majorBidi"/>
          </w:rPr>
          <w:t>http://www2.epa.gov/pesticide-registration/assembly-electronic-packages-and-discs</w:t>
        </w:r>
      </w:hyperlink>
      <w:r w:rsidR="005B2C0F" w:rsidRPr="00F204D4">
        <w:rPr>
          <w:rFonts w:asciiTheme="majorBidi" w:hAnsiTheme="majorBidi" w:cstheme="majorBidi"/>
          <w:color w:val="000000"/>
        </w:rPr>
        <w:t>.</w:t>
      </w:r>
    </w:p>
    <w:p w14:paraId="4B670140" w14:textId="77777777" w:rsidR="00C15D86" w:rsidRPr="00F204D4" w:rsidRDefault="00C15D86">
      <w:pPr>
        <w:rPr>
          <w:rFonts w:asciiTheme="majorBidi" w:hAnsiTheme="majorBidi" w:cstheme="majorBidi"/>
        </w:rPr>
      </w:pPr>
    </w:p>
    <w:p w14:paraId="49A7D62E"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t>3(f)</w:t>
      </w:r>
      <w:r w:rsidRPr="00F204D4">
        <w:rPr>
          <w:rFonts w:asciiTheme="majorBidi" w:hAnsiTheme="majorBidi" w:cstheme="majorBidi"/>
          <w:b/>
        </w:rPr>
        <w:tab/>
        <w:t>Confidentiality</w:t>
      </w:r>
    </w:p>
    <w:p w14:paraId="46D08C0F" w14:textId="77777777" w:rsidR="00C15D86" w:rsidRPr="00F204D4" w:rsidRDefault="00C15D86">
      <w:pPr>
        <w:rPr>
          <w:rFonts w:asciiTheme="majorBidi" w:hAnsiTheme="majorBidi" w:cstheme="majorBidi"/>
        </w:rPr>
      </w:pPr>
    </w:p>
    <w:p w14:paraId="499A0420" w14:textId="033EC09A" w:rsidR="00C15D86" w:rsidRPr="00F204D4" w:rsidRDefault="00C47DDD" w:rsidP="009E5FFA">
      <w:pPr>
        <w:ind w:firstLine="720"/>
        <w:rPr>
          <w:rFonts w:asciiTheme="majorBidi" w:hAnsiTheme="majorBidi" w:cstheme="majorBidi"/>
        </w:rPr>
      </w:pPr>
      <w:r w:rsidRPr="00F204D4">
        <w:rPr>
          <w:rFonts w:asciiTheme="majorBidi" w:hAnsiTheme="majorBidi" w:cstheme="majorBidi"/>
        </w:rPr>
        <w:t xml:space="preserve">Although the EPA urges the submitter to minimize the amount of claimed Confidential Business Information (CBI), </w:t>
      </w:r>
      <w:r w:rsidR="009E5FFA" w:rsidRPr="00F204D4">
        <w:rPr>
          <w:rFonts w:asciiTheme="majorBidi" w:hAnsiTheme="majorBidi" w:cstheme="majorBidi"/>
        </w:rPr>
        <w:t xml:space="preserve">in accordance with FIFRA Section 10 and 40 CFR Part 2, Subpart B, the EPA will protect from disclosure </w:t>
      </w:r>
      <w:r w:rsidRPr="00F204D4">
        <w:rPr>
          <w:rFonts w:asciiTheme="majorBidi" w:hAnsiTheme="majorBidi" w:cstheme="majorBidi"/>
        </w:rPr>
        <w:t xml:space="preserve">all data and/or information brought to the Agency in conjunction with this </w:t>
      </w:r>
      <w:r w:rsidR="009E5FFA" w:rsidRPr="00F204D4">
        <w:rPr>
          <w:rFonts w:asciiTheme="majorBidi" w:hAnsiTheme="majorBidi" w:cstheme="majorBidi"/>
        </w:rPr>
        <w:t xml:space="preserve">information collection </w:t>
      </w:r>
      <w:r w:rsidRPr="00F204D4">
        <w:rPr>
          <w:rFonts w:asciiTheme="majorBidi" w:hAnsiTheme="majorBidi" w:cstheme="majorBidi"/>
        </w:rPr>
        <w:t>that may be claimed as trade secret, commercial, or financial information.</w:t>
      </w:r>
    </w:p>
    <w:p w14:paraId="349D0FF3" w14:textId="77777777" w:rsidR="00C15D86" w:rsidRPr="00F204D4" w:rsidRDefault="00C15D86">
      <w:pPr>
        <w:rPr>
          <w:rFonts w:asciiTheme="majorBidi" w:hAnsiTheme="majorBidi" w:cstheme="majorBidi"/>
        </w:rPr>
      </w:pPr>
    </w:p>
    <w:p w14:paraId="0879AC55" w14:textId="77777777" w:rsidR="00C15D86" w:rsidRPr="00F204D4" w:rsidRDefault="00C47DDD">
      <w:pPr>
        <w:keepNext/>
        <w:rPr>
          <w:rFonts w:asciiTheme="majorBidi" w:hAnsiTheme="majorBidi" w:cstheme="majorBidi"/>
          <w:b/>
        </w:rPr>
      </w:pPr>
      <w:r w:rsidRPr="00F204D4">
        <w:rPr>
          <w:rFonts w:asciiTheme="majorBidi" w:hAnsiTheme="majorBidi" w:cstheme="majorBidi"/>
        </w:rPr>
        <w:tab/>
      </w:r>
      <w:r w:rsidRPr="00F204D4">
        <w:rPr>
          <w:rFonts w:asciiTheme="majorBidi" w:hAnsiTheme="majorBidi" w:cstheme="majorBidi"/>
          <w:b/>
        </w:rPr>
        <w:t>3(g)</w:t>
      </w:r>
      <w:r w:rsidRPr="00F204D4">
        <w:rPr>
          <w:rFonts w:asciiTheme="majorBidi" w:hAnsiTheme="majorBidi" w:cstheme="majorBidi"/>
          <w:b/>
        </w:rPr>
        <w:tab/>
        <w:t>Sensitive Questions</w:t>
      </w:r>
    </w:p>
    <w:p w14:paraId="3ED4DE32" w14:textId="77777777" w:rsidR="00C15D86" w:rsidRPr="00F204D4" w:rsidRDefault="00C15D86">
      <w:pPr>
        <w:keepNext/>
        <w:rPr>
          <w:rFonts w:asciiTheme="majorBidi" w:hAnsiTheme="majorBidi" w:cstheme="majorBidi"/>
        </w:rPr>
      </w:pPr>
    </w:p>
    <w:p w14:paraId="075CE92D" w14:textId="77777777" w:rsidR="00C15D86" w:rsidRPr="00F204D4" w:rsidRDefault="00C47DDD">
      <w:pPr>
        <w:keepNext/>
        <w:ind w:firstLine="720"/>
        <w:rPr>
          <w:rFonts w:asciiTheme="majorBidi" w:hAnsiTheme="majorBidi" w:cstheme="majorBidi"/>
        </w:rPr>
      </w:pPr>
      <w:r w:rsidRPr="00F204D4">
        <w:rPr>
          <w:rFonts w:asciiTheme="majorBidi" w:hAnsiTheme="majorBidi" w:cstheme="majorBidi"/>
        </w:rPr>
        <w:t>Not applicable. No information of a sensitive or private nature is requested in conjunction with this collection activity. In addition, this information collection activity complies with the provisions of the Privacy Act of 1974 and OMB circular A-108.</w:t>
      </w:r>
    </w:p>
    <w:p w14:paraId="126A21FE" w14:textId="77777777" w:rsidR="00C15D86" w:rsidRPr="00F204D4" w:rsidRDefault="00C15D86">
      <w:pPr>
        <w:keepNext/>
        <w:ind w:firstLine="720"/>
        <w:rPr>
          <w:rFonts w:asciiTheme="majorBidi" w:hAnsiTheme="majorBidi" w:cstheme="majorBidi"/>
        </w:rPr>
      </w:pPr>
    </w:p>
    <w:p w14:paraId="0CA6BB0F" w14:textId="77777777" w:rsidR="00C15D86" w:rsidRPr="00F204D4" w:rsidRDefault="00762CD0">
      <w:pPr>
        <w:ind w:firstLine="720"/>
        <w:rPr>
          <w:rFonts w:asciiTheme="majorBidi" w:hAnsiTheme="majorBidi" w:cstheme="majorBidi"/>
          <w:b/>
        </w:rPr>
      </w:pPr>
      <w:r w:rsidRPr="00F204D4">
        <w:rPr>
          <w:rFonts w:asciiTheme="majorBidi" w:hAnsiTheme="majorBidi" w:cstheme="majorBidi"/>
          <w:b/>
        </w:rPr>
        <w:t>3(h)</w:t>
      </w:r>
      <w:r w:rsidRPr="00F204D4">
        <w:rPr>
          <w:rFonts w:asciiTheme="majorBidi" w:hAnsiTheme="majorBidi" w:cstheme="majorBidi"/>
          <w:b/>
        </w:rPr>
        <w:tab/>
        <w:t>OMB Terms of Clearance</w:t>
      </w:r>
    </w:p>
    <w:p w14:paraId="7362E13F" w14:textId="77777777" w:rsidR="00C15D86" w:rsidRPr="00F204D4" w:rsidRDefault="00C15D86">
      <w:pPr>
        <w:ind w:firstLine="720"/>
        <w:rPr>
          <w:rFonts w:asciiTheme="majorBidi" w:hAnsiTheme="majorBidi" w:cstheme="majorBidi"/>
        </w:rPr>
      </w:pPr>
    </w:p>
    <w:p w14:paraId="019B1F77" w14:textId="59EC8CD6" w:rsidR="00C15D86" w:rsidRPr="00F204D4" w:rsidRDefault="00762CD0" w:rsidP="009E5FFA">
      <w:pPr>
        <w:ind w:firstLine="720"/>
        <w:rPr>
          <w:rFonts w:asciiTheme="majorBidi" w:hAnsiTheme="majorBidi" w:cstheme="majorBidi"/>
        </w:rPr>
      </w:pPr>
      <w:r w:rsidRPr="00F204D4">
        <w:rPr>
          <w:rFonts w:asciiTheme="majorBidi" w:hAnsiTheme="majorBidi" w:cstheme="majorBidi"/>
        </w:rPr>
        <w:t>Upon approval of the expiring ICR, OMB issued the following terms of clearance:</w:t>
      </w:r>
      <w:r w:rsidR="00420413" w:rsidRPr="00F204D4">
        <w:rPr>
          <w:rFonts w:asciiTheme="majorBidi" w:hAnsiTheme="majorBidi" w:cstheme="majorBidi"/>
          <w:i/>
        </w:rPr>
        <w:t xml:space="preserve">  </w:t>
      </w:r>
      <w:r w:rsidR="00225E9F" w:rsidRPr="00F204D4">
        <w:rPr>
          <w:rFonts w:asciiTheme="majorBidi" w:hAnsiTheme="majorBidi" w:cstheme="majorBidi"/>
          <w:i/>
        </w:rPr>
        <w:t xml:space="preserve">The agency is required to display the OMB Control Number and inform respondents of its legal significance in </w:t>
      </w:r>
      <w:r w:rsidR="000D678A" w:rsidRPr="00F204D4">
        <w:rPr>
          <w:rFonts w:asciiTheme="majorBidi" w:hAnsiTheme="majorBidi" w:cstheme="majorBidi"/>
          <w:i/>
        </w:rPr>
        <w:t>accordance</w:t>
      </w:r>
      <w:r w:rsidR="00225E9F" w:rsidRPr="00F204D4">
        <w:rPr>
          <w:rFonts w:asciiTheme="majorBidi" w:hAnsiTheme="majorBidi" w:cstheme="majorBidi"/>
          <w:i/>
        </w:rPr>
        <w:t xml:space="preserve"> with 5 CFR 1320.5(b).</w:t>
      </w:r>
      <w:r w:rsidR="00420413" w:rsidRPr="00F204D4">
        <w:rPr>
          <w:rFonts w:asciiTheme="majorBidi" w:hAnsiTheme="majorBidi" w:cstheme="majorBidi"/>
          <w:iCs/>
        </w:rPr>
        <w:t xml:space="preserve"> </w:t>
      </w:r>
      <w:r w:rsidR="00970B5B">
        <w:rPr>
          <w:rFonts w:asciiTheme="majorBidi" w:hAnsiTheme="majorBidi" w:cstheme="majorBidi"/>
          <w:iCs/>
        </w:rPr>
        <w:t xml:space="preserve">This was accomplished shortly after approval, and </w:t>
      </w:r>
      <w:r w:rsidRPr="00F204D4">
        <w:rPr>
          <w:rFonts w:asciiTheme="majorBidi" w:hAnsiTheme="majorBidi" w:cstheme="majorBidi"/>
        </w:rPr>
        <w:t>EPA has addressed these terms</w:t>
      </w:r>
      <w:r w:rsidR="007A6470" w:rsidRPr="00F204D4">
        <w:rPr>
          <w:rFonts w:asciiTheme="majorBidi" w:hAnsiTheme="majorBidi" w:cstheme="majorBidi"/>
        </w:rPr>
        <w:t xml:space="preserve"> in</w:t>
      </w:r>
      <w:r w:rsidRPr="00F204D4">
        <w:rPr>
          <w:rFonts w:asciiTheme="majorBidi" w:hAnsiTheme="majorBidi" w:cstheme="majorBidi"/>
        </w:rPr>
        <w:t xml:space="preserve"> </w:t>
      </w:r>
      <w:r w:rsidR="00225E9F" w:rsidRPr="00F204D4">
        <w:rPr>
          <w:rFonts w:asciiTheme="majorBidi" w:hAnsiTheme="majorBidi" w:cstheme="majorBidi"/>
          <w:b/>
        </w:rPr>
        <w:t>Attachment C</w:t>
      </w:r>
      <w:r w:rsidR="00225E9F" w:rsidRPr="00F204D4">
        <w:rPr>
          <w:rFonts w:asciiTheme="majorBidi" w:hAnsiTheme="majorBidi" w:cstheme="majorBidi"/>
        </w:rPr>
        <w:t>.</w:t>
      </w:r>
    </w:p>
    <w:p w14:paraId="3712BE5F" w14:textId="77777777" w:rsidR="00762CD0" w:rsidRPr="00F204D4" w:rsidRDefault="00762CD0" w:rsidP="008B7CCF">
      <w:pPr>
        <w:ind w:firstLine="720"/>
        <w:rPr>
          <w:rFonts w:asciiTheme="majorBidi" w:hAnsiTheme="majorBidi" w:cstheme="majorBidi"/>
        </w:rPr>
      </w:pPr>
    </w:p>
    <w:p w14:paraId="651E0772" w14:textId="77777777" w:rsidR="00C15D86" w:rsidRPr="00F204D4" w:rsidRDefault="00C15D86">
      <w:pPr>
        <w:ind w:firstLine="720"/>
        <w:rPr>
          <w:rFonts w:asciiTheme="majorBidi" w:hAnsiTheme="majorBidi" w:cstheme="majorBidi"/>
        </w:rPr>
      </w:pPr>
    </w:p>
    <w:p w14:paraId="4C1089EA" w14:textId="77777777" w:rsidR="00C15D86" w:rsidRPr="00F204D4" w:rsidRDefault="00C47DDD">
      <w:pPr>
        <w:rPr>
          <w:rFonts w:asciiTheme="majorBidi" w:hAnsiTheme="majorBidi" w:cstheme="majorBidi"/>
          <w:b/>
        </w:rPr>
      </w:pPr>
      <w:r w:rsidRPr="00F204D4">
        <w:rPr>
          <w:rFonts w:asciiTheme="majorBidi" w:hAnsiTheme="majorBidi" w:cstheme="majorBidi"/>
          <w:b/>
        </w:rPr>
        <w:t>4.</w:t>
      </w:r>
      <w:r w:rsidRPr="00F204D4">
        <w:rPr>
          <w:rFonts w:asciiTheme="majorBidi" w:hAnsiTheme="majorBidi" w:cstheme="majorBidi"/>
          <w:b/>
        </w:rPr>
        <w:tab/>
      </w:r>
      <w:r w:rsidRPr="00F204D4">
        <w:rPr>
          <w:rFonts w:asciiTheme="majorBidi" w:hAnsiTheme="majorBidi" w:cstheme="majorBidi"/>
          <w:b/>
          <w:u w:val="single"/>
        </w:rPr>
        <w:t>THE RESPONDENTS AND THE INFORMATION REQUESTED</w:t>
      </w:r>
    </w:p>
    <w:p w14:paraId="3187A642" w14:textId="77777777" w:rsidR="00C15D86" w:rsidRPr="00F204D4" w:rsidRDefault="00C15D86">
      <w:pPr>
        <w:rPr>
          <w:rFonts w:asciiTheme="majorBidi" w:hAnsiTheme="majorBidi" w:cstheme="majorBidi"/>
        </w:rPr>
      </w:pPr>
    </w:p>
    <w:p w14:paraId="3C01FA0F"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t>4(a)</w:t>
      </w:r>
      <w:r w:rsidRPr="00F204D4">
        <w:rPr>
          <w:rFonts w:asciiTheme="majorBidi" w:hAnsiTheme="majorBidi" w:cstheme="majorBidi"/>
          <w:b/>
        </w:rPr>
        <w:tab/>
        <w:t>Respondents - NAICS Codes</w:t>
      </w:r>
    </w:p>
    <w:p w14:paraId="32E2E140" w14:textId="77777777" w:rsidR="00C15D86" w:rsidRPr="00F204D4" w:rsidRDefault="00C15D86">
      <w:pPr>
        <w:rPr>
          <w:rFonts w:asciiTheme="majorBidi" w:hAnsiTheme="majorBidi" w:cstheme="majorBidi"/>
        </w:rPr>
      </w:pPr>
    </w:p>
    <w:p w14:paraId="44E818E2" w14:textId="5CE114C4" w:rsidR="00C15D86" w:rsidRPr="00F204D4" w:rsidRDefault="00AB2DE4">
      <w:pPr>
        <w:ind w:firstLine="720"/>
        <w:rPr>
          <w:rFonts w:asciiTheme="majorBidi" w:hAnsiTheme="majorBidi" w:cstheme="majorBidi"/>
        </w:rPr>
      </w:pPr>
      <w:r w:rsidRPr="00F204D4">
        <w:rPr>
          <w:rFonts w:asciiTheme="majorBidi" w:hAnsiTheme="majorBidi" w:cstheme="majorBidi"/>
        </w:rPr>
        <w:t>T</w:t>
      </w:r>
      <w:r w:rsidR="00C47DDD" w:rsidRPr="00F204D4">
        <w:rPr>
          <w:rFonts w:asciiTheme="majorBidi" w:hAnsiTheme="majorBidi" w:cstheme="majorBidi"/>
        </w:rPr>
        <w:t xml:space="preserve">he </w:t>
      </w:r>
      <w:r w:rsidRPr="00F204D4">
        <w:rPr>
          <w:rFonts w:asciiTheme="majorBidi" w:hAnsiTheme="majorBidi" w:cstheme="majorBidi"/>
        </w:rPr>
        <w:t xml:space="preserve">information </w:t>
      </w:r>
      <w:r w:rsidR="00C47DDD" w:rsidRPr="00F204D4">
        <w:rPr>
          <w:rFonts w:asciiTheme="majorBidi" w:hAnsiTheme="majorBidi" w:cstheme="majorBidi"/>
        </w:rPr>
        <w:t xml:space="preserve">collection under this ICR </w:t>
      </w:r>
      <w:r w:rsidRPr="00F204D4">
        <w:rPr>
          <w:rFonts w:asciiTheme="majorBidi" w:hAnsiTheme="majorBidi" w:cstheme="majorBidi"/>
        </w:rPr>
        <w:t xml:space="preserve">affects </w:t>
      </w:r>
      <w:r w:rsidR="00C47DDD" w:rsidRPr="00F204D4">
        <w:rPr>
          <w:rFonts w:asciiTheme="majorBidi" w:hAnsiTheme="majorBidi" w:cstheme="majorBidi"/>
        </w:rPr>
        <w:t xml:space="preserve">individuals or entities engaged in activities related to the registration of pesticide products. </w:t>
      </w:r>
      <w:r w:rsidR="00C93BB0" w:rsidRPr="00F204D4">
        <w:rPr>
          <w:rFonts w:asciiTheme="majorBidi" w:hAnsiTheme="majorBidi" w:cstheme="majorBidi"/>
        </w:rPr>
        <w:t>There are</w:t>
      </w:r>
      <w:r w:rsidRPr="00F204D4">
        <w:rPr>
          <w:rFonts w:asciiTheme="majorBidi" w:hAnsiTheme="majorBidi" w:cstheme="majorBidi"/>
        </w:rPr>
        <w:t xml:space="preserve"> approximately</w:t>
      </w:r>
      <w:r w:rsidR="00C93BB0" w:rsidRPr="00F204D4">
        <w:rPr>
          <w:rFonts w:asciiTheme="majorBidi" w:hAnsiTheme="majorBidi" w:cstheme="majorBidi"/>
        </w:rPr>
        <w:t xml:space="preserve"> </w:t>
      </w:r>
      <w:r w:rsidR="000D678A" w:rsidRPr="00F204D4">
        <w:rPr>
          <w:rFonts w:asciiTheme="majorBidi" w:hAnsiTheme="majorBidi" w:cstheme="majorBidi"/>
        </w:rPr>
        <w:t xml:space="preserve">1,751 </w:t>
      </w:r>
      <w:r w:rsidR="00C93BB0" w:rsidRPr="00F204D4">
        <w:rPr>
          <w:rFonts w:asciiTheme="majorBidi" w:hAnsiTheme="majorBidi" w:cstheme="majorBidi"/>
        </w:rPr>
        <w:t xml:space="preserve">pesticide </w:t>
      </w:r>
      <w:r w:rsidRPr="00F204D4">
        <w:rPr>
          <w:rFonts w:asciiTheme="majorBidi" w:hAnsiTheme="majorBidi" w:cstheme="majorBidi"/>
        </w:rPr>
        <w:t xml:space="preserve">respondents </w:t>
      </w:r>
      <w:r w:rsidR="00C93BB0" w:rsidRPr="00F204D4">
        <w:rPr>
          <w:rFonts w:asciiTheme="majorBidi" w:hAnsiTheme="majorBidi" w:cstheme="majorBidi"/>
        </w:rPr>
        <w:t xml:space="preserve">holding at least one pesticide registration. </w:t>
      </w:r>
      <w:r w:rsidR="00C47DDD" w:rsidRPr="00F204D4">
        <w:rPr>
          <w:rFonts w:asciiTheme="majorBidi" w:hAnsiTheme="majorBidi" w:cstheme="majorBidi"/>
        </w:rPr>
        <w:t>The North American Industrial Classification System (NAICS) assigned to the parties responding to this information are as follows:</w:t>
      </w:r>
    </w:p>
    <w:p w14:paraId="170F7EA1" w14:textId="77777777" w:rsidR="00C15D86" w:rsidRPr="00F204D4" w:rsidRDefault="00C15D86">
      <w:pPr>
        <w:rPr>
          <w:rFonts w:asciiTheme="majorBidi" w:hAnsiTheme="majorBidi" w:cstheme="majorBidi"/>
        </w:rPr>
      </w:pPr>
    </w:p>
    <w:tbl>
      <w:tblPr>
        <w:tblW w:w="0" w:type="auto"/>
        <w:tblCellMar>
          <w:left w:w="0" w:type="dxa"/>
          <w:right w:w="0" w:type="dxa"/>
        </w:tblCellMar>
        <w:tblLook w:val="0000" w:firstRow="0" w:lastRow="0" w:firstColumn="0" w:lastColumn="0" w:noHBand="0" w:noVBand="0"/>
      </w:tblPr>
      <w:tblGrid>
        <w:gridCol w:w="2697"/>
        <w:gridCol w:w="1170"/>
        <w:gridCol w:w="4277"/>
      </w:tblGrid>
      <w:tr w:rsidR="00C47DDD" w:rsidRPr="00F204D4" w14:paraId="41F4CCDB" w14:textId="77777777" w:rsidTr="00181384">
        <w:trPr>
          <w:trHeight w:hRule="exact" w:val="739"/>
        </w:trPr>
        <w:tc>
          <w:tcPr>
            <w:tcW w:w="2697" w:type="dxa"/>
            <w:tcBorders>
              <w:top w:val="single" w:sz="2" w:space="0" w:color="auto"/>
              <w:left w:val="single" w:sz="2" w:space="0" w:color="auto"/>
              <w:bottom w:val="single" w:sz="2" w:space="0" w:color="auto"/>
              <w:right w:val="single" w:sz="2" w:space="0" w:color="auto"/>
            </w:tcBorders>
            <w:shd w:val="solid" w:color="CCCCCC" w:fill="auto"/>
            <w:tcMar>
              <w:top w:w="29" w:type="dxa"/>
              <w:left w:w="115" w:type="dxa"/>
              <w:right w:w="115" w:type="dxa"/>
            </w:tcMar>
            <w:vAlign w:val="bottom"/>
          </w:tcPr>
          <w:p w14:paraId="4879A8E0" w14:textId="77777777" w:rsidR="00C15D86" w:rsidRPr="00F204D4" w:rsidRDefault="00C47DDD">
            <w:pPr>
              <w:ind w:left="67"/>
              <w:rPr>
                <w:rFonts w:asciiTheme="majorBidi" w:hAnsiTheme="majorBidi" w:cstheme="majorBidi"/>
                <w:color w:val="000000"/>
              </w:rPr>
            </w:pPr>
            <w:r w:rsidRPr="00F204D4">
              <w:rPr>
                <w:rFonts w:asciiTheme="majorBidi" w:hAnsiTheme="majorBidi" w:cstheme="majorBidi"/>
                <w:color w:val="000000"/>
              </w:rPr>
              <w:t>Category</w:t>
            </w:r>
          </w:p>
        </w:tc>
        <w:tc>
          <w:tcPr>
            <w:tcW w:w="1170" w:type="dxa"/>
            <w:tcBorders>
              <w:top w:val="single" w:sz="2" w:space="0" w:color="auto"/>
              <w:left w:val="single" w:sz="2" w:space="0" w:color="auto"/>
              <w:bottom w:val="single" w:sz="2" w:space="0" w:color="auto"/>
              <w:right w:val="single" w:sz="2" w:space="0" w:color="auto"/>
            </w:tcBorders>
            <w:shd w:val="solid" w:color="CCCCCC" w:fill="auto"/>
            <w:tcMar>
              <w:top w:w="29" w:type="dxa"/>
              <w:left w:w="115" w:type="dxa"/>
              <w:right w:w="115" w:type="dxa"/>
            </w:tcMar>
            <w:vAlign w:val="bottom"/>
          </w:tcPr>
          <w:p w14:paraId="7E5070AA" w14:textId="77777777" w:rsidR="00C15D86" w:rsidRPr="00F204D4" w:rsidRDefault="00C47DDD">
            <w:pPr>
              <w:ind w:left="52"/>
              <w:rPr>
                <w:rFonts w:asciiTheme="majorBidi" w:hAnsiTheme="majorBidi" w:cstheme="majorBidi"/>
                <w:color w:val="000000"/>
              </w:rPr>
            </w:pPr>
            <w:r w:rsidRPr="00F204D4">
              <w:rPr>
                <w:rFonts w:asciiTheme="majorBidi" w:hAnsiTheme="majorBidi" w:cstheme="majorBidi"/>
                <w:color w:val="000000"/>
              </w:rPr>
              <w:t>NAICS codes</w:t>
            </w:r>
          </w:p>
        </w:tc>
        <w:tc>
          <w:tcPr>
            <w:tcW w:w="4277" w:type="dxa"/>
            <w:tcBorders>
              <w:top w:val="single" w:sz="2" w:space="0" w:color="auto"/>
              <w:left w:val="single" w:sz="2" w:space="0" w:color="auto"/>
              <w:bottom w:val="single" w:sz="2" w:space="0" w:color="auto"/>
              <w:right w:val="single" w:sz="2" w:space="0" w:color="auto"/>
            </w:tcBorders>
            <w:shd w:val="solid" w:color="CCCCCC" w:fill="auto"/>
            <w:tcMar>
              <w:top w:w="29" w:type="dxa"/>
              <w:left w:w="115" w:type="dxa"/>
              <w:right w:w="115" w:type="dxa"/>
            </w:tcMar>
            <w:vAlign w:val="bottom"/>
          </w:tcPr>
          <w:p w14:paraId="6EFF1B0C" w14:textId="77777777" w:rsidR="00C47DDD" w:rsidRPr="00F204D4" w:rsidRDefault="00C47DDD" w:rsidP="008B7CCF">
            <w:pPr>
              <w:ind w:left="72"/>
              <w:rPr>
                <w:rFonts w:asciiTheme="majorBidi" w:hAnsiTheme="majorBidi" w:cstheme="majorBidi"/>
                <w:color w:val="000000"/>
              </w:rPr>
            </w:pPr>
            <w:r w:rsidRPr="00F204D4">
              <w:rPr>
                <w:rFonts w:asciiTheme="majorBidi" w:hAnsiTheme="majorBidi" w:cstheme="majorBidi"/>
                <w:color w:val="000000"/>
              </w:rPr>
              <w:t>Examples of potentially affected</w:t>
            </w:r>
          </w:p>
          <w:p w14:paraId="4BBD8DC6" w14:textId="77777777" w:rsidR="00C15D86" w:rsidRPr="00F204D4" w:rsidRDefault="00C47DDD">
            <w:pPr>
              <w:ind w:left="72"/>
              <w:rPr>
                <w:rFonts w:asciiTheme="majorBidi" w:hAnsiTheme="majorBidi" w:cstheme="majorBidi"/>
                <w:color w:val="000000"/>
              </w:rPr>
            </w:pPr>
            <w:r w:rsidRPr="00F204D4">
              <w:rPr>
                <w:rFonts w:asciiTheme="majorBidi" w:hAnsiTheme="majorBidi" w:cstheme="majorBidi"/>
                <w:color w:val="000000"/>
              </w:rPr>
              <w:t>entities</w:t>
            </w:r>
          </w:p>
        </w:tc>
      </w:tr>
      <w:tr w:rsidR="00C47DDD" w:rsidRPr="00F204D4" w14:paraId="734FD685" w14:textId="77777777" w:rsidTr="00381D02">
        <w:trPr>
          <w:trHeight w:hRule="exact" w:val="1015"/>
        </w:trPr>
        <w:tc>
          <w:tcPr>
            <w:tcW w:w="2697" w:type="dxa"/>
            <w:tcBorders>
              <w:top w:val="single" w:sz="2" w:space="0" w:color="auto"/>
              <w:left w:val="single" w:sz="2" w:space="0" w:color="auto"/>
              <w:bottom w:val="single" w:sz="2" w:space="0" w:color="auto"/>
              <w:right w:val="single" w:sz="2" w:space="0" w:color="auto"/>
            </w:tcBorders>
            <w:tcMar>
              <w:top w:w="29" w:type="dxa"/>
              <w:left w:w="115" w:type="dxa"/>
              <w:right w:w="115" w:type="dxa"/>
            </w:tcMar>
            <w:vAlign w:val="center"/>
          </w:tcPr>
          <w:p w14:paraId="6763C4EC" w14:textId="77777777" w:rsidR="00C15D86" w:rsidRPr="00F204D4" w:rsidRDefault="00C47DDD" w:rsidP="00381D02">
            <w:pPr>
              <w:ind w:left="67"/>
              <w:rPr>
                <w:rFonts w:asciiTheme="majorBidi" w:hAnsiTheme="majorBidi" w:cstheme="majorBidi"/>
              </w:rPr>
            </w:pPr>
            <w:r w:rsidRPr="00F204D4">
              <w:rPr>
                <w:rFonts w:asciiTheme="majorBidi" w:hAnsiTheme="majorBidi" w:cstheme="majorBidi"/>
              </w:rPr>
              <w:t>Pesticide and other agricultural</w:t>
            </w:r>
          </w:p>
          <w:p w14:paraId="798689FE" w14:textId="77777777" w:rsidR="00C15D86" w:rsidRPr="00F204D4" w:rsidRDefault="00C47DDD" w:rsidP="00381D02">
            <w:pPr>
              <w:ind w:left="67"/>
              <w:rPr>
                <w:rFonts w:asciiTheme="majorBidi" w:hAnsiTheme="majorBidi" w:cstheme="majorBidi"/>
              </w:rPr>
            </w:pPr>
            <w:r w:rsidRPr="00F204D4">
              <w:rPr>
                <w:rFonts w:asciiTheme="majorBidi" w:hAnsiTheme="majorBidi" w:cstheme="majorBidi"/>
              </w:rPr>
              <w:t>chemical manufacturing</w:t>
            </w:r>
          </w:p>
        </w:tc>
        <w:tc>
          <w:tcPr>
            <w:tcW w:w="1170" w:type="dxa"/>
            <w:tcBorders>
              <w:top w:val="single" w:sz="2" w:space="0" w:color="auto"/>
              <w:left w:val="single" w:sz="2" w:space="0" w:color="auto"/>
              <w:bottom w:val="single" w:sz="2" w:space="0" w:color="auto"/>
              <w:right w:val="single" w:sz="2" w:space="0" w:color="auto"/>
            </w:tcBorders>
            <w:tcMar>
              <w:top w:w="29" w:type="dxa"/>
              <w:left w:w="115" w:type="dxa"/>
              <w:right w:w="115" w:type="dxa"/>
            </w:tcMar>
            <w:vAlign w:val="center"/>
          </w:tcPr>
          <w:p w14:paraId="3968C392" w14:textId="77777777" w:rsidR="00C15D86" w:rsidRPr="00F204D4" w:rsidRDefault="00C47DDD" w:rsidP="00381D02">
            <w:pPr>
              <w:ind w:left="52"/>
              <w:rPr>
                <w:rFonts w:asciiTheme="majorBidi" w:hAnsiTheme="majorBidi" w:cstheme="majorBidi"/>
              </w:rPr>
            </w:pPr>
            <w:r w:rsidRPr="00F204D4">
              <w:rPr>
                <w:rFonts w:asciiTheme="majorBidi" w:hAnsiTheme="majorBidi" w:cstheme="majorBidi"/>
              </w:rPr>
              <w:t>32532</w:t>
            </w:r>
          </w:p>
        </w:tc>
        <w:tc>
          <w:tcPr>
            <w:tcW w:w="4277" w:type="dxa"/>
            <w:tcBorders>
              <w:top w:val="single" w:sz="2" w:space="0" w:color="auto"/>
              <w:left w:val="single" w:sz="2" w:space="0" w:color="auto"/>
              <w:bottom w:val="single" w:sz="2" w:space="0" w:color="auto"/>
              <w:right w:val="single" w:sz="2" w:space="0" w:color="auto"/>
            </w:tcBorders>
            <w:tcMar>
              <w:top w:w="29" w:type="dxa"/>
              <w:left w:w="115" w:type="dxa"/>
              <w:right w:w="115" w:type="dxa"/>
            </w:tcMar>
            <w:vAlign w:val="center"/>
          </w:tcPr>
          <w:p w14:paraId="03085FCC" w14:textId="45D0CCAA" w:rsidR="00C15D86" w:rsidRPr="00F204D4" w:rsidRDefault="00C47DDD" w:rsidP="00381D02">
            <w:pPr>
              <w:rPr>
                <w:rFonts w:asciiTheme="majorBidi" w:hAnsiTheme="majorBidi" w:cstheme="majorBidi"/>
              </w:rPr>
            </w:pPr>
            <w:r w:rsidRPr="00F204D4">
              <w:rPr>
                <w:rFonts w:asciiTheme="majorBidi" w:hAnsiTheme="majorBidi" w:cstheme="majorBidi"/>
              </w:rPr>
              <w:t>Individuals or entities engaged in</w:t>
            </w:r>
            <w:r w:rsidR="00211C9E" w:rsidRPr="00F204D4">
              <w:rPr>
                <w:rFonts w:asciiTheme="majorBidi" w:hAnsiTheme="majorBidi" w:cstheme="majorBidi"/>
              </w:rPr>
              <w:t xml:space="preserve"> </w:t>
            </w:r>
            <w:r w:rsidRPr="00F204D4">
              <w:rPr>
                <w:rFonts w:asciiTheme="majorBidi" w:hAnsiTheme="majorBidi" w:cstheme="majorBidi"/>
              </w:rPr>
              <w:t>activities related to the registration of</w:t>
            </w:r>
            <w:r w:rsidR="00C93BB0" w:rsidRPr="00F204D4">
              <w:rPr>
                <w:rFonts w:asciiTheme="majorBidi" w:hAnsiTheme="majorBidi" w:cstheme="majorBidi"/>
              </w:rPr>
              <w:t xml:space="preserve"> </w:t>
            </w:r>
            <w:r w:rsidRPr="00F204D4">
              <w:rPr>
                <w:rFonts w:asciiTheme="majorBidi" w:hAnsiTheme="majorBidi" w:cstheme="majorBidi"/>
              </w:rPr>
              <w:t>a pesticide product.</w:t>
            </w:r>
          </w:p>
        </w:tc>
      </w:tr>
    </w:tbl>
    <w:p w14:paraId="58E5B31B" w14:textId="77777777" w:rsidR="00C47DDD" w:rsidRPr="00F204D4" w:rsidRDefault="00C47DDD" w:rsidP="008B7CCF">
      <w:pPr>
        <w:rPr>
          <w:rFonts w:asciiTheme="majorBidi" w:hAnsiTheme="majorBidi" w:cstheme="majorBidi"/>
        </w:rPr>
      </w:pPr>
    </w:p>
    <w:p w14:paraId="7F1502AC" w14:textId="77777777" w:rsidR="00C47DDD" w:rsidRPr="00F204D4" w:rsidRDefault="00C47DDD" w:rsidP="008B7CCF">
      <w:pPr>
        <w:ind w:firstLine="720"/>
        <w:rPr>
          <w:rFonts w:asciiTheme="majorBidi" w:hAnsiTheme="majorBidi" w:cstheme="majorBidi"/>
          <w:b/>
        </w:rPr>
      </w:pPr>
      <w:r w:rsidRPr="00F204D4">
        <w:rPr>
          <w:rFonts w:asciiTheme="majorBidi" w:hAnsiTheme="majorBidi" w:cstheme="majorBidi"/>
          <w:b/>
        </w:rPr>
        <w:t>4(b)</w:t>
      </w:r>
      <w:r w:rsidRPr="00F204D4">
        <w:rPr>
          <w:rFonts w:asciiTheme="majorBidi" w:hAnsiTheme="majorBidi" w:cstheme="majorBidi"/>
          <w:b/>
        </w:rPr>
        <w:tab/>
        <w:t>Information Requested</w:t>
      </w:r>
    </w:p>
    <w:p w14:paraId="641487F4" w14:textId="77777777" w:rsidR="00C15D86" w:rsidRPr="00F204D4" w:rsidRDefault="00C15D86">
      <w:pPr>
        <w:rPr>
          <w:rFonts w:asciiTheme="majorBidi" w:hAnsiTheme="majorBidi" w:cstheme="majorBidi"/>
        </w:rPr>
      </w:pPr>
    </w:p>
    <w:p w14:paraId="02B08512" w14:textId="463E5867" w:rsidR="00C15D86" w:rsidRPr="00F204D4" w:rsidRDefault="00C47DDD">
      <w:pPr>
        <w:rPr>
          <w:rFonts w:asciiTheme="majorBidi" w:hAnsiTheme="majorBidi" w:cstheme="majorBidi"/>
          <w:i/>
        </w:rPr>
      </w:pPr>
      <w:r w:rsidRPr="00F204D4">
        <w:rPr>
          <w:rFonts w:asciiTheme="majorBidi" w:hAnsiTheme="majorBidi" w:cstheme="majorBidi"/>
        </w:rPr>
        <w:tab/>
      </w:r>
      <w:r w:rsidRPr="00F204D4">
        <w:rPr>
          <w:rFonts w:asciiTheme="majorBidi" w:hAnsiTheme="majorBidi" w:cstheme="majorBidi"/>
        </w:rPr>
        <w:tab/>
      </w:r>
      <w:r w:rsidRPr="00F204D4">
        <w:rPr>
          <w:rFonts w:asciiTheme="majorBidi" w:hAnsiTheme="majorBidi" w:cstheme="majorBidi"/>
          <w:i/>
        </w:rPr>
        <w:t>(</w:t>
      </w:r>
      <w:proofErr w:type="spellStart"/>
      <w:r w:rsidRPr="00F204D4">
        <w:rPr>
          <w:rFonts w:asciiTheme="majorBidi" w:hAnsiTheme="majorBidi" w:cstheme="majorBidi"/>
          <w:i/>
        </w:rPr>
        <w:t>i</w:t>
      </w:r>
      <w:proofErr w:type="spellEnd"/>
      <w:r w:rsidRPr="00F204D4">
        <w:rPr>
          <w:rFonts w:asciiTheme="majorBidi" w:hAnsiTheme="majorBidi" w:cstheme="majorBidi"/>
          <w:i/>
        </w:rPr>
        <w:t>)</w:t>
      </w:r>
      <w:r w:rsidRPr="00F204D4">
        <w:rPr>
          <w:rFonts w:asciiTheme="majorBidi" w:hAnsiTheme="majorBidi" w:cstheme="majorBidi"/>
          <w:i/>
        </w:rPr>
        <w:tab/>
        <w:t>Data items, including recordkeeping requirements</w:t>
      </w:r>
    </w:p>
    <w:p w14:paraId="69D7C2BD" w14:textId="1556C423" w:rsidR="00F36CA8" w:rsidRPr="00F204D4" w:rsidRDefault="00F36CA8" w:rsidP="00F36CA8">
      <w:pPr>
        <w:spacing w:before="100" w:beforeAutospacing="1" w:after="100" w:afterAutospacing="1"/>
        <w:rPr>
          <w:rFonts w:asciiTheme="majorBidi" w:hAnsiTheme="majorBidi" w:cstheme="majorBidi"/>
          <w:lang w:val="en"/>
        </w:rPr>
      </w:pPr>
      <w:r w:rsidRPr="00F204D4">
        <w:rPr>
          <w:rFonts w:asciiTheme="majorBidi" w:hAnsiTheme="majorBidi" w:cstheme="majorBidi"/>
          <w:lang w:val="en"/>
        </w:rPr>
        <w:t>Application Materials</w:t>
      </w:r>
    </w:p>
    <w:p w14:paraId="1F9E690B" w14:textId="6B5F920A" w:rsidR="0006236F" w:rsidRPr="00F204D4" w:rsidRDefault="00F204D4" w:rsidP="0006236F">
      <w:pPr>
        <w:numPr>
          <w:ilvl w:val="0"/>
          <w:numId w:val="27"/>
        </w:numPr>
        <w:spacing w:before="100" w:beforeAutospacing="1" w:after="100" w:afterAutospacing="1"/>
        <w:rPr>
          <w:rFonts w:asciiTheme="majorBidi" w:hAnsiTheme="majorBidi" w:cstheme="majorBidi"/>
          <w:lang w:val="en"/>
        </w:rPr>
      </w:pPr>
      <w:r w:rsidRPr="00F204D4">
        <w:rPr>
          <w:rFonts w:asciiTheme="majorBidi" w:hAnsiTheme="majorBidi" w:cstheme="majorBidi"/>
          <w:lang w:val="en"/>
        </w:rPr>
        <w:t>Forms for pesticide registration applications</w:t>
      </w:r>
      <w:r w:rsidR="0006236F" w:rsidRPr="00F204D4">
        <w:rPr>
          <w:rFonts w:asciiTheme="majorBidi" w:hAnsiTheme="majorBidi" w:cstheme="majorBidi"/>
          <w:lang w:val="en"/>
        </w:rPr>
        <w:t>.</w:t>
      </w:r>
    </w:p>
    <w:p w14:paraId="1B3085D1" w14:textId="77777777" w:rsidR="0006236F" w:rsidRPr="00F204D4" w:rsidRDefault="0006236F" w:rsidP="0006236F">
      <w:pPr>
        <w:numPr>
          <w:ilvl w:val="0"/>
          <w:numId w:val="27"/>
        </w:numPr>
        <w:spacing w:before="100" w:beforeAutospacing="1" w:after="100" w:afterAutospacing="1"/>
        <w:rPr>
          <w:rFonts w:asciiTheme="majorBidi" w:hAnsiTheme="majorBidi" w:cstheme="majorBidi"/>
          <w:lang w:val="en"/>
        </w:rPr>
      </w:pPr>
      <w:r w:rsidRPr="00F204D4">
        <w:rPr>
          <w:rFonts w:asciiTheme="majorBidi" w:hAnsiTheme="majorBidi" w:cstheme="majorBidi"/>
          <w:lang w:val="en"/>
        </w:rPr>
        <w:t xml:space="preserve">Supporting data may be required as part of the submission. </w:t>
      </w:r>
    </w:p>
    <w:p w14:paraId="0ECB6945" w14:textId="07244A0A" w:rsidR="0006236F" w:rsidRPr="00F204D4" w:rsidRDefault="0006236F" w:rsidP="0006236F">
      <w:pPr>
        <w:numPr>
          <w:ilvl w:val="0"/>
          <w:numId w:val="27"/>
        </w:numPr>
        <w:spacing w:before="100" w:beforeAutospacing="1" w:after="100" w:afterAutospacing="1"/>
        <w:rPr>
          <w:rFonts w:asciiTheme="majorBidi" w:hAnsiTheme="majorBidi" w:cstheme="majorBidi"/>
          <w:lang w:val="en"/>
        </w:rPr>
      </w:pPr>
      <w:r w:rsidRPr="00F204D4">
        <w:rPr>
          <w:rFonts w:asciiTheme="majorBidi" w:hAnsiTheme="majorBidi" w:cstheme="majorBidi"/>
          <w:lang w:val="en"/>
        </w:rPr>
        <w:t>Draft labeling that meets the regulatory requirements set out in 40 CFR 152.50.</w:t>
      </w:r>
    </w:p>
    <w:p w14:paraId="0B241A91" w14:textId="43D59325" w:rsidR="00CE44AE" w:rsidRPr="00F204D4" w:rsidRDefault="00C47DDD" w:rsidP="00EB5198">
      <w:pPr>
        <w:ind w:firstLine="720"/>
        <w:rPr>
          <w:rFonts w:asciiTheme="majorBidi" w:hAnsiTheme="majorBidi" w:cstheme="majorBidi"/>
        </w:rPr>
      </w:pPr>
      <w:r w:rsidRPr="00F204D4">
        <w:rPr>
          <w:rFonts w:asciiTheme="majorBidi" w:hAnsiTheme="majorBidi" w:cstheme="majorBidi"/>
        </w:rPr>
        <w:t xml:space="preserve">There are two main categories of applicants for registration: those requiring submission of a full complement of supporting data (e.g., new active ingredients); and those requiring submission of </w:t>
      </w:r>
      <w:r w:rsidR="00610311" w:rsidRPr="00F204D4">
        <w:rPr>
          <w:rFonts w:asciiTheme="majorBidi" w:hAnsiTheme="majorBidi" w:cstheme="majorBidi"/>
        </w:rPr>
        <w:t xml:space="preserve">less data </w:t>
      </w:r>
      <w:r w:rsidR="008D79E5" w:rsidRPr="00F204D4">
        <w:rPr>
          <w:rFonts w:asciiTheme="majorBidi" w:hAnsiTheme="majorBidi" w:cstheme="majorBidi"/>
        </w:rPr>
        <w:t>(</w:t>
      </w:r>
      <w:r w:rsidRPr="00F204D4">
        <w:rPr>
          <w:rFonts w:asciiTheme="majorBidi" w:hAnsiTheme="majorBidi" w:cstheme="majorBidi"/>
        </w:rPr>
        <w:t xml:space="preserve">e.g., </w:t>
      </w:r>
      <w:r w:rsidR="00610311" w:rsidRPr="00F204D4">
        <w:rPr>
          <w:rFonts w:asciiTheme="majorBidi" w:hAnsiTheme="majorBidi" w:cstheme="majorBidi"/>
        </w:rPr>
        <w:t>amendments,</w:t>
      </w:r>
      <w:r w:rsidRPr="00F204D4">
        <w:rPr>
          <w:rFonts w:asciiTheme="majorBidi" w:hAnsiTheme="majorBidi" w:cstheme="majorBidi"/>
        </w:rPr>
        <w:t xml:space="preserve"> for currently registered chemicals</w:t>
      </w:r>
      <w:r w:rsidR="008D79E5" w:rsidRPr="00F204D4">
        <w:rPr>
          <w:rFonts w:asciiTheme="majorBidi" w:hAnsiTheme="majorBidi" w:cstheme="majorBidi"/>
        </w:rPr>
        <w:t>)</w:t>
      </w:r>
      <w:r w:rsidRPr="00F204D4">
        <w:rPr>
          <w:rFonts w:asciiTheme="majorBidi" w:hAnsiTheme="majorBidi" w:cstheme="majorBidi"/>
        </w:rPr>
        <w:t>.</w:t>
      </w:r>
      <w:r w:rsidR="00610311" w:rsidRPr="00F204D4">
        <w:rPr>
          <w:rFonts w:asciiTheme="majorBidi" w:hAnsiTheme="majorBidi" w:cstheme="majorBidi"/>
        </w:rPr>
        <w:t xml:space="preserve"> </w:t>
      </w:r>
      <w:r w:rsidR="00D87ACC" w:rsidRPr="00F204D4">
        <w:rPr>
          <w:rFonts w:asciiTheme="majorBidi" w:hAnsiTheme="majorBidi" w:cstheme="majorBidi"/>
        </w:rPr>
        <w:t>These have been described as Types A and B, respectively. In “Type A” activities, a</w:t>
      </w:r>
      <w:r w:rsidR="00CE44AE" w:rsidRPr="00F204D4">
        <w:rPr>
          <w:rFonts w:asciiTheme="majorBidi" w:hAnsiTheme="majorBidi" w:cstheme="majorBidi"/>
        </w:rPr>
        <w:t xml:space="preserve">pplicants for new active ingredients will be required to submit </w:t>
      </w:r>
      <w:r w:rsidR="00D67BE5" w:rsidRPr="00F204D4">
        <w:rPr>
          <w:rFonts w:asciiTheme="majorBidi" w:hAnsiTheme="majorBidi" w:cstheme="majorBidi"/>
        </w:rPr>
        <w:t xml:space="preserve">administrative forms, product labeling, a CSF, as well as </w:t>
      </w:r>
      <w:r w:rsidR="00CE44AE" w:rsidRPr="00F204D4">
        <w:rPr>
          <w:rFonts w:asciiTheme="majorBidi" w:hAnsiTheme="majorBidi" w:cstheme="majorBidi"/>
        </w:rPr>
        <w:t>a full complement of physical chemistry, toxicology, environmental fate, ecological effects, worker exposure, residue chemistry, environmental chemistry, and product performance</w:t>
      </w:r>
      <w:r w:rsidR="003E3CC0" w:rsidRPr="00F204D4">
        <w:rPr>
          <w:rFonts w:asciiTheme="majorBidi" w:hAnsiTheme="majorBidi" w:cstheme="majorBidi"/>
        </w:rPr>
        <w:t xml:space="preserve"> data</w:t>
      </w:r>
      <w:r w:rsidR="00CE44AE" w:rsidRPr="00F204D4">
        <w:rPr>
          <w:rFonts w:asciiTheme="majorBidi" w:hAnsiTheme="majorBidi" w:cstheme="majorBidi"/>
        </w:rPr>
        <w:t>, as identified in 40 CFR 158.</w:t>
      </w:r>
      <w:r w:rsidR="00EB5198">
        <w:rPr>
          <w:rFonts w:asciiTheme="majorBidi" w:hAnsiTheme="majorBidi" w:cstheme="majorBidi"/>
        </w:rPr>
        <w:t xml:space="preserve"> (Note: Residue chemistry study development is accounted for in a separate ICR for tolerance petitions, as explained in Sections 1(b), 3(a) and 6 of this ICR.)</w:t>
      </w:r>
    </w:p>
    <w:p w14:paraId="5FC0A659" w14:textId="77777777" w:rsidR="00CE44AE" w:rsidRPr="00F204D4" w:rsidRDefault="00CE44AE">
      <w:pPr>
        <w:ind w:firstLine="720"/>
        <w:rPr>
          <w:rFonts w:asciiTheme="majorBidi" w:hAnsiTheme="majorBidi" w:cstheme="majorBidi"/>
        </w:rPr>
      </w:pPr>
    </w:p>
    <w:p w14:paraId="08E2A6B5" w14:textId="676CD7AD" w:rsidR="0084521B" w:rsidRDefault="008115AE" w:rsidP="0084521B">
      <w:pPr>
        <w:keepNext/>
        <w:ind w:firstLine="720"/>
        <w:rPr>
          <w:rFonts w:asciiTheme="majorBidi" w:hAnsiTheme="majorBidi" w:cstheme="majorBidi"/>
        </w:rPr>
      </w:pPr>
      <w:r w:rsidRPr="00F204D4">
        <w:rPr>
          <w:rFonts w:asciiTheme="majorBidi" w:hAnsiTheme="majorBidi" w:cstheme="majorBidi"/>
        </w:rPr>
        <w:t>"Type B" activities involve a registrant or applicant assembling and submitting an application for registration of a new or amended product that contains a currently registered active ingredient. Generally, "Type B" activities involve less data and complexity than "Type A" activities. “Type B” activities include a range of actions from Fee for Service to the less involved label amendments and notifications. The items that must be submitted or cited in this application include product specific data, administrative forms, product labeling, and a CSF. The product specific data specified in 40 CFR 158 must be generated by the registrant/applicant or cited from an identical or substantially similar product.</w:t>
      </w:r>
      <w:r w:rsidRPr="00F204D4">
        <w:rPr>
          <w:rFonts w:asciiTheme="majorBidi" w:hAnsiTheme="majorBidi" w:cstheme="majorBidi"/>
          <w:sz w:val="22"/>
          <w:szCs w:val="22"/>
        </w:rPr>
        <w:t xml:space="preserve"> </w:t>
      </w:r>
      <w:r w:rsidR="00610311" w:rsidRPr="00F204D4">
        <w:rPr>
          <w:rFonts w:asciiTheme="majorBidi" w:hAnsiTheme="majorBidi" w:cstheme="majorBidi"/>
        </w:rPr>
        <w:t xml:space="preserve">There are several types of amendments, </w:t>
      </w:r>
      <w:r w:rsidR="00D87ACC" w:rsidRPr="00F204D4">
        <w:rPr>
          <w:rFonts w:asciiTheme="majorBidi" w:hAnsiTheme="majorBidi" w:cstheme="majorBidi"/>
        </w:rPr>
        <w:t xml:space="preserve">or “Type B” activities, </w:t>
      </w:r>
      <w:r w:rsidR="00610311" w:rsidRPr="00F204D4">
        <w:rPr>
          <w:rFonts w:asciiTheme="majorBidi" w:hAnsiTheme="majorBidi" w:cstheme="majorBidi"/>
        </w:rPr>
        <w:t xml:space="preserve">including “me-too” products that require little or no data. </w:t>
      </w:r>
      <w:r w:rsidR="00C47DDD" w:rsidRPr="00F204D4">
        <w:rPr>
          <w:rFonts w:asciiTheme="majorBidi" w:hAnsiTheme="majorBidi" w:cstheme="majorBidi"/>
        </w:rPr>
        <w:t xml:space="preserve">Applicants for “me-too” products (i.e., pesticide products claimed to be identical or substantially similar in composition </w:t>
      </w:r>
      <w:r w:rsidR="00C47DDD" w:rsidRPr="00F204D4">
        <w:rPr>
          <w:rFonts w:asciiTheme="majorBidi" w:hAnsiTheme="majorBidi" w:cstheme="majorBidi"/>
        </w:rPr>
        <w:lastRenderedPageBreak/>
        <w:t>and use to a product currently registered by the EPA) may be required only to use the forms listed below to certify that the applicant intends to rely on data previously submitted to the EPA by another producer, has contacted the appropriate company (owning the data that the applicant is referencing)</w:t>
      </w:r>
      <w:r w:rsidR="00124475" w:rsidRPr="00F204D4">
        <w:rPr>
          <w:rFonts w:asciiTheme="majorBidi" w:hAnsiTheme="majorBidi" w:cstheme="majorBidi"/>
        </w:rPr>
        <w:t>,</w:t>
      </w:r>
      <w:r w:rsidR="00C47DDD" w:rsidRPr="00F204D4">
        <w:rPr>
          <w:rFonts w:asciiTheme="majorBidi" w:hAnsiTheme="majorBidi" w:cstheme="majorBidi"/>
        </w:rPr>
        <w:t xml:space="preserve"> and offered to pay reasonable compensation for the use of the data</w:t>
      </w:r>
      <w:r w:rsidR="00C47DDD" w:rsidRPr="0084521B">
        <w:rPr>
          <w:rFonts w:asciiTheme="majorBidi" w:hAnsiTheme="majorBidi" w:cstheme="majorBidi"/>
        </w:rPr>
        <w:t>.</w:t>
      </w:r>
      <w:r w:rsidR="0084521B" w:rsidRPr="0084521B">
        <w:rPr>
          <w:rFonts w:asciiTheme="majorBidi" w:hAnsiTheme="majorBidi" w:cstheme="majorBidi"/>
        </w:rPr>
        <w:t xml:space="preserve"> </w:t>
      </w:r>
    </w:p>
    <w:p w14:paraId="172064DA" w14:textId="17606CAA" w:rsidR="00C15D86" w:rsidRPr="00F204D4" w:rsidRDefault="00C15D86">
      <w:pPr>
        <w:rPr>
          <w:rFonts w:asciiTheme="majorBidi" w:hAnsiTheme="majorBidi" w:cstheme="majorBidi"/>
        </w:rPr>
      </w:pPr>
    </w:p>
    <w:p w14:paraId="69F33293" w14:textId="248F4E1A" w:rsidR="00E306EF" w:rsidRPr="00F204D4" w:rsidRDefault="00A865E4" w:rsidP="00B005C9">
      <w:pPr>
        <w:ind w:firstLine="720"/>
        <w:rPr>
          <w:rFonts w:asciiTheme="majorBidi" w:hAnsiTheme="majorBidi" w:cstheme="majorBidi"/>
          <w:sz w:val="22"/>
          <w:szCs w:val="22"/>
        </w:rPr>
      </w:pPr>
      <w:r w:rsidRPr="00F204D4">
        <w:rPr>
          <w:rFonts w:asciiTheme="majorBidi" w:hAnsiTheme="majorBidi" w:cstheme="majorBidi"/>
        </w:rPr>
        <w:t xml:space="preserve">In addition to the two main categories, </w:t>
      </w:r>
      <w:r w:rsidR="00B005C9" w:rsidRPr="00F204D4">
        <w:rPr>
          <w:rFonts w:asciiTheme="majorBidi" w:hAnsiTheme="majorBidi" w:cstheme="majorBidi"/>
        </w:rPr>
        <w:t xml:space="preserve">as described in Section 1(b) of this ICR, the </w:t>
      </w:r>
      <w:r w:rsidR="00CE44AE" w:rsidRPr="00F204D4">
        <w:rPr>
          <w:rFonts w:asciiTheme="majorBidi" w:hAnsiTheme="majorBidi" w:cstheme="majorBidi"/>
        </w:rPr>
        <w:t>EPA operates a reduced risk program</w:t>
      </w:r>
      <w:r w:rsidRPr="00F204D4">
        <w:rPr>
          <w:rFonts w:asciiTheme="majorBidi" w:hAnsiTheme="majorBidi" w:cstheme="majorBidi"/>
        </w:rPr>
        <w:t xml:space="preserve"> </w:t>
      </w:r>
      <w:r w:rsidR="00CE44AE" w:rsidRPr="00F204D4">
        <w:rPr>
          <w:rFonts w:asciiTheme="majorBidi" w:hAnsiTheme="majorBidi" w:cstheme="majorBidi"/>
        </w:rPr>
        <w:t>that offers an incentive through a</w:t>
      </w:r>
      <w:r w:rsidRPr="00F204D4">
        <w:rPr>
          <w:rFonts w:asciiTheme="majorBidi" w:hAnsiTheme="majorBidi" w:cstheme="majorBidi"/>
        </w:rPr>
        <w:t>n expedited re</w:t>
      </w:r>
      <w:r w:rsidR="00CE44AE" w:rsidRPr="00F204D4">
        <w:rPr>
          <w:rFonts w:asciiTheme="majorBidi" w:hAnsiTheme="majorBidi" w:cstheme="majorBidi"/>
        </w:rPr>
        <w:t xml:space="preserve">view </w:t>
      </w:r>
      <w:r w:rsidRPr="00F204D4">
        <w:rPr>
          <w:rFonts w:asciiTheme="majorBidi" w:hAnsiTheme="majorBidi" w:cstheme="majorBidi"/>
        </w:rPr>
        <w:t>timeframe</w:t>
      </w:r>
      <w:r w:rsidR="00CE44AE" w:rsidRPr="00F204D4">
        <w:rPr>
          <w:rFonts w:asciiTheme="majorBidi" w:hAnsiTheme="majorBidi" w:cstheme="majorBidi"/>
        </w:rPr>
        <w:t xml:space="preserve"> for </w:t>
      </w:r>
      <w:r w:rsidR="009B29CB" w:rsidRPr="00F204D4">
        <w:rPr>
          <w:rFonts w:asciiTheme="majorBidi" w:hAnsiTheme="majorBidi" w:cstheme="majorBidi"/>
        </w:rPr>
        <w:t xml:space="preserve">new ingredients or </w:t>
      </w:r>
      <w:r w:rsidR="00CE44AE" w:rsidRPr="00F204D4">
        <w:rPr>
          <w:rFonts w:asciiTheme="majorBidi" w:hAnsiTheme="majorBidi" w:cstheme="majorBidi"/>
        </w:rPr>
        <w:t xml:space="preserve">proposed </w:t>
      </w:r>
      <w:r w:rsidR="009B29CB" w:rsidRPr="00F204D4">
        <w:rPr>
          <w:rFonts w:asciiTheme="majorBidi" w:hAnsiTheme="majorBidi" w:cstheme="majorBidi"/>
        </w:rPr>
        <w:t xml:space="preserve">new </w:t>
      </w:r>
      <w:r w:rsidR="00CE44AE" w:rsidRPr="00F204D4">
        <w:rPr>
          <w:rFonts w:asciiTheme="majorBidi" w:hAnsiTheme="majorBidi" w:cstheme="majorBidi"/>
        </w:rPr>
        <w:t xml:space="preserve">uses </w:t>
      </w:r>
      <w:r w:rsidRPr="00F204D4">
        <w:rPr>
          <w:rFonts w:asciiTheme="majorBidi" w:hAnsiTheme="majorBidi" w:cstheme="majorBidi"/>
        </w:rPr>
        <w:t xml:space="preserve">of conventional pesticides </w:t>
      </w:r>
      <w:r w:rsidR="00CE44AE" w:rsidRPr="00F204D4">
        <w:rPr>
          <w:rFonts w:asciiTheme="majorBidi" w:hAnsiTheme="majorBidi" w:cstheme="majorBidi"/>
        </w:rPr>
        <w:t>that might be beneficial to the public and the environment owing to their risk profile, compared to alternatives for pest control.</w:t>
      </w:r>
      <w:r w:rsidR="00124475" w:rsidRPr="00F204D4">
        <w:rPr>
          <w:rFonts w:asciiTheme="majorBidi" w:hAnsiTheme="majorBidi" w:cstheme="majorBidi"/>
        </w:rPr>
        <w:t xml:space="preserve"> </w:t>
      </w:r>
      <w:r w:rsidR="00D87ACC" w:rsidRPr="00F204D4">
        <w:rPr>
          <w:rFonts w:asciiTheme="majorBidi" w:hAnsiTheme="majorBidi" w:cstheme="majorBidi"/>
        </w:rPr>
        <w:t>The</w:t>
      </w:r>
      <w:r w:rsidR="00E306EF" w:rsidRPr="00F204D4">
        <w:rPr>
          <w:rFonts w:asciiTheme="majorBidi" w:hAnsiTheme="majorBidi" w:cstheme="majorBidi"/>
        </w:rPr>
        <w:t xml:space="preserve">se activities are described as </w:t>
      </w:r>
      <w:r w:rsidR="00D87ACC" w:rsidRPr="00F204D4">
        <w:rPr>
          <w:rFonts w:asciiTheme="majorBidi" w:hAnsiTheme="majorBidi" w:cstheme="majorBidi"/>
        </w:rPr>
        <w:t xml:space="preserve">“Type C” in this ICR. </w:t>
      </w:r>
    </w:p>
    <w:p w14:paraId="322BAB59" w14:textId="77777777" w:rsidR="00E306EF" w:rsidRPr="00F204D4" w:rsidRDefault="00E306EF" w:rsidP="00124475">
      <w:pPr>
        <w:ind w:firstLine="720"/>
        <w:rPr>
          <w:rFonts w:asciiTheme="majorBidi" w:hAnsiTheme="majorBidi" w:cstheme="majorBidi"/>
          <w:sz w:val="22"/>
          <w:szCs w:val="22"/>
        </w:rPr>
      </w:pPr>
    </w:p>
    <w:p w14:paraId="2C9E63EC" w14:textId="0B92749F" w:rsidR="00E306EF" w:rsidRPr="00F204D4" w:rsidRDefault="00E306EF" w:rsidP="00753F7E">
      <w:pPr>
        <w:ind w:firstLine="720"/>
        <w:rPr>
          <w:rFonts w:asciiTheme="majorBidi" w:hAnsiTheme="majorBidi" w:cstheme="majorBidi"/>
          <w:color w:val="FF0000"/>
          <w:sz w:val="22"/>
          <w:szCs w:val="22"/>
        </w:rPr>
      </w:pPr>
      <w:r w:rsidRPr="00F204D4">
        <w:rPr>
          <w:rFonts w:asciiTheme="majorBidi" w:hAnsiTheme="majorBidi" w:cstheme="majorBidi"/>
        </w:rPr>
        <w:t xml:space="preserve">"Type C" activities involve a registrant or applicant assembling and submitting an application for registration of a new active ingredient or a new use for a currently registered active ingredient. </w:t>
      </w:r>
      <w:r w:rsidR="0021329B" w:rsidRPr="00F204D4">
        <w:rPr>
          <w:rFonts w:asciiTheme="majorBidi" w:hAnsiTheme="majorBidi" w:cstheme="majorBidi"/>
        </w:rPr>
        <w:t xml:space="preserve">In addition to the registration application itself, “Type C” activities require that the registrant provide a “reduced risk” rationale document addressing risk reduction parameters described in PR Notice 97-3. </w:t>
      </w:r>
      <w:r w:rsidRPr="00F204D4">
        <w:rPr>
          <w:rFonts w:asciiTheme="majorBidi" w:hAnsiTheme="majorBidi" w:cstheme="majorBidi"/>
        </w:rPr>
        <w:t xml:space="preserve">The items required to be submitted in </w:t>
      </w:r>
      <w:r w:rsidR="005C06EA" w:rsidRPr="00F204D4">
        <w:rPr>
          <w:rFonts w:asciiTheme="majorBidi" w:hAnsiTheme="majorBidi" w:cstheme="majorBidi"/>
        </w:rPr>
        <w:t xml:space="preserve">applications for “reduced risk” chemicals </w:t>
      </w:r>
      <w:r w:rsidRPr="00F204D4">
        <w:rPr>
          <w:rFonts w:asciiTheme="majorBidi" w:hAnsiTheme="majorBidi" w:cstheme="majorBidi"/>
        </w:rPr>
        <w:t xml:space="preserve">include generic data, product specific data, administrative forms, product labeling, and a CSF. Administrative forms usually include the application for registration, data compensation form, a data matrix, the CSF, and copies of the complete labeling. </w:t>
      </w:r>
      <w:r w:rsidR="005C06EA" w:rsidRPr="00F204D4">
        <w:rPr>
          <w:rFonts w:asciiTheme="majorBidi" w:hAnsiTheme="majorBidi" w:cstheme="majorBidi"/>
        </w:rPr>
        <w:t>Applicants for “Type C” registrations provide an explanation accompanied by relevant supporting information, including associated tolerance petitions for special consideration based on these factors. (The paperwork burden for tolerance petitions is covered in a separate ICR under OMB No. 2070-0024.) Products that are successfully classified as presenting potentially reduced risk will receive earlier registration and consequent earlier marketability.</w:t>
      </w:r>
    </w:p>
    <w:p w14:paraId="536C1B8A" w14:textId="77777777" w:rsidR="00E306EF" w:rsidRPr="00F204D4" w:rsidRDefault="00E306EF" w:rsidP="00753F7E">
      <w:pPr>
        <w:ind w:firstLine="720"/>
        <w:rPr>
          <w:rFonts w:asciiTheme="majorBidi" w:hAnsiTheme="majorBidi" w:cstheme="majorBid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7962"/>
      </w:tblGrid>
      <w:tr w:rsidR="00AD2449" w:rsidRPr="00F204D4" w14:paraId="599075D6" w14:textId="77777777" w:rsidTr="00141E89">
        <w:tc>
          <w:tcPr>
            <w:tcW w:w="742" w:type="pct"/>
            <w:tcMar>
              <w:top w:w="29" w:type="dxa"/>
              <w:left w:w="115" w:type="dxa"/>
              <w:bottom w:w="29" w:type="dxa"/>
              <w:right w:w="115" w:type="dxa"/>
            </w:tcMar>
          </w:tcPr>
          <w:p w14:paraId="3B9C071D"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Response Type</w:t>
            </w:r>
          </w:p>
          <w:p w14:paraId="6BC9BD12" w14:textId="77777777" w:rsidR="00E306EF" w:rsidRPr="00F204D4" w:rsidRDefault="00E306EF" w:rsidP="00141E89">
            <w:pPr>
              <w:rPr>
                <w:rFonts w:asciiTheme="majorBidi" w:hAnsiTheme="majorBidi" w:cstheme="majorBidi"/>
                <w:b/>
                <w:sz w:val="8"/>
                <w:szCs w:val="8"/>
              </w:rPr>
            </w:pPr>
          </w:p>
        </w:tc>
        <w:tc>
          <w:tcPr>
            <w:tcW w:w="4258" w:type="pct"/>
            <w:tcMar>
              <w:top w:w="29" w:type="dxa"/>
              <w:left w:w="115" w:type="dxa"/>
              <w:bottom w:w="29" w:type="dxa"/>
              <w:right w:w="115" w:type="dxa"/>
            </w:tcMar>
          </w:tcPr>
          <w:p w14:paraId="35675E11"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Description/Example</w:t>
            </w:r>
          </w:p>
        </w:tc>
      </w:tr>
      <w:tr w:rsidR="00AD2449" w:rsidRPr="00F204D4" w14:paraId="677B2866" w14:textId="77777777" w:rsidTr="00141E89">
        <w:tc>
          <w:tcPr>
            <w:tcW w:w="742" w:type="pct"/>
            <w:vMerge w:val="restart"/>
            <w:tcMar>
              <w:top w:w="29" w:type="dxa"/>
              <w:left w:w="115" w:type="dxa"/>
              <w:bottom w:w="29" w:type="dxa"/>
              <w:right w:w="115" w:type="dxa"/>
            </w:tcMar>
          </w:tcPr>
          <w:p w14:paraId="16056D69"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Type A</w:t>
            </w:r>
          </w:p>
          <w:p w14:paraId="69430060" w14:textId="77777777" w:rsidR="00E306EF" w:rsidRPr="00F204D4" w:rsidRDefault="00E306EF" w:rsidP="00141E89">
            <w:pPr>
              <w:rPr>
                <w:rFonts w:asciiTheme="majorBidi" w:hAnsiTheme="majorBidi" w:cstheme="majorBidi"/>
                <w:b/>
              </w:rPr>
            </w:pPr>
          </w:p>
          <w:p w14:paraId="4A725BA9"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New A.I.s &amp; New Uses</w:t>
            </w:r>
          </w:p>
        </w:tc>
        <w:tc>
          <w:tcPr>
            <w:tcW w:w="4258" w:type="pct"/>
            <w:tcMar>
              <w:top w:w="29" w:type="dxa"/>
              <w:left w:w="115" w:type="dxa"/>
              <w:bottom w:w="29" w:type="dxa"/>
              <w:right w:w="115" w:type="dxa"/>
            </w:tcMar>
          </w:tcPr>
          <w:p w14:paraId="203334BE" w14:textId="5E0F48AF" w:rsidR="00E306EF" w:rsidRPr="00F204D4" w:rsidRDefault="00E306EF" w:rsidP="005C06EA">
            <w:pPr>
              <w:rPr>
                <w:rFonts w:asciiTheme="majorBidi" w:hAnsiTheme="majorBidi" w:cstheme="majorBidi"/>
                <w:b/>
              </w:rPr>
            </w:pPr>
            <w:r w:rsidRPr="00F204D4">
              <w:rPr>
                <w:rFonts w:asciiTheme="majorBidi" w:hAnsiTheme="majorBidi" w:cstheme="majorBidi"/>
                <w:b/>
                <w:sz w:val="22"/>
                <w:szCs w:val="22"/>
              </w:rPr>
              <w:t>Description:</w:t>
            </w:r>
            <w:r w:rsidRPr="00F204D4">
              <w:rPr>
                <w:rFonts w:asciiTheme="majorBidi" w:hAnsiTheme="majorBidi" w:cstheme="majorBidi"/>
                <w:sz w:val="22"/>
                <w:szCs w:val="22"/>
              </w:rPr>
              <w:t xml:space="preserve"> “Type A” activities support the registration of new active ingredients and new uses. </w:t>
            </w:r>
            <w:r w:rsidR="005C06EA" w:rsidRPr="00F204D4">
              <w:rPr>
                <w:rFonts w:asciiTheme="majorBidi" w:hAnsiTheme="majorBidi" w:cstheme="majorBidi"/>
                <w:sz w:val="22"/>
                <w:szCs w:val="22"/>
              </w:rPr>
              <w:t>They</w:t>
            </w:r>
            <w:r w:rsidRPr="00F204D4">
              <w:rPr>
                <w:rFonts w:asciiTheme="majorBidi" w:hAnsiTheme="majorBidi" w:cstheme="majorBidi"/>
                <w:sz w:val="22"/>
                <w:szCs w:val="22"/>
              </w:rPr>
              <w:t xml:space="preserve"> involve a registrant or applicant assembling and submitting an application for registration of a new active ingredient or a new use for a currently registered active ingredient. The items required to be submitted in this application include generic data, product specific data,</w:t>
            </w:r>
            <w:r w:rsidR="005C06EA" w:rsidRPr="00F204D4">
              <w:rPr>
                <w:rFonts w:asciiTheme="majorBidi" w:hAnsiTheme="majorBidi" w:cstheme="majorBidi"/>
                <w:sz w:val="22"/>
                <w:szCs w:val="22"/>
              </w:rPr>
              <w:t xml:space="preserve"> as specified in 40 CFR 158. </w:t>
            </w:r>
            <w:r w:rsidRPr="00F204D4">
              <w:rPr>
                <w:rFonts w:asciiTheme="majorBidi" w:hAnsiTheme="majorBidi" w:cstheme="majorBidi"/>
                <w:sz w:val="22"/>
                <w:szCs w:val="22"/>
              </w:rPr>
              <w:t>Administrative forms usually include the application for registration</w:t>
            </w:r>
            <w:r w:rsidR="005C06EA" w:rsidRPr="00F204D4">
              <w:rPr>
                <w:rFonts w:asciiTheme="majorBidi" w:hAnsiTheme="majorBidi" w:cstheme="majorBidi"/>
                <w:sz w:val="22"/>
                <w:szCs w:val="22"/>
              </w:rPr>
              <w:t xml:space="preserve"> and the</w:t>
            </w:r>
            <w:r w:rsidRPr="00F204D4">
              <w:rPr>
                <w:rFonts w:asciiTheme="majorBidi" w:hAnsiTheme="majorBidi" w:cstheme="majorBidi"/>
                <w:sz w:val="22"/>
                <w:szCs w:val="22"/>
              </w:rPr>
              <w:t xml:space="preserve"> data compensation form</w:t>
            </w:r>
            <w:r w:rsidR="005C06EA" w:rsidRPr="00F204D4">
              <w:rPr>
                <w:rFonts w:asciiTheme="majorBidi" w:hAnsiTheme="majorBidi" w:cstheme="majorBidi"/>
                <w:sz w:val="22"/>
                <w:szCs w:val="22"/>
              </w:rPr>
              <w:t>s</w:t>
            </w:r>
            <w:r w:rsidRPr="00F204D4">
              <w:rPr>
                <w:rFonts w:asciiTheme="majorBidi" w:hAnsiTheme="majorBidi" w:cstheme="majorBidi"/>
                <w:sz w:val="22"/>
                <w:szCs w:val="22"/>
              </w:rPr>
              <w:t>, a data matrix, the CSF, and copies of the complete labeling. EPA encourages electronic submission of these application types.</w:t>
            </w:r>
          </w:p>
        </w:tc>
      </w:tr>
      <w:tr w:rsidR="00AD2449" w:rsidRPr="00F204D4" w14:paraId="36107EC9" w14:textId="77777777" w:rsidTr="00141E89">
        <w:tc>
          <w:tcPr>
            <w:tcW w:w="742" w:type="pct"/>
            <w:vMerge/>
            <w:tcMar>
              <w:top w:w="29" w:type="dxa"/>
              <w:left w:w="115" w:type="dxa"/>
              <w:bottom w:w="29" w:type="dxa"/>
              <w:right w:w="115" w:type="dxa"/>
            </w:tcMar>
          </w:tcPr>
          <w:p w14:paraId="7AC9C6EA" w14:textId="77777777" w:rsidR="00E306EF" w:rsidRPr="00F204D4" w:rsidRDefault="00E306EF" w:rsidP="00141E89">
            <w:pPr>
              <w:rPr>
                <w:rFonts w:asciiTheme="majorBidi" w:hAnsiTheme="majorBidi" w:cstheme="majorBidi"/>
                <w:b/>
              </w:rPr>
            </w:pPr>
          </w:p>
        </w:tc>
        <w:tc>
          <w:tcPr>
            <w:tcW w:w="4258" w:type="pct"/>
            <w:tcMar>
              <w:top w:w="29" w:type="dxa"/>
              <w:left w:w="115" w:type="dxa"/>
              <w:bottom w:w="29" w:type="dxa"/>
              <w:right w:w="115" w:type="dxa"/>
            </w:tcMar>
          </w:tcPr>
          <w:p w14:paraId="29E0F47F" w14:textId="77777777" w:rsidR="00E306EF" w:rsidRPr="00F204D4" w:rsidRDefault="00E306EF" w:rsidP="00141E89">
            <w:pPr>
              <w:rPr>
                <w:rFonts w:asciiTheme="majorBidi" w:hAnsiTheme="majorBidi" w:cstheme="majorBidi"/>
                <w:b/>
              </w:rPr>
            </w:pPr>
            <w:r w:rsidRPr="00F204D4">
              <w:rPr>
                <w:rFonts w:asciiTheme="majorBidi" w:hAnsiTheme="majorBidi" w:cstheme="majorBidi"/>
                <w:b/>
                <w:i/>
                <w:sz w:val="22"/>
                <w:szCs w:val="22"/>
              </w:rPr>
              <w:t>Example:</w:t>
            </w:r>
            <w:r w:rsidRPr="00F204D4">
              <w:rPr>
                <w:rFonts w:asciiTheme="majorBidi" w:hAnsiTheme="majorBidi" w:cstheme="majorBidi"/>
                <w:sz w:val="22"/>
                <w:szCs w:val="22"/>
              </w:rPr>
              <w:t xml:space="preserve"> An example of a "Type A" activity would be an application for registration of a new active ingredient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Typically, for new a.</w:t>
            </w:r>
            <w:proofErr w:type="spellStart"/>
            <w:r w:rsidRPr="00F204D4">
              <w:rPr>
                <w:rFonts w:asciiTheme="majorBidi" w:hAnsiTheme="majorBidi" w:cstheme="majorBidi"/>
                <w:sz w:val="22"/>
                <w:szCs w:val="22"/>
              </w:rPr>
              <w:t>i</w:t>
            </w:r>
            <w:proofErr w:type="spellEnd"/>
            <w:r w:rsidRPr="00F204D4">
              <w:rPr>
                <w:rFonts w:asciiTheme="majorBidi" w:hAnsiTheme="majorBidi" w:cstheme="majorBidi"/>
                <w:sz w:val="22"/>
                <w:szCs w:val="22"/>
              </w:rPr>
              <w:t xml:space="preserve">.'s, applications must be submitted for at least two new products -- the manufacturing use product (either imported or made in the </w:t>
            </w:r>
            <w:smartTag w:uri="urn:schemas-microsoft-com:office:smarttags" w:element="country-region">
              <w:smartTag w:uri="urn:schemas-microsoft-com:office:smarttags" w:element="place">
                <w:r w:rsidRPr="00F204D4">
                  <w:rPr>
                    <w:rFonts w:asciiTheme="majorBidi" w:hAnsiTheme="majorBidi" w:cstheme="majorBidi"/>
                    <w:sz w:val="22"/>
                    <w:szCs w:val="22"/>
                  </w:rPr>
                  <w:t>U.S.</w:t>
                </w:r>
              </w:smartTag>
            </w:smartTag>
            <w:r w:rsidRPr="00F204D4">
              <w:rPr>
                <w:rFonts w:asciiTheme="majorBidi" w:hAnsiTheme="majorBidi" w:cstheme="majorBidi"/>
                <w:sz w:val="22"/>
                <w:szCs w:val="22"/>
              </w:rPr>
              <w:t xml:space="preserve"> that may be formulated into end-use products) and at least one end-use product (that bears directions for the intended end uses). An applicant would need to determine generic and product specific data required by 40 CFR 158 for the new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xml:space="preserve">. (taking into account the use patterns sought), generate those data, and submit them with the application. For a new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the generic data consists of certain acute, sub-chronic, and chronic toxicology; environmental fate; ecological effects (birds, fish, invertebrates); and product chemistry. The applicant would format the complete data and submit along with the other items required for an application, as described above.</w:t>
            </w:r>
          </w:p>
        </w:tc>
      </w:tr>
      <w:tr w:rsidR="00AD2449" w:rsidRPr="00F204D4" w14:paraId="43C2785F" w14:textId="77777777" w:rsidTr="00141E89">
        <w:tc>
          <w:tcPr>
            <w:tcW w:w="742" w:type="pct"/>
            <w:vMerge w:val="restart"/>
            <w:tcMar>
              <w:top w:w="29" w:type="dxa"/>
              <w:left w:w="115" w:type="dxa"/>
              <w:bottom w:w="29" w:type="dxa"/>
              <w:right w:w="115" w:type="dxa"/>
            </w:tcMar>
          </w:tcPr>
          <w:p w14:paraId="31DCA5E9"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lastRenderedPageBreak/>
              <w:t>Type B</w:t>
            </w:r>
          </w:p>
          <w:p w14:paraId="78D59AA8" w14:textId="77777777" w:rsidR="00E306EF" w:rsidRPr="00F204D4" w:rsidRDefault="00E306EF" w:rsidP="00141E89">
            <w:pPr>
              <w:rPr>
                <w:rFonts w:asciiTheme="majorBidi" w:hAnsiTheme="majorBidi" w:cstheme="majorBidi"/>
                <w:b/>
              </w:rPr>
            </w:pPr>
          </w:p>
          <w:p w14:paraId="359B1605"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New or Amended Products Using Currently</w:t>
            </w:r>
          </w:p>
          <w:p w14:paraId="19A88261"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Registered</w:t>
            </w:r>
          </w:p>
          <w:p w14:paraId="709E7E6E"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A.I.s</w:t>
            </w:r>
          </w:p>
        </w:tc>
        <w:tc>
          <w:tcPr>
            <w:tcW w:w="4258" w:type="pct"/>
            <w:tcMar>
              <w:top w:w="29" w:type="dxa"/>
              <w:left w:w="115" w:type="dxa"/>
              <w:bottom w:w="29" w:type="dxa"/>
              <w:right w:w="115" w:type="dxa"/>
            </w:tcMar>
          </w:tcPr>
          <w:p w14:paraId="0B652ED6"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 xml:space="preserve">Description: </w:t>
            </w:r>
            <w:r w:rsidRPr="00F204D4">
              <w:rPr>
                <w:rFonts w:asciiTheme="majorBidi" w:hAnsiTheme="majorBidi" w:cstheme="majorBidi"/>
                <w:sz w:val="22"/>
                <w:szCs w:val="22"/>
              </w:rPr>
              <w:t>"Type B" activities involve a registrant or applicant assembling and submitting an application for registration of a new or amended product that contains a currently registered active ingredient. Generally, "Type B" activities involve less data and complexity than "Type A" activities. “Type B” activities include both Fee for Service actions, as well as less involved label amendments and notifications. Individually, “Type B” activities often present low burden, but the number of such submissions is high, translating to a large work load for the Agency. The items that must be submitted or cited in this application include product specific data, administrative forms, product labeling, and a CSF. The product specific data specified in 40 CFR 158 must be generated by the registrant/applicant or cited from an identical or substantially similar product. If submitted, the data must be formatted properly and with the correct number of copies. Administrative forms usually include the application for registration, data compensation form, a data matrix, the CSF, and copies of the complete labeling. EPA encourages electronic submission of these application types.</w:t>
            </w:r>
          </w:p>
        </w:tc>
      </w:tr>
      <w:tr w:rsidR="00AD2449" w:rsidRPr="00F204D4" w14:paraId="4B117BFD" w14:textId="77777777" w:rsidTr="00141E89">
        <w:tc>
          <w:tcPr>
            <w:tcW w:w="742" w:type="pct"/>
            <w:vMerge/>
            <w:tcMar>
              <w:top w:w="29" w:type="dxa"/>
              <w:left w:w="115" w:type="dxa"/>
              <w:bottom w:w="29" w:type="dxa"/>
              <w:right w:w="115" w:type="dxa"/>
            </w:tcMar>
          </w:tcPr>
          <w:p w14:paraId="1690A9EF" w14:textId="77777777" w:rsidR="00E306EF" w:rsidRPr="00F204D4" w:rsidRDefault="00E306EF" w:rsidP="00141E89">
            <w:pPr>
              <w:rPr>
                <w:rFonts w:asciiTheme="majorBidi" w:hAnsiTheme="majorBidi" w:cstheme="majorBidi"/>
                <w:b/>
              </w:rPr>
            </w:pPr>
          </w:p>
        </w:tc>
        <w:tc>
          <w:tcPr>
            <w:tcW w:w="4258" w:type="pct"/>
            <w:tcMar>
              <w:top w:w="29" w:type="dxa"/>
              <w:left w:w="115" w:type="dxa"/>
              <w:bottom w:w="29" w:type="dxa"/>
              <w:right w:w="115" w:type="dxa"/>
            </w:tcMar>
          </w:tcPr>
          <w:p w14:paraId="46D3EBFF" w14:textId="77777777" w:rsidR="00E306EF" w:rsidRPr="00F204D4" w:rsidRDefault="00E306EF" w:rsidP="00141E89">
            <w:pPr>
              <w:rPr>
                <w:rFonts w:asciiTheme="majorBidi" w:hAnsiTheme="majorBidi" w:cstheme="majorBidi"/>
                <w:b/>
              </w:rPr>
            </w:pPr>
            <w:r w:rsidRPr="00F204D4">
              <w:rPr>
                <w:rFonts w:asciiTheme="majorBidi" w:hAnsiTheme="majorBidi" w:cstheme="majorBidi"/>
                <w:b/>
                <w:i/>
                <w:sz w:val="22"/>
                <w:szCs w:val="22"/>
              </w:rPr>
              <w:t>Example:</w:t>
            </w:r>
            <w:r w:rsidRPr="00F204D4">
              <w:rPr>
                <w:rFonts w:asciiTheme="majorBidi" w:hAnsiTheme="majorBidi" w:cstheme="majorBidi"/>
                <w:b/>
                <w:sz w:val="22"/>
                <w:szCs w:val="22"/>
              </w:rPr>
              <w:t xml:space="preserve"> </w:t>
            </w:r>
            <w:r w:rsidRPr="00F204D4">
              <w:rPr>
                <w:rFonts w:asciiTheme="majorBidi" w:hAnsiTheme="majorBidi" w:cstheme="majorBidi"/>
                <w:sz w:val="22"/>
                <w:szCs w:val="22"/>
              </w:rPr>
              <w:t xml:space="preserve">An applicant might seek registration of a new product containing an active ingredient that is already registered. Often, the formulation of this product is identical or substantially similar to that of a currently registered end-use product. This is called a "me-too" registration. In this case, the applicant only needs to cite data from another product (selective method) or from all products containing that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(cite-all method) to support the new product. The applicant also submits the labeling and other administrative forms without submitting any data. If a product is not substantially similar to another product, the applicant must submit product specific data (acute toxicity and product chemistry) for that product. Nevertheless, this kind of application is far less complicated than a "Type A" application.</w:t>
            </w:r>
          </w:p>
        </w:tc>
      </w:tr>
      <w:tr w:rsidR="00AD2449" w:rsidRPr="00F204D4" w14:paraId="23FF6654" w14:textId="77777777" w:rsidTr="00141E89">
        <w:tc>
          <w:tcPr>
            <w:tcW w:w="742" w:type="pct"/>
            <w:vMerge w:val="restart"/>
            <w:tcMar>
              <w:top w:w="29" w:type="dxa"/>
              <w:left w:w="115" w:type="dxa"/>
              <w:bottom w:w="29" w:type="dxa"/>
              <w:right w:w="115" w:type="dxa"/>
            </w:tcMar>
          </w:tcPr>
          <w:p w14:paraId="78CE7764"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Type C</w:t>
            </w:r>
          </w:p>
          <w:p w14:paraId="23C73968" w14:textId="77777777" w:rsidR="00E306EF" w:rsidRPr="00F204D4" w:rsidRDefault="00E306EF" w:rsidP="00141E89">
            <w:pPr>
              <w:rPr>
                <w:rFonts w:asciiTheme="majorBidi" w:hAnsiTheme="majorBidi" w:cstheme="majorBidi"/>
                <w:b/>
              </w:rPr>
            </w:pPr>
          </w:p>
          <w:p w14:paraId="2CF20AD9" w14:textId="77777777" w:rsidR="00E306EF" w:rsidRPr="00F204D4" w:rsidRDefault="00E306EF" w:rsidP="00141E89">
            <w:pPr>
              <w:rPr>
                <w:rFonts w:asciiTheme="majorBidi" w:hAnsiTheme="majorBidi" w:cstheme="majorBidi"/>
                <w:b/>
              </w:rPr>
            </w:pPr>
            <w:r w:rsidRPr="00F204D4">
              <w:rPr>
                <w:rFonts w:asciiTheme="majorBidi" w:hAnsiTheme="majorBidi" w:cstheme="majorBidi"/>
                <w:b/>
                <w:sz w:val="22"/>
                <w:szCs w:val="22"/>
              </w:rPr>
              <w:t>Reduced Risk A.I.s &amp; Uses</w:t>
            </w:r>
          </w:p>
        </w:tc>
        <w:tc>
          <w:tcPr>
            <w:tcW w:w="4258" w:type="pct"/>
            <w:tcMar>
              <w:top w:w="29" w:type="dxa"/>
              <w:left w:w="115" w:type="dxa"/>
              <w:bottom w:w="29" w:type="dxa"/>
              <w:right w:w="115" w:type="dxa"/>
            </w:tcMar>
          </w:tcPr>
          <w:p w14:paraId="5C96E5EC" w14:textId="2A1F6B1D" w:rsidR="00E306EF" w:rsidRPr="00F204D4" w:rsidRDefault="00E306EF" w:rsidP="00AD2449">
            <w:pPr>
              <w:rPr>
                <w:rFonts w:asciiTheme="majorBidi" w:hAnsiTheme="majorBidi" w:cstheme="majorBidi"/>
                <w:b/>
              </w:rPr>
            </w:pPr>
            <w:r w:rsidRPr="00F204D4">
              <w:rPr>
                <w:rFonts w:asciiTheme="majorBidi" w:hAnsiTheme="majorBidi" w:cstheme="majorBidi"/>
                <w:b/>
                <w:sz w:val="22"/>
                <w:szCs w:val="22"/>
              </w:rPr>
              <w:t xml:space="preserve">Description: </w:t>
            </w:r>
            <w:r w:rsidRPr="00F204D4">
              <w:rPr>
                <w:rFonts w:asciiTheme="majorBidi" w:hAnsiTheme="majorBidi" w:cstheme="majorBidi"/>
                <w:sz w:val="22"/>
                <w:szCs w:val="22"/>
              </w:rPr>
              <w:t>“Type C” activities support the registration of new active ingredients and new uses that may qualify as "reduced risk" and be given expedited processing. "Type C" activities involve a registrant or applicant assembling and submitting an application for registration of a new active ingredient or a new use for a currently registered active ingredient. The items required to be submitted in this application include generic data, product specific data, administrative forms, product labeling, and a CSF. The generic and product specific data specified in 40 CFR 158 must be generated by the registrants, formatted properly, and submitted with the correct number of copies. Administrative forms usually include the application for registration, data compensation form, a data matrix, the CSF, and copies of the complete labeling. In addition to the registration application itself, “Type C” activities require that the registrant provide a “reduced risk” rationale document addressing risk reduction parameters described in PR Notice 97-3. EPA encourages electronic submission of these application types.</w:t>
            </w:r>
          </w:p>
        </w:tc>
      </w:tr>
      <w:tr w:rsidR="00AD2449" w:rsidRPr="00F204D4" w14:paraId="4614B863" w14:textId="77777777" w:rsidTr="00141E89">
        <w:tc>
          <w:tcPr>
            <w:tcW w:w="742" w:type="pct"/>
            <w:vMerge/>
            <w:tcMar>
              <w:top w:w="29" w:type="dxa"/>
              <w:left w:w="115" w:type="dxa"/>
              <w:bottom w:w="29" w:type="dxa"/>
              <w:right w:w="115" w:type="dxa"/>
            </w:tcMar>
          </w:tcPr>
          <w:p w14:paraId="180564F5" w14:textId="77777777" w:rsidR="00E306EF" w:rsidRPr="00F204D4" w:rsidRDefault="00E306EF" w:rsidP="00141E89">
            <w:pPr>
              <w:rPr>
                <w:rFonts w:asciiTheme="majorBidi" w:hAnsiTheme="majorBidi" w:cstheme="majorBidi"/>
                <w:b/>
              </w:rPr>
            </w:pPr>
          </w:p>
        </w:tc>
        <w:tc>
          <w:tcPr>
            <w:tcW w:w="4258" w:type="pct"/>
            <w:tcMar>
              <w:top w:w="29" w:type="dxa"/>
              <w:left w:w="115" w:type="dxa"/>
              <w:bottom w:w="29" w:type="dxa"/>
              <w:right w:w="115" w:type="dxa"/>
            </w:tcMar>
          </w:tcPr>
          <w:p w14:paraId="21FEC693" w14:textId="5543CA41" w:rsidR="00E306EF" w:rsidRPr="00F204D4" w:rsidRDefault="00E306EF" w:rsidP="00AD2449">
            <w:pPr>
              <w:rPr>
                <w:rFonts w:asciiTheme="majorBidi" w:hAnsiTheme="majorBidi" w:cstheme="majorBidi"/>
                <w:sz w:val="22"/>
                <w:szCs w:val="22"/>
              </w:rPr>
            </w:pPr>
            <w:r w:rsidRPr="00F204D4">
              <w:rPr>
                <w:rFonts w:asciiTheme="majorBidi" w:hAnsiTheme="majorBidi" w:cstheme="majorBidi"/>
                <w:b/>
                <w:i/>
                <w:sz w:val="22"/>
                <w:szCs w:val="22"/>
              </w:rPr>
              <w:t>Example:</w:t>
            </w:r>
            <w:r w:rsidRPr="00F204D4">
              <w:rPr>
                <w:rFonts w:asciiTheme="majorBidi" w:hAnsiTheme="majorBidi" w:cstheme="majorBidi"/>
                <w:b/>
                <w:sz w:val="22"/>
                <w:szCs w:val="22"/>
              </w:rPr>
              <w:t xml:space="preserve"> </w:t>
            </w:r>
            <w:r w:rsidRPr="00F204D4">
              <w:rPr>
                <w:rFonts w:asciiTheme="majorBidi" w:hAnsiTheme="majorBidi" w:cstheme="majorBidi"/>
                <w:sz w:val="22"/>
                <w:szCs w:val="22"/>
              </w:rPr>
              <w:t>An example of a "Type C" activity would be an application for registration of a new active ingredient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where a “reduced risk” rationale per PR Notice 97-3 is also submitted with the registration application. All of the data requirements and administrative forms described under “Type A” applications must be addressed for “Type C” applications, and in addition the “reduced risk” rationale document must be provided.</w:t>
            </w:r>
            <w:r w:rsidR="007841AD" w:rsidRPr="00F204D4">
              <w:rPr>
                <w:rFonts w:asciiTheme="majorBidi" w:hAnsiTheme="majorBidi" w:cstheme="majorBidi"/>
                <w:sz w:val="22"/>
                <w:szCs w:val="22"/>
              </w:rPr>
              <w:t xml:space="preserve"> </w:t>
            </w:r>
            <w:r w:rsidRPr="00F204D4">
              <w:rPr>
                <w:rFonts w:asciiTheme="majorBidi" w:hAnsiTheme="majorBidi" w:cstheme="majorBidi"/>
                <w:sz w:val="22"/>
                <w:szCs w:val="22"/>
              </w:rPr>
              <w:t xml:space="preserve">A new </w:t>
            </w:r>
            <w:proofErr w:type="spellStart"/>
            <w:r w:rsidRPr="00F204D4">
              <w:rPr>
                <w:rFonts w:asciiTheme="majorBidi" w:hAnsiTheme="majorBidi" w:cstheme="majorBidi"/>
                <w:sz w:val="22"/>
                <w:szCs w:val="22"/>
              </w:rPr>
              <w:t>a.i</w:t>
            </w:r>
            <w:proofErr w:type="spellEnd"/>
            <w:r w:rsidRPr="00F204D4">
              <w:rPr>
                <w:rFonts w:asciiTheme="majorBidi" w:hAnsiTheme="majorBidi" w:cstheme="majorBidi"/>
                <w:sz w:val="22"/>
                <w:szCs w:val="22"/>
              </w:rPr>
              <w:t>. or new use associated with “Type C” activity is less likely to have risk concerns that would require refined risk assessment on the Agency’s part, or require additional information on the registrant’s part to address risk concerns. An application determined by the Agency to be "reduced risk” is provided an expedited decision time frame under PRIA. This kind of application is of equal complexity to the "Type A" activity, but more complex than "Type B."</w:t>
            </w:r>
          </w:p>
        </w:tc>
      </w:tr>
    </w:tbl>
    <w:p w14:paraId="23F296A4" w14:textId="77777777" w:rsidR="00E306EF" w:rsidRPr="00F204D4" w:rsidRDefault="00E306EF" w:rsidP="00753F7E">
      <w:pPr>
        <w:ind w:firstLine="720"/>
        <w:rPr>
          <w:rFonts w:asciiTheme="majorBidi" w:hAnsiTheme="majorBidi" w:cstheme="majorBidi"/>
        </w:rPr>
      </w:pPr>
    </w:p>
    <w:p w14:paraId="2D6A38D8" w14:textId="77777777" w:rsidR="00753F7E" w:rsidRPr="00F204D4" w:rsidRDefault="00753F7E" w:rsidP="00753F7E">
      <w:pPr>
        <w:ind w:firstLine="720"/>
        <w:rPr>
          <w:rFonts w:asciiTheme="majorBidi" w:hAnsiTheme="majorBidi" w:cstheme="majorBidi"/>
        </w:rPr>
      </w:pPr>
    </w:p>
    <w:p w14:paraId="11BE733B" w14:textId="50139F32" w:rsidR="00753F7E" w:rsidRPr="00F204D4" w:rsidRDefault="00C47DDD" w:rsidP="00753F7E">
      <w:pPr>
        <w:widowControl w:val="0"/>
        <w:tabs>
          <w:tab w:val="left" w:pos="1473"/>
        </w:tabs>
        <w:autoSpaceDE w:val="0"/>
        <w:autoSpaceDN w:val="0"/>
        <w:ind w:firstLine="720"/>
        <w:rPr>
          <w:rFonts w:asciiTheme="majorBidi" w:hAnsiTheme="majorBidi" w:cstheme="majorBidi"/>
        </w:rPr>
      </w:pPr>
      <w:r w:rsidRPr="00F204D4">
        <w:rPr>
          <w:rFonts w:asciiTheme="majorBidi" w:hAnsiTheme="majorBidi" w:cstheme="majorBidi"/>
          <w:spacing w:val="-2"/>
        </w:rPr>
        <w:t>The completion and submission of the following forms</w:t>
      </w:r>
      <w:r w:rsidR="00753F7E" w:rsidRPr="00F204D4">
        <w:rPr>
          <w:rFonts w:asciiTheme="majorBidi" w:hAnsiTheme="majorBidi" w:cstheme="majorBidi"/>
          <w:spacing w:val="-2"/>
        </w:rPr>
        <w:t xml:space="preserve"> is</w:t>
      </w:r>
      <w:r w:rsidRPr="00F204D4">
        <w:rPr>
          <w:rFonts w:asciiTheme="majorBidi" w:hAnsiTheme="majorBidi" w:cstheme="majorBidi"/>
          <w:spacing w:val="-2"/>
        </w:rPr>
        <w:t xml:space="preserve"> necessary</w:t>
      </w:r>
      <w:r w:rsidRPr="00F204D4">
        <w:rPr>
          <w:rFonts w:asciiTheme="majorBidi" w:hAnsiTheme="majorBidi" w:cstheme="majorBidi"/>
        </w:rPr>
        <w:t xml:space="preserve"> to register a pesticide product</w:t>
      </w:r>
      <w:r w:rsidR="00753F7E" w:rsidRPr="00F204D4">
        <w:rPr>
          <w:rFonts w:asciiTheme="majorBidi" w:hAnsiTheme="majorBidi" w:cstheme="majorBidi"/>
        </w:rPr>
        <w:t xml:space="preserve"> (</w:t>
      </w:r>
      <w:r w:rsidR="00753F7E" w:rsidRPr="00F204D4">
        <w:rPr>
          <w:rFonts w:asciiTheme="majorBidi" w:hAnsiTheme="majorBidi" w:cstheme="majorBidi"/>
          <w:spacing w:val="-2"/>
        </w:rPr>
        <w:t xml:space="preserve">see </w:t>
      </w:r>
      <w:r w:rsidR="00753F7E" w:rsidRPr="00F204D4">
        <w:rPr>
          <w:rFonts w:asciiTheme="majorBidi" w:hAnsiTheme="majorBidi" w:cstheme="majorBidi"/>
          <w:b/>
          <w:spacing w:val="-2"/>
        </w:rPr>
        <w:t>Attachment C</w:t>
      </w:r>
      <w:r w:rsidR="00753F7E" w:rsidRPr="00F204D4">
        <w:rPr>
          <w:rFonts w:asciiTheme="majorBidi" w:hAnsiTheme="majorBidi" w:cstheme="majorBidi"/>
        </w:rPr>
        <w:t>)</w:t>
      </w:r>
      <w:r w:rsidRPr="00F204D4">
        <w:rPr>
          <w:rFonts w:asciiTheme="majorBidi" w:hAnsiTheme="majorBidi" w:cstheme="majorBidi"/>
        </w:rPr>
        <w:t>:</w:t>
      </w:r>
    </w:p>
    <w:p w14:paraId="05022AFB" w14:textId="77777777" w:rsidR="00753F7E" w:rsidRPr="00F204D4" w:rsidRDefault="00753F7E" w:rsidP="00753F7E">
      <w:pPr>
        <w:widowControl w:val="0"/>
        <w:tabs>
          <w:tab w:val="left" w:pos="1473"/>
        </w:tabs>
        <w:autoSpaceDE w:val="0"/>
        <w:autoSpaceDN w:val="0"/>
        <w:rPr>
          <w:rFonts w:asciiTheme="majorBidi" w:hAnsiTheme="majorBidi" w:cstheme="majorBidi"/>
        </w:rPr>
      </w:pPr>
    </w:p>
    <w:p w14:paraId="1AAD3F8D" w14:textId="52574F70" w:rsidR="00753F7E" w:rsidRPr="00F204D4" w:rsidRDefault="00753F7E"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8570-1, Application for Pesticide Registration, Amendment, Other;</w:t>
      </w:r>
    </w:p>
    <w:p w14:paraId="0213EBF6" w14:textId="036BC0D8" w:rsidR="00C47DDD" w:rsidRPr="00F204D4" w:rsidRDefault="00C47DDD"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8570-4, Confidential Statement of Formula (CSF)</w:t>
      </w:r>
    </w:p>
    <w:p w14:paraId="514FE50D" w14:textId="0C7CD345" w:rsidR="00C15D86" w:rsidRPr="00F204D4" w:rsidRDefault="00C47DDD"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8570-27, Formulator’s Exemption Statement</w:t>
      </w:r>
    </w:p>
    <w:p w14:paraId="011315C5" w14:textId="2BC1B0F2" w:rsidR="00C15D86" w:rsidRPr="00F204D4" w:rsidRDefault="00C47DDD"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8570-34, Certification With Respect to Citation of Data</w:t>
      </w:r>
    </w:p>
    <w:p w14:paraId="5436DC37" w14:textId="40ADF434" w:rsidR="00C15D86" w:rsidRPr="00F204D4" w:rsidRDefault="00C47DDD"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8570-35, Data Matrix</w:t>
      </w:r>
    </w:p>
    <w:p w14:paraId="57AB05EB" w14:textId="6C7E42E2" w:rsidR="00C15D86" w:rsidRPr="00F204D4" w:rsidRDefault="00C47DDD" w:rsidP="00753F7E">
      <w:pPr>
        <w:pStyle w:val="ListParagraph"/>
        <w:widowControl w:val="0"/>
        <w:numPr>
          <w:ilvl w:val="0"/>
          <w:numId w:val="22"/>
        </w:numPr>
        <w:tabs>
          <w:tab w:val="left" w:pos="1473"/>
        </w:tabs>
        <w:autoSpaceDE w:val="0"/>
        <w:autoSpaceDN w:val="0"/>
        <w:rPr>
          <w:rFonts w:asciiTheme="majorBidi" w:hAnsiTheme="majorBidi" w:cstheme="majorBidi"/>
        </w:rPr>
      </w:pPr>
      <w:r w:rsidRPr="00F204D4">
        <w:rPr>
          <w:rFonts w:asciiTheme="majorBidi" w:hAnsiTheme="majorBidi" w:cstheme="majorBidi"/>
        </w:rPr>
        <w:t>EPA Form 8570-36, Summary of the Physical/chemical Properties</w:t>
      </w:r>
    </w:p>
    <w:p w14:paraId="570EE8CD" w14:textId="42D8C9B1" w:rsidR="00C15D86" w:rsidRPr="00F204D4" w:rsidRDefault="00C47DDD" w:rsidP="00753F7E">
      <w:pPr>
        <w:pStyle w:val="ListParagraph"/>
        <w:widowControl w:val="0"/>
        <w:numPr>
          <w:ilvl w:val="0"/>
          <w:numId w:val="22"/>
        </w:numPr>
        <w:tabs>
          <w:tab w:val="left" w:pos="1473"/>
        </w:tabs>
        <w:autoSpaceDE w:val="0"/>
        <w:autoSpaceDN w:val="0"/>
        <w:ind w:right="648"/>
        <w:rPr>
          <w:rFonts w:asciiTheme="majorBidi" w:hAnsiTheme="majorBidi" w:cstheme="majorBidi"/>
        </w:rPr>
      </w:pPr>
      <w:r w:rsidRPr="00F204D4">
        <w:rPr>
          <w:rFonts w:asciiTheme="majorBidi" w:hAnsiTheme="majorBidi" w:cstheme="majorBidi"/>
          <w:spacing w:val="-2"/>
        </w:rPr>
        <w:t>EPA Form 8570-37, Self-certification Statement for the Physical/Chemical</w:t>
      </w:r>
      <w:r w:rsidRPr="00F204D4">
        <w:rPr>
          <w:rFonts w:asciiTheme="majorBidi" w:hAnsiTheme="majorBidi" w:cstheme="majorBidi"/>
        </w:rPr>
        <w:t xml:space="preserve"> Properties</w:t>
      </w:r>
    </w:p>
    <w:p w14:paraId="7205F7E8" w14:textId="77777777" w:rsidR="00C15D86" w:rsidRPr="00F204D4" w:rsidRDefault="00C15D86">
      <w:pPr>
        <w:rPr>
          <w:rFonts w:asciiTheme="majorBidi" w:hAnsiTheme="majorBidi" w:cstheme="majorBidi"/>
        </w:rPr>
      </w:pPr>
    </w:p>
    <w:p w14:paraId="6A046DA6" w14:textId="7E9121F6" w:rsidR="00C15D86" w:rsidRPr="00F204D4" w:rsidRDefault="00C47DDD">
      <w:pPr>
        <w:ind w:left="720" w:firstLine="720"/>
        <w:rPr>
          <w:rFonts w:asciiTheme="majorBidi" w:hAnsiTheme="majorBidi" w:cstheme="majorBidi"/>
          <w:i/>
        </w:rPr>
      </w:pPr>
      <w:r w:rsidRPr="00F204D4">
        <w:rPr>
          <w:rFonts w:asciiTheme="majorBidi" w:hAnsiTheme="majorBidi" w:cstheme="majorBidi"/>
          <w:i/>
        </w:rPr>
        <w:t xml:space="preserve">(ii) </w:t>
      </w:r>
      <w:r w:rsidRPr="00F204D4">
        <w:rPr>
          <w:rFonts w:asciiTheme="majorBidi" w:hAnsiTheme="majorBidi" w:cstheme="majorBidi"/>
          <w:i/>
        </w:rPr>
        <w:tab/>
        <w:t>Respondent Activities</w:t>
      </w:r>
    </w:p>
    <w:p w14:paraId="46EF6893" w14:textId="77777777" w:rsidR="00C15D86" w:rsidRPr="00F204D4" w:rsidRDefault="00C15D86">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642"/>
      </w:tblGrid>
      <w:tr w:rsidR="00C47DDD" w:rsidRPr="00F204D4" w14:paraId="248F5D51" w14:textId="77777777" w:rsidTr="00EF027D">
        <w:tc>
          <w:tcPr>
            <w:tcW w:w="2708" w:type="dxa"/>
            <w:shd w:val="clear" w:color="auto" w:fill="E6E6E6"/>
            <w:tcMar>
              <w:top w:w="29" w:type="dxa"/>
              <w:left w:w="115" w:type="dxa"/>
              <w:bottom w:w="29" w:type="dxa"/>
              <w:right w:w="115" w:type="dxa"/>
            </w:tcMar>
          </w:tcPr>
          <w:p w14:paraId="698B9F20" w14:textId="77777777" w:rsidR="00C15D86" w:rsidRPr="00F204D4" w:rsidRDefault="00C47DDD">
            <w:pPr>
              <w:rPr>
                <w:rFonts w:asciiTheme="majorBidi" w:hAnsiTheme="majorBidi" w:cstheme="majorBidi"/>
                <w:b/>
              </w:rPr>
            </w:pPr>
            <w:r w:rsidRPr="00F204D4">
              <w:rPr>
                <w:rFonts w:asciiTheme="majorBidi" w:hAnsiTheme="majorBidi" w:cstheme="majorBidi"/>
                <w:b/>
                <w:sz w:val="22"/>
                <w:szCs w:val="22"/>
              </w:rPr>
              <w:t>Respondent Paperwork Activity</w:t>
            </w:r>
          </w:p>
        </w:tc>
        <w:tc>
          <w:tcPr>
            <w:tcW w:w="6642" w:type="dxa"/>
            <w:shd w:val="clear" w:color="auto" w:fill="E6E6E6"/>
            <w:tcMar>
              <w:top w:w="29" w:type="dxa"/>
              <w:left w:w="115" w:type="dxa"/>
              <w:bottom w:w="29" w:type="dxa"/>
              <w:right w:w="115" w:type="dxa"/>
            </w:tcMar>
          </w:tcPr>
          <w:p w14:paraId="2C6472A8" w14:textId="77777777" w:rsidR="00C15D86" w:rsidRPr="00F204D4" w:rsidRDefault="00C47DDD">
            <w:pPr>
              <w:rPr>
                <w:rFonts w:asciiTheme="majorBidi" w:hAnsiTheme="majorBidi" w:cstheme="majorBidi"/>
                <w:b/>
              </w:rPr>
            </w:pPr>
            <w:r w:rsidRPr="00F204D4">
              <w:rPr>
                <w:rFonts w:asciiTheme="majorBidi" w:hAnsiTheme="majorBidi" w:cstheme="majorBidi"/>
                <w:b/>
                <w:sz w:val="22"/>
                <w:szCs w:val="22"/>
              </w:rPr>
              <w:t>Description</w:t>
            </w:r>
          </w:p>
        </w:tc>
      </w:tr>
      <w:tr w:rsidR="00C47DDD" w:rsidRPr="00F204D4" w14:paraId="613D9A72" w14:textId="77777777" w:rsidTr="00EF027D">
        <w:trPr>
          <w:trHeight w:val="890"/>
        </w:trPr>
        <w:tc>
          <w:tcPr>
            <w:tcW w:w="2708" w:type="dxa"/>
            <w:tcMar>
              <w:top w:w="29" w:type="dxa"/>
              <w:left w:w="115" w:type="dxa"/>
              <w:bottom w:w="29" w:type="dxa"/>
              <w:right w:w="115" w:type="dxa"/>
            </w:tcMar>
          </w:tcPr>
          <w:p w14:paraId="2AFBAE70" w14:textId="77777777" w:rsidR="00C47DDD" w:rsidRPr="00F204D4" w:rsidRDefault="00C47DDD" w:rsidP="008B7CCF">
            <w:pPr>
              <w:rPr>
                <w:rFonts w:asciiTheme="majorBidi" w:hAnsiTheme="majorBidi" w:cstheme="majorBidi"/>
                <w:b/>
              </w:rPr>
            </w:pPr>
            <w:r w:rsidRPr="00F204D4">
              <w:rPr>
                <w:rFonts w:asciiTheme="majorBidi" w:hAnsiTheme="majorBidi" w:cstheme="majorBidi"/>
                <w:b/>
                <w:sz w:val="22"/>
                <w:szCs w:val="22"/>
              </w:rPr>
              <w:t>1. Read instructions</w:t>
            </w:r>
          </w:p>
        </w:tc>
        <w:tc>
          <w:tcPr>
            <w:tcW w:w="6642" w:type="dxa"/>
            <w:tcMar>
              <w:top w:w="29" w:type="dxa"/>
              <w:left w:w="115" w:type="dxa"/>
              <w:bottom w:w="29" w:type="dxa"/>
              <w:right w:w="115" w:type="dxa"/>
            </w:tcMar>
          </w:tcPr>
          <w:p w14:paraId="145FD981" w14:textId="77777777" w:rsidR="00C47DDD" w:rsidRPr="00F204D4" w:rsidRDefault="00C47DDD" w:rsidP="008B7CCF">
            <w:pPr>
              <w:rPr>
                <w:rFonts w:asciiTheme="majorBidi" w:hAnsiTheme="majorBidi" w:cstheme="majorBidi"/>
              </w:rPr>
            </w:pPr>
            <w:r w:rsidRPr="00F204D4">
              <w:rPr>
                <w:rFonts w:asciiTheme="majorBidi" w:hAnsiTheme="majorBidi" w:cstheme="majorBidi"/>
                <w:sz w:val="22"/>
                <w:szCs w:val="22"/>
              </w:rPr>
              <w:t>Read germane FIFRA legislation, 40 CFR regulations, application form instructions, the Reduced-Risk policy, applicable guidance and correspondence, and germane labeling PR and FR notices;</w:t>
            </w:r>
          </w:p>
          <w:p w14:paraId="3C27E309" w14:textId="77777777" w:rsidR="00C15D86" w:rsidRPr="00F204D4" w:rsidRDefault="00C47DDD">
            <w:pPr>
              <w:rPr>
                <w:rFonts w:asciiTheme="majorBidi" w:hAnsiTheme="majorBidi" w:cstheme="majorBidi"/>
                <w:sz w:val="8"/>
                <w:szCs w:val="8"/>
              </w:rPr>
            </w:pPr>
            <w:r w:rsidRPr="00F204D4">
              <w:rPr>
                <w:rFonts w:asciiTheme="majorBidi" w:hAnsiTheme="majorBidi" w:cstheme="majorBidi"/>
                <w:sz w:val="22"/>
                <w:szCs w:val="22"/>
              </w:rPr>
              <w:t xml:space="preserve"> </w:t>
            </w:r>
          </w:p>
        </w:tc>
      </w:tr>
      <w:tr w:rsidR="00C47DDD" w:rsidRPr="00F204D4" w14:paraId="5B4D9F70" w14:textId="77777777" w:rsidTr="00EF027D">
        <w:tc>
          <w:tcPr>
            <w:tcW w:w="2708" w:type="dxa"/>
            <w:tcMar>
              <w:top w:w="29" w:type="dxa"/>
              <w:left w:w="115" w:type="dxa"/>
              <w:bottom w:w="29" w:type="dxa"/>
              <w:right w:w="115" w:type="dxa"/>
            </w:tcMar>
          </w:tcPr>
          <w:p w14:paraId="135B00E0" w14:textId="77777777" w:rsidR="00C47DDD" w:rsidRPr="00F204D4" w:rsidRDefault="00C47DDD" w:rsidP="008B7CCF">
            <w:pPr>
              <w:rPr>
                <w:rFonts w:asciiTheme="majorBidi" w:hAnsiTheme="majorBidi" w:cstheme="majorBidi"/>
                <w:b/>
              </w:rPr>
            </w:pPr>
            <w:r w:rsidRPr="00F204D4">
              <w:rPr>
                <w:rFonts w:asciiTheme="majorBidi" w:hAnsiTheme="majorBidi" w:cstheme="majorBidi"/>
                <w:b/>
                <w:sz w:val="22"/>
                <w:szCs w:val="22"/>
              </w:rPr>
              <w:t>2. Plan activities</w:t>
            </w:r>
          </w:p>
        </w:tc>
        <w:tc>
          <w:tcPr>
            <w:tcW w:w="6642" w:type="dxa"/>
            <w:tcMar>
              <w:top w:w="29" w:type="dxa"/>
              <w:left w:w="115" w:type="dxa"/>
              <w:bottom w:w="29" w:type="dxa"/>
              <w:right w:w="115" w:type="dxa"/>
            </w:tcMar>
          </w:tcPr>
          <w:p w14:paraId="253D55B6" w14:textId="77777777" w:rsidR="00C47DDD" w:rsidRPr="00F204D4" w:rsidRDefault="00C47DDD" w:rsidP="008B7CCF">
            <w:pPr>
              <w:rPr>
                <w:rFonts w:asciiTheme="majorBidi" w:hAnsiTheme="majorBidi" w:cstheme="majorBidi"/>
              </w:rPr>
            </w:pPr>
            <w:r w:rsidRPr="00F204D4">
              <w:rPr>
                <w:rFonts w:asciiTheme="majorBidi" w:hAnsiTheme="majorBidi" w:cstheme="majorBidi"/>
                <w:sz w:val="22"/>
                <w:szCs w:val="22"/>
              </w:rPr>
              <w:t>Decide whether pesticide seeking registration is a “me-too” pesticide, as this will determine succeeding activities;</w:t>
            </w:r>
          </w:p>
          <w:p w14:paraId="3D0DF3C5" w14:textId="77777777" w:rsidR="00C15D86" w:rsidRPr="00F204D4" w:rsidRDefault="00C15D86">
            <w:pPr>
              <w:rPr>
                <w:rFonts w:asciiTheme="majorBidi" w:hAnsiTheme="majorBidi" w:cstheme="majorBidi"/>
                <w:sz w:val="8"/>
                <w:szCs w:val="8"/>
              </w:rPr>
            </w:pPr>
          </w:p>
        </w:tc>
      </w:tr>
      <w:tr w:rsidR="00EF027D" w:rsidRPr="00F204D4" w14:paraId="7D584B1B" w14:textId="77777777" w:rsidTr="00EF027D">
        <w:tc>
          <w:tcPr>
            <w:tcW w:w="2708" w:type="dxa"/>
            <w:tcMar>
              <w:top w:w="29" w:type="dxa"/>
              <w:left w:w="115" w:type="dxa"/>
              <w:bottom w:w="29" w:type="dxa"/>
              <w:right w:w="115" w:type="dxa"/>
            </w:tcMar>
          </w:tcPr>
          <w:p w14:paraId="1BAAA7D8" w14:textId="233513BE" w:rsidR="00EF027D" w:rsidRPr="00F204D4" w:rsidRDefault="002004E1" w:rsidP="004159E3">
            <w:pPr>
              <w:rPr>
                <w:rFonts w:asciiTheme="majorBidi" w:hAnsiTheme="majorBidi" w:cstheme="majorBidi"/>
                <w:b/>
              </w:rPr>
            </w:pPr>
            <w:r w:rsidRPr="00F204D4">
              <w:rPr>
                <w:rFonts w:asciiTheme="majorBidi" w:hAnsiTheme="majorBidi" w:cstheme="majorBidi"/>
                <w:b/>
                <w:sz w:val="22"/>
                <w:szCs w:val="22"/>
              </w:rPr>
              <w:t>3</w:t>
            </w:r>
            <w:r w:rsidR="00EF027D" w:rsidRPr="00F204D4">
              <w:rPr>
                <w:rFonts w:asciiTheme="majorBidi" w:hAnsiTheme="majorBidi" w:cstheme="majorBidi"/>
                <w:b/>
                <w:sz w:val="22"/>
                <w:szCs w:val="22"/>
              </w:rPr>
              <w:t>. Gather information</w:t>
            </w:r>
          </w:p>
        </w:tc>
        <w:tc>
          <w:tcPr>
            <w:tcW w:w="6642" w:type="dxa"/>
            <w:tcMar>
              <w:top w:w="29" w:type="dxa"/>
              <w:left w:w="115" w:type="dxa"/>
              <w:bottom w:w="29" w:type="dxa"/>
              <w:right w:w="115" w:type="dxa"/>
            </w:tcMar>
          </w:tcPr>
          <w:p w14:paraId="7CF5DC69" w14:textId="77777777" w:rsidR="00EF027D" w:rsidRPr="00F204D4" w:rsidRDefault="00EF027D" w:rsidP="004159E3">
            <w:pPr>
              <w:rPr>
                <w:rFonts w:asciiTheme="majorBidi" w:hAnsiTheme="majorBidi" w:cstheme="majorBidi"/>
              </w:rPr>
            </w:pPr>
            <w:r w:rsidRPr="00F204D4">
              <w:rPr>
                <w:rFonts w:asciiTheme="majorBidi" w:hAnsiTheme="majorBidi" w:cstheme="majorBidi"/>
                <w:sz w:val="22"/>
                <w:szCs w:val="22"/>
              </w:rPr>
              <w:t>Canvass/contact other chemical firms holding EPA registrations, if any, to determine whether it would be appropriate to share or rely on testing data already submitted by another company;</w:t>
            </w:r>
          </w:p>
          <w:p w14:paraId="7F15AB44" w14:textId="77777777" w:rsidR="00EF027D" w:rsidRPr="00F204D4" w:rsidRDefault="00EF027D" w:rsidP="004159E3">
            <w:pPr>
              <w:rPr>
                <w:rFonts w:asciiTheme="majorBidi" w:hAnsiTheme="majorBidi" w:cstheme="majorBidi"/>
                <w:sz w:val="8"/>
                <w:szCs w:val="8"/>
              </w:rPr>
            </w:pPr>
          </w:p>
        </w:tc>
      </w:tr>
      <w:tr w:rsidR="00C47DDD" w:rsidRPr="00F204D4" w14:paraId="413EC45D" w14:textId="77777777" w:rsidTr="00EF027D">
        <w:tc>
          <w:tcPr>
            <w:tcW w:w="2708" w:type="dxa"/>
            <w:tcMar>
              <w:top w:w="29" w:type="dxa"/>
              <w:left w:w="115" w:type="dxa"/>
              <w:bottom w:w="29" w:type="dxa"/>
              <w:right w:w="115" w:type="dxa"/>
            </w:tcMar>
          </w:tcPr>
          <w:p w14:paraId="4BEA617B" w14:textId="464334D8" w:rsidR="00C47DDD" w:rsidRPr="00F204D4" w:rsidRDefault="002004E1" w:rsidP="008B7CCF">
            <w:pPr>
              <w:rPr>
                <w:rFonts w:asciiTheme="majorBidi" w:hAnsiTheme="majorBidi" w:cstheme="majorBidi"/>
                <w:b/>
              </w:rPr>
            </w:pPr>
            <w:r w:rsidRPr="00F204D4">
              <w:rPr>
                <w:rFonts w:asciiTheme="majorBidi" w:hAnsiTheme="majorBidi" w:cstheme="majorBidi"/>
                <w:b/>
                <w:sz w:val="22"/>
                <w:szCs w:val="22"/>
              </w:rPr>
              <w:t>4</w:t>
            </w:r>
            <w:r w:rsidR="00C47DDD" w:rsidRPr="00F204D4">
              <w:rPr>
                <w:rFonts w:asciiTheme="majorBidi" w:hAnsiTheme="majorBidi" w:cstheme="majorBidi"/>
                <w:b/>
                <w:sz w:val="22"/>
                <w:szCs w:val="22"/>
              </w:rPr>
              <w:t>. Create information</w:t>
            </w:r>
          </w:p>
        </w:tc>
        <w:tc>
          <w:tcPr>
            <w:tcW w:w="6642" w:type="dxa"/>
            <w:tcMar>
              <w:top w:w="29" w:type="dxa"/>
              <w:left w:w="115" w:type="dxa"/>
              <w:bottom w:w="29" w:type="dxa"/>
              <w:right w:w="115" w:type="dxa"/>
            </w:tcMar>
          </w:tcPr>
          <w:p w14:paraId="79AA84B2" w14:textId="42CA6DB8" w:rsidR="00C47DDD" w:rsidRPr="00F204D4" w:rsidRDefault="002004E1" w:rsidP="00AD7532">
            <w:pPr>
              <w:rPr>
                <w:rFonts w:asciiTheme="majorBidi" w:hAnsiTheme="majorBidi" w:cstheme="majorBidi"/>
              </w:rPr>
            </w:pPr>
            <w:r w:rsidRPr="00F204D4">
              <w:rPr>
                <w:rFonts w:asciiTheme="majorBidi" w:hAnsiTheme="majorBidi" w:cstheme="majorBidi"/>
                <w:sz w:val="22"/>
                <w:szCs w:val="22"/>
              </w:rPr>
              <w:t xml:space="preserve">If </w:t>
            </w:r>
            <w:r w:rsidR="00AD7532" w:rsidRPr="00F204D4">
              <w:rPr>
                <w:rFonts w:asciiTheme="majorBidi" w:hAnsiTheme="majorBidi" w:cstheme="majorBidi"/>
                <w:sz w:val="22"/>
                <w:szCs w:val="22"/>
              </w:rPr>
              <w:t>submitting</w:t>
            </w:r>
            <w:r w:rsidRPr="00F204D4">
              <w:rPr>
                <w:rFonts w:asciiTheme="majorBidi" w:hAnsiTheme="majorBidi" w:cstheme="majorBidi"/>
                <w:sz w:val="22"/>
                <w:szCs w:val="22"/>
              </w:rPr>
              <w:t xml:space="preserve"> stud</w:t>
            </w:r>
            <w:r w:rsidR="00AD7532" w:rsidRPr="00F204D4">
              <w:rPr>
                <w:rFonts w:asciiTheme="majorBidi" w:hAnsiTheme="majorBidi" w:cstheme="majorBidi"/>
                <w:sz w:val="22"/>
                <w:szCs w:val="22"/>
              </w:rPr>
              <w:t>y data</w:t>
            </w:r>
            <w:r w:rsidRPr="00F204D4">
              <w:rPr>
                <w:rFonts w:asciiTheme="majorBidi" w:hAnsiTheme="majorBidi" w:cstheme="majorBidi"/>
                <w:sz w:val="22"/>
                <w:szCs w:val="22"/>
              </w:rPr>
              <w:t>, a</w:t>
            </w:r>
            <w:r w:rsidR="00C47DDD" w:rsidRPr="00F204D4">
              <w:rPr>
                <w:rFonts w:asciiTheme="majorBidi" w:hAnsiTheme="majorBidi" w:cstheme="majorBidi"/>
                <w:sz w:val="22"/>
                <w:szCs w:val="22"/>
              </w:rPr>
              <w:t>rrange for testing of any physical chemistry, toxicological, environmental fate, ecological effects, worker exposure, residue chemistry, environmental chemistry, product performance, and efficacy data required by germane regulations to support registration.</w:t>
            </w:r>
          </w:p>
          <w:p w14:paraId="1DB198C7" w14:textId="77777777" w:rsidR="00C15D86" w:rsidRPr="00F204D4" w:rsidRDefault="00C15D86">
            <w:pPr>
              <w:rPr>
                <w:rFonts w:asciiTheme="majorBidi" w:hAnsiTheme="majorBidi" w:cstheme="majorBidi"/>
                <w:sz w:val="8"/>
                <w:szCs w:val="8"/>
              </w:rPr>
            </w:pPr>
          </w:p>
        </w:tc>
      </w:tr>
      <w:tr w:rsidR="00C47DDD" w:rsidRPr="00F204D4" w14:paraId="7797274E" w14:textId="77777777" w:rsidTr="00EF027D">
        <w:tc>
          <w:tcPr>
            <w:tcW w:w="2708" w:type="dxa"/>
            <w:tcMar>
              <w:top w:w="29" w:type="dxa"/>
              <w:left w:w="115" w:type="dxa"/>
              <w:bottom w:w="29" w:type="dxa"/>
              <w:right w:w="115" w:type="dxa"/>
            </w:tcMar>
          </w:tcPr>
          <w:p w14:paraId="3BDB5027" w14:textId="77777777" w:rsidR="00C47DDD" w:rsidRPr="00F204D4" w:rsidRDefault="00C47DDD" w:rsidP="008B7CCF">
            <w:pPr>
              <w:rPr>
                <w:rFonts w:asciiTheme="majorBidi" w:hAnsiTheme="majorBidi" w:cstheme="majorBidi"/>
                <w:b/>
              </w:rPr>
            </w:pPr>
            <w:r w:rsidRPr="00F204D4">
              <w:rPr>
                <w:rFonts w:asciiTheme="majorBidi" w:hAnsiTheme="majorBidi" w:cstheme="majorBidi"/>
                <w:b/>
                <w:sz w:val="22"/>
                <w:szCs w:val="22"/>
              </w:rPr>
              <w:t>5. Compile and review</w:t>
            </w:r>
          </w:p>
        </w:tc>
        <w:tc>
          <w:tcPr>
            <w:tcW w:w="6642" w:type="dxa"/>
            <w:tcMar>
              <w:top w:w="29" w:type="dxa"/>
              <w:left w:w="115" w:type="dxa"/>
              <w:bottom w:w="29" w:type="dxa"/>
              <w:right w:w="115" w:type="dxa"/>
            </w:tcMar>
          </w:tcPr>
          <w:p w14:paraId="679EAE39" w14:textId="77777777" w:rsidR="00C47DDD" w:rsidRPr="00F204D4" w:rsidRDefault="00C47DDD" w:rsidP="008B7CCF">
            <w:pPr>
              <w:rPr>
                <w:rFonts w:asciiTheme="majorBidi" w:hAnsiTheme="majorBidi" w:cstheme="majorBidi"/>
              </w:rPr>
            </w:pPr>
            <w:r w:rsidRPr="00F204D4">
              <w:rPr>
                <w:rFonts w:asciiTheme="majorBidi" w:hAnsiTheme="majorBidi" w:cstheme="majorBidi"/>
                <w:sz w:val="22"/>
                <w:szCs w:val="22"/>
              </w:rPr>
              <w:t>Assemble data, evaluate for accuracy, appropriateness, and completeness;</w:t>
            </w:r>
          </w:p>
          <w:p w14:paraId="4D8EBA8A" w14:textId="77777777" w:rsidR="00C15D86" w:rsidRPr="00F204D4" w:rsidRDefault="00C15D86">
            <w:pPr>
              <w:rPr>
                <w:rFonts w:asciiTheme="majorBidi" w:hAnsiTheme="majorBidi" w:cstheme="majorBidi"/>
                <w:sz w:val="8"/>
                <w:szCs w:val="8"/>
              </w:rPr>
            </w:pPr>
          </w:p>
        </w:tc>
      </w:tr>
      <w:tr w:rsidR="00C47DDD" w:rsidRPr="00F204D4" w14:paraId="3D9C5189" w14:textId="77777777" w:rsidTr="00EF027D">
        <w:tc>
          <w:tcPr>
            <w:tcW w:w="2708" w:type="dxa"/>
            <w:tcMar>
              <w:top w:w="29" w:type="dxa"/>
              <w:left w:w="115" w:type="dxa"/>
              <w:bottom w:w="29" w:type="dxa"/>
              <w:right w:w="115" w:type="dxa"/>
            </w:tcMar>
          </w:tcPr>
          <w:p w14:paraId="7CCBE01B" w14:textId="77777777" w:rsidR="00C47DDD" w:rsidRPr="00F204D4" w:rsidRDefault="00C47DDD" w:rsidP="008B7CCF">
            <w:pPr>
              <w:rPr>
                <w:rFonts w:asciiTheme="majorBidi" w:hAnsiTheme="majorBidi" w:cstheme="majorBidi"/>
                <w:b/>
              </w:rPr>
            </w:pPr>
            <w:r w:rsidRPr="00F204D4">
              <w:rPr>
                <w:rFonts w:asciiTheme="majorBidi" w:hAnsiTheme="majorBidi" w:cstheme="majorBidi"/>
                <w:b/>
                <w:sz w:val="22"/>
                <w:szCs w:val="22"/>
              </w:rPr>
              <w:t>6. Complete paperwork</w:t>
            </w:r>
          </w:p>
        </w:tc>
        <w:tc>
          <w:tcPr>
            <w:tcW w:w="6642" w:type="dxa"/>
            <w:tcMar>
              <w:top w:w="29" w:type="dxa"/>
              <w:left w:w="115" w:type="dxa"/>
              <w:bottom w:w="29" w:type="dxa"/>
              <w:right w:w="115" w:type="dxa"/>
            </w:tcMar>
          </w:tcPr>
          <w:p w14:paraId="346166EB" w14:textId="77777777" w:rsidR="00C47DDD" w:rsidRPr="00F204D4" w:rsidRDefault="00C47DDD" w:rsidP="008B7CCF">
            <w:pPr>
              <w:rPr>
                <w:rFonts w:asciiTheme="majorBidi" w:hAnsiTheme="majorBidi" w:cstheme="majorBidi"/>
                <w:sz w:val="22"/>
                <w:szCs w:val="22"/>
              </w:rPr>
            </w:pPr>
            <w:r w:rsidRPr="00F204D4">
              <w:rPr>
                <w:rFonts w:asciiTheme="majorBidi" w:hAnsiTheme="majorBidi" w:cstheme="majorBidi"/>
                <w:sz w:val="22"/>
                <w:szCs w:val="22"/>
              </w:rPr>
              <w:t>Complete all appropriate application documents;</w:t>
            </w:r>
          </w:p>
          <w:p w14:paraId="1E106ED8" w14:textId="77777777" w:rsidR="00791649" w:rsidRPr="00F204D4" w:rsidRDefault="00791649" w:rsidP="008B7CCF">
            <w:pPr>
              <w:rPr>
                <w:rFonts w:asciiTheme="majorBidi" w:hAnsiTheme="majorBidi" w:cstheme="majorBidi"/>
              </w:rPr>
            </w:pPr>
          </w:p>
          <w:p w14:paraId="17B609A2" w14:textId="77777777" w:rsidR="00C15D86" w:rsidRPr="00F204D4" w:rsidRDefault="00C15D86">
            <w:pPr>
              <w:rPr>
                <w:rFonts w:asciiTheme="majorBidi" w:hAnsiTheme="majorBidi" w:cstheme="majorBidi"/>
                <w:sz w:val="8"/>
                <w:szCs w:val="8"/>
              </w:rPr>
            </w:pPr>
          </w:p>
        </w:tc>
      </w:tr>
      <w:tr w:rsidR="00791649" w:rsidRPr="00F204D4" w14:paraId="76776FEB" w14:textId="77777777" w:rsidTr="004159E3">
        <w:trPr>
          <w:trHeight w:val="528"/>
        </w:trPr>
        <w:tc>
          <w:tcPr>
            <w:tcW w:w="2708" w:type="dxa"/>
            <w:tcMar>
              <w:top w:w="29" w:type="dxa"/>
              <w:left w:w="115" w:type="dxa"/>
              <w:bottom w:w="29" w:type="dxa"/>
              <w:right w:w="115" w:type="dxa"/>
            </w:tcMar>
          </w:tcPr>
          <w:p w14:paraId="2BCAEBE3" w14:textId="037697D3" w:rsidR="00791649" w:rsidRPr="00F204D4" w:rsidRDefault="00791649" w:rsidP="00791649">
            <w:pPr>
              <w:rPr>
                <w:rFonts w:asciiTheme="majorBidi" w:hAnsiTheme="majorBidi" w:cstheme="majorBidi"/>
                <w:b/>
                <w:sz w:val="22"/>
                <w:szCs w:val="22"/>
              </w:rPr>
            </w:pPr>
            <w:r w:rsidRPr="00F204D4">
              <w:rPr>
                <w:rFonts w:asciiTheme="majorBidi" w:hAnsiTheme="majorBidi" w:cstheme="majorBidi"/>
                <w:b/>
                <w:sz w:val="22"/>
                <w:szCs w:val="22"/>
              </w:rPr>
              <w:t>7. Submit registration information (application-related material)</w:t>
            </w:r>
          </w:p>
        </w:tc>
        <w:tc>
          <w:tcPr>
            <w:tcW w:w="6642" w:type="dxa"/>
            <w:tcMar>
              <w:top w:w="29" w:type="dxa"/>
              <w:left w:w="115" w:type="dxa"/>
              <w:bottom w:w="29" w:type="dxa"/>
              <w:right w:w="115" w:type="dxa"/>
            </w:tcMar>
          </w:tcPr>
          <w:p w14:paraId="22C83A75" w14:textId="433E8EDF" w:rsidR="00791649" w:rsidRPr="00F204D4" w:rsidRDefault="004445F4" w:rsidP="00CB40F4">
            <w:pPr>
              <w:rPr>
                <w:rFonts w:asciiTheme="majorBidi" w:hAnsiTheme="majorBidi" w:cstheme="majorBidi"/>
                <w:sz w:val="22"/>
                <w:szCs w:val="22"/>
              </w:rPr>
            </w:pPr>
            <w:r w:rsidRPr="00F204D4">
              <w:rPr>
                <w:rFonts w:asciiTheme="majorBidi" w:hAnsiTheme="majorBidi" w:cstheme="majorBidi"/>
                <w:sz w:val="22"/>
                <w:szCs w:val="22"/>
              </w:rPr>
              <w:t xml:space="preserve">Using </w:t>
            </w:r>
            <w:r w:rsidR="00CB40F4" w:rsidRPr="00F204D4">
              <w:rPr>
                <w:rFonts w:asciiTheme="majorBidi" w:hAnsiTheme="majorBidi" w:cstheme="majorBidi"/>
                <w:sz w:val="22"/>
                <w:szCs w:val="22"/>
              </w:rPr>
              <w:t>preferred option</w:t>
            </w:r>
            <w:r w:rsidRPr="00F204D4">
              <w:rPr>
                <w:rFonts w:asciiTheme="majorBidi" w:hAnsiTheme="majorBidi" w:cstheme="majorBidi"/>
                <w:sz w:val="22"/>
                <w:szCs w:val="22"/>
              </w:rPr>
              <w:t xml:space="preserve"> for registration </w:t>
            </w:r>
            <w:r w:rsidR="00CB40F4" w:rsidRPr="00F204D4">
              <w:rPr>
                <w:rFonts w:asciiTheme="majorBidi" w:hAnsiTheme="majorBidi" w:cstheme="majorBidi"/>
                <w:sz w:val="22"/>
                <w:szCs w:val="22"/>
              </w:rPr>
              <w:t xml:space="preserve">applications, submit required information to the EPA. </w:t>
            </w:r>
          </w:p>
        </w:tc>
      </w:tr>
      <w:tr w:rsidR="00C47DDD" w:rsidRPr="00F204D4" w14:paraId="5F603983" w14:textId="77777777" w:rsidTr="00EF027D">
        <w:trPr>
          <w:trHeight w:val="528"/>
        </w:trPr>
        <w:tc>
          <w:tcPr>
            <w:tcW w:w="2708" w:type="dxa"/>
            <w:tcMar>
              <w:top w:w="29" w:type="dxa"/>
              <w:left w:w="115" w:type="dxa"/>
              <w:bottom w:w="29" w:type="dxa"/>
              <w:right w:w="115" w:type="dxa"/>
            </w:tcMar>
          </w:tcPr>
          <w:p w14:paraId="30F0CBC3" w14:textId="6990F0D0" w:rsidR="00C47DDD" w:rsidRPr="00F204D4" w:rsidRDefault="00791649" w:rsidP="00791649">
            <w:pPr>
              <w:pStyle w:val="ListParagraph"/>
              <w:numPr>
                <w:ilvl w:val="0"/>
                <w:numId w:val="22"/>
              </w:numPr>
              <w:rPr>
                <w:rFonts w:asciiTheme="majorBidi" w:hAnsiTheme="majorBidi" w:cstheme="majorBidi"/>
                <w:b/>
              </w:rPr>
            </w:pPr>
            <w:r w:rsidRPr="00F204D4">
              <w:rPr>
                <w:rFonts w:asciiTheme="majorBidi" w:hAnsiTheme="majorBidi" w:cstheme="majorBidi"/>
                <w:b/>
                <w:sz w:val="22"/>
                <w:szCs w:val="22"/>
              </w:rPr>
              <w:t>Store/maintain data</w:t>
            </w:r>
          </w:p>
        </w:tc>
        <w:tc>
          <w:tcPr>
            <w:tcW w:w="6642" w:type="dxa"/>
            <w:tcMar>
              <w:top w:w="29" w:type="dxa"/>
              <w:left w:w="115" w:type="dxa"/>
              <w:bottom w:w="29" w:type="dxa"/>
              <w:right w:w="115" w:type="dxa"/>
            </w:tcMar>
          </w:tcPr>
          <w:p w14:paraId="20C5CD43" w14:textId="2E6D4912" w:rsidR="00C47DDD" w:rsidRPr="00F204D4" w:rsidRDefault="00791649" w:rsidP="008B7CCF">
            <w:pPr>
              <w:rPr>
                <w:rFonts w:asciiTheme="majorBidi" w:hAnsiTheme="majorBidi" w:cstheme="majorBidi"/>
              </w:rPr>
            </w:pPr>
            <w:r w:rsidRPr="00F204D4">
              <w:rPr>
                <w:rFonts w:asciiTheme="majorBidi" w:hAnsiTheme="majorBidi" w:cstheme="majorBidi"/>
                <w:sz w:val="22"/>
                <w:szCs w:val="22"/>
              </w:rPr>
              <w:t>File and maintain copies of all registration data submitted to the Agency.</w:t>
            </w:r>
          </w:p>
        </w:tc>
      </w:tr>
    </w:tbl>
    <w:p w14:paraId="0EF5B59A" w14:textId="77777777" w:rsidR="00B06878" w:rsidRPr="00F204D4" w:rsidRDefault="00B06878">
      <w:pPr>
        <w:ind w:left="720" w:hanging="720"/>
        <w:rPr>
          <w:rFonts w:asciiTheme="majorBidi" w:hAnsiTheme="majorBidi" w:cstheme="majorBidi"/>
          <w:b/>
        </w:rPr>
      </w:pPr>
    </w:p>
    <w:p w14:paraId="034487E7" w14:textId="77777777" w:rsidR="00B06878" w:rsidRPr="00F204D4" w:rsidRDefault="00B06878">
      <w:pPr>
        <w:ind w:left="720" w:hanging="720"/>
        <w:rPr>
          <w:rFonts w:asciiTheme="majorBidi" w:hAnsiTheme="majorBidi" w:cstheme="majorBidi"/>
          <w:b/>
        </w:rPr>
      </w:pPr>
    </w:p>
    <w:p w14:paraId="0F1E753B" w14:textId="6374F8BC" w:rsidR="00C15D86" w:rsidRPr="00F204D4" w:rsidRDefault="00C47DDD" w:rsidP="00B06878">
      <w:pPr>
        <w:ind w:left="720" w:hanging="720"/>
        <w:rPr>
          <w:rFonts w:asciiTheme="majorBidi" w:hAnsiTheme="majorBidi" w:cstheme="majorBidi"/>
          <w:b/>
        </w:rPr>
      </w:pPr>
      <w:r w:rsidRPr="00F204D4">
        <w:rPr>
          <w:rFonts w:asciiTheme="majorBidi" w:hAnsiTheme="majorBidi" w:cstheme="majorBidi"/>
          <w:b/>
        </w:rPr>
        <w:t>5.</w:t>
      </w:r>
      <w:r w:rsidRPr="00F204D4">
        <w:rPr>
          <w:rFonts w:asciiTheme="majorBidi" w:hAnsiTheme="majorBidi" w:cstheme="majorBidi"/>
          <w:b/>
        </w:rPr>
        <w:tab/>
      </w:r>
      <w:r w:rsidRPr="00F204D4">
        <w:rPr>
          <w:rFonts w:asciiTheme="majorBidi" w:hAnsiTheme="majorBidi" w:cstheme="majorBidi"/>
          <w:b/>
          <w:u w:val="single"/>
        </w:rPr>
        <w:t>THE INFORMATION COLLECTED – AGENCY ACTIVITIES, COLLECTION METHODOLOGY, AND INFORMATION MANAGEMENT.</w:t>
      </w:r>
    </w:p>
    <w:p w14:paraId="1E840026" w14:textId="77777777" w:rsidR="00C15D86" w:rsidRPr="00F204D4" w:rsidRDefault="00C15D86">
      <w:pPr>
        <w:rPr>
          <w:rFonts w:asciiTheme="majorBidi" w:hAnsiTheme="majorBidi" w:cstheme="majorBidi"/>
        </w:rPr>
      </w:pPr>
    </w:p>
    <w:p w14:paraId="49066F9F"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t>5(a)</w:t>
      </w:r>
      <w:r w:rsidRPr="00F204D4">
        <w:rPr>
          <w:rFonts w:asciiTheme="majorBidi" w:hAnsiTheme="majorBidi" w:cstheme="majorBidi"/>
          <w:b/>
        </w:rPr>
        <w:tab/>
        <w:t>Agency Activities</w:t>
      </w:r>
    </w:p>
    <w:p w14:paraId="16F4FAFC" w14:textId="77777777" w:rsidR="00C15D86" w:rsidRPr="00F204D4" w:rsidRDefault="00C15D86">
      <w:pPr>
        <w:ind w:firstLine="720"/>
        <w:rPr>
          <w:rFonts w:asciiTheme="majorBidi" w:hAnsiTheme="majorBidi" w:cstheme="majorBidi"/>
          <w:b/>
        </w:rPr>
      </w:pPr>
    </w:p>
    <w:p w14:paraId="46B3CBC0" w14:textId="626541F6" w:rsidR="00E475AD" w:rsidRPr="00F204D4" w:rsidRDefault="00E475AD" w:rsidP="00E475AD">
      <w:pPr>
        <w:ind w:firstLine="720"/>
        <w:rPr>
          <w:rFonts w:asciiTheme="majorBidi" w:hAnsiTheme="majorBidi" w:cstheme="majorBidi"/>
        </w:rPr>
      </w:pPr>
      <w:r w:rsidRPr="00F204D4">
        <w:rPr>
          <w:rFonts w:asciiTheme="majorBidi" w:hAnsiTheme="majorBidi" w:cstheme="majorBidi"/>
        </w:rPr>
        <w:lastRenderedPageBreak/>
        <w:t xml:space="preserve">In general, the degree and level of Agency activities in the review of data submissions will depend on the complexity of the product being registered, and whether it is identical or substantially similar to other products already registered. Products containing active ingredients present in currently registered products and proposed for uses currently registered (“me-too” registrations) may require only a minimal review for completeness of the application, the adequacy of the labeling, and the satisfaction of data compensation requirements. </w:t>
      </w:r>
    </w:p>
    <w:p w14:paraId="7A9C700B" w14:textId="77777777" w:rsidR="00E475AD" w:rsidRPr="00F204D4" w:rsidRDefault="00E475AD" w:rsidP="00E475AD">
      <w:pPr>
        <w:ind w:firstLine="720"/>
        <w:rPr>
          <w:rFonts w:asciiTheme="majorBidi" w:hAnsiTheme="majorBidi" w:cstheme="majorBidi"/>
        </w:rPr>
      </w:pPr>
    </w:p>
    <w:p w14:paraId="78735B50" w14:textId="48BCD26C" w:rsidR="00791649" w:rsidRPr="00337EAD" w:rsidRDefault="00791649" w:rsidP="00791649">
      <w:pPr>
        <w:rPr>
          <w:rFonts w:asciiTheme="majorBidi" w:hAnsiTheme="majorBidi" w:cstheme="majorBidi"/>
          <w:i/>
          <w:iCs/>
        </w:rPr>
      </w:pPr>
      <w:r w:rsidRPr="00337EAD">
        <w:rPr>
          <w:rFonts w:asciiTheme="majorBidi" w:hAnsiTheme="majorBidi" w:cstheme="majorBidi"/>
          <w:i/>
          <w:iCs/>
        </w:rPr>
        <w:t>New Registrations</w:t>
      </w:r>
    </w:p>
    <w:p w14:paraId="7C8300A6" w14:textId="77777777" w:rsidR="00791649" w:rsidRPr="00F204D4" w:rsidRDefault="00791649" w:rsidP="00E475AD">
      <w:pPr>
        <w:ind w:firstLine="720"/>
        <w:rPr>
          <w:rFonts w:asciiTheme="majorBidi" w:hAnsiTheme="majorBidi" w:cstheme="majorBidi"/>
        </w:rPr>
      </w:pPr>
    </w:p>
    <w:p w14:paraId="5E835A65" w14:textId="330D9E1D" w:rsidR="00E475AD" w:rsidRPr="00F204D4" w:rsidRDefault="00E475AD" w:rsidP="00E475AD">
      <w:pPr>
        <w:ind w:firstLine="720"/>
        <w:rPr>
          <w:rFonts w:asciiTheme="majorBidi" w:hAnsiTheme="majorBidi" w:cstheme="majorBidi"/>
        </w:rPr>
      </w:pPr>
      <w:r w:rsidRPr="00F204D4">
        <w:rPr>
          <w:rFonts w:asciiTheme="majorBidi" w:hAnsiTheme="majorBidi" w:cstheme="majorBidi"/>
        </w:rPr>
        <w:t>A product containing a new active ingredient will require multiple data reviews related to physical chemistry, toxicology, environmental fate, ecological effects, worker exposure, residue chemistry, environmental chemistry, and product performance prior to approval. Therefore many divisions may be actively involved in the data analysis and agency determination of OPP registration actions. For conventional pesticides, the application is reviewed by ITRMD, the Registration Division (RD), the Health Effects Division (HED), and the Environmental Fate and Effects Division (EFED), and Biological and Economic Analysis Division (BEAD).</w:t>
      </w:r>
      <w:r w:rsidR="007841AD" w:rsidRPr="00F204D4">
        <w:rPr>
          <w:rFonts w:asciiTheme="majorBidi" w:hAnsiTheme="majorBidi" w:cstheme="majorBidi"/>
        </w:rPr>
        <w:t xml:space="preserve"> </w:t>
      </w:r>
      <w:r w:rsidRPr="00F204D4">
        <w:rPr>
          <w:rFonts w:asciiTheme="majorBidi" w:hAnsiTheme="majorBidi" w:cstheme="majorBidi"/>
        </w:rPr>
        <w:t>For biological/biopesticide pesticides, the application is reviewed by ITRMD, and the Biopesticides and Pollution Prevention Division (BPPD). Applications for antimicrobial pesticide products are reviewed by ITRMD and the Antimicrobials Division (AD). The Agency notifies an applicant when an application is incomplete or is found to be deficient. The applicant is permitted to correct the deficiencies and submit the corrections.</w:t>
      </w:r>
    </w:p>
    <w:p w14:paraId="702FAD07" w14:textId="77777777" w:rsidR="00E475AD" w:rsidRPr="00F204D4" w:rsidRDefault="00E475AD" w:rsidP="00E475AD">
      <w:pPr>
        <w:ind w:firstLine="720"/>
        <w:rPr>
          <w:rFonts w:asciiTheme="majorBidi" w:hAnsiTheme="majorBidi" w:cstheme="majorBidi"/>
        </w:rPr>
      </w:pPr>
    </w:p>
    <w:p w14:paraId="0EE1454A" w14:textId="274A0DBD" w:rsidR="00791649" w:rsidRPr="00337EAD" w:rsidRDefault="00791649" w:rsidP="00791649">
      <w:pPr>
        <w:rPr>
          <w:rFonts w:asciiTheme="majorBidi" w:hAnsiTheme="majorBidi" w:cstheme="majorBidi"/>
          <w:i/>
          <w:iCs/>
        </w:rPr>
      </w:pPr>
      <w:r w:rsidRPr="00337EAD">
        <w:rPr>
          <w:rFonts w:asciiTheme="majorBidi" w:hAnsiTheme="majorBidi" w:cstheme="majorBidi"/>
          <w:i/>
          <w:iCs/>
        </w:rPr>
        <w:t>Reduced Risk Registrations</w:t>
      </w:r>
    </w:p>
    <w:p w14:paraId="76A4B1E8" w14:textId="77777777" w:rsidR="00791649" w:rsidRPr="00F204D4" w:rsidRDefault="00791649" w:rsidP="00791649">
      <w:pPr>
        <w:rPr>
          <w:rFonts w:asciiTheme="majorBidi" w:hAnsiTheme="majorBidi" w:cstheme="majorBidi"/>
        </w:rPr>
      </w:pPr>
    </w:p>
    <w:p w14:paraId="700DEBA9" w14:textId="77777777" w:rsidR="00E475AD" w:rsidRPr="00F204D4" w:rsidRDefault="00E475AD" w:rsidP="00E475AD">
      <w:pPr>
        <w:ind w:firstLine="720"/>
        <w:rPr>
          <w:rFonts w:asciiTheme="majorBidi" w:hAnsiTheme="majorBidi" w:cstheme="majorBidi"/>
        </w:rPr>
      </w:pPr>
      <w:r w:rsidRPr="00F204D4">
        <w:rPr>
          <w:rFonts w:asciiTheme="majorBidi" w:hAnsiTheme="majorBidi" w:cstheme="majorBidi"/>
        </w:rPr>
        <w:t>Registrants submitting registration applications for new pesticide products that may fall within the scope of the Reduced-Risk Initiative may provide a written rationale with any supporting information on why their pesticide may qualify for special consideration. This rationale with supporting information will be reviewed and evaluated and, if the pesticide demonstrates the opportunity for risk reduction, the EPA uses this finding as a factor in determining a shorter review time. This policy specifies the standard format for registrants to use when providing justification for a reduced-risk pesticide to facilitate efficient processing within OPP.</w:t>
      </w:r>
    </w:p>
    <w:p w14:paraId="6116B7FD" w14:textId="77777777" w:rsidR="00E475AD" w:rsidRPr="00F204D4" w:rsidRDefault="00E475AD" w:rsidP="00E475AD">
      <w:pPr>
        <w:ind w:firstLine="720"/>
        <w:rPr>
          <w:rFonts w:asciiTheme="majorBidi" w:hAnsiTheme="majorBidi" w:cstheme="majorBidi"/>
        </w:rPr>
      </w:pPr>
    </w:p>
    <w:p w14:paraId="5EFDDA42" w14:textId="4637B8AF" w:rsidR="00791649" w:rsidRPr="00337EAD" w:rsidRDefault="00791649" w:rsidP="00791649">
      <w:pPr>
        <w:rPr>
          <w:rFonts w:asciiTheme="majorBidi" w:hAnsiTheme="majorBidi" w:cstheme="majorBidi"/>
          <w:i/>
          <w:iCs/>
        </w:rPr>
      </w:pPr>
      <w:r w:rsidRPr="00337EAD">
        <w:rPr>
          <w:rFonts w:asciiTheme="majorBidi" w:hAnsiTheme="majorBidi" w:cstheme="majorBidi"/>
          <w:i/>
          <w:iCs/>
        </w:rPr>
        <w:t>Amendments</w:t>
      </w:r>
    </w:p>
    <w:p w14:paraId="7ADB32C5" w14:textId="77777777" w:rsidR="00791649" w:rsidRPr="00F204D4" w:rsidRDefault="00791649" w:rsidP="00791649">
      <w:pPr>
        <w:rPr>
          <w:rFonts w:asciiTheme="majorBidi" w:hAnsiTheme="majorBidi" w:cstheme="majorBidi"/>
        </w:rPr>
      </w:pPr>
    </w:p>
    <w:p w14:paraId="3F9D6005" w14:textId="2C779335" w:rsidR="00E475AD" w:rsidRPr="00F204D4" w:rsidRDefault="00E475AD" w:rsidP="00E475AD">
      <w:pPr>
        <w:ind w:firstLine="720"/>
        <w:rPr>
          <w:rFonts w:asciiTheme="majorBidi" w:hAnsiTheme="majorBidi" w:cstheme="majorBidi"/>
        </w:rPr>
      </w:pPr>
      <w:r w:rsidRPr="00F204D4">
        <w:rPr>
          <w:rFonts w:asciiTheme="majorBidi" w:hAnsiTheme="majorBidi" w:cstheme="majorBidi"/>
        </w:rPr>
        <w:t>Once issued, a registration also may be amended in various ways, such as adding or deleting uses, modifying the labeling, or altering the product composition in minor ways. To request these changes, the registrant is required to submit an application for amended registration on EPA Form 8570-1, along with all appropriate additional forms, labeling and supporting data.</w:t>
      </w:r>
      <w:r w:rsidR="007841AD" w:rsidRPr="00F204D4">
        <w:rPr>
          <w:rFonts w:asciiTheme="majorBidi" w:hAnsiTheme="majorBidi" w:cstheme="majorBidi"/>
        </w:rPr>
        <w:t xml:space="preserve"> </w:t>
      </w:r>
    </w:p>
    <w:p w14:paraId="13796401" w14:textId="77777777" w:rsidR="00E475AD" w:rsidRPr="00F204D4" w:rsidRDefault="00E475AD" w:rsidP="00791649">
      <w:pPr>
        <w:rPr>
          <w:rFonts w:asciiTheme="majorBidi" w:hAnsiTheme="majorBidi" w:cstheme="majorBidi"/>
        </w:rPr>
      </w:pPr>
    </w:p>
    <w:p w14:paraId="62B4FAFF" w14:textId="36FAAE5C" w:rsidR="00791649" w:rsidRPr="00337EAD" w:rsidRDefault="00791649" w:rsidP="00791649">
      <w:pPr>
        <w:rPr>
          <w:rFonts w:asciiTheme="majorBidi" w:hAnsiTheme="majorBidi" w:cstheme="majorBidi"/>
          <w:i/>
          <w:iCs/>
        </w:rPr>
      </w:pPr>
      <w:r w:rsidRPr="00337EAD">
        <w:rPr>
          <w:rFonts w:asciiTheme="majorBidi" w:hAnsiTheme="majorBidi" w:cstheme="majorBidi"/>
          <w:i/>
          <w:iCs/>
        </w:rPr>
        <w:t>Notifications</w:t>
      </w:r>
    </w:p>
    <w:p w14:paraId="540DF847" w14:textId="77777777" w:rsidR="00791649" w:rsidRPr="00F204D4" w:rsidRDefault="00791649" w:rsidP="00791649">
      <w:pPr>
        <w:rPr>
          <w:rFonts w:asciiTheme="majorBidi" w:hAnsiTheme="majorBidi" w:cstheme="majorBidi"/>
        </w:rPr>
      </w:pPr>
    </w:p>
    <w:p w14:paraId="32FE3914" w14:textId="02571579" w:rsidR="00E475AD" w:rsidRPr="00F204D4" w:rsidRDefault="00E475AD" w:rsidP="00E475AD">
      <w:pPr>
        <w:ind w:firstLine="720"/>
        <w:rPr>
          <w:rFonts w:asciiTheme="majorBidi" w:hAnsiTheme="majorBidi" w:cstheme="majorBidi"/>
        </w:rPr>
      </w:pPr>
      <w:r w:rsidRPr="00F204D4">
        <w:rPr>
          <w:rFonts w:asciiTheme="majorBidi" w:hAnsiTheme="majorBidi" w:cstheme="majorBidi"/>
        </w:rPr>
        <w:t>Notifications are registration modifications, without need of data review, that require the shortest review and approval or denial time.</w:t>
      </w:r>
      <w:r w:rsidR="007841AD" w:rsidRPr="00F204D4">
        <w:rPr>
          <w:rFonts w:asciiTheme="majorBidi" w:hAnsiTheme="majorBidi" w:cstheme="majorBidi"/>
        </w:rPr>
        <w:t xml:space="preserve"> </w:t>
      </w:r>
      <w:r w:rsidRPr="00F204D4">
        <w:rPr>
          <w:rFonts w:asciiTheme="majorBidi" w:hAnsiTheme="majorBidi" w:cstheme="majorBidi"/>
        </w:rPr>
        <w:t>Unlike a new active ingredient or a new use, Notifications are reviewed only by the division responsible for registering the product.</w:t>
      </w:r>
    </w:p>
    <w:p w14:paraId="5DE08F60" w14:textId="77777777" w:rsidR="00E475AD" w:rsidRPr="00F204D4" w:rsidRDefault="00E475AD" w:rsidP="00791649">
      <w:pPr>
        <w:rPr>
          <w:rFonts w:asciiTheme="majorBidi" w:hAnsiTheme="majorBidi" w:cstheme="majorBidi"/>
        </w:rPr>
      </w:pPr>
    </w:p>
    <w:p w14:paraId="49FFCED8" w14:textId="5ADE1AAD" w:rsidR="00791649" w:rsidRPr="00337EAD" w:rsidRDefault="00791649" w:rsidP="00791649">
      <w:pPr>
        <w:rPr>
          <w:rFonts w:asciiTheme="majorBidi" w:hAnsiTheme="majorBidi" w:cstheme="majorBidi"/>
          <w:i/>
          <w:iCs/>
        </w:rPr>
      </w:pPr>
      <w:r w:rsidRPr="00337EAD">
        <w:rPr>
          <w:rFonts w:asciiTheme="majorBidi" w:hAnsiTheme="majorBidi" w:cstheme="majorBidi"/>
          <w:i/>
          <w:iCs/>
        </w:rPr>
        <w:lastRenderedPageBreak/>
        <w:t>Label Approvals</w:t>
      </w:r>
    </w:p>
    <w:p w14:paraId="75AF22FC" w14:textId="77777777" w:rsidR="00791649" w:rsidRPr="00F204D4" w:rsidRDefault="00791649" w:rsidP="00791649">
      <w:pPr>
        <w:rPr>
          <w:rFonts w:asciiTheme="majorBidi" w:hAnsiTheme="majorBidi" w:cstheme="majorBidi"/>
        </w:rPr>
      </w:pPr>
    </w:p>
    <w:p w14:paraId="0AE95149" w14:textId="61DF85CB" w:rsidR="00E475AD" w:rsidRPr="00F204D4" w:rsidRDefault="00E475AD" w:rsidP="00E475AD">
      <w:pPr>
        <w:ind w:firstLine="720"/>
        <w:rPr>
          <w:rFonts w:asciiTheme="majorBidi" w:hAnsiTheme="majorBidi" w:cstheme="majorBidi"/>
        </w:rPr>
      </w:pPr>
      <w:r w:rsidRPr="00F204D4">
        <w:rPr>
          <w:rFonts w:asciiTheme="majorBidi" w:hAnsiTheme="majorBidi" w:cstheme="majorBidi"/>
        </w:rPr>
        <w:t>Label reviews are most often accomplished by a Product Manager, or Team Leader, in one of the three regulatory divisions within EPA’s Office of Pesticide Programs (OPP) responsible for pesticide registration: the Registration Division, the Antimicrobials Division, and the Biopesticides and Pollution Prevention Division.</w:t>
      </w:r>
      <w:r w:rsidR="007841AD" w:rsidRPr="00F204D4">
        <w:rPr>
          <w:rFonts w:asciiTheme="majorBidi" w:hAnsiTheme="majorBidi" w:cstheme="majorBidi"/>
        </w:rPr>
        <w:t xml:space="preserve"> </w:t>
      </w:r>
      <w:r w:rsidRPr="00F204D4">
        <w:rPr>
          <w:rFonts w:asciiTheme="majorBidi" w:hAnsiTheme="majorBidi" w:cstheme="majorBidi"/>
        </w:rPr>
        <w:t>These divisions ensure that revisions comply with the applicable labeling requirement or guidance.</w:t>
      </w:r>
    </w:p>
    <w:p w14:paraId="33E01737" w14:textId="77777777" w:rsidR="00E475AD" w:rsidRPr="00F204D4" w:rsidRDefault="00E475AD" w:rsidP="00E475AD">
      <w:pPr>
        <w:ind w:firstLine="720"/>
        <w:rPr>
          <w:rFonts w:asciiTheme="majorBidi" w:hAnsiTheme="majorBidi" w:cstheme="majorBidi"/>
        </w:rPr>
      </w:pPr>
    </w:p>
    <w:p w14:paraId="4F4D4F51" w14:textId="1D25FC47" w:rsidR="00C15D86" w:rsidRPr="00F204D4" w:rsidRDefault="00F167B3">
      <w:pPr>
        <w:ind w:firstLine="720"/>
        <w:rPr>
          <w:rFonts w:asciiTheme="majorBidi" w:hAnsiTheme="majorBidi" w:cstheme="majorBidi"/>
        </w:rPr>
      </w:pPr>
      <w:r w:rsidRPr="00F204D4">
        <w:rPr>
          <w:rFonts w:asciiTheme="majorBidi" w:hAnsiTheme="majorBidi" w:cstheme="majorBidi"/>
        </w:rPr>
        <w:t xml:space="preserve">A general category of </w:t>
      </w:r>
      <w:r w:rsidR="00C47DDD" w:rsidRPr="00F204D4">
        <w:rPr>
          <w:rFonts w:asciiTheme="majorBidi" w:hAnsiTheme="majorBidi" w:cstheme="majorBidi"/>
        </w:rPr>
        <w:t>OPP</w:t>
      </w:r>
      <w:r w:rsidR="00E82894" w:rsidRPr="00F204D4">
        <w:rPr>
          <w:rFonts w:asciiTheme="majorBidi" w:hAnsiTheme="majorBidi" w:cstheme="majorBidi"/>
        </w:rPr>
        <w:t>’s</w:t>
      </w:r>
      <w:r w:rsidR="00C47DDD" w:rsidRPr="00F204D4">
        <w:rPr>
          <w:rFonts w:asciiTheme="majorBidi" w:hAnsiTheme="majorBidi" w:cstheme="majorBidi"/>
        </w:rPr>
        <w:t xml:space="preserve"> activities </w:t>
      </w:r>
      <w:r w:rsidRPr="00F204D4">
        <w:rPr>
          <w:rFonts w:asciiTheme="majorBidi" w:hAnsiTheme="majorBidi" w:cstheme="majorBidi"/>
        </w:rPr>
        <w:t xml:space="preserve">related to the </w:t>
      </w:r>
      <w:r w:rsidR="00C47DDD" w:rsidRPr="00F204D4">
        <w:rPr>
          <w:rFonts w:asciiTheme="majorBidi" w:hAnsiTheme="majorBidi" w:cstheme="majorBidi"/>
        </w:rPr>
        <w:t>information</w:t>
      </w:r>
      <w:r w:rsidR="00E82894" w:rsidRPr="00F204D4">
        <w:rPr>
          <w:rFonts w:asciiTheme="majorBidi" w:hAnsiTheme="majorBidi" w:cstheme="majorBidi"/>
        </w:rPr>
        <w:t xml:space="preserve"> collection </w:t>
      </w:r>
      <w:r w:rsidRPr="00F204D4">
        <w:rPr>
          <w:rFonts w:asciiTheme="majorBidi" w:hAnsiTheme="majorBidi" w:cstheme="majorBidi"/>
        </w:rPr>
        <w:t>described</w:t>
      </w:r>
      <w:r w:rsidR="00C47DDD" w:rsidRPr="00F204D4">
        <w:rPr>
          <w:rFonts w:asciiTheme="majorBidi" w:hAnsiTheme="majorBidi" w:cstheme="majorBidi"/>
        </w:rPr>
        <w:t xml:space="preserve"> in this ICR </w:t>
      </w:r>
      <w:r w:rsidRPr="00F204D4">
        <w:rPr>
          <w:rFonts w:asciiTheme="majorBidi" w:hAnsiTheme="majorBidi" w:cstheme="majorBidi"/>
        </w:rPr>
        <w:t xml:space="preserve">is </w:t>
      </w:r>
      <w:r w:rsidR="00C47DDD" w:rsidRPr="00F204D4">
        <w:rPr>
          <w:rFonts w:asciiTheme="majorBidi" w:hAnsiTheme="majorBidi" w:cstheme="majorBidi"/>
        </w:rPr>
        <w:t xml:space="preserve">summarized </w:t>
      </w:r>
      <w:r w:rsidRPr="00F204D4">
        <w:rPr>
          <w:rFonts w:asciiTheme="majorBidi" w:hAnsiTheme="majorBidi" w:cstheme="majorBidi"/>
        </w:rPr>
        <w:t>below</w:t>
      </w:r>
      <w:r w:rsidR="00C47DDD" w:rsidRPr="00F204D4">
        <w:rPr>
          <w:rFonts w:asciiTheme="majorBidi" w:hAnsiTheme="majorBidi" w:cstheme="majorBidi"/>
        </w:rPr>
        <w:t>:</w:t>
      </w:r>
    </w:p>
    <w:p w14:paraId="63E8B1FC" w14:textId="77777777" w:rsidR="00C15D86" w:rsidRPr="00F204D4" w:rsidRDefault="00C15D86">
      <w:pPr>
        <w:rPr>
          <w:rFonts w:asciiTheme="majorBidi" w:hAnsiTheme="majorBidi" w:cstheme="majorBidi"/>
        </w:rPr>
      </w:pPr>
    </w:p>
    <w:p w14:paraId="71010F66" w14:textId="77777777" w:rsidR="00C15D86" w:rsidRPr="00F204D4" w:rsidRDefault="00C47DDD" w:rsidP="009C2537">
      <w:pPr>
        <w:numPr>
          <w:ilvl w:val="0"/>
          <w:numId w:val="8"/>
        </w:numPr>
        <w:ind w:left="360"/>
        <w:rPr>
          <w:rFonts w:asciiTheme="majorBidi" w:hAnsiTheme="majorBidi" w:cstheme="majorBidi"/>
        </w:rPr>
      </w:pPr>
      <w:r w:rsidRPr="00F204D4">
        <w:rPr>
          <w:rFonts w:asciiTheme="majorBidi" w:hAnsiTheme="majorBidi" w:cstheme="majorBidi"/>
        </w:rPr>
        <w:t>Receive Application</w:t>
      </w:r>
    </w:p>
    <w:p w14:paraId="4F7B6607" w14:textId="77777777" w:rsidR="007A6470" w:rsidRPr="00F204D4" w:rsidRDefault="007A6470" w:rsidP="009C2537">
      <w:pPr>
        <w:rPr>
          <w:rFonts w:asciiTheme="majorBidi" w:hAnsiTheme="majorBidi" w:cstheme="majorBidi"/>
        </w:rPr>
      </w:pPr>
    </w:p>
    <w:p w14:paraId="50B8A9C0" w14:textId="571C977C" w:rsidR="00C15D86" w:rsidRPr="00F204D4" w:rsidRDefault="00C47DDD" w:rsidP="009C2537">
      <w:pPr>
        <w:ind w:left="360"/>
        <w:rPr>
          <w:rFonts w:asciiTheme="majorBidi" w:hAnsiTheme="majorBidi" w:cstheme="majorBidi"/>
        </w:rPr>
      </w:pPr>
      <w:r w:rsidRPr="00F204D4">
        <w:rPr>
          <w:rFonts w:asciiTheme="majorBidi" w:hAnsiTheme="majorBidi" w:cstheme="majorBidi"/>
        </w:rPr>
        <w:t>The pesticide registration application package, complete with the required forms, necessary data, and proposed labels, is received by the Front-End Processing Unit in the Information Technology and Resources Management Division (ITRMD).</w:t>
      </w:r>
      <w:r w:rsidR="007841AD" w:rsidRPr="00F204D4">
        <w:rPr>
          <w:rFonts w:asciiTheme="majorBidi" w:hAnsiTheme="majorBidi" w:cstheme="majorBidi"/>
        </w:rPr>
        <w:t xml:space="preserve"> </w:t>
      </w:r>
      <w:r w:rsidRPr="00F204D4">
        <w:rPr>
          <w:rFonts w:asciiTheme="majorBidi" w:hAnsiTheme="majorBidi" w:cstheme="majorBidi"/>
        </w:rPr>
        <w:t xml:space="preserve">After screening the application for administrative completeness, ITRMD refers the complete application and any accompanying data to the appropriate regulatory division. ITRMD is responsible for entering the registration action into </w:t>
      </w:r>
      <w:r w:rsidR="001F216E" w:rsidRPr="00F204D4">
        <w:rPr>
          <w:rFonts w:asciiTheme="majorBidi" w:eastAsiaTheme="minorHAnsi" w:hAnsiTheme="majorBidi" w:cstheme="majorBidi"/>
          <w:color w:val="000000"/>
        </w:rPr>
        <w:t xml:space="preserve">OPP’s </w:t>
      </w:r>
      <w:r w:rsidR="000D678A" w:rsidRPr="00F204D4">
        <w:rPr>
          <w:rFonts w:asciiTheme="majorBidi" w:eastAsiaTheme="minorHAnsi" w:hAnsiTheme="majorBidi" w:cstheme="majorBidi"/>
          <w:color w:val="000000"/>
        </w:rPr>
        <w:t xml:space="preserve">central </w:t>
      </w:r>
      <w:r w:rsidR="000D678A" w:rsidRPr="00F204D4">
        <w:rPr>
          <w:rFonts w:asciiTheme="majorBidi" w:hAnsiTheme="majorBidi" w:cstheme="majorBidi"/>
        </w:rPr>
        <w:t>tracking</w:t>
      </w:r>
      <w:r w:rsidRPr="00F204D4">
        <w:rPr>
          <w:rFonts w:asciiTheme="majorBidi" w:hAnsiTheme="majorBidi" w:cstheme="majorBidi"/>
        </w:rPr>
        <w:t xml:space="preserve"> </w:t>
      </w:r>
      <w:r w:rsidR="001F216E" w:rsidRPr="00F204D4">
        <w:rPr>
          <w:rFonts w:asciiTheme="majorBidi" w:hAnsiTheme="majorBidi" w:cstheme="majorBidi"/>
        </w:rPr>
        <w:t xml:space="preserve">database </w:t>
      </w:r>
      <w:r w:rsidR="001F216E" w:rsidRPr="00F204D4">
        <w:rPr>
          <w:rFonts w:asciiTheme="majorBidi" w:eastAsiaTheme="minorHAnsi" w:hAnsiTheme="majorBidi" w:cstheme="majorBidi"/>
          <w:color w:val="000000"/>
        </w:rPr>
        <w:t>system, called OPPIN</w:t>
      </w:r>
      <w:r w:rsidRPr="00F204D4">
        <w:rPr>
          <w:rFonts w:asciiTheme="majorBidi" w:hAnsiTheme="majorBidi" w:cstheme="majorBidi"/>
        </w:rPr>
        <w:t>. If the application form is accompanied by data to support the registration application (e.g., new active ingredients and new uses), ITRMD will forward the registration data package to a contractor for inputting into the tracking database. After this is completed, the data package is routed to the appropriate regulatory division for processing.</w:t>
      </w:r>
    </w:p>
    <w:p w14:paraId="57550197" w14:textId="77777777" w:rsidR="00C15D86" w:rsidRPr="00F204D4" w:rsidRDefault="00C15D86" w:rsidP="009C2537">
      <w:pPr>
        <w:rPr>
          <w:rFonts w:asciiTheme="majorBidi" w:hAnsiTheme="majorBidi" w:cstheme="majorBidi"/>
        </w:rPr>
      </w:pPr>
    </w:p>
    <w:p w14:paraId="732AEBB3" w14:textId="77777777" w:rsidR="00C15D86" w:rsidRPr="00F204D4" w:rsidRDefault="00C47DDD" w:rsidP="009C2537">
      <w:pPr>
        <w:numPr>
          <w:ilvl w:val="0"/>
          <w:numId w:val="8"/>
        </w:numPr>
        <w:ind w:left="360"/>
        <w:rPr>
          <w:rFonts w:asciiTheme="majorBidi" w:hAnsiTheme="majorBidi" w:cstheme="majorBidi"/>
        </w:rPr>
      </w:pPr>
      <w:r w:rsidRPr="00F204D4">
        <w:rPr>
          <w:rFonts w:asciiTheme="majorBidi" w:hAnsiTheme="majorBidi" w:cstheme="majorBidi"/>
        </w:rPr>
        <w:t>Review Application</w:t>
      </w:r>
    </w:p>
    <w:p w14:paraId="28801178" w14:textId="77777777" w:rsidR="00F167B3" w:rsidRPr="00F204D4" w:rsidRDefault="00F167B3" w:rsidP="009C2537">
      <w:pPr>
        <w:ind w:left="360"/>
        <w:rPr>
          <w:rFonts w:asciiTheme="majorBidi" w:hAnsiTheme="majorBidi" w:cstheme="majorBidi"/>
        </w:rPr>
      </w:pPr>
    </w:p>
    <w:p w14:paraId="03AC9562" w14:textId="77777777" w:rsidR="00E475AD" w:rsidRPr="00F204D4" w:rsidRDefault="00F167B3" w:rsidP="009C2537">
      <w:pPr>
        <w:ind w:left="360"/>
        <w:rPr>
          <w:rFonts w:asciiTheme="majorBidi" w:hAnsiTheme="majorBidi" w:cstheme="majorBidi"/>
        </w:rPr>
      </w:pPr>
      <w:r w:rsidRPr="00F204D4">
        <w:rPr>
          <w:rFonts w:asciiTheme="majorBidi" w:hAnsiTheme="majorBidi" w:cstheme="majorBidi"/>
        </w:rPr>
        <w:t>The regulatory division</w:t>
      </w:r>
      <w:r w:rsidR="00E475AD" w:rsidRPr="00F204D4">
        <w:rPr>
          <w:rFonts w:asciiTheme="majorBidi" w:hAnsiTheme="majorBidi" w:cstheme="majorBidi"/>
        </w:rPr>
        <w:t xml:space="preserve">s, based on the registration action, assign the packages for appropriate evaluation. Each scientific discipline reviews the data and may develop a Data Evaluation Report (DER) and appropriate risk assessments that summarize the data review. </w:t>
      </w:r>
    </w:p>
    <w:p w14:paraId="60FB83D0" w14:textId="77777777" w:rsidR="00E475AD" w:rsidRPr="00F204D4" w:rsidRDefault="00E475AD" w:rsidP="009C2537">
      <w:pPr>
        <w:ind w:left="360"/>
        <w:rPr>
          <w:rFonts w:asciiTheme="majorBidi" w:hAnsiTheme="majorBidi" w:cstheme="majorBidi"/>
        </w:rPr>
      </w:pPr>
    </w:p>
    <w:p w14:paraId="1ED70817" w14:textId="5914D55E" w:rsidR="00C15D86" w:rsidRPr="00F204D4" w:rsidRDefault="00C47DDD" w:rsidP="009C2537">
      <w:pPr>
        <w:ind w:left="360"/>
        <w:rPr>
          <w:rFonts w:asciiTheme="majorBidi" w:hAnsiTheme="majorBidi" w:cstheme="majorBidi"/>
        </w:rPr>
      </w:pPr>
      <w:r w:rsidRPr="00F204D4">
        <w:rPr>
          <w:rFonts w:asciiTheme="majorBidi" w:hAnsiTheme="majorBidi" w:cstheme="majorBidi"/>
        </w:rPr>
        <w:t>If the registration application is clearly for a “me-too” pesticide product or use, then the product may be registered on an expedited basis by the reviewer. If its similarity to a pesticide currently registered by the EPA is questionable, it may be sent for a short interdisciplinary review. The Program Manager or Team Leader ensures that the database is updated by identifying where it is sent for review.</w:t>
      </w:r>
      <w:r w:rsidR="00F167B3" w:rsidRPr="00F204D4">
        <w:rPr>
          <w:rFonts w:asciiTheme="majorBidi" w:hAnsiTheme="majorBidi" w:cstheme="majorBidi"/>
        </w:rPr>
        <w:t xml:space="preserve"> </w:t>
      </w:r>
      <w:r w:rsidRPr="00F204D4">
        <w:rPr>
          <w:rFonts w:asciiTheme="majorBidi" w:hAnsiTheme="majorBidi" w:cstheme="majorBidi"/>
        </w:rPr>
        <w:t xml:space="preserve">If the registration action is clearly not for a “me-too” pesticide product or use, then </w:t>
      </w:r>
      <w:r w:rsidR="00E92832" w:rsidRPr="00F204D4">
        <w:rPr>
          <w:rFonts w:asciiTheme="majorBidi" w:hAnsiTheme="majorBidi" w:cstheme="majorBidi"/>
        </w:rPr>
        <w:t>action is taken to correct the assignment of the registration action and to route</w:t>
      </w:r>
      <w:r w:rsidRPr="00F204D4">
        <w:rPr>
          <w:rFonts w:asciiTheme="majorBidi" w:hAnsiTheme="majorBidi" w:cstheme="majorBidi"/>
        </w:rPr>
        <w:t xml:space="preserve"> the data to the appropriate scientific evaluation group for full data reviews. </w:t>
      </w:r>
    </w:p>
    <w:p w14:paraId="3A5E0E6E" w14:textId="77777777" w:rsidR="00C15D86" w:rsidRPr="00F204D4" w:rsidRDefault="00C15D86" w:rsidP="009C2537">
      <w:pPr>
        <w:pStyle w:val="ListParagraph"/>
        <w:ind w:left="360"/>
        <w:rPr>
          <w:rFonts w:asciiTheme="majorBidi" w:hAnsiTheme="majorBidi" w:cstheme="majorBidi"/>
        </w:rPr>
      </w:pPr>
    </w:p>
    <w:p w14:paraId="455C7504" w14:textId="77777777" w:rsidR="00C15D86" w:rsidRPr="00F204D4" w:rsidRDefault="00C47DDD" w:rsidP="009C2537">
      <w:pPr>
        <w:numPr>
          <w:ilvl w:val="0"/>
          <w:numId w:val="8"/>
        </w:numPr>
        <w:ind w:left="360"/>
        <w:rPr>
          <w:rFonts w:asciiTheme="majorBidi" w:hAnsiTheme="majorBidi" w:cstheme="majorBidi"/>
        </w:rPr>
      </w:pPr>
      <w:r w:rsidRPr="00F204D4">
        <w:rPr>
          <w:rFonts w:asciiTheme="majorBidi" w:hAnsiTheme="majorBidi" w:cstheme="majorBidi"/>
        </w:rPr>
        <w:t>Make Registration Decision</w:t>
      </w:r>
    </w:p>
    <w:p w14:paraId="542AF34C" w14:textId="77777777" w:rsidR="00F167B3" w:rsidRPr="00F204D4" w:rsidRDefault="00F167B3" w:rsidP="009C2537">
      <w:pPr>
        <w:ind w:left="1080"/>
        <w:rPr>
          <w:rFonts w:asciiTheme="majorBidi" w:hAnsiTheme="majorBidi" w:cstheme="majorBidi"/>
        </w:rPr>
      </w:pPr>
    </w:p>
    <w:p w14:paraId="0701F93E" w14:textId="7EEC5F9D" w:rsidR="00C15D86" w:rsidRPr="00F204D4" w:rsidRDefault="00C47DDD" w:rsidP="009C2537">
      <w:pPr>
        <w:ind w:left="360"/>
        <w:rPr>
          <w:rFonts w:asciiTheme="majorBidi" w:hAnsiTheme="majorBidi" w:cstheme="majorBidi"/>
        </w:rPr>
      </w:pPr>
      <w:r w:rsidRPr="00F204D4">
        <w:rPr>
          <w:rFonts w:asciiTheme="majorBidi" w:hAnsiTheme="majorBidi" w:cstheme="majorBidi"/>
        </w:rPr>
        <w:t>The Program Manager or Team Leader examines all of the scientific reviews and proposed labeling and determines whether the product may be registered. If the product contains an active ingredient not currently registered by EPA, the review summary is included as part of a decision package and referred to the Director of OPP for a final decision on whether or not to register a pesticide.</w:t>
      </w:r>
      <w:r w:rsidR="007841AD" w:rsidRPr="00F204D4">
        <w:rPr>
          <w:rFonts w:asciiTheme="majorBidi" w:hAnsiTheme="majorBidi" w:cstheme="majorBidi"/>
        </w:rPr>
        <w:t xml:space="preserve"> </w:t>
      </w:r>
      <w:r w:rsidR="00BF5DC2" w:rsidRPr="00F204D4">
        <w:rPr>
          <w:rFonts w:asciiTheme="majorBidi" w:hAnsiTheme="majorBidi" w:cstheme="majorBidi"/>
        </w:rPr>
        <w:t xml:space="preserve">When a new </w:t>
      </w:r>
      <w:r w:rsidR="72F83891" w:rsidRPr="00F204D4">
        <w:rPr>
          <w:rFonts w:asciiTheme="majorBidi" w:hAnsiTheme="majorBidi" w:cstheme="majorBidi"/>
        </w:rPr>
        <w:t xml:space="preserve">food use is sought, a </w:t>
      </w:r>
      <w:r w:rsidR="00BF5DC2" w:rsidRPr="00F204D4">
        <w:rPr>
          <w:rFonts w:asciiTheme="majorBidi" w:hAnsiTheme="majorBidi" w:cstheme="majorBidi"/>
        </w:rPr>
        <w:t xml:space="preserve">tolerance </w:t>
      </w:r>
      <w:r w:rsidR="72F83891" w:rsidRPr="00F204D4">
        <w:rPr>
          <w:rFonts w:asciiTheme="majorBidi" w:hAnsiTheme="majorBidi" w:cstheme="majorBidi"/>
        </w:rPr>
        <w:t>or exempt</w:t>
      </w:r>
      <w:r w:rsidR="00BF5DC2" w:rsidRPr="00F204D4">
        <w:rPr>
          <w:rFonts w:asciiTheme="majorBidi" w:hAnsiTheme="majorBidi" w:cstheme="majorBidi"/>
        </w:rPr>
        <w:t>i</w:t>
      </w:r>
      <w:r w:rsidR="72F83891" w:rsidRPr="00F204D4">
        <w:rPr>
          <w:rFonts w:asciiTheme="majorBidi" w:hAnsiTheme="majorBidi" w:cstheme="majorBidi"/>
        </w:rPr>
        <w:t>on</w:t>
      </w:r>
      <w:r w:rsidR="00BF5DC2" w:rsidRPr="00F204D4">
        <w:rPr>
          <w:rFonts w:asciiTheme="majorBidi" w:hAnsiTheme="majorBidi" w:cstheme="majorBidi"/>
        </w:rPr>
        <w:t xml:space="preserve"> is </w:t>
      </w:r>
      <w:r w:rsidR="00BF5DC2" w:rsidRPr="00F204D4">
        <w:rPr>
          <w:rFonts w:asciiTheme="majorBidi" w:hAnsiTheme="majorBidi" w:cstheme="majorBidi"/>
        </w:rPr>
        <w:lastRenderedPageBreak/>
        <w:t>established for an already registered active ingred</w:t>
      </w:r>
      <w:r w:rsidR="0023430D" w:rsidRPr="00F204D4">
        <w:rPr>
          <w:rFonts w:asciiTheme="majorBidi" w:hAnsiTheme="majorBidi" w:cstheme="majorBidi"/>
        </w:rPr>
        <w:t>ient</w:t>
      </w:r>
      <w:r w:rsidR="00BF5DC2" w:rsidRPr="00F204D4">
        <w:rPr>
          <w:rFonts w:asciiTheme="majorBidi" w:hAnsiTheme="majorBidi" w:cstheme="majorBidi"/>
        </w:rPr>
        <w:t xml:space="preserve"> (e.g., new use), the </w:t>
      </w:r>
      <w:r w:rsidR="0023430D" w:rsidRPr="00F204D4">
        <w:rPr>
          <w:rFonts w:asciiTheme="majorBidi" w:hAnsiTheme="majorBidi" w:cstheme="majorBidi"/>
        </w:rPr>
        <w:t>final decision is made b</w:t>
      </w:r>
      <w:r w:rsidR="00FB0A6E" w:rsidRPr="00F204D4">
        <w:rPr>
          <w:rFonts w:asciiTheme="majorBidi" w:hAnsiTheme="majorBidi" w:cstheme="majorBidi"/>
        </w:rPr>
        <w:t>y the Division Director of the r</w:t>
      </w:r>
      <w:r w:rsidR="0023430D" w:rsidRPr="00F204D4">
        <w:rPr>
          <w:rFonts w:asciiTheme="majorBidi" w:hAnsiTheme="majorBidi" w:cstheme="majorBidi"/>
        </w:rPr>
        <w:t>egist</w:t>
      </w:r>
      <w:r w:rsidR="00FB0A6E" w:rsidRPr="00F204D4">
        <w:rPr>
          <w:rFonts w:asciiTheme="majorBidi" w:hAnsiTheme="majorBidi" w:cstheme="majorBidi"/>
        </w:rPr>
        <w:t>ering d</w:t>
      </w:r>
      <w:r w:rsidR="0023430D" w:rsidRPr="00F204D4">
        <w:rPr>
          <w:rFonts w:asciiTheme="majorBidi" w:hAnsiTheme="majorBidi" w:cstheme="majorBidi"/>
        </w:rPr>
        <w:t>ivision.</w:t>
      </w:r>
    </w:p>
    <w:p w14:paraId="71C36A61" w14:textId="77777777" w:rsidR="00C15D86" w:rsidRPr="00F204D4" w:rsidRDefault="00C15D86" w:rsidP="009C2537">
      <w:pPr>
        <w:ind w:left="720"/>
        <w:rPr>
          <w:rFonts w:asciiTheme="majorBidi" w:hAnsiTheme="majorBidi" w:cstheme="majorBidi"/>
        </w:rPr>
      </w:pPr>
    </w:p>
    <w:p w14:paraId="70D5078B" w14:textId="77777777" w:rsidR="00C15D86" w:rsidRPr="00F204D4" w:rsidRDefault="00C47DDD" w:rsidP="009C2537">
      <w:pPr>
        <w:ind w:left="360"/>
        <w:rPr>
          <w:rFonts w:asciiTheme="majorBidi" w:hAnsiTheme="majorBidi" w:cstheme="majorBidi"/>
        </w:rPr>
      </w:pPr>
      <w:r w:rsidRPr="00F204D4">
        <w:rPr>
          <w:rFonts w:asciiTheme="majorBidi" w:hAnsiTheme="majorBidi" w:cstheme="majorBidi"/>
        </w:rPr>
        <w:t>If the registration action is for revised labeling in response to a Pesticide Registration Notice, the revised labeling submitted along with appropriate EPA forms will be reviewed by a Program Manager or Team Leader for compliance with the applicable Pesticide Registration Notice and, following the registration decision, entered into the tracking database.</w:t>
      </w:r>
    </w:p>
    <w:p w14:paraId="378F4686" w14:textId="77777777" w:rsidR="00C15D86" w:rsidRPr="00F204D4" w:rsidRDefault="00C15D86" w:rsidP="009C2537">
      <w:pPr>
        <w:pStyle w:val="ListParagraph"/>
        <w:ind w:left="360"/>
        <w:rPr>
          <w:rFonts w:asciiTheme="majorBidi" w:hAnsiTheme="majorBidi" w:cstheme="majorBidi"/>
        </w:rPr>
      </w:pPr>
    </w:p>
    <w:p w14:paraId="0E91533B" w14:textId="77777777" w:rsidR="00C15D86" w:rsidRPr="00F204D4" w:rsidRDefault="00C47DDD" w:rsidP="009C2537">
      <w:pPr>
        <w:numPr>
          <w:ilvl w:val="0"/>
          <w:numId w:val="8"/>
        </w:numPr>
        <w:ind w:left="360"/>
        <w:rPr>
          <w:rFonts w:asciiTheme="majorBidi" w:hAnsiTheme="majorBidi" w:cstheme="majorBidi"/>
        </w:rPr>
      </w:pPr>
      <w:r w:rsidRPr="00F204D4">
        <w:rPr>
          <w:rFonts w:asciiTheme="majorBidi" w:hAnsiTheme="majorBidi" w:cstheme="majorBidi"/>
        </w:rPr>
        <w:t>Notify Applicant</w:t>
      </w:r>
    </w:p>
    <w:p w14:paraId="0EC48820" w14:textId="77777777" w:rsidR="00F167B3" w:rsidRPr="00F204D4" w:rsidRDefault="00F167B3" w:rsidP="009C2537">
      <w:pPr>
        <w:ind w:left="360"/>
        <w:rPr>
          <w:rFonts w:asciiTheme="majorBidi" w:hAnsiTheme="majorBidi" w:cstheme="majorBidi"/>
        </w:rPr>
      </w:pPr>
    </w:p>
    <w:p w14:paraId="7832BC06" w14:textId="3923EB6A" w:rsidR="00C15D86" w:rsidRPr="00F204D4" w:rsidRDefault="00C47DDD" w:rsidP="009C2537">
      <w:pPr>
        <w:ind w:left="360"/>
        <w:rPr>
          <w:rFonts w:asciiTheme="majorBidi" w:hAnsiTheme="majorBidi" w:cstheme="majorBidi"/>
        </w:rPr>
      </w:pPr>
      <w:r w:rsidRPr="00F204D4">
        <w:rPr>
          <w:rFonts w:asciiTheme="majorBidi" w:hAnsiTheme="majorBidi" w:cstheme="majorBidi"/>
        </w:rPr>
        <w:t>OPP sends a Notice of Registration to the applicant informing the applicant that the product has been registered and specifying any conditions of registration. For labeling amendments, a letter is sent to the applicant stating approval/disapproval</w:t>
      </w:r>
      <w:r w:rsidR="00927A09" w:rsidRPr="00F204D4">
        <w:rPr>
          <w:rFonts w:asciiTheme="majorBidi" w:hAnsiTheme="majorBidi" w:cstheme="majorBidi"/>
        </w:rPr>
        <w:t xml:space="preserve">. If the label amendment is approved, a stamped master label is sent to the </w:t>
      </w:r>
      <w:r w:rsidR="00E82894" w:rsidRPr="00F204D4">
        <w:rPr>
          <w:rFonts w:asciiTheme="majorBidi" w:hAnsiTheme="majorBidi" w:cstheme="majorBidi"/>
        </w:rPr>
        <w:t>r</w:t>
      </w:r>
      <w:r w:rsidR="00927A09" w:rsidRPr="00F204D4">
        <w:rPr>
          <w:rFonts w:asciiTheme="majorBidi" w:hAnsiTheme="majorBidi" w:cstheme="majorBidi"/>
        </w:rPr>
        <w:t>egistrant.</w:t>
      </w:r>
      <w:r w:rsidRPr="00F204D4">
        <w:rPr>
          <w:rFonts w:asciiTheme="majorBidi" w:hAnsiTheme="majorBidi" w:cstheme="majorBidi"/>
        </w:rPr>
        <w:t xml:space="preserve"> </w:t>
      </w:r>
    </w:p>
    <w:p w14:paraId="4D6417DB" w14:textId="77777777" w:rsidR="00C15D86" w:rsidRPr="00F204D4" w:rsidRDefault="00C15D86" w:rsidP="009C2537">
      <w:pPr>
        <w:ind w:left="1080"/>
        <w:rPr>
          <w:rFonts w:asciiTheme="majorBidi" w:hAnsiTheme="majorBidi" w:cstheme="majorBidi"/>
        </w:rPr>
      </w:pPr>
    </w:p>
    <w:p w14:paraId="13F41922" w14:textId="77777777" w:rsidR="00C15D86" w:rsidRPr="00F204D4" w:rsidRDefault="00C47DDD" w:rsidP="009C2537">
      <w:pPr>
        <w:numPr>
          <w:ilvl w:val="0"/>
          <w:numId w:val="8"/>
        </w:numPr>
        <w:ind w:left="360"/>
        <w:rPr>
          <w:rFonts w:asciiTheme="majorBidi" w:hAnsiTheme="majorBidi" w:cstheme="majorBidi"/>
        </w:rPr>
      </w:pPr>
      <w:r w:rsidRPr="00F204D4">
        <w:rPr>
          <w:rFonts w:asciiTheme="majorBidi" w:hAnsiTheme="majorBidi" w:cstheme="majorBidi"/>
        </w:rPr>
        <w:t>Store and Maintain Data</w:t>
      </w:r>
    </w:p>
    <w:p w14:paraId="24A6DB1D" w14:textId="77777777" w:rsidR="00F167B3" w:rsidRPr="00F204D4" w:rsidRDefault="00F167B3" w:rsidP="009C2537">
      <w:pPr>
        <w:ind w:left="360"/>
        <w:rPr>
          <w:rFonts w:asciiTheme="majorBidi" w:hAnsiTheme="majorBidi" w:cstheme="majorBidi"/>
        </w:rPr>
      </w:pPr>
    </w:p>
    <w:p w14:paraId="1674E866" w14:textId="77777777" w:rsidR="00C15D86" w:rsidRPr="00F204D4" w:rsidRDefault="00C47DDD" w:rsidP="009C2537">
      <w:pPr>
        <w:ind w:left="360"/>
        <w:rPr>
          <w:rFonts w:asciiTheme="majorBidi" w:hAnsiTheme="majorBidi" w:cstheme="majorBidi"/>
        </w:rPr>
      </w:pPr>
      <w:r w:rsidRPr="00F204D4">
        <w:rPr>
          <w:rFonts w:asciiTheme="majorBidi" w:hAnsiTheme="majorBidi" w:cstheme="majorBidi"/>
        </w:rPr>
        <w:t>OPP stores, files, and maintains copies of any registration notices and labeling information.</w:t>
      </w:r>
    </w:p>
    <w:p w14:paraId="1E0449A1" w14:textId="77777777" w:rsidR="00C15D86" w:rsidRPr="00F204D4" w:rsidRDefault="00C15D86">
      <w:pPr>
        <w:rPr>
          <w:rFonts w:asciiTheme="majorBidi" w:hAnsiTheme="majorBidi" w:cstheme="majorBidi"/>
        </w:rPr>
      </w:pPr>
    </w:p>
    <w:p w14:paraId="5F65ACBC" w14:textId="77777777" w:rsidR="00C15D86" w:rsidRPr="00F204D4" w:rsidRDefault="00C47DDD">
      <w:pPr>
        <w:keepNext/>
        <w:ind w:firstLine="720"/>
        <w:rPr>
          <w:rFonts w:asciiTheme="majorBidi" w:hAnsiTheme="majorBidi" w:cstheme="majorBidi"/>
          <w:b/>
        </w:rPr>
      </w:pPr>
      <w:r w:rsidRPr="00F204D4">
        <w:rPr>
          <w:rFonts w:asciiTheme="majorBidi" w:hAnsiTheme="majorBidi" w:cstheme="majorBidi"/>
          <w:b/>
        </w:rPr>
        <w:t>5(b)</w:t>
      </w:r>
      <w:r w:rsidRPr="00F204D4">
        <w:rPr>
          <w:rFonts w:asciiTheme="majorBidi" w:hAnsiTheme="majorBidi" w:cstheme="majorBidi"/>
          <w:b/>
        </w:rPr>
        <w:tab/>
        <w:t>Collection Methodology and Management</w:t>
      </w:r>
    </w:p>
    <w:p w14:paraId="5AA08E7F" w14:textId="77777777" w:rsidR="00C15D86" w:rsidRPr="00F204D4" w:rsidRDefault="00C15D86">
      <w:pPr>
        <w:keepNext/>
        <w:rPr>
          <w:rFonts w:asciiTheme="majorBidi" w:hAnsiTheme="majorBidi" w:cstheme="majorBidi"/>
        </w:rPr>
      </w:pPr>
    </w:p>
    <w:p w14:paraId="51B5CA85" w14:textId="26EC0B9B" w:rsidR="001F216E" w:rsidRPr="00F204D4" w:rsidRDefault="00C47DDD">
      <w:pPr>
        <w:keepNext/>
        <w:ind w:firstLine="720"/>
        <w:rPr>
          <w:rFonts w:asciiTheme="majorBidi" w:hAnsiTheme="majorBidi" w:cstheme="majorBidi"/>
        </w:rPr>
      </w:pPr>
      <w:r w:rsidRPr="00F204D4">
        <w:rPr>
          <w:rFonts w:asciiTheme="majorBidi" w:hAnsiTheme="majorBidi" w:cstheme="majorBidi"/>
        </w:rPr>
        <w:t>All registration actions are entered into</w:t>
      </w:r>
      <w:r w:rsidR="001F216E" w:rsidRPr="00F204D4">
        <w:rPr>
          <w:rFonts w:asciiTheme="majorBidi" w:hAnsiTheme="majorBidi" w:cstheme="majorBidi"/>
        </w:rPr>
        <w:t xml:space="preserve"> OPP’s central database system, called OPPIN,</w:t>
      </w:r>
      <w:r w:rsidRPr="00F204D4">
        <w:rPr>
          <w:rFonts w:asciiTheme="majorBidi" w:hAnsiTheme="majorBidi" w:cstheme="majorBidi"/>
        </w:rPr>
        <w:t xml:space="preserve"> to track progress toward registration. Registration actions accompanied by data (e.g., products containing new active ingredients or new uses) are also entered into </w:t>
      </w:r>
      <w:r w:rsidR="001F216E" w:rsidRPr="00F204D4">
        <w:rPr>
          <w:rFonts w:asciiTheme="majorBidi" w:hAnsiTheme="majorBidi" w:cstheme="majorBidi"/>
        </w:rPr>
        <w:t xml:space="preserve">the </w:t>
      </w:r>
      <w:r w:rsidRPr="00F204D4">
        <w:rPr>
          <w:rFonts w:asciiTheme="majorBidi" w:hAnsiTheme="majorBidi" w:cstheme="majorBidi"/>
        </w:rPr>
        <w:t xml:space="preserve">database to track progress toward registration. Once a product has been registered, pertinent status information regarding the product is revised in the tracking database. </w:t>
      </w:r>
    </w:p>
    <w:p w14:paraId="68358A71" w14:textId="77777777" w:rsidR="001F216E" w:rsidRPr="00F204D4" w:rsidRDefault="001F216E">
      <w:pPr>
        <w:keepNext/>
        <w:ind w:firstLine="720"/>
        <w:rPr>
          <w:rFonts w:asciiTheme="majorBidi" w:hAnsiTheme="majorBidi" w:cstheme="majorBidi"/>
        </w:rPr>
      </w:pPr>
    </w:p>
    <w:p w14:paraId="5C87950C" w14:textId="46272EA7" w:rsidR="00C15D86" w:rsidRPr="00F204D4" w:rsidRDefault="00C47DDD">
      <w:pPr>
        <w:keepNext/>
        <w:ind w:firstLine="720"/>
        <w:rPr>
          <w:rFonts w:asciiTheme="majorBidi" w:hAnsiTheme="majorBidi" w:cstheme="majorBidi"/>
        </w:rPr>
      </w:pPr>
      <w:r w:rsidRPr="00F204D4">
        <w:rPr>
          <w:rFonts w:asciiTheme="majorBidi" w:hAnsiTheme="majorBidi" w:cstheme="majorBidi"/>
        </w:rPr>
        <w:t xml:space="preserve">The system contains the following types of information: new or amended product registrations, suspensions, cancellations, product active ingredients, product uses, and use deletions. ITRMD maintains official registration file jackets, in which copies of the application, EPA’s reviews, registration approvals, correspondence, </w:t>
      </w:r>
      <w:r w:rsidR="0023430D" w:rsidRPr="00F204D4">
        <w:rPr>
          <w:rFonts w:asciiTheme="majorBidi" w:hAnsiTheme="majorBidi" w:cstheme="majorBidi"/>
        </w:rPr>
        <w:t>label,</w:t>
      </w:r>
      <w:r w:rsidRPr="00F204D4">
        <w:rPr>
          <w:rFonts w:asciiTheme="majorBidi" w:hAnsiTheme="majorBidi" w:cstheme="majorBidi"/>
        </w:rPr>
        <w:t xml:space="preserve"> the CSF and other related information are all retained</w:t>
      </w:r>
      <w:r w:rsidR="00E5662B" w:rsidRPr="00F204D4">
        <w:rPr>
          <w:rFonts w:asciiTheme="majorBidi" w:hAnsiTheme="majorBidi" w:cstheme="majorBidi"/>
        </w:rPr>
        <w:t>.</w:t>
      </w:r>
    </w:p>
    <w:p w14:paraId="586DD150" w14:textId="77777777" w:rsidR="00C47DDD" w:rsidRPr="00F204D4" w:rsidRDefault="00C47DDD" w:rsidP="008B7CCF">
      <w:pPr>
        <w:rPr>
          <w:rFonts w:asciiTheme="majorBidi" w:hAnsiTheme="majorBidi" w:cstheme="majorBidi"/>
        </w:rPr>
      </w:pPr>
    </w:p>
    <w:p w14:paraId="0803CFBE" w14:textId="77777777" w:rsidR="00C15D86" w:rsidRPr="00F204D4" w:rsidRDefault="004150FB">
      <w:pPr>
        <w:ind w:firstLine="720"/>
        <w:rPr>
          <w:rFonts w:asciiTheme="majorBidi" w:hAnsiTheme="majorBidi" w:cstheme="majorBidi"/>
          <w:b/>
        </w:rPr>
      </w:pPr>
      <w:r w:rsidRPr="00F204D4">
        <w:rPr>
          <w:rFonts w:asciiTheme="majorBidi" w:hAnsiTheme="majorBidi" w:cstheme="majorBidi"/>
          <w:b/>
        </w:rPr>
        <w:t>5(c)</w:t>
      </w:r>
      <w:r w:rsidRPr="00F204D4">
        <w:rPr>
          <w:rFonts w:asciiTheme="majorBidi" w:hAnsiTheme="majorBidi" w:cstheme="majorBidi"/>
          <w:b/>
        </w:rPr>
        <w:tab/>
      </w:r>
      <w:r w:rsidR="00C47DDD" w:rsidRPr="00F204D4">
        <w:rPr>
          <w:rFonts w:asciiTheme="majorBidi" w:hAnsiTheme="majorBidi" w:cstheme="majorBidi"/>
          <w:b/>
        </w:rPr>
        <w:t>Small Entity Flexibility</w:t>
      </w:r>
    </w:p>
    <w:p w14:paraId="15457229" w14:textId="77777777" w:rsidR="00C15D86" w:rsidRPr="00F204D4" w:rsidRDefault="00C15D86">
      <w:pPr>
        <w:rPr>
          <w:rFonts w:asciiTheme="majorBidi" w:hAnsiTheme="majorBidi" w:cstheme="majorBidi"/>
        </w:rPr>
      </w:pPr>
    </w:p>
    <w:p w14:paraId="243942F9" w14:textId="77777777" w:rsidR="00C15D86" w:rsidRPr="00F204D4" w:rsidRDefault="00C47DDD">
      <w:pPr>
        <w:ind w:firstLine="720"/>
        <w:rPr>
          <w:rFonts w:asciiTheme="majorBidi" w:hAnsiTheme="majorBidi" w:cstheme="majorBidi"/>
        </w:rPr>
      </w:pPr>
      <w:r w:rsidRPr="00F204D4">
        <w:rPr>
          <w:rFonts w:asciiTheme="majorBidi" w:hAnsiTheme="majorBidi" w:cstheme="majorBidi"/>
        </w:rPr>
        <w:t>EPA Form 8570-27 (“Formulator’s Exemption Statement”) reduces the data submission burden on an applicant for registration of a product that uses an EPA-registered pesticide product as the source of its active ingredient. This form exempts the applicant from furnishing the generic data that already were submitted by the company registering the source product.</w:t>
      </w:r>
    </w:p>
    <w:p w14:paraId="43CB0726" w14:textId="77777777" w:rsidR="00C15D86" w:rsidRPr="00F204D4" w:rsidRDefault="00C15D86">
      <w:pPr>
        <w:rPr>
          <w:rFonts w:asciiTheme="majorBidi" w:hAnsiTheme="majorBidi" w:cstheme="majorBidi"/>
        </w:rPr>
      </w:pPr>
    </w:p>
    <w:p w14:paraId="5EDE1B96" w14:textId="77777777" w:rsidR="00C15D86" w:rsidRPr="00F204D4" w:rsidRDefault="00C47DDD">
      <w:pPr>
        <w:ind w:firstLine="720"/>
        <w:rPr>
          <w:rFonts w:asciiTheme="majorBidi" w:hAnsiTheme="majorBidi" w:cstheme="majorBidi"/>
        </w:rPr>
      </w:pPr>
      <w:r w:rsidRPr="00F204D4">
        <w:rPr>
          <w:rFonts w:asciiTheme="majorBidi" w:hAnsiTheme="majorBidi" w:cstheme="majorBidi"/>
        </w:rPr>
        <w:t>The Agency also has cataloged and computerized its pesticide data base so that one can easily determine whether a particular study has been submitted, and by whom it was submitted. This identifies, by chemical and site(s), each item of data in the EPA files. As a result, applicants encounter little difficulty in identifying available data needed to support an application for registration.</w:t>
      </w:r>
    </w:p>
    <w:p w14:paraId="09D54115" w14:textId="77777777" w:rsidR="00C15D86" w:rsidRPr="00F204D4" w:rsidRDefault="00C15D86">
      <w:pPr>
        <w:rPr>
          <w:rFonts w:asciiTheme="majorBidi" w:hAnsiTheme="majorBidi" w:cstheme="majorBidi"/>
        </w:rPr>
      </w:pPr>
    </w:p>
    <w:p w14:paraId="552E7235" w14:textId="77777777" w:rsidR="00C15D86" w:rsidRPr="00F204D4" w:rsidRDefault="00C47DDD">
      <w:pPr>
        <w:ind w:firstLine="720"/>
        <w:rPr>
          <w:rFonts w:asciiTheme="majorBidi" w:hAnsiTheme="majorBidi" w:cstheme="majorBidi"/>
          <w:b/>
        </w:rPr>
      </w:pPr>
      <w:r w:rsidRPr="00F204D4">
        <w:rPr>
          <w:rFonts w:asciiTheme="majorBidi" w:hAnsiTheme="majorBidi" w:cstheme="majorBidi"/>
          <w:b/>
        </w:rPr>
        <w:lastRenderedPageBreak/>
        <w:t>5(d)</w:t>
      </w:r>
      <w:r w:rsidRPr="00F204D4">
        <w:rPr>
          <w:rFonts w:asciiTheme="majorBidi" w:hAnsiTheme="majorBidi" w:cstheme="majorBidi"/>
          <w:b/>
        </w:rPr>
        <w:tab/>
        <w:t>Collection Schedule</w:t>
      </w:r>
    </w:p>
    <w:p w14:paraId="71E04234" w14:textId="77777777" w:rsidR="00C15D86" w:rsidRPr="00F204D4" w:rsidRDefault="00C15D86">
      <w:pPr>
        <w:rPr>
          <w:rFonts w:asciiTheme="majorBidi" w:hAnsiTheme="majorBidi" w:cstheme="majorBidi"/>
        </w:rPr>
      </w:pPr>
    </w:p>
    <w:p w14:paraId="4358B4C2" w14:textId="4885F3C1" w:rsidR="00C15D86" w:rsidRPr="00F204D4" w:rsidRDefault="00C47DDD">
      <w:pPr>
        <w:ind w:firstLine="720"/>
        <w:rPr>
          <w:rFonts w:asciiTheme="majorBidi" w:hAnsiTheme="majorBidi" w:cstheme="majorBidi"/>
        </w:rPr>
      </w:pPr>
      <w:r w:rsidRPr="00F204D4">
        <w:rPr>
          <w:rFonts w:asciiTheme="majorBidi" w:hAnsiTheme="majorBidi" w:cstheme="majorBidi"/>
        </w:rPr>
        <w:t xml:space="preserve">Not applicable. The activity is conducted only as a registration application is received for consideration. There is no set schedule for the </w:t>
      </w:r>
      <w:r w:rsidR="0A322B60" w:rsidRPr="00F204D4">
        <w:rPr>
          <w:rFonts w:asciiTheme="majorBidi" w:hAnsiTheme="majorBidi" w:cstheme="majorBidi"/>
        </w:rPr>
        <w:t xml:space="preserve">submission </w:t>
      </w:r>
      <w:r w:rsidRPr="00F204D4">
        <w:rPr>
          <w:rFonts w:asciiTheme="majorBidi" w:hAnsiTheme="majorBidi" w:cstheme="majorBidi"/>
        </w:rPr>
        <w:t>of this information</w:t>
      </w:r>
      <w:r w:rsidR="0A322B60" w:rsidRPr="00F204D4">
        <w:rPr>
          <w:rFonts w:asciiTheme="majorBidi" w:hAnsiTheme="majorBidi" w:cstheme="majorBidi"/>
        </w:rPr>
        <w:t xml:space="preserve"> to EPA</w:t>
      </w:r>
      <w:r w:rsidRPr="00F204D4">
        <w:rPr>
          <w:rFonts w:asciiTheme="majorBidi" w:hAnsiTheme="majorBidi" w:cstheme="majorBidi"/>
        </w:rPr>
        <w:t>.</w:t>
      </w:r>
    </w:p>
    <w:p w14:paraId="3D1B57A9" w14:textId="77777777" w:rsidR="00C15D86" w:rsidRPr="00F204D4" w:rsidRDefault="00C15D86">
      <w:pPr>
        <w:rPr>
          <w:rFonts w:asciiTheme="majorBidi" w:hAnsiTheme="majorBidi" w:cstheme="majorBidi"/>
          <w:b/>
        </w:rPr>
      </w:pPr>
    </w:p>
    <w:p w14:paraId="5CFEB86C" w14:textId="77777777" w:rsidR="00C15D86" w:rsidRPr="00F204D4" w:rsidRDefault="00C15D86">
      <w:pPr>
        <w:rPr>
          <w:rFonts w:asciiTheme="majorBidi" w:hAnsiTheme="majorBidi" w:cstheme="majorBidi"/>
          <w:b/>
        </w:rPr>
      </w:pPr>
    </w:p>
    <w:p w14:paraId="32F5F2C2" w14:textId="77777777" w:rsidR="00C15D86" w:rsidRPr="00F204D4" w:rsidRDefault="00C47DDD">
      <w:pPr>
        <w:rPr>
          <w:rFonts w:asciiTheme="majorBidi" w:hAnsiTheme="majorBidi" w:cstheme="majorBidi"/>
          <w:b/>
          <w:u w:val="single"/>
        </w:rPr>
      </w:pPr>
      <w:r w:rsidRPr="00F204D4">
        <w:rPr>
          <w:rFonts w:asciiTheme="majorBidi" w:hAnsiTheme="majorBidi" w:cstheme="majorBidi"/>
          <w:b/>
        </w:rPr>
        <w:t>6.</w:t>
      </w:r>
      <w:r w:rsidRPr="00F204D4">
        <w:rPr>
          <w:rFonts w:asciiTheme="majorBidi" w:hAnsiTheme="majorBidi" w:cstheme="majorBidi"/>
          <w:b/>
        </w:rPr>
        <w:tab/>
      </w:r>
      <w:r w:rsidRPr="00F204D4">
        <w:rPr>
          <w:rFonts w:asciiTheme="majorBidi" w:hAnsiTheme="majorBidi" w:cstheme="majorBidi"/>
          <w:b/>
          <w:u w:val="single"/>
        </w:rPr>
        <w:t>ESTIMATING BURDEN AND COST OF THE COLLECTION</w:t>
      </w:r>
    </w:p>
    <w:p w14:paraId="206EC90E" w14:textId="77777777" w:rsidR="00C15D86" w:rsidRPr="00F204D4" w:rsidRDefault="00C15D86">
      <w:pPr>
        <w:rPr>
          <w:rFonts w:asciiTheme="majorBidi" w:hAnsiTheme="majorBidi" w:cstheme="majorBidi"/>
        </w:rPr>
      </w:pPr>
    </w:p>
    <w:p w14:paraId="526E6019" w14:textId="36D7E737" w:rsidR="00532D61" w:rsidRPr="00F204D4" w:rsidRDefault="00B005C9" w:rsidP="00B005C9">
      <w:pPr>
        <w:keepNext/>
        <w:ind w:firstLine="720"/>
        <w:rPr>
          <w:rFonts w:asciiTheme="majorBidi" w:hAnsiTheme="majorBidi" w:cstheme="majorBidi"/>
        </w:rPr>
      </w:pPr>
      <w:r w:rsidRPr="00F204D4">
        <w:rPr>
          <w:rFonts w:asciiTheme="majorBidi" w:hAnsiTheme="majorBidi" w:cstheme="majorBidi"/>
        </w:rPr>
        <w:t>The p</w:t>
      </w:r>
      <w:r w:rsidR="001D3F10" w:rsidRPr="00F204D4">
        <w:rPr>
          <w:rFonts w:asciiTheme="majorBidi" w:hAnsiTheme="majorBidi" w:cstheme="majorBidi"/>
        </w:rPr>
        <w:t>aperwork burden from pesticide registration come</w:t>
      </w:r>
      <w:r w:rsidR="006A38F5" w:rsidRPr="00F204D4">
        <w:rPr>
          <w:rFonts w:asciiTheme="majorBidi" w:hAnsiTheme="majorBidi" w:cstheme="majorBidi"/>
        </w:rPr>
        <w:t>s</w:t>
      </w:r>
      <w:r w:rsidR="001D3F10" w:rsidRPr="00F204D4">
        <w:rPr>
          <w:rFonts w:asciiTheme="majorBidi" w:hAnsiTheme="majorBidi" w:cstheme="majorBidi"/>
        </w:rPr>
        <w:t xml:space="preserve"> from </w:t>
      </w:r>
      <w:r w:rsidR="001963DA" w:rsidRPr="00F204D4">
        <w:rPr>
          <w:rFonts w:asciiTheme="majorBidi" w:hAnsiTheme="majorBidi" w:cstheme="majorBidi"/>
        </w:rPr>
        <w:t xml:space="preserve">two </w:t>
      </w:r>
      <w:r w:rsidR="001D3F10" w:rsidRPr="00F204D4">
        <w:rPr>
          <w:rFonts w:asciiTheme="majorBidi" w:hAnsiTheme="majorBidi" w:cstheme="majorBidi"/>
        </w:rPr>
        <w:t xml:space="preserve">sources: </w:t>
      </w:r>
      <w:r w:rsidRPr="00F204D4">
        <w:rPr>
          <w:rFonts w:asciiTheme="majorBidi" w:hAnsiTheme="majorBidi" w:cstheme="majorBidi"/>
        </w:rPr>
        <w:t>the</w:t>
      </w:r>
      <w:r w:rsidR="007C6BD9" w:rsidRPr="00F204D4">
        <w:rPr>
          <w:rFonts w:asciiTheme="majorBidi" w:hAnsiTheme="majorBidi" w:cstheme="majorBidi"/>
        </w:rPr>
        <w:t xml:space="preserve"> </w:t>
      </w:r>
      <w:r w:rsidR="001D3F10" w:rsidRPr="00F204D4">
        <w:rPr>
          <w:rFonts w:asciiTheme="majorBidi" w:hAnsiTheme="majorBidi" w:cstheme="majorBidi"/>
        </w:rPr>
        <w:t xml:space="preserve">burden </w:t>
      </w:r>
      <w:r w:rsidRPr="00F204D4">
        <w:rPr>
          <w:rFonts w:asciiTheme="majorBidi" w:hAnsiTheme="majorBidi" w:cstheme="majorBidi"/>
        </w:rPr>
        <w:t xml:space="preserve">that results </w:t>
      </w:r>
      <w:r w:rsidR="001D3F10" w:rsidRPr="00F204D4">
        <w:rPr>
          <w:rFonts w:asciiTheme="majorBidi" w:hAnsiTheme="majorBidi" w:cstheme="majorBidi"/>
        </w:rPr>
        <w:t xml:space="preserve">from preparing and filing the registration </w:t>
      </w:r>
      <w:r w:rsidR="007C6BD9" w:rsidRPr="00F204D4">
        <w:rPr>
          <w:rFonts w:asciiTheme="majorBidi" w:hAnsiTheme="majorBidi" w:cstheme="majorBidi"/>
        </w:rPr>
        <w:t xml:space="preserve">application </w:t>
      </w:r>
      <w:r w:rsidR="001963DA" w:rsidRPr="00F204D4">
        <w:rPr>
          <w:rFonts w:asciiTheme="majorBidi" w:hAnsiTheme="majorBidi" w:cstheme="majorBidi"/>
        </w:rPr>
        <w:t xml:space="preserve">and </w:t>
      </w:r>
      <w:r w:rsidRPr="00F204D4">
        <w:rPr>
          <w:rFonts w:asciiTheme="majorBidi" w:hAnsiTheme="majorBidi" w:cstheme="majorBidi"/>
        </w:rPr>
        <w:t xml:space="preserve">the </w:t>
      </w:r>
      <w:r w:rsidR="001963DA" w:rsidRPr="00F204D4">
        <w:rPr>
          <w:rFonts w:asciiTheme="majorBidi" w:hAnsiTheme="majorBidi" w:cstheme="majorBidi"/>
        </w:rPr>
        <w:t xml:space="preserve">PRA </w:t>
      </w:r>
      <w:r w:rsidR="001D3F10" w:rsidRPr="00F204D4">
        <w:rPr>
          <w:rFonts w:asciiTheme="majorBidi" w:hAnsiTheme="majorBidi" w:cstheme="majorBidi"/>
        </w:rPr>
        <w:t>burden associated with</w:t>
      </w:r>
      <w:r w:rsidRPr="00F204D4">
        <w:rPr>
          <w:rFonts w:asciiTheme="majorBidi" w:hAnsiTheme="majorBidi" w:cstheme="majorBidi"/>
        </w:rPr>
        <w:t xml:space="preserve"> scientific study</w:t>
      </w:r>
      <w:r w:rsidR="001D3F10" w:rsidRPr="00F204D4">
        <w:rPr>
          <w:rFonts w:asciiTheme="majorBidi" w:hAnsiTheme="majorBidi" w:cstheme="majorBidi"/>
        </w:rPr>
        <w:t xml:space="preserve"> data generation.</w:t>
      </w:r>
      <w:r w:rsidR="007841AD" w:rsidRPr="00F204D4">
        <w:rPr>
          <w:rFonts w:asciiTheme="majorBidi" w:hAnsiTheme="majorBidi" w:cstheme="majorBidi"/>
        </w:rPr>
        <w:t xml:space="preserve"> </w:t>
      </w:r>
      <w:r w:rsidR="00532D61" w:rsidRPr="00F204D4">
        <w:rPr>
          <w:rFonts w:asciiTheme="majorBidi" w:hAnsiTheme="majorBidi" w:cstheme="majorBidi"/>
        </w:rPr>
        <w:t xml:space="preserve">Previous versions of this ICR did not </w:t>
      </w:r>
      <w:r w:rsidR="00443F8D" w:rsidRPr="00F204D4">
        <w:rPr>
          <w:rFonts w:asciiTheme="majorBidi" w:hAnsiTheme="majorBidi" w:cstheme="majorBidi"/>
        </w:rPr>
        <w:t>contain estimates of burden associated with data generation.</w:t>
      </w:r>
      <w:r w:rsidR="007841AD" w:rsidRPr="00F204D4">
        <w:rPr>
          <w:rFonts w:asciiTheme="majorBidi" w:hAnsiTheme="majorBidi" w:cstheme="majorBidi"/>
        </w:rPr>
        <w:t xml:space="preserve"> </w:t>
      </w:r>
      <w:r w:rsidR="001D3F10" w:rsidRPr="00F204D4">
        <w:rPr>
          <w:rFonts w:asciiTheme="majorBidi" w:hAnsiTheme="majorBidi" w:cstheme="majorBidi"/>
        </w:rPr>
        <w:t xml:space="preserve">Estimates of </w:t>
      </w:r>
      <w:r w:rsidRPr="00F204D4">
        <w:rPr>
          <w:rFonts w:asciiTheme="majorBidi" w:hAnsiTheme="majorBidi" w:cstheme="majorBidi"/>
        </w:rPr>
        <w:t xml:space="preserve">the </w:t>
      </w:r>
      <w:r w:rsidR="001D3F10" w:rsidRPr="00F204D4">
        <w:rPr>
          <w:rFonts w:asciiTheme="majorBidi" w:hAnsiTheme="majorBidi" w:cstheme="majorBidi"/>
        </w:rPr>
        <w:t xml:space="preserve">paperwork burden hours and costs from </w:t>
      </w:r>
      <w:r w:rsidR="001963DA" w:rsidRPr="00F204D4">
        <w:rPr>
          <w:rFonts w:asciiTheme="majorBidi" w:hAnsiTheme="majorBidi" w:cstheme="majorBidi"/>
        </w:rPr>
        <w:t xml:space="preserve">both </w:t>
      </w:r>
      <w:r w:rsidR="001D3F10" w:rsidRPr="00F204D4">
        <w:rPr>
          <w:rFonts w:asciiTheme="majorBidi" w:hAnsiTheme="majorBidi" w:cstheme="majorBidi"/>
        </w:rPr>
        <w:t xml:space="preserve">sources are </w:t>
      </w:r>
      <w:r w:rsidR="006A38F5" w:rsidRPr="00F204D4">
        <w:rPr>
          <w:rFonts w:asciiTheme="majorBidi" w:hAnsiTheme="majorBidi" w:cstheme="majorBidi"/>
        </w:rPr>
        <w:t xml:space="preserve">provided </w:t>
      </w:r>
      <w:r w:rsidR="001D3F10" w:rsidRPr="00F204D4">
        <w:rPr>
          <w:rFonts w:asciiTheme="majorBidi" w:hAnsiTheme="majorBidi" w:cstheme="majorBidi"/>
        </w:rPr>
        <w:t>in this section.</w:t>
      </w:r>
      <w:r w:rsidR="00280076" w:rsidRPr="00F204D4">
        <w:rPr>
          <w:rFonts w:asciiTheme="majorBidi" w:hAnsiTheme="majorBidi" w:cstheme="majorBidi"/>
        </w:rPr>
        <w:t xml:space="preserve"> Tables 1-A</w:t>
      </w:r>
      <w:r w:rsidR="001963DA" w:rsidRPr="00F204D4">
        <w:rPr>
          <w:rFonts w:asciiTheme="majorBidi" w:hAnsiTheme="majorBidi" w:cstheme="majorBidi"/>
        </w:rPr>
        <w:t xml:space="preserve"> and</w:t>
      </w:r>
      <w:r w:rsidR="00280076" w:rsidRPr="00F204D4">
        <w:rPr>
          <w:rFonts w:asciiTheme="majorBidi" w:hAnsiTheme="majorBidi" w:cstheme="majorBidi"/>
        </w:rPr>
        <w:t xml:space="preserve"> 1-B</w:t>
      </w:r>
      <w:r w:rsidR="001963DA" w:rsidRPr="00F204D4">
        <w:rPr>
          <w:rFonts w:asciiTheme="majorBidi" w:hAnsiTheme="majorBidi" w:cstheme="majorBidi"/>
        </w:rPr>
        <w:t xml:space="preserve"> </w:t>
      </w:r>
      <w:r w:rsidR="00280076" w:rsidRPr="00F204D4">
        <w:rPr>
          <w:rFonts w:asciiTheme="majorBidi" w:hAnsiTheme="majorBidi" w:cstheme="majorBidi"/>
        </w:rPr>
        <w:t>show the total annual paperwork burden estimates (hours) for this information collection. It should be noted that the number of responses for the application process paperwork burden do not directly correlate with the number of responses for the data generation burden.</w:t>
      </w:r>
    </w:p>
    <w:p w14:paraId="3B035669" w14:textId="77777777" w:rsidR="00532D61" w:rsidRPr="00F204D4" w:rsidRDefault="00532D61" w:rsidP="001D3F10">
      <w:pPr>
        <w:keepNext/>
        <w:ind w:firstLine="720"/>
        <w:rPr>
          <w:rFonts w:asciiTheme="majorBidi" w:hAnsiTheme="majorBidi" w:cstheme="majorBidi"/>
        </w:rPr>
      </w:pPr>
    </w:p>
    <w:p w14:paraId="12F810CF" w14:textId="5F12FDB2" w:rsidR="00472724" w:rsidRPr="00F204D4" w:rsidRDefault="00B005C9" w:rsidP="00B005C9">
      <w:pPr>
        <w:keepNext/>
        <w:ind w:firstLine="720"/>
        <w:rPr>
          <w:rFonts w:asciiTheme="majorBidi" w:hAnsiTheme="majorBidi" w:cstheme="majorBidi"/>
        </w:rPr>
      </w:pPr>
      <w:r w:rsidRPr="00F204D4">
        <w:rPr>
          <w:rFonts w:asciiTheme="majorBidi" w:hAnsiTheme="majorBidi" w:cstheme="majorBidi"/>
        </w:rPr>
        <w:t>The p</w:t>
      </w:r>
      <w:r w:rsidR="001D3F10" w:rsidRPr="00F204D4">
        <w:rPr>
          <w:rFonts w:asciiTheme="majorBidi" w:hAnsiTheme="majorBidi" w:cstheme="majorBidi"/>
        </w:rPr>
        <w:t>aperwork burden from the application process and from data generation varies by the type of application.</w:t>
      </w:r>
      <w:r w:rsidR="007841AD" w:rsidRPr="00F204D4">
        <w:rPr>
          <w:rFonts w:asciiTheme="majorBidi" w:hAnsiTheme="majorBidi" w:cstheme="majorBidi"/>
        </w:rPr>
        <w:t xml:space="preserve"> </w:t>
      </w:r>
      <w:r w:rsidR="001D3F10" w:rsidRPr="00F204D4">
        <w:rPr>
          <w:rFonts w:asciiTheme="majorBidi" w:hAnsiTheme="majorBidi" w:cstheme="majorBidi"/>
        </w:rPr>
        <w:t xml:space="preserve">For </w:t>
      </w:r>
      <w:r w:rsidRPr="00F204D4">
        <w:rPr>
          <w:rFonts w:asciiTheme="majorBidi" w:hAnsiTheme="majorBidi" w:cstheme="majorBidi"/>
        </w:rPr>
        <w:t xml:space="preserve">the </w:t>
      </w:r>
      <w:r w:rsidR="001D3F10" w:rsidRPr="00F204D4">
        <w:rPr>
          <w:rFonts w:asciiTheme="majorBidi" w:hAnsiTheme="majorBidi" w:cstheme="majorBidi"/>
        </w:rPr>
        <w:t>burden from the application process, applications are grouped into three types—Type A, Type B, and Type C—as previously described.</w:t>
      </w:r>
      <w:r w:rsidR="007841AD" w:rsidRPr="00F204D4">
        <w:rPr>
          <w:rFonts w:asciiTheme="majorBidi" w:hAnsiTheme="majorBidi" w:cstheme="majorBidi"/>
        </w:rPr>
        <w:t xml:space="preserve"> </w:t>
      </w:r>
      <w:r w:rsidR="00472724" w:rsidRPr="00F204D4">
        <w:rPr>
          <w:rFonts w:asciiTheme="majorBidi" w:hAnsiTheme="majorBidi" w:cstheme="majorBidi"/>
        </w:rPr>
        <w:t xml:space="preserve">Estimates of </w:t>
      </w:r>
      <w:r w:rsidRPr="00F204D4">
        <w:rPr>
          <w:rFonts w:asciiTheme="majorBidi" w:hAnsiTheme="majorBidi" w:cstheme="majorBidi"/>
        </w:rPr>
        <w:t xml:space="preserve">the </w:t>
      </w:r>
      <w:r w:rsidR="00472724" w:rsidRPr="00F204D4">
        <w:rPr>
          <w:rFonts w:asciiTheme="majorBidi" w:hAnsiTheme="majorBidi" w:cstheme="majorBidi"/>
        </w:rPr>
        <w:t>b</w:t>
      </w:r>
      <w:r w:rsidR="001D3F10" w:rsidRPr="00F204D4">
        <w:rPr>
          <w:rFonts w:asciiTheme="majorBidi" w:hAnsiTheme="majorBidi" w:cstheme="majorBidi"/>
        </w:rPr>
        <w:t xml:space="preserve">urden </w:t>
      </w:r>
      <w:r w:rsidR="00472724" w:rsidRPr="00F204D4">
        <w:rPr>
          <w:rFonts w:asciiTheme="majorBidi" w:hAnsiTheme="majorBidi" w:cstheme="majorBidi"/>
        </w:rPr>
        <w:t xml:space="preserve">and cost </w:t>
      </w:r>
      <w:r w:rsidR="001D3F10" w:rsidRPr="00F204D4">
        <w:rPr>
          <w:rFonts w:asciiTheme="majorBidi" w:hAnsiTheme="majorBidi" w:cstheme="majorBidi"/>
        </w:rPr>
        <w:t>from the application process is described for each of these three categories in Section 6(</w:t>
      </w:r>
      <w:r w:rsidR="006A38F5" w:rsidRPr="00F204D4">
        <w:rPr>
          <w:rFonts w:asciiTheme="majorBidi" w:hAnsiTheme="majorBidi" w:cstheme="majorBidi"/>
        </w:rPr>
        <w:t>a</w:t>
      </w:r>
      <w:r w:rsidR="001D3F10" w:rsidRPr="00F204D4">
        <w:rPr>
          <w:rFonts w:asciiTheme="majorBidi" w:hAnsiTheme="majorBidi" w:cstheme="majorBidi"/>
        </w:rPr>
        <w:t>).</w:t>
      </w:r>
      <w:r w:rsidR="007841AD" w:rsidRPr="00F204D4">
        <w:rPr>
          <w:rFonts w:asciiTheme="majorBidi" w:hAnsiTheme="majorBidi" w:cstheme="majorBidi"/>
        </w:rPr>
        <w:t xml:space="preserve"> </w:t>
      </w:r>
    </w:p>
    <w:p w14:paraId="72FD9781" w14:textId="77777777" w:rsidR="00472724" w:rsidRPr="00F204D4" w:rsidRDefault="00472724" w:rsidP="001D3F10">
      <w:pPr>
        <w:keepNext/>
        <w:ind w:firstLine="720"/>
        <w:rPr>
          <w:rFonts w:asciiTheme="majorBidi" w:hAnsiTheme="majorBidi" w:cstheme="majorBidi"/>
        </w:rPr>
      </w:pPr>
    </w:p>
    <w:p w14:paraId="1802EBA5" w14:textId="1054BC12" w:rsidR="00683917" w:rsidRPr="00DC6C7E" w:rsidRDefault="00B005C9" w:rsidP="00EB5198">
      <w:pPr>
        <w:ind w:firstLine="720"/>
        <w:rPr>
          <w:rFonts w:asciiTheme="majorBidi" w:hAnsiTheme="majorBidi" w:cstheme="majorBidi"/>
        </w:rPr>
      </w:pPr>
      <w:r w:rsidRPr="00F204D4">
        <w:rPr>
          <w:rFonts w:asciiTheme="majorBidi" w:hAnsiTheme="majorBidi" w:cstheme="majorBidi"/>
        </w:rPr>
        <w:t>The p</w:t>
      </w:r>
      <w:r w:rsidR="001D3F10" w:rsidRPr="00F204D4">
        <w:rPr>
          <w:rFonts w:asciiTheme="majorBidi" w:hAnsiTheme="majorBidi" w:cstheme="majorBidi"/>
        </w:rPr>
        <w:t xml:space="preserve">aperwork burden from </w:t>
      </w:r>
      <w:r w:rsidRPr="00F204D4">
        <w:rPr>
          <w:rFonts w:asciiTheme="majorBidi" w:hAnsiTheme="majorBidi" w:cstheme="majorBidi"/>
        </w:rPr>
        <w:t xml:space="preserve">study </w:t>
      </w:r>
      <w:r w:rsidR="001D3F10" w:rsidRPr="00F204D4">
        <w:rPr>
          <w:rFonts w:asciiTheme="majorBidi" w:hAnsiTheme="majorBidi" w:cstheme="majorBidi"/>
        </w:rPr>
        <w:t>data generation does not occu</w:t>
      </w:r>
      <w:r w:rsidR="00472724" w:rsidRPr="00F204D4">
        <w:rPr>
          <w:rFonts w:asciiTheme="majorBidi" w:hAnsiTheme="majorBidi" w:cstheme="majorBidi"/>
        </w:rPr>
        <w:t xml:space="preserve">r with all types of registrations, only those that require </w:t>
      </w:r>
      <w:r w:rsidR="00CB2F03" w:rsidRPr="00F204D4">
        <w:rPr>
          <w:rFonts w:asciiTheme="majorBidi" w:hAnsiTheme="majorBidi" w:cstheme="majorBidi"/>
        </w:rPr>
        <w:t xml:space="preserve">submission of </w:t>
      </w:r>
      <w:r w:rsidR="00472724" w:rsidRPr="00F204D4">
        <w:rPr>
          <w:rFonts w:asciiTheme="majorBidi" w:hAnsiTheme="majorBidi" w:cstheme="majorBidi"/>
        </w:rPr>
        <w:t>data</w:t>
      </w:r>
      <w:r w:rsidR="001D3F10" w:rsidRPr="00F204D4">
        <w:rPr>
          <w:rFonts w:asciiTheme="majorBidi" w:hAnsiTheme="majorBidi" w:cstheme="majorBidi"/>
        </w:rPr>
        <w:t>.</w:t>
      </w:r>
      <w:r w:rsidR="007841AD" w:rsidRPr="00F204D4">
        <w:rPr>
          <w:rFonts w:asciiTheme="majorBidi" w:hAnsiTheme="majorBidi" w:cstheme="majorBidi"/>
        </w:rPr>
        <w:t xml:space="preserve"> </w:t>
      </w:r>
      <w:r w:rsidR="001D3F10" w:rsidRPr="00F204D4">
        <w:rPr>
          <w:rFonts w:asciiTheme="majorBidi" w:hAnsiTheme="majorBidi" w:cstheme="majorBidi"/>
        </w:rPr>
        <w:t xml:space="preserve">Only new active ingredients (AI), new uses, new products, and some label amendments require </w:t>
      </w:r>
      <w:r w:rsidR="00EA46C9" w:rsidRPr="00F204D4">
        <w:rPr>
          <w:rFonts w:asciiTheme="majorBidi" w:hAnsiTheme="majorBidi" w:cstheme="majorBidi"/>
        </w:rPr>
        <w:t xml:space="preserve">such </w:t>
      </w:r>
      <w:r w:rsidR="001D3F10" w:rsidRPr="00F204D4">
        <w:rPr>
          <w:rFonts w:asciiTheme="majorBidi" w:hAnsiTheme="majorBidi" w:cstheme="majorBidi"/>
        </w:rPr>
        <w:t>data.</w:t>
      </w:r>
      <w:r w:rsidR="007841AD" w:rsidRPr="00F204D4">
        <w:rPr>
          <w:rFonts w:asciiTheme="majorBidi" w:hAnsiTheme="majorBidi" w:cstheme="majorBidi"/>
        </w:rPr>
        <w:t xml:space="preserve"> </w:t>
      </w:r>
      <w:r w:rsidR="00EA46C9" w:rsidRPr="00F204D4">
        <w:rPr>
          <w:rFonts w:asciiTheme="majorBidi" w:hAnsiTheme="majorBidi" w:cstheme="majorBidi"/>
        </w:rPr>
        <w:t>The majority of d</w:t>
      </w:r>
      <w:r w:rsidR="001D3F10" w:rsidRPr="00F204D4">
        <w:rPr>
          <w:rFonts w:asciiTheme="majorBidi" w:hAnsiTheme="majorBidi" w:cstheme="majorBidi"/>
        </w:rPr>
        <w:t>ata required for registration of new uses</w:t>
      </w:r>
      <w:r w:rsidR="00CB2F03" w:rsidRPr="00F204D4">
        <w:rPr>
          <w:rFonts w:asciiTheme="majorBidi" w:hAnsiTheme="majorBidi" w:cstheme="majorBidi"/>
        </w:rPr>
        <w:t xml:space="preserve"> </w:t>
      </w:r>
      <w:r w:rsidR="00EA46C9" w:rsidRPr="00F204D4">
        <w:rPr>
          <w:rFonts w:asciiTheme="majorBidi" w:hAnsiTheme="majorBidi" w:cstheme="majorBidi"/>
        </w:rPr>
        <w:t xml:space="preserve">are </w:t>
      </w:r>
      <w:r w:rsidR="00CB2F03" w:rsidRPr="00F204D4">
        <w:rPr>
          <w:rFonts w:asciiTheme="majorBidi" w:hAnsiTheme="majorBidi" w:cstheme="majorBidi"/>
        </w:rPr>
        <w:t xml:space="preserve">limited to residue </w:t>
      </w:r>
      <w:r w:rsidR="00CB40F4" w:rsidRPr="00F204D4">
        <w:rPr>
          <w:rFonts w:asciiTheme="majorBidi" w:hAnsiTheme="majorBidi" w:cstheme="majorBidi"/>
        </w:rPr>
        <w:t>chemistry</w:t>
      </w:r>
      <w:r w:rsidR="00EA46C9" w:rsidRPr="00F204D4">
        <w:rPr>
          <w:rFonts w:asciiTheme="majorBidi" w:hAnsiTheme="majorBidi" w:cstheme="majorBidi"/>
        </w:rPr>
        <w:t xml:space="preserve"> studies </w:t>
      </w:r>
      <w:r w:rsidR="00CB2F03" w:rsidRPr="00F204D4">
        <w:rPr>
          <w:rFonts w:asciiTheme="majorBidi" w:hAnsiTheme="majorBidi" w:cstheme="majorBidi"/>
        </w:rPr>
        <w:t>necessary</w:t>
      </w:r>
      <w:r w:rsidR="001D3F10" w:rsidRPr="00F204D4">
        <w:rPr>
          <w:rFonts w:asciiTheme="majorBidi" w:hAnsiTheme="majorBidi" w:cstheme="majorBidi"/>
        </w:rPr>
        <w:t xml:space="preserve"> to establish a new </w:t>
      </w:r>
      <w:r w:rsidR="001D3F10" w:rsidRPr="00DC6C7E">
        <w:rPr>
          <w:rFonts w:asciiTheme="majorBidi" w:hAnsiTheme="majorBidi" w:cstheme="majorBidi"/>
        </w:rPr>
        <w:t>tolerance.</w:t>
      </w:r>
      <w:r w:rsidR="007841AD" w:rsidRPr="00DC6C7E">
        <w:rPr>
          <w:rFonts w:asciiTheme="majorBidi" w:hAnsiTheme="majorBidi" w:cstheme="majorBidi"/>
        </w:rPr>
        <w:t xml:space="preserve"> </w:t>
      </w:r>
      <w:r w:rsidR="00683917" w:rsidRPr="00DC6C7E">
        <w:rPr>
          <w:rFonts w:asciiTheme="majorBidi" w:hAnsiTheme="majorBidi" w:cstheme="majorBidi"/>
        </w:rPr>
        <w:t>As indicated in Sections 1(b) and 3(a) of this ICR, the Agency has chosen to account for the burden for generation of residue chemistry data used for tolerances in the tolerance petition ICR, whether the data is submitted with an application for a new food use of a pesticide active ingredient or as part of a petition seeking a tolerance. The EPA believes that is the best place for it – as most of that data is generated with petitions and not for the initial application.</w:t>
      </w:r>
    </w:p>
    <w:p w14:paraId="4316DA21" w14:textId="77777777" w:rsidR="00683917" w:rsidRPr="00DC6C7E" w:rsidRDefault="00683917" w:rsidP="00683917">
      <w:pPr>
        <w:rPr>
          <w:rFonts w:asciiTheme="majorBidi" w:hAnsiTheme="majorBidi" w:cstheme="majorBidi"/>
        </w:rPr>
      </w:pPr>
    </w:p>
    <w:p w14:paraId="433D0754" w14:textId="057CC2E5" w:rsidR="001D3F10" w:rsidRPr="00F204D4" w:rsidRDefault="001D3F10" w:rsidP="00EA46C9">
      <w:pPr>
        <w:keepNext/>
        <w:ind w:firstLine="720"/>
        <w:rPr>
          <w:rFonts w:asciiTheme="majorBidi" w:hAnsiTheme="majorBidi" w:cstheme="majorBidi"/>
        </w:rPr>
      </w:pPr>
      <w:r w:rsidRPr="00F204D4">
        <w:rPr>
          <w:rFonts w:asciiTheme="majorBidi" w:hAnsiTheme="majorBidi" w:cstheme="majorBidi"/>
        </w:rPr>
        <w:t xml:space="preserve">Therefore, </w:t>
      </w:r>
      <w:r w:rsidR="00EA46C9" w:rsidRPr="00F204D4">
        <w:rPr>
          <w:rFonts w:asciiTheme="majorBidi" w:hAnsiTheme="majorBidi" w:cstheme="majorBidi"/>
        </w:rPr>
        <w:t xml:space="preserve">the </w:t>
      </w:r>
      <w:r w:rsidRPr="00F204D4">
        <w:rPr>
          <w:rFonts w:asciiTheme="majorBidi" w:hAnsiTheme="majorBidi" w:cstheme="majorBidi"/>
        </w:rPr>
        <w:t xml:space="preserve">paperwork burden from generation </w:t>
      </w:r>
      <w:r w:rsidR="00EA46C9" w:rsidRPr="00F204D4">
        <w:rPr>
          <w:rFonts w:asciiTheme="majorBidi" w:hAnsiTheme="majorBidi" w:cstheme="majorBidi"/>
        </w:rPr>
        <w:t xml:space="preserve">study data </w:t>
      </w:r>
      <w:r w:rsidR="00472724" w:rsidRPr="00F204D4">
        <w:rPr>
          <w:rFonts w:asciiTheme="majorBidi" w:hAnsiTheme="majorBidi" w:cstheme="majorBidi"/>
        </w:rPr>
        <w:t xml:space="preserve">for new uses </w:t>
      </w:r>
      <w:r w:rsidR="00443F8D" w:rsidRPr="00F204D4">
        <w:rPr>
          <w:rFonts w:asciiTheme="majorBidi" w:hAnsiTheme="majorBidi" w:cstheme="majorBidi"/>
        </w:rPr>
        <w:t>would be covered by</w:t>
      </w:r>
      <w:r w:rsidR="00472724" w:rsidRPr="00F204D4">
        <w:rPr>
          <w:rFonts w:asciiTheme="majorBidi" w:hAnsiTheme="majorBidi" w:cstheme="majorBidi"/>
        </w:rPr>
        <w:t xml:space="preserve"> the T</w:t>
      </w:r>
      <w:r w:rsidRPr="00F204D4">
        <w:rPr>
          <w:rFonts w:asciiTheme="majorBidi" w:hAnsiTheme="majorBidi" w:cstheme="majorBidi"/>
        </w:rPr>
        <w:t xml:space="preserve">olerance ICR </w:t>
      </w:r>
      <w:r w:rsidR="00CB2F03" w:rsidRPr="00F204D4">
        <w:rPr>
          <w:rFonts w:asciiTheme="majorBidi" w:hAnsiTheme="majorBidi" w:cstheme="majorBidi"/>
        </w:rPr>
        <w:t xml:space="preserve">(OMB Control No. </w:t>
      </w:r>
      <w:r w:rsidR="00BB69C2" w:rsidRPr="00F204D4">
        <w:rPr>
          <w:rFonts w:asciiTheme="majorBidi" w:hAnsiTheme="majorBidi" w:cstheme="majorBidi"/>
        </w:rPr>
        <w:t>2070-0024</w:t>
      </w:r>
      <w:r w:rsidR="00595637" w:rsidRPr="00F204D4">
        <w:rPr>
          <w:rFonts w:asciiTheme="majorBidi" w:hAnsiTheme="majorBidi" w:cstheme="majorBidi"/>
        </w:rPr>
        <w:t>)</w:t>
      </w:r>
      <w:r w:rsidR="00CB2F03" w:rsidRPr="00F204D4">
        <w:rPr>
          <w:rFonts w:asciiTheme="majorBidi" w:hAnsiTheme="majorBidi" w:cstheme="majorBidi"/>
        </w:rPr>
        <w:t xml:space="preserve"> </w:t>
      </w:r>
      <w:r w:rsidRPr="00F204D4">
        <w:rPr>
          <w:rFonts w:asciiTheme="majorBidi" w:hAnsiTheme="majorBidi" w:cstheme="majorBidi"/>
        </w:rPr>
        <w:t>and is not discussed in this ICR.</w:t>
      </w:r>
      <w:r w:rsidR="007841AD" w:rsidRPr="00F204D4">
        <w:rPr>
          <w:rFonts w:asciiTheme="majorBidi" w:hAnsiTheme="majorBidi" w:cstheme="majorBidi"/>
        </w:rPr>
        <w:t xml:space="preserve"> </w:t>
      </w:r>
      <w:r w:rsidR="00472724" w:rsidRPr="00F204D4">
        <w:rPr>
          <w:rFonts w:asciiTheme="majorBidi" w:hAnsiTheme="majorBidi" w:cstheme="majorBidi"/>
        </w:rPr>
        <w:t xml:space="preserve">Estimates of </w:t>
      </w:r>
      <w:r w:rsidR="00EA46C9" w:rsidRPr="00F204D4">
        <w:rPr>
          <w:rFonts w:asciiTheme="majorBidi" w:hAnsiTheme="majorBidi" w:cstheme="majorBidi"/>
        </w:rPr>
        <w:t xml:space="preserve">the </w:t>
      </w:r>
      <w:r w:rsidR="00472724" w:rsidRPr="00F204D4">
        <w:rPr>
          <w:rFonts w:asciiTheme="majorBidi" w:hAnsiTheme="majorBidi" w:cstheme="majorBidi"/>
        </w:rPr>
        <w:t>p</w:t>
      </w:r>
      <w:r w:rsidRPr="00F204D4">
        <w:rPr>
          <w:rFonts w:asciiTheme="majorBidi" w:hAnsiTheme="majorBidi" w:cstheme="majorBidi"/>
        </w:rPr>
        <w:t xml:space="preserve">aperwork burden </w:t>
      </w:r>
      <w:r w:rsidR="00472724" w:rsidRPr="00F204D4">
        <w:rPr>
          <w:rFonts w:asciiTheme="majorBidi" w:hAnsiTheme="majorBidi" w:cstheme="majorBidi"/>
        </w:rPr>
        <w:t xml:space="preserve">and </w:t>
      </w:r>
      <w:r w:rsidR="00141E89" w:rsidRPr="00F204D4">
        <w:rPr>
          <w:rFonts w:asciiTheme="majorBidi" w:hAnsiTheme="majorBidi" w:cstheme="majorBidi"/>
        </w:rPr>
        <w:t xml:space="preserve">the </w:t>
      </w:r>
      <w:r w:rsidR="00472724" w:rsidRPr="00F204D4">
        <w:rPr>
          <w:rFonts w:asciiTheme="majorBidi" w:hAnsiTheme="majorBidi" w:cstheme="majorBidi"/>
        </w:rPr>
        <w:t xml:space="preserve">costs </w:t>
      </w:r>
      <w:r w:rsidR="00141E89" w:rsidRPr="00F204D4">
        <w:rPr>
          <w:rFonts w:asciiTheme="majorBidi" w:hAnsiTheme="majorBidi" w:cstheme="majorBidi"/>
        </w:rPr>
        <w:t>of</w:t>
      </w:r>
      <w:r w:rsidR="002F15CC" w:rsidRPr="00F204D4">
        <w:rPr>
          <w:rFonts w:asciiTheme="majorBidi" w:hAnsiTheme="majorBidi" w:cstheme="majorBidi"/>
        </w:rPr>
        <w:t xml:space="preserve"> </w:t>
      </w:r>
      <w:r w:rsidRPr="00F204D4">
        <w:rPr>
          <w:rFonts w:asciiTheme="majorBidi" w:hAnsiTheme="majorBidi" w:cstheme="majorBidi"/>
        </w:rPr>
        <w:t>data gen</w:t>
      </w:r>
      <w:r w:rsidR="00472724" w:rsidRPr="00F204D4">
        <w:rPr>
          <w:rFonts w:asciiTheme="majorBidi" w:hAnsiTheme="majorBidi" w:cstheme="majorBidi"/>
        </w:rPr>
        <w:t xml:space="preserve">eration associated with new AIs and </w:t>
      </w:r>
      <w:r w:rsidRPr="00F204D4">
        <w:rPr>
          <w:rFonts w:asciiTheme="majorBidi" w:hAnsiTheme="majorBidi" w:cstheme="majorBidi"/>
        </w:rPr>
        <w:t xml:space="preserve">new products is discussed in </w:t>
      </w:r>
      <w:r w:rsidR="00472724" w:rsidRPr="00F204D4">
        <w:rPr>
          <w:rFonts w:asciiTheme="majorBidi" w:hAnsiTheme="majorBidi" w:cstheme="majorBidi"/>
        </w:rPr>
        <w:t>Section 6(b</w:t>
      </w:r>
      <w:r w:rsidR="006A38F5" w:rsidRPr="00F204D4">
        <w:rPr>
          <w:rFonts w:asciiTheme="majorBidi" w:hAnsiTheme="majorBidi" w:cstheme="majorBidi"/>
        </w:rPr>
        <w:t>).</w:t>
      </w:r>
      <w:r w:rsidR="007841AD" w:rsidRPr="00F204D4">
        <w:rPr>
          <w:rFonts w:asciiTheme="majorBidi" w:hAnsiTheme="majorBidi" w:cstheme="majorBidi"/>
        </w:rPr>
        <w:t xml:space="preserve"> </w:t>
      </w:r>
    </w:p>
    <w:p w14:paraId="6CFBE375" w14:textId="77777777" w:rsidR="006A38F5" w:rsidRPr="00F204D4" w:rsidRDefault="006A38F5" w:rsidP="001D3F10">
      <w:pPr>
        <w:keepNext/>
        <w:ind w:firstLine="720"/>
        <w:rPr>
          <w:rFonts w:asciiTheme="majorBidi" w:hAnsiTheme="majorBidi" w:cstheme="majorBidi"/>
        </w:rPr>
      </w:pPr>
    </w:p>
    <w:p w14:paraId="3F45B545" w14:textId="726B74EF" w:rsidR="008253DD" w:rsidRPr="00F204D4" w:rsidRDefault="008253DD" w:rsidP="00280076">
      <w:pPr>
        <w:keepNext/>
        <w:ind w:firstLine="720"/>
        <w:rPr>
          <w:rFonts w:asciiTheme="majorBidi" w:hAnsiTheme="majorBidi" w:cstheme="majorBidi"/>
        </w:rPr>
      </w:pPr>
      <w:r w:rsidRPr="00F204D4">
        <w:rPr>
          <w:rFonts w:asciiTheme="majorBidi" w:hAnsiTheme="majorBidi" w:cstheme="majorBidi"/>
        </w:rPr>
        <w:t xml:space="preserve">Annual aggregate paperwork burden for all respondent Section 3 activities is estimated to be </w:t>
      </w:r>
      <w:r w:rsidR="003A6F3A" w:rsidRPr="00F204D4">
        <w:rPr>
          <w:rFonts w:asciiTheme="majorBidi" w:hAnsiTheme="majorBidi" w:cstheme="majorBidi"/>
        </w:rPr>
        <w:t>15</w:t>
      </w:r>
      <w:r w:rsidRPr="00F204D4">
        <w:rPr>
          <w:rFonts w:asciiTheme="majorBidi" w:hAnsiTheme="majorBidi" w:cstheme="majorBidi"/>
        </w:rPr>
        <w:t xml:space="preserve"> million hours: 145,213 hours for application activities and 1.</w:t>
      </w:r>
      <w:r w:rsidR="00DB7E0D" w:rsidRPr="00F204D4">
        <w:rPr>
          <w:rFonts w:asciiTheme="majorBidi" w:hAnsiTheme="majorBidi" w:cstheme="majorBidi"/>
        </w:rPr>
        <w:t>38</w:t>
      </w:r>
      <w:r w:rsidRPr="00F204D4">
        <w:rPr>
          <w:rFonts w:asciiTheme="majorBidi" w:hAnsiTheme="majorBidi" w:cstheme="majorBidi"/>
        </w:rPr>
        <w:t xml:space="preserve"> million hours from data generation.</w:t>
      </w:r>
      <w:r w:rsidR="007841AD" w:rsidRPr="00F204D4">
        <w:rPr>
          <w:rFonts w:asciiTheme="majorBidi" w:hAnsiTheme="majorBidi" w:cstheme="majorBidi"/>
        </w:rPr>
        <w:t xml:space="preserve"> </w:t>
      </w:r>
      <w:r w:rsidRPr="00F204D4">
        <w:rPr>
          <w:rFonts w:asciiTheme="majorBidi" w:hAnsiTheme="majorBidi" w:cstheme="majorBidi"/>
        </w:rPr>
        <w:t>There are currently an estimated 1,751 pesticide registrants holding at least one pesticide registration.</w:t>
      </w:r>
      <w:r w:rsidR="007841AD" w:rsidRPr="00F204D4">
        <w:rPr>
          <w:rFonts w:asciiTheme="majorBidi" w:hAnsiTheme="majorBidi" w:cstheme="majorBidi"/>
        </w:rPr>
        <w:t xml:space="preserve"> </w:t>
      </w:r>
      <w:r w:rsidRPr="00F204D4">
        <w:rPr>
          <w:rFonts w:asciiTheme="majorBidi" w:hAnsiTheme="majorBidi" w:cstheme="majorBidi"/>
        </w:rPr>
        <w:t xml:space="preserve">The number of pesticide registrants has increased since the last ICR renewal from </w:t>
      </w:r>
      <w:bookmarkStart w:id="0" w:name="_GoBack"/>
      <w:r w:rsidRPr="00F204D4">
        <w:rPr>
          <w:rFonts w:asciiTheme="majorBidi" w:hAnsiTheme="majorBidi" w:cstheme="majorBidi"/>
        </w:rPr>
        <w:t>1,683</w:t>
      </w:r>
      <w:bookmarkEnd w:id="0"/>
      <w:r w:rsidRPr="00F204D4">
        <w:rPr>
          <w:rFonts w:asciiTheme="majorBidi" w:hAnsiTheme="majorBidi" w:cstheme="majorBidi"/>
        </w:rPr>
        <w:t xml:space="preserve"> to 1,751, an increase of 68 registrants.</w:t>
      </w:r>
      <w:r w:rsidR="007841AD" w:rsidRPr="00F204D4">
        <w:rPr>
          <w:rFonts w:asciiTheme="majorBidi" w:hAnsiTheme="majorBidi" w:cstheme="majorBidi"/>
        </w:rPr>
        <w:t xml:space="preserve"> </w:t>
      </w:r>
    </w:p>
    <w:p w14:paraId="7047EA7C" w14:textId="77777777" w:rsidR="008253DD" w:rsidRPr="00F204D4" w:rsidRDefault="008253DD" w:rsidP="008253DD">
      <w:pPr>
        <w:rPr>
          <w:rFonts w:asciiTheme="majorBidi" w:hAnsiTheme="majorBidi" w:cstheme="majorBidi"/>
        </w:rPr>
      </w:pPr>
    </w:p>
    <w:p w14:paraId="11FB8FC2" w14:textId="77777777" w:rsidR="008253DD" w:rsidRPr="00F204D4" w:rsidRDefault="008253DD" w:rsidP="008253DD">
      <w:pPr>
        <w:ind w:firstLine="720"/>
        <w:rPr>
          <w:rFonts w:asciiTheme="majorBidi" w:hAnsiTheme="majorBidi" w:cstheme="majorBidi"/>
        </w:rPr>
      </w:pPr>
      <w:r w:rsidRPr="00F204D4">
        <w:rPr>
          <w:rFonts w:asciiTheme="majorBidi" w:hAnsiTheme="majorBidi" w:cstheme="majorBidi"/>
        </w:rPr>
        <w:t>The total annual costs associated with paperwork burden from the application process are estimated to be approximately $12.47 million per year.</w:t>
      </w:r>
    </w:p>
    <w:p w14:paraId="7AC6D0ED" w14:textId="77777777" w:rsidR="008253DD" w:rsidRPr="00F204D4" w:rsidRDefault="008253DD" w:rsidP="008253DD">
      <w:pPr>
        <w:ind w:firstLine="720"/>
        <w:rPr>
          <w:rFonts w:asciiTheme="majorBidi" w:hAnsiTheme="majorBidi" w:cstheme="majorBidi"/>
        </w:rPr>
      </w:pPr>
    </w:p>
    <w:p w14:paraId="384A10EE" w14:textId="77777777" w:rsidR="008253DD" w:rsidRPr="00F204D4" w:rsidRDefault="008253DD" w:rsidP="008253DD">
      <w:pPr>
        <w:numPr>
          <w:ilvl w:val="0"/>
          <w:numId w:val="3"/>
        </w:numPr>
        <w:tabs>
          <w:tab w:val="clear" w:pos="1440"/>
          <w:tab w:val="num" w:pos="1080"/>
        </w:tabs>
        <w:ind w:left="1080"/>
        <w:rPr>
          <w:rFonts w:asciiTheme="majorBidi" w:hAnsiTheme="majorBidi" w:cstheme="majorBidi"/>
        </w:rPr>
      </w:pPr>
      <w:r w:rsidRPr="00F204D4">
        <w:rPr>
          <w:rFonts w:asciiTheme="majorBidi" w:hAnsiTheme="majorBidi" w:cstheme="majorBidi"/>
        </w:rPr>
        <w:t>“Type A” activities are estimated to cost approximately $2.76 million per year.</w:t>
      </w:r>
    </w:p>
    <w:p w14:paraId="0C78459E" w14:textId="77777777" w:rsidR="008253DD" w:rsidRPr="00F204D4" w:rsidRDefault="008253DD" w:rsidP="008253DD">
      <w:pPr>
        <w:numPr>
          <w:ilvl w:val="0"/>
          <w:numId w:val="3"/>
        </w:numPr>
        <w:tabs>
          <w:tab w:val="clear" w:pos="1440"/>
          <w:tab w:val="num" w:pos="1080"/>
        </w:tabs>
        <w:ind w:left="1080"/>
        <w:rPr>
          <w:rFonts w:asciiTheme="majorBidi" w:hAnsiTheme="majorBidi" w:cstheme="majorBidi"/>
        </w:rPr>
      </w:pPr>
      <w:r w:rsidRPr="00F204D4">
        <w:rPr>
          <w:rFonts w:asciiTheme="majorBidi" w:hAnsiTheme="majorBidi" w:cstheme="majorBidi"/>
        </w:rPr>
        <w:t>“Type B” activities are estimated to cost approximately $9.32 million per year.</w:t>
      </w:r>
    </w:p>
    <w:p w14:paraId="7D1378FD" w14:textId="77777777" w:rsidR="008253DD" w:rsidRPr="00F204D4" w:rsidRDefault="008253DD" w:rsidP="008253DD">
      <w:pPr>
        <w:numPr>
          <w:ilvl w:val="0"/>
          <w:numId w:val="3"/>
        </w:numPr>
        <w:tabs>
          <w:tab w:val="clear" w:pos="1440"/>
          <w:tab w:val="num" w:pos="1080"/>
        </w:tabs>
        <w:ind w:left="1080"/>
        <w:rPr>
          <w:rFonts w:asciiTheme="majorBidi" w:hAnsiTheme="majorBidi" w:cstheme="majorBidi"/>
        </w:rPr>
      </w:pPr>
      <w:r w:rsidRPr="00F204D4">
        <w:rPr>
          <w:rFonts w:asciiTheme="majorBidi" w:hAnsiTheme="majorBidi" w:cstheme="majorBidi"/>
        </w:rPr>
        <w:t>“Type C” activities are estimated to cost approximately $389 thousand per year.</w:t>
      </w:r>
    </w:p>
    <w:p w14:paraId="6F1583C2" w14:textId="77777777" w:rsidR="008253DD" w:rsidRPr="00CB40F4" w:rsidRDefault="008253DD" w:rsidP="008253DD">
      <w:pPr>
        <w:keepNext/>
        <w:rPr>
          <w:rFonts w:asciiTheme="majorBidi" w:hAnsiTheme="majorBidi" w:cstheme="majorBidi"/>
        </w:rPr>
      </w:pPr>
    </w:p>
    <w:p w14:paraId="17764ABB" w14:textId="77777777" w:rsidR="00A0113A" w:rsidRPr="00CB40F4" w:rsidRDefault="00A0113A" w:rsidP="008253DD">
      <w:pPr>
        <w:keepNext/>
        <w:rPr>
          <w:rFonts w:asciiTheme="majorBidi" w:hAnsiTheme="majorBidi" w:cstheme="majorBidi"/>
        </w:rPr>
      </w:pPr>
    </w:p>
    <w:p w14:paraId="0D7A1830" w14:textId="58E0D677" w:rsidR="008253DD" w:rsidRPr="00CB40F4" w:rsidRDefault="008253DD" w:rsidP="008253DD">
      <w:pPr>
        <w:keepNext/>
        <w:keepLines/>
        <w:rPr>
          <w:rFonts w:asciiTheme="majorBidi" w:hAnsiTheme="majorBidi" w:cstheme="majorBidi"/>
          <w:sz w:val="22"/>
          <w:szCs w:val="22"/>
        </w:rPr>
      </w:pPr>
      <w:r w:rsidRPr="00CB40F4">
        <w:rPr>
          <w:rFonts w:asciiTheme="majorBidi" w:hAnsiTheme="majorBidi" w:cstheme="majorBidi"/>
          <w:b/>
          <w:sz w:val="22"/>
          <w:szCs w:val="22"/>
        </w:rPr>
        <w:t xml:space="preserve">Table 1-A: Annual Information Collection Paperwork Burden Estimates for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sz w:val="22"/>
          <w:szCs w:val="22"/>
        </w:rPr>
        <w:t>Application Process</w:t>
      </w:r>
    </w:p>
    <w:tbl>
      <w:tblPr>
        <w:tblW w:w="5000" w:type="pct"/>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4A0" w:firstRow="1" w:lastRow="0" w:firstColumn="1" w:lastColumn="0" w:noHBand="0" w:noVBand="1"/>
      </w:tblPr>
      <w:tblGrid>
        <w:gridCol w:w="1217"/>
        <w:gridCol w:w="1383"/>
        <w:gridCol w:w="1346"/>
        <w:gridCol w:w="1345"/>
        <w:gridCol w:w="1347"/>
        <w:gridCol w:w="1345"/>
        <w:gridCol w:w="1347"/>
      </w:tblGrid>
      <w:tr w:rsidR="008253DD" w:rsidRPr="00CB40F4" w14:paraId="6DD18823" w14:textId="77777777" w:rsidTr="001E1DD8">
        <w:trPr>
          <w:trHeight w:val="810"/>
        </w:trPr>
        <w:tc>
          <w:tcPr>
            <w:tcW w:w="604" w:type="pct"/>
            <w:shd w:val="clear" w:color="auto" w:fill="auto"/>
            <w:vAlign w:val="center"/>
            <w:hideMark/>
          </w:tcPr>
          <w:p w14:paraId="1FFE9C64"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Application Category</w:t>
            </w:r>
          </w:p>
        </w:tc>
        <w:tc>
          <w:tcPr>
            <w:tcW w:w="732" w:type="pct"/>
            <w:shd w:val="clear" w:color="auto" w:fill="auto"/>
            <w:vAlign w:val="center"/>
            <w:hideMark/>
          </w:tcPr>
          <w:p w14:paraId="05C26F97"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Number of registrants (respondents)</w:t>
            </w:r>
          </w:p>
        </w:tc>
        <w:tc>
          <w:tcPr>
            <w:tcW w:w="733" w:type="pct"/>
            <w:shd w:val="clear" w:color="auto" w:fill="auto"/>
            <w:vAlign w:val="center"/>
            <w:hideMark/>
          </w:tcPr>
          <w:p w14:paraId="0F3F9D5E"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w:t>
            </w:r>
          </w:p>
        </w:tc>
        <w:tc>
          <w:tcPr>
            <w:tcW w:w="732" w:type="pct"/>
            <w:shd w:val="clear" w:color="auto" w:fill="auto"/>
            <w:vAlign w:val="center"/>
            <w:hideMark/>
          </w:tcPr>
          <w:p w14:paraId="1684EAC1"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 per respondent</w:t>
            </w:r>
          </w:p>
        </w:tc>
        <w:tc>
          <w:tcPr>
            <w:tcW w:w="733" w:type="pct"/>
            <w:shd w:val="clear" w:color="auto" w:fill="auto"/>
            <w:vAlign w:val="center"/>
            <w:hideMark/>
          </w:tcPr>
          <w:p w14:paraId="042EAC28"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Burden per response (hours)</w:t>
            </w:r>
          </w:p>
        </w:tc>
        <w:tc>
          <w:tcPr>
            <w:tcW w:w="732" w:type="pct"/>
            <w:shd w:val="clear" w:color="auto" w:fill="auto"/>
            <w:vAlign w:val="center"/>
            <w:hideMark/>
          </w:tcPr>
          <w:p w14:paraId="0D8F3D4C"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burden per respondent</w:t>
            </w:r>
          </w:p>
        </w:tc>
        <w:tc>
          <w:tcPr>
            <w:tcW w:w="733" w:type="pct"/>
            <w:shd w:val="clear" w:color="auto" w:fill="auto"/>
            <w:vAlign w:val="center"/>
            <w:hideMark/>
          </w:tcPr>
          <w:p w14:paraId="4B2F3A04"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burden (hours)</w:t>
            </w:r>
          </w:p>
        </w:tc>
      </w:tr>
      <w:tr w:rsidR="008253DD" w:rsidRPr="00CB40F4" w14:paraId="5123FCE9" w14:textId="77777777" w:rsidTr="001E1DD8">
        <w:trPr>
          <w:trHeight w:val="360"/>
        </w:trPr>
        <w:tc>
          <w:tcPr>
            <w:tcW w:w="604" w:type="pct"/>
            <w:shd w:val="clear" w:color="auto" w:fill="auto"/>
            <w:vAlign w:val="center"/>
            <w:hideMark/>
          </w:tcPr>
          <w:p w14:paraId="1A609B02"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Type A</w:t>
            </w:r>
          </w:p>
        </w:tc>
        <w:tc>
          <w:tcPr>
            <w:tcW w:w="732" w:type="pct"/>
            <w:shd w:val="clear" w:color="auto" w:fill="auto"/>
            <w:vAlign w:val="center"/>
            <w:hideMark/>
          </w:tcPr>
          <w:p w14:paraId="07274B9C"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1,751</w:t>
            </w:r>
          </w:p>
        </w:tc>
        <w:tc>
          <w:tcPr>
            <w:tcW w:w="733" w:type="pct"/>
            <w:shd w:val="clear" w:color="auto" w:fill="auto"/>
            <w:vAlign w:val="center"/>
            <w:hideMark/>
          </w:tcPr>
          <w:p w14:paraId="098C55C6"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197</w:t>
            </w:r>
          </w:p>
        </w:tc>
        <w:tc>
          <w:tcPr>
            <w:tcW w:w="732" w:type="pct"/>
            <w:shd w:val="clear" w:color="auto" w:fill="auto"/>
            <w:vAlign w:val="center"/>
            <w:hideMark/>
          </w:tcPr>
          <w:p w14:paraId="67C345F3"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0.113</w:t>
            </w:r>
          </w:p>
        </w:tc>
        <w:tc>
          <w:tcPr>
            <w:tcW w:w="733" w:type="pct"/>
            <w:shd w:val="clear" w:color="auto" w:fill="auto"/>
            <w:vAlign w:val="center"/>
            <w:hideMark/>
          </w:tcPr>
          <w:p w14:paraId="495F5DE2"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194</w:t>
            </w:r>
          </w:p>
        </w:tc>
        <w:tc>
          <w:tcPr>
            <w:tcW w:w="732" w:type="pct"/>
            <w:shd w:val="clear" w:color="auto" w:fill="auto"/>
            <w:vAlign w:val="center"/>
            <w:hideMark/>
          </w:tcPr>
          <w:p w14:paraId="6AA18270"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22</w:t>
            </w:r>
          </w:p>
        </w:tc>
        <w:tc>
          <w:tcPr>
            <w:tcW w:w="733" w:type="pct"/>
            <w:shd w:val="clear" w:color="auto" w:fill="auto"/>
            <w:vAlign w:val="center"/>
            <w:hideMark/>
          </w:tcPr>
          <w:p w14:paraId="5115ECA3"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38,218</w:t>
            </w:r>
          </w:p>
        </w:tc>
      </w:tr>
      <w:tr w:rsidR="008253DD" w:rsidRPr="00CB40F4" w14:paraId="030D919C" w14:textId="77777777" w:rsidTr="001E1DD8">
        <w:trPr>
          <w:trHeight w:val="360"/>
        </w:trPr>
        <w:tc>
          <w:tcPr>
            <w:tcW w:w="604" w:type="pct"/>
            <w:shd w:val="clear" w:color="auto" w:fill="auto"/>
            <w:vAlign w:val="center"/>
            <w:hideMark/>
          </w:tcPr>
          <w:p w14:paraId="6CAA4C5C"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Type B</w:t>
            </w:r>
          </w:p>
        </w:tc>
        <w:tc>
          <w:tcPr>
            <w:tcW w:w="732" w:type="pct"/>
            <w:shd w:val="clear" w:color="auto" w:fill="auto"/>
            <w:vAlign w:val="center"/>
            <w:hideMark/>
          </w:tcPr>
          <w:p w14:paraId="5C405DD5"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1,751</w:t>
            </w:r>
          </w:p>
        </w:tc>
        <w:tc>
          <w:tcPr>
            <w:tcW w:w="733" w:type="pct"/>
            <w:shd w:val="clear" w:color="auto" w:fill="auto"/>
            <w:vAlign w:val="center"/>
            <w:hideMark/>
          </w:tcPr>
          <w:p w14:paraId="2C5C8A53"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7,273</w:t>
            </w:r>
          </w:p>
        </w:tc>
        <w:tc>
          <w:tcPr>
            <w:tcW w:w="732" w:type="pct"/>
            <w:shd w:val="clear" w:color="auto" w:fill="auto"/>
            <w:vAlign w:val="center"/>
            <w:hideMark/>
          </w:tcPr>
          <w:p w14:paraId="753352BD"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4.154</w:t>
            </w:r>
          </w:p>
        </w:tc>
        <w:tc>
          <w:tcPr>
            <w:tcW w:w="733" w:type="pct"/>
            <w:shd w:val="clear" w:color="auto" w:fill="auto"/>
            <w:vAlign w:val="center"/>
            <w:hideMark/>
          </w:tcPr>
          <w:p w14:paraId="4CFA0C87"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14</w:t>
            </w:r>
          </w:p>
        </w:tc>
        <w:tc>
          <w:tcPr>
            <w:tcW w:w="732" w:type="pct"/>
            <w:shd w:val="clear" w:color="auto" w:fill="auto"/>
            <w:vAlign w:val="center"/>
            <w:hideMark/>
          </w:tcPr>
          <w:p w14:paraId="2FBF783A"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58</w:t>
            </w:r>
          </w:p>
        </w:tc>
        <w:tc>
          <w:tcPr>
            <w:tcW w:w="733" w:type="pct"/>
            <w:shd w:val="clear" w:color="auto" w:fill="auto"/>
            <w:vAlign w:val="center"/>
            <w:hideMark/>
          </w:tcPr>
          <w:p w14:paraId="5F741319"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101,827</w:t>
            </w:r>
          </w:p>
        </w:tc>
      </w:tr>
      <w:tr w:rsidR="008253DD" w:rsidRPr="00CB40F4" w14:paraId="1967CC90" w14:textId="77777777" w:rsidTr="001E1DD8">
        <w:trPr>
          <w:trHeight w:val="360"/>
        </w:trPr>
        <w:tc>
          <w:tcPr>
            <w:tcW w:w="604" w:type="pct"/>
            <w:shd w:val="clear" w:color="auto" w:fill="auto"/>
            <w:vAlign w:val="center"/>
            <w:hideMark/>
          </w:tcPr>
          <w:p w14:paraId="3A97B3E3"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Type C</w:t>
            </w:r>
          </w:p>
        </w:tc>
        <w:tc>
          <w:tcPr>
            <w:tcW w:w="732" w:type="pct"/>
            <w:shd w:val="clear" w:color="auto" w:fill="auto"/>
            <w:vAlign w:val="center"/>
            <w:hideMark/>
          </w:tcPr>
          <w:p w14:paraId="68DCD75E"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1,751</w:t>
            </w:r>
          </w:p>
        </w:tc>
        <w:tc>
          <w:tcPr>
            <w:tcW w:w="733" w:type="pct"/>
            <w:shd w:val="clear" w:color="auto" w:fill="auto"/>
            <w:vAlign w:val="center"/>
            <w:hideMark/>
          </w:tcPr>
          <w:p w14:paraId="7B3F2210"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8</w:t>
            </w:r>
          </w:p>
        </w:tc>
        <w:tc>
          <w:tcPr>
            <w:tcW w:w="732" w:type="pct"/>
            <w:shd w:val="clear" w:color="auto" w:fill="auto"/>
            <w:vAlign w:val="center"/>
            <w:hideMark/>
          </w:tcPr>
          <w:p w14:paraId="400AB5C0"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0.005</w:t>
            </w:r>
          </w:p>
        </w:tc>
        <w:tc>
          <w:tcPr>
            <w:tcW w:w="733" w:type="pct"/>
            <w:shd w:val="clear" w:color="auto" w:fill="auto"/>
            <w:vAlign w:val="center"/>
            <w:hideMark/>
          </w:tcPr>
          <w:p w14:paraId="75EB5CFD"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646</w:t>
            </w:r>
          </w:p>
        </w:tc>
        <w:tc>
          <w:tcPr>
            <w:tcW w:w="732" w:type="pct"/>
            <w:shd w:val="clear" w:color="auto" w:fill="auto"/>
            <w:vAlign w:val="center"/>
            <w:hideMark/>
          </w:tcPr>
          <w:p w14:paraId="615B58BC"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3</w:t>
            </w:r>
          </w:p>
        </w:tc>
        <w:tc>
          <w:tcPr>
            <w:tcW w:w="733" w:type="pct"/>
            <w:shd w:val="clear" w:color="auto" w:fill="auto"/>
            <w:vAlign w:val="center"/>
            <w:hideMark/>
          </w:tcPr>
          <w:p w14:paraId="086803D6"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5,168</w:t>
            </w:r>
          </w:p>
        </w:tc>
      </w:tr>
      <w:tr w:rsidR="008253DD" w:rsidRPr="00CB40F4" w14:paraId="7DCBE7E5" w14:textId="77777777" w:rsidTr="001E1DD8">
        <w:trPr>
          <w:trHeight w:val="360"/>
        </w:trPr>
        <w:tc>
          <w:tcPr>
            <w:tcW w:w="604" w:type="pct"/>
            <w:shd w:val="clear" w:color="auto" w:fill="auto"/>
            <w:vAlign w:val="center"/>
          </w:tcPr>
          <w:p w14:paraId="3E1F5D0C"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All Types</w:t>
            </w:r>
          </w:p>
        </w:tc>
        <w:tc>
          <w:tcPr>
            <w:tcW w:w="732" w:type="pct"/>
            <w:shd w:val="clear" w:color="auto" w:fill="auto"/>
            <w:vAlign w:val="center"/>
          </w:tcPr>
          <w:p w14:paraId="544159B1"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1,751</w:t>
            </w:r>
          </w:p>
        </w:tc>
        <w:tc>
          <w:tcPr>
            <w:tcW w:w="733" w:type="pct"/>
            <w:shd w:val="clear" w:color="auto" w:fill="auto"/>
            <w:vAlign w:val="center"/>
          </w:tcPr>
          <w:p w14:paraId="6A1ACE50"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7,478</w:t>
            </w:r>
          </w:p>
        </w:tc>
        <w:tc>
          <w:tcPr>
            <w:tcW w:w="732" w:type="pct"/>
            <w:shd w:val="clear" w:color="auto" w:fill="auto"/>
            <w:vAlign w:val="center"/>
          </w:tcPr>
          <w:p w14:paraId="2169CC4C"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4.271</w:t>
            </w:r>
          </w:p>
        </w:tc>
        <w:tc>
          <w:tcPr>
            <w:tcW w:w="733" w:type="pct"/>
            <w:shd w:val="clear" w:color="auto" w:fill="auto"/>
            <w:vAlign w:val="center"/>
          </w:tcPr>
          <w:p w14:paraId="72CF5566" w14:textId="77777777" w:rsidR="008253DD" w:rsidRPr="00CB40F4" w:rsidRDefault="008253DD" w:rsidP="00650B2D">
            <w:pPr>
              <w:keepNext/>
              <w:keepLines/>
              <w:jc w:val="center"/>
              <w:rPr>
                <w:rFonts w:asciiTheme="majorBidi" w:hAnsiTheme="majorBidi" w:cstheme="majorBidi"/>
                <w:b/>
                <w:sz w:val="20"/>
                <w:szCs w:val="20"/>
              </w:rPr>
            </w:pPr>
          </w:p>
        </w:tc>
        <w:tc>
          <w:tcPr>
            <w:tcW w:w="732" w:type="pct"/>
            <w:shd w:val="clear" w:color="auto" w:fill="auto"/>
            <w:vAlign w:val="center"/>
          </w:tcPr>
          <w:p w14:paraId="170C2970"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83</w:t>
            </w:r>
          </w:p>
        </w:tc>
        <w:tc>
          <w:tcPr>
            <w:tcW w:w="733" w:type="pct"/>
            <w:shd w:val="clear" w:color="auto" w:fill="auto"/>
            <w:vAlign w:val="center"/>
          </w:tcPr>
          <w:p w14:paraId="489E5912"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145,213</w:t>
            </w:r>
          </w:p>
        </w:tc>
      </w:tr>
    </w:tbl>
    <w:p w14:paraId="269A1B99" w14:textId="77777777" w:rsidR="008253DD" w:rsidRPr="00CB40F4" w:rsidRDefault="008253DD" w:rsidP="008253DD">
      <w:pPr>
        <w:keepNext/>
        <w:rPr>
          <w:rFonts w:asciiTheme="majorBidi" w:hAnsiTheme="majorBidi" w:cstheme="majorBidi"/>
        </w:rPr>
      </w:pPr>
    </w:p>
    <w:p w14:paraId="01218C03" w14:textId="265C88EB"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The total annual costs associated with </w:t>
      </w:r>
      <w:r w:rsidR="00EA46C9" w:rsidRPr="00CB40F4">
        <w:rPr>
          <w:rFonts w:asciiTheme="majorBidi" w:hAnsiTheme="majorBidi" w:cstheme="majorBidi"/>
        </w:rPr>
        <w:t xml:space="preserve">the </w:t>
      </w:r>
      <w:r w:rsidRPr="00CB40F4">
        <w:rPr>
          <w:rFonts w:asciiTheme="majorBidi" w:hAnsiTheme="majorBidi" w:cstheme="majorBidi"/>
        </w:rPr>
        <w:t>paperwork burden from data generation are estimated to be approximately $</w:t>
      </w:r>
      <w:r w:rsidR="00DB7E0D" w:rsidRPr="00CB40F4">
        <w:rPr>
          <w:rFonts w:asciiTheme="majorBidi" w:hAnsiTheme="majorBidi" w:cstheme="majorBidi"/>
        </w:rPr>
        <w:t>96.25</w:t>
      </w:r>
      <w:r w:rsidRPr="00CB40F4">
        <w:rPr>
          <w:rFonts w:asciiTheme="majorBidi" w:hAnsiTheme="majorBidi" w:cstheme="majorBidi"/>
        </w:rPr>
        <w:t xml:space="preserve"> million per year.</w:t>
      </w:r>
    </w:p>
    <w:p w14:paraId="7F04F0E1" w14:textId="77777777" w:rsidR="008253DD" w:rsidRPr="00CB40F4" w:rsidRDefault="008253DD" w:rsidP="008253DD">
      <w:pPr>
        <w:ind w:firstLine="720"/>
        <w:rPr>
          <w:rFonts w:asciiTheme="majorBidi" w:hAnsiTheme="majorBidi" w:cstheme="majorBidi"/>
        </w:rPr>
      </w:pPr>
    </w:p>
    <w:p w14:paraId="7B99E4DE" w14:textId="346ACFF8" w:rsidR="008253DD" w:rsidRPr="00CB40F4" w:rsidRDefault="00EA46C9" w:rsidP="003338A5">
      <w:pPr>
        <w:numPr>
          <w:ilvl w:val="0"/>
          <w:numId w:val="3"/>
        </w:numPr>
        <w:tabs>
          <w:tab w:val="clear" w:pos="1440"/>
          <w:tab w:val="num" w:pos="1080"/>
        </w:tabs>
        <w:ind w:left="1080"/>
        <w:rPr>
          <w:rFonts w:asciiTheme="majorBidi" w:hAnsiTheme="majorBidi" w:cstheme="majorBidi"/>
        </w:rPr>
      </w:pPr>
      <w:r w:rsidRPr="00CB40F4">
        <w:rPr>
          <w:rFonts w:asciiTheme="majorBidi" w:hAnsiTheme="majorBidi" w:cstheme="majorBidi"/>
        </w:rPr>
        <w:t>The p</w:t>
      </w:r>
      <w:r w:rsidR="008253DD" w:rsidRPr="00CB40F4">
        <w:rPr>
          <w:rFonts w:asciiTheme="majorBidi" w:hAnsiTheme="majorBidi" w:cstheme="majorBidi"/>
        </w:rPr>
        <w:t xml:space="preserve">aperwork burden </w:t>
      </w:r>
      <w:r w:rsidR="003338A5" w:rsidRPr="00CB40F4">
        <w:rPr>
          <w:rFonts w:asciiTheme="majorBidi" w:hAnsiTheme="majorBidi" w:cstheme="majorBidi"/>
        </w:rPr>
        <w:t xml:space="preserve">from </w:t>
      </w:r>
      <w:r w:rsidR="008253DD" w:rsidRPr="00CB40F4">
        <w:rPr>
          <w:rFonts w:asciiTheme="majorBidi" w:hAnsiTheme="majorBidi" w:cstheme="majorBidi"/>
        </w:rPr>
        <w:t>data generation for new active ingredients (AI) is estimated to cost approximately $62.59 million per year.</w:t>
      </w:r>
    </w:p>
    <w:p w14:paraId="59EE0B10" w14:textId="58F6A91A" w:rsidR="008253DD" w:rsidRPr="00CB40F4" w:rsidRDefault="00EA46C9" w:rsidP="003338A5">
      <w:pPr>
        <w:numPr>
          <w:ilvl w:val="0"/>
          <w:numId w:val="3"/>
        </w:numPr>
        <w:tabs>
          <w:tab w:val="clear" w:pos="1440"/>
          <w:tab w:val="num" w:pos="1080"/>
        </w:tabs>
        <w:ind w:left="1080"/>
        <w:rPr>
          <w:rFonts w:asciiTheme="majorBidi" w:hAnsiTheme="majorBidi" w:cstheme="majorBidi"/>
        </w:rPr>
      </w:pPr>
      <w:r w:rsidRPr="00CB40F4">
        <w:rPr>
          <w:rFonts w:asciiTheme="majorBidi" w:hAnsiTheme="majorBidi" w:cstheme="majorBidi"/>
        </w:rPr>
        <w:t>The p</w:t>
      </w:r>
      <w:r w:rsidR="008253DD" w:rsidRPr="00CB40F4">
        <w:rPr>
          <w:rFonts w:asciiTheme="majorBidi" w:hAnsiTheme="majorBidi" w:cstheme="majorBidi"/>
        </w:rPr>
        <w:t>aperwork burden f</w:t>
      </w:r>
      <w:r w:rsidR="003338A5" w:rsidRPr="00CB40F4">
        <w:rPr>
          <w:rFonts w:asciiTheme="majorBidi" w:hAnsiTheme="majorBidi" w:cstheme="majorBidi"/>
        </w:rPr>
        <w:t>rom</w:t>
      </w:r>
      <w:r w:rsidR="008253DD" w:rsidRPr="00CB40F4">
        <w:rPr>
          <w:rFonts w:asciiTheme="majorBidi" w:hAnsiTheme="majorBidi" w:cstheme="majorBidi"/>
        </w:rPr>
        <w:t xml:space="preserve"> data generation for new products is estimated to cost approximately $3</w:t>
      </w:r>
      <w:r w:rsidR="00DB7E0D" w:rsidRPr="00CB40F4">
        <w:rPr>
          <w:rFonts w:asciiTheme="majorBidi" w:hAnsiTheme="majorBidi" w:cstheme="majorBidi"/>
        </w:rPr>
        <w:t>3.66</w:t>
      </w:r>
      <w:r w:rsidR="008253DD" w:rsidRPr="00CB40F4">
        <w:rPr>
          <w:rFonts w:asciiTheme="majorBidi" w:hAnsiTheme="majorBidi" w:cstheme="majorBidi"/>
        </w:rPr>
        <w:t xml:space="preserve"> million per year. </w:t>
      </w:r>
    </w:p>
    <w:p w14:paraId="1C2B4CBE" w14:textId="77777777" w:rsidR="008253DD" w:rsidRPr="00CB40F4" w:rsidRDefault="008253DD" w:rsidP="008253DD">
      <w:pPr>
        <w:keepNext/>
        <w:rPr>
          <w:rFonts w:asciiTheme="majorBidi" w:hAnsiTheme="majorBidi" w:cstheme="majorBidi"/>
        </w:rPr>
      </w:pPr>
    </w:p>
    <w:p w14:paraId="5E58CC70" w14:textId="77777777" w:rsidR="008253DD" w:rsidRPr="00CB40F4" w:rsidRDefault="008253DD" w:rsidP="008253DD">
      <w:pPr>
        <w:keepNext/>
        <w:rPr>
          <w:rFonts w:asciiTheme="majorBidi" w:hAnsiTheme="majorBidi" w:cstheme="majorBidi"/>
          <w:b/>
          <w:sz w:val="22"/>
          <w:szCs w:val="22"/>
        </w:rPr>
      </w:pPr>
      <w:r w:rsidRPr="00CB40F4">
        <w:rPr>
          <w:rFonts w:asciiTheme="majorBidi" w:hAnsiTheme="majorBidi" w:cstheme="majorBidi"/>
          <w:b/>
          <w:sz w:val="22"/>
          <w:szCs w:val="22"/>
        </w:rPr>
        <w:t>Table 1-B: Annual Information Collection Paperwork Burden Estimates for Data Generation</w:t>
      </w:r>
    </w:p>
    <w:tbl>
      <w:tblPr>
        <w:tblW w:w="5000" w:type="pct"/>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4A0" w:firstRow="1" w:lastRow="0" w:firstColumn="1" w:lastColumn="0" w:noHBand="0" w:noVBand="1"/>
      </w:tblPr>
      <w:tblGrid>
        <w:gridCol w:w="1272"/>
        <w:gridCol w:w="1383"/>
        <w:gridCol w:w="1334"/>
        <w:gridCol w:w="1335"/>
        <w:gridCol w:w="1335"/>
        <w:gridCol w:w="1528"/>
        <w:gridCol w:w="1143"/>
      </w:tblGrid>
      <w:tr w:rsidR="008253DD" w:rsidRPr="00CB40F4" w14:paraId="54B5DF7C" w14:textId="77777777" w:rsidTr="001E1DD8">
        <w:trPr>
          <w:trHeight w:val="810"/>
        </w:trPr>
        <w:tc>
          <w:tcPr>
            <w:tcW w:w="665" w:type="pct"/>
            <w:shd w:val="clear" w:color="auto" w:fill="auto"/>
            <w:vAlign w:val="center"/>
            <w:hideMark/>
          </w:tcPr>
          <w:p w14:paraId="0FA7D2FC"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Registration Type</w:t>
            </w:r>
          </w:p>
        </w:tc>
        <w:tc>
          <w:tcPr>
            <w:tcW w:w="695" w:type="pct"/>
            <w:shd w:val="clear" w:color="auto" w:fill="auto"/>
            <w:vAlign w:val="center"/>
            <w:hideMark/>
          </w:tcPr>
          <w:p w14:paraId="3455CF69"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Number of registrants (respondents)</w:t>
            </w:r>
          </w:p>
        </w:tc>
        <w:tc>
          <w:tcPr>
            <w:tcW w:w="728" w:type="pct"/>
            <w:shd w:val="clear" w:color="auto" w:fill="auto"/>
            <w:vAlign w:val="center"/>
            <w:hideMark/>
          </w:tcPr>
          <w:p w14:paraId="5B02BC05"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w:t>
            </w:r>
          </w:p>
        </w:tc>
        <w:tc>
          <w:tcPr>
            <w:tcW w:w="728" w:type="pct"/>
            <w:shd w:val="clear" w:color="auto" w:fill="auto"/>
            <w:vAlign w:val="center"/>
            <w:hideMark/>
          </w:tcPr>
          <w:p w14:paraId="12F3F398"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 per respondent</w:t>
            </w:r>
          </w:p>
        </w:tc>
        <w:tc>
          <w:tcPr>
            <w:tcW w:w="728" w:type="pct"/>
            <w:shd w:val="clear" w:color="auto" w:fill="auto"/>
            <w:vAlign w:val="center"/>
            <w:hideMark/>
          </w:tcPr>
          <w:p w14:paraId="33D4D7A6" w14:textId="3441B4E9" w:rsidR="008253DD" w:rsidRPr="00CB40F4" w:rsidRDefault="00773105"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 xml:space="preserve">Average </w:t>
            </w:r>
            <w:r w:rsidR="008253DD" w:rsidRPr="00CB40F4">
              <w:rPr>
                <w:rFonts w:asciiTheme="majorBidi" w:hAnsiTheme="majorBidi" w:cstheme="majorBidi"/>
                <w:b/>
                <w:bCs/>
                <w:sz w:val="20"/>
                <w:szCs w:val="20"/>
              </w:rPr>
              <w:t>Burden per response (hours)</w:t>
            </w:r>
            <w:r w:rsidR="008253DD" w:rsidRPr="00CB40F4">
              <w:rPr>
                <w:rFonts w:asciiTheme="majorBidi" w:hAnsiTheme="majorBidi" w:cstheme="majorBidi"/>
                <w:b/>
                <w:bCs/>
                <w:sz w:val="20"/>
                <w:szCs w:val="20"/>
                <w:vertAlign w:val="superscript"/>
              </w:rPr>
              <w:t xml:space="preserve"> 1</w:t>
            </w:r>
          </w:p>
        </w:tc>
        <w:tc>
          <w:tcPr>
            <w:tcW w:w="831" w:type="pct"/>
            <w:shd w:val="clear" w:color="auto" w:fill="auto"/>
            <w:vAlign w:val="center"/>
            <w:hideMark/>
          </w:tcPr>
          <w:p w14:paraId="0761D572"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Average annual burden per respondent (hours)</w:t>
            </w:r>
          </w:p>
        </w:tc>
        <w:tc>
          <w:tcPr>
            <w:tcW w:w="626" w:type="pct"/>
            <w:shd w:val="clear" w:color="auto" w:fill="auto"/>
            <w:vAlign w:val="center"/>
            <w:hideMark/>
          </w:tcPr>
          <w:p w14:paraId="4F463D98" w14:textId="02D46B43" w:rsidR="008253DD" w:rsidRPr="00CB40F4" w:rsidRDefault="008253DD" w:rsidP="00650B2D">
            <w:pPr>
              <w:keepNext/>
              <w:keepLines/>
              <w:jc w:val="center"/>
              <w:rPr>
                <w:rFonts w:asciiTheme="majorBidi" w:hAnsiTheme="majorBidi" w:cstheme="majorBidi"/>
                <w:b/>
                <w:bCs/>
                <w:sz w:val="20"/>
                <w:szCs w:val="20"/>
                <w:vertAlign w:val="superscript"/>
              </w:rPr>
            </w:pPr>
            <w:r w:rsidRPr="00CB40F4">
              <w:rPr>
                <w:rFonts w:asciiTheme="majorBidi" w:hAnsiTheme="majorBidi" w:cstheme="majorBidi"/>
                <w:b/>
                <w:bCs/>
                <w:sz w:val="20"/>
                <w:szCs w:val="20"/>
              </w:rPr>
              <w:t>Average annual burden (hours)</w:t>
            </w:r>
            <w:r w:rsidR="008640E9" w:rsidRPr="00CB40F4">
              <w:rPr>
                <w:rFonts w:asciiTheme="majorBidi" w:hAnsiTheme="majorBidi" w:cstheme="majorBidi"/>
                <w:b/>
                <w:bCs/>
                <w:sz w:val="20"/>
                <w:szCs w:val="20"/>
                <w:vertAlign w:val="superscript"/>
              </w:rPr>
              <w:t xml:space="preserve"> 2</w:t>
            </w:r>
          </w:p>
        </w:tc>
      </w:tr>
      <w:tr w:rsidR="008253DD" w:rsidRPr="00CB40F4" w14:paraId="62278A3D" w14:textId="77777777" w:rsidTr="001E1DD8">
        <w:trPr>
          <w:trHeight w:val="360"/>
        </w:trPr>
        <w:tc>
          <w:tcPr>
            <w:tcW w:w="665" w:type="pct"/>
            <w:shd w:val="clear" w:color="auto" w:fill="auto"/>
            <w:vAlign w:val="center"/>
            <w:hideMark/>
          </w:tcPr>
          <w:p w14:paraId="604B8E22"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New AI</w:t>
            </w:r>
          </w:p>
        </w:tc>
        <w:tc>
          <w:tcPr>
            <w:tcW w:w="695" w:type="pct"/>
            <w:shd w:val="clear" w:color="auto" w:fill="auto"/>
            <w:vAlign w:val="center"/>
            <w:hideMark/>
          </w:tcPr>
          <w:p w14:paraId="4D989261"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1,751</w:t>
            </w:r>
          </w:p>
        </w:tc>
        <w:tc>
          <w:tcPr>
            <w:tcW w:w="728" w:type="pct"/>
            <w:shd w:val="clear" w:color="auto" w:fill="auto"/>
            <w:vAlign w:val="center"/>
            <w:hideMark/>
          </w:tcPr>
          <w:p w14:paraId="71347FE2"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30</w:t>
            </w:r>
          </w:p>
        </w:tc>
        <w:tc>
          <w:tcPr>
            <w:tcW w:w="728" w:type="pct"/>
            <w:shd w:val="clear" w:color="auto" w:fill="auto"/>
            <w:vAlign w:val="center"/>
            <w:hideMark/>
          </w:tcPr>
          <w:p w14:paraId="061AE97B"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0.017</w:t>
            </w:r>
          </w:p>
        </w:tc>
        <w:tc>
          <w:tcPr>
            <w:tcW w:w="728" w:type="pct"/>
            <w:shd w:val="clear" w:color="auto" w:fill="auto"/>
            <w:vAlign w:val="center"/>
            <w:hideMark/>
          </w:tcPr>
          <w:p w14:paraId="517BC835"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37,078</w:t>
            </w:r>
          </w:p>
        </w:tc>
        <w:tc>
          <w:tcPr>
            <w:tcW w:w="831" w:type="pct"/>
            <w:shd w:val="clear" w:color="auto" w:fill="auto"/>
            <w:vAlign w:val="center"/>
            <w:hideMark/>
          </w:tcPr>
          <w:p w14:paraId="14BC7FC2"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628</w:t>
            </w:r>
          </w:p>
        </w:tc>
        <w:tc>
          <w:tcPr>
            <w:tcW w:w="626" w:type="pct"/>
            <w:shd w:val="clear" w:color="auto" w:fill="auto"/>
            <w:vAlign w:val="center"/>
            <w:hideMark/>
          </w:tcPr>
          <w:p w14:paraId="1E7DFB89" w14:textId="6FAE64EB" w:rsidR="008253DD" w:rsidRPr="00CB40F4" w:rsidRDefault="008640E9" w:rsidP="008640E9">
            <w:pPr>
              <w:keepNext/>
              <w:keepLines/>
              <w:jc w:val="center"/>
              <w:rPr>
                <w:rFonts w:asciiTheme="majorBidi" w:hAnsiTheme="majorBidi" w:cstheme="majorBidi"/>
                <w:sz w:val="20"/>
                <w:szCs w:val="20"/>
              </w:rPr>
            </w:pPr>
            <w:r w:rsidRPr="00CB40F4">
              <w:rPr>
                <w:rFonts w:asciiTheme="majorBidi" w:hAnsiTheme="majorBidi" w:cstheme="majorBidi"/>
                <w:sz w:val="20"/>
                <w:szCs w:val="20"/>
              </w:rPr>
              <w:t>897,149</w:t>
            </w:r>
          </w:p>
        </w:tc>
      </w:tr>
      <w:tr w:rsidR="008253DD" w:rsidRPr="00CB40F4" w14:paraId="0181B4DF" w14:textId="77777777" w:rsidTr="001E1DD8">
        <w:trPr>
          <w:trHeight w:val="360"/>
        </w:trPr>
        <w:tc>
          <w:tcPr>
            <w:tcW w:w="665" w:type="pct"/>
            <w:shd w:val="clear" w:color="auto" w:fill="auto"/>
            <w:vAlign w:val="center"/>
            <w:hideMark/>
          </w:tcPr>
          <w:p w14:paraId="21EF2D57"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New Product</w:t>
            </w:r>
          </w:p>
        </w:tc>
        <w:tc>
          <w:tcPr>
            <w:tcW w:w="695" w:type="pct"/>
            <w:shd w:val="clear" w:color="auto" w:fill="auto"/>
            <w:vAlign w:val="center"/>
            <w:hideMark/>
          </w:tcPr>
          <w:p w14:paraId="6FAB1AA6"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1,751</w:t>
            </w:r>
          </w:p>
        </w:tc>
        <w:tc>
          <w:tcPr>
            <w:tcW w:w="728" w:type="pct"/>
            <w:shd w:val="clear" w:color="auto" w:fill="auto"/>
            <w:vAlign w:val="center"/>
            <w:hideMark/>
          </w:tcPr>
          <w:p w14:paraId="122A4D6A"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695</w:t>
            </w:r>
          </w:p>
        </w:tc>
        <w:tc>
          <w:tcPr>
            <w:tcW w:w="728" w:type="pct"/>
            <w:shd w:val="clear" w:color="auto" w:fill="auto"/>
            <w:vAlign w:val="center"/>
            <w:hideMark/>
          </w:tcPr>
          <w:p w14:paraId="7BE89FC4"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0.397</w:t>
            </w:r>
          </w:p>
        </w:tc>
        <w:tc>
          <w:tcPr>
            <w:tcW w:w="728" w:type="pct"/>
            <w:shd w:val="clear" w:color="auto" w:fill="auto"/>
            <w:vAlign w:val="center"/>
            <w:hideMark/>
          </w:tcPr>
          <w:p w14:paraId="26460E40"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625</w:t>
            </w:r>
          </w:p>
        </w:tc>
        <w:tc>
          <w:tcPr>
            <w:tcW w:w="831" w:type="pct"/>
            <w:shd w:val="clear" w:color="auto" w:fill="auto"/>
            <w:vAlign w:val="center"/>
            <w:hideMark/>
          </w:tcPr>
          <w:p w14:paraId="689D8464" w14:textId="77777777" w:rsidR="008253DD" w:rsidRPr="00CB40F4" w:rsidRDefault="008253DD" w:rsidP="00650B2D">
            <w:pPr>
              <w:keepNext/>
              <w:keepLines/>
              <w:jc w:val="center"/>
              <w:rPr>
                <w:rFonts w:asciiTheme="majorBidi" w:hAnsiTheme="majorBidi" w:cstheme="majorBidi"/>
                <w:sz w:val="20"/>
                <w:szCs w:val="20"/>
              </w:rPr>
            </w:pPr>
            <w:r w:rsidRPr="00CB40F4">
              <w:rPr>
                <w:rFonts w:asciiTheme="majorBidi" w:hAnsiTheme="majorBidi" w:cstheme="majorBidi"/>
                <w:sz w:val="20"/>
                <w:szCs w:val="20"/>
              </w:rPr>
              <w:t>248</w:t>
            </w:r>
          </w:p>
        </w:tc>
        <w:tc>
          <w:tcPr>
            <w:tcW w:w="626" w:type="pct"/>
            <w:shd w:val="clear" w:color="auto" w:fill="auto"/>
            <w:vAlign w:val="center"/>
            <w:hideMark/>
          </w:tcPr>
          <w:p w14:paraId="7DECD3AE" w14:textId="106279F8" w:rsidR="008253DD" w:rsidRPr="00CB40F4" w:rsidRDefault="008640E9" w:rsidP="008640E9">
            <w:pPr>
              <w:keepNext/>
              <w:keepLines/>
              <w:jc w:val="center"/>
              <w:rPr>
                <w:rFonts w:asciiTheme="majorBidi" w:hAnsiTheme="majorBidi" w:cstheme="majorBidi"/>
                <w:sz w:val="20"/>
                <w:szCs w:val="20"/>
              </w:rPr>
            </w:pPr>
            <w:r w:rsidRPr="00CB40F4">
              <w:rPr>
                <w:rFonts w:asciiTheme="majorBidi" w:hAnsiTheme="majorBidi" w:cstheme="majorBidi"/>
                <w:sz w:val="20"/>
                <w:szCs w:val="20"/>
              </w:rPr>
              <w:t>482,531</w:t>
            </w:r>
          </w:p>
        </w:tc>
      </w:tr>
      <w:tr w:rsidR="008253DD" w:rsidRPr="00CB40F4" w14:paraId="0017ADA9" w14:textId="77777777" w:rsidTr="001E1DD8">
        <w:trPr>
          <w:trHeight w:val="360"/>
        </w:trPr>
        <w:tc>
          <w:tcPr>
            <w:tcW w:w="665" w:type="pct"/>
            <w:shd w:val="clear" w:color="auto" w:fill="auto"/>
            <w:vAlign w:val="center"/>
          </w:tcPr>
          <w:p w14:paraId="68048FD3" w14:textId="77777777" w:rsidR="008253DD" w:rsidRPr="00CB40F4" w:rsidRDefault="008253DD" w:rsidP="00650B2D">
            <w:pPr>
              <w:keepNext/>
              <w:keepLines/>
              <w:jc w:val="center"/>
              <w:rPr>
                <w:rFonts w:asciiTheme="majorBidi" w:hAnsiTheme="majorBidi" w:cstheme="majorBidi"/>
                <w:b/>
                <w:bCs/>
                <w:sz w:val="20"/>
                <w:szCs w:val="20"/>
              </w:rPr>
            </w:pPr>
            <w:r w:rsidRPr="00CB40F4">
              <w:rPr>
                <w:rFonts w:asciiTheme="majorBidi" w:hAnsiTheme="majorBidi" w:cstheme="majorBidi"/>
                <w:b/>
                <w:bCs/>
                <w:sz w:val="20"/>
                <w:szCs w:val="20"/>
              </w:rPr>
              <w:t>All Types</w:t>
            </w:r>
          </w:p>
        </w:tc>
        <w:tc>
          <w:tcPr>
            <w:tcW w:w="695" w:type="pct"/>
            <w:shd w:val="clear" w:color="auto" w:fill="auto"/>
            <w:vAlign w:val="center"/>
          </w:tcPr>
          <w:p w14:paraId="120E7011"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1,751</w:t>
            </w:r>
          </w:p>
        </w:tc>
        <w:tc>
          <w:tcPr>
            <w:tcW w:w="728" w:type="pct"/>
            <w:shd w:val="clear" w:color="auto" w:fill="auto"/>
            <w:vAlign w:val="center"/>
          </w:tcPr>
          <w:p w14:paraId="4EEDF605"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725</w:t>
            </w:r>
          </w:p>
        </w:tc>
        <w:tc>
          <w:tcPr>
            <w:tcW w:w="728" w:type="pct"/>
            <w:shd w:val="clear" w:color="auto" w:fill="auto"/>
            <w:vAlign w:val="center"/>
          </w:tcPr>
          <w:p w14:paraId="1A04005A"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0.414</w:t>
            </w:r>
          </w:p>
        </w:tc>
        <w:tc>
          <w:tcPr>
            <w:tcW w:w="728" w:type="pct"/>
            <w:shd w:val="clear" w:color="auto" w:fill="auto"/>
            <w:vAlign w:val="center"/>
          </w:tcPr>
          <w:p w14:paraId="268E2AB4" w14:textId="77777777" w:rsidR="008253DD" w:rsidRPr="00CB40F4" w:rsidRDefault="008253DD" w:rsidP="00650B2D">
            <w:pPr>
              <w:keepNext/>
              <w:keepLines/>
              <w:jc w:val="center"/>
              <w:rPr>
                <w:rFonts w:asciiTheme="majorBidi" w:hAnsiTheme="majorBidi" w:cstheme="majorBidi"/>
                <w:b/>
                <w:sz w:val="20"/>
                <w:szCs w:val="20"/>
              </w:rPr>
            </w:pPr>
          </w:p>
        </w:tc>
        <w:tc>
          <w:tcPr>
            <w:tcW w:w="831" w:type="pct"/>
            <w:shd w:val="clear" w:color="auto" w:fill="auto"/>
            <w:vAlign w:val="center"/>
          </w:tcPr>
          <w:p w14:paraId="37090319" w14:textId="77777777" w:rsidR="008253DD" w:rsidRPr="00CB40F4" w:rsidRDefault="008253DD" w:rsidP="00650B2D">
            <w:pPr>
              <w:keepNext/>
              <w:keepLines/>
              <w:jc w:val="center"/>
              <w:rPr>
                <w:rFonts w:asciiTheme="majorBidi" w:hAnsiTheme="majorBidi" w:cstheme="majorBidi"/>
                <w:b/>
                <w:sz w:val="20"/>
                <w:szCs w:val="20"/>
              </w:rPr>
            </w:pPr>
            <w:r w:rsidRPr="00CB40F4">
              <w:rPr>
                <w:rFonts w:asciiTheme="majorBidi" w:hAnsiTheme="majorBidi" w:cstheme="majorBidi"/>
                <w:b/>
                <w:sz w:val="20"/>
                <w:szCs w:val="20"/>
              </w:rPr>
              <w:t>876</w:t>
            </w:r>
          </w:p>
        </w:tc>
        <w:tc>
          <w:tcPr>
            <w:tcW w:w="626" w:type="pct"/>
            <w:shd w:val="clear" w:color="auto" w:fill="auto"/>
            <w:vAlign w:val="center"/>
          </w:tcPr>
          <w:p w14:paraId="6FC8A966" w14:textId="3B4975FD" w:rsidR="008253DD" w:rsidRPr="00CB40F4" w:rsidRDefault="008253DD" w:rsidP="008640E9">
            <w:pPr>
              <w:keepNext/>
              <w:keepLines/>
              <w:jc w:val="center"/>
              <w:rPr>
                <w:rFonts w:asciiTheme="majorBidi" w:hAnsiTheme="majorBidi" w:cstheme="majorBidi"/>
                <w:b/>
                <w:sz w:val="20"/>
                <w:szCs w:val="20"/>
              </w:rPr>
            </w:pPr>
            <w:r w:rsidRPr="00CB40F4">
              <w:rPr>
                <w:rFonts w:asciiTheme="majorBidi" w:hAnsiTheme="majorBidi" w:cstheme="majorBidi"/>
                <w:b/>
                <w:sz w:val="20"/>
                <w:szCs w:val="20"/>
              </w:rPr>
              <w:t>1,</w:t>
            </w:r>
            <w:r w:rsidR="008640E9" w:rsidRPr="00CB40F4">
              <w:rPr>
                <w:rFonts w:asciiTheme="majorBidi" w:hAnsiTheme="majorBidi" w:cstheme="majorBidi"/>
                <w:b/>
                <w:sz w:val="20"/>
                <w:szCs w:val="20"/>
              </w:rPr>
              <w:t>379</w:t>
            </w:r>
            <w:r w:rsidRPr="00CB40F4">
              <w:rPr>
                <w:rFonts w:asciiTheme="majorBidi" w:hAnsiTheme="majorBidi" w:cstheme="majorBidi"/>
                <w:b/>
                <w:sz w:val="20"/>
                <w:szCs w:val="20"/>
              </w:rPr>
              <w:t>,68</w:t>
            </w:r>
            <w:r w:rsidR="008640E9" w:rsidRPr="00CB40F4">
              <w:rPr>
                <w:rFonts w:asciiTheme="majorBidi" w:hAnsiTheme="majorBidi" w:cstheme="majorBidi"/>
                <w:b/>
                <w:sz w:val="20"/>
                <w:szCs w:val="20"/>
              </w:rPr>
              <w:t>0</w:t>
            </w:r>
          </w:p>
        </w:tc>
      </w:tr>
    </w:tbl>
    <w:p w14:paraId="276DECC2" w14:textId="77777777" w:rsidR="008253DD" w:rsidRPr="00CB40F4" w:rsidRDefault="008253DD" w:rsidP="008253DD">
      <w:pPr>
        <w:keepNext/>
        <w:rPr>
          <w:rFonts w:asciiTheme="majorBidi" w:hAnsiTheme="majorBidi" w:cstheme="majorBidi"/>
          <w:sz w:val="2"/>
          <w:szCs w:val="2"/>
        </w:rPr>
      </w:pPr>
    </w:p>
    <w:tbl>
      <w:tblPr>
        <w:tblStyle w:val="TableGrid"/>
        <w:tblW w:w="0" w:type="auto"/>
        <w:tblLook w:val="04A0" w:firstRow="1" w:lastRow="0" w:firstColumn="1" w:lastColumn="0" w:noHBand="0" w:noVBand="1"/>
      </w:tblPr>
      <w:tblGrid>
        <w:gridCol w:w="9360"/>
      </w:tblGrid>
      <w:tr w:rsidR="008253DD" w:rsidRPr="00CB40F4" w14:paraId="631128CB" w14:textId="77777777" w:rsidTr="00650B2D">
        <w:tc>
          <w:tcPr>
            <w:tcW w:w="10070" w:type="dxa"/>
            <w:tcBorders>
              <w:top w:val="nil"/>
              <w:left w:val="nil"/>
              <w:right w:val="nil"/>
            </w:tcBorders>
          </w:tcPr>
          <w:p w14:paraId="2A23A92E" w14:textId="77777777" w:rsidR="008253DD" w:rsidRPr="00CB40F4" w:rsidRDefault="008253DD" w:rsidP="00650B2D">
            <w:pPr>
              <w:keepNext/>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Average burden hours per response across the three registering divisions. See Tables 6-A and 6-B for details.</w:t>
            </w:r>
          </w:p>
          <w:p w14:paraId="3F20A971" w14:textId="57C60FC2" w:rsidR="008640E9" w:rsidRPr="00CB40F4" w:rsidRDefault="008640E9" w:rsidP="00650B2D">
            <w:pPr>
              <w:keepNext/>
              <w:rPr>
                <w:rFonts w:asciiTheme="majorBidi" w:hAnsiTheme="majorBidi" w:cstheme="majorBidi"/>
                <w:sz w:val="21"/>
                <w:szCs w:val="21"/>
              </w:rPr>
            </w:pPr>
            <w:r w:rsidRPr="00CB40F4">
              <w:rPr>
                <w:rFonts w:asciiTheme="majorBidi" w:hAnsiTheme="majorBidi" w:cstheme="majorBidi"/>
                <w:sz w:val="21"/>
                <w:szCs w:val="21"/>
                <w:vertAlign w:val="superscript"/>
              </w:rPr>
              <w:t xml:space="preserve">2 </w:t>
            </w:r>
            <w:r w:rsidR="00773105" w:rsidRPr="00CB40F4">
              <w:rPr>
                <w:rFonts w:asciiTheme="majorBidi" w:hAnsiTheme="majorBidi" w:cstheme="majorBidi"/>
                <w:sz w:val="21"/>
                <w:szCs w:val="21"/>
              </w:rPr>
              <w:t>Average annual burden hours are calculated as the sum of average annual burden hours for each registration type and cannot be computed from the values in this table. See Tables 6-B and 7-B for details.</w:t>
            </w:r>
          </w:p>
        </w:tc>
      </w:tr>
    </w:tbl>
    <w:p w14:paraId="2456DE4C" w14:textId="77777777" w:rsidR="008253DD" w:rsidRPr="00CB40F4" w:rsidRDefault="008253DD" w:rsidP="008253DD">
      <w:pPr>
        <w:keepNext/>
        <w:rPr>
          <w:rFonts w:asciiTheme="majorBidi" w:hAnsiTheme="majorBidi" w:cstheme="majorBidi"/>
        </w:rPr>
      </w:pPr>
    </w:p>
    <w:p w14:paraId="339AC853" w14:textId="11EF5A01" w:rsidR="008253DD" w:rsidRPr="00CB40F4" w:rsidRDefault="008253DD" w:rsidP="008253DD">
      <w:pPr>
        <w:ind w:firstLine="720"/>
        <w:rPr>
          <w:rFonts w:asciiTheme="majorBidi" w:hAnsiTheme="majorBidi" w:cstheme="majorBidi"/>
          <w:bCs/>
        </w:rPr>
      </w:pPr>
      <w:r w:rsidRPr="00CB40F4">
        <w:rPr>
          <w:rFonts w:asciiTheme="majorBidi" w:hAnsiTheme="majorBidi" w:cstheme="majorBidi"/>
          <w:bCs/>
        </w:rPr>
        <w:t xml:space="preserve">To calculate the costs of </w:t>
      </w:r>
      <w:r w:rsidR="00EA46C9" w:rsidRPr="00CB40F4">
        <w:rPr>
          <w:rFonts w:asciiTheme="majorBidi" w:hAnsiTheme="majorBidi" w:cstheme="majorBidi"/>
          <w:bCs/>
        </w:rPr>
        <w:t xml:space="preserve">the </w:t>
      </w:r>
      <w:r w:rsidRPr="00CB40F4">
        <w:rPr>
          <w:rFonts w:asciiTheme="majorBidi" w:hAnsiTheme="majorBidi" w:cstheme="majorBidi"/>
          <w:bCs/>
        </w:rPr>
        <w:t>paperwork burden from the application process and from data generation, the burden hours were multiplied by current wages.</w:t>
      </w:r>
      <w:r w:rsidR="007841AD" w:rsidRPr="00CB40F4">
        <w:rPr>
          <w:rFonts w:asciiTheme="majorBidi" w:hAnsiTheme="majorBidi" w:cstheme="majorBidi"/>
          <w:bCs/>
        </w:rPr>
        <w:t xml:space="preserve"> </w:t>
      </w:r>
      <w:r w:rsidRPr="00CB40F4">
        <w:rPr>
          <w:rFonts w:asciiTheme="majorBidi" w:hAnsiTheme="majorBidi" w:cstheme="majorBidi"/>
          <w:bCs/>
        </w:rPr>
        <w:t>Agency economists revised the estimated wages, benefits and overhead for all labor categories for the affected industry and EPA employees based on publicly available data from the US Bureau of Labor Statistics.</w:t>
      </w:r>
      <w:r w:rsidR="007841AD" w:rsidRPr="00CB40F4">
        <w:rPr>
          <w:rFonts w:asciiTheme="majorBidi" w:hAnsiTheme="majorBidi" w:cstheme="majorBidi"/>
          <w:bCs/>
        </w:rPr>
        <w:t xml:space="preserve"> </w:t>
      </w:r>
      <w:r w:rsidRPr="00CB40F4">
        <w:rPr>
          <w:rFonts w:asciiTheme="majorBidi" w:hAnsiTheme="majorBidi" w:cstheme="majorBidi"/>
          <w:bCs/>
        </w:rPr>
        <w:t xml:space="preserve">The formulas used to estimate the labor rates and formulas used to derive the fully loaded wage rates </w:t>
      </w:r>
      <w:r w:rsidRPr="00CB40F4">
        <w:rPr>
          <w:rFonts w:asciiTheme="majorBidi" w:hAnsiTheme="majorBidi" w:cstheme="majorBidi"/>
          <w:bCs/>
        </w:rPr>
        <w:lastRenderedPageBreak/>
        <w:t xml:space="preserve">and overhead costs for this ICR renewal are presented in </w:t>
      </w:r>
      <w:r w:rsidRPr="00CB40F4">
        <w:rPr>
          <w:rFonts w:asciiTheme="majorBidi" w:hAnsiTheme="majorBidi" w:cstheme="majorBidi"/>
          <w:b/>
          <w:bCs/>
        </w:rPr>
        <w:t xml:space="preserve">Attachment </w:t>
      </w:r>
      <w:r w:rsidR="007A6470" w:rsidRPr="00CB40F4">
        <w:rPr>
          <w:rFonts w:asciiTheme="majorBidi" w:hAnsiTheme="majorBidi" w:cstheme="majorBidi"/>
          <w:b/>
          <w:bCs/>
        </w:rPr>
        <w:t>J</w:t>
      </w:r>
      <w:r w:rsidRPr="00CB40F4">
        <w:rPr>
          <w:rFonts w:asciiTheme="majorBidi" w:hAnsiTheme="majorBidi" w:cstheme="majorBidi"/>
          <w:b/>
          <w:bCs/>
        </w:rPr>
        <w:t>.</w:t>
      </w:r>
      <w:r w:rsidR="007841AD" w:rsidRPr="00CB40F4">
        <w:rPr>
          <w:rFonts w:asciiTheme="majorBidi" w:hAnsiTheme="majorBidi" w:cstheme="majorBidi"/>
          <w:bCs/>
        </w:rPr>
        <w:t xml:space="preserve"> </w:t>
      </w:r>
      <w:r w:rsidRPr="00CB40F4">
        <w:rPr>
          <w:rFonts w:asciiTheme="majorBidi" w:hAnsiTheme="majorBidi" w:cstheme="majorBidi"/>
          <w:bCs/>
        </w:rPr>
        <w:t>Cost estimates are provided in the following sections.</w:t>
      </w:r>
    </w:p>
    <w:p w14:paraId="5403F344" w14:textId="5A57CF2D" w:rsidR="008253DD" w:rsidRPr="00CB40F4" w:rsidRDefault="008253DD" w:rsidP="008253DD">
      <w:pPr>
        <w:rPr>
          <w:rFonts w:asciiTheme="majorBidi" w:hAnsiTheme="majorBidi" w:cstheme="majorBidi"/>
          <w:b/>
        </w:rPr>
      </w:pPr>
    </w:p>
    <w:p w14:paraId="36984CBF" w14:textId="77777777" w:rsidR="008253DD" w:rsidRPr="00CB40F4" w:rsidRDefault="008253DD" w:rsidP="008253DD">
      <w:pPr>
        <w:ind w:firstLine="720"/>
        <w:rPr>
          <w:rFonts w:asciiTheme="majorBidi" w:hAnsiTheme="majorBidi" w:cstheme="majorBidi"/>
          <w:b/>
        </w:rPr>
      </w:pPr>
      <w:r w:rsidRPr="00CB40F4">
        <w:rPr>
          <w:rFonts w:asciiTheme="majorBidi" w:hAnsiTheme="majorBidi" w:cstheme="majorBidi"/>
          <w:b/>
        </w:rPr>
        <w:t>6(a)</w:t>
      </w:r>
      <w:r w:rsidRPr="00CB40F4">
        <w:rPr>
          <w:rFonts w:asciiTheme="majorBidi" w:hAnsiTheme="majorBidi" w:cstheme="majorBidi"/>
          <w:b/>
        </w:rPr>
        <w:tab/>
        <w:t>Respondent Paperwork Burden Hours and Cost from Application Process</w:t>
      </w:r>
    </w:p>
    <w:p w14:paraId="0BC51B73" w14:textId="77777777" w:rsidR="008253DD" w:rsidRPr="00CB40F4" w:rsidRDefault="008253DD" w:rsidP="008253DD">
      <w:pPr>
        <w:rPr>
          <w:rFonts w:asciiTheme="majorBidi" w:hAnsiTheme="majorBidi" w:cstheme="majorBidi"/>
          <w:b/>
        </w:rPr>
      </w:pPr>
    </w:p>
    <w:p w14:paraId="23BAB903" w14:textId="22262A49" w:rsidR="008253DD" w:rsidRPr="00CB40F4" w:rsidRDefault="008253DD" w:rsidP="008253DD">
      <w:pPr>
        <w:rPr>
          <w:rFonts w:asciiTheme="majorBidi" w:hAnsiTheme="majorBidi" w:cstheme="majorBidi"/>
        </w:rPr>
      </w:pPr>
      <w:r w:rsidRPr="00CB40F4">
        <w:rPr>
          <w:rFonts w:asciiTheme="majorBidi" w:hAnsiTheme="majorBidi" w:cstheme="majorBidi"/>
        </w:rPr>
        <w:tab/>
        <w:t>This section describes the methodologies and provides estimates of respondent paperwork burden hours and costs from the application process.</w:t>
      </w:r>
      <w:r w:rsidR="007841AD" w:rsidRPr="00CB40F4">
        <w:rPr>
          <w:rFonts w:asciiTheme="majorBidi" w:hAnsiTheme="majorBidi" w:cstheme="majorBidi"/>
        </w:rPr>
        <w:t xml:space="preserve"> </w:t>
      </w:r>
      <w:r w:rsidRPr="00CB40F4">
        <w:rPr>
          <w:rFonts w:asciiTheme="majorBidi" w:hAnsiTheme="majorBidi" w:cstheme="majorBidi"/>
        </w:rPr>
        <w:t>The reporting and recordkeeping burden associated with the Section 3 application process for registering of pesticides may be thought of in terms of three general categories of burden (including most registration actions except those pertaining to setting tolerances and inert ingredients).</w:t>
      </w:r>
      <w:r w:rsidR="007841AD" w:rsidRPr="00CB40F4">
        <w:rPr>
          <w:rFonts w:asciiTheme="majorBidi" w:hAnsiTheme="majorBidi" w:cstheme="majorBidi"/>
        </w:rPr>
        <w:t xml:space="preserve"> </w:t>
      </w:r>
    </w:p>
    <w:p w14:paraId="4D585E56" w14:textId="77777777" w:rsidR="008253DD" w:rsidRPr="00CB40F4" w:rsidRDefault="008253DD" w:rsidP="008253DD">
      <w:pPr>
        <w:ind w:firstLine="720"/>
        <w:rPr>
          <w:rFonts w:asciiTheme="majorBidi" w:hAnsiTheme="majorBidi" w:cstheme="majorBidi"/>
        </w:rPr>
      </w:pPr>
    </w:p>
    <w:p w14:paraId="5227F690" w14:textId="7C18B20F" w:rsidR="008253DD" w:rsidRPr="00CB40F4" w:rsidRDefault="008253DD" w:rsidP="00EA46C9">
      <w:pPr>
        <w:ind w:firstLine="720"/>
        <w:rPr>
          <w:rFonts w:asciiTheme="majorBidi" w:hAnsiTheme="majorBidi" w:cstheme="majorBidi"/>
        </w:rPr>
      </w:pPr>
      <w:r w:rsidRPr="00CB40F4">
        <w:rPr>
          <w:rFonts w:asciiTheme="majorBidi" w:hAnsiTheme="majorBidi" w:cstheme="majorBidi"/>
        </w:rPr>
        <w:t xml:space="preserve">To determine the appropriate number of applications (responses) for each category, </w:t>
      </w:r>
      <w:r w:rsidR="00EA46C9" w:rsidRPr="00CB40F4">
        <w:rPr>
          <w:rFonts w:asciiTheme="majorBidi" w:hAnsiTheme="majorBidi" w:cstheme="majorBidi"/>
        </w:rPr>
        <w:t xml:space="preserve">the </w:t>
      </w:r>
      <w:r w:rsidRPr="00CB40F4">
        <w:rPr>
          <w:rFonts w:asciiTheme="majorBidi" w:hAnsiTheme="majorBidi" w:cstheme="majorBidi"/>
        </w:rPr>
        <w:t>EPA averaged data on pesticide registration activities from 2012-2014.</w:t>
      </w:r>
      <w:r w:rsidR="007841AD" w:rsidRPr="00CB40F4">
        <w:rPr>
          <w:rFonts w:asciiTheme="majorBidi" w:hAnsiTheme="majorBidi" w:cstheme="majorBidi"/>
        </w:rPr>
        <w:t xml:space="preserve"> </w:t>
      </w:r>
      <w:r w:rsidRPr="00CB40F4">
        <w:rPr>
          <w:rFonts w:asciiTheme="majorBidi" w:eastAsiaTheme="minorHAnsi" w:hAnsiTheme="majorBidi" w:cstheme="majorBidi"/>
          <w:color w:val="000000"/>
        </w:rPr>
        <w:t xml:space="preserve">When the Agency receives applications for registrations and amendments to registrations, these actions are tracked in </w:t>
      </w:r>
      <w:r w:rsidR="00EA46C9" w:rsidRPr="00CB40F4">
        <w:rPr>
          <w:rFonts w:asciiTheme="majorBidi" w:eastAsiaTheme="minorHAnsi" w:hAnsiTheme="majorBidi" w:cstheme="majorBidi"/>
          <w:color w:val="000000"/>
        </w:rPr>
        <w:t>OPP’</w:t>
      </w:r>
      <w:r w:rsidRPr="00CB40F4">
        <w:rPr>
          <w:rFonts w:asciiTheme="majorBidi" w:eastAsiaTheme="minorHAnsi" w:hAnsiTheme="majorBidi" w:cstheme="majorBidi"/>
          <w:color w:val="000000"/>
        </w:rPr>
        <w:t>s central database system, called OPPIN.</w:t>
      </w:r>
      <w:r w:rsidR="007841AD" w:rsidRPr="00CB40F4">
        <w:rPr>
          <w:rFonts w:asciiTheme="majorBidi" w:eastAsiaTheme="minorHAnsi" w:hAnsiTheme="majorBidi" w:cstheme="majorBidi"/>
          <w:color w:val="000000"/>
        </w:rPr>
        <w:t xml:space="preserve"> </w:t>
      </w:r>
      <w:r w:rsidRPr="00CB40F4">
        <w:rPr>
          <w:rFonts w:asciiTheme="majorBidi" w:eastAsiaTheme="minorHAnsi" w:hAnsiTheme="majorBidi" w:cstheme="majorBidi"/>
          <w:color w:val="000000"/>
        </w:rPr>
        <w:t>From this system, the Agency can provide reporting on actual numbers of applications, broken down by several major types.</w:t>
      </w:r>
      <w:r w:rsidR="007841AD" w:rsidRPr="00CB40F4">
        <w:rPr>
          <w:rFonts w:asciiTheme="majorBidi" w:eastAsiaTheme="minorHAnsi" w:hAnsiTheme="majorBidi" w:cstheme="majorBidi"/>
          <w:color w:val="000000"/>
        </w:rPr>
        <w:t xml:space="preserve"> </w:t>
      </w:r>
      <w:r w:rsidRPr="00CB40F4">
        <w:rPr>
          <w:rFonts w:asciiTheme="majorBidi" w:eastAsiaTheme="minorHAnsi" w:hAnsiTheme="majorBidi" w:cstheme="majorBidi"/>
          <w:color w:val="000000"/>
        </w:rPr>
        <w:t xml:space="preserve">Each registering division further tracks </w:t>
      </w:r>
      <w:r w:rsidR="00EA46C9" w:rsidRPr="00CB40F4">
        <w:rPr>
          <w:rFonts w:asciiTheme="majorBidi" w:eastAsiaTheme="minorHAnsi" w:hAnsiTheme="majorBidi" w:cstheme="majorBidi"/>
          <w:color w:val="000000"/>
        </w:rPr>
        <w:t xml:space="preserve">registration-related </w:t>
      </w:r>
      <w:r w:rsidRPr="00CB40F4">
        <w:rPr>
          <w:rFonts w:asciiTheme="majorBidi" w:eastAsiaTheme="minorHAnsi" w:hAnsiTheme="majorBidi" w:cstheme="majorBidi"/>
          <w:color w:val="000000"/>
        </w:rPr>
        <w:t>applications in greater detail.</w:t>
      </w:r>
      <w:r w:rsidR="007841AD" w:rsidRPr="00CB40F4">
        <w:rPr>
          <w:rFonts w:asciiTheme="majorBidi" w:eastAsiaTheme="minorHAnsi" w:hAnsiTheme="majorBidi" w:cstheme="majorBidi"/>
          <w:color w:val="000000"/>
        </w:rPr>
        <w:t xml:space="preserve"> </w:t>
      </w:r>
      <w:r w:rsidRPr="00CB40F4">
        <w:rPr>
          <w:rFonts w:asciiTheme="majorBidi" w:eastAsiaTheme="minorHAnsi" w:hAnsiTheme="majorBidi" w:cstheme="majorBidi"/>
          <w:color w:val="000000"/>
        </w:rPr>
        <w:t>Information from the central database and supplemental divisional tracking is used as the basis of the burden estimates.</w:t>
      </w:r>
    </w:p>
    <w:p w14:paraId="622ACCAD" w14:textId="77777777" w:rsidR="008253DD" w:rsidRPr="00CB40F4" w:rsidRDefault="008253DD" w:rsidP="008253DD">
      <w:pPr>
        <w:keepNext/>
        <w:ind w:firstLine="720"/>
        <w:rPr>
          <w:rFonts w:asciiTheme="majorBidi" w:hAnsiTheme="majorBidi" w:cstheme="majorBidi"/>
        </w:rPr>
      </w:pPr>
    </w:p>
    <w:p w14:paraId="1EFAE4F0" w14:textId="5A73F32B" w:rsidR="008253DD" w:rsidRPr="00CB40F4" w:rsidRDefault="008253DD" w:rsidP="003338A5">
      <w:pPr>
        <w:keepNext/>
        <w:ind w:firstLine="720"/>
        <w:rPr>
          <w:rFonts w:asciiTheme="majorBidi" w:hAnsiTheme="majorBidi" w:cstheme="majorBidi"/>
        </w:rPr>
      </w:pPr>
      <w:r w:rsidRPr="00CB40F4">
        <w:rPr>
          <w:rFonts w:asciiTheme="majorBidi" w:hAnsiTheme="majorBidi" w:cstheme="majorBidi"/>
        </w:rPr>
        <w:t xml:space="preserve">The average number of responses annually has changed </w:t>
      </w:r>
      <w:r w:rsidR="003338A5" w:rsidRPr="00CB40F4">
        <w:rPr>
          <w:rFonts w:asciiTheme="majorBidi" w:hAnsiTheme="majorBidi" w:cstheme="majorBidi"/>
        </w:rPr>
        <w:t xml:space="preserve">since </w:t>
      </w:r>
      <w:r w:rsidRPr="00CB40F4">
        <w:rPr>
          <w:rFonts w:asciiTheme="majorBidi" w:hAnsiTheme="majorBidi" w:cstheme="majorBidi"/>
        </w:rPr>
        <w:t>the last ICR renewal from 8,136 to 7,478, a decrease of about eight percent.</w:t>
      </w:r>
      <w:r w:rsidR="007841AD" w:rsidRPr="00CB40F4">
        <w:rPr>
          <w:rFonts w:asciiTheme="majorBidi" w:hAnsiTheme="majorBidi" w:cstheme="majorBidi"/>
        </w:rPr>
        <w:t xml:space="preserve"> </w:t>
      </w:r>
      <w:r w:rsidRPr="00CB40F4">
        <w:rPr>
          <w:rFonts w:asciiTheme="majorBidi" w:hAnsiTheme="majorBidi" w:cstheme="majorBidi"/>
        </w:rPr>
        <w:t>Table 2 shows the average number of applications per year by type and division.</w:t>
      </w:r>
      <w:r w:rsidR="007841AD" w:rsidRPr="00CB40F4">
        <w:rPr>
          <w:rFonts w:asciiTheme="majorBidi" w:hAnsiTheme="majorBidi" w:cstheme="majorBidi"/>
        </w:rPr>
        <w:t xml:space="preserve"> </w:t>
      </w:r>
      <w:r w:rsidRPr="00CB40F4">
        <w:rPr>
          <w:rFonts w:asciiTheme="majorBidi" w:hAnsiTheme="majorBidi" w:cstheme="majorBidi"/>
        </w:rPr>
        <w:t>Across all registering divisions, there were 7,478 Section 3 registration actions annually</w:t>
      </w:r>
      <w:r w:rsidR="00423CF3" w:rsidRPr="00CB40F4">
        <w:rPr>
          <w:rFonts w:asciiTheme="majorBidi" w:hAnsiTheme="majorBidi" w:cstheme="majorBidi"/>
        </w:rPr>
        <w:t>,</w:t>
      </w:r>
      <w:r w:rsidRPr="00CB40F4">
        <w:rPr>
          <w:rFonts w:asciiTheme="majorBidi" w:hAnsiTheme="majorBidi" w:cstheme="majorBidi"/>
        </w:rPr>
        <w:t xml:space="preserve"> on average</w:t>
      </w:r>
      <w:r w:rsidR="00423CF3" w:rsidRPr="00CB40F4">
        <w:rPr>
          <w:rFonts w:asciiTheme="majorBidi" w:hAnsiTheme="majorBidi" w:cstheme="majorBidi"/>
        </w:rPr>
        <w:t>,</w:t>
      </w:r>
      <w:r w:rsidRPr="00CB40F4">
        <w:rPr>
          <w:rFonts w:asciiTheme="majorBidi" w:hAnsiTheme="majorBidi" w:cstheme="majorBidi"/>
        </w:rPr>
        <w:t xml:space="preserve"> </w:t>
      </w:r>
      <w:r w:rsidR="00423CF3" w:rsidRPr="00CB40F4">
        <w:rPr>
          <w:rFonts w:asciiTheme="majorBidi" w:hAnsiTheme="majorBidi" w:cstheme="majorBidi"/>
        </w:rPr>
        <w:t xml:space="preserve">during </w:t>
      </w:r>
      <w:r w:rsidRPr="00CB40F4">
        <w:rPr>
          <w:rFonts w:asciiTheme="majorBidi" w:hAnsiTheme="majorBidi" w:cstheme="majorBidi"/>
        </w:rPr>
        <w:t>the years 2012-2014.</w:t>
      </w:r>
      <w:r w:rsidR="007841AD" w:rsidRPr="00CB40F4">
        <w:rPr>
          <w:rFonts w:asciiTheme="majorBidi" w:hAnsiTheme="majorBidi" w:cstheme="majorBidi"/>
        </w:rPr>
        <w:t xml:space="preserve"> </w:t>
      </w:r>
      <w:r w:rsidRPr="00CB40F4">
        <w:rPr>
          <w:rFonts w:asciiTheme="majorBidi" w:hAnsiTheme="majorBidi" w:cstheme="majorBidi"/>
        </w:rPr>
        <w:t>These included an average of 197 “Type A” activities, 7,273 “Type B” activities, and 8 “Type C” activities.</w:t>
      </w:r>
      <w:r w:rsidR="007841AD" w:rsidRPr="00CB40F4">
        <w:rPr>
          <w:rFonts w:asciiTheme="majorBidi" w:hAnsiTheme="majorBidi" w:cstheme="majorBidi"/>
        </w:rPr>
        <w:t xml:space="preserve"> </w:t>
      </w:r>
    </w:p>
    <w:p w14:paraId="1A2D87BB" w14:textId="77777777" w:rsidR="008253DD" w:rsidRPr="00CB40F4" w:rsidRDefault="008253DD" w:rsidP="008253DD">
      <w:pPr>
        <w:keepNext/>
        <w:rPr>
          <w:rFonts w:asciiTheme="majorBidi" w:hAnsiTheme="majorBidi" w:cstheme="majorBidi"/>
          <w:u w:val="single"/>
        </w:rPr>
      </w:pPr>
    </w:p>
    <w:p w14:paraId="0B7E6D5D" w14:textId="77777777" w:rsidR="00A0113A" w:rsidRPr="00CB40F4" w:rsidRDefault="00A0113A" w:rsidP="008253DD">
      <w:pPr>
        <w:keepNext/>
        <w:rPr>
          <w:rFonts w:asciiTheme="majorBidi" w:hAnsiTheme="majorBidi" w:cstheme="majorBidi"/>
          <w:u w:val="single"/>
        </w:rPr>
      </w:pPr>
    </w:p>
    <w:p w14:paraId="6C2E8F1E" w14:textId="1AC0B3D8" w:rsidR="008253DD" w:rsidRPr="00CB40F4" w:rsidRDefault="008253DD" w:rsidP="004F1F2A">
      <w:pPr>
        <w:keepNext/>
        <w:rPr>
          <w:rFonts w:asciiTheme="majorBidi" w:hAnsiTheme="majorBidi" w:cstheme="majorBidi"/>
          <w:u w:val="single"/>
        </w:rPr>
      </w:pPr>
      <w:r w:rsidRPr="00CB40F4">
        <w:rPr>
          <w:rFonts w:asciiTheme="majorBidi" w:hAnsiTheme="majorBidi" w:cstheme="majorBidi"/>
          <w:b/>
          <w:bCs/>
          <w:sz w:val="22"/>
          <w:szCs w:val="22"/>
        </w:rPr>
        <w:t xml:space="preserve">Table 2: Average Annual Number of Actions by Type and Division, 2012-2014 </w:t>
      </w:r>
      <w:r w:rsidR="004F1F2A" w:rsidRPr="00CB40F4">
        <w:rPr>
          <w:rFonts w:asciiTheme="majorBidi" w:hAnsiTheme="majorBidi" w:cstheme="majorBidi"/>
          <w:b/>
          <w:bCs/>
          <w:sz w:val="22"/>
          <w:szCs w:val="22"/>
        </w:rPr>
        <w:t>Average</w:t>
      </w:r>
    </w:p>
    <w:tbl>
      <w:tblPr>
        <w:tblW w:w="7550" w:type="dxa"/>
        <w:tblInd w:w="-5"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4A0" w:firstRow="1" w:lastRow="0" w:firstColumn="1" w:lastColumn="0" w:noHBand="0" w:noVBand="1"/>
      </w:tblPr>
      <w:tblGrid>
        <w:gridCol w:w="1910"/>
        <w:gridCol w:w="1410"/>
        <w:gridCol w:w="1410"/>
        <w:gridCol w:w="1410"/>
        <w:gridCol w:w="1410"/>
      </w:tblGrid>
      <w:tr w:rsidR="008253DD" w:rsidRPr="00CB40F4" w14:paraId="712D321D" w14:textId="77777777" w:rsidTr="00650B2D">
        <w:trPr>
          <w:trHeight w:val="300"/>
        </w:trPr>
        <w:tc>
          <w:tcPr>
            <w:tcW w:w="1910" w:type="dxa"/>
            <w:shd w:val="clear" w:color="auto" w:fill="auto"/>
            <w:noWrap/>
            <w:vAlign w:val="center"/>
            <w:hideMark/>
          </w:tcPr>
          <w:p w14:paraId="51356D74" w14:textId="77777777" w:rsidR="008253DD" w:rsidRPr="00CB40F4" w:rsidRDefault="008253DD" w:rsidP="00650B2D">
            <w:pPr>
              <w:jc w:val="center"/>
              <w:rPr>
                <w:rFonts w:asciiTheme="majorBidi" w:hAnsiTheme="majorBidi" w:cstheme="majorBidi"/>
                <w:sz w:val="22"/>
                <w:szCs w:val="22"/>
              </w:rPr>
            </w:pPr>
          </w:p>
        </w:tc>
        <w:tc>
          <w:tcPr>
            <w:tcW w:w="1410" w:type="dxa"/>
            <w:shd w:val="clear" w:color="auto" w:fill="auto"/>
            <w:noWrap/>
            <w:vAlign w:val="center"/>
            <w:hideMark/>
          </w:tcPr>
          <w:p w14:paraId="09B4E937"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AD</w:t>
            </w:r>
          </w:p>
        </w:tc>
        <w:tc>
          <w:tcPr>
            <w:tcW w:w="1410" w:type="dxa"/>
            <w:shd w:val="clear" w:color="auto" w:fill="auto"/>
            <w:noWrap/>
            <w:vAlign w:val="center"/>
            <w:hideMark/>
          </w:tcPr>
          <w:p w14:paraId="7C638FEF"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BPPD</w:t>
            </w:r>
          </w:p>
        </w:tc>
        <w:tc>
          <w:tcPr>
            <w:tcW w:w="1410" w:type="dxa"/>
            <w:shd w:val="clear" w:color="auto" w:fill="auto"/>
            <w:noWrap/>
            <w:vAlign w:val="center"/>
            <w:hideMark/>
          </w:tcPr>
          <w:p w14:paraId="1295C36E"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RD</w:t>
            </w:r>
          </w:p>
        </w:tc>
        <w:tc>
          <w:tcPr>
            <w:tcW w:w="1410" w:type="dxa"/>
            <w:vAlign w:val="center"/>
          </w:tcPr>
          <w:p w14:paraId="16771354"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All Divisions</w:t>
            </w:r>
          </w:p>
        </w:tc>
      </w:tr>
      <w:tr w:rsidR="008253DD" w:rsidRPr="00CB40F4" w14:paraId="0D259B04" w14:textId="77777777" w:rsidTr="00650B2D">
        <w:trPr>
          <w:trHeight w:val="300"/>
        </w:trPr>
        <w:tc>
          <w:tcPr>
            <w:tcW w:w="1910" w:type="dxa"/>
            <w:shd w:val="clear" w:color="auto" w:fill="auto"/>
            <w:noWrap/>
            <w:vAlign w:val="center"/>
            <w:hideMark/>
          </w:tcPr>
          <w:p w14:paraId="6DE87001"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Type A</w:t>
            </w:r>
          </w:p>
        </w:tc>
        <w:tc>
          <w:tcPr>
            <w:tcW w:w="1410" w:type="dxa"/>
            <w:shd w:val="clear" w:color="auto" w:fill="auto"/>
            <w:noWrap/>
            <w:vAlign w:val="center"/>
            <w:hideMark/>
          </w:tcPr>
          <w:p w14:paraId="091DBEBE"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16</w:t>
            </w:r>
          </w:p>
        </w:tc>
        <w:tc>
          <w:tcPr>
            <w:tcW w:w="1410" w:type="dxa"/>
            <w:shd w:val="clear" w:color="auto" w:fill="auto"/>
            <w:noWrap/>
            <w:vAlign w:val="center"/>
            <w:hideMark/>
          </w:tcPr>
          <w:p w14:paraId="552B338C"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22</w:t>
            </w:r>
          </w:p>
        </w:tc>
        <w:tc>
          <w:tcPr>
            <w:tcW w:w="1410" w:type="dxa"/>
            <w:shd w:val="clear" w:color="auto" w:fill="auto"/>
            <w:noWrap/>
            <w:vAlign w:val="center"/>
            <w:hideMark/>
          </w:tcPr>
          <w:p w14:paraId="7565685C"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159</w:t>
            </w:r>
          </w:p>
        </w:tc>
        <w:tc>
          <w:tcPr>
            <w:tcW w:w="1410" w:type="dxa"/>
            <w:vAlign w:val="center"/>
          </w:tcPr>
          <w:p w14:paraId="4E617DD8"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197</w:t>
            </w:r>
          </w:p>
        </w:tc>
      </w:tr>
      <w:tr w:rsidR="008253DD" w:rsidRPr="00CB40F4" w14:paraId="6A183C30" w14:textId="77777777" w:rsidTr="00650B2D">
        <w:trPr>
          <w:trHeight w:val="300"/>
        </w:trPr>
        <w:tc>
          <w:tcPr>
            <w:tcW w:w="1910" w:type="dxa"/>
            <w:shd w:val="clear" w:color="auto" w:fill="auto"/>
            <w:noWrap/>
            <w:vAlign w:val="center"/>
            <w:hideMark/>
          </w:tcPr>
          <w:p w14:paraId="76B8B03B"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Type B</w:t>
            </w:r>
          </w:p>
        </w:tc>
        <w:tc>
          <w:tcPr>
            <w:tcW w:w="1410" w:type="dxa"/>
            <w:shd w:val="clear" w:color="auto" w:fill="auto"/>
            <w:noWrap/>
            <w:vAlign w:val="center"/>
            <w:hideMark/>
          </w:tcPr>
          <w:p w14:paraId="264DC81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2,254</w:t>
            </w:r>
          </w:p>
        </w:tc>
        <w:tc>
          <w:tcPr>
            <w:tcW w:w="1410" w:type="dxa"/>
            <w:shd w:val="clear" w:color="auto" w:fill="auto"/>
            <w:noWrap/>
            <w:vAlign w:val="center"/>
            <w:hideMark/>
          </w:tcPr>
          <w:p w14:paraId="1101C930"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575</w:t>
            </w:r>
          </w:p>
        </w:tc>
        <w:tc>
          <w:tcPr>
            <w:tcW w:w="1410" w:type="dxa"/>
            <w:shd w:val="clear" w:color="auto" w:fill="auto"/>
            <w:noWrap/>
            <w:vAlign w:val="center"/>
            <w:hideMark/>
          </w:tcPr>
          <w:p w14:paraId="0C8FFE13"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4,444</w:t>
            </w:r>
          </w:p>
        </w:tc>
        <w:tc>
          <w:tcPr>
            <w:tcW w:w="1410" w:type="dxa"/>
            <w:vAlign w:val="center"/>
          </w:tcPr>
          <w:p w14:paraId="0B12C4E5"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7,273</w:t>
            </w:r>
          </w:p>
        </w:tc>
      </w:tr>
      <w:tr w:rsidR="008253DD" w:rsidRPr="00CB40F4" w14:paraId="03E1C835" w14:textId="77777777" w:rsidTr="00650B2D">
        <w:trPr>
          <w:trHeight w:val="300"/>
        </w:trPr>
        <w:tc>
          <w:tcPr>
            <w:tcW w:w="1910" w:type="dxa"/>
            <w:shd w:val="clear" w:color="auto" w:fill="auto"/>
            <w:noWrap/>
            <w:vAlign w:val="center"/>
            <w:hideMark/>
          </w:tcPr>
          <w:p w14:paraId="3EC9E3B7"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Type C</w:t>
            </w:r>
          </w:p>
        </w:tc>
        <w:tc>
          <w:tcPr>
            <w:tcW w:w="1410" w:type="dxa"/>
            <w:shd w:val="clear" w:color="auto" w:fill="auto"/>
            <w:noWrap/>
            <w:vAlign w:val="center"/>
            <w:hideMark/>
          </w:tcPr>
          <w:p w14:paraId="6231BAFF"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0</w:t>
            </w:r>
          </w:p>
        </w:tc>
        <w:tc>
          <w:tcPr>
            <w:tcW w:w="1410" w:type="dxa"/>
            <w:shd w:val="clear" w:color="auto" w:fill="auto"/>
            <w:noWrap/>
            <w:vAlign w:val="center"/>
            <w:hideMark/>
          </w:tcPr>
          <w:p w14:paraId="28DFA879"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0</w:t>
            </w:r>
          </w:p>
        </w:tc>
        <w:tc>
          <w:tcPr>
            <w:tcW w:w="1410" w:type="dxa"/>
            <w:shd w:val="clear" w:color="auto" w:fill="auto"/>
            <w:noWrap/>
            <w:vAlign w:val="center"/>
            <w:hideMark/>
          </w:tcPr>
          <w:p w14:paraId="274EE9A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8</w:t>
            </w:r>
          </w:p>
        </w:tc>
        <w:tc>
          <w:tcPr>
            <w:tcW w:w="1410" w:type="dxa"/>
            <w:vAlign w:val="center"/>
          </w:tcPr>
          <w:p w14:paraId="196647EB"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8</w:t>
            </w:r>
          </w:p>
        </w:tc>
      </w:tr>
      <w:tr w:rsidR="008253DD" w:rsidRPr="00CB40F4" w14:paraId="0F804A1E" w14:textId="77777777" w:rsidTr="00650B2D">
        <w:trPr>
          <w:trHeight w:val="300"/>
        </w:trPr>
        <w:tc>
          <w:tcPr>
            <w:tcW w:w="1910" w:type="dxa"/>
            <w:shd w:val="clear" w:color="auto" w:fill="auto"/>
            <w:noWrap/>
            <w:vAlign w:val="center"/>
          </w:tcPr>
          <w:p w14:paraId="07CA57D3"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All Action Types</w:t>
            </w:r>
          </w:p>
        </w:tc>
        <w:tc>
          <w:tcPr>
            <w:tcW w:w="1410" w:type="dxa"/>
            <w:shd w:val="clear" w:color="auto" w:fill="auto"/>
            <w:noWrap/>
            <w:vAlign w:val="center"/>
          </w:tcPr>
          <w:p w14:paraId="7897E07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2,270</w:t>
            </w:r>
          </w:p>
        </w:tc>
        <w:tc>
          <w:tcPr>
            <w:tcW w:w="1410" w:type="dxa"/>
            <w:shd w:val="clear" w:color="auto" w:fill="auto"/>
            <w:noWrap/>
            <w:vAlign w:val="center"/>
          </w:tcPr>
          <w:p w14:paraId="758B1283"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597</w:t>
            </w:r>
          </w:p>
        </w:tc>
        <w:tc>
          <w:tcPr>
            <w:tcW w:w="1410" w:type="dxa"/>
            <w:shd w:val="clear" w:color="auto" w:fill="auto"/>
            <w:noWrap/>
            <w:vAlign w:val="center"/>
          </w:tcPr>
          <w:p w14:paraId="7352315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4,612</w:t>
            </w:r>
          </w:p>
        </w:tc>
        <w:tc>
          <w:tcPr>
            <w:tcW w:w="1410" w:type="dxa"/>
            <w:vAlign w:val="center"/>
          </w:tcPr>
          <w:p w14:paraId="333B92ED"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7,478</w:t>
            </w:r>
          </w:p>
        </w:tc>
      </w:tr>
    </w:tbl>
    <w:p w14:paraId="47A82755" w14:textId="77777777" w:rsidR="008253DD" w:rsidRPr="00CB40F4" w:rsidRDefault="008253DD" w:rsidP="008253DD">
      <w:pPr>
        <w:rPr>
          <w:rFonts w:asciiTheme="majorBidi" w:hAnsiTheme="majorBidi" w:cstheme="majorBidi"/>
        </w:rPr>
      </w:pPr>
    </w:p>
    <w:p w14:paraId="18F9B7D5" w14:textId="6DC02096" w:rsidR="008253DD" w:rsidRPr="00CB40F4" w:rsidRDefault="008253DD" w:rsidP="008253DD">
      <w:pPr>
        <w:ind w:firstLine="720"/>
        <w:rPr>
          <w:rFonts w:asciiTheme="majorBidi" w:hAnsiTheme="majorBidi" w:cstheme="majorBidi"/>
        </w:rPr>
      </w:pPr>
      <w:r w:rsidRPr="00CB40F4">
        <w:rPr>
          <w:rFonts w:asciiTheme="majorBidi" w:hAnsiTheme="majorBidi" w:cstheme="majorBidi"/>
        </w:rPr>
        <w:t>Table 3-A presents estimates for burden hours and costs per “Type A” registration application.</w:t>
      </w:r>
      <w:r w:rsidR="007841AD" w:rsidRPr="00CB40F4">
        <w:rPr>
          <w:rFonts w:asciiTheme="majorBidi" w:hAnsiTheme="majorBidi" w:cstheme="majorBidi"/>
        </w:rPr>
        <w:t xml:space="preserve"> </w:t>
      </w:r>
      <w:r w:rsidRPr="00CB40F4">
        <w:rPr>
          <w:rFonts w:asciiTheme="majorBidi" w:hAnsiTheme="majorBidi" w:cstheme="majorBidi"/>
        </w:rPr>
        <w:t>Each “Type A” application is estimated to require 26 management hours, 128 technical hours, and 40 clerical hours for a total of 194 hours per application at a cost of 14,019.</w:t>
      </w:r>
    </w:p>
    <w:p w14:paraId="3F0E1296" w14:textId="77777777" w:rsidR="008253DD" w:rsidRPr="00CB40F4" w:rsidRDefault="008253DD" w:rsidP="008253DD">
      <w:pPr>
        <w:rPr>
          <w:rFonts w:asciiTheme="majorBidi" w:hAnsiTheme="majorBidi" w:cstheme="majorBidi"/>
          <w:b/>
        </w:rPr>
      </w:pPr>
    </w:p>
    <w:p w14:paraId="065BD170" w14:textId="77777777" w:rsidR="00A0113A" w:rsidRPr="00CB40F4" w:rsidRDefault="00A0113A" w:rsidP="008253DD">
      <w:pPr>
        <w:rPr>
          <w:rFonts w:asciiTheme="majorBidi" w:hAnsiTheme="majorBidi" w:cstheme="majorBidi"/>
          <w:b/>
        </w:rPr>
      </w:pPr>
    </w:p>
    <w:p w14:paraId="19EBE4C7" w14:textId="56E9AB1A" w:rsidR="008253DD" w:rsidRPr="00CB40F4" w:rsidRDefault="008253DD" w:rsidP="008253DD">
      <w:pPr>
        <w:keepNext/>
        <w:keepLines/>
        <w:rPr>
          <w:rFonts w:asciiTheme="majorBidi" w:hAnsiTheme="majorBidi" w:cstheme="majorBidi"/>
          <w:b/>
          <w:sz w:val="22"/>
          <w:szCs w:val="22"/>
        </w:rPr>
      </w:pPr>
      <w:r w:rsidRPr="00CB40F4">
        <w:rPr>
          <w:rFonts w:asciiTheme="majorBidi" w:hAnsiTheme="majorBidi" w:cstheme="majorBidi"/>
          <w:b/>
          <w:sz w:val="22"/>
          <w:szCs w:val="22"/>
        </w:rPr>
        <w:lastRenderedPageBreak/>
        <w:t>Table 3-A: Estimated Burden/Cost per “Type A” Registration Application</w:t>
      </w:r>
    </w:p>
    <w:tbl>
      <w:tblPr>
        <w:tblW w:w="5000" w:type="pct"/>
        <w:tblBorders>
          <w:top w:val="doub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4295"/>
        <w:gridCol w:w="1176"/>
        <w:gridCol w:w="1084"/>
        <w:gridCol w:w="1080"/>
        <w:gridCol w:w="756"/>
        <w:gridCol w:w="939"/>
      </w:tblGrid>
      <w:tr w:rsidR="008253DD" w:rsidRPr="00CB40F4" w14:paraId="57815ED3" w14:textId="77777777" w:rsidTr="009C2537">
        <w:trPr>
          <w:trHeight w:val="330"/>
        </w:trPr>
        <w:tc>
          <w:tcPr>
            <w:tcW w:w="2302" w:type="pct"/>
            <w:vMerge w:val="restart"/>
            <w:shd w:val="clear" w:color="auto" w:fill="auto"/>
            <w:vAlign w:val="center"/>
          </w:tcPr>
          <w:p w14:paraId="09B4696F" w14:textId="77777777" w:rsidR="008253DD" w:rsidRPr="00CB40F4" w:rsidRDefault="008253DD" w:rsidP="00650B2D">
            <w:pPr>
              <w:keepNext/>
              <w:keepLines/>
              <w:jc w:val="center"/>
              <w:rPr>
                <w:rFonts w:asciiTheme="majorBidi" w:hAnsiTheme="majorBidi" w:cstheme="majorBidi"/>
                <w:b/>
                <w:bCs/>
              </w:rPr>
            </w:pPr>
            <w:r w:rsidRPr="00CB40F4">
              <w:rPr>
                <w:rFonts w:asciiTheme="majorBidi" w:hAnsiTheme="majorBidi" w:cstheme="majorBidi"/>
                <w:b/>
                <w:bCs/>
                <w:sz w:val="22"/>
                <w:szCs w:val="22"/>
              </w:rPr>
              <w:t>Collection Activities,</w:t>
            </w:r>
            <w:r w:rsidRPr="00CB40F4">
              <w:rPr>
                <w:rFonts w:asciiTheme="majorBidi" w:hAnsiTheme="majorBidi" w:cstheme="majorBidi"/>
                <w:b/>
                <w:bCs/>
                <w:sz w:val="22"/>
                <w:szCs w:val="22"/>
              </w:rPr>
              <w:br/>
              <w:t>Type A</w:t>
            </w:r>
          </w:p>
        </w:tc>
        <w:tc>
          <w:tcPr>
            <w:tcW w:w="1790" w:type="pct"/>
            <w:gridSpan w:val="3"/>
            <w:shd w:val="clear" w:color="auto" w:fill="auto"/>
            <w:vAlign w:val="center"/>
          </w:tcPr>
          <w:p w14:paraId="693D7135" w14:textId="77777777" w:rsidR="008253DD" w:rsidRPr="00CB40F4" w:rsidRDefault="008253DD" w:rsidP="00650B2D">
            <w:pPr>
              <w:keepNext/>
              <w:keepLines/>
              <w:jc w:val="center"/>
              <w:rPr>
                <w:rFonts w:asciiTheme="majorBidi" w:hAnsiTheme="majorBidi" w:cstheme="majorBidi"/>
                <w:b/>
                <w:bCs/>
              </w:rPr>
            </w:pPr>
            <w:r w:rsidRPr="00CB40F4">
              <w:rPr>
                <w:rFonts w:asciiTheme="majorBidi" w:hAnsiTheme="majorBidi" w:cstheme="majorBidi"/>
                <w:b/>
                <w:bCs/>
                <w:sz w:val="22"/>
                <w:szCs w:val="22"/>
              </w:rPr>
              <w:t>Burden Hours</w:t>
            </w:r>
          </w:p>
        </w:tc>
        <w:tc>
          <w:tcPr>
            <w:tcW w:w="908" w:type="pct"/>
            <w:gridSpan w:val="2"/>
            <w:tcBorders>
              <w:top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752CECB2" w14:textId="77777777" w:rsidR="008253DD" w:rsidRPr="00CB40F4" w:rsidRDefault="008253DD" w:rsidP="00650B2D">
            <w:pPr>
              <w:keepNext/>
              <w:keepLines/>
              <w:jc w:val="center"/>
              <w:rPr>
                <w:rFonts w:asciiTheme="majorBidi" w:hAnsiTheme="majorBidi" w:cstheme="majorBidi"/>
                <w:b/>
                <w:bCs/>
              </w:rPr>
            </w:pPr>
            <w:r w:rsidRPr="00CB40F4">
              <w:rPr>
                <w:rFonts w:asciiTheme="majorBidi" w:hAnsiTheme="majorBidi" w:cstheme="majorBidi"/>
                <w:b/>
                <w:bCs/>
                <w:sz w:val="22"/>
                <w:szCs w:val="22"/>
              </w:rPr>
              <w:t>Total</w:t>
            </w:r>
          </w:p>
        </w:tc>
      </w:tr>
      <w:tr w:rsidR="009C2537" w:rsidRPr="00CB40F4" w14:paraId="2816D648" w14:textId="77777777" w:rsidTr="009C2537">
        <w:trPr>
          <w:trHeight w:val="315"/>
        </w:trPr>
        <w:tc>
          <w:tcPr>
            <w:tcW w:w="2302" w:type="pct"/>
            <w:vMerge/>
            <w:vAlign w:val="center"/>
          </w:tcPr>
          <w:p w14:paraId="191FAFBA" w14:textId="77777777" w:rsidR="008253DD" w:rsidRPr="00CB40F4" w:rsidRDefault="008253DD" w:rsidP="00650B2D">
            <w:pPr>
              <w:keepNext/>
              <w:keepLines/>
              <w:rPr>
                <w:rFonts w:asciiTheme="majorBidi" w:hAnsiTheme="majorBidi" w:cstheme="majorBidi"/>
                <w:b/>
                <w:bCs/>
              </w:rPr>
            </w:pPr>
          </w:p>
        </w:tc>
        <w:tc>
          <w:tcPr>
            <w:tcW w:w="630" w:type="pct"/>
            <w:tcBorders>
              <w:bottom w:val="single" w:sz="4" w:space="0" w:color="808080" w:themeColor="background1" w:themeShade="80"/>
            </w:tcBorders>
            <w:shd w:val="clear" w:color="auto" w:fill="auto"/>
            <w:vAlign w:val="center"/>
          </w:tcPr>
          <w:p w14:paraId="6FA53BB3" w14:textId="0DD6F890" w:rsidR="008253DD" w:rsidRPr="00CB40F4" w:rsidRDefault="00CB40F4" w:rsidP="00650B2D">
            <w:pPr>
              <w:keepNext/>
              <w:keepLines/>
              <w:jc w:val="center"/>
              <w:rPr>
                <w:rFonts w:asciiTheme="majorBidi" w:hAnsiTheme="majorBidi" w:cstheme="majorBidi"/>
              </w:rPr>
            </w:pPr>
            <w:r w:rsidRPr="00CB40F4">
              <w:rPr>
                <w:rFonts w:asciiTheme="majorBidi" w:hAnsiTheme="majorBidi" w:cstheme="majorBidi"/>
                <w:sz w:val="22"/>
                <w:szCs w:val="22"/>
              </w:rPr>
              <w:t>Mgmt.</w:t>
            </w:r>
          </w:p>
        </w:tc>
        <w:tc>
          <w:tcPr>
            <w:tcW w:w="581" w:type="pct"/>
            <w:tcBorders>
              <w:bottom w:val="single" w:sz="4" w:space="0" w:color="808080" w:themeColor="background1" w:themeShade="80"/>
            </w:tcBorders>
            <w:shd w:val="clear" w:color="auto" w:fill="auto"/>
            <w:vAlign w:val="center"/>
          </w:tcPr>
          <w:p w14:paraId="30F026A8"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Technical</w:t>
            </w:r>
          </w:p>
        </w:tc>
        <w:tc>
          <w:tcPr>
            <w:tcW w:w="579" w:type="pct"/>
            <w:tcBorders>
              <w:bottom w:val="single" w:sz="4" w:space="0" w:color="808080" w:themeColor="background1" w:themeShade="80"/>
            </w:tcBorders>
            <w:shd w:val="clear" w:color="auto" w:fill="auto"/>
            <w:vAlign w:val="center"/>
          </w:tcPr>
          <w:p w14:paraId="0807D2C7"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Clerical</w:t>
            </w:r>
          </w:p>
        </w:tc>
        <w:tc>
          <w:tcPr>
            <w:tcW w:w="405" w:type="pct"/>
            <w:vMerge w:val="restart"/>
            <w:tcBorders>
              <w:top w:val="single" w:sz="4" w:space="0" w:color="808080" w:themeColor="background1" w:themeShade="80"/>
              <w:bottom w:val="single" w:sz="4" w:space="0" w:color="808080" w:themeColor="background1" w:themeShade="80"/>
            </w:tcBorders>
            <w:shd w:val="clear" w:color="auto" w:fill="auto"/>
            <w:vAlign w:val="center"/>
          </w:tcPr>
          <w:p w14:paraId="2F2DC44E"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Hours</w:t>
            </w:r>
          </w:p>
        </w:tc>
        <w:tc>
          <w:tcPr>
            <w:tcW w:w="503" w:type="pct"/>
            <w:vMerge w:val="restar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09D0BE07"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Costs</w:t>
            </w:r>
          </w:p>
        </w:tc>
      </w:tr>
      <w:tr w:rsidR="009C2537" w:rsidRPr="00CB40F4" w14:paraId="1DFFDB69" w14:textId="77777777" w:rsidTr="009C2537">
        <w:trPr>
          <w:trHeight w:val="224"/>
        </w:trPr>
        <w:tc>
          <w:tcPr>
            <w:tcW w:w="2302" w:type="pct"/>
            <w:vMerge/>
            <w:vAlign w:val="center"/>
          </w:tcPr>
          <w:p w14:paraId="0F27436E" w14:textId="77777777" w:rsidR="009C2537" w:rsidRPr="00CB40F4" w:rsidRDefault="009C2537" w:rsidP="00650B2D">
            <w:pPr>
              <w:keepNext/>
              <w:keepLines/>
              <w:rPr>
                <w:rFonts w:asciiTheme="majorBidi" w:hAnsiTheme="majorBidi" w:cstheme="majorBidi"/>
                <w:b/>
                <w:bCs/>
              </w:rPr>
            </w:pPr>
          </w:p>
        </w:tc>
        <w:tc>
          <w:tcPr>
            <w:tcW w:w="630" w:type="pct"/>
            <w:tcBorders>
              <w:top w:val="single" w:sz="4" w:space="0" w:color="808080" w:themeColor="background1" w:themeShade="80"/>
            </w:tcBorders>
            <w:shd w:val="clear" w:color="auto" w:fill="auto"/>
            <w:vAlign w:val="center"/>
          </w:tcPr>
          <w:p w14:paraId="70527A12" w14:textId="7572B876" w:rsidR="009C2537" w:rsidRPr="00CB40F4" w:rsidRDefault="009C2537" w:rsidP="009C2537">
            <w:pPr>
              <w:keepNext/>
              <w:keepLines/>
              <w:jc w:val="center"/>
              <w:rPr>
                <w:rFonts w:asciiTheme="majorBidi" w:hAnsiTheme="majorBidi" w:cstheme="majorBidi"/>
              </w:rPr>
            </w:pPr>
            <w:r w:rsidRPr="00CB40F4">
              <w:rPr>
                <w:rFonts w:asciiTheme="majorBidi" w:hAnsiTheme="majorBidi" w:cstheme="majorBidi"/>
                <w:sz w:val="22"/>
                <w:szCs w:val="22"/>
              </w:rPr>
              <w:t>$121.72/</w:t>
            </w:r>
            <w:proofErr w:type="spellStart"/>
            <w:r w:rsidRPr="00CB40F4">
              <w:rPr>
                <w:rFonts w:asciiTheme="majorBidi" w:hAnsiTheme="majorBidi" w:cstheme="majorBidi"/>
                <w:sz w:val="22"/>
                <w:szCs w:val="22"/>
              </w:rPr>
              <w:t>hr</w:t>
            </w:r>
            <w:proofErr w:type="spellEnd"/>
          </w:p>
        </w:tc>
        <w:tc>
          <w:tcPr>
            <w:tcW w:w="581" w:type="pct"/>
            <w:tcBorders>
              <w:top w:val="single" w:sz="4" w:space="0" w:color="808080" w:themeColor="background1" w:themeShade="80"/>
            </w:tcBorders>
            <w:shd w:val="clear" w:color="auto" w:fill="auto"/>
            <w:vAlign w:val="center"/>
          </w:tcPr>
          <w:p w14:paraId="2721FDB3" w14:textId="2900913B" w:rsidR="009C2537" w:rsidRPr="00CB40F4" w:rsidRDefault="009C2537" w:rsidP="009C2537">
            <w:pPr>
              <w:keepNext/>
              <w:keepLines/>
              <w:jc w:val="center"/>
              <w:rPr>
                <w:rFonts w:asciiTheme="majorBidi" w:hAnsiTheme="majorBidi" w:cstheme="majorBidi"/>
              </w:rPr>
            </w:pPr>
            <w:r w:rsidRPr="00CB40F4">
              <w:rPr>
                <w:rFonts w:asciiTheme="majorBidi" w:hAnsiTheme="majorBidi" w:cstheme="majorBidi"/>
                <w:sz w:val="22"/>
                <w:szCs w:val="22"/>
              </w:rPr>
              <w:t>$72.01/</w:t>
            </w:r>
            <w:proofErr w:type="spellStart"/>
            <w:r w:rsidRPr="00CB40F4">
              <w:rPr>
                <w:rFonts w:asciiTheme="majorBidi" w:hAnsiTheme="majorBidi" w:cstheme="majorBidi"/>
                <w:sz w:val="22"/>
                <w:szCs w:val="22"/>
              </w:rPr>
              <w:t>hr</w:t>
            </w:r>
            <w:proofErr w:type="spellEnd"/>
          </w:p>
        </w:tc>
        <w:tc>
          <w:tcPr>
            <w:tcW w:w="579" w:type="pct"/>
            <w:tcBorders>
              <w:top w:val="single" w:sz="4" w:space="0" w:color="808080" w:themeColor="background1" w:themeShade="80"/>
            </w:tcBorders>
            <w:shd w:val="clear" w:color="auto" w:fill="auto"/>
            <w:vAlign w:val="center"/>
          </w:tcPr>
          <w:p w14:paraId="5E0E8AED" w14:textId="421710A3" w:rsidR="009C2537" w:rsidRPr="00CB40F4" w:rsidRDefault="009C2537" w:rsidP="00650B2D">
            <w:pPr>
              <w:keepNext/>
              <w:keepLines/>
              <w:jc w:val="center"/>
              <w:rPr>
                <w:rFonts w:asciiTheme="majorBidi" w:hAnsiTheme="majorBidi" w:cstheme="majorBidi"/>
              </w:rPr>
            </w:pPr>
            <w:r w:rsidRPr="00CB40F4">
              <w:rPr>
                <w:rFonts w:asciiTheme="majorBidi" w:hAnsiTheme="majorBidi" w:cstheme="majorBidi"/>
                <w:sz w:val="22"/>
                <w:szCs w:val="22"/>
              </w:rPr>
              <w:t>$40.93/</w:t>
            </w:r>
            <w:proofErr w:type="spellStart"/>
            <w:r w:rsidRPr="00CB40F4">
              <w:rPr>
                <w:rFonts w:asciiTheme="majorBidi" w:hAnsiTheme="majorBidi" w:cstheme="majorBidi"/>
                <w:sz w:val="22"/>
                <w:szCs w:val="22"/>
              </w:rPr>
              <w:t>hr</w:t>
            </w:r>
            <w:proofErr w:type="spellEnd"/>
          </w:p>
        </w:tc>
        <w:tc>
          <w:tcPr>
            <w:tcW w:w="405" w:type="pct"/>
            <w:vMerge/>
            <w:tcBorders>
              <w:top w:val="single" w:sz="4" w:space="0" w:color="808080" w:themeColor="background1" w:themeShade="80"/>
              <w:bottom w:val="single" w:sz="4" w:space="0" w:color="808080" w:themeColor="background1" w:themeShade="80"/>
            </w:tcBorders>
            <w:vAlign w:val="center"/>
          </w:tcPr>
          <w:p w14:paraId="6EF48A33" w14:textId="77777777" w:rsidR="009C2537" w:rsidRPr="00CB40F4" w:rsidRDefault="009C2537" w:rsidP="00650B2D">
            <w:pPr>
              <w:keepNext/>
              <w:keepLines/>
              <w:rPr>
                <w:rFonts w:asciiTheme="majorBidi" w:hAnsiTheme="majorBidi" w:cstheme="majorBidi"/>
              </w:rPr>
            </w:pPr>
          </w:p>
        </w:tc>
        <w:tc>
          <w:tcPr>
            <w:tcW w:w="503" w:type="pct"/>
            <w:vMerge/>
            <w:tcBorders>
              <w:top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3666BA25" w14:textId="77777777" w:rsidR="009C2537" w:rsidRPr="00CB40F4" w:rsidRDefault="009C2537" w:rsidP="00650B2D">
            <w:pPr>
              <w:keepNext/>
              <w:keepLines/>
              <w:jc w:val="center"/>
              <w:rPr>
                <w:rFonts w:asciiTheme="majorBidi" w:hAnsiTheme="majorBidi" w:cstheme="majorBidi"/>
              </w:rPr>
            </w:pPr>
          </w:p>
        </w:tc>
      </w:tr>
      <w:tr w:rsidR="009C2537" w:rsidRPr="00CB40F4" w14:paraId="50207F0A" w14:textId="77777777" w:rsidTr="009C2537">
        <w:trPr>
          <w:trHeight w:val="315"/>
        </w:trPr>
        <w:tc>
          <w:tcPr>
            <w:tcW w:w="2302" w:type="pct"/>
            <w:shd w:val="clear" w:color="auto" w:fill="auto"/>
            <w:vAlign w:val="center"/>
          </w:tcPr>
          <w:p w14:paraId="561A5ED2"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Read Instructions</w:t>
            </w:r>
          </w:p>
        </w:tc>
        <w:tc>
          <w:tcPr>
            <w:tcW w:w="630" w:type="pct"/>
            <w:tcBorders>
              <w:top w:val="single" w:sz="4" w:space="0" w:color="808080" w:themeColor="background1" w:themeShade="80"/>
            </w:tcBorders>
            <w:shd w:val="clear" w:color="auto" w:fill="auto"/>
            <w:vAlign w:val="center"/>
          </w:tcPr>
          <w:p w14:paraId="4CB47222"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18</w:t>
            </w:r>
          </w:p>
        </w:tc>
        <w:tc>
          <w:tcPr>
            <w:tcW w:w="581" w:type="pct"/>
            <w:tcBorders>
              <w:top w:val="single" w:sz="4" w:space="0" w:color="808080" w:themeColor="background1" w:themeShade="80"/>
            </w:tcBorders>
            <w:shd w:val="clear" w:color="auto" w:fill="auto"/>
            <w:vAlign w:val="center"/>
          </w:tcPr>
          <w:p w14:paraId="418B6602"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79" w:type="pct"/>
            <w:tcBorders>
              <w:top w:val="single" w:sz="4" w:space="0" w:color="808080" w:themeColor="background1" w:themeShade="80"/>
            </w:tcBorders>
            <w:shd w:val="clear" w:color="auto" w:fill="auto"/>
            <w:vAlign w:val="center"/>
          </w:tcPr>
          <w:p w14:paraId="1BD52489"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5AE74C06"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18</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765C5B1E"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$2,191</w:t>
            </w:r>
          </w:p>
        </w:tc>
      </w:tr>
      <w:tr w:rsidR="009C2537" w:rsidRPr="00CB40F4" w14:paraId="3650964E" w14:textId="77777777" w:rsidTr="009C2537">
        <w:trPr>
          <w:trHeight w:val="315"/>
        </w:trPr>
        <w:tc>
          <w:tcPr>
            <w:tcW w:w="2302" w:type="pct"/>
            <w:shd w:val="clear" w:color="auto" w:fill="auto"/>
            <w:vAlign w:val="center"/>
          </w:tcPr>
          <w:p w14:paraId="09B68744"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Plan activities</w:t>
            </w:r>
          </w:p>
        </w:tc>
        <w:tc>
          <w:tcPr>
            <w:tcW w:w="630" w:type="pct"/>
            <w:shd w:val="clear" w:color="auto" w:fill="auto"/>
            <w:vAlign w:val="center"/>
          </w:tcPr>
          <w:p w14:paraId="3A6FED02"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w:t>
            </w:r>
          </w:p>
        </w:tc>
        <w:tc>
          <w:tcPr>
            <w:tcW w:w="581" w:type="pct"/>
            <w:shd w:val="clear" w:color="auto" w:fill="auto"/>
            <w:vAlign w:val="center"/>
          </w:tcPr>
          <w:p w14:paraId="72E42D21"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79" w:type="pct"/>
            <w:shd w:val="clear" w:color="auto" w:fill="auto"/>
            <w:vAlign w:val="center"/>
          </w:tcPr>
          <w:p w14:paraId="36A44F2A"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587DC19E"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6B79AF8D"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$487</w:t>
            </w:r>
          </w:p>
        </w:tc>
      </w:tr>
      <w:tr w:rsidR="009C2537" w:rsidRPr="00CB40F4" w14:paraId="7E33D269" w14:textId="77777777" w:rsidTr="009C2537">
        <w:trPr>
          <w:trHeight w:val="315"/>
        </w:trPr>
        <w:tc>
          <w:tcPr>
            <w:tcW w:w="2302" w:type="pct"/>
            <w:shd w:val="clear" w:color="auto" w:fill="auto"/>
            <w:vAlign w:val="center"/>
          </w:tcPr>
          <w:p w14:paraId="4CA2FF55"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Gather/create information</w:t>
            </w:r>
          </w:p>
        </w:tc>
        <w:tc>
          <w:tcPr>
            <w:tcW w:w="630" w:type="pct"/>
            <w:shd w:val="clear" w:color="auto" w:fill="auto"/>
            <w:vAlign w:val="center"/>
          </w:tcPr>
          <w:p w14:paraId="242A4748"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81" w:type="pct"/>
            <w:shd w:val="clear" w:color="auto" w:fill="auto"/>
            <w:vAlign w:val="center"/>
          </w:tcPr>
          <w:p w14:paraId="04FD621D"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120</w:t>
            </w:r>
          </w:p>
        </w:tc>
        <w:tc>
          <w:tcPr>
            <w:tcW w:w="579" w:type="pct"/>
            <w:shd w:val="clear" w:color="auto" w:fill="auto"/>
            <w:vAlign w:val="center"/>
          </w:tcPr>
          <w:p w14:paraId="07A9948E"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0FB4D0E6"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120</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26BEBBB5"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$8,641</w:t>
            </w:r>
          </w:p>
        </w:tc>
      </w:tr>
      <w:tr w:rsidR="009C2537" w:rsidRPr="00CB40F4" w14:paraId="23A5BE73" w14:textId="77777777" w:rsidTr="009C2537">
        <w:trPr>
          <w:trHeight w:val="315"/>
        </w:trPr>
        <w:tc>
          <w:tcPr>
            <w:tcW w:w="2302" w:type="pct"/>
            <w:shd w:val="clear" w:color="auto" w:fill="auto"/>
            <w:vAlign w:val="center"/>
          </w:tcPr>
          <w:p w14:paraId="251C072C"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Compile and review</w:t>
            </w:r>
          </w:p>
        </w:tc>
        <w:tc>
          <w:tcPr>
            <w:tcW w:w="630" w:type="pct"/>
            <w:shd w:val="clear" w:color="auto" w:fill="auto"/>
            <w:vAlign w:val="center"/>
          </w:tcPr>
          <w:p w14:paraId="3F4BF4BB"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w:t>
            </w:r>
          </w:p>
        </w:tc>
        <w:tc>
          <w:tcPr>
            <w:tcW w:w="581" w:type="pct"/>
            <w:shd w:val="clear" w:color="auto" w:fill="auto"/>
            <w:vAlign w:val="center"/>
          </w:tcPr>
          <w:p w14:paraId="5FF88A4A"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8</w:t>
            </w:r>
          </w:p>
        </w:tc>
        <w:tc>
          <w:tcPr>
            <w:tcW w:w="579" w:type="pct"/>
            <w:shd w:val="clear" w:color="auto" w:fill="auto"/>
            <w:vAlign w:val="center"/>
          </w:tcPr>
          <w:p w14:paraId="5CDE2959"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51E52DD2"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12</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601BC01B"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$1,063</w:t>
            </w:r>
          </w:p>
        </w:tc>
      </w:tr>
      <w:tr w:rsidR="009C2537" w:rsidRPr="00CB40F4" w14:paraId="5AE99392" w14:textId="77777777" w:rsidTr="009C2537">
        <w:trPr>
          <w:trHeight w:val="315"/>
        </w:trPr>
        <w:tc>
          <w:tcPr>
            <w:tcW w:w="2302" w:type="pct"/>
            <w:shd w:val="clear" w:color="auto" w:fill="auto"/>
            <w:vAlign w:val="center"/>
          </w:tcPr>
          <w:p w14:paraId="2888182C"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Complete paperwork</w:t>
            </w:r>
          </w:p>
        </w:tc>
        <w:tc>
          <w:tcPr>
            <w:tcW w:w="630" w:type="pct"/>
            <w:shd w:val="clear" w:color="auto" w:fill="auto"/>
            <w:vAlign w:val="center"/>
          </w:tcPr>
          <w:p w14:paraId="08141406"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81" w:type="pct"/>
            <w:shd w:val="clear" w:color="auto" w:fill="auto"/>
            <w:vAlign w:val="center"/>
          </w:tcPr>
          <w:p w14:paraId="0550DAF6"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79" w:type="pct"/>
            <w:shd w:val="clear" w:color="auto" w:fill="auto"/>
            <w:vAlign w:val="center"/>
          </w:tcPr>
          <w:p w14:paraId="09ECCC5D"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30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5C68B9B7"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30</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38A98895"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$1,228</w:t>
            </w:r>
          </w:p>
        </w:tc>
      </w:tr>
      <w:tr w:rsidR="0096265D" w:rsidRPr="00CB40F4" w14:paraId="50542E4C" w14:textId="77777777" w:rsidTr="009C2537">
        <w:trPr>
          <w:trHeight w:val="330"/>
        </w:trPr>
        <w:tc>
          <w:tcPr>
            <w:tcW w:w="2302" w:type="pct"/>
            <w:shd w:val="clear" w:color="auto" w:fill="auto"/>
            <w:vAlign w:val="center"/>
          </w:tcPr>
          <w:p w14:paraId="580B3FA1" w14:textId="1744863A" w:rsidR="0096265D" w:rsidRPr="00CB40F4" w:rsidRDefault="0096265D" w:rsidP="00650B2D">
            <w:pPr>
              <w:keepNext/>
              <w:keepLines/>
              <w:rPr>
                <w:rFonts w:asciiTheme="majorBidi" w:hAnsiTheme="majorBidi" w:cstheme="majorBidi"/>
                <w:sz w:val="22"/>
                <w:szCs w:val="22"/>
              </w:rPr>
            </w:pPr>
            <w:r w:rsidRPr="00CB40F4">
              <w:rPr>
                <w:rFonts w:asciiTheme="majorBidi" w:hAnsiTheme="majorBidi" w:cstheme="majorBidi"/>
                <w:sz w:val="22"/>
                <w:szCs w:val="22"/>
              </w:rPr>
              <w:t>Submit information</w:t>
            </w:r>
          </w:p>
        </w:tc>
        <w:tc>
          <w:tcPr>
            <w:tcW w:w="630" w:type="pct"/>
            <w:shd w:val="clear" w:color="auto" w:fill="auto"/>
            <w:vAlign w:val="center"/>
          </w:tcPr>
          <w:p w14:paraId="4294E81E" w14:textId="77777777" w:rsidR="0096265D" w:rsidRPr="00CB40F4" w:rsidRDefault="0096265D" w:rsidP="00650B2D">
            <w:pPr>
              <w:keepNext/>
              <w:keepLines/>
              <w:jc w:val="center"/>
              <w:rPr>
                <w:rFonts w:asciiTheme="majorBidi" w:hAnsiTheme="majorBidi" w:cstheme="majorBidi"/>
                <w:sz w:val="22"/>
                <w:szCs w:val="22"/>
              </w:rPr>
            </w:pPr>
          </w:p>
        </w:tc>
        <w:tc>
          <w:tcPr>
            <w:tcW w:w="581" w:type="pct"/>
            <w:shd w:val="clear" w:color="auto" w:fill="auto"/>
            <w:vAlign w:val="center"/>
          </w:tcPr>
          <w:p w14:paraId="65999E90" w14:textId="77777777" w:rsidR="0096265D" w:rsidRPr="00CB40F4" w:rsidRDefault="0096265D" w:rsidP="00650B2D">
            <w:pPr>
              <w:keepNext/>
              <w:keepLines/>
              <w:jc w:val="center"/>
              <w:rPr>
                <w:rFonts w:asciiTheme="majorBidi" w:hAnsiTheme="majorBidi" w:cstheme="majorBidi"/>
                <w:sz w:val="22"/>
                <w:szCs w:val="22"/>
              </w:rPr>
            </w:pPr>
          </w:p>
        </w:tc>
        <w:tc>
          <w:tcPr>
            <w:tcW w:w="579" w:type="pct"/>
            <w:shd w:val="clear" w:color="auto" w:fill="auto"/>
            <w:vAlign w:val="center"/>
          </w:tcPr>
          <w:p w14:paraId="5164E815" w14:textId="77777777" w:rsidR="0096265D" w:rsidRPr="00CB40F4" w:rsidRDefault="0096265D" w:rsidP="00650B2D">
            <w:pPr>
              <w:keepNext/>
              <w:keepLines/>
              <w:jc w:val="center"/>
              <w:rPr>
                <w:rFonts w:asciiTheme="majorBidi" w:hAnsiTheme="majorBidi" w:cstheme="majorBidi"/>
                <w:sz w:val="22"/>
                <w:szCs w:val="22"/>
              </w:rPr>
            </w:pP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27284B71" w14:textId="77777777" w:rsidR="0096265D" w:rsidRPr="00CB40F4" w:rsidRDefault="0096265D" w:rsidP="00650B2D">
            <w:pPr>
              <w:keepNext/>
              <w:keepLines/>
              <w:jc w:val="center"/>
              <w:rPr>
                <w:rFonts w:asciiTheme="majorBidi" w:hAnsiTheme="majorBidi" w:cstheme="majorBidi"/>
                <w:sz w:val="22"/>
                <w:szCs w:val="22"/>
              </w:rPr>
            </w:pP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4FE2F169" w14:textId="77777777" w:rsidR="0096265D" w:rsidRPr="00CB40F4" w:rsidRDefault="0096265D" w:rsidP="00650B2D">
            <w:pPr>
              <w:keepNext/>
              <w:keepLines/>
              <w:jc w:val="center"/>
              <w:rPr>
                <w:rFonts w:asciiTheme="majorBidi" w:hAnsiTheme="majorBidi" w:cstheme="majorBidi"/>
                <w:sz w:val="22"/>
                <w:szCs w:val="22"/>
              </w:rPr>
            </w:pPr>
          </w:p>
        </w:tc>
      </w:tr>
      <w:tr w:rsidR="009C2537" w:rsidRPr="00CB40F4" w14:paraId="24B4AF0C" w14:textId="77777777" w:rsidTr="009C2537">
        <w:trPr>
          <w:trHeight w:val="330"/>
        </w:trPr>
        <w:tc>
          <w:tcPr>
            <w:tcW w:w="2302" w:type="pct"/>
            <w:shd w:val="clear" w:color="auto" w:fill="auto"/>
            <w:vAlign w:val="center"/>
          </w:tcPr>
          <w:p w14:paraId="4DCF20E7" w14:textId="77777777" w:rsidR="008253DD" w:rsidRPr="00CB40F4" w:rsidRDefault="008253DD" w:rsidP="00650B2D">
            <w:pPr>
              <w:keepNext/>
              <w:keepLines/>
              <w:rPr>
                <w:rFonts w:asciiTheme="majorBidi" w:hAnsiTheme="majorBidi" w:cstheme="majorBidi"/>
              </w:rPr>
            </w:pPr>
            <w:r w:rsidRPr="00CB40F4">
              <w:rPr>
                <w:rFonts w:asciiTheme="majorBidi" w:hAnsiTheme="majorBidi" w:cstheme="majorBidi"/>
                <w:sz w:val="22"/>
                <w:szCs w:val="22"/>
              </w:rPr>
              <w:t>Store/maintain data</w:t>
            </w:r>
          </w:p>
        </w:tc>
        <w:tc>
          <w:tcPr>
            <w:tcW w:w="630" w:type="pct"/>
            <w:shd w:val="clear" w:color="auto" w:fill="auto"/>
            <w:vAlign w:val="center"/>
          </w:tcPr>
          <w:p w14:paraId="1E2E2818"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81" w:type="pct"/>
            <w:shd w:val="clear" w:color="auto" w:fill="auto"/>
            <w:vAlign w:val="center"/>
          </w:tcPr>
          <w:p w14:paraId="6BC4E2F4"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0</w:t>
            </w:r>
          </w:p>
        </w:tc>
        <w:tc>
          <w:tcPr>
            <w:tcW w:w="579" w:type="pct"/>
            <w:shd w:val="clear" w:color="auto" w:fill="auto"/>
            <w:vAlign w:val="center"/>
          </w:tcPr>
          <w:p w14:paraId="7B439A5B"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10</w:t>
            </w:r>
          </w:p>
        </w:tc>
        <w:tc>
          <w:tcPr>
            <w:tcW w:w="405" w:type="pct"/>
            <w:tcBorders>
              <w:top w:val="single" w:sz="4" w:space="0" w:color="808080" w:themeColor="background1" w:themeShade="80"/>
              <w:bottom w:val="single" w:sz="4" w:space="0" w:color="808080" w:themeColor="background1" w:themeShade="80"/>
            </w:tcBorders>
            <w:shd w:val="clear" w:color="auto" w:fill="auto"/>
            <w:vAlign w:val="center"/>
          </w:tcPr>
          <w:p w14:paraId="6B858EAA"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10</w:t>
            </w:r>
          </w:p>
        </w:tc>
        <w:tc>
          <w:tcPr>
            <w:tcW w:w="503" w:type="pct"/>
            <w:tcBorders>
              <w:top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auto"/>
            <w:vAlign w:val="center"/>
          </w:tcPr>
          <w:p w14:paraId="7DBF0877"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$409</w:t>
            </w:r>
          </w:p>
        </w:tc>
      </w:tr>
      <w:tr w:rsidR="0096265D" w:rsidRPr="00CB40F4" w14:paraId="5F671448" w14:textId="77777777" w:rsidTr="009C2537">
        <w:trPr>
          <w:trHeight w:val="330"/>
        </w:trPr>
        <w:tc>
          <w:tcPr>
            <w:tcW w:w="2302" w:type="pct"/>
            <w:shd w:val="clear" w:color="auto" w:fill="auto"/>
            <w:vAlign w:val="center"/>
          </w:tcPr>
          <w:p w14:paraId="4E083F79" w14:textId="1081F09E" w:rsidR="0096265D" w:rsidRPr="00CB40F4" w:rsidRDefault="0096265D" w:rsidP="0096265D">
            <w:pPr>
              <w:keepNext/>
              <w:keepLines/>
              <w:rPr>
                <w:rFonts w:asciiTheme="majorBidi" w:hAnsiTheme="majorBidi" w:cstheme="majorBidi"/>
                <w:sz w:val="22"/>
                <w:szCs w:val="22"/>
              </w:rPr>
            </w:pPr>
            <w:r w:rsidRPr="00CB40F4">
              <w:rPr>
                <w:rFonts w:asciiTheme="majorBidi" w:hAnsiTheme="majorBidi" w:cstheme="majorBidi"/>
                <w:sz w:val="22"/>
                <w:szCs w:val="22"/>
              </w:rPr>
              <w:t>Third party disclosure</w:t>
            </w:r>
          </w:p>
        </w:tc>
        <w:tc>
          <w:tcPr>
            <w:tcW w:w="630" w:type="pct"/>
            <w:shd w:val="clear" w:color="auto" w:fill="auto"/>
            <w:vAlign w:val="center"/>
          </w:tcPr>
          <w:p w14:paraId="2D77E996" w14:textId="77777777" w:rsidR="0096265D" w:rsidRPr="00CB40F4" w:rsidRDefault="0096265D" w:rsidP="00650B2D">
            <w:pPr>
              <w:keepNext/>
              <w:keepLines/>
              <w:jc w:val="center"/>
              <w:rPr>
                <w:rFonts w:asciiTheme="majorBidi" w:hAnsiTheme="majorBidi" w:cstheme="majorBidi"/>
                <w:sz w:val="22"/>
                <w:szCs w:val="22"/>
              </w:rPr>
            </w:pPr>
          </w:p>
        </w:tc>
        <w:tc>
          <w:tcPr>
            <w:tcW w:w="581" w:type="pct"/>
            <w:shd w:val="clear" w:color="auto" w:fill="auto"/>
            <w:vAlign w:val="center"/>
          </w:tcPr>
          <w:p w14:paraId="6C48F728" w14:textId="77777777" w:rsidR="0096265D" w:rsidRPr="00CB40F4" w:rsidRDefault="0096265D" w:rsidP="00650B2D">
            <w:pPr>
              <w:keepNext/>
              <w:keepLines/>
              <w:jc w:val="center"/>
              <w:rPr>
                <w:rFonts w:asciiTheme="majorBidi" w:hAnsiTheme="majorBidi" w:cstheme="majorBidi"/>
                <w:sz w:val="22"/>
                <w:szCs w:val="22"/>
              </w:rPr>
            </w:pPr>
          </w:p>
        </w:tc>
        <w:tc>
          <w:tcPr>
            <w:tcW w:w="579" w:type="pct"/>
            <w:shd w:val="clear" w:color="auto" w:fill="auto"/>
            <w:vAlign w:val="center"/>
          </w:tcPr>
          <w:p w14:paraId="463EA74D" w14:textId="77777777" w:rsidR="0096265D" w:rsidRPr="00CB40F4" w:rsidRDefault="0096265D" w:rsidP="00650B2D">
            <w:pPr>
              <w:keepNext/>
              <w:keepLines/>
              <w:jc w:val="center"/>
              <w:rPr>
                <w:rFonts w:asciiTheme="majorBidi" w:hAnsiTheme="majorBidi" w:cstheme="majorBidi"/>
                <w:sz w:val="22"/>
                <w:szCs w:val="22"/>
              </w:rPr>
            </w:pPr>
          </w:p>
        </w:tc>
        <w:tc>
          <w:tcPr>
            <w:tcW w:w="405" w:type="pct"/>
            <w:tcBorders>
              <w:top w:val="single" w:sz="4" w:space="0" w:color="808080" w:themeColor="background1" w:themeShade="80"/>
              <w:bottom w:val="double" w:sz="4" w:space="0" w:color="808080" w:themeColor="background1" w:themeShade="80"/>
            </w:tcBorders>
            <w:shd w:val="clear" w:color="auto" w:fill="auto"/>
            <w:vAlign w:val="center"/>
          </w:tcPr>
          <w:p w14:paraId="6CA512DB" w14:textId="77777777" w:rsidR="0096265D" w:rsidRPr="00CB40F4" w:rsidRDefault="0096265D" w:rsidP="00650B2D">
            <w:pPr>
              <w:keepNext/>
              <w:keepLines/>
              <w:jc w:val="center"/>
              <w:rPr>
                <w:rFonts w:asciiTheme="majorBidi" w:hAnsiTheme="majorBidi" w:cstheme="majorBidi"/>
                <w:b/>
                <w:sz w:val="22"/>
                <w:szCs w:val="22"/>
              </w:rPr>
            </w:pPr>
          </w:p>
        </w:tc>
        <w:tc>
          <w:tcPr>
            <w:tcW w:w="503" w:type="pct"/>
            <w:tcBorders>
              <w:top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auto"/>
            <w:vAlign w:val="center"/>
          </w:tcPr>
          <w:p w14:paraId="13D14C41" w14:textId="77777777" w:rsidR="0096265D" w:rsidRPr="00CB40F4" w:rsidRDefault="0096265D" w:rsidP="00650B2D">
            <w:pPr>
              <w:keepNext/>
              <w:keepLines/>
              <w:jc w:val="center"/>
              <w:rPr>
                <w:rFonts w:asciiTheme="majorBidi" w:hAnsiTheme="majorBidi" w:cstheme="majorBidi"/>
                <w:b/>
                <w:sz w:val="22"/>
                <w:szCs w:val="22"/>
              </w:rPr>
            </w:pPr>
          </w:p>
        </w:tc>
      </w:tr>
      <w:tr w:rsidR="009C2537" w:rsidRPr="00CB40F4" w14:paraId="510C076E" w14:textId="77777777" w:rsidTr="009C2537">
        <w:trPr>
          <w:trHeight w:val="330"/>
        </w:trPr>
        <w:tc>
          <w:tcPr>
            <w:tcW w:w="2302" w:type="pct"/>
            <w:shd w:val="clear" w:color="auto" w:fill="auto"/>
            <w:vAlign w:val="center"/>
          </w:tcPr>
          <w:p w14:paraId="42AC35E7" w14:textId="77777777" w:rsidR="008253DD" w:rsidRPr="00CB40F4" w:rsidRDefault="008253DD" w:rsidP="00650B2D">
            <w:pPr>
              <w:keepNext/>
              <w:keepLines/>
              <w:jc w:val="center"/>
              <w:rPr>
                <w:rFonts w:asciiTheme="majorBidi" w:hAnsiTheme="majorBidi" w:cstheme="majorBidi"/>
                <w:b/>
                <w:bCs/>
              </w:rPr>
            </w:pPr>
            <w:r w:rsidRPr="00CB40F4">
              <w:rPr>
                <w:rFonts w:asciiTheme="majorBidi" w:hAnsiTheme="majorBidi" w:cstheme="majorBidi"/>
                <w:b/>
                <w:bCs/>
                <w:sz w:val="22"/>
                <w:szCs w:val="22"/>
              </w:rPr>
              <w:t>TOTAL</w:t>
            </w:r>
          </w:p>
        </w:tc>
        <w:tc>
          <w:tcPr>
            <w:tcW w:w="630" w:type="pct"/>
            <w:shd w:val="clear" w:color="auto" w:fill="auto"/>
            <w:vAlign w:val="center"/>
          </w:tcPr>
          <w:p w14:paraId="639CB0E3"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26</w:t>
            </w:r>
          </w:p>
        </w:tc>
        <w:tc>
          <w:tcPr>
            <w:tcW w:w="581" w:type="pct"/>
            <w:shd w:val="clear" w:color="auto" w:fill="auto"/>
            <w:vAlign w:val="center"/>
          </w:tcPr>
          <w:p w14:paraId="0D3AE9BB"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128</w:t>
            </w:r>
          </w:p>
        </w:tc>
        <w:tc>
          <w:tcPr>
            <w:tcW w:w="579" w:type="pct"/>
            <w:shd w:val="clear" w:color="auto" w:fill="auto"/>
            <w:vAlign w:val="center"/>
          </w:tcPr>
          <w:p w14:paraId="282568AD" w14:textId="77777777" w:rsidR="008253DD" w:rsidRPr="00CB40F4" w:rsidRDefault="008253DD" w:rsidP="00650B2D">
            <w:pPr>
              <w:keepNext/>
              <w:keepLines/>
              <w:jc w:val="center"/>
              <w:rPr>
                <w:rFonts w:asciiTheme="majorBidi" w:hAnsiTheme="majorBidi" w:cstheme="majorBidi"/>
              </w:rPr>
            </w:pPr>
            <w:r w:rsidRPr="00CB40F4">
              <w:rPr>
                <w:rFonts w:asciiTheme="majorBidi" w:hAnsiTheme="majorBidi" w:cstheme="majorBidi"/>
                <w:sz w:val="22"/>
                <w:szCs w:val="22"/>
              </w:rPr>
              <w:t>40</w:t>
            </w:r>
          </w:p>
        </w:tc>
        <w:tc>
          <w:tcPr>
            <w:tcW w:w="405" w:type="pct"/>
            <w:tcBorders>
              <w:top w:val="single" w:sz="4" w:space="0" w:color="808080" w:themeColor="background1" w:themeShade="80"/>
              <w:bottom w:val="double" w:sz="4" w:space="0" w:color="808080" w:themeColor="background1" w:themeShade="80"/>
            </w:tcBorders>
            <w:shd w:val="clear" w:color="auto" w:fill="auto"/>
            <w:vAlign w:val="center"/>
          </w:tcPr>
          <w:p w14:paraId="3E2D8219" w14:textId="77777777" w:rsidR="008253DD" w:rsidRPr="00CB40F4" w:rsidRDefault="008253DD" w:rsidP="00650B2D">
            <w:pPr>
              <w:keepNext/>
              <w:keepLines/>
              <w:jc w:val="center"/>
              <w:rPr>
                <w:rFonts w:asciiTheme="majorBidi" w:hAnsiTheme="majorBidi" w:cstheme="majorBidi"/>
                <w:b/>
              </w:rPr>
            </w:pPr>
            <w:r w:rsidRPr="00CB40F4">
              <w:rPr>
                <w:rFonts w:asciiTheme="majorBidi" w:hAnsiTheme="majorBidi" w:cstheme="majorBidi"/>
                <w:b/>
                <w:sz w:val="22"/>
                <w:szCs w:val="22"/>
              </w:rPr>
              <w:t>194</w:t>
            </w:r>
          </w:p>
        </w:tc>
        <w:tc>
          <w:tcPr>
            <w:tcW w:w="503" w:type="pct"/>
            <w:tcBorders>
              <w:top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auto"/>
            <w:vAlign w:val="center"/>
          </w:tcPr>
          <w:p w14:paraId="72E4DD55" w14:textId="77777777" w:rsidR="008253DD" w:rsidRPr="00CB40F4" w:rsidRDefault="008253DD" w:rsidP="00650B2D">
            <w:pPr>
              <w:keepNext/>
              <w:keepLines/>
              <w:jc w:val="center"/>
              <w:rPr>
                <w:rFonts w:asciiTheme="majorBidi" w:hAnsiTheme="majorBidi" w:cstheme="majorBidi"/>
                <w:b/>
              </w:rPr>
            </w:pPr>
            <w:r w:rsidRPr="00CB40F4">
              <w:rPr>
                <w:rFonts w:asciiTheme="majorBidi" w:hAnsiTheme="majorBidi" w:cstheme="majorBidi"/>
                <w:b/>
                <w:sz w:val="22"/>
                <w:szCs w:val="22"/>
              </w:rPr>
              <w:t>$14,019</w:t>
            </w:r>
          </w:p>
        </w:tc>
      </w:tr>
    </w:tbl>
    <w:p w14:paraId="5585E30C" w14:textId="77777777" w:rsidR="008253DD" w:rsidRPr="00CB40F4" w:rsidRDefault="008253DD" w:rsidP="008253DD">
      <w:pPr>
        <w:rPr>
          <w:rFonts w:asciiTheme="majorBidi" w:hAnsiTheme="majorBidi" w:cstheme="majorBidi"/>
          <w:b/>
        </w:rPr>
      </w:pPr>
    </w:p>
    <w:p w14:paraId="0C642645" w14:textId="77777777" w:rsidR="008253DD" w:rsidRPr="00CB40F4" w:rsidRDefault="008253DD" w:rsidP="008253DD">
      <w:pPr>
        <w:rPr>
          <w:rFonts w:asciiTheme="majorBidi" w:hAnsiTheme="majorBidi" w:cstheme="majorBidi"/>
          <w:b/>
        </w:rPr>
      </w:pPr>
    </w:p>
    <w:p w14:paraId="791CCF8C" w14:textId="1AAEFDBB" w:rsidR="008253DD" w:rsidRPr="00CB40F4" w:rsidRDefault="008253DD" w:rsidP="008253DD">
      <w:pPr>
        <w:rPr>
          <w:rFonts w:asciiTheme="majorBidi" w:hAnsiTheme="majorBidi" w:cstheme="majorBidi"/>
        </w:rPr>
      </w:pPr>
      <w:r w:rsidRPr="00CB40F4">
        <w:rPr>
          <w:rFonts w:asciiTheme="majorBidi" w:hAnsiTheme="majorBidi" w:cstheme="majorBidi"/>
        </w:rPr>
        <w:tab/>
        <w:t>Table 3-B presents the total annual burden hours and costs by division for “Type A” registration applications.</w:t>
      </w:r>
      <w:r w:rsidR="007841AD" w:rsidRPr="00CB40F4">
        <w:rPr>
          <w:rFonts w:asciiTheme="majorBidi" w:hAnsiTheme="majorBidi" w:cstheme="majorBidi"/>
        </w:rPr>
        <w:t xml:space="preserve"> </w:t>
      </w:r>
      <w:r w:rsidRPr="00CB40F4">
        <w:rPr>
          <w:rFonts w:asciiTheme="majorBidi" w:hAnsiTheme="majorBidi" w:cstheme="majorBidi"/>
        </w:rPr>
        <w:t>Registrants spend a total of 3,104 burden hours at a cost of $224 thousand to prepare and submit “Type A” applications to the Antimicrobial Division, 4,203 burden hours at a cost of $304 thousand to prepare and submit “Type A” applications to the Biopesticides and Pollution Prevention Division, and 30,911 hours at a cost of $2.234 million to prepare and submit “Type A” applications to the Registration Division.</w:t>
      </w:r>
      <w:r w:rsidR="007841AD" w:rsidRPr="00CB40F4">
        <w:rPr>
          <w:rFonts w:asciiTheme="majorBidi" w:hAnsiTheme="majorBidi" w:cstheme="majorBidi"/>
        </w:rPr>
        <w:t xml:space="preserve"> </w:t>
      </w:r>
      <w:r w:rsidRPr="00CB40F4">
        <w:rPr>
          <w:rFonts w:asciiTheme="majorBidi" w:hAnsiTheme="majorBidi" w:cstheme="majorBidi"/>
        </w:rPr>
        <w:t>The total paperwork burden and cost associated with preparing and submitting “Type A” registration applications to EPA is estimated at $2.762 million per year.</w:t>
      </w:r>
    </w:p>
    <w:p w14:paraId="61532DAF" w14:textId="77777777" w:rsidR="008253DD" w:rsidRPr="00CB40F4" w:rsidRDefault="008253DD" w:rsidP="008253DD">
      <w:pPr>
        <w:rPr>
          <w:rFonts w:asciiTheme="majorBidi" w:hAnsiTheme="majorBidi" w:cstheme="majorBidi"/>
        </w:rPr>
      </w:pPr>
    </w:p>
    <w:p w14:paraId="4F0C8E48" w14:textId="77777777" w:rsidR="008253DD" w:rsidRDefault="008253DD" w:rsidP="008253DD">
      <w:pPr>
        <w:rPr>
          <w:rFonts w:asciiTheme="majorBidi" w:hAnsiTheme="majorBidi" w:cstheme="majorBidi"/>
        </w:rPr>
      </w:pPr>
    </w:p>
    <w:p w14:paraId="6D100D20" w14:textId="77777777" w:rsidR="00F204D4" w:rsidRDefault="00F204D4" w:rsidP="008253DD">
      <w:pPr>
        <w:rPr>
          <w:rFonts w:asciiTheme="majorBidi" w:hAnsiTheme="majorBidi" w:cstheme="majorBidi"/>
        </w:rPr>
      </w:pPr>
    </w:p>
    <w:p w14:paraId="1BD469C8" w14:textId="77777777" w:rsidR="00F204D4" w:rsidRPr="00CB40F4" w:rsidRDefault="00F204D4" w:rsidP="008253DD">
      <w:pPr>
        <w:rPr>
          <w:rFonts w:asciiTheme="majorBidi" w:hAnsiTheme="majorBidi" w:cstheme="majorBidi"/>
        </w:rPr>
      </w:pPr>
    </w:p>
    <w:p w14:paraId="2FBB35BA" w14:textId="40C1B75C" w:rsidR="008253DD" w:rsidRPr="00CB40F4" w:rsidRDefault="008253DD" w:rsidP="008253DD">
      <w:pPr>
        <w:rPr>
          <w:rFonts w:asciiTheme="majorBidi" w:hAnsiTheme="majorBidi" w:cstheme="majorBidi"/>
          <w:b/>
        </w:rPr>
      </w:pPr>
      <w:r w:rsidRPr="00CB40F4">
        <w:rPr>
          <w:rFonts w:asciiTheme="majorBidi" w:hAnsiTheme="majorBidi" w:cstheme="majorBidi"/>
          <w:b/>
          <w:bCs/>
          <w:sz w:val="22"/>
          <w:szCs w:val="22"/>
        </w:rPr>
        <w:t xml:space="preserve">Table 3-B: Total Annual Burden and Cost by Division for "Type A"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bCs/>
          <w:sz w:val="22"/>
          <w:szCs w:val="22"/>
        </w:rPr>
        <w:t>Applications</w:t>
      </w:r>
      <w:r w:rsidRPr="00CB40F4">
        <w:rPr>
          <w:rFonts w:asciiTheme="majorBidi" w:hAnsiTheme="majorBidi" w:cstheme="majorBidi"/>
          <w:b/>
          <w:bCs/>
          <w:sz w:val="22"/>
          <w:szCs w:val="22"/>
          <w:vertAlign w:val="superscript"/>
        </w:rPr>
        <w:t xml:space="preserve"> 1</w:t>
      </w:r>
    </w:p>
    <w:tbl>
      <w:tblPr>
        <w:tblW w:w="0" w:type="auto"/>
        <w:tblLayout w:type="fixed"/>
        <w:tblLook w:val="04A0" w:firstRow="1" w:lastRow="0" w:firstColumn="1" w:lastColumn="0" w:noHBand="0" w:noVBand="1"/>
      </w:tblPr>
      <w:tblGrid>
        <w:gridCol w:w="1327"/>
        <w:gridCol w:w="720"/>
        <w:gridCol w:w="1080"/>
        <w:gridCol w:w="810"/>
        <w:gridCol w:w="1080"/>
        <w:gridCol w:w="900"/>
        <w:gridCol w:w="1260"/>
        <w:gridCol w:w="900"/>
        <w:gridCol w:w="1237"/>
      </w:tblGrid>
      <w:tr w:rsidR="007D140D" w:rsidRPr="00CB40F4" w14:paraId="62171958" w14:textId="77777777" w:rsidTr="0096265D">
        <w:trPr>
          <w:trHeight w:val="300"/>
        </w:trPr>
        <w:tc>
          <w:tcPr>
            <w:tcW w:w="1327" w:type="dxa"/>
            <w:vMerge w:val="restart"/>
            <w:tcBorders>
              <w:top w:val="double" w:sz="6" w:space="0" w:color="808080"/>
              <w:left w:val="double" w:sz="6" w:space="0" w:color="808080"/>
              <w:bottom w:val="single" w:sz="4" w:space="0" w:color="808080"/>
              <w:right w:val="single" w:sz="4" w:space="0" w:color="808080"/>
            </w:tcBorders>
            <w:shd w:val="clear" w:color="auto" w:fill="auto"/>
            <w:noWrap/>
            <w:vAlign w:val="center"/>
            <w:hideMark/>
          </w:tcPr>
          <w:p w14:paraId="3C08E4AE" w14:textId="77777777" w:rsidR="008253DD" w:rsidRPr="00CB40F4" w:rsidRDefault="008253DD" w:rsidP="00650B2D">
            <w:pPr>
              <w:rPr>
                <w:rFonts w:asciiTheme="majorBidi" w:hAnsiTheme="majorBidi" w:cstheme="majorBidi"/>
                <w:b/>
                <w:sz w:val="22"/>
                <w:szCs w:val="22"/>
                <w:vertAlign w:val="superscript"/>
              </w:rPr>
            </w:pPr>
            <w:r w:rsidRPr="00CB40F4">
              <w:rPr>
                <w:rFonts w:asciiTheme="majorBidi" w:hAnsiTheme="majorBidi" w:cstheme="majorBidi"/>
                <w:b/>
                <w:sz w:val="22"/>
                <w:szCs w:val="22"/>
              </w:rPr>
              <w:t>Labor Category</w:t>
            </w:r>
            <w:r w:rsidRPr="00CB40F4">
              <w:rPr>
                <w:rFonts w:asciiTheme="majorBidi" w:hAnsiTheme="majorBidi" w:cstheme="majorBidi"/>
                <w:b/>
                <w:sz w:val="22"/>
                <w:szCs w:val="22"/>
                <w:vertAlign w:val="superscript"/>
              </w:rPr>
              <w:t xml:space="preserve"> 2</w:t>
            </w:r>
          </w:p>
        </w:tc>
        <w:tc>
          <w:tcPr>
            <w:tcW w:w="1800" w:type="dxa"/>
            <w:gridSpan w:val="2"/>
            <w:tcBorders>
              <w:top w:val="double" w:sz="6" w:space="0" w:color="808080"/>
              <w:left w:val="nil"/>
              <w:bottom w:val="single" w:sz="4" w:space="0" w:color="808080"/>
              <w:right w:val="single" w:sz="4" w:space="0" w:color="808080"/>
            </w:tcBorders>
            <w:shd w:val="clear" w:color="auto" w:fill="auto"/>
            <w:noWrap/>
            <w:vAlign w:val="center"/>
            <w:hideMark/>
          </w:tcPr>
          <w:p w14:paraId="3C39C552"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AD</w:t>
            </w:r>
          </w:p>
        </w:tc>
        <w:tc>
          <w:tcPr>
            <w:tcW w:w="1890" w:type="dxa"/>
            <w:gridSpan w:val="2"/>
            <w:tcBorders>
              <w:top w:val="double" w:sz="6" w:space="0" w:color="808080"/>
              <w:left w:val="nil"/>
              <w:bottom w:val="single" w:sz="4" w:space="0" w:color="808080"/>
              <w:right w:val="single" w:sz="4" w:space="0" w:color="808080"/>
            </w:tcBorders>
            <w:shd w:val="clear" w:color="auto" w:fill="auto"/>
            <w:noWrap/>
            <w:vAlign w:val="center"/>
            <w:hideMark/>
          </w:tcPr>
          <w:p w14:paraId="0F53BA07"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BPPD</w:t>
            </w:r>
          </w:p>
        </w:tc>
        <w:tc>
          <w:tcPr>
            <w:tcW w:w="2160" w:type="dxa"/>
            <w:gridSpan w:val="2"/>
            <w:tcBorders>
              <w:top w:val="double" w:sz="6" w:space="0" w:color="808080"/>
              <w:left w:val="nil"/>
              <w:bottom w:val="single" w:sz="4" w:space="0" w:color="808080"/>
              <w:right w:val="single" w:sz="4" w:space="0" w:color="808080"/>
            </w:tcBorders>
            <w:shd w:val="clear" w:color="auto" w:fill="auto"/>
            <w:noWrap/>
            <w:vAlign w:val="center"/>
            <w:hideMark/>
          </w:tcPr>
          <w:p w14:paraId="1A144CDA"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RD</w:t>
            </w:r>
          </w:p>
        </w:tc>
        <w:tc>
          <w:tcPr>
            <w:tcW w:w="2137" w:type="dxa"/>
            <w:gridSpan w:val="2"/>
            <w:tcBorders>
              <w:top w:val="double" w:sz="6" w:space="0" w:color="808080"/>
              <w:left w:val="nil"/>
              <w:bottom w:val="single" w:sz="4" w:space="0" w:color="808080"/>
              <w:right w:val="double" w:sz="6" w:space="0" w:color="808080"/>
            </w:tcBorders>
            <w:shd w:val="clear" w:color="auto" w:fill="auto"/>
            <w:noWrap/>
            <w:hideMark/>
          </w:tcPr>
          <w:p w14:paraId="17D5046A"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Total</w:t>
            </w:r>
          </w:p>
        </w:tc>
      </w:tr>
      <w:tr w:rsidR="007D140D" w:rsidRPr="00CB40F4" w14:paraId="6C4EDD74" w14:textId="77777777" w:rsidTr="0096265D">
        <w:trPr>
          <w:trHeight w:val="285"/>
        </w:trPr>
        <w:tc>
          <w:tcPr>
            <w:tcW w:w="1327" w:type="dxa"/>
            <w:vMerge/>
            <w:tcBorders>
              <w:top w:val="double" w:sz="6" w:space="0" w:color="808080"/>
              <w:left w:val="double" w:sz="6" w:space="0" w:color="808080"/>
              <w:bottom w:val="single" w:sz="4" w:space="0" w:color="808080"/>
              <w:right w:val="single" w:sz="4" w:space="0" w:color="808080"/>
            </w:tcBorders>
            <w:shd w:val="clear" w:color="auto" w:fill="auto"/>
            <w:vAlign w:val="center"/>
            <w:hideMark/>
          </w:tcPr>
          <w:p w14:paraId="2B341FB5" w14:textId="77777777" w:rsidR="008253DD" w:rsidRPr="00CB40F4" w:rsidRDefault="008253DD" w:rsidP="00650B2D">
            <w:pPr>
              <w:rPr>
                <w:rFonts w:asciiTheme="majorBidi" w:hAnsiTheme="majorBidi" w:cstheme="majorBidi"/>
                <w:sz w:val="22"/>
                <w:szCs w:val="22"/>
              </w:rPr>
            </w:pPr>
          </w:p>
        </w:tc>
        <w:tc>
          <w:tcPr>
            <w:tcW w:w="720" w:type="dxa"/>
            <w:tcBorders>
              <w:top w:val="nil"/>
              <w:left w:val="nil"/>
              <w:bottom w:val="single" w:sz="4" w:space="0" w:color="808080"/>
              <w:right w:val="single" w:sz="4" w:space="0" w:color="808080"/>
            </w:tcBorders>
            <w:shd w:val="clear" w:color="auto" w:fill="auto"/>
            <w:noWrap/>
            <w:vAlign w:val="center"/>
            <w:hideMark/>
          </w:tcPr>
          <w:p w14:paraId="09B13B53" w14:textId="7CC62870"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Hrs</w:t>
            </w:r>
            <w:r w:rsidR="007D140D" w:rsidRPr="00CB40F4">
              <w:rPr>
                <w:rFonts w:asciiTheme="majorBidi" w:hAnsiTheme="majorBidi" w:cstheme="majorBidi"/>
                <w:b/>
                <w:bCs/>
                <w:sz w:val="22"/>
                <w:szCs w:val="22"/>
              </w:rPr>
              <w:t>.</w:t>
            </w:r>
          </w:p>
        </w:tc>
        <w:tc>
          <w:tcPr>
            <w:tcW w:w="1080" w:type="dxa"/>
            <w:tcBorders>
              <w:top w:val="nil"/>
              <w:left w:val="nil"/>
              <w:bottom w:val="single" w:sz="4" w:space="0" w:color="808080"/>
              <w:right w:val="single" w:sz="4" w:space="0" w:color="808080"/>
            </w:tcBorders>
            <w:shd w:val="clear" w:color="auto" w:fill="auto"/>
            <w:noWrap/>
            <w:vAlign w:val="center"/>
            <w:hideMark/>
          </w:tcPr>
          <w:p w14:paraId="6F3D8716"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810" w:type="dxa"/>
            <w:tcBorders>
              <w:top w:val="nil"/>
              <w:left w:val="nil"/>
              <w:bottom w:val="single" w:sz="4" w:space="0" w:color="808080"/>
              <w:right w:val="single" w:sz="4" w:space="0" w:color="808080"/>
            </w:tcBorders>
            <w:shd w:val="clear" w:color="auto" w:fill="auto"/>
            <w:noWrap/>
            <w:vAlign w:val="center"/>
            <w:hideMark/>
          </w:tcPr>
          <w:p w14:paraId="26745014" w14:textId="2B692BE8"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Hrs</w:t>
            </w:r>
            <w:r w:rsidR="007D140D" w:rsidRPr="00CB40F4">
              <w:rPr>
                <w:rFonts w:asciiTheme="majorBidi" w:hAnsiTheme="majorBidi" w:cstheme="majorBidi"/>
                <w:b/>
                <w:bCs/>
                <w:sz w:val="22"/>
                <w:szCs w:val="22"/>
              </w:rPr>
              <w:t>.</w:t>
            </w:r>
          </w:p>
        </w:tc>
        <w:tc>
          <w:tcPr>
            <w:tcW w:w="1080" w:type="dxa"/>
            <w:tcBorders>
              <w:top w:val="nil"/>
              <w:left w:val="nil"/>
              <w:bottom w:val="single" w:sz="4" w:space="0" w:color="808080"/>
              <w:right w:val="single" w:sz="4" w:space="0" w:color="808080"/>
            </w:tcBorders>
            <w:shd w:val="clear" w:color="auto" w:fill="auto"/>
            <w:noWrap/>
            <w:vAlign w:val="center"/>
            <w:hideMark/>
          </w:tcPr>
          <w:p w14:paraId="5730D71F"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900" w:type="dxa"/>
            <w:tcBorders>
              <w:top w:val="nil"/>
              <w:left w:val="nil"/>
              <w:bottom w:val="single" w:sz="4" w:space="0" w:color="808080"/>
              <w:right w:val="single" w:sz="4" w:space="0" w:color="808080"/>
            </w:tcBorders>
            <w:shd w:val="clear" w:color="auto" w:fill="auto"/>
            <w:noWrap/>
            <w:vAlign w:val="center"/>
            <w:hideMark/>
          </w:tcPr>
          <w:p w14:paraId="07B9A186"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Hours</w:t>
            </w:r>
          </w:p>
        </w:tc>
        <w:tc>
          <w:tcPr>
            <w:tcW w:w="1260" w:type="dxa"/>
            <w:tcBorders>
              <w:top w:val="nil"/>
              <w:left w:val="nil"/>
              <w:bottom w:val="single" w:sz="4" w:space="0" w:color="808080"/>
              <w:right w:val="single" w:sz="4" w:space="0" w:color="808080"/>
            </w:tcBorders>
            <w:shd w:val="clear" w:color="auto" w:fill="auto"/>
            <w:noWrap/>
            <w:vAlign w:val="center"/>
            <w:hideMark/>
          </w:tcPr>
          <w:p w14:paraId="77763C50"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900" w:type="dxa"/>
            <w:tcBorders>
              <w:top w:val="nil"/>
              <w:left w:val="nil"/>
              <w:bottom w:val="single" w:sz="4" w:space="0" w:color="808080"/>
              <w:right w:val="single" w:sz="4" w:space="0" w:color="808080"/>
            </w:tcBorders>
            <w:shd w:val="clear" w:color="auto" w:fill="auto"/>
            <w:noWrap/>
            <w:vAlign w:val="center"/>
            <w:hideMark/>
          </w:tcPr>
          <w:p w14:paraId="0DF4B078"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Hours</w:t>
            </w:r>
          </w:p>
        </w:tc>
        <w:tc>
          <w:tcPr>
            <w:tcW w:w="1237" w:type="dxa"/>
            <w:tcBorders>
              <w:top w:val="nil"/>
              <w:left w:val="nil"/>
              <w:bottom w:val="single" w:sz="4" w:space="0" w:color="808080"/>
              <w:right w:val="double" w:sz="6" w:space="0" w:color="808080"/>
            </w:tcBorders>
            <w:shd w:val="clear" w:color="auto" w:fill="auto"/>
            <w:noWrap/>
            <w:vAlign w:val="center"/>
            <w:hideMark/>
          </w:tcPr>
          <w:p w14:paraId="7F22922E"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r>
      <w:tr w:rsidR="007D140D" w:rsidRPr="00CB40F4" w14:paraId="0916C314" w14:textId="77777777" w:rsidTr="0096265D">
        <w:trPr>
          <w:trHeight w:val="300"/>
        </w:trPr>
        <w:tc>
          <w:tcPr>
            <w:tcW w:w="1327" w:type="dxa"/>
            <w:tcBorders>
              <w:top w:val="nil"/>
              <w:left w:val="double" w:sz="6" w:space="0" w:color="808080"/>
              <w:bottom w:val="single" w:sz="4" w:space="0" w:color="808080"/>
              <w:right w:val="single" w:sz="4" w:space="0" w:color="808080"/>
            </w:tcBorders>
            <w:shd w:val="clear" w:color="auto" w:fill="auto"/>
            <w:noWrap/>
            <w:vAlign w:val="bottom"/>
            <w:hideMark/>
          </w:tcPr>
          <w:p w14:paraId="289296F7"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Management</w:t>
            </w:r>
          </w:p>
        </w:tc>
        <w:tc>
          <w:tcPr>
            <w:tcW w:w="720" w:type="dxa"/>
            <w:tcBorders>
              <w:top w:val="nil"/>
              <w:left w:val="nil"/>
              <w:bottom w:val="single" w:sz="4" w:space="0" w:color="808080"/>
              <w:right w:val="single" w:sz="4" w:space="0" w:color="808080"/>
            </w:tcBorders>
            <w:shd w:val="clear" w:color="auto" w:fill="auto"/>
            <w:noWrap/>
            <w:vAlign w:val="center"/>
            <w:hideMark/>
          </w:tcPr>
          <w:p w14:paraId="1AB643E5"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416</w:t>
            </w:r>
          </w:p>
        </w:tc>
        <w:tc>
          <w:tcPr>
            <w:tcW w:w="1080" w:type="dxa"/>
            <w:tcBorders>
              <w:top w:val="nil"/>
              <w:left w:val="nil"/>
              <w:bottom w:val="single" w:sz="4" w:space="0" w:color="808080"/>
              <w:right w:val="single" w:sz="4" w:space="0" w:color="808080"/>
            </w:tcBorders>
            <w:shd w:val="clear" w:color="auto" w:fill="auto"/>
            <w:noWrap/>
            <w:vAlign w:val="center"/>
            <w:hideMark/>
          </w:tcPr>
          <w:p w14:paraId="5D576A94"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$50,636</w:t>
            </w:r>
          </w:p>
        </w:tc>
        <w:tc>
          <w:tcPr>
            <w:tcW w:w="810" w:type="dxa"/>
            <w:tcBorders>
              <w:top w:val="nil"/>
              <w:left w:val="nil"/>
              <w:bottom w:val="single" w:sz="4" w:space="0" w:color="808080"/>
              <w:right w:val="single" w:sz="4" w:space="0" w:color="808080"/>
            </w:tcBorders>
            <w:shd w:val="clear" w:color="auto" w:fill="auto"/>
            <w:noWrap/>
            <w:vAlign w:val="center"/>
            <w:hideMark/>
          </w:tcPr>
          <w:p w14:paraId="7DA0870E"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563</w:t>
            </w:r>
          </w:p>
        </w:tc>
        <w:tc>
          <w:tcPr>
            <w:tcW w:w="1080" w:type="dxa"/>
            <w:tcBorders>
              <w:top w:val="nil"/>
              <w:left w:val="nil"/>
              <w:bottom w:val="single" w:sz="4" w:space="0" w:color="808080"/>
              <w:right w:val="single" w:sz="4" w:space="0" w:color="808080"/>
            </w:tcBorders>
            <w:shd w:val="clear" w:color="auto" w:fill="auto"/>
            <w:noWrap/>
            <w:vAlign w:val="center"/>
            <w:hideMark/>
          </w:tcPr>
          <w:p w14:paraId="126A1561"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$68,569</w:t>
            </w:r>
          </w:p>
        </w:tc>
        <w:tc>
          <w:tcPr>
            <w:tcW w:w="900" w:type="dxa"/>
            <w:tcBorders>
              <w:top w:val="nil"/>
              <w:left w:val="nil"/>
              <w:bottom w:val="single" w:sz="4" w:space="0" w:color="808080"/>
              <w:right w:val="single" w:sz="4" w:space="0" w:color="808080"/>
            </w:tcBorders>
            <w:shd w:val="clear" w:color="auto" w:fill="auto"/>
            <w:noWrap/>
            <w:vAlign w:val="center"/>
            <w:hideMark/>
          </w:tcPr>
          <w:p w14:paraId="0AC2F64B"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4,143</w:t>
            </w:r>
          </w:p>
        </w:tc>
        <w:tc>
          <w:tcPr>
            <w:tcW w:w="1260" w:type="dxa"/>
            <w:tcBorders>
              <w:top w:val="nil"/>
              <w:left w:val="nil"/>
              <w:bottom w:val="single" w:sz="4" w:space="0" w:color="808080"/>
              <w:right w:val="single" w:sz="4" w:space="0" w:color="808080"/>
            </w:tcBorders>
            <w:shd w:val="clear" w:color="auto" w:fill="auto"/>
            <w:noWrap/>
            <w:vAlign w:val="center"/>
            <w:hideMark/>
          </w:tcPr>
          <w:p w14:paraId="746F5CBB"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$504,245</w:t>
            </w:r>
          </w:p>
        </w:tc>
        <w:tc>
          <w:tcPr>
            <w:tcW w:w="900" w:type="dxa"/>
            <w:tcBorders>
              <w:top w:val="nil"/>
              <w:left w:val="nil"/>
              <w:bottom w:val="single" w:sz="4" w:space="0" w:color="808080"/>
              <w:right w:val="single" w:sz="4" w:space="0" w:color="808080"/>
            </w:tcBorders>
            <w:shd w:val="clear" w:color="auto" w:fill="auto"/>
            <w:noWrap/>
            <w:vAlign w:val="center"/>
            <w:hideMark/>
          </w:tcPr>
          <w:p w14:paraId="6F4568B1"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5,122</w:t>
            </w:r>
          </w:p>
        </w:tc>
        <w:tc>
          <w:tcPr>
            <w:tcW w:w="1237" w:type="dxa"/>
            <w:tcBorders>
              <w:top w:val="nil"/>
              <w:left w:val="nil"/>
              <w:bottom w:val="single" w:sz="4" w:space="0" w:color="808080"/>
              <w:right w:val="double" w:sz="6" w:space="0" w:color="808080"/>
            </w:tcBorders>
            <w:shd w:val="clear" w:color="auto" w:fill="auto"/>
            <w:noWrap/>
            <w:vAlign w:val="center"/>
            <w:hideMark/>
          </w:tcPr>
          <w:p w14:paraId="54CE4AC1"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$623,450</w:t>
            </w:r>
          </w:p>
        </w:tc>
      </w:tr>
      <w:tr w:rsidR="007D140D" w:rsidRPr="00CB40F4" w14:paraId="2BD6A624" w14:textId="77777777" w:rsidTr="0096265D">
        <w:trPr>
          <w:trHeight w:val="300"/>
        </w:trPr>
        <w:tc>
          <w:tcPr>
            <w:tcW w:w="1327" w:type="dxa"/>
            <w:tcBorders>
              <w:top w:val="nil"/>
              <w:left w:val="double" w:sz="6" w:space="0" w:color="808080"/>
              <w:bottom w:val="single" w:sz="4" w:space="0" w:color="808080"/>
              <w:right w:val="single" w:sz="4" w:space="0" w:color="808080"/>
            </w:tcBorders>
            <w:shd w:val="clear" w:color="auto" w:fill="auto"/>
            <w:noWrap/>
            <w:vAlign w:val="bottom"/>
            <w:hideMark/>
          </w:tcPr>
          <w:p w14:paraId="49469E7F"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Technical</w:t>
            </w:r>
          </w:p>
        </w:tc>
        <w:tc>
          <w:tcPr>
            <w:tcW w:w="720" w:type="dxa"/>
            <w:tcBorders>
              <w:top w:val="nil"/>
              <w:left w:val="nil"/>
              <w:bottom w:val="single" w:sz="4" w:space="0" w:color="808080"/>
              <w:right w:val="single" w:sz="4" w:space="0" w:color="808080"/>
            </w:tcBorders>
            <w:shd w:val="clear" w:color="auto" w:fill="auto"/>
            <w:noWrap/>
            <w:vAlign w:val="center"/>
            <w:hideMark/>
          </w:tcPr>
          <w:p w14:paraId="353B4BDF"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2,048</w:t>
            </w:r>
          </w:p>
        </w:tc>
        <w:tc>
          <w:tcPr>
            <w:tcW w:w="1080" w:type="dxa"/>
            <w:tcBorders>
              <w:top w:val="nil"/>
              <w:left w:val="nil"/>
              <w:bottom w:val="single" w:sz="4" w:space="0" w:color="808080"/>
              <w:right w:val="single" w:sz="4" w:space="0" w:color="808080"/>
            </w:tcBorders>
            <w:shd w:val="clear" w:color="auto" w:fill="auto"/>
            <w:noWrap/>
            <w:vAlign w:val="center"/>
            <w:hideMark/>
          </w:tcPr>
          <w:p w14:paraId="3EDA8CC5"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$147,476</w:t>
            </w:r>
          </w:p>
        </w:tc>
        <w:tc>
          <w:tcPr>
            <w:tcW w:w="810" w:type="dxa"/>
            <w:tcBorders>
              <w:top w:val="nil"/>
              <w:left w:val="nil"/>
              <w:bottom w:val="single" w:sz="4" w:space="0" w:color="808080"/>
              <w:right w:val="single" w:sz="4" w:space="0" w:color="808080"/>
            </w:tcBorders>
            <w:shd w:val="clear" w:color="auto" w:fill="auto"/>
            <w:noWrap/>
            <w:vAlign w:val="center"/>
            <w:hideMark/>
          </w:tcPr>
          <w:p w14:paraId="6157247A"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2,773</w:t>
            </w:r>
          </w:p>
        </w:tc>
        <w:tc>
          <w:tcPr>
            <w:tcW w:w="1080" w:type="dxa"/>
            <w:tcBorders>
              <w:top w:val="nil"/>
              <w:left w:val="nil"/>
              <w:bottom w:val="single" w:sz="4" w:space="0" w:color="808080"/>
              <w:right w:val="single" w:sz="4" w:space="0" w:color="808080"/>
            </w:tcBorders>
            <w:shd w:val="clear" w:color="auto" w:fill="auto"/>
            <w:noWrap/>
            <w:vAlign w:val="center"/>
            <w:hideMark/>
          </w:tcPr>
          <w:p w14:paraId="671F3E0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$199,708</w:t>
            </w:r>
          </w:p>
        </w:tc>
        <w:tc>
          <w:tcPr>
            <w:tcW w:w="900" w:type="dxa"/>
            <w:tcBorders>
              <w:top w:val="nil"/>
              <w:left w:val="nil"/>
              <w:bottom w:val="single" w:sz="4" w:space="0" w:color="808080"/>
              <w:right w:val="single" w:sz="4" w:space="0" w:color="808080"/>
            </w:tcBorders>
            <w:shd w:val="clear" w:color="auto" w:fill="auto"/>
            <w:noWrap/>
            <w:vAlign w:val="center"/>
            <w:hideMark/>
          </w:tcPr>
          <w:p w14:paraId="349B66FD"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20,395</w:t>
            </w:r>
          </w:p>
        </w:tc>
        <w:tc>
          <w:tcPr>
            <w:tcW w:w="1260" w:type="dxa"/>
            <w:tcBorders>
              <w:top w:val="nil"/>
              <w:left w:val="nil"/>
              <w:bottom w:val="single" w:sz="4" w:space="0" w:color="808080"/>
              <w:right w:val="single" w:sz="4" w:space="0" w:color="808080"/>
            </w:tcBorders>
            <w:shd w:val="clear" w:color="auto" w:fill="auto"/>
            <w:noWrap/>
            <w:vAlign w:val="center"/>
            <w:hideMark/>
          </w:tcPr>
          <w:p w14:paraId="48CAC69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$1,468,620</w:t>
            </w:r>
          </w:p>
        </w:tc>
        <w:tc>
          <w:tcPr>
            <w:tcW w:w="900" w:type="dxa"/>
            <w:tcBorders>
              <w:top w:val="nil"/>
              <w:left w:val="nil"/>
              <w:bottom w:val="single" w:sz="4" w:space="0" w:color="808080"/>
              <w:right w:val="single" w:sz="4" w:space="0" w:color="808080"/>
            </w:tcBorders>
            <w:shd w:val="clear" w:color="auto" w:fill="auto"/>
            <w:noWrap/>
            <w:vAlign w:val="center"/>
            <w:hideMark/>
          </w:tcPr>
          <w:p w14:paraId="263137B1"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25,216</w:t>
            </w:r>
          </w:p>
        </w:tc>
        <w:tc>
          <w:tcPr>
            <w:tcW w:w="1237" w:type="dxa"/>
            <w:tcBorders>
              <w:top w:val="nil"/>
              <w:left w:val="nil"/>
              <w:bottom w:val="single" w:sz="4" w:space="0" w:color="808080"/>
              <w:right w:val="double" w:sz="6" w:space="0" w:color="808080"/>
            </w:tcBorders>
            <w:shd w:val="clear" w:color="auto" w:fill="auto"/>
            <w:noWrap/>
            <w:vAlign w:val="center"/>
            <w:hideMark/>
          </w:tcPr>
          <w:p w14:paraId="49325AEA"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$1,815,804</w:t>
            </w:r>
          </w:p>
        </w:tc>
      </w:tr>
      <w:tr w:rsidR="007D140D" w:rsidRPr="00CB40F4" w14:paraId="4B42B79A" w14:textId="77777777" w:rsidTr="0096265D">
        <w:trPr>
          <w:trHeight w:val="300"/>
        </w:trPr>
        <w:tc>
          <w:tcPr>
            <w:tcW w:w="1327" w:type="dxa"/>
            <w:tcBorders>
              <w:top w:val="nil"/>
              <w:left w:val="double" w:sz="6" w:space="0" w:color="808080"/>
              <w:bottom w:val="single" w:sz="4" w:space="0" w:color="808080"/>
              <w:right w:val="single" w:sz="4" w:space="0" w:color="808080"/>
            </w:tcBorders>
            <w:shd w:val="clear" w:color="auto" w:fill="auto"/>
            <w:noWrap/>
            <w:vAlign w:val="bottom"/>
            <w:hideMark/>
          </w:tcPr>
          <w:p w14:paraId="64B07277"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Clerical</w:t>
            </w:r>
          </w:p>
        </w:tc>
        <w:tc>
          <w:tcPr>
            <w:tcW w:w="720" w:type="dxa"/>
            <w:tcBorders>
              <w:top w:val="nil"/>
              <w:left w:val="nil"/>
              <w:bottom w:val="single" w:sz="4" w:space="0" w:color="808080"/>
              <w:right w:val="single" w:sz="4" w:space="0" w:color="808080"/>
            </w:tcBorders>
            <w:shd w:val="clear" w:color="auto" w:fill="auto"/>
            <w:noWrap/>
            <w:vAlign w:val="center"/>
            <w:hideMark/>
          </w:tcPr>
          <w:p w14:paraId="602432B1"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640</w:t>
            </w:r>
          </w:p>
        </w:tc>
        <w:tc>
          <w:tcPr>
            <w:tcW w:w="1080" w:type="dxa"/>
            <w:tcBorders>
              <w:top w:val="nil"/>
              <w:left w:val="nil"/>
              <w:bottom w:val="single" w:sz="4" w:space="0" w:color="808080"/>
              <w:right w:val="single" w:sz="4" w:space="0" w:color="808080"/>
            </w:tcBorders>
            <w:shd w:val="clear" w:color="auto" w:fill="auto"/>
            <w:noWrap/>
            <w:vAlign w:val="center"/>
            <w:hideMark/>
          </w:tcPr>
          <w:p w14:paraId="67B9ACFB"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$26,195</w:t>
            </w:r>
          </w:p>
        </w:tc>
        <w:tc>
          <w:tcPr>
            <w:tcW w:w="810" w:type="dxa"/>
            <w:tcBorders>
              <w:top w:val="nil"/>
              <w:left w:val="nil"/>
              <w:bottom w:val="single" w:sz="4" w:space="0" w:color="808080"/>
              <w:right w:val="single" w:sz="4" w:space="0" w:color="808080"/>
            </w:tcBorders>
            <w:shd w:val="clear" w:color="auto" w:fill="auto"/>
            <w:noWrap/>
            <w:vAlign w:val="center"/>
            <w:hideMark/>
          </w:tcPr>
          <w:p w14:paraId="592DFC9D"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867</w:t>
            </w:r>
          </w:p>
        </w:tc>
        <w:tc>
          <w:tcPr>
            <w:tcW w:w="1080" w:type="dxa"/>
            <w:tcBorders>
              <w:top w:val="nil"/>
              <w:left w:val="nil"/>
              <w:bottom w:val="single" w:sz="4" w:space="0" w:color="808080"/>
              <w:right w:val="single" w:sz="4" w:space="0" w:color="808080"/>
            </w:tcBorders>
            <w:shd w:val="clear" w:color="auto" w:fill="auto"/>
            <w:noWrap/>
            <w:vAlign w:val="center"/>
            <w:hideMark/>
          </w:tcPr>
          <w:p w14:paraId="5440EE4C"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$35,473</w:t>
            </w:r>
          </w:p>
        </w:tc>
        <w:tc>
          <w:tcPr>
            <w:tcW w:w="900" w:type="dxa"/>
            <w:tcBorders>
              <w:top w:val="nil"/>
              <w:left w:val="nil"/>
              <w:bottom w:val="single" w:sz="4" w:space="0" w:color="808080"/>
              <w:right w:val="single" w:sz="4" w:space="0" w:color="808080"/>
            </w:tcBorders>
            <w:shd w:val="clear" w:color="auto" w:fill="auto"/>
            <w:noWrap/>
            <w:vAlign w:val="center"/>
            <w:hideMark/>
          </w:tcPr>
          <w:p w14:paraId="5A02BC97"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6,373</w:t>
            </w:r>
          </w:p>
        </w:tc>
        <w:tc>
          <w:tcPr>
            <w:tcW w:w="1260" w:type="dxa"/>
            <w:tcBorders>
              <w:top w:val="nil"/>
              <w:left w:val="nil"/>
              <w:bottom w:val="single" w:sz="4" w:space="0" w:color="808080"/>
              <w:right w:val="single" w:sz="4" w:space="0" w:color="808080"/>
            </w:tcBorders>
            <w:shd w:val="clear" w:color="auto" w:fill="auto"/>
            <w:noWrap/>
            <w:vAlign w:val="center"/>
            <w:hideMark/>
          </w:tcPr>
          <w:p w14:paraId="3609C4AC"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$260,861</w:t>
            </w:r>
          </w:p>
        </w:tc>
        <w:tc>
          <w:tcPr>
            <w:tcW w:w="900" w:type="dxa"/>
            <w:tcBorders>
              <w:top w:val="nil"/>
              <w:left w:val="nil"/>
              <w:bottom w:val="single" w:sz="4" w:space="0" w:color="808080"/>
              <w:right w:val="single" w:sz="4" w:space="0" w:color="808080"/>
            </w:tcBorders>
            <w:shd w:val="clear" w:color="auto" w:fill="auto"/>
            <w:noWrap/>
            <w:vAlign w:val="center"/>
            <w:hideMark/>
          </w:tcPr>
          <w:p w14:paraId="2FCACFD4"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7,880</w:t>
            </w:r>
          </w:p>
        </w:tc>
        <w:tc>
          <w:tcPr>
            <w:tcW w:w="1237" w:type="dxa"/>
            <w:tcBorders>
              <w:top w:val="nil"/>
              <w:left w:val="nil"/>
              <w:bottom w:val="single" w:sz="4" w:space="0" w:color="808080"/>
              <w:right w:val="double" w:sz="6" w:space="0" w:color="808080"/>
            </w:tcBorders>
            <w:shd w:val="clear" w:color="auto" w:fill="auto"/>
            <w:noWrap/>
            <w:vAlign w:val="center"/>
            <w:hideMark/>
          </w:tcPr>
          <w:p w14:paraId="1293CD9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$322,528</w:t>
            </w:r>
          </w:p>
        </w:tc>
      </w:tr>
      <w:tr w:rsidR="007D140D" w:rsidRPr="00CB40F4" w14:paraId="31A4A0D4" w14:textId="77777777" w:rsidTr="0096265D">
        <w:trPr>
          <w:trHeight w:val="315"/>
        </w:trPr>
        <w:tc>
          <w:tcPr>
            <w:tcW w:w="1327" w:type="dxa"/>
            <w:tcBorders>
              <w:top w:val="nil"/>
              <w:left w:val="double" w:sz="6" w:space="0" w:color="808080"/>
              <w:bottom w:val="double" w:sz="6" w:space="0" w:color="808080"/>
              <w:right w:val="single" w:sz="4" w:space="0" w:color="808080"/>
            </w:tcBorders>
            <w:shd w:val="clear" w:color="auto" w:fill="auto"/>
            <w:noWrap/>
            <w:vAlign w:val="bottom"/>
            <w:hideMark/>
          </w:tcPr>
          <w:p w14:paraId="598A6D0E" w14:textId="77777777" w:rsidR="008253DD" w:rsidRPr="00CB40F4" w:rsidRDefault="008253DD" w:rsidP="00650B2D">
            <w:pPr>
              <w:jc w:val="center"/>
              <w:rPr>
                <w:rFonts w:asciiTheme="majorBidi" w:hAnsiTheme="majorBidi" w:cstheme="majorBidi"/>
                <w:b/>
                <w:sz w:val="22"/>
                <w:szCs w:val="22"/>
              </w:rPr>
            </w:pPr>
            <w:r w:rsidRPr="00CB40F4">
              <w:rPr>
                <w:rFonts w:asciiTheme="majorBidi" w:hAnsiTheme="majorBidi" w:cstheme="majorBidi"/>
                <w:b/>
                <w:sz w:val="22"/>
                <w:szCs w:val="22"/>
              </w:rPr>
              <w:t>TOTAL</w:t>
            </w:r>
          </w:p>
        </w:tc>
        <w:tc>
          <w:tcPr>
            <w:tcW w:w="720" w:type="dxa"/>
            <w:tcBorders>
              <w:top w:val="nil"/>
              <w:left w:val="nil"/>
              <w:bottom w:val="double" w:sz="6" w:space="0" w:color="808080"/>
              <w:right w:val="single" w:sz="4" w:space="0" w:color="808080"/>
            </w:tcBorders>
            <w:shd w:val="clear" w:color="auto" w:fill="auto"/>
            <w:noWrap/>
            <w:vAlign w:val="center"/>
            <w:hideMark/>
          </w:tcPr>
          <w:p w14:paraId="2E869152"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3,104</w:t>
            </w:r>
          </w:p>
        </w:tc>
        <w:tc>
          <w:tcPr>
            <w:tcW w:w="1080" w:type="dxa"/>
            <w:tcBorders>
              <w:top w:val="nil"/>
              <w:left w:val="nil"/>
              <w:bottom w:val="double" w:sz="6" w:space="0" w:color="808080"/>
              <w:right w:val="single" w:sz="4" w:space="0" w:color="808080"/>
            </w:tcBorders>
            <w:shd w:val="clear" w:color="auto" w:fill="auto"/>
            <w:noWrap/>
            <w:vAlign w:val="center"/>
            <w:hideMark/>
          </w:tcPr>
          <w:p w14:paraId="7B81CB74"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$224,307</w:t>
            </w:r>
          </w:p>
        </w:tc>
        <w:tc>
          <w:tcPr>
            <w:tcW w:w="810" w:type="dxa"/>
            <w:tcBorders>
              <w:top w:val="nil"/>
              <w:left w:val="nil"/>
              <w:bottom w:val="double" w:sz="6" w:space="0" w:color="808080"/>
              <w:right w:val="single" w:sz="4" w:space="0" w:color="808080"/>
            </w:tcBorders>
            <w:shd w:val="clear" w:color="auto" w:fill="auto"/>
            <w:noWrap/>
            <w:vAlign w:val="center"/>
            <w:hideMark/>
          </w:tcPr>
          <w:p w14:paraId="3D672B16"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4,203</w:t>
            </w:r>
          </w:p>
        </w:tc>
        <w:tc>
          <w:tcPr>
            <w:tcW w:w="1080" w:type="dxa"/>
            <w:tcBorders>
              <w:top w:val="nil"/>
              <w:left w:val="nil"/>
              <w:bottom w:val="double" w:sz="6" w:space="0" w:color="808080"/>
              <w:right w:val="single" w:sz="4" w:space="0" w:color="808080"/>
            </w:tcBorders>
            <w:shd w:val="clear" w:color="auto" w:fill="auto"/>
            <w:noWrap/>
            <w:vAlign w:val="center"/>
            <w:hideMark/>
          </w:tcPr>
          <w:p w14:paraId="39ECADE7"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$303,749</w:t>
            </w:r>
          </w:p>
        </w:tc>
        <w:tc>
          <w:tcPr>
            <w:tcW w:w="900" w:type="dxa"/>
            <w:tcBorders>
              <w:top w:val="nil"/>
              <w:left w:val="nil"/>
              <w:bottom w:val="double" w:sz="6" w:space="0" w:color="808080"/>
              <w:right w:val="single" w:sz="4" w:space="0" w:color="808080"/>
            </w:tcBorders>
            <w:shd w:val="clear" w:color="auto" w:fill="auto"/>
            <w:noWrap/>
            <w:vAlign w:val="center"/>
            <w:hideMark/>
          </w:tcPr>
          <w:p w14:paraId="47D858A0"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30,911</w:t>
            </w:r>
          </w:p>
        </w:tc>
        <w:tc>
          <w:tcPr>
            <w:tcW w:w="1260" w:type="dxa"/>
            <w:tcBorders>
              <w:top w:val="nil"/>
              <w:left w:val="nil"/>
              <w:bottom w:val="double" w:sz="6" w:space="0" w:color="808080"/>
              <w:right w:val="single" w:sz="4" w:space="0" w:color="808080"/>
            </w:tcBorders>
            <w:shd w:val="clear" w:color="auto" w:fill="auto"/>
            <w:noWrap/>
            <w:vAlign w:val="center"/>
            <w:hideMark/>
          </w:tcPr>
          <w:p w14:paraId="51CCC692"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$2,233,726</w:t>
            </w:r>
          </w:p>
        </w:tc>
        <w:tc>
          <w:tcPr>
            <w:tcW w:w="900" w:type="dxa"/>
            <w:tcBorders>
              <w:top w:val="nil"/>
              <w:left w:val="nil"/>
              <w:bottom w:val="double" w:sz="6" w:space="0" w:color="808080"/>
              <w:right w:val="single" w:sz="4" w:space="0" w:color="808080"/>
            </w:tcBorders>
            <w:shd w:val="clear" w:color="auto" w:fill="auto"/>
            <w:noWrap/>
            <w:vAlign w:val="center"/>
            <w:hideMark/>
          </w:tcPr>
          <w:p w14:paraId="37EA9DB7" w14:textId="77777777" w:rsidR="008253DD" w:rsidRPr="00CB40F4" w:rsidRDefault="008253DD" w:rsidP="00650B2D">
            <w:pPr>
              <w:jc w:val="center"/>
              <w:rPr>
                <w:rFonts w:asciiTheme="majorBidi" w:hAnsiTheme="majorBidi" w:cstheme="majorBidi"/>
                <w:b/>
                <w:sz w:val="22"/>
                <w:szCs w:val="22"/>
              </w:rPr>
            </w:pPr>
            <w:r w:rsidRPr="00CB40F4">
              <w:rPr>
                <w:rFonts w:asciiTheme="majorBidi" w:hAnsiTheme="majorBidi" w:cstheme="majorBidi"/>
                <w:b/>
                <w:sz w:val="22"/>
                <w:szCs w:val="22"/>
              </w:rPr>
              <w:t>38,218</w:t>
            </w:r>
          </w:p>
        </w:tc>
        <w:tc>
          <w:tcPr>
            <w:tcW w:w="1237" w:type="dxa"/>
            <w:tcBorders>
              <w:top w:val="nil"/>
              <w:left w:val="nil"/>
              <w:bottom w:val="double" w:sz="6" w:space="0" w:color="808080"/>
              <w:right w:val="double" w:sz="6" w:space="0" w:color="808080"/>
            </w:tcBorders>
            <w:shd w:val="clear" w:color="auto" w:fill="auto"/>
            <w:noWrap/>
            <w:vAlign w:val="center"/>
            <w:hideMark/>
          </w:tcPr>
          <w:p w14:paraId="3EB144AE" w14:textId="77777777" w:rsidR="008253DD" w:rsidRPr="00CB40F4" w:rsidRDefault="008253DD" w:rsidP="00650B2D">
            <w:pPr>
              <w:jc w:val="center"/>
              <w:rPr>
                <w:rFonts w:asciiTheme="majorBidi" w:hAnsiTheme="majorBidi" w:cstheme="majorBidi"/>
                <w:b/>
                <w:sz w:val="22"/>
                <w:szCs w:val="22"/>
              </w:rPr>
            </w:pPr>
            <w:r w:rsidRPr="00CB40F4">
              <w:rPr>
                <w:rFonts w:asciiTheme="majorBidi" w:hAnsiTheme="majorBidi" w:cstheme="majorBidi"/>
                <w:b/>
                <w:sz w:val="22"/>
                <w:szCs w:val="22"/>
              </w:rPr>
              <w:t>$2,761,782</w:t>
            </w:r>
          </w:p>
        </w:tc>
      </w:tr>
    </w:tbl>
    <w:p w14:paraId="13BAA1C9" w14:textId="77777777" w:rsidR="008253DD" w:rsidRPr="00CB40F4" w:rsidRDefault="008253DD" w:rsidP="008253DD">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9360"/>
      </w:tblGrid>
      <w:tr w:rsidR="008253DD" w:rsidRPr="00CB40F4" w14:paraId="30C57F48" w14:textId="77777777" w:rsidTr="00650B2D">
        <w:tc>
          <w:tcPr>
            <w:tcW w:w="10070" w:type="dxa"/>
            <w:tcBorders>
              <w:top w:val="nil"/>
              <w:left w:val="nil"/>
              <w:bottom w:val="single" w:sz="4" w:space="0" w:color="808080" w:themeColor="background1" w:themeShade="80"/>
              <w:right w:val="nil"/>
            </w:tcBorders>
          </w:tcPr>
          <w:p w14:paraId="79DD5B68" w14:textId="4648BD15"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Hours are calculated by multiplying hours per labor category from Table 3-A by the average number of applications for that division from Table 2.</w:t>
            </w:r>
            <w:r w:rsidR="007841AD" w:rsidRPr="00CB40F4">
              <w:rPr>
                <w:rFonts w:asciiTheme="majorBidi" w:hAnsiTheme="majorBidi" w:cstheme="majorBidi"/>
                <w:sz w:val="21"/>
                <w:szCs w:val="21"/>
              </w:rPr>
              <w:t xml:space="preserve"> </w:t>
            </w:r>
            <w:r w:rsidRPr="00CB40F4">
              <w:rPr>
                <w:rFonts w:asciiTheme="majorBidi" w:hAnsiTheme="majorBidi" w:cstheme="majorBidi"/>
                <w:sz w:val="21"/>
                <w:szCs w:val="21"/>
              </w:rPr>
              <w:t xml:space="preserve">For example, 416 management hours for AD is calculated as 26 management hours per “Type A” application </w:t>
            </w:r>
            <w:r w:rsidR="00650B2D" w:rsidRPr="00CB40F4">
              <w:rPr>
                <w:rFonts w:asciiTheme="majorBidi" w:hAnsiTheme="majorBidi" w:cstheme="majorBidi"/>
                <w:sz w:val="21"/>
                <w:szCs w:val="21"/>
              </w:rPr>
              <w:t xml:space="preserve">multiplied by </w:t>
            </w:r>
            <w:r w:rsidRPr="00CB40F4">
              <w:rPr>
                <w:rFonts w:asciiTheme="majorBidi" w:hAnsiTheme="majorBidi" w:cstheme="majorBidi"/>
                <w:sz w:val="21"/>
                <w:szCs w:val="21"/>
              </w:rPr>
              <w:t xml:space="preserve">16 “Type A” applications in AD per year. </w:t>
            </w:r>
          </w:p>
          <w:p w14:paraId="3C08983F"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2 </w:t>
            </w:r>
            <w:r w:rsidRPr="00CB40F4">
              <w:rPr>
                <w:rFonts w:asciiTheme="majorBidi" w:hAnsiTheme="majorBidi" w:cstheme="majorBidi"/>
                <w:sz w:val="21"/>
                <w:szCs w:val="21"/>
              </w:rPr>
              <w:t>Hours and wages used to calculate the totals for each labor category are from Table 3-A.</w:t>
            </w:r>
          </w:p>
        </w:tc>
      </w:tr>
    </w:tbl>
    <w:p w14:paraId="23B0B131" w14:textId="77777777" w:rsidR="008253DD" w:rsidRPr="00CB40F4" w:rsidRDefault="008253DD" w:rsidP="008253DD">
      <w:pPr>
        <w:rPr>
          <w:rFonts w:asciiTheme="majorBidi" w:hAnsiTheme="majorBidi" w:cstheme="majorBidi"/>
          <w:b/>
        </w:rPr>
      </w:pPr>
    </w:p>
    <w:p w14:paraId="4C8A7BF1" w14:textId="77777777" w:rsidR="008253DD" w:rsidRPr="00CB40F4" w:rsidRDefault="008253DD" w:rsidP="008253DD">
      <w:pPr>
        <w:rPr>
          <w:rFonts w:asciiTheme="majorBidi" w:hAnsiTheme="majorBidi" w:cstheme="majorBidi"/>
          <w:b/>
        </w:rPr>
      </w:pPr>
    </w:p>
    <w:p w14:paraId="77C1AFE7" w14:textId="3805D764" w:rsidR="008253DD" w:rsidRPr="00CB40F4" w:rsidRDefault="008253DD" w:rsidP="008253DD">
      <w:pPr>
        <w:ind w:firstLine="720"/>
        <w:rPr>
          <w:rFonts w:asciiTheme="majorBidi" w:hAnsiTheme="majorBidi" w:cstheme="majorBidi"/>
        </w:rPr>
      </w:pPr>
      <w:r w:rsidRPr="00CB40F4">
        <w:rPr>
          <w:rFonts w:asciiTheme="majorBidi" w:hAnsiTheme="majorBidi" w:cstheme="majorBidi"/>
        </w:rPr>
        <w:t>Table 4-A presents estimates for burden hours and costs per “Type B” applications/notifications.</w:t>
      </w:r>
      <w:r w:rsidR="007841AD" w:rsidRPr="00CB40F4">
        <w:rPr>
          <w:rFonts w:asciiTheme="majorBidi" w:hAnsiTheme="majorBidi" w:cstheme="majorBidi"/>
        </w:rPr>
        <w:t xml:space="preserve"> </w:t>
      </w:r>
      <w:r w:rsidRPr="00CB40F4">
        <w:rPr>
          <w:rFonts w:asciiTheme="majorBidi" w:hAnsiTheme="majorBidi" w:cstheme="majorBidi"/>
        </w:rPr>
        <w:t xml:space="preserve">Each “Type B” application is estimated to require 8 management </w:t>
      </w:r>
      <w:r w:rsidRPr="00CB40F4">
        <w:rPr>
          <w:rFonts w:asciiTheme="majorBidi" w:hAnsiTheme="majorBidi" w:cstheme="majorBidi"/>
        </w:rPr>
        <w:lastRenderedPageBreak/>
        <w:t>hours, 2 technical hours, and 4 clerical hours for a total of 14 hours per application at a cost of 1,282.</w:t>
      </w:r>
      <w:r w:rsidR="007841AD" w:rsidRPr="00CB40F4">
        <w:rPr>
          <w:rFonts w:asciiTheme="majorBidi" w:hAnsiTheme="majorBidi" w:cstheme="majorBidi"/>
        </w:rPr>
        <w:t xml:space="preserve"> </w:t>
      </w:r>
    </w:p>
    <w:p w14:paraId="5C862B93" w14:textId="77777777" w:rsidR="008253DD" w:rsidRPr="00CB40F4" w:rsidRDefault="008253DD" w:rsidP="008253DD">
      <w:pPr>
        <w:rPr>
          <w:rFonts w:asciiTheme="majorBidi" w:hAnsiTheme="majorBidi" w:cstheme="majorBidi"/>
          <w:b/>
        </w:rPr>
      </w:pPr>
    </w:p>
    <w:p w14:paraId="22428D95" w14:textId="77777777" w:rsidR="008253DD" w:rsidRPr="00CB40F4" w:rsidRDefault="008253DD" w:rsidP="008253DD">
      <w:pPr>
        <w:rPr>
          <w:rFonts w:asciiTheme="majorBidi" w:hAnsiTheme="majorBidi" w:cstheme="majorBidi"/>
          <w:b/>
        </w:rPr>
      </w:pPr>
    </w:p>
    <w:p w14:paraId="6E3E452C" w14:textId="62A41AE3" w:rsidR="008253DD" w:rsidRPr="00CB40F4" w:rsidRDefault="008253DD" w:rsidP="008253DD">
      <w:pPr>
        <w:rPr>
          <w:rFonts w:asciiTheme="majorBidi" w:hAnsiTheme="majorBidi" w:cstheme="majorBidi"/>
          <w:b/>
          <w:sz w:val="22"/>
          <w:szCs w:val="22"/>
        </w:rPr>
      </w:pPr>
      <w:r w:rsidRPr="00CB40F4">
        <w:rPr>
          <w:rFonts w:asciiTheme="majorBidi" w:hAnsiTheme="majorBidi" w:cstheme="majorBidi"/>
          <w:b/>
          <w:sz w:val="22"/>
          <w:szCs w:val="22"/>
        </w:rPr>
        <w:t xml:space="preserve">Table 4-A: Estimated Burden/Cost per “Type B”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sz w:val="22"/>
          <w:szCs w:val="22"/>
        </w:rPr>
        <w:t>Application/Notification</w:t>
      </w:r>
    </w:p>
    <w:tbl>
      <w:tblPr>
        <w:tblW w:w="5000" w:type="pct"/>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701"/>
        <w:gridCol w:w="1362"/>
        <w:gridCol w:w="1362"/>
        <w:gridCol w:w="1362"/>
        <w:gridCol w:w="1181"/>
        <w:gridCol w:w="1362"/>
      </w:tblGrid>
      <w:tr w:rsidR="008253DD" w:rsidRPr="00CB40F4" w14:paraId="189F25A5" w14:textId="77777777" w:rsidTr="007D140D">
        <w:trPr>
          <w:trHeight w:val="330"/>
        </w:trPr>
        <w:tc>
          <w:tcPr>
            <w:tcW w:w="1447" w:type="pct"/>
            <w:vMerge w:val="restart"/>
            <w:shd w:val="clear" w:color="auto" w:fill="auto"/>
            <w:vAlign w:val="center"/>
          </w:tcPr>
          <w:p w14:paraId="65F0A417"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Collection Activities,</w:t>
            </w:r>
            <w:r w:rsidRPr="00CB40F4">
              <w:rPr>
                <w:rFonts w:asciiTheme="majorBidi" w:hAnsiTheme="majorBidi" w:cstheme="majorBidi"/>
                <w:b/>
                <w:bCs/>
                <w:sz w:val="21"/>
                <w:szCs w:val="21"/>
              </w:rPr>
              <w:br/>
              <w:t>Type B</w:t>
            </w:r>
          </w:p>
        </w:tc>
        <w:tc>
          <w:tcPr>
            <w:tcW w:w="2190" w:type="pct"/>
            <w:gridSpan w:val="3"/>
            <w:shd w:val="clear" w:color="auto" w:fill="auto"/>
          </w:tcPr>
          <w:p w14:paraId="5BD3F0FA"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Burden Hours</w:t>
            </w:r>
          </w:p>
        </w:tc>
        <w:tc>
          <w:tcPr>
            <w:tcW w:w="1363" w:type="pct"/>
            <w:gridSpan w:val="2"/>
            <w:shd w:val="clear" w:color="auto" w:fill="auto"/>
          </w:tcPr>
          <w:p w14:paraId="6CD092DD"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r>
      <w:tr w:rsidR="008253DD" w:rsidRPr="00CB40F4" w14:paraId="1A0A77F1" w14:textId="77777777" w:rsidTr="007D140D">
        <w:trPr>
          <w:trHeight w:val="315"/>
        </w:trPr>
        <w:tc>
          <w:tcPr>
            <w:tcW w:w="1447" w:type="pct"/>
            <w:vMerge/>
            <w:vAlign w:val="center"/>
          </w:tcPr>
          <w:p w14:paraId="2C73DA13" w14:textId="77777777" w:rsidR="008253DD" w:rsidRPr="00CB40F4" w:rsidRDefault="008253DD" w:rsidP="00650B2D">
            <w:pPr>
              <w:rPr>
                <w:rFonts w:asciiTheme="majorBidi" w:hAnsiTheme="majorBidi" w:cstheme="majorBidi"/>
                <w:b/>
                <w:bCs/>
                <w:sz w:val="21"/>
                <w:szCs w:val="21"/>
              </w:rPr>
            </w:pPr>
          </w:p>
        </w:tc>
        <w:tc>
          <w:tcPr>
            <w:tcW w:w="730" w:type="pct"/>
            <w:shd w:val="clear" w:color="auto" w:fill="auto"/>
            <w:vAlign w:val="center"/>
          </w:tcPr>
          <w:p w14:paraId="7381C80A" w14:textId="0B0A6111" w:rsidR="008253DD" w:rsidRPr="00CB40F4" w:rsidRDefault="00CB40F4" w:rsidP="00650B2D">
            <w:pPr>
              <w:jc w:val="center"/>
              <w:rPr>
                <w:rFonts w:asciiTheme="majorBidi" w:hAnsiTheme="majorBidi" w:cstheme="majorBidi"/>
                <w:sz w:val="21"/>
                <w:szCs w:val="21"/>
              </w:rPr>
            </w:pPr>
            <w:r w:rsidRPr="00CB40F4">
              <w:rPr>
                <w:rFonts w:asciiTheme="majorBidi" w:hAnsiTheme="majorBidi" w:cstheme="majorBidi"/>
                <w:sz w:val="22"/>
                <w:szCs w:val="22"/>
              </w:rPr>
              <w:t>Mgmt.</w:t>
            </w:r>
          </w:p>
        </w:tc>
        <w:tc>
          <w:tcPr>
            <w:tcW w:w="730" w:type="pct"/>
            <w:shd w:val="clear" w:color="auto" w:fill="auto"/>
            <w:vAlign w:val="center"/>
          </w:tcPr>
          <w:p w14:paraId="54E4303A"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2"/>
                <w:szCs w:val="22"/>
              </w:rPr>
              <w:t>Technical</w:t>
            </w:r>
          </w:p>
        </w:tc>
        <w:tc>
          <w:tcPr>
            <w:tcW w:w="730" w:type="pct"/>
            <w:shd w:val="clear" w:color="auto" w:fill="auto"/>
            <w:vAlign w:val="center"/>
          </w:tcPr>
          <w:p w14:paraId="511B000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2"/>
                <w:szCs w:val="22"/>
              </w:rPr>
              <w:t>Clerical</w:t>
            </w:r>
          </w:p>
        </w:tc>
        <w:tc>
          <w:tcPr>
            <w:tcW w:w="633" w:type="pct"/>
            <w:vMerge w:val="restart"/>
            <w:shd w:val="clear" w:color="auto" w:fill="auto"/>
            <w:vAlign w:val="center"/>
          </w:tcPr>
          <w:p w14:paraId="13DC0586"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Hours</w:t>
            </w:r>
          </w:p>
        </w:tc>
        <w:tc>
          <w:tcPr>
            <w:tcW w:w="730" w:type="pct"/>
            <w:vMerge w:val="restart"/>
            <w:shd w:val="clear" w:color="auto" w:fill="auto"/>
            <w:vAlign w:val="center"/>
          </w:tcPr>
          <w:p w14:paraId="7ACCB36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Costs</w:t>
            </w:r>
          </w:p>
        </w:tc>
      </w:tr>
      <w:tr w:rsidR="009C2537" w:rsidRPr="00CB40F4" w14:paraId="2FDB03D2" w14:textId="77777777" w:rsidTr="009C2537">
        <w:trPr>
          <w:trHeight w:val="278"/>
        </w:trPr>
        <w:tc>
          <w:tcPr>
            <w:tcW w:w="1447" w:type="pct"/>
            <w:vMerge/>
            <w:vAlign w:val="center"/>
          </w:tcPr>
          <w:p w14:paraId="1EA81B04" w14:textId="77777777" w:rsidR="009C2537" w:rsidRPr="00CB40F4" w:rsidRDefault="009C2537" w:rsidP="00650B2D">
            <w:pPr>
              <w:rPr>
                <w:rFonts w:asciiTheme="majorBidi" w:hAnsiTheme="majorBidi" w:cstheme="majorBidi"/>
                <w:b/>
                <w:bCs/>
                <w:sz w:val="21"/>
                <w:szCs w:val="21"/>
              </w:rPr>
            </w:pPr>
          </w:p>
        </w:tc>
        <w:tc>
          <w:tcPr>
            <w:tcW w:w="730" w:type="pct"/>
            <w:shd w:val="clear" w:color="auto" w:fill="auto"/>
            <w:vAlign w:val="center"/>
          </w:tcPr>
          <w:p w14:paraId="3221205A" w14:textId="2219E119"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$121.72/</w:t>
            </w:r>
            <w:proofErr w:type="spellStart"/>
            <w:r w:rsidRPr="00CB40F4">
              <w:rPr>
                <w:rFonts w:asciiTheme="majorBidi" w:hAnsiTheme="majorBidi" w:cstheme="majorBidi"/>
                <w:sz w:val="22"/>
                <w:szCs w:val="22"/>
              </w:rPr>
              <w:t>hr</w:t>
            </w:r>
            <w:proofErr w:type="spellEnd"/>
          </w:p>
        </w:tc>
        <w:tc>
          <w:tcPr>
            <w:tcW w:w="730" w:type="pct"/>
            <w:shd w:val="clear" w:color="auto" w:fill="auto"/>
            <w:vAlign w:val="center"/>
          </w:tcPr>
          <w:p w14:paraId="3BE2E381" w14:textId="55DD3554"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$72.01/</w:t>
            </w:r>
            <w:proofErr w:type="spellStart"/>
            <w:r w:rsidRPr="00CB40F4">
              <w:rPr>
                <w:rFonts w:asciiTheme="majorBidi" w:hAnsiTheme="majorBidi" w:cstheme="majorBidi"/>
                <w:sz w:val="22"/>
                <w:szCs w:val="22"/>
              </w:rPr>
              <w:t>hr</w:t>
            </w:r>
            <w:proofErr w:type="spellEnd"/>
          </w:p>
        </w:tc>
        <w:tc>
          <w:tcPr>
            <w:tcW w:w="730" w:type="pct"/>
            <w:shd w:val="clear" w:color="auto" w:fill="auto"/>
            <w:vAlign w:val="center"/>
          </w:tcPr>
          <w:p w14:paraId="0A3E984B" w14:textId="2253A8AA"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$40.93/</w:t>
            </w:r>
            <w:proofErr w:type="spellStart"/>
            <w:r w:rsidRPr="00CB40F4">
              <w:rPr>
                <w:rFonts w:asciiTheme="majorBidi" w:hAnsiTheme="majorBidi" w:cstheme="majorBidi"/>
                <w:sz w:val="22"/>
                <w:szCs w:val="22"/>
              </w:rPr>
              <w:t>hr</w:t>
            </w:r>
            <w:proofErr w:type="spellEnd"/>
          </w:p>
        </w:tc>
        <w:tc>
          <w:tcPr>
            <w:tcW w:w="633" w:type="pct"/>
            <w:vMerge/>
            <w:vAlign w:val="center"/>
          </w:tcPr>
          <w:p w14:paraId="1E653337" w14:textId="77777777" w:rsidR="009C2537" w:rsidRPr="00CB40F4" w:rsidRDefault="009C2537" w:rsidP="00650B2D">
            <w:pPr>
              <w:rPr>
                <w:rFonts w:asciiTheme="majorBidi" w:hAnsiTheme="majorBidi" w:cstheme="majorBidi"/>
                <w:sz w:val="21"/>
                <w:szCs w:val="21"/>
              </w:rPr>
            </w:pPr>
          </w:p>
        </w:tc>
        <w:tc>
          <w:tcPr>
            <w:tcW w:w="730" w:type="pct"/>
            <w:vMerge/>
            <w:vAlign w:val="center"/>
          </w:tcPr>
          <w:p w14:paraId="2B6A80C6" w14:textId="77777777" w:rsidR="009C2537" w:rsidRPr="00CB40F4" w:rsidRDefault="009C2537" w:rsidP="00650B2D">
            <w:pPr>
              <w:rPr>
                <w:rFonts w:asciiTheme="majorBidi" w:hAnsiTheme="majorBidi" w:cstheme="majorBidi"/>
                <w:sz w:val="21"/>
                <w:szCs w:val="21"/>
              </w:rPr>
            </w:pPr>
          </w:p>
        </w:tc>
      </w:tr>
      <w:tr w:rsidR="008253DD" w:rsidRPr="00CB40F4" w14:paraId="139B1C2B" w14:textId="77777777" w:rsidTr="007D140D">
        <w:trPr>
          <w:trHeight w:val="315"/>
        </w:trPr>
        <w:tc>
          <w:tcPr>
            <w:tcW w:w="1447" w:type="pct"/>
            <w:shd w:val="clear" w:color="auto" w:fill="auto"/>
            <w:vAlign w:val="center"/>
          </w:tcPr>
          <w:p w14:paraId="0940320E"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Read Instructions</w:t>
            </w:r>
          </w:p>
        </w:tc>
        <w:tc>
          <w:tcPr>
            <w:tcW w:w="730" w:type="pct"/>
            <w:shd w:val="clear" w:color="auto" w:fill="auto"/>
            <w:vAlign w:val="center"/>
          </w:tcPr>
          <w:p w14:paraId="7ECD0AD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7</w:t>
            </w:r>
          </w:p>
        </w:tc>
        <w:tc>
          <w:tcPr>
            <w:tcW w:w="730" w:type="pct"/>
            <w:shd w:val="clear" w:color="auto" w:fill="auto"/>
            <w:vAlign w:val="center"/>
          </w:tcPr>
          <w:p w14:paraId="1B26C0F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38C48C62"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14:paraId="674A533B"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7</w:t>
            </w:r>
          </w:p>
        </w:tc>
        <w:tc>
          <w:tcPr>
            <w:tcW w:w="730" w:type="pct"/>
            <w:shd w:val="clear" w:color="auto" w:fill="auto"/>
            <w:vAlign w:val="center"/>
          </w:tcPr>
          <w:p w14:paraId="2967F127"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$852</w:t>
            </w:r>
          </w:p>
        </w:tc>
      </w:tr>
      <w:tr w:rsidR="008253DD" w:rsidRPr="00CB40F4" w14:paraId="59A4DD53" w14:textId="77777777" w:rsidTr="007D140D">
        <w:trPr>
          <w:trHeight w:val="315"/>
        </w:trPr>
        <w:tc>
          <w:tcPr>
            <w:tcW w:w="1447" w:type="pct"/>
            <w:shd w:val="clear" w:color="auto" w:fill="auto"/>
            <w:vAlign w:val="center"/>
          </w:tcPr>
          <w:p w14:paraId="40945D89"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Plan activities</w:t>
            </w:r>
          </w:p>
        </w:tc>
        <w:tc>
          <w:tcPr>
            <w:tcW w:w="730" w:type="pct"/>
            <w:shd w:val="clear" w:color="auto" w:fill="auto"/>
            <w:vAlign w:val="center"/>
          </w:tcPr>
          <w:p w14:paraId="16D5284A"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14:paraId="0A77585B"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1F855AC0"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14:paraId="59F73A5C"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14:paraId="7C86C79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$61</w:t>
            </w:r>
          </w:p>
        </w:tc>
      </w:tr>
      <w:tr w:rsidR="008253DD" w:rsidRPr="00CB40F4" w14:paraId="54FAF82F" w14:textId="77777777" w:rsidTr="007D140D">
        <w:trPr>
          <w:trHeight w:val="315"/>
        </w:trPr>
        <w:tc>
          <w:tcPr>
            <w:tcW w:w="1447" w:type="pct"/>
            <w:shd w:val="clear" w:color="auto" w:fill="auto"/>
            <w:vAlign w:val="center"/>
          </w:tcPr>
          <w:p w14:paraId="24CBACC5"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Gather/create information</w:t>
            </w:r>
          </w:p>
        </w:tc>
        <w:tc>
          <w:tcPr>
            <w:tcW w:w="730" w:type="pct"/>
            <w:shd w:val="clear" w:color="auto" w:fill="auto"/>
            <w:vAlign w:val="center"/>
          </w:tcPr>
          <w:p w14:paraId="34AFBF75"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5550C6B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1.5</w:t>
            </w:r>
          </w:p>
        </w:tc>
        <w:tc>
          <w:tcPr>
            <w:tcW w:w="730" w:type="pct"/>
            <w:shd w:val="clear" w:color="auto" w:fill="auto"/>
            <w:vAlign w:val="center"/>
          </w:tcPr>
          <w:p w14:paraId="16E3505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14:paraId="298CE900"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1.5</w:t>
            </w:r>
          </w:p>
        </w:tc>
        <w:tc>
          <w:tcPr>
            <w:tcW w:w="730" w:type="pct"/>
            <w:shd w:val="clear" w:color="auto" w:fill="auto"/>
            <w:vAlign w:val="center"/>
          </w:tcPr>
          <w:p w14:paraId="1DD379F9"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$108</w:t>
            </w:r>
          </w:p>
        </w:tc>
      </w:tr>
      <w:tr w:rsidR="008253DD" w:rsidRPr="00CB40F4" w14:paraId="1BD43930" w14:textId="77777777" w:rsidTr="007D140D">
        <w:trPr>
          <w:trHeight w:val="315"/>
        </w:trPr>
        <w:tc>
          <w:tcPr>
            <w:tcW w:w="1447" w:type="pct"/>
            <w:shd w:val="clear" w:color="auto" w:fill="auto"/>
            <w:vAlign w:val="center"/>
          </w:tcPr>
          <w:p w14:paraId="3B0FFBCA"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Compile and review</w:t>
            </w:r>
          </w:p>
        </w:tc>
        <w:tc>
          <w:tcPr>
            <w:tcW w:w="730" w:type="pct"/>
            <w:shd w:val="clear" w:color="auto" w:fill="auto"/>
            <w:vAlign w:val="center"/>
          </w:tcPr>
          <w:p w14:paraId="6F3B509E"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14:paraId="5190AE3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0.5</w:t>
            </w:r>
          </w:p>
        </w:tc>
        <w:tc>
          <w:tcPr>
            <w:tcW w:w="730" w:type="pct"/>
            <w:shd w:val="clear" w:color="auto" w:fill="auto"/>
            <w:vAlign w:val="center"/>
          </w:tcPr>
          <w:p w14:paraId="36794948"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633" w:type="pct"/>
            <w:shd w:val="clear" w:color="auto" w:fill="auto"/>
            <w:vAlign w:val="center"/>
          </w:tcPr>
          <w:p w14:paraId="65FD10F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730" w:type="pct"/>
            <w:shd w:val="clear" w:color="auto" w:fill="auto"/>
            <w:vAlign w:val="center"/>
          </w:tcPr>
          <w:p w14:paraId="387FD9D3"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$97</w:t>
            </w:r>
          </w:p>
        </w:tc>
      </w:tr>
      <w:tr w:rsidR="008253DD" w:rsidRPr="00CB40F4" w14:paraId="20F8ACC9" w14:textId="77777777" w:rsidTr="007D140D">
        <w:trPr>
          <w:trHeight w:val="315"/>
        </w:trPr>
        <w:tc>
          <w:tcPr>
            <w:tcW w:w="1447" w:type="pct"/>
            <w:shd w:val="clear" w:color="auto" w:fill="auto"/>
            <w:vAlign w:val="center"/>
          </w:tcPr>
          <w:p w14:paraId="37A2AF7E"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Complete paperwork</w:t>
            </w:r>
          </w:p>
        </w:tc>
        <w:tc>
          <w:tcPr>
            <w:tcW w:w="730" w:type="pct"/>
            <w:shd w:val="clear" w:color="auto" w:fill="auto"/>
            <w:vAlign w:val="center"/>
          </w:tcPr>
          <w:p w14:paraId="7733526E"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06EE481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7E5147A3"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3</w:t>
            </w:r>
          </w:p>
        </w:tc>
        <w:tc>
          <w:tcPr>
            <w:tcW w:w="633" w:type="pct"/>
            <w:shd w:val="clear" w:color="auto" w:fill="auto"/>
            <w:vAlign w:val="center"/>
          </w:tcPr>
          <w:p w14:paraId="0F3646E2"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3</w:t>
            </w:r>
          </w:p>
        </w:tc>
        <w:tc>
          <w:tcPr>
            <w:tcW w:w="730" w:type="pct"/>
            <w:shd w:val="clear" w:color="auto" w:fill="auto"/>
            <w:vAlign w:val="center"/>
          </w:tcPr>
          <w:p w14:paraId="3049F996"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$123</w:t>
            </w:r>
          </w:p>
        </w:tc>
      </w:tr>
      <w:tr w:rsidR="0096265D" w:rsidRPr="00CB40F4" w14:paraId="3F077C6B" w14:textId="77777777" w:rsidTr="007D140D">
        <w:trPr>
          <w:trHeight w:val="315"/>
        </w:trPr>
        <w:tc>
          <w:tcPr>
            <w:tcW w:w="1447" w:type="pct"/>
            <w:shd w:val="clear" w:color="auto" w:fill="auto"/>
            <w:vAlign w:val="center"/>
          </w:tcPr>
          <w:p w14:paraId="2F8E664F" w14:textId="00F8D9BD" w:rsidR="0096265D" w:rsidRPr="00CB40F4" w:rsidRDefault="0096265D" w:rsidP="00650B2D">
            <w:pPr>
              <w:rPr>
                <w:rFonts w:asciiTheme="majorBidi" w:hAnsiTheme="majorBidi" w:cstheme="majorBidi"/>
                <w:sz w:val="21"/>
                <w:szCs w:val="21"/>
              </w:rPr>
            </w:pPr>
            <w:r w:rsidRPr="00CB40F4">
              <w:rPr>
                <w:rFonts w:asciiTheme="majorBidi" w:hAnsiTheme="majorBidi" w:cstheme="majorBidi"/>
                <w:sz w:val="21"/>
                <w:szCs w:val="21"/>
              </w:rPr>
              <w:t>Submit information</w:t>
            </w:r>
          </w:p>
        </w:tc>
        <w:tc>
          <w:tcPr>
            <w:tcW w:w="730" w:type="pct"/>
            <w:shd w:val="clear" w:color="auto" w:fill="auto"/>
            <w:vAlign w:val="center"/>
          </w:tcPr>
          <w:p w14:paraId="04F7A464"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2B6A52F1"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28FCAD63" w14:textId="77777777" w:rsidR="0096265D" w:rsidRPr="00CB40F4" w:rsidRDefault="0096265D" w:rsidP="00650B2D">
            <w:pPr>
              <w:jc w:val="center"/>
              <w:rPr>
                <w:rFonts w:asciiTheme="majorBidi" w:hAnsiTheme="majorBidi" w:cstheme="majorBidi"/>
                <w:sz w:val="21"/>
                <w:szCs w:val="21"/>
              </w:rPr>
            </w:pPr>
          </w:p>
        </w:tc>
        <w:tc>
          <w:tcPr>
            <w:tcW w:w="633" w:type="pct"/>
            <w:shd w:val="clear" w:color="auto" w:fill="auto"/>
            <w:vAlign w:val="center"/>
          </w:tcPr>
          <w:p w14:paraId="00946D89"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593AC795" w14:textId="77777777" w:rsidR="0096265D" w:rsidRPr="00CB40F4" w:rsidRDefault="0096265D" w:rsidP="00650B2D">
            <w:pPr>
              <w:jc w:val="center"/>
              <w:rPr>
                <w:rFonts w:asciiTheme="majorBidi" w:hAnsiTheme="majorBidi" w:cstheme="majorBidi"/>
                <w:sz w:val="21"/>
                <w:szCs w:val="21"/>
              </w:rPr>
            </w:pPr>
          </w:p>
        </w:tc>
      </w:tr>
      <w:tr w:rsidR="008253DD" w:rsidRPr="00CB40F4" w14:paraId="65A590AD" w14:textId="77777777" w:rsidTr="007D140D">
        <w:trPr>
          <w:trHeight w:val="330"/>
        </w:trPr>
        <w:tc>
          <w:tcPr>
            <w:tcW w:w="1447" w:type="pct"/>
            <w:shd w:val="clear" w:color="auto" w:fill="auto"/>
            <w:vAlign w:val="center"/>
          </w:tcPr>
          <w:p w14:paraId="7F0964D2"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Store/maintain data</w:t>
            </w:r>
          </w:p>
        </w:tc>
        <w:tc>
          <w:tcPr>
            <w:tcW w:w="730" w:type="pct"/>
            <w:shd w:val="clear" w:color="auto" w:fill="auto"/>
            <w:vAlign w:val="center"/>
          </w:tcPr>
          <w:p w14:paraId="266DC945"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5CCF350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0</w:t>
            </w:r>
          </w:p>
        </w:tc>
        <w:tc>
          <w:tcPr>
            <w:tcW w:w="730" w:type="pct"/>
            <w:shd w:val="clear" w:color="auto" w:fill="auto"/>
            <w:vAlign w:val="center"/>
          </w:tcPr>
          <w:p w14:paraId="14315882"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633" w:type="pct"/>
            <w:shd w:val="clear" w:color="auto" w:fill="auto"/>
            <w:vAlign w:val="center"/>
          </w:tcPr>
          <w:p w14:paraId="441D3158"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1</w:t>
            </w:r>
          </w:p>
        </w:tc>
        <w:tc>
          <w:tcPr>
            <w:tcW w:w="730" w:type="pct"/>
            <w:shd w:val="clear" w:color="auto" w:fill="auto"/>
            <w:vAlign w:val="center"/>
          </w:tcPr>
          <w:p w14:paraId="2EFAC6B3"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$41</w:t>
            </w:r>
          </w:p>
        </w:tc>
      </w:tr>
      <w:tr w:rsidR="0096265D" w:rsidRPr="00CB40F4" w14:paraId="71772FDF" w14:textId="77777777" w:rsidTr="007D140D">
        <w:trPr>
          <w:trHeight w:val="330"/>
        </w:trPr>
        <w:tc>
          <w:tcPr>
            <w:tcW w:w="1447" w:type="pct"/>
            <w:shd w:val="clear" w:color="auto" w:fill="auto"/>
            <w:vAlign w:val="center"/>
          </w:tcPr>
          <w:p w14:paraId="14198BD9" w14:textId="04746950" w:rsidR="0096265D" w:rsidRPr="00CB40F4" w:rsidRDefault="0096265D" w:rsidP="00650B2D">
            <w:pPr>
              <w:rPr>
                <w:rFonts w:asciiTheme="majorBidi" w:hAnsiTheme="majorBidi" w:cstheme="majorBidi"/>
                <w:sz w:val="21"/>
                <w:szCs w:val="21"/>
              </w:rPr>
            </w:pPr>
            <w:r w:rsidRPr="00CB40F4">
              <w:rPr>
                <w:rFonts w:asciiTheme="majorBidi" w:hAnsiTheme="majorBidi" w:cstheme="majorBidi"/>
                <w:sz w:val="21"/>
                <w:szCs w:val="21"/>
              </w:rPr>
              <w:t>Third party disclosure</w:t>
            </w:r>
          </w:p>
        </w:tc>
        <w:tc>
          <w:tcPr>
            <w:tcW w:w="730" w:type="pct"/>
            <w:shd w:val="clear" w:color="auto" w:fill="auto"/>
            <w:vAlign w:val="center"/>
          </w:tcPr>
          <w:p w14:paraId="3316BC54"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0A43BAB6"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635E8393" w14:textId="77777777" w:rsidR="0096265D" w:rsidRPr="00CB40F4" w:rsidRDefault="0096265D" w:rsidP="00650B2D">
            <w:pPr>
              <w:jc w:val="center"/>
              <w:rPr>
                <w:rFonts w:asciiTheme="majorBidi" w:hAnsiTheme="majorBidi" w:cstheme="majorBidi"/>
                <w:sz w:val="21"/>
                <w:szCs w:val="21"/>
              </w:rPr>
            </w:pPr>
          </w:p>
        </w:tc>
        <w:tc>
          <w:tcPr>
            <w:tcW w:w="633" w:type="pct"/>
            <w:shd w:val="clear" w:color="auto" w:fill="auto"/>
            <w:vAlign w:val="center"/>
          </w:tcPr>
          <w:p w14:paraId="3BEA85BB" w14:textId="77777777" w:rsidR="0096265D" w:rsidRPr="00CB40F4" w:rsidRDefault="0096265D" w:rsidP="00650B2D">
            <w:pPr>
              <w:jc w:val="center"/>
              <w:rPr>
                <w:rFonts w:asciiTheme="majorBidi" w:hAnsiTheme="majorBidi" w:cstheme="majorBidi"/>
                <w:sz w:val="21"/>
                <w:szCs w:val="21"/>
              </w:rPr>
            </w:pPr>
          </w:p>
        </w:tc>
        <w:tc>
          <w:tcPr>
            <w:tcW w:w="730" w:type="pct"/>
            <w:shd w:val="clear" w:color="auto" w:fill="auto"/>
            <w:vAlign w:val="center"/>
          </w:tcPr>
          <w:p w14:paraId="2F191CEB" w14:textId="77777777" w:rsidR="0096265D" w:rsidRPr="00CB40F4" w:rsidRDefault="0096265D" w:rsidP="00650B2D">
            <w:pPr>
              <w:jc w:val="center"/>
              <w:rPr>
                <w:rFonts w:asciiTheme="majorBidi" w:hAnsiTheme="majorBidi" w:cstheme="majorBidi"/>
                <w:sz w:val="21"/>
                <w:szCs w:val="21"/>
              </w:rPr>
            </w:pPr>
          </w:p>
        </w:tc>
      </w:tr>
      <w:tr w:rsidR="008253DD" w:rsidRPr="00CB40F4" w14:paraId="5642EFF7" w14:textId="77777777" w:rsidTr="007D140D">
        <w:trPr>
          <w:trHeight w:val="330"/>
        </w:trPr>
        <w:tc>
          <w:tcPr>
            <w:tcW w:w="1447" w:type="pct"/>
            <w:shd w:val="clear" w:color="auto" w:fill="auto"/>
            <w:vAlign w:val="center"/>
          </w:tcPr>
          <w:p w14:paraId="1BAC19E9"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c>
          <w:tcPr>
            <w:tcW w:w="730" w:type="pct"/>
            <w:shd w:val="clear" w:color="auto" w:fill="auto"/>
            <w:vAlign w:val="center"/>
          </w:tcPr>
          <w:p w14:paraId="346ACA0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8</w:t>
            </w:r>
          </w:p>
        </w:tc>
        <w:tc>
          <w:tcPr>
            <w:tcW w:w="730" w:type="pct"/>
            <w:shd w:val="clear" w:color="auto" w:fill="auto"/>
            <w:vAlign w:val="center"/>
          </w:tcPr>
          <w:p w14:paraId="7FD6165B"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2</w:t>
            </w:r>
          </w:p>
        </w:tc>
        <w:tc>
          <w:tcPr>
            <w:tcW w:w="730" w:type="pct"/>
            <w:shd w:val="clear" w:color="auto" w:fill="auto"/>
            <w:vAlign w:val="center"/>
          </w:tcPr>
          <w:p w14:paraId="5324A5C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4</w:t>
            </w:r>
          </w:p>
        </w:tc>
        <w:tc>
          <w:tcPr>
            <w:tcW w:w="633" w:type="pct"/>
            <w:shd w:val="clear" w:color="auto" w:fill="auto"/>
            <w:vAlign w:val="center"/>
          </w:tcPr>
          <w:p w14:paraId="3FF7D154" w14:textId="77777777" w:rsidR="008253DD" w:rsidRPr="00CB40F4" w:rsidRDefault="008253DD" w:rsidP="00650B2D">
            <w:pPr>
              <w:jc w:val="center"/>
              <w:rPr>
                <w:rFonts w:asciiTheme="majorBidi" w:hAnsiTheme="majorBidi" w:cstheme="majorBidi"/>
                <w:b/>
                <w:sz w:val="21"/>
                <w:szCs w:val="21"/>
              </w:rPr>
            </w:pPr>
            <w:r w:rsidRPr="00CB40F4">
              <w:rPr>
                <w:rFonts w:asciiTheme="majorBidi" w:hAnsiTheme="majorBidi" w:cstheme="majorBidi"/>
                <w:b/>
                <w:sz w:val="21"/>
                <w:szCs w:val="21"/>
              </w:rPr>
              <w:t>14</w:t>
            </w:r>
          </w:p>
        </w:tc>
        <w:tc>
          <w:tcPr>
            <w:tcW w:w="730" w:type="pct"/>
            <w:shd w:val="clear" w:color="auto" w:fill="auto"/>
            <w:vAlign w:val="center"/>
          </w:tcPr>
          <w:p w14:paraId="212652CB" w14:textId="77777777" w:rsidR="008253DD" w:rsidRPr="00CB40F4" w:rsidRDefault="008253DD" w:rsidP="00650B2D">
            <w:pPr>
              <w:jc w:val="center"/>
              <w:rPr>
                <w:rFonts w:asciiTheme="majorBidi" w:hAnsiTheme="majorBidi" w:cstheme="majorBidi"/>
                <w:b/>
                <w:sz w:val="21"/>
                <w:szCs w:val="21"/>
              </w:rPr>
            </w:pPr>
            <w:r w:rsidRPr="00CB40F4">
              <w:rPr>
                <w:rFonts w:asciiTheme="majorBidi" w:hAnsiTheme="majorBidi" w:cstheme="majorBidi"/>
                <w:b/>
                <w:sz w:val="21"/>
                <w:szCs w:val="21"/>
              </w:rPr>
              <w:t>$1,282</w:t>
            </w:r>
          </w:p>
        </w:tc>
      </w:tr>
    </w:tbl>
    <w:p w14:paraId="60FCB5BD" w14:textId="77777777" w:rsidR="008253DD" w:rsidRPr="00CB40F4" w:rsidRDefault="008253DD" w:rsidP="008253DD">
      <w:pPr>
        <w:tabs>
          <w:tab w:val="left" w:pos="2160"/>
          <w:tab w:val="left" w:pos="6120"/>
        </w:tabs>
        <w:ind w:left="360"/>
        <w:rPr>
          <w:rFonts w:asciiTheme="majorBidi" w:hAnsiTheme="majorBidi" w:cstheme="majorBidi"/>
          <w:sz w:val="22"/>
          <w:szCs w:val="22"/>
        </w:rPr>
      </w:pPr>
    </w:p>
    <w:p w14:paraId="59D4F9C9" w14:textId="77777777" w:rsidR="008253DD" w:rsidRPr="00CB40F4" w:rsidRDefault="008253DD" w:rsidP="008253DD">
      <w:pPr>
        <w:tabs>
          <w:tab w:val="left" w:pos="2160"/>
          <w:tab w:val="left" w:pos="6120"/>
        </w:tabs>
        <w:ind w:left="360"/>
        <w:rPr>
          <w:rFonts w:asciiTheme="majorBidi" w:hAnsiTheme="majorBidi" w:cstheme="majorBidi"/>
          <w:sz w:val="22"/>
          <w:szCs w:val="22"/>
        </w:rPr>
      </w:pPr>
    </w:p>
    <w:p w14:paraId="5A7F83F6" w14:textId="4C4784A7" w:rsidR="008253DD" w:rsidRPr="00CB40F4" w:rsidRDefault="008253DD" w:rsidP="008253DD">
      <w:pPr>
        <w:tabs>
          <w:tab w:val="left" w:pos="720"/>
          <w:tab w:val="left" w:pos="6120"/>
        </w:tabs>
        <w:rPr>
          <w:rFonts w:asciiTheme="majorBidi" w:hAnsiTheme="majorBidi" w:cstheme="majorBidi"/>
          <w:sz w:val="22"/>
          <w:szCs w:val="22"/>
        </w:rPr>
      </w:pPr>
      <w:r w:rsidRPr="00CB40F4">
        <w:rPr>
          <w:rFonts w:asciiTheme="majorBidi" w:hAnsiTheme="majorBidi" w:cstheme="majorBidi"/>
        </w:rPr>
        <w:tab/>
        <w:t>Table 4-B presents the total annual burden hours and costs by division for “Type B” applications/notifications.</w:t>
      </w:r>
      <w:r w:rsidR="007841AD" w:rsidRPr="00CB40F4">
        <w:rPr>
          <w:rFonts w:asciiTheme="majorBidi" w:hAnsiTheme="majorBidi" w:cstheme="majorBidi"/>
        </w:rPr>
        <w:t xml:space="preserve"> </w:t>
      </w:r>
      <w:r w:rsidRPr="00CB40F4">
        <w:rPr>
          <w:rFonts w:asciiTheme="majorBidi" w:hAnsiTheme="majorBidi" w:cstheme="majorBidi"/>
        </w:rPr>
        <w:t>Registrants spend a total of 31,551 burden hours at a cost of $2.888 million to prepare and submit “Type B” applications to the Antimicrobial Division, 8,055 burden hours at a cost of $737 thousand to prepare and submit “Type B” applications to the Biopesticides and Pollution Prevention Division, and 62,221 hours at a cost of $5.695 million to prepare and submit “Type B” applications to the Registration Division.</w:t>
      </w:r>
      <w:r w:rsidR="007841AD" w:rsidRPr="00CB40F4">
        <w:rPr>
          <w:rFonts w:asciiTheme="majorBidi" w:hAnsiTheme="majorBidi" w:cstheme="majorBidi"/>
        </w:rPr>
        <w:t xml:space="preserve"> </w:t>
      </w:r>
      <w:r w:rsidRPr="00CB40F4">
        <w:rPr>
          <w:rFonts w:asciiTheme="majorBidi" w:hAnsiTheme="majorBidi" w:cstheme="majorBidi"/>
        </w:rPr>
        <w:t>The total paperwork burden and cost associated with preparing and submitting “Type B” applications to EPA is estimated at $9.321 million per year.</w:t>
      </w:r>
    </w:p>
    <w:p w14:paraId="68F65C71" w14:textId="77777777" w:rsidR="008253DD" w:rsidRPr="00CB40F4" w:rsidRDefault="008253DD" w:rsidP="008253DD">
      <w:pPr>
        <w:tabs>
          <w:tab w:val="left" w:pos="2160"/>
          <w:tab w:val="left" w:pos="6120"/>
        </w:tabs>
        <w:ind w:left="360"/>
        <w:rPr>
          <w:rFonts w:asciiTheme="majorBidi" w:hAnsiTheme="majorBidi" w:cstheme="majorBidi"/>
          <w:sz w:val="22"/>
          <w:szCs w:val="22"/>
        </w:rPr>
      </w:pPr>
    </w:p>
    <w:p w14:paraId="4E45405A" w14:textId="77777777" w:rsidR="008253DD" w:rsidRDefault="008253DD" w:rsidP="008253DD">
      <w:pPr>
        <w:tabs>
          <w:tab w:val="left" w:pos="2160"/>
          <w:tab w:val="left" w:pos="6120"/>
        </w:tabs>
        <w:ind w:left="360"/>
        <w:rPr>
          <w:rFonts w:asciiTheme="majorBidi" w:hAnsiTheme="majorBidi" w:cstheme="majorBidi"/>
          <w:sz w:val="22"/>
          <w:szCs w:val="22"/>
        </w:rPr>
      </w:pPr>
    </w:p>
    <w:p w14:paraId="3EEAD986" w14:textId="77777777" w:rsidR="00F204D4" w:rsidRPr="00CB40F4" w:rsidRDefault="00F204D4" w:rsidP="008253DD">
      <w:pPr>
        <w:tabs>
          <w:tab w:val="left" w:pos="2160"/>
          <w:tab w:val="left" w:pos="6120"/>
        </w:tabs>
        <w:ind w:left="360"/>
        <w:rPr>
          <w:rFonts w:asciiTheme="majorBidi" w:hAnsiTheme="majorBidi" w:cstheme="majorBidi"/>
          <w:sz w:val="22"/>
          <w:szCs w:val="22"/>
        </w:rPr>
      </w:pPr>
    </w:p>
    <w:p w14:paraId="51C2ACB6" w14:textId="6EB8E0CB" w:rsidR="008253DD" w:rsidRPr="00CB40F4" w:rsidRDefault="008253DD" w:rsidP="00203F9F">
      <w:pPr>
        <w:rPr>
          <w:rFonts w:asciiTheme="majorBidi" w:hAnsiTheme="majorBidi" w:cstheme="majorBidi"/>
          <w:b/>
        </w:rPr>
      </w:pPr>
      <w:r w:rsidRPr="00CB40F4">
        <w:rPr>
          <w:rFonts w:asciiTheme="majorBidi" w:hAnsiTheme="majorBidi" w:cstheme="majorBidi"/>
          <w:b/>
          <w:bCs/>
          <w:sz w:val="22"/>
          <w:szCs w:val="22"/>
        </w:rPr>
        <w:t xml:space="preserve">Table 4-B: Total Annual Burden and Cost by Division for "Type </w:t>
      </w:r>
      <w:r w:rsidR="00203F9F" w:rsidRPr="00CB40F4">
        <w:rPr>
          <w:rFonts w:asciiTheme="majorBidi" w:hAnsiTheme="majorBidi" w:cstheme="majorBidi"/>
          <w:b/>
          <w:bCs/>
          <w:sz w:val="22"/>
          <w:szCs w:val="22"/>
        </w:rPr>
        <w:t>B</w:t>
      </w:r>
      <w:r w:rsidRPr="00CB40F4">
        <w:rPr>
          <w:rFonts w:asciiTheme="majorBidi" w:hAnsiTheme="majorBidi" w:cstheme="majorBidi"/>
          <w:b/>
          <w:bCs/>
          <w:sz w:val="22"/>
          <w:szCs w:val="22"/>
        </w:rPr>
        <w:t xml:space="preserve">"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bCs/>
          <w:sz w:val="22"/>
          <w:szCs w:val="22"/>
        </w:rPr>
        <w:t>Applications</w:t>
      </w:r>
      <w:r w:rsidRPr="00CB40F4">
        <w:rPr>
          <w:rFonts w:asciiTheme="majorBidi" w:hAnsiTheme="majorBidi" w:cstheme="majorBidi"/>
          <w:b/>
          <w:bCs/>
          <w:sz w:val="22"/>
          <w:szCs w:val="22"/>
          <w:vertAlign w:val="superscript"/>
        </w:rPr>
        <w:t xml:space="preserve"> 1</w:t>
      </w:r>
    </w:p>
    <w:tbl>
      <w:tblPr>
        <w:tblW w:w="5000" w:type="pct"/>
        <w:tblLayout w:type="fixed"/>
        <w:tblLook w:val="04A0" w:firstRow="1" w:lastRow="0" w:firstColumn="1" w:lastColumn="0" w:noHBand="0" w:noVBand="1"/>
      </w:tblPr>
      <w:tblGrid>
        <w:gridCol w:w="1417"/>
        <w:gridCol w:w="900"/>
        <w:gridCol w:w="1319"/>
        <w:gridCol w:w="762"/>
        <w:gridCol w:w="984"/>
        <w:gridCol w:w="779"/>
        <w:gridCol w:w="1138"/>
        <w:gridCol w:w="881"/>
        <w:gridCol w:w="1134"/>
      </w:tblGrid>
      <w:tr w:rsidR="008253DD" w:rsidRPr="00CB40F4" w14:paraId="734E3957" w14:textId="77777777" w:rsidTr="00A16077">
        <w:trPr>
          <w:trHeight w:val="300"/>
        </w:trPr>
        <w:tc>
          <w:tcPr>
            <w:tcW w:w="761" w:type="pct"/>
            <w:vMerge w:val="restart"/>
            <w:tcBorders>
              <w:top w:val="double" w:sz="6" w:space="0" w:color="808080"/>
              <w:left w:val="double" w:sz="6" w:space="0" w:color="808080"/>
              <w:bottom w:val="single" w:sz="4" w:space="0" w:color="808080"/>
              <w:right w:val="single" w:sz="4" w:space="0" w:color="808080"/>
            </w:tcBorders>
            <w:shd w:val="clear" w:color="auto" w:fill="auto"/>
            <w:noWrap/>
            <w:vAlign w:val="center"/>
            <w:hideMark/>
          </w:tcPr>
          <w:p w14:paraId="3468B129" w14:textId="77777777" w:rsidR="008253DD" w:rsidRPr="00CB40F4" w:rsidRDefault="008253DD" w:rsidP="00650B2D">
            <w:pPr>
              <w:rPr>
                <w:rFonts w:asciiTheme="majorBidi" w:hAnsiTheme="majorBidi" w:cstheme="majorBidi"/>
                <w:b/>
                <w:sz w:val="22"/>
                <w:szCs w:val="22"/>
                <w:vertAlign w:val="superscript"/>
              </w:rPr>
            </w:pPr>
            <w:r w:rsidRPr="00CB40F4">
              <w:rPr>
                <w:rFonts w:asciiTheme="majorBidi" w:hAnsiTheme="majorBidi" w:cstheme="majorBidi"/>
                <w:b/>
                <w:sz w:val="22"/>
                <w:szCs w:val="22"/>
              </w:rPr>
              <w:t>Labor Category</w:t>
            </w:r>
            <w:r w:rsidRPr="00CB40F4">
              <w:rPr>
                <w:rFonts w:asciiTheme="majorBidi" w:hAnsiTheme="majorBidi" w:cstheme="majorBidi"/>
                <w:b/>
                <w:sz w:val="22"/>
                <w:szCs w:val="22"/>
                <w:vertAlign w:val="superscript"/>
              </w:rPr>
              <w:t xml:space="preserve"> 2</w:t>
            </w:r>
          </w:p>
        </w:tc>
        <w:tc>
          <w:tcPr>
            <w:tcW w:w="1191" w:type="pct"/>
            <w:gridSpan w:val="2"/>
            <w:tcBorders>
              <w:top w:val="double" w:sz="6" w:space="0" w:color="808080"/>
              <w:left w:val="nil"/>
              <w:bottom w:val="single" w:sz="4" w:space="0" w:color="808080"/>
              <w:right w:val="single" w:sz="4" w:space="0" w:color="808080"/>
            </w:tcBorders>
            <w:shd w:val="clear" w:color="auto" w:fill="auto"/>
            <w:noWrap/>
            <w:vAlign w:val="center"/>
            <w:hideMark/>
          </w:tcPr>
          <w:p w14:paraId="2F615314"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AD</w:t>
            </w:r>
          </w:p>
        </w:tc>
        <w:tc>
          <w:tcPr>
            <w:tcW w:w="937" w:type="pct"/>
            <w:gridSpan w:val="2"/>
            <w:tcBorders>
              <w:top w:val="double" w:sz="6" w:space="0" w:color="808080"/>
              <w:left w:val="nil"/>
              <w:bottom w:val="single" w:sz="4" w:space="0" w:color="808080"/>
              <w:right w:val="single" w:sz="4" w:space="0" w:color="808080"/>
            </w:tcBorders>
            <w:shd w:val="clear" w:color="auto" w:fill="auto"/>
            <w:noWrap/>
            <w:vAlign w:val="center"/>
            <w:hideMark/>
          </w:tcPr>
          <w:p w14:paraId="43BCF04B"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BPPD</w:t>
            </w:r>
          </w:p>
        </w:tc>
        <w:tc>
          <w:tcPr>
            <w:tcW w:w="1029" w:type="pct"/>
            <w:gridSpan w:val="2"/>
            <w:tcBorders>
              <w:top w:val="double" w:sz="6" w:space="0" w:color="808080"/>
              <w:left w:val="nil"/>
              <w:bottom w:val="single" w:sz="4" w:space="0" w:color="808080"/>
              <w:right w:val="single" w:sz="4" w:space="0" w:color="808080"/>
            </w:tcBorders>
            <w:shd w:val="clear" w:color="auto" w:fill="auto"/>
            <w:noWrap/>
            <w:vAlign w:val="center"/>
            <w:hideMark/>
          </w:tcPr>
          <w:p w14:paraId="425B58C5"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RD</w:t>
            </w:r>
          </w:p>
        </w:tc>
        <w:tc>
          <w:tcPr>
            <w:tcW w:w="1082" w:type="pct"/>
            <w:gridSpan w:val="2"/>
            <w:tcBorders>
              <w:top w:val="double" w:sz="6" w:space="0" w:color="808080"/>
              <w:left w:val="nil"/>
              <w:bottom w:val="single" w:sz="4" w:space="0" w:color="808080"/>
              <w:right w:val="double" w:sz="6" w:space="0" w:color="808080"/>
            </w:tcBorders>
            <w:shd w:val="clear" w:color="auto" w:fill="auto"/>
            <w:noWrap/>
            <w:hideMark/>
          </w:tcPr>
          <w:p w14:paraId="45694A25"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Total</w:t>
            </w:r>
          </w:p>
        </w:tc>
      </w:tr>
      <w:tr w:rsidR="008253DD" w:rsidRPr="00CB40F4" w14:paraId="0D3F7723" w14:textId="77777777" w:rsidTr="00A16077">
        <w:trPr>
          <w:trHeight w:val="285"/>
        </w:trPr>
        <w:tc>
          <w:tcPr>
            <w:tcW w:w="761" w:type="pct"/>
            <w:vMerge/>
            <w:tcBorders>
              <w:top w:val="double" w:sz="6" w:space="0" w:color="808080"/>
              <w:left w:val="double" w:sz="6" w:space="0" w:color="808080"/>
              <w:bottom w:val="single" w:sz="4" w:space="0" w:color="808080"/>
              <w:right w:val="single" w:sz="4" w:space="0" w:color="808080"/>
            </w:tcBorders>
            <w:shd w:val="clear" w:color="auto" w:fill="auto"/>
            <w:vAlign w:val="center"/>
            <w:hideMark/>
          </w:tcPr>
          <w:p w14:paraId="1AFABEE3" w14:textId="77777777" w:rsidR="008253DD" w:rsidRPr="00CB40F4" w:rsidRDefault="008253DD" w:rsidP="00650B2D">
            <w:pPr>
              <w:rPr>
                <w:rFonts w:asciiTheme="majorBidi" w:hAnsiTheme="majorBidi" w:cstheme="majorBidi"/>
                <w:sz w:val="22"/>
                <w:szCs w:val="22"/>
              </w:rPr>
            </w:pPr>
          </w:p>
        </w:tc>
        <w:tc>
          <w:tcPr>
            <w:tcW w:w="483" w:type="pct"/>
            <w:tcBorders>
              <w:top w:val="nil"/>
              <w:left w:val="nil"/>
              <w:bottom w:val="single" w:sz="4" w:space="0" w:color="808080"/>
              <w:right w:val="single" w:sz="4" w:space="0" w:color="808080"/>
            </w:tcBorders>
            <w:shd w:val="clear" w:color="auto" w:fill="auto"/>
            <w:noWrap/>
            <w:vAlign w:val="center"/>
            <w:hideMark/>
          </w:tcPr>
          <w:p w14:paraId="2079BCBE" w14:textId="4EF2D6C9"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Hrs</w:t>
            </w:r>
            <w:r w:rsidR="00A16077" w:rsidRPr="00CB40F4">
              <w:rPr>
                <w:rFonts w:asciiTheme="majorBidi" w:hAnsiTheme="majorBidi" w:cstheme="majorBidi"/>
                <w:b/>
                <w:bCs/>
                <w:sz w:val="22"/>
                <w:szCs w:val="22"/>
              </w:rPr>
              <w:t>.</w:t>
            </w:r>
          </w:p>
        </w:tc>
        <w:tc>
          <w:tcPr>
            <w:tcW w:w="708" w:type="pct"/>
            <w:tcBorders>
              <w:top w:val="nil"/>
              <w:left w:val="nil"/>
              <w:bottom w:val="single" w:sz="4" w:space="0" w:color="808080"/>
              <w:right w:val="single" w:sz="4" w:space="0" w:color="808080"/>
            </w:tcBorders>
            <w:shd w:val="clear" w:color="auto" w:fill="auto"/>
            <w:noWrap/>
            <w:vAlign w:val="center"/>
            <w:hideMark/>
          </w:tcPr>
          <w:p w14:paraId="794A9A4A"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409" w:type="pct"/>
            <w:tcBorders>
              <w:top w:val="nil"/>
              <w:left w:val="nil"/>
              <w:bottom w:val="single" w:sz="4" w:space="0" w:color="808080"/>
              <w:right w:val="single" w:sz="4" w:space="0" w:color="808080"/>
            </w:tcBorders>
            <w:shd w:val="clear" w:color="auto" w:fill="auto"/>
            <w:noWrap/>
            <w:vAlign w:val="center"/>
            <w:hideMark/>
          </w:tcPr>
          <w:p w14:paraId="3E0DFDD9" w14:textId="03F2B2F1"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Hrs</w:t>
            </w:r>
            <w:r w:rsidR="00A16077" w:rsidRPr="00CB40F4">
              <w:rPr>
                <w:rFonts w:asciiTheme="majorBidi" w:hAnsiTheme="majorBidi" w:cstheme="majorBidi"/>
                <w:b/>
                <w:bCs/>
                <w:sz w:val="22"/>
                <w:szCs w:val="22"/>
              </w:rPr>
              <w:t>.</w:t>
            </w:r>
          </w:p>
        </w:tc>
        <w:tc>
          <w:tcPr>
            <w:tcW w:w="528" w:type="pct"/>
            <w:tcBorders>
              <w:top w:val="nil"/>
              <w:left w:val="nil"/>
              <w:bottom w:val="single" w:sz="4" w:space="0" w:color="808080"/>
              <w:right w:val="single" w:sz="4" w:space="0" w:color="808080"/>
            </w:tcBorders>
            <w:shd w:val="clear" w:color="auto" w:fill="auto"/>
            <w:noWrap/>
            <w:vAlign w:val="center"/>
            <w:hideMark/>
          </w:tcPr>
          <w:p w14:paraId="39D03623"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418" w:type="pct"/>
            <w:tcBorders>
              <w:top w:val="nil"/>
              <w:left w:val="nil"/>
              <w:bottom w:val="single" w:sz="4" w:space="0" w:color="808080"/>
              <w:right w:val="single" w:sz="4" w:space="0" w:color="808080"/>
            </w:tcBorders>
            <w:shd w:val="clear" w:color="auto" w:fill="auto"/>
            <w:noWrap/>
            <w:vAlign w:val="center"/>
            <w:hideMark/>
          </w:tcPr>
          <w:p w14:paraId="03B9C16C" w14:textId="1C767FFA"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Hrs</w:t>
            </w:r>
            <w:r w:rsidR="00A16077" w:rsidRPr="00CB40F4">
              <w:rPr>
                <w:rFonts w:asciiTheme="majorBidi" w:hAnsiTheme="majorBidi" w:cstheme="majorBidi"/>
                <w:b/>
                <w:bCs/>
                <w:sz w:val="22"/>
                <w:szCs w:val="22"/>
              </w:rPr>
              <w:t>.</w:t>
            </w:r>
          </w:p>
        </w:tc>
        <w:tc>
          <w:tcPr>
            <w:tcW w:w="611" w:type="pct"/>
            <w:tcBorders>
              <w:top w:val="nil"/>
              <w:left w:val="nil"/>
              <w:bottom w:val="single" w:sz="4" w:space="0" w:color="808080"/>
              <w:right w:val="single" w:sz="4" w:space="0" w:color="808080"/>
            </w:tcBorders>
            <w:shd w:val="clear" w:color="auto" w:fill="auto"/>
            <w:noWrap/>
            <w:vAlign w:val="center"/>
            <w:hideMark/>
          </w:tcPr>
          <w:p w14:paraId="083E0482"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c>
          <w:tcPr>
            <w:tcW w:w="473" w:type="pct"/>
            <w:tcBorders>
              <w:top w:val="nil"/>
              <w:left w:val="nil"/>
              <w:bottom w:val="single" w:sz="4" w:space="0" w:color="808080"/>
              <w:right w:val="single" w:sz="4" w:space="0" w:color="808080"/>
            </w:tcBorders>
            <w:shd w:val="clear" w:color="auto" w:fill="auto"/>
            <w:noWrap/>
            <w:vAlign w:val="center"/>
            <w:hideMark/>
          </w:tcPr>
          <w:p w14:paraId="4E3FB283"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Hours</w:t>
            </w:r>
          </w:p>
        </w:tc>
        <w:tc>
          <w:tcPr>
            <w:tcW w:w="609" w:type="pct"/>
            <w:tcBorders>
              <w:top w:val="nil"/>
              <w:left w:val="nil"/>
              <w:bottom w:val="single" w:sz="4" w:space="0" w:color="808080"/>
              <w:right w:val="double" w:sz="6" w:space="0" w:color="808080"/>
            </w:tcBorders>
            <w:shd w:val="clear" w:color="auto" w:fill="auto"/>
            <w:noWrap/>
            <w:vAlign w:val="center"/>
            <w:hideMark/>
          </w:tcPr>
          <w:p w14:paraId="7CB029C5"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r>
      <w:tr w:rsidR="008253DD" w:rsidRPr="00CB40F4" w14:paraId="7C9E2111" w14:textId="77777777" w:rsidTr="00A16077">
        <w:trPr>
          <w:trHeight w:val="300"/>
        </w:trPr>
        <w:tc>
          <w:tcPr>
            <w:tcW w:w="761" w:type="pct"/>
            <w:tcBorders>
              <w:top w:val="nil"/>
              <w:left w:val="double" w:sz="6" w:space="0" w:color="808080"/>
              <w:bottom w:val="single" w:sz="4" w:space="0" w:color="808080"/>
              <w:right w:val="single" w:sz="4" w:space="0" w:color="808080"/>
            </w:tcBorders>
            <w:shd w:val="clear" w:color="auto" w:fill="auto"/>
            <w:noWrap/>
            <w:vAlign w:val="bottom"/>
            <w:hideMark/>
          </w:tcPr>
          <w:p w14:paraId="56CA23E6"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Management</w:t>
            </w:r>
          </w:p>
        </w:tc>
        <w:tc>
          <w:tcPr>
            <w:tcW w:w="483"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3D0128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18,029</w:t>
            </w:r>
          </w:p>
        </w:tc>
        <w:tc>
          <w:tcPr>
            <w:tcW w:w="708" w:type="pct"/>
            <w:tcBorders>
              <w:top w:val="single" w:sz="4" w:space="0" w:color="808080"/>
              <w:left w:val="nil"/>
              <w:bottom w:val="single" w:sz="4" w:space="0" w:color="808080"/>
              <w:right w:val="single" w:sz="4" w:space="0" w:color="808080"/>
            </w:tcBorders>
            <w:shd w:val="clear" w:color="auto" w:fill="auto"/>
            <w:noWrap/>
            <w:vAlign w:val="center"/>
            <w:hideMark/>
          </w:tcPr>
          <w:p w14:paraId="0062EAE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$2,194,530</w:t>
            </w:r>
          </w:p>
        </w:tc>
        <w:tc>
          <w:tcPr>
            <w:tcW w:w="409" w:type="pct"/>
            <w:tcBorders>
              <w:top w:val="single" w:sz="4" w:space="0" w:color="808080"/>
              <w:left w:val="nil"/>
              <w:bottom w:val="single" w:sz="4" w:space="0" w:color="808080"/>
              <w:right w:val="single" w:sz="4" w:space="0" w:color="808080"/>
            </w:tcBorders>
            <w:shd w:val="clear" w:color="auto" w:fill="auto"/>
            <w:noWrap/>
            <w:vAlign w:val="center"/>
            <w:hideMark/>
          </w:tcPr>
          <w:p w14:paraId="6DDA8C6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4,603</w:t>
            </w:r>
          </w:p>
        </w:tc>
        <w:tc>
          <w:tcPr>
            <w:tcW w:w="528" w:type="pct"/>
            <w:tcBorders>
              <w:top w:val="single" w:sz="4" w:space="0" w:color="808080"/>
              <w:left w:val="nil"/>
              <w:bottom w:val="single" w:sz="4" w:space="0" w:color="808080"/>
              <w:right w:val="single" w:sz="4" w:space="0" w:color="808080"/>
            </w:tcBorders>
            <w:shd w:val="clear" w:color="auto" w:fill="auto"/>
            <w:noWrap/>
            <w:vAlign w:val="center"/>
            <w:hideMark/>
          </w:tcPr>
          <w:p w14:paraId="744998F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$560,237</w:t>
            </w:r>
          </w:p>
        </w:tc>
        <w:tc>
          <w:tcPr>
            <w:tcW w:w="418" w:type="pct"/>
            <w:tcBorders>
              <w:top w:val="single" w:sz="4" w:space="0" w:color="808080"/>
              <w:left w:val="nil"/>
              <w:bottom w:val="single" w:sz="4" w:space="0" w:color="808080"/>
              <w:right w:val="single" w:sz="4" w:space="0" w:color="808080"/>
            </w:tcBorders>
            <w:shd w:val="clear" w:color="auto" w:fill="auto"/>
            <w:noWrap/>
            <w:vAlign w:val="center"/>
            <w:hideMark/>
          </w:tcPr>
          <w:p w14:paraId="467D6D6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35,555</w:t>
            </w:r>
          </w:p>
        </w:tc>
        <w:tc>
          <w:tcPr>
            <w:tcW w:w="611" w:type="pct"/>
            <w:tcBorders>
              <w:top w:val="single" w:sz="4" w:space="0" w:color="808080"/>
              <w:left w:val="nil"/>
              <w:bottom w:val="single" w:sz="4" w:space="0" w:color="808080"/>
              <w:right w:val="single" w:sz="4" w:space="0" w:color="808080"/>
            </w:tcBorders>
            <w:shd w:val="clear" w:color="auto" w:fill="auto"/>
            <w:noWrap/>
            <w:vAlign w:val="center"/>
            <w:hideMark/>
          </w:tcPr>
          <w:p w14:paraId="54DBF5F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$4,327,714</w:t>
            </w:r>
          </w:p>
        </w:tc>
        <w:tc>
          <w:tcPr>
            <w:tcW w:w="473" w:type="pct"/>
            <w:tcBorders>
              <w:top w:val="single" w:sz="4" w:space="0" w:color="808080"/>
              <w:left w:val="nil"/>
              <w:bottom w:val="single" w:sz="4" w:space="0" w:color="808080"/>
              <w:right w:val="single" w:sz="4" w:space="0" w:color="808080"/>
            </w:tcBorders>
            <w:shd w:val="clear" w:color="auto" w:fill="auto"/>
            <w:noWrap/>
            <w:vAlign w:val="center"/>
            <w:hideMark/>
          </w:tcPr>
          <w:p w14:paraId="1578F3B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58,187</w:t>
            </w:r>
          </w:p>
        </w:tc>
        <w:tc>
          <w:tcPr>
            <w:tcW w:w="609" w:type="pct"/>
            <w:tcBorders>
              <w:top w:val="single" w:sz="4" w:space="0" w:color="808080"/>
              <w:left w:val="nil"/>
              <w:bottom w:val="single" w:sz="4" w:space="0" w:color="808080"/>
              <w:right w:val="double" w:sz="6" w:space="0" w:color="808080"/>
            </w:tcBorders>
            <w:shd w:val="clear" w:color="auto" w:fill="auto"/>
            <w:noWrap/>
            <w:vAlign w:val="center"/>
            <w:hideMark/>
          </w:tcPr>
          <w:p w14:paraId="5C2B1A5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$7,082,481</w:t>
            </w:r>
          </w:p>
        </w:tc>
      </w:tr>
      <w:tr w:rsidR="008253DD" w:rsidRPr="00CB40F4" w14:paraId="10F39A26" w14:textId="77777777" w:rsidTr="00A16077">
        <w:trPr>
          <w:trHeight w:val="300"/>
        </w:trPr>
        <w:tc>
          <w:tcPr>
            <w:tcW w:w="761" w:type="pct"/>
            <w:tcBorders>
              <w:top w:val="nil"/>
              <w:left w:val="double" w:sz="6" w:space="0" w:color="808080"/>
              <w:bottom w:val="single" w:sz="4" w:space="0" w:color="808080"/>
              <w:right w:val="single" w:sz="4" w:space="0" w:color="808080"/>
            </w:tcBorders>
            <w:shd w:val="clear" w:color="auto" w:fill="auto"/>
            <w:noWrap/>
            <w:vAlign w:val="bottom"/>
            <w:hideMark/>
          </w:tcPr>
          <w:p w14:paraId="5967827C"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Technical</w:t>
            </w:r>
          </w:p>
        </w:tc>
        <w:tc>
          <w:tcPr>
            <w:tcW w:w="483" w:type="pct"/>
            <w:tcBorders>
              <w:top w:val="nil"/>
              <w:left w:val="single" w:sz="4" w:space="0" w:color="808080"/>
              <w:bottom w:val="single" w:sz="4" w:space="0" w:color="808080"/>
              <w:right w:val="single" w:sz="4" w:space="0" w:color="808080"/>
            </w:tcBorders>
            <w:shd w:val="clear" w:color="auto" w:fill="auto"/>
            <w:noWrap/>
            <w:vAlign w:val="center"/>
            <w:hideMark/>
          </w:tcPr>
          <w:p w14:paraId="7305ABE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4,507</w:t>
            </w:r>
          </w:p>
        </w:tc>
        <w:tc>
          <w:tcPr>
            <w:tcW w:w="708" w:type="pct"/>
            <w:tcBorders>
              <w:top w:val="nil"/>
              <w:left w:val="nil"/>
              <w:bottom w:val="single" w:sz="4" w:space="0" w:color="808080"/>
              <w:right w:val="single" w:sz="4" w:space="0" w:color="808080"/>
            </w:tcBorders>
            <w:shd w:val="clear" w:color="auto" w:fill="auto"/>
            <w:noWrap/>
            <w:vAlign w:val="center"/>
            <w:hideMark/>
          </w:tcPr>
          <w:p w14:paraId="3B9FD8F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$324,573</w:t>
            </w:r>
          </w:p>
        </w:tc>
        <w:tc>
          <w:tcPr>
            <w:tcW w:w="409" w:type="pct"/>
            <w:tcBorders>
              <w:top w:val="nil"/>
              <w:left w:val="nil"/>
              <w:bottom w:val="single" w:sz="4" w:space="0" w:color="808080"/>
              <w:right w:val="single" w:sz="4" w:space="0" w:color="808080"/>
            </w:tcBorders>
            <w:shd w:val="clear" w:color="auto" w:fill="auto"/>
            <w:noWrap/>
            <w:vAlign w:val="center"/>
            <w:hideMark/>
          </w:tcPr>
          <w:p w14:paraId="7E5349E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1,151</w:t>
            </w:r>
          </w:p>
        </w:tc>
        <w:tc>
          <w:tcPr>
            <w:tcW w:w="528" w:type="pct"/>
            <w:tcBorders>
              <w:top w:val="nil"/>
              <w:left w:val="nil"/>
              <w:bottom w:val="single" w:sz="4" w:space="0" w:color="808080"/>
              <w:right w:val="single" w:sz="4" w:space="0" w:color="808080"/>
            </w:tcBorders>
            <w:shd w:val="clear" w:color="auto" w:fill="auto"/>
            <w:noWrap/>
            <w:vAlign w:val="center"/>
            <w:hideMark/>
          </w:tcPr>
          <w:p w14:paraId="5C4627E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$82,860</w:t>
            </w:r>
          </w:p>
        </w:tc>
        <w:tc>
          <w:tcPr>
            <w:tcW w:w="418" w:type="pct"/>
            <w:tcBorders>
              <w:top w:val="nil"/>
              <w:left w:val="nil"/>
              <w:bottom w:val="single" w:sz="4" w:space="0" w:color="808080"/>
              <w:right w:val="single" w:sz="4" w:space="0" w:color="808080"/>
            </w:tcBorders>
            <w:shd w:val="clear" w:color="auto" w:fill="auto"/>
            <w:noWrap/>
            <w:vAlign w:val="center"/>
            <w:hideMark/>
          </w:tcPr>
          <w:p w14:paraId="0A74FFB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8,889</w:t>
            </w:r>
          </w:p>
        </w:tc>
        <w:tc>
          <w:tcPr>
            <w:tcW w:w="611" w:type="pct"/>
            <w:tcBorders>
              <w:top w:val="nil"/>
              <w:left w:val="nil"/>
              <w:bottom w:val="single" w:sz="4" w:space="0" w:color="808080"/>
              <w:right w:val="single" w:sz="4" w:space="0" w:color="808080"/>
            </w:tcBorders>
            <w:shd w:val="clear" w:color="auto" w:fill="auto"/>
            <w:noWrap/>
            <w:vAlign w:val="center"/>
            <w:hideMark/>
          </w:tcPr>
          <w:p w14:paraId="4582D79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$640,073</w:t>
            </w:r>
          </w:p>
        </w:tc>
        <w:tc>
          <w:tcPr>
            <w:tcW w:w="473" w:type="pct"/>
            <w:tcBorders>
              <w:top w:val="nil"/>
              <w:left w:val="nil"/>
              <w:bottom w:val="single" w:sz="4" w:space="0" w:color="808080"/>
              <w:right w:val="single" w:sz="4" w:space="0" w:color="808080"/>
            </w:tcBorders>
            <w:shd w:val="clear" w:color="auto" w:fill="auto"/>
            <w:noWrap/>
            <w:vAlign w:val="center"/>
            <w:hideMark/>
          </w:tcPr>
          <w:p w14:paraId="47947F1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14,547</w:t>
            </w:r>
          </w:p>
        </w:tc>
        <w:tc>
          <w:tcPr>
            <w:tcW w:w="609" w:type="pct"/>
            <w:tcBorders>
              <w:top w:val="nil"/>
              <w:left w:val="nil"/>
              <w:bottom w:val="single" w:sz="4" w:space="0" w:color="808080"/>
              <w:right w:val="double" w:sz="6" w:space="0" w:color="808080"/>
            </w:tcBorders>
            <w:shd w:val="clear" w:color="auto" w:fill="auto"/>
            <w:noWrap/>
            <w:vAlign w:val="center"/>
            <w:hideMark/>
          </w:tcPr>
          <w:p w14:paraId="26DD402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$1,047,505</w:t>
            </w:r>
          </w:p>
        </w:tc>
      </w:tr>
      <w:tr w:rsidR="008253DD" w:rsidRPr="00CB40F4" w14:paraId="629EBC40" w14:textId="77777777" w:rsidTr="00A16077">
        <w:trPr>
          <w:trHeight w:val="300"/>
        </w:trPr>
        <w:tc>
          <w:tcPr>
            <w:tcW w:w="761" w:type="pct"/>
            <w:tcBorders>
              <w:top w:val="nil"/>
              <w:left w:val="double" w:sz="6" w:space="0" w:color="808080"/>
              <w:bottom w:val="single" w:sz="4" w:space="0" w:color="808080"/>
              <w:right w:val="single" w:sz="4" w:space="0" w:color="808080"/>
            </w:tcBorders>
            <w:shd w:val="clear" w:color="auto" w:fill="auto"/>
            <w:noWrap/>
            <w:vAlign w:val="bottom"/>
            <w:hideMark/>
          </w:tcPr>
          <w:p w14:paraId="6C6D6630"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Clerical</w:t>
            </w:r>
          </w:p>
        </w:tc>
        <w:tc>
          <w:tcPr>
            <w:tcW w:w="483" w:type="pct"/>
            <w:tcBorders>
              <w:top w:val="nil"/>
              <w:left w:val="single" w:sz="4" w:space="0" w:color="808080"/>
              <w:bottom w:val="single" w:sz="4" w:space="0" w:color="808080"/>
              <w:right w:val="single" w:sz="4" w:space="0" w:color="808080"/>
            </w:tcBorders>
            <w:shd w:val="clear" w:color="auto" w:fill="auto"/>
            <w:noWrap/>
            <w:vAlign w:val="center"/>
            <w:hideMark/>
          </w:tcPr>
          <w:p w14:paraId="3BF63D1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9,015</w:t>
            </w:r>
          </w:p>
        </w:tc>
        <w:tc>
          <w:tcPr>
            <w:tcW w:w="708" w:type="pct"/>
            <w:tcBorders>
              <w:top w:val="nil"/>
              <w:left w:val="nil"/>
              <w:bottom w:val="single" w:sz="4" w:space="0" w:color="808080"/>
              <w:right w:val="single" w:sz="4" w:space="0" w:color="808080"/>
            </w:tcBorders>
            <w:shd w:val="clear" w:color="auto" w:fill="auto"/>
            <w:noWrap/>
            <w:vAlign w:val="center"/>
            <w:hideMark/>
          </w:tcPr>
          <w:p w14:paraId="70928CB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$368,970</w:t>
            </w:r>
          </w:p>
        </w:tc>
        <w:tc>
          <w:tcPr>
            <w:tcW w:w="409" w:type="pct"/>
            <w:tcBorders>
              <w:top w:val="nil"/>
              <w:left w:val="nil"/>
              <w:bottom w:val="single" w:sz="4" w:space="0" w:color="808080"/>
              <w:right w:val="single" w:sz="4" w:space="0" w:color="808080"/>
            </w:tcBorders>
            <w:shd w:val="clear" w:color="auto" w:fill="auto"/>
            <w:noWrap/>
            <w:vAlign w:val="center"/>
            <w:hideMark/>
          </w:tcPr>
          <w:p w14:paraId="412D683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2,301</w:t>
            </w:r>
          </w:p>
        </w:tc>
        <w:tc>
          <w:tcPr>
            <w:tcW w:w="528" w:type="pct"/>
            <w:tcBorders>
              <w:top w:val="nil"/>
              <w:left w:val="nil"/>
              <w:bottom w:val="single" w:sz="4" w:space="0" w:color="808080"/>
              <w:right w:val="single" w:sz="4" w:space="0" w:color="808080"/>
            </w:tcBorders>
            <w:shd w:val="clear" w:color="auto" w:fill="auto"/>
            <w:noWrap/>
            <w:vAlign w:val="center"/>
            <w:hideMark/>
          </w:tcPr>
          <w:p w14:paraId="06045CC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$94,194</w:t>
            </w:r>
          </w:p>
        </w:tc>
        <w:tc>
          <w:tcPr>
            <w:tcW w:w="418" w:type="pct"/>
            <w:tcBorders>
              <w:top w:val="nil"/>
              <w:left w:val="nil"/>
              <w:bottom w:val="single" w:sz="4" w:space="0" w:color="808080"/>
              <w:right w:val="single" w:sz="4" w:space="0" w:color="808080"/>
            </w:tcBorders>
            <w:shd w:val="clear" w:color="auto" w:fill="auto"/>
            <w:noWrap/>
            <w:vAlign w:val="center"/>
            <w:hideMark/>
          </w:tcPr>
          <w:p w14:paraId="7068F53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17,777</w:t>
            </w:r>
          </w:p>
        </w:tc>
        <w:tc>
          <w:tcPr>
            <w:tcW w:w="611" w:type="pct"/>
            <w:tcBorders>
              <w:top w:val="nil"/>
              <w:left w:val="nil"/>
              <w:bottom w:val="single" w:sz="4" w:space="0" w:color="808080"/>
              <w:right w:val="single" w:sz="4" w:space="0" w:color="808080"/>
            </w:tcBorders>
            <w:shd w:val="clear" w:color="auto" w:fill="auto"/>
            <w:noWrap/>
            <w:vAlign w:val="center"/>
            <w:hideMark/>
          </w:tcPr>
          <w:p w14:paraId="0595446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$727,626</w:t>
            </w:r>
          </w:p>
        </w:tc>
        <w:tc>
          <w:tcPr>
            <w:tcW w:w="473" w:type="pct"/>
            <w:tcBorders>
              <w:top w:val="nil"/>
              <w:left w:val="nil"/>
              <w:bottom w:val="single" w:sz="4" w:space="0" w:color="808080"/>
              <w:right w:val="single" w:sz="4" w:space="0" w:color="808080"/>
            </w:tcBorders>
            <w:shd w:val="clear" w:color="auto" w:fill="auto"/>
            <w:noWrap/>
            <w:vAlign w:val="center"/>
            <w:hideMark/>
          </w:tcPr>
          <w:p w14:paraId="4A6D3CF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29,093</w:t>
            </w:r>
          </w:p>
        </w:tc>
        <w:tc>
          <w:tcPr>
            <w:tcW w:w="609" w:type="pct"/>
            <w:tcBorders>
              <w:top w:val="nil"/>
              <w:left w:val="nil"/>
              <w:bottom w:val="single" w:sz="4" w:space="0" w:color="808080"/>
              <w:right w:val="double" w:sz="6" w:space="0" w:color="808080"/>
            </w:tcBorders>
            <w:shd w:val="clear" w:color="auto" w:fill="auto"/>
            <w:noWrap/>
            <w:vAlign w:val="center"/>
            <w:hideMark/>
          </w:tcPr>
          <w:p w14:paraId="5BC9AA7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$1,190,790</w:t>
            </w:r>
          </w:p>
        </w:tc>
      </w:tr>
      <w:tr w:rsidR="008253DD" w:rsidRPr="00CB40F4" w14:paraId="5FD72D49" w14:textId="77777777" w:rsidTr="00A16077">
        <w:trPr>
          <w:trHeight w:val="315"/>
        </w:trPr>
        <w:tc>
          <w:tcPr>
            <w:tcW w:w="761" w:type="pct"/>
            <w:tcBorders>
              <w:top w:val="nil"/>
              <w:left w:val="double" w:sz="6" w:space="0" w:color="808080"/>
              <w:bottom w:val="double" w:sz="6" w:space="0" w:color="808080"/>
              <w:right w:val="single" w:sz="4" w:space="0" w:color="808080"/>
            </w:tcBorders>
            <w:shd w:val="clear" w:color="auto" w:fill="auto"/>
            <w:noWrap/>
            <w:vAlign w:val="bottom"/>
            <w:hideMark/>
          </w:tcPr>
          <w:p w14:paraId="7EA8D596" w14:textId="77777777" w:rsidR="008253DD" w:rsidRPr="00CB40F4" w:rsidRDefault="008253DD" w:rsidP="00650B2D">
            <w:pPr>
              <w:rPr>
                <w:rFonts w:asciiTheme="majorBidi" w:hAnsiTheme="majorBidi" w:cstheme="majorBidi"/>
                <w:b/>
                <w:sz w:val="22"/>
                <w:szCs w:val="22"/>
              </w:rPr>
            </w:pPr>
            <w:r w:rsidRPr="00CB40F4">
              <w:rPr>
                <w:rFonts w:asciiTheme="majorBidi" w:hAnsiTheme="majorBidi" w:cstheme="majorBidi"/>
                <w:b/>
                <w:sz w:val="22"/>
                <w:szCs w:val="22"/>
              </w:rPr>
              <w:t>Total</w:t>
            </w:r>
          </w:p>
        </w:tc>
        <w:tc>
          <w:tcPr>
            <w:tcW w:w="483" w:type="pct"/>
            <w:tcBorders>
              <w:top w:val="nil"/>
              <w:left w:val="single" w:sz="4" w:space="0" w:color="808080"/>
              <w:bottom w:val="double" w:sz="6" w:space="0" w:color="808080"/>
              <w:right w:val="single" w:sz="4" w:space="0" w:color="808080"/>
            </w:tcBorders>
            <w:shd w:val="clear" w:color="auto" w:fill="auto"/>
            <w:noWrap/>
            <w:vAlign w:val="center"/>
            <w:hideMark/>
          </w:tcPr>
          <w:p w14:paraId="2E16E2BD"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31,551</w:t>
            </w:r>
          </w:p>
        </w:tc>
        <w:tc>
          <w:tcPr>
            <w:tcW w:w="708" w:type="pct"/>
            <w:tcBorders>
              <w:top w:val="nil"/>
              <w:left w:val="nil"/>
              <w:bottom w:val="double" w:sz="6" w:space="0" w:color="808080"/>
              <w:right w:val="single" w:sz="4" w:space="0" w:color="808080"/>
            </w:tcBorders>
            <w:shd w:val="clear" w:color="auto" w:fill="auto"/>
            <w:noWrap/>
            <w:vAlign w:val="center"/>
            <w:hideMark/>
          </w:tcPr>
          <w:p w14:paraId="3F054141"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$2,888,074</w:t>
            </w:r>
          </w:p>
        </w:tc>
        <w:tc>
          <w:tcPr>
            <w:tcW w:w="409" w:type="pct"/>
            <w:tcBorders>
              <w:top w:val="nil"/>
              <w:left w:val="nil"/>
              <w:bottom w:val="double" w:sz="6" w:space="0" w:color="808080"/>
              <w:right w:val="single" w:sz="4" w:space="0" w:color="808080"/>
            </w:tcBorders>
            <w:shd w:val="clear" w:color="auto" w:fill="auto"/>
            <w:noWrap/>
            <w:vAlign w:val="center"/>
            <w:hideMark/>
          </w:tcPr>
          <w:p w14:paraId="47A53739"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8,055</w:t>
            </w:r>
          </w:p>
        </w:tc>
        <w:tc>
          <w:tcPr>
            <w:tcW w:w="528" w:type="pct"/>
            <w:tcBorders>
              <w:top w:val="nil"/>
              <w:left w:val="nil"/>
              <w:bottom w:val="double" w:sz="6" w:space="0" w:color="808080"/>
              <w:right w:val="single" w:sz="4" w:space="0" w:color="808080"/>
            </w:tcBorders>
            <w:shd w:val="clear" w:color="auto" w:fill="auto"/>
            <w:noWrap/>
            <w:vAlign w:val="center"/>
            <w:hideMark/>
          </w:tcPr>
          <w:p w14:paraId="28447307"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$737,290</w:t>
            </w:r>
          </w:p>
        </w:tc>
        <w:tc>
          <w:tcPr>
            <w:tcW w:w="418" w:type="pct"/>
            <w:tcBorders>
              <w:top w:val="nil"/>
              <w:left w:val="nil"/>
              <w:bottom w:val="double" w:sz="6" w:space="0" w:color="808080"/>
              <w:right w:val="single" w:sz="4" w:space="0" w:color="808080"/>
            </w:tcBorders>
            <w:shd w:val="clear" w:color="auto" w:fill="auto"/>
            <w:noWrap/>
            <w:vAlign w:val="center"/>
            <w:hideMark/>
          </w:tcPr>
          <w:p w14:paraId="64FDADE8"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62,221</w:t>
            </w:r>
          </w:p>
        </w:tc>
        <w:tc>
          <w:tcPr>
            <w:tcW w:w="611" w:type="pct"/>
            <w:tcBorders>
              <w:top w:val="nil"/>
              <w:left w:val="nil"/>
              <w:bottom w:val="double" w:sz="6" w:space="0" w:color="808080"/>
              <w:right w:val="single" w:sz="4" w:space="0" w:color="808080"/>
            </w:tcBorders>
            <w:shd w:val="clear" w:color="auto" w:fill="auto"/>
            <w:noWrap/>
            <w:vAlign w:val="center"/>
            <w:hideMark/>
          </w:tcPr>
          <w:p w14:paraId="7305795E"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sz w:val="20"/>
                <w:szCs w:val="20"/>
              </w:rPr>
              <w:t>$5,695,413</w:t>
            </w:r>
          </w:p>
        </w:tc>
        <w:tc>
          <w:tcPr>
            <w:tcW w:w="473" w:type="pct"/>
            <w:tcBorders>
              <w:top w:val="nil"/>
              <w:left w:val="nil"/>
              <w:bottom w:val="double" w:sz="6" w:space="0" w:color="808080"/>
              <w:right w:val="single" w:sz="4" w:space="0" w:color="808080"/>
            </w:tcBorders>
            <w:shd w:val="clear" w:color="auto" w:fill="auto"/>
            <w:noWrap/>
            <w:vAlign w:val="center"/>
            <w:hideMark/>
          </w:tcPr>
          <w:p w14:paraId="340DEE0E"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101,827</w:t>
            </w:r>
          </w:p>
        </w:tc>
        <w:tc>
          <w:tcPr>
            <w:tcW w:w="609" w:type="pct"/>
            <w:tcBorders>
              <w:top w:val="nil"/>
              <w:left w:val="nil"/>
              <w:bottom w:val="double" w:sz="6" w:space="0" w:color="808080"/>
              <w:right w:val="double" w:sz="6" w:space="0" w:color="808080"/>
            </w:tcBorders>
            <w:shd w:val="clear" w:color="auto" w:fill="auto"/>
            <w:noWrap/>
            <w:vAlign w:val="center"/>
            <w:hideMark/>
          </w:tcPr>
          <w:p w14:paraId="15725FF0"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$9,320,777</w:t>
            </w:r>
          </w:p>
        </w:tc>
      </w:tr>
    </w:tbl>
    <w:p w14:paraId="5CF14513" w14:textId="77777777" w:rsidR="008253DD" w:rsidRPr="00CB40F4" w:rsidRDefault="008253DD" w:rsidP="008253DD">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9360"/>
      </w:tblGrid>
      <w:tr w:rsidR="008253DD" w:rsidRPr="00CB40F4" w14:paraId="4B7BC7A4" w14:textId="77777777" w:rsidTr="00650B2D">
        <w:tc>
          <w:tcPr>
            <w:tcW w:w="10070" w:type="dxa"/>
            <w:tcBorders>
              <w:top w:val="nil"/>
              <w:left w:val="nil"/>
              <w:bottom w:val="single" w:sz="4" w:space="0" w:color="808080" w:themeColor="background1" w:themeShade="80"/>
              <w:right w:val="nil"/>
            </w:tcBorders>
          </w:tcPr>
          <w:p w14:paraId="2EF3D7E6" w14:textId="4594BBB0"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Hours are calculated by multiplying hours per labor category from Table 4-A by the average number of applications for that division from Table 2.</w:t>
            </w:r>
            <w:r w:rsidR="007841AD" w:rsidRPr="00CB40F4">
              <w:rPr>
                <w:rFonts w:asciiTheme="majorBidi" w:hAnsiTheme="majorBidi" w:cstheme="majorBidi"/>
                <w:sz w:val="21"/>
                <w:szCs w:val="21"/>
              </w:rPr>
              <w:t xml:space="preserve"> </w:t>
            </w:r>
            <w:r w:rsidRPr="00CB40F4">
              <w:rPr>
                <w:rFonts w:asciiTheme="majorBidi" w:hAnsiTheme="majorBidi" w:cstheme="majorBidi"/>
                <w:sz w:val="21"/>
                <w:szCs w:val="21"/>
              </w:rPr>
              <w:t xml:space="preserve">For example, 18,029 management hours for AD is calculated as 8 management hours per “Type B” application </w:t>
            </w:r>
            <w:r w:rsidR="00650B2D" w:rsidRPr="00CB40F4">
              <w:rPr>
                <w:rFonts w:asciiTheme="majorBidi" w:hAnsiTheme="majorBidi" w:cstheme="majorBidi"/>
                <w:sz w:val="21"/>
                <w:szCs w:val="21"/>
              </w:rPr>
              <w:t xml:space="preserve">multiplied by </w:t>
            </w:r>
            <w:r w:rsidRPr="00CB40F4">
              <w:rPr>
                <w:rFonts w:asciiTheme="majorBidi" w:hAnsiTheme="majorBidi" w:cstheme="majorBidi"/>
                <w:sz w:val="21"/>
                <w:szCs w:val="21"/>
              </w:rPr>
              <w:t xml:space="preserve">2,254 “Type B” applications in AD per year. </w:t>
            </w:r>
          </w:p>
          <w:p w14:paraId="5BAE5EE8"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2 </w:t>
            </w:r>
            <w:r w:rsidRPr="00CB40F4">
              <w:rPr>
                <w:rFonts w:asciiTheme="majorBidi" w:hAnsiTheme="majorBidi" w:cstheme="majorBidi"/>
                <w:sz w:val="21"/>
                <w:szCs w:val="21"/>
              </w:rPr>
              <w:t>Hours and wages used to calculate the totals for each labor category are from Table 4-A.</w:t>
            </w:r>
          </w:p>
        </w:tc>
      </w:tr>
    </w:tbl>
    <w:p w14:paraId="66A6C4DA" w14:textId="77777777" w:rsidR="008253DD" w:rsidRPr="00CB40F4" w:rsidRDefault="008253DD" w:rsidP="008253DD">
      <w:pPr>
        <w:rPr>
          <w:rFonts w:asciiTheme="majorBidi" w:hAnsiTheme="majorBidi" w:cstheme="majorBidi"/>
          <w:b/>
          <w:sz w:val="22"/>
          <w:szCs w:val="22"/>
        </w:rPr>
      </w:pPr>
    </w:p>
    <w:p w14:paraId="26DADD14" w14:textId="77777777" w:rsidR="008253DD" w:rsidRPr="00CB40F4" w:rsidRDefault="008253DD" w:rsidP="008253DD">
      <w:pPr>
        <w:rPr>
          <w:rFonts w:asciiTheme="majorBidi" w:hAnsiTheme="majorBidi" w:cstheme="majorBidi"/>
          <w:b/>
          <w:sz w:val="22"/>
          <w:szCs w:val="22"/>
        </w:rPr>
      </w:pPr>
    </w:p>
    <w:p w14:paraId="356001BD" w14:textId="75F13729" w:rsidR="008253DD" w:rsidRPr="00CB40F4" w:rsidRDefault="008253DD" w:rsidP="008253DD">
      <w:pPr>
        <w:ind w:firstLine="720"/>
        <w:rPr>
          <w:rFonts w:asciiTheme="majorBidi" w:hAnsiTheme="majorBidi" w:cstheme="majorBidi"/>
        </w:rPr>
      </w:pPr>
      <w:r w:rsidRPr="00CB40F4">
        <w:rPr>
          <w:rFonts w:asciiTheme="majorBidi" w:hAnsiTheme="majorBidi" w:cstheme="majorBidi"/>
        </w:rPr>
        <w:lastRenderedPageBreak/>
        <w:t>Table 5-A presents estimates for burden hours and costs per “Type C” reduced risk application.</w:t>
      </w:r>
      <w:r w:rsidR="007841AD" w:rsidRPr="00CB40F4">
        <w:rPr>
          <w:rFonts w:asciiTheme="majorBidi" w:hAnsiTheme="majorBidi" w:cstheme="majorBidi"/>
        </w:rPr>
        <w:t xml:space="preserve"> </w:t>
      </w:r>
      <w:r w:rsidRPr="00CB40F4">
        <w:rPr>
          <w:rFonts w:asciiTheme="majorBidi" w:hAnsiTheme="majorBidi" w:cstheme="majorBidi"/>
        </w:rPr>
        <w:t>Each “Type C” application is estimated to require 102 management hours, 448 technical hours, and 96 clerical hours for a total of 646 hours per application at a cost of $49 thousand.</w:t>
      </w:r>
    </w:p>
    <w:p w14:paraId="3F2F6F59" w14:textId="77777777" w:rsidR="008253DD" w:rsidRDefault="008253DD" w:rsidP="008253DD">
      <w:pPr>
        <w:rPr>
          <w:rFonts w:asciiTheme="majorBidi" w:hAnsiTheme="majorBidi" w:cstheme="majorBidi"/>
          <w:b/>
          <w:sz w:val="22"/>
          <w:szCs w:val="22"/>
        </w:rPr>
      </w:pPr>
    </w:p>
    <w:p w14:paraId="09C52E54" w14:textId="77777777" w:rsidR="00F204D4" w:rsidRDefault="00F204D4" w:rsidP="008253DD">
      <w:pPr>
        <w:rPr>
          <w:rFonts w:asciiTheme="majorBidi" w:hAnsiTheme="majorBidi" w:cstheme="majorBidi"/>
          <w:b/>
          <w:sz w:val="22"/>
          <w:szCs w:val="22"/>
        </w:rPr>
      </w:pPr>
    </w:p>
    <w:p w14:paraId="73E5126C" w14:textId="77777777" w:rsidR="00062CB6" w:rsidRPr="00CB40F4" w:rsidRDefault="00062CB6" w:rsidP="008253DD">
      <w:pPr>
        <w:rPr>
          <w:rFonts w:asciiTheme="majorBidi" w:hAnsiTheme="majorBidi" w:cstheme="majorBidi"/>
          <w:b/>
          <w:sz w:val="22"/>
          <w:szCs w:val="22"/>
        </w:rPr>
      </w:pPr>
    </w:p>
    <w:p w14:paraId="19CF924F" w14:textId="77777777" w:rsidR="008253DD" w:rsidRPr="00CB40F4" w:rsidRDefault="008253DD" w:rsidP="008253DD">
      <w:pPr>
        <w:rPr>
          <w:rFonts w:asciiTheme="majorBidi" w:hAnsiTheme="majorBidi" w:cstheme="majorBidi"/>
          <w:sz w:val="21"/>
          <w:szCs w:val="21"/>
        </w:rPr>
      </w:pPr>
    </w:p>
    <w:p w14:paraId="4B2CA688" w14:textId="422C28F8" w:rsidR="008253DD" w:rsidRPr="00CB40F4" w:rsidRDefault="008253DD" w:rsidP="008253DD">
      <w:pPr>
        <w:keepNext/>
        <w:keepLines/>
        <w:rPr>
          <w:rFonts w:asciiTheme="majorBidi" w:hAnsiTheme="majorBidi" w:cstheme="majorBidi"/>
          <w:b/>
          <w:sz w:val="22"/>
          <w:szCs w:val="22"/>
        </w:rPr>
      </w:pPr>
      <w:r w:rsidRPr="00CB40F4">
        <w:rPr>
          <w:rFonts w:asciiTheme="majorBidi" w:hAnsiTheme="majorBidi" w:cstheme="majorBidi"/>
          <w:b/>
          <w:sz w:val="22"/>
          <w:szCs w:val="22"/>
        </w:rPr>
        <w:t xml:space="preserve">Table 5-A: Estimated Burden/Cost per “Type C” Reduced Risk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sz w:val="22"/>
          <w:szCs w:val="22"/>
        </w:rPr>
        <w:t xml:space="preserve">Application </w:t>
      </w:r>
    </w:p>
    <w:tbl>
      <w:tblPr>
        <w:tblW w:w="5000" w:type="pct"/>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701"/>
        <w:gridCol w:w="1362"/>
        <w:gridCol w:w="1362"/>
        <w:gridCol w:w="1362"/>
        <w:gridCol w:w="1181"/>
        <w:gridCol w:w="1362"/>
      </w:tblGrid>
      <w:tr w:rsidR="008253DD" w:rsidRPr="00CB40F4" w14:paraId="1B657FD8" w14:textId="77777777" w:rsidTr="007D140D">
        <w:trPr>
          <w:trHeight w:val="330"/>
        </w:trPr>
        <w:tc>
          <w:tcPr>
            <w:tcW w:w="1447" w:type="pct"/>
            <w:vMerge w:val="restart"/>
            <w:shd w:val="clear" w:color="auto" w:fill="auto"/>
            <w:vAlign w:val="center"/>
          </w:tcPr>
          <w:p w14:paraId="0AFD9457"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Collection Activities,</w:t>
            </w:r>
            <w:r w:rsidRPr="00CB40F4">
              <w:rPr>
                <w:rFonts w:asciiTheme="majorBidi" w:hAnsiTheme="majorBidi" w:cstheme="majorBidi"/>
                <w:b/>
                <w:bCs/>
                <w:sz w:val="21"/>
                <w:szCs w:val="21"/>
              </w:rPr>
              <w:br/>
              <w:t>Type C</w:t>
            </w:r>
          </w:p>
        </w:tc>
        <w:tc>
          <w:tcPr>
            <w:tcW w:w="2190" w:type="pct"/>
            <w:gridSpan w:val="3"/>
            <w:shd w:val="clear" w:color="auto" w:fill="auto"/>
            <w:vAlign w:val="center"/>
          </w:tcPr>
          <w:p w14:paraId="3D30746B"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Burden Hours</w:t>
            </w:r>
          </w:p>
        </w:tc>
        <w:tc>
          <w:tcPr>
            <w:tcW w:w="1363" w:type="pct"/>
            <w:gridSpan w:val="2"/>
            <w:shd w:val="clear" w:color="auto" w:fill="auto"/>
            <w:vAlign w:val="center"/>
          </w:tcPr>
          <w:p w14:paraId="06EF0A29"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r>
      <w:tr w:rsidR="008253DD" w:rsidRPr="00CB40F4" w14:paraId="37FED796" w14:textId="77777777" w:rsidTr="007D140D">
        <w:trPr>
          <w:trHeight w:val="315"/>
        </w:trPr>
        <w:tc>
          <w:tcPr>
            <w:tcW w:w="1447" w:type="pct"/>
            <w:vMerge/>
            <w:vAlign w:val="center"/>
          </w:tcPr>
          <w:p w14:paraId="1FE636BF" w14:textId="77777777" w:rsidR="008253DD" w:rsidRPr="00CB40F4" w:rsidRDefault="008253DD" w:rsidP="00650B2D">
            <w:pPr>
              <w:rPr>
                <w:rFonts w:asciiTheme="majorBidi" w:hAnsiTheme="majorBidi" w:cstheme="majorBidi"/>
                <w:b/>
                <w:bCs/>
                <w:sz w:val="21"/>
                <w:szCs w:val="21"/>
              </w:rPr>
            </w:pPr>
          </w:p>
        </w:tc>
        <w:tc>
          <w:tcPr>
            <w:tcW w:w="730" w:type="pct"/>
            <w:shd w:val="clear" w:color="auto" w:fill="auto"/>
            <w:vAlign w:val="center"/>
          </w:tcPr>
          <w:p w14:paraId="5DCEF67B" w14:textId="283A77DC" w:rsidR="008253DD" w:rsidRPr="00CB40F4" w:rsidRDefault="00CB40F4" w:rsidP="00650B2D">
            <w:pPr>
              <w:jc w:val="center"/>
              <w:rPr>
                <w:rFonts w:asciiTheme="majorBidi" w:hAnsiTheme="majorBidi" w:cstheme="majorBidi"/>
                <w:sz w:val="21"/>
                <w:szCs w:val="21"/>
              </w:rPr>
            </w:pPr>
            <w:r w:rsidRPr="00CB40F4">
              <w:rPr>
                <w:rFonts w:asciiTheme="majorBidi" w:hAnsiTheme="majorBidi" w:cstheme="majorBidi"/>
                <w:sz w:val="22"/>
                <w:szCs w:val="22"/>
              </w:rPr>
              <w:t>Mgmt.</w:t>
            </w:r>
          </w:p>
        </w:tc>
        <w:tc>
          <w:tcPr>
            <w:tcW w:w="730" w:type="pct"/>
            <w:shd w:val="clear" w:color="auto" w:fill="auto"/>
            <w:vAlign w:val="center"/>
          </w:tcPr>
          <w:p w14:paraId="67D2B641"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2"/>
                <w:szCs w:val="22"/>
              </w:rPr>
              <w:t>Technical</w:t>
            </w:r>
          </w:p>
        </w:tc>
        <w:tc>
          <w:tcPr>
            <w:tcW w:w="730" w:type="pct"/>
            <w:shd w:val="clear" w:color="auto" w:fill="auto"/>
            <w:vAlign w:val="center"/>
          </w:tcPr>
          <w:p w14:paraId="19A6D932"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2"/>
                <w:szCs w:val="22"/>
              </w:rPr>
              <w:t>Clerical</w:t>
            </w:r>
          </w:p>
        </w:tc>
        <w:tc>
          <w:tcPr>
            <w:tcW w:w="633" w:type="pct"/>
            <w:vMerge w:val="restart"/>
            <w:shd w:val="clear" w:color="auto" w:fill="auto"/>
            <w:vAlign w:val="center"/>
          </w:tcPr>
          <w:p w14:paraId="30E71720"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Hours</w:t>
            </w:r>
          </w:p>
        </w:tc>
        <w:tc>
          <w:tcPr>
            <w:tcW w:w="730" w:type="pct"/>
            <w:vMerge w:val="restart"/>
            <w:shd w:val="clear" w:color="auto" w:fill="auto"/>
            <w:vAlign w:val="center"/>
          </w:tcPr>
          <w:p w14:paraId="2C6EF6CD" w14:textId="77777777" w:rsidR="008253DD" w:rsidRPr="00CB40F4" w:rsidRDefault="008253DD" w:rsidP="00650B2D">
            <w:pPr>
              <w:jc w:val="center"/>
              <w:rPr>
                <w:rFonts w:asciiTheme="majorBidi" w:hAnsiTheme="majorBidi" w:cstheme="majorBidi"/>
                <w:sz w:val="21"/>
                <w:szCs w:val="21"/>
              </w:rPr>
            </w:pPr>
            <w:r w:rsidRPr="00CB40F4">
              <w:rPr>
                <w:rFonts w:asciiTheme="majorBidi" w:hAnsiTheme="majorBidi" w:cstheme="majorBidi"/>
                <w:sz w:val="21"/>
                <w:szCs w:val="21"/>
              </w:rPr>
              <w:t>Costs</w:t>
            </w:r>
          </w:p>
        </w:tc>
      </w:tr>
      <w:tr w:rsidR="009C2537" w:rsidRPr="00CB40F4" w14:paraId="53CDAB58" w14:textId="77777777" w:rsidTr="009C2537">
        <w:trPr>
          <w:trHeight w:val="287"/>
        </w:trPr>
        <w:tc>
          <w:tcPr>
            <w:tcW w:w="1447" w:type="pct"/>
            <w:vMerge/>
            <w:vAlign w:val="center"/>
          </w:tcPr>
          <w:p w14:paraId="46A16969" w14:textId="77777777" w:rsidR="009C2537" w:rsidRPr="00CB40F4" w:rsidRDefault="009C2537" w:rsidP="00650B2D">
            <w:pPr>
              <w:rPr>
                <w:rFonts w:asciiTheme="majorBidi" w:hAnsiTheme="majorBidi" w:cstheme="majorBidi"/>
                <w:b/>
                <w:bCs/>
                <w:sz w:val="21"/>
                <w:szCs w:val="21"/>
              </w:rPr>
            </w:pPr>
          </w:p>
        </w:tc>
        <w:tc>
          <w:tcPr>
            <w:tcW w:w="730" w:type="pct"/>
            <w:shd w:val="clear" w:color="auto" w:fill="auto"/>
            <w:vAlign w:val="center"/>
          </w:tcPr>
          <w:p w14:paraId="3955CBC5" w14:textId="04EE219E"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$121.72/</w:t>
            </w:r>
            <w:proofErr w:type="spellStart"/>
            <w:r w:rsidRPr="00CB40F4">
              <w:rPr>
                <w:rFonts w:asciiTheme="majorBidi" w:hAnsiTheme="majorBidi" w:cstheme="majorBidi"/>
                <w:sz w:val="22"/>
                <w:szCs w:val="22"/>
              </w:rPr>
              <w:t>hr</w:t>
            </w:r>
            <w:proofErr w:type="spellEnd"/>
          </w:p>
        </w:tc>
        <w:tc>
          <w:tcPr>
            <w:tcW w:w="730" w:type="pct"/>
            <w:shd w:val="clear" w:color="auto" w:fill="auto"/>
            <w:vAlign w:val="center"/>
          </w:tcPr>
          <w:p w14:paraId="2B770A40" w14:textId="3E8C60F2"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$72.01/</w:t>
            </w:r>
            <w:proofErr w:type="spellStart"/>
            <w:r w:rsidRPr="00CB40F4">
              <w:rPr>
                <w:rFonts w:asciiTheme="majorBidi" w:hAnsiTheme="majorBidi" w:cstheme="majorBidi"/>
                <w:sz w:val="22"/>
                <w:szCs w:val="22"/>
              </w:rPr>
              <w:t>hr</w:t>
            </w:r>
            <w:proofErr w:type="spellEnd"/>
          </w:p>
        </w:tc>
        <w:tc>
          <w:tcPr>
            <w:tcW w:w="730" w:type="pct"/>
            <w:shd w:val="clear" w:color="auto" w:fill="auto"/>
            <w:vAlign w:val="center"/>
          </w:tcPr>
          <w:p w14:paraId="10D1103F" w14:textId="2A7006BF" w:rsidR="009C2537" w:rsidRPr="00CB40F4" w:rsidRDefault="009C2537" w:rsidP="00650B2D">
            <w:pPr>
              <w:jc w:val="center"/>
              <w:rPr>
                <w:rFonts w:asciiTheme="majorBidi" w:hAnsiTheme="majorBidi" w:cstheme="majorBidi"/>
                <w:sz w:val="21"/>
                <w:szCs w:val="21"/>
              </w:rPr>
            </w:pPr>
            <w:r w:rsidRPr="00CB40F4">
              <w:rPr>
                <w:rFonts w:asciiTheme="majorBidi" w:hAnsiTheme="majorBidi" w:cstheme="majorBidi"/>
                <w:sz w:val="22"/>
                <w:szCs w:val="22"/>
              </w:rPr>
              <w:t>$40.93/</w:t>
            </w:r>
            <w:proofErr w:type="spellStart"/>
            <w:r w:rsidRPr="00CB40F4">
              <w:rPr>
                <w:rFonts w:asciiTheme="majorBidi" w:hAnsiTheme="majorBidi" w:cstheme="majorBidi"/>
                <w:sz w:val="22"/>
                <w:szCs w:val="22"/>
              </w:rPr>
              <w:t>hr</w:t>
            </w:r>
            <w:proofErr w:type="spellEnd"/>
          </w:p>
        </w:tc>
        <w:tc>
          <w:tcPr>
            <w:tcW w:w="633" w:type="pct"/>
            <w:vMerge/>
            <w:vAlign w:val="center"/>
          </w:tcPr>
          <w:p w14:paraId="3F68EFF1" w14:textId="77777777" w:rsidR="009C2537" w:rsidRPr="00CB40F4" w:rsidRDefault="009C2537" w:rsidP="00650B2D">
            <w:pPr>
              <w:rPr>
                <w:rFonts w:asciiTheme="majorBidi" w:hAnsiTheme="majorBidi" w:cstheme="majorBidi"/>
                <w:sz w:val="21"/>
                <w:szCs w:val="21"/>
              </w:rPr>
            </w:pPr>
          </w:p>
        </w:tc>
        <w:tc>
          <w:tcPr>
            <w:tcW w:w="730" w:type="pct"/>
            <w:vMerge/>
            <w:vAlign w:val="center"/>
          </w:tcPr>
          <w:p w14:paraId="37C9CD17" w14:textId="77777777" w:rsidR="009C2537" w:rsidRPr="00CB40F4" w:rsidRDefault="009C2537" w:rsidP="00650B2D">
            <w:pPr>
              <w:rPr>
                <w:rFonts w:asciiTheme="majorBidi" w:hAnsiTheme="majorBidi" w:cstheme="majorBidi"/>
                <w:sz w:val="21"/>
                <w:szCs w:val="21"/>
              </w:rPr>
            </w:pPr>
          </w:p>
        </w:tc>
      </w:tr>
      <w:tr w:rsidR="008253DD" w:rsidRPr="00CB40F4" w14:paraId="70D31612" w14:textId="77777777" w:rsidTr="007D140D">
        <w:trPr>
          <w:trHeight w:val="315"/>
        </w:trPr>
        <w:tc>
          <w:tcPr>
            <w:tcW w:w="1447" w:type="pct"/>
            <w:shd w:val="clear" w:color="auto" w:fill="auto"/>
            <w:vAlign w:val="center"/>
          </w:tcPr>
          <w:p w14:paraId="080648B3"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Read Instructions</w:t>
            </w:r>
          </w:p>
        </w:tc>
        <w:tc>
          <w:tcPr>
            <w:tcW w:w="730" w:type="pct"/>
            <w:shd w:val="clear" w:color="auto" w:fill="auto"/>
            <w:vAlign w:val="center"/>
          </w:tcPr>
          <w:p w14:paraId="741F9DF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22</w:t>
            </w:r>
          </w:p>
        </w:tc>
        <w:tc>
          <w:tcPr>
            <w:tcW w:w="730" w:type="pct"/>
            <w:shd w:val="clear" w:color="auto" w:fill="auto"/>
            <w:vAlign w:val="center"/>
          </w:tcPr>
          <w:p w14:paraId="7BFB191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6AFF636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633" w:type="pct"/>
            <w:shd w:val="clear" w:color="auto" w:fill="auto"/>
            <w:vAlign w:val="center"/>
          </w:tcPr>
          <w:p w14:paraId="62950F4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22</w:t>
            </w:r>
          </w:p>
        </w:tc>
        <w:tc>
          <w:tcPr>
            <w:tcW w:w="730" w:type="pct"/>
            <w:shd w:val="clear" w:color="auto" w:fill="auto"/>
            <w:vAlign w:val="center"/>
          </w:tcPr>
          <w:p w14:paraId="0B770A4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$2,678</w:t>
            </w:r>
          </w:p>
        </w:tc>
      </w:tr>
      <w:tr w:rsidR="008253DD" w:rsidRPr="00CB40F4" w14:paraId="615B860E" w14:textId="77777777" w:rsidTr="007D140D">
        <w:trPr>
          <w:trHeight w:val="315"/>
        </w:trPr>
        <w:tc>
          <w:tcPr>
            <w:tcW w:w="1447" w:type="pct"/>
            <w:shd w:val="clear" w:color="auto" w:fill="auto"/>
            <w:vAlign w:val="center"/>
          </w:tcPr>
          <w:p w14:paraId="6D02922B"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Gather Information</w:t>
            </w:r>
          </w:p>
        </w:tc>
        <w:tc>
          <w:tcPr>
            <w:tcW w:w="730" w:type="pct"/>
            <w:shd w:val="clear" w:color="auto" w:fill="auto"/>
            <w:vAlign w:val="center"/>
          </w:tcPr>
          <w:p w14:paraId="16AE6F8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3CF9B49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368</w:t>
            </w:r>
          </w:p>
        </w:tc>
        <w:tc>
          <w:tcPr>
            <w:tcW w:w="730" w:type="pct"/>
            <w:shd w:val="clear" w:color="auto" w:fill="auto"/>
            <w:vAlign w:val="center"/>
          </w:tcPr>
          <w:p w14:paraId="5292965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633" w:type="pct"/>
            <w:shd w:val="clear" w:color="auto" w:fill="auto"/>
            <w:vAlign w:val="center"/>
          </w:tcPr>
          <w:p w14:paraId="5C9E875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368</w:t>
            </w:r>
          </w:p>
        </w:tc>
        <w:tc>
          <w:tcPr>
            <w:tcW w:w="730" w:type="pct"/>
            <w:shd w:val="clear" w:color="auto" w:fill="auto"/>
            <w:vAlign w:val="center"/>
          </w:tcPr>
          <w:p w14:paraId="48BBA2A6"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$26,500</w:t>
            </w:r>
          </w:p>
        </w:tc>
      </w:tr>
      <w:tr w:rsidR="008253DD" w:rsidRPr="00CB40F4" w14:paraId="7927C1E5" w14:textId="77777777" w:rsidTr="007D140D">
        <w:trPr>
          <w:trHeight w:val="315"/>
        </w:trPr>
        <w:tc>
          <w:tcPr>
            <w:tcW w:w="1447" w:type="pct"/>
            <w:shd w:val="clear" w:color="auto" w:fill="auto"/>
            <w:vAlign w:val="center"/>
          </w:tcPr>
          <w:p w14:paraId="0F32B96E"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Process, Compile, and Review Info</w:t>
            </w:r>
          </w:p>
        </w:tc>
        <w:tc>
          <w:tcPr>
            <w:tcW w:w="730" w:type="pct"/>
            <w:shd w:val="clear" w:color="auto" w:fill="auto"/>
            <w:vAlign w:val="center"/>
          </w:tcPr>
          <w:p w14:paraId="28006B7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80</w:t>
            </w:r>
          </w:p>
        </w:tc>
        <w:tc>
          <w:tcPr>
            <w:tcW w:w="730" w:type="pct"/>
            <w:shd w:val="clear" w:color="auto" w:fill="auto"/>
            <w:vAlign w:val="center"/>
          </w:tcPr>
          <w:p w14:paraId="3328223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80</w:t>
            </w:r>
          </w:p>
        </w:tc>
        <w:tc>
          <w:tcPr>
            <w:tcW w:w="730" w:type="pct"/>
            <w:shd w:val="clear" w:color="auto" w:fill="auto"/>
            <w:vAlign w:val="center"/>
          </w:tcPr>
          <w:p w14:paraId="25B4FA8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633" w:type="pct"/>
            <w:shd w:val="clear" w:color="auto" w:fill="auto"/>
            <w:vAlign w:val="center"/>
          </w:tcPr>
          <w:p w14:paraId="2AFC24D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160</w:t>
            </w:r>
          </w:p>
        </w:tc>
        <w:tc>
          <w:tcPr>
            <w:tcW w:w="730" w:type="pct"/>
            <w:shd w:val="clear" w:color="auto" w:fill="auto"/>
            <w:vAlign w:val="center"/>
          </w:tcPr>
          <w:p w14:paraId="261E72D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$15,498</w:t>
            </w:r>
          </w:p>
        </w:tc>
      </w:tr>
      <w:tr w:rsidR="008253DD" w:rsidRPr="00CB40F4" w14:paraId="4976B181" w14:textId="77777777" w:rsidTr="007D140D">
        <w:trPr>
          <w:trHeight w:val="315"/>
        </w:trPr>
        <w:tc>
          <w:tcPr>
            <w:tcW w:w="1447" w:type="pct"/>
            <w:shd w:val="clear" w:color="auto" w:fill="auto"/>
            <w:vAlign w:val="center"/>
          </w:tcPr>
          <w:p w14:paraId="054665B5"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Record and Report Info</w:t>
            </w:r>
          </w:p>
        </w:tc>
        <w:tc>
          <w:tcPr>
            <w:tcW w:w="730" w:type="pct"/>
            <w:shd w:val="clear" w:color="auto" w:fill="auto"/>
            <w:vAlign w:val="center"/>
          </w:tcPr>
          <w:p w14:paraId="78B8797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5817AFB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1FBD5E1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72</w:t>
            </w:r>
          </w:p>
        </w:tc>
        <w:tc>
          <w:tcPr>
            <w:tcW w:w="633" w:type="pct"/>
            <w:shd w:val="clear" w:color="auto" w:fill="auto"/>
            <w:vAlign w:val="center"/>
          </w:tcPr>
          <w:p w14:paraId="3ECF8B4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72</w:t>
            </w:r>
          </w:p>
        </w:tc>
        <w:tc>
          <w:tcPr>
            <w:tcW w:w="730" w:type="pct"/>
            <w:shd w:val="clear" w:color="auto" w:fill="auto"/>
            <w:vAlign w:val="center"/>
          </w:tcPr>
          <w:p w14:paraId="3B1FAE8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$2,947</w:t>
            </w:r>
          </w:p>
        </w:tc>
      </w:tr>
      <w:tr w:rsidR="008253DD" w:rsidRPr="00CB40F4" w14:paraId="217D5A5B" w14:textId="77777777" w:rsidTr="007D140D">
        <w:trPr>
          <w:trHeight w:val="330"/>
        </w:trPr>
        <w:tc>
          <w:tcPr>
            <w:tcW w:w="1447" w:type="pct"/>
            <w:shd w:val="clear" w:color="auto" w:fill="auto"/>
            <w:vAlign w:val="center"/>
          </w:tcPr>
          <w:p w14:paraId="69847A80"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rPr>
              <w:t>Store, File, and Maintain Info</w:t>
            </w:r>
          </w:p>
        </w:tc>
        <w:tc>
          <w:tcPr>
            <w:tcW w:w="730" w:type="pct"/>
            <w:shd w:val="clear" w:color="auto" w:fill="auto"/>
            <w:vAlign w:val="center"/>
          </w:tcPr>
          <w:p w14:paraId="1A5C7C2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6912F2F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w:t>
            </w:r>
          </w:p>
        </w:tc>
        <w:tc>
          <w:tcPr>
            <w:tcW w:w="730" w:type="pct"/>
            <w:shd w:val="clear" w:color="auto" w:fill="auto"/>
            <w:vAlign w:val="center"/>
          </w:tcPr>
          <w:p w14:paraId="16FF42E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24</w:t>
            </w:r>
          </w:p>
        </w:tc>
        <w:tc>
          <w:tcPr>
            <w:tcW w:w="633" w:type="pct"/>
            <w:shd w:val="clear" w:color="auto" w:fill="auto"/>
            <w:vAlign w:val="center"/>
          </w:tcPr>
          <w:p w14:paraId="59B542B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24</w:t>
            </w:r>
          </w:p>
        </w:tc>
        <w:tc>
          <w:tcPr>
            <w:tcW w:w="730" w:type="pct"/>
            <w:shd w:val="clear" w:color="auto" w:fill="auto"/>
            <w:vAlign w:val="center"/>
          </w:tcPr>
          <w:p w14:paraId="19CE7C2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$982</w:t>
            </w:r>
          </w:p>
        </w:tc>
      </w:tr>
      <w:tr w:rsidR="008253DD" w:rsidRPr="00CB40F4" w14:paraId="4272FDD8" w14:textId="77777777" w:rsidTr="00062CB6">
        <w:trPr>
          <w:trHeight w:val="330"/>
        </w:trPr>
        <w:tc>
          <w:tcPr>
            <w:tcW w:w="1447" w:type="pct"/>
            <w:tcBorders>
              <w:bottom w:val="double" w:sz="4" w:space="0" w:color="808080" w:themeColor="background1" w:themeShade="80"/>
            </w:tcBorders>
            <w:shd w:val="clear" w:color="auto" w:fill="auto"/>
            <w:vAlign w:val="center"/>
          </w:tcPr>
          <w:p w14:paraId="61001066" w14:textId="77777777" w:rsidR="008253DD" w:rsidRPr="00CB40F4" w:rsidRDefault="008253DD" w:rsidP="00650B2D">
            <w:pPr>
              <w:jc w:val="center"/>
              <w:rPr>
                <w:rFonts w:asciiTheme="majorBidi" w:hAnsiTheme="majorBidi" w:cstheme="majorBidi"/>
                <w:b/>
                <w:bCs/>
                <w:sz w:val="21"/>
                <w:szCs w:val="21"/>
              </w:rPr>
            </w:pPr>
            <w:r w:rsidRPr="00CB40F4">
              <w:rPr>
                <w:rFonts w:asciiTheme="majorBidi" w:hAnsiTheme="majorBidi" w:cstheme="majorBidi"/>
                <w:b/>
                <w:bCs/>
                <w:sz w:val="21"/>
                <w:szCs w:val="21"/>
              </w:rPr>
              <w:t>TOTAL</w:t>
            </w:r>
          </w:p>
        </w:tc>
        <w:tc>
          <w:tcPr>
            <w:tcW w:w="730" w:type="pct"/>
            <w:tcBorders>
              <w:bottom w:val="double" w:sz="4" w:space="0" w:color="808080" w:themeColor="background1" w:themeShade="80"/>
            </w:tcBorders>
            <w:shd w:val="clear" w:color="auto" w:fill="auto"/>
            <w:vAlign w:val="center"/>
          </w:tcPr>
          <w:p w14:paraId="5A8213D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102</w:t>
            </w:r>
          </w:p>
        </w:tc>
        <w:tc>
          <w:tcPr>
            <w:tcW w:w="730" w:type="pct"/>
            <w:tcBorders>
              <w:bottom w:val="double" w:sz="4" w:space="0" w:color="808080" w:themeColor="background1" w:themeShade="80"/>
            </w:tcBorders>
            <w:shd w:val="clear" w:color="auto" w:fill="auto"/>
            <w:vAlign w:val="center"/>
          </w:tcPr>
          <w:p w14:paraId="4B40D3F6"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448</w:t>
            </w:r>
          </w:p>
        </w:tc>
        <w:tc>
          <w:tcPr>
            <w:tcW w:w="730" w:type="pct"/>
            <w:tcBorders>
              <w:bottom w:val="double" w:sz="4" w:space="0" w:color="808080" w:themeColor="background1" w:themeShade="80"/>
            </w:tcBorders>
            <w:shd w:val="clear" w:color="auto" w:fill="auto"/>
            <w:vAlign w:val="center"/>
          </w:tcPr>
          <w:p w14:paraId="1110539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96</w:t>
            </w:r>
          </w:p>
        </w:tc>
        <w:tc>
          <w:tcPr>
            <w:tcW w:w="633" w:type="pct"/>
            <w:tcBorders>
              <w:bottom w:val="double" w:sz="4" w:space="0" w:color="808080" w:themeColor="background1" w:themeShade="80"/>
            </w:tcBorders>
            <w:shd w:val="clear" w:color="auto" w:fill="auto"/>
            <w:vAlign w:val="center"/>
          </w:tcPr>
          <w:p w14:paraId="3A62BB4A"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646</w:t>
            </w:r>
          </w:p>
        </w:tc>
        <w:tc>
          <w:tcPr>
            <w:tcW w:w="730" w:type="pct"/>
            <w:tcBorders>
              <w:bottom w:val="double" w:sz="4" w:space="0" w:color="808080" w:themeColor="background1" w:themeShade="80"/>
            </w:tcBorders>
            <w:shd w:val="clear" w:color="auto" w:fill="auto"/>
            <w:vAlign w:val="center"/>
          </w:tcPr>
          <w:p w14:paraId="78B7E903"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$48,605</w:t>
            </w:r>
          </w:p>
        </w:tc>
      </w:tr>
      <w:tr w:rsidR="00062CB6" w:rsidRPr="00CB40F4" w14:paraId="70D2DAEB" w14:textId="77777777" w:rsidTr="00062CB6">
        <w:trPr>
          <w:trHeight w:val="330"/>
        </w:trPr>
        <w:tc>
          <w:tcPr>
            <w:tcW w:w="5000" w:type="pct"/>
            <w:gridSpan w:val="6"/>
            <w:tcBorders>
              <w:top w:val="double" w:sz="4" w:space="0" w:color="808080" w:themeColor="background1" w:themeShade="80"/>
              <w:left w:val="nil"/>
              <w:bottom w:val="nil"/>
              <w:right w:val="nil"/>
            </w:tcBorders>
            <w:shd w:val="clear" w:color="auto" w:fill="auto"/>
            <w:vAlign w:val="center"/>
          </w:tcPr>
          <w:p w14:paraId="6971BEB7" w14:textId="77777777" w:rsidR="00062CB6" w:rsidRDefault="00062CB6" w:rsidP="00062CB6">
            <w:pPr>
              <w:rPr>
                <w:rFonts w:asciiTheme="majorBidi" w:hAnsiTheme="majorBidi" w:cstheme="majorBidi"/>
              </w:rPr>
            </w:pPr>
          </w:p>
          <w:p w14:paraId="4BAE6C17" w14:textId="77777777" w:rsidR="00062CB6" w:rsidRDefault="00062CB6" w:rsidP="00062CB6">
            <w:pPr>
              <w:rPr>
                <w:rFonts w:asciiTheme="majorBidi" w:hAnsiTheme="majorBidi" w:cstheme="majorBidi"/>
              </w:rPr>
            </w:pPr>
          </w:p>
          <w:p w14:paraId="278E8EBA" w14:textId="77777777" w:rsidR="00062CB6" w:rsidRDefault="00062CB6" w:rsidP="00062CB6">
            <w:pPr>
              <w:rPr>
                <w:rFonts w:asciiTheme="majorBidi" w:hAnsiTheme="majorBidi" w:cstheme="majorBidi"/>
              </w:rPr>
            </w:pPr>
            <w:r w:rsidRPr="00CB40F4">
              <w:rPr>
                <w:rFonts w:asciiTheme="majorBidi" w:hAnsiTheme="majorBidi" w:cstheme="majorBidi"/>
              </w:rPr>
              <w:t>Table 5-B presents the total annual burden hours and costs for “Type C” reduced risk applications. Registrants spend a total of 5,168 burden hours at a cost of $389 thousand to prepare and submit “Type C” applications to the Registration Division. The Antimicrobial Division and the Biopesticides and Pollution Prevention Division do not receive “Type C” applications.</w:t>
            </w:r>
          </w:p>
          <w:p w14:paraId="3856B10C" w14:textId="7954069C" w:rsidR="00062CB6" w:rsidRPr="00CB40F4" w:rsidRDefault="00062CB6" w:rsidP="00650B2D">
            <w:pPr>
              <w:jc w:val="center"/>
              <w:rPr>
                <w:rFonts w:asciiTheme="majorBidi" w:hAnsiTheme="majorBidi" w:cstheme="majorBidi"/>
                <w:b/>
                <w:sz w:val="20"/>
                <w:szCs w:val="20"/>
              </w:rPr>
            </w:pPr>
          </w:p>
        </w:tc>
      </w:tr>
    </w:tbl>
    <w:p w14:paraId="75256730" w14:textId="77777777" w:rsidR="00F204D4" w:rsidRPr="00CB40F4" w:rsidRDefault="00F204D4" w:rsidP="008253DD">
      <w:pPr>
        <w:keepNext/>
        <w:keepLines/>
        <w:rPr>
          <w:rFonts w:asciiTheme="majorBidi" w:hAnsiTheme="majorBidi" w:cstheme="majorBidi"/>
          <w:b/>
          <w:sz w:val="22"/>
          <w:szCs w:val="22"/>
        </w:rPr>
      </w:pPr>
    </w:p>
    <w:p w14:paraId="6C665F27" w14:textId="332C7DD9" w:rsidR="008253DD" w:rsidRPr="00CB40F4" w:rsidRDefault="008253DD" w:rsidP="008253DD">
      <w:pPr>
        <w:rPr>
          <w:rFonts w:asciiTheme="majorBidi" w:hAnsiTheme="majorBidi" w:cstheme="majorBidi"/>
          <w:b/>
        </w:rPr>
      </w:pPr>
      <w:r w:rsidRPr="00CB40F4">
        <w:rPr>
          <w:rFonts w:asciiTheme="majorBidi" w:hAnsiTheme="majorBidi" w:cstheme="majorBidi"/>
          <w:b/>
          <w:bCs/>
          <w:sz w:val="22"/>
          <w:szCs w:val="22"/>
        </w:rPr>
        <w:t xml:space="preserve">Table 5-B: Total Annual Burden and Cost for "Type C" Reduced Risk </w:t>
      </w:r>
      <w:r w:rsidR="004F1F2A" w:rsidRPr="00CB40F4">
        <w:rPr>
          <w:rFonts w:asciiTheme="majorBidi" w:hAnsiTheme="majorBidi" w:cstheme="majorBidi"/>
          <w:b/>
          <w:sz w:val="22"/>
          <w:szCs w:val="22"/>
        </w:rPr>
        <w:t xml:space="preserve">Registration </w:t>
      </w:r>
      <w:r w:rsidRPr="00CB40F4">
        <w:rPr>
          <w:rFonts w:asciiTheme="majorBidi" w:hAnsiTheme="majorBidi" w:cstheme="majorBidi"/>
          <w:b/>
          <w:bCs/>
          <w:sz w:val="22"/>
          <w:szCs w:val="22"/>
        </w:rPr>
        <w:t>Applications</w:t>
      </w:r>
      <w:r w:rsidRPr="00CB40F4">
        <w:rPr>
          <w:rFonts w:asciiTheme="majorBidi" w:hAnsiTheme="majorBidi" w:cstheme="majorBidi"/>
          <w:b/>
          <w:bCs/>
          <w:sz w:val="22"/>
          <w:szCs w:val="22"/>
          <w:vertAlign w:val="superscript"/>
        </w:rPr>
        <w:t xml:space="preserve"> 1</w:t>
      </w:r>
    </w:p>
    <w:tbl>
      <w:tblPr>
        <w:tblW w:w="5000" w:type="pct"/>
        <w:tblLook w:val="04A0" w:firstRow="1" w:lastRow="0" w:firstColumn="1" w:lastColumn="0" w:noHBand="0" w:noVBand="1"/>
      </w:tblPr>
      <w:tblGrid>
        <w:gridCol w:w="2922"/>
        <w:gridCol w:w="2923"/>
        <w:gridCol w:w="3469"/>
      </w:tblGrid>
      <w:tr w:rsidR="008253DD" w:rsidRPr="00CB40F4" w14:paraId="1EBDD75B" w14:textId="77777777" w:rsidTr="007D140D">
        <w:trPr>
          <w:trHeight w:val="300"/>
        </w:trPr>
        <w:tc>
          <w:tcPr>
            <w:tcW w:w="1569" w:type="pct"/>
            <w:vMerge w:val="restart"/>
            <w:tcBorders>
              <w:top w:val="double" w:sz="6" w:space="0" w:color="808080"/>
              <w:left w:val="double" w:sz="6" w:space="0" w:color="808080"/>
              <w:bottom w:val="single" w:sz="4" w:space="0" w:color="808080"/>
              <w:right w:val="single" w:sz="4" w:space="0" w:color="808080"/>
            </w:tcBorders>
            <w:shd w:val="clear" w:color="auto" w:fill="auto"/>
            <w:noWrap/>
            <w:vAlign w:val="center"/>
            <w:hideMark/>
          </w:tcPr>
          <w:p w14:paraId="2E5D5B72" w14:textId="77777777" w:rsidR="008253DD" w:rsidRPr="00CB40F4" w:rsidRDefault="008253DD" w:rsidP="00650B2D">
            <w:pPr>
              <w:rPr>
                <w:rFonts w:asciiTheme="majorBidi" w:hAnsiTheme="majorBidi" w:cstheme="majorBidi"/>
                <w:b/>
                <w:sz w:val="22"/>
                <w:szCs w:val="22"/>
                <w:vertAlign w:val="superscript"/>
              </w:rPr>
            </w:pPr>
            <w:r w:rsidRPr="00CB40F4">
              <w:rPr>
                <w:rFonts w:asciiTheme="majorBidi" w:hAnsiTheme="majorBidi" w:cstheme="majorBidi"/>
                <w:b/>
                <w:sz w:val="22"/>
                <w:szCs w:val="22"/>
              </w:rPr>
              <w:t>Labor Category</w:t>
            </w:r>
            <w:r w:rsidRPr="00CB40F4">
              <w:rPr>
                <w:rFonts w:asciiTheme="majorBidi" w:hAnsiTheme="majorBidi" w:cstheme="majorBidi"/>
                <w:b/>
                <w:sz w:val="22"/>
                <w:szCs w:val="22"/>
                <w:vertAlign w:val="superscript"/>
              </w:rPr>
              <w:t xml:space="preserve"> 2</w:t>
            </w:r>
          </w:p>
        </w:tc>
        <w:tc>
          <w:tcPr>
            <w:tcW w:w="3431" w:type="pct"/>
            <w:gridSpan w:val="2"/>
            <w:tcBorders>
              <w:top w:val="double" w:sz="6" w:space="0" w:color="808080"/>
              <w:left w:val="nil"/>
              <w:bottom w:val="single" w:sz="4" w:space="0" w:color="808080"/>
              <w:right w:val="double" w:sz="6" w:space="0" w:color="808080"/>
            </w:tcBorders>
            <w:shd w:val="clear" w:color="auto" w:fill="auto"/>
            <w:noWrap/>
            <w:vAlign w:val="center"/>
            <w:hideMark/>
          </w:tcPr>
          <w:p w14:paraId="4E89FD0E"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RD</w:t>
            </w:r>
          </w:p>
        </w:tc>
      </w:tr>
      <w:tr w:rsidR="008253DD" w:rsidRPr="00CB40F4" w14:paraId="349DE4AE" w14:textId="77777777" w:rsidTr="007D140D">
        <w:trPr>
          <w:trHeight w:val="285"/>
        </w:trPr>
        <w:tc>
          <w:tcPr>
            <w:tcW w:w="1569" w:type="pct"/>
            <w:vMerge/>
            <w:tcBorders>
              <w:top w:val="double" w:sz="6" w:space="0" w:color="808080"/>
              <w:left w:val="double" w:sz="6" w:space="0" w:color="808080"/>
              <w:bottom w:val="single" w:sz="4" w:space="0" w:color="808080"/>
              <w:right w:val="single" w:sz="4" w:space="0" w:color="808080"/>
            </w:tcBorders>
            <w:shd w:val="clear" w:color="auto" w:fill="auto"/>
            <w:vAlign w:val="center"/>
            <w:hideMark/>
          </w:tcPr>
          <w:p w14:paraId="73FB8CA8" w14:textId="77777777" w:rsidR="008253DD" w:rsidRPr="00CB40F4" w:rsidRDefault="008253DD" w:rsidP="00650B2D">
            <w:pPr>
              <w:rPr>
                <w:rFonts w:asciiTheme="majorBidi" w:hAnsiTheme="majorBidi" w:cstheme="majorBidi"/>
                <w:sz w:val="22"/>
                <w:szCs w:val="22"/>
              </w:rPr>
            </w:pPr>
          </w:p>
        </w:tc>
        <w:tc>
          <w:tcPr>
            <w:tcW w:w="1569" w:type="pct"/>
            <w:tcBorders>
              <w:top w:val="nil"/>
              <w:left w:val="nil"/>
              <w:bottom w:val="single" w:sz="4" w:space="0" w:color="808080"/>
              <w:right w:val="single" w:sz="4" w:space="0" w:color="808080"/>
            </w:tcBorders>
            <w:shd w:val="clear" w:color="auto" w:fill="auto"/>
            <w:noWrap/>
            <w:vAlign w:val="center"/>
            <w:hideMark/>
          </w:tcPr>
          <w:p w14:paraId="144FF7A1"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Hours</w:t>
            </w:r>
          </w:p>
        </w:tc>
        <w:tc>
          <w:tcPr>
            <w:tcW w:w="1863" w:type="pct"/>
            <w:tcBorders>
              <w:top w:val="nil"/>
              <w:left w:val="nil"/>
              <w:bottom w:val="single" w:sz="4" w:space="0" w:color="808080"/>
              <w:right w:val="double" w:sz="6" w:space="0" w:color="808080"/>
            </w:tcBorders>
            <w:shd w:val="clear" w:color="auto" w:fill="auto"/>
            <w:noWrap/>
            <w:vAlign w:val="center"/>
            <w:hideMark/>
          </w:tcPr>
          <w:p w14:paraId="5ADB92DC" w14:textId="77777777" w:rsidR="008253DD" w:rsidRPr="00CB40F4" w:rsidRDefault="008253DD" w:rsidP="00650B2D">
            <w:pPr>
              <w:jc w:val="center"/>
              <w:rPr>
                <w:rFonts w:asciiTheme="majorBidi" w:hAnsiTheme="majorBidi" w:cstheme="majorBidi"/>
                <w:b/>
                <w:bCs/>
                <w:sz w:val="22"/>
                <w:szCs w:val="22"/>
              </w:rPr>
            </w:pPr>
            <w:r w:rsidRPr="00CB40F4">
              <w:rPr>
                <w:rFonts w:asciiTheme="majorBidi" w:hAnsiTheme="majorBidi" w:cstheme="majorBidi"/>
                <w:b/>
                <w:bCs/>
                <w:sz w:val="22"/>
                <w:szCs w:val="22"/>
              </w:rPr>
              <w:t>Cost</w:t>
            </w:r>
          </w:p>
        </w:tc>
      </w:tr>
      <w:tr w:rsidR="008253DD" w:rsidRPr="00CB40F4" w14:paraId="4F444ACF" w14:textId="77777777" w:rsidTr="007D140D">
        <w:trPr>
          <w:trHeight w:val="300"/>
        </w:trPr>
        <w:tc>
          <w:tcPr>
            <w:tcW w:w="1569" w:type="pct"/>
            <w:tcBorders>
              <w:top w:val="nil"/>
              <w:left w:val="double" w:sz="6" w:space="0" w:color="808080"/>
              <w:bottom w:val="single" w:sz="4" w:space="0" w:color="808080"/>
              <w:right w:val="single" w:sz="4" w:space="0" w:color="808080"/>
            </w:tcBorders>
            <w:shd w:val="clear" w:color="auto" w:fill="auto"/>
            <w:noWrap/>
            <w:vAlign w:val="bottom"/>
            <w:hideMark/>
          </w:tcPr>
          <w:p w14:paraId="285AAA20"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Management</w:t>
            </w:r>
          </w:p>
        </w:tc>
        <w:tc>
          <w:tcPr>
            <w:tcW w:w="1569" w:type="pct"/>
            <w:tcBorders>
              <w:top w:val="single" w:sz="4" w:space="0" w:color="808080"/>
              <w:left w:val="nil"/>
              <w:bottom w:val="single" w:sz="4" w:space="0" w:color="808080"/>
              <w:right w:val="single" w:sz="4" w:space="0" w:color="808080"/>
            </w:tcBorders>
            <w:shd w:val="clear" w:color="auto" w:fill="auto"/>
            <w:noWrap/>
            <w:vAlign w:val="center"/>
            <w:hideMark/>
          </w:tcPr>
          <w:p w14:paraId="393D48F8"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816</w:t>
            </w:r>
          </w:p>
        </w:tc>
        <w:tc>
          <w:tcPr>
            <w:tcW w:w="1863" w:type="pct"/>
            <w:tcBorders>
              <w:top w:val="single" w:sz="4" w:space="0" w:color="808080"/>
              <w:left w:val="nil"/>
              <w:bottom w:val="single" w:sz="4" w:space="0" w:color="808080"/>
              <w:right w:val="double" w:sz="6" w:space="0" w:color="808080"/>
            </w:tcBorders>
            <w:shd w:val="clear" w:color="auto" w:fill="auto"/>
            <w:noWrap/>
            <w:vAlign w:val="center"/>
            <w:hideMark/>
          </w:tcPr>
          <w:p w14:paraId="7F252689"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$99,324</w:t>
            </w:r>
          </w:p>
        </w:tc>
      </w:tr>
      <w:tr w:rsidR="008253DD" w:rsidRPr="00CB40F4" w14:paraId="1450F469" w14:textId="77777777" w:rsidTr="007D140D">
        <w:trPr>
          <w:trHeight w:val="300"/>
        </w:trPr>
        <w:tc>
          <w:tcPr>
            <w:tcW w:w="1569" w:type="pct"/>
            <w:tcBorders>
              <w:top w:val="nil"/>
              <w:left w:val="double" w:sz="6" w:space="0" w:color="808080"/>
              <w:bottom w:val="single" w:sz="4" w:space="0" w:color="808080"/>
              <w:right w:val="single" w:sz="4" w:space="0" w:color="808080"/>
            </w:tcBorders>
            <w:shd w:val="clear" w:color="auto" w:fill="auto"/>
            <w:noWrap/>
            <w:vAlign w:val="bottom"/>
            <w:hideMark/>
          </w:tcPr>
          <w:p w14:paraId="09F6B68D"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Technical</w:t>
            </w:r>
          </w:p>
        </w:tc>
        <w:tc>
          <w:tcPr>
            <w:tcW w:w="1569" w:type="pct"/>
            <w:tcBorders>
              <w:top w:val="nil"/>
              <w:left w:val="nil"/>
              <w:bottom w:val="single" w:sz="4" w:space="0" w:color="808080"/>
              <w:right w:val="single" w:sz="4" w:space="0" w:color="808080"/>
            </w:tcBorders>
            <w:shd w:val="clear" w:color="auto" w:fill="auto"/>
            <w:noWrap/>
            <w:vAlign w:val="center"/>
            <w:hideMark/>
          </w:tcPr>
          <w:p w14:paraId="58C60069"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3,584</w:t>
            </w:r>
          </w:p>
        </w:tc>
        <w:tc>
          <w:tcPr>
            <w:tcW w:w="1863" w:type="pct"/>
            <w:tcBorders>
              <w:top w:val="nil"/>
              <w:left w:val="nil"/>
              <w:bottom w:val="single" w:sz="4" w:space="0" w:color="808080"/>
              <w:right w:val="double" w:sz="6" w:space="0" w:color="808080"/>
            </w:tcBorders>
            <w:shd w:val="clear" w:color="auto" w:fill="auto"/>
            <w:noWrap/>
            <w:vAlign w:val="center"/>
            <w:hideMark/>
          </w:tcPr>
          <w:p w14:paraId="3F0A9708"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$258,084</w:t>
            </w:r>
          </w:p>
        </w:tc>
      </w:tr>
      <w:tr w:rsidR="008253DD" w:rsidRPr="00CB40F4" w14:paraId="632D939B" w14:textId="77777777" w:rsidTr="007D140D">
        <w:trPr>
          <w:trHeight w:val="300"/>
        </w:trPr>
        <w:tc>
          <w:tcPr>
            <w:tcW w:w="1569" w:type="pct"/>
            <w:tcBorders>
              <w:top w:val="nil"/>
              <w:left w:val="double" w:sz="6" w:space="0" w:color="808080"/>
              <w:bottom w:val="single" w:sz="4" w:space="0" w:color="808080"/>
              <w:right w:val="single" w:sz="4" w:space="0" w:color="808080"/>
            </w:tcBorders>
            <w:shd w:val="clear" w:color="auto" w:fill="auto"/>
            <w:noWrap/>
            <w:vAlign w:val="bottom"/>
            <w:hideMark/>
          </w:tcPr>
          <w:p w14:paraId="00BD2635" w14:textId="77777777" w:rsidR="008253DD" w:rsidRPr="00CB40F4" w:rsidRDefault="008253DD" w:rsidP="00650B2D">
            <w:pPr>
              <w:rPr>
                <w:rFonts w:asciiTheme="majorBidi" w:hAnsiTheme="majorBidi" w:cstheme="majorBidi"/>
                <w:sz w:val="22"/>
                <w:szCs w:val="22"/>
              </w:rPr>
            </w:pPr>
            <w:r w:rsidRPr="00CB40F4">
              <w:rPr>
                <w:rFonts w:asciiTheme="majorBidi" w:hAnsiTheme="majorBidi" w:cstheme="majorBidi"/>
                <w:sz w:val="22"/>
                <w:szCs w:val="22"/>
              </w:rPr>
              <w:t>Clerical</w:t>
            </w:r>
          </w:p>
        </w:tc>
        <w:tc>
          <w:tcPr>
            <w:tcW w:w="1569" w:type="pct"/>
            <w:tcBorders>
              <w:top w:val="nil"/>
              <w:left w:val="nil"/>
              <w:bottom w:val="single" w:sz="4" w:space="0" w:color="808080"/>
              <w:right w:val="single" w:sz="4" w:space="0" w:color="808080"/>
            </w:tcBorders>
            <w:shd w:val="clear" w:color="auto" w:fill="auto"/>
            <w:noWrap/>
            <w:vAlign w:val="center"/>
            <w:hideMark/>
          </w:tcPr>
          <w:p w14:paraId="736F6C5C"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768</w:t>
            </w:r>
          </w:p>
        </w:tc>
        <w:tc>
          <w:tcPr>
            <w:tcW w:w="1863" w:type="pct"/>
            <w:tcBorders>
              <w:top w:val="nil"/>
              <w:left w:val="nil"/>
              <w:bottom w:val="single" w:sz="4" w:space="0" w:color="808080"/>
              <w:right w:val="double" w:sz="6" w:space="0" w:color="808080"/>
            </w:tcBorders>
            <w:shd w:val="clear" w:color="auto" w:fill="auto"/>
            <w:noWrap/>
            <w:vAlign w:val="center"/>
            <w:hideMark/>
          </w:tcPr>
          <w:p w14:paraId="149CEC9A" w14:textId="77777777" w:rsidR="008253DD" w:rsidRPr="00CB40F4" w:rsidRDefault="008253DD" w:rsidP="00650B2D">
            <w:pPr>
              <w:jc w:val="center"/>
              <w:rPr>
                <w:rFonts w:asciiTheme="majorBidi" w:hAnsiTheme="majorBidi" w:cstheme="majorBidi"/>
                <w:sz w:val="22"/>
                <w:szCs w:val="22"/>
              </w:rPr>
            </w:pPr>
            <w:r w:rsidRPr="00CB40F4">
              <w:rPr>
                <w:rFonts w:asciiTheme="majorBidi" w:hAnsiTheme="majorBidi" w:cstheme="majorBidi"/>
                <w:sz w:val="22"/>
                <w:szCs w:val="22"/>
              </w:rPr>
              <w:t>$31,434</w:t>
            </w:r>
          </w:p>
        </w:tc>
      </w:tr>
      <w:tr w:rsidR="008253DD" w:rsidRPr="00CB40F4" w14:paraId="4392C593" w14:textId="77777777" w:rsidTr="007D140D">
        <w:trPr>
          <w:trHeight w:val="315"/>
        </w:trPr>
        <w:tc>
          <w:tcPr>
            <w:tcW w:w="1569" w:type="pct"/>
            <w:tcBorders>
              <w:top w:val="nil"/>
              <w:left w:val="double" w:sz="6" w:space="0" w:color="808080"/>
              <w:bottom w:val="double" w:sz="6" w:space="0" w:color="808080"/>
              <w:right w:val="single" w:sz="4" w:space="0" w:color="808080"/>
            </w:tcBorders>
            <w:shd w:val="clear" w:color="auto" w:fill="auto"/>
            <w:noWrap/>
            <w:vAlign w:val="bottom"/>
            <w:hideMark/>
          </w:tcPr>
          <w:p w14:paraId="66847BF8" w14:textId="77777777" w:rsidR="008253DD" w:rsidRPr="00CB40F4" w:rsidRDefault="008253DD" w:rsidP="00650B2D">
            <w:pPr>
              <w:rPr>
                <w:rFonts w:asciiTheme="majorBidi" w:hAnsiTheme="majorBidi" w:cstheme="majorBidi"/>
                <w:b/>
                <w:sz w:val="22"/>
                <w:szCs w:val="22"/>
              </w:rPr>
            </w:pPr>
            <w:r w:rsidRPr="00CB40F4">
              <w:rPr>
                <w:rFonts w:asciiTheme="majorBidi" w:hAnsiTheme="majorBidi" w:cstheme="majorBidi"/>
                <w:b/>
                <w:sz w:val="22"/>
                <w:szCs w:val="22"/>
              </w:rPr>
              <w:t>Total</w:t>
            </w:r>
          </w:p>
        </w:tc>
        <w:tc>
          <w:tcPr>
            <w:tcW w:w="1569" w:type="pct"/>
            <w:tcBorders>
              <w:top w:val="nil"/>
              <w:left w:val="nil"/>
              <w:bottom w:val="double" w:sz="6" w:space="0" w:color="808080"/>
              <w:right w:val="single" w:sz="4" w:space="0" w:color="808080"/>
            </w:tcBorders>
            <w:shd w:val="clear" w:color="auto" w:fill="auto"/>
            <w:noWrap/>
            <w:vAlign w:val="center"/>
            <w:hideMark/>
          </w:tcPr>
          <w:p w14:paraId="0394D10F" w14:textId="77777777" w:rsidR="008253DD" w:rsidRPr="00CB40F4" w:rsidRDefault="008253DD" w:rsidP="00650B2D">
            <w:pPr>
              <w:jc w:val="center"/>
              <w:rPr>
                <w:rFonts w:asciiTheme="majorBidi" w:hAnsiTheme="majorBidi" w:cstheme="majorBidi"/>
                <w:b/>
                <w:sz w:val="22"/>
                <w:szCs w:val="22"/>
              </w:rPr>
            </w:pPr>
            <w:r w:rsidRPr="00CB40F4">
              <w:rPr>
                <w:rFonts w:asciiTheme="majorBidi" w:hAnsiTheme="majorBidi" w:cstheme="majorBidi"/>
                <w:b/>
                <w:sz w:val="22"/>
                <w:szCs w:val="22"/>
              </w:rPr>
              <w:t>5,168</w:t>
            </w:r>
          </w:p>
        </w:tc>
        <w:tc>
          <w:tcPr>
            <w:tcW w:w="1863" w:type="pct"/>
            <w:tcBorders>
              <w:top w:val="nil"/>
              <w:left w:val="nil"/>
              <w:bottom w:val="double" w:sz="6" w:space="0" w:color="808080"/>
              <w:right w:val="double" w:sz="6" w:space="0" w:color="808080"/>
            </w:tcBorders>
            <w:shd w:val="clear" w:color="auto" w:fill="auto"/>
            <w:noWrap/>
            <w:vAlign w:val="center"/>
            <w:hideMark/>
          </w:tcPr>
          <w:p w14:paraId="7F24D881" w14:textId="77777777" w:rsidR="008253DD" w:rsidRPr="00CB40F4" w:rsidRDefault="008253DD" w:rsidP="00650B2D">
            <w:pPr>
              <w:jc w:val="center"/>
              <w:rPr>
                <w:rFonts w:asciiTheme="majorBidi" w:hAnsiTheme="majorBidi" w:cstheme="majorBidi"/>
                <w:b/>
                <w:sz w:val="22"/>
                <w:szCs w:val="22"/>
              </w:rPr>
            </w:pPr>
            <w:r w:rsidRPr="00CB40F4">
              <w:rPr>
                <w:rFonts w:asciiTheme="majorBidi" w:hAnsiTheme="majorBidi" w:cstheme="majorBidi"/>
                <w:b/>
                <w:sz w:val="22"/>
                <w:szCs w:val="22"/>
              </w:rPr>
              <w:t>$388,842</w:t>
            </w:r>
          </w:p>
        </w:tc>
      </w:tr>
    </w:tbl>
    <w:p w14:paraId="70B263DA" w14:textId="77777777" w:rsidR="008253DD" w:rsidRPr="00CB40F4" w:rsidRDefault="008253DD" w:rsidP="008253DD">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7830"/>
      </w:tblGrid>
      <w:tr w:rsidR="008253DD" w:rsidRPr="00CB40F4" w14:paraId="0ACD7FA0" w14:textId="77777777" w:rsidTr="00650B2D">
        <w:tc>
          <w:tcPr>
            <w:tcW w:w="7830" w:type="dxa"/>
            <w:tcBorders>
              <w:top w:val="nil"/>
              <w:left w:val="nil"/>
              <w:bottom w:val="single" w:sz="4" w:space="0" w:color="808080" w:themeColor="background1" w:themeShade="80"/>
              <w:right w:val="nil"/>
            </w:tcBorders>
          </w:tcPr>
          <w:p w14:paraId="06AD9F08"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Hours and costs are calculated using the same method as Tables 3-B and 4-B.</w:t>
            </w:r>
          </w:p>
          <w:p w14:paraId="4DBA9AB2"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2 </w:t>
            </w:r>
            <w:r w:rsidRPr="00CB40F4">
              <w:rPr>
                <w:rFonts w:asciiTheme="majorBidi" w:hAnsiTheme="majorBidi" w:cstheme="majorBidi"/>
                <w:sz w:val="21"/>
                <w:szCs w:val="21"/>
              </w:rPr>
              <w:t>Hours and wages used to calculate the totals for each labor category are from Table 5-A.</w:t>
            </w:r>
          </w:p>
        </w:tc>
      </w:tr>
    </w:tbl>
    <w:p w14:paraId="08A5D241" w14:textId="77777777" w:rsidR="008253DD" w:rsidRPr="00CB40F4" w:rsidRDefault="008253DD" w:rsidP="008253DD">
      <w:pPr>
        <w:keepNext/>
        <w:keepLines/>
        <w:rPr>
          <w:rFonts w:asciiTheme="majorBidi" w:hAnsiTheme="majorBidi" w:cstheme="majorBidi"/>
        </w:rPr>
      </w:pPr>
    </w:p>
    <w:p w14:paraId="5C7FB2C5" w14:textId="77777777" w:rsidR="008253DD" w:rsidRPr="00CB40F4" w:rsidRDefault="008253DD" w:rsidP="008253DD">
      <w:pPr>
        <w:keepNext/>
        <w:rPr>
          <w:rFonts w:asciiTheme="majorBidi" w:hAnsiTheme="majorBidi" w:cstheme="majorBidi"/>
          <w:u w:val="single"/>
        </w:rPr>
      </w:pPr>
    </w:p>
    <w:p w14:paraId="29FA2162" w14:textId="77777777" w:rsidR="008253DD" w:rsidRPr="00CB40F4" w:rsidRDefault="008253DD" w:rsidP="008253DD">
      <w:pPr>
        <w:ind w:firstLine="720"/>
        <w:rPr>
          <w:rFonts w:asciiTheme="majorBidi" w:hAnsiTheme="majorBidi" w:cstheme="majorBidi"/>
          <w:b/>
        </w:rPr>
      </w:pPr>
      <w:r w:rsidRPr="00CB40F4">
        <w:rPr>
          <w:rFonts w:asciiTheme="majorBidi" w:hAnsiTheme="majorBidi" w:cstheme="majorBidi"/>
          <w:b/>
        </w:rPr>
        <w:t>6(b)</w:t>
      </w:r>
      <w:r w:rsidRPr="00CB40F4">
        <w:rPr>
          <w:rFonts w:asciiTheme="majorBidi" w:hAnsiTheme="majorBidi" w:cstheme="majorBidi"/>
          <w:b/>
        </w:rPr>
        <w:tab/>
        <w:t>Respondent Paperwork Burden Hours and Cost from Data Generation</w:t>
      </w:r>
    </w:p>
    <w:p w14:paraId="7BDF8311" w14:textId="77777777" w:rsidR="008253DD" w:rsidRPr="00CB40F4" w:rsidRDefault="008253DD" w:rsidP="008253DD">
      <w:pPr>
        <w:keepNext/>
        <w:rPr>
          <w:rFonts w:asciiTheme="majorBidi" w:hAnsiTheme="majorBidi" w:cstheme="majorBidi"/>
        </w:rPr>
      </w:pPr>
    </w:p>
    <w:p w14:paraId="48B4148B" w14:textId="75056628" w:rsidR="008253DD" w:rsidRPr="00CB40F4" w:rsidRDefault="008253DD" w:rsidP="008253DD">
      <w:pPr>
        <w:pStyle w:val="BodyTextFirstIndent"/>
        <w:spacing w:after="0"/>
        <w:ind w:firstLine="720"/>
        <w:rPr>
          <w:rFonts w:asciiTheme="majorBidi" w:hAnsiTheme="majorBidi" w:cstheme="majorBidi"/>
          <w:szCs w:val="24"/>
          <w:lang w:bidi="en-US"/>
        </w:rPr>
      </w:pPr>
      <w:r w:rsidRPr="00CB40F4">
        <w:rPr>
          <w:rFonts w:asciiTheme="majorBidi" w:hAnsiTheme="majorBidi" w:cstheme="majorBidi"/>
          <w:szCs w:val="24"/>
        </w:rPr>
        <w:t>To calculate the burden and costs associated with the paperwork activities involved in data generation, the Agency starts with the cost of the test, typically the market price for the test as identified by laboratories that offer testing services.</w:t>
      </w:r>
      <w:r w:rsidR="007841AD" w:rsidRPr="00CB40F4">
        <w:rPr>
          <w:rFonts w:asciiTheme="majorBidi" w:hAnsiTheme="majorBidi" w:cstheme="majorBidi"/>
          <w:szCs w:val="24"/>
        </w:rPr>
        <w:t xml:space="preserve"> </w:t>
      </w:r>
      <w:r w:rsidRPr="00CB40F4">
        <w:rPr>
          <w:rFonts w:asciiTheme="majorBidi" w:hAnsiTheme="majorBidi" w:cstheme="majorBidi"/>
          <w:szCs w:val="24"/>
        </w:rPr>
        <w:t>T</w:t>
      </w:r>
      <w:r w:rsidRPr="00CB40F4">
        <w:rPr>
          <w:rFonts w:asciiTheme="majorBidi" w:hAnsiTheme="majorBidi" w:cstheme="majorBidi"/>
          <w:szCs w:val="24"/>
          <w:lang w:bidi="en-US"/>
        </w:rPr>
        <w:t xml:space="preserve">he Agency maintains an archive of the </w:t>
      </w:r>
      <w:r w:rsidRPr="00CB40F4">
        <w:rPr>
          <w:rFonts w:asciiTheme="majorBidi" w:hAnsiTheme="majorBidi" w:cstheme="majorBidi"/>
          <w:szCs w:val="24"/>
          <w:lang w:bidi="en-US"/>
        </w:rPr>
        <w:lastRenderedPageBreak/>
        <w:t>basic FIFRA study cost estimates that were developed through surveys of independent testing laboratories, Agency economic analyses, and registrant comments during ICR renewal periods. To the greatest extent possible, EPA uses multiple sources to provide test cost estimates, which are updated as needed.</w:t>
      </w:r>
    </w:p>
    <w:p w14:paraId="3F84EB98" w14:textId="77777777" w:rsidR="008253DD" w:rsidRPr="00CB40F4" w:rsidRDefault="008253DD" w:rsidP="008253DD">
      <w:pPr>
        <w:pStyle w:val="BodyTextFirstIndent"/>
        <w:spacing w:after="0"/>
        <w:ind w:firstLine="720"/>
        <w:rPr>
          <w:rFonts w:asciiTheme="majorBidi" w:hAnsiTheme="majorBidi" w:cstheme="majorBidi"/>
          <w:szCs w:val="24"/>
          <w:lang w:bidi="en-US"/>
        </w:rPr>
      </w:pPr>
    </w:p>
    <w:p w14:paraId="694EEA8D" w14:textId="3923677F" w:rsidR="008253DD" w:rsidRPr="00CB40F4" w:rsidRDefault="008253DD" w:rsidP="008253DD">
      <w:pPr>
        <w:pStyle w:val="BodyTextFirstIndent"/>
        <w:spacing w:after="0"/>
        <w:ind w:firstLine="720"/>
        <w:rPr>
          <w:rFonts w:asciiTheme="majorBidi" w:hAnsiTheme="majorBidi" w:cstheme="majorBidi"/>
          <w:szCs w:val="24"/>
        </w:rPr>
      </w:pPr>
      <w:r w:rsidRPr="00CB40F4">
        <w:rPr>
          <w:rFonts w:asciiTheme="majorBidi" w:hAnsiTheme="majorBidi" w:cstheme="majorBidi"/>
          <w:szCs w:val="24"/>
        </w:rPr>
        <w:t>EPA uses 35% of the estimated total test cost to calculate the total potential cost for the paperwork activities related to data generation.</w:t>
      </w:r>
      <w:r w:rsidR="007841AD" w:rsidRPr="00CB40F4">
        <w:rPr>
          <w:rFonts w:asciiTheme="majorBidi" w:hAnsiTheme="majorBidi" w:cstheme="majorBidi"/>
          <w:szCs w:val="24"/>
        </w:rPr>
        <w:t xml:space="preserve"> </w:t>
      </w:r>
      <w:r w:rsidRPr="00CB40F4">
        <w:rPr>
          <w:rFonts w:asciiTheme="majorBidi" w:hAnsiTheme="majorBidi" w:cstheme="majorBidi"/>
          <w:szCs w:val="24"/>
        </w:rPr>
        <w:t>The 35% of test cost is disaggregated by labor category, and then burden hours are extrapolated by using the loaded labor rates.</w:t>
      </w:r>
      <w:r w:rsidR="007841AD" w:rsidRPr="00CB40F4">
        <w:rPr>
          <w:rFonts w:asciiTheme="majorBidi" w:hAnsiTheme="majorBidi" w:cstheme="majorBidi"/>
          <w:szCs w:val="24"/>
        </w:rPr>
        <w:t xml:space="preserve"> </w:t>
      </w:r>
      <w:r w:rsidRPr="00CB40F4">
        <w:rPr>
          <w:rFonts w:asciiTheme="majorBidi" w:hAnsiTheme="majorBidi" w:cstheme="majorBidi"/>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to perform the tests, with fewer activities related to management and clerical staff.</w:t>
      </w:r>
    </w:p>
    <w:p w14:paraId="38AAB63A" w14:textId="77777777" w:rsidR="00062CB6" w:rsidRDefault="00062CB6" w:rsidP="008253DD">
      <w:pPr>
        <w:pStyle w:val="BodyTextFirstIndent"/>
        <w:spacing w:after="0"/>
        <w:ind w:firstLine="0"/>
        <w:rPr>
          <w:rFonts w:asciiTheme="majorBidi" w:hAnsiTheme="majorBidi" w:cstheme="majorBidi"/>
          <w:szCs w:val="24"/>
        </w:rPr>
      </w:pPr>
    </w:p>
    <w:p w14:paraId="2A9309B3" w14:textId="5C0E3865" w:rsidR="008253DD" w:rsidRPr="00CB40F4" w:rsidRDefault="008253DD" w:rsidP="00970B5B">
      <w:pPr>
        <w:pStyle w:val="BodyTextFirstIndent"/>
        <w:ind w:firstLine="720"/>
        <w:rPr>
          <w:rFonts w:asciiTheme="majorBidi" w:hAnsiTheme="majorBidi" w:cstheme="majorBidi"/>
          <w:szCs w:val="24"/>
        </w:rPr>
      </w:pPr>
      <w:r w:rsidRPr="00970B5B">
        <w:rPr>
          <w:rFonts w:asciiTheme="majorBidi" w:hAnsiTheme="majorBidi" w:cstheme="majorBidi"/>
          <w:b/>
          <w:szCs w:val="24"/>
        </w:rPr>
        <w:t>Figure 1</w:t>
      </w:r>
      <w:r w:rsidRPr="00CB40F4">
        <w:rPr>
          <w:rFonts w:asciiTheme="majorBidi" w:hAnsiTheme="majorBidi" w:cstheme="majorBidi"/>
          <w:szCs w:val="24"/>
        </w:rPr>
        <w:t xml:space="preserve"> illustrates the method for calculating the paperwork burden of data generation.</w:t>
      </w:r>
      <w:r w:rsidR="007841AD" w:rsidRPr="00CB40F4">
        <w:rPr>
          <w:rFonts w:asciiTheme="majorBidi" w:hAnsiTheme="majorBidi" w:cstheme="majorBidi"/>
          <w:szCs w:val="24"/>
        </w:rPr>
        <w:t xml:space="preserve"> </w:t>
      </w:r>
    </w:p>
    <w:p w14:paraId="65E7F10A" w14:textId="522FA28D" w:rsidR="008253DD" w:rsidRPr="00CB40F4" w:rsidRDefault="008253DD" w:rsidP="008253DD">
      <w:pPr>
        <w:pStyle w:val="BodyTextFirstIndent"/>
        <w:ind w:left="-360"/>
        <w:rPr>
          <w:rFonts w:asciiTheme="majorBidi" w:hAnsiTheme="majorBidi" w:cstheme="majorBidi"/>
          <w:szCs w:val="24"/>
        </w:rPr>
      </w:pPr>
      <w:r w:rsidRPr="00CB40F4">
        <w:rPr>
          <w:rFonts w:asciiTheme="majorBidi" w:hAnsiTheme="majorBidi" w:cstheme="majorBidi"/>
          <w:noProof/>
          <w:szCs w:val="24"/>
        </w:rPr>
        <mc:AlternateContent>
          <mc:Choice Requires="wpg">
            <w:drawing>
              <wp:inline distT="0" distB="0" distL="0" distR="0" wp14:anchorId="2E208A21" wp14:editId="315FD810">
                <wp:extent cx="6200775" cy="1336040"/>
                <wp:effectExtent l="0" t="0" r="0" b="0"/>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336040"/>
                          <a:chOff x="2829" y="5427"/>
                          <a:chExt cx="7662" cy="1238"/>
                        </a:xfrm>
                      </wpg:grpSpPr>
                      <wps:wsp>
                        <wps:cNvPr id="20"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14:paraId="0115BDC3" w14:textId="77777777" w:rsidR="00A2652E" w:rsidRPr="001B7121" w:rsidRDefault="00A2652E" w:rsidP="008253DD">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wps:txbx>
                        <wps:bodyPr rot="0" vert="horz" wrap="square" lIns="91440" tIns="45720" rIns="91440" bIns="45720" anchor="t" anchorCtr="0" upright="1">
                          <a:noAutofit/>
                        </wps:bodyPr>
                      </wps:wsp>
                      <wps:wsp>
                        <wps:cNvPr id="22" name="AutoShape 12"/>
                        <wps:cNvSpPr>
                          <a:spLocks noChangeArrowheads="1"/>
                        </wps:cNvSpPr>
                        <wps:spPr bwMode="auto">
                          <a:xfrm>
                            <a:off x="4675" y="5614"/>
                            <a:ext cx="2320"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14:paraId="1E4BFB34" w14:textId="77777777" w:rsidR="00A2652E" w:rsidRPr="001B7121" w:rsidRDefault="00A2652E" w:rsidP="008253DD">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proofErr w:type="gramStart"/>
                              <w:r w:rsidRPr="001B7121">
                                <w:rPr>
                                  <w:sz w:val="20"/>
                                  <w:szCs w:val="20"/>
                                </w:rPr>
                                <w:t>:</w:t>
                              </w:r>
                              <w:proofErr w:type="gramEnd"/>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wps:txbx>
                        <wps:bodyPr rot="0" vert="horz" wrap="square" lIns="91440" tIns="45720" rIns="91440" bIns="45720" anchor="t" anchorCtr="0" upright="1">
                          <a:noAutofit/>
                        </wps:bodyPr>
                      </wps:wsp>
                      <wps:wsp>
                        <wps:cNvPr id="23" name="AutoShape 13"/>
                        <wps:cNvSpPr>
                          <a:spLocks noChangeArrowheads="1"/>
                        </wps:cNvSpPr>
                        <wps:spPr bwMode="auto">
                          <a:xfrm>
                            <a:off x="7054" y="5614"/>
                            <a:ext cx="2310" cy="941"/>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14:paraId="22E46493" w14:textId="77777777" w:rsidR="00A2652E" w:rsidRPr="001B7121" w:rsidRDefault="00A2652E" w:rsidP="008253DD">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24" name="Text Box 14"/>
                        <wps:cNvSpPr txBox="1">
                          <a:spLocks noChangeArrowheads="1"/>
                        </wps:cNvSpPr>
                        <wps:spPr bwMode="auto">
                          <a:xfrm>
                            <a:off x="9435" y="5756"/>
                            <a:ext cx="922" cy="704"/>
                          </a:xfrm>
                          <a:prstGeom prst="rect">
                            <a:avLst/>
                          </a:prstGeom>
                          <a:solidFill>
                            <a:srgbClr val="FFFFFF"/>
                          </a:solidFill>
                          <a:ln w="9525">
                            <a:solidFill>
                              <a:srgbClr val="000000"/>
                            </a:solidFill>
                            <a:miter lim="800000"/>
                            <a:headEnd/>
                            <a:tailEnd/>
                          </a:ln>
                        </wps:spPr>
                        <wps:txbx>
                          <w:txbxContent>
                            <w:p w14:paraId="3E26F88E" w14:textId="77777777" w:rsidR="00A2652E" w:rsidRPr="001B7121" w:rsidRDefault="00A2652E" w:rsidP="008253DD">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w:pict>
              <v:group w14:anchorId="2E208A21" id="Group 19" o:spid="_x0000_s1026" style="width:488.25pt;height:105.2pt;mso-position-horizontal-relative:char;mso-position-vertical-relative:line" coordorigin="2829,5427" coordsize="766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ULbgQAAC8UAAAOAAAAZHJzL2Uyb0RvYy54bWzsWNtu4zYQfS/QfyD07lgXSrKEKIvEl6BA&#10;2l1gdz+AlqhLK4kqScdOi/57h6Rky3azabOLoMHGD4YkksOZM3MOR7p8t2tqdE+5qFibWM6FbSHa&#10;piyr2iKxPn9aTWYWEpK0GalZSxPrgQrr3dWPP1xuu5i6rGR1RjkCI62It11ilVJ28XQq0pI2RFyw&#10;jrYwmDPeEAm3vJhmnGzBelNPXdsOplvGs46zlAoBTxdm0LrS9vOcpvJ9ngsqUZ1Y4JvU/1z/r9X/&#10;9OqSxAUnXVmlvRvkGV40pGph072pBZEEbXh1ZqqpUs4Ey+VFypopy/MqpToGiMaxT6K55WzT6ViK&#10;eFt0e5gA2hOcnm02/eX+A0dVBrmLLNSSBnKkt0VwD+BsuyKGObe8+9h94CZCuLxj6W8CtWxekrag&#10;16IDoMGEWjE9XaLuC7Merbc/swy2IBvJNF67nDfKKiCBdjotD/u00J1EKTwMINFh6FsohTHH8wIb&#10;94lLS8iuWufOXHAfhn3shiapabns14dB4PaLXW+mfSSx2Vg72zungoUiFAecxdfh/LEkHdXpEwrD&#10;HmcXytDgfA0g6DnI0fGo7WHeALR4FOUD8JyzbUlJBp46YJZ9AsyWWTXKxciksi8gi09m4R/QHHLx&#10;BSxJ3HEhbylrkLpILA5FoZNM7u+EVKVxmKJy3rJVVdeagXV79AAmmiewLSxVY8oBTag/IztazpYz&#10;PMFusJxge7GYXK/meBKsnNBfeIv5fOH8pfZ1cFxWWUZbtc1Abgf/u6T2MmNouae3YHWVKXPKJcGL&#10;9bzm6J6AuKz0ry+u0bTpsRsaBIjlJCTHxfaNG01WwSyc4BX2J1Fozya2E91EUO4RXqyOQ7qrWvr1&#10;IaFtYkW+6+ssjZw+ic3Wv/PYSNxUEuS7rprEmu0nkViV5LLNdGolqWpzPYJCuX+AAtI9JBoIaYrU&#10;sHHNsgcoWM6gnIA3cNDARcn4Hxbagmgnlvh9Qzi1UP1TCxyIHAzSgKS+wX6ouMbHI+vxCGlTMJVY&#10;0kLmci7NybDpeFWUsJOjgWmZYmpe6RJW/hmvtNRpwXgp5VAU1wo9Ug6tuU8px5FMGI1+ji54jh0Y&#10;lYXiNCqraKk02sFhaDQ29N0jiT1wfpAFhe21cmlO6pptRhqhWFFkfZAk+xUCzpsaDmSgGHJ9qDCz&#10;63gOSPuTc7zxHM8NPf/cDh7PCeCnzxEoTa1eZ+L1OFseUwKlaS9NOC2jJ5ySu/UOauBQyG/00g2Q&#10;C5V0Ri9dyy9ELxyoJkc1MYGDj+nlekrKVP8TYdNlDR3M/45eGDte34KNafpd0cs01CqFbyzTEIza&#10;X9DiM5Z5A1Rfan+/0SEW2j7U4iMsg0b8dbDMw77/vR9iRrWH0nlrFccvmVDihmXqjRDdsB0yR8ro&#10;KENyB8+HJvfsbfMb0S3C0GxpuoV+cHyoRerEVWdaaOvjDnqt4XPAf3yTfN3NmK7jvQS+ljrWn07g&#10;q5TujPsvaOqz1/hevyIdvvNd/Q0AAP//AwBQSwMEFAAGAAgAAAAhAKW7ADfeAAAABQEAAA8AAABk&#10;cnMvZG93bnJldi54bWxMj0FrwkAQhe8F/8MyQm91E1utTbMRkbYnKVQLxduYHZNgdjZk1yT+e7e9&#10;2MvA4z3e+yZdDqYWHbWusqwgnkQgiHOrKy4UfO/eHxYgnEfWWFsmBRdysMxGdykm2vb8Rd3WFyKU&#10;sEtQQel9k0jp8pIMuoltiIN3tK1BH2RbSN1iH8pNLadRNJcGKw4LJTa0Lik/bc9GwUeP/eoxfus2&#10;p+P6st/NPn82MSl1Px5WryA8Df4Whl/8gA5ZYDrYM2snagXhEf93g/fyPJ+BOCiYxtETyCyV/+mz&#10;KwAAAP//AwBQSwECLQAUAAYACAAAACEAtoM4kv4AAADhAQAAEwAAAAAAAAAAAAAAAAAAAAAAW0Nv&#10;bnRlbnRfVHlwZXNdLnhtbFBLAQItABQABgAIAAAAIQA4/SH/1gAAAJQBAAALAAAAAAAAAAAAAAAA&#10;AC8BAABfcmVscy8ucmVsc1BLAQItABQABgAIAAAAIQAEDNULbgQAAC8UAAAOAAAAAAAAAAAAAAAA&#10;AC4CAABkcnMvZTJvRG9jLnhtbFBLAQItABQABgAIAAAAIQCluwA33gAAAAUBAAAPAAAAAAAAAAAA&#10;AAAAAMgGAABkcnMvZG93bnJldi54bWxQSwUGAAAAAAQABADzAAAA0wcAAAAA&#10;">
                <o:lock v:ext="edit" aspectratio="t"/>
                <v:rect id="AutoShape 10" o:spid="_x0000_s1027" style="position:absolute;left:2829;top:5427;width:766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o:lock v:ext="edit" aspectratio="t" text="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8" type="#_x0000_t78" style="position:absolute;left:3106;top:5708;width:1477;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xSMIA&#10;AADbAAAADwAAAGRycy9kb3ducmV2LnhtbESPQYvCMBSE7wv+h/AEL8ua1oMsXaOoICzsSXe9P5pn&#10;U5u8lCba6q83grDHYWa+YRarwVlxpS7UnhXk0wwEcel1zZWCv9/dxyeIEJE1Ws+k4EYBVsvR2wIL&#10;7Xve0/UQK5EgHApUYGJsCylDachhmPqWOHkn3zmMSXaV1B32Ce6snGXZXDqsOS0YbGlrqGwOF6eA&#10;z1afN+/Hn2Z+a9q79SY/9kapyXhYf4GINMT/8Kv9rRXMcnh+S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XFIwgAAANsAAAAPAAAAAAAAAAAAAAAAAJgCAABkcnMvZG93&#10;bnJldi54bWxQSwUGAAAAAAQABAD1AAAAhwMAAAAA&#10;">
                  <v:textbox>
                    <w:txbxContent>
                      <w:p w14:paraId="0115BDC3" w14:textId="77777777" w:rsidR="00A2652E" w:rsidRPr="001B7121" w:rsidRDefault="00A2652E" w:rsidP="008253DD">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v:textbox>
                </v:shape>
                <v:shape id="AutoShape 12" o:spid="_x0000_s1029" type="#_x0000_t78" style="position:absolute;left:4675;top:5614;width:2320;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OV8YA&#10;AADbAAAADwAAAGRycy9kb3ducmV2LnhtbESPT2vCQBTE7wW/w/KE3uqmOaikrlL8g6300jSCx0f2&#10;mUSzb0N2a6Kf3i0IPQ4z8xtmtuhNLS7UusqygtdRBII4t7riQkH2s3mZgnAeWWNtmRRcycFiPnia&#10;YaJtx990SX0hAoRdggpK75tESpeXZNCNbEMcvKNtDfog20LqFrsAN7WMo2gsDVYcFkpsaFlSfk5/&#10;jYLtoftcnW6nXbc/Z1n6tZ0cl+uJUs/D/v0NhKfe/4cf7Q+tII7h7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6OV8YAAADbAAAADwAAAAAAAAAAAAAAAACYAgAAZHJz&#10;L2Rvd25yZXYueG1sUEsFBgAAAAAEAAQA9QAAAIsDAAAAAA==&#10;" adj=",,17733">
                  <v:textbox>
                    <w:txbxContent>
                      <w:p w14:paraId="1E4BFB34" w14:textId="77777777" w:rsidR="00A2652E" w:rsidRPr="001B7121" w:rsidRDefault="00A2652E" w:rsidP="008253DD">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proofErr w:type="gramStart"/>
                        <w:r w:rsidRPr="001B7121">
                          <w:rPr>
                            <w:sz w:val="20"/>
                            <w:szCs w:val="20"/>
                          </w:rPr>
                          <w:t>:</w:t>
                        </w:r>
                        <w:proofErr w:type="gramEnd"/>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v:textbox>
                </v:shape>
                <v:shape id="AutoShape 13" o:spid="_x0000_s1030" type="#_x0000_t78" style="position:absolute;left:7054;top:5614;width:2310;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qxsIA&#10;AADbAAAADwAAAGRycy9kb3ducmV2LnhtbESP0YrCMBRE34X9h3AXfNN0uyBSjaIryxbfqn7Apbk2&#10;xeamNLF2/XojCD4OM3OGWa4H24ieOl87VvA1TUAQl07XXCk4HX8ncxA+IGtsHJOCf/KwXn2Mlphp&#10;d+OC+kOoRISwz1CBCaHNpPSlIYt+6lri6J1dZzFE2VVSd3iLcNvINElm0mLNccFgSz+GysvhahVc&#10;tnmRVntXNPuZyZP5ruj/7kap8eewWYAINIR3+NXOtYL0G5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GrGwgAAANsAAAAPAAAAAAAAAAAAAAAAAJgCAABkcnMvZG93&#10;bnJldi54bWxQSwUGAAAAAAQABAD1AAAAhwMAAAAA&#10;" adj=",,18560">
                  <v:textbox>
                    <w:txbxContent>
                      <w:p w14:paraId="22E46493" w14:textId="77777777" w:rsidR="00A2652E" w:rsidRPr="001B7121" w:rsidRDefault="00A2652E" w:rsidP="008253DD">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o:spid="_x0000_s1031" type="#_x0000_t202" style="position:absolute;left:9435;top:5756;width:922;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3E26F88E" w14:textId="77777777" w:rsidR="00A2652E" w:rsidRPr="001B7121" w:rsidRDefault="00A2652E" w:rsidP="008253DD">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14:paraId="0E1704BF" w14:textId="77777777" w:rsidR="008253DD" w:rsidRPr="00CB40F4" w:rsidRDefault="008253DD" w:rsidP="008253DD">
      <w:pPr>
        <w:pStyle w:val="BodyTextFirstIndent"/>
        <w:spacing w:after="0"/>
        <w:ind w:firstLine="0"/>
        <w:rPr>
          <w:rFonts w:asciiTheme="majorBidi" w:hAnsiTheme="majorBidi" w:cstheme="majorBidi"/>
          <w:b/>
          <w:bCs/>
          <w:sz w:val="22"/>
          <w:szCs w:val="22"/>
        </w:rPr>
      </w:pPr>
      <w:r w:rsidRPr="00CB40F4">
        <w:rPr>
          <w:rFonts w:asciiTheme="majorBidi" w:hAnsiTheme="majorBidi" w:cstheme="majorBidi"/>
          <w:b/>
          <w:bCs/>
          <w:sz w:val="22"/>
          <w:szCs w:val="22"/>
        </w:rPr>
        <w:t>Figure 1: Method for Calculating Paperwork Burden from Test Costs</w:t>
      </w:r>
    </w:p>
    <w:p w14:paraId="241DCD62" w14:textId="77777777" w:rsidR="008253DD" w:rsidRPr="00CB40F4" w:rsidRDefault="008253DD" w:rsidP="008253DD">
      <w:pPr>
        <w:pStyle w:val="BodyTextFirstIndent"/>
        <w:spacing w:after="0"/>
        <w:ind w:firstLine="216"/>
        <w:rPr>
          <w:rFonts w:asciiTheme="majorBidi" w:hAnsiTheme="majorBidi" w:cstheme="majorBidi"/>
          <w:szCs w:val="24"/>
        </w:rPr>
      </w:pPr>
    </w:p>
    <w:p w14:paraId="265CF2B5" w14:textId="77777777" w:rsidR="008253DD" w:rsidRPr="00CB40F4" w:rsidRDefault="008253DD" w:rsidP="008253DD">
      <w:pPr>
        <w:pStyle w:val="BodyTextFirstIndent"/>
        <w:spacing w:after="0"/>
        <w:ind w:firstLine="216"/>
        <w:rPr>
          <w:rFonts w:asciiTheme="majorBidi" w:hAnsiTheme="majorBidi" w:cstheme="majorBidi"/>
          <w:szCs w:val="24"/>
        </w:rPr>
      </w:pPr>
    </w:p>
    <w:p w14:paraId="56D7D5E1" w14:textId="53B2A9E8" w:rsidR="008253DD" w:rsidRPr="00CB40F4" w:rsidRDefault="008253DD" w:rsidP="00970B5B">
      <w:pPr>
        <w:pStyle w:val="BodyTextFirstIndent"/>
        <w:spacing w:after="0"/>
        <w:ind w:firstLine="720"/>
        <w:rPr>
          <w:rFonts w:asciiTheme="majorBidi" w:hAnsiTheme="majorBidi" w:cstheme="majorBidi"/>
          <w:szCs w:val="24"/>
        </w:rPr>
      </w:pPr>
      <w:r w:rsidRPr="00CB40F4">
        <w:rPr>
          <w:rFonts w:asciiTheme="majorBidi" w:hAnsiTheme="majorBidi" w:cstheme="majorBidi"/>
          <w:szCs w:val="24"/>
        </w:rPr>
        <w:t xml:space="preserve">Similar to the </w:t>
      </w:r>
      <w:r w:rsidR="00830370" w:rsidRPr="00CB40F4">
        <w:rPr>
          <w:rFonts w:asciiTheme="majorBidi" w:hAnsiTheme="majorBidi" w:cstheme="majorBidi"/>
          <w:szCs w:val="24"/>
        </w:rPr>
        <w:t xml:space="preserve">data call-in or </w:t>
      </w:r>
      <w:r w:rsidRPr="00CB40F4">
        <w:rPr>
          <w:rFonts w:asciiTheme="majorBidi" w:hAnsiTheme="majorBidi" w:cstheme="majorBidi"/>
          <w:szCs w:val="24"/>
        </w:rPr>
        <w:t>DCI ICR (OMB Control No.</w:t>
      </w:r>
      <w:r w:rsidR="00650B2D" w:rsidRPr="00CB40F4">
        <w:rPr>
          <w:rFonts w:asciiTheme="majorBidi" w:hAnsiTheme="majorBidi" w:cstheme="majorBidi"/>
          <w:szCs w:val="24"/>
        </w:rPr>
        <w:t xml:space="preserve"> 2070-017</w:t>
      </w:r>
      <w:r w:rsidR="00830370" w:rsidRPr="00CB40F4">
        <w:rPr>
          <w:rFonts w:asciiTheme="majorBidi" w:hAnsiTheme="majorBidi" w:cstheme="majorBidi"/>
          <w:szCs w:val="24"/>
        </w:rPr>
        <w:t>4</w:t>
      </w:r>
      <w:r w:rsidRPr="00CB40F4">
        <w:rPr>
          <w:rFonts w:asciiTheme="majorBidi" w:hAnsiTheme="majorBidi" w:cstheme="majorBidi"/>
          <w:szCs w:val="24"/>
        </w:rPr>
        <w:t>), this approach assumes and incorporates the following core considerations:</w:t>
      </w:r>
    </w:p>
    <w:p w14:paraId="3135078F" w14:textId="77777777" w:rsidR="008253DD" w:rsidRPr="00CB40F4" w:rsidRDefault="008253DD" w:rsidP="008253DD">
      <w:pPr>
        <w:pStyle w:val="BodyTextFirstIndent"/>
        <w:spacing w:after="0"/>
        <w:ind w:firstLine="216"/>
        <w:rPr>
          <w:rFonts w:asciiTheme="majorBidi" w:hAnsiTheme="majorBidi" w:cstheme="majorBidi"/>
          <w:szCs w:val="24"/>
        </w:rPr>
      </w:pPr>
    </w:p>
    <w:p w14:paraId="5A6FC53A" w14:textId="1FE39995" w:rsidR="008253DD" w:rsidRPr="00CB40F4" w:rsidRDefault="008253DD" w:rsidP="00A16077">
      <w:pPr>
        <w:pStyle w:val="BodyTextFirstIndent"/>
        <w:numPr>
          <w:ilvl w:val="0"/>
          <w:numId w:val="23"/>
        </w:numPr>
        <w:spacing w:after="0"/>
        <w:rPr>
          <w:rFonts w:asciiTheme="majorBidi" w:hAnsiTheme="majorBidi" w:cstheme="majorBidi"/>
          <w:szCs w:val="24"/>
        </w:rPr>
      </w:pPr>
      <w:r w:rsidRPr="00CB40F4">
        <w:rPr>
          <w:rFonts w:asciiTheme="majorBidi" w:hAnsiTheme="majorBidi" w:cstheme="majorBidi"/>
          <w:szCs w:val="24"/>
        </w:rPr>
        <w:t>Registrants generate all of the data as specified in the CFR without any changes, and none of the data is waived.</w:t>
      </w:r>
    </w:p>
    <w:p w14:paraId="6E029B06" w14:textId="77777777" w:rsidR="00A16077" w:rsidRPr="00CB40F4" w:rsidRDefault="00A16077" w:rsidP="00A16077">
      <w:pPr>
        <w:pStyle w:val="BodyTextFirstIndent"/>
        <w:spacing w:after="0"/>
        <w:ind w:left="726" w:firstLine="0"/>
        <w:rPr>
          <w:rFonts w:asciiTheme="majorBidi" w:hAnsiTheme="majorBidi" w:cstheme="majorBidi"/>
          <w:szCs w:val="24"/>
        </w:rPr>
      </w:pPr>
    </w:p>
    <w:p w14:paraId="0CEE1877" w14:textId="7987B10F" w:rsidR="008253DD" w:rsidRPr="00CB40F4" w:rsidRDefault="008253DD" w:rsidP="00A16077">
      <w:pPr>
        <w:pStyle w:val="BodyTextFirstIndent"/>
        <w:numPr>
          <w:ilvl w:val="0"/>
          <w:numId w:val="23"/>
        </w:numPr>
        <w:spacing w:after="0"/>
        <w:rPr>
          <w:rFonts w:asciiTheme="majorBidi" w:hAnsiTheme="majorBidi" w:cstheme="majorBidi"/>
          <w:szCs w:val="24"/>
        </w:rPr>
      </w:pPr>
      <w:r w:rsidRPr="00CB40F4">
        <w:rPr>
          <w:rFonts w:asciiTheme="majorBidi" w:hAnsiTheme="majorBidi" w:cstheme="majorBidi"/>
          <w:szCs w:val="24"/>
        </w:rPr>
        <w:t>All data generation is performed by an independent laboratory.</w:t>
      </w:r>
    </w:p>
    <w:p w14:paraId="121A7EB1" w14:textId="77777777" w:rsidR="00A16077" w:rsidRPr="00CB40F4" w:rsidRDefault="00A16077" w:rsidP="00A16077">
      <w:pPr>
        <w:pStyle w:val="BodyTextFirstIndent"/>
        <w:spacing w:after="0"/>
        <w:ind w:left="726" w:firstLine="0"/>
        <w:rPr>
          <w:rFonts w:asciiTheme="majorBidi" w:hAnsiTheme="majorBidi" w:cstheme="majorBidi"/>
          <w:szCs w:val="24"/>
        </w:rPr>
      </w:pPr>
    </w:p>
    <w:p w14:paraId="252D5144" w14:textId="77777777" w:rsidR="008253DD" w:rsidRPr="00CB40F4" w:rsidRDefault="008253DD" w:rsidP="008253DD">
      <w:pPr>
        <w:pStyle w:val="BodyTextFirstIndent"/>
        <w:spacing w:after="0"/>
        <w:ind w:left="720" w:hanging="504"/>
        <w:rPr>
          <w:rFonts w:asciiTheme="majorBidi" w:hAnsiTheme="majorBidi" w:cstheme="majorBidi"/>
          <w:szCs w:val="24"/>
        </w:rPr>
      </w:pPr>
      <w:r w:rsidRPr="00CB40F4">
        <w:rPr>
          <w:rFonts w:asciiTheme="majorBidi" w:hAnsiTheme="majorBidi" w:cstheme="majorBidi"/>
          <w:szCs w:val="24"/>
        </w:rPr>
        <w:t>(3)</w:t>
      </w:r>
      <w:r w:rsidRPr="00CB40F4">
        <w:rPr>
          <w:rFonts w:asciiTheme="majorBidi" w:hAnsiTheme="majorBidi" w:cstheme="majorBidi"/>
          <w:szCs w:val="24"/>
        </w:rPr>
        <w:tab/>
        <w:t>Paperwork burden is disaggregated by labor category as follows:</w:t>
      </w:r>
    </w:p>
    <w:p w14:paraId="569374D8" w14:textId="77777777" w:rsidR="008253DD" w:rsidRPr="00CB40F4" w:rsidRDefault="008253DD" w:rsidP="008253DD">
      <w:pPr>
        <w:pStyle w:val="BodyTextFirstIndent"/>
        <w:spacing w:after="0"/>
        <w:ind w:left="720" w:hanging="504"/>
        <w:rPr>
          <w:rFonts w:asciiTheme="majorBidi" w:hAnsiTheme="majorBidi" w:cstheme="majorBidi"/>
          <w:szCs w:val="24"/>
        </w:rPr>
      </w:pPr>
    </w:p>
    <w:p w14:paraId="71F665D2" w14:textId="77777777" w:rsidR="008253DD" w:rsidRPr="00CB40F4" w:rsidRDefault="008253DD" w:rsidP="008253DD">
      <w:pPr>
        <w:pStyle w:val="BodyTextFirstIndent"/>
        <w:spacing w:after="0"/>
        <w:ind w:left="418" w:firstLine="302"/>
        <w:rPr>
          <w:rFonts w:asciiTheme="majorBidi" w:hAnsiTheme="majorBidi" w:cstheme="majorBidi"/>
          <w:szCs w:val="24"/>
        </w:rPr>
      </w:pPr>
      <w:r w:rsidRPr="00CB40F4">
        <w:rPr>
          <w:rFonts w:asciiTheme="majorBidi" w:hAnsiTheme="majorBidi" w:cstheme="majorBidi"/>
          <w:szCs w:val="24"/>
        </w:rPr>
        <w:t>a. Managerial (20%)</w:t>
      </w:r>
    </w:p>
    <w:p w14:paraId="14AD23F3" w14:textId="77777777" w:rsidR="008253DD" w:rsidRPr="00CB40F4" w:rsidRDefault="008253DD" w:rsidP="008253DD">
      <w:pPr>
        <w:pStyle w:val="BodyTextFirstIndent"/>
        <w:spacing w:after="0"/>
        <w:ind w:left="418" w:firstLine="302"/>
        <w:rPr>
          <w:rFonts w:asciiTheme="majorBidi" w:hAnsiTheme="majorBidi" w:cstheme="majorBidi"/>
          <w:szCs w:val="24"/>
        </w:rPr>
      </w:pPr>
      <w:r w:rsidRPr="00CB40F4">
        <w:rPr>
          <w:rFonts w:asciiTheme="majorBidi" w:hAnsiTheme="majorBidi" w:cstheme="majorBidi"/>
          <w:szCs w:val="24"/>
        </w:rPr>
        <w:t>b. Technical (65%)</w:t>
      </w:r>
    </w:p>
    <w:p w14:paraId="5148E217" w14:textId="77777777" w:rsidR="008253DD" w:rsidRPr="00CB40F4" w:rsidRDefault="008253DD" w:rsidP="008253DD">
      <w:pPr>
        <w:pStyle w:val="BodyTextFirstIndent"/>
        <w:spacing w:after="0"/>
        <w:ind w:left="418" w:firstLine="302"/>
        <w:rPr>
          <w:rFonts w:asciiTheme="majorBidi" w:hAnsiTheme="majorBidi" w:cstheme="majorBidi"/>
          <w:szCs w:val="24"/>
        </w:rPr>
      </w:pPr>
      <w:r w:rsidRPr="00CB40F4">
        <w:rPr>
          <w:rFonts w:asciiTheme="majorBidi" w:hAnsiTheme="majorBidi" w:cstheme="majorBidi"/>
          <w:szCs w:val="24"/>
        </w:rPr>
        <w:t>c. Clerical (15%)</w:t>
      </w:r>
    </w:p>
    <w:p w14:paraId="74166AC3" w14:textId="77777777" w:rsidR="008253DD" w:rsidRPr="00CB40F4" w:rsidRDefault="008253DD" w:rsidP="008253DD">
      <w:pPr>
        <w:pStyle w:val="BodyTextFirstIndent"/>
        <w:spacing w:after="0"/>
        <w:ind w:left="418" w:firstLine="302"/>
        <w:rPr>
          <w:rFonts w:asciiTheme="majorBidi" w:hAnsiTheme="majorBidi" w:cstheme="majorBidi"/>
          <w:szCs w:val="24"/>
        </w:rPr>
      </w:pPr>
    </w:p>
    <w:p w14:paraId="1B0AB5F3" w14:textId="7502244C" w:rsidR="008253DD" w:rsidRPr="00CB40F4" w:rsidRDefault="008253DD" w:rsidP="008253DD">
      <w:pPr>
        <w:pStyle w:val="BodyTextFirstIndent"/>
        <w:spacing w:after="0"/>
        <w:ind w:left="720" w:hanging="540"/>
        <w:rPr>
          <w:rFonts w:asciiTheme="majorBidi" w:hAnsiTheme="majorBidi" w:cstheme="majorBidi"/>
          <w:szCs w:val="24"/>
        </w:rPr>
      </w:pPr>
      <w:r w:rsidRPr="00CB40F4">
        <w:rPr>
          <w:rFonts w:asciiTheme="majorBidi" w:hAnsiTheme="majorBidi" w:cstheme="majorBidi"/>
          <w:szCs w:val="24"/>
        </w:rPr>
        <w:t>(4)</w:t>
      </w:r>
      <w:r w:rsidRPr="00CB40F4">
        <w:rPr>
          <w:rFonts w:asciiTheme="majorBidi" w:hAnsiTheme="majorBidi" w:cstheme="majorBidi"/>
          <w:szCs w:val="24"/>
        </w:rPr>
        <w:tab/>
        <w:t xml:space="preserve">Labor rates are fully loaded, meaning that they include the estimated costs of wages, overhead, and benefits paid to an employee. See </w:t>
      </w:r>
      <w:r w:rsidRPr="00CB40F4">
        <w:rPr>
          <w:rFonts w:asciiTheme="majorBidi" w:hAnsiTheme="majorBidi" w:cstheme="majorBidi"/>
          <w:b/>
          <w:szCs w:val="24"/>
        </w:rPr>
        <w:t xml:space="preserve">Attachment </w:t>
      </w:r>
      <w:r w:rsidR="007A6470" w:rsidRPr="00CB40F4">
        <w:rPr>
          <w:rFonts w:asciiTheme="majorBidi" w:hAnsiTheme="majorBidi" w:cstheme="majorBidi"/>
          <w:b/>
          <w:szCs w:val="24"/>
        </w:rPr>
        <w:t>J</w:t>
      </w:r>
      <w:r w:rsidRPr="00CB40F4">
        <w:rPr>
          <w:rFonts w:asciiTheme="majorBidi" w:hAnsiTheme="majorBidi" w:cstheme="majorBidi"/>
          <w:szCs w:val="24"/>
        </w:rPr>
        <w:t xml:space="preserve">. </w:t>
      </w:r>
    </w:p>
    <w:p w14:paraId="04F2EF8A" w14:textId="77777777" w:rsidR="008253DD" w:rsidRPr="00CB40F4" w:rsidRDefault="008253DD" w:rsidP="008253DD">
      <w:pPr>
        <w:rPr>
          <w:rFonts w:asciiTheme="majorBidi" w:hAnsiTheme="majorBidi" w:cstheme="majorBidi"/>
        </w:rPr>
      </w:pPr>
    </w:p>
    <w:p w14:paraId="76DC46D0" w14:textId="79D710D0" w:rsidR="008253DD" w:rsidRPr="00CB40F4" w:rsidRDefault="008253DD" w:rsidP="008253DD">
      <w:pPr>
        <w:keepNext/>
        <w:rPr>
          <w:rFonts w:asciiTheme="majorBidi" w:hAnsiTheme="majorBidi" w:cstheme="majorBidi"/>
        </w:rPr>
      </w:pPr>
      <w:r w:rsidRPr="00CB40F4">
        <w:rPr>
          <w:rFonts w:asciiTheme="majorBidi" w:hAnsiTheme="majorBidi" w:cstheme="majorBidi"/>
        </w:rPr>
        <w:tab/>
        <w:t>Using this methodology, Tables 6-A and 6-B below estimate the paperwork burden associated with registering a new AI and a new product for each of the three registering divisions: the Antimicrobial Division (AD), the Biopesticides and Pollution Prevention Division (BPPD), and the Registration Division (RD).</w:t>
      </w:r>
      <w:r w:rsidR="007841AD" w:rsidRPr="00CB40F4">
        <w:rPr>
          <w:rFonts w:asciiTheme="majorBidi" w:hAnsiTheme="majorBidi" w:cstheme="majorBidi"/>
        </w:rPr>
        <w:t xml:space="preserve"> </w:t>
      </w:r>
      <w:r w:rsidRPr="00CB40F4">
        <w:rPr>
          <w:rFonts w:asciiTheme="majorBidi" w:hAnsiTheme="majorBidi" w:cstheme="majorBidi"/>
        </w:rPr>
        <w:t xml:space="preserve">The costs of registering a new AI vary depending </w:t>
      </w:r>
      <w:r w:rsidRPr="00CB40F4">
        <w:rPr>
          <w:rFonts w:asciiTheme="majorBidi" w:hAnsiTheme="majorBidi" w:cstheme="majorBidi"/>
        </w:rPr>
        <w:lastRenderedPageBreak/>
        <w:t>on use parameters, e.g., food or non-food use, indoor or outdoor use pattern.</w:t>
      </w:r>
      <w:r w:rsidR="007841AD" w:rsidRPr="00CB40F4">
        <w:rPr>
          <w:rFonts w:asciiTheme="majorBidi" w:hAnsiTheme="majorBidi" w:cstheme="majorBidi"/>
        </w:rPr>
        <w:t xml:space="preserve"> </w:t>
      </w:r>
      <w:r w:rsidRPr="00CB40F4">
        <w:rPr>
          <w:rFonts w:asciiTheme="majorBidi" w:hAnsiTheme="majorBidi" w:cstheme="majorBidi"/>
        </w:rPr>
        <w:t>The data costs used to calculate paperwork burden are an average of total costs across different types of uses that might be registered in that division.</w:t>
      </w:r>
      <w:r w:rsidR="007841AD" w:rsidRPr="00CB40F4">
        <w:rPr>
          <w:rFonts w:asciiTheme="majorBidi" w:hAnsiTheme="majorBidi" w:cstheme="majorBidi"/>
        </w:rPr>
        <w:t xml:space="preserve"> </w:t>
      </w:r>
    </w:p>
    <w:p w14:paraId="7B9596EA" w14:textId="77777777" w:rsidR="008253DD" w:rsidRPr="00CB40F4" w:rsidRDefault="008253DD" w:rsidP="008253DD">
      <w:pPr>
        <w:keepNext/>
        <w:rPr>
          <w:rFonts w:asciiTheme="majorBidi" w:hAnsiTheme="majorBidi" w:cstheme="majorBidi"/>
        </w:rPr>
      </w:pPr>
    </w:p>
    <w:p w14:paraId="34CB8ADE" w14:textId="69E178E9" w:rsidR="008253DD" w:rsidRPr="00CB40F4" w:rsidRDefault="008253DD" w:rsidP="008253DD">
      <w:pPr>
        <w:keepNext/>
        <w:ind w:firstLine="720"/>
        <w:rPr>
          <w:rFonts w:asciiTheme="majorBidi" w:hAnsiTheme="majorBidi" w:cstheme="majorBidi"/>
        </w:rPr>
      </w:pPr>
      <w:r w:rsidRPr="00CB40F4">
        <w:rPr>
          <w:rFonts w:asciiTheme="majorBidi" w:hAnsiTheme="majorBidi" w:cstheme="majorBidi"/>
        </w:rPr>
        <w:t>Table 6-A shows that the average cost of data for registering a new AI ranges from an average of $4.65 million for a new biopesticide to an average of $8.97 million for a new conventional chemical.</w:t>
      </w:r>
      <w:r w:rsidR="007841AD" w:rsidRPr="00CB40F4">
        <w:rPr>
          <w:rFonts w:asciiTheme="majorBidi" w:hAnsiTheme="majorBidi" w:cstheme="majorBidi"/>
        </w:rPr>
        <w:t xml:space="preserve"> </w:t>
      </w:r>
      <w:r w:rsidRPr="00CB40F4">
        <w:rPr>
          <w:rFonts w:asciiTheme="majorBidi" w:hAnsiTheme="majorBidi" w:cstheme="majorBidi"/>
        </w:rPr>
        <w:t>The paperwork burden, 35% of the cost of data generation, ranges from $1.63 million to $3.14 million or between 23 thousand and 45 thousand hours of burden.</w:t>
      </w:r>
      <w:r w:rsidR="007841AD" w:rsidRPr="00CB40F4">
        <w:rPr>
          <w:rFonts w:asciiTheme="majorBidi" w:hAnsiTheme="majorBidi" w:cstheme="majorBidi"/>
        </w:rPr>
        <w:t xml:space="preserve"> </w:t>
      </w:r>
    </w:p>
    <w:p w14:paraId="7F9B23DC" w14:textId="77777777" w:rsidR="008253DD" w:rsidRPr="00CB40F4" w:rsidRDefault="008253DD" w:rsidP="008253DD">
      <w:pPr>
        <w:rPr>
          <w:rFonts w:asciiTheme="majorBidi" w:hAnsiTheme="majorBidi" w:cstheme="majorBidi"/>
        </w:rPr>
      </w:pPr>
    </w:p>
    <w:p w14:paraId="268775C9" w14:textId="77777777" w:rsidR="008253DD" w:rsidRPr="00CB40F4" w:rsidRDefault="008253DD" w:rsidP="008253DD">
      <w:pPr>
        <w:rPr>
          <w:rFonts w:asciiTheme="majorBidi" w:hAnsiTheme="majorBidi" w:cstheme="majorBidi"/>
          <w:sz w:val="22"/>
          <w:szCs w:val="22"/>
        </w:rPr>
      </w:pPr>
      <w:r w:rsidRPr="00CB40F4">
        <w:rPr>
          <w:rFonts w:asciiTheme="majorBidi" w:hAnsiTheme="majorBidi" w:cstheme="majorBidi"/>
          <w:b/>
          <w:bCs/>
          <w:sz w:val="22"/>
          <w:szCs w:val="22"/>
        </w:rPr>
        <w:t>Table 6-A: Estimates of Paperwork Burden Hours from Data Generation for New AIs</w:t>
      </w:r>
    </w:p>
    <w:tbl>
      <w:tblPr>
        <w:tblW w:w="5000" w:type="pct"/>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19"/>
        <w:gridCol w:w="910"/>
        <w:gridCol w:w="1084"/>
        <w:gridCol w:w="802"/>
        <w:gridCol w:w="802"/>
        <w:gridCol w:w="802"/>
        <w:gridCol w:w="804"/>
        <w:gridCol w:w="802"/>
        <w:gridCol w:w="804"/>
        <w:gridCol w:w="802"/>
        <w:gridCol w:w="799"/>
      </w:tblGrid>
      <w:tr w:rsidR="008253DD" w:rsidRPr="00CB40F4" w14:paraId="70C72350" w14:textId="77777777" w:rsidTr="001E1DD8">
        <w:trPr>
          <w:trHeight w:val="255"/>
        </w:trPr>
        <w:tc>
          <w:tcPr>
            <w:tcW w:w="492" w:type="pct"/>
            <w:vMerge w:val="restart"/>
            <w:shd w:val="clear" w:color="auto" w:fill="auto"/>
            <w:noWrap/>
            <w:vAlign w:val="center"/>
            <w:hideMark/>
          </w:tcPr>
          <w:p w14:paraId="35BE78A9" w14:textId="77777777" w:rsidR="008253DD" w:rsidRPr="00CB40F4" w:rsidRDefault="008253DD" w:rsidP="00650B2D">
            <w:pPr>
              <w:rPr>
                <w:rFonts w:asciiTheme="majorBidi" w:hAnsiTheme="majorBidi" w:cstheme="majorBidi"/>
                <w:sz w:val="20"/>
                <w:szCs w:val="20"/>
              </w:rPr>
            </w:pPr>
            <w:r w:rsidRPr="00CB40F4">
              <w:rPr>
                <w:rFonts w:asciiTheme="majorBidi" w:hAnsiTheme="majorBidi" w:cstheme="majorBidi"/>
                <w:b/>
                <w:sz w:val="20"/>
                <w:szCs w:val="20"/>
              </w:rPr>
              <w:t>Division</w:t>
            </w:r>
          </w:p>
        </w:tc>
        <w:tc>
          <w:tcPr>
            <w:tcW w:w="487" w:type="pct"/>
            <w:vMerge w:val="restart"/>
            <w:vAlign w:val="center"/>
          </w:tcPr>
          <w:p w14:paraId="6727C0A9" w14:textId="77777777" w:rsidR="008253DD" w:rsidRPr="00CB40F4" w:rsidRDefault="008253DD" w:rsidP="00650B2D">
            <w:pPr>
              <w:jc w:val="center"/>
              <w:rPr>
                <w:rFonts w:asciiTheme="majorBidi" w:hAnsiTheme="majorBidi" w:cstheme="majorBidi"/>
                <w:b/>
                <w:bCs/>
                <w:sz w:val="20"/>
                <w:szCs w:val="20"/>
                <w:vertAlign w:val="superscript"/>
              </w:rPr>
            </w:pPr>
            <w:r w:rsidRPr="00CB40F4">
              <w:rPr>
                <w:rFonts w:asciiTheme="majorBidi" w:hAnsiTheme="majorBidi" w:cstheme="majorBidi"/>
                <w:b/>
                <w:bCs/>
                <w:sz w:val="20"/>
                <w:szCs w:val="20"/>
              </w:rPr>
              <w:t>Data Cost ($000s)</w:t>
            </w:r>
          </w:p>
        </w:tc>
        <w:tc>
          <w:tcPr>
            <w:tcW w:w="581" w:type="pct"/>
            <w:vMerge w:val="restart"/>
            <w:shd w:val="clear" w:color="auto" w:fill="auto"/>
            <w:vAlign w:val="center"/>
            <w:hideMark/>
          </w:tcPr>
          <w:p w14:paraId="7B17085B" w14:textId="77777777" w:rsidR="008253DD" w:rsidRPr="00CB40F4" w:rsidRDefault="008253DD" w:rsidP="00650B2D">
            <w:pPr>
              <w:ind w:left="-108" w:right="-108"/>
              <w:jc w:val="center"/>
              <w:rPr>
                <w:rFonts w:asciiTheme="majorBidi" w:hAnsiTheme="majorBidi" w:cstheme="majorBidi"/>
                <w:b/>
                <w:bCs/>
                <w:sz w:val="20"/>
                <w:szCs w:val="20"/>
              </w:rPr>
            </w:pPr>
            <w:r w:rsidRPr="00CB40F4">
              <w:rPr>
                <w:rFonts w:asciiTheme="majorBidi" w:hAnsiTheme="majorBidi" w:cstheme="majorBidi"/>
                <w:b/>
                <w:bCs/>
                <w:sz w:val="20"/>
                <w:szCs w:val="20"/>
              </w:rPr>
              <w:t xml:space="preserve">Paperwork Cost </w:t>
            </w:r>
          </w:p>
          <w:p w14:paraId="3DA879A7" w14:textId="77777777" w:rsidR="008253DD" w:rsidRPr="00CB40F4" w:rsidRDefault="008253DD" w:rsidP="00650B2D">
            <w:pPr>
              <w:ind w:left="-108" w:right="-108"/>
              <w:jc w:val="center"/>
              <w:rPr>
                <w:rFonts w:asciiTheme="majorBidi" w:hAnsiTheme="majorBidi" w:cstheme="majorBidi"/>
                <w:b/>
                <w:bCs/>
                <w:sz w:val="20"/>
                <w:szCs w:val="20"/>
              </w:rPr>
            </w:pPr>
            <w:r w:rsidRPr="00CB40F4">
              <w:rPr>
                <w:rFonts w:asciiTheme="majorBidi" w:hAnsiTheme="majorBidi" w:cstheme="majorBidi"/>
                <w:b/>
                <w:bCs/>
                <w:sz w:val="20"/>
                <w:szCs w:val="20"/>
              </w:rPr>
              <w:t>($000s)</w:t>
            </w:r>
          </w:p>
        </w:tc>
        <w:tc>
          <w:tcPr>
            <w:tcW w:w="860" w:type="pct"/>
            <w:gridSpan w:val="2"/>
            <w:shd w:val="clear" w:color="auto" w:fill="auto"/>
            <w:noWrap/>
            <w:vAlign w:val="center"/>
            <w:hideMark/>
          </w:tcPr>
          <w:p w14:paraId="034FD968"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Managerial</w:t>
            </w:r>
          </w:p>
        </w:tc>
        <w:tc>
          <w:tcPr>
            <w:tcW w:w="861" w:type="pct"/>
            <w:gridSpan w:val="2"/>
            <w:shd w:val="clear" w:color="auto" w:fill="auto"/>
            <w:noWrap/>
            <w:vAlign w:val="center"/>
            <w:hideMark/>
          </w:tcPr>
          <w:p w14:paraId="2954272D"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Technical</w:t>
            </w:r>
          </w:p>
        </w:tc>
        <w:tc>
          <w:tcPr>
            <w:tcW w:w="861" w:type="pct"/>
            <w:gridSpan w:val="2"/>
            <w:shd w:val="clear" w:color="auto" w:fill="auto"/>
            <w:noWrap/>
            <w:vAlign w:val="center"/>
            <w:hideMark/>
          </w:tcPr>
          <w:p w14:paraId="1C6FAC43"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Clerical</w:t>
            </w:r>
          </w:p>
        </w:tc>
        <w:tc>
          <w:tcPr>
            <w:tcW w:w="860" w:type="pct"/>
            <w:gridSpan w:val="2"/>
            <w:shd w:val="clear" w:color="auto" w:fill="auto"/>
            <w:noWrap/>
            <w:vAlign w:val="center"/>
            <w:hideMark/>
          </w:tcPr>
          <w:p w14:paraId="033058B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Total</w:t>
            </w:r>
          </w:p>
        </w:tc>
      </w:tr>
      <w:tr w:rsidR="008253DD" w:rsidRPr="00CB40F4" w14:paraId="4B871448" w14:textId="77777777" w:rsidTr="001E1DD8">
        <w:trPr>
          <w:trHeight w:val="255"/>
        </w:trPr>
        <w:tc>
          <w:tcPr>
            <w:tcW w:w="492" w:type="pct"/>
            <w:vMerge/>
            <w:shd w:val="clear" w:color="auto" w:fill="auto"/>
            <w:noWrap/>
            <w:vAlign w:val="center"/>
            <w:hideMark/>
          </w:tcPr>
          <w:p w14:paraId="22A2A9EE" w14:textId="77777777" w:rsidR="008253DD" w:rsidRPr="00CB40F4" w:rsidRDefault="008253DD" w:rsidP="00650B2D">
            <w:pPr>
              <w:jc w:val="center"/>
              <w:rPr>
                <w:rFonts w:asciiTheme="majorBidi" w:hAnsiTheme="majorBidi" w:cstheme="majorBidi"/>
                <w:b/>
                <w:bCs/>
                <w:sz w:val="20"/>
                <w:szCs w:val="20"/>
              </w:rPr>
            </w:pPr>
          </w:p>
        </w:tc>
        <w:tc>
          <w:tcPr>
            <w:tcW w:w="487" w:type="pct"/>
            <w:vMerge/>
            <w:vAlign w:val="center"/>
          </w:tcPr>
          <w:p w14:paraId="555DCF39" w14:textId="77777777" w:rsidR="008253DD" w:rsidRPr="00CB40F4" w:rsidRDefault="008253DD" w:rsidP="00650B2D">
            <w:pPr>
              <w:rPr>
                <w:rFonts w:asciiTheme="majorBidi" w:hAnsiTheme="majorBidi" w:cstheme="majorBidi"/>
                <w:b/>
                <w:bCs/>
                <w:sz w:val="20"/>
                <w:szCs w:val="20"/>
              </w:rPr>
            </w:pPr>
          </w:p>
        </w:tc>
        <w:tc>
          <w:tcPr>
            <w:tcW w:w="581" w:type="pct"/>
            <w:vMerge/>
            <w:vAlign w:val="center"/>
            <w:hideMark/>
          </w:tcPr>
          <w:p w14:paraId="0AE3ADA7" w14:textId="77777777" w:rsidR="008253DD" w:rsidRPr="00CB40F4" w:rsidRDefault="008253DD" w:rsidP="00650B2D">
            <w:pPr>
              <w:rPr>
                <w:rFonts w:asciiTheme="majorBidi" w:hAnsiTheme="majorBidi" w:cstheme="majorBidi"/>
                <w:b/>
                <w:bCs/>
                <w:sz w:val="20"/>
                <w:szCs w:val="20"/>
              </w:rPr>
            </w:pPr>
          </w:p>
        </w:tc>
        <w:tc>
          <w:tcPr>
            <w:tcW w:w="430" w:type="pct"/>
            <w:shd w:val="clear" w:color="auto" w:fill="auto"/>
            <w:noWrap/>
            <w:vAlign w:val="center"/>
            <w:hideMark/>
          </w:tcPr>
          <w:p w14:paraId="5B89A16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30" w:type="pct"/>
            <w:shd w:val="clear" w:color="auto" w:fill="auto"/>
            <w:noWrap/>
            <w:vAlign w:val="center"/>
            <w:hideMark/>
          </w:tcPr>
          <w:p w14:paraId="4A00EB8B"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30" w:type="pct"/>
            <w:shd w:val="clear" w:color="auto" w:fill="auto"/>
            <w:noWrap/>
            <w:vAlign w:val="center"/>
            <w:hideMark/>
          </w:tcPr>
          <w:p w14:paraId="2058FD27"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31" w:type="pct"/>
            <w:shd w:val="clear" w:color="auto" w:fill="auto"/>
            <w:noWrap/>
            <w:vAlign w:val="center"/>
            <w:hideMark/>
          </w:tcPr>
          <w:p w14:paraId="10F489DA"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30" w:type="pct"/>
            <w:shd w:val="clear" w:color="auto" w:fill="auto"/>
            <w:noWrap/>
            <w:vAlign w:val="center"/>
            <w:hideMark/>
          </w:tcPr>
          <w:p w14:paraId="10592B04"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31" w:type="pct"/>
            <w:shd w:val="clear" w:color="auto" w:fill="auto"/>
            <w:noWrap/>
            <w:vAlign w:val="center"/>
            <w:hideMark/>
          </w:tcPr>
          <w:p w14:paraId="47D4027B"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30" w:type="pct"/>
            <w:shd w:val="clear" w:color="auto" w:fill="auto"/>
            <w:noWrap/>
            <w:vAlign w:val="center"/>
            <w:hideMark/>
          </w:tcPr>
          <w:p w14:paraId="2B701435"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30" w:type="pct"/>
            <w:shd w:val="clear" w:color="auto" w:fill="auto"/>
            <w:noWrap/>
            <w:vAlign w:val="center"/>
            <w:hideMark/>
          </w:tcPr>
          <w:p w14:paraId="05C401D6"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r>
      <w:tr w:rsidR="008253DD" w:rsidRPr="00CB40F4" w14:paraId="2844E9AD" w14:textId="77777777" w:rsidTr="001E1DD8">
        <w:trPr>
          <w:trHeight w:val="255"/>
        </w:trPr>
        <w:tc>
          <w:tcPr>
            <w:tcW w:w="492" w:type="pct"/>
            <w:shd w:val="clear" w:color="auto" w:fill="auto"/>
            <w:noWrap/>
            <w:vAlign w:val="center"/>
            <w:hideMark/>
          </w:tcPr>
          <w:p w14:paraId="1821E813"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AD</w:t>
            </w:r>
          </w:p>
        </w:tc>
        <w:tc>
          <w:tcPr>
            <w:tcW w:w="487" w:type="pct"/>
            <w:shd w:val="clear" w:color="auto" w:fill="auto"/>
            <w:vAlign w:val="center"/>
          </w:tcPr>
          <w:p w14:paraId="67D0D32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$8,550</w:t>
            </w:r>
          </w:p>
        </w:tc>
        <w:tc>
          <w:tcPr>
            <w:tcW w:w="581" w:type="pct"/>
            <w:shd w:val="clear" w:color="auto" w:fill="auto"/>
            <w:noWrap/>
            <w:vAlign w:val="center"/>
            <w:hideMark/>
          </w:tcPr>
          <w:p w14:paraId="514260F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$2,993</w:t>
            </w:r>
          </w:p>
        </w:tc>
        <w:tc>
          <w:tcPr>
            <w:tcW w:w="430" w:type="pct"/>
            <w:shd w:val="clear" w:color="auto" w:fill="auto"/>
            <w:noWrap/>
            <w:vAlign w:val="center"/>
            <w:hideMark/>
          </w:tcPr>
          <w:p w14:paraId="7A8F4BC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4,918</w:t>
            </w:r>
          </w:p>
        </w:tc>
        <w:tc>
          <w:tcPr>
            <w:tcW w:w="430" w:type="pct"/>
            <w:shd w:val="clear" w:color="auto" w:fill="auto"/>
            <w:noWrap/>
            <w:vAlign w:val="center"/>
            <w:hideMark/>
          </w:tcPr>
          <w:p w14:paraId="665B264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2.4</w:t>
            </w:r>
          </w:p>
        </w:tc>
        <w:tc>
          <w:tcPr>
            <w:tcW w:w="430" w:type="pct"/>
            <w:shd w:val="clear" w:color="auto" w:fill="auto"/>
            <w:noWrap/>
            <w:vAlign w:val="center"/>
            <w:hideMark/>
          </w:tcPr>
          <w:p w14:paraId="51D742F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27,016</w:t>
            </w:r>
          </w:p>
        </w:tc>
        <w:tc>
          <w:tcPr>
            <w:tcW w:w="431" w:type="pct"/>
            <w:shd w:val="clear" w:color="auto" w:fill="auto"/>
            <w:noWrap/>
            <w:vAlign w:val="center"/>
            <w:hideMark/>
          </w:tcPr>
          <w:p w14:paraId="4A31A04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13.0</w:t>
            </w:r>
          </w:p>
        </w:tc>
        <w:tc>
          <w:tcPr>
            <w:tcW w:w="430" w:type="pct"/>
            <w:shd w:val="clear" w:color="auto" w:fill="auto"/>
            <w:noWrap/>
            <w:vAlign w:val="center"/>
            <w:hideMark/>
          </w:tcPr>
          <w:p w14:paraId="6CDF933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10,969</w:t>
            </w:r>
          </w:p>
        </w:tc>
        <w:tc>
          <w:tcPr>
            <w:tcW w:w="431" w:type="pct"/>
            <w:shd w:val="clear" w:color="auto" w:fill="auto"/>
            <w:noWrap/>
            <w:vAlign w:val="center"/>
            <w:hideMark/>
          </w:tcPr>
          <w:p w14:paraId="5820B99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5.3</w:t>
            </w:r>
          </w:p>
        </w:tc>
        <w:tc>
          <w:tcPr>
            <w:tcW w:w="430" w:type="pct"/>
            <w:shd w:val="clear" w:color="auto" w:fill="auto"/>
            <w:noWrap/>
            <w:vAlign w:val="center"/>
            <w:hideMark/>
          </w:tcPr>
          <w:p w14:paraId="7A7CD0A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42,903</w:t>
            </w:r>
          </w:p>
        </w:tc>
        <w:tc>
          <w:tcPr>
            <w:tcW w:w="430" w:type="pct"/>
            <w:shd w:val="clear" w:color="auto" w:fill="auto"/>
            <w:noWrap/>
            <w:vAlign w:val="center"/>
            <w:hideMark/>
          </w:tcPr>
          <w:p w14:paraId="215DD86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20.6</w:t>
            </w:r>
          </w:p>
        </w:tc>
      </w:tr>
      <w:tr w:rsidR="008253DD" w:rsidRPr="00CB40F4" w14:paraId="45C27EE2" w14:textId="77777777" w:rsidTr="001E1DD8">
        <w:trPr>
          <w:trHeight w:val="255"/>
        </w:trPr>
        <w:tc>
          <w:tcPr>
            <w:tcW w:w="492" w:type="pct"/>
            <w:shd w:val="clear" w:color="auto" w:fill="auto"/>
            <w:noWrap/>
            <w:vAlign w:val="center"/>
            <w:hideMark/>
          </w:tcPr>
          <w:p w14:paraId="76C55308"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BPPD</w:t>
            </w:r>
          </w:p>
        </w:tc>
        <w:tc>
          <w:tcPr>
            <w:tcW w:w="487" w:type="pct"/>
            <w:shd w:val="clear" w:color="auto" w:fill="auto"/>
            <w:vAlign w:val="center"/>
          </w:tcPr>
          <w:p w14:paraId="0B0F5B2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$4,645</w:t>
            </w:r>
          </w:p>
        </w:tc>
        <w:tc>
          <w:tcPr>
            <w:tcW w:w="581" w:type="pct"/>
            <w:shd w:val="clear" w:color="auto" w:fill="auto"/>
            <w:noWrap/>
            <w:vAlign w:val="center"/>
            <w:hideMark/>
          </w:tcPr>
          <w:p w14:paraId="6728F41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$1,626</w:t>
            </w:r>
          </w:p>
        </w:tc>
        <w:tc>
          <w:tcPr>
            <w:tcW w:w="430" w:type="pct"/>
            <w:shd w:val="clear" w:color="auto" w:fill="auto"/>
            <w:noWrap/>
            <w:vAlign w:val="center"/>
            <w:hideMark/>
          </w:tcPr>
          <w:p w14:paraId="2929A33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2,672</w:t>
            </w:r>
          </w:p>
        </w:tc>
        <w:tc>
          <w:tcPr>
            <w:tcW w:w="430" w:type="pct"/>
            <w:shd w:val="clear" w:color="auto" w:fill="auto"/>
            <w:noWrap/>
            <w:vAlign w:val="center"/>
            <w:hideMark/>
          </w:tcPr>
          <w:p w14:paraId="3D66AAE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1.3</w:t>
            </w:r>
          </w:p>
        </w:tc>
        <w:tc>
          <w:tcPr>
            <w:tcW w:w="430" w:type="pct"/>
            <w:shd w:val="clear" w:color="auto" w:fill="auto"/>
            <w:noWrap/>
            <w:vAlign w:val="center"/>
            <w:hideMark/>
          </w:tcPr>
          <w:p w14:paraId="26B63AE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14,677</w:t>
            </w:r>
          </w:p>
        </w:tc>
        <w:tc>
          <w:tcPr>
            <w:tcW w:w="431" w:type="pct"/>
            <w:shd w:val="clear" w:color="auto" w:fill="auto"/>
            <w:noWrap/>
            <w:vAlign w:val="center"/>
            <w:hideMark/>
          </w:tcPr>
          <w:p w14:paraId="37FF70F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7.1</w:t>
            </w:r>
          </w:p>
        </w:tc>
        <w:tc>
          <w:tcPr>
            <w:tcW w:w="430" w:type="pct"/>
            <w:shd w:val="clear" w:color="auto" w:fill="auto"/>
            <w:noWrap/>
            <w:vAlign w:val="center"/>
            <w:hideMark/>
          </w:tcPr>
          <w:p w14:paraId="5D9E5A0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5,959</w:t>
            </w:r>
          </w:p>
        </w:tc>
        <w:tc>
          <w:tcPr>
            <w:tcW w:w="431" w:type="pct"/>
            <w:shd w:val="clear" w:color="auto" w:fill="auto"/>
            <w:noWrap/>
            <w:vAlign w:val="center"/>
            <w:hideMark/>
          </w:tcPr>
          <w:p w14:paraId="1EF16AC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2.9</w:t>
            </w:r>
          </w:p>
        </w:tc>
        <w:tc>
          <w:tcPr>
            <w:tcW w:w="430" w:type="pct"/>
            <w:shd w:val="clear" w:color="auto" w:fill="auto"/>
            <w:noWrap/>
            <w:vAlign w:val="center"/>
            <w:hideMark/>
          </w:tcPr>
          <w:p w14:paraId="2E9A4E2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23,308</w:t>
            </w:r>
          </w:p>
        </w:tc>
        <w:tc>
          <w:tcPr>
            <w:tcW w:w="430" w:type="pct"/>
            <w:shd w:val="clear" w:color="auto" w:fill="auto"/>
            <w:noWrap/>
            <w:vAlign w:val="center"/>
            <w:hideMark/>
          </w:tcPr>
          <w:p w14:paraId="70B408C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11.2</w:t>
            </w:r>
          </w:p>
        </w:tc>
      </w:tr>
      <w:tr w:rsidR="008253DD" w:rsidRPr="00CB40F4" w14:paraId="6C1B2691" w14:textId="77777777" w:rsidTr="001E1DD8">
        <w:trPr>
          <w:trHeight w:val="255"/>
        </w:trPr>
        <w:tc>
          <w:tcPr>
            <w:tcW w:w="492" w:type="pct"/>
            <w:shd w:val="clear" w:color="auto" w:fill="auto"/>
            <w:noWrap/>
            <w:vAlign w:val="center"/>
            <w:hideMark/>
          </w:tcPr>
          <w:p w14:paraId="518A78D8"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RD</w:t>
            </w:r>
          </w:p>
        </w:tc>
        <w:tc>
          <w:tcPr>
            <w:tcW w:w="487" w:type="pct"/>
            <w:shd w:val="clear" w:color="auto" w:fill="auto"/>
            <w:vAlign w:val="center"/>
          </w:tcPr>
          <w:p w14:paraId="484AE10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$8,973</w:t>
            </w:r>
          </w:p>
        </w:tc>
        <w:tc>
          <w:tcPr>
            <w:tcW w:w="581" w:type="pct"/>
            <w:shd w:val="clear" w:color="auto" w:fill="auto"/>
            <w:noWrap/>
            <w:vAlign w:val="center"/>
            <w:hideMark/>
          </w:tcPr>
          <w:p w14:paraId="7BA73B8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$3,141</w:t>
            </w:r>
          </w:p>
        </w:tc>
        <w:tc>
          <w:tcPr>
            <w:tcW w:w="430" w:type="pct"/>
            <w:shd w:val="clear" w:color="auto" w:fill="auto"/>
            <w:noWrap/>
            <w:vAlign w:val="center"/>
            <w:hideMark/>
          </w:tcPr>
          <w:p w14:paraId="59A3AB8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5,161</w:t>
            </w:r>
          </w:p>
        </w:tc>
        <w:tc>
          <w:tcPr>
            <w:tcW w:w="430" w:type="pct"/>
            <w:shd w:val="clear" w:color="auto" w:fill="auto"/>
            <w:noWrap/>
            <w:vAlign w:val="center"/>
            <w:hideMark/>
          </w:tcPr>
          <w:p w14:paraId="76F7E25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2.5</w:t>
            </w:r>
          </w:p>
        </w:tc>
        <w:tc>
          <w:tcPr>
            <w:tcW w:w="430" w:type="pct"/>
            <w:shd w:val="clear" w:color="auto" w:fill="auto"/>
            <w:noWrap/>
            <w:vAlign w:val="center"/>
            <w:hideMark/>
          </w:tcPr>
          <w:p w14:paraId="1EB3C37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28,352</w:t>
            </w:r>
          </w:p>
        </w:tc>
        <w:tc>
          <w:tcPr>
            <w:tcW w:w="431" w:type="pct"/>
            <w:shd w:val="clear" w:color="auto" w:fill="auto"/>
            <w:noWrap/>
            <w:vAlign w:val="center"/>
            <w:hideMark/>
          </w:tcPr>
          <w:p w14:paraId="715F1A6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13.6</w:t>
            </w:r>
          </w:p>
        </w:tc>
        <w:tc>
          <w:tcPr>
            <w:tcW w:w="430" w:type="pct"/>
            <w:shd w:val="clear" w:color="auto" w:fill="auto"/>
            <w:noWrap/>
            <w:vAlign w:val="center"/>
            <w:hideMark/>
          </w:tcPr>
          <w:p w14:paraId="6885B22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11,511</w:t>
            </w:r>
          </w:p>
        </w:tc>
        <w:tc>
          <w:tcPr>
            <w:tcW w:w="431" w:type="pct"/>
            <w:shd w:val="clear" w:color="auto" w:fill="auto"/>
            <w:noWrap/>
            <w:vAlign w:val="center"/>
            <w:hideMark/>
          </w:tcPr>
          <w:p w14:paraId="6C101AA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5.5</w:t>
            </w:r>
          </w:p>
        </w:tc>
        <w:tc>
          <w:tcPr>
            <w:tcW w:w="430" w:type="pct"/>
            <w:shd w:val="clear" w:color="auto" w:fill="auto"/>
            <w:noWrap/>
            <w:vAlign w:val="center"/>
            <w:hideMark/>
          </w:tcPr>
          <w:p w14:paraId="40DBFB2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45,024</w:t>
            </w:r>
          </w:p>
        </w:tc>
        <w:tc>
          <w:tcPr>
            <w:tcW w:w="430" w:type="pct"/>
            <w:shd w:val="clear" w:color="auto" w:fill="auto"/>
            <w:noWrap/>
            <w:vAlign w:val="center"/>
            <w:hideMark/>
          </w:tcPr>
          <w:p w14:paraId="523F93E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21.6</w:t>
            </w:r>
          </w:p>
        </w:tc>
      </w:tr>
    </w:tbl>
    <w:p w14:paraId="68A37458" w14:textId="77777777" w:rsidR="008253DD" w:rsidRPr="00CB40F4" w:rsidRDefault="008253DD" w:rsidP="008253DD">
      <w:pPr>
        <w:rPr>
          <w:rFonts w:asciiTheme="majorBidi" w:hAnsiTheme="majorBidi" w:cstheme="majorBidi"/>
          <w:sz w:val="2"/>
          <w:szCs w:val="2"/>
        </w:rPr>
      </w:pPr>
    </w:p>
    <w:p w14:paraId="61B354EB" w14:textId="77777777" w:rsidR="008253DD" w:rsidRPr="00CB40F4" w:rsidRDefault="008253DD" w:rsidP="008253DD">
      <w:pPr>
        <w:rPr>
          <w:rFonts w:asciiTheme="majorBidi" w:hAnsiTheme="majorBidi" w:cstheme="majorBidi"/>
        </w:rPr>
      </w:pPr>
    </w:p>
    <w:p w14:paraId="6CFF30A2" w14:textId="5E809B6A" w:rsidR="00721A36" w:rsidRPr="00CB40F4" w:rsidRDefault="00721A36" w:rsidP="00721A36">
      <w:pPr>
        <w:ind w:firstLine="720"/>
        <w:rPr>
          <w:rFonts w:asciiTheme="majorBidi" w:hAnsiTheme="majorBidi" w:cstheme="majorBidi"/>
        </w:rPr>
      </w:pPr>
      <w:r w:rsidRPr="00CB40F4">
        <w:rPr>
          <w:rFonts w:asciiTheme="majorBidi" w:hAnsiTheme="majorBidi" w:cstheme="majorBidi"/>
        </w:rPr>
        <w:t xml:space="preserve">Table 6-B shows the calculation of average annual burden hours and costs </w:t>
      </w:r>
      <w:r w:rsidR="000A2E92" w:rsidRPr="00CB40F4">
        <w:rPr>
          <w:rFonts w:asciiTheme="majorBidi" w:hAnsiTheme="majorBidi" w:cstheme="majorBidi"/>
        </w:rPr>
        <w:t>from paperwork from data generation for new AIs.</w:t>
      </w:r>
      <w:r w:rsidR="007841AD" w:rsidRPr="00CB40F4">
        <w:rPr>
          <w:rFonts w:asciiTheme="majorBidi" w:hAnsiTheme="majorBidi" w:cstheme="majorBidi"/>
        </w:rPr>
        <w:t xml:space="preserve"> </w:t>
      </w:r>
      <w:r w:rsidR="000A2E92" w:rsidRPr="00CB40F4">
        <w:rPr>
          <w:rFonts w:asciiTheme="majorBidi" w:hAnsiTheme="majorBidi" w:cstheme="majorBidi"/>
        </w:rPr>
        <w:t xml:space="preserve">The burden per registration is taken from </w:t>
      </w:r>
      <w:r w:rsidRPr="00CB40F4">
        <w:rPr>
          <w:rFonts w:asciiTheme="majorBidi" w:hAnsiTheme="majorBidi" w:cstheme="majorBidi"/>
        </w:rPr>
        <w:t>Table 6-A.</w:t>
      </w:r>
      <w:r w:rsidR="007841AD" w:rsidRPr="00CB40F4">
        <w:rPr>
          <w:rFonts w:asciiTheme="majorBidi" w:hAnsiTheme="majorBidi" w:cstheme="majorBidi"/>
        </w:rPr>
        <w:t xml:space="preserve"> </w:t>
      </w:r>
      <w:r w:rsidR="000A2E92" w:rsidRPr="00CB40F4">
        <w:rPr>
          <w:rFonts w:asciiTheme="majorBidi" w:hAnsiTheme="majorBidi" w:cstheme="majorBidi"/>
        </w:rPr>
        <w:t>Average annual burden hours is calculated from the average annual responses and burden per registration.</w:t>
      </w:r>
      <w:r w:rsidR="007841AD" w:rsidRPr="00CB40F4">
        <w:rPr>
          <w:rFonts w:asciiTheme="majorBidi" w:hAnsiTheme="majorBidi" w:cstheme="majorBidi"/>
        </w:rPr>
        <w:t xml:space="preserve"> </w:t>
      </w:r>
      <w:r w:rsidR="000A2E92" w:rsidRPr="00CB40F4">
        <w:rPr>
          <w:rFonts w:asciiTheme="majorBidi" w:hAnsiTheme="majorBidi" w:cstheme="majorBidi"/>
        </w:rPr>
        <w:t>Average annual costs is calculated from the average annual responses and average paperwork cost from Table 6-A.</w:t>
      </w:r>
    </w:p>
    <w:p w14:paraId="4605F119" w14:textId="77777777" w:rsidR="00721A36" w:rsidRPr="00CB40F4" w:rsidRDefault="00721A36" w:rsidP="008253DD">
      <w:pPr>
        <w:rPr>
          <w:rFonts w:asciiTheme="majorBidi" w:hAnsiTheme="majorBidi" w:cstheme="majorBidi"/>
        </w:rPr>
      </w:pPr>
    </w:p>
    <w:tbl>
      <w:tblPr>
        <w:tblW w:w="5000" w:type="pct"/>
        <w:tblLook w:val="04A0" w:firstRow="1" w:lastRow="0" w:firstColumn="1" w:lastColumn="0" w:noHBand="0" w:noVBand="1"/>
      </w:tblPr>
      <w:tblGrid>
        <w:gridCol w:w="1636"/>
        <w:gridCol w:w="1869"/>
        <w:gridCol w:w="1707"/>
        <w:gridCol w:w="1924"/>
        <w:gridCol w:w="2224"/>
      </w:tblGrid>
      <w:tr w:rsidR="000A2E92" w:rsidRPr="00CB40F4" w14:paraId="783DEC46" w14:textId="77777777" w:rsidTr="001E1DD8">
        <w:trPr>
          <w:trHeight w:val="270"/>
        </w:trPr>
        <w:tc>
          <w:tcPr>
            <w:tcW w:w="5000" w:type="pct"/>
            <w:gridSpan w:val="5"/>
            <w:tcBorders>
              <w:top w:val="nil"/>
              <w:left w:val="nil"/>
              <w:bottom w:val="double" w:sz="4" w:space="0" w:color="auto"/>
              <w:right w:val="nil"/>
            </w:tcBorders>
            <w:shd w:val="clear" w:color="auto" w:fill="auto"/>
            <w:noWrap/>
            <w:vAlign w:val="bottom"/>
            <w:hideMark/>
          </w:tcPr>
          <w:p w14:paraId="7A42DAC4" w14:textId="77777777" w:rsidR="00062CB6" w:rsidRDefault="00062CB6" w:rsidP="00773105">
            <w:pPr>
              <w:rPr>
                <w:rFonts w:asciiTheme="majorBidi" w:hAnsiTheme="majorBidi" w:cstheme="majorBidi"/>
                <w:b/>
                <w:bCs/>
                <w:sz w:val="22"/>
                <w:szCs w:val="22"/>
              </w:rPr>
            </w:pPr>
          </w:p>
          <w:p w14:paraId="42C41A9E" w14:textId="152A8E24" w:rsidR="000A2E92" w:rsidRPr="00CB40F4" w:rsidRDefault="000A2E92" w:rsidP="00773105">
            <w:pPr>
              <w:rPr>
                <w:rFonts w:asciiTheme="majorBidi" w:hAnsiTheme="majorBidi" w:cstheme="majorBidi"/>
                <w:b/>
                <w:bCs/>
                <w:sz w:val="20"/>
                <w:szCs w:val="20"/>
              </w:rPr>
            </w:pPr>
            <w:r w:rsidRPr="00CB40F4">
              <w:rPr>
                <w:rFonts w:asciiTheme="majorBidi" w:hAnsiTheme="majorBidi" w:cstheme="majorBidi"/>
                <w:b/>
                <w:bCs/>
                <w:sz w:val="22"/>
                <w:szCs w:val="22"/>
              </w:rPr>
              <w:t>Table 6-B: Estimates of Annual Paperwork Burden Hours and Cost from Data Generation for New AIs</w:t>
            </w:r>
          </w:p>
        </w:tc>
      </w:tr>
      <w:tr w:rsidR="000A2E92" w:rsidRPr="00CB40F4" w14:paraId="73577E4A" w14:textId="77777777" w:rsidTr="001E1DD8">
        <w:trPr>
          <w:trHeight w:val="495"/>
        </w:trPr>
        <w:tc>
          <w:tcPr>
            <w:tcW w:w="873" w:type="pct"/>
            <w:tcBorders>
              <w:top w:val="double" w:sz="4" w:space="0" w:color="auto"/>
              <w:left w:val="double" w:sz="4" w:space="0" w:color="auto"/>
              <w:bottom w:val="single" w:sz="6" w:space="0" w:color="auto"/>
              <w:right w:val="single" w:sz="6" w:space="0" w:color="auto"/>
            </w:tcBorders>
            <w:vAlign w:val="center"/>
            <w:hideMark/>
          </w:tcPr>
          <w:p w14:paraId="2BEC136D" w14:textId="77777777" w:rsidR="00773105" w:rsidRPr="00CB40F4" w:rsidRDefault="00773105" w:rsidP="00773105">
            <w:pPr>
              <w:rPr>
                <w:rFonts w:asciiTheme="majorBidi" w:hAnsiTheme="majorBidi" w:cstheme="majorBidi"/>
                <w:b/>
                <w:bCs/>
                <w:sz w:val="20"/>
                <w:szCs w:val="20"/>
              </w:rPr>
            </w:pPr>
          </w:p>
        </w:tc>
        <w:tc>
          <w:tcPr>
            <w:tcW w:w="998"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1AB201C2" w14:textId="3F444E6C" w:rsidR="00773105" w:rsidRPr="00CB40F4" w:rsidRDefault="00773105" w:rsidP="00773105">
            <w:pPr>
              <w:jc w:val="center"/>
              <w:rPr>
                <w:rFonts w:asciiTheme="majorBidi" w:hAnsiTheme="majorBidi" w:cstheme="majorBidi"/>
                <w:b/>
                <w:bCs/>
                <w:sz w:val="20"/>
                <w:szCs w:val="20"/>
                <w:vertAlign w:val="superscript"/>
              </w:rPr>
            </w:pPr>
            <w:r w:rsidRPr="00CB40F4">
              <w:rPr>
                <w:rFonts w:asciiTheme="majorBidi" w:hAnsiTheme="majorBidi" w:cstheme="majorBidi"/>
                <w:b/>
                <w:bCs/>
                <w:sz w:val="20"/>
                <w:szCs w:val="20"/>
              </w:rPr>
              <w:t>Burden per Registration</w:t>
            </w:r>
            <w:r w:rsidR="000A2E92" w:rsidRPr="00CB40F4">
              <w:rPr>
                <w:rFonts w:asciiTheme="majorBidi" w:hAnsiTheme="majorBidi" w:cstheme="majorBidi"/>
                <w:b/>
                <w:bCs/>
                <w:sz w:val="20"/>
                <w:szCs w:val="20"/>
              </w:rPr>
              <w:t xml:space="preserve"> </w:t>
            </w:r>
            <w:r w:rsidR="000A2E92" w:rsidRPr="00CB40F4">
              <w:rPr>
                <w:rFonts w:asciiTheme="majorBidi" w:hAnsiTheme="majorBidi" w:cstheme="majorBidi"/>
                <w:b/>
                <w:bCs/>
                <w:sz w:val="20"/>
                <w:szCs w:val="20"/>
                <w:vertAlign w:val="superscript"/>
              </w:rPr>
              <w:t>1</w:t>
            </w:r>
          </w:p>
        </w:tc>
        <w:tc>
          <w:tcPr>
            <w:tcW w:w="911"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39FA3C0E" w14:textId="77777777" w:rsidR="00773105" w:rsidRPr="00CB40F4" w:rsidRDefault="00773105" w:rsidP="00773105">
            <w:pPr>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w:t>
            </w:r>
          </w:p>
        </w:tc>
        <w:tc>
          <w:tcPr>
            <w:tcW w:w="1028"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4FDEB0FD" w14:textId="77777777" w:rsidR="00773105" w:rsidRPr="00CB40F4" w:rsidRDefault="00773105" w:rsidP="00773105">
            <w:pPr>
              <w:jc w:val="center"/>
              <w:rPr>
                <w:rFonts w:asciiTheme="majorBidi" w:hAnsiTheme="majorBidi" w:cstheme="majorBidi"/>
                <w:b/>
                <w:bCs/>
                <w:sz w:val="20"/>
                <w:szCs w:val="20"/>
              </w:rPr>
            </w:pPr>
            <w:r w:rsidRPr="00CB40F4">
              <w:rPr>
                <w:rFonts w:asciiTheme="majorBidi" w:hAnsiTheme="majorBidi" w:cstheme="majorBidi"/>
                <w:b/>
                <w:bCs/>
                <w:sz w:val="20"/>
                <w:szCs w:val="20"/>
              </w:rPr>
              <w:t>Average Annual Burden Hours</w:t>
            </w:r>
          </w:p>
        </w:tc>
        <w:tc>
          <w:tcPr>
            <w:tcW w:w="1190" w:type="pct"/>
            <w:tcBorders>
              <w:top w:val="double" w:sz="4" w:space="0" w:color="auto"/>
              <w:left w:val="single" w:sz="6" w:space="0" w:color="auto"/>
              <w:bottom w:val="single" w:sz="6" w:space="0" w:color="auto"/>
              <w:right w:val="double" w:sz="4" w:space="0" w:color="auto"/>
            </w:tcBorders>
            <w:shd w:val="clear" w:color="auto" w:fill="auto"/>
            <w:vAlign w:val="center"/>
            <w:hideMark/>
          </w:tcPr>
          <w:p w14:paraId="2D38B3D3" w14:textId="04BAB1E0" w:rsidR="00773105" w:rsidRPr="00CB40F4" w:rsidRDefault="00773105" w:rsidP="004315F8">
            <w:pPr>
              <w:jc w:val="center"/>
              <w:rPr>
                <w:rFonts w:asciiTheme="majorBidi" w:hAnsiTheme="majorBidi" w:cstheme="majorBidi"/>
                <w:b/>
                <w:bCs/>
                <w:sz w:val="20"/>
                <w:szCs w:val="20"/>
                <w:vertAlign w:val="superscript"/>
              </w:rPr>
            </w:pPr>
            <w:r w:rsidRPr="00CB40F4">
              <w:rPr>
                <w:rFonts w:asciiTheme="majorBidi" w:hAnsiTheme="majorBidi" w:cstheme="majorBidi"/>
                <w:b/>
                <w:bCs/>
                <w:sz w:val="20"/>
                <w:szCs w:val="20"/>
              </w:rPr>
              <w:t>Average Annual Cost</w:t>
            </w:r>
            <w:r w:rsidR="00D85F2B" w:rsidRPr="00CB40F4">
              <w:rPr>
                <w:rFonts w:asciiTheme="majorBidi" w:hAnsiTheme="majorBidi" w:cstheme="majorBidi"/>
                <w:b/>
                <w:bCs/>
                <w:sz w:val="20"/>
                <w:szCs w:val="20"/>
              </w:rPr>
              <w:t xml:space="preserve"> </w:t>
            </w:r>
            <w:r w:rsidR="004315F8" w:rsidRPr="00CB40F4">
              <w:rPr>
                <w:rFonts w:asciiTheme="majorBidi" w:hAnsiTheme="majorBidi" w:cstheme="majorBidi"/>
                <w:b/>
                <w:bCs/>
                <w:sz w:val="20"/>
                <w:szCs w:val="20"/>
                <w:vertAlign w:val="superscript"/>
              </w:rPr>
              <w:t>2</w:t>
            </w:r>
          </w:p>
        </w:tc>
      </w:tr>
      <w:tr w:rsidR="00773105" w:rsidRPr="00CB40F4" w14:paraId="0AACD819"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7E94D883" w14:textId="77777777" w:rsidR="00773105" w:rsidRPr="00CB40F4" w:rsidRDefault="00773105" w:rsidP="00773105">
            <w:pPr>
              <w:rPr>
                <w:rFonts w:asciiTheme="majorBidi" w:hAnsiTheme="majorBidi" w:cstheme="majorBidi"/>
                <w:b/>
                <w:bCs/>
                <w:sz w:val="20"/>
                <w:szCs w:val="20"/>
              </w:rPr>
            </w:pPr>
            <w:r w:rsidRPr="00CB40F4">
              <w:rPr>
                <w:rFonts w:asciiTheme="majorBidi" w:hAnsiTheme="majorBidi" w:cstheme="majorBidi"/>
                <w:b/>
                <w:bCs/>
                <w:sz w:val="20"/>
                <w:szCs w:val="20"/>
              </w:rPr>
              <w:t>Antimicrobial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430EB4"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42,903</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97E5A2"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2</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51544F"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85,806</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7B1C6071"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$5,986,000</w:t>
            </w:r>
          </w:p>
        </w:tc>
      </w:tr>
      <w:tr w:rsidR="00773105" w:rsidRPr="00CB40F4" w14:paraId="1BD3EABA"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23EAF31A" w14:textId="77777777" w:rsidR="00773105" w:rsidRPr="00CB40F4" w:rsidRDefault="00773105" w:rsidP="00773105">
            <w:pPr>
              <w:rPr>
                <w:rFonts w:asciiTheme="majorBidi" w:hAnsiTheme="majorBidi" w:cstheme="majorBidi"/>
                <w:b/>
                <w:bCs/>
                <w:sz w:val="20"/>
                <w:szCs w:val="20"/>
              </w:rPr>
            </w:pPr>
            <w:r w:rsidRPr="00CB40F4">
              <w:rPr>
                <w:rFonts w:asciiTheme="majorBidi" w:hAnsiTheme="majorBidi" w:cstheme="majorBidi"/>
                <w:b/>
                <w:bCs/>
                <w:sz w:val="20"/>
                <w:szCs w:val="20"/>
              </w:rPr>
              <w:t>Biochemical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CF2E2"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23,308</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7E71AF"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20</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0DC3F83"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466,156</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6C7D3E82"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$32,520,000</w:t>
            </w:r>
          </w:p>
        </w:tc>
      </w:tr>
      <w:tr w:rsidR="00773105" w:rsidRPr="00CB40F4" w14:paraId="5D471D30"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2BE0B1D2" w14:textId="77777777" w:rsidR="00773105" w:rsidRPr="00CB40F4" w:rsidRDefault="00773105" w:rsidP="00773105">
            <w:pPr>
              <w:rPr>
                <w:rFonts w:asciiTheme="majorBidi" w:hAnsiTheme="majorBidi" w:cstheme="majorBidi"/>
                <w:b/>
                <w:bCs/>
                <w:sz w:val="20"/>
                <w:szCs w:val="20"/>
              </w:rPr>
            </w:pPr>
            <w:r w:rsidRPr="00CB40F4">
              <w:rPr>
                <w:rFonts w:asciiTheme="majorBidi" w:hAnsiTheme="majorBidi" w:cstheme="majorBidi"/>
                <w:b/>
                <w:bCs/>
                <w:sz w:val="20"/>
                <w:szCs w:val="20"/>
              </w:rPr>
              <w:t>Conventional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128D5E"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45,024</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C6454F"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8</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5DD2B3"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345,187</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0768DF31"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$24,081,000</w:t>
            </w:r>
          </w:p>
        </w:tc>
      </w:tr>
      <w:tr w:rsidR="000A2E92" w:rsidRPr="00CB40F4" w14:paraId="1C08C57C" w14:textId="77777777" w:rsidTr="00970B5B">
        <w:trPr>
          <w:trHeight w:val="270"/>
        </w:trPr>
        <w:tc>
          <w:tcPr>
            <w:tcW w:w="873" w:type="pct"/>
            <w:tcBorders>
              <w:top w:val="single" w:sz="6" w:space="0" w:color="auto"/>
              <w:left w:val="double" w:sz="4" w:space="0" w:color="auto"/>
              <w:bottom w:val="double" w:sz="4" w:space="0" w:color="auto"/>
              <w:right w:val="single" w:sz="6" w:space="0" w:color="auto"/>
            </w:tcBorders>
            <w:shd w:val="clear" w:color="auto" w:fill="auto"/>
            <w:noWrap/>
            <w:vAlign w:val="bottom"/>
            <w:hideMark/>
          </w:tcPr>
          <w:p w14:paraId="0C379D3C" w14:textId="77777777" w:rsidR="00773105" w:rsidRPr="00CB40F4" w:rsidRDefault="00773105" w:rsidP="00773105">
            <w:pPr>
              <w:rPr>
                <w:rFonts w:asciiTheme="majorBidi" w:hAnsiTheme="majorBidi" w:cstheme="majorBidi"/>
                <w:b/>
                <w:bCs/>
                <w:sz w:val="20"/>
                <w:szCs w:val="20"/>
              </w:rPr>
            </w:pPr>
            <w:r w:rsidRPr="00CB40F4">
              <w:rPr>
                <w:rFonts w:asciiTheme="majorBidi" w:hAnsiTheme="majorBidi" w:cstheme="majorBidi"/>
                <w:b/>
                <w:bCs/>
                <w:sz w:val="20"/>
                <w:szCs w:val="20"/>
              </w:rPr>
              <w:t>TOTAL</w:t>
            </w:r>
          </w:p>
        </w:tc>
        <w:tc>
          <w:tcPr>
            <w:tcW w:w="998" w:type="pct"/>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4C97BA0C" w14:textId="10264DB5" w:rsidR="00773105" w:rsidRPr="00CB40F4" w:rsidRDefault="00773105" w:rsidP="00773105">
            <w:pPr>
              <w:jc w:val="center"/>
              <w:rPr>
                <w:rFonts w:asciiTheme="majorBidi" w:hAnsiTheme="majorBidi" w:cstheme="majorBidi"/>
                <w:sz w:val="20"/>
                <w:szCs w:val="20"/>
              </w:rPr>
            </w:pPr>
          </w:p>
        </w:tc>
        <w:tc>
          <w:tcPr>
            <w:tcW w:w="911" w:type="pct"/>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73C9417D"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30</w:t>
            </w:r>
          </w:p>
        </w:tc>
        <w:tc>
          <w:tcPr>
            <w:tcW w:w="1028" w:type="pct"/>
            <w:tcBorders>
              <w:top w:val="single" w:sz="6" w:space="0" w:color="auto"/>
              <w:left w:val="single" w:sz="6" w:space="0" w:color="auto"/>
              <w:bottom w:val="double" w:sz="4" w:space="0" w:color="auto"/>
              <w:right w:val="single" w:sz="6" w:space="0" w:color="auto"/>
            </w:tcBorders>
            <w:shd w:val="clear" w:color="auto" w:fill="auto"/>
            <w:noWrap/>
            <w:vAlign w:val="bottom"/>
            <w:hideMark/>
          </w:tcPr>
          <w:p w14:paraId="0AE23E2B" w14:textId="77777777" w:rsidR="00773105" w:rsidRPr="00CB40F4" w:rsidRDefault="00773105" w:rsidP="00773105">
            <w:pPr>
              <w:jc w:val="center"/>
              <w:rPr>
                <w:rFonts w:asciiTheme="majorBidi" w:hAnsiTheme="majorBidi" w:cstheme="majorBidi"/>
                <w:sz w:val="20"/>
                <w:szCs w:val="20"/>
              </w:rPr>
            </w:pPr>
            <w:r w:rsidRPr="00CB40F4">
              <w:rPr>
                <w:rFonts w:asciiTheme="majorBidi" w:hAnsiTheme="majorBidi" w:cstheme="majorBidi"/>
                <w:sz w:val="20"/>
                <w:szCs w:val="20"/>
              </w:rPr>
              <w:t>897,149</w:t>
            </w:r>
          </w:p>
        </w:tc>
        <w:tc>
          <w:tcPr>
            <w:tcW w:w="1190" w:type="pct"/>
            <w:tcBorders>
              <w:top w:val="single" w:sz="6" w:space="0" w:color="auto"/>
              <w:left w:val="single" w:sz="6" w:space="0" w:color="auto"/>
              <w:bottom w:val="double" w:sz="4" w:space="0" w:color="auto"/>
              <w:right w:val="double" w:sz="4" w:space="0" w:color="auto"/>
            </w:tcBorders>
            <w:shd w:val="clear" w:color="auto" w:fill="auto"/>
            <w:noWrap/>
            <w:vAlign w:val="bottom"/>
            <w:hideMark/>
          </w:tcPr>
          <w:p w14:paraId="24779E83" w14:textId="77777777" w:rsidR="00773105" w:rsidRPr="00CB40F4" w:rsidRDefault="00773105" w:rsidP="00773105">
            <w:pPr>
              <w:jc w:val="center"/>
              <w:rPr>
                <w:rFonts w:asciiTheme="majorBidi" w:hAnsiTheme="majorBidi" w:cstheme="majorBidi"/>
                <w:sz w:val="20"/>
                <w:szCs w:val="20"/>
              </w:rPr>
            </w:pPr>
            <w:r w:rsidRPr="00970B5B">
              <w:rPr>
                <w:rFonts w:asciiTheme="majorBidi" w:hAnsiTheme="majorBidi" w:cstheme="majorBidi"/>
                <w:sz w:val="20"/>
                <w:szCs w:val="20"/>
              </w:rPr>
              <w:t>$62,587,000</w:t>
            </w:r>
          </w:p>
        </w:tc>
      </w:tr>
    </w:tbl>
    <w:p w14:paraId="398E6794" w14:textId="77777777" w:rsidR="00773105" w:rsidRPr="00CB40F4" w:rsidRDefault="00773105" w:rsidP="008253DD">
      <w:pPr>
        <w:rPr>
          <w:rFonts w:asciiTheme="majorBidi" w:hAnsiTheme="majorBidi" w:cstheme="majorBidi"/>
          <w:sz w:val="2"/>
          <w:szCs w:val="2"/>
        </w:rPr>
      </w:pPr>
    </w:p>
    <w:tbl>
      <w:tblPr>
        <w:tblW w:w="9780" w:type="dxa"/>
        <w:tblInd w:w="30" w:type="dxa"/>
        <w:tblLook w:val="04A0" w:firstRow="1" w:lastRow="0" w:firstColumn="1" w:lastColumn="0" w:noHBand="0" w:noVBand="1"/>
      </w:tblPr>
      <w:tblGrid>
        <w:gridCol w:w="9780"/>
      </w:tblGrid>
      <w:tr w:rsidR="00721A36" w:rsidRPr="00CB40F4" w14:paraId="704E0D15" w14:textId="77777777" w:rsidTr="000A2E92">
        <w:trPr>
          <w:trHeight w:val="270"/>
        </w:trPr>
        <w:tc>
          <w:tcPr>
            <w:tcW w:w="9780" w:type="dxa"/>
            <w:tcBorders>
              <w:top w:val="nil"/>
              <w:left w:val="nil"/>
              <w:bottom w:val="single" w:sz="8" w:space="0" w:color="auto"/>
            </w:tcBorders>
            <w:shd w:val="clear" w:color="auto" w:fill="auto"/>
            <w:noWrap/>
            <w:vAlign w:val="center"/>
          </w:tcPr>
          <w:p w14:paraId="1B82846B" w14:textId="025CACB3" w:rsidR="004315F8" w:rsidRPr="00CB40F4" w:rsidRDefault="004315F8" w:rsidP="004315F8">
            <w:pPr>
              <w:rPr>
                <w:rFonts w:asciiTheme="majorBidi" w:hAnsiTheme="majorBidi" w:cstheme="majorBidi"/>
                <w:sz w:val="21"/>
                <w:szCs w:val="21"/>
              </w:rPr>
            </w:pPr>
            <w:r w:rsidRPr="00CB40F4">
              <w:rPr>
                <w:rFonts w:asciiTheme="majorBidi" w:hAnsiTheme="majorBidi" w:cstheme="majorBidi"/>
                <w:sz w:val="21"/>
                <w:szCs w:val="21"/>
                <w:vertAlign w:val="superscript"/>
              </w:rPr>
              <w:t>1</w:t>
            </w:r>
            <w:r w:rsidR="007841AD" w:rsidRPr="00CB40F4">
              <w:rPr>
                <w:rFonts w:asciiTheme="majorBidi" w:hAnsiTheme="majorBidi" w:cstheme="majorBidi"/>
                <w:sz w:val="21"/>
                <w:szCs w:val="21"/>
                <w:vertAlign w:val="superscript"/>
              </w:rPr>
              <w:t xml:space="preserve"> </w:t>
            </w:r>
            <w:r w:rsidRPr="00CB40F4">
              <w:rPr>
                <w:rFonts w:asciiTheme="majorBidi" w:hAnsiTheme="majorBidi" w:cstheme="majorBidi"/>
                <w:sz w:val="21"/>
                <w:szCs w:val="21"/>
              </w:rPr>
              <w:t>Burden per registration for New AIs from Table 1-B is the average of these values.</w:t>
            </w:r>
          </w:p>
          <w:p w14:paraId="3002A3AE" w14:textId="791EAE3F" w:rsidR="00721A36" w:rsidRPr="00CB40F4" w:rsidRDefault="004315F8" w:rsidP="004315F8">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2 </w:t>
            </w:r>
            <w:r w:rsidRPr="00CB40F4">
              <w:rPr>
                <w:rFonts w:asciiTheme="majorBidi" w:hAnsiTheme="majorBidi" w:cstheme="majorBidi"/>
                <w:sz w:val="21"/>
                <w:szCs w:val="21"/>
              </w:rPr>
              <w:t>Numbers do not compute due to rounding.</w:t>
            </w:r>
          </w:p>
        </w:tc>
      </w:tr>
    </w:tbl>
    <w:p w14:paraId="4064AD76" w14:textId="77777777" w:rsidR="00721A36" w:rsidRPr="00CB40F4" w:rsidRDefault="00721A36" w:rsidP="008253DD">
      <w:pPr>
        <w:rPr>
          <w:rFonts w:asciiTheme="majorBidi" w:hAnsiTheme="majorBidi" w:cstheme="majorBidi"/>
        </w:rPr>
      </w:pPr>
    </w:p>
    <w:p w14:paraId="685A4253" w14:textId="6E7B336B"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Table </w:t>
      </w:r>
      <w:r w:rsidR="00721A36" w:rsidRPr="00CB40F4">
        <w:rPr>
          <w:rFonts w:asciiTheme="majorBidi" w:hAnsiTheme="majorBidi" w:cstheme="majorBidi"/>
        </w:rPr>
        <w:t>7</w:t>
      </w:r>
      <w:r w:rsidRPr="00CB40F4">
        <w:rPr>
          <w:rFonts w:asciiTheme="majorBidi" w:hAnsiTheme="majorBidi" w:cstheme="majorBidi"/>
        </w:rPr>
        <w:t>-</w:t>
      </w:r>
      <w:r w:rsidR="00721A36" w:rsidRPr="00CB40F4">
        <w:rPr>
          <w:rFonts w:asciiTheme="majorBidi" w:hAnsiTheme="majorBidi" w:cstheme="majorBidi"/>
        </w:rPr>
        <w:t>A</w:t>
      </w:r>
      <w:r w:rsidRPr="00CB40F4">
        <w:rPr>
          <w:rFonts w:asciiTheme="majorBidi" w:hAnsiTheme="majorBidi" w:cstheme="majorBidi"/>
        </w:rPr>
        <w:t xml:space="preserve"> shows that the cost of data for registering a new product ranges from $115 thousand to $155 thousand.</w:t>
      </w:r>
      <w:r w:rsidR="007841AD" w:rsidRPr="00CB40F4">
        <w:rPr>
          <w:rFonts w:asciiTheme="majorBidi" w:hAnsiTheme="majorBidi" w:cstheme="majorBidi"/>
        </w:rPr>
        <w:t xml:space="preserve"> </w:t>
      </w:r>
      <w:r w:rsidRPr="00CB40F4">
        <w:rPr>
          <w:rFonts w:asciiTheme="majorBidi" w:hAnsiTheme="majorBidi" w:cstheme="majorBidi"/>
        </w:rPr>
        <w:t>The paperwork burden, 35% of the cost of data generation, ranges from $36 thousand to $54 thousand or between 520 and 777 hours of burden.</w:t>
      </w:r>
      <w:r w:rsidR="007841AD" w:rsidRPr="00CB40F4">
        <w:rPr>
          <w:rFonts w:asciiTheme="majorBidi" w:hAnsiTheme="majorBidi" w:cstheme="majorBidi"/>
        </w:rPr>
        <w:t xml:space="preserve"> </w:t>
      </w:r>
    </w:p>
    <w:p w14:paraId="69AF627C" w14:textId="77777777" w:rsidR="008253DD" w:rsidRPr="00CB40F4" w:rsidRDefault="008253DD" w:rsidP="008253DD">
      <w:pPr>
        <w:rPr>
          <w:rFonts w:asciiTheme="majorBidi" w:hAnsiTheme="majorBidi" w:cstheme="majorBidi"/>
        </w:rPr>
      </w:pPr>
    </w:p>
    <w:p w14:paraId="08622450" w14:textId="77777777" w:rsidR="008253DD" w:rsidRPr="00CB40F4" w:rsidRDefault="008253DD" w:rsidP="008253DD">
      <w:pPr>
        <w:rPr>
          <w:rFonts w:asciiTheme="majorBidi" w:hAnsiTheme="majorBidi" w:cstheme="majorBidi"/>
        </w:rPr>
      </w:pPr>
    </w:p>
    <w:p w14:paraId="3817CECE" w14:textId="579CA163" w:rsidR="008253DD" w:rsidRPr="00CB40F4" w:rsidRDefault="008253DD" w:rsidP="008253DD">
      <w:pPr>
        <w:rPr>
          <w:rFonts w:asciiTheme="majorBidi" w:hAnsiTheme="majorBidi" w:cstheme="majorBidi"/>
          <w:sz w:val="22"/>
          <w:szCs w:val="22"/>
        </w:rPr>
      </w:pPr>
      <w:r w:rsidRPr="00CB40F4">
        <w:rPr>
          <w:rFonts w:asciiTheme="majorBidi" w:hAnsiTheme="majorBidi" w:cstheme="majorBidi"/>
          <w:b/>
          <w:bCs/>
          <w:sz w:val="22"/>
          <w:szCs w:val="22"/>
        </w:rPr>
        <w:t xml:space="preserve">Table </w:t>
      </w:r>
      <w:r w:rsidR="00721A36" w:rsidRPr="00CB40F4">
        <w:rPr>
          <w:rFonts w:asciiTheme="majorBidi" w:hAnsiTheme="majorBidi" w:cstheme="majorBidi"/>
          <w:b/>
          <w:bCs/>
          <w:sz w:val="22"/>
          <w:szCs w:val="22"/>
        </w:rPr>
        <w:t>7</w:t>
      </w:r>
      <w:r w:rsidRPr="00CB40F4">
        <w:rPr>
          <w:rFonts w:asciiTheme="majorBidi" w:hAnsiTheme="majorBidi" w:cstheme="majorBidi"/>
          <w:b/>
          <w:bCs/>
          <w:sz w:val="22"/>
          <w:szCs w:val="22"/>
        </w:rPr>
        <w:t>-</w:t>
      </w:r>
      <w:r w:rsidR="00721A36" w:rsidRPr="00CB40F4">
        <w:rPr>
          <w:rFonts w:asciiTheme="majorBidi" w:hAnsiTheme="majorBidi" w:cstheme="majorBidi"/>
          <w:b/>
          <w:bCs/>
          <w:sz w:val="22"/>
          <w:szCs w:val="22"/>
        </w:rPr>
        <w:t>A</w:t>
      </w:r>
      <w:r w:rsidRPr="00CB40F4">
        <w:rPr>
          <w:rFonts w:asciiTheme="majorBidi" w:hAnsiTheme="majorBidi" w:cstheme="majorBidi"/>
          <w:b/>
          <w:bCs/>
          <w:sz w:val="22"/>
          <w:szCs w:val="22"/>
        </w:rPr>
        <w:t>: Estimates of Paperwork Burden Hours from Data Generation for New Products</w:t>
      </w:r>
    </w:p>
    <w:tbl>
      <w:tblPr>
        <w:tblW w:w="5000" w:type="pct"/>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17"/>
        <w:gridCol w:w="966"/>
        <w:gridCol w:w="1172"/>
        <w:gridCol w:w="896"/>
        <w:gridCol w:w="722"/>
        <w:gridCol w:w="888"/>
        <w:gridCol w:w="722"/>
        <w:gridCol w:w="750"/>
        <w:gridCol w:w="807"/>
        <w:gridCol w:w="807"/>
        <w:gridCol w:w="683"/>
      </w:tblGrid>
      <w:tr w:rsidR="008253DD" w:rsidRPr="00CB40F4" w14:paraId="5682C984" w14:textId="77777777" w:rsidTr="007D140D">
        <w:trPr>
          <w:trHeight w:val="255"/>
        </w:trPr>
        <w:tc>
          <w:tcPr>
            <w:tcW w:w="491" w:type="pct"/>
            <w:vMerge w:val="restart"/>
            <w:shd w:val="clear" w:color="auto" w:fill="auto"/>
            <w:noWrap/>
            <w:vAlign w:val="center"/>
            <w:hideMark/>
          </w:tcPr>
          <w:p w14:paraId="04658217" w14:textId="77777777" w:rsidR="008253DD" w:rsidRPr="00CB40F4" w:rsidRDefault="008253DD" w:rsidP="00650B2D">
            <w:pPr>
              <w:rPr>
                <w:rFonts w:asciiTheme="majorBidi" w:hAnsiTheme="majorBidi" w:cstheme="majorBidi"/>
                <w:b/>
                <w:sz w:val="20"/>
                <w:szCs w:val="20"/>
              </w:rPr>
            </w:pPr>
            <w:r w:rsidRPr="00CB40F4">
              <w:rPr>
                <w:rFonts w:asciiTheme="majorBidi" w:hAnsiTheme="majorBidi" w:cstheme="majorBidi"/>
                <w:b/>
                <w:sz w:val="20"/>
                <w:szCs w:val="20"/>
              </w:rPr>
              <w:t>Division</w:t>
            </w:r>
          </w:p>
        </w:tc>
        <w:tc>
          <w:tcPr>
            <w:tcW w:w="486" w:type="pct"/>
            <w:vMerge w:val="restart"/>
            <w:vAlign w:val="center"/>
          </w:tcPr>
          <w:p w14:paraId="453C6A3F"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Data Cost</w:t>
            </w:r>
            <w:r w:rsidRPr="00CB40F4">
              <w:rPr>
                <w:rFonts w:asciiTheme="majorBidi" w:hAnsiTheme="majorBidi" w:cstheme="majorBidi"/>
                <w:b/>
                <w:bCs/>
                <w:sz w:val="20"/>
                <w:szCs w:val="20"/>
                <w:vertAlign w:val="superscript"/>
              </w:rPr>
              <w:t>1</w:t>
            </w:r>
          </w:p>
        </w:tc>
        <w:tc>
          <w:tcPr>
            <w:tcW w:w="582" w:type="pct"/>
            <w:vMerge w:val="restart"/>
            <w:shd w:val="clear" w:color="auto" w:fill="auto"/>
            <w:vAlign w:val="center"/>
            <w:hideMark/>
          </w:tcPr>
          <w:p w14:paraId="39C4CE13"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Paperwork Cost</w:t>
            </w:r>
            <w:r w:rsidRPr="00CB40F4">
              <w:rPr>
                <w:rFonts w:asciiTheme="majorBidi" w:hAnsiTheme="majorBidi" w:cstheme="majorBidi"/>
                <w:b/>
                <w:bCs/>
                <w:sz w:val="20"/>
                <w:szCs w:val="20"/>
                <w:vertAlign w:val="superscript"/>
              </w:rPr>
              <w:t>1</w:t>
            </w:r>
          </w:p>
        </w:tc>
        <w:tc>
          <w:tcPr>
            <w:tcW w:w="897" w:type="pct"/>
            <w:gridSpan w:val="2"/>
            <w:shd w:val="clear" w:color="auto" w:fill="auto"/>
            <w:noWrap/>
            <w:vAlign w:val="center"/>
            <w:hideMark/>
          </w:tcPr>
          <w:p w14:paraId="4E228AEA"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Managerial</w:t>
            </w:r>
          </w:p>
        </w:tc>
        <w:tc>
          <w:tcPr>
            <w:tcW w:w="893" w:type="pct"/>
            <w:gridSpan w:val="2"/>
            <w:shd w:val="clear" w:color="auto" w:fill="auto"/>
            <w:noWrap/>
            <w:vAlign w:val="center"/>
            <w:hideMark/>
          </w:tcPr>
          <w:p w14:paraId="1E380EF2"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Technical</w:t>
            </w:r>
          </w:p>
        </w:tc>
        <w:tc>
          <w:tcPr>
            <w:tcW w:w="849" w:type="pct"/>
            <w:gridSpan w:val="2"/>
            <w:shd w:val="clear" w:color="auto" w:fill="auto"/>
            <w:noWrap/>
            <w:vAlign w:val="center"/>
            <w:hideMark/>
          </w:tcPr>
          <w:p w14:paraId="67A22EE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Clerical</w:t>
            </w:r>
          </w:p>
        </w:tc>
        <w:tc>
          <w:tcPr>
            <w:tcW w:w="801" w:type="pct"/>
            <w:gridSpan w:val="2"/>
            <w:shd w:val="clear" w:color="auto" w:fill="auto"/>
            <w:noWrap/>
            <w:vAlign w:val="center"/>
            <w:hideMark/>
          </w:tcPr>
          <w:p w14:paraId="53ED6D3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Total</w:t>
            </w:r>
          </w:p>
        </w:tc>
      </w:tr>
      <w:tr w:rsidR="008253DD" w:rsidRPr="00CB40F4" w14:paraId="369412CB" w14:textId="77777777" w:rsidTr="007D140D">
        <w:trPr>
          <w:trHeight w:val="255"/>
        </w:trPr>
        <w:tc>
          <w:tcPr>
            <w:tcW w:w="491" w:type="pct"/>
            <w:vMerge/>
            <w:shd w:val="clear" w:color="auto" w:fill="auto"/>
            <w:noWrap/>
            <w:vAlign w:val="center"/>
            <w:hideMark/>
          </w:tcPr>
          <w:p w14:paraId="7279A930" w14:textId="77777777" w:rsidR="008253DD" w:rsidRPr="00CB40F4" w:rsidRDefault="008253DD" w:rsidP="00650B2D">
            <w:pPr>
              <w:jc w:val="center"/>
              <w:rPr>
                <w:rFonts w:asciiTheme="majorBidi" w:hAnsiTheme="majorBidi" w:cstheme="majorBidi"/>
                <w:b/>
                <w:bCs/>
                <w:sz w:val="20"/>
                <w:szCs w:val="20"/>
              </w:rPr>
            </w:pPr>
          </w:p>
        </w:tc>
        <w:tc>
          <w:tcPr>
            <w:tcW w:w="486" w:type="pct"/>
            <w:vMerge/>
            <w:vAlign w:val="center"/>
          </w:tcPr>
          <w:p w14:paraId="405C8748" w14:textId="77777777" w:rsidR="008253DD" w:rsidRPr="00CB40F4" w:rsidRDefault="008253DD" w:rsidP="00650B2D">
            <w:pPr>
              <w:rPr>
                <w:rFonts w:asciiTheme="majorBidi" w:hAnsiTheme="majorBidi" w:cstheme="majorBidi"/>
                <w:b/>
                <w:bCs/>
                <w:sz w:val="20"/>
                <w:szCs w:val="20"/>
              </w:rPr>
            </w:pPr>
          </w:p>
        </w:tc>
        <w:tc>
          <w:tcPr>
            <w:tcW w:w="582" w:type="pct"/>
            <w:vMerge/>
            <w:vAlign w:val="center"/>
            <w:hideMark/>
          </w:tcPr>
          <w:p w14:paraId="38BE9DEA" w14:textId="77777777" w:rsidR="008253DD" w:rsidRPr="00CB40F4" w:rsidRDefault="008253DD" w:rsidP="00650B2D">
            <w:pPr>
              <w:rPr>
                <w:rFonts w:asciiTheme="majorBidi" w:hAnsiTheme="majorBidi" w:cstheme="majorBidi"/>
                <w:b/>
                <w:bCs/>
                <w:sz w:val="20"/>
                <w:szCs w:val="20"/>
              </w:rPr>
            </w:pPr>
          </w:p>
        </w:tc>
        <w:tc>
          <w:tcPr>
            <w:tcW w:w="495" w:type="pct"/>
            <w:shd w:val="clear" w:color="auto" w:fill="auto"/>
            <w:noWrap/>
            <w:vAlign w:val="center"/>
            <w:hideMark/>
          </w:tcPr>
          <w:p w14:paraId="03BCDBCD"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02" w:type="pct"/>
            <w:shd w:val="clear" w:color="auto" w:fill="auto"/>
            <w:noWrap/>
            <w:vAlign w:val="center"/>
            <w:hideMark/>
          </w:tcPr>
          <w:p w14:paraId="7F48E704"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91" w:type="pct"/>
            <w:shd w:val="clear" w:color="auto" w:fill="auto"/>
            <w:noWrap/>
            <w:vAlign w:val="center"/>
            <w:hideMark/>
          </w:tcPr>
          <w:p w14:paraId="2AD3705A"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02" w:type="pct"/>
            <w:shd w:val="clear" w:color="auto" w:fill="auto"/>
            <w:noWrap/>
            <w:vAlign w:val="center"/>
            <w:hideMark/>
          </w:tcPr>
          <w:p w14:paraId="0C89F5C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02" w:type="pct"/>
            <w:shd w:val="clear" w:color="auto" w:fill="auto"/>
            <w:noWrap/>
            <w:vAlign w:val="center"/>
            <w:hideMark/>
          </w:tcPr>
          <w:p w14:paraId="23A5A46A"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447" w:type="pct"/>
            <w:shd w:val="clear" w:color="auto" w:fill="auto"/>
            <w:noWrap/>
            <w:vAlign w:val="center"/>
            <w:hideMark/>
          </w:tcPr>
          <w:p w14:paraId="24A12BEF"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c>
          <w:tcPr>
            <w:tcW w:w="447" w:type="pct"/>
            <w:shd w:val="clear" w:color="auto" w:fill="auto"/>
            <w:noWrap/>
            <w:vAlign w:val="center"/>
            <w:hideMark/>
          </w:tcPr>
          <w:p w14:paraId="561F36DB"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Hours</w:t>
            </w:r>
          </w:p>
        </w:tc>
        <w:tc>
          <w:tcPr>
            <w:tcW w:w="355" w:type="pct"/>
            <w:shd w:val="clear" w:color="auto" w:fill="auto"/>
            <w:noWrap/>
            <w:vAlign w:val="center"/>
            <w:hideMark/>
          </w:tcPr>
          <w:p w14:paraId="068850E5"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FTEs</w:t>
            </w:r>
          </w:p>
        </w:tc>
      </w:tr>
      <w:tr w:rsidR="008253DD" w:rsidRPr="00CB40F4" w14:paraId="5504753D" w14:textId="77777777" w:rsidTr="007D140D">
        <w:trPr>
          <w:trHeight w:val="255"/>
        </w:trPr>
        <w:tc>
          <w:tcPr>
            <w:tcW w:w="491" w:type="pct"/>
            <w:shd w:val="clear" w:color="auto" w:fill="auto"/>
            <w:noWrap/>
            <w:vAlign w:val="center"/>
            <w:hideMark/>
          </w:tcPr>
          <w:p w14:paraId="69A1D906"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AD</w:t>
            </w:r>
          </w:p>
        </w:tc>
        <w:tc>
          <w:tcPr>
            <w:tcW w:w="486" w:type="pct"/>
            <w:shd w:val="clear" w:color="auto" w:fill="auto"/>
            <w:vAlign w:val="center"/>
          </w:tcPr>
          <w:p w14:paraId="010FAEE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$103,800</w:t>
            </w:r>
          </w:p>
        </w:tc>
        <w:tc>
          <w:tcPr>
            <w:tcW w:w="582" w:type="pct"/>
            <w:shd w:val="clear" w:color="auto" w:fill="auto"/>
            <w:noWrap/>
            <w:vAlign w:val="center"/>
            <w:hideMark/>
          </w:tcPr>
          <w:p w14:paraId="51B465D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$36,300</w:t>
            </w:r>
          </w:p>
        </w:tc>
        <w:tc>
          <w:tcPr>
            <w:tcW w:w="495" w:type="pct"/>
            <w:shd w:val="clear" w:color="auto" w:fill="auto"/>
            <w:noWrap/>
            <w:vAlign w:val="center"/>
            <w:hideMark/>
          </w:tcPr>
          <w:p w14:paraId="10B4F31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60</w:t>
            </w:r>
          </w:p>
        </w:tc>
        <w:tc>
          <w:tcPr>
            <w:tcW w:w="402" w:type="pct"/>
            <w:shd w:val="clear" w:color="auto" w:fill="auto"/>
            <w:noWrap/>
            <w:vAlign w:val="center"/>
            <w:hideMark/>
          </w:tcPr>
          <w:p w14:paraId="08DE2E1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0.03</w:t>
            </w:r>
          </w:p>
        </w:tc>
        <w:tc>
          <w:tcPr>
            <w:tcW w:w="491" w:type="pct"/>
            <w:shd w:val="clear" w:color="auto" w:fill="auto"/>
            <w:noWrap/>
            <w:vAlign w:val="center"/>
            <w:hideMark/>
          </w:tcPr>
          <w:p w14:paraId="4E9C054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328</w:t>
            </w:r>
          </w:p>
        </w:tc>
        <w:tc>
          <w:tcPr>
            <w:tcW w:w="402" w:type="pct"/>
            <w:shd w:val="clear" w:color="auto" w:fill="auto"/>
            <w:noWrap/>
            <w:vAlign w:val="center"/>
            <w:hideMark/>
          </w:tcPr>
          <w:p w14:paraId="52840AA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0.16</w:t>
            </w:r>
          </w:p>
        </w:tc>
        <w:tc>
          <w:tcPr>
            <w:tcW w:w="402" w:type="pct"/>
            <w:shd w:val="clear" w:color="auto" w:fill="auto"/>
            <w:noWrap/>
            <w:vAlign w:val="center"/>
            <w:hideMark/>
          </w:tcPr>
          <w:p w14:paraId="2E988A0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133</w:t>
            </w:r>
          </w:p>
        </w:tc>
        <w:tc>
          <w:tcPr>
            <w:tcW w:w="447" w:type="pct"/>
            <w:shd w:val="clear" w:color="auto" w:fill="auto"/>
            <w:noWrap/>
            <w:vAlign w:val="center"/>
            <w:hideMark/>
          </w:tcPr>
          <w:p w14:paraId="2CF4B3B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0.06</w:t>
            </w:r>
          </w:p>
        </w:tc>
        <w:tc>
          <w:tcPr>
            <w:tcW w:w="447" w:type="pct"/>
            <w:shd w:val="clear" w:color="auto" w:fill="auto"/>
            <w:noWrap/>
            <w:vAlign w:val="center"/>
            <w:hideMark/>
          </w:tcPr>
          <w:p w14:paraId="42A0618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520</w:t>
            </w:r>
          </w:p>
        </w:tc>
        <w:tc>
          <w:tcPr>
            <w:tcW w:w="355" w:type="pct"/>
            <w:shd w:val="clear" w:color="auto" w:fill="auto"/>
            <w:noWrap/>
            <w:vAlign w:val="center"/>
            <w:hideMark/>
          </w:tcPr>
          <w:p w14:paraId="1DC977C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0.25</w:t>
            </w:r>
          </w:p>
        </w:tc>
      </w:tr>
      <w:tr w:rsidR="008253DD" w:rsidRPr="00CB40F4" w14:paraId="71E4B1FA" w14:textId="77777777" w:rsidTr="007D140D">
        <w:trPr>
          <w:trHeight w:val="255"/>
        </w:trPr>
        <w:tc>
          <w:tcPr>
            <w:tcW w:w="491" w:type="pct"/>
            <w:shd w:val="clear" w:color="auto" w:fill="auto"/>
            <w:noWrap/>
            <w:vAlign w:val="center"/>
            <w:hideMark/>
          </w:tcPr>
          <w:p w14:paraId="2712999A"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BPPD</w:t>
            </w:r>
          </w:p>
        </w:tc>
        <w:tc>
          <w:tcPr>
            <w:tcW w:w="486" w:type="pct"/>
            <w:shd w:val="clear" w:color="auto" w:fill="auto"/>
            <w:vAlign w:val="center"/>
          </w:tcPr>
          <w:p w14:paraId="0F9B66C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$115,400</w:t>
            </w:r>
          </w:p>
        </w:tc>
        <w:tc>
          <w:tcPr>
            <w:tcW w:w="582" w:type="pct"/>
            <w:shd w:val="clear" w:color="auto" w:fill="auto"/>
            <w:noWrap/>
            <w:vAlign w:val="center"/>
            <w:hideMark/>
          </w:tcPr>
          <w:p w14:paraId="57C21B0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$40,400</w:t>
            </w:r>
          </w:p>
        </w:tc>
        <w:tc>
          <w:tcPr>
            <w:tcW w:w="495" w:type="pct"/>
            <w:shd w:val="clear" w:color="auto" w:fill="auto"/>
            <w:noWrap/>
            <w:vAlign w:val="center"/>
            <w:hideMark/>
          </w:tcPr>
          <w:p w14:paraId="4C94EE9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66</w:t>
            </w:r>
          </w:p>
        </w:tc>
        <w:tc>
          <w:tcPr>
            <w:tcW w:w="402" w:type="pct"/>
            <w:shd w:val="clear" w:color="auto" w:fill="auto"/>
            <w:noWrap/>
            <w:vAlign w:val="center"/>
            <w:hideMark/>
          </w:tcPr>
          <w:p w14:paraId="0891A5B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0.03</w:t>
            </w:r>
          </w:p>
        </w:tc>
        <w:tc>
          <w:tcPr>
            <w:tcW w:w="491" w:type="pct"/>
            <w:shd w:val="clear" w:color="auto" w:fill="auto"/>
            <w:noWrap/>
            <w:vAlign w:val="center"/>
            <w:hideMark/>
          </w:tcPr>
          <w:p w14:paraId="568E4FC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365</w:t>
            </w:r>
          </w:p>
        </w:tc>
        <w:tc>
          <w:tcPr>
            <w:tcW w:w="402" w:type="pct"/>
            <w:shd w:val="clear" w:color="auto" w:fill="auto"/>
            <w:noWrap/>
            <w:vAlign w:val="center"/>
            <w:hideMark/>
          </w:tcPr>
          <w:p w14:paraId="2C97E61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0.18</w:t>
            </w:r>
          </w:p>
        </w:tc>
        <w:tc>
          <w:tcPr>
            <w:tcW w:w="402" w:type="pct"/>
            <w:shd w:val="clear" w:color="auto" w:fill="auto"/>
            <w:noWrap/>
            <w:vAlign w:val="center"/>
            <w:hideMark/>
          </w:tcPr>
          <w:p w14:paraId="5A62641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148</w:t>
            </w:r>
          </w:p>
        </w:tc>
        <w:tc>
          <w:tcPr>
            <w:tcW w:w="447" w:type="pct"/>
            <w:shd w:val="clear" w:color="auto" w:fill="auto"/>
            <w:noWrap/>
            <w:vAlign w:val="center"/>
            <w:hideMark/>
          </w:tcPr>
          <w:p w14:paraId="0BA74DA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0.07</w:t>
            </w:r>
          </w:p>
        </w:tc>
        <w:tc>
          <w:tcPr>
            <w:tcW w:w="447" w:type="pct"/>
            <w:shd w:val="clear" w:color="auto" w:fill="auto"/>
            <w:noWrap/>
            <w:vAlign w:val="center"/>
            <w:hideMark/>
          </w:tcPr>
          <w:p w14:paraId="2C5AE47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579</w:t>
            </w:r>
          </w:p>
        </w:tc>
        <w:tc>
          <w:tcPr>
            <w:tcW w:w="355" w:type="pct"/>
            <w:shd w:val="clear" w:color="auto" w:fill="auto"/>
            <w:noWrap/>
            <w:vAlign w:val="center"/>
            <w:hideMark/>
          </w:tcPr>
          <w:p w14:paraId="35FACF0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0.28</w:t>
            </w:r>
          </w:p>
        </w:tc>
      </w:tr>
      <w:tr w:rsidR="008253DD" w:rsidRPr="00CB40F4" w14:paraId="73293BD8" w14:textId="77777777" w:rsidTr="007D140D">
        <w:trPr>
          <w:trHeight w:val="255"/>
        </w:trPr>
        <w:tc>
          <w:tcPr>
            <w:tcW w:w="491" w:type="pct"/>
            <w:shd w:val="clear" w:color="auto" w:fill="auto"/>
            <w:noWrap/>
            <w:vAlign w:val="center"/>
            <w:hideMark/>
          </w:tcPr>
          <w:p w14:paraId="6D8CC8BE"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RD</w:t>
            </w:r>
          </w:p>
        </w:tc>
        <w:tc>
          <w:tcPr>
            <w:tcW w:w="486" w:type="pct"/>
            <w:shd w:val="clear" w:color="auto" w:fill="auto"/>
            <w:vAlign w:val="center"/>
          </w:tcPr>
          <w:p w14:paraId="4CFE03D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$155,000</w:t>
            </w:r>
          </w:p>
        </w:tc>
        <w:tc>
          <w:tcPr>
            <w:tcW w:w="582" w:type="pct"/>
            <w:shd w:val="clear" w:color="auto" w:fill="auto"/>
            <w:noWrap/>
            <w:vAlign w:val="center"/>
            <w:hideMark/>
          </w:tcPr>
          <w:p w14:paraId="47E6B28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$54,200</w:t>
            </w:r>
          </w:p>
        </w:tc>
        <w:tc>
          <w:tcPr>
            <w:tcW w:w="495" w:type="pct"/>
            <w:shd w:val="clear" w:color="auto" w:fill="auto"/>
            <w:noWrap/>
            <w:vAlign w:val="center"/>
            <w:hideMark/>
          </w:tcPr>
          <w:p w14:paraId="785B302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89</w:t>
            </w:r>
          </w:p>
        </w:tc>
        <w:tc>
          <w:tcPr>
            <w:tcW w:w="402" w:type="pct"/>
            <w:shd w:val="clear" w:color="auto" w:fill="auto"/>
            <w:noWrap/>
            <w:vAlign w:val="center"/>
            <w:hideMark/>
          </w:tcPr>
          <w:p w14:paraId="5D52CC2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0.04</w:t>
            </w:r>
          </w:p>
        </w:tc>
        <w:tc>
          <w:tcPr>
            <w:tcW w:w="491" w:type="pct"/>
            <w:shd w:val="clear" w:color="auto" w:fill="auto"/>
            <w:noWrap/>
            <w:vAlign w:val="center"/>
            <w:hideMark/>
          </w:tcPr>
          <w:p w14:paraId="4C6E4CA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489</w:t>
            </w:r>
          </w:p>
        </w:tc>
        <w:tc>
          <w:tcPr>
            <w:tcW w:w="402" w:type="pct"/>
            <w:shd w:val="clear" w:color="auto" w:fill="auto"/>
            <w:noWrap/>
            <w:vAlign w:val="center"/>
            <w:hideMark/>
          </w:tcPr>
          <w:p w14:paraId="3E80939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0.24</w:t>
            </w:r>
          </w:p>
        </w:tc>
        <w:tc>
          <w:tcPr>
            <w:tcW w:w="402" w:type="pct"/>
            <w:shd w:val="clear" w:color="auto" w:fill="auto"/>
            <w:noWrap/>
            <w:vAlign w:val="center"/>
            <w:hideMark/>
          </w:tcPr>
          <w:p w14:paraId="65ABD72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199</w:t>
            </w:r>
          </w:p>
        </w:tc>
        <w:tc>
          <w:tcPr>
            <w:tcW w:w="447" w:type="pct"/>
            <w:shd w:val="clear" w:color="auto" w:fill="auto"/>
            <w:noWrap/>
            <w:vAlign w:val="center"/>
            <w:hideMark/>
          </w:tcPr>
          <w:p w14:paraId="0C6A13A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0.10</w:t>
            </w:r>
          </w:p>
        </w:tc>
        <w:tc>
          <w:tcPr>
            <w:tcW w:w="447" w:type="pct"/>
            <w:shd w:val="clear" w:color="auto" w:fill="auto"/>
            <w:noWrap/>
            <w:vAlign w:val="center"/>
            <w:hideMark/>
          </w:tcPr>
          <w:p w14:paraId="5C813D7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777</w:t>
            </w:r>
          </w:p>
        </w:tc>
        <w:tc>
          <w:tcPr>
            <w:tcW w:w="355" w:type="pct"/>
            <w:shd w:val="clear" w:color="auto" w:fill="auto"/>
            <w:noWrap/>
            <w:vAlign w:val="center"/>
            <w:hideMark/>
          </w:tcPr>
          <w:p w14:paraId="651F0C56"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0.37</w:t>
            </w:r>
          </w:p>
        </w:tc>
      </w:tr>
    </w:tbl>
    <w:p w14:paraId="0FE9D04C" w14:textId="77777777" w:rsidR="008253DD" w:rsidRPr="00CB40F4" w:rsidRDefault="008253DD" w:rsidP="008253DD">
      <w:pPr>
        <w:rPr>
          <w:rFonts w:asciiTheme="majorBidi" w:hAnsiTheme="majorBidi" w:cstheme="majorBidi"/>
          <w:b/>
          <w:vanish/>
          <w:sz w:val="2"/>
          <w:szCs w:val="2"/>
        </w:rPr>
      </w:pPr>
    </w:p>
    <w:p w14:paraId="17E8ACC8" w14:textId="77777777" w:rsidR="008253DD" w:rsidRPr="00CB40F4" w:rsidRDefault="008253DD" w:rsidP="008253DD">
      <w:pPr>
        <w:pBdr>
          <w:bottom w:val="single" w:sz="4" w:space="1" w:color="808080" w:themeColor="background1" w:themeShade="80"/>
        </w:pBdr>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Rounded to nearest hundred.</w:t>
      </w:r>
    </w:p>
    <w:p w14:paraId="54393ED6" w14:textId="77777777" w:rsidR="008253DD" w:rsidRPr="00CB40F4" w:rsidRDefault="008253DD" w:rsidP="008253DD">
      <w:pPr>
        <w:rPr>
          <w:rFonts w:asciiTheme="majorBidi" w:hAnsiTheme="majorBidi" w:cstheme="majorBidi"/>
        </w:rPr>
      </w:pPr>
    </w:p>
    <w:p w14:paraId="4553B75E" w14:textId="782E2950" w:rsidR="000A2E92" w:rsidRPr="00CB40F4" w:rsidRDefault="000A2E92" w:rsidP="000A2E92">
      <w:pPr>
        <w:ind w:firstLine="720"/>
        <w:rPr>
          <w:rFonts w:asciiTheme="majorBidi" w:hAnsiTheme="majorBidi" w:cstheme="majorBidi"/>
        </w:rPr>
      </w:pPr>
      <w:r w:rsidRPr="00CB40F4">
        <w:rPr>
          <w:rFonts w:asciiTheme="majorBidi" w:hAnsiTheme="majorBidi" w:cstheme="majorBidi"/>
        </w:rPr>
        <w:t>Table 7-B shows the calculation of average annual burden hours and costs from paperwork from data generation for new AIs.</w:t>
      </w:r>
      <w:r w:rsidR="007841AD" w:rsidRPr="00CB40F4">
        <w:rPr>
          <w:rFonts w:asciiTheme="majorBidi" w:hAnsiTheme="majorBidi" w:cstheme="majorBidi"/>
        </w:rPr>
        <w:t xml:space="preserve"> </w:t>
      </w:r>
      <w:r w:rsidRPr="00CB40F4">
        <w:rPr>
          <w:rFonts w:asciiTheme="majorBidi" w:hAnsiTheme="majorBidi" w:cstheme="majorBidi"/>
        </w:rPr>
        <w:t>The burden per registration is taken from Table 7-A.</w:t>
      </w:r>
      <w:r w:rsidR="007841AD" w:rsidRPr="00CB40F4">
        <w:rPr>
          <w:rFonts w:asciiTheme="majorBidi" w:hAnsiTheme="majorBidi" w:cstheme="majorBidi"/>
        </w:rPr>
        <w:t xml:space="preserve"> </w:t>
      </w:r>
      <w:r w:rsidRPr="00CB40F4">
        <w:rPr>
          <w:rFonts w:asciiTheme="majorBidi" w:hAnsiTheme="majorBidi" w:cstheme="majorBidi"/>
        </w:rPr>
        <w:t>Average annual burden hours is calculated from the average annual responses and burden per registration.</w:t>
      </w:r>
      <w:r w:rsidR="007841AD" w:rsidRPr="00CB40F4">
        <w:rPr>
          <w:rFonts w:asciiTheme="majorBidi" w:hAnsiTheme="majorBidi" w:cstheme="majorBidi"/>
        </w:rPr>
        <w:t xml:space="preserve"> </w:t>
      </w:r>
      <w:r w:rsidRPr="00CB40F4">
        <w:rPr>
          <w:rFonts w:asciiTheme="majorBidi" w:hAnsiTheme="majorBidi" w:cstheme="majorBidi"/>
        </w:rPr>
        <w:t>Average annual costs is calculated from the average annual responses and average paperwork cost from Table 7-A.</w:t>
      </w:r>
    </w:p>
    <w:p w14:paraId="6D573330" w14:textId="77777777" w:rsidR="000A2E92" w:rsidRPr="00CB40F4" w:rsidRDefault="000A2E92" w:rsidP="008253DD">
      <w:pPr>
        <w:rPr>
          <w:rFonts w:asciiTheme="majorBidi" w:hAnsiTheme="majorBidi" w:cstheme="majorBidi"/>
        </w:rPr>
      </w:pPr>
    </w:p>
    <w:tbl>
      <w:tblPr>
        <w:tblW w:w="5000" w:type="pct"/>
        <w:tblLook w:val="04A0" w:firstRow="1" w:lastRow="0" w:firstColumn="1" w:lastColumn="0" w:noHBand="0" w:noVBand="1"/>
      </w:tblPr>
      <w:tblGrid>
        <w:gridCol w:w="1637"/>
        <w:gridCol w:w="1869"/>
        <w:gridCol w:w="1708"/>
        <w:gridCol w:w="1924"/>
        <w:gridCol w:w="2222"/>
      </w:tblGrid>
      <w:tr w:rsidR="000A2E92" w:rsidRPr="00CB40F4" w14:paraId="3F5B4D68" w14:textId="77777777" w:rsidTr="001E1DD8">
        <w:trPr>
          <w:trHeight w:val="270"/>
        </w:trPr>
        <w:tc>
          <w:tcPr>
            <w:tcW w:w="5000" w:type="pct"/>
            <w:gridSpan w:val="5"/>
            <w:tcBorders>
              <w:top w:val="nil"/>
              <w:left w:val="nil"/>
              <w:bottom w:val="double" w:sz="4" w:space="0" w:color="auto"/>
              <w:right w:val="nil"/>
            </w:tcBorders>
            <w:shd w:val="clear" w:color="auto" w:fill="auto"/>
            <w:noWrap/>
            <w:vAlign w:val="bottom"/>
            <w:hideMark/>
          </w:tcPr>
          <w:p w14:paraId="16B1D594" w14:textId="454F96A2" w:rsidR="000A2E92" w:rsidRPr="00CB40F4" w:rsidRDefault="000A2E92" w:rsidP="008115AE">
            <w:pPr>
              <w:rPr>
                <w:rFonts w:asciiTheme="majorBidi" w:hAnsiTheme="majorBidi" w:cstheme="majorBidi"/>
                <w:b/>
                <w:bCs/>
                <w:sz w:val="20"/>
                <w:szCs w:val="20"/>
              </w:rPr>
            </w:pPr>
            <w:r w:rsidRPr="00CB40F4">
              <w:rPr>
                <w:rFonts w:asciiTheme="majorBidi" w:hAnsiTheme="majorBidi" w:cstheme="majorBidi"/>
                <w:b/>
                <w:bCs/>
                <w:sz w:val="22"/>
                <w:szCs w:val="22"/>
              </w:rPr>
              <w:t>Table 7-B: Estimates of Annual Paperwork Burden Hours and Cost from Data Generation for New Products</w:t>
            </w:r>
          </w:p>
        </w:tc>
      </w:tr>
      <w:tr w:rsidR="000A2E92" w:rsidRPr="00CB40F4" w14:paraId="76D8B750" w14:textId="77777777" w:rsidTr="001E1DD8">
        <w:trPr>
          <w:trHeight w:val="495"/>
        </w:trPr>
        <w:tc>
          <w:tcPr>
            <w:tcW w:w="873" w:type="pct"/>
            <w:tcBorders>
              <w:top w:val="double" w:sz="4" w:space="0" w:color="auto"/>
              <w:left w:val="double" w:sz="4" w:space="0" w:color="auto"/>
              <w:bottom w:val="single" w:sz="6" w:space="0" w:color="auto"/>
              <w:right w:val="single" w:sz="6" w:space="0" w:color="auto"/>
            </w:tcBorders>
            <w:vAlign w:val="center"/>
            <w:hideMark/>
          </w:tcPr>
          <w:p w14:paraId="2CB562ED" w14:textId="77777777" w:rsidR="000A2E92" w:rsidRPr="00CB40F4" w:rsidRDefault="000A2E92" w:rsidP="008115AE">
            <w:pPr>
              <w:rPr>
                <w:rFonts w:asciiTheme="majorBidi" w:hAnsiTheme="majorBidi" w:cstheme="majorBidi"/>
                <w:b/>
                <w:bCs/>
                <w:sz w:val="20"/>
                <w:szCs w:val="20"/>
              </w:rPr>
            </w:pPr>
          </w:p>
        </w:tc>
        <w:tc>
          <w:tcPr>
            <w:tcW w:w="998"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45A0F743" w14:textId="77777777" w:rsidR="000A2E92" w:rsidRPr="00CB40F4" w:rsidRDefault="000A2E92" w:rsidP="008115AE">
            <w:pPr>
              <w:jc w:val="center"/>
              <w:rPr>
                <w:rFonts w:asciiTheme="majorBidi" w:hAnsiTheme="majorBidi" w:cstheme="majorBidi"/>
                <w:b/>
                <w:bCs/>
                <w:sz w:val="20"/>
                <w:szCs w:val="20"/>
                <w:vertAlign w:val="superscript"/>
              </w:rPr>
            </w:pPr>
            <w:r w:rsidRPr="00CB40F4">
              <w:rPr>
                <w:rFonts w:asciiTheme="majorBidi" w:hAnsiTheme="majorBidi" w:cstheme="majorBidi"/>
                <w:b/>
                <w:bCs/>
                <w:sz w:val="20"/>
                <w:szCs w:val="20"/>
              </w:rPr>
              <w:t xml:space="preserve">Burden per Registration </w:t>
            </w:r>
            <w:r w:rsidRPr="00CB40F4">
              <w:rPr>
                <w:rFonts w:asciiTheme="majorBidi" w:hAnsiTheme="majorBidi" w:cstheme="majorBidi"/>
                <w:b/>
                <w:bCs/>
                <w:sz w:val="20"/>
                <w:szCs w:val="20"/>
                <w:vertAlign w:val="superscript"/>
              </w:rPr>
              <w:t>1</w:t>
            </w:r>
          </w:p>
        </w:tc>
        <w:tc>
          <w:tcPr>
            <w:tcW w:w="911"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4B3AA506" w14:textId="77777777" w:rsidR="000A2E92" w:rsidRPr="00CB40F4" w:rsidRDefault="000A2E92" w:rsidP="008115AE">
            <w:pPr>
              <w:jc w:val="center"/>
              <w:rPr>
                <w:rFonts w:asciiTheme="majorBidi" w:hAnsiTheme="majorBidi" w:cstheme="majorBidi"/>
                <w:b/>
                <w:bCs/>
                <w:sz w:val="20"/>
                <w:szCs w:val="20"/>
              </w:rPr>
            </w:pPr>
            <w:r w:rsidRPr="00CB40F4">
              <w:rPr>
                <w:rFonts w:asciiTheme="majorBidi" w:hAnsiTheme="majorBidi" w:cstheme="majorBidi"/>
                <w:b/>
                <w:bCs/>
                <w:sz w:val="20"/>
                <w:szCs w:val="20"/>
              </w:rPr>
              <w:t>Average Annual Responses</w:t>
            </w:r>
          </w:p>
        </w:tc>
        <w:tc>
          <w:tcPr>
            <w:tcW w:w="1028" w:type="pct"/>
            <w:tcBorders>
              <w:top w:val="double" w:sz="4" w:space="0" w:color="auto"/>
              <w:left w:val="single" w:sz="6" w:space="0" w:color="auto"/>
              <w:bottom w:val="single" w:sz="6" w:space="0" w:color="auto"/>
              <w:right w:val="single" w:sz="6" w:space="0" w:color="auto"/>
            </w:tcBorders>
            <w:shd w:val="clear" w:color="auto" w:fill="auto"/>
            <w:vAlign w:val="center"/>
            <w:hideMark/>
          </w:tcPr>
          <w:p w14:paraId="23D9AF4C" w14:textId="77777777" w:rsidR="000A2E92" w:rsidRPr="00CB40F4" w:rsidRDefault="000A2E92" w:rsidP="008115AE">
            <w:pPr>
              <w:jc w:val="center"/>
              <w:rPr>
                <w:rFonts w:asciiTheme="majorBidi" w:hAnsiTheme="majorBidi" w:cstheme="majorBidi"/>
                <w:b/>
                <w:bCs/>
                <w:sz w:val="20"/>
                <w:szCs w:val="20"/>
              </w:rPr>
            </w:pPr>
            <w:r w:rsidRPr="00CB40F4">
              <w:rPr>
                <w:rFonts w:asciiTheme="majorBidi" w:hAnsiTheme="majorBidi" w:cstheme="majorBidi"/>
                <w:b/>
                <w:bCs/>
                <w:sz w:val="20"/>
                <w:szCs w:val="20"/>
              </w:rPr>
              <w:t>Average Annual Burden Hours</w:t>
            </w:r>
          </w:p>
        </w:tc>
        <w:tc>
          <w:tcPr>
            <w:tcW w:w="1190" w:type="pct"/>
            <w:tcBorders>
              <w:top w:val="double" w:sz="4" w:space="0" w:color="auto"/>
              <w:left w:val="single" w:sz="6" w:space="0" w:color="auto"/>
              <w:bottom w:val="single" w:sz="6" w:space="0" w:color="auto"/>
              <w:right w:val="double" w:sz="4" w:space="0" w:color="auto"/>
            </w:tcBorders>
            <w:shd w:val="clear" w:color="auto" w:fill="auto"/>
            <w:vAlign w:val="center"/>
            <w:hideMark/>
          </w:tcPr>
          <w:p w14:paraId="7126C176" w14:textId="1B250E43" w:rsidR="000A2E92" w:rsidRPr="00CB40F4" w:rsidRDefault="000A2E92" w:rsidP="008115AE">
            <w:pPr>
              <w:jc w:val="center"/>
              <w:rPr>
                <w:rFonts w:asciiTheme="majorBidi" w:hAnsiTheme="majorBidi" w:cstheme="majorBidi"/>
                <w:b/>
                <w:bCs/>
                <w:sz w:val="20"/>
                <w:szCs w:val="20"/>
              </w:rPr>
            </w:pPr>
            <w:r w:rsidRPr="00CB40F4">
              <w:rPr>
                <w:rFonts w:asciiTheme="majorBidi" w:hAnsiTheme="majorBidi" w:cstheme="majorBidi"/>
                <w:b/>
                <w:bCs/>
                <w:sz w:val="20"/>
                <w:szCs w:val="20"/>
              </w:rPr>
              <w:t>Average Annual Cost</w:t>
            </w:r>
            <w:r w:rsidR="004315F8" w:rsidRPr="00CB40F4">
              <w:rPr>
                <w:rFonts w:asciiTheme="majorBidi" w:hAnsiTheme="majorBidi" w:cstheme="majorBidi"/>
                <w:b/>
                <w:bCs/>
                <w:sz w:val="20"/>
                <w:szCs w:val="20"/>
                <w:vertAlign w:val="superscript"/>
              </w:rPr>
              <w:t xml:space="preserve"> 2</w:t>
            </w:r>
          </w:p>
        </w:tc>
      </w:tr>
      <w:tr w:rsidR="000A2E92" w:rsidRPr="00CB40F4" w14:paraId="25B3C27F"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72FD642E" w14:textId="77777777" w:rsidR="000A2E92" w:rsidRPr="00CB40F4" w:rsidRDefault="000A2E92" w:rsidP="008115AE">
            <w:pPr>
              <w:rPr>
                <w:rFonts w:asciiTheme="majorBidi" w:hAnsiTheme="majorBidi" w:cstheme="majorBidi"/>
                <w:b/>
                <w:bCs/>
                <w:sz w:val="20"/>
                <w:szCs w:val="20"/>
              </w:rPr>
            </w:pPr>
            <w:r w:rsidRPr="00CB40F4">
              <w:rPr>
                <w:rFonts w:asciiTheme="majorBidi" w:hAnsiTheme="majorBidi" w:cstheme="majorBidi"/>
                <w:b/>
                <w:bCs/>
                <w:sz w:val="20"/>
                <w:szCs w:val="20"/>
              </w:rPr>
              <w:t>Antimicrobial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F93D1B" w14:textId="35FAFB4A"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520</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DAA3383" w14:textId="5C465E87"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172</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87086C" w14:textId="3DB89493"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89,325</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085AFD4A" w14:textId="1C6BB868"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$6,231,500</w:t>
            </w:r>
          </w:p>
        </w:tc>
      </w:tr>
      <w:tr w:rsidR="000A2E92" w:rsidRPr="00CB40F4" w14:paraId="7C923BA1"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7C3947F7" w14:textId="77777777" w:rsidR="000A2E92" w:rsidRPr="00CB40F4" w:rsidRDefault="000A2E92" w:rsidP="008115AE">
            <w:pPr>
              <w:rPr>
                <w:rFonts w:asciiTheme="majorBidi" w:hAnsiTheme="majorBidi" w:cstheme="majorBidi"/>
                <w:b/>
                <w:bCs/>
                <w:sz w:val="20"/>
                <w:szCs w:val="20"/>
              </w:rPr>
            </w:pPr>
            <w:r w:rsidRPr="00CB40F4">
              <w:rPr>
                <w:rFonts w:asciiTheme="majorBidi" w:hAnsiTheme="majorBidi" w:cstheme="majorBidi"/>
                <w:b/>
                <w:bCs/>
                <w:sz w:val="20"/>
                <w:szCs w:val="20"/>
              </w:rPr>
              <w:t>Biochemical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8ADA06" w14:textId="7887244A"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579</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DAE56F" w14:textId="12A53F02"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68</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A09137" w14:textId="6D28AFF4"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39,187</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0FEFC62C" w14:textId="46F24C12"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w:t>
            </w:r>
            <w:r w:rsidR="00D85F2B" w:rsidRPr="00CB40F4">
              <w:rPr>
                <w:rFonts w:asciiTheme="majorBidi" w:hAnsiTheme="majorBidi" w:cstheme="majorBidi"/>
                <w:sz w:val="20"/>
                <w:szCs w:val="20"/>
              </w:rPr>
              <w:t>2,733,733</w:t>
            </w:r>
          </w:p>
        </w:tc>
      </w:tr>
      <w:tr w:rsidR="000A2E92" w:rsidRPr="00CB40F4" w14:paraId="7F13209D" w14:textId="77777777" w:rsidTr="001E1DD8">
        <w:trPr>
          <w:trHeight w:val="255"/>
        </w:trPr>
        <w:tc>
          <w:tcPr>
            <w:tcW w:w="8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110691CB" w14:textId="77777777" w:rsidR="000A2E92" w:rsidRPr="00CB40F4" w:rsidRDefault="000A2E92" w:rsidP="008115AE">
            <w:pPr>
              <w:rPr>
                <w:rFonts w:asciiTheme="majorBidi" w:hAnsiTheme="majorBidi" w:cstheme="majorBidi"/>
                <w:b/>
                <w:bCs/>
                <w:sz w:val="20"/>
                <w:szCs w:val="20"/>
              </w:rPr>
            </w:pPr>
            <w:r w:rsidRPr="00CB40F4">
              <w:rPr>
                <w:rFonts w:asciiTheme="majorBidi" w:hAnsiTheme="majorBidi" w:cstheme="majorBidi"/>
                <w:b/>
                <w:bCs/>
                <w:sz w:val="20"/>
                <w:szCs w:val="20"/>
              </w:rPr>
              <w:t>Conventional</w:t>
            </w:r>
          </w:p>
        </w:tc>
        <w:tc>
          <w:tcPr>
            <w:tcW w:w="99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13C76D" w14:textId="738825FD"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777</w:t>
            </w:r>
          </w:p>
        </w:tc>
        <w:tc>
          <w:tcPr>
            <w:tcW w:w="91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D680A8" w14:textId="686EDAA9" w:rsidR="000A2E92" w:rsidRPr="00CB40F4" w:rsidRDefault="000A2E92" w:rsidP="000A2E92">
            <w:pPr>
              <w:jc w:val="center"/>
              <w:rPr>
                <w:rFonts w:asciiTheme="majorBidi" w:hAnsiTheme="majorBidi" w:cstheme="majorBidi"/>
                <w:sz w:val="20"/>
                <w:szCs w:val="20"/>
              </w:rPr>
            </w:pPr>
            <w:r w:rsidRPr="00CB40F4">
              <w:rPr>
                <w:rFonts w:asciiTheme="majorBidi" w:hAnsiTheme="majorBidi" w:cstheme="majorBidi"/>
                <w:sz w:val="20"/>
                <w:szCs w:val="20"/>
              </w:rPr>
              <w:t>456</w:t>
            </w:r>
          </w:p>
        </w:tc>
        <w:tc>
          <w:tcPr>
            <w:tcW w:w="102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1281A0" w14:textId="4CF31AB4"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354,019</w:t>
            </w:r>
          </w:p>
        </w:tc>
        <w:tc>
          <w:tcPr>
            <w:tcW w:w="1190" w:type="pct"/>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4E03B3BC" w14:textId="76271F87"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w:t>
            </w:r>
            <w:r w:rsidR="00D85F2B" w:rsidRPr="00CB40F4">
              <w:rPr>
                <w:rFonts w:asciiTheme="majorBidi" w:hAnsiTheme="majorBidi" w:cstheme="majorBidi"/>
                <w:sz w:val="20"/>
                <w:szCs w:val="20"/>
              </w:rPr>
              <w:t>24,697,133</w:t>
            </w:r>
          </w:p>
        </w:tc>
      </w:tr>
      <w:tr w:rsidR="000A2E92" w:rsidRPr="00CB40F4" w14:paraId="54DF978F" w14:textId="77777777" w:rsidTr="00970B5B">
        <w:trPr>
          <w:trHeight w:val="270"/>
        </w:trPr>
        <w:tc>
          <w:tcPr>
            <w:tcW w:w="873" w:type="pct"/>
            <w:tcBorders>
              <w:top w:val="single" w:sz="6" w:space="0" w:color="auto"/>
              <w:left w:val="double" w:sz="4" w:space="0" w:color="auto"/>
              <w:bottom w:val="double" w:sz="4" w:space="0" w:color="auto"/>
              <w:right w:val="single" w:sz="6" w:space="0" w:color="auto"/>
            </w:tcBorders>
            <w:shd w:val="clear" w:color="auto" w:fill="auto"/>
            <w:noWrap/>
            <w:vAlign w:val="bottom"/>
            <w:hideMark/>
          </w:tcPr>
          <w:p w14:paraId="1BD727C4" w14:textId="77777777" w:rsidR="000A2E92" w:rsidRPr="00CB40F4" w:rsidRDefault="000A2E92" w:rsidP="008115AE">
            <w:pPr>
              <w:rPr>
                <w:rFonts w:asciiTheme="majorBidi" w:hAnsiTheme="majorBidi" w:cstheme="majorBidi"/>
                <w:b/>
                <w:bCs/>
                <w:sz w:val="20"/>
                <w:szCs w:val="20"/>
              </w:rPr>
            </w:pPr>
            <w:r w:rsidRPr="00CB40F4">
              <w:rPr>
                <w:rFonts w:asciiTheme="majorBidi" w:hAnsiTheme="majorBidi" w:cstheme="majorBidi"/>
                <w:b/>
                <w:bCs/>
                <w:sz w:val="20"/>
                <w:szCs w:val="20"/>
              </w:rPr>
              <w:t>TOTAL</w:t>
            </w:r>
          </w:p>
        </w:tc>
        <w:tc>
          <w:tcPr>
            <w:tcW w:w="998" w:type="pct"/>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281D4014" w14:textId="1F132D2B" w:rsidR="000A2E92" w:rsidRPr="00CB40F4" w:rsidRDefault="000A2E92" w:rsidP="008115AE">
            <w:pPr>
              <w:jc w:val="center"/>
              <w:rPr>
                <w:rFonts w:asciiTheme="majorBidi" w:hAnsiTheme="majorBidi" w:cstheme="majorBidi"/>
                <w:sz w:val="20"/>
                <w:szCs w:val="20"/>
              </w:rPr>
            </w:pPr>
          </w:p>
        </w:tc>
        <w:tc>
          <w:tcPr>
            <w:tcW w:w="911" w:type="pct"/>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053009C0" w14:textId="7FC7624D"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695</w:t>
            </w:r>
          </w:p>
        </w:tc>
        <w:tc>
          <w:tcPr>
            <w:tcW w:w="1028" w:type="pct"/>
            <w:tcBorders>
              <w:top w:val="single" w:sz="6" w:space="0" w:color="auto"/>
              <w:left w:val="single" w:sz="6" w:space="0" w:color="auto"/>
              <w:bottom w:val="double" w:sz="4" w:space="0" w:color="auto"/>
              <w:right w:val="single" w:sz="6" w:space="0" w:color="auto"/>
            </w:tcBorders>
            <w:shd w:val="clear" w:color="auto" w:fill="auto"/>
            <w:noWrap/>
            <w:vAlign w:val="bottom"/>
            <w:hideMark/>
          </w:tcPr>
          <w:p w14:paraId="1EF2ACFF" w14:textId="255436FF"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482,531</w:t>
            </w:r>
          </w:p>
        </w:tc>
        <w:tc>
          <w:tcPr>
            <w:tcW w:w="1190" w:type="pct"/>
            <w:tcBorders>
              <w:top w:val="single" w:sz="6" w:space="0" w:color="auto"/>
              <w:left w:val="single" w:sz="6" w:space="0" w:color="auto"/>
              <w:bottom w:val="double" w:sz="4" w:space="0" w:color="auto"/>
              <w:right w:val="double" w:sz="4" w:space="0" w:color="auto"/>
            </w:tcBorders>
            <w:shd w:val="clear" w:color="auto" w:fill="auto"/>
            <w:noWrap/>
            <w:vAlign w:val="bottom"/>
            <w:hideMark/>
          </w:tcPr>
          <w:p w14:paraId="5EE3667C" w14:textId="55F17FD1" w:rsidR="000A2E92" w:rsidRPr="00CB40F4" w:rsidRDefault="000A2E92" w:rsidP="008115AE">
            <w:pPr>
              <w:jc w:val="center"/>
              <w:rPr>
                <w:rFonts w:asciiTheme="majorBidi" w:hAnsiTheme="majorBidi" w:cstheme="majorBidi"/>
                <w:sz w:val="20"/>
                <w:szCs w:val="20"/>
              </w:rPr>
            </w:pPr>
            <w:r w:rsidRPr="00CB40F4">
              <w:rPr>
                <w:rFonts w:asciiTheme="majorBidi" w:hAnsiTheme="majorBidi" w:cstheme="majorBidi"/>
                <w:sz w:val="20"/>
                <w:szCs w:val="20"/>
              </w:rPr>
              <w:t>$</w:t>
            </w:r>
            <w:r w:rsidR="00D85F2B" w:rsidRPr="00CB40F4">
              <w:rPr>
                <w:rFonts w:asciiTheme="majorBidi" w:hAnsiTheme="majorBidi" w:cstheme="majorBidi"/>
                <w:sz w:val="20"/>
                <w:szCs w:val="20"/>
              </w:rPr>
              <w:t>33,662,367</w:t>
            </w:r>
          </w:p>
        </w:tc>
      </w:tr>
    </w:tbl>
    <w:p w14:paraId="20C63419" w14:textId="77777777" w:rsidR="000A2E92" w:rsidRPr="00CB40F4" w:rsidRDefault="000A2E92" w:rsidP="000A2E92">
      <w:pPr>
        <w:rPr>
          <w:rFonts w:asciiTheme="majorBidi" w:hAnsiTheme="majorBidi" w:cstheme="majorBidi"/>
          <w:sz w:val="2"/>
          <w:szCs w:val="2"/>
        </w:rPr>
      </w:pPr>
    </w:p>
    <w:tbl>
      <w:tblPr>
        <w:tblW w:w="9780" w:type="dxa"/>
        <w:tblInd w:w="30" w:type="dxa"/>
        <w:tblLook w:val="04A0" w:firstRow="1" w:lastRow="0" w:firstColumn="1" w:lastColumn="0" w:noHBand="0" w:noVBand="1"/>
      </w:tblPr>
      <w:tblGrid>
        <w:gridCol w:w="9780"/>
      </w:tblGrid>
      <w:tr w:rsidR="000A2E92" w:rsidRPr="00CB40F4" w14:paraId="41548C38" w14:textId="77777777" w:rsidTr="000A2E92">
        <w:trPr>
          <w:trHeight w:val="270"/>
        </w:trPr>
        <w:tc>
          <w:tcPr>
            <w:tcW w:w="9780" w:type="dxa"/>
            <w:tcBorders>
              <w:top w:val="nil"/>
              <w:left w:val="nil"/>
              <w:bottom w:val="single" w:sz="8" w:space="0" w:color="auto"/>
            </w:tcBorders>
            <w:shd w:val="clear" w:color="auto" w:fill="auto"/>
            <w:noWrap/>
            <w:vAlign w:val="center"/>
          </w:tcPr>
          <w:p w14:paraId="1BB4BC6A" w14:textId="2F507571" w:rsidR="004315F8" w:rsidRPr="00CB40F4" w:rsidRDefault="00D85F2B" w:rsidP="008115AE">
            <w:pPr>
              <w:rPr>
                <w:rFonts w:asciiTheme="majorBidi" w:hAnsiTheme="majorBidi" w:cstheme="majorBidi"/>
                <w:sz w:val="21"/>
                <w:szCs w:val="21"/>
              </w:rPr>
            </w:pPr>
            <w:r w:rsidRPr="00CB40F4">
              <w:rPr>
                <w:rFonts w:asciiTheme="majorBidi" w:hAnsiTheme="majorBidi" w:cstheme="majorBidi"/>
                <w:sz w:val="21"/>
                <w:szCs w:val="21"/>
                <w:vertAlign w:val="superscript"/>
              </w:rPr>
              <w:t>1</w:t>
            </w:r>
            <w:r w:rsidR="007841AD" w:rsidRPr="00CB40F4">
              <w:rPr>
                <w:rFonts w:asciiTheme="majorBidi" w:hAnsiTheme="majorBidi" w:cstheme="majorBidi"/>
                <w:sz w:val="21"/>
                <w:szCs w:val="21"/>
                <w:vertAlign w:val="superscript"/>
              </w:rPr>
              <w:t xml:space="preserve"> </w:t>
            </w:r>
            <w:r w:rsidR="004315F8" w:rsidRPr="00CB40F4">
              <w:rPr>
                <w:rFonts w:asciiTheme="majorBidi" w:hAnsiTheme="majorBidi" w:cstheme="majorBidi"/>
                <w:sz w:val="21"/>
                <w:szCs w:val="21"/>
              </w:rPr>
              <w:t>Burden per registration for New Products from Table 1-B is the average of these values.</w:t>
            </w:r>
          </w:p>
          <w:p w14:paraId="6EC9732E" w14:textId="2A7123AA" w:rsidR="000A2E92" w:rsidRPr="00CB40F4" w:rsidRDefault="004315F8" w:rsidP="008115AE">
            <w:pPr>
              <w:rPr>
                <w:rFonts w:asciiTheme="majorBidi" w:hAnsiTheme="majorBidi" w:cstheme="majorBidi"/>
                <w:sz w:val="20"/>
                <w:szCs w:val="20"/>
              </w:rPr>
            </w:pPr>
            <w:r w:rsidRPr="00CB40F4">
              <w:rPr>
                <w:rFonts w:asciiTheme="majorBidi" w:hAnsiTheme="majorBidi" w:cstheme="majorBidi"/>
                <w:sz w:val="21"/>
                <w:szCs w:val="21"/>
                <w:vertAlign w:val="superscript"/>
              </w:rPr>
              <w:t xml:space="preserve">2 </w:t>
            </w:r>
            <w:r w:rsidR="00D85F2B" w:rsidRPr="00CB40F4">
              <w:rPr>
                <w:rFonts w:asciiTheme="majorBidi" w:hAnsiTheme="majorBidi" w:cstheme="majorBidi"/>
                <w:sz w:val="21"/>
                <w:szCs w:val="21"/>
              </w:rPr>
              <w:t>Numbers do not compute due to rounding.</w:t>
            </w:r>
          </w:p>
        </w:tc>
      </w:tr>
    </w:tbl>
    <w:p w14:paraId="11570770" w14:textId="77777777" w:rsidR="008640E9" w:rsidRPr="00CB40F4" w:rsidRDefault="008640E9" w:rsidP="008253DD">
      <w:pPr>
        <w:rPr>
          <w:rFonts w:asciiTheme="majorBidi" w:hAnsiTheme="majorBidi" w:cstheme="majorBidi"/>
        </w:rPr>
      </w:pPr>
    </w:p>
    <w:p w14:paraId="35FE81B4" w14:textId="0F074DD9" w:rsidR="008253DD" w:rsidRPr="00CB40F4" w:rsidRDefault="008253DD" w:rsidP="00A63404">
      <w:pPr>
        <w:ind w:firstLine="720"/>
        <w:rPr>
          <w:rFonts w:asciiTheme="majorBidi" w:hAnsiTheme="majorBidi" w:cstheme="majorBidi"/>
        </w:rPr>
      </w:pPr>
      <w:r w:rsidRPr="00CB40F4">
        <w:rPr>
          <w:rFonts w:asciiTheme="majorBidi" w:hAnsiTheme="majorBidi" w:cstheme="majorBidi"/>
        </w:rPr>
        <w:t>The costs used to estimate paperwork burden of data generation in this analysis are conservative because they assume that all new active ingredients generate and submit all data required in 40 CFR Part 158 when, in practice, some of the data requirements may be waived based on specific use patterns or label restrictions.</w:t>
      </w:r>
      <w:r w:rsidR="007841AD" w:rsidRPr="00CB40F4">
        <w:rPr>
          <w:rFonts w:asciiTheme="majorBidi" w:hAnsiTheme="majorBidi" w:cstheme="majorBidi"/>
        </w:rPr>
        <w:t xml:space="preserve"> </w:t>
      </w:r>
      <w:r w:rsidRPr="00CB40F4">
        <w:rPr>
          <w:rFonts w:asciiTheme="majorBidi" w:hAnsiTheme="majorBidi" w:cstheme="majorBidi"/>
        </w:rPr>
        <w:t>Data waivers would make the average cost of data generation (and the resulting paperwork burden) lower for both new active ingredients and new products.</w:t>
      </w:r>
      <w:r w:rsidR="007841AD" w:rsidRPr="00CB40F4">
        <w:rPr>
          <w:rFonts w:asciiTheme="majorBidi" w:hAnsiTheme="majorBidi" w:cstheme="majorBidi"/>
        </w:rPr>
        <w:t xml:space="preserve"> </w:t>
      </w:r>
      <w:r w:rsidRPr="00CB40F4">
        <w:rPr>
          <w:rFonts w:asciiTheme="majorBidi" w:hAnsiTheme="majorBidi" w:cstheme="majorBidi"/>
        </w:rPr>
        <w:t>Also, all new products in this analysis are assumed to require toxicology data and product chemistry data to register.</w:t>
      </w:r>
      <w:r w:rsidR="007841AD" w:rsidRPr="00CB40F4">
        <w:rPr>
          <w:rFonts w:asciiTheme="majorBidi" w:hAnsiTheme="majorBidi" w:cstheme="majorBidi"/>
        </w:rPr>
        <w:t xml:space="preserve"> </w:t>
      </w:r>
      <w:r w:rsidRPr="00CB40F4">
        <w:rPr>
          <w:rFonts w:asciiTheme="majorBidi" w:hAnsiTheme="majorBidi" w:cstheme="majorBidi"/>
        </w:rPr>
        <w:t>In cases where products are substantially similar to other products, they can cite other data rather than generating data.</w:t>
      </w:r>
      <w:r w:rsidR="007841AD" w:rsidRPr="00CB40F4">
        <w:rPr>
          <w:rFonts w:asciiTheme="majorBidi" w:hAnsiTheme="majorBidi" w:cstheme="majorBidi"/>
        </w:rPr>
        <w:t xml:space="preserve"> </w:t>
      </w:r>
      <w:r w:rsidRPr="00CB40F4">
        <w:rPr>
          <w:rFonts w:asciiTheme="majorBidi" w:hAnsiTheme="majorBidi" w:cstheme="majorBidi"/>
        </w:rPr>
        <w:t>Again, this approach returns conservative estimates of paperwork burden for data generation.</w:t>
      </w:r>
    </w:p>
    <w:p w14:paraId="22E6B7B3" w14:textId="77777777" w:rsidR="00A63404" w:rsidRPr="00CB40F4" w:rsidRDefault="00A63404" w:rsidP="00970B5B">
      <w:pPr>
        <w:rPr>
          <w:rFonts w:asciiTheme="majorBidi" w:hAnsiTheme="majorBidi" w:cstheme="majorBidi"/>
          <w:b/>
        </w:rPr>
      </w:pPr>
    </w:p>
    <w:p w14:paraId="69E44521" w14:textId="4E6856CB" w:rsidR="008253DD" w:rsidRPr="00CB40F4" w:rsidRDefault="00A63404" w:rsidP="008253DD">
      <w:pPr>
        <w:ind w:left="720"/>
        <w:rPr>
          <w:rFonts w:asciiTheme="majorBidi" w:hAnsiTheme="majorBidi" w:cstheme="majorBidi"/>
          <w:b/>
        </w:rPr>
      </w:pPr>
      <w:r w:rsidRPr="00CB40F4">
        <w:rPr>
          <w:rFonts w:asciiTheme="majorBidi" w:hAnsiTheme="majorBidi" w:cstheme="majorBidi"/>
          <w:b/>
        </w:rPr>
        <w:t>6(</w:t>
      </w:r>
      <w:r w:rsidR="00C05BE9" w:rsidRPr="00CB40F4">
        <w:rPr>
          <w:rFonts w:asciiTheme="majorBidi" w:hAnsiTheme="majorBidi" w:cstheme="majorBidi"/>
          <w:b/>
        </w:rPr>
        <w:t>c</w:t>
      </w:r>
      <w:r w:rsidRPr="00CB40F4">
        <w:rPr>
          <w:rFonts w:asciiTheme="majorBidi" w:hAnsiTheme="majorBidi" w:cstheme="majorBidi"/>
          <w:b/>
        </w:rPr>
        <w:t>)</w:t>
      </w:r>
      <w:r w:rsidRPr="00CB40F4">
        <w:rPr>
          <w:rFonts w:asciiTheme="majorBidi" w:hAnsiTheme="majorBidi" w:cstheme="majorBidi"/>
          <w:b/>
        </w:rPr>
        <w:tab/>
      </w:r>
      <w:r w:rsidR="008253DD" w:rsidRPr="00CB40F4">
        <w:rPr>
          <w:rFonts w:asciiTheme="majorBidi" w:hAnsiTheme="majorBidi" w:cstheme="majorBidi"/>
          <w:b/>
        </w:rPr>
        <w:t>Estimating Agency Burden and Cost</w:t>
      </w:r>
    </w:p>
    <w:p w14:paraId="753D0270" w14:textId="77777777" w:rsidR="008253DD" w:rsidRPr="00CB40F4" w:rsidRDefault="008253DD" w:rsidP="008253DD">
      <w:pPr>
        <w:rPr>
          <w:rFonts w:asciiTheme="majorBidi" w:hAnsiTheme="majorBidi" w:cstheme="majorBidi"/>
        </w:rPr>
      </w:pPr>
    </w:p>
    <w:p w14:paraId="409381C4" w14:textId="13D68191" w:rsidR="008253DD" w:rsidRPr="00CB40F4" w:rsidRDefault="008253DD" w:rsidP="003338A5">
      <w:pPr>
        <w:ind w:firstLine="720"/>
        <w:rPr>
          <w:rFonts w:asciiTheme="majorBidi" w:hAnsiTheme="majorBidi" w:cstheme="majorBidi"/>
        </w:rPr>
      </w:pPr>
      <w:r w:rsidRPr="00CB40F4">
        <w:rPr>
          <w:rFonts w:asciiTheme="majorBidi" w:hAnsiTheme="majorBidi" w:cstheme="majorBidi"/>
        </w:rPr>
        <w:t>The Agency is using FIFRA Section 3 registration activity data from the Time and Attendance Information System (TAIS), which archives the Agency’s Full Time Equivalents (FTEs) for most OPP program activities.</w:t>
      </w:r>
      <w:r w:rsidR="007841AD" w:rsidRPr="00CB40F4">
        <w:rPr>
          <w:rFonts w:asciiTheme="majorBidi" w:hAnsiTheme="majorBidi" w:cstheme="majorBidi"/>
        </w:rPr>
        <w:t xml:space="preserve"> </w:t>
      </w:r>
      <w:r w:rsidRPr="00CB40F4">
        <w:rPr>
          <w:rFonts w:asciiTheme="majorBidi" w:hAnsiTheme="majorBidi" w:cstheme="majorBidi"/>
        </w:rPr>
        <w:t>The projected burden figures use 2012-2014 data, which include burden hours from internal OPP Divisions that provide significant support and analysis for the FIFRA Section 3 ICR registration program including the Registration Division (RD), the Biopesticides and Pollution Prevention Division (BPPD), the Antimicrobial Division (AD), the Health and Effects Division (HED), the Biological and Economic Analysis Division (BEAD), and the Environmental Fate and Effects Division (EFED).</w:t>
      </w:r>
      <w:r w:rsidR="007841AD" w:rsidRPr="00CB40F4">
        <w:rPr>
          <w:rFonts w:asciiTheme="majorBidi" w:hAnsiTheme="majorBidi" w:cstheme="majorBidi"/>
        </w:rPr>
        <w:t xml:space="preserve"> </w:t>
      </w:r>
      <w:r w:rsidRPr="00CB40F4">
        <w:rPr>
          <w:rFonts w:asciiTheme="majorBidi" w:hAnsiTheme="majorBidi" w:cstheme="majorBidi"/>
        </w:rPr>
        <w:t>Thus, six OPP Divisions work together to complete the activities related to OPP registration actions.</w:t>
      </w:r>
      <w:r w:rsidR="007841AD" w:rsidRPr="00CB40F4">
        <w:rPr>
          <w:rFonts w:asciiTheme="majorBidi" w:hAnsiTheme="majorBidi" w:cstheme="majorBidi"/>
        </w:rPr>
        <w:t xml:space="preserve"> </w:t>
      </w:r>
      <w:r w:rsidRPr="00CB40F4">
        <w:rPr>
          <w:rFonts w:asciiTheme="majorBidi" w:hAnsiTheme="majorBidi" w:cstheme="majorBidi"/>
        </w:rPr>
        <w:t>The Agency believes using this data source reflects the changes to the internal operations for implementing and administering the FIFRA Section 3 registration activities.</w:t>
      </w:r>
      <w:r w:rsidR="007841AD" w:rsidRPr="00CB40F4">
        <w:rPr>
          <w:rFonts w:asciiTheme="majorBidi" w:hAnsiTheme="majorBidi" w:cstheme="majorBidi"/>
        </w:rPr>
        <w:t xml:space="preserve"> </w:t>
      </w:r>
      <w:r w:rsidRPr="00CB40F4">
        <w:rPr>
          <w:rFonts w:asciiTheme="majorBidi" w:hAnsiTheme="majorBidi" w:cstheme="majorBidi"/>
        </w:rPr>
        <w:t>The major impetus for internal program realignment was to implement the requirements of the Food Quality Protection Act of 1996 and the Pesticide Registration Improvement Act of 2003 (PRIA) as reauthorized.</w:t>
      </w:r>
    </w:p>
    <w:p w14:paraId="75E61870" w14:textId="77777777" w:rsidR="008253DD" w:rsidRPr="00CB40F4" w:rsidRDefault="008253DD" w:rsidP="008253DD">
      <w:pPr>
        <w:rPr>
          <w:rFonts w:asciiTheme="majorBidi" w:hAnsiTheme="majorBidi" w:cstheme="majorBidi"/>
        </w:rPr>
      </w:pPr>
    </w:p>
    <w:p w14:paraId="17447188" w14:textId="6966E159"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Using this source of data, the estimated number of Agency FTEs dedicated to Section 3 registration and registration support activities is approximately 26 managerial FTEs, 171 </w:t>
      </w:r>
      <w:r w:rsidRPr="00CB40F4">
        <w:rPr>
          <w:rFonts w:asciiTheme="majorBidi" w:hAnsiTheme="majorBidi" w:cstheme="majorBidi"/>
        </w:rPr>
        <w:lastRenderedPageBreak/>
        <w:t xml:space="preserve">technical FTEs, and 7 clerical FTEs as shown in Table </w:t>
      </w:r>
      <w:r w:rsidR="00721A36" w:rsidRPr="00CB40F4">
        <w:rPr>
          <w:rFonts w:asciiTheme="majorBidi" w:hAnsiTheme="majorBidi" w:cstheme="majorBidi"/>
        </w:rPr>
        <w:t>8</w:t>
      </w:r>
      <w:r w:rsidRPr="00CB40F4">
        <w:rPr>
          <w:rFonts w:asciiTheme="majorBidi" w:hAnsiTheme="majorBidi" w:cstheme="majorBidi"/>
        </w:rPr>
        <w:t xml:space="preserve"> below.</w:t>
      </w:r>
      <w:r w:rsidR="007841AD" w:rsidRPr="00CB40F4">
        <w:rPr>
          <w:rFonts w:asciiTheme="majorBidi" w:hAnsiTheme="majorBidi" w:cstheme="majorBidi"/>
        </w:rPr>
        <w:t xml:space="preserve"> </w:t>
      </w:r>
      <w:r w:rsidRPr="00CB40F4">
        <w:rPr>
          <w:rFonts w:asciiTheme="majorBidi" w:hAnsiTheme="majorBidi" w:cstheme="majorBidi"/>
        </w:rPr>
        <w:t>The aggregated Agency estimated FTE dedicated to Section 3 activities is 205 and the burden hours are 426,400.</w:t>
      </w:r>
      <w:r w:rsidR="007841AD" w:rsidRPr="00CB40F4">
        <w:rPr>
          <w:rFonts w:asciiTheme="majorBidi" w:hAnsiTheme="majorBidi" w:cstheme="majorBidi"/>
        </w:rPr>
        <w:t xml:space="preserve"> </w:t>
      </w:r>
    </w:p>
    <w:p w14:paraId="37C4372A" w14:textId="77777777" w:rsidR="008253DD" w:rsidRPr="00CB40F4" w:rsidRDefault="008253DD" w:rsidP="008253DD">
      <w:pPr>
        <w:rPr>
          <w:rFonts w:asciiTheme="majorBidi" w:hAnsiTheme="majorBidi" w:cstheme="majorBidi"/>
        </w:rPr>
      </w:pPr>
    </w:p>
    <w:p w14:paraId="7D85080B" w14:textId="6C4F9A82" w:rsidR="008253DD" w:rsidRPr="00CB40F4" w:rsidRDefault="008253DD" w:rsidP="008253DD">
      <w:pPr>
        <w:ind w:firstLine="720"/>
        <w:rPr>
          <w:rFonts w:asciiTheme="majorBidi" w:hAnsiTheme="majorBidi" w:cstheme="majorBidi"/>
        </w:rPr>
      </w:pPr>
      <w:r w:rsidRPr="00CB40F4">
        <w:rPr>
          <w:rFonts w:asciiTheme="majorBidi" w:hAnsiTheme="majorBidi" w:cstheme="majorBidi"/>
        </w:rPr>
        <w:t>To determine Agency costs, the Agency used the Bureau of Labor Statistics estimates of 2014 labor rates for the North American Industry Classification System (NAICS) code for the Federal Executive Branch (NAICS 999100).</w:t>
      </w:r>
      <w:r w:rsidR="007841AD" w:rsidRPr="00CB40F4">
        <w:rPr>
          <w:rFonts w:asciiTheme="majorBidi" w:hAnsiTheme="majorBidi" w:cstheme="majorBidi"/>
        </w:rPr>
        <w:t xml:space="preserve"> </w:t>
      </w:r>
      <w:r w:rsidRPr="00CB40F4">
        <w:rPr>
          <w:rFonts w:asciiTheme="majorBidi" w:hAnsiTheme="majorBidi" w:cstheme="majorBidi"/>
        </w:rPr>
        <w:t>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w:t>
      </w:r>
      <w:r w:rsidR="007841AD" w:rsidRPr="00CB40F4">
        <w:rPr>
          <w:rFonts w:asciiTheme="majorBidi" w:hAnsiTheme="majorBidi" w:cstheme="majorBidi"/>
        </w:rPr>
        <w:t xml:space="preserve"> </w:t>
      </w:r>
      <w:r w:rsidRPr="00CB40F4">
        <w:rPr>
          <w:rFonts w:asciiTheme="majorBidi" w:hAnsiTheme="majorBidi" w:cstheme="majorBidi"/>
        </w:rPr>
        <w:t>The fully loaded hourly mean wage rate estimate is $</w:t>
      </w:r>
      <w:r w:rsidRPr="00CB40F4">
        <w:rPr>
          <w:rFonts w:asciiTheme="majorBidi" w:hAnsiTheme="majorBidi" w:cstheme="majorBidi"/>
          <w:bCs/>
        </w:rPr>
        <w:t>121.79</w:t>
      </w:r>
      <w:r w:rsidRPr="00CB40F4">
        <w:rPr>
          <w:rFonts w:asciiTheme="majorBidi" w:hAnsiTheme="majorBidi" w:cstheme="majorBidi"/>
          <w:b/>
          <w:bCs/>
        </w:rPr>
        <w:t xml:space="preserve"> </w:t>
      </w:r>
      <w:r w:rsidRPr="00CB40F4">
        <w:rPr>
          <w:rFonts w:asciiTheme="majorBidi" w:hAnsiTheme="majorBidi" w:cstheme="majorBidi"/>
        </w:rPr>
        <w:t>for managerial occupations, $80.02 for technical occupations, and $</w:t>
      </w:r>
      <w:r w:rsidRPr="00CB40F4">
        <w:rPr>
          <w:rFonts w:asciiTheme="majorBidi" w:hAnsiTheme="majorBidi" w:cstheme="majorBidi"/>
          <w:bCs/>
        </w:rPr>
        <w:t>45.56</w:t>
      </w:r>
      <w:r w:rsidRPr="00CB40F4">
        <w:rPr>
          <w:rFonts w:asciiTheme="majorBidi" w:hAnsiTheme="majorBidi" w:cstheme="majorBidi"/>
        </w:rPr>
        <w:t xml:space="preserve"> for clerical occupations. (See </w:t>
      </w:r>
      <w:r w:rsidRPr="00CB40F4">
        <w:rPr>
          <w:rFonts w:asciiTheme="majorBidi" w:hAnsiTheme="majorBidi" w:cstheme="majorBidi"/>
          <w:b/>
        </w:rPr>
        <w:t xml:space="preserve">Attachment </w:t>
      </w:r>
      <w:r w:rsidR="007A6470" w:rsidRPr="00CB40F4">
        <w:rPr>
          <w:rFonts w:asciiTheme="majorBidi" w:hAnsiTheme="majorBidi" w:cstheme="majorBidi"/>
          <w:b/>
        </w:rPr>
        <w:t>J</w:t>
      </w:r>
      <w:r w:rsidRPr="00CB40F4">
        <w:rPr>
          <w:rFonts w:asciiTheme="majorBidi" w:hAnsiTheme="majorBidi" w:cstheme="majorBidi"/>
        </w:rPr>
        <w:t xml:space="preserve"> for wage calculations.)</w:t>
      </w:r>
    </w:p>
    <w:p w14:paraId="73927A44" w14:textId="77777777" w:rsidR="008253DD" w:rsidRPr="00CB40F4" w:rsidRDefault="008253DD" w:rsidP="008253DD">
      <w:pPr>
        <w:rPr>
          <w:rFonts w:asciiTheme="majorBidi" w:hAnsiTheme="majorBidi" w:cstheme="majorBidi"/>
        </w:rPr>
      </w:pPr>
    </w:p>
    <w:p w14:paraId="55696EAC" w14:textId="44E74F88"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To calculate the Agency’s estimated annual cost of Section 3 activities, the number of FTE’s allocated to registration activities (Table </w:t>
      </w:r>
      <w:r w:rsidR="00721A36" w:rsidRPr="00CB40F4">
        <w:rPr>
          <w:rFonts w:asciiTheme="majorBidi" w:hAnsiTheme="majorBidi" w:cstheme="majorBidi"/>
        </w:rPr>
        <w:t>8</w:t>
      </w:r>
      <w:r w:rsidRPr="00CB40F4">
        <w:rPr>
          <w:rFonts w:asciiTheme="majorBidi" w:hAnsiTheme="majorBidi" w:cstheme="majorBidi"/>
        </w:rPr>
        <w:t>) is multiplied by these fully loaded labor rates and by 2,080 hours per FTE, which is estimated to be about $</w:t>
      </w:r>
      <w:r w:rsidRPr="00CB40F4">
        <w:rPr>
          <w:rFonts w:asciiTheme="majorBidi" w:hAnsiTheme="majorBidi" w:cstheme="majorBidi"/>
          <w:bCs/>
        </w:rPr>
        <w:t xml:space="preserve">6.70 million </w:t>
      </w:r>
      <w:r w:rsidRPr="00CB40F4">
        <w:rPr>
          <w:rFonts w:asciiTheme="majorBidi" w:hAnsiTheme="majorBidi" w:cstheme="majorBidi"/>
        </w:rPr>
        <w:t>for management; $</w:t>
      </w:r>
      <w:r w:rsidRPr="00CB40F4">
        <w:rPr>
          <w:rFonts w:asciiTheme="majorBidi" w:hAnsiTheme="majorBidi" w:cstheme="majorBidi"/>
          <w:bCs/>
        </w:rPr>
        <w:t>28.44 million</w:t>
      </w:r>
      <w:r w:rsidRPr="00CB40F4">
        <w:rPr>
          <w:rFonts w:asciiTheme="majorBidi" w:hAnsiTheme="majorBidi" w:cstheme="majorBidi"/>
        </w:rPr>
        <w:t xml:space="preserve"> for technical; and $703 thousand for clerical.</w:t>
      </w:r>
      <w:r w:rsidR="007841AD" w:rsidRPr="00CB40F4">
        <w:rPr>
          <w:rFonts w:asciiTheme="majorBidi" w:hAnsiTheme="majorBidi" w:cstheme="majorBidi"/>
        </w:rPr>
        <w:t xml:space="preserve"> </w:t>
      </w:r>
      <w:r w:rsidRPr="00CB40F4">
        <w:rPr>
          <w:rFonts w:asciiTheme="majorBidi" w:hAnsiTheme="majorBidi" w:cstheme="majorBidi"/>
        </w:rPr>
        <w:t>The total estimated Agency cost is $</w:t>
      </w:r>
      <w:r w:rsidRPr="00CB40F4">
        <w:rPr>
          <w:rFonts w:asciiTheme="majorBidi" w:hAnsiTheme="majorBidi" w:cstheme="majorBidi"/>
          <w:bCs/>
        </w:rPr>
        <w:t>35.84 million</w:t>
      </w:r>
      <w:r w:rsidRPr="00CB40F4">
        <w:rPr>
          <w:rFonts w:asciiTheme="majorBidi" w:hAnsiTheme="majorBidi" w:cstheme="majorBidi"/>
        </w:rPr>
        <w:t>.</w:t>
      </w:r>
    </w:p>
    <w:p w14:paraId="3028CE6C" w14:textId="77777777" w:rsidR="008253DD" w:rsidRPr="00CB40F4" w:rsidRDefault="008253DD" w:rsidP="008253DD">
      <w:pPr>
        <w:rPr>
          <w:rFonts w:asciiTheme="majorBidi" w:hAnsiTheme="majorBidi" w:cstheme="majorBidi"/>
        </w:rPr>
      </w:pPr>
    </w:p>
    <w:p w14:paraId="2883DD47" w14:textId="14D46E4A" w:rsidR="008253DD" w:rsidRPr="00CB40F4" w:rsidRDefault="008253DD" w:rsidP="008253DD">
      <w:pPr>
        <w:rPr>
          <w:rFonts w:asciiTheme="majorBidi" w:hAnsiTheme="majorBidi" w:cstheme="majorBidi"/>
        </w:rPr>
      </w:pPr>
      <w:r w:rsidRPr="00CB40F4">
        <w:rPr>
          <w:rFonts w:asciiTheme="majorBidi" w:hAnsiTheme="majorBidi" w:cstheme="majorBidi"/>
          <w:b/>
          <w:bCs/>
          <w:sz w:val="22"/>
          <w:szCs w:val="22"/>
        </w:rPr>
        <w:t xml:space="preserve">Table </w:t>
      </w:r>
      <w:r w:rsidR="00721A36" w:rsidRPr="00CB40F4">
        <w:rPr>
          <w:rFonts w:asciiTheme="majorBidi" w:hAnsiTheme="majorBidi" w:cstheme="majorBidi"/>
          <w:b/>
          <w:bCs/>
          <w:sz w:val="22"/>
          <w:szCs w:val="22"/>
        </w:rPr>
        <w:t>8</w:t>
      </w:r>
      <w:r w:rsidRPr="00CB40F4">
        <w:rPr>
          <w:rFonts w:asciiTheme="majorBidi" w:hAnsiTheme="majorBidi" w:cstheme="majorBidi"/>
          <w:b/>
          <w:bCs/>
          <w:sz w:val="22"/>
          <w:szCs w:val="22"/>
        </w:rPr>
        <w:t>: Distribution of Agency FTEs Supporting FIFRA Section 3 Registration Activities</w:t>
      </w:r>
      <w:r w:rsidRPr="00CB40F4">
        <w:rPr>
          <w:rFonts w:asciiTheme="majorBidi" w:hAnsiTheme="majorBidi" w:cstheme="majorBidi"/>
          <w:bCs/>
          <w:sz w:val="22"/>
          <w:szCs w:val="22"/>
          <w:vertAlign w:val="superscript"/>
        </w:rPr>
        <w:t xml:space="preserve"> 1</w:t>
      </w:r>
    </w:p>
    <w:tbl>
      <w:tblPr>
        <w:tblW w:w="5000" w:type="pct"/>
        <w:tblLook w:val="04A0" w:firstRow="1" w:lastRow="0" w:firstColumn="1" w:lastColumn="0" w:noHBand="0" w:noVBand="1"/>
      </w:tblPr>
      <w:tblGrid>
        <w:gridCol w:w="1127"/>
        <w:gridCol w:w="761"/>
        <w:gridCol w:w="572"/>
        <w:gridCol w:w="716"/>
        <w:gridCol w:w="642"/>
        <w:gridCol w:w="643"/>
        <w:gridCol w:w="717"/>
        <w:gridCol w:w="1122"/>
        <w:gridCol w:w="1255"/>
        <w:gridCol w:w="1759"/>
      </w:tblGrid>
      <w:tr w:rsidR="008253DD" w:rsidRPr="00CB40F4" w14:paraId="5E97AA7B" w14:textId="77777777" w:rsidTr="007D140D">
        <w:trPr>
          <w:trHeight w:val="330"/>
        </w:trPr>
        <w:tc>
          <w:tcPr>
            <w:tcW w:w="625" w:type="pct"/>
            <w:tcBorders>
              <w:top w:val="double" w:sz="6" w:space="0" w:color="808080"/>
              <w:left w:val="double" w:sz="6" w:space="0" w:color="808080"/>
              <w:bottom w:val="single" w:sz="4" w:space="0" w:color="808080"/>
              <w:right w:val="single" w:sz="4" w:space="0" w:color="808080"/>
            </w:tcBorders>
            <w:shd w:val="clear" w:color="auto" w:fill="auto"/>
            <w:noWrap/>
            <w:vAlign w:val="bottom"/>
            <w:hideMark/>
          </w:tcPr>
          <w:p w14:paraId="65CCB0AD" w14:textId="77777777" w:rsidR="008253DD" w:rsidRPr="00CB40F4" w:rsidRDefault="008253DD" w:rsidP="00650B2D">
            <w:pPr>
              <w:jc w:val="center"/>
              <w:rPr>
                <w:rFonts w:asciiTheme="majorBidi" w:hAnsiTheme="majorBidi" w:cstheme="majorBidi"/>
                <w:sz w:val="20"/>
                <w:szCs w:val="20"/>
              </w:rPr>
            </w:pPr>
          </w:p>
        </w:tc>
        <w:tc>
          <w:tcPr>
            <w:tcW w:w="402" w:type="pct"/>
            <w:tcBorders>
              <w:top w:val="double" w:sz="6" w:space="0" w:color="808080"/>
              <w:left w:val="nil"/>
              <w:bottom w:val="single" w:sz="4" w:space="0" w:color="808080"/>
              <w:right w:val="single" w:sz="4" w:space="0" w:color="808080"/>
            </w:tcBorders>
            <w:shd w:val="clear" w:color="auto" w:fill="auto"/>
            <w:noWrap/>
            <w:vAlign w:val="bottom"/>
            <w:hideMark/>
          </w:tcPr>
          <w:p w14:paraId="78A2CC6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BEAD</w:t>
            </w:r>
          </w:p>
        </w:tc>
        <w:tc>
          <w:tcPr>
            <w:tcW w:w="342" w:type="pct"/>
            <w:tcBorders>
              <w:top w:val="double" w:sz="6" w:space="0" w:color="808080"/>
              <w:left w:val="nil"/>
              <w:bottom w:val="single" w:sz="4" w:space="0" w:color="808080"/>
              <w:right w:val="single" w:sz="4" w:space="0" w:color="808080"/>
            </w:tcBorders>
            <w:shd w:val="clear" w:color="auto" w:fill="auto"/>
            <w:noWrap/>
            <w:vAlign w:val="bottom"/>
            <w:hideMark/>
          </w:tcPr>
          <w:p w14:paraId="1888EA1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RD</w:t>
            </w:r>
          </w:p>
        </w:tc>
        <w:tc>
          <w:tcPr>
            <w:tcW w:w="372" w:type="pct"/>
            <w:tcBorders>
              <w:top w:val="double" w:sz="6" w:space="0" w:color="808080"/>
              <w:left w:val="nil"/>
              <w:bottom w:val="single" w:sz="4" w:space="0" w:color="808080"/>
              <w:right w:val="single" w:sz="4" w:space="0" w:color="808080"/>
            </w:tcBorders>
            <w:shd w:val="clear" w:color="auto" w:fill="auto"/>
            <w:noWrap/>
            <w:vAlign w:val="bottom"/>
            <w:hideMark/>
          </w:tcPr>
          <w:p w14:paraId="5789E15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EFED</w:t>
            </w:r>
          </w:p>
        </w:tc>
        <w:tc>
          <w:tcPr>
            <w:tcW w:w="372" w:type="pct"/>
            <w:tcBorders>
              <w:top w:val="double" w:sz="6" w:space="0" w:color="808080"/>
              <w:left w:val="nil"/>
              <w:bottom w:val="single" w:sz="4" w:space="0" w:color="808080"/>
              <w:right w:val="single" w:sz="4" w:space="0" w:color="808080"/>
            </w:tcBorders>
            <w:shd w:val="clear" w:color="auto" w:fill="auto"/>
            <w:noWrap/>
            <w:vAlign w:val="bottom"/>
            <w:hideMark/>
          </w:tcPr>
          <w:p w14:paraId="5F9727D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HED</w:t>
            </w:r>
          </w:p>
        </w:tc>
        <w:tc>
          <w:tcPr>
            <w:tcW w:w="372" w:type="pct"/>
            <w:tcBorders>
              <w:top w:val="double" w:sz="6" w:space="0" w:color="808080"/>
              <w:left w:val="nil"/>
              <w:bottom w:val="single" w:sz="4" w:space="0" w:color="808080"/>
              <w:right w:val="single" w:sz="4" w:space="0" w:color="808080"/>
            </w:tcBorders>
            <w:shd w:val="clear" w:color="auto" w:fill="auto"/>
            <w:noWrap/>
            <w:vAlign w:val="bottom"/>
            <w:hideMark/>
          </w:tcPr>
          <w:p w14:paraId="44E03D6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AD</w:t>
            </w:r>
          </w:p>
        </w:tc>
        <w:tc>
          <w:tcPr>
            <w:tcW w:w="372" w:type="pct"/>
            <w:tcBorders>
              <w:top w:val="double" w:sz="6" w:space="0" w:color="808080"/>
              <w:left w:val="nil"/>
              <w:bottom w:val="single" w:sz="4" w:space="0" w:color="808080"/>
              <w:right w:val="single" w:sz="4" w:space="0" w:color="808080"/>
            </w:tcBorders>
            <w:shd w:val="clear" w:color="auto" w:fill="auto"/>
            <w:noWrap/>
            <w:vAlign w:val="bottom"/>
            <w:hideMark/>
          </w:tcPr>
          <w:p w14:paraId="69A020C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BPPD</w:t>
            </w:r>
          </w:p>
        </w:tc>
        <w:tc>
          <w:tcPr>
            <w:tcW w:w="595" w:type="pct"/>
            <w:tcBorders>
              <w:top w:val="double" w:sz="6" w:space="0" w:color="808080"/>
              <w:left w:val="nil"/>
              <w:bottom w:val="single" w:sz="4" w:space="0" w:color="808080"/>
              <w:right w:val="single" w:sz="4" w:space="0" w:color="808080"/>
            </w:tcBorders>
            <w:shd w:val="clear" w:color="auto" w:fill="auto"/>
            <w:noWrap/>
            <w:vAlign w:val="bottom"/>
            <w:hideMark/>
          </w:tcPr>
          <w:p w14:paraId="3F178C3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Total FTEs</w:t>
            </w:r>
          </w:p>
        </w:tc>
        <w:tc>
          <w:tcPr>
            <w:tcW w:w="655" w:type="pct"/>
            <w:tcBorders>
              <w:top w:val="double" w:sz="6" w:space="0" w:color="808080"/>
              <w:left w:val="nil"/>
              <w:bottom w:val="single" w:sz="4" w:space="0" w:color="808080"/>
              <w:right w:val="single" w:sz="4" w:space="0" w:color="808080"/>
            </w:tcBorders>
            <w:shd w:val="clear" w:color="auto" w:fill="auto"/>
            <w:noWrap/>
            <w:vAlign w:val="bottom"/>
            <w:hideMark/>
          </w:tcPr>
          <w:p w14:paraId="056B5D8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Hourly wage</w:t>
            </w:r>
          </w:p>
        </w:tc>
        <w:tc>
          <w:tcPr>
            <w:tcW w:w="893" w:type="pct"/>
            <w:tcBorders>
              <w:top w:val="double" w:sz="6" w:space="0" w:color="808080"/>
              <w:left w:val="nil"/>
              <w:bottom w:val="single" w:sz="4" w:space="0" w:color="808080"/>
              <w:right w:val="double" w:sz="6" w:space="0" w:color="808080"/>
            </w:tcBorders>
            <w:shd w:val="clear" w:color="auto" w:fill="auto"/>
            <w:noWrap/>
            <w:vAlign w:val="bottom"/>
            <w:hideMark/>
          </w:tcPr>
          <w:p w14:paraId="02F07A7C" w14:textId="77777777" w:rsidR="008253DD" w:rsidRPr="00CB40F4" w:rsidRDefault="008253DD" w:rsidP="00650B2D">
            <w:pPr>
              <w:jc w:val="center"/>
              <w:rPr>
                <w:rFonts w:asciiTheme="majorBidi" w:hAnsiTheme="majorBidi" w:cstheme="majorBidi"/>
                <w:sz w:val="20"/>
                <w:szCs w:val="20"/>
                <w:vertAlign w:val="superscript"/>
              </w:rPr>
            </w:pPr>
            <w:r w:rsidRPr="00CB40F4">
              <w:rPr>
                <w:rFonts w:asciiTheme="majorBidi" w:hAnsiTheme="majorBidi" w:cstheme="majorBidi"/>
                <w:sz w:val="20"/>
                <w:szCs w:val="20"/>
              </w:rPr>
              <w:t>Total Annual Cost</w:t>
            </w:r>
            <w:r w:rsidRPr="00CB40F4">
              <w:rPr>
                <w:rFonts w:asciiTheme="majorBidi" w:hAnsiTheme="majorBidi" w:cstheme="majorBidi"/>
                <w:sz w:val="20"/>
                <w:szCs w:val="20"/>
                <w:vertAlign w:val="superscript"/>
              </w:rPr>
              <w:t>2</w:t>
            </w:r>
          </w:p>
        </w:tc>
      </w:tr>
      <w:tr w:rsidR="008253DD" w:rsidRPr="00CB40F4" w14:paraId="0E7E2183" w14:textId="77777777" w:rsidTr="007D140D">
        <w:trPr>
          <w:trHeight w:val="255"/>
        </w:trPr>
        <w:tc>
          <w:tcPr>
            <w:tcW w:w="625" w:type="pct"/>
            <w:tcBorders>
              <w:top w:val="nil"/>
              <w:left w:val="double" w:sz="6" w:space="0" w:color="808080"/>
              <w:bottom w:val="single" w:sz="4" w:space="0" w:color="808080"/>
              <w:right w:val="single" w:sz="4" w:space="0" w:color="808080"/>
            </w:tcBorders>
            <w:shd w:val="clear" w:color="auto" w:fill="auto"/>
            <w:noWrap/>
            <w:vAlign w:val="center"/>
            <w:hideMark/>
          </w:tcPr>
          <w:p w14:paraId="7B741CC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Managerial</w:t>
            </w:r>
          </w:p>
        </w:tc>
        <w:tc>
          <w:tcPr>
            <w:tcW w:w="402" w:type="pct"/>
            <w:tcBorders>
              <w:top w:val="nil"/>
              <w:left w:val="nil"/>
              <w:bottom w:val="single" w:sz="4" w:space="0" w:color="808080"/>
              <w:right w:val="single" w:sz="4" w:space="0" w:color="808080"/>
            </w:tcBorders>
            <w:shd w:val="clear" w:color="auto" w:fill="auto"/>
            <w:noWrap/>
            <w:vAlign w:val="center"/>
            <w:hideMark/>
          </w:tcPr>
          <w:p w14:paraId="3081FFC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2.9</w:t>
            </w:r>
          </w:p>
        </w:tc>
        <w:tc>
          <w:tcPr>
            <w:tcW w:w="342" w:type="pct"/>
            <w:tcBorders>
              <w:top w:val="nil"/>
              <w:left w:val="nil"/>
              <w:bottom w:val="single" w:sz="4" w:space="0" w:color="808080"/>
              <w:right w:val="single" w:sz="4" w:space="0" w:color="808080"/>
            </w:tcBorders>
            <w:shd w:val="clear" w:color="auto" w:fill="auto"/>
            <w:noWrap/>
            <w:vAlign w:val="center"/>
            <w:hideMark/>
          </w:tcPr>
          <w:p w14:paraId="063F23C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7.4</w:t>
            </w:r>
          </w:p>
        </w:tc>
        <w:tc>
          <w:tcPr>
            <w:tcW w:w="372" w:type="pct"/>
            <w:tcBorders>
              <w:top w:val="nil"/>
              <w:left w:val="nil"/>
              <w:bottom w:val="single" w:sz="4" w:space="0" w:color="808080"/>
              <w:right w:val="single" w:sz="4" w:space="0" w:color="808080"/>
            </w:tcBorders>
            <w:shd w:val="clear" w:color="auto" w:fill="auto"/>
            <w:noWrap/>
            <w:vAlign w:val="center"/>
            <w:hideMark/>
          </w:tcPr>
          <w:p w14:paraId="3F4C6DF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2.4</w:t>
            </w:r>
          </w:p>
        </w:tc>
        <w:tc>
          <w:tcPr>
            <w:tcW w:w="372" w:type="pct"/>
            <w:tcBorders>
              <w:top w:val="nil"/>
              <w:left w:val="nil"/>
              <w:bottom w:val="single" w:sz="4" w:space="0" w:color="808080"/>
              <w:right w:val="single" w:sz="4" w:space="0" w:color="808080"/>
            </w:tcBorders>
            <w:shd w:val="clear" w:color="auto" w:fill="auto"/>
            <w:noWrap/>
            <w:vAlign w:val="center"/>
            <w:hideMark/>
          </w:tcPr>
          <w:p w14:paraId="7224AE45"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7.1</w:t>
            </w:r>
          </w:p>
        </w:tc>
        <w:tc>
          <w:tcPr>
            <w:tcW w:w="372" w:type="pct"/>
            <w:tcBorders>
              <w:top w:val="nil"/>
              <w:left w:val="nil"/>
              <w:bottom w:val="single" w:sz="4" w:space="0" w:color="808080"/>
              <w:right w:val="single" w:sz="4" w:space="0" w:color="808080"/>
            </w:tcBorders>
            <w:shd w:val="clear" w:color="auto" w:fill="auto"/>
            <w:noWrap/>
            <w:vAlign w:val="center"/>
            <w:hideMark/>
          </w:tcPr>
          <w:p w14:paraId="043E76B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3.2</w:t>
            </w:r>
          </w:p>
        </w:tc>
        <w:tc>
          <w:tcPr>
            <w:tcW w:w="372" w:type="pct"/>
            <w:tcBorders>
              <w:top w:val="nil"/>
              <w:left w:val="nil"/>
              <w:bottom w:val="single" w:sz="4" w:space="0" w:color="808080"/>
              <w:right w:val="single" w:sz="4" w:space="0" w:color="808080"/>
            </w:tcBorders>
            <w:shd w:val="clear" w:color="auto" w:fill="auto"/>
            <w:noWrap/>
            <w:vAlign w:val="center"/>
            <w:hideMark/>
          </w:tcPr>
          <w:p w14:paraId="6B5D28D0"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3.4</w:t>
            </w:r>
          </w:p>
        </w:tc>
        <w:tc>
          <w:tcPr>
            <w:tcW w:w="595" w:type="pct"/>
            <w:tcBorders>
              <w:top w:val="nil"/>
              <w:left w:val="nil"/>
              <w:bottom w:val="single" w:sz="4" w:space="0" w:color="808080"/>
              <w:right w:val="single" w:sz="4" w:space="0" w:color="808080"/>
            </w:tcBorders>
            <w:shd w:val="clear" w:color="auto" w:fill="auto"/>
            <w:noWrap/>
            <w:vAlign w:val="center"/>
            <w:hideMark/>
          </w:tcPr>
          <w:p w14:paraId="6FF3A7B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26.4</w:t>
            </w:r>
          </w:p>
        </w:tc>
        <w:tc>
          <w:tcPr>
            <w:tcW w:w="655" w:type="pct"/>
            <w:tcBorders>
              <w:top w:val="nil"/>
              <w:left w:val="nil"/>
              <w:bottom w:val="single" w:sz="4" w:space="0" w:color="808080"/>
              <w:right w:val="single" w:sz="4" w:space="0" w:color="808080"/>
            </w:tcBorders>
            <w:shd w:val="clear" w:color="auto" w:fill="auto"/>
            <w:noWrap/>
            <w:vAlign w:val="center"/>
            <w:hideMark/>
          </w:tcPr>
          <w:p w14:paraId="71756CD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$121.79 </w:t>
            </w:r>
          </w:p>
        </w:tc>
        <w:tc>
          <w:tcPr>
            <w:tcW w:w="893" w:type="pct"/>
            <w:tcBorders>
              <w:top w:val="nil"/>
              <w:left w:val="nil"/>
              <w:bottom w:val="single" w:sz="4" w:space="0" w:color="808080"/>
              <w:right w:val="double" w:sz="6" w:space="0" w:color="808080"/>
            </w:tcBorders>
            <w:shd w:val="clear" w:color="auto" w:fill="auto"/>
            <w:noWrap/>
            <w:vAlign w:val="center"/>
            <w:hideMark/>
          </w:tcPr>
          <w:p w14:paraId="40DD8D2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$6,698,844</w:t>
            </w:r>
          </w:p>
        </w:tc>
      </w:tr>
      <w:tr w:rsidR="008253DD" w:rsidRPr="00CB40F4" w14:paraId="72948D4A" w14:textId="77777777" w:rsidTr="007D140D">
        <w:trPr>
          <w:trHeight w:val="255"/>
        </w:trPr>
        <w:tc>
          <w:tcPr>
            <w:tcW w:w="625" w:type="pct"/>
            <w:tcBorders>
              <w:top w:val="nil"/>
              <w:left w:val="double" w:sz="6" w:space="0" w:color="808080"/>
              <w:bottom w:val="single" w:sz="4" w:space="0" w:color="808080"/>
              <w:right w:val="single" w:sz="4" w:space="0" w:color="808080"/>
            </w:tcBorders>
            <w:shd w:val="clear" w:color="auto" w:fill="auto"/>
            <w:noWrap/>
            <w:vAlign w:val="center"/>
            <w:hideMark/>
          </w:tcPr>
          <w:p w14:paraId="17D8657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Technical</w:t>
            </w:r>
          </w:p>
        </w:tc>
        <w:tc>
          <w:tcPr>
            <w:tcW w:w="402" w:type="pct"/>
            <w:tcBorders>
              <w:top w:val="nil"/>
              <w:left w:val="nil"/>
              <w:bottom w:val="single" w:sz="4" w:space="0" w:color="808080"/>
              <w:right w:val="single" w:sz="4" w:space="0" w:color="808080"/>
            </w:tcBorders>
            <w:shd w:val="clear" w:color="auto" w:fill="auto"/>
            <w:noWrap/>
            <w:vAlign w:val="center"/>
            <w:hideMark/>
          </w:tcPr>
          <w:p w14:paraId="63B9A65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16.5</w:t>
            </w:r>
          </w:p>
        </w:tc>
        <w:tc>
          <w:tcPr>
            <w:tcW w:w="342" w:type="pct"/>
            <w:tcBorders>
              <w:top w:val="nil"/>
              <w:left w:val="nil"/>
              <w:bottom w:val="single" w:sz="4" w:space="0" w:color="808080"/>
              <w:right w:val="single" w:sz="4" w:space="0" w:color="808080"/>
            </w:tcBorders>
            <w:shd w:val="clear" w:color="auto" w:fill="auto"/>
            <w:noWrap/>
            <w:vAlign w:val="center"/>
            <w:hideMark/>
          </w:tcPr>
          <w:p w14:paraId="642FAAE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54.6</w:t>
            </w:r>
          </w:p>
        </w:tc>
        <w:tc>
          <w:tcPr>
            <w:tcW w:w="372" w:type="pct"/>
            <w:tcBorders>
              <w:top w:val="nil"/>
              <w:left w:val="nil"/>
              <w:bottom w:val="single" w:sz="4" w:space="0" w:color="808080"/>
              <w:right w:val="single" w:sz="4" w:space="0" w:color="808080"/>
            </w:tcBorders>
            <w:shd w:val="clear" w:color="auto" w:fill="auto"/>
            <w:noWrap/>
            <w:vAlign w:val="center"/>
            <w:hideMark/>
          </w:tcPr>
          <w:p w14:paraId="13BC427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14.7</w:t>
            </w:r>
          </w:p>
        </w:tc>
        <w:tc>
          <w:tcPr>
            <w:tcW w:w="372" w:type="pct"/>
            <w:tcBorders>
              <w:top w:val="nil"/>
              <w:left w:val="nil"/>
              <w:bottom w:val="single" w:sz="4" w:space="0" w:color="808080"/>
              <w:right w:val="single" w:sz="4" w:space="0" w:color="808080"/>
            </w:tcBorders>
            <w:shd w:val="clear" w:color="auto" w:fill="auto"/>
            <w:noWrap/>
            <w:vAlign w:val="center"/>
            <w:hideMark/>
          </w:tcPr>
          <w:p w14:paraId="384E0A26"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38.1</w:t>
            </w:r>
          </w:p>
        </w:tc>
        <w:tc>
          <w:tcPr>
            <w:tcW w:w="372" w:type="pct"/>
            <w:tcBorders>
              <w:top w:val="nil"/>
              <w:left w:val="nil"/>
              <w:bottom w:val="single" w:sz="4" w:space="0" w:color="808080"/>
              <w:right w:val="single" w:sz="4" w:space="0" w:color="808080"/>
            </w:tcBorders>
            <w:shd w:val="clear" w:color="auto" w:fill="auto"/>
            <w:noWrap/>
            <w:vAlign w:val="center"/>
            <w:hideMark/>
          </w:tcPr>
          <w:p w14:paraId="24E81B8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22.7</w:t>
            </w:r>
          </w:p>
        </w:tc>
        <w:tc>
          <w:tcPr>
            <w:tcW w:w="372" w:type="pct"/>
            <w:tcBorders>
              <w:top w:val="nil"/>
              <w:left w:val="nil"/>
              <w:bottom w:val="single" w:sz="4" w:space="0" w:color="808080"/>
              <w:right w:val="single" w:sz="4" w:space="0" w:color="808080"/>
            </w:tcBorders>
            <w:shd w:val="clear" w:color="auto" w:fill="auto"/>
            <w:noWrap/>
            <w:vAlign w:val="center"/>
            <w:hideMark/>
          </w:tcPr>
          <w:p w14:paraId="777443E8"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24.2</w:t>
            </w:r>
          </w:p>
        </w:tc>
        <w:tc>
          <w:tcPr>
            <w:tcW w:w="595" w:type="pct"/>
            <w:tcBorders>
              <w:top w:val="nil"/>
              <w:left w:val="nil"/>
              <w:bottom w:val="single" w:sz="4" w:space="0" w:color="808080"/>
              <w:right w:val="single" w:sz="4" w:space="0" w:color="808080"/>
            </w:tcBorders>
            <w:shd w:val="clear" w:color="auto" w:fill="auto"/>
            <w:noWrap/>
            <w:vAlign w:val="center"/>
            <w:hideMark/>
          </w:tcPr>
          <w:p w14:paraId="425E1AE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170.9</w:t>
            </w:r>
          </w:p>
        </w:tc>
        <w:tc>
          <w:tcPr>
            <w:tcW w:w="655" w:type="pct"/>
            <w:tcBorders>
              <w:top w:val="nil"/>
              <w:left w:val="nil"/>
              <w:bottom w:val="single" w:sz="4" w:space="0" w:color="808080"/>
              <w:right w:val="single" w:sz="4" w:space="0" w:color="808080"/>
            </w:tcBorders>
            <w:shd w:val="clear" w:color="auto" w:fill="auto"/>
            <w:noWrap/>
            <w:vAlign w:val="center"/>
            <w:hideMark/>
          </w:tcPr>
          <w:p w14:paraId="2F3A36D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$80.02 </w:t>
            </w:r>
          </w:p>
        </w:tc>
        <w:tc>
          <w:tcPr>
            <w:tcW w:w="893" w:type="pct"/>
            <w:tcBorders>
              <w:top w:val="nil"/>
              <w:left w:val="nil"/>
              <w:bottom w:val="single" w:sz="4" w:space="0" w:color="808080"/>
              <w:right w:val="double" w:sz="6" w:space="0" w:color="808080"/>
            </w:tcBorders>
            <w:shd w:val="clear" w:color="auto" w:fill="auto"/>
            <w:noWrap/>
            <w:vAlign w:val="center"/>
            <w:hideMark/>
          </w:tcPr>
          <w:p w14:paraId="67563DF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$28,441,551</w:t>
            </w:r>
          </w:p>
        </w:tc>
      </w:tr>
      <w:tr w:rsidR="008253DD" w:rsidRPr="00CB40F4" w14:paraId="44A21CE7" w14:textId="77777777" w:rsidTr="007D140D">
        <w:trPr>
          <w:trHeight w:val="255"/>
        </w:trPr>
        <w:tc>
          <w:tcPr>
            <w:tcW w:w="625" w:type="pct"/>
            <w:tcBorders>
              <w:top w:val="nil"/>
              <w:left w:val="double" w:sz="6" w:space="0" w:color="808080"/>
              <w:bottom w:val="single" w:sz="4" w:space="0" w:color="808080"/>
              <w:right w:val="single" w:sz="4" w:space="0" w:color="808080"/>
            </w:tcBorders>
            <w:shd w:val="clear" w:color="auto" w:fill="auto"/>
            <w:noWrap/>
            <w:vAlign w:val="center"/>
            <w:hideMark/>
          </w:tcPr>
          <w:p w14:paraId="47FD382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Clerical</w:t>
            </w:r>
          </w:p>
        </w:tc>
        <w:tc>
          <w:tcPr>
            <w:tcW w:w="402" w:type="pct"/>
            <w:tcBorders>
              <w:top w:val="nil"/>
              <w:left w:val="nil"/>
              <w:bottom w:val="single" w:sz="4" w:space="0" w:color="808080"/>
              <w:right w:val="single" w:sz="4" w:space="0" w:color="808080"/>
            </w:tcBorders>
            <w:shd w:val="clear" w:color="auto" w:fill="auto"/>
            <w:noWrap/>
            <w:vAlign w:val="center"/>
            <w:hideMark/>
          </w:tcPr>
          <w:p w14:paraId="586136E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0.7</w:t>
            </w:r>
          </w:p>
        </w:tc>
        <w:tc>
          <w:tcPr>
            <w:tcW w:w="342" w:type="pct"/>
            <w:tcBorders>
              <w:top w:val="nil"/>
              <w:left w:val="nil"/>
              <w:bottom w:val="single" w:sz="4" w:space="0" w:color="808080"/>
              <w:right w:val="single" w:sz="4" w:space="0" w:color="808080"/>
            </w:tcBorders>
            <w:shd w:val="clear" w:color="auto" w:fill="auto"/>
            <w:noWrap/>
            <w:vAlign w:val="center"/>
            <w:hideMark/>
          </w:tcPr>
          <w:p w14:paraId="2484B90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2.0</w:t>
            </w:r>
          </w:p>
        </w:tc>
        <w:tc>
          <w:tcPr>
            <w:tcW w:w="372" w:type="pct"/>
            <w:tcBorders>
              <w:top w:val="nil"/>
              <w:left w:val="nil"/>
              <w:bottom w:val="single" w:sz="4" w:space="0" w:color="808080"/>
              <w:right w:val="single" w:sz="4" w:space="0" w:color="808080"/>
            </w:tcBorders>
            <w:shd w:val="clear" w:color="auto" w:fill="auto"/>
            <w:noWrap/>
            <w:vAlign w:val="center"/>
            <w:hideMark/>
          </w:tcPr>
          <w:p w14:paraId="12BB0B5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0.7</w:t>
            </w:r>
          </w:p>
        </w:tc>
        <w:tc>
          <w:tcPr>
            <w:tcW w:w="372" w:type="pct"/>
            <w:tcBorders>
              <w:top w:val="nil"/>
              <w:left w:val="nil"/>
              <w:bottom w:val="single" w:sz="4" w:space="0" w:color="808080"/>
              <w:right w:val="single" w:sz="4" w:space="0" w:color="808080"/>
            </w:tcBorders>
            <w:shd w:val="clear" w:color="auto" w:fill="auto"/>
            <w:noWrap/>
            <w:vAlign w:val="center"/>
            <w:hideMark/>
          </w:tcPr>
          <w:p w14:paraId="2CAF2BF3"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1.5</w:t>
            </w:r>
          </w:p>
        </w:tc>
        <w:tc>
          <w:tcPr>
            <w:tcW w:w="372" w:type="pct"/>
            <w:tcBorders>
              <w:top w:val="nil"/>
              <w:left w:val="nil"/>
              <w:bottom w:val="single" w:sz="4" w:space="0" w:color="808080"/>
              <w:right w:val="single" w:sz="4" w:space="0" w:color="808080"/>
            </w:tcBorders>
            <w:shd w:val="clear" w:color="auto" w:fill="auto"/>
            <w:noWrap/>
            <w:vAlign w:val="center"/>
            <w:hideMark/>
          </w:tcPr>
          <w:p w14:paraId="5735E237"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1.1</w:t>
            </w:r>
          </w:p>
        </w:tc>
        <w:tc>
          <w:tcPr>
            <w:tcW w:w="372" w:type="pct"/>
            <w:tcBorders>
              <w:top w:val="nil"/>
              <w:left w:val="nil"/>
              <w:bottom w:val="single" w:sz="4" w:space="0" w:color="808080"/>
              <w:right w:val="single" w:sz="4" w:space="0" w:color="808080"/>
            </w:tcBorders>
            <w:shd w:val="clear" w:color="auto" w:fill="auto"/>
            <w:noWrap/>
            <w:vAlign w:val="center"/>
            <w:hideMark/>
          </w:tcPr>
          <w:p w14:paraId="4934491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1.4</w:t>
            </w:r>
          </w:p>
        </w:tc>
        <w:tc>
          <w:tcPr>
            <w:tcW w:w="595" w:type="pct"/>
            <w:tcBorders>
              <w:top w:val="nil"/>
              <w:left w:val="nil"/>
              <w:bottom w:val="single" w:sz="4" w:space="0" w:color="808080"/>
              <w:right w:val="single" w:sz="4" w:space="0" w:color="808080"/>
            </w:tcBorders>
            <w:shd w:val="clear" w:color="auto" w:fill="auto"/>
            <w:noWrap/>
            <w:vAlign w:val="center"/>
            <w:hideMark/>
          </w:tcPr>
          <w:p w14:paraId="75E60EB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7.4</w:t>
            </w:r>
          </w:p>
        </w:tc>
        <w:tc>
          <w:tcPr>
            <w:tcW w:w="655" w:type="pct"/>
            <w:tcBorders>
              <w:top w:val="nil"/>
              <w:left w:val="nil"/>
              <w:bottom w:val="single" w:sz="4" w:space="0" w:color="808080"/>
              <w:right w:val="single" w:sz="4" w:space="0" w:color="808080"/>
            </w:tcBorders>
            <w:shd w:val="clear" w:color="auto" w:fill="auto"/>
            <w:noWrap/>
            <w:vAlign w:val="center"/>
            <w:hideMark/>
          </w:tcPr>
          <w:p w14:paraId="15D058C1"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$45.56 </w:t>
            </w:r>
          </w:p>
        </w:tc>
        <w:tc>
          <w:tcPr>
            <w:tcW w:w="893" w:type="pct"/>
            <w:tcBorders>
              <w:top w:val="nil"/>
              <w:left w:val="nil"/>
              <w:bottom w:val="single" w:sz="4" w:space="0" w:color="808080"/>
              <w:right w:val="double" w:sz="6" w:space="0" w:color="808080"/>
            </w:tcBorders>
            <w:shd w:val="clear" w:color="auto" w:fill="auto"/>
            <w:noWrap/>
            <w:vAlign w:val="center"/>
            <w:hideMark/>
          </w:tcPr>
          <w:p w14:paraId="74E9B3C2"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$703,397</w:t>
            </w:r>
          </w:p>
        </w:tc>
      </w:tr>
      <w:tr w:rsidR="008253DD" w:rsidRPr="00CB40F4" w14:paraId="32DF5B14" w14:textId="77777777" w:rsidTr="007D140D">
        <w:trPr>
          <w:trHeight w:val="270"/>
        </w:trPr>
        <w:tc>
          <w:tcPr>
            <w:tcW w:w="625" w:type="pct"/>
            <w:tcBorders>
              <w:top w:val="nil"/>
              <w:left w:val="double" w:sz="6" w:space="0" w:color="808080"/>
              <w:bottom w:val="double" w:sz="6" w:space="0" w:color="808080"/>
              <w:right w:val="single" w:sz="4" w:space="0" w:color="808080"/>
            </w:tcBorders>
            <w:shd w:val="clear" w:color="auto" w:fill="auto"/>
            <w:noWrap/>
            <w:vAlign w:val="center"/>
            <w:hideMark/>
          </w:tcPr>
          <w:p w14:paraId="1A3B9479"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Total</w:t>
            </w:r>
          </w:p>
        </w:tc>
        <w:tc>
          <w:tcPr>
            <w:tcW w:w="402" w:type="pct"/>
            <w:tcBorders>
              <w:top w:val="nil"/>
              <w:left w:val="nil"/>
              <w:bottom w:val="double" w:sz="6" w:space="0" w:color="808080"/>
              <w:right w:val="single" w:sz="4" w:space="0" w:color="808080"/>
            </w:tcBorders>
            <w:shd w:val="clear" w:color="auto" w:fill="auto"/>
            <w:noWrap/>
            <w:vAlign w:val="center"/>
            <w:hideMark/>
          </w:tcPr>
          <w:p w14:paraId="7ABBB587"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20.2</w:t>
            </w:r>
          </w:p>
        </w:tc>
        <w:tc>
          <w:tcPr>
            <w:tcW w:w="342" w:type="pct"/>
            <w:tcBorders>
              <w:top w:val="nil"/>
              <w:left w:val="nil"/>
              <w:bottom w:val="double" w:sz="6" w:space="0" w:color="808080"/>
              <w:right w:val="single" w:sz="4" w:space="0" w:color="808080"/>
            </w:tcBorders>
            <w:shd w:val="clear" w:color="auto" w:fill="auto"/>
            <w:noWrap/>
            <w:vAlign w:val="center"/>
            <w:hideMark/>
          </w:tcPr>
          <w:p w14:paraId="0E2FF88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64.1</w:t>
            </w:r>
          </w:p>
        </w:tc>
        <w:tc>
          <w:tcPr>
            <w:tcW w:w="372" w:type="pct"/>
            <w:tcBorders>
              <w:top w:val="nil"/>
              <w:left w:val="nil"/>
              <w:bottom w:val="double" w:sz="6" w:space="0" w:color="808080"/>
              <w:right w:val="single" w:sz="4" w:space="0" w:color="808080"/>
            </w:tcBorders>
            <w:shd w:val="clear" w:color="auto" w:fill="auto"/>
            <w:noWrap/>
            <w:vAlign w:val="center"/>
            <w:hideMark/>
          </w:tcPr>
          <w:p w14:paraId="615D1519"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17.8</w:t>
            </w:r>
          </w:p>
        </w:tc>
        <w:tc>
          <w:tcPr>
            <w:tcW w:w="372" w:type="pct"/>
            <w:tcBorders>
              <w:top w:val="nil"/>
              <w:left w:val="nil"/>
              <w:bottom w:val="double" w:sz="6" w:space="0" w:color="808080"/>
              <w:right w:val="single" w:sz="4" w:space="0" w:color="808080"/>
            </w:tcBorders>
            <w:shd w:val="clear" w:color="auto" w:fill="auto"/>
            <w:noWrap/>
            <w:vAlign w:val="center"/>
            <w:hideMark/>
          </w:tcPr>
          <w:p w14:paraId="4AFF4EAD"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46.7</w:t>
            </w:r>
          </w:p>
        </w:tc>
        <w:tc>
          <w:tcPr>
            <w:tcW w:w="372" w:type="pct"/>
            <w:tcBorders>
              <w:top w:val="nil"/>
              <w:left w:val="nil"/>
              <w:bottom w:val="double" w:sz="6" w:space="0" w:color="808080"/>
              <w:right w:val="single" w:sz="4" w:space="0" w:color="808080"/>
            </w:tcBorders>
            <w:shd w:val="clear" w:color="auto" w:fill="auto"/>
            <w:noWrap/>
            <w:vAlign w:val="center"/>
            <w:hideMark/>
          </w:tcPr>
          <w:p w14:paraId="3F7A2095"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26.9</w:t>
            </w:r>
          </w:p>
        </w:tc>
        <w:tc>
          <w:tcPr>
            <w:tcW w:w="372" w:type="pct"/>
            <w:tcBorders>
              <w:top w:val="nil"/>
              <w:left w:val="nil"/>
              <w:bottom w:val="double" w:sz="6" w:space="0" w:color="808080"/>
              <w:right w:val="single" w:sz="4" w:space="0" w:color="808080"/>
            </w:tcBorders>
            <w:shd w:val="clear" w:color="auto" w:fill="auto"/>
            <w:noWrap/>
            <w:vAlign w:val="center"/>
            <w:hideMark/>
          </w:tcPr>
          <w:p w14:paraId="4B40D6E2"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29.0</w:t>
            </w:r>
          </w:p>
        </w:tc>
        <w:tc>
          <w:tcPr>
            <w:tcW w:w="595" w:type="pct"/>
            <w:tcBorders>
              <w:top w:val="nil"/>
              <w:left w:val="nil"/>
              <w:bottom w:val="double" w:sz="6" w:space="0" w:color="808080"/>
              <w:right w:val="single" w:sz="4" w:space="0" w:color="808080"/>
            </w:tcBorders>
            <w:shd w:val="clear" w:color="auto" w:fill="auto"/>
            <w:noWrap/>
            <w:vAlign w:val="center"/>
            <w:hideMark/>
          </w:tcPr>
          <w:p w14:paraId="1180856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204.7</w:t>
            </w:r>
          </w:p>
        </w:tc>
        <w:tc>
          <w:tcPr>
            <w:tcW w:w="655" w:type="pct"/>
            <w:tcBorders>
              <w:top w:val="nil"/>
              <w:left w:val="nil"/>
              <w:bottom w:val="double" w:sz="6" w:space="0" w:color="808080"/>
              <w:right w:val="single" w:sz="4" w:space="0" w:color="808080"/>
            </w:tcBorders>
            <w:shd w:val="clear" w:color="auto" w:fill="auto"/>
            <w:noWrap/>
            <w:vAlign w:val="center"/>
            <w:hideMark/>
          </w:tcPr>
          <w:p w14:paraId="0A899596" w14:textId="77777777" w:rsidR="008253DD" w:rsidRPr="00CB40F4" w:rsidRDefault="008253DD" w:rsidP="00650B2D">
            <w:pPr>
              <w:jc w:val="center"/>
              <w:rPr>
                <w:rFonts w:asciiTheme="majorBidi" w:hAnsiTheme="majorBidi" w:cstheme="majorBidi"/>
                <w:b/>
                <w:bCs/>
                <w:sz w:val="20"/>
                <w:szCs w:val="20"/>
              </w:rPr>
            </w:pPr>
          </w:p>
        </w:tc>
        <w:tc>
          <w:tcPr>
            <w:tcW w:w="893" w:type="pct"/>
            <w:tcBorders>
              <w:top w:val="nil"/>
              <w:left w:val="nil"/>
              <w:bottom w:val="double" w:sz="6" w:space="0" w:color="808080"/>
              <w:right w:val="double" w:sz="6" w:space="0" w:color="808080"/>
            </w:tcBorders>
            <w:shd w:val="clear" w:color="auto" w:fill="auto"/>
            <w:noWrap/>
            <w:vAlign w:val="center"/>
            <w:hideMark/>
          </w:tcPr>
          <w:p w14:paraId="5B3C4992"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$35,843,792</w:t>
            </w:r>
          </w:p>
        </w:tc>
      </w:tr>
    </w:tbl>
    <w:p w14:paraId="3DB5DD77" w14:textId="77777777" w:rsidR="008253DD" w:rsidRPr="00CB40F4" w:rsidRDefault="008253DD" w:rsidP="008253DD">
      <w:pPr>
        <w:rPr>
          <w:rFonts w:asciiTheme="majorBidi" w:hAnsiTheme="majorBidi" w:cstheme="majorBidi"/>
          <w:sz w:val="2"/>
          <w:szCs w:val="2"/>
        </w:rPr>
      </w:pPr>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360"/>
      </w:tblGrid>
      <w:tr w:rsidR="008253DD" w:rsidRPr="00CB40F4" w14:paraId="65FC5F55" w14:textId="77777777" w:rsidTr="00650B2D">
        <w:tc>
          <w:tcPr>
            <w:tcW w:w="10070" w:type="dxa"/>
          </w:tcPr>
          <w:p w14:paraId="04FDF7D9" w14:textId="77777777" w:rsidR="008253DD" w:rsidRPr="00CB40F4" w:rsidRDefault="008253DD" w:rsidP="00650B2D">
            <w:pPr>
              <w:rPr>
                <w:rFonts w:asciiTheme="majorBidi" w:hAnsiTheme="majorBidi" w:cstheme="majorBidi"/>
                <w:sz w:val="21"/>
                <w:szCs w:val="21"/>
              </w:rPr>
            </w:pPr>
            <w:r w:rsidRPr="00CB40F4">
              <w:rPr>
                <w:rFonts w:asciiTheme="majorBidi" w:hAnsiTheme="majorBidi" w:cstheme="majorBidi"/>
                <w:sz w:val="21"/>
                <w:szCs w:val="21"/>
                <w:vertAlign w:val="superscript"/>
              </w:rPr>
              <w:t xml:space="preserve">1 </w:t>
            </w:r>
            <w:r w:rsidRPr="00CB40F4">
              <w:rPr>
                <w:rFonts w:asciiTheme="majorBidi" w:hAnsiTheme="majorBidi" w:cstheme="majorBidi"/>
                <w:sz w:val="21"/>
                <w:szCs w:val="21"/>
              </w:rPr>
              <w:t>Numbers in the table may not add due to rounding.</w:t>
            </w:r>
          </w:p>
          <w:p w14:paraId="1E19FC9A" w14:textId="78E2FA3B" w:rsidR="008253DD" w:rsidRPr="00CB40F4" w:rsidRDefault="008253DD" w:rsidP="00650B2D">
            <w:pPr>
              <w:rPr>
                <w:rFonts w:asciiTheme="majorBidi" w:hAnsiTheme="majorBidi" w:cstheme="majorBidi"/>
              </w:rPr>
            </w:pPr>
            <w:r w:rsidRPr="00CB40F4">
              <w:rPr>
                <w:rFonts w:asciiTheme="majorBidi" w:hAnsiTheme="majorBidi" w:cstheme="majorBidi"/>
                <w:sz w:val="21"/>
                <w:szCs w:val="21"/>
                <w:vertAlign w:val="superscript"/>
              </w:rPr>
              <w:t xml:space="preserve">2 </w:t>
            </w:r>
            <w:r w:rsidRPr="00CB40F4">
              <w:rPr>
                <w:rFonts w:asciiTheme="majorBidi" w:hAnsiTheme="majorBidi" w:cstheme="majorBidi"/>
                <w:sz w:val="21"/>
                <w:szCs w:val="21"/>
              </w:rPr>
              <w:t>Total annual cost is calculated using the number of hours per FTE multiplied by the number of FTEs and the hourly wage.</w:t>
            </w:r>
            <w:r w:rsidR="007841AD" w:rsidRPr="00CB40F4">
              <w:rPr>
                <w:rFonts w:asciiTheme="majorBidi" w:hAnsiTheme="majorBidi" w:cstheme="majorBidi"/>
                <w:sz w:val="21"/>
                <w:szCs w:val="21"/>
              </w:rPr>
              <w:t xml:space="preserve"> </w:t>
            </w:r>
            <w:r w:rsidRPr="00CB40F4">
              <w:rPr>
                <w:rFonts w:asciiTheme="majorBidi" w:hAnsiTheme="majorBidi" w:cstheme="majorBidi"/>
                <w:sz w:val="21"/>
                <w:szCs w:val="21"/>
              </w:rPr>
              <w:t xml:space="preserve">For example, total annual cost of managerial FTES is calculated as 2,080 hours/FTE x 26.4 FTEs x $121.79. </w:t>
            </w:r>
          </w:p>
        </w:tc>
      </w:tr>
    </w:tbl>
    <w:p w14:paraId="1DE23359" w14:textId="77777777" w:rsidR="008253DD" w:rsidRPr="00CB40F4" w:rsidRDefault="008253DD" w:rsidP="008253DD">
      <w:pPr>
        <w:rPr>
          <w:rFonts w:asciiTheme="majorBidi" w:hAnsiTheme="majorBidi" w:cstheme="majorBidi"/>
        </w:rPr>
      </w:pPr>
    </w:p>
    <w:p w14:paraId="09D88D4A" w14:textId="36A6A3DE" w:rsidR="008253DD" w:rsidRPr="00CB40F4" w:rsidRDefault="008253DD" w:rsidP="00A63404">
      <w:pPr>
        <w:rPr>
          <w:rFonts w:asciiTheme="majorBidi" w:hAnsiTheme="majorBidi" w:cstheme="majorBidi"/>
          <w:b/>
        </w:rPr>
      </w:pPr>
      <w:r w:rsidRPr="00CB40F4">
        <w:rPr>
          <w:rFonts w:asciiTheme="majorBidi" w:hAnsiTheme="majorBidi" w:cstheme="majorBidi"/>
        </w:rPr>
        <w:tab/>
      </w:r>
      <w:r w:rsidRPr="00CB40F4">
        <w:rPr>
          <w:rFonts w:asciiTheme="majorBidi" w:hAnsiTheme="majorBidi" w:cstheme="majorBidi"/>
          <w:b/>
        </w:rPr>
        <w:t>6(</w:t>
      </w:r>
      <w:r w:rsidR="00A63404" w:rsidRPr="00CB40F4">
        <w:rPr>
          <w:rFonts w:asciiTheme="majorBidi" w:hAnsiTheme="majorBidi" w:cstheme="majorBidi"/>
          <w:b/>
        </w:rPr>
        <w:t>e</w:t>
      </w:r>
      <w:r w:rsidRPr="00CB40F4">
        <w:rPr>
          <w:rFonts w:asciiTheme="majorBidi" w:hAnsiTheme="majorBidi" w:cstheme="majorBidi"/>
          <w:b/>
        </w:rPr>
        <w:t>)</w:t>
      </w:r>
      <w:r w:rsidRPr="00CB40F4">
        <w:rPr>
          <w:rFonts w:asciiTheme="majorBidi" w:hAnsiTheme="majorBidi" w:cstheme="majorBidi"/>
          <w:b/>
        </w:rPr>
        <w:tab/>
        <w:t>Bottom Line Burden Hours and Cost</w:t>
      </w:r>
    </w:p>
    <w:p w14:paraId="53B10CF3" w14:textId="77777777" w:rsidR="008253DD" w:rsidRPr="00CB40F4" w:rsidRDefault="008253DD" w:rsidP="008253DD">
      <w:pPr>
        <w:rPr>
          <w:rFonts w:asciiTheme="majorBidi" w:hAnsiTheme="majorBidi" w:cstheme="majorBidi"/>
        </w:rPr>
      </w:pPr>
    </w:p>
    <w:p w14:paraId="4A4AA18A" w14:textId="5E61FB03"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Table </w:t>
      </w:r>
      <w:r w:rsidR="00721A36" w:rsidRPr="00CB40F4">
        <w:rPr>
          <w:rFonts w:asciiTheme="majorBidi" w:hAnsiTheme="majorBidi" w:cstheme="majorBidi"/>
        </w:rPr>
        <w:t>9</w:t>
      </w:r>
      <w:r w:rsidRPr="00CB40F4">
        <w:rPr>
          <w:rFonts w:asciiTheme="majorBidi" w:hAnsiTheme="majorBidi" w:cstheme="majorBidi"/>
        </w:rPr>
        <w:t xml:space="preserve"> presents the estimates for total annual hours and cost, for both respondents and the agency, associated with Section 3 activities.</w:t>
      </w:r>
      <w:r w:rsidR="007841AD" w:rsidRPr="00CB40F4">
        <w:rPr>
          <w:rFonts w:asciiTheme="majorBidi" w:hAnsiTheme="majorBidi" w:cstheme="majorBidi"/>
        </w:rPr>
        <w:t xml:space="preserve"> </w:t>
      </w:r>
      <w:r w:rsidRPr="00CB40F4">
        <w:rPr>
          <w:rFonts w:asciiTheme="majorBidi" w:hAnsiTheme="majorBidi" w:cstheme="majorBidi"/>
        </w:rPr>
        <w:t>The total respondent burden is 1.52 million hours annually at a cost of $108.72 million.</w:t>
      </w:r>
      <w:r w:rsidR="007841AD" w:rsidRPr="00CB40F4">
        <w:rPr>
          <w:rFonts w:asciiTheme="majorBidi" w:hAnsiTheme="majorBidi" w:cstheme="majorBidi"/>
        </w:rPr>
        <w:t xml:space="preserve"> </w:t>
      </w:r>
      <w:r w:rsidRPr="00CB40F4">
        <w:rPr>
          <w:rFonts w:asciiTheme="majorBidi" w:hAnsiTheme="majorBidi" w:cstheme="majorBidi"/>
        </w:rPr>
        <w:t>The majority of this paperwork burden, 1.38 million hours, is associated with data generation.</w:t>
      </w:r>
    </w:p>
    <w:p w14:paraId="7E3E4659" w14:textId="77777777" w:rsidR="008253DD" w:rsidRPr="00CB40F4" w:rsidRDefault="008253DD" w:rsidP="008253DD">
      <w:pPr>
        <w:rPr>
          <w:rFonts w:asciiTheme="majorBidi" w:hAnsiTheme="majorBidi" w:cstheme="majorBidi"/>
        </w:rPr>
      </w:pPr>
    </w:p>
    <w:p w14:paraId="361DC00A" w14:textId="3BB2E6FE" w:rsidR="008253DD" w:rsidRPr="00CB40F4" w:rsidRDefault="008253DD" w:rsidP="008253DD">
      <w:pPr>
        <w:rPr>
          <w:rFonts w:asciiTheme="majorBidi" w:hAnsiTheme="majorBidi" w:cstheme="majorBidi"/>
          <w:b/>
          <w:sz w:val="22"/>
          <w:szCs w:val="22"/>
        </w:rPr>
      </w:pPr>
      <w:r w:rsidRPr="00CB40F4">
        <w:rPr>
          <w:rFonts w:asciiTheme="majorBidi" w:hAnsiTheme="majorBidi" w:cstheme="majorBidi"/>
          <w:b/>
          <w:sz w:val="22"/>
          <w:szCs w:val="22"/>
        </w:rPr>
        <w:t xml:space="preserve">Table </w:t>
      </w:r>
      <w:r w:rsidR="00721A36" w:rsidRPr="00CB40F4">
        <w:rPr>
          <w:rFonts w:asciiTheme="majorBidi" w:hAnsiTheme="majorBidi" w:cstheme="majorBidi"/>
          <w:b/>
          <w:sz w:val="22"/>
          <w:szCs w:val="22"/>
        </w:rPr>
        <w:t>9</w:t>
      </w:r>
      <w:r w:rsidRPr="00CB40F4">
        <w:rPr>
          <w:rFonts w:asciiTheme="majorBidi" w:hAnsiTheme="majorBidi" w:cstheme="majorBidi"/>
          <w:b/>
          <w:sz w:val="22"/>
          <w:szCs w:val="22"/>
        </w:rPr>
        <w:t>: Estimated Annual Total Hours and Cost</w:t>
      </w:r>
    </w:p>
    <w:tbl>
      <w:tblPr>
        <w:tblW w:w="5000" w:type="pct"/>
        <w:tblLook w:val="04A0" w:firstRow="1" w:lastRow="0" w:firstColumn="1" w:lastColumn="0" w:noHBand="0" w:noVBand="1"/>
      </w:tblPr>
      <w:tblGrid>
        <w:gridCol w:w="4069"/>
        <w:gridCol w:w="1747"/>
        <w:gridCol w:w="1749"/>
        <w:gridCol w:w="1749"/>
      </w:tblGrid>
      <w:tr w:rsidR="008253DD" w:rsidRPr="00CB40F4" w14:paraId="379BB800" w14:textId="77777777" w:rsidTr="007D140D">
        <w:trPr>
          <w:trHeight w:val="288"/>
        </w:trPr>
        <w:tc>
          <w:tcPr>
            <w:tcW w:w="2184" w:type="pct"/>
            <w:vMerge w:val="restart"/>
            <w:tcBorders>
              <w:top w:val="double" w:sz="6" w:space="0" w:color="808080"/>
              <w:left w:val="double" w:sz="6" w:space="0" w:color="808080"/>
              <w:bottom w:val="single" w:sz="4" w:space="0" w:color="808080"/>
              <w:right w:val="single" w:sz="4" w:space="0" w:color="808080"/>
            </w:tcBorders>
            <w:shd w:val="clear" w:color="auto" w:fill="auto"/>
            <w:vAlign w:val="center"/>
            <w:hideMark/>
          </w:tcPr>
          <w:p w14:paraId="2E5D1547" w14:textId="77777777" w:rsidR="008253DD" w:rsidRPr="00CB40F4" w:rsidRDefault="008253DD" w:rsidP="00650B2D">
            <w:pPr>
              <w:rPr>
                <w:rFonts w:asciiTheme="majorBidi" w:hAnsiTheme="majorBidi" w:cstheme="majorBidi"/>
                <w:sz w:val="20"/>
                <w:szCs w:val="20"/>
              </w:rPr>
            </w:pPr>
          </w:p>
        </w:tc>
        <w:tc>
          <w:tcPr>
            <w:tcW w:w="2816" w:type="pct"/>
            <w:gridSpan w:val="3"/>
            <w:tcBorders>
              <w:top w:val="double" w:sz="6" w:space="0" w:color="808080"/>
              <w:left w:val="nil"/>
              <w:bottom w:val="single" w:sz="4" w:space="0" w:color="808080"/>
              <w:right w:val="double" w:sz="6" w:space="0" w:color="808080"/>
            </w:tcBorders>
            <w:shd w:val="clear" w:color="auto" w:fill="auto"/>
            <w:vAlign w:val="center"/>
            <w:hideMark/>
          </w:tcPr>
          <w:p w14:paraId="44060FDF"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ANNUAL TOTAL</w:t>
            </w:r>
          </w:p>
        </w:tc>
      </w:tr>
      <w:tr w:rsidR="008253DD" w:rsidRPr="00CB40F4" w14:paraId="02C83188" w14:textId="77777777" w:rsidTr="007D140D">
        <w:trPr>
          <w:trHeight w:val="288"/>
        </w:trPr>
        <w:tc>
          <w:tcPr>
            <w:tcW w:w="2184" w:type="pct"/>
            <w:vMerge/>
            <w:tcBorders>
              <w:top w:val="double" w:sz="6" w:space="0" w:color="808080"/>
              <w:left w:val="double" w:sz="6" w:space="0" w:color="808080"/>
              <w:bottom w:val="double" w:sz="4" w:space="0" w:color="808080"/>
              <w:right w:val="single" w:sz="4" w:space="0" w:color="808080"/>
            </w:tcBorders>
            <w:shd w:val="clear" w:color="auto" w:fill="auto"/>
            <w:vAlign w:val="center"/>
            <w:hideMark/>
          </w:tcPr>
          <w:p w14:paraId="6BEEB79B" w14:textId="77777777" w:rsidR="008253DD" w:rsidRPr="00CB40F4" w:rsidRDefault="008253DD" w:rsidP="00650B2D">
            <w:pPr>
              <w:rPr>
                <w:rFonts w:asciiTheme="majorBidi" w:hAnsiTheme="majorBidi" w:cstheme="majorBidi"/>
                <w:sz w:val="20"/>
                <w:szCs w:val="20"/>
              </w:rPr>
            </w:pPr>
          </w:p>
        </w:tc>
        <w:tc>
          <w:tcPr>
            <w:tcW w:w="938" w:type="pct"/>
            <w:tcBorders>
              <w:top w:val="nil"/>
              <w:left w:val="nil"/>
              <w:bottom w:val="double" w:sz="4" w:space="0" w:color="808080"/>
              <w:right w:val="single" w:sz="4" w:space="0" w:color="808080"/>
            </w:tcBorders>
            <w:shd w:val="clear" w:color="auto" w:fill="auto"/>
            <w:vAlign w:val="center"/>
            <w:hideMark/>
          </w:tcPr>
          <w:p w14:paraId="4006ACD2"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Responses</w:t>
            </w:r>
          </w:p>
        </w:tc>
        <w:tc>
          <w:tcPr>
            <w:tcW w:w="939" w:type="pct"/>
            <w:tcBorders>
              <w:top w:val="nil"/>
              <w:left w:val="nil"/>
              <w:bottom w:val="double" w:sz="4" w:space="0" w:color="808080"/>
              <w:right w:val="single" w:sz="4" w:space="0" w:color="808080"/>
            </w:tcBorders>
            <w:shd w:val="clear" w:color="auto" w:fill="auto"/>
            <w:vAlign w:val="center"/>
            <w:hideMark/>
          </w:tcPr>
          <w:p w14:paraId="5B20C356"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Hours</w:t>
            </w:r>
          </w:p>
        </w:tc>
        <w:tc>
          <w:tcPr>
            <w:tcW w:w="939" w:type="pct"/>
            <w:tcBorders>
              <w:top w:val="nil"/>
              <w:left w:val="nil"/>
              <w:bottom w:val="double" w:sz="4" w:space="0" w:color="808080"/>
              <w:right w:val="double" w:sz="6" w:space="0" w:color="808080"/>
            </w:tcBorders>
            <w:shd w:val="clear" w:color="auto" w:fill="auto"/>
            <w:vAlign w:val="center"/>
            <w:hideMark/>
          </w:tcPr>
          <w:p w14:paraId="12F2AC49" w14:textId="77777777" w:rsidR="008253DD" w:rsidRPr="00CB40F4" w:rsidRDefault="008253DD" w:rsidP="00650B2D">
            <w:pPr>
              <w:jc w:val="center"/>
              <w:rPr>
                <w:rFonts w:asciiTheme="majorBidi" w:hAnsiTheme="majorBidi" w:cstheme="majorBidi"/>
                <w:b/>
                <w:sz w:val="20"/>
                <w:szCs w:val="20"/>
              </w:rPr>
            </w:pPr>
            <w:r w:rsidRPr="00CB40F4">
              <w:rPr>
                <w:rFonts w:asciiTheme="majorBidi" w:hAnsiTheme="majorBidi" w:cstheme="majorBidi"/>
                <w:b/>
                <w:sz w:val="20"/>
                <w:szCs w:val="20"/>
              </w:rPr>
              <w:t>Costs</w:t>
            </w:r>
          </w:p>
        </w:tc>
      </w:tr>
      <w:tr w:rsidR="008253DD" w:rsidRPr="00CB40F4" w14:paraId="525FDC7D" w14:textId="77777777" w:rsidTr="007D140D">
        <w:trPr>
          <w:trHeight w:val="288"/>
        </w:trPr>
        <w:tc>
          <w:tcPr>
            <w:tcW w:w="2184" w:type="pct"/>
            <w:tcBorders>
              <w:top w:val="double" w:sz="4" w:space="0" w:color="808080"/>
              <w:left w:val="double" w:sz="6" w:space="0" w:color="808080"/>
              <w:bottom w:val="single" w:sz="4" w:space="0" w:color="808080"/>
              <w:right w:val="single" w:sz="4" w:space="0" w:color="808080"/>
            </w:tcBorders>
            <w:shd w:val="clear" w:color="auto" w:fill="auto"/>
            <w:vAlign w:val="center"/>
            <w:hideMark/>
          </w:tcPr>
          <w:p w14:paraId="5520ED0C" w14:textId="77777777" w:rsidR="008253DD" w:rsidRPr="00CB40F4" w:rsidRDefault="008253DD" w:rsidP="00650B2D">
            <w:pPr>
              <w:rPr>
                <w:rFonts w:asciiTheme="majorBidi" w:hAnsiTheme="majorBidi" w:cstheme="majorBidi"/>
                <w:b/>
                <w:bCs/>
                <w:sz w:val="20"/>
                <w:szCs w:val="20"/>
              </w:rPr>
            </w:pPr>
            <w:r w:rsidRPr="00CB40F4">
              <w:rPr>
                <w:rFonts w:asciiTheme="majorBidi" w:hAnsiTheme="majorBidi" w:cstheme="majorBidi"/>
                <w:b/>
                <w:bCs/>
                <w:sz w:val="20"/>
                <w:szCs w:val="20"/>
              </w:rPr>
              <w:t>TOTAL RESPONDENT BURDEN</w:t>
            </w:r>
          </w:p>
        </w:tc>
        <w:tc>
          <w:tcPr>
            <w:tcW w:w="938" w:type="pct"/>
            <w:tcBorders>
              <w:top w:val="double" w:sz="4" w:space="0" w:color="808080"/>
              <w:left w:val="nil"/>
              <w:bottom w:val="single" w:sz="4" w:space="0" w:color="808080"/>
              <w:right w:val="single" w:sz="4" w:space="0" w:color="808080"/>
            </w:tcBorders>
            <w:shd w:val="clear" w:color="auto" w:fill="auto"/>
            <w:vAlign w:val="center"/>
            <w:hideMark/>
          </w:tcPr>
          <w:p w14:paraId="6B32B98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8,203</w:t>
            </w:r>
          </w:p>
        </w:tc>
        <w:tc>
          <w:tcPr>
            <w:tcW w:w="939" w:type="pct"/>
            <w:tcBorders>
              <w:top w:val="double" w:sz="4" w:space="0" w:color="808080"/>
              <w:left w:val="nil"/>
              <w:bottom w:val="single" w:sz="4" w:space="0" w:color="808080"/>
              <w:right w:val="single" w:sz="4" w:space="0" w:color="808080"/>
            </w:tcBorders>
            <w:shd w:val="clear" w:color="auto" w:fill="auto"/>
            <w:vAlign w:val="center"/>
            <w:hideMark/>
          </w:tcPr>
          <w:p w14:paraId="14037A09"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1,524,893</w:t>
            </w:r>
          </w:p>
        </w:tc>
        <w:tc>
          <w:tcPr>
            <w:tcW w:w="939" w:type="pct"/>
            <w:tcBorders>
              <w:top w:val="double" w:sz="4" w:space="0" w:color="808080"/>
              <w:left w:val="nil"/>
              <w:bottom w:val="single" w:sz="4" w:space="0" w:color="808080"/>
              <w:right w:val="double" w:sz="6" w:space="0" w:color="808080"/>
            </w:tcBorders>
            <w:shd w:val="clear" w:color="auto" w:fill="auto"/>
            <w:vAlign w:val="center"/>
            <w:hideMark/>
          </w:tcPr>
          <w:p w14:paraId="646D5B99"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$108,720,767</w:t>
            </w:r>
          </w:p>
        </w:tc>
      </w:tr>
      <w:tr w:rsidR="008253DD" w:rsidRPr="00CB40F4" w14:paraId="134FF26A" w14:textId="77777777" w:rsidTr="007D140D">
        <w:trPr>
          <w:trHeight w:val="288"/>
        </w:trPr>
        <w:tc>
          <w:tcPr>
            <w:tcW w:w="2184" w:type="pct"/>
            <w:tcBorders>
              <w:top w:val="double" w:sz="4" w:space="0" w:color="808080"/>
              <w:left w:val="double" w:sz="4" w:space="0" w:color="808080"/>
              <w:bottom w:val="single" w:sz="6" w:space="0" w:color="808080"/>
              <w:right w:val="single" w:sz="6" w:space="0" w:color="808080"/>
            </w:tcBorders>
            <w:shd w:val="clear" w:color="auto" w:fill="auto"/>
            <w:vAlign w:val="center"/>
            <w:hideMark/>
          </w:tcPr>
          <w:p w14:paraId="429A946E" w14:textId="77777777" w:rsidR="008253DD" w:rsidRPr="00CB40F4" w:rsidRDefault="008253DD" w:rsidP="00650B2D">
            <w:pPr>
              <w:ind w:firstLine="204"/>
              <w:rPr>
                <w:rFonts w:asciiTheme="majorBidi" w:hAnsiTheme="majorBidi" w:cstheme="majorBidi"/>
                <w:b/>
                <w:bCs/>
                <w:sz w:val="20"/>
                <w:szCs w:val="20"/>
              </w:rPr>
            </w:pPr>
            <w:r w:rsidRPr="00CB40F4">
              <w:rPr>
                <w:rFonts w:asciiTheme="majorBidi" w:hAnsiTheme="majorBidi" w:cstheme="majorBidi"/>
                <w:b/>
                <w:bCs/>
                <w:sz w:val="20"/>
                <w:szCs w:val="20"/>
              </w:rPr>
              <w:t>Application Process</w:t>
            </w:r>
          </w:p>
        </w:tc>
        <w:tc>
          <w:tcPr>
            <w:tcW w:w="938" w:type="pct"/>
            <w:tcBorders>
              <w:top w:val="double" w:sz="4" w:space="0" w:color="808080"/>
              <w:left w:val="single" w:sz="6" w:space="0" w:color="808080"/>
              <w:bottom w:val="single" w:sz="6" w:space="0" w:color="808080"/>
              <w:right w:val="single" w:sz="6" w:space="0" w:color="808080"/>
            </w:tcBorders>
            <w:shd w:val="clear" w:color="auto" w:fill="auto"/>
            <w:vAlign w:val="center"/>
            <w:hideMark/>
          </w:tcPr>
          <w:p w14:paraId="3F3D24D1"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7,478</w:t>
            </w:r>
          </w:p>
        </w:tc>
        <w:tc>
          <w:tcPr>
            <w:tcW w:w="939" w:type="pct"/>
            <w:tcBorders>
              <w:top w:val="double" w:sz="4" w:space="0" w:color="808080"/>
              <w:left w:val="single" w:sz="6" w:space="0" w:color="808080"/>
              <w:bottom w:val="single" w:sz="6" w:space="0" w:color="808080"/>
              <w:right w:val="single" w:sz="6" w:space="0" w:color="808080"/>
            </w:tcBorders>
            <w:shd w:val="clear" w:color="auto" w:fill="auto"/>
            <w:vAlign w:val="center"/>
            <w:hideMark/>
          </w:tcPr>
          <w:p w14:paraId="27BA2C23"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145,213</w:t>
            </w:r>
          </w:p>
        </w:tc>
        <w:tc>
          <w:tcPr>
            <w:tcW w:w="939" w:type="pct"/>
            <w:tcBorders>
              <w:top w:val="double" w:sz="4" w:space="0" w:color="808080"/>
              <w:left w:val="single" w:sz="6" w:space="0" w:color="808080"/>
              <w:bottom w:val="single" w:sz="6" w:space="0" w:color="808080"/>
              <w:right w:val="double" w:sz="4" w:space="0" w:color="808080"/>
            </w:tcBorders>
            <w:shd w:val="clear" w:color="auto" w:fill="auto"/>
            <w:vAlign w:val="center"/>
            <w:hideMark/>
          </w:tcPr>
          <w:p w14:paraId="2C3BF5C3"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12,471,401</w:t>
            </w:r>
          </w:p>
        </w:tc>
      </w:tr>
      <w:tr w:rsidR="008253DD" w:rsidRPr="00CB40F4" w14:paraId="78233477" w14:textId="77777777" w:rsidTr="007D140D">
        <w:trPr>
          <w:trHeight w:val="288"/>
        </w:trPr>
        <w:tc>
          <w:tcPr>
            <w:tcW w:w="2184" w:type="pct"/>
            <w:tcBorders>
              <w:top w:val="single" w:sz="6" w:space="0" w:color="808080"/>
              <w:left w:val="double" w:sz="4" w:space="0" w:color="808080"/>
              <w:bottom w:val="single" w:sz="6" w:space="0" w:color="808080"/>
              <w:right w:val="single" w:sz="6" w:space="0" w:color="808080"/>
            </w:tcBorders>
            <w:shd w:val="clear" w:color="auto" w:fill="auto"/>
            <w:vAlign w:val="center"/>
            <w:hideMark/>
          </w:tcPr>
          <w:p w14:paraId="7D13854D" w14:textId="77777777" w:rsidR="008253DD" w:rsidRPr="00CB40F4" w:rsidRDefault="008253DD" w:rsidP="00650B2D">
            <w:pPr>
              <w:ind w:firstLine="384"/>
              <w:rPr>
                <w:rFonts w:asciiTheme="majorBidi" w:hAnsiTheme="majorBidi" w:cstheme="majorBidi"/>
                <w:sz w:val="20"/>
                <w:szCs w:val="20"/>
              </w:rPr>
            </w:pPr>
            <w:r w:rsidRPr="00CB40F4">
              <w:rPr>
                <w:rFonts w:asciiTheme="majorBidi" w:hAnsiTheme="majorBidi" w:cstheme="majorBidi"/>
                <w:sz w:val="20"/>
                <w:szCs w:val="20"/>
              </w:rPr>
              <w:t>Annual “Type A” Responses</w:t>
            </w:r>
          </w:p>
        </w:tc>
        <w:tc>
          <w:tcPr>
            <w:tcW w:w="938"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70EDCF0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197</w:t>
            </w:r>
          </w:p>
        </w:tc>
        <w:tc>
          <w:tcPr>
            <w:tcW w:w="939"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E2C740B"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38,218</w:t>
            </w:r>
          </w:p>
        </w:tc>
        <w:tc>
          <w:tcPr>
            <w:tcW w:w="939" w:type="pct"/>
            <w:tcBorders>
              <w:top w:val="single" w:sz="6" w:space="0" w:color="808080"/>
              <w:left w:val="single" w:sz="6" w:space="0" w:color="808080"/>
              <w:bottom w:val="single" w:sz="6" w:space="0" w:color="808080"/>
              <w:right w:val="double" w:sz="4" w:space="0" w:color="808080"/>
            </w:tcBorders>
            <w:shd w:val="clear" w:color="auto" w:fill="auto"/>
            <w:vAlign w:val="center"/>
            <w:hideMark/>
          </w:tcPr>
          <w:p w14:paraId="3A6CB9DD"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$2,761,782 </w:t>
            </w:r>
          </w:p>
        </w:tc>
      </w:tr>
      <w:tr w:rsidR="008253DD" w:rsidRPr="00CB40F4" w14:paraId="5C3C425A" w14:textId="77777777" w:rsidTr="007D140D">
        <w:trPr>
          <w:trHeight w:val="288"/>
        </w:trPr>
        <w:tc>
          <w:tcPr>
            <w:tcW w:w="2184" w:type="pct"/>
            <w:tcBorders>
              <w:top w:val="single" w:sz="6" w:space="0" w:color="808080"/>
              <w:left w:val="double" w:sz="4" w:space="0" w:color="808080"/>
              <w:bottom w:val="single" w:sz="6" w:space="0" w:color="808080"/>
              <w:right w:val="single" w:sz="6" w:space="0" w:color="808080"/>
            </w:tcBorders>
            <w:shd w:val="clear" w:color="auto" w:fill="auto"/>
            <w:vAlign w:val="center"/>
            <w:hideMark/>
          </w:tcPr>
          <w:p w14:paraId="79A0A99F" w14:textId="77777777" w:rsidR="008253DD" w:rsidRPr="00CB40F4" w:rsidRDefault="008253DD" w:rsidP="00650B2D">
            <w:pPr>
              <w:ind w:firstLine="384"/>
              <w:rPr>
                <w:rFonts w:asciiTheme="majorBidi" w:hAnsiTheme="majorBidi" w:cstheme="majorBidi"/>
                <w:sz w:val="20"/>
                <w:szCs w:val="20"/>
              </w:rPr>
            </w:pPr>
            <w:r w:rsidRPr="00CB40F4">
              <w:rPr>
                <w:rFonts w:asciiTheme="majorBidi" w:hAnsiTheme="majorBidi" w:cstheme="majorBidi"/>
                <w:sz w:val="20"/>
                <w:szCs w:val="20"/>
              </w:rPr>
              <w:t>Annual “Type B” Responses</w:t>
            </w:r>
          </w:p>
        </w:tc>
        <w:tc>
          <w:tcPr>
            <w:tcW w:w="938"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398244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7,273</w:t>
            </w:r>
          </w:p>
        </w:tc>
        <w:tc>
          <w:tcPr>
            <w:tcW w:w="939"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1EB4D12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101,827</w:t>
            </w:r>
          </w:p>
        </w:tc>
        <w:tc>
          <w:tcPr>
            <w:tcW w:w="939" w:type="pct"/>
            <w:tcBorders>
              <w:top w:val="single" w:sz="6" w:space="0" w:color="808080"/>
              <w:left w:val="single" w:sz="6" w:space="0" w:color="808080"/>
              <w:bottom w:val="single" w:sz="6" w:space="0" w:color="808080"/>
              <w:right w:val="double" w:sz="4" w:space="0" w:color="808080"/>
            </w:tcBorders>
            <w:shd w:val="clear" w:color="auto" w:fill="auto"/>
            <w:vAlign w:val="center"/>
            <w:hideMark/>
          </w:tcPr>
          <w:p w14:paraId="19C957D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$9,320,777 </w:t>
            </w:r>
          </w:p>
        </w:tc>
      </w:tr>
      <w:tr w:rsidR="008253DD" w:rsidRPr="00CB40F4" w14:paraId="7E9E037C" w14:textId="77777777" w:rsidTr="007D140D">
        <w:trPr>
          <w:trHeight w:val="288"/>
        </w:trPr>
        <w:tc>
          <w:tcPr>
            <w:tcW w:w="2184" w:type="pct"/>
            <w:tcBorders>
              <w:top w:val="single" w:sz="6" w:space="0" w:color="808080"/>
              <w:left w:val="double" w:sz="4" w:space="0" w:color="808080"/>
              <w:bottom w:val="double" w:sz="4" w:space="0" w:color="808080"/>
              <w:right w:val="single" w:sz="6" w:space="0" w:color="808080"/>
            </w:tcBorders>
            <w:shd w:val="clear" w:color="auto" w:fill="auto"/>
            <w:vAlign w:val="center"/>
            <w:hideMark/>
          </w:tcPr>
          <w:p w14:paraId="0ECA4FB7" w14:textId="77777777" w:rsidR="008253DD" w:rsidRPr="00CB40F4" w:rsidRDefault="008253DD" w:rsidP="00650B2D">
            <w:pPr>
              <w:ind w:firstLine="384"/>
              <w:rPr>
                <w:rFonts w:asciiTheme="majorBidi" w:hAnsiTheme="majorBidi" w:cstheme="majorBidi"/>
                <w:sz w:val="20"/>
                <w:szCs w:val="20"/>
              </w:rPr>
            </w:pPr>
            <w:r w:rsidRPr="00CB40F4">
              <w:rPr>
                <w:rFonts w:asciiTheme="majorBidi" w:hAnsiTheme="majorBidi" w:cstheme="majorBidi"/>
                <w:sz w:val="20"/>
                <w:szCs w:val="20"/>
              </w:rPr>
              <w:t>Annual “Type C” Responses</w:t>
            </w:r>
          </w:p>
        </w:tc>
        <w:tc>
          <w:tcPr>
            <w:tcW w:w="938" w:type="pct"/>
            <w:tcBorders>
              <w:top w:val="single" w:sz="6" w:space="0" w:color="808080"/>
              <w:left w:val="single" w:sz="6" w:space="0" w:color="808080"/>
              <w:bottom w:val="double" w:sz="4" w:space="0" w:color="808080"/>
              <w:right w:val="single" w:sz="6" w:space="0" w:color="808080"/>
            </w:tcBorders>
            <w:shd w:val="clear" w:color="auto" w:fill="auto"/>
            <w:vAlign w:val="center"/>
            <w:hideMark/>
          </w:tcPr>
          <w:p w14:paraId="0260CAD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w:t>
            </w:r>
          </w:p>
        </w:tc>
        <w:tc>
          <w:tcPr>
            <w:tcW w:w="939" w:type="pct"/>
            <w:tcBorders>
              <w:top w:val="single" w:sz="6" w:space="0" w:color="808080"/>
              <w:left w:val="single" w:sz="6" w:space="0" w:color="808080"/>
              <w:bottom w:val="double" w:sz="4" w:space="0" w:color="808080"/>
              <w:right w:val="single" w:sz="6" w:space="0" w:color="808080"/>
            </w:tcBorders>
            <w:shd w:val="clear" w:color="auto" w:fill="auto"/>
            <w:vAlign w:val="center"/>
            <w:hideMark/>
          </w:tcPr>
          <w:p w14:paraId="565360A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5,168</w:t>
            </w:r>
          </w:p>
        </w:tc>
        <w:tc>
          <w:tcPr>
            <w:tcW w:w="939" w:type="pct"/>
            <w:tcBorders>
              <w:top w:val="single" w:sz="6" w:space="0" w:color="808080"/>
              <w:left w:val="single" w:sz="6" w:space="0" w:color="808080"/>
              <w:bottom w:val="double" w:sz="4" w:space="0" w:color="808080"/>
              <w:right w:val="double" w:sz="4" w:space="0" w:color="808080"/>
            </w:tcBorders>
            <w:shd w:val="clear" w:color="auto" w:fill="auto"/>
            <w:vAlign w:val="center"/>
            <w:hideMark/>
          </w:tcPr>
          <w:p w14:paraId="57AF640C"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 xml:space="preserve">$388,842 </w:t>
            </w:r>
          </w:p>
        </w:tc>
      </w:tr>
      <w:tr w:rsidR="008253DD" w:rsidRPr="00CB40F4" w14:paraId="332AD2D7" w14:textId="77777777" w:rsidTr="007D140D">
        <w:trPr>
          <w:trHeight w:val="288"/>
        </w:trPr>
        <w:tc>
          <w:tcPr>
            <w:tcW w:w="2184" w:type="pct"/>
            <w:tcBorders>
              <w:top w:val="double" w:sz="4" w:space="0" w:color="808080"/>
              <w:left w:val="double" w:sz="4" w:space="0" w:color="808080"/>
              <w:bottom w:val="single" w:sz="6" w:space="0" w:color="808080"/>
              <w:right w:val="single" w:sz="6" w:space="0" w:color="808080"/>
            </w:tcBorders>
            <w:shd w:val="clear" w:color="auto" w:fill="auto"/>
            <w:vAlign w:val="center"/>
            <w:hideMark/>
          </w:tcPr>
          <w:p w14:paraId="0EF8B82B" w14:textId="77777777" w:rsidR="008253DD" w:rsidRPr="00CB40F4" w:rsidRDefault="008253DD" w:rsidP="00650B2D">
            <w:pPr>
              <w:ind w:firstLine="204"/>
              <w:rPr>
                <w:rFonts w:asciiTheme="majorBidi" w:hAnsiTheme="majorBidi" w:cstheme="majorBidi"/>
                <w:b/>
                <w:bCs/>
                <w:sz w:val="20"/>
                <w:szCs w:val="20"/>
              </w:rPr>
            </w:pPr>
            <w:r w:rsidRPr="00CB40F4">
              <w:rPr>
                <w:rFonts w:asciiTheme="majorBidi" w:hAnsiTheme="majorBidi" w:cstheme="majorBidi"/>
                <w:b/>
                <w:bCs/>
                <w:sz w:val="20"/>
                <w:szCs w:val="20"/>
              </w:rPr>
              <w:t>Data Generation</w:t>
            </w:r>
          </w:p>
        </w:tc>
        <w:tc>
          <w:tcPr>
            <w:tcW w:w="938" w:type="pct"/>
            <w:tcBorders>
              <w:top w:val="double" w:sz="4" w:space="0" w:color="808080"/>
              <w:left w:val="single" w:sz="6" w:space="0" w:color="808080"/>
              <w:bottom w:val="single" w:sz="6" w:space="0" w:color="808080"/>
              <w:right w:val="single" w:sz="6" w:space="0" w:color="808080"/>
            </w:tcBorders>
            <w:shd w:val="clear" w:color="auto" w:fill="auto"/>
            <w:vAlign w:val="center"/>
            <w:hideMark/>
          </w:tcPr>
          <w:p w14:paraId="76BDF082"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725</w:t>
            </w:r>
          </w:p>
        </w:tc>
        <w:tc>
          <w:tcPr>
            <w:tcW w:w="939" w:type="pct"/>
            <w:tcBorders>
              <w:top w:val="double" w:sz="4" w:space="0" w:color="808080"/>
              <w:left w:val="single" w:sz="6" w:space="0" w:color="808080"/>
              <w:bottom w:val="single" w:sz="6" w:space="0" w:color="808080"/>
              <w:right w:val="single" w:sz="6" w:space="0" w:color="808080"/>
            </w:tcBorders>
            <w:shd w:val="clear" w:color="auto" w:fill="auto"/>
            <w:vAlign w:val="center"/>
            <w:hideMark/>
          </w:tcPr>
          <w:p w14:paraId="6FC08F7A"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1,379,680</w:t>
            </w:r>
          </w:p>
        </w:tc>
        <w:tc>
          <w:tcPr>
            <w:tcW w:w="939" w:type="pct"/>
            <w:tcBorders>
              <w:top w:val="double" w:sz="4" w:space="0" w:color="808080"/>
              <w:left w:val="single" w:sz="6" w:space="0" w:color="808080"/>
              <w:bottom w:val="single" w:sz="6" w:space="0" w:color="808080"/>
              <w:right w:val="double" w:sz="4" w:space="0" w:color="808080"/>
            </w:tcBorders>
            <w:shd w:val="clear" w:color="auto" w:fill="auto"/>
            <w:vAlign w:val="center"/>
            <w:hideMark/>
          </w:tcPr>
          <w:p w14:paraId="494D3D05"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96,249,367</w:t>
            </w:r>
          </w:p>
        </w:tc>
      </w:tr>
      <w:tr w:rsidR="008253DD" w:rsidRPr="00CB40F4" w14:paraId="2F5DFE54" w14:textId="77777777" w:rsidTr="007D140D">
        <w:trPr>
          <w:trHeight w:val="288"/>
        </w:trPr>
        <w:tc>
          <w:tcPr>
            <w:tcW w:w="2184" w:type="pct"/>
            <w:tcBorders>
              <w:top w:val="single" w:sz="6" w:space="0" w:color="808080"/>
              <w:left w:val="double" w:sz="4" w:space="0" w:color="808080"/>
              <w:bottom w:val="single" w:sz="6" w:space="0" w:color="808080"/>
              <w:right w:val="single" w:sz="6" w:space="0" w:color="808080"/>
            </w:tcBorders>
            <w:shd w:val="clear" w:color="auto" w:fill="auto"/>
            <w:vAlign w:val="center"/>
            <w:hideMark/>
          </w:tcPr>
          <w:p w14:paraId="0CE75CC6" w14:textId="77777777" w:rsidR="008253DD" w:rsidRPr="00CB40F4" w:rsidRDefault="008253DD" w:rsidP="00650B2D">
            <w:pPr>
              <w:ind w:firstLine="384"/>
              <w:rPr>
                <w:rFonts w:asciiTheme="majorBidi" w:hAnsiTheme="majorBidi" w:cstheme="majorBidi"/>
                <w:sz w:val="20"/>
                <w:szCs w:val="20"/>
              </w:rPr>
            </w:pPr>
            <w:r w:rsidRPr="00CB40F4">
              <w:rPr>
                <w:rFonts w:asciiTheme="majorBidi" w:hAnsiTheme="majorBidi" w:cstheme="majorBidi"/>
                <w:sz w:val="20"/>
                <w:szCs w:val="20"/>
              </w:rPr>
              <w:lastRenderedPageBreak/>
              <w:t>New AIs</w:t>
            </w:r>
          </w:p>
        </w:tc>
        <w:tc>
          <w:tcPr>
            <w:tcW w:w="938"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22DEC32A"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30</w:t>
            </w:r>
          </w:p>
        </w:tc>
        <w:tc>
          <w:tcPr>
            <w:tcW w:w="939" w:type="pct"/>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6F1F4AE"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897,149</w:t>
            </w:r>
          </w:p>
        </w:tc>
        <w:tc>
          <w:tcPr>
            <w:tcW w:w="939" w:type="pct"/>
            <w:tcBorders>
              <w:top w:val="single" w:sz="6" w:space="0" w:color="808080"/>
              <w:left w:val="single" w:sz="6" w:space="0" w:color="808080"/>
              <w:bottom w:val="single" w:sz="6" w:space="0" w:color="808080"/>
              <w:right w:val="double" w:sz="4" w:space="0" w:color="808080"/>
            </w:tcBorders>
            <w:shd w:val="clear" w:color="auto" w:fill="auto"/>
            <w:vAlign w:val="center"/>
            <w:hideMark/>
          </w:tcPr>
          <w:p w14:paraId="1B44898F"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$62,587,000</w:t>
            </w:r>
          </w:p>
        </w:tc>
      </w:tr>
      <w:tr w:rsidR="008253DD" w:rsidRPr="00CB40F4" w14:paraId="2F05B312" w14:textId="77777777" w:rsidTr="007D140D">
        <w:trPr>
          <w:trHeight w:val="288"/>
        </w:trPr>
        <w:tc>
          <w:tcPr>
            <w:tcW w:w="2184" w:type="pct"/>
            <w:tcBorders>
              <w:top w:val="single" w:sz="6" w:space="0" w:color="808080"/>
              <w:left w:val="double" w:sz="4" w:space="0" w:color="808080"/>
              <w:bottom w:val="double" w:sz="4" w:space="0" w:color="808080"/>
              <w:right w:val="single" w:sz="6" w:space="0" w:color="808080"/>
            </w:tcBorders>
            <w:shd w:val="clear" w:color="auto" w:fill="auto"/>
            <w:vAlign w:val="center"/>
            <w:hideMark/>
          </w:tcPr>
          <w:p w14:paraId="43F2AC04" w14:textId="77777777" w:rsidR="008253DD" w:rsidRPr="00CB40F4" w:rsidRDefault="008253DD" w:rsidP="00650B2D">
            <w:pPr>
              <w:ind w:firstLine="384"/>
              <w:rPr>
                <w:rFonts w:asciiTheme="majorBidi" w:hAnsiTheme="majorBidi" w:cstheme="majorBidi"/>
                <w:sz w:val="20"/>
                <w:szCs w:val="20"/>
              </w:rPr>
            </w:pPr>
            <w:r w:rsidRPr="00CB40F4">
              <w:rPr>
                <w:rFonts w:asciiTheme="majorBidi" w:hAnsiTheme="majorBidi" w:cstheme="majorBidi"/>
                <w:sz w:val="20"/>
                <w:szCs w:val="20"/>
              </w:rPr>
              <w:t>New Products</w:t>
            </w:r>
          </w:p>
        </w:tc>
        <w:tc>
          <w:tcPr>
            <w:tcW w:w="938" w:type="pct"/>
            <w:tcBorders>
              <w:top w:val="single" w:sz="6" w:space="0" w:color="808080"/>
              <w:left w:val="single" w:sz="6" w:space="0" w:color="808080"/>
              <w:bottom w:val="double" w:sz="4" w:space="0" w:color="808080"/>
              <w:right w:val="single" w:sz="6" w:space="0" w:color="808080"/>
            </w:tcBorders>
            <w:shd w:val="clear" w:color="auto" w:fill="auto"/>
            <w:vAlign w:val="center"/>
            <w:hideMark/>
          </w:tcPr>
          <w:p w14:paraId="4FBDE494"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695</w:t>
            </w:r>
          </w:p>
        </w:tc>
        <w:tc>
          <w:tcPr>
            <w:tcW w:w="939" w:type="pct"/>
            <w:tcBorders>
              <w:top w:val="single" w:sz="6" w:space="0" w:color="808080"/>
              <w:left w:val="single" w:sz="6" w:space="0" w:color="808080"/>
              <w:bottom w:val="double" w:sz="4" w:space="0" w:color="808080"/>
              <w:right w:val="single" w:sz="6" w:space="0" w:color="808080"/>
            </w:tcBorders>
            <w:shd w:val="clear" w:color="auto" w:fill="auto"/>
            <w:vAlign w:val="center"/>
            <w:hideMark/>
          </w:tcPr>
          <w:p w14:paraId="42F6D469"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482,531</w:t>
            </w:r>
          </w:p>
        </w:tc>
        <w:tc>
          <w:tcPr>
            <w:tcW w:w="939" w:type="pct"/>
            <w:tcBorders>
              <w:top w:val="single" w:sz="6" w:space="0" w:color="808080"/>
              <w:left w:val="single" w:sz="6" w:space="0" w:color="808080"/>
              <w:bottom w:val="double" w:sz="4" w:space="0" w:color="808080"/>
              <w:right w:val="double" w:sz="4" w:space="0" w:color="808080"/>
            </w:tcBorders>
            <w:shd w:val="clear" w:color="auto" w:fill="auto"/>
            <w:vAlign w:val="center"/>
            <w:hideMark/>
          </w:tcPr>
          <w:p w14:paraId="123FA766" w14:textId="77777777" w:rsidR="008253DD" w:rsidRPr="00CB40F4" w:rsidRDefault="008253DD" w:rsidP="00650B2D">
            <w:pPr>
              <w:jc w:val="center"/>
              <w:rPr>
                <w:rFonts w:asciiTheme="majorBidi" w:hAnsiTheme="majorBidi" w:cstheme="majorBidi"/>
                <w:sz w:val="20"/>
                <w:szCs w:val="20"/>
              </w:rPr>
            </w:pPr>
            <w:r w:rsidRPr="00CB40F4">
              <w:rPr>
                <w:rFonts w:asciiTheme="majorBidi" w:hAnsiTheme="majorBidi" w:cstheme="majorBidi"/>
                <w:sz w:val="20"/>
                <w:szCs w:val="20"/>
              </w:rPr>
              <w:t>$33,662,367</w:t>
            </w:r>
          </w:p>
        </w:tc>
      </w:tr>
      <w:tr w:rsidR="008253DD" w:rsidRPr="00CB40F4" w14:paraId="0099ED40" w14:textId="77777777" w:rsidTr="007D140D">
        <w:trPr>
          <w:trHeight w:val="288"/>
        </w:trPr>
        <w:tc>
          <w:tcPr>
            <w:tcW w:w="2184" w:type="pct"/>
            <w:tcBorders>
              <w:top w:val="nil"/>
              <w:left w:val="double" w:sz="6" w:space="0" w:color="808080"/>
              <w:bottom w:val="double" w:sz="6" w:space="0" w:color="808080"/>
              <w:right w:val="single" w:sz="4" w:space="0" w:color="808080"/>
            </w:tcBorders>
            <w:shd w:val="clear" w:color="auto" w:fill="auto"/>
            <w:vAlign w:val="center"/>
            <w:hideMark/>
          </w:tcPr>
          <w:p w14:paraId="08B38A2A" w14:textId="77777777" w:rsidR="008253DD" w:rsidRPr="00CB40F4" w:rsidRDefault="008253DD" w:rsidP="00650B2D">
            <w:pPr>
              <w:rPr>
                <w:rFonts w:asciiTheme="majorBidi" w:hAnsiTheme="majorBidi" w:cstheme="majorBidi"/>
                <w:b/>
                <w:sz w:val="20"/>
                <w:szCs w:val="20"/>
              </w:rPr>
            </w:pPr>
            <w:r w:rsidRPr="00CB40F4">
              <w:rPr>
                <w:rFonts w:asciiTheme="majorBidi" w:hAnsiTheme="majorBidi" w:cstheme="majorBidi"/>
                <w:b/>
                <w:sz w:val="20"/>
                <w:szCs w:val="20"/>
              </w:rPr>
              <w:t>TOTAL AGENCY BURDEN</w:t>
            </w:r>
          </w:p>
        </w:tc>
        <w:tc>
          <w:tcPr>
            <w:tcW w:w="938" w:type="pct"/>
            <w:tcBorders>
              <w:top w:val="nil"/>
              <w:left w:val="nil"/>
              <w:bottom w:val="double" w:sz="6" w:space="0" w:color="808080"/>
              <w:right w:val="single" w:sz="4" w:space="0" w:color="808080"/>
            </w:tcBorders>
            <w:shd w:val="clear" w:color="auto" w:fill="auto"/>
            <w:vAlign w:val="center"/>
            <w:hideMark/>
          </w:tcPr>
          <w:p w14:paraId="6AC831D1" w14:textId="77777777" w:rsidR="008253DD" w:rsidRPr="00CB40F4" w:rsidRDefault="008253DD" w:rsidP="00650B2D">
            <w:pPr>
              <w:jc w:val="center"/>
              <w:rPr>
                <w:rFonts w:asciiTheme="majorBidi" w:hAnsiTheme="majorBidi" w:cstheme="majorBidi"/>
                <w:sz w:val="20"/>
                <w:szCs w:val="20"/>
              </w:rPr>
            </w:pPr>
          </w:p>
        </w:tc>
        <w:tc>
          <w:tcPr>
            <w:tcW w:w="939" w:type="pct"/>
            <w:tcBorders>
              <w:top w:val="nil"/>
              <w:left w:val="nil"/>
              <w:bottom w:val="double" w:sz="6" w:space="0" w:color="808080"/>
              <w:right w:val="single" w:sz="4" w:space="0" w:color="808080"/>
            </w:tcBorders>
            <w:shd w:val="clear" w:color="auto" w:fill="auto"/>
            <w:vAlign w:val="center"/>
            <w:hideMark/>
          </w:tcPr>
          <w:p w14:paraId="1D2C007C"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425,873</w:t>
            </w:r>
          </w:p>
        </w:tc>
        <w:tc>
          <w:tcPr>
            <w:tcW w:w="939" w:type="pct"/>
            <w:tcBorders>
              <w:top w:val="nil"/>
              <w:left w:val="nil"/>
              <w:bottom w:val="double" w:sz="6" w:space="0" w:color="808080"/>
              <w:right w:val="double" w:sz="6" w:space="0" w:color="808080"/>
            </w:tcBorders>
            <w:shd w:val="clear" w:color="auto" w:fill="auto"/>
            <w:vAlign w:val="center"/>
            <w:hideMark/>
          </w:tcPr>
          <w:p w14:paraId="3C1B5BB4" w14:textId="77777777" w:rsidR="008253DD" w:rsidRPr="00CB40F4" w:rsidRDefault="008253DD" w:rsidP="00650B2D">
            <w:pPr>
              <w:jc w:val="center"/>
              <w:rPr>
                <w:rFonts w:asciiTheme="majorBidi" w:hAnsiTheme="majorBidi" w:cstheme="majorBidi"/>
                <w:b/>
                <w:bCs/>
                <w:sz w:val="20"/>
                <w:szCs w:val="20"/>
              </w:rPr>
            </w:pPr>
            <w:r w:rsidRPr="00CB40F4">
              <w:rPr>
                <w:rFonts w:asciiTheme="majorBidi" w:hAnsiTheme="majorBidi" w:cstheme="majorBidi"/>
                <w:b/>
                <w:bCs/>
                <w:sz w:val="20"/>
                <w:szCs w:val="20"/>
              </w:rPr>
              <w:t xml:space="preserve">$35,843,792 </w:t>
            </w:r>
          </w:p>
        </w:tc>
      </w:tr>
    </w:tbl>
    <w:p w14:paraId="33FCD112" w14:textId="148B5387" w:rsidR="00C47DDD" w:rsidRPr="00CB40F4" w:rsidRDefault="00C47DDD" w:rsidP="008B7CCF">
      <w:pPr>
        <w:rPr>
          <w:rFonts w:asciiTheme="majorBidi" w:hAnsiTheme="majorBidi" w:cstheme="majorBidi"/>
        </w:rPr>
      </w:pPr>
    </w:p>
    <w:p w14:paraId="0FAD2C23" w14:textId="1F6BE4C2" w:rsidR="00970B5B" w:rsidRPr="00970B5B" w:rsidRDefault="00970B5B" w:rsidP="00970B5B">
      <w:pPr>
        <w:ind w:firstLine="720"/>
        <w:rPr>
          <w:rFonts w:asciiTheme="majorBidi" w:hAnsiTheme="majorBidi" w:cstheme="majorBidi"/>
        </w:rPr>
      </w:pPr>
      <w:r w:rsidRPr="00970B5B">
        <w:rPr>
          <w:rFonts w:asciiTheme="majorBidi" w:hAnsiTheme="majorBidi" w:cstheme="majorBidi"/>
          <w:b/>
          <w:bCs/>
        </w:rPr>
        <w:t>6(</w:t>
      </w:r>
      <w:r>
        <w:rPr>
          <w:rFonts w:asciiTheme="majorBidi" w:hAnsiTheme="majorBidi" w:cstheme="majorBidi"/>
          <w:b/>
          <w:bCs/>
        </w:rPr>
        <w:t>f</w:t>
      </w:r>
      <w:r w:rsidRPr="00970B5B">
        <w:rPr>
          <w:rFonts w:asciiTheme="majorBidi" w:hAnsiTheme="majorBidi" w:cstheme="majorBidi"/>
          <w:b/>
          <w:bCs/>
        </w:rPr>
        <w:t>)</w:t>
      </w:r>
      <w:r w:rsidRPr="00970B5B">
        <w:rPr>
          <w:rFonts w:asciiTheme="majorBidi" w:hAnsiTheme="majorBidi" w:cstheme="majorBidi"/>
          <w:b/>
          <w:bCs/>
        </w:rPr>
        <w:tab/>
        <w:t>Reasons for Change in Burden</w:t>
      </w:r>
    </w:p>
    <w:p w14:paraId="4F097D1E" w14:textId="22BD3AC4" w:rsidR="008253DD" w:rsidRPr="00CB40F4" w:rsidRDefault="008253DD" w:rsidP="008253DD">
      <w:pPr>
        <w:ind w:firstLine="720"/>
        <w:rPr>
          <w:rFonts w:asciiTheme="majorBidi" w:hAnsiTheme="majorBidi" w:cstheme="majorBidi"/>
        </w:rPr>
      </w:pPr>
      <w:r w:rsidRPr="00CB40F4">
        <w:rPr>
          <w:rFonts w:asciiTheme="majorBidi" w:hAnsiTheme="majorBidi" w:cstheme="majorBidi"/>
        </w:rPr>
        <w:t xml:space="preserve">The annual respondent paperwork burden for the application process </w:t>
      </w:r>
      <w:r w:rsidR="0045643C" w:rsidRPr="00CB40F4">
        <w:rPr>
          <w:rFonts w:asciiTheme="majorBidi" w:hAnsiTheme="majorBidi" w:cstheme="majorBidi"/>
        </w:rPr>
        <w:t xml:space="preserve">has </w:t>
      </w:r>
      <w:r w:rsidRPr="00CB40F4">
        <w:rPr>
          <w:rFonts w:asciiTheme="majorBidi" w:hAnsiTheme="majorBidi" w:cstheme="majorBidi"/>
        </w:rPr>
        <w:t>decreased by about 23,000 hours due to fewer applications in each category.</w:t>
      </w:r>
      <w:r w:rsidR="007841AD" w:rsidRPr="00CB40F4">
        <w:rPr>
          <w:rFonts w:asciiTheme="majorBidi" w:hAnsiTheme="majorBidi" w:cstheme="majorBidi"/>
        </w:rPr>
        <w:t xml:space="preserve"> </w:t>
      </w:r>
      <w:r w:rsidRPr="00CB40F4">
        <w:rPr>
          <w:rFonts w:asciiTheme="majorBidi" w:hAnsiTheme="majorBidi" w:cstheme="majorBidi"/>
        </w:rPr>
        <w:t>There were 52 fewer “Type A” responses, 599 fewer “Type B” responses, and 7 fewer “Type C” responses annually on average in the years 2012-2014 than there were in the years 2008-2010.</w:t>
      </w:r>
      <w:r w:rsidR="007841AD" w:rsidRPr="00CB40F4">
        <w:rPr>
          <w:rFonts w:asciiTheme="majorBidi" w:hAnsiTheme="majorBidi" w:cstheme="majorBidi"/>
        </w:rPr>
        <w:t xml:space="preserve"> </w:t>
      </w:r>
      <w:r w:rsidRPr="00CB40F4">
        <w:rPr>
          <w:rFonts w:asciiTheme="majorBidi" w:hAnsiTheme="majorBidi" w:cstheme="majorBidi"/>
        </w:rPr>
        <w:t>Agency burden also reflect</w:t>
      </w:r>
      <w:r w:rsidR="0045643C" w:rsidRPr="00CB40F4">
        <w:rPr>
          <w:rFonts w:asciiTheme="majorBidi" w:hAnsiTheme="majorBidi" w:cstheme="majorBidi"/>
        </w:rPr>
        <w:t>s</w:t>
      </w:r>
      <w:r w:rsidRPr="00CB40F4">
        <w:rPr>
          <w:rFonts w:asciiTheme="majorBidi" w:hAnsiTheme="majorBidi" w:cstheme="majorBidi"/>
        </w:rPr>
        <w:t xml:space="preserve"> the lower number of responses in this renewal cycle; agency hours decreased from 478,400 (230 FTEs) to 425,873 (205 FTEs).</w:t>
      </w:r>
    </w:p>
    <w:p w14:paraId="3A11D1BC" w14:textId="77777777" w:rsidR="008253DD" w:rsidRPr="00CB40F4" w:rsidRDefault="008253DD" w:rsidP="008253DD">
      <w:pPr>
        <w:ind w:firstLine="720"/>
        <w:rPr>
          <w:rFonts w:asciiTheme="majorBidi" w:hAnsiTheme="majorBidi" w:cstheme="majorBidi"/>
        </w:rPr>
      </w:pPr>
    </w:p>
    <w:p w14:paraId="58A7F5C2" w14:textId="273546A8" w:rsidR="008253DD" w:rsidRDefault="008253DD" w:rsidP="008253DD">
      <w:pPr>
        <w:ind w:firstLine="720"/>
        <w:rPr>
          <w:rFonts w:asciiTheme="majorBidi" w:hAnsiTheme="majorBidi" w:cstheme="majorBidi"/>
        </w:rPr>
      </w:pPr>
      <w:r w:rsidRPr="00CB40F4">
        <w:rPr>
          <w:rFonts w:asciiTheme="majorBidi" w:hAnsiTheme="majorBidi" w:cstheme="majorBidi"/>
        </w:rPr>
        <w:t xml:space="preserve">The increase in total respondent burden </w:t>
      </w:r>
      <w:r w:rsidR="0045643C" w:rsidRPr="00CB40F4">
        <w:rPr>
          <w:rFonts w:asciiTheme="majorBidi" w:hAnsiTheme="majorBidi" w:cstheme="majorBidi"/>
        </w:rPr>
        <w:t>i</w:t>
      </w:r>
      <w:r w:rsidRPr="00CB40F4">
        <w:rPr>
          <w:rFonts w:asciiTheme="majorBidi" w:hAnsiTheme="majorBidi" w:cstheme="majorBidi"/>
        </w:rPr>
        <w:t>s not a change in paperwork burden per se but rather a change in what is included in this ICR. Paperwork burden from data generation was not previously included in these burden estimates.</w:t>
      </w:r>
      <w:r w:rsidR="007841AD" w:rsidRPr="00CB40F4">
        <w:rPr>
          <w:rFonts w:asciiTheme="majorBidi" w:hAnsiTheme="majorBidi" w:cstheme="majorBidi"/>
        </w:rPr>
        <w:t xml:space="preserve"> </w:t>
      </w:r>
      <w:r w:rsidRPr="00CB40F4">
        <w:rPr>
          <w:rFonts w:asciiTheme="majorBidi" w:hAnsiTheme="majorBidi" w:cstheme="majorBidi"/>
        </w:rPr>
        <w:t>EPA included estimates of that burden in this renewal; the estimates follow the methodology used to estimate the paperwork burden of data call-ins</w:t>
      </w:r>
      <w:r w:rsidR="00830370" w:rsidRPr="00CB40F4">
        <w:rPr>
          <w:rFonts w:asciiTheme="majorBidi" w:hAnsiTheme="majorBidi" w:cstheme="majorBidi"/>
        </w:rPr>
        <w:t xml:space="preserve"> or DCIs</w:t>
      </w:r>
      <w:r w:rsidRPr="00CB40F4">
        <w:rPr>
          <w:rFonts w:asciiTheme="majorBidi" w:hAnsiTheme="majorBidi" w:cstheme="majorBidi"/>
        </w:rPr>
        <w:t xml:space="preserve"> (OMB Control No. 2070-01</w:t>
      </w:r>
      <w:r w:rsidR="00830370" w:rsidRPr="00CB40F4">
        <w:rPr>
          <w:rFonts w:asciiTheme="majorBidi" w:hAnsiTheme="majorBidi" w:cstheme="majorBidi"/>
        </w:rPr>
        <w:t>74</w:t>
      </w:r>
      <w:r w:rsidRPr="00CB40F4">
        <w:rPr>
          <w:rFonts w:asciiTheme="majorBidi" w:hAnsiTheme="majorBidi" w:cstheme="majorBidi"/>
        </w:rPr>
        <w:t>).</w:t>
      </w:r>
      <w:r w:rsidR="007841AD" w:rsidRPr="00CB40F4">
        <w:rPr>
          <w:rFonts w:asciiTheme="majorBidi" w:hAnsiTheme="majorBidi" w:cstheme="majorBidi"/>
        </w:rPr>
        <w:t xml:space="preserve"> </w:t>
      </w:r>
    </w:p>
    <w:p w14:paraId="1C7AADBF" w14:textId="77777777" w:rsidR="00970B5B" w:rsidRDefault="00970B5B" w:rsidP="008253DD">
      <w:pPr>
        <w:ind w:firstLine="720"/>
        <w:rPr>
          <w:rFonts w:asciiTheme="majorBidi" w:hAnsiTheme="majorBidi" w:cstheme="majorBidi"/>
        </w:rPr>
      </w:pPr>
    </w:p>
    <w:p w14:paraId="29682D5D" w14:textId="69646C34" w:rsidR="00970B5B" w:rsidRPr="00CB40F4" w:rsidRDefault="00970B5B" w:rsidP="00970B5B">
      <w:pPr>
        <w:ind w:firstLine="720"/>
        <w:rPr>
          <w:rFonts w:asciiTheme="majorBidi" w:hAnsiTheme="majorBidi" w:cstheme="majorBidi"/>
        </w:rPr>
      </w:pPr>
      <w:r w:rsidRPr="00CB40F4">
        <w:rPr>
          <w:rFonts w:asciiTheme="majorBidi" w:hAnsiTheme="majorBidi" w:cstheme="majorBidi"/>
        </w:rPr>
        <w:t xml:space="preserve">Overall, there is a difference of 1,356,689 hours in the total estimated respondent burden compared with that identified in the current ICR approved by OMB. This change reflects EPA’s </w:t>
      </w:r>
      <w:r w:rsidRPr="00CB40F4">
        <w:rPr>
          <w:rFonts w:asciiTheme="majorBidi" w:hAnsiTheme="majorBidi" w:cstheme="majorBidi"/>
          <w:bCs/>
        </w:rPr>
        <w:t>updating of the methodology used to estimate the paperwork</w:t>
      </w:r>
      <w:r w:rsidRPr="00CB40F4">
        <w:rPr>
          <w:rFonts w:asciiTheme="majorBidi" w:hAnsiTheme="majorBidi" w:cstheme="majorBidi"/>
        </w:rPr>
        <w:t xml:space="preserve"> burden, and including a previously unaccounted for </w:t>
      </w:r>
      <w:r w:rsidRPr="00CB40F4">
        <w:rPr>
          <w:rFonts w:asciiTheme="majorBidi" w:hAnsiTheme="majorBidi" w:cstheme="majorBidi"/>
          <w:bCs/>
        </w:rPr>
        <w:t>burden for study data generation. However, t</w:t>
      </w:r>
      <w:r w:rsidRPr="00CB40F4">
        <w:rPr>
          <w:rFonts w:asciiTheme="majorBidi" w:hAnsiTheme="majorBidi" w:cstheme="majorBidi"/>
        </w:rPr>
        <w:t xml:space="preserve">here is a decrease of approximately </w:t>
      </w:r>
      <w:r w:rsidRPr="00CB40F4">
        <w:rPr>
          <w:rFonts w:asciiTheme="majorBidi" w:hAnsiTheme="majorBidi" w:cstheme="majorBidi"/>
          <w:bCs/>
        </w:rPr>
        <w:t>23,000</w:t>
      </w:r>
      <w:r w:rsidRPr="00CB40F4">
        <w:rPr>
          <w:rFonts w:asciiTheme="majorBidi" w:hAnsiTheme="majorBidi" w:cstheme="majorBidi"/>
        </w:rPr>
        <w:t xml:space="preserve"> hours in the total estimated respondent burden for the registration application process compared with that identified in the ICR currently approved by OMB. This decrease reflects EPA's receipt of fewer number of applications. This change is an adjustment.</w:t>
      </w:r>
    </w:p>
    <w:p w14:paraId="303E9CD2" w14:textId="77777777" w:rsidR="00C15D86" w:rsidRPr="00CB40F4" w:rsidRDefault="00C15D86" w:rsidP="00650B2D">
      <w:pPr>
        <w:rPr>
          <w:rFonts w:asciiTheme="majorBidi" w:hAnsiTheme="majorBidi" w:cstheme="majorBidi"/>
        </w:rPr>
      </w:pPr>
    </w:p>
    <w:p w14:paraId="47D2710A" w14:textId="2A2A3799" w:rsidR="008253DD" w:rsidRPr="00CB40F4" w:rsidRDefault="008253DD" w:rsidP="008253DD">
      <w:pPr>
        <w:ind w:firstLine="720"/>
        <w:rPr>
          <w:rFonts w:asciiTheme="majorBidi" w:hAnsiTheme="majorBidi" w:cstheme="majorBidi"/>
          <w:b/>
        </w:rPr>
      </w:pPr>
      <w:r w:rsidRPr="00CB40F4">
        <w:rPr>
          <w:rFonts w:asciiTheme="majorBidi" w:hAnsiTheme="majorBidi" w:cstheme="majorBidi"/>
          <w:b/>
        </w:rPr>
        <w:t>6(</w:t>
      </w:r>
      <w:r w:rsidR="00970B5B">
        <w:rPr>
          <w:rFonts w:asciiTheme="majorBidi" w:hAnsiTheme="majorBidi" w:cstheme="majorBidi"/>
          <w:b/>
        </w:rPr>
        <w:t>g</w:t>
      </w:r>
      <w:r w:rsidRPr="00CB40F4">
        <w:rPr>
          <w:rFonts w:asciiTheme="majorBidi" w:hAnsiTheme="majorBidi" w:cstheme="majorBidi"/>
          <w:b/>
        </w:rPr>
        <w:t>)</w:t>
      </w:r>
      <w:r w:rsidRPr="00CB40F4">
        <w:rPr>
          <w:rFonts w:asciiTheme="majorBidi" w:hAnsiTheme="majorBidi" w:cstheme="majorBidi"/>
          <w:b/>
        </w:rPr>
        <w:tab/>
        <w:t xml:space="preserve">Burden Statement </w:t>
      </w:r>
    </w:p>
    <w:p w14:paraId="6F4761F9" w14:textId="77777777" w:rsidR="008253DD" w:rsidRPr="00CB40F4" w:rsidRDefault="008253DD" w:rsidP="008253DD">
      <w:pPr>
        <w:rPr>
          <w:rFonts w:asciiTheme="majorBidi" w:hAnsiTheme="majorBidi" w:cstheme="majorBidi"/>
        </w:rPr>
      </w:pPr>
    </w:p>
    <w:p w14:paraId="20868964" w14:textId="55E55487" w:rsidR="008253DD" w:rsidRPr="00CB40F4" w:rsidRDefault="008253DD" w:rsidP="008253DD">
      <w:pPr>
        <w:ind w:firstLine="720"/>
        <w:rPr>
          <w:rFonts w:asciiTheme="majorBidi" w:hAnsiTheme="majorBidi" w:cstheme="majorBidi"/>
        </w:rPr>
      </w:pPr>
      <w:r w:rsidRPr="00CB40F4">
        <w:rPr>
          <w:rFonts w:asciiTheme="majorBidi" w:hAnsiTheme="majorBidi" w:cstheme="majorBidi"/>
        </w:rPr>
        <w:t>The annual average reporting and recordkeeping burdens for a registration application are estimated to range from 14 hours to 646 hours, depending upon the type of activity.</w:t>
      </w:r>
      <w:r w:rsidR="007841AD" w:rsidRPr="00CB40F4">
        <w:rPr>
          <w:rFonts w:asciiTheme="majorBidi" w:hAnsiTheme="majorBidi" w:cstheme="majorBidi"/>
        </w:rPr>
        <w:t xml:space="preserve"> </w:t>
      </w:r>
      <w:r w:rsidRPr="00CB40F4">
        <w:rPr>
          <w:rFonts w:asciiTheme="majorBidi" w:hAnsiTheme="majorBidi" w:cstheme="majorBidi"/>
        </w:rPr>
        <w:t xml:space="preserve">Estimates for the respondent’s application burden for </w:t>
      </w:r>
      <w:r w:rsidR="00A9366B">
        <w:rPr>
          <w:rFonts w:asciiTheme="majorBidi" w:hAnsiTheme="majorBidi" w:cstheme="majorBidi"/>
        </w:rPr>
        <w:t xml:space="preserve">this </w:t>
      </w:r>
      <w:r w:rsidRPr="00CB40F4">
        <w:rPr>
          <w:rFonts w:asciiTheme="majorBidi" w:hAnsiTheme="majorBidi" w:cstheme="majorBidi"/>
        </w:rPr>
        <w:t>collection of information average 194 hours per application for “Type A” activities (which include new active ingredients and new uses) and 14 hours per application for “Type B” activities (which include amendments and notifications).</w:t>
      </w:r>
      <w:r w:rsidR="007841AD" w:rsidRPr="00CB40F4">
        <w:rPr>
          <w:rFonts w:asciiTheme="majorBidi" w:hAnsiTheme="majorBidi" w:cstheme="majorBidi"/>
        </w:rPr>
        <w:t xml:space="preserve"> </w:t>
      </w:r>
      <w:r w:rsidRPr="00CB40F4">
        <w:rPr>
          <w:rFonts w:asciiTheme="majorBidi" w:hAnsiTheme="majorBidi" w:cstheme="majorBidi"/>
        </w:rPr>
        <w:t>The burden estimate for “Type C” reduced risk applications, which are handled only by RD, is an average of 646 hours per response.</w:t>
      </w:r>
      <w:r w:rsidR="007841AD" w:rsidRPr="00CB40F4">
        <w:rPr>
          <w:rFonts w:asciiTheme="majorBidi" w:hAnsiTheme="majorBidi" w:cstheme="majorBidi"/>
        </w:rPr>
        <w:t xml:space="preserve"> </w:t>
      </w:r>
    </w:p>
    <w:p w14:paraId="64518596" w14:textId="77777777" w:rsidR="008253DD" w:rsidRPr="00CB40F4" w:rsidRDefault="008253DD" w:rsidP="008253DD">
      <w:pPr>
        <w:ind w:firstLine="720"/>
        <w:rPr>
          <w:rFonts w:asciiTheme="majorBidi" w:hAnsiTheme="majorBidi" w:cstheme="majorBidi"/>
        </w:rPr>
      </w:pPr>
    </w:p>
    <w:p w14:paraId="267EB78A" w14:textId="41F254A8" w:rsidR="008253DD" w:rsidRDefault="008253DD" w:rsidP="008253DD">
      <w:pPr>
        <w:ind w:firstLine="720"/>
        <w:rPr>
          <w:rFonts w:asciiTheme="majorBidi" w:hAnsiTheme="majorBidi" w:cstheme="majorBidi"/>
        </w:rPr>
      </w:pPr>
      <w:r w:rsidRPr="00CB40F4">
        <w:rPr>
          <w:rFonts w:asciiTheme="majorBidi" w:hAnsiTheme="majorBidi" w:cstheme="majorBidi"/>
        </w:rPr>
        <w:t>The annual average reporting and recordkeeping burdens for data generation associated with registration of new active ingredients and new products are estimated to range from 520 hours to 45,000 hours, depending on the type of activity and division.</w:t>
      </w:r>
      <w:r w:rsidR="007841AD" w:rsidRPr="00CB40F4">
        <w:rPr>
          <w:rFonts w:asciiTheme="majorBidi" w:hAnsiTheme="majorBidi" w:cstheme="majorBidi"/>
        </w:rPr>
        <w:t xml:space="preserve"> </w:t>
      </w:r>
      <w:r w:rsidRPr="00CB40F4">
        <w:rPr>
          <w:rFonts w:asciiTheme="majorBidi" w:hAnsiTheme="majorBidi" w:cstheme="majorBidi"/>
        </w:rPr>
        <w:t>For new active ingredients, estimates for the respondent’s paperwork burden for data generation average 45,024 hours for a new conventional, 42,903 for a new antimicrobial, and 23,308 for a new biopesticide.</w:t>
      </w:r>
      <w:r w:rsidR="007841AD" w:rsidRPr="00CB40F4">
        <w:rPr>
          <w:rFonts w:asciiTheme="majorBidi" w:hAnsiTheme="majorBidi" w:cstheme="majorBidi"/>
        </w:rPr>
        <w:t xml:space="preserve"> </w:t>
      </w:r>
      <w:r w:rsidRPr="00CB40F4">
        <w:rPr>
          <w:rFonts w:asciiTheme="majorBidi" w:hAnsiTheme="majorBidi" w:cstheme="majorBidi"/>
        </w:rPr>
        <w:t xml:space="preserve">For new products, estimates for the respondent’s paperwork burden for data generation average 777 hours for a new conventional product, 520 hours for a new antimicrobial, and 579 hours for a new biopesticide. </w:t>
      </w:r>
    </w:p>
    <w:p w14:paraId="59E8A76B" w14:textId="77777777" w:rsidR="00A9366B" w:rsidRDefault="00A9366B" w:rsidP="008253DD">
      <w:pPr>
        <w:ind w:firstLine="720"/>
        <w:rPr>
          <w:rFonts w:asciiTheme="majorBidi" w:hAnsiTheme="majorBidi" w:cstheme="majorBidi"/>
        </w:rPr>
      </w:pPr>
    </w:p>
    <w:p w14:paraId="69438F59" w14:textId="77777777" w:rsidR="00A9366B" w:rsidRDefault="00A9366B" w:rsidP="00A9366B">
      <w:pPr>
        <w:ind w:firstLine="720"/>
      </w:pPr>
      <w:r>
        <w:lastRenderedPageBreak/>
        <w:t xml:space="preserve">Burden is defined in 5 CFR 1320.3(b).  An agency may not conduct or sponsor, and a person is not required to respond to a collection of information unless it displays a current and valid OMB control number. The OMB control numbers for EPA’s regulations in title 40 of the CFR, after appearing in the </w:t>
      </w:r>
      <w:r w:rsidRPr="00C26BA4">
        <w:rPr>
          <w:u w:val="single"/>
        </w:rPr>
        <w:t>Federal Register</w:t>
      </w:r>
      <w:r>
        <w:t>, are listed in 40 CFR part 9 and included on the related collection instrument or form, if applicable.</w:t>
      </w:r>
    </w:p>
    <w:p w14:paraId="4D6B8EAF" w14:textId="77777777" w:rsidR="00A9366B" w:rsidRPr="00CB40F4" w:rsidRDefault="00A9366B" w:rsidP="008253DD">
      <w:pPr>
        <w:ind w:firstLine="720"/>
        <w:rPr>
          <w:rFonts w:asciiTheme="majorBidi" w:hAnsiTheme="majorBidi" w:cstheme="majorBidi"/>
        </w:rPr>
      </w:pPr>
    </w:p>
    <w:p w14:paraId="3AE53448" w14:textId="70EFB190" w:rsidR="00A9366B" w:rsidRPr="00CB40F4" w:rsidRDefault="00A9366B" w:rsidP="00A9366B">
      <w:pPr>
        <w:ind w:firstLine="720"/>
        <w:rPr>
          <w:rFonts w:asciiTheme="majorBidi" w:hAnsiTheme="majorBidi" w:cstheme="majorBidi"/>
          <w:b/>
        </w:rPr>
      </w:pPr>
      <w:r w:rsidRPr="00CB40F4">
        <w:rPr>
          <w:rFonts w:asciiTheme="majorBidi" w:hAnsiTheme="majorBidi" w:cstheme="majorBidi"/>
          <w:b/>
        </w:rPr>
        <w:t>6(</w:t>
      </w:r>
      <w:r>
        <w:rPr>
          <w:rFonts w:asciiTheme="majorBidi" w:hAnsiTheme="majorBidi" w:cstheme="majorBidi"/>
          <w:b/>
        </w:rPr>
        <w:t>h</w:t>
      </w:r>
      <w:r w:rsidRPr="00CB40F4">
        <w:rPr>
          <w:rFonts w:asciiTheme="majorBidi" w:hAnsiTheme="majorBidi" w:cstheme="majorBidi"/>
          <w:b/>
        </w:rPr>
        <w:t>)</w:t>
      </w:r>
      <w:r w:rsidRPr="00CB40F4">
        <w:rPr>
          <w:rFonts w:asciiTheme="majorBidi" w:hAnsiTheme="majorBidi" w:cstheme="majorBidi"/>
          <w:b/>
        </w:rPr>
        <w:tab/>
      </w:r>
      <w:r>
        <w:rPr>
          <w:rFonts w:asciiTheme="majorBidi" w:hAnsiTheme="majorBidi" w:cstheme="majorBidi"/>
          <w:b/>
        </w:rPr>
        <w:t xml:space="preserve">Docket Information </w:t>
      </w:r>
      <w:r w:rsidRPr="00CB40F4">
        <w:rPr>
          <w:rFonts w:asciiTheme="majorBidi" w:hAnsiTheme="majorBidi" w:cstheme="majorBidi"/>
          <w:b/>
        </w:rPr>
        <w:t xml:space="preserve"> </w:t>
      </w:r>
    </w:p>
    <w:p w14:paraId="5350A556" w14:textId="4AC67734" w:rsidR="00F14C02" w:rsidRPr="00CB40F4" w:rsidRDefault="00977193">
      <w:pPr>
        <w:ind w:firstLine="720"/>
        <w:rPr>
          <w:rFonts w:asciiTheme="majorBidi" w:hAnsiTheme="majorBidi" w:cstheme="majorBidi"/>
        </w:rPr>
      </w:pPr>
      <w:r w:rsidRPr="00CB40F4">
        <w:rPr>
          <w:rFonts w:asciiTheme="majorBidi" w:hAnsiTheme="majorBidi" w:cstheme="majorBidi"/>
        </w:rPr>
        <w:t xml:space="preserve"> </w:t>
      </w:r>
    </w:p>
    <w:p w14:paraId="72531458" w14:textId="2F455FD5" w:rsidR="00A9366B" w:rsidRDefault="00C47DDD">
      <w:pPr>
        <w:ind w:firstLine="720"/>
        <w:rPr>
          <w:rFonts w:asciiTheme="majorBidi" w:hAnsiTheme="majorBidi" w:cstheme="majorBidi"/>
        </w:rPr>
      </w:pPr>
      <w:r w:rsidRPr="00CB40F4">
        <w:rPr>
          <w:rFonts w:asciiTheme="majorBidi" w:hAnsiTheme="majorBidi" w:cstheme="majorBidi"/>
        </w:rPr>
        <w:t xml:space="preserve">The Agency has established a docket for this ICR under Docket ID No. </w:t>
      </w:r>
      <w:hyperlink r:id="rId19" w:tooltip="EPA-HQ-OPP-2011-0886" w:history="1">
        <w:bookmarkStart w:id="1" w:name="DocketWizardContainer_docket_id_0"/>
        <w:r w:rsidR="004E1187" w:rsidRPr="00CB40F4">
          <w:rPr>
            <w:rStyle w:val="Hyperlink"/>
            <w:rFonts w:asciiTheme="majorBidi" w:hAnsiTheme="majorBidi" w:cstheme="majorBidi"/>
          </w:rPr>
          <w:t>EPA-HQ-OPP-201</w:t>
        </w:r>
        <w:bookmarkEnd w:id="1"/>
      </w:hyperlink>
      <w:r w:rsidR="00AB1D87" w:rsidRPr="00CB40F4">
        <w:rPr>
          <w:rStyle w:val="Hyperlink"/>
          <w:rFonts w:asciiTheme="majorBidi" w:hAnsiTheme="majorBidi" w:cstheme="majorBidi"/>
        </w:rPr>
        <w:t>5-0332</w:t>
      </w:r>
      <w:r w:rsidR="004E1187" w:rsidRPr="00CB40F4">
        <w:rPr>
          <w:rFonts w:asciiTheme="majorBidi" w:hAnsiTheme="majorBidi" w:cstheme="majorBidi"/>
        </w:rPr>
        <w:t xml:space="preserve">, which is available for online viewing at </w:t>
      </w:r>
      <w:r w:rsidR="00A9366B">
        <w:rPr>
          <w:rFonts w:asciiTheme="majorBidi" w:hAnsiTheme="majorBidi" w:cstheme="majorBidi"/>
        </w:rPr>
        <w:t>http://</w:t>
      </w:r>
      <w:hyperlink r:id="rId20" w:history="1">
        <w:r w:rsidR="004E1187" w:rsidRPr="00CB40F4">
          <w:rPr>
            <w:rStyle w:val="Hyperlink"/>
            <w:rFonts w:asciiTheme="majorBidi" w:hAnsiTheme="majorBidi" w:cstheme="majorBidi"/>
          </w:rPr>
          <w:t>www.regulations.gov</w:t>
        </w:r>
      </w:hyperlink>
      <w:r w:rsidR="004E1187" w:rsidRPr="00CB40F4">
        <w:rPr>
          <w:rFonts w:asciiTheme="majorBidi" w:hAnsiTheme="majorBidi" w:cstheme="majorBidi"/>
        </w:rPr>
        <w:t xml:space="preserve"> or in person viewing at the EPA Docket Center Public Reading Room, EPA West Building, Room 3334, 1301 Constitution Avenue, NW, Washington, DC 20004.</w:t>
      </w:r>
      <w:r w:rsidR="007841AD" w:rsidRPr="00CB40F4">
        <w:rPr>
          <w:rFonts w:asciiTheme="majorBidi" w:hAnsiTheme="majorBidi" w:cstheme="majorBidi"/>
        </w:rPr>
        <w:t xml:space="preserve"> </w:t>
      </w:r>
      <w:r w:rsidR="004E1187" w:rsidRPr="00CB40F4">
        <w:rPr>
          <w:rFonts w:asciiTheme="majorBidi" w:hAnsiTheme="majorBidi" w:cstheme="majorBidi"/>
        </w:rPr>
        <w:t>The EPA/DC is open from 8:30 a.m. to 4 p.m., Monday through Friday, excluding federal holidays.</w:t>
      </w:r>
      <w:r w:rsidR="007841AD" w:rsidRPr="00CB40F4">
        <w:rPr>
          <w:rFonts w:asciiTheme="majorBidi" w:hAnsiTheme="majorBidi" w:cstheme="majorBidi"/>
        </w:rPr>
        <w:t xml:space="preserve"> </w:t>
      </w:r>
      <w:r w:rsidRPr="00CB40F4">
        <w:rPr>
          <w:rFonts w:asciiTheme="majorBidi" w:hAnsiTheme="majorBidi" w:cstheme="majorBidi"/>
        </w:rPr>
        <w:t xml:space="preserve">The docket telephone number is </w:t>
      </w:r>
      <w:r w:rsidR="008B7CCF" w:rsidRPr="00CB40F4">
        <w:rPr>
          <w:rFonts w:asciiTheme="majorBidi" w:hAnsiTheme="majorBidi" w:cstheme="majorBidi"/>
        </w:rPr>
        <w:t>(202) 566-1744</w:t>
      </w:r>
      <w:r w:rsidRPr="00CB40F4">
        <w:rPr>
          <w:rFonts w:asciiTheme="majorBidi" w:hAnsiTheme="majorBidi" w:cstheme="majorBidi"/>
        </w:rPr>
        <w:t>.</w:t>
      </w:r>
      <w:r w:rsidR="007841AD" w:rsidRPr="00CB40F4">
        <w:rPr>
          <w:rFonts w:asciiTheme="majorBidi" w:hAnsiTheme="majorBidi" w:cstheme="majorBidi"/>
        </w:rPr>
        <w:t xml:space="preserve"> </w:t>
      </w:r>
    </w:p>
    <w:p w14:paraId="590F2C40" w14:textId="77777777" w:rsidR="00A9366B" w:rsidRDefault="00A9366B">
      <w:pPr>
        <w:ind w:firstLine="720"/>
        <w:rPr>
          <w:rFonts w:asciiTheme="majorBidi" w:hAnsiTheme="majorBidi" w:cstheme="majorBidi"/>
        </w:rPr>
      </w:pPr>
    </w:p>
    <w:p w14:paraId="3DE5F07D" w14:textId="1598B9E6" w:rsidR="00A9366B" w:rsidRDefault="00C47DDD" w:rsidP="00A9366B">
      <w:pPr>
        <w:tabs>
          <w:tab w:val="left" w:pos="-1080"/>
          <w:tab w:val="left" w:pos="-720"/>
        </w:tabs>
      </w:pPr>
      <w:r w:rsidRPr="00CB40F4">
        <w:rPr>
          <w:rFonts w:asciiTheme="majorBidi" w:hAnsiTheme="majorBidi" w:cstheme="majorBidi"/>
        </w:rPr>
        <w:t>You may submit comments regarding the Agency's need for this information, the accuracy of the provided burden estimates and any suggested methods for minimizing respondent burden, including the use of automated collection techniques.</w:t>
      </w:r>
      <w:r w:rsidR="007841AD" w:rsidRPr="00CB40F4">
        <w:rPr>
          <w:rFonts w:asciiTheme="majorBidi" w:hAnsiTheme="majorBidi" w:cstheme="majorBidi"/>
        </w:rPr>
        <w:t xml:space="preserve"> </w:t>
      </w:r>
      <w:r w:rsidRPr="00CB40F4">
        <w:rPr>
          <w:rFonts w:asciiTheme="majorBidi" w:hAnsiTheme="majorBidi" w:cstheme="majorBidi"/>
        </w:rPr>
        <w:t xml:space="preserve">Submit your comments, referencing Docket ID No. </w:t>
      </w:r>
      <w:hyperlink r:id="rId21" w:tooltip="EPA-HQ-OPP-2011-0886" w:history="1">
        <w:r w:rsidRPr="00CB40F4">
          <w:rPr>
            <w:rStyle w:val="Hyperlink"/>
            <w:rFonts w:asciiTheme="majorBidi" w:hAnsiTheme="majorBidi" w:cstheme="majorBidi"/>
          </w:rPr>
          <w:t>EPA-HQ-OPP-201</w:t>
        </w:r>
      </w:hyperlink>
      <w:r w:rsidR="00AB1D87" w:rsidRPr="00CB40F4">
        <w:rPr>
          <w:rStyle w:val="Hyperlink"/>
          <w:rFonts w:asciiTheme="majorBidi" w:hAnsiTheme="majorBidi" w:cstheme="majorBidi"/>
        </w:rPr>
        <w:t>5-0332</w:t>
      </w:r>
      <w:r w:rsidRPr="00CB40F4">
        <w:rPr>
          <w:rFonts w:asciiTheme="majorBidi" w:hAnsiTheme="majorBidi" w:cstheme="majorBidi"/>
        </w:rPr>
        <w:t> and OMB Control No. 2070-0060</w:t>
      </w:r>
      <w:r w:rsidR="00DC6C7E" w:rsidRPr="00CB40F4">
        <w:rPr>
          <w:rFonts w:asciiTheme="majorBidi" w:hAnsiTheme="majorBidi" w:cstheme="majorBidi"/>
        </w:rPr>
        <w:t xml:space="preserve">, </w:t>
      </w:r>
      <w:r w:rsidR="00DC6C7E" w:rsidRPr="00A9366B">
        <w:t>to</w:t>
      </w:r>
      <w:r w:rsidR="00A9366B">
        <w:t xml:space="preserve"> both EPA and OMB as follows: </w:t>
      </w:r>
    </w:p>
    <w:p w14:paraId="3947B61D" w14:textId="77777777" w:rsidR="00A9366B" w:rsidRDefault="00A9366B" w:rsidP="00A9366B">
      <w:pPr>
        <w:pStyle w:val="ListParagraph"/>
        <w:widowControl w:val="0"/>
        <w:numPr>
          <w:ilvl w:val="0"/>
          <w:numId w:val="28"/>
        </w:numPr>
        <w:tabs>
          <w:tab w:val="left" w:pos="-1080"/>
          <w:tab w:val="left" w:pos="-720"/>
        </w:tabs>
        <w:adjustRightInd w:val="0"/>
      </w:pPr>
      <w:r>
        <w:t xml:space="preserve">To EPA online using http://www.regulations.gov (our preferred method) or by mail to: EPA Docket Center, Environmental Protection Agency, Mail Code 28221T, 1200 Pennsylvania Ave., NW, Washington, DC 20460, and </w:t>
      </w:r>
    </w:p>
    <w:p w14:paraId="3AF0DA61" w14:textId="71C0D2DE" w:rsidR="00DC6C7E" w:rsidRDefault="00A9366B" w:rsidP="00935E45">
      <w:pPr>
        <w:pStyle w:val="ListParagraph"/>
        <w:widowControl w:val="0"/>
        <w:numPr>
          <w:ilvl w:val="0"/>
          <w:numId w:val="28"/>
        </w:numPr>
        <w:tabs>
          <w:tab w:val="left" w:pos="-1080"/>
          <w:tab w:val="left" w:pos="-720"/>
        </w:tabs>
        <w:adjustRightInd w:val="0"/>
      </w:pPr>
      <w:r>
        <w:t xml:space="preserve">To OMB via email to oira_submission@omb.eop.gov. Address comments to </w:t>
      </w:r>
      <w:r w:rsidRPr="001049C0">
        <w:rPr>
          <w:i/>
        </w:rPr>
        <w:t>OMB Desk Officer for EPA</w:t>
      </w:r>
      <w:r>
        <w:t>.</w:t>
      </w:r>
    </w:p>
    <w:p w14:paraId="0D667408" w14:textId="77777777" w:rsidR="00935E45" w:rsidRDefault="00935E45" w:rsidP="00935E45">
      <w:pPr>
        <w:pStyle w:val="ListParagraph"/>
        <w:widowControl w:val="0"/>
        <w:tabs>
          <w:tab w:val="left" w:pos="-1080"/>
          <w:tab w:val="left" w:pos="-720"/>
        </w:tabs>
        <w:adjustRightInd w:val="0"/>
      </w:pPr>
    </w:p>
    <w:p w14:paraId="2E7E013E" w14:textId="77777777" w:rsidR="00935E45" w:rsidRPr="00935E45" w:rsidRDefault="00935E45" w:rsidP="00935E45">
      <w:pPr>
        <w:pStyle w:val="ListParagraph"/>
        <w:widowControl w:val="0"/>
        <w:tabs>
          <w:tab w:val="left" w:pos="-1080"/>
          <w:tab w:val="left" w:pos="-720"/>
        </w:tabs>
        <w:adjustRightInd w:val="0"/>
      </w:pPr>
    </w:p>
    <w:p w14:paraId="1511008F" w14:textId="3180F2D6" w:rsidR="00C47DDD" w:rsidRPr="00CB40F4" w:rsidRDefault="00A9366B" w:rsidP="00A9366B">
      <w:pPr>
        <w:spacing w:after="200" w:line="276" w:lineRule="auto"/>
        <w:rPr>
          <w:rFonts w:asciiTheme="majorBidi" w:hAnsiTheme="majorBidi" w:cstheme="majorBidi"/>
        </w:rPr>
      </w:pPr>
      <w:r w:rsidRPr="00A9366B">
        <w:rPr>
          <w:rFonts w:asciiTheme="majorBidi" w:hAnsiTheme="majorBidi" w:cstheme="majorBidi"/>
          <w:b/>
        </w:rPr>
        <w:t>7.</w:t>
      </w:r>
      <w:r w:rsidRPr="00A9366B">
        <w:rPr>
          <w:rFonts w:asciiTheme="majorBidi" w:hAnsiTheme="majorBidi" w:cstheme="majorBidi"/>
          <w:b/>
        </w:rPr>
        <w:tab/>
      </w:r>
      <w:r w:rsidR="00C47DDD" w:rsidRPr="00A9366B">
        <w:rPr>
          <w:rFonts w:asciiTheme="majorBidi" w:hAnsiTheme="majorBidi" w:cstheme="majorBidi"/>
          <w:b/>
          <w:u w:val="single"/>
        </w:rPr>
        <w:t>ATTACHMENTS TO THE SUPPORTING STATEMENT</w:t>
      </w:r>
    </w:p>
    <w:p w14:paraId="2023B45D" w14:textId="4BC63DFE" w:rsidR="00C15D86" w:rsidRPr="00CB40F4" w:rsidRDefault="00C47DDD" w:rsidP="00C12321">
      <w:pPr>
        <w:ind w:firstLine="720"/>
        <w:rPr>
          <w:rFonts w:asciiTheme="majorBidi" w:hAnsiTheme="majorBidi" w:cstheme="majorBidi"/>
        </w:rPr>
      </w:pPr>
      <w:r w:rsidRPr="00CB40F4">
        <w:rPr>
          <w:rFonts w:asciiTheme="majorBidi" w:hAnsiTheme="majorBidi" w:cstheme="majorBidi"/>
        </w:rPr>
        <w:t>Attachments to the supporting statement are available in the public docket established for this Information Collection Request (ICR) under the docket identification number</w:t>
      </w:r>
      <w:r w:rsidR="00A63902" w:rsidRPr="00CB40F4">
        <w:rPr>
          <w:rFonts w:asciiTheme="majorBidi" w:hAnsiTheme="majorBidi" w:cstheme="majorBidi"/>
        </w:rPr>
        <w:t xml:space="preserve"> </w:t>
      </w:r>
      <w:hyperlink r:id="rId22" w:tooltip="EPA-HQ-OPP-2011-0886" w:history="1">
        <w:r w:rsidR="00C12321" w:rsidRPr="00CB40F4">
          <w:rPr>
            <w:rStyle w:val="Hyperlink"/>
            <w:rFonts w:asciiTheme="majorBidi" w:hAnsiTheme="majorBidi" w:cstheme="majorBidi"/>
          </w:rPr>
          <w:t>EPA-HQ-OPP-201</w:t>
        </w:r>
      </w:hyperlink>
      <w:r w:rsidR="00C12321" w:rsidRPr="00CB40F4">
        <w:rPr>
          <w:rStyle w:val="Hyperlink"/>
          <w:rFonts w:asciiTheme="majorBidi" w:hAnsiTheme="majorBidi" w:cstheme="majorBidi"/>
        </w:rPr>
        <w:t>5-0332</w:t>
      </w:r>
      <w:r w:rsidRPr="00CB40F4">
        <w:rPr>
          <w:rFonts w:asciiTheme="majorBidi" w:hAnsiTheme="majorBidi" w:cstheme="majorBidi"/>
        </w:rPr>
        <w:t xml:space="preserve">. These attachments are available for online viewing at </w:t>
      </w:r>
      <w:hyperlink r:id="rId23" w:history="1">
        <w:r w:rsidRPr="00CB40F4">
          <w:rPr>
            <w:rStyle w:val="Hyperlink"/>
            <w:rFonts w:asciiTheme="majorBidi" w:hAnsiTheme="majorBidi" w:cstheme="majorBidi"/>
          </w:rPr>
          <w:t>www.regulations.gov</w:t>
        </w:r>
      </w:hyperlink>
      <w:r w:rsidRPr="00CB40F4">
        <w:rPr>
          <w:rFonts w:asciiTheme="majorBidi" w:hAnsiTheme="majorBidi" w:cstheme="majorBidi"/>
        </w:rPr>
        <w:t xml:space="preserve"> or otherwise accessed as described in the sections below.</w:t>
      </w:r>
      <w:r w:rsidR="007841AD" w:rsidRPr="00CB40F4">
        <w:rPr>
          <w:rFonts w:asciiTheme="majorBidi" w:hAnsiTheme="majorBidi" w:cstheme="majorBidi"/>
        </w:rPr>
        <w:t xml:space="preserve"> </w:t>
      </w:r>
    </w:p>
    <w:p w14:paraId="14CB2503" w14:textId="77777777" w:rsidR="00C15D86" w:rsidRPr="00CB40F4" w:rsidRDefault="00C15D86">
      <w:pPr>
        <w:rPr>
          <w:rFonts w:asciiTheme="majorBidi" w:hAnsiTheme="majorBidi" w:cstheme="majorBidi"/>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650"/>
      </w:tblGrid>
      <w:tr w:rsidR="009C1A05" w:rsidRPr="00CB40F4" w14:paraId="634F2EE3" w14:textId="51EF1167" w:rsidTr="00473C9F">
        <w:trPr>
          <w:trHeight w:val="414"/>
        </w:trPr>
        <w:tc>
          <w:tcPr>
            <w:tcW w:w="950" w:type="pct"/>
            <w:vAlign w:val="center"/>
          </w:tcPr>
          <w:p w14:paraId="505793AB" w14:textId="77777777" w:rsidR="009C1A05" w:rsidRPr="00CB40F4" w:rsidRDefault="009C1A05">
            <w:pPr>
              <w:rPr>
                <w:rFonts w:asciiTheme="majorBidi" w:hAnsiTheme="majorBidi" w:cstheme="majorBidi"/>
                <w:b/>
                <w:bCs/>
              </w:rPr>
            </w:pPr>
            <w:r w:rsidRPr="00CB40F4">
              <w:rPr>
                <w:rFonts w:asciiTheme="majorBidi" w:hAnsiTheme="majorBidi" w:cstheme="majorBidi"/>
                <w:b/>
                <w:bCs/>
              </w:rPr>
              <w:t>Attachment A:</w:t>
            </w:r>
          </w:p>
        </w:tc>
        <w:tc>
          <w:tcPr>
            <w:tcW w:w="4050" w:type="pct"/>
            <w:vAlign w:val="center"/>
          </w:tcPr>
          <w:p w14:paraId="5B7B80D2" w14:textId="1B558E78" w:rsidR="009C1A05" w:rsidRPr="00CB40F4" w:rsidRDefault="009C1A05" w:rsidP="00DB6E3D">
            <w:pPr>
              <w:rPr>
                <w:rFonts w:asciiTheme="majorBidi" w:hAnsiTheme="majorBidi" w:cstheme="majorBidi"/>
                <w:b/>
                <w:bCs/>
                <w:color w:val="000000"/>
              </w:rPr>
            </w:pPr>
            <w:r w:rsidRPr="00CB40F4">
              <w:rPr>
                <w:rFonts w:asciiTheme="majorBidi" w:hAnsiTheme="majorBidi" w:cstheme="majorBidi"/>
                <w:b/>
                <w:bCs/>
                <w:color w:val="000000"/>
              </w:rPr>
              <w:t>7 U.S.C. 136a – Section 3 of FIFRA</w:t>
            </w:r>
            <w:r w:rsidRPr="00CB40F4">
              <w:rPr>
                <w:rFonts w:asciiTheme="majorBidi" w:hAnsiTheme="majorBidi" w:cstheme="majorBidi"/>
              </w:rPr>
              <w:t xml:space="preserve">. Also available at </w:t>
            </w:r>
            <w:hyperlink r:id="rId24" w:history="1">
              <w:r w:rsidRPr="00CB40F4">
                <w:rPr>
                  <w:rFonts w:asciiTheme="majorBidi" w:hAnsiTheme="majorBidi" w:cstheme="majorBidi"/>
                  <w:color w:val="0000FF"/>
                  <w:u w:val="single"/>
                </w:rPr>
                <w:t>US Code website</w:t>
              </w:r>
            </w:hyperlink>
          </w:p>
        </w:tc>
      </w:tr>
      <w:tr w:rsidR="009C1A05" w:rsidRPr="00CB40F4" w14:paraId="5E8B36C9" w14:textId="77777777" w:rsidTr="00473C9F">
        <w:trPr>
          <w:trHeight w:val="626"/>
        </w:trPr>
        <w:tc>
          <w:tcPr>
            <w:tcW w:w="950" w:type="pct"/>
            <w:vAlign w:val="center"/>
          </w:tcPr>
          <w:p w14:paraId="3505DB4B" w14:textId="483C7FD3" w:rsidR="009C1A05" w:rsidRPr="00CB40F4" w:rsidRDefault="009C1A05" w:rsidP="009C1A05">
            <w:pPr>
              <w:rPr>
                <w:rFonts w:asciiTheme="majorBidi" w:hAnsiTheme="majorBidi" w:cstheme="majorBidi"/>
                <w:b/>
                <w:bCs/>
              </w:rPr>
            </w:pPr>
            <w:r w:rsidRPr="00CB40F4">
              <w:rPr>
                <w:rFonts w:asciiTheme="majorBidi" w:hAnsiTheme="majorBidi" w:cstheme="majorBidi"/>
                <w:b/>
                <w:bCs/>
              </w:rPr>
              <w:t>Attachment B:</w:t>
            </w:r>
          </w:p>
        </w:tc>
        <w:tc>
          <w:tcPr>
            <w:tcW w:w="4050" w:type="pct"/>
            <w:vAlign w:val="center"/>
          </w:tcPr>
          <w:p w14:paraId="3CBA9FA4" w14:textId="6DC6E242" w:rsidR="009C1A05" w:rsidRPr="00CB40F4" w:rsidRDefault="009C1A05" w:rsidP="00DB6E3D">
            <w:pPr>
              <w:rPr>
                <w:rFonts w:asciiTheme="majorBidi" w:hAnsiTheme="majorBidi" w:cstheme="majorBidi"/>
                <w:b/>
                <w:bCs/>
                <w:color w:val="000000"/>
              </w:rPr>
            </w:pPr>
            <w:r w:rsidRPr="00CB40F4">
              <w:rPr>
                <w:rFonts w:asciiTheme="majorBidi" w:hAnsiTheme="majorBidi" w:cstheme="majorBidi"/>
                <w:b/>
                <w:color w:val="000000"/>
              </w:rPr>
              <w:t xml:space="preserve">7 U.S.C. 136w-8 – Section 33 of FIFRA. </w:t>
            </w:r>
            <w:r w:rsidRPr="00CB40F4">
              <w:rPr>
                <w:rFonts w:asciiTheme="majorBidi" w:hAnsiTheme="majorBidi" w:cstheme="majorBidi"/>
                <w:color w:val="32434F"/>
              </w:rPr>
              <w:t xml:space="preserve">Pesticide registration service fees. Also available online at </w:t>
            </w:r>
            <w:hyperlink r:id="rId25" w:history="1">
              <w:r w:rsidRPr="00CB40F4">
                <w:rPr>
                  <w:rFonts w:asciiTheme="majorBidi" w:hAnsiTheme="majorBidi" w:cstheme="majorBidi"/>
                  <w:color w:val="0000FF"/>
                  <w:u w:val="single"/>
                </w:rPr>
                <w:t>US Code website</w:t>
              </w:r>
            </w:hyperlink>
            <w:r w:rsidRPr="00CB40F4">
              <w:rPr>
                <w:rFonts w:asciiTheme="majorBidi" w:hAnsiTheme="majorBidi" w:cstheme="majorBidi"/>
                <w:color w:val="0000FF"/>
                <w:u w:val="single"/>
              </w:rPr>
              <w:t>.</w:t>
            </w:r>
          </w:p>
        </w:tc>
      </w:tr>
      <w:tr w:rsidR="009C1A05" w:rsidRPr="00CB40F4" w14:paraId="32E54DD1" w14:textId="140B5ED2" w:rsidTr="00473C9F">
        <w:trPr>
          <w:trHeight w:val="360"/>
        </w:trPr>
        <w:tc>
          <w:tcPr>
            <w:tcW w:w="950" w:type="pct"/>
            <w:vAlign w:val="center"/>
          </w:tcPr>
          <w:p w14:paraId="499FEB70" w14:textId="3265C781" w:rsidR="009C1A05" w:rsidRPr="00CB40F4" w:rsidRDefault="009C1A05" w:rsidP="009C1A05">
            <w:pPr>
              <w:rPr>
                <w:rFonts w:asciiTheme="majorBidi" w:hAnsiTheme="majorBidi" w:cstheme="majorBidi"/>
                <w:b/>
              </w:rPr>
            </w:pPr>
            <w:r w:rsidRPr="00CB40F4">
              <w:rPr>
                <w:rFonts w:asciiTheme="majorBidi" w:hAnsiTheme="majorBidi" w:cstheme="majorBidi"/>
                <w:b/>
                <w:bCs/>
              </w:rPr>
              <w:t>Attachment C:</w:t>
            </w:r>
          </w:p>
        </w:tc>
        <w:tc>
          <w:tcPr>
            <w:tcW w:w="4050" w:type="pct"/>
            <w:vAlign w:val="center"/>
          </w:tcPr>
          <w:p w14:paraId="134164F3" w14:textId="777A2A24" w:rsidR="009C1A05" w:rsidRPr="00CB40F4" w:rsidDel="000C2CD5" w:rsidRDefault="009C1A05" w:rsidP="00DB6E3D">
            <w:pPr>
              <w:rPr>
                <w:rFonts w:asciiTheme="majorBidi" w:hAnsiTheme="majorBidi" w:cstheme="majorBidi"/>
                <w:b/>
              </w:rPr>
            </w:pPr>
            <w:r w:rsidRPr="00CB40F4">
              <w:rPr>
                <w:rFonts w:asciiTheme="majorBidi" w:hAnsiTheme="majorBidi" w:cstheme="majorBidi"/>
                <w:b/>
                <w:color w:val="000000"/>
              </w:rPr>
              <w:t>Forms for Pesticide Registration</w:t>
            </w:r>
            <w:r w:rsidR="00DB6E3D" w:rsidRPr="00CB40F4">
              <w:rPr>
                <w:rFonts w:asciiTheme="majorBidi" w:hAnsiTheme="majorBidi" w:cstheme="majorBidi"/>
                <w:color w:val="000000"/>
              </w:rPr>
              <w:t>.</w:t>
            </w:r>
            <w:r w:rsidR="007841AD" w:rsidRPr="00CB40F4">
              <w:rPr>
                <w:rFonts w:asciiTheme="majorBidi" w:hAnsiTheme="majorBidi" w:cstheme="majorBidi"/>
                <w:color w:val="000000"/>
              </w:rPr>
              <w:t xml:space="preserve"> </w:t>
            </w:r>
            <w:hyperlink r:id="rId26" w:history="1">
              <w:r w:rsidRPr="00CB40F4">
                <w:rPr>
                  <w:rStyle w:val="Hyperlink"/>
                  <w:rFonts w:asciiTheme="majorBidi" w:hAnsiTheme="majorBidi" w:cstheme="majorBidi"/>
                </w:rPr>
                <w:t>http://www.epa.gov/opprd001/forms/</w:t>
              </w:r>
            </w:hyperlink>
          </w:p>
        </w:tc>
      </w:tr>
      <w:tr w:rsidR="001E1DD8" w:rsidRPr="00CB40F4" w14:paraId="0A495DBE" w14:textId="77777777" w:rsidTr="00473C9F">
        <w:trPr>
          <w:trHeight w:val="2349"/>
        </w:trPr>
        <w:tc>
          <w:tcPr>
            <w:tcW w:w="5000" w:type="pct"/>
            <w:gridSpan w:val="2"/>
            <w:vAlign w:val="center"/>
          </w:tcPr>
          <w:p w14:paraId="379AE976" w14:textId="5F5EF962" w:rsidR="001E1DD8" w:rsidRPr="00CB40F4" w:rsidRDefault="001E1DD8" w:rsidP="00DB6E3D">
            <w:pPr>
              <w:ind w:left="720" w:right="-108"/>
              <w:rPr>
                <w:rFonts w:asciiTheme="majorBidi" w:hAnsiTheme="majorBidi" w:cstheme="majorBidi"/>
              </w:rPr>
            </w:pPr>
            <w:r w:rsidRPr="00CB40F4">
              <w:rPr>
                <w:rFonts w:asciiTheme="majorBidi" w:hAnsiTheme="majorBidi" w:cstheme="majorBidi"/>
                <w:b/>
              </w:rPr>
              <w:lastRenderedPageBreak/>
              <w:t>C – 1.</w:t>
            </w:r>
            <w:r w:rsidR="007841AD" w:rsidRPr="00CB40F4">
              <w:rPr>
                <w:rFonts w:asciiTheme="majorBidi" w:hAnsiTheme="majorBidi" w:cstheme="majorBidi"/>
              </w:rPr>
              <w:t xml:space="preserve">   </w:t>
            </w:r>
            <w:r w:rsidRPr="00CB40F4">
              <w:rPr>
                <w:rFonts w:asciiTheme="majorBidi" w:hAnsiTheme="majorBidi" w:cstheme="majorBidi"/>
                <w:i/>
              </w:rPr>
              <w:t>EPA Form 8570-1</w:t>
            </w:r>
            <w:r w:rsidRPr="00CB40F4">
              <w:rPr>
                <w:rFonts w:asciiTheme="majorBidi" w:hAnsiTheme="majorBidi" w:cstheme="majorBidi"/>
              </w:rPr>
              <w:t xml:space="preserve"> - Application for Pesticide, Registration, Amendment, Other</w:t>
            </w:r>
          </w:p>
          <w:p w14:paraId="4CFB2158" w14:textId="1A747BF7" w:rsidR="001E1DD8" w:rsidRPr="00CB40F4" w:rsidRDefault="001E1DD8" w:rsidP="00DB6E3D">
            <w:pPr>
              <w:ind w:left="720" w:right="-108"/>
              <w:rPr>
                <w:rFonts w:asciiTheme="majorBidi" w:hAnsiTheme="majorBidi" w:cstheme="majorBidi"/>
                <w:color w:val="000000"/>
              </w:rPr>
            </w:pPr>
            <w:r w:rsidRPr="00CB40F4">
              <w:rPr>
                <w:rFonts w:asciiTheme="majorBidi" w:hAnsiTheme="majorBidi" w:cstheme="majorBidi"/>
                <w:b/>
                <w:color w:val="000000"/>
              </w:rPr>
              <w:t>C – 2.</w:t>
            </w:r>
            <w:r w:rsidR="007841AD" w:rsidRPr="00CB40F4">
              <w:rPr>
                <w:rFonts w:asciiTheme="majorBidi" w:hAnsiTheme="majorBidi" w:cstheme="majorBidi"/>
                <w:i/>
                <w:color w:val="000000"/>
              </w:rPr>
              <w:t xml:space="preserve">   </w:t>
            </w:r>
            <w:r w:rsidRPr="00CB40F4">
              <w:rPr>
                <w:rFonts w:asciiTheme="majorBidi" w:hAnsiTheme="majorBidi" w:cstheme="majorBidi"/>
                <w:i/>
                <w:color w:val="000000"/>
              </w:rPr>
              <w:t>EPA Form No. 8570-4</w:t>
            </w:r>
            <w:r w:rsidRPr="00CB40F4">
              <w:rPr>
                <w:rFonts w:asciiTheme="majorBidi" w:hAnsiTheme="majorBidi" w:cstheme="majorBidi"/>
                <w:color w:val="000000"/>
              </w:rPr>
              <w:t xml:space="preserve"> - Confidential Statement of Formula</w:t>
            </w:r>
          </w:p>
          <w:p w14:paraId="593AFFC3" w14:textId="32D84F2F" w:rsidR="001E1DD8" w:rsidRPr="00CB40F4" w:rsidRDefault="001E1DD8" w:rsidP="00DB6E3D">
            <w:pPr>
              <w:ind w:left="720" w:right="-108"/>
              <w:rPr>
                <w:rFonts w:asciiTheme="majorBidi" w:hAnsiTheme="majorBidi" w:cstheme="majorBidi"/>
              </w:rPr>
            </w:pPr>
            <w:r w:rsidRPr="00CB40F4">
              <w:rPr>
                <w:rFonts w:asciiTheme="majorBidi" w:hAnsiTheme="majorBidi" w:cstheme="majorBidi"/>
                <w:b/>
              </w:rPr>
              <w:t>C – 3.</w:t>
            </w:r>
            <w:r w:rsidR="007841AD" w:rsidRPr="00CB40F4">
              <w:rPr>
                <w:rFonts w:asciiTheme="majorBidi" w:hAnsiTheme="majorBidi" w:cstheme="majorBidi"/>
                <w:i/>
              </w:rPr>
              <w:t xml:space="preserve">   </w:t>
            </w:r>
            <w:r w:rsidRPr="00CB40F4">
              <w:rPr>
                <w:rFonts w:asciiTheme="majorBidi" w:hAnsiTheme="majorBidi" w:cstheme="majorBidi"/>
                <w:i/>
              </w:rPr>
              <w:t>EPA Form No. 8570-27</w:t>
            </w:r>
            <w:r w:rsidRPr="00CB40F4">
              <w:rPr>
                <w:rFonts w:asciiTheme="majorBidi" w:hAnsiTheme="majorBidi" w:cstheme="majorBidi"/>
              </w:rPr>
              <w:t xml:space="preserve"> - Formulator's Exemption Statement</w:t>
            </w:r>
          </w:p>
          <w:p w14:paraId="4772D107" w14:textId="333B5563" w:rsidR="001E1DD8" w:rsidRPr="00CB40F4" w:rsidRDefault="001E1DD8" w:rsidP="00DB6E3D">
            <w:pPr>
              <w:ind w:left="720" w:right="-108"/>
              <w:rPr>
                <w:rFonts w:asciiTheme="majorBidi" w:hAnsiTheme="majorBidi" w:cstheme="majorBidi"/>
              </w:rPr>
            </w:pPr>
            <w:r w:rsidRPr="00CB40F4">
              <w:rPr>
                <w:rFonts w:asciiTheme="majorBidi" w:hAnsiTheme="majorBidi" w:cstheme="majorBidi"/>
                <w:b/>
              </w:rPr>
              <w:t>C – 4.</w:t>
            </w:r>
            <w:r w:rsidR="007841AD" w:rsidRPr="00CB40F4">
              <w:rPr>
                <w:rFonts w:asciiTheme="majorBidi" w:hAnsiTheme="majorBidi" w:cstheme="majorBidi"/>
                <w:i/>
              </w:rPr>
              <w:t xml:space="preserve">   </w:t>
            </w:r>
            <w:r w:rsidRPr="00CB40F4">
              <w:rPr>
                <w:rFonts w:asciiTheme="majorBidi" w:hAnsiTheme="majorBidi" w:cstheme="majorBidi"/>
                <w:i/>
              </w:rPr>
              <w:t>EPA Form No. 8570-34</w:t>
            </w:r>
            <w:r w:rsidRPr="00CB40F4">
              <w:rPr>
                <w:rFonts w:asciiTheme="majorBidi" w:hAnsiTheme="majorBidi" w:cstheme="majorBidi"/>
              </w:rPr>
              <w:t xml:space="preserve"> - Certification with Respect to Citation of Data Form</w:t>
            </w:r>
          </w:p>
          <w:p w14:paraId="1AC9D6AE" w14:textId="2E904D6A" w:rsidR="001E1DD8" w:rsidRPr="00CB40F4" w:rsidRDefault="001E1DD8" w:rsidP="00DB6E3D">
            <w:pPr>
              <w:ind w:left="720" w:right="-108"/>
              <w:rPr>
                <w:rFonts w:asciiTheme="majorBidi" w:hAnsiTheme="majorBidi" w:cstheme="majorBidi"/>
              </w:rPr>
            </w:pPr>
            <w:r w:rsidRPr="00CB40F4">
              <w:rPr>
                <w:rFonts w:asciiTheme="majorBidi" w:hAnsiTheme="majorBidi" w:cstheme="majorBidi"/>
                <w:b/>
              </w:rPr>
              <w:t>C – 5.</w:t>
            </w:r>
            <w:r w:rsidR="007841AD" w:rsidRPr="00CB40F4">
              <w:rPr>
                <w:rFonts w:asciiTheme="majorBidi" w:hAnsiTheme="majorBidi" w:cstheme="majorBidi"/>
                <w:i/>
              </w:rPr>
              <w:t xml:space="preserve">   </w:t>
            </w:r>
            <w:r w:rsidRPr="00CB40F4">
              <w:rPr>
                <w:rFonts w:asciiTheme="majorBidi" w:hAnsiTheme="majorBidi" w:cstheme="majorBidi"/>
                <w:i/>
              </w:rPr>
              <w:t>EPA Form No. 8570-35</w:t>
            </w:r>
            <w:r w:rsidRPr="00CB40F4">
              <w:rPr>
                <w:rFonts w:asciiTheme="majorBidi" w:hAnsiTheme="majorBidi" w:cstheme="majorBidi"/>
              </w:rPr>
              <w:t xml:space="preserve"> - Data Matrix Form</w:t>
            </w:r>
          </w:p>
          <w:p w14:paraId="4C3DA295" w14:textId="27F2D29E" w:rsidR="001E1DD8" w:rsidRPr="00CB40F4" w:rsidRDefault="001E1DD8" w:rsidP="00DB6E3D">
            <w:pPr>
              <w:ind w:left="720" w:right="-108"/>
              <w:rPr>
                <w:rFonts w:asciiTheme="majorBidi" w:hAnsiTheme="majorBidi" w:cstheme="majorBidi"/>
              </w:rPr>
            </w:pPr>
            <w:r w:rsidRPr="00CB40F4">
              <w:rPr>
                <w:rFonts w:asciiTheme="majorBidi" w:hAnsiTheme="majorBidi" w:cstheme="majorBidi"/>
                <w:b/>
              </w:rPr>
              <w:t>C – 6.</w:t>
            </w:r>
            <w:r w:rsidR="007841AD" w:rsidRPr="00CB40F4">
              <w:rPr>
                <w:rFonts w:asciiTheme="majorBidi" w:hAnsiTheme="majorBidi" w:cstheme="majorBidi"/>
                <w:i/>
              </w:rPr>
              <w:t xml:space="preserve">   </w:t>
            </w:r>
            <w:r w:rsidRPr="00CB40F4">
              <w:rPr>
                <w:rFonts w:asciiTheme="majorBidi" w:hAnsiTheme="majorBidi" w:cstheme="majorBidi"/>
                <w:i/>
              </w:rPr>
              <w:t xml:space="preserve">EPA Form No. 8570-36 - </w:t>
            </w:r>
            <w:r w:rsidRPr="00CB40F4">
              <w:rPr>
                <w:rFonts w:asciiTheme="majorBidi" w:hAnsiTheme="majorBidi" w:cstheme="majorBidi"/>
              </w:rPr>
              <w:t>Summary of the Physical/Chemical Properties Form</w:t>
            </w:r>
          </w:p>
          <w:p w14:paraId="3302B793" w14:textId="6BDF8D25" w:rsidR="001E1DD8" w:rsidRPr="00CB40F4" w:rsidRDefault="001E1DD8" w:rsidP="00DB6E3D">
            <w:pPr>
              <w:ind w:left="720"/>
              <w:rPr>
                <w:rFonts w:asciiTheme="majorBidi" w:hAnsiTheme="majorBidi" w:cstheme="majorBidi"/>
                <w:b/>
                <w:color w:val="000000"/>
              </w:rPr>
            </w:pPr>
            <w:r w:rsidRPr="00CB40F4">
              <w:rPr>
                <w:rFonts w:asciiTheme="majorBidi" w:hAnsiTheme="majorBidi" w:cstheme="majorBidi"/>
                <w:b/>
              </w:rPr>
              <w:t>C – 7.</w:t>
            </w:r>
            <w:r w:rsidR="007841AD" w:rsidRPr="00CB40F4">
              <w:rPr>
                <w:rFonts w:asciiTheme="majorBidi" w:hAnsiTheme="majorBidi" w:cstheme="majorBidi"/>
                <w:i/>
              </w:rPr>
              <w:t xml:space="preserve">   </w:t>
            </w:r>
            <w:r w:rsidRPr="00CB40F4">
              <w:rPr>
                <w:rFonts w:asciiTheme="majorBidi" w:hAnsiTheme="majorBidi" w:cstheme="majorBidi"/>
                <w:i/>
              </w:rPr>
              <w:t xml:space="preserve">EPA Form No. 8570-37 - </w:t>
            </w:r>
            <w:r w:rsidRPr="00CB40F4">
              <w:rPr>
                <w:rFonts w:asciiTheme="majorBidi" w:hAnsiTheme="majorBidi" w:cstheme="majorBidi"/>
              </w:rPr>
              <w:t>Self-Certification Statement for the Physical/Chemical Properties</w:t>
            </w:r>
          </w:p>
        </w:tc>
      </w:tr>
      <w:tr w:rsidR="009C1A05" w:rsidRPr="00CB40F4" w14:paraId="47FB867D" w14:textId="4ECA7CC4" w:rsidTr="00473C9F">
        <w:trPr>
          <w:trHeight w:val="1251"/>
        </w:trPr>
        <w:tc>
          <w:tcPr>
            <w:tcW w:w="950" w:type="pct"/>
            <w:vAlign w:val="center"/>
          </w:tcPr>
          <w:p w14:paraId="21E72BCF" w14:textId="77777777" w:rsidR="009C1A05" w:rsidRPr="00CB40F4" w:rsidRDefault="009C1A05" w:rsidP="009C1A05">
            <w:pPr>
              <w:rPr>
                <w:rFonts w:asciiTheme="majorBidi" w:hAnsiTheme="majorBidi" w:cstheme="majorBidi"/>
                <w:b/>
              </w:rPr>
            </w:pPr>
            <w:r w:rsidRPr="00CB40F4">
              <w:rPr>
                <w:rFonts w:asciiTheme="majorBidi" w:hAnsiTheme="majorBidi" w:cstheme="majorBidi"/>
                <w:b/>
                <w:bCs/>
              </w:rPr>
              <w:t>Attachment D:</w:t>
            </w:r>
          </w:p>
        </w:tc>
        <w:tc>
          <w:tcPr>
            <w:tcW w:w="4050" w:type="pct"/>
            <w:vAlign w:val="center"/>
          </w:tcPr>
          <w:p w14:paraId="492157C6" w14:textId="3E96DFB0" w:rsidR="009C1A05" w:rsidRPr="00CB40F4" w:rsidDel="00946695" w:rsidRDefault="009C1A05" w:rsidP="009C1A05">
            <w:pPr>
              <w:rPr>
                <w:rFonts w:asciiTheme="majorBidi" w:hAnsiTheme="majorBidi" w:cstheme="majorBidi"/>
                <w:b/>
              </w:rPr>
            </w:pPr>
            <w:r w:rsidRPr="00CB40F4">
              <w:rPr>
                <w:rFonts w:asciiTheme="majorBidi" w:hAnsiTheme="majorBidi" w:cstheme="majorBidi"/>
                <w:b/>
              </w:rPr>
              <w:t>Pesticide Registration (PR) Notice 97-3 – Guidelines for Expedited Review of Conventional Pesticides under the Reduced-Risk Initiative and for Biological Pesticides.</w:t>
            </w:r>
            <w:r w:rsidRPr="00CB40F4">
              <w:rPr>
                <w:rFonts w:asciiTheme="majorBidi" w:hAnsiTheme="majorBidi" w:cstheme="majorBidi"/>
              </w:rPr>
              <w:t xml:space="preserve"> Also available at online at </w:t>
            </w:r>
            <w:hyperlink r:id="rId27" w:history="1">
              <w:r w:rsidRPr="00CB40F4">
                <w:rPr>
                  <w:rStyle w:val="Hyperlink"/>
                  <w:rFonts w:asciiTheme="majorBidi" w:hAnsiTheme="majorBidi" w:cstheme="majorBidi"/>
                </w:rPr>
                <w:t>http://www.epa.gov/PR_Notices/pr97-3.html</w:t>
              </w:r>
            </w:hyperlink>
          </w:p>
        </w:tc>
      </w:tr>
      <w:tr w:rsidR="009C1A05" w:rsidRPr="00CB40F4" w14:paraId="4C002C41" w14:textId="1F312857" w:rsidTr="00473C9F">
        <w:trPr>
          <w:trHeight w:val="990"/>
        </w:trPr>
        <w:tc>
          <w:tcPr>
            <w:tcW w:w="950" w:type="pct"/>
            <w:vAlign w:val="center"/>
          </w:tcPr>
          <w:p w14:paraId="17634367" w14:textId="77777777" w:rsidR="009C1A05" w:rsidRPr="00CB40F4" w:rsidRDefault="009C1A05" w:rsidP="009C1A05">
            <w:pPr>
              <w:rPr>
                <w:rFonts w:asciiTheme="majorBidi" w:hAnsiTheme="majorBidi" w:cstheme="majorBidi"/>
                <w:b/>
              </w:rPr>
            </w:pPr>
            <w:r w:rsidRPr="00CB40F4">
              <w:rPr>
                <w:rFonts w:asciiTheme="majorBidi" w:hAnsiTheme="majorBidi" w:cstheme="majorBidi"/>
                <w:b/>
                <w:bCs/>
              </w:rPr>
              <w:t>Attachment E:</w:t>
            </w:r>
          </w:p>
        </w:tc>
        <w:tc>
          <w:tcPr>
            <w:tcW w:w="4050" w:type="pct"/>
            <w:vAlign w:val="center"/>
          </w:tcPr>
          <w:p w14:paraId="3BE54A2D" w14:textId="4AEBAD33" w:rsidR="009C1A05" w:rsidRPr="00CB40F4" w:rsidDel="00946695" w:rsidRDefault="009C1A05" w:rsidP="009C1A05">
            <w:pPr>
              <w:rPr>
                <w:rFonts w:asciiTheme="majorBidi" w:hAnsiTheme="majorBidi" w:cstheme="majorBidi"/>
                <w:b/>
              </w:rPr>
            </w:pPr>
            <w:r w:rsidRPr="00CB40F4">
              <w:rPr>
                <w:rFonts w:asciiTheme="majorBidi" w:hAnsiTheme="majorBidi" w:cstheme="majorBidi"/>
                <w:b/>
              </w:rPr>
              <w:t>40 CFR 152 – Pesticide Registration and Classification Procedures.</w:t>
            </w:r>
            <w:r w:rsidRPr="00CB40F4">
              <w:rPr>
                <w:rFonts w:asciiTheme="majorBidi" w:hAnsiTheme="majorBidi" w:cstheme="majorBidi"/>
              </w:rPr>
              <w:t xml:space="preserve"> Also available online at the National Archives and Records Administration’s </w:t>
            </w:r>
            <w:hyperlink r:id="rId28" w:history="1">
              <w:r w:rsidRPr="00CB40F4">
                <w:rPr>
                  <w:rFonts w:asciiTheme="majorBidi" w:hAnsiTheme="majorBidi" w:cstheme="majorBidi"/>
                  <w:color w:val="0000FF"/>
                  <w:u w:val="single"/>
                </w:rPr>
                <w:t>Electronic CFR Website</w:t>
              </w:r>
            </w:hyperlink>
          </w:p>
        </w:tc>
      </w:tr>
      <w:tr w:rsidR="009C1A05" w:rsidRPr="00CB40F4" w14:paraId="5CF4CB93" w14:textId="665B7F81" w:rsidTr="00473C9F">
        <w:trPr>
          <w:trHeight w:val="720"/>
        </w:trPr>
        <w:tc>
          <w:tcPr>
            <w:tcW w:w="950" w:type="pct"/>
            <w:vAlign w:val="center"/>
          </w:tcPr>
          <w:p w14:paraId="3DAEA4B0" w14:textId="77777777" w:rsidR="009C1A05" w:rsidRPr="00CB40F4" w:rsidRDefault="009C1A05" w:rsidP="009C1A05">
            <w:pPr>
              <w:rPr>
                <w:rFonts w:asciiTheme="majorBidi" w:hAnsiTheme="majorBidi" w:cstheme="majorBidi"/>
                <w:b/>
              </w:rPr>
            </w:pPr>
            <w:r w:rsidRPr="00CB40F4">
              <w:rPr>
                <w:rFonts w:asciiTheme="majorBidi" w:hAnsiTheme="majorBidi" w:cstheme="majorBidi"/>
                <w:b/>
                <w:bCs/>
              </w:rPr>
              <w:t>Attachment F:</w:t>
            </w:r>
          </w:p>
        </w:tc>
        <w:tc>
          <w:tcPr>
            <w:tcW w:w="4050" w:type="pct"/>
            <w:vAlign w:val="center"/>
          </w:tcPr>
          <w:p w14:paraId="5F376BED" w14:textId="66154D74" w:rsidR="009C1A05" w:rsidRPr="00CB40F4" w:rsidDel="00946695" w:rsidRDefault="009C1A05" w:rsidP="00DB6E3D">
            <w:pPr>
              <w:rPr>
                <w:rFonts w:asciiTheme="majorBidi" w:hAnsiTheme="majorBidi" w:cstheme="majorBidi"/>
                <w:b/>
              </w:rPr>
            </w:pPr>
            <w:r w:rsidRPr="00CB40F4">
              <w:rPr>
                <w:rFonts w:asciiTheme="majorBidi" w:hAnsiTheme="majorBidi" w:cstheme="majorBidi"/>
                <w:b/>
              </w:rPr>
              <w:t>40 CFR 156 – Labeling Requirements for Pesticides and Devices.</w:t>
            </w:r>
            <w:r w:rsidRPr="00CB40F4">
              <w:rPr>
                <w:rFonts w:asciiTheme="majorBidi" w:hAnsiTheme="majorBidi" w:cstheme="majorBidi"/>
              </w:rPr>
              <w:t xml:space="preserve"> Also available at</w:t>
            </w:r>
            <w:r w:rsidR="00DB6E3D" w:rsidRPr="00CB40F4">
              <w:rPr>
                <w:rFonts w:asciiTheme="majorBidi" w:hAnsiTheme="majorBidi" w:cstheme="majorBidi"/>
              </w:rPr>
              <w:t xml:space="preserve">: </w:t>
            </w:r>
            <w:hyperlink r:id="rId29" w:history="1">
              <w:r w:rsidRPr="00CB40F4">
                <w:rPr>
                  <w:rFonts w:asciiTheme="majorBidi" w:hAnsiTheme="majorBidi" w:cstheme="majorBidi"/>
                  <w:color w:val="0000FF"/>
                  <w:u w:val="single"/>
                </w:rPr>
                <w:t>Electronic CFR Website</w:t>
              </w:r>
            </w:hyperlink>
            <w:r w:rsidR="00DB6E3D" w:rsidRPr="00CB40F4">
              <w:rPr>
                <w:rFonts w:asciiTheme="majorBidi" w:hAnsiTheme="majorBidi" w:cstheme="majorBidi"/>
                <w:color w:val="0000FF"/>
                <w:u w:val="single"/>
              </w:rPr>
              <w:t>.</w:t>
            </w:r>
          </w:p>
        </w:tc>
      </w:tr>
      <w:tr w:rsidR="009C1A05" w:rsidRPr="00CB40F4" w14:paraId="2E9A6E84" w14:textId="6C344ACC" w:rsidTr="00473C9F">
        <w:trPr>
          <w:trHeight w:val="711"/>
        </w:trPr>
        <w:tc>
          <w:tcPr>
            <w:tcW w:w="950" w:type="pct"/>
            <w:vAlign w:val="center"/>
          </w:tcPr>
          <w:p w14:paraId="3632BB25" w14:textId="77777777" w:rsidR="009C1A05" w:rsidRPr="00CB40F4" w:rsidRDefault="009C1A05" w:rsidP="009C1A05">
            <w:pPr>
              <w:rPr>
                <w:rFonts w:asciiTheme="majorBidi" w:hAnsiTheme="majorBidi" w:cstheme="majorBidi"/>
                <w:b/>
                <w:bCs/>
              </w:rPr>
            </w:pPr>
            <w:r w:rsidRPr="00CB40F4">
              <w:rPr>
                <w:rFonts w:asciiTheme="majorBidi" w:hAnsiTheme="majorBidi" w:cstheme="majorBidi"/>
                <w:b/>
              </w:rPr>
              <w:t>Attachment G:</w:t>
            </w:r>
            <w:r w:rsidRPr="00CB40F4">
              <w:rPr>
                <w:rFonts w:asciiTheme="majorBidi" w:hAnsiTheme="majorBidi" w:cstheme="majorBidi"/>
                <w:b/>
                <w:bCs/>
              </w:rPr>
              <w:t xml:space="preserve"> </w:t>
            </w:r>
          </w:p>
        </w:tc>
        <w:tc>
          <w:tcPr>
            <w:tcW w:w="4050" w:type="pct"/>
            <w:vAlign w:val="center"/>
          </w:tcPr>
          <w:p w14:paraId="2D265CEF" w14:textId="5A493FFE" w:rsidR="009C1A05" w:rsidRPr="00CB40F4" w:rsidRDefault="009C1A05" w:rsidP="00DB6E3D">
            <w:pPr>
              <w:rPr>
                <w:rFonts w:asciiTheme="majorBidi" w:hAnsiTheme="majorBidi" w:cstheme="majorBidi"/>
                <w:color w:val="0000FF"/>
                <w:u w:val="single"/>
              </w:rPr>
            </w:pPr>
            <w:r w:rsidRPr="00CB40F4">
              <w:rPr>
                <w:rFonts w:asciiTheme="majorBidi" w:hAnsiTheme="majorBidi" w:cstheme="majorBidi"/>
                <w:b/>
              </w:rPr>
              <w:t>40 CFR 158 – Data Requirements For Registration.</w:t>
            </w:r>
            <w:r w:rsidRPr="00CB40F4">
              <w:rPr>
                <w:rFonts w:asciiTheme="majorBidi" w:hAnsiTheme="majorBidi" w:cstheme="majorBidi"/>
              </w:rPr>
              <w:t xml:space="preserve"> Also available online at</w:t>
            </w:r>
            <w:r w:rsidR="00DB6E3D" w:rsidRPr="00CB40F4">
              <w:rPr>
                <w:rFonts w:asciiTheme="majorBidi" w:hAnsiTheme="majorBidi" w:cstheme="majorBidi"/>
              </w:rPr>
              <w:t xml:space="preserve"> the</w:t>
            </w:r>
            <w:r w:rsidRPr="00CB40F4">
              <w:rPr>
                <w:rFonts w:asciiTheme="majorBidi" w:hAnsiTheme="majorBidi" w:cstheme="majorBidi"/>
              </w:rPr>
              <w:t xml:space="preserve"> </w:t>
            </w:r>
            <w:hyperlink r:id="rId30" w:history="1">
              <w:r w:rsidRPr="00CB40F4">
                <w:rPr>
                  <w:rFonts w:asciiTheme="majorBidi" w:hAnsiTheme="majorBidi" w:cstheme="majorBidi"/>
                  <w:color w:val="0000FF"/>
                  <w:u w:val="single"/>
                </w:rPr>
                <w:t>Electronic CFR Website</w:t>
              </w:r>
            </w:hyperlink>
            <w:r w:rsidR="00DB6E3D" w:rsidRPr="00CB40F4">
              <w:rPr>
                <w:rFonts w:asciiTheme="majorBidi" w:hAnsiTheme="majorBidi" w:cstheme="majorBidi"/>
                <w:color w:val="0000FF"/>
                <w:u w:val="single"/>
              </w:rPr>
              <w:t>.</w:t>
            </w:r>
          </w:p>
        </w:tc>
      </w:tr>
      <w:tr w:rsidR="009C1A05" w:rsidRPr="00CB40F4" w14:paraId="20676262" w14:textId="33C81B29" w:rsidTr="00473C9F">
        <w:trPr>
          <w:trHeight w:val="441"/>
        </w:trPr>
        <w:tc>
          <w:tcPr>
            <w:tcW w:w="950" w:type="pct"/>
            <w:vAlign w:val="center"/>
          </w:tcPr>
          <w:p w14:paraId="758E8EDF" w14:textId="77777777" w:rsidR="009C1A05" w:rsidRPr="00CB40F4" w:rsidRDefault="009C1A05" w:rsidP="009C1A05">
            <w:pPr>
              <w:rPr>
                <w:rFonts w:asciiTheme="majorBidi" w:hAnsiTheme="majorBidi" w:cstheme="majorBidi"/>
                <w:b/>
              </w:rPr>
            </w:pPr>
            <w:r w:rsidRPr="00CB40F4">
              <w:rPr>
                <w:rFonts w:asciiTheme="majorBidi" w:hAnsiTheme="majorBidi" w:cstheme="majorBidi"/>
                <w:b/>
                <w:bCs/>
              </w:rPr>
              <w:t>Attachment H:</w:t>
            </w:r>
          </w:p>
        </w:tc>
        <w:tc>
          <w:tcPr>
            <w:tcW w:w="4050" w:type="pct"/>
            <w:vAlign w:val="center"/>
          </w:tcPr>
          <w:p w14:paraId="1EC6C1AC" w14:textId="6A84091D" w:rsidR="009C1A05" w:rsidRPr="00CB40F4" w:rsidRDefault="009C1A05" w:rsidP="00935E45">
            <w:pPr>
              <w:rPr>
                <w:rFonts w:asciiTheme="majorBidi" w:hAnsiTheme="majorBidi" w:cstheme="majorBidi"/>
                <w:b/>
              </w:rPr>
            </w:pPr>
            <w:r w:rsidRPr="00CB40F4">
              <w:rPr>
                <w:rFonts w:asciiTheme="majorBidi" w:hAnsiTheme="majorBidi" w:cstheme="majorBidi"/>
                <w:b/>
              </w:rPr>
              <w:t>Consultation:</w:t>
            </w:r>
            <w:r w:rsidR="007841AD" w:rsidRPr="00CB40F4">
              <w:rPr>
                <w:rFonts w:asciiTheme="majorBidi" w:hAnsiTheme="majorBidi" w:cstheme="majorBidi"/>
                <w:b/>
              </w:rPr>
              <w:t xml:space="preserve"> </w:t>
            </w:r>
            <w:r w:rsidRPr="00CB40F4">
              <w:rPr>
                <w:rFonts w:asciiTheme="majorBidi" w:hAnsiTheme="majorBidi" w:cstheme="majorBidi"/>
                <w:b/>
              </w:rPr>
              <w:t>List of Standard Questions &amp; Responses</w:t>
            </w:r>
            <w:r w:rsidRPr="00CB40F4">
              <w:rPr>
                <w:rFonts w:asciiTheme="majorBidi" w:hAnsiTheme="majorBidi" w:cstheme="majorBidi"/>
              </w:rPr>
              <w:t xml:space="preserve"> </w:t>
            </w:r>
          </w:p>
        </w:tc>
      </w:tr>
      <w:tr w:rsidR="009C1A05" w:rsidRPr="00CB40F4" w14:paraId="73E89E7A" w14:textId="77777777" w:rsidTr="00473C9F">
        <w:trPr>
          <w:trHeight w:val="440"/>
        </w:trPr>
        <w:tc>
          <w:tcPr>
            <w:tcW w:w="950" w:type="pct"/>
            <w:vAlign w:val="center"/>
          </w:tcPr>
          <w:p w14:paraId="721BAD66" w14:textId="10212AAF" w:rsidR="009C1A05" w:rsidRPr="00CB40F4" w:rsidRDefault="009C1A05" w:rsidP="009C1A05">
            <w:pPr>
              <w:rPr>
                <w:rFonts w:asciiTheme="majorBidi" w:hAnsiTheme="majorBidi" w:cstheme="majorBidi"/>
                <w:b/>
                <w:bCs/>
              </w:rPr>
            </w:pPr>
            <w:r w:rsidRPr="00CB40F4">
              <w:rPr>
                <w:rFonts w:asciiTheme="majorBidi" w:hAnsiTheme="majorBidi" w:cstheme="majorBidi"/>
                <w:b/>
                <w:bCs/>
              </w:rPr>
              <w:t>Attachment I:</w:t>
            </w:r>
          </w:p>
        </w:tc>
        <w:tc>
          <w:tcPr>
            <w:tcW w:w="4050" w:type="pct"/>
            <w:vAlign w:val="center"/>
          </w:tcPr>
          <w:p w14:paraId="403CB495" w14:textId="26179AD0" w:rsidR="009C1A05" w:rsidRPr="00CB40F4" w:rsidRDefault="009C1A05" w:rsidP="009C1A05">
            <w:pPr>
              <w:rPr>
                <w:rFonts w:asciiTheme="majorBidi" w:hAnsiTheme="majorBidi" w:cstheme="majorBidi"/>
                <w:b/>
              </w:rPr>
            </w:pPr>
            <w:r w:rsidRPr="00CB40F4">
              <w:rPr>
                <w:rFonts w:asciiTheme="majorBidi" w:hAnsiTheme="majorBidi" w:cstheme="majorBidi"/>
                <w:b/>
              </w:rPr>
              <w:t>Proposed New e-CSF with Instructions and Relevant Information</w:t>
            </w:r>
          </w:p>
        </w:tc>
      </w:tr>
      <w:tr w:rsidR="009C1A05" w:rsidRPr="00CB40F4" w14:paraId="52B7FE7C" w14:textId="4A00ABCA" w:rsidTr="00473C9F">
        <w:trPr>
          <w:trHeight w:val="927"/>
        </w:trPr>
        <w:tc>
          <w:tcPr>
            <w:tcW w:w="950" w:type="pct"/>
            <w:vAlign w:val="center"/>
          </w:tcPr>
          <w:p w14:paraId="39361548" w14:textId="476782A2" w:rsidR="009C1A05" w:rsidRPr="00CB40F4" w:rsidRDefault="009C1A05" w:rsidP="009C1A05">
            <w:pPr>
              <w:rPr>
                <w:rFonts w:asciiTheme="majorBidi" w:hAnsiTheme="majorBidi" w:cstheme="majorBidi"/>
                <w:b/>
                <w:bCs/>
              </w:rPr>
            </w:pPr>
            <w:r w:rsidRPr="00CB40F4">
              <w:rPr>
                <w:rFonts w:asciiTheme="majorBidi" w:hAnsiTheme="majorBidi" w:cstheme="majorBidi"/>
                <w:b/>
                <w:bCs/>
              </w:rPr>
              <w:t>Attachment J:</w:t>
            </w:r>
          </w:p>
        </w:tc>
        <w:tc>
          <w:tcPr>
            <w:tcW w:w="4050" w:type="pct"/>
            <w:vAlign w:val="center"/>
          </w:tcPr>
          <w:p w14:paraId="16CB4917" w14:textId="12F23F28" w:rsidR="009C1A05" w:rsidRPr="000913BE" w:rsidRDefault="00094EF7" w:rsidP="009C1A05">
            <w:pPr>
              <w:rPr>
                <w:rFonts w:asciiTheme="majorBidi" w:hAnsiTheme="majorBidi" w:cstheme="majorBidi"/>
                <w:bCs/>
              </w:rPr>
            </w:pPr>
            <w:r w:rsidRPr="00094EF7">
              <w:rPr>
                <w:rFonts w:asciiTheme="majorBidi" w:hAnsiTheme="majorBidi" w:cstheme="majorBidi"/>
                <w:b/>
              </w:rPr>
              <w:t>EPA ICR Number 0277.17 Labor Wage Formulas.</w:t>
            </w:r>
            <w:r>
              <w:rPr>
                <w:rFonts w:asciiTheme="majorBidi" w:hAnsiTheme="majorBidi" w:cstheme="majorBidi"/>
                <w:bCs/>
              </w:rPr>
              <w:t xml:space="preserve"> </w:t>
            </w:r>
            <w:r w:rsidR="009C1A05" w:rsidRPr="000913BE">
              <w:rPr>
                <w:rFonts w:asciiTheme="majorBidi" w:hAnsiTheme="majorBidi" w:cstheme="majorBidi"/>
                <w:bCs/>
              </w:rPr>
              <w:t>Work Sheets used to Calculate Pesticide Registrant Industry Labor Costs</w:t>
            </w:r>
            <w:r w:rsidR="007D140D" w:rsidRPr="000913BE">
              <w:rPr>
                <w:rFonts w:asciiTheme="majorBidi" w:hAnsiTheme="majorBidi" w:cstheme="majorBidi"/>
                <w:bCs/>
              </w:rPr>
              <w:t>; Work Sheets used to Calculate EPA and Federal Government Labor Costs</w:t>
            </w:r>
          </w:p>
        </w:tc>
      </w:tr>
      <w:tr w:rsidR="009C1A05" w:rsidRPr="00CB40F4" w14:paraId="2A905A3B" w14:textId="0FBFAFA1" w:rsidTr="00473C9F">
        <w:trPr>
          <w:trHeight w:val="773"/>
        </w:trPr>
        <w:tc>
          <w:tcPr>
            <w:tcW w:w="950" w:type="pct"/>
            <w:vAlign w:val="center"/>
          </w:tcPr>
          <w:p w14:paraId="77AAB449" w14:textId="72109C13" w:rsidR="009C1A05" w:rsidRPr="00CB40F4" w:rsidRDefault="009C1A05" w:rsidP="009C1A05">
            <w:pPr>
              <w:rPr>
                <w:rFonts w:asciiTheme="majorBidi" w:hAnsiTheme="majorBidi" w:cstheme="majorBidi"/>
                <w:b/>
                <w:bCs/>
              </w:rPr>
            </w:pPr>
            <w:r w:rsidRPr="00CB40F4">
              <w:rPr>
                <w:rFonts w:asciiTheme="majorBidi" w:hAnsiTheme="majorBidi" w:cstheme="majorBidi"/>
                <w:b/>
                <w:bCs/>
              </w:rPr>
              <w:t>Attachment K:</w:t>
            </w:r>
          </w:p>
        </w:tc>
        <w:tc>
          <w:tcPr>
            <w:tcW w:w="4050" w:type="pct"/>
            <w:vAlign w:val="center"/>
          </w:tcPr>
          <w:p w14:paraId="47C176C6" w14:textId="1E516BA9" w:rsidR="009C1A05" w:rsidRPr="00CB40F4" w:rsidRDefault="007D140D" w:rsidP="00DB6E3D">
            <w:pPr>
              <w:rPr>
                <w:rFonts w:asciiTheme="majorBidi" w:hAnsiTheme="majorBidi" w:cstheme="majorBidi"/>
                <w:b/>
              </w:rPr>
            </w:pPr>
            <w:r w:rsidRPr="00CB40F4">
              <w:rPr>
                <w:rFonts w:asciiTheme="majorBidi" w:hAnsiTheme="majorBidi" w:cstheme="majorBidi"/>
                <w:b/>
              </w:rPr>
              <w:t>Display Related to OMB Control #2070-0060 – Listings of Related Regulations in 40 CFR 9.1.</w:t>
            </w:r>
            <w:r w:rsidRPr="00CB40F4">
              <w:rPr>
                <w:rFonts w:asciiTheme="majorBidi" w:hAnsiTheme="majorBidi" w:cstheme="majorBidi"/>
              </w:rPr>
              <w:t xml:space="preserve"> Also available at</w:t>
            </w:r>
            <w:r w:rsidR="00DB6E3D" w:rsidRPr="00CB40F4">
              <w:rPr>
                <w:rFonts w:asciiTheme="majorBidi" w:hAnsiTheme="majorBidi" w:cstheme="majorBidi"/>
              </w:rPr>
              <w:t>:</w:t>
            </w:r>
            <w:r w:rsidRPr="00CB40F4">
              <w:rPr>
                <w:rFonts w:asciiTheme="majorBidi" w:hAnsiTheme="majorBidi" w:cstheme="majorBidi"/>
              </w:rPr>
              <w:t xml:space="preserve"> </w:t>
            </w:r>
            <w:hyperlink r:id="rId31" w:history="1">
              <w:r w:rsidRPr="00CB40F4">
                <w:rPr>
                  <w:rFonts w:asciiTheme="majorBidi" w:hAnsiTheme="majorBidi" w:cstheme="majorBidi"/>
                  <w:color w:val="0000FF"/>
                  <w:u w:val="single"/>
                </w:rPr>
                <w:t>Electronic CFR Website</w:t>
              </w:r>
            </w:hyperlink>
            <w:r w:rsidR="00DB6E3D" w:rsidRPr="00CB40F4">
              <w:rPr>
                <w:rFonts w:asciiTheme="majorBidi" w:hAnsiTheme="majorBidi" w:cstheme="majorBidi"/>
              </w:rPr>
              <w:t>.</w:t>
            </w:r>
            <w:r w:rsidR="007841AD" w:rsidRPr="00CB40F4">
              <w:rPr>
                <w:rFonts w:asciiTheme="majorBidi" w:hAnsiTheme="majorBidi" w:cstheme="majorBidi"/>
              </w:rPr>
              <w:t xml:space="preserve"> </w:t>
            </w:r>
          </w:p>
        </w:tc>
      </w:tr>
      <w:tr w:rsidR="00657B58" w:rsidRPr="00CB40F4" w14:paraId="6E540CA8" w14:textId="77777777" w:rsidTr="00657B58">
        <w:trPr>
          <w:trHeight w:val="530"/>
        </w:trPr>
        <w:tc>
          <w:tcPr>
            <w:tcW w:w="950" w:type="pct"/>
            <w:vAlign w:val="center"/>
          </w:tcPr>
          <w:p w14:paraId="50976FD1" w14:textId="409E9572" w:rsidR="00657B58" w:rsidRPr="00CB40F4" w:rsidRDefault="00657B58" w:rsidP="009C1A05">
            <w:pPr>
              <w:rPr>
                <w:rFonts w:asciiTheme="majorBidi" w:hAnsiTheme="majorBidi" w:cstheme="majorBidi"/>
                <w:b/>
                <w:bCs/>
              </w:rPr>
            </w:pPr>
            <w:r w:rsidRPr="00657B58">
              <w:rPr>
                <w:rFonts w:asciiTheme="majorBidi" w:hAnsiTheme="majorBidi" w:cstheme="majorBidi"/>
                <w:b/>
                <w:bCs/>
              </w:rPr>
              <w:t>Attachment L</w:t>
            </w:r>
            <w:r>
              <w:rPr>
                <w:rFonts w:asciiTheme="majorBidi" w:hAnsiTheme="majorBidi" w:cstheme="majorBidi"/>
                <w:b/>
                <w:bCs/>
              </w:rPr>
              <w:t>:</w:t>
            </w:r>
          </w:p>
        </w:tc>
        <w:tc>
          <w:tcPr>
            <w:tcW w:w="4050" w:type="pct"/>
            <w:vAlign w:val="center"/>
          </w:tcPr>
          <w:p w14:paraId="5CA984AF" w14:textId="4A6893CF" w:rsidR="00657B58" w:rsidRPr="00657B58" w:rsidRDefault="00657B58" w:rsidP="00DB6E3D">
            <w:pPr>
              <w:rPr>
                <w:rFonts w:asciiTheme="majorBidi" w:hAnsiTheme="majorBidi" w:cstheme="majorBidi"/>
                <w:bCs/>
              </w:rPr>
            </w:pPr>
            <w:r w:rsidRPr="00657B58">
              <w:rPr>
                <w:rFonts w:asciiTheme="majorBidi" w:hAnsiTheme="majorBidi" w:cstheme="majorBidi"/>
                <w:bCs/>
              </w:rPr>
              <w:t xml:space="preserve">Registrant Communication with EPA (Bayer </w:t>
            </w:r>
            <w:proofErr w:type="spellStart"/>
            <w:r w:rsidRPr="00657B58">
              <w:rPr>
                <w:rFonts w:asciiTheme="majorBidi" w:hAnsiTheme="majorBidi" w:cstheme="majorBidi"/>
                <w:bCs/>
              </w:rPr>
              <w:t>CropScience</w:t>
            </w:r>
            <w:proofErr w:type="spellEnd"/>
            <w:r w:rsidRPr="00657B58">
              <w:rPr>
                <w:rFonts w:asciiTheme="majorBidi" w:hAnsiTheme="majorBidi" w:cstheme="majorBidi"/>
                <w:bCs/>
              </w:rPr>
              <w:t xml:space="preserve"> LP)</w:t>
            </w:r>
          </w:p>
        </w:tc>
      </w:tr>
      <w:tr w:rsidR="00F53990" w:rsidRPr="00CB40F4" w14:paraId="5F6239A4" w14:textId="77777777" w:rsidTr="00657B58">
        <w:trPr>
          <w:trHeight w:val="530"/>
        </w:trPr>
        <w:tc>
          <w:tcPr>
            <w:tcW w:w="950" w:type="pct"/>
            <w:vAlign w:val="center"/>
          </w:tcPr>
          <w:p w14:paraId="544C81CD" w14:textId="790B0704" w:rsidR="00F53990" w:rsidRPr="00657B58" w:rsidRDefault="00F53990" w:rsidP="009C1A05">
            <w:pPr>
              <w:rPr>
                <w:rFonts w:asciiTheme="majorBidi" w:hAnsiTheme="majorBidi" w:cstheme="majorBidi"/>
                <w:b/>
                <w:bCs/>
              </w:rPr>
            </w:pPr>
            <w:r>
              <w:rPr>
                <w:rFonts w:asciiTheme="majorBidi" w:hAnsiTheme="majorBidi" w:cstheme="majorBidi"/>
                <w:b/>
                <w:bCs/>
              </w:rPr>
              <w:t>Attachment M</w:t>
            </w:r>
          </w:p>
        </w:tc>
        <w:tc>
          <w:tcPr>
            <w:tcW w:w="4050" w:type="pct"/>
            <w:vAlign w:val="center"/>
          </w:tcPr>
          <w:p w14:paraId="161C868B" w14:textId="37192B66" w:rsidR="00F53990" w:rsidRPr="00657B58" w:rsidRDefault="00F53990" w:rsidP="00DB6E3D">
            <w:pPr>
              <w:rPr>
                <w:rFonts w:asciiTheme="majorBidi" w:hAnsiTheme="majorBidi" w:cstheme="majorBidi"/>
                <w:bCs/>
              </w:rPr>
            </w:pPr>
            <w:r>
              <w:rPr>
                <w:rFonts w:asciiTheme="majorBidi" w:hAnsiTheme="majorBidi" w:cstheme="majorBidi"/>
                <w:bCs/>
              </w:rPr>
              <w:t>Public Comments &amp; EPA Responses</w:t>
            </w:r>
          </w:p>
        </w:tc>
      </w:tr>
      <w:tr w:rsidR="00381D02" w:rsidRPr="00CB40F4" w14:paraId="0E7A5B7C" w14:textId="77777777" w:rsidTr="00657B58">
        <w:trPr>
          <w:trHeight w:val="530"/>
        </w:trPr>
        <w:tc>
          <w:tcPr>
            <w:tcW w:w="950" w:type="pct"/>
            <w:vAlign w:val="center"/>
          </w:tcPr>
          <w:p w14:paraId="04AEAE7C" w14:textId="07146CE2" w:rsidR="00381D02" w:rsidRDefault="00381D02" w:rsidP="009C1A05">
            <w:pPr>
              <w:rPr>
                <w:rFonts w:asciiTheme="majorBidi" w:hAnsiTheme="majorBidi" w:cstheme="majorBidi"/>
                <w:b/>
                <w:bCs/>
              </w:rPr>
            </w:pPr>
            <w:r>
              <w:rPr>
                <w:rFonts w:asciiTheme="majorBidi" w:hAnsiTheme="majorBidi" w:cstheme="majorBidi"/>
                <w:b/>
                <w:bCs/>
              </w:rPr>
              <w:t>Attachment N</w:t>
            </w:r>
          </w:p>
        </w:tc>
        <w:tc>
          <w:tcPr>
            <w:tcW w:w="4050" w:type="pct"/>
            <w:vAlign w:val="center"/>
          </w:tcPr>
          <w:p w14:paraId="3C6875C2" w14:textId="7863E064" w:rsidR="00381D02" w:rsidRDefault="00381D02" w:rsidP="00381D02">
            <w:pPr>
              <w:rPr>
                <w:rFonts w:asciiTheme="majorBidi" w:hAnsiTheme="majorBidi" w:cstheme="majorBidi"/>
                <w:bCs/>
              </w:rPr>
            </w:pPr>
            <w:r>
              <w:rPr>
                <w:rFonts w:asciiTheme="majorBidi" w:hAnsiTheme="majorBidi" w:cstheme="majorBidi"/>
                <w:bCs/>
              </w:rPr>
              <w:t>Pesticide Submission Portal (PSP): Screen Shots, Instructions and Related Guidance</w:t>
            </w:r>
          </w:p>
        </w:tc>
      </w:tr>
    </w:tbl>
    <w:p w14:paraId="6435E6B1" w14:textId="77777777" w:rsidR="00FD318E" w:rsidRPr="00CB40F4" w:rsidRDefault="00FD318E" w:rsidP="008B7CCF">
      <w:pPr>
        <w:rPr>
          <w:rFonts w:asciiTheme="majorBidi" w:hAnsiTheme="majorBidi" w:cstheme="majorBidi"/>
        </w:rPr>
      </w:pPr>
    </w:p>
    <w:sectPr w:rsidR="00FD318E" w:rsidRPr="00CB40F4" w:rsidSect="005A59D5">
      <w:headerReference w:type="default" r:id="rId32"/>
      <w:footerReference w:type="default" r:id="rId33"/>
      <w:pgSz w:w="12240" w:h="15840" w:code="1"/>
      <w:pgMar w:top="1440" w:right="1440" w:bottom="1440" w:left="1440" w:header="540" w:footer="3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BA901" w14:textId="77777777" w:rsidR="00902F95" w:rsidRDefault="00902F95" w:rsidP="00C47DDD">
      <w:r>
        <w:separator/>
      </w:r>
    </w:p>
  </w:endnote>
  <w:endnote w:type="continuationSeparator" w:id="0">
    <w:p w14:paraId="7DA98676" w14:textId="77777777" w:rsidR="00902F95" w:rsidRDefault="00902F95" w:rsidP="00C47DDD">
      <w:r>
        <w:continuationSeparator/>
      </w:r>
    </w:p>
  </w:endnote>
  <w:endnote w:type="continuationNotice" w:id="1">
    <w:p w14:paraId="50ACFC79" w14:textId="77777777" w:rsidR="00902F95" w:rsidRDefault="00902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78374665"/>
      <w:docPartObj>
        <w:docPartGallery w:val="Page Numbers (Bottom of Page)"/>
        <w:docPartUnique/>
      </w:docPartObj>
    </w:sdtPr>
    <w:sdtContent>
      <w:sdt>
        <w:sdtPr>
          <w:rPr>
            <w:sz w:val="20"/>
            <w:szCs w:val="20"/>
          </w:rPr>
          <w:id w:val="-677729625"/>
          <w:docPartObj>
            <w:docPartGallery w:val="Page Numbers (Bottom of Page)"/>
            <w:docPartUnique/>
          </w:docPartObj>
        </w:sdtPr>
        <w:sdtContent>
          <w:sdt>
            <w:sdtPr>
              <w:rPr>
                <w:sz w:val="20"/>
                <w:szCs w:val="20"/>
              </w:rPr>
              <w:id w:val="712853151"/>
              <w:docPartObj>
                <w:docPartGallery w:val="Page Numbers (Top of Page)"/>
                <w:docPartUnique/>
              </w:docPartObj>
            </w:sdtPr>
            <w:sdtContent>
              <w:p w14:paraId="763BC1A0" w14:textId="2A9A8C93" w:rsidR="00A2652E" w:rsidRPr="005A59D5" w:rsidRDefault="00A2652E" w:rsidP="005A59D5">
                <w:pPr>
                  <w:pStyle w:val="Footer"/>
                  <w:spacing w:before="120"/>
                  <w:jc w:val="center"/>
                  <w:rPr>
                    <w:sz w:val="20"/>
                    <w:szCs w:val="20"/>
                  </w:rPr>
                </w:pPr>
                <w:r w:rsidRPr="005A59D5">
                  <w:rPr>
                    <w:sz w:val="20"/>
                    <w:szCs w:val="20"/>
                  </w:rPr>
                  <w:t xml:space="preserve">Page </w:t>
                </w:r>
                <w:r w:rsidRPr="005A59D5">
                  <w:rPr>
                    <w:bCs/>
                    <w:sz w:val="20"/>
                    <w:szCs w:val="20"/>
                  </w:rPr>
                  <w:fldChar w:fldCharType="begin"/>
                </w:r>
                <w:r w:rsidRPr="005A59D5">
                  <w:rPr>
                    <w:bCs/>
                    <w:sz w:val="20"/>
                    <w:szCs w:val="20"/>
                  </w:rPr>
                  <w:instrText xml:space="preserve"> PAGE </w:instrText>
                </w:r>
                <w:r w:rsidRPr="005A59D5">
                  <w:rPr>
                    <w:bCs/>
                    <w:sz w:val="20"/>
                    <w:szCs w:val="20"/>
                  </w:rPr>
                  <w:fldChar w:fldCharType="separate"/>
                </w:r>
                <w:r w:rsidR="00C164EB">
                  <w:rPr>
                    <w:bCs/>
                    <w:noProof/>
                    <w:sz w:val="20"/>
                    <w:szCs w:val="20"/>
                  </w:rPr>
                  <w:t>10</w:t>
                </w:r>
                <w:r w:rsidRPr="005A59D5">
                  <w:rPr>
                    <w:bCs/>
                    <w:sz w:val="20"/>
                    <w:szCs w:val="20"/>
                  </w:rPr>
                  <w:fldChar w:fldCharType="end"/>
                </w:r>
                <w:r w:rsidRPr="005A59D5">
                  <w:rPr>
                    <w:sz w:val="20"/>
                    <w:szCs w:val="20"/>
                  </w:rPr>
                  <w:t xml:space="preserve"> of </w:t>
                </w:r>
                <w:r w:rsidRPr="005A59D5">
                  <w:rPr>
                    <w:bCs/>
                    <w:sz w:val="20"/>
                    <w:szCs w:val="20"/>
                  </w:rPr>
                  <w:fldChar w:fldCharType="begin"/>
                </w:r>
                <w:r w:rsidRPr="005A59D5">
                  <w:rPr>
                    <w:bCs/>
                    <w:sz w:val="20"/>
                    <w:szCs w:val="20"/>
                  </w:rPr>
                  <w:instrText xml:space="preserve"> NUMPAGES  </w:instrText>
                </w:r>
                <w:r w:rsidRPr="005A59D5">
                  <w:rPr>
                    <w:bCs/>
                    <w:sz w:val="20"/>
                    <w:szCs w:val="20"/>
                  </w:rPr>
                  <w:fldChar w:fldCharType="separate"/>
                </w:r>
                <w:r w:rsidR="00C164EB">
                  <w:rPr>
                    <w:bCs/>
                    <w:noProof/>
                    <w:sz w:val="20"/>
                    <w:szCs w:val="20"/>
                  </w:rPr>
                  <w:t>30</w:t>
                </w:r>
                <w:r w:rsidRPr="005A59D5">
                  <w:rPr>
                    <w:bCs/>
                    <w:sz w:val="20"/>
                    <w:szCs w:val="20"/>
                  </w:rPr>
                  <w:fldChar w:fldCharType="end"/>
                </w:r>
              </w:p>
            </w:sdtContent>
          </w:sdt>
        </w:sdtContent>
      </w:sdt>
      <w:p w14:paraId="080BA08C" w14:textId="472BCBF1" w:rsidR="00A2652E" w:rsidRPr="005A59D5" w:rsidRDefault="00A2652E">
        <w:pPr>
          <w:pStyle w:val="Footer"/>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3E00F" w14:textId="77777777" w:rsidR="00902F95" w:rsidRDefault="00902F95" w:rsidP="00C47DDD">
      <w:r>
        <w:separator/>
      </w:r>
    </w:p>
  </w:footnote>
  <w:footnote w:type="continuationSeparator" w:id="0">
    <w:p w14:paraId="1373CFFF" w14:textId="77777777" w:rsidR="00902F95" w:rsidRDefault="00902F95" w:rsidP="00C47DDD">
      <w:r>
        <w:continuationSeparator/>
      </w:r>
    </w:p>
  </w:footnote>
  <w:footnote w:type="continuationNotice" w:id="1">
    <w:p w14:paraId="41603AF7" w14:textId="77777777" w:rsidR="00902F95" w:rsidRDefault="00902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CE0F" w14:textId="32588AF0" w:rsidR="00A2652E" w:rsidRPr="005A59D5" w:rsidRDefault="00A2652E" w:rsidP="00393228">
    <w:pPr>
      <w:pStyle w:val="Header"/>
      <w:jc w:val="right"/>
      <w:rPr>
        <w:sz w:val="20"/>
        <w:szCs w:val="20"/>
      </w:rPr>
    </w:pPr>
    <w:r w:rsidRPr="005A59D5">
      <w:rPr>
        <w:sz w:val="20"/>
        <w:szCs w:val="20"/>
      </w:rPr>
      <w:t xml:space="preserve">May </w:t>
    </w:r>
    <w:r>
      <w:rPr>
        <w:sz w:val="20"/>
        <w:szCs w:val="20"/>
      </w:rPr>
      <w:t>24</w:t>
    </w:r>
    <w:r w:rsidRPr="005A59D5">
      <w:rPr>
        <w:sz w:val="20"/>
        <w:szCs w:val="20"/>
      </w:rP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2EAB"/>
    <w:multiLevelType w:val="hybridMultilevel"/>
    <w:tmpl w:val="3AF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1EA"/>
    <w:multiLevelType w:val="hybridMultilevel"/>
    <w:tmpl w:val="F76C7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1D5"/>
    <w:multiLevelType w:val="hybridMultilevel"/>
    <w:tmpl w:val="ED84A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8408D"/>
    <w:multiLevelType w:val="singleLevel"/>
    <w:tmpl w:val="32771255"/>
    <w:lvl w:ilvl="0">
      <w:start w:val="1"/>
      <w:numFmt w:val="decimal"/>
      <w:lvlText w:val="%1."/>
      <w:lvlJc w:val="left"/>
      <w:pPr>
        <w:tabs>
          <w:tab w:val="num" w:pos="1440"/>
        </w:tabs>
        <w:ind w:left="720"/>
      </w:pPr>
      <w:rPr>
        <w:color w:val="000000"/>
      </w:rPr>
    </w:lvl>
  </w:abstractNum>
  <w:abstractNum w:abstractNumId="4" w15:restartNumberingAfterBreak="0">
    <w:nsid w:val="0CB11FA8"/>
    <w:multiLevelType w:val="hybridMultilevel"/>
    <w:tmpl w:val="7294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0434"/>
    <w:multiLevelType w:val="hybridMultilevel"/>
    <w:tmpl w:val="18D87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81730"/>
    <w:multiLevelType w:val="hybridMultilevel"/>
    <w:tmpl w:val="9A120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8F4E3F"/>
    <w:multiLevelType w:val="hybridMultilevel"/>
    <w:tmpl w:val="092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94023"/>
    <w:multiLevelType w:val="hybridMultilevel"/>
    <w:tmpl w:val="7DE06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A10610"/>
    <w:multiLevelType w:val="hybridMultilevel"/>
    <w:tmpl w:val="13504528"/>
    <w:lvl w:ilvl="0" w:tplc="90CA068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3751A"/>
    <w:multiLevelType w:val="hybridMultilevel"/>
    <w:tmpl w:val="10445BB0"/>
    <w:lvl w:ilvl="0" w:tplc="FDF67E2C">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44821"/>
    <w:multiLevelType w:val="hybridMultilevel"/>
    <w:tmpl w:val="A79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F2707"/>
    <w:multiLevelType w:val="hybridMultilevel"/>
    <w:tmpl w:val="BCDC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3311A6"/>
    <w:multiLevelType w:val="hybridMultilevel"/>
    <w:tmpl w:val="0EDC6D88"/>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954E9"/>
    <w:multiLevelType w:val="hybridMultilevel"/>
    <w:tmpl w:val="4886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B6C5DBC"/>
    <w:multiLevelType w:val="multilevel"/>
    <w:tmpl w:val="7980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6495B"/>
    <w:multiLevelType w:val="hybridMultilevel"/>
    <w:tmpl w:val="7078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714521"/>
    <w:multiLevelType w:val="hybridMultilevel"/>
    <w:tmpl w:val="915E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 w15:restartNumberingAfterBreak="0">
    <w:nsid w:val="5BDF4AA7"/>
    <w:multiLevelType w:val="hybridMultilevel"/>
    <w:tmpl w:val="A81A9206"/>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EA4122"/>
    <w:multiLevelType w:val="hybridMultilevel"/>
    <w:tmpl w:val="E9CE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F7B81"/>
    <w:multiLevelType w:val="hybridMultilevel"/>
    <w:tmpl w:val="9EA00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CC6035C"/>
    <w:multiLevelType w:val="hybridMultilevel"/>
    <w:tmpl w:val="FB42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D72C0"/>
    <w:multiLevelType w:val="hybridMultilevel"/>
    <w:tmpl w:val="1C868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3"/>
  </w:num>
  <w:num w:numId="3">
    <w:abstractNumId w:val="17"/>
  </w:num>
  <w:num w:numId="4">
    <w:abstractNumId w:val="6"/>
  </w:num>
  <w:num w:numId="5">
    <w:abstractNumId w:val="0"/>
  </w:num>
  <w:num w:numId="6">
    <w:abstractNumId w:val="26"/>
  </w:num>
  <w:num w:numId="7">
    <w:abstractNumId w:val="12"/>
  </w:num>
  <w:num w:numId="8">
    <w:abstractNumId w:val="9"/>
  </w:num>
  <w:num w:numId="9">
    <w:abstractNumId w:val="19"/>
  </w:num>
  <w:num w:numId="10">
    <w:abstractNumId w:val="27"/>
  </w:num>
  <w:num w:numId="11">
    <w:abstractNumId w:val="25"/>
  </w:num>
  <w:num w:numId="12">
    <w:abstractNumId w:val="8"/>
  </w:num>
  <w:num w:numId="13">
    <w:abstractNumId w:val="16"/>
  </w:num>
  <w:num w:numId="14">
    <w:abstractNumId w:val="7"/>
  </w:num>
  <w:num w:numId="15">
    <w:abstractNumId w:val="11"/>
  </w:num>
  <w:num w:numId="16">
    <w:abstractNumId w:val="5"/>
  </w:num>
  <w:num w:numId="17">
    <w:abstractNumId w:val="15"/>
  </w:num>
  <w:num w:numId="18">
    <w:abstractNumId w:val="1"/>
  </w:num>
  <w:num w:numId="19">
    <w:abstractNumId w:val="20"/>
  </w:num>
  <w:num w:numId="20">
    <w:abstractNumId w:val="24"/>
  </w:num>
  <w:num w:numId="21">
    <w:abstractNumId w:val="10"/>
  </w:num>
  <w:num w:numId="22">
    <w:abstractNumId w:val="2"/>
  </w:num>
  <w:num w:numId="23">
    <w:abstractNumId w:val="22"/>
  </w:num>
  <w:num w:numId="24">
    <w:abstractNumId w:val="4"/>
  </w:num>
  <w:num w:numId="25">
    <w:abstractNumId w:val="23"/>
  </w:num>
  <w:num w:numId="26">
    <w:abstractNumId w:val="14"/>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DD"/>
    <w:rsid w:val="0002030C"/>
    <w:rsid w:val="00020447"/>
    <w:rsid w:val="0002771E"/>
    <w:rsid w:val="000307B9"/>
    <w:rsid w:val="00030BE9"/>
    <w:rsid w:val="00030E51"/>
    <w:rsid w:val="000325E0"/>
    <w:rsid w:val="00032D2E"/>
    <w:rsid w:val="000368AC"/>
    <w:rsid w:val="00036EAB"/>
    <w:rsid w:val="00040626"/>
    <w:rsid w:val="00041563"/>
    <w:rsid w:val="00041663"/>
    <w:rsid w:val="000438C1"/>
    <w:rsid w:val="00045CDD"/>
    <w:rsid w:val="00046A6E"/>
    <w:rsid w:val="00047E0F"/>
    <w:rsid w:val="00050AE3"/>
    <w:rsid w:val="00052697"/>
    <w:rsid w:val="00053E05"/>
    <w:rsid w:val="00061124"/>
    <w:rsid w:val="0006236F"/>
    <w:rsid w:val="00062CB6"/>
    <w:rsid w:val="00064FAF"/>
    <w:rsid w:val="000707A5"/>
    <w:rsid w:val="00073CA1"/>
    <w:rsid w:val="00077EF0"/>
    <w:rsid w:val="00082DA0"/>
    <w:rsid w:val="000867C5"/>
    <w:rsid w:val="000913BE"/>
    <w:rsid w:val="00094EF7"/>
    <w:rsid w:val="000A16A8"/>
    <w:rsid w:val="000A2711"/>
    <w:rsid w:val="000A2E92"/>
    <w:rsid w:val="000A456C"/>
    <w:rsid w:val="000A6BEF"/>
    <w:rsid w:val="000B0760"/>
    <w:rsid w:val="000B6821"/>
    <w:rsid w:val="000C2CD5"/>
    <w:rsid w:val="000C4DA9"/>
    <w:rsid w:val="000D0938"/>
    <w:rsid w:val="000D369B"/>
    <w:rsid w:val="000D678A"/>
    <w:rsid w:val="000E19D5"/>
    <w:rsid w:val="000E390C"/>
    <w:rsid w:val="000E43FA"/>
    <w:rsid w:val="000E6472"/>
    <w:rsid w:val="000F215D"/>
    <w:rsid w:val="000F2654"/>
    <w:rsid w:val="00101CF2"/>
    <w:rsid w:val="001106E3"/>
    <w:rsid w:val="00113037"/>
    <w:rsid w:val="00124475"/>
    <w:rsid w:val="00124501"/>
    <w:rsid w:val="001254BE"/>
    <w:rsid w:val="0013201F"/>
    <w:rsid w:val="00133A34"/>
    <w:rsid w:val="00141191"/>
    <w:rsid w:val="00141E89"/>
    <w:rsid w:val="001422CD"/>
    <w:rsid w:val="00142E94"/>
    <w:rsid w:val="001432C4"/>
    <w:rsid w:val="0015132A"/>
    <w:rsid w:val="00152295"/>
    <w:rsid w:val="0015567E"/>
    <w:rsid w:val="001578B2"/>
    <w:rsid w:val="001616D7"/>
    <w:rsid w:val="00162E01"/>
    <w:rsid w:val="00167170"/>
    <w:rsid w:val="00181384"/>
    <w:rsid w:val="00184006"/>
    <w:rsid w:val="00184E0C"/>
    <w:rsid w:val="001857CB"/>
    <w:rsid w:val="00185821"/>
    <w:rsid w:val="00186403"/>
    <w:rsid w:val="001866EF"/>
    <w:rsid w:val="00195D5F"/>
    <w:rsid w:val="001963DA"/>
    <w:rsid w:val="00197A26"/>
    <w:rsid w:val="001B1E32"/>
    <w:rsid w:val="001B3D5F"/>
    <w:rsid w:val="001C22B9"/>
    <w:rsid w:val="001C44AA"/>
    <w:rsid w:val="001C4D7E"/>
    <w:rsid w:val="001D122E"/>
    <w:rsid w:val="001D339B"/>
    <w:rsid w:val="001D3F10"/>
    <w:rsid w:val="001E1DD8"/>
    <w:rsid w:val="001E1F3C"/>
    <w:rsid w:val="001E1FC5"/>
    <w:rsid w:val="001E50BC"/>
    <w:rsid w:val="001E51E9"/>
    <w:rsid w:val="001F0A45"/>
    <w:rsid w:val="001F192E"/>
    <w:rsid w:val="001F216E"/>
    <w:rsid w:val="001F7B86"/>
    <w:rsid w:val="002004E1"/>
    <w:rsid w:val="00203F9F"/>
    <w:rsid w:val="0020630C"/>
    <w:rsid w:val="00211C9E"/>
    <w:rsid w:val="0021329B"/>
    <w:rsid w:val="00213EEB"/>
    <w:rsid w:val="002155D4"/>
    <w:rsid w:val="00216001"/>
    <w:rsid w:val="00225E9F"/>
    <w:rsid w:val="002328C1"/>
    <w:rsid w:val="0023430D"/>
    <w:rsid w:val="0024623D"/>
    <w:rsid w:val="00250AB0"/>
    <w:rsid w:val="00254C95"/>
    <w:rsid w:val="00270A05"/>
    <w:rsid w:val="00271612"/>
    <w:rsid w:val="00272E88"/>
    <w:rsid w:val="00277501"/>
    <w:rsid w:val="00280076"/>
    <w:rsid w:val="00280389"/>
    <w:rsid w:val="00281A6D"/>
    <w:rsid w:val="00281C62"/>
    <w:rsid w:val="00283E1E"/>
    <w:rsid w:val="002860AB"/>
    <w:rsid w:val="00290DB6"/>
    <w:rsid w:val="00292742"/>
    <w:rsid w:val="002939DD"/>
    <w:rsid w:val="002A2D2D"/>
    <w:rsid w:val="002B4B11"/>
    <w:rsid w:val="002C278C"/>
    <w:rsid w:val="002D0E9E"/>
    <w:rsid w:val="002D279A"/>
    <w:rsid w:val="002D4F5F"/>
    <w:rsid w:val="002D5D4C"/>
    <w:rsid w:val="002E04F7"/>
    <w:rsid w:val="002E17CA"/>
    <w:rsid w:val="002E1C9B"/>
    <w:rsid w:val="002E23C7"/>
    <w:rsid w:val="002E416F"/>
    <w:rsid w:val="002E6F41"/>
    <w:rsid w:val="002E7F8B"/>
    <w:rsid w:val="002F15CC"/>
    <w:rsid w:val="002F69F7"/>
    <w:rsid w:val="0030369B"/>
    <w:rsid w:val="0030484E"/>
    <w:rsid w:val="003062E9"/>
    <w:rsid w:val="00307E52"/>
    <w:rsid w:val="00312FD9"/>
    <w:rsid w:val="003176E4"/>
    <w:rsid w:val="0032048D"/>
    <w:rsid w:val="0032731F"/>
    <w:rsid w:val="003319DB"/>
    <w:rsid w:val="00332A17"/>
    <w:rsid w:val="003338A5"/>
    <w:rsid w:val="00333F21"/>
    <w:rsid w:val="00334F32"/>
    <w:rsid w:val="00337EAD"/>
    <w:rsid w:val="00344304"/>
    <w:rsid w:val="00351E14"/>
    <w:rsid w:val="00357AC6"/>
    <w:rsid w:val="003632F6"/>
    <w:rsid w:val="00365D44"/>
    <w:rsid w:val="003671E1"/>
    <w:rsid w:val="00370916"/>
    <w:rsid w:val="00371177"/>
    <w:rsid w:val="00372B13"/>
    <w:rsid w:val="00381D02"/>
    <w:rsid w:val="00384A73"/>
    <w:rsid w:val="00384D22"/>
    <w:rsid w:val="00385035"/>
    <w:rsid w:val="00393228"/>
    <w:rsid w:val="00393DC7"/>
    <w:rsid w:val="00395F6B"/>
    <w:rsid w:val="003A6619"/>
    <w:rsid w:val="003A6E9A"/>
    <w:rsid w:val="003A6F3A"/>
    <w:rsid w:val="003B2DF6"/>
    <w:rsid w:val="003C0031"/>
    <w:rsid w:val="003C11A2"/>
    <w:rsid w:val="003C3BAF"/>
    <w:rsid w:val="003C7DA2"/>
    <w:rsid w:val="003D0192"/>
    <w:rsid w:val="003D2DE9"/>
    <w:rsid w:val="003D3DBA"/>
    <w:rsid w:val="003D4F49"/>
    <w:rsid w:val="003E27E8"/>
    <w:rsid w:val="003E3CC0"/>
    <w:rsid w:val="003E691C"/>
    <w:rsid w:val="003F09F8"/>
    <w:rsid w:val="003F0E9A"/>
    <w:rsid w:val="003F30F6"/>
    <w:rsid w:val="003F3824"/>
    <w:rsid w:val="003F61F4"/>
    <w:rsid w:val="003F6689"/>
    <w:rsid w:val="004021AF"/>
    <w:rsid w:val="004054ED"/>
    <w:rsid w:val="0040561A"/>
    <w:rsid w:val="00406620"/>
    <w:rsid w:val="00410217"/>
    <w:rsid w:val="00412F50"/>
    <w:rsid w:val="00413B25"/>
    <w:rsid w:val="004147EA"/>
    <w:rsid w:val="004150FB"/>
    <w:rsid w:val="004157BB"/>
    <w:rsid w:val="004159E3"/>
    <w:rsid w:val="00420054"/>
    <w:rsid w:val="00420214"/>
    <w:rsid w:val="00420413"/>
    <w:rsid w:val="00421A03"/>
    <w:rsid w:val="00423CF3"/>
    <w:rsid w:val="004310AD"/>
    <w:rsid w:val="004315F8"/>
    <w:rsid w:val="00431FA2"/>
    <w:rsid w:val="00443F8D"/>
    <w:rsid w:val="004445F4"/>
    <w:rsid w:val="00451CD5"/>
    <w:rsid w:val="004558CD"/>
    <w:rsid w:val="00455C48"/>
    <w:rsid w:val="0045643C"/>
    <w:rsid w:val="004579EA"/>
    <w:rsid w:val="00471B79"/>
    <w:rsid w:val="00472724"/>
    <w:rsid w:val="00473C9F"/>
    <w:rsid w:val="0047711A"/>
    <w:rsid w:val="004825FB"/>
    <w:rsid w:val="00483E44"/>
    <w:rsid w:val="0048490D"/>
    <w:rsid w:val="0049008B"/>
    <w:rsid w:val="004927B3"/>
    <w:rsid w:val="004961EA"/>
    <w:rsid w:val="00496F0C"/>
    <w:rsid w:val="004976F4"/>
    <w:rsid w:val="004A14F8"/>
    <w:rsid w:val="004A28E5"/>
    <w:rsid w:val="004A6CF5"/>
    <w:rsid w:val="004B148C"/>
    <w:rsid w:val="004B1A09"/>
    <w:rsid w:val="004B2895"/>
    <w:rsid w:val="004B36D3"/>
    <w:rsid w:val="004B50AE"/>
    <w:rsid w:val="004B5B7C"/>
    <w:rsid w:val="004D424C"/>
    <w:rsid w:val="004D7A08"/>
    <w:rsid w:val="004E1187"/>
    <w:rsid w:val="004E2260"/>
    <w:rsid w:val="004E3234"/>
    <w:rsid w:val="004F0385"/>
    <w:rsid w:val="004F1F2A"/>
    <w:rsid w:val="005005BA"/>
    <w:rsid w:val="0050217F"/>
    <w:rsid w:val="0050291B"/>
    <w:rsid w:val="00504885"/>
    <w:rsid w:val="005060A7"/>
    <w:rsid w:val="005216F4"/>
    <w:rsid w:val="005271BB"/>
    <w:rsid w:val="00531A06"/>
    <w:rsid w:val="00532D61"/>
    <w:rsid w:val="00541A05"/>
    <w:rsid w:val="00542855"/>
    <w:rsid w:val="00547514"/>
    <w:rsid w:val="005502CD"/>
    <w:rsid w:val="00552A01"/>
    <w:rsid w:val="00553DB3"/>
    <w:rsid w:val="00555012"/>
    <w:rsid w:val="00564784"/>
    <w:rsid w:val="00564E4D"/>
    <w:rsid w:val="00565CA1"/>
    <w:rsid w:val="0056650A"/>
    <w:rsid w:val="005715A8"/>
    <w:rsid w:val="00580714"/>
    <w:rsid w:val="0058130A"/>
    <w:rsid w:val="00585760"/>
    <w:rsid w:val="00586D28"/>
    <w:rsid w:val="0059509A"/>
    <w:rsid w:val="00595637"/>
    <w:rsid w:val="00595B62"/>
    <w:rsid w:val="005A4AEC"/>
    <w:rsid w:val="005A59D5"/>
    <w:rsid w:val="005A6F74"/>
    <w:rsid w:val="005B2C0F"/>
    <w:rsid w:val="005B4667"/>
    <w:rsid w:val="005B5B94"/>
    <w:rsid w:val="005B606B"/>
    <w:rsid w:val="005B64B5"/>
    <w:rsid w:val="005C06EA"/>
    <w:rsid w:val="005C137F"/>
    <w:rsid w:val="005C2B5B"/>
    <w:rsid w:val="005C4F3C"/>
    <w:rsid w:val="005D5368"/>
    <w:rsid w:val="0060151C"/>
    <w:rsid w:val="00603940"/>
    <w:rsid w:val="006066A7"/>
    <w:rsid w:val="0060681D"/>
    <w:rsid w:val="00610311"/>
    <w:rsid w:val="00611CDE"/>
    <w:rsid w:val="00613A1B"/>
    <w:rsid w:val="0062152C"/>
    <w:rsid w:val="00627AA6"/>
    <w:rsid w:val="00630AD8"/>
    <w:rsid w:val="0063502D"/>
    <w:rsid w:val="00640946"/>
    <w:rsid w:val="0064335F"/>
    <w:rsid w:val="00643E2D"/>
    <w:rsid w:val="006446E0"/>
    <w:rsid w:val="00650B2D"/>
    <w:rsid w:val="00652101"/>
    <w:rsid w:val="00657B58"/>
    <w:rsid w:val="00662081"/>
    <w:rsid w:val="00662F48"/>
    <w:rsid w:val="00670E8D"/>
    <w:rsid w:val="0067229D"/>
    <w:rsid w:val="00672E07"/>
    <w:rsid w:val="00680721"/>
    <w:rsid w:val="00683917"/>
    <w:rsid w:val="0069064B"/>
    <w:rsid w:val="00693CF5"/>
    <w:rsid w:val="00694609"/>
    <w:rsid w:val="006A346C"/>
    <w:rsid w:val="006A34EC"/>
    <w:rsid w:val="006A38F5"/>
    <w:rsid w:val="006A6677"/>
    <w:rsid w:val="006B41BA"/>
    <w:rsid w:val="006B6D06"/>
    <w:rsid w:val="006D3B4A"/>
    <w:rsid w:val="006F0B3C"/>
    <w:rsid w:val="006F10AB"/>
    <w:rsid w:val="006F2B80"/>
    <w:rsid w:val="006F3C0B"/>
    <w:rsid w:val="006F440C"/>
    <w:rsid w:val="00704553"/>
    <w:rsid w:val="00704668"/>
    <w:rsid w:val="00706707"/>
    <w:rsid w:val="00707165"/>
    <w:rsid w:val="00713332"/>
    <w:rsid w:val="0071599F"/>
    <w:rsid w:val="00716707"/>
    <w:rsid w:val="00717072"/>
    <w:rsid w:val="00720B10"/>
    <w:rsid w:val="00721A36"/>
    <w:rsid w:val="007247A6"/>
    <w:rsid w:val="00725012"/>
    <w:rsid w:val="007278E0"/>
    <w:rsid w:val="00727EE2"/>
    <w:rsid w:val="00736901"/>
    <w:rsid w:val="007373EE"/>
    <w:rsid w:val="0074327A"/>
    <w:rsid w:val="00744615"/>
    <w:rsid w:val="00753CB5"/>
    <w:rsid w:val="00753F7E"/>
    <w:rsid w:val="00761F38"/>
    <w:rsid w:val="00762CD0"/>
    <w:rsid w:val="00765F61"/>
    <w:rsid w:val="00767431"/>
    <w:rsid w:val="00767815"/>
    <w:rsid w:val="00772F0C"/>
    <w:rsid w:val="00773105"/>
    <w:rsid w:val="0077566A"/>
    <w:rsid w:val="0077635C"/>
    <w:rsid w:val="00777B5A"/>
    <w:rsid w:val="00780E6A"/>
    <w:rsid w:val="00781584"/>
    <w:rsid w:val="007841AD"/>
    <w:rsid w:val="007906C3"/>
    <w:rsid w:val="00791009"/>
    <w:rsid w:val="00791649"/>
    <w:rsid w:val="007961C2"/>
    <w:rsid w:val="00796F76"/>
    <w:rsid w:val="00797883"/>
    <w:rsid w:val="007A10C3"/>
    <w:rsid w:val="007A15F8"/>
    <w:rsid w:val="007A18E6"/>
    <w:rsid w:val="007A3B5A"/>
    <w:rsid w:val="007A3F71"/>
    <w:rsid w:val="007A6470"/>
    <w:rsid w:val="007B14E9"/>
    <w:rsid w:val="007B2652"/>
    <w:rsid w:val="007B306E"/>
    <w:rsid w:val="007B38FF"/>
    <w:rsid w:val="007B7BEE"/>
    <w:rsid w:val="007C1975"/>
    <w:rsid w:val="007C3ADE"/>
    <w:rsid w:val="007C6BD9"/>
    <w:rsid w:val="007D140D"/>
    <w:rsid w:val="007D440F"/>
    <w:rsid w:val="007E30CB"/>
    <w:rsid w:val="007E7028"/>
    <w:rsid w:val="007F2923"/>
    <w:rsid w:val="007F44ED"/>
    <w:rsid w:val="007F460A"/>
    <w:rsid w:val="007F64A2"/>
    <w:rsid w:val="00802D4C"/>
    <w:rsid w:val="0080300D"/>
    <w:rsid w:val="00807380"/>
    <w:rsid w:val="008105F5"/>
    <w:rsid w:val="008115AE"/>
    <w:rsid w:val="00812E62"/>
    <w:rsid w:val="00817A11"/>
    <w:rsid w:val="008207A2"/>
    <w:rsid w:val="00823FA3"/>
    <w:rsid w:val="0082459B"/>
    <w:rsid w:val="008253DD"/>
    <w:rsid w:val="00830370"/>
    <w:rsid w:val="00832560"/>
    <w:rsid w:val="00835A73"/>
    <w:rsid w:val="008423ED"/>
    <w:rsid w:val="0084521B"/>
    <w:rsid w:val="00845555"/>
    <w:rsid w:val="008602E3"/>
    <w:rsid w:val="008640E9"/>
    <w:rsid w:val="0086594A"/>
    <w:rsid w:val="008666F7"/>
    <w:rsid w:val="00871B3A"/>
    <w:rsid w:val="00872F61"/>
    <w:rsid w:val="008736B3"/>
    <w:rsid w:val="0088106E"/>
    <w:rsid w:val="00891446"/>
    <w:rsid w:val="0089163C"/>
    <w:rsid w:val="00894DCB"/>
    <w:rsid w:val="008B2A70"/>
    <w:rsid w:val="008B539B"/>
    <w:rsid w:val="008B7CCF"/>
    <w:rsid w:val="008C14D7"/>
    <w:rsid w:val="008D2B50"/>
    <w:rsid w:val="008D79E5"/>
    <w:rsid w:val="008E48FF"/>
    <w:rsid w:val="008F0A65"/>
    <w:rsid w:val="00902F95"/>
    <w:rsid w:val="00911512"/>
    <w:rsid w:val="00911FFF"/>
    <w:rsid w:val="009154DF"/>
    <w:rsid w:val="009227BF"/>
    <w:rsid w:val="00924F19"/>
    <w:rsid w:val="00926632"/>
    <w:rsid w:val="00926C3E"/>
    <w:rsid w:val="00927A09"/>
    <w:rsid w:val="009316F3"/>
    <w:rsid w:val="009357D9"/>
    <w:rsid w:val="00935E45"/>
    <w:rsid w:val="0094113D"/>
    <w:rsid w:val="00946695"/>
    <w:rsid w:val="0095336D"/>
    <w:rsid w:val="00956B00"/>
    <w:rsid w:val="009619E2"/>
    <w:rsid w:val="0096265D"/>
    <w:rsid w:val="009644C8"/>
    <w:rsid w:val="009649CC"/>
    <w:rsid w:val="00964C05"/>
    <w:rsid w:val="00965685"/>
    <w:rsid w:val="00966013"/>
    <w:rsid w:val="00966E1E"/>
    <w:rsid w:val="00970B5B"/>
    <w:rsid w:val="00972381"/>
    <w:rsid w:val="0097275D"/>
    <w:rsid w:val="00977193"/>
    <w:rsid w:val="00982363"/>
    <w:rsid w:val="0098367A"/>
    <w:rsid w:val="009862E2"/>
    <w:rsid w:val="0099007A"/>
    <w:rsid w:val="00992A4B"/>
    <w:rsid w:val="009A3204"/>
    <w:rsid w:val="009A46CB"/>
    <w:rsid w:val="009A4F7F"/>
    <w:rsid w:val="009A5CF4"/>
    <w:rsid w:val="009A7703"/>
    <w:rsid w:val="009B07A6"/>
    <w:rsid w:val="009B13C1"/>
    <w:rsid w:val="009B29CB"/>
    <w:rsid w:val="009C1068"/>
    <w:rsid w:val="009C1A05"/>
    <w:rsid w:val="009C2537"/>
    <w:rsid w:val="009C457E"/>
    <w:rsid w:val="009C4FC0"/>
    <w:rsid w:val="009D3482"/>
    <w:rsid w:val="009D4233"/>
    <w:rsid w:val="009E41DF"/>
    <w:rsid w:val="009E5FFA"/>
    <w:rsid w:val="009E6B9B"/>
    <w:rsid w:val="009E6E16"/>
    <w:rsid w:val="009E7A92"/>
    <w:rsid w:val="00A0113A"/>
    <w:rsid w:val="00A109C2"/>
    <w:rsid w:val="00A16077"/>
    <w:rsid w:val="00A25EBE"/>
    <w:rsid w:val="00A2652E"/>
    <w:rsid w:val="00A401CC"/>
    <w:rsid w:val="00A4030C"/>
    <w:rsid w:val="00A44C6A"/>
    <w:rsid w:val="00A46D89"/>
    <w:rsid w:val="00A525F6"/>
    <w:rsid w:val="00A57A3C"/>
    <w:rsid w:val="00A6133D"/>
    <w:rsid w:val="00A63404"/>
    <w:rsid w:val="00A6387C"/>
    <w:rsid w:val="00A63902"/>
    <w:rsid w:val="00A64E20"/>
    <w:rsid w:val="00A65CA6"/>
    <w:rsid w:val="00A7744B"/>
    <w:rsid w:val="00A85B2D"/>
    <w:rsid w:val="00A865E4"/>
    <w:rsid w:val="00A9366B"/>
    <w:rsid w:val="00A94F6D"/>
    <w:rsid w:val="00A951E9"/>
    <w:rsid w:val="00AA3BFE"/>
    <w:rsid w:val="00AA7D9B"/>
    <w:rsid w:val="00AB106F"/>
    <w:rsid w:val="00AB1396"/>
    <w:rsid w:val="00AB1641"/>
    <w:rsid w:val="00AB1D87"/>
    <w:rsid w:val="00AB2DE4"/>
    <w:rsid w:val="00AB613C"/>
    <w:rsid w:val="00AC03C9"/>
    <w:rsid w:val="00AC22C4"/>
    <w:rsid w:val="00AD055F"/>
    <w:rsid w:val="00AD2449"/>
    <w:rsid w:val="00AD4BB6"/>
    <w:rsid w:val="00AD7532"/>
    <w:rsid w:val="00AD78BA"/>
    <w:rsid w:val="00AD7A14"/>
    <w:rsid w:val="00AD7A21"/>
    <w:rsid w:val="00AE2E47"/>
    <w:rsid w:val="00AF0D53"/>
    <w:rsid w:val="00AF5B3B"/>
    <w:rsid w:val="00AF741A"/>
    <w:rsid w:val="00B005C9"/>
    <w:rsid w:val="00B00D54"/>
    <w:rsid w:val="00B04C0A"/>
    <w:rsid w:val="00B064FB"/>
    <w:rsid w:val="00B06878"/>
    <w:rsid w:val="00B111C6"/>
    <w:rsid w:val="00B168DF"/>
    <w:rsid w:val="00B17C95"/>
    <w:rsid w:val="00B25F6D"/>
    <w:rsid w:val="00B264E2"/>
    <w:rsid w:val="00B3023A"/>
    <w:rsid w:val="00B30BC9"/>
    <w:rsid w:val="00B410B8"/>
    <w:rsid w:val="00B43581"/>
    <w:rsid w:val="00B514BD"/>
    <w:rsid w:val="00B5220F"/>
    <w:rsid w:val="00B54D6E"/>
    <w:rsid w:val="00B574AA"/>
    <w:rsid w:val="00B62CED"/>
    <w:rsid w:val="00B63D14"/>
    <w:rsid w:val="00B66B87"/>
    <w:rsid w:val="00B728E1"/>
    <w:rsid w:val="00B816F9"/>
    <w:rsid w:val="00B823CF"/>
    <w:rsid w:val="00B92E4E"/>
    <w:rsid w:val="00B960B4"/>
    <w:rsid w:val="00B96BE0"/>
    <w:rsid w:val="00BA14A2"/>
    <w:rsid w:val="00BA389A"/>
    <w:rsid w:val="00BA3FED"/>
    <w:rsid w:val="00BA6A63"/>
    <w:rsid w:val="00BB3251"/>
    <w:rsid w:val="00BB3BC6"/>
    <w:rsid w:val="00BB60D4"/>
    <w:rsid w:val="00BB69C2"/>
    <w:rsid w:val="00BB708C"/>
    <w:rsid w:val="00BD0BDE"/>
    <w:rsid w:val="00BD3A4E"/>
    <w:rsid w:val="00BE695C"/>
    <w:rsid w:val="00BF0F77"/>
    <w:rsid w:val="00BF3D9B"/>
    <w:rsid w:val="00BF5DC2"/>
    <w:rsid w:val="00C0354B"/>
    <w:rsid w:val="00C05BE9"/>
    <w:rsid w:val="00C11606"/>
    <w:rsid w:val="00C12321"/>
    <w:rsid w:val="00C1437E"/>
    <w:rsid w:val="00C15D86"/>
    <w:rsid w:val="00C164EB"/>
    <w:rsid w:val="00C20A8E"/>
    <w:rsid w:val="00C25440"/>
    <w:rsid w:val="00C300FD"/>
    <w:rsid w:val="00C310BF"/>
    <w:rsid w:val="00C31587"/>
    <w:rsid w:val="00C342D0"/>
    <w:rsid w:val="00C41E46"/>
    <w:rsid w:val="00C42296"/>
    <w:rsid w:val="00C4372A"/>
    <w:rsid w:val="00C457E8"/>
    <w:rsid w:val="00C47656"/>
    <w:rsid w:val="00C47DDD"/>
    <w:rsid w:val="00C51A10"/>
    <w:rsid w:val="00C51B5F"/>
    <w:rsid w:val="00C5410C"/>
    <w:rsid w:val="00C565FB"/>
    <w:rsid w:val="00C578F6"/>
    <w:rsid w:val="00C65328"/>
    <w:rsid w:val="00C65A82"/>
    <w:rsid w:val="00C66206"/>
    <w:rsid w:val="00C66D2D"/>
    <w:rsid w:val="00C71DFC"/>
    <w:rsid w:val="00C77D16"/>
    <w:rsid w:val="00C83245"/>
    <w:rsid w:val="00C83881"/>
    <w:rsid w:val="00C86FE5"/>
    <w:rsid w:val="00C909F0"/>
    <w:rsid w:val="00C91C3D"/>
    <w:rsid w:val="00C922CF"/>
    <w:rsid w:val="00C93BB0"/>
    <w:rsid w:val="00C94FCC"/>
    <w:rsid w:val="00C95E04"/>
    <w:rsid w:val="00CB2F03"/>
    <w:rsid w:val="00CB40F4"/>
    <w:rsid w:val="00CC1A46"/>
    <w:rsid w:val="00CC1B24"/>
    <w:rsid w:val="00CC7872"/>
    <w:rsid w:val="00CE0423"/>
    <w:rsid w:val="00CE1E31"/>
    <w:rsid w:val="00CE3189"/>
    <w:rsid w:val="00CE44AE"/>
    <w:rsid w:val="00CE6176"/>
    <w:rsid w:val="00CF0762"/>
    <w:rsid w:val="00CF583A"/>
    <w:rsid w:val="00CF7408"/>
    <w:rsid w:val="00D00EA0"/>
    <w:rsid w:val="00D01247"/>
    <w:rsid w:val="00D02D8E"/>
    <w:rsid w:val="00D0456A"/>
    <w:rsid w:val="00D128B5"/>
    <w:rsid w:val="00D12983"/>
    <w:rsid w:val="00D24CF7"/>
    <w:rsid w:val="00D3545F"/>
    <w:rsid w:val="00D35AD3"/>
    <w:rsid w:val="00D3682F"/>
    <w:rsid w:val="00D37E1C"/>
    <w:rsid w:val="00D43CFF"/>
    <w:rsid w:val="00D50F3E"/>
    <w:rsid w:val="00D52372"/>
    <w:rsid w:val="00D52907"/>
    <w:rsid w:val="00D55993"/>
    <w:rsid w:val="00D57741"/>
    <w:rsid w:val="00D61C0B"/>
    <w:rsid w:val="00D63293"/>
    <w:rsid w:val="00D634EB"/>
    <w:rsid w:val="00D636E3"/>
    <w:rsid w:val="00D67BE5"/>
    <w:rsid w:val="00D7104A"/>
    <w:rsid w:val="00D71365"/>
    <w:rsid w:val="00D833DA"/>
    <w:rsid w:val="00D83B59"/>
    <w:rsid w:val="00D85F2B"/>
    <w:rsid w:val="00D87ACC"/>
    <w:rsid w:val="00D918AF"/>
    <w:rsid w:val="00D959DC"/>
    <w:rsid w:val="00D96798"/>
    <w:rsid w:val="00DA0317"/>
    <w:rsid w:val="00DA7180"/>
    <w:rsid w:val="00DB6D6F"/>
    <w:rsid w:val="00DB6E3D"/>
    <w:rsid w:val="00DB7E0D"/>
    <w:rsid w:val="00DC6C7E"/>
    <w:rsid w:val="00DD50AF"/>
    <w:rsid w:val="00DD5504"/>
    <w:rsid w:val="00DD5F06"/>
    <w:rsid w:val="00DE10D6"/>
    <w:rsid w:val="00DE3B03"/>
    <w:rsid w:val="00DE4E23"/>
    <w:rsid w:val="00DE6763"/>
    <w:rsid w:val="00DF5F72"/>
    <w:rsid w:val="00DF6A41"/>
    <w:rsid w:val="00E11A72"/>
    <w:rsid w:val="00E13B2D"/>
    <w:rsid w:val="00E1427E"/>
    <w:rsid w:val="00E151ED"/>
    <w:rsid w:val="00E23D63"/>
    <w:rsid w:val="00E23E12"/>
    <w:rsid w:val="00E2402E"/>
    <w:rsid w:val="00E25B9C"/>
    <w:rsid w:val="00E273BB"/>
    <w:rsid w:val="00E306EF"/>
    <w:rsid w:val="00E30EF4"/>
    <w:rsid w:val="00E37879"/>
    <w:rsid w:val="00E46E87"/>
    <w:rsid w:val="00E475AD"/>
    <w:rsid w:val="00E503E9"/>
    <w:rsid w:val="00E5662B"/>
    <w:rsid w:val="00E71E33"/>
    <w:rsid w:val="00E74BC6"/>
    <w:rsid w:val="00E82894"/>
    <w:rsid w:val="00E83C1D"/>
    <w:rsid w:val="00E8595D"/>
    <w:rsid w:val="00E87964"/>
    <w:rsid w:val="00E90434"/>
    <w:rsid w:val="00E92832"/>
    <w:rsid w:val="00EA2BA5"/>
    <w:rsid w:val="00EA379E"/>
    <w:rsid w:val="00EA40F0"/>
    <w:rsid w:val="00EA46C9"/>
    <w:rsid w:val="00EB0285"/>
    <w:rsid w:val="00EB1B26"/>
    <w:rsid w:val="00EB48F9"/>
    <w:rsid w:val="00EB4F56"/>
    <w:rsid w:val="00EB5198"/>
    <w:rsid w:val="00EB7448"/>
    <w:rsid w:val="00EC3963"/>
    <w:rsid w:val="00ED308C"/>
    <w:rsid w:val="00EE362F"/>
    <w:rsid w:val="00EE5BFF"/>
    <w:rsid w:val="00EE7333"/>
    <w:rsid w:val="00EF027D"/>
    <w:rsid w:val="00EF0731"/>
    <w:rsid w:val="00EF1E58"/>
    <w:rsid w:val="00EF1F9E"/>
    <w:rsid w:val="00EF6829"/>
    <w:rsid w:val="00F02D3D"/>
    <w:rsid w:val="00F114A0"/>
    <w:rsid w:val="00F11C94"/>
    <w:rsid w:val="00F11F3D"/>
    <w:rsid w:val="00F14C02"/>
    <w:rsid w:val="00F15219"/>
    <w:rsid w:val="00F15FD2"/>
    <w:rsid w:val="00F167B3"/>
    <w:rsid w:val="00F204D4"/>
    <w:rsid w:val="00F20537"/>
    <w:rsid w:val="00F20B63"/>
    <w:rsid w:val="00F24019"/>
    <w:rsid w:val="00F26915"/>
    <w:rsid w:val="00F26DCD"/>
    <w:rsid w:val="00F36CA8"/>
    <w:rsid w:val="00F41026"/>
    <w:rsid w:val="00F42A6E"/>
    <w:rsid w:val="00F434E2"/>
    <w:rsid w:val="00F53990"/>
    <w:rsid w:val="00F553CD"/>
    <w:rsid w:val="00F61EAC"/>
    <w:rsid w:val="00F67DBB"/>
    <w:rsid w:val="00F738E1"/>
    <w:rsid w:val="00F73F2C"/>
    <w:rsid w:val="00F749C1"/>
    <w:rsid w:val="00F757B8"/>
    <w:rsid w:val="00F81AB1"/>
    <w:rsid w:val="00F85FC1"/>
    <w:rsid w:val="00F8753F"/>
    <w:rsid w:val="00F91E8A"/>
    <w:rsid w:val="00FB0A6E"/>
    <w:rsid w:val="00FB5CEC"/>
    <w:rsid w:val="00FC003B"/>
    <w:rsid w:val="00FC20CC"/>
    <w:rsid w:val="00FC386A"/>
    <w:rsid w:val="00FC4513"/>
    <w:rsid w:val="00FC4A8B"/>
    <w:rsid w:val="00FC594A"/>
    <w:rsid w:val="00FC65BE"/>
    <w:rsid w:val="00FD1706"/>
    <w:rsid w:val="00FD318E"/>
    <w:rsid w:val="00FD6598"/>
    <w:rsid w:val="00FE283C"/>
    <w:rsid w:val="00FE3095"/>
    <w:rsid w:val="00FF5847"/>
    <w:rsid w:val="065BB81F"/>
    <w:rsid w:val="095E94BD"/>
    <w:rsid w:val="0A322B60"/>
    <w:rsid w:val="0D716033"/>
    <w:rsid w:val="0F94DA3D"/>
    <w:rsid w:val="0FF0C9AB"/>
    <w:rsid w:val="12B5D809"/>
    <w:rsid w:val="134A0AF4"/>
    <w:rsid w:val="193E34D8"/>
    <w:rsid w:val="1A6B7761"/>
    <w:rsid w:val="1A8F0551"/>
    <w:rsid w:val="1B37F8E2"/>
    <w:rsid w:val="1F63E7C9"/>
    <w:rsid w:val="22F703B5"/>
    <w:rsid w:val="23919254"/>
    <w:rsid w:val="23D07DBC"/>
    <w:rsid w:val="24ABA235"/>
    <w:rsid w:val="271D7AA0"/>
    <w:rsid w:val="2A3258B1"/>
    <w:rsid w:val="2E076769"/>
    <w:rsid w:val="30618066"/>
    <w:rsid w:val="31767C52"/>
    <w:rsid w:val="3636E3D0"/>
    <w:rsid w:val="39C6310C"/>
    <w:rsid w:val="3B89A703"/>
    <w:rsid w:val="3C18D9B0"/>
    <w:rsid w:val="3C934C4E"/>
    <w:rsid w:val="3DF2EC12"/>
    <w:rsid w:val="3EC1DDA8"/>
    <w:rsid w:val="405EB9DB"/>
    <w:rsid w:val="47C76352"/>
    <w:rsid w:val="498E8E20"/>
    <w:rsid w:val="524A4F68"/>
    <w:rsid w:val="55396A9B"/>
    <w:rsid w:val="553E6702"/>
    <w:rsid w:val="56079866"/>
    <w:rsid w:val="5A038148"/>
    <w:rsid w:val="5A59979E"/>
    <w:rsid w:val="5D13F8C5"/>
    <w:rsid w:val="5DC4C80E"/>
    <w:rsid w:val="5F1F0C0F"/>
    <w:rsid w:val="62B520A4"/>
    <w:rsid w:val="6385DC7A"/>
    <w:rsid w:val="67E966DF"/>
    <w:rsid w:val="685E050B"/>
    <w:rsid w:val="68A4D590"/>
    <w:rsid w:val="6964E08B"/>
    <w:rsid w:val="6A063D3B"/>
    <w:rsid w:val="6C3B2451"/>
    <w:rsid w:val="6C7FADC0"/>
    <w:rsid w:val="6E571919"/>
    <w:rsid w:val="70116C8E"/>
    <w:rsid w:val="70C9A0A3"/>
    <w:rsid w:val="7211498A"/>
    <w:rsid w:val="72F83891"/>
    <w:rsid w:val="732A2595"/>
    <w:rsid w:val="741EE4A7"/>
    <w:rsid w:val="76F922A1"/>
    <w:rsid w:val="7A348A32"/>
    <w:rsid w:val="7A80B6C0"/>
    <w:rsid w:val="7B18B765"/>
    <w:rsid w:val="7CDD5816"/>
    <w:rsid w:val="7D16F954"/>
    <w:rsid w:val="7F059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F56F96"/>
  <w15:docId w15:val="{72575E4D-196C-42D1-8DB5-47C217A3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D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204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77EF0"/>
    <w:pPr>
      <w:keepNext/>
      <w:keepLines/>
      <w:widowControl w:val="0"/>
      <w:autoSpaceDE w:val="0"/>
      <w:autoSpaceDN w:val="0"/>
      <w:adjustRightInd w:val="0"/>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7DDD"/>
    <w:pPr>
      <w:tabs>
        <w:tab w:val="center" w:pos="4320"/>
        <w:tab w:val="right" w:pos="8640"/>
      </w:tabs>
    </w:pPr>
  </w:style>
  <w:style w:type="character" w:customStyle="1" w:styleId="HeaderChar">
    <w:name w:val="Header Char"/>
    <w:basedOn w:val="DefaultParagraphFont"/>
    <w:link w:val="Header"/>
    <w:rsid w:val="00C47DDD"/>
    <w:rPr>
      <w:rFonts w:ascii="Times New Roman" w:eastAsia="Times New Roman" w:hAnsi="Times New Roman" w:cs="Times New Roman"/>
      <w:sz w:val="24"/>
      <w:szCs w:val="24"/>
    </w:rPr>
  </w:style>
  <w:style w:type="paragraph" w:styleId="Footer">
    <w:name w:val="footer"/>
    <w:basedOn w:val="Normal"/>
    <w:link w:val="FooterChar"/>
    <w:uiPriority w:val="99"/>
    <w:rsid w:val="00C47DDD"/>
    <w:pPr>
      <w:tabs>
        <w:tab w:val="center" w:pos="4320"/>
        <w:tab w:val="right" w:pos="8640"/>
      </w:tabs>
    </w:pPr>
  </w:style>
  <w:style w:type="character" w:customStyle="1" w:styleId="FooterChar">
    <w:name w:val="Footer Char"/>
    <w:basedOn w:val="DefaultParagraphFont"/>
    <w:link w:val="Footer"/>
    <w:uiPriority w:val="99"/>
    <w:rsid w:val="00C47DDD"/>
    <w:rPr>
      <w:rFonts w:ascii="Times New Roman" w:eastAsia="Times New Roman" w:hAnsi="Times New Roman" w:cs="Times New Roman"/>
      <w:sz w:val="24"/>
      <w:szCs w:val="24"/>
    </w:rPr>
  </w:style>
  <w:style w:type="table" w:styleId="TableGrid">
    <w:name w:val="Table Grid"/>
    <w:basedOn w:val="TableNormal"/>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47DDD"/>
    <w:rPr>
      <w:color w:val="0000FF"/>
      <w:u w:val="single"/>
    </w:rPr>
  </w:style>
  <w:style w:type="paragraph" w:styleId="DocumentMap">
    <w:name w:val="Document Map"/>
    <w:basedOn w:val="Normal"/>
    <w:link w:val="DocumentMapChar"/>
    <w:semiHidden/>
    <w:rsid w:val="00C47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47DDD"/>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C47DDD"/>
    <w:rPr>
      <w:sz w:val="20"/>
      <w:szCs w:val="20"/>
    </w:rPr>
  </w:style>
  <w:style w:type="character" w:customStyle="1" w:styleId="FootnoteTextChar">
    <w:name w:val="Footnote Text Char"/>
    <w:basedOn w:val="DefaultParagraphFont"/>
    <w:link w:val="FootnoteText"/>
    <w:semiHidden/>
    <w:rsid w:val="00C47DDD"/>
    <w:rPr>
      <w:rFonts w:ascii="Times New Roman" w:eastAsia="Times New Roman" w:hAnsi="Times New Roman" w:cs="Times New Roman"/>
      <w:sz w:val="20"/>
      <w:szCs w:val="20"/>
    </w:rPr>
  </w:style>
  <w:style w:type="character" w:styleId="FootnoteReference">
    <w:name w:val="footnote reference"/>
    <w:basedOn w:val="DefaultParagraphFont"/>
    <w:semiHidden/>
    <w:rsid w:val="00C47DDD"/>
    <w:rPr>
      <w:vertAlign w:val="superscript"/>
    </w:rPr>
  </w:style>
  <w:style w:type="character" w:styleId="FollowedHyperlink">
    <w:name w:val="FollowedHyperlink"/>
    <w:basedOn w:val="DefaultParagraphFont"/>
    <w:rsid w:val="00C47DDD"/>
    <w:rPr>
      <w:color w:val="800080"/>
      <w:u w:val="single"/>
    </w:rPr>
  </w:style>
  <w:style w:type="table" w:customStyle="1" w:styleId="TableGrid1">
    <w:name w:val="Table Grid1"/>
    <w:basedOn w:val="TableNormal"/>
    <w:next w:val="TableGrid"/>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7DDD"/>
    <w:rPr>
      <w:rFonts w:ascii="Tahoma" w:hAnsi="Tahoma" w:cs="Tahoma"/>
      <w:sz w:val="16"/>
      <w:szCs w:val="16"/>
    </w:rPr>
  </w:style>
  <w:style w:type="character" w:customStyle="1" w:styleId="BalloonTextChar">
    <w:name w:val="Balloon Text Char"/>
    <w:basedOn w:val="DefaultParagraphFont"/>
    <w:link w:val="BalloonText"/>
    <w:semiHidden/>
    <w:rsid w:val="00C47DDD"/>
    <w:rPr>
      <w:rFonts w:ascii="Tahoma" w:eastAsia="Times New Roman" w:hAnsi="Tahoma" w:cs="Tahoma"/>
      <w:sz w:val="16"/>
      <w:szCs w:val="16"/>
    </w:rPr>
  </w:style>
  <w:style w:type="character" w:styleId="CommentReference">
    <w:name w:val="annotation reference"/>
    <w:basedOn w:val="DefaultParagraphFont"/>
    <w:uiPriority w:val="99"/>
    <w:rsid w:val="00C47DDD"/>
    <w:rPr>
      <w:sz w:val="16"/>
      <w:szCs w:val="16"/>
    </w:rPr>
  </w:style>
  <w:style w:type="paragraph" w:styleId="CommentText">
    <w:name w:val="annotation text"/>
    <w:basedOn w:val="Normal"/>
    <w:link w:val="CommentTextChar"/>
    <w:uiPriority w:val="99"/>
    <w:rsid w:val="00C47DDD"/>
    <w:rPr>
      <w:sz w:val="20"/>
      <w:szCs w:val="20"/>
    </w:rPr>
  </w:style>
  <w:style w:type="character" w:customStyle="1" w:styleId="CommentTextChar">
    <w:name w:val="Comment Text Char"/>
    <w:basedOn w:val="DefaultParagraphFont"/>
    <w:link w:val="CommentText"/>
    <w:uiPriority w:val="99"/>
    <w:rsid w:val="00C47D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7DDD"/>
    <w:rPr>
      <w:b/>
      <w:bCs/>
    </w:rPr>
  </w:style>
  <w:style w:type="character" w:customStyle="1" w:styleId="CommentSubjectChar">
    <w:name w:val="Comment Subject Char"/>
    <w:basedOn w:val="CommentTextChar"/>
    <w:link w:val="CommentSubject"/>
    <w:rsid w:val="00C47DDD"/>
    <w:rPr>
      <w:rFonts w:ascii="Times New Roman" w:eastAsia="Times New Roman" w:hAnsi="Times New Roman" w:cs="Times New Roman"/>
      <w:b/>
      <w:bCs/>
      <w:sz w:val="20"/>
      <w:szCs w:val="20"/>
    </w:rPr>
  </w:style>
  <w:style w:type="paragraph" w:styleId="Revision">
    <w:name w:val="Revision"/>
    <w:hidden/>
    <w:uiPriority w:val="99"/>
    <w:semiHidden/>
    <w:rsid w:val="00C47D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7DDD"/>
    <w:pPr>
      <w:ind w:left="720"/>
      <w:contextualSpacing/>
    </w:pPr>
  </w:style>
  <w:style w:type="character" w:customStyle="1" w:styleId="Heading3Char">
    <w:name w:val="Heading 3 Char"/>
    <w:basedOn w:val="DefaultParagraphFont"/>
    <w:link w:val="Heading3"/>
    <w:rsid w:val="00077EF0"/>
    <w:rPr>
      <w:rFonts w:ascii="Times New Roman" w:eastAsia="Times New Roman" w:hAnsi="Times New Roman" w:cs="Times New Roman"/>
      <w:b/>
      <w:bCs/>
      <w:sz w:val="24"/>
      <w:szCs w:val="24"/>
    </w:rPr>
  </w:style>
  <w:style w:type="paragraph" w:styleId="NoSpacing">
    <w:name w:val="No Spacing"/>
    <w:uiPriority w:val="1"/>
    <w:qFormat/>
    <w:rsid w:val="002C278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BodyText">
    <w:name w:val="Body Text"/>
    <w:basedOn w:val="Normal"/>
    <w:link w:val="BodyTextChar"/>
    <w:uiPriority w:val="99"/>
    <w:semiHidden/>
    <w:unhideWhenUsed/>
    <w:rsid w:val="002C278C"/>
    <w:pPr>
      <w:spacing w:after="120"/>
    </w:pPr>
  </w:style>
  <w:style w:type="character" w:customStyle="1" w:styleId="BodyTextChar">
    <w:name w:val="Body Text Char"/>
    <w:basedOn w:val="DefaultParagraphFont"/>
    <w:link w:val="BodyText"/>
    <w:uiPriority w:val="99"/>
    <w:semiHidden/>
    <w:rsid w:val="002C278C"/>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C278C"/>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2C278C"/>
    <w:rPr>
      <w:rFonts w:ascii="Times New Roman" w:eastAsia="Times New Roman" w:hAnsi="Times New Roman" w:cs="Times New Roman"/>
      <w:sz w:val="24"/>
      <w:szCs w:val="20"/>
    </w:rPr>
  </w:style>
  <w:style w:type="paragraph" w:styleId="NormalWeb">
    <w:name w:val="Normal (Web)"/>
    <w:basedOn w:val="Normal"/>
    <w:uiPriority w:val="99"/>
    <w:unhideWhenUsed/>
    <w:rsid w:val="004054ED"/>
    <w:pPr>
      <w:spacing w:before="100" w:beforeAutospacing="1" w:after="100" w:afterAutospacing="1"/>
    </w:pPr>
  </w:style>
  <w:style w:type="character" w:customStyle="1" w:styleId="apple-converted-space">
    <w:name w:val="apple-converted-space"/>
    <w:basedOn w:val="DefaultParagraphFont"/>
    <w:rsid w:val="004054ED"/>
  </w:style>
  <w:style w:type="paragraph" w:customStyle="1" w:styleId="SectionHeading">
    <w:name w:val="Section Heading"/>
    <w:basedOn w:val="Normal"/>
    <w:rsid w:val="004054ED"/>
    <w:rPr>
      <w:rFonts w:ascii="Book Antiqua" w:hAnsi="Book Antiqua"/>
      <w:b/>
      <w:szCs w:val="20"/>
    </w:rPr>
  </w:style>
  <w:style w:type="character" w:styleId="Strong">
    <w:name w:val="Strong"/>
    <w:basedOn w:val="DefaultParagraphFont"/>
    <w:uiPriority w:val="22"/>
    <w:qFormat/>
    <w:rsid w:val="0059509A"/>
    <w:rPr>
      <w:b/>
      <w:bCs/>
    </w:rPr>
  </w:style>
  <w:style w:type="character" w:customStyle="1" w:styleId="Heading2Char">
    <w:name w:val="Heading 2 Char"/>
    <w:basedOn w:val="DefaultParagraphFont"/>
    <w:link w:val="Heading2"/>
    <w:uiPriority w:val="9"/>
    <w:semiHidden/>
    <w:rsid w:val="00420413"/>
    <w:rPr>
      <w:rFonts w:asciiTheme="majorHAnsi" w:eastAsiaTheme="majorEastAsia" w:hAnsiTheme="majorHAnsi" w:cstheme="majorBidi"/>
      <w:color w:val="365F91" w:themeColor="accent1" w:themeShade="BF"/>
      <w:sz w:val="26"/>
      <w:szCs w:val="26"/>
    </w:rPr>
  </w:style>
  <w:style w:type="character" w:customStyle="1" w:styleId="volume">
    <w:name w:val="volume"/>
    <w:basedOn w:val="DefaultParagraphFont"/>
    <w:rsid w:val="000B6821"/>
  </w:style>
  <w:style w:type="character" w:customStyle="1" w:styleId="page">
    <w:name w:val="page"/>
    <w:basedOn w:val="DefaultParagraphFont"/>
    <w:rsid w:val="000B6821"/>
  </w:style>
  <w:style w:type="paragraph" w:customStyle="1" w:styleId="Default">
    <w:name w:val="Default"/>
    <w:rsid w:val="00C77D1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D4F5F"/>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2D4F5F"/>
    <w:rPr>
      <w:rFonts w:ascii="Calibri" w:eastAsiaTheme="minorEastAsia" w:hAnsi="Calibr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0229">
      <w:bodyDiv w:val="1"/>
      <w:marLeft w:val="0"/>
      <w:marRight w:val="0"/>
      <w:marTop w:val="0"/>
      <w:marBottom w:val="0"/>
      <w:divBdr>
        <w:top w:val="none" w:sz="0" w:space="0" w:color="auto"/>
        <w:left w:val="none" w:sz="0" w:space="0" w:color="auto"/>
        <w:bottom w:val="none" w:sz="0" w:space="0" w:color="auto"/>
        <w:right w:val="none" w:sz="0" w:space="0" w:color="auto"/>
      </w:divBdr>
      <w:divsChild>
        <w:div w:id="1526165749">
          <w:marLeft w:val="0"/>
          <w:marRight w:val="0"/>
          <w:marTop w:val="0"/>
          <w:marBottom w:val="0"/>
          <w:divBdr>
            <w:top w:val="none" w:sz="0" w:space="0" w:color="auto"/>
            <w:left w:val="none" w:sz="0" w:space="0" w:color="auto"/>
            <w:bottom w:val="none" w:sz="0" w:space="0" w:color="auto"/>
            <w:right w:val="none" w:sz="0" w:space="0" w:color="auto"/>
          </w:divBdr>
          <w:divsChild>
            <w:div w:id="1667856054">
              <w:marLeft w:val="0"/>
              <w:marRight w:val="0"/>
              <w:marTop w:val="0"/>
              <w:marBottom w:val="0"/>
              <w:divBdr>
                <w:top w:val="none" w:sz="0" w:space="0" w:color="auto"/>
                <w:left w:val="none" w:sz="0" w:space="0" w:color="auto"/>
                <w:bottom w:val="none" w:sz="0" w:space="0" w:color="auto"/>
                <w:right w:val="none" w:sz="0" w:space="0" w:color="auto"/>
              </w:divBdr>
              <w:divsChild>
                <w:div w:id="789935685">
                  <w:marLeft w:val="0"/>
                  <w:marRight w:val="0"/>
                  <w:marTop w:val="0"/>
                  <w:marBottom w:val="0"/>
                  <w:divBdr>
                    <w:top w:val="none" w:sz="0" w:space="0" w:color="auto"/>
                    <w:left w:val="none" w:sz="0" w:space="0" w:color="auto"/>
                    <w:bottom w:val="none" w:sz="0" w:space="0" w:color="auto"/>
                    <w:right w:val="none" w:sz="0" w:space="0" w:color="auto"/>
                  </w:divBdr>
                  <w:divsChild>
                    <w:div w:id="77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6045">
      <w:bodyDiv w:val="1"/>
      <w:marLeft w:val="0"/>
      <w:marRight w:val="0"/>
      <w:marTop w:val="0"/>
      <w:marBottom w:val="0"/>
      <w:divBdr>
        <w:top w:val="none" w:sz="0" w:space="0" w:color="auto"/>
        <w:left w:val="none" w:sz="0" w:space="0" w:color="auto"/>
        <w:bottom w:val="none" w:sz="0" w:space="0" w:color="auto"/>
        <w:right w:val="none" w:sz="0" w:space="0" w:color="auto"/>
      </w:divBdr>
    </w:div>
    <w:div w:id="288778615">
      <w:bodyDiv w:val="1"/>
      <w:marLeft w:val="0"/>
      <w:marRight w:val="0"/>
      <w:marTop w:val="0"/>
      <w:marBottom w:val="0"/>
      <w:divBdr>
        <w:top w:val="none" w:sz="0" w:space="0" w:color="auto"/>
        <w:left w:val="none" w:sz="0" w:space="0" w:color="auto"/>
        <w:bottom w:val="none" w:sz="0" w:space="0" w:color="auto"/>
        <w:right w:val="none" w:sz="0" w:space="0" w:color="auto"/>
      </w:divBdr>
    </w:div>
    <w:div w:id="347411554">
      <w:bodyDiv w:val="1"/>
      <w:marLeft w:val="0"/>
      <w:marRight w:val="0"/>
      <w:marTop w:val="0"/>
      <w:marBottom w:val="0"/>
      <w:divBdr>
        <w:top w:val="none" w:sz="0" w:space="0" w:color="auto"/>
        <w:left w:val="none" w:sz="0" w:space="0" w:color="auto"/>
        <w:bottom w:val="none" w:sz="0" w:space="0" w:color="auto"/>
        <w:right w:val="none" w:sz="0" w:space="0" w:color="auto"/>
      </w:divBdr>
    </w:div>
    <w:div w:id="368917856">
      <w:bodyDiv w:val="1"/>
      <w:marLeft w:val="0"/>
      <w:marRight w:val="0"/>
      <w:marTop w:val="0"/>
      <w:marBottom w:val="0"/>
      <w:divBdr>
        <w:top w:val="none" w:sz="0" w:space="0" w:color="auto"/>
        <w:left w:val="none" w:sz="0" w:space="0" w:color="auto"/>
        <w:bottom w:val="none" w:sz="0" w:space="0" w:color="auto"/>
        <w:right w:val="none" w:sz="0" w:space="0" w:color="auto"/>
      </w:divBdr>
    </w:div>
    <w:div w:id="377048603">
      <w:bodyDiv w:val="1"/>
      <w:marLeft w:val="0"/>
      <w:marRight w:val="0"/>
      <w:marTop w:val="0"/>
      <w:marBottom w:val="0"/>
      <w:divBdr>
        <w:top w:val="none" w:sz="0" w:space="0" w:color="auto"/>
        <w:left w:val="none" w:sz="0" w:space="0" w:color="auto"/>
        <w:bottom w:val="none" w:sz="0" w:space="0" w:color="auto"/>
        <w:right w:val="none" w:sz="0" w:space="0" w:color="auto"/>
      </w:divBdr>
    </w:div>
    <w:div w:id="602760063">
      <w:bodyDiv w:val="1"/>
      <w:marLeft w:val="0"/>
      <w:marRight w:val="0"/>
      <w:marTop w:val="0"/>
      <w:marBottom w:val="0"/>
      <w:divBdr>
        <w:top w:val="none" w:sz="0" w:space="0" w:color="auto"/>
        <w:left w:val="none" w:sz="0" w:space="0" w:color="auto"/>
        <w:bottom w:val="none" w:sz="0" w:space="0" w:color="auto"/>
        <w:right w:val="none" w:sz="0" w:space="0" w:color="auto"/>
      </w:divBdr>
    </w:div>
    <w:div w:id="770006024">
      <w:bodyDiv w:val="1"/>
      <w:marLeft w:val="0"/>
      <w:marRight w:val="0"/>
      <w:marTop w:val="0"/>
      <w:marBottom w:val="0"/>
      <w:divBdr>
        <w:top w:val="none" w:sz="0" w:space="0" w:color="auto"/>
        <w:left w:val="none" w:sz="0" w:space="0" w:color="auto"/>
        <w:bottom w:val="none" w:sz="0" w:space="0" w:color="auto"/>
        <w:right w:val="none" w:sz="0" w:space="0" w:color="auto"/>
      </w:divBdr>
      <w:divsChild>
        <w:div w:id="868765606">
          <w:marLeft w:val="0"/>
          <w:marRight w:val="0"/>
          <w:marTop w:val="0"/>
          <w:marBottom w:val="0"/>
          <w:divBdr>
            <w:top w:val="none" w:sz="0" w:space="0" w:color="auto"/>
            <w:left w:val="none" w:sz="0" w:space="0" w:color="auto"/>
            <w:bottom w:val="none" w:sz="0" w:space="0" w:color="auto"/>
            <w:right w:val="none" w:sz="0" w:space="0" w:color="auto"/>
          </w:divBdr>
          <w:divsChild>
            <w:div w:id="1416318883">
              <w:marLeft w:val="-240"/>
              <w:marRight w:val="-240"/>
              <w:marTop w:val="0"/>
              <w:marBottom w:val="0"/>
              <w:divBdr>
                <w:top w:val="none" w:sz="0" w:space="0" w:color="auto"/>
                <w:left w:val="none" w:sz="0" w:space="0" w:color="auto"/>
                <w:bottom w:val="none" w:sz="0" w:space="0" w:color="auto"/>
                <w:right w:val="none" w:sz="0" w:space="0" w:color="auto"/>
              </w:divBdr>
              <w:divsChild>
                <w:div w:id="1844974312">
                  <w:marLeft w:val="0"/>
                  <w:marRight w:val="0"/>
                  <w:marTop w:val="0"/>
                  <w:marBottom w:val="0"/>
                  <w:divBdr>
                    <w:top w:val="none" w:sz="0" w:space="0" w:color="auto"/>
                    <w:left w:val="none" w:sz="0" w:space="0" w:color="auto"/>
                    <w:bottom w:val="none" w:sz="0" w:space="0" w:color="auto"/>
                    <w:right w:val="none" w:sz="0" w:space="0" w:color="auto"/>
                  </w:divBdr>
                  <w:divsChild>
                    <w:div w:id="997422501">
                      <w:marLeft w:val="0"/>
                      <w:marRight w:val="0"/>
                      <w:marTop w:val="0"/>
                      <w:marBottom w:val="0"/>
                      <w:divBdr>
                        <w:top w:val="none" w:sz="0" w:space="0" w:color="auto"/>
                        <w:left w:val="none" w:sz="0" w:space="0" w:color="auto"/>
                        <w:bottom w:val="none" w:sz="0" w:space="0" w:color="auto"/>
                        <w:right w:val="none" w:sz="0" w:space="0" w:color="auto"/>
                      </w:divBdr>
                      <w:divsChild>
                        <w:div w:id="1497913395">
                          <w:marLeft w:val="0"/>
                          <w:marRight w:val="0"/>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217160">
      <w:bodyDiv w:val="1"/>
      <w:marLeft w:val="0"/>
      <w:marRight w:val="0"/>
      <w:marTop w:val="0"/>
      <w:marBottom w:val="0"/>
      <w:divBdr>
        <w:top w:val="none" w:sz="0" w:space="0" w:color="auto"/>
        <w:left w:val="none" w:sz="0" w:space="0" w:color="auto"/>
        <w:bottom w:val="none" w:sz="0" w:space="0" w:color="auto"/>
        <w:right w:val="none" w:sz="0" w:space="0" w:color="auto"/>
      </w:divBdr>
    </w:div>
    <w:div w:id="1545365887">
      <w:bodyDiv w:val="1"/>
      <w:marLeft w:val="0"/>
      <w:marRight w:val="0"/>
      <w:marTop w:val="0"/>
      <w:marBottom w:val="0"/>
      <w:divBdr>
        <w:top w:val="none" w:sz="0" w:space="0" w:color="auto"/>
        <w:left w:val="none" w:sz="0" w:space="0" w:color="auto"/>
        <w:bottom w:val="none" w:sz="0" w:space="0" w:color="auto"/>
        <w:right w:val="none" w:sz="0" w:space="0" w:color="auto"/>
      </w:divBdr>
    </w:div>
    <w:div w:id="1565482306">
      <w:bodyDiv w:val="1"/>
      <w:marLeft w:val="0"/>
      <w:marRight w:val="0"/>
      <w:marTop w:val="0"/>
      <w:marBottom w:val="0"/>
      <w:divBdr>
        <w:top w:val="none" w:sz="0" w:space="0" w:color="auto"/>
        <w:left w:val="none" w:sz="0" w:space="0" w:color="auto"/>
        <w:bottom w:val="none" w:sz="0" w:space="0" w:color="auto"/>
        <w:right w:val="none" w:sz="0" w:space="0" w:color="auto"/>
      </w:divBdr>
    </w:div>
    <w:div w:id="1619680103">
      <w:bodyDiv w:val="1"/>
      <w:marLeft w:val="0"/>
      <w:marRight w:val="0"/>
      <w:marTop w:val="0"/>
      <w:marBottom w:val="0"/>
      <w:divBdr>
        <w:top w:val="none" w:sz="0" w:space="0" w:color="auto"/>
        <w:left w:val="none" w:sz="0" w:space="0" w:color="auto"/>
        <w:bottom w:val="none" w:sz="0" w:space="0" w:color="auto"/>
        <w:right w:val="none" w:sz="0" w:space="0" w:color="auto"/>
      </w:divBdr>
    </w:div>
    <w:div w:id="1660035118">
      <w:bodyDiv w:val="1"/>
      <w:marLeft w:val="0"/>
      <w:marRight w:val="0"/>
      <w:marTop w:val="0"/>
      <w:marBottom w:val="0"/>
      <w:divBdr>
        <w:top w:val="none" w:sz="0" w:space="0" w:color="auto"/>
        <w:left w:val="none" w:sz="0" w:space="0" w:color="auto"/>
        <w:bottom w:val="none" w:sz="0" w:space="0" w:color="auto"/>
        <w:right w:val="none" w:sz="0" w:space="0" w:color="auto"/>
      </w:divBdr>
      <w:divsChild>
        <w:div w:id="1020736018">
          <w:marLeft w:val="0"/>
          <w:marRight w:val="0"/>
          <w:marTop w:val="0"/>
          <w:marBottom w:val="0"/>
          <w:divBdr>
            <w:top w:val="none" w:sz="0" w:space="0" w:color="auto"/>
            <w:left w:val="none" w:sz="0" w:space="0" w:color="auto"/>
            <w:bottom w:val="none" w:sz="0" w:space="0" w:color="auto"/>
            <w:right w:val="none" w:sz="0" w:space="0" w:color="auto"/>
          </w:divBdr>
          <w:divsChild>
            <w:div w:id="630064040">
              <w:marLeft w:val="0"/>
              <w:marRight w:val="0"/>
              <w:marTop w:val="0"/>
              <w:marBottom w:val="0"/>
              <w:divBdr>
                <w:top w:val="none" w:sz="0" w:space="0" w:color="auto"/>
                <w:left w:val="none" w:sz="0" w:space="0" w:color="auto"/>
                <w:bottom w:val="none" w:sz="0" w:space="0" w:color="auto"/>
                <w:right w:val="none" w:sz="0" w:space="0" w:color="auto"/>
              </w:divBdr>
              <w:divsChild>
                <w:div w:id="2034527077">
                  <w:marLeft w:val="0"/>
                  <w:marRight w:val="0"/>
                  <w:marTop w:val="0"/>
                  <w:marBottom w:val="0"/>
                  <w:divBdr>
                    <w:top w:val="none" w:sz="0" w:space="0" w:color="auto"/>
                    <w:left w:val="none" w:sz="0" w:space="0" w:color="auto"/>
                    <w:bottom w:val="none" w:sz="0" w:space="0" w:color="auto"/>
                    <w:right w:val="none" w:sz="0" w:space="0" w:color="auto"/>
                  </w:divBdr>
                  <w:divsChild>
                    <w:div w:id="1774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19933">
      <w:bodyDiv w:val="1"/>
      <w:marLeft w:val="0"/>
      <w:marRight w:val="0"/>
      <w:marTop w:val="0"/>
      <w:marBottom w:val="0"/>
      <w:divBdr>
        <w:top w:val="none" w:sz="0" w:space="0" w:color="auto"/>
        <w:left w:val="none" w:sz="0" w:space="0" w:color="auto"/>
        <w:bottom w:val="none" w:sz="0" w:space="0" w:color="auto"/>
        <w:right w:val="none" w:sz="0" w:space="0" w:color="auto"/>
      </w:divBdr>
      <w:divsChild>
        <w:div w:id="627472195">
          <w:marLeft w:val="0"/>
          <w:marRight w:val="0"/>
          <w:marTop w:val="0"/>
          <w:marBottom w:val="0"/>
          <w:divBdr>
            <w:top w:val="none" w:sz="0" w:space="0" w:color="auto"/>
            <w:left w:val="none" w:sz="0" w:space="0" w:color="auto"/>
            <w:bottom w:val="none" w:sz="0" w:space="0" w:color="auto"/>
            <w:right w:val="none" w:sz="0" w:space="0" w:color="auto"/>
          </w:divBdr>
          <w:divsChild>
            <w:div w:id="3750857">
              <w:marLeft w:val="0"/>
              <w:marRight w:val="0"/>
              <w:marTop w:val="0"/>
              <w:marBottom w:val="0"/>
              <w:divBdr>
                <w:top w:val="none" w:sz="0" w:space="0" w:color="auto"/>
                <w:left w:val="none" w:sz="0" w:space="0" w:color="auto"/>
                <w:bottom w:val="none" w:sz="0" w:space="0" w:color="auto"/>
                <w:right w:val="none" w:sz="0" w:space="0" w:color="auto"/>
              </w:divBdr>
              <w:divsChild>
                <w:div w:id="781807340">
                  <w:marLeft w:val="0"/>
                  <w:marRight w:val="0"/>
                  <w:marTop w:val="0"/>
                  <w:marBottom w:val="0"/>
                  <w:divBdr>
                    <w:top w:val="none" w:sz="0" w:space="0" w:color="auto"/>
                    <w:left w:val="none" w:sz="0" w:space="0" w:color="auto"/>
                    <w:bottom w:val="none" w:sz="0" w:space="0" w:color="auto"/>
                    <w:right w:val="none" w:sz="0" w:space="0" w:color="auto"/>
                  </w:divBdr>
                  <w:divsChild>
                    <w:div w:id="1491409389">
                      <w:marLeft w:val="0"/>
                      <w:marRight w:val="0"/>
                      <w:marTop w:val="0"/>
                      <w:marBottom w:val="0"/>
                      <w:divBdr>
                        <w:top w:val="none" w:sz="0" w:space="0" w:color="auto"/>
                        <w:left w:val="none" w:sz="0" w:space="0" w:color="auto"/>
                        <w:bottom w:val="none" w:sz="0" w:space="0" w:color="auto"/>
                        <w:right w:val="none" w:sz="0" w:space="0" w:color="auto"/>
                      </w:divBdr>
                      <w:divsChild>
                        <w:div w:id="1010178756">
                          <w:marLeft w:val="0"/>
                          <w:marRight w:val="0"/>
                          <w:marTop w:val="0"/>
                          <w:marBottom w:val="0"/>
                          <w:divBdr>
                            <w:top w:val="none" w:sz="0" w:space="0" w:color="auto"/>
                            <w:left w:val="none" w:sz="0" w:space="0" w:color="auto"/>
                            <w:bottom w:val="none" w:sz="0" w:space="0" w:color="auto"/>
                            <w:right w:val="none" w:sz="0" w:space="0" w:color="auto"/>
                          </w:divBdr>
                          <w:divsChild>
                            <w:div w:id="1961105050">
                              <w:marLeft w:val="0"/>
                              <w:marRight w:val="0"/>
                              <w:marTop w:val="0"/>
                              <w:marBottom w:val="0"/>
                              <w:divBdr>
                                <w:top w:val="none" w:sz="0" w:space="0" w:color="auto"/>
                                <w:left w:val="none" w:sz="0" w:space="0" w:color="auto"/>
                                <w:bottom w:val="none" w:sz="0" w:space="0" w:color="auto"/>
                                <w:right w:val="none" w:sz="0" w:space="0" w:color="auto"/>
                              </w:divBdr>
                              <w:divsChild>
                                <w:div w:id="156850038">
                                  <w:marLeft w:val="0"/>
                                  <w:marRight w:val="0"/>
                                  <w:marTop w:val="0"/>
                                  <w:marBottom w:val="0"/>
                                  <w:divBdr>
                                    <w:top w:val="none" w:sz="0" w:space="0" w:color="auto"/>
                                    <w:left w:val="none" w:sz="0" w:space="0" w:color="auto"/>
                                    <w:bottom w:val="none" w:sz="0" w:space="0" w:color="auto"/>
                                    <w:right w:val="none" w:sz="0" w:space="0" w:color="auto"/>
                                  </w:divBdr>
                                  <w:divsChild>
                                    <w:div w:id="709111238">
                                      <w:marLeft w:val="0"/>
                                      <w:marRight w:val="0"/>
                                      <w:marTop w:val="0"/>
                                      <w:marBottom w:val="0"/>
                                      <w:divBdr>
                                        <w:top w:val="none" w:sz="0" w:space="0" w:color="auto"/>
                                        <w:left w:val="none" w:sz="0" w:space="0" w:color="auto"/>
                                        <w:bottom w:val="none" w:sz="0" w:space="0" w:color="auto"/>
                                        <w:right w:val="none" w:sz="0" w:space="0" w:color="auto"/>
                                      </w:divBdr>
                                      <w:divsChild>
                                        <w:div w:id="2056585978">
                                          <w:marLeft w:val="0"/>
                                          <w:marRight w:val="0"/>
                                          <w:marTop w:val="0"/>
                                          <w:marBottom w:val="0"/>
                                          <w:divBdr>
                                            <w:top w:val="none" w:sz="0" w:space="0" w:color="auto"/>
                                            <w:left w:val="none" w:sz="0" w:space="0" w:color="auto"/>
                                            <w:bottom w:val="none" w:sz="0" w:space="0" w:color="auto"/>
                                            <w:right w:val="none" w:sz="0" w:space="0" w:color="auto"/>
                                          </w:divBdr>
                                          <w:divsChild>
                                            <w:div w:id="1342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323786">
      <w:bodyDiv w:val="1"/>
      <w:marLeft w:val="0"/>
      <w:marRight w:val="0"/>
      <w:marTop w:val="0"/>
      <w:marBottom w:val="0"/>
      <w:divBdr>
        <w:top w:val="none" w:sz="0" w:space="0" w:color="auto"/>
        <w:left w:val="none" w:sz="0" w:space="0" w:color="auto"/>
        <w:bottom w:val="none" w:sz="0" w:space="0" w:color="auto"/>
        <w:right w:val="none" w:sz="0" w:space="0" w:color="auto"/>
      </w:divBdr>
    </w:div>
    <w:div w:id="1824809951">
      <w:bodyDiv w:val="1"/>
      <w:marLeft w:val="0"/>
      <w:marRight w:val="0"/>
      <w:marTop w:val="0"/>
      <w:marBottom w:val="0"/>
      <w:divBdr>
        <w:top w:val="none" w:sz="0" w:space="0" w:color="auto"/>
        <w:left w:val="none" w:sz="0" w:space="0" w:color="auto"/>
        <w:bottom w:val="none" w:sz="0" w:space="0" w:color="auto"/>
        <w:right w:val="none" w:sz="0" w:space="0" w:color="auto"/>
      </w:divBdr>
    </w:div>
    <w:div w:id="20803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2.epa.gov/pesticide-registration/assembly-electronic-packages-and-discs" TargetMode="External"/><Relationship Id="rId26" Type="http://schemas.openxmlformats.org/officeDocument/2006/relationships/hyperlink" Target="http://www.epa.gov/opprd001/forms/" TargetMode="External"/><Relationship Id="rId3" Type="http://schemas.openxmlformats.org/officeDocument/2006/relationships/customXml" Target="../customXml/item3.xml"/><Relationship Id="rId21" Type="http://schemas.openxmlformats.org/officeDocument/2006/relationships/hyperlink" Target="https://fdms.erulemaking.net/fdms-web-agency/custom/jsp/agency/docketwizard/DocketWizardContainer.js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2.epa.gov/pesticide-registration/electronic-submissions-pesticide-applications" TargetMode="External"/><Relationship Id="rId25" Type="http://schemas.openxmlformats.org/officeDocument/2006/relationships/hyperlink" Target="http://uscode.house.gov/view.xhtml?hl=false&amp;edition=prelim&amp;path=%2Fprelim%40title7%2Fchapter6%2Fsubchapter2&amp;req=granuleid%3AUSC-prelim-title7-section136w-8&amp;num=0&amp;saved=L3ByZWxpbUB0aXRsZTcvY2hhcHRlcjYvc3ViY2hhcHRlcjI%3D%7CZ3JhbnVsZWlkOlVTQy1wcmVsaW0tdGl0bGU3LWNoYXB0ZXI2LXN1YmNoYXB0ZXIy%7C%7C%7C0%7Cfalse%7Cpreli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2.epa.gov/pesticide-registration/prn-97-3-guidelines-expedited-review-conventional-pesticides-under-reduced" TargetMode="External"/><Relationship Id="rId20" Type="http://schemas.openxmlformats.org/officeDocument/2006/relationships/hyperlink" Target="http://www.regulations.gov" TargetMode="External"/><Relationship Id="rId29" Type="http://schemas.openxmlformats.org/officeDocument/2006/relationships/hyperlink" Target="http://www.ecfr.gov/cgi-bin/text-idx?SID=acde416ef7c416ec92c63b02c82911b8&amp;mc=true&amp;node=pt40.24.156&amp;rgn=div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uscode.house.gov/uscode-cgi/fastweb.exe?getdoc+uscview+t13t16+2164+0++%28%29%20%20AND%20%28%2815%29%20ADJ%20USC%29%3ACITE%20AND%20%28USC%20w%2F10%20%282603%29%29%3ACITE%20%20%20%20%20%20%20%20%20"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gpo.gov/fdsys/pkg/USCODE-2012-title7/html/USCODE-2012-title7-chap6-subchapII-sec136w-8.htm" TargetMode="External"/><Relationship Id="rId23" Type="http://schemas.openxmlformats.org/officeDocument/2006/relationships/hyperlink" Target="http://www.regulations.gov" TargetMode="External"/><Relationship Id="rId28" Type="http://schemas.openxmlformats.org/officeDocument/2006/relationships/hyperlink" Target="http://www.ecfr.gov/cgi-bin/text-idx?SID=acde416ef7c416ec92c63b02c82911b8&amp;mc=true&amp;node=pt40.24.152&amp;rgn=div5" TargetMode="External"/><Relationship Id="rId10" Type="http://schemas.openxmlformats.org/officeDocument/2006/relationships/styles" Target="styles.xml"/><Relationship Id="rId19" Type="http://schemas.openxmlformats.org/officeDocument/2006/relationships/hyperlink" Target="https://fdms.erulemaking.net/fdms-web-agency/custom/jsp/agency/docketwizard/DocketWizardContainer.jsp" TargetMode="External"/><Relationship Id="rId31" Type="http://schemas.openxmlformats.org/officeDocument/2006/relationships/hyperlink" Target="http://www.ecfr.gov/cgi-bin/text-idx?SID=acde416ef7c416ec92c63b02c82911b8&amp;mc=true&amp;node=pt40.1.9&amp;rgn=div5"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fdms.erulemaking.net/fdms-web-agency/custom/jsp/agency/docketwizard/DocketWizardContainer.jsp" TargetMode="External"/><Relationship Id="rId27" Type="http://schemas.openxmlformats.org/officeDocument/2006/relationships/hyperlink" Target="http://www.epa.gov/PR_Notices/pr97-3.html" TargetMode="External"/><Relationship Id="rId30" Type="http://schemas.openxmlformats.org/officeDocument/2006/relationships/hyperlink" Target="http://www.ecfr.gov/cgi-bin/text-idx?SID=acde416ef7c416ec92c63b02c82911b8&amp;mc=true&amp;node=pt40.24.158&amp;rgn=div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2015-02-19T05:00:00+00:00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97a09a4-7d27-4643-b25e-96b8c9313503">
      <UserInfo>
        <DisplayName>Rosenblatt, Daniel</DisplayName>
        <AccountId>913</AccountId>
        <AccountType/>
      </UserInfo>
      <UserInfo>
        <DisplayName>Hill, Shaunta</DisplayName>
        <AccountId>884</AccountId>
        <AccountType/>
      </UserInfo>
      <UserInfo>
        <DisplayName>Schuler, Dominic</DisplayName>
        <AccountId>1208</AccountId>
        <AccountType/>
      </UserInfo>
      <UserInfo>
        <DisplayName>Forrest, Robert A</DisplayName>
        <AccountId>1231</AccountId>
        <AccountType/>
      </UserInfo>
      <UserInfo>
        <DisplayName>Schaible, Stephen</DisplayName>
        <AccountId>986</AccountId>
        <AccountType/>
      </UserInfo>
    </SharedWithUsers>
    <SharingHintHash xmlns="097a09a4-7d27-4643-b25e-96b8c9313503">1651299356</SharingHintHas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471A473335A4E841C3E9B1A24EE3F" ma:contentTypeVersion="2" ma:contentTypeDescription="Create a new document." ma:contentTypeScope="" ma:versionID="c8b9905b248acfe114881f68e9c90ec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97a09a4-7d27-4643-b25e-96b8c9313503" targetNamespace="http://schemas.microsoft.com/office/2006/metadata/properties" ma:root="true" ma:fieldsID="a6440ead0bdd4ea19f67d20d3da9d8f8" ns1:_="" ns2:_="" ns3:_="" ns4:_="" ns5:_="">
    <xsd:import namespace="http://schemas.microsoft.com/sharepoint/v3"/>
    <xsd:import namespace="4ffa91fb-a0ff-4ac5-b2db-65c790d184a4"/>
    <xsd:import namespace="http://schemas.microsoft.com/sharepoint.v3"/>
    <xsd:import namespace="http://schemas.microsoft.com/sharepoint/v3/fields"/>
    <xsd:import namespace="097a09a4-7d27-4643-b25e-96b8c931350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a09a4-7d27-4643-b25e-96b8c931350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9B5D-6D9B-4C4C-9FBE-BC99A32DABE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97a09a4-7d27-4643-b25e-96b8c9313503"/>
  </ds:schemaRefs>
</ds:datastoreItem>
</file>

<file path=customXml/itemProps2.xml><?xml version="1.0" encoding="utf-8"?>
<ds:datastoreItem xmlns:ds="http://schemas.openxmlformats.org/officeDocument/2006/customXml" ds:itemID="{06103DBB-561C-453A-9298-1E25588CEE08}">
  <ds:schemaRefs>
    <ds:schemaRef ds:uri="http://schemas.microsoft.com/sharepoint/v3/contenttype/forms"/>
  </ds:schemaRefs>
</ds:datastoreItem>
</file>

<file path=customXml/itemProps3.xml><?xml version="1.0" encoding="utf-8"?>
<ds:datastoreItem xmlns:ds="http://schemas.openxmlformats.org/officeDocument/2006/customXml" ds:itemID="{5580FED5-3968-4B4E-9D7E-AA09FBB64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97a09a4-7d27-4643-b25e-96b8c931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C32D4-9F80-4B7D-B422-8AC5043B96B1}">
  <ds:schemaRefs>
    <ds:schemaRef ds:uri="Microsoft.SharePoint.Taxonomy.ContentTypeSync"/>
  </ds:schemaRefs>
</ds:datastoreItem>
</file>

<file path=customXml/itemProps5.xml><?xml version="1.0" encoding="utf-8"?>
<ds:datastoreItem xmlns:ds="http://schemas.openxmlformats.org/officeDocument/2006/customXml" ds:itemID="{A59AFDE2-0DAF-4F13-9461-60C185ABC195}">
  <ds:schemaRefs>
    <ds:schemaRef ds:uri="http://schemas.openxmlformats.org/officeDocument/2006/bibliography"/>
  </ds:schemaRefs>
</ds:datastoreItem>
</file>

<file path=customXml/itemProps6.xml><?xml version="1.0" encoding="utf-8"?>
<ds:datastoreItem xmlns:ds="http://schemas.openxmlformats.org/officeDocument/2006/customXml" ds:itemID="{D74DEAB4-AF20-4C69-8527-DE3657A439B8}">
  <ds:schemaRefs>
    <ds:schemaRef ds:uri="http://schemas.openxmlformats.org/officeDocument/2006/bibliography"/>
  </ds:schemaRefs>
</ds:datastoreItem>
</file>

<file path=customXml/itemProps7.xml><?xml version="1.0" encoding="utf-8"?>
<ds:datastoreItem xmlns:ds="http://schemas.openxmlformats.org/officeDocument/2006/customXml" ds:itemID="{ABB7778C-E19E-45EE-8A3F-073086FED851}">
  <ds:schemaRefs>
    <ds:schemaRef ds:uri="http://schemas.openxmlformats.org/officeDocument/2006/bibliography"/>
  </ds:schemaRefs>
</ds:datastoreItem>
</file>

<file path=customXml/itemProps8.xml><?xml version="1.0" encoding="utf-8"?>
<ds:datastoreItem xmlns:ds="http://schemas.openxmlformats.org/officeDocument/2006/customXml" ds:itemID="{6C32D512-8D8F-482D-97A5-874325BD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12760</Words>
  <Characters>72735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Clark, Spencer</cp:lastModifiedBy>
  <cp:revision>4</cp:revision>
  <cp:lastPrinted>2016-04-28T17:24:00Z</cp:lastPrinted>
  <dcterms:created xsi:type="dcterms:W3CDTF">2016-06-21T17:15:00Z</dcterms:created>
  <dcterms:modified xsi:type="dcterms:W3CDTF">2016-06-23T19:26:00Z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0x010100501471A473335A4E841C3E9B1A24EE3F</vt:lpwstr>
  </property>
  <property fmtid="{D5CDD505-2E9C-101B-9397-08002B2CF9AE}" pid="4" name="TaxKeyword">
    <vt:lpwstr/>
  </property>
  <property fmtid="{D5CDD505-2E9C-101B-9397-08002B2CF9AE}" pid="5" name="Document Type">
    <vt:lpwstr/>
  </property>
  <property fmtid="{D5CDD505-2E9C-101B-9397-08002B2CF9AE}" pid="6" name="EPA Subject">
    <vt:lpwstr/>
  </property>
</Properties>
</file>