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CD666" w14:textId="77777777" w:rsidR="00DE1DC3" w:rsidRPr="00C77927" w:rsidRDefault="00DE1DC3" w:rsidP="007E7234">
      <w:pPr>
        <w:jc w:val="center"/>
        <w:rPr>
          <w:b/>
        </w:rPr>
      </w:pPr>
      <w:bookmarkStart w:id="0" w:name="_GoBack"/>
      <w:bookmarkEnd w:id="0"/>
    </w:p>
    <w:p w14:paraId="3BB9EC35" w14:textId="77777777" w:rsidR="00BA5C51" w:rsidRPr="00D25FC9" w:rsidRDefault="00BA5C51">
      <w:pPr>
        <w:jc w:val="center"/>
        <w:rPr>
          <w:b/>
          <w:bCs/>
          <w:sz w:val="28"/>
          <w:szCs w:val="28"/>
        </w:rPr>
      </w:pPr>
      <w:r w:rsidRPr="00C77927">
        <w:rPr>
          <w:b/>
          <w:bCs/>
          <w:sz w:val="28"/>
          <w:szCs w:val="28"/>
        </w:rPr>
        <w:t>SUPPORTING STATEMENT PART A:</w:t>
      </w:r>
    </w:p>
    <w:p w14:paraId="66A78F55" w14:textId="77777777" w:rsidR="00BA5C51" w:rsidRPr="00D25FC9" w:rsidRDefault="00BA5C51">
      <w:pPr>
        <w:jc w:val="center"/>
        <w:rPr>
          <w:b/>
          <w:bCs/>
          <w:sz w:val="28"/>
          <w:szCs w:val="28"/>
        </w:rPr>
      </w:pPr>
      <w:r w:rsidRPr="00C77927">
        <w:rPr>
          <w:b/>
          <w:bCs/>
          <w:sz w:val="28"/>
          <w:szCs w:val="28"/>
        </w:rPr>
        <w:t>INFORMATION COLLECTION REQUEST</w:t>
      </w:r>
    </w:p>
    <w:p w14:paraId="4532A72A" w14:textId="77777777" w:rsidR="00F43805" w:rsidRPr="00D25FC9" w:rsidRDefault="00BA5C51">
      <w:pPr>
        <w:jc w:val="center"/>
        <w:rPr>
          <w:b/>
          <w:bCs/>
          <w:sz w:val="28"/>
          <w:szCs w:val="28"/>
        </w:rPr>
      </w:pPr>
      <w:r w:rsidRPr="00C77927">
        <w:rPr>
          <w:b/>
          <w:bCs/>
          <w:sz w:val="28"/>
          <w:szCs w:val="28"/>
        </w:rPr>
        <w:t>FOR THE</w:t>
      </w:r>
    </w:p>
    <w:p w14:paraId="4343D6B1" w14:textId="77777777" w:rsidR="00F43805" w:rsidRPr="00D25FC9" w:rsidRDefault="00BA5C51">
      <w:pPr>
        <w:jc w:val="center"/>
        <w:rPr>
          <w:b/>
          <w:bCs/>
          <w:sz w:val="28"/>
          <w:szCs w:val="28"/>
        </w:rPr>
      </w:pPr>
      <w:r w:rsidRPr="00C77927">
        <w:rPr>
          <w:b/>
          <w:bCs/>
          <w:sz w:val="28"/>
          <w:szCs w:val="28"/>
        </w:rPr>
        <w:t>GREENHOUSE GAS</w:t>
      </w:r>
      <w:r w:rsidR="001F7826" w:rsidRPr="00C77927">
        <w:rPr>
          <w:b/>
          <w:bCs/>
          <w:sz w:val="28"/>
          <w:szCs w:val="28"/>
        </w:rPr>
        <w:t xml:space="preserve"> REPORTING PROGRAM</w:t>
      </w:r>
    </w:p>
    <w:p w14:paraId="1C901560" w14:textId="77777777" w:rsidR="00BA5C51" w:rsidRPr="00C77927" w:rsidRDefault="00BA5C51" w:rsidP="007E7234">
      <w:pPr>
        <w:jc w:val="center"/>
        <w:rPr>
          <w:b/>
          <w:sz w:val="28"/>
          <w:szCs w:val="28"/>
        </w:rPr>
      </w:pPr>
    </w:p>
    <w:p w14:paraId="5E90CBE1" w14:textId="77777777" w:rsidR="00BA5C51" w:rsidRPr="00C77927" w:rsidRDefault="00BA5C51" w:rsidP="007E7234">
      <w:pPr>
        <w:jc w:val="center"/>
        <w:rPr>
          <w:b/>
        </w:rPr>
      </w:pPr>
    </w:p>
    <w:p w14:paraId="02554A95" w14:textId="749F926D" w:rsidR="0060713F" w:rsidRPr="00D25FC9" w:rsidRDefault="00BA5C51">
      <w:pPr>
        <w:jc w:val="center"/>
        <w:rPr>
          <w:b/>
          <w:bCs/>
        </w:rPr>
      </w:pPr>
      <w:r w:rsidRPr="00C77927">
        <w:rPr>
          <w:b/>
          <w:bCs/>
        </w:rPr>
        <w:t xml:space="preserve">EPA ICR No. </w:t>
      </w:r>
      <w:r w:rsidR="00FA3C81" w:rsidRPr="00C77927">
        <w:rPr>
          <w:b/>
          <w:bCs/>
        </w:rPr>
        <w:t>23</w:t>
      </w:r>
      <w:r w:rsidR="00E87D73" w:rsidRPr="00C77927">
        <w:rPr>
          <w:b/>
          <w:bCs/>
        </w:rPr>
        <w:t>0</w:t>
      </w:r>
      <w:r w:rsidR="00E16E5B" w:rsidRPr="00C77927">
        <w:rPr>
          <w:b/>
          <w:bCs/>
        </w:rPr>
        <w:t>0.</w:t>
      </w:r>
      <w:r w:rsidR="000603F0" w:rsidRPr="00C77927">
        <w:rPr>
          <w:b/>
          <w:bCs/>
        </w:rPr>
        <w:t xml:space="preserve">18 </w:t>
      </w:r>
    </w:p>
    <w:p w14:paraId="1D1AF7FE" w14:textId="77777777" w:rsidR="00BA5C51" w:rsidRPr="00C77927" w:rsidRDefault="00BA5C51" w:rsidP="007E7234">
      <w:pPr>
        <w:jc w:val="center"/>
        <w:rPr>
          <w:b/>
        </w:rPr>
      </w:pPr>
    </w:p>
    <w:p w14:paraId="2EA89827" w14:textId="77777777" w:rsidR="00BA5C51" w:rsidRPr="00C77927" w:rsidRDefault="00BA5C51" w:rsidP="00BB1633">
      <w:pPr>
        <w:jc w:val="center"/>
        <w:rPr>
          <w:b/>
        </w:rPr>
      </w:pPr>
    </w:p>
    <w:p w14:paraId="14E1E896" w14:textId="77777777" w:rsidR="00BA5C51" w:rsidRPr="00C77927" w:rsidRDefault="00BA5C51" w:rsidP="00BB1633">
      <w:pPr>
        <w:jc w:val="center"/>
        <w:rPr>
          <w:b/>
        </w:rPr>
      </w:pPr>
    </w:p>
    <w:p w14:paraId="39A482DB" w14:textId="77777777" w:rsidR="00BA5C51" w:rsidRPr="00C77927" w:rsidRDefault="00BA5C51" w:rsidP="00BB1633">
      <w:pPr>
        <w:jc w:val="center"/>
        <w:rPr>
          <w:b/>
        </w:rPr>
      </w:pPr>
    </w:p>
    <w:p w14:paraId="773CE685" w14:textId="77777777" w:rsidR="00BA5C51" w:rsidRPr="00C77927" w:rsidRDefault="00BA5C51" w:rsidP="00BB1633">
      <w:pPr>
        <w:jc w:val="center"/>
        <w:rPr>
          <w:b/>
        </w:rPr>
      </w:pPr>
    </w:p>
    <w:p w14:paraId="766469C9" w14:textId="77777777" w:rsidR="006F06C9" w:rsidRPr="00C77927" w:rsidRDefault="006F06C9" w:rsidP="00BB1633">
      <w:pPr>
        <w:jc w:val="center"/>
        <w:rPr>
          <w:b/>
        </w:rPr>
      </w:pPr>
    </w:p>
    <w:p w14:paraId="053B2C66" w14:textId="77777777" w:rsidR="006F06C9" w:rsidRPr="00C77927" w:rsidRDefault="006F06C9" w:rsidP="00BB1633">
      <w:pPr>
        <w:jc w:val="center"/>
        <w:rPr>
          <w:b/>
        </w:rPr>
      </w:pPr>
    </w:p>
    <w:p w14:paraId="4A22F994" w14:textId="77777777" w:rsidR="006F06C9" w:rsidRPr="00C77927" w:rsidRDefault="006F06C9" w:rsidP="00BB1633">
      <w:pPr>
        <w:jc w:val="center"/>
        <w:rPr>
          <w:b/>
        </w:rPr>
      </w:pPr>
    </w:p>
    <w:p w14:paraId="3ACD8945" w14:textId="77777777" w:rsidR="006F06C9" w:rsidRPr="00C77927" w:rsidRDefault="006F06C9" w:rsidP="00BB1633">
      <w:pPr>
        <w:jc w:val="center"/>
        <w:rPr>
          <w:b/>
        </w:rPr>
      </w:pPr>
    </w:p>
    <w:p w14:paraId="7A17E21F" w14:textId="77777777" w:rsidR="006F06C9" w:rsidRPr="00C77927" w:rsidRDefault="006F06C9" w:rsidP="00BB1633">
      <w:pPr>
        <w:jc w:val="center"/>
        <w:rPr>
          <w:b/>
        </w:rPr>
      </w:pPr>
    </w:p>
    <w:p w14:paraId="014AB919" w14:textId="77777777" w:rsidR="006F06C9" w:rsidRPr="00C77927" w:rsidRDefault="006F06C9" w:rsidP="00BB1633">
      <w:pPr>
        <w:jc w:val="center"/>
        <w:rPr>
          <w:b/>
        </w:rPr>
      </w:pPr>
    </w:p>
    <w:p w14:paraId="2AABB50C" w14:textId="77777777" w:rsidR="006F06C9" w:rsidRPr="00C77927" w:rsidRDefault="006F06C9" w:rsidP="00BB1633">
      <w:pPr>
        <w:jc w:val="center"/>
        <w:rPr>
          <w:b/>
        </w:rPr>
      </w:pPr>
    </w:p>
    <w:p w14:paraId="184D5359" w14:textId="77777777" w:rsidR="006F06C9" w:rsidRPr="00C77927" w:rsidRDefault="006F06C9" w:rsidP="00BB1633">
      <w:pPr>
        <w:jc w:val="center"/>
        <w:rPr>
          <w:b/>
        </w:rPr>
      </w:pPr>
    </w:p>
    <w:p w14:paraId="69832EF8" w14:textId="77777777" w:rsidR="006F06C9" w:rsidRPr="00C77927" w:rsidRDefault="006F06C9" w:rsidP="00BB1633">
      <w:pPr>
        <w:jc w:val="center"/>
        <w:rPr>
          <w:b/>
        </w:rPr>
      </w:pPr>
    </w:p>
    <w:p w14:paraId="68ADDA0A" w14:textId="77777777" w:rsidR="006F06C9" w:rsidRPr="00C77927" w:rsidRDefault="006F06C9" w:rsidP="00BB1633">
      <w:pPr>
        <w:jc w:val="center"/>
        <w:rPr>
          <w:b/>
        </w:rPr>
      </w:pPr>
    </w:p>
    <w:p w14:paraId="7092900A" w14:textId="77777777" w:rsidR="006F06C9" w:rsidRPr="00C77927" w:rsidRDefault="006F06C9" w:rsidP="00BB1633">
      <w:pPr>
        <w:jc w:val="center"/>
        <w:rPr>
          <w:b/>
        </w:rPr>
      </w:pPr>
    </w:p>
    <w:p w14:paraId="41ACCABD" w14:textId="77777777" w:rsidR="006F06C9" w:rsidRPr="00C77927" w:rsidRDefault="006F06C9" w:rsidP="00BB1633">
      <w:pPr>
        <w:jc w:val="center"/>
        <w:rPr>
          <w:b/>
        </w:rPr>
      </w:pPr>
    </w:p>
    <w:p w14:paraId="1CEA9F49" w14:textId="77777777" w:rsidR="006F06C9" w:rsidRPr="00C77927" w:rsidRDefault="006F06C9" w:rsidP="00BB1633">
      <w:pPr>
        <w:jc w:val="center"/>
        <w:rPr>
          <w:b/>
        </w:rPr>
      </w:pPr>
    </w:p>
    <w:p w14:paraId="4D8BA712" w14:textId="77777777" w:rsidR="0046080C" w:rsidRPr="00C77927" w:rsidRDefault="0046080C" w:rsidP="00BB1633">
      <w:pPr>
        <w:jc w:val="center"/>
        <w:rPr>
          <w:b/>
        </w:rPr>
      </w:pPr>
    </w:p>
    <w:p w14:paraId="044F96E3" w14:textId="2967F1D3" w:rsidR="00BA5C51" w:rsidRPr="00D25FC9" w:rsidRDefault="00432B64">
      <w:pPr>
        <w:jc w:val="center"/>
        <w:rPr>
          <w:b/>
          <w:bCs/>
        </w:rPr>
      </w:pPr>
      <w:r>
        <w:rPr>
          <w:b/>
          <w:bCs/>
        </w:rPr>
        <w:t xml:space="preserve">August </w:t>
      </w:r>
      <w:r w:rsidR="00D434C9" w:rsidRPr="00C77927">
        <w:rPr>
          <w:b/>
          <w:bCs/>
        </w:rPr>
        <w:t>2019</w:t>
      </w:r>
    </w:p>
    <w:p w14:paraId="7C5C3197" w14:textId="77777777" w:rsidR="007E7234" w:rsidRPr="00C77927" w:rsidRDefault="007E7234" w:rsidP="00BB1633">
      <w:pPr>
        <w:jc w:val="center"/>
        <w:sectPr w:rsidR="007E7234" w:rsidRPr="00C77927" w:rsidSect="007E7234">
          <w:type w:val="continuous"/>
          <w:pgSz w:w="12240" w:h="15840" w:code="1"/>
          <w:pgMar w:top="1440" w:right="1440" w:bottom="1440" w:left="1440" w:header="720" w:footer="432" w:gutter="0"/>
          <w:pgNumType w:start="1"/>
          <w:cols w:space="720"/>
          <w:vAlign w:val="center"/>
          <w:docGrid w:linePitch="360"/>
        </w:sectPr>
      </w:pPr>
    </w:p>
    <w:p w14:paraId="77E777B8" w14:textId="77777777" w:rsidR="007E7234" w:rsidRPr="00D25FC9" w:rsidRDefault="007E7234">
      <w:pPr>
        <w:jc w:val="center"/>
        <w:rPr>
          <w:b/>
          <w:bCs/>
        </w:rPr>
      </w:pPr>
      <w:r w:rsidRPr="00C77927">
        <w:rPr>
          <w:b/>
          <w:bCs/>
        </w:rPr>
        <w:lastRenderedPageBreak/>
        <w:t>TABLE OF CONTENTS</w:t>
      </w:r>
    </w:p>
    <w:p w14:paraId="05E8D671" w14:textId="77777777" w:rsidR="007E7234" w:rsidRPr="00C77927" w:rsidRDefault="007E7234" w:rsidP="00BB1633">
      <w:pPr>
        <w:jc w:val="center"/>
      </w:pPr>
    </w:p>
    <w:p w14:paraId="5077659F" w14:textId="77777777" w:rsidR="00F3717A" w:rsidRPr="00C77927" w:rsidRDefault="00F3717A" w:rsidP="00BB1633">
      <w:pPr>
        <w:jc w:val="center"/>
      </w:pPr>
    </w:p>
    <w:p w14:paraId="45489C32" w14:textId="294D783D" w:rsidR="003E1DFA" w:rsidRDefault="00DE311E">
      <w:pPr>
        <w:pStyle w:val="TOC1"/>
        <w:rPr>
          <w:rFonts w:asciiTheme="minorHAnsi" w:eastAsiaTheme="minorEastAsia" w:hAnsiTheme="minorHAnsi" w:cstheme="minorBidi"/>
          <w:noProof/>
          <w:sz w:val="22"/>
          <w:szCs w:val="22"/>
        </w:rPr>
      </w:pPr>
      <w:r w:rsidRPr="00C77927">
        <w:fldChar w:fldCharType="begin"/>
      </w:r>
      <w:r w:rsidR="00F3717A" w:rsidRPr="00C77927">
        <w:instrText xml:space="preserve"> TOC \o "1-2" \h \z \u </w:instrText>
      </w:r>
      <w:r w:rsidRPr="00C77927">
        <w:fldChar w:fldCharType="separate"/>
      </w:r>
      <w:hyperlink w:anchor="_Toc10555969" w:history="1">
        <w:r w:rsidR="003E1DFA" w:rsidRPr="00B467E4">
          <w:rPr>
            <w:rStyle w:val="Hyperlink"/>
            <w:noProof/>
          </w:rPr>
          <w:t>1.</w:t>
        </w:r>
        <w:r w:rsidR="003E1DFA">
          <w:rPr>
            <w:rFonts w:asciiTheme="minorHAnsi" w:eastAsiaTheme="minorEastAsia" w:hAnsiTheme="minorHAnsi" w:cstheme="minorBidi"/>
            <w:noProof/>
            <w:sz w:val="22"/>
            <w:szCs w:val="22"/>
          </w:rPr>
          <w:tab/>
        </w:r>
        <w:r w:rsidR="003E1DFA" w:rsidRPr="00B467E4">
          <w:rPr>
            <w:rStyle w:val="Hyperlink"/>
            <w:noProof/>
          </w:rPr>
          <w:t>IDENTIFICATION OF THE INFORMATION COLLECTION</w:t>
        </w:r>
        <w:r w:rsidR="003E1DFA">
          <w:rPr>
            <w:noProof/>
            <w:webHidden/>
          </w:rPr>
          <w:tab/>
        </w:r>
        <w:r w:rsidR="003E1DFA">
          <w:rPr>
            <w:noProof/>
            <w:webHidden/>
          </w:rPr>
          <w:fldChar w:fldCharType="begin"/>
        </w:r>
        <w:r w:rsidR="003E1DFA">
          <w:rPr>
            <w:noProof/>
            <w:webHidden/>
          </w:rPr>
          <w:instrText xml:space="preserve"> PAGEREF _Toc10555969 \h </w:instrText>
        </w:r>
        <w:r w:rsidR="003E1DFA">
          <w:rPr>
            <w:noProof/>
            <w:webHidden/>
          </w:rPr>
        </w:r>
        <w:r w:rsidR="003E1DFA">
          <w:rPr>
            <w:noProof/>
            <w:webHidden/>
          </w:rPr>
          <w:fldChar w:fldCharType="separate"/>
        </w:r>
        <w:r w:rsidR="0051088B">
          <w:rPr>
            <w:noProof/>
            <w:webHidden/>
          </w:rPr>
          <w:t>1</w:t>
        </w:r>
        <w:r w:rsidR="003E1DFA">
          <w:rPr>
            <w:noProof/>
            <w:webHidden/>
          </w:rPr>
          <w:fldChar w:fldCharType="end"/>
        </w:r>
      </w:hyperlink>
    </w:p>
    <w:p w14:paraId="0D9CFAF1" w14:textId="5846596A" w:rsidR="003E1DFA" w:rsidRDefault="00796FAE">
      <w:pPr>
        <w:pStyle w:val="TOC2"/>
        <w:rPr>
          <w:rFonts w:asciiTheme="minorHAnsi" w:eastAsiaTheme="minorEastAsia" w:hAnsiTheme="minorHAnsi" w:cstheme="minorBidi"/>
          <w:noProof/>
          <w:sz w:val="22"/>
          <w:szCs w:val="22"/>
        </w:rPr>
      </w:pPr>
      <w:hyperlink w:anchor="_Toc10555970" w:history="1">
        <w:r w:rsidR="003E1DFA" w:rsidRPr="00B467E4">
          <w:rPr>
            <w:rStyle w:val="Hyperlink"/>
            <w:noProof/>
          </w:rPr>
          <w:t>1(a) Title of the Information Collection</w:t>
        </w:r>
        <w:r w:rsidR="003E1DFA">
          <w:rPr>
            <w:noProof/>
            <w:webHidden/>
          </w:rPr>
          <w:tab/>
        </w:r>
        <w:r w:rsidR="003E1DFA">
          <w:rPr>
            <w:noProof/>
            <w:webHidden/>
          </w:rPr>
          <w:fldChar w:fldCharType="begin"/>
        </w:r>
        <w:r w:rsidR="003E1DFA">
          <w:rPr>
            <w:noProof/>
            <w:webHidden/>
          </w:rPr>
          <w:instrText xml:space="preserve"> PAGEREF _Toc10555970 \h </w:instrText>
        </w:r>
        <w:r w:rsidR="003E1DFA">
          <w:rPr>
            <w:noProof/>
            <w:webHidden/>
          </w:rPr>
        </w:r>
        <w:r w:rsidR="003E1DFA">
          <w:rPr>
            <w:noProof/>
            <w:webHidden/>
          </w:rPr>
          <w:fldChar w:fldCharType="separate"/>
        </w:r>
        <w:r w:rsidR="0051088B">
          <w:rPr>
            <w:noProof/>
            <w:webHidden/>
          </w:rPr>
          <w:t>1</w:t>
        </w:r>
        <w:r w:rsidR="003E1DFA">
          <w:rPr>
            <w:noProof/>
            <w:webHidden/>
          </w:rPr>
          <w:fldChar w:fldCharType="end"/>
        </w:r>
      </w:hyperlink>
    </w:p>
    <w:p w14:paraId="5A539BAF" w14:textId="62B32357" w:rsidR="003E1DFA" w:rsidRDefault="00796FAE">
      <w:pPr>
        <w:pStyle w:val="TOC2"/>
        <w:rPr>
          <w:rFonts w:asciiTheme="minorHAnsi" w:eastAsiaTheme="minorEastAsia" w:hAnsiTheme="minorHAnsi" w:cstheme="minorBidi"/>
          <w:noProof/>
          <w:sz w:val="22"/>
          <w:szCs w:val="22"/>
        </w:rPr>
      </w:pPr>
      <w:hyperlink w:anchor="_Toc10555971" w:history="1">
        <w:r w:rsidR="003E1DFA" w:rsidRPr="00B467E4">
          <w:rPr>
            <w:rStyle w:val="Hyperlink"/>
            <w:noProof/>
          </w:rPr>
          <w:t>1(b) Short Characterization/Abstract</w:t>
        </w:r>
        <w:r w:rsidR="003E1DFA">
          <w:rPr>
            <w:noProof/>
            <w:webHidden/>
          </w:rPr>
          <w:tab/>
        </w:r>
        <w:r w:rsidR="003E1DFA">
          <w:rPr>
            <w:noProof/>
            <w:webHidden/>
          </w:rPr>
          <w:fldChar w:fldCharType="begin"/>
        </w:r>
        <w:r w:rsidR="003E1DFA">
          <w:rPr>
            <w:noProof/>
            <w:webHidden/>
          </w:rPr>
          <w:instrText xml:space="preserve"> PAGEREF _Toc10555971 \h </w:instrText>
        </w:r>
        <w:r w:rsidR="003E1DFA">
          <w:rPr>
            <w:noProof/>
            <w:webHidden/>
          </w:rPr>
        </w:r>
        <w:r w:rsidR="003E1DFA">
          <w:rPr>
            <w:noProof/>
            <w:webHidden/>
          </w:rPr>
          <w:fldChar w:fldCharType="separate"/>
        </w:r>
        <w:r w:rsidR="0051088B">
          <w:rPr>
            <w:noProof/>
            <w:webHidden/>
          </w:rPr>
          <w:t>1</w:t>
        </w:r>
        <w:r w:rsidR="003E1DFA">
          <w:rPr>
            <w:noProof/>
            <w:webHidden/>
          </w:rPr>
          <w:fldChar w:fldCharType="end"/>
        </w:r>
      </w:hyperlink>
    </w:p>
    <w:p w14:paraId="548861E3" w14:textId="2BF36834" w:rsidR="003E1DFA" w:rsidRDefault="00796FAE">
      <w:pPr>
        <w:pStyle w:val="TOC1"/>
        <w:rPr>
          <w:rFonts w:asciiTheme="minorHAnsi" w:eastAsiaTheme="minorEastAsia" w:hAnsiTheme="minorHAnsi" w:cstheme="minorBidi"/>
          <w:noProof/>
          <w:sz w:val="22"/>
          <w:szCs w:val="22"/>
        </w:rPr>
      </w:pPr>
      <w:hyperlink w:anchor="_Toc10555972" w:history="1">
        <w:r w:rsidR="003E1DFA" w:rsidRPr="00B467E4">
          <w:rPr>
            <w:rStyle w:val="Hyperlink"/>
            <w:noProof/>
          </w:rPr>
          <w:t>2.</w:t>
        </w:r>
        <w:r w:rsidR="003E1DFA">
          <w:rPr>
            <w:rFonts w:asciiTheme="minorHAnsi" w:eastAsiaTheme="minorEastAsia" w:hAnsiTheme="minorHAnsi" w:cstheme="minorBidi"/>
            <w:noProof/>
            <w:sz w:val="22"/>
            <w:szCs w:val="22"/>
          </w:rPr>
          <w:tab/>
        </w:r>
        <w:r w:rsidR="003E1DFA" w:rsidRPr="00B467E4">
          <w:rPr>
            <w:rStyle w:val="Hyperlink"/>
            <w:noProof/>
          </w:rPr>
          <w:t>NEED FOR AND USE OF THE COLLECTION</w:t>
        </w:r>
        <w:r w:rsidR="003E1DFA">
          <w:rPr>
            <w:noProof/>
            <w:webHidden/>
          </w:rPr>
          <w:tab/>
        </w:r>
        <w:r w:rsidR="003E1DFA">
          <w:rPr>
            <w:noProof/>
            <w:webHidden/>
          </w:rPr>
          <w:fldChar w:fldCharType="begin"/>
        </w:r>
        <w:r w:rsidR="003E1DFA">
          <w:rPr>
            <w:noProof/>
            <w:webHidden/>
          </w:rPr>
          <w:instrText xml:space="preserve"> PAGEREF _Toc10555972 \h </w:instrText>
        </w:r>
        <w:r w:rsidR="003E1DFA">
          <w:rPr>
            <w:noProof/>
            <w:webHidden/>
          </w:rPr>
        </w:r>
        <w:r w:rsidR="003E1DFA">
          <w:rPr>
            <w:noProof/>
            <w:webHidden/>
          </w:rPr>
          <w:fldChar w:fldCharType="separate"/>
        </w:r>
        <w:r w:rsidR="0051088B">
          <w:rPr>
            <w:noProof/>
            <w:webHidden/>
          </w:rPr>
          <w:t>2</w:t>
        </w:r>
        <w:r w:rsidR="003E1DFA">
          <w:rPr>
            <w:noProof/>
            <w:webHidden/>
          </w:rPr>
          <w:fldChar w:fldCharType="end"/>
        </w:r>
      </w:hyperlink>
    </w:p>
    <w:p w14:paraId="0F202F17" w14:textId="4C58BC79" w:rsidR="003E1DFA" w:rsidRDefault="00796FAE">
      <w:pPr>
        <w:pStyle w:val="TOC2"/>
        <w:rPr>
          <w:rFonts w:asciiTheme="minorHAnsi" w:eastAsiaTheme="minorEastAsia" w:hAnsiTheme="minorHAnsi" w:cstheme="minorBidi"/>
          <w:noProof/>
          <w:sz w:val="22"/>
          <w:szCs w:val="22"/>
        </w:rPr>
      </w:pPr>
      <w:hyperlink w:anchor="_Toc10555973" w:history="1">
        <w:r w:rsidR="003E1DFA" w:rsidRPr="00B467E4">
          <w:rPr>
            <w:rStyle w:val="Hyperlink"/>
            <w:noProof/>
          </w:rPr>
          <w:t>2(a) Need/Authority for the Collection</w:t>
        </w:r>
        <w:r w:rsidR="003E1DFA">
          <w:rPr>
            <w:noProof/>
            <w:webHidden/>
          </w:rPr>
          <w:tab/>
        </w:r>
        <w:r w:rsidR="003E1DFA">
          <w:rPr>
            <w:noProof/>
            <w:webHidden/>
          </w:rPr>
          <w:fldChar w:fldCharType="begin"/>
        </w:r>
        <w:r w:rsidR="003E1DFA">
          <w:rPr>
            <w:noProof/>
            <w:webHidden/>
          </w:rPr>
          <w:instrText xml:space="preserve"> PAGEREF _Toc10555973 \h </w:instrText>
        </w:r>
        <w:r w:rsidR="003E1DFA">
          <w:rPr>
            <w:noProof/>
            <w:webHidden/>
          </w:rPr>
        </w:r>
        <w:r w:rsidR="003E1DFA">
          <w:rPr>
            <w:noProof/>
            <w:webHidden/>
          </w:rPr>
          <w:fldChar w:fldCharType="separate"/>
        </w:r>
        <w:r w:rsidR="0051088B">
          <w:rPr>
            <w:noProof/>
            <w:webHidden/>
          </w:rPr>
          <w:t>2</w:t>
        </w:r>
        <w:r w:rsidR="003E1DFA">
          <w:rPr>
            <w:noProof/>
            <w:webHidden/>
          </w:rPr>
          <w:fldChar w:fldCharType="end"/>
        </w:r>
      </w:hyperlink>
    </w:p>
    <w:p w14:paraId="60BB2EDD" w14:textId="46C4732E" w:rsidR="003E1DFA" w:rsidRDefault="00796FAE">
      <w:pPr>
        <w:pStyle w:val="TOC2"/>
        <w:rPr>
          <w:rFonts w:asciiTheme="minorHAnsi" w:eastAsiaTheme="minorEastAsia" w:hAnsiTheme="minorHAnsi" w:cstheme="minorBidi"/>
          <w:noProof/>
          <w:sz w:val="22"/>
          <w:szCs w:val="22"/>
        </w:rPr>
      </w:pPr>
      <w:hyperlink w:anchor="_Toc10555974" w:history="1">
        <w:r w:rsidR="003E1DFA" w:rsidRPr="00B467E4">
          <w:rPr>
            <w:rStyle w:val="Hyperlink"/>
            <w:noProof/>
          </w:rPr>
          <w:t>2(b) Practical Utility/Users of the Data</w:t>
        </w:r>
        <w:r w:rsidR="003E1DFA">
          <w:rPr>
            <w:noProof/>
            <w:webHidden/>
          </w:rPr>
          <w:tab/>
        </w:r>
        <w:r w:rsidR="003E1DFA">
          <w:rPr>
            <w:noProof/>
            <w:webHidden/>
          </w:rPr>
          <w:fldChar w:fldCharType="begin"/>
        </w:r>
        <w:r w:rsidR="003E1DFA">
          <w:rPr>
            <w:noProof/>
            <w:webHidden/>
          </w:rPr>
          <w:instrText xml:space="preserve"> PAGEREF _Toc10555974 \h </w:instrText>
        </w:r>
        <w:r w:rsidR="003E1DFA">
          <w:rPr>
            <w:noProof/>
            <w:webHidden/>
          </w:rPr>
        </w:r>
        <w:r w:rsidR="003E1DFA">
          <w:rPr>
            <w:noProof/>
            <w:webHidden/>
          </w:rPr>
          <w:fldChar w:fldCharType="separate"/>
        </w:r>
        <w:r w:rsidR="0051088B">
          <w:rPr>
            <w:noProof/>
            <w:webHidden/>
          </w:rPr>
          <w:t>2</w:t>
        </w:r>
        <w:r w:rsidR="003E1DFA">
          <w:rPr>
            <w:noProof/>
            <w:webHidden/>
          </w:rPr>
          <w:fldChar w:fldCharType="end"/>
        </w:r>
      </w:hyperlink>
    </w:p>
    <w:p w14:paraId="0801C641" w14:textId="439672B2" w:rsidR="003E1DFA" w:rsidRDefault="00796FAE">
      <w:pPr>
        <w:pStyle w:val="TOC1"/>
        <w:rPr>
          <w:rFonts w:asciiTheme="minorHAnsi" w:eastAsiaTheme="minorEastAsia" w:hAnsiTheme="minorHAnsi" w:cstheme="minorBidi"/>
          <w:noProof/>
          <w:sz w:val="22"/>
          <w:szCs w:val="22"/>
        </w:rPr>
      </w:pPr>
      <w:hyperlink w:anchor="_Toc10555975" w:history="1">
        <w:r w:rsidR="003E1DFA" w:rsidRPr="00B467E4">
          <w:rPr>
            <w:rStyle w:val="Hyperlink"/>
            <w:noProof/>
          </w:rPr>
          <w:t>3.</w:t>
        </w:r>
        <w:r w:rsidR="003E1DFA">
          <w:rPr>
            <w:rFonts w:asciiTheme="minorHAnsi" w:eastAsiaTheme="minorEastAsia" w:hAnsiTheme="minorHAnsi" w:cstheme="minorBidi"/>
            <w:noProof/>
            <w:sz w:val="22"/>
            <w:szCs w:val="22"/>
          </w:rPr>
          <w:tab/>
        </w:r>
        <w:r w:rsidR="003E1DFA" w:rsidRPr="00B467E4">
          <w:rPr>
            <w:rStyle w:val="Hyperlink"/>
            <w:noProof/>
          </w:rPr>
          <w:t>NONDUPLICATION, CONSULTATIONS, AND OTHER COLLECTION CRITERIA</w:t>
        </w:r>
        <w:r w:rsidR="003E1DFA">
          <w:rPr>
            <w:noProof/>
            <w:webHidden/>
          </w:rPr>
          <w:tab/>
        </w:r>
        <w:r w:rsidR="003E1DFA">
          <w:rPr>
            <w:noProof/>
            <w:webHidden/>
          </w:rPr>
          <w:fldChar w:fldCharType="begin"/>
        </w:r>
        <w:r w:rsidR="003E1DFA">
          <w:rPr>
            <w:noProof/>
            <w:webHidden/>
          </w:rPr>
          <w:instrText xml:space="preserve"> PAGEREF _Toc10555975 \h </w:instrText>
        </w:r>
        <w:r w:rsidR="003E1DFA">
          <w:rPr>
            <w:noProof/>
            <w:webHidden/>
          </w:rPr>
        </w:r>
        <w:r w:rsidR="003E1DFA">
          <w:rPr>
            <w:noProof/>
            <w:webHidden/>
          </w:rPr>
          <w:fldChar w:fldCharType="separate"/>
        </w:r>
        <w:r w:rsidR="0051088B">
          <w:rPr>
            <w:noProof/>
            <w:webHidden/>
          </w:rPr>
          <w:t>5</w:t>
        </w:r>
        <w:r w:rsidR="003E1DFA">
          <w:rPr>
            <w:noProof/>
            <w:webHidden/>
          </w:rPr>
          <w:fldChar w:fldCharType="end"/>
        </w:r>
      </w:hyperlink>
    </w:p>
    <w:p w14:paraId="471F69A7" w14:textId="04E6365A" w:rsidR="003E1DFA" w:rsidRDefault="00796FAE">
      <w:pPr>
        <w:pStyle w:val="TOC2"/>
        <w:rPr>
          <w:rFonts w:asciiTheme="minorHAnsi" w:eastAsiaTheme="minorEastAsia" w:hAnsiTheme="minorHAnsi" w:cstheme="minorBidi"/>
          <w:noProof/>
          <w:sz w:val="22"/>
          <w:szCs w:val="22"/>
        </w:rPr>
      </w:pPr>
      <w:hyperlink w:anchor="_Toc10555976" w:history="1">
        <w:r w:rsidR="003E1DFA" w:rsidRPr="00B467E4">
          <w:rPr>
            <w:rStyle w:val="Hyperlink"/>
            <w:noProof/>
          </w:rPr>
          <w:t>3(a) Nonduplication</w:t>
        </w:r>
        <w:r w:rsidR="003E1DFA">
          <w:rPr>
            <w:noProof/>
            <w:webHidden/>
          </w:rPr>
          <w:tab/>
        </w:r>
        <w:r w:rsidR="003E1DFA">
          <w:rPr>
            <w:noProof/>
            <w:webHidden/>
          </w:rPr>
          <w:fldChar w:fldCharType="begin"/>
        </w:r>
        <w:r w:rsidR="003E1DFA">
          <w:rPr>
            <w:noProof/>
            <w:webHidden/>
          </w:rPr>
          <w:instrText xml:space="preserve"> PAGEREF _Toc10555976 \h </w:instrText>
        </w:r>
        <w:r w:rsidR="003E1DFA">
          <w:rPr>
            <w:noProof/>
            <w:webHidden/>
          </w:rPr>
        </w:r>
        <w:r w:rsidR="003E1DFA">
          <w:rPr>
            <w:noProof/>
            <w:webHidden/>
          </w:rPr>
          <w:fldChar w:fldCharType="separate"/>
        </w:r>
        <w:r w:rsidR="0051088B">
          <w:rPr>
            <w:noProof/>
            <w:webHidden/>
          </w:rPr>
          <w:t>5</w:t>
        </w:r>
        <w:r w:rsidR="003E1DFA">
          <w:rPr>
            <w:noProof/>
            <w:webHidden/>
          </w:rPr>
          <w:fldChar w:fldCharType="end"/>
        </w:r>
      </w:hyperlink>
    </w:p>
    <w:p w14:paraId="1B2514CC" w14:textId="71B6A43D" w:rsidR="003E1DFA" w:rsidRDefault="00796FAE">
      <w:pPr>
        <w:pStyle w:val="TOC2"/>
        <w:rPr>
          <w:rFonts w:asciiTheme="minorHAnsi" w:eastAsiaTheme="minorEastAsia" w:hAnsiTheme="minorHAnsi" w:cstheme="minorBidi"/>
          <w:noProof/>
          <w:sz w:val="22"/>
          <w:szCs w:val="22"/>
        </w:rPr>
      </w:pPr>
      <w:hyperlink w:anchor="_Toc10555977" w:history="1">
        <w:r w:rsidR="003E1DFA" w:rsidRPr="00B467E4">
          <w:rPr>
            <w:rStyle w:val="Hyperlink"/>
            <w:noProof/>
          </w:rPr>
          <w:t>3(b) Public Notice Required Prior to Information Collection Request (ICR) Submissions to OMB</w:t>
        </w:r>
        <w:r w:rsidR="003E1DFA">
          <w:rPr>
            <w:noProof/>
            <w:webHidden/>
          </w:rPr>
          <w:tab/>
        </w:r>
        <w:r w:rsidR="003E1DFA">
          <w:rPr>
            <w:noProof/>
            <w:webHidden/>
          </w:rPr>
          <w:fldChar w:fldCharType="begin"/>
        </w:r>
        <w:r w:rsidR="003E1DFA">
          <w:rPr>
            <w:noProof/>
            <w:webHidden/>
          </w:rPr>
          <w:instrText xml:space="preserve"> PAGEREF _Toc10555977 \h </w:instrText>
        </w:r>
        <w:r w:rsidR="003E1DFA">
          <w:rPr>
            <w:noProof/>
            <w:webHidden/>
          </w:rPr>
        </w:r>
        <w:r w:rsidR="003E1DFA">
          <w:rPr>
            <w:noProof/>
            <w:webHidden/>
          </w:rPr>
          <w:fldChar w:fldCharType="separate"/>
        </w:r>
        <w:r w:rsidR="0051088B">
          <w:rPr>
            <w:noProof/>
            <w:webHidden/>
          </w:rPr>
          <w:t>7</w:t>
        </w:r>
        <w:r w:rsidR="003E1DFA">
          <w:rPr>
            <w:noProof/>
            <w:webHidden/>
          </w:rPr>
          <w:fldChar w:fldCharType="end"/>
        </w:r>
      </w:hyperlink>
    </w:p>
    <w:p w14:paraId="789B8383" w14:textId="32750D86" w:rsidR="003E1DFA" w:rsidRDefault="00796FAE">
      <w:pPr>
        <w:pStyle w:val="TOC2"/>
        <w:rPr>
          <w:rFonts w:asciiTheme="minorHAnsi" w:eastAsiaTheme="minorEastAsia" w:hAnsiTheme="minorHAnsi" w:cstheme="minorBidi"/>
          <w:noProof/>
          <w:sz w:val="22"/>
          <w:szCs w:val="22"/>
        </w:rPr>
      </w:pPr>
      <w:hyperlink w:anchor="_Toc10555978" w:history="1">
        <w:r w:rsidR="003E1DFA" w:rsidRPr="00B467E4">
          <w:rPr>
            <w:rStyle w:val="Hyperlink"/>
            <w:noProof/>
          </w:rPr>
          <w:t>3(c) Consultations</w:t>
        </w:r>
        <w:r w:rsidR="003E1DFA">
          <w:rPr>
            <w:noProof/>
            <w:webHidden/>
          </w:rPr>
          <w:tab/>
        </w:r>
        <w:r w:rsidR="003E1DFA">
          <w:rPr>
            <w:noProof/>
            <w:webHidden/>
          </w:rPr>
          <w:fldChar w:fldCharType="begin"/>
        </w:r>
        <w:r w:rsidR="003E1DFA">
          <w:rPr>
            <w:noProof/>
            <w:webHidden/>
          </w:rPr>
          <w:instrText xml:space="preserve"> PAGEREF _Toc10555978 \h </w:instrText>
        </w:r>
        <w:r w:rsidR="003E1DFA">
          <w:rPr>
            <w:noProof/>
            <w:webHidden/>
          </w:rPr>
        </w:r>
        <w:r w:rsidR="003E1DFA">
          <w:rPr>
            <w:noProof/>
            <w:webHidden/>
          </w:rPr>
          <w:fldChar w:fldCharType="separate"/>
        </w:r>
        <w:r w:rsidR="0051088B">
          <w:rPr>
            <w:noProof/>
            <w:webHidden/>
          </w:rPr>
          <w:t>7</w:t>
        </w:r>
        <w:r w:rsidR="003E1DFA">
          <w:rPr>
            <w:noProof/>
            <w:webHidden/>
          </w:rPr>
          <w:fldChar w:fldCharType="end"/>
        </w:r>
      </w:hyperlink>
    </w:p>
    <w:p w14:paraId="01113BA5" w14:textId="1133F5CC" w:rsidR="003E1DFA" w:rsidRDefault="00796FAE">
      <w:pPr>
        <w:pStyle w:val="TOC2"/>
        <w:rPr>
          <w:rFonts w:asciiTheme="minorHAnsi" w:eastAsiaTheme="minorEastAsia" w:hAnsiTheme="minorHAnsi" w:cstheme="minorBidi"/>
          <w:noProof/>
          <w:sz w:val="22"/>
          <w:szCs w:val="22"/>
        </w:rPr>
      </w:pPr>
      <w:hyperlink w:anchor="_Toc10555979" w:history="1">
        <w:r w:rsidR="003E1DFA" w:rsidRPr="00B467E4">
          <w:rPr>
            <w:rStyle w:val="Hyperlink"/>
            <w:noProof/>
          </w:rPr>
          <w:t>3(d) Effects of Less Frequent Collection</w:t>
        </w:r>
        <w:r w:rsidR="003E1DFA">
          <w:rPr>
            <w:noProof/>
            <w:webHidden/>
          </w:rPr>
          <w:tab/>
        </w:r>
        <w:r w:rsidR="003E1DFA">
          <w:rPr>
            <w:noProof/>
            <w:webHidden/>
          </w:rPr>
          <w:fldChar w:fldCharType="begin"/>
        </w:r>
        <w:r w:rsidR="003E1DFA">
          <w:rPr>
            <w:noProof/>
            <w:webHidden/>
          </w:rPr>
          <w:instrText xml:space="preserve"> PAGEREF _Toc10555979 \h </w:instrText>
        </w:r>
        <w:r w:rsidR="003E1DFA">
          <w:rPr>
            <w:noProof/>
            <w:webHidden/>
          </w:rPr>
        </w:r>
        <w:r w:rsidR="003E1DFA">
          <w:rPr>
            <w:noProof/>
            <w:webHidden/>
          </w:rPr>
          <w:fldChar w:fldCharType="separate"/>
        </w:r>
        <w:r w:rsidR="0051088B">
          <w:rPr>
            <w:noProof/>
            <w:webHidden/>
          </w:rPr>
          <w:t>8</w:t>
        </w:r>
        <w:r w:rsidR="003E1DFA">
          <w:rPr>
            <w:noProof/>
            <w:webHidden/>
          </w:rPr>
          <w:fldChar w:fldCharType="end"/>
        </w:r>
      </w:hyperlink>
    </w:p>
    <w:p w14:paraId="0D29D095" w14:textId="11E7B616" w:rsidR="003E1DFA" w:rsidRDefault="00796FAE">
      <w:pPr>
        <w:pStyle w:val="TOC2"/>
        <w:rPr>
          <w:rFonts w:asciiTheme="minorHAnsi" w:eastAsiaTheme="minorEastAsia" w:hAnsiTheme="minorHAnsi" w:cstheme="minorBidi"/>
          <w:noProof/>
          <w:sz w:val="22"/>
          <w:szCs w:val="22"/>
        </w:rPr>
      </w:pPr>
      <w:hyperlink w:anchor="_Toc10555980" w:history="1">
        <w:r w:rsidR="003E1DFA" w:rsidRPr="00B467E4">
          <w:rPr>
            <w:rStyle w:val="Hyperlink"/>
            <w:noProof/>
          </w:rPr>
          <w:t>3(e) General Guidelines</w:t>
        </w:r>
        <w:r w:rsidR="003E1DFA">
          <w:rPr>
            <w:noProof/>
            <w:webHidden/>
          </w:rPr>
          <w:tab/>
        </w:r>
        <w:r w:rsidR="003E1DFA">
          <w:rPr>
            <w:noProof/>
            <w:webHidden/>
          </w:rPr>
          <w:fldChar w:fldCharType="begin"/>
        </w:r>
        <w:r w:rsidR="003E1DFA">
          <w:rPr>
            <w:noProof/>
            <w:webHidden/>
          </w:rPr>
          <w:instrText xml:space="preserve"> PAGEREF _Toc10555980 \h </w:instrText>
        </w:r>
        <w:r w:rsidR="003E1DFA">
          <w:rPr>
            <w:noProof/>
            <w:webHidden/>
          </w:rPr>
        </w:r>
        <w:r w:rsidR="003E1DFA">
          <w:rPr>
            <w:noProof/>
            <w:webHidden/>
          </w:rPr>
          <w:fldChar w:fldCharType="separate"/>
        </w:r>
        <w:r w:rsidR="0051088B">
          <w:rPr>
            <w:noProof/>
            <w:webHidden/>
          </w:rPr>
          <w:t>9</w:t>
        </w:r>
        <w:r w:rsidR="003E1DFA">
          <w:rPr>
            <w:noProof/>
            <w:webHidden/>
          </w:rPr>
          <w:fldChar w:fldCharType="end"/>
        </w:r>
      </w:hyperlink>
    </w:p>
    <w:p w14:paraId="18339AFB" w14:textId="3A2E351A" w:rsidR="003E1DFA" w:rsidRDefault="00796FAE">
      <w:pPr>
        <w:pStyle w:val="TOC2"/>
        <w:rPr>
          <w:rFonts w:asciiTheme="minorHAnsi" w:eastAsiaTheme="minorEastAsia" w:hAnsiTheme="minorHAnsi" w:cstheme="minorBidi"/>
          <w:noProof/>
          <w:sz w:val="22"/>
          <w:szCs w:val="22"/>
        </w:rPr>
      </w:pPr>
      <w:hyperlink w:anchor="_Toc10555981" w:history="1">
        <w:r w:rsidR="003E1DFA" w:rsidRPr="00B467E4">
          <w:rPr>
            <w:rStyle w:val="Hyperlink"/>
            <w:noProof/>
          </w:rPr>
          <w:t>3(f) Confidentiality</w:t>
        </w:r>
        <w:r w:rsidR="003E1DFA">
          <w:rPr>
            <w:noProof/>
            <w:webHidden/>
          </w:rPr>
          <w:tab/>
        </w:r>
        <w:r w:rsidR="003E1DFA">
          <w:rPr>
            <w:noProof/>
            <w:webHidden/>
          </w:rPr>
          <w:fldChar w:fldCharType="begin"/>
        </w:r>
        <w:r w:rsidR="003E1DFA">
          <w:rPr>
            <w:noProof/>
            <w:webHidden/>
          </w:rPr>
          <w:instrText xml:space="preserve"> PAGEREF _Toc10555981 \h </w:instrText>
        </w:r>
        <w:r w:rsidR="003E1DFA">
          <w:rPr>
            <w:noProof/>
            <w:webHidden/>
          </w:rPr>
        </w:r>
        <w:r w:rsidR="003E1DFA">
          <w:rPr>
            <w:noProof/>
            <w:webHidden/>
          </w:rPr>
          <w:fldChar w:fldCharType="separate"/>
        </w:r>
        <w:r w:rsidR="0051088B">
          <w:rPr>
            <w:noProof/>
            <w:webHidden/>
          </w:rPr>
          <w:t>9</w:t>
        </w:r>
        <w:r w:rsidR="003E1DFA">
          <w:rPr>
            <w:noProof/>
            <w:webHidden/>
          </w:rPr>
          <w:fldChar w:fldCharType="end"/>
        </w:r>
      </w:hyperlink>
    </w:p>
    <w:p w14:paraId="0ECD4CAA" w14:textId="430F6C3C" w:rsidR="003E1DFA" w:rsidRDefault="00796FAE">
      <w:pPr>
        <w:pStyle w:val="TOC2"/>
        <w:rPr>
          <w:rFonts w:asciiTheme="minorHAnsi" w:eastAsiaTheme="minorEastAsia" w:hAnsiTheme="minorHAnsi" w:cstheme="minorBidi"/>
          <w:noProof/>
          <w:sz w:val="22"/>
          <w:szCs w:val="22"/>
        </w:rPr>
      </w:pPr>
      <w:hyperlink w:anchor="_Toc10555982" w:history="1">
        <w:r w:rsidR="003E1DFA" w:rsidRPr="00B467E4">
          <w:rPr>
            <w:rStyle w:val="Hyperlink"/>
            <w:noProof/>
          </w:rPr>
          <w:t>3(g) Sensitive Questions</w:t>
        </w:r>
        <w:r w:rsidR="003E1DFA">
          <w:rPr>
            <w:noProof/>
            <w:webHidden/>
          </w:rPr>
          <w:tab/>
        </w:r>
        <w:r w:rsidR="003E1DFA">
          <w:rPr>
            <w:noProof/>
            <w:webHidden/>
          </w:rPr>
          <w:fldChar w:fldCharType="begin"/>
        </w:r>
        <w:r w:rsidR="003E1DFA">
          <w:rPr>
            <w:noProof/>
            <w:webHidden/>
          </w:rPr>
          <w:instrText xml:space="preserve"> PAGEREF _Toc10555982 \h </w:instrText>
        </w:r>
        <w:r w:rsidR="003E1DFA">
          <w:rPr>
            <w:noProof/>
            <w:webHidden/>
          </w:rPr>
        </w:r>
        <w:r w:rsidR="003E1DFA">
          <w:rPr>
            <w:noProof/>
            <w:webHidden/>
          </w:rPr>
          <w:fldChar w:fldCharType="separate"/>
        </w:r>
        <w:r w:rsidR="0051088B">
          <w:rPr>
            <w:noProof/>
            <w:webHidden/>
          </w:rPr>
          <w:t>10</w:t>
        </w:r>
        <w:r w:rsidR="003E1DFA">
          <w:rPr>
            <w:noProof/>
            <w:webHidden/>
          </w:rPr>
          <w:fldChar w:fldCharType="end"/>
        </w:r>
      </w:hyperlink>
    </w:p>
    <w:p w14:paraId="7502DDCC" w14:textId="4B860087" w:rsidR="003E1DFA" w:rsidRDefault="00796FAE">
      <w:pPr>
        <w:pStyle w:val="TOC1"/>
        <w:rPr>
          <w:rFonts w:asciiTheme="minorHAnsi" w:eastAsiaTheme="minorEastAsia" w:hAnsiTheme="minorHAnsi" w:cstheme="minorBidi"/>
          <w:noProof/>
          <w:sz w:val="22"/>
          <w:szCs w:val="22"/>
        </w:rPr>
      </w:pPr>
      <w:hyperlink w:anchor="_Toc10555983" w:history="1">
        <w:r w:rsidR="003E1DFA" w:rsidRPr="00B467E4">
          <w:rPr>
            <w:rStyle w:val="Hyperlink"/>
            <w:noProof/>
          </w:rPr>
          <w:t>4.</w:t>
        </w:r>
        <w:r w:rsidR="003E1DFA">
          <w:rPr>
            <w:rFonts w:asciiTheme="minorHAnsi" w:eastAsiaTheme="minorEastAsia" w:hAnsiTheme="minorHAnsi" w:cstheme="minorBidi"/>
            <w:noProof/>
            <w:sz w:val="22"/>
            <w:szCs w:val="22"/>
          </w:rPr>
          <w:tab/>
        </w:r>
        <w:r w:rsidR="003E1DFA" w:rsidRPr="00B467E4">
          <w:rPr>
            <w:rStyle w:val="Hyperlink"/>
            <w:noProof/>
          </w:rPr>
          <w:t>THE RESPONDENTS AND THE INFORMATION REQUESTED</w:t>
        </w:r>
        <w:r w:rsidR="003E1DFA">
          <w:rPr>
            <w:noProof/>
            <w:webHidden/>
          </w:rPr>
          <w:tab/>
        </w:r>
        <w:r w:rsidR="003E1DFA">
          <w:rPr>
            <w:noProof/>
            <w:webHidden/>
          </w:rPr>
          <w:fldChar w:fldCharType="begin"/>
        </w:r>
        <w:r w:rsidR="003E1DFA">
          <w:rPr>
            <w:noProof/>
            <w:webHidden/>
          </w:rPr>
          <w:instrText xml:space="preserve"> PAGEREF _Toc10555983 \h </w:instrText>
        </w:r>
        <w:r w:rsidR="003E1DFA">
          <w:rPr>
            <w:noProof/>
            <w:webHidden/>
          </w:rPr>
        </w:r>
        <w:r w:rsidR="003E1DFA">
          <w:rPr>
            <w:noProof/>
            <w:webHidden/>
          </w:rPr>
          <w:fldChar w:fldCharType="separate"/>
        </w:r>
        <w:r w:rsidR="0051088B">
          <w:rPr>
            <w:noProof/>
            <w:webHidden/>
          </w:rPr>
          <w:t>11</w:t>
        </w:r>
        <w:r w:rsidR="003E1DFA">
          <w:rPr>
            <w:noProof/>
            <w:webHidden/>
          </w:rPr>
          <w:fldChar w:fldCharType="end"/>
        </w:r>
      </w:hyperlink>
    </w:p>
    <w:p w14:paraId="0A03E0F9" w14:textId="1A0D6C04" w:rsidR="003E1DFA" w:rsidRDefault="00796FAE">
      <w:pPr>
        <w:pStyle w:val="TOC2"/>
        <w:rPr>
          <w:rFonts w:asciiTheme="minorHAnsi" w:eastAsiaTheme="minorEastAsia" w:hAnsiTheme="minorHAnsi" w:cstheme="minorBidi"/>
          <w:noProof/>
          <w:sz w:val="22"/>
          <w:szCs w:val="22"/>
        </w:rPr>
      </w:pPr>
      <w:hyperlink w:anchor="_Toc10555984" w:history="1">
        <w:r w:rsidR="003E1DFA" w:rsidRPr="00B467E4">
          <w:rPr>
            <w:rStyle w:val="Hyperlink"/>
            <w:noProof/>
          </w:rPr>
          <w:t>4(a) Respondents/North American Industrial Classification Systems (NAICS) Codes</w:t>
        </w:r>
        <w:r w:rsidR="003E1DFA">
          <w:rPr>
            <w:noProof/>
            <w:webHidden/>
          </w:rPr>
          <w:tab/>
        </w:r>
        <w:r w:rsidR="003E1DFA">
          <w:rPr>
            <w:noProof/>
            <w:webHidden/>
          </w:rPr>
          <w:fldChar w:fldCharType="begin"/>
        </w:r>
        <w:r w:rsidR="003E1DFA">
          <w:rPr>
            <w:noProof/>
            <w:webHidden/>
          </w:rPr>
          <w:instrText xml:space="preserve"> PAGEREF _Toc10555984 \h </w:instrText>
        </w:r>
        <w:r w:rsidR="003E1DFA">
          <w:rPr>
            <w:noProof/>
            <w:webHidden/>
          </w:rPr>
        </w:r>
        <w:r w:rsidR="003E1DFA">
          <w:rPr>
            <w:noProof/>
            <w:webHidden/>
          </w:rPr>
          <w:fldChar w:fldCharType="separate"/>
        </w:r>
        <w:r w:rsidR="0051088B">
          <w:rPr>
            <w:noProof/>
            <w:webHidden/>
          </w:rPr>
          <w:t>11</w:t>
        </w:r>
        <w:r w:rsidR="003E1DFA">
          <w:rPr>
            <w:noProof/>
            <w:webHidden/>
          </w:rPr>
          <w:fldChar w:fldCharType="end"/>
        </w:r>
      </w:hyperlink>
    </w:p>
    <w:p w14:paraId="51DA6415" w14:textId="5CB7BFEC" w:rsidR="003E1DFA" w:rsidRDefault="00796FAE">
      <w:pPr>
        <w:pStyle w:val="TOC2"/>
        <w:rPr>
          <w:rFonts w:asciiTheme="minorHAnsi" w:eastAsiaTheme="minorEastAsia" w:hAnsiTheme="minorHAnsi" w:cstheme="minorBidi"/>
          <w:noProof/>
          <w:sz w:val="22"/>
          <w:szCs w:val="22"/>
        </w:rPr>
      </w:pPr>
      <w:hyperlink w:anchor="_Toc10555985" w:history="1">
        <w:r w:rsidR="003E1DFA" w:rsidRPr="00B467E4">
          <w:rPr>
            <w:rStyle w:val="Hyperlink"/>
            <w:noProof/>
          </w:rPr>
          <w:t>4(b) Information Requested</w:t>
        </w:r>
        <w:r w:rsidR="003E1DFA">
          <w:rPr>
            <w:noProof/>
            <w:webHidden/>
          </w:rPr>
          <w:tab/>
        </w:r>
        <w:r w:rsidR="003E1DFA">
          <w:rPr>
            <w:noProof/>
            <w:webHidden/>
          </w:rPr>
          <w:fldChar w:fldCharType="begin"/>
        </w:r>
        <w:r w:rsidR="003E1DFA">
          <w:rPr>
            <w:noProof/>
            <w:webHidden/>
          </w:rPr>
          <w:instrText xml:space="preserve"> PAGEREF _Toc10555985 \h </w:instrText>
        </w:r>
        <w:r w:rsidR="003E1DFA">
          <w:rPr>
            <w:noProof/>
            <w:webHidden/>
          </w:rPr>
        </w:r>
        <w:r w:rsidR="003E1DFA">
          <w:rPr>
            <w:noProof/>
            <w:webHidden/>
          </w:rPr>
          <w:fldChar w:fldCharType="separate"/>
        </w:r>
        <w:r w:rsidR="0051088B">
          <w:rPr>
            <w:noProof/>
            <w:webHidden/>
          </w:rPr>
          <w:t>14</w:t>
        </w:r>
        <w:r w:rsidR="003E1DFA">
          <w:rPr>
            <w:noProof/>
            <w:webHidden/>
          </w:rPr>
          <w:fldChar w:fldCharType="end"/>
        </w:r>
      </w:hyperlink>
    </w:p>
    <w:p w14:paraId="423E593D" w14:textId="18949107" w:rsidR="003E1DFA" w:rsidRDefault="00796FAE">
      <w:pPr>
        <w:pStyle w:val="TOC1"/>
        <w:rPr>
          <w:rFonts w:asciiTheme="minorHAnsi" w:eastAsiaTheme="minorEastAsia" w:hAnsiTheme="minorHAnsi" w:cstheme="minorBidi"/>
          <w:noProof/>
          <w:sz w:val="22"/>
          <w:szCs w:val="22"/>
        </w:rPr>
      </w:pPr>
      <w:hyperlink w:anchor="_Toc10555986" w:history="1">
        <w:r w:rsidR="003E1DFA" w:rsidRPr="00B467E4">
          <w:rPr>
            <w:rStyle w:val="Hyperlink"/>
            <w:noProof/>
          </w:rPr>
          <w:t>5.</w:t>
        </w:r>
        <w:r w:rsidR="003E1DFA">
          <w:rPr>
            <w:rFonts w:asciiTheme="minorHAnsi" w:eastAsiaTheme="minorEastAsia" w:hAnsiTheme="minorHAnsi" w:cstheme="minorBidi"/>
            <w:noProof/>
            <w:sz w:val="22"/>
            <w:szCs w:val="22"/>
          </w:rPr>
          <w:tab/>
        </w:r>
        <w:r w:rsidR="003E1DFA" w:rsidRPr="00B467E4">
          <w:rPr>
            <w:rStyle w:val="Hyperlink"/>
            <w:noProof/>
          </w:rPr>
          <w:t>THE INFORMATION COLLECTED – AGENCY ACTIVITIES, COLLECTION METHODS, AND INFORMATION MANAGEMENT</w:t>
        </w:r>
        <w:r w:rsidR="003E1DFA">
          <w:rPr>
            <w:noProof/>
            <w:webHidden/>
          </w:rPr>
          <w:tab/>
        </w:r>
        <w:r w:rsidR="003E1DFA">
          <w:rPr>
            <w:noProof/>
            <w:webHidden/>
          </w:rPr>
          <w:fldChar w:fldCharType="begin"/>
        </w:r>
        <w:r w:rsidR="003E1DFA">
          <w:rPr>
            <w:noProof/>
            <w:webHidden/>
          </w:rPr>
          <w:instrText xml:space="preserve"> PAGEREF _Toc10555986 \h </w:instrText>
        </w:r>
        <w:r w:rsidR="003E1DFA">
          <w:rPr>
            <w:noProof/>
            <w:webHidden/>
          </w:rPr>
        </w:r>
        <w:r w:rsidR="003E1DFA">
          <w:rPr>
            <w:noProof/>
            <w:webHidden/>
          </w:rPr>
          <w:fldChar w:fldCharType="separate"/>
        </w:r>
        <w:r w:rsidR="0051088B">
          <w:rPr>
            <w:noProof/>
            <w:webHidden/>
          </w:rPr>
          <w:t>16</w:t>
        </w:r>
        <w:r w:rsidR="003E1DFA">
          <w:rPr>
            <w:noProof/>
            <w:webHidden/>
          </w:rPr>
          <w:fldChar w:fldCharType="end"/>
        </w:r>
      </w:hyperlink>
    </w:p>
    <w:p w14:paraId="6CF24A4E" w14:textId="23D7AF25" w:rsidR="003E1DFA" w:rsidRDefault="00796FAE">
      <w:pPr>
        <w:pStyle w:val="TOC2"/>
        <w:rPr>
          <w:rFonts w:asciiTheme="minorHAnsi" w:eastAsiaTheme="minorEastAsia" w:hAnsiTheme="minorHAnsi" w:cstheme="minorBidi"/>
          <w:noProof/>
          <w:sz w:val="22"/>
          <w:szCs w:val="22"/>
        </w:rPr>
      </w:pPr>
      <w:hyperlink w:anchor="_Toc10555987" w:history="1">
        <w:r w:rsidR="003E1DFA" w:rsidRPr="00B467E4">
          <w:rPr>
            <w:rStyle w:val="Hyperlink"/>
            <w:noProof/>
          </w:rPr>
          <w:t>5(a) Agency Activities</w:t>
        </w:r>
        <w:r w:rsidR="003E1DFA">
          <w:rPr>
            <w:noProof/>
            <w:webHidden/>
          </w:rPr>
          <w:tab/>
        </w:r>
        <w:r w:rsidR="003E1DFA">
          <w:rPr>
            <w:noProof/>
            <w:webHidden/>
          </w:rPr>
          <w:fldChar w:fldCharType="begin"/>
        </w:r>
        <w:r w:rsidR="003E1DFA">
          <w:rPr>
            <w:noProof/>
            <w:webHidden/>
          </w:rPr>
          <w:instrText xml:space="preserve"> PAGEREF _Toc10555987 \h </w:instrText>
        </w:r>
        <w:r w:rsidR="003E1DFA">
          <w:rPr>
            <w:noProof/>
            <w:webHidden/>
          </w:rPr>
        </w:r>
        <w:r w:rsidR="003E1DFA">
          <w:rPr>
            <w:noProof/>
            <w:webHidden/>
          </w:rPr>
          <w:fldChar w:fldCharType="separate"/>
        </w:r>
        <w:r w:rsidR="0051088B">
          <w:rPr>
            <w:noProof/>
            <w:webHidden/>
          </w:rPr>
          <w:t>16</w:t>
        </w:r>
        <w:r w:rsidR="003E1DFA">
          <w:rPr>
            <w:noProof/>
            <w:webHidden/>
          </w:rPr>
          <w:fldChar w:fldCharType="end"/>
        </w:r>
      </w:hyperlink>
    </w:p>
    <w:p w14:paraId="261987AD" w14:textId="1C7AFD67" w:rsidR="003E1DFA" w:rsidRDefault="00796FAE">
      <w:pPr>
        <w:pStyle w:val="TOC2"/>
        <w:rPr>
          <w:rFonts w:asciiTheme="minorHAnsi" w:eastAsiaTheme="minorEastAsia" w:hAnsiTheme="minorHAnsi" w:cstheme="minorBidi"/>
          <w:noProof/>
          <w:sz w:val="22"/>
          <w:szCs w:val="22"/>
        </w:rPr>
      </w:pPr>
      <w:hyperlink w:anchor="_Toc10555988" w:history="1">
        <w:r w:rsidR="003E1DFA" w:rsidRPr="00B467E4">
          <w:rPr>
            <w:rStyle w:val="Hyperlink"/>
            <w:noProof/>
          </w:rPr>
          <w:t>5(b) Collection Methodology and Management</w:t>
        </w:r>
        <w:r w:rsidR="003E1DFA">
          <w:rPr>
            <w:noProof/>
            <w:webHidden/>
          </w:rPr>
          <w:tab/>
        </w:r>
        <w:r w:rsidR="003E1DFA">
          <w:rPr>
            <w:noProof/>
            <w:webHidden/>
          </w:rPr>
          <w:fldChar w:fldCharType="begin"/>
        </w:r>
        <w:r w:rsidR="003E1DFA">
          <w:rPr>
            <w:noProof/>
            <w:webHidden/>
          </w:rPr>
          <w:instrText xml:space="preserve"> PAGEREF _Toc10555988 \h </w:instrText>
        </w:r>
        <w:r w:rsidR="003E1DFA">
          <w:rPr>
            <w:noProof/>
            <w:webHidden/>
          </w:rPr>
        </w:r>
        <w:r w:rsidR="003E1DFA">
          <w:rPr>
            <w:noProof/>
            <w:webHidden/>
          </w:rPr>
          <w:fldChar w:fldCharType="separate"/>
        </w:r>
        <w:r w:rsidR="0051088B">
          <w:rPr>
            <w:noProof/>
            <w:webHidden/>
          </w:rPr>
          <w:t>16</w:t>
        </w:r>
        <w:r w:rsidR="003E1DFA">
          <w:rPr>
            <w:noProof/>
            <w:webHidden/>
          </w:rPr>
          <w:fldChar w:fldCharType="end"/>
        </w:r>
      </w:hyperlink>
    </w:p>
    <w:p w14:paraId="3C76BCB5" w14:textId="0D712601" w:rsidR="003E1DFA" w:rsidRDefault="00796FAE">
      <w:pPr>
        <w:pStyle w:val="TOC2"/>
        <w:rPr>
          <w:rFonts w:asciiTheme="minorHAnsi" w:eastAsiaTheme="minorEastAsia" w:hAnsiTheme="minorHAnsi" w:cstheme="minorBidi"/>
          <w:noProof/>
          <w:sz w:val="22"/>
          <w:szCs w:val="22"/>
        </w:rPr>
      </w:pPr>
      <w:hyperlink w:anchor="_Toc10555989" w:history="1">
        <w:r w:rsidR="003E1DFA" w:rsidRPr="00B467E4">
          <w:rPr>
            <w:rStyle w:val="Hyperlink"/>
            <w:noProof/>
          </w:rPr>
          <w:t>5(c) Small Entity Flexibility</w:t>
        </w:r>
        <w:r w:rsidR="003E1DFA">
          <w:rPr>
            <w:noProof/>
            <w:webHidden/>
          </w:rPr>
          <w:tab/>
        </w:r>
        <w:r w:rsidR="003E1DFA">
          <w:rPr>
            <w:noProof/>
            <w:webHidden/>
          </w:rPr>
          <w:fldChar w:fldCharType="begin"/>
        </w:r>
        <w:r w:rsidR="003E1DFA">
          <w:rPr>
            <w:noProof/>
            <w:webHidden/>
          </w:rPr>
          <w:instrText xml:space="preserve"> PAGEREF _Toc10555989 \h </w:instrText>
        </w:r>
        <w:r w:rsidR="003E1DFA">
          <w:rPr>
            <w:noProof/>
            <w:webHidden/>
          </w:rPr>
        </w:r>
        <w:r w:rsidR="003E1DFA">
          <w:rPr>
            <w:noProof/>
            <w:webHidden/>
          </w:rPr>
          <w:fldChar w:fldCharType="separate"/>
        </w:r>
        <w:r w:rsidR="0051088B">
          <w:rPr>
            <w:noProof/>
            <w:webHidden/>
          </w:rPr>
          <w:t>17</w:t>
        </w:r>
        <w:r w:rsidR="003E1DFA">
          <w:rPr>
            <w:noProof/>
            <w:webHidden/>
          </w:rPr>
          <w:fldChar w:fldCharType="end"/>
        </w:r>
      </w:hyperlink>
    </w:p>
    <w:p w14:paraId="323242D2" w14:textId="4A655895" w:rsidR="003E1DFA" w:rsidRDefault="00796FAE">
      <w:pPr>
        <w:pStyle w:val="TOC2"/>
        <w:rPr>
          <w:rFonts w:asciiTheme="minorHAnsi" w:eastAsiaTheme="minorEastAsia" w:hAnsiTheme="minorHAnsi" w:cstheme="minorBidi"/>
          <w:noProof/>
          <w:sz w:val="22"/>
          <w:szCs w:val="22"/>
        </w:rPr>
      </w:pPr>
      <w:hyperlink w:anchor="_Toc10555990" w:history="1">
        <w:r w:rsidR="003E1DFA" w:rsidRPr="00B467E4">
          <w:rPr>
            <w:rStyle w:val="Hyperlink"/>
            <w:noProof/>
          </w:rPr>
          <w:t>5(d) Collection Schedule</w:t>
        </w:r>
        <w:r w:rsidR="003E1DFA">
          <w:rPr>
            <w:noProof/>
            <w:webHidden/>
          </w:rPr>
          <w:tab/>
        </w:r>
        <w:r w:rsidR="003E1DFA">
          <w:rPr>
            <w:noProof/>
            <w:webHidden/>
          </w:rPr>
          <w:fldChar w:fldCharType="begin"/>
        </w:r>
        <w:r w:rsidR="003E1DFA">
          <w:rPr>
            <w:noProof/>
            <w:webHidden/>
          </w:rPr>
          <w:instrText xml:space="preserve"> PAGEREF _Toc10555990 \h </w:instrText>
        </w:r>
        <w:r w:rsidR="003E1DFA">
          <w:rPr>
            <w:noProof/>
            <w:webHidden/>
          </w:rPr>
        </w:r>
        <w:r w:rsidR="003E1DFA">
          <w:rPr>
            <w:noProof/>
            <w:webHidden/>
          </w:rPr>
          <w:fldChar w:fldCharType="separate"/>
        </w:r>
        <w:r w:rsidR="0051088B">
          <w:rPr>
            <w:noProof/>
            <w:webHidden/>
          </w:rPr>
          <w:t>17</w:t>
        </w:r>
        <w:r w:rsidR="003E1DFA">
          <w:rPr>
            <w:noProof/>
            <w:webHidden/>
          </w:rPr>
          <w:fldChar w:fldCharType="end"/>
        </w:r>
      </w:hyperlink>
    </w:p>
    <w:p w14:paraId="4D3A4EAD" w14:textId="1678C701" w:rsidR="003E1DFA" w:rsidRDefault="00796FAE">
      <w:pPr>
        <w:pStyle w:val="TOC1"/>
        <w:rPr>
          <w:rFonts w:asciiTheme="minorHAnsi" w:eastAsiaTheme="minorEastAsia" w:hAnsiTheme="minorHAnsi" w:cstheme="minorBidi"/>
          <w:noProof/>
          <w:sz w:val="22"/>
          <w:szCs w:val="22"/>
        </w:rPr>
      </w:pPr>
      <w:hyperlink w:anchor="_Toc10555991" w:history="1">
        <w:r w:rsidR="003E1DFA" w:rsidRPr="00B467E4">
          <w:rPr>
            <w:rStyle w:val="Hyperlink"/>
            <w:noProof/>
          </w:rPr>
          <w:t>6.</w:t>
        </w:r>
        <w:r w:rsidR="003E1DFA">
          <w:rPr>
            <w:rFonts w:asciiTheme="minorHAnsi" w:eastAsiaTheme="minorEastAsia" w:hAnsiTheme="minorHAnsi" w:cstheme="minorBidi"/>
            <w:noProof/>
            <w:sz w:val="22"/>
            <w:szCs w:val="22"/>
          </w:rPr>
          <w:tab/>
        </w:r>
        <w:r w:rsidR="003E1DFA" w:rsidRPr="00B467E4">
          <w:rPr>
            <w:rStyle w:val="Hyperlink"/>
            <w:noProof/>
          </w:rPr>
          <w:t>ESTIMATING THE BURDEN AND COST OF THE COLLECTION</w:t>
        </w:r>
        <w:r w:rsidR="003E1DFA">
          <w:rPr>
            <w:noProof/>
            <w:webHidden/>
          </w:rPr>
          <w:tab/>
        </w:r>
        <w:r w:rsidR="003E1DFA">
          <w:rPr>
            <w:noProof/>
            <w:webHidden/>
          </w:rPr>
          <w:fldChar w:fldCharType="begin"/>
        </w:r>
        <w:r w:rsidR="003E1DFA">
          <w:rPr>
            <w:noProof/>
            <w:webHidden/>
          </w:rPr>
          <w:instrText xml:space="preserve"> PAGEREF _Toc10555991 \h </w:instrText>
        </w:r>
        <w:r w:rsidR="003E1DFA">
          <w:rPr>
            <w:noProof/>
            <w:webHidden/>
          </w:rPr>
        </w:r>
        <w:r w:rsidR="003E1DFA">
          <w:rPr>
            <w:noProof/>
            <w:webHidden/>
          </w:rPr>
          <w:fldChar w:fldCharType="separate"/>
        </w:r>
        <w:r w:rsidR="0051088B">
          <w:rPr>
            <w:noProof/>
            <w:webHidden/>
          </w:rPr>
          <w:t>18</w:t>
        </w:r>
        <w:r w:rsidR="003E1DFA">
          <w:rPr>
            <w:noProof/>
            <w:webHidden/>
          </w:rPr>
          <w:fldChar w:fldCharType="end"/>
        </w:r>
      </w:hyperlink>
    </w:p>
    <w:p w14:paraId="50E91B43" w14:textId="235F34A7" w:rsidR="003E1DFA" w:rsidRDefault="00796FAE">
      <w:pPr>
        <w:pStyle w:val="TOC2"/>
        <w:rPr>
          <w:rFonts w:asciiTheme="minorHAnsi" w:eastAsiaTheme="minorEastAsia" w:hAnsiTheme="minorHAnsi" w:cstheme="minorBidi"/>
          <w:noProof/>
          <w:sz w:val="22"/>
          <w:szCs w:val="22"/>
        </w:rPr>
      </w:pPr>
      <w:hyperlink w:anchor="_Toc10555992" w:history="1">
        <w:r w:rsidR="003E1DFA" w:rsidRPr="00B467E4">
          <w:rPr>
            <w:rStyle w:val="Hyperlink"/>
            <w:noProof/>
          </w:rPr>
          <w:t>6(a) Estimating Respondent Burden</w:t>
        </w:r>
        <w:r w:rsidR="003E1DFA">
          <w:rPr>
            <w:noProof/>
            <w:webHidden/>
          </w:rPr>
          <w:tab/>
        </w:r>
        <w:r w:rsidR="003E1DFA">
          <w:rPr>
            <w:noProof/>
            <w:webHidden/>
          </w:rPr>
          <w:fldChar w:fldCharType="begin"/>
        </w:r>
        <w:r w:rsidR="003E1DFA">
          <w:rPr>
            <w:noProof/>
            <w:webHidden/>
          </w:rPr>
          <w:instrText xml:space="preserve"> PAGEREF _Toc10555992 \h </w:instrText>
        </w:r>
        <w:r w:rsidR="003E1DFA">
          <w:rPr>
            <w:noProof/>
            <w:webHidden/>
          </w:rPr>
        </w:r>
        <w:r w:rsidR="003E1DFA">
          <w:rPr>
            <w:noProof/>
            <w:webHidden/>
          </w:rPr>
          <w:fldChar w:fldCharType="separate"/>
        </w:r>
        <w:r w:rsidR="0051088B">
          <w:rPr>
            <w:noProof/>
            <w:webHidden/>
          </w:rPr>
          <w:t>18</w:t>
        </w:r>
        <w:r w:rsidR="003E1DFA">
          <w:rPr>
            <w:noProof/>
            <w:webHidden/>
          </w:rPr>
          <w:fldChar w:fldCharType="end"/>
        </w:r>
      </w:hyperlink>
    </w:p>
    <w:p w14:paraId="19C7C012" w14:textId="71498C47" w:rsidR="003E1DFA" w:rsidRDefault="00796FAE">
      <w:pPr>
        <w:pStyle w:val="TOC2"/>
        <w:rPr>
          <w:rFonts w:asciiTheme="minorHAnsi" w:eastAsiaTheme="minorEastAsia" w:hAnsiTheme="minorHAnsi" w:cstheme="minorBidi"/>
          <w:noProof/>
          <w:sz w:val="22"/>
          <w:szCs w:val="22"/>
        </w:rPr>
      </w:pPr>
      <w:hyperlink w:anchor="_Toc10555993" w:history="1">
        <w:r w:rsidR="003E1DFA" w:rsidRPr="00B467E4">
          <w:rPr>
            <w:rStyle w:val="Hyperlink"/>
            <w:noProof/>
          </w:rPr>
          <w:t>6(b) Estimating Respondent Costs</w:t>
        </w:r>
        <w:r w:rsidR="003E1DFA">
          <w:rPr>
            <w:noProof/>
            <w:webHidden/>
          </w:rPr>
          <w:tab/>
        </w:r>
        <w:r w:rsidR="003E1DFA">
          <w:rPr>
            <w:noProof/>
            <w:webHidden/>
          </w:rPr>
          <w:fldChar w:fldCharType="begin"/>
        </w:r>
        <w:r w:rsidR="003E1DFA">
          <w:rPr>
            <w:noProof/>
            <w:webHidden/>
          </w:rPr>
          <w:instrText xml:space="preserve"> PAGEREF _Toc10555993 \h </w:instrText>
        </w:r>
        <w:r w:rsidR="003E1DFA">
          <w:rPr>
            <w:noProof/>
            <w:webHidden/>
          </w:rPr>
        </w:r>
        <w:r w:rsidR="003E1DFA">
          <w:rPr>
            <w:noProof/>
            <w:webHidden/>
          </w:rPr>
          <w:fldChar w:fldCharType="separate"/>
        </w:r>
        <w:r w:rsidR="0051088B">
          <w:rPr>
            <w:noProof/>
            <w:webHidden/>
          </w:rPr>
          <w:t>18</w:t>
        </w:r>
        <w:r w:rsidR="003E1DFA">
          <w:rPr>
            <w:noProof/>
            <w:webHidden/>
          </w:rPr>
          <w:fldChar w:fldCharType="end"/>
        </w:r>
      </w:hyperlink>
    </w:p>
    <w:p w14:paraId="1F202724" w14:textId="24E0105F" w:rsidR="003E1DFA" w:rsidRDefault="00796FAE">
      <w:pPr>
        <w:pStyle w:val="TOC2"/>
        <w:rPr>
          <w:rFonts w:asciiTheme="minorHAnsi" w:eastAsiaTheme="minorEastAsia" w:hAnsiTheme="minorHAnsi" w:cstheme="minorBidi"/>
          <w:noProof/>
          <w:sz w:val="22"/>
          <w:szCs w:val="22"/>
        </w:rPr>
      </w:pPr>
      <w:hyperlink w:anchor="_Toc10555994" w:history="1">
        <w:r w:rsidR="003E1DFA" w:rsidRPr="00B467E4">
          <w:rPr>
            <w:rStyle w:val="Hyperlink"/>
            <w:noProof/>
          </w:rPr>
          <w:t>6(c) Estimating Agency Burden and Cost</w:t>
        </w:r>
        <w:r w:rsidR="003E1DFA">
          <w:rPr>
            <w:noProof/>
            <w:webHidden/>
          </w:rPr>
          <w:tab/>
        </w:r>
        <w:r w:rsidR="003E1DFA">
          <w:rPr>
            <w:noProof/>
            <w:webHidden/>
          </w:rPr>
          <w:fldChar w:fldCharType="begin"/>
        </w:r>
        <w:r w:rsidR="003E1DFA">
          <w:rPr>
            <w:noProof/>
            <w:webHidden/>
          </w:rPr>
          <w:instrText xml:space="preserve"> PAGEREF _Toc10555994 \h </w:instrText>
        </w:r>
        <w:r w:rsidR="003E1DFA">
          <w:rPr>
            <w:noProof/>
            <w:webHidden/>
          </w:rPr>
        </w:r>
        <w:r w:rsidR="003E1DFA">
          <w:rPr>
            <w:noProof/>
            <w:webHidden/>
          </w:rPr>
          <w:fldChar w:fldCharType="separate"/>
        </w:r>
        <w:r w:rsidR="0051088B">
          <w:rPr>
            <w:noProof/>
            <w:webHidden/>
          </w:rPr>
          <w:t>25</w:t>
        </w:r>
        <w:r w:rsidR="003E1DFA">
          <w:rPr>
            <w:noProof/>
            <w:webHidden/>
          </w:rPr>
          <w:fldChar w:fldCharType="end"/>
        </w:r>
      </w:hyperlink>
    </w:p>
    <w:p w14:paraId="2F8A5730" w14:textId="4853C37B" w:rsidR="003E1DFA" w:rsidRDefault="00796FAE">
      <w:pPr>
        <w:pStyle w:val="TOC2"/>
        <w:rPr>
          <w:rFonts w:asciiTheme="minorHAnsi" w:eastAsiaTheme="minorEastAsia" w:hAnsiTheme="minorHAnsi" w:cstheme="minorBidi"/>
          <w:noProof/>
          <w:sz w:val="22"/>
          <w:szCs w:val="22"/>
        </w:rPr>
      </w:pPr>
      <w:hyperlink w:anchor="_Toc10555995" w:history="1">
        <w:r w:rsidR="003E1DFA" w:rsidRPr="00B467E4">
          <w:rPr>
            <w:rStyle w:val="Hyperlink"/>
            <w:noProof/>
          </w:rPr>
          <w:t>6(d) Estimating the Respondent Universe and Total Burden and Costs</w:t>
        </w:r>
        <w:r w:rsidR="003E1DFA">
          <w:rPr>
            <w:noProof/>
            <w:webHidden/>
          </w:rPr>
          <w:tab/>
        </w:r>
        <w:r w:rsidR="003E1DFA">
          <w:rPr>
            <w:noProof/>
            <w:webHidden/>
          </w:rPr>
          <w:fldChar w:fldCharType="begin"/>
        </w:r>
        <w:r w:rsidR="003E1DFA">
          <w:rPr>
            <w:noProof/>
            <w:webHidden/>
          </w:rPr>
          <w:instrText xml:space="preserve"> PAGEREF _Toc10555995 \h </w:instrText>
        </w:r>
        <w:r w:rsidR="003E1DFA">
          <w:rPr>
            <w:noProof/>
            <w:webHidden/>
          </w:rPr>
        </w:r>
        <w:r w:rsidR="003E1DFA">
          <w:rPr>
            <w:noProof/>
            <w:webHidden/>
          </w:rPr>
          <w:fldChar w:fldCharType="separate"/>
        </w:r>
        <w:r w:rsidR="0051088B">
          <w:rPr>
            <w:noProof/>
            <w:webHidden/>
          </w:rPr>
          <w:t>25</w:t>
        </w:r>
        <w:r w:rsidR="003E1DFA">
          <w:rPr>
            <w:noProof/>
            <w:webHidden/>
          </w:rPr>
          <w:fldChar w:fldCharType="end"/>
        </w:r>
      </w:hyperlink>
    </w:p>
    <w:p w14:paraId="693F8E5F" w14:textId="3750D035" w:rsidR="003E1DFA" w:rsidRDefault="00796FAE">
      <w:pPr>
        <w:pStyle w:val="TOC2"/>
        <w:rPr>
          <w:rFonts w:asciiTheme="minorHAnsi" w:eastAsiaTheme="minorEastAsia" w:hAnsiTheme="minorHAnsi" w:cstheme="minorBidi"/>
          <w:noProof/>
          <w:sz w:val="22"/>
          <w:szCs w:val="22"/>
        </w:rPr>
      </w:pPr>
      <w:hyperlink w:anchor="_Toc10555996" w:history="1">
        <w:r w:rsidR="003E1DFA" w:rsidRPr="00B467E4">
          <w:rPr>
            <w:rStyle w:val="Hyperlink"/>
            <w:noProof/>
          </w:rPr>
          <w:t>6(e) Bottom Line Burden Hours and Costs</w:t>
        </w:r>
        <w:r w:rsidR="003E1DFA">
          <w:rPr>
            <w:noProof/>
            <w:webHidden/>
          </w:rPr>
          <w:tab/>
        </w:r>
        <w:r w:rsidR="003E1DFA">
          <w:rPr>
            <w:noProof/>
            <w:webHidden/>
          </w:rPr>
          <w:fldChar w:fldCharType="begin"/>
        </w:r>
        <w:r w:rsidR="003E1DFA">
          <w:rPr>
            <w:noProof/>
            <w:webHidden/>
          </w:rPr>
          <w:instrText xml:space="preserve"> PAGEREF _Toc10555996 \h </w:instrText>
        </w:r>
        <w:r w:rsidR="003E1DFA">
          <w:rPr>
            <w:noProof/>
            <w:webHidden/>
          </w:rPr>
        </w:r>
        <w:r w:rsidR="003E1DFA">
          <w:rPr>
            <w:noProof/>
            <w:webHidden/>
          </w:rPr>
          <w:fldChar w:fldCharType="separate"/>
        </w:r>
        <w:r w:rsidR="0051088B">
          <w:rPr>
            <w:noProof/>
            <w:webHidden/>
          </w:rPr>
          <w:t>25</w:t>
        </w:r>
        <w:r w:rsidR="003E1DFA">
          <w:rPr>
            <w:noProof/>
            <w:webHidden/>
          </w:rPr>
          <w:fldChar w:fldCharType="end"/>
        </w:r>
      </w:hyperlink>
    </w:p>
    <w:p w14:paraId="4645CCB8" w14:textId="4DEEEE78" w:rsidR="003E1DFA" w:rsidRDefault="00796FAE">
      <w:pPr>
        <w:pStyle w:val="TOC2"/>
        <w:rPr>
          <w:rFonts w:asciiTheme="minorHAnsi" w:eastAsiaTheme="minorEastAsia" w:hAnsiTheme="minorHAnsi" w:cstheme="minorBidi"/>
          <w:noProof/>
          <w:sz w:val="22"/>
          <w:szCs w:val="22"/>
        </w:rPr>
      </w:pPr>
      <w:hyperlink w:anchor="_Toc10555997" w:history="1">
        <w:r w:rsidR="003E1DFA" w:rsidRPr="00B467E4">
          <w:rPr>
            <w:rStyle w:val="Hyperlink"/>
            <w:noProof/>
          </w:rPr>
          <w:t>6(f) Reasons for Change in Burden</w:t>
        </w:r>
        <w:r w:rsidR="003E1DFA">
          <w:rPr>
            <w:noProof/>
            <w:webHidden/>
          </w:rPr>
          <w:tab/>
        </w:r>
        <w:r w:rsidR="003E1DFA">
          <w:rPr>
            <w:noProof/>
            <w:webHidden/>
          </w:rPr>
          <w:fldChar w:fldCharType="begin"/>
        </w:r>
        <w:r w:rsidR="003E1DFA">
          <w:rPr>
            <w:noProof/>
            <w:webHidden/>
          </w:rPr>
          <w:instrText xml:space="preserve"> PAGEREF _Toc10555997 \h </w:instrText>
        </w:r>
        <w:r w:rsidR="003E1DFA">
          <w:rPr>
            <w:noProof/>
            <w:webHidden/>
          </w:rPr>
        </w:r>
        <w:r w:rsidR="003E1DFA">
          <w:rPr>
            <w:noProof/>
            <w:webHidden/>
          </w:rPr>
          <w:fldChar w:fldCharType="separate"/>
        </w:r>
        <w:r w:rsidR="0051088B">
          <w:rPr>
            <w:noProof/>
            <w:webHidden/>
          </w:rPr>
          <w:t>27</w:t>
        </w:r>
        <w:r w:rsidR="003E1DFA">
          <w:rPr>
            <w:noProof/>
            <w:webHidden/>
          </w:rPr>
          <w:fldChar w:fldCharType="end"/>
        </w:r>
      </w:hyperlink>
    </w:p>
    <w:p w14:paraId="7ECB927F" w14:textId="1F114D72" w:rsidR="003E1DFA" w:rsidRDefault="00796FAE">
      <w:pPr>
        <w:pStyle w:val="TOC2"/>
        <w:rPr>
          <w:rFonts w:asciiTheme="minorHAnsi" w:eastAsiaTheme="minorEastAsia" w:hAnsiTheme="minorHAnsi" w:cstheme="minorBidi"/>
          <w:noProof/>
          <w:sz w:val="22"/>
          <w:szCs w:val="22"/>
        </w:rPr>
      </w:pPr>
      <w:hyperlink w:anchor="_Toc10555998" w:history="1">
        <w:r w:rsidR="003E1DFA" w:rsidRPr="00B467E4">
          <w:rPr>
            <w:rStyle w:val="Hyperlink"/>
            <w:noProof/>
          </w:rPr>
          <w:t>6(g) Burden Statement</w:t>
        </w:r>
        <w:r w:rsidR="003E1DFA">
          <w:rPr>
            <w:noProof/>
            <w:webHidden/>
          </w:rPr>
          <w:tab/>
        </w:r>
        <w:r w:rsidR="003E1DFA">
          <w:rPr>
            <w:noProof/>
            <w:webHidden/>
          </w:rPr>
          <w:fldChar w:fldCharType="begin"/>
        </w:r>
        <w:r w:rsidR="003E1DFA">
          <w:rPr>
            <w:noProof/>
            <w:webHidden/>
          </w:rPr>
          <w:instrText xml:space="preserve"> PAGEREF _Toc10555998 \h </w:instrText>
        </w:r>
        <w:r w:rsidR="003E1DFA">
          <w:rPr>
            <w:noProof/>
            <w:webHidden/>
          </w:rPr>
        </w:r>
        <w:r w:rsidR="003E1DFA">
          <w:rPr>
            <w:noProof/>
            <w:webHidden/>
          </w:rPr>
          <w:fldChar w:fldCharType="separate"/>
        </w:r>
        <w:r w:rsidR="0051088B">
          <w:rPr>
            <w:noProof/>
            <w:webHidden/>
          </w:rPr>
          <w:t>31</w:t>
        </w:r>
        <w:r w:rsidR="003E1DFA">
          <w:rPr>
            <w:noProof/>
            <w:webHidden/>
          </w:rPr>
          <w:fldChar w:fldCharType="end"/>
        </w:r>
      </w:hyperlink>
    </w:p>
    <w:p w14:paraId="0E0369B0" w14:textId="2EFD44E4" w:rsidR="00F3717A" w:rsidRPr="00C77927" w:rsidRDefault="00DE311E" w:rsidP="00BB1633">
      <w:pPr>
        <w:jc w:val="center"/>
        <w:sectPr w:rsidR="00F3717A" w:rsidRPr="00C77927" w:rsidSect="007E7234">
          <w:headerReference w:type="default" r:id="rId13"/>
          <w:pgSz w:w="12240" w:h="15840" w:code="1"/>
          <w:pgMar w:top="1440" w:right="1440" w:bottom="1440" w:left="1440" w:header="720" w:footer="432" w:gutter="0"/>
          <w:pgNumType w:start="1"/>
          <w:cols w:space="720"/>
          <w:docGrid w:linePitch="360"/>
        </w:sectPr>
      </w:pPr>
      <w:r w:rsidRPr="00C77927">
        <w:fldChar w:fldCharType="end"/>
      </w:r>
    </w:p>
    <w:p w14:paraId="33FA3199" w14:textId="77777777" w:rsidR="007E7234" w:rsidRPr="00C77927" w:rsidRDefault="007E7234" w:rsidP="007E7234">
      <w:pPr>
        <w:pStyle w:val="1"/>
        <w:jc w:val="center"/>
      </w:pPr>
      <w:r w:rsidRPr="00C77927">
        <w:t>LIST OF APPENDICES</w:t>
      </w:r>
    </w:p>
    <w:p w14:paraId="204D77F3" w14:textId="77777777" w:rsidR="007E7234" w:rsidRPr="00D25FC9" w:rsidRDefault="007E7234" w:rsidP="007E7234">
      <w:pPr>
        <w:rPr>
          <w:rFonts w:eastAsia="MS Mincho"/>
          <w:sz w:val="22"/>
          <w:szCs w:val="22"/>
        </w:rPr>
      </w:pPr>
    </w:p>
    <w:p w14:paraId="56FF760D" w14:textId="77777777" w:rsidR="007E7234" w:rsidRPr="00D25FC9" w:rsidRDefault="007E7234">
      <w:pPr>
        <w:ind w:left="720" w:hanging="720"/>
        <w:rPr>
          <w:rFonts w:eastAsia="MS Mincho"/>
          <w:sz w:val="22"/>
          <w:szCs w:val="22"/>
        </w:rPr>
      </w:pPr>
      <w:r w:rsidRPr="00D25FC9">
        <w:rPr>
          <w:rFonts w:eastAsia="MS Mincho"/>
          <w:sz w:val="22"/>
          <w:szCs w:val="22"/>
        </w:rPr>
        <w:t>A.</w:t>
      </w:r>
      <w:r w:rsidRPr="00D25FC9">
        <w:rPr>
          <w:rFonts w:eastAsia="MS Mincho"/>
          <w:sz w:val="22"/>
          <w:szCs w:val="22"/>
        </w:rPr>
        <w:tab/>
        <w:t>Current Information Collection Requests Associated with the Greenhouse Gas Reporting Program</w:t>
      </w:r>
    </w:p>
    <w:p w14:paraId="2160A339" w14:textId="77777777" w:rsidR="007E7234" w:rsidRPr="00C77927" w:rsidRDefault="007E7234" w:rsidP="007E7234">
      <w:pPr>
        <w:rPr>
          <w:rFonts w:eastAsia="MS Mincho"/>
          <w:sz w:val="22"/>
          <w:szCs w:val="22"/>
        </w:rPr>
      </w:pPr>
    </w:p>
    <w:p w14:paraId="13CA5C8B" w14:textId="0661F914" w:rsidR="007E7234" w:rsidRPr="00C77927" w:rsidRDefault="00510543" w:rsidP="00A81259">
      <w:pPr>
        <w:ind w:left="720" w:hanging="720"/>
        <w:rPr>
          <w:rFonts w:eastAsia="MS Mincho"/>
          <w:sz w:val="22"/>
          <w:szCs w:val="22"/>
        </w:rPr>
      </w:pPr>
      <w:r w:rsidRPr="00C77927">
        <w:rPr>
          <w:rFonts w:eastAsia="MS Mincho"/>
          <w:sz w:val="22"/>
          <w:szCs w:val="22"/>
        </w:rPr>
        <w:t>B</w:t>
      </w:r>
      <w:r w:rsidR="007E7234" w:rsidRPr="00C77927">
        <w:rPr>
          <w:rFonts w:eastAsia="MS Mincho"/>
          <w:sz w:val="22"/>
          <w:szCs w:val="22"/>
        </w:rPr>
        <w:t xml:space="preserve">. </w:t>
      </w:r>
      <w:r w:rsidR="007E7234" w:rsidRPr="00C77927">
        <w:rPr>
          <w:rFonts w:eastAsia="MS Mincho"/>
          <w:sz w:val="22"/>
          <w:szCs w:val="22"/>
        </w:rPr>
        <w:tab/>
        <w:t xml:space="preserve">Greenhouse Gas Reporting Program:  Reporting Requirements </w:t>
      </w:r>
    </w:p>
    <w:p w14:paraId="554D0C19" w14:textId="77777777" w:rsidR="007E7234" w:rsidRPr="00C77927" w:rsidRDefault="007E7234" w:rsidP="007E7234">
      <w:pPr>
        <w:rPr>
          <w:rFonts w:eastAsia="MS Mincho"/>
          <w:sz w:val="22"/>
          <w:szCs w:val="22"/>
          <w:highlight w:val="yellow"/>
        </w:rPr>
      </w:pPr>
    </w:p>
    <w:p w14:paraId="07D5FF7D" w14:textId="2CC3C31C" w:rsidR="007E7234" w:rsidRPr="00C77927" w:rsidRDefault="00510543" w:rsidP="00A81259">
      <w:pPr>
        <w:ind w:left="720" w:hanging="720"/>
        <w:rPr>
          <w:rFonts w:eastAsia="MS Mincho"/>
          <w:sz w:val="22"/>
          <w:szCs w:val="22"/>
        </w:rPr>
      </w:pPr>
      <w:r w:rsidRPr="00C77927">
        <w:rPr>
          <w:rFonts w:eastAsia="MS Mincho"/>
          <w:sz w:val="22"/>
          <w:szCs w:val="22"/>
        </w:rPr>
        <w:t>C</w:t>
      </w:r>
      <w:r w:rsidR="007E7234" w:rsidRPr="00C77927">
        <w:rPr>
          <w:rFonts w:eastAsia="MS Mincho"/>
          <w:sz w:val="22"/>
          <w:szCs w:val="22"/>
        </w:rPr>
        <w:t xml:space="preserve">. </w:t>
      </w:r>
      <w:r w:rsidR="007E7234" w:rsidRPr="00C77927">
        <w:rPr>
          <w:rFonts w:eastAsia="MS Mincho"/>
          <w:sz w:val="22"/>
          <w:szCs w:val="22"/>
        </w:rPr>
        <w:tab/>
        <w:t xml:space="preserve">Greenhouse Gas Reporting Program:  Recordkeeping Requirements </w:t>
      </w:r>
    </w:p>
    <w:p w14:paraId="37B7212C" w14:textId="77777777" w:rsidR="007E7234" w:rsidRPr="00C77927" w:rsidRDefault="007E7234" w:rsidP="007E7234">
      <w:pPr>
        <w:ind w:left="720" w:hanging="720"/>
        <w:rPr>
          <w:rFonts w:eastAsia="MS Mincho"/>
          <w:sz w:val="22"/>
          <w:szCs w:val="22"/>
        </w:rPr>
      </w:pPr>
    </w:p>
    <w:p w14:paraId="75A2D665" w14:textId="5E900E9F" w:rsidR="007E7234" w:rsidRPr="00C77927" w:rsidRDefault="00510543" w:rsidP="00A81259">
      <w:pPr>
        <w:ind w:left="720" w:hanging="720"/>
        <w:rPr>
          <w:rFonts w:eastAsia="MS Mincho"/>
          <w:sz w:val="22"/>
          <w:szCs w:val="22"/>
        </w:rPr>
      </w:pPr>
      <w:r w:rsidRPr="00C77927">
        <w:rPr>
          <w:rFonts w:eastAsia="MS Mincho"/>
          <w:sz w:val="22"/>
          <w:szCs w:val="22"/>
        </w:rPr>
        <w:t>D</w:t>
      </w:r>
      <w:r w:rsidR="007E7234" w:rsidRPr="00C77927">
        <w:rPr>
          <w:rFonts w:eastAsia="MS Mincho"/>
          <w:sz w:val="22"/>
          <w:szCs w:val="22"/>
        </w:rPr>
        <w:t xml:space="preserve">. </w:t>
      </w:r>
      <w:r w:rsidR="007E7234" w:rsidRPr="00C77927">
        <w:rPr>
          <w:rFonts w:eastAsia="MS Mincho"/>
          <w:sz w:val="22"/>
          <w:szCs w:val="22"/>
        </w:rPr>
        <w:tab/>
        <w:t>Summary of Labor Rate</w:t>
      </w:r>
      <w:r w:rsidR="00C878E2" w:rsidRPr="00C77927">
        <w:rPr>
          <w:rFonts w:eastAsia="MS Mincho"/>
          <w:sz w:val="22"/>
          <w:szCs w:val="22"/>
        </w:rPr>
        <w:t>s</w:t>
      </w:r>
      <w:r w:rsidR="007E7234" w:rsidRPr="00C77927">
        <w:rPr>
          <w:rFonts w:eastAsia="MS Mincho"/>
          <w:sz w:val="22"/>
          <w:szCs w:val="22"/>
        </w:rPr>
        <w:t xml:space="preserve"> Derivation</w:t>
      </w:r>
    </w:p>
    <w:p w14:paraId="275A9D61" w14:textId="77777777" w:rsidR="007E7234" w:rsidRPr="00C77927" w:rsidRDefault="007E7234" w:rsidP="007E7234">
      <w:pPr>
        <w:ind w:firstLine="720"/>
        <w:rPr>
          <w:rFonts w:eastAsia="MS Mincho"/>
          <w:sz w:val="22"/>
          <w:szCs w:val="22"/>
        </w:rPr>
      </w:pPr>
    </w:p>
    <w:p w14:paraId="14A25130" w14:textId="0DA8E911" w:rsidR="007E7234" w:rsidRPr="00C77927" w:rsidRDefault="009268B0" w:rsidP="007E7234">
      <w:pPr>
        <w:ind w:left="720" w:hanging="720"/>
        <w:rPr>
          <w:rFonts w:eastAsia="MS Mincho"/>
          <w:sz w:val="22"/>
          <w:szCs w:val="22"/>
        </w:rPr>
      </w:pPr>
      <w:r w:rsidRPr="00C77927">
        <w:rPr>
          <w:rFonts w:eastAsia="MS Mincho"/>
          <w:sz w:val="22"/>
          <w:szCs w:val="22"/>
        </w:rPr>
        <w:t>E</w:t>
      </w:r>
      <w:r w:rsidR="007E7234" w:rsidRPr="00C77927">
        <w:rPr>
          <w:rFonts w:eastAsia="MS Mincho"/>
          <w:sz w:val="22"/>
          <w:szCs w:val="22"/>
        </w:rPr>
        <w:t>.</w:t>
      </w:r>
      <w:r w:rsidR="007E7234" w:rsidRPr="00C77927">
        <w:rPr>
          <w:rFonts w:eastAsia="MS Mincho"/>
          <w:sz w:val="22"/>
          <w:szCs w:val="22"/>
        </w:rPr>
        <w:tab/>
        <w:t>Burden and Cost for Petroleum and Natural Gas Systems (Subpart W)</w:t>
      </w:r>
    </w:p>
    <w:p w14:paraId="32115729" w14:textId="38368402" w:rsidR="007E7234" w:rsidRPr="00C77927" w:rsidRDefault="009268B0" w:rsidP="001232AC">
      <w:pPr>
        <w:ind w:left="1440" w:hanging="720"/>
        <w:rPr>
          <w:rFonts w:eastAsia="MS Mincho"/>
          <w:sz w:val="22"/>
          <w:szCs w:val="22"/>
        </w:rPr>
      </w:pPr>
      <w:r w:rsidRPr="00C77927">
        <w:rPr>
          <w:rFonts w:eastAsia="MS Mincho"/>
          <w:sz w:val="22"/>
          <w:szCs w:val="22"/>
        </w:rPr>
        <w:t>E</w:t>
      </w:r>
      <w:r w:rsidR="007E7234" w:rsidRPr="00C77927">
        <w:rPr>
          <w:rFonts w:eastAsia="MS Mincho"/>
          <w:sz w:val="22"/>
          <w:szCs w:val="22"/>
        </w:rPr>
        <w:t>-1.</w:t>
      </w:r>
      <w:r w:rsidR="007E7234" w:rsidRPr="00C77927">
        <w:rPr>
          <w:rFonts w:eastAsia="MS Mincho"/>
          <w:sz w:val="22"/>
          <w:szCs w:val="22"/>
        </w:rPr>
        <w:tab/>
        <w:t>Detailed Unit Burden and Costs for Petroleum and Natural Gas Systems (Subpart W)</w:t>
      </w:r>
      <w:r w:rsidR="00BD3711" w:rsidRPr="00C77927">
        <w:rPr>
          <w:rFonts w:eastAsia="MS Mincho"/>
          <w:sz w:val="22"/>
          <w:szCs w:val="22"/>
        </w:rPr>
        <w:t>—Year</w:t>
      </w:r>
      <w:r w:rsidR="00C878E2" w:rsidRPr="00C77927">
        <w:rPr>
          <w:rFonts w:eastAsia="MS Mincho"/>
          <w:sz w:val="22"/>
          <w:szCs w:val="22"/>
        </w:rPr>
        <w:t>s</w:t>
      </w:r>
      <w:r w:rsidR="00BD3711" w:rsidRPr="00C77927">
        <w:rPr>
          <w:rFonts w:eastAsia="MS Mincho"/>
          <w:sz w:val="22"/>
          <w:szCs w:val="22"/>
        </w:rPr>
        <w:t xml:space="preserve"> 1</w:t>
      </w:r>
      <w:r w:rsidR="00C878E2" w:rsidRPr="00C77927">
        <w:rPr>
          <w:rFonts w:eastAsia="MS Mincho"/>
          <w:sz w:val="22"/>
          <w:szCs w:val="22"/>
        </w:rPr>
        <w:t xml:space="preserve"> - 3</w:t>
      </w:r>
    </w:p>
    <w:p w14:paraId="5E4986A0" w14:textId="62BCD92F" w:rsidR="007E7234" w:rsidRPr="00C77927" w:rsidRDefault="009268B0" w:rsidP="001232AC">
      <w:pPr>
        <w:ind w:left="1440" w:hanging="720"/>
        <w:rPr>
          <w:rFonts w:eastAsia="MS Mincho"/>
          <w:sz w:val="22"/>
          <w:szCs w:val="22"/>
        </w:rPr>
      </w:pPr>
      <w:r w:rsidRPr="00C77927">
        <w:rPr>
          <w:rFonts w:eastAsia="MS Mincho"/>
          <w:sz w:val="22"/>
          <w:szCs w:val="22"/>
        </w:rPr>
        <w:t>E</w:t>
      </w:r>
      <w:r w:rsidR="007E7234" w:rsidRPr="00C77927">
        <w:rPr>
          <w:rFonts w:eastAsia="MS Mincho"/>
          <w:sz w:val="22"/>
          <w:szCs w:val="22"/>
        </w:rPr>
        <w:t>-2.</w:t>
      </w:r>
      <w:r w:rsidR="007E7234" w:rsidRPr="00C77927">
        <w:rPr>
          <w:rFonts w:eastAsia="MS Mincho"/>
          <w:sz w:val="22"/>
          <w:szCs w:val="22"/>
        </w:rPr>
        <w:tab/>
      </w:r>
      <w:r w:rsidR="00C878E2" w:rsidRPr="00C77927">
        <w:rPr>
          <w:rFonts w:eastAsia="MS Mincho"/>
          <w:sz w:val="22"/>
          <w:szCs w:val="22"/>
        </w:rPr>
        <w:t>Summarized</w:t>
      </w:r>
      <w:r w:rsidR="001232AC" w:rsidRPr="00C77927">
        <w:rPr>
          <w:rFonts w:eastAsia="MS Mincho"/>
          <w:sz w:val="22"/>
          <w:szCs w:val="22"/>
        </w:rPr>
        <w:t xml:space="preserve"> Burden and Costs for Petroleum and Natural Gas Systems (Subpart W)—Year</w:t>
      </w:r>
      <w:r w:rsidR="00C878E2" w:rsidRPr="00C77927">
        <w:rPr>
          <w:rFonts w:eastAsia="MS Mincho"/>
          <w:sz w:val="22"/>
          <w:szCs w:val="22"/>
        </w:rPr>
        <w:t>s</w:t>
      </w:r>
      <w:r w:rsidR="001232AC" w:rsidRPr="00C77927">
        <w:rPr>
          <w:rFonts w:eastAsia="MS Mincho"/>
          <w:sz w:val="22"/>
          <w:szCs w:val="22"/>
        </w:rPr>
        <w:t xml:space="preserve"> </w:t>
      </w:r>
      <w:r w:rsidR="00C878E2" w:rsidRPr="00C77927">
        <w:rPr>
          <w:rFonts w:eastAsia="MS Mincho"/>
          <w:sz w:val="22"/>
          <w:szCs w:val="22"/>
        </w:rPr>
        <w:t>1 - 3</w:t>
      </w:r>
      <w:r w:rsidR="001232AC" w:rsidRPr="00C77927">
        <w:rPr>
          <w:rFonts w:eastAsia="MS Mincho"/>
          <w:sz w:val="22"/>
          <w:szCs w:val="22"/>
        </w:rPr>
        <w:t xml:space="preserve"> </w:t>
      </w:r>
    </w:p>
    <w:p w14:paraId="45BE93F2" w14:textId="2CE0EED2" w:rsidR="007E7234" w:rsidRPr="00C77927" w:rsidRDefault="001232AC" w:rsidP="001232AC">
      <w:pPr>
        <w:ind w:left="1440" w:hanging="720"/>
        <w:rPr>
          <w:rFonts w:eastAsia="MS Mincho"/>
          <w:sz w:val="22"/>
          <w:szCs w:val="22"/>
        </w:rPr>
      </w:pPr>
      <w:r w:rsidRPr="00C77927">
        <w:rPr>
          <w:rFonts w:eastAsia="MS Mincho"/>
          <w:sz w:val="22"/>
          <w:szCs w:val="22"/>
        </w:rPr>
        <w:t>E-</w:t>
      </w:r>
      <w:r w:rsidR="00C878E2" w:rsidRPr="00C77927">
        <w:rPr>
          <w:rFonts w:eastAsia="MS Mincho"/>
          <w:sz w:val="22"/>
          <w:szCs w:val="22"/>
        </w:rPr>
        <w:t>3</w:t>
      </w:r>
      <w:r w:rsidRPr="00C77927">
        <w:rPr>
          <w:rFonts w:eastAsia="MS Mincho"/>
          <w:sz w:val="22"/>
          <w:szCs w:val="22"/>
        </w:rPr>
        <w:t>.</w:t>
      </w:r>
      <w:r w:rsidRPr="00C77927">
        <w:rPr>
          <w:rFonts w:eastAsia="MS Mincho"/>
          <w:sz w:val="22"/>
          <w:szCs w:val="22"/>
        </w:rPr>
        <w:tab/>
      </w:r>
      <w:r w:rsidR="00BD3711" w:rsidRPr="00C77927">
        <w:rPr>
          <w:rFonts w:eastAsia="MS Mincho"/>
          <w:sz w:val="22"/>
          <w:szCs w:val="22"/>
        </w:rPr>
        <w:t xml:space="preserve">Footnotes </w:t>
      </w:r>
      <w:r w:rsidR="00BE03C8" w:rsidRPr="00C77927">
        <w:rPr>
          <w:rFonts w:eastAsia="MS Mincho"/>
          <w:sz w:val="22"/>
          <w:szCs w:val="22"/>
        </w:rPr>
        <w:t>A</w:t>
      </w:r>
      <w:r w:rsidR="00BD3711" w:rsidRPr="00C77927">
        <w:rPr>
          <w:rFonts w:eastAsia="MS Mincho"/>
          <w:sz w:val="22"/>
          <w:szCs w:val="22"/>
        </w:rPr>
        <w:t xml:space="preserve">pplicable to </w:t>
      </w:r>
      <w:r w:rsidR="008A7D1F" w:rsidRPr="00C77927">
        <w:rPr>
          <w:rFonts w:eastAsia="MS Mincho"/>
          <w:sz w:val="22"/>
          <w:szCs w:val="22"/>
        </w:rPr>
        <w:t>Appendi</w:t>
      </w:r>
      <w:r w:rsidR="00C878E2" w:rsidRPr="00C77927">
        <w:rPr>
          <w:rFonts w:eastAsia="MS Mincho"/>
          <w:sz w:val="22"/>
          <w:szCs w:val="22"/>
        </w:rPr>
        <w:t>x</w:t>
      </w:r>
      <w:r w:rsidR="008A7D1F" w:rsidRPr="00C77927">
        <w:rPr>
          <w:rFonts w:eastAsia="MS Mincho"/>
          <w:sz w:val="22"/>
          <w:szCs w:val="22"/>
        </w:rPr>
        <w:t xml:space="preserve"> E-1</w:t>
      </w:r>
    </w:p>
    <w:p w14:paraId="065385FB" w14:textId="7C2C7D82" w:rsidR="00C226BB" w:rsidRPr="00C77927" w:rsidRDefault="00C226BB" w:rsidP="001232AC">
      <w:pPr>
        <w:ind w:left="1440" w:hanging="720"/>
        <w:rPr>
          <w:rFonts w:eastAsia="MS Mincho"/>
          <w:sz w:val="22"/>
          <w:szCs w:val="22"/>
        </w:rPr>
      </w:pPr>
      <w:r w:rsidRPr="00C77927">
        <w:rPr>
          <w:rFonts w:eastAsia="MS Mincho"/>
          <w:sz w:val="22"/>
          <w:szCs w:val="22"/>
        </w:rPr>
        <w:t>E-</w:t>
      </w:r>
      <w:r w:rsidR="00C878E2" w:rsidRPr="00C77927">
        <w:rPr>
          <w:rFonts w:eastAsia="MS Mincho"/>
          <w:sz w:val="22"/>
          <w:szCs w:val="22"/>
        </w:rPr>
        <w:t>4</w:t>
      </w:r>
      <w:r w:rsidRPr="00C77927">
        <w:rPr>
          <w:rFonts w:eastAsia="MS Mincho"/>
          <w:sz w:val="22"/>
          <w:szCs w:val="22"/>
        </w:rPr>
        <w:t>.</w:t>
      </w:r>
      <w:r w:rsidRPr="00C77927">
        <w:rPr>
          <w:rFonts w:eastAsia="MS Mincho"/>
          <w:sz w:val="22"/>
          <w:szCs w:val="22"/>
        </w:rPr>
        <w:tab/>
        <w:t xml:space="preserve">Burden and Costs for </w:t>
      </w:r>
      <w:r w:rsidR="00C878E2" w:rsidRPr="00C77927">
        <w:rPr>
          <w:rFonts w:eastAsia="MS Mincho"/>
          <w:sz w:val="22"/>
          <w:szCs w:val="22"/>
        </w:rPr>
        <w:t>Petroleum and Natural Gas Systems (Subpart W) - by Industry Segment for</w:t>
      </w:r>
      <w:r w:rsidR="005D6CD7" w:rsidRPr="00C77927">
        <w:rPr>
          <w:rFonts w:eastAsia="MS Mincho"/>
          <w:sz w:val="22"/>
          <w:szCs w:val="22"/>
        </w:rPr>
        <w:t xml:space="preserve"> </w:t>
      </w:r>
      <w:r w:rsidRPr="00C77927">
        <w:rPr>
          <w:rFonts w:eastAsia="MS Mincho"/>
          <w:sz w:val="22"/>
          <w:szCs w:val="22"/>
        </w:rPr>
        <w:t>Year</w:t>
      </w:r>
      <w:r w:rsidR="00C878E2" w:rsidRPr="00C77927">
        <w:rPr>
          <w:rFonts w:eastAsia="MS Mincho"/>
          <w:sz w:val="22"/>
          <w:szCs w:val="22"/>
        </w:rPr>
        <w:t>s</w:t>
      </w:r>
      <w:r w:rsidRPr="00C77927">
        <w:rPr>
          <w:rFonts w:eastAsia="MS Mincho"/>
          <w:sz w:val="22"/>
          <w:szCs w:val="22"/>
        </w:rPr>
        <w:t xml:space="preserve"> 1 </w:t>
      </w:r>
      <w:r w:rsidR="00C878E2" w:rsidRPr="00C77927">
        <w:rPr>
          <w:rFonts w:eastAsia="MS Mincho"/>
          <w:sz w:val="22"/>
          <w:szCs w:val="22"/>
        </w:rPr>
        <w:t>-</w:t>
      </w:r>
      <w:r w:rsidRPr="00C77927">
        <w:rPr>
          <w:rFonts w:eastAsia="MS Mincho"/>
          <w:sz w:val="22"/>
          <w:szCs w:val="22"/>
        </w:rPr>
        <w:t xml:space="preserve"> 3</w:t>
      </w:r>
    </w:p>
    <w:p w14:paraId="454777E3" w14:textId="77777777" w:rsidR="007E6C98" w:rsidRPr="00C77927" w:rsidRDefault="007E6C98" w:rsidP="001232AC">
      <w:pPr>
        <w:ind w:left="1440" w:hanging="720"/>
        <w:rPr>
          <w:rFonts w:eastAsia="MS Mincho"/>
          <w:sz w:val="22"/>
          <w:szCs w:val="22"/>
        </w:rPr>
      </w:pPr>
    </w:p>
    <w:p w14:paraId="48915467" w14:textId="359E3CBC" w:rsidR="007E7F9C" w:rsidRPr="00C77927" w:rsidRDefault="007E7F9C" w:rsidP="007E7F9C">
      <w:pPr>
        <w:ind w:left="720" w:hanging="720"/>
        <w:rPr>
          <w:rFonts w:eastAsia="MS Mincho"/>
          <w:sz w:val="22"/>
          <w:szCs w:val="22"/>
        </w:rPr>
      </w:pPr>
      <w:r w:rsidRPr="00C77927">
        <w:rPr>
          <w:rFonts w:eastAsia="MS Mincho"/>
          <w:sz w:val="22"/>
          <w:szCs w:val="22"/>
        </w:rPr>
        <w:t>F.</w:t>
      </w:r>
      <w:r w:rsidRPr="00C77927">
        <w:rPr>
          <w:rFonts w:eastAsia="MS Mincho"/>
          <w:sz w:val="22"/>
          <w:szCs w:val="22"/>
        </w:rPr>
        <w:tab/>
        <w:t>Burden and Cost for General Stationary Fuel Combustion (Subpart C)</w:t>
      </w:r>
    </w:p>
    <w:p w14:paraId="0A5FD714" w14:textId="37D72239" w:rsidR="007E7F9C" w:rsidRPr="00C77927" w:rsidRDefault="007E7F9C" w:rsidP="007E7F9C">
      <w:pPr>
        <w:ind w:left="720" w:hanging="720"/>
        <w:rPr>
          <w:rFonts w:eastAsia="MS Mincho"/>
          <w:sz w:val="22"/>
          <w:szCs w:val="22"/>
        </w:rPr>
      </w:pPr>
      <w:r w:rsidRPr="00C77927">
        <w:rPr>
          <w:rFonts w:eastAsia="MS Mincho"/>
          <w:sz w:val="22"/>
          <w:szCs w:val="22"/>
        </w:rPr>
        <w:tab/>
        <w:t>F-1.</w:t>
      </w:r>
      <w:r w:rsidRPr="00C77927">
        <w:rPr>
          <w:rFonts w:eastAsia="MS Mincho"/>
          <w:sz w:val="22"/>
          <w:szCs w:val="22"/>
        </w:rPr>
        <w:tab/>
        <w:t xml:space="preserve">Detailed </w:t>
      </w:r>
      <w:r w:rsidR="00C878E2" w:rsidRPr="00C77927">
        <w:rPr>
          <w:rFonts w:eastAsia="MS Mincho"/>
          <w:sz w:val="22"/>
          <w:szCs w:val="22"/>
        </w:rPr>
        <w:t xml:space="preserve">Unit </w:t>
      </w:r>
      <w:r w:rsidRPr="00C77927">
        <w:rPr>
          <w:rFonts w:eastAsia="MS Mincho"/>
          <w:sz w:val="22"/>
          <w:szCs w:val="22"/>
        </w:rPr>
        <w:t xml:space="preserve">Burden and Cost for GHGRP Reporters </w:t>
      </w:r>
      <w:r w:rsidR="00C878E2" w:rsidRPr="00C77927">
        <w:rPr>
          <w:rFonts w:eastAsia="MS Mincho"/>
          <w:sz w:val="22"/>
          <w:szCs w:val="22"/>
        </w:rPr>
        <w:t>Subject to</w:t>
      </w:r>
      <w:r w:rsidRPr="00C77927">
        <w:rPr>
          <w:rFonts w:eastAsia="MS Mincho"/>
          <w:sz w:val="22"/>
          <w:szCs w:val="22"/>
        </w:rPr>
        <w:t xml:space="preserve"> Subpart C Only</w:t>
      </w:r>
      <w:r w:rsidR="00C878E2" w:rsidRPr="00C77927">
        <w:rPr>
          <w:rFonts w:eastAsia="MS Mincho"/>
          <w:sz w:val="22"/>
          <w:szCs w:val="22"/>
        </w:rPr>
        <w:t xml:space="preserve"> – Year 1</w:t>
      </w:r>
    </w:p>
    <w:p w14:paraId="19CABDB6" w14:textId="28D9D180" w:rsidR="007E7F9C" w:rsidRPr="00C77927" w:rsidRDefault="007E7F9C" w:rsidP="007E7F9C">
      <w:pPr>
        <w:ind w:left="1440" w:hanging="720"/>
        <w:rPr>
          <w:rFonts w:eastAsia="MS Mincho"/>
          <w:sz w:val="22"/>
          <w:szCs w:val="22"/>
        </w:rPr>
      </w:pPr>
      <w:r w:rsidRPr="00C77927">
        <w:rPr>
          <w:rFonts w:eastAsia="MS Mincho"/>
          <w:sz w:val="22"/>
          <w:szCs w:val="22"/>
        </w:rPr>
        <w:t>F-2.</w:t>
      </w:r>
      <w:r w:rsidRPr="00C77927">
        <w:rPr>
          <w:rFonts w:eastAsia="MS Mincho"/>
          <w:sz w:val="22"/>
          <w:szCs w:val="22"/>
        </w:rPr>
        <w:tab/>
        <w:t xml:space="preserve">Detailed </w:t>
      </w:r>
      <w:r w:rsidR="00C878E2" w:rsidRPr="00C77927">
        <w:rPr>
          <w:rFonts w:eastAsia="MS Mincho"/>
          <w:sz w:val="22"/>
          <w:szCs w:val="22"/>
        </w:rPr>
        <w:t xml:space="preserve">Unit </w:t>
      </w:r>
      <w:r w:rsidRPr="00C77927">
        <w:rPr>
          <w:rFonts w:eastAsia="MS Mincho"/>
          <w:sz w:val="22"/>
          <w:szCs w:val="22"/>
        </w:rPr>
        <w:t xml:space="preserve">Burden and Cost for GHGRP Reporters </w:t>
      </w:r>
      <w:r w:rsidR="00C878E2" w:rsidRPr="00C77927">
        <w:rPr>
          <w:rFonts w:eastAsia="MS Mincho"/>
          <w:sz w:val="22"/>
          <w:szCs w:val="22"/>
        </w:rPr>
        <w:t>Subject to</w:t>
      </w:r>
      <w:r w:rsidRPr="00C77927">
        <w:rPr>
          <w:rFonts w:eastAsia="MS Mincho"/>
          <w:sz w:val="22"/>
          <w:szCs w:val="22"/>
        </w:rPr>
        <w:t xml:space="preserve"> Subpart C </w:t>
      </w:r>
      <w:r w:rsidR="00C878E2" w:rsidRPr="00C77927">
        <w:rPr>
          <w:rFonts w:eastAsia="MS Mincho"/>
          <w:sz w:val="22"/>
          <w:szCs w:val="22"/>
        </w:rPr>
        <w:t>Only – Year 2</w:t>
      </w:r>
    </w:p>
    <w:p w14:paraId="676D0E65" w14:textId="07BD7DD9" w:rsidR="00C878E2" w:rsidRPr="00C77927" w:rsidRDefault="00C878E2" w:rsidP="007E7F9C">
      <w:pPr>
        <w:ind w:left="1440" w:hanging="720"/>
        <w:rPr>
          <w:rFonts w:eastAsia="MS Mincho"/>
          <w:sz w:val="22"/>
          <w:szCs w:val="22"/>
        </w:rPr>
      </w:pPr>
      <w:r w:rsidRPr="00C77927">
        <w:rPr>
          <w:rFonts w:eastAsia="MS Mincho"/>
          <w:sz w:val="22"/>
          <w:szCs w:val="22"/>
        </w:rPr>
        <w:t>F-3.</w:t>
      </w:r>
      <w:r w:rsidRPr="00C77927">
        <w:rPr>
          <w:rFonts w:eastAsia="MS Mincho"/>
          <w:sz w:val="22"/>
          <w:szCs w:val="22"/>
        </w:rPr>
        <w:tab/>
        <w:t>Detailed Unit Burden and Cost for GHGRP Reporters Subject to Subpart C Only – Year 3</w:t>
      </w:r>
    </w:p>
    <w:p w14:paraId="0B91B4CB" w14:textId="2BED04C3" w:rsidR="00C878E2" w:rsidRPr="00C77927" w:rsidRDefault="00C878E2" w:rsidP="007E7F9C">
      <w:pPr>
        <w:ind w:left="1440" w:hanging="720"/>
        <w:rPr>
          <w:rFonts w:eastAsia="MS Mincho"/>
          <w:sz w:val="22"/>
          <w:szCs w:val="22"/>
        </w:rPr>
      </w:pPr>
      <w:r w:rsidRPr="00C77927">
        <w:rPr>
          <w:rFonts w:eastAsia="MS Mincho"/>
          <w:sz w:val="22"/>
          <w:szCs w:val="22"/>
        </w:rPr>
        <w:t>F-4.</w:t>
      </w:r>
      <w:r w:rsidRPr="00C77927">
        <w:rPr>
          <w:rFonts w:eastAsia="MS Mincho"/>
          <w:sz w:val="22"/>
          <w:szCs w:val="22"/>
        </w:rPr>
        <w:tab/>
        <w:t>Footnotes Applicable to Appendix F-1, Appendix F-2, and Appendix F-3</w:t>
      </w:r>
    </w:p>
    <w:p w14:paraId="3EDC88B4" w14:textId="5BBCECCB" w:rsidR="00C878E2" w:rsidRPr="00C77927" w:rsidRDefault="00C878E2" w:rsidP="007E7F9C">
      <w:pPr>
        <w:ind w:left="1440" w:hanging="720"/>
        <w:rPr>
          <w:rFonts w:eastAsia="MS Mincho"/>
          <w:sz w:val="22"/>
          <w:szCs w:val="22"/>
        </w:rPr>
      </w:pPr>
      <w:r w:rsidRPr="00C77927">
        <w:rPr>
          <w:rFonts w:eastAsia="MS Mincho"/>
          <w:sz w:val="22"/>
          <w:szCs w:val="22"/>
        </w:rPr>
        <w:t>F-5.</w:t>
      </w:r>
      <w:r w:rsidRPr="00C77927">
        <w:rPr>
          <w:rFonts w:eastAsia="MS Mincho"/>
          <w:sz w:val="22"/>
          <w:szCs w:val="22"/>
        </w:rPr>
        <w:tab/>
        <w:t>Detailed Unit Burden and Cost for GHGRP Reporters Subject to Subpart C Plus Another Subpart(s) – Year 1</w:t>
      </w:r>
    </w:p>
    <w:p w14:paraId="79D5004F" w14:textId="79EDCF91" w:rsidR="00C878E2" w:rsidRPr="00C77927" w:rsidRDefault="00C878E2" w:rsidP="007E7F9C">
      <w:pPr>
        <w:ind w:left="1440" w:hanging="720"/>
        <w:rPr>
          <w:rFonts w:eastAsia="MS Mincho"/>
          <w:sz w:val="22"/>
          <w:szCs w:val="22"/>
        </w:rPr>
      </w:pPr>
      <w:r w:rsidRPr="00C77927">
        <w:rPr>
          <w:rFonts w:eastAsia="MS Mincho"/>
          <w:sz w:val="22"/>
          <w:szCs w:val="22"/>
        </w:rPr>
        <w:t xml:space="preserve">F-6. </w:t>
      </w:r>
      <w:r w:rsidRPr="00C77927">
        <w:rPr>
          <w:rFonts w:eastAsia="MS Mincho"/>
          <w:sz w:val="22"/>
          <w:szCs w:val="22"/>
        </w:rPr>
        <w:tab/>
        <w:t>Detailed Unit Burden and Cost for GHGRP Reporters Subject to Subpart C Plus Another Subpart(s) – Year 2</w:t>
      </w:r>
      <w:r w:rsidR="4AC85D9D" w:rsidRPr="00C77927">
        <w:rPr>
          <w:rFonts w:eastAsia="MS Mincho"/>
          <w:sz w:val="22"/>
          <w:szCs w:val="22"/>
        </w:rPr>
        <w:t>--</w:t>
      </w:r>
    </w:p>
    <w:p w14:paraId="3E4F1D63" w14:textId="7790B03E" w:rsidR="00C878E2" w:rsidRPr="00C77927" w:rsidRDefault="00C878E2" w:rsidP="007E7F9C">
      <w:pPr>
        <w:ind w:left="1440" w:hanging="720"/>
        <w:rPr>
          <w:rFonts w:eastAsia="MS Mincho"/>
          <w:sz w:val="22"/>
          <w:szCs w:val="22"/>
        </w:rPr>
      </w:pPr>
      <w:r w:rsidRPr="00C77927">
        <w:rPr>
          <w:rFonts w:eastAsia="MS Mincho"/>
          <w:sz w:val="22"/>
          <w:szCs w:val="22"/>
        </w:rPr>
        <w:t>F-7.</w:t>
      </w:r>
      <w:r w:rsidRPr="00C77927">
        <w:rPr>
          <w:rFonts w:eastAsia="MS Mincho"/>
          <w:sz w:val="22"/>
          <w:szCs w:val="22"/>
        </w:rPr>
        <w:tab/>
        <w:t>Detailed Unit Burden and Cost for GHGRP Reporters Subject to Subpart C Plus Another Subpart(s) – Year 3</w:t>
      </w:r>
    </w:p>
    <w:p w14:paraId="04C622AD" w14:textId="2BA0E742" w:rsidR="00C8535A" w:rsidRPr="00C77927" w:rsidRDefault="00C8535A" w:rsidP="007E7F9C">
      <w:pPr>
        <w:ind w:left="1440" w:hanging="720"/>
        <w:rPr>
          <w:rFonts w:eastAsia="MS Mincho"/>
          <w:sz w:val="22"/>
          <w:szCs w:val="22"/>
        </w:rPr>
      </w:pPr>
      <w:r w:rsidRPr="00C77927">
        <w:rPr>
          <w:rFonts w:eastAsia="MS Mincho"/>
          <w:sz w:val="22"/>
          <w:szCs w:val="22"/>
        </w:rPr>
        <w:t>F-8.</w:t>
      </w:r>
      <w:r w:rsidRPr="00C77927">
        <w:rPr>
          <w:rFonts w:eastAsia="MS Mincho"/>
          <w:sz w:val="22"/>
          <w:szCs w:val="22"/>
        </w:rPr>
        <w:tab/>
        <w:t>Footnotes Applicable to Appendix F-5, Appendix F-6, and Appendix F-7</w:t>
      </w:r>
    </w:p>
    <w:p w14:paraId="56D48B4B" w14:textId="078784D2" w:rsidR="00C8535A" w:rsidRPr="00C77927" w:rsidRDefault="00C8535A" w:rsidP="007E7F9C">
      <w:pPr>
        <w:ind w:left="1440" w:hanging="720"/>
        <w:rPr>
          <w:rFonts w:eastAsia="MS Mincho"/>
          <w:sz w:val="22"/>
          <w:szCs w:val="22"/>
        </w:rPr>
      </w:pPr>
      <w:r w:rsidRPr="00C77927">
        <w:rPr>
          <w:rFonts w:eastAsia="MS Mincho"/>
          <w:sz w:val="22"/>
          <w:szCs w:val="22"/>
        </w:rPr>
        <w:t>F-9.</w:t>
      </w:r>
      <w:r w:rsidRPr="00C77927">
        <w:rPr>
          <w:rFonts w:eastAsia="MS Mincho"/>
          <w:sz w:val="22"/>
          <w:szCs w:val="22"/>
        </w:rPr>
        <w:tab/>
        <w:t>Summary</w:t>
      </w:r>
      <w:r w:rsidR="00346D05" w:rsidRPr="00C77927">
        <w:rPr>
          <w:rFonts w:eastAsia="MS Mincho"/>
          <w:sz w:val="22"/>
          <w:szCs w:val="22"/>
        </w:rPr>
        <w:t xml:space="preserve"> of Burden and Cost for General Stationary Combustion</w:t>
      </w:r>
      <w:r w:rsidR="00CC332D" w:rsidRPr="00C77927">
        <w:rPr>
          <w:rFonts w:eastAsia="MS Mincho"/>
          <w:sz w:val="22"/>
          <w:szCs w:val="22"/>
        </w:rPr>
        <w:t xml:space="preserve"> Sources to Comply with Subpart C by Year</w:t>
      </w:r>
    </w:p>
    <w:p w14:paraId="1173C465" w14:textId="77777777" w:rsidR="00C878E2" w:rsidRPr="00C77927" w:rsidRDefault="00C878E2" w:rsidP="007E7F9C">
      <w:pPr>
        <w:ind w:left="1440" w:hanging="720"/>
        <w:rPr>
          <w:rFonts w:eastAsia="MS Mincho"/>
          <w:sz w:val="22"/>
          <w:szCs w:val="22"/>
        </w:rPr>
      </w:pPr>
    </w:p>
    <w:p w14:paraId="11DC9F60" w14:textId="77777777" w:rsidR="007E7F9C" w:rsidRPr="00C77927" w:rsidRDefault="007E7F9C" w:rsidP="007E7F9C">
      <w:pPr>
        <w:ind w:left="1440" w:hanging="720"/>
        <w:rPr>
          <w:rFonts w:eastAsia="MS Mincho"/>
          <w:sz w:val="22"/>
          <w:szCs w:val="22"/>
        </w:rPr>
      </w:pPr>
    </w:p>
    <w:p w14:paraId="61CF14CE" w14:textId="74FF0EAE" w:rsidR="007E6C98" w:rsidRPr="00C77927" w:rsidRDefault="007E7F9C" w:rsidP="007E7F9C">
      <w:pPr>
        <w:ind w:left="720" w:hanging="720"/>
        <w:rPr>
          <w:rFonts w:eastAsia="MS Mincho"/>
          <w:sz w:val="22"/>
          <w:szCs w:val="22"/>
        </w:rPr>
      </w:pPr>
      <w:r w:rsidRPr="00C77927">
        <w:rPr>
          <w:rFonts w:eastAsia="MS Mincho"/>
          <w:sz w:val="22"/>
          <w:szCs w:val="22"/>
        </w:rPr>
        <w:t>G</w:t>
      </w:r>
      <w:r w:rsidR="007E6C98" w:rsidRPr="00C77927">
        <w:rPr>
          <w:rFonts w:eastAsia="MS Mincho"/>
          <w:sz w:val="22"/>
          <w:szCs w:val="22"/>
        </w:rPr>
        <w:t xml:space="preserve">. </w:t>
      </w:r>
      <w:r w:rsidR="007E6C98" w:rsidRPr="00C77927">
        <w:rPr>
          <w:rFonts w:eastAsia="MS Mincho"/>
          <w:sz w:val="22"/>
          <w:szCs w:val="22"/>
        </w:rPr>
        <w:tab/>
        <w:t xml:space="preserve">Burden and Cost Estimate for Geologic </w:t>
      </w:r>
      <w:r w:rsidR="0007583E" w:rsidRPr="00C77927">
        <w:rPr>
          <w:rFonts w:eastAsia="MS Mincho"/>
          <w:sz w:val="22"/>
          <w:szCs w:val="22"/>
        </w:rPr>
        <w:t>Sequestration</w:t>
      </w:r>
      <w:r w:rsidR="007E6C98" w:rsidRPr="00C77927">
        <w:rPr>
          <w:rFonts w:eastAsia="MS Mincho"/>
          <w:sz w:val="22"/>
          <w:szCs w:val="22"/>
        </w:rPr>
        <w:t xml:space="preserve"> of Carbon Dioxide (Subpart RR)</w:t>
      </w:r>
    </w:p>
    <w:p w14:paraId="77E3115C" w14:textId="5D1DE2D7" w:rsidR="00CC332D" w:rsidRPr="00C77927" w:rsidRDefault="00CC332D" w:rsidP="007E7F9C">
      <w:pPr>
        <w:ind w:left="720" w:hanging="720"/>
        <w:rPr>
          <w:rFonts w:eastAsia="MS Mincho"/>
          <w:sz w:val="22"/>
          <w:szCs w:val="22"/>
        </w:rPr>
      </w:pPr>
    </w:p>
    <w:p w14:paraId="5E944C03" w14:textId="75D4C376" w:rsidR="00CC332D" w:rsidRDefault="00CC332D" w:rsidP="007E7F9C">
      <w:pPr>
        <w:ind w:left="720" w:hanging="720"/>
        <w:rPr>
          <w:rFonts w:eastAsia="MS Mincho"/>
          <w:sz w:val="22"/>
          <w:szCs w:val="22"/>
        </w:rPr>
      </w:pPr>
      <w:r w:rsidRPr="00C77927">
        <w:rPr>
          <w:rFonts w:eastAsia="MS Mincho"/>
          <w:sz w:val="22"/>
          <w:szCs w:val="22"/>
        </w:rPr>
        <w:t>H.</w:t>
      </w:r>
      <w:r w:rsidRPr="00C77927">
        <w:rPr>
          <w:rFonts w:eastAsia="MS Mincho"/>
          <w:sz w:val="22"/>
          <w:szCs w:val="22"/>
        </w:rPr>
        <w:tab/>
        <w:t xml:space="preserve">Subpart-Specific Cost Summaries Greenhouse Gas Reporting Program ICR Renewal </w:t>
      </w:r>
      <w:r w:rsidR="00592B8B">
        <w:rPr>
          <w:rFonts w:eastAsia="MS Mincho"/>
          <w:sz w:val="22"/>
          <w:szCs w:val="22"/>
        </w:rPr>
        <w:t>August</w:t>
      </w:r>
      <w:r w:rsidR="00592B8B" w:rsidRPr="00C77927">
        <w:rPr>
          <w:rFonts w:eastAsia="MS Mincho"/>
          <w:sz w:val="22"/>
          <w:szCs w:val="22"/>
        </w:rPr>
        <w:t xml:space="preserve"> </w:t>
      </w:r>
      <w:r w:rsidRPr="00C77927">
        <w:rPr>
          <w:rFonts w:eastAsia="MS Mincho"/>
          <w:sz w:val="22"/>
          <w:szCs w:val="22"/>
        </w:rPr>
        <w:t>2019</w:t>
      </w:r>
    </w:p>
    <w:p w14:paraId="52152648" w14:textId="106A810F" w:rsidR="00691EF4" w:rsidRDefault="00691EF4" w:rsidP="007E7F9C">
      <w:pPr>
        <w:ind w:left="720" w:hanging="720"/>
        <w:rPr>
          <w:rFonts w:eastAsia="MS Mincho"/>
          <w:sz w:val="22"/>
          <w:szCs w:val="22"/>
        </w:rPr>
      </w:pPr>
    </w:p>
    <w:p w14:paraId="60E5DB50" w14:textId="11BD69C7" w:rsidR="00691EF4" w:rsidRPr="00C77927" w:rsidRDefault="00691EF4" w:rsidP="007E7F9C">
      <w:pPr>
        <w:ind w:left="720" w:hanging="720"/>
        <w:rPr>
          <w:rFonts w:eastAsia="MS Mincho"/>
          <w:sz w:val="22"/>
          <w:szCs w:val="22"/>
        </w:rPr>
      </w:pPr>
      <w:r>
        <w:rPr>
          <w:rFonts w:eastAsia="MS Mincho"/>
          <w:sz w:val="22"/>
          <w:szCs w:val="22"/>
        </w:rPr>
        <w:t>I.</w:t>
      </w:r>
      <w:r>
        <w:rPr>
          <w:rFonts w:eastAsia="MS Mincho"/>
          <w:sz w:val="22"/>
          <w:szCs w:val="22"/>
        </w:rPr>
        <w:tab/>
      </w:r>
      <w:r w:rsidR="00001711">
        <w:rPr>
          <w:rFonts w:eastAsia="MS Mincho"/>
          <w:sz w:val="22"/>
          <w:szCs w:val="22"/>
        </w:rPr>
        <w:t>D</w:t>
      </w:r>
      <w:r w:rsidR="00C320E6">
        <w:rPr>
          <w:rFonts w:eastAsia="MS Mincho"/>
          <w:sz w:val="22"/>
          <w:szCs w:val="22"/>
        </w:rPr>
        <w:t xml:space="preserve">ocumentation of </w:t>
      </w:r>
      <w:r w:rsidR="00001711">
        <w:rPr>
          <w:rFonts w:eastAsia="MS Mincho"/>
          <w:sz w:val="22"/>
          <w:szCs w:val="22"/>
        </w:rPr>
        <w:t>Changes to R</w:t>
      </w:r>
      <w:r w:rsidR="00C320E6">
        <w:rPr>
          <w:rFonts w:eastAsia="MS Mincho"/>
          <w:sz w:val="22"/>
          <w:szCs w:val="22"/>
        </w:rPr>
        <w:t xml:space="preserve">esponses per </w:t>
      </w:r>
      <w:r w:rsidR="00001711">
        <w:rPr>
          <w:rFonts w:eastAsia="MS Mincho"/>
          <w:sz w:val="22"/>
          <w:szCs w:val="22"/>
        </w:rPr>
        <w:t>R</w:t>
      </w:r>
      <w:r w:rsidR="00C320E6">
        <w:rPr>
          <w:rFonts w:eastAsia="MS Mincho"/>
          <w:sz w:val="22"/>
          <w:szCs w:val="22"/>
        </w:rPr>
        <w:t>espondent</w:t>
      </w:r>
      <w:r w:rsidR="00001711">
        <w:rPr>
          <w:rFonts w:eastAsia="MS Mincho"/>
          <w:sz w:val="22"/>
          <w:szCs w:val="22"/>
        </w:rPr>
        <w:t xml:space="preserve"> per Subpart</w:t>
      </w:r>
    </w:p>
    <w:p w14:paraId="446CE4CA" w14:textId="77777777" w:rsidR="00F06F72" w:rsidRPr="00C77927" w:rsidRDefault="00F06F72" w:rsidP="007E6C98">
      <w:pPr>
        <w:ind w:left="720" w:hanging="720"/>
        <w:rPr>
          <w:rFonts w:eastAsia="MS Mincho"/>
          <w:sz w:val="22"/>
          <w:szCs w:val="22"/>
        </w:rPr>
      </w:pPr>
    </w:p>
    <w:p w14:paraId="2976D171" w14:textId="228761D2" w:rsidR="0007583E" w:rsidRPr="00C77927" w:rsidRDefault="0007583E" w:rsidP="007E6C98">
      <w:pPr>
        <w:ind w:left="720" w:hanging="720"/>
        <w:rPr>
          <w:rFonts w:eastAsia="MS Mincho"/>
          <w:sz w:val="22"/>
          <w:szCs w:val="22"/>
        </w:rPr>
      </w:pPr>
    </w:p>
    <w:p w14:paraId="055FBE91" w14:textId="77777777" w:rsidR="00510543" w:rsidRPr="00C77927" w:rsidRDefault="00510543" w:rsidP="007E7234">
      <w:pPr>
        <w:tabs>
          <w:tab w:val="left" w:pos="1440"/>
        </w:tabs>
        <w:ind w:left="1440" w:hanging="720"/>
        <w:rPr>
          <w:rFonts w:eastAsia="MS Mincho"/>
          <w:sz w:val="22"/>
          <w:szCs w:val="22"/>
        </w:rPr>
      </w:pPr>
    </w:p>
    <w:p w14:paraId="451E75F3" w14:textId="77777777" w:rsidR="00510543" w:rsidRPr="00C77927" w:rsidRDefault="00510543" w:rsidP="007E7234">
      <w:pPr>
        <w:tabs>
          <w:tab w:val="left" w:pos="1440"/>
        </w:tabs>
        <w:ind w:left="1440" w:hanging="720"/>
        <w:rPr>
          <w:rFonts w:eastAsia="MS Mincho"/>
          <w:sz w:val="22"/>
          <w:szCs w:val="22"/>
        </w:rPr>
      </w:pPr>
    </w:p>
    <w:p w14:paraId="78F1B0BD" w14:textId="77777777" w:rsidR="00AB1467" w:rsidRPr="00C77927" w:rsidRDefault="00AB1467" w:rsidP="00BB1633">
      <w:pPr>
        <w:jc w:val="center"/>
        <w:sectPr w:rsidR="00AB1467" w:rsidRPr="00C77927" w:rsidSect="007E7234">
          <w:pgSz w:w="12240" w:h="15840" w:code="1"/>
          <w:pgMar w:top="1440" w:right="1440" w:bottom="1440" w:left="1440" w:header="720" w:footer="432" w:gutter="0"/>
          <w:pgNumType w:start="1"/>
          <w:cols w:space="720"/>
          <w:docGrid w:linePitch="360"/>
        </w:sectPr>
      </w:pPr>
    </w:p>
    <w:p w14:paraId="6B1631ED" w14:textId="77777777" w:rsidR="00C9791B" w:rsidRPr="00D25FC9" w:rsidRDefault="00683298">
      <w:pPr>
        <w:jc w:val="center"/>
        <w:rPr>
          <w:b/>
          <w:bCs/>
        </w:rPr>
      </w:pPr>
      <w:r w:rsidRPr="00C77927">
        <w:rPr>
          <w:b/>
          <w:bCs/>
        </w:rPr>
        <w:t>SUPPORTING STATEMENT</w:t>
      </w:r>
    </w:p>
    <w:p w14:paraId="4D864742" w14:textId="77777777" w:rsidR="00C9791B" w:rsidRPr="00D25FC9" w:rsidRDefault="00C9791B">
      <w:pPr>
        <w:jc w:val="center"/>
        <w:rPr>
          <w:b/>
          <w:bCs/>
        </w:rPr>
      </w:pPr>
      <w:r w:rsidRPr="00C77927">
        <w:rPr>
          <w:b/>
          <w:bCs/>
        </w:rPr>
        <w:t xml:space="preserve">FOR </w:t>
      </w:r>
      <w:r w:rsidR="00FA3C81" w:rsidRPr="00C77927">
        <w:rPr>
          <w:b/>
          <w:bCs/>
        </w:rPr>
        <w:t xml:space="preserve">THE GREENHOUSE GAS REPORTING PROGRAM </w:t>
      </w:r>
    </w:p>
    <w:p w14:paraId="33689A0D" w14:textId="4746D3EC" w:rsidR="00C9791B" w:rsidRPr="00D25FC9" w:rsidRDefault="00683298">
      <w:pPr>
        <w:tabs>
          <w:tab w:val="left" w:pos="3525"/>
          <w:tab w:val="center" w:pos="5295"/>
        </w:tabs>
        <w:autoSpaceDE w:val="0"/>
        <w:autoSpaceDN w:val="0"/>
        <w:adjustRightInd w:val="0"/>
        <w:jc w:val="center"/>
        <w:rPr>
          <w:b/>
          <w:bCs/>
        </w:rPr>
      </w:pPr>
      <w:r w:rsidRPr="00C77927">
        <w:rPr>
          <w:b/>
          <w:bCs/>
        </w:rPr>
        <w:t>EPA ICR #</w:t>
      </w:r>
      <w:r w:rsidR="00FA3C81" w:rsidRPr="00C77927">
        <w:rPr>
          <w:b/>
          <w:bCs/>
        </w:rPr>
        <w:t xml:space="preserve"> </w:t>
      </w:r>
      <w:r w:rsidR="00E16E5B" w:rsidRPr="00C77927">
        <w:rPr>
          <w:b/>
          <w:bCs/>
        </w:rPr>
        <w:t>2300.1</w:t>
      </w:r>
      <w:r w:rsidR="00AB0C0D" w:rsidRPr="00C77927">
        <w:rPr>
          <w:b/>
          <w:bCs/>
        </w:rPr>
        <w:t>8</w:t>
      </w:r>
    </w:p>
    <w:p w14:paraId="4EEAADDA" w14:textId="77777777" w:rsidR="008A715C" w:rsidRPr="00C77927" w:rsidRDefault="008A715C" w:rsidP="00BB1633">
      <w:pPr>
        <w:jc w:val="center"/>
        <w:rPr>
          <w:b/>
        </w:rPr>
      </w:pPr>
    </w:p>
    <w:p w14:paraId="1C1C68D4" w14:textId="77777777" w:rsidR="008A715C" w:rsidRPr="00C77927" w:rsidRDefault="008A715C" w:rsidP="00BB1633">
      <w:pPr>
        <w:rPr>
          <w:b/>
        </w:rPr>
      </w:pPr>
    </w:p>
    <w:p w14:paraId="08EE3E52" w14:textId="77777777" w:rsidR="008A715C" w:rsidRPr="00C77927" w:rsidRDefault="008A715C" w:rsidP="007E7234">
      <w:pPr>
        <w:pStyle w:val="Heading1"/>
      </w:pPr>
      <w:bookmarkStart w:id="1" w:name="_Toc10555969"/>
      <w:r w:rsidRPr="00C77927">
        <w:t>1.</w:t>
      </w:r>
      <w:r w:rsidRPr="00C77927">
        <w:tab/>
        <w:t>IDENTIFICATION OF THE INFORMATION COLLECTION</w:t>
      </w:r>
      <w:bookmarkEnd w:id="1"/>
    </w:p>
    <w:p w14:paraId="36D99732" w14:textId="77777777" w:rsidR="008A715C" w:rsidRPr="00C77927" w:rsidRDefault="008A715C" w:rsidP="00BB1633">
      <w:pPr>
        <w:rPr>
          <w:b/>
        </w:rPr>
      </w:pPr>
      <w:r w:rsidRPr="00C77927">
        <w:rPr>
          <w:b/>
        </w:rPr>
        <w:tab/>
      </w:r>
    </w:p>
    <w:p w14:paraId="548A36F9" w14:textId="77777777" w:rsidR="008A715C" w:rsidRPr="00C77927" w:rsidRDefault="00683298" w:rsidP="007E7234">
      <w:pPr>
        <w:pStyle w:val="Heading2"/>
      </w:pPr>
      <w:bookmarkStart w:id="2" w:name="_Toc10555970"/>
      <w:r w:rsidRPr="00C77927">
        <w:t>1(a) Title of the Information Collection</w:t>
      </w:r>
      <w:bookmarkEnd w:id="2"/>
    </w:p>
    <w:p w14:paraId="556BD82E" w14:textId="77777777" w:rsidR="00BA5C51" w:rsidRPr="00C77927" w:rsidRDefault="00BA5C51" w:rsidP="00BB1633">
      <w:pPr>
        <w:rPr>
          <w:b/>
        </w:rPr>
      </w:pPr>
    </w:p>
    <w:p w14:paraId="255141DE" w14:textId="77777777" w:rsidR="008A715C" w:rsidRPr="00D25FC9" w:rsidRDefault="00BA5C51">
      <w:pPr>
        <w:ind w:left="720"/>
        <w:rPr>
          <w:b/>
          <w:bCs/>
        </w:rPr>
      </w:pPr>
      <w:r w:rsidRPr="00C77927">
        <w:t>TITLE:</w:t>
      </w:r>
      <w:r w:rsidR="00A47CF8" w:rsidRPr="00C77927">
        <w:rPr>
          <w:b/>
          <w:bCs/>
        </w:rPr>
        <w:t xml:space="preserve"> </w:t>
      </w:r>
      <w:r w:rsidR="008D78F6" w:rsidRPr="00C77927">
        <w:t>“</w:t>
      </w:r>
      <w:r w:rsidR="009E4A5D" w:rsidRPr="00C77927">
        <w:t xml:space="preserve">Information Collection Request for the </w:t>
      </w:r>
      <w:r w:rsidR="008D78F6" w:rsidRPr="00C77927">
        <w:t>Greenhouse Gas</w:t>
      </w:r>
      <w:r w:rsidR="001F7826" w:rsidRPr="00C77927">
        <w:t xml:space="preserve"> Reporting Program</w:t>
      </w:r>
      <w:r w:rsidR="008D78F6" w:rsidRPr="00C77927">
        <w:t xml:space="preserve"> (GHG</w:t>
      </w:r>
      <w:r w:rsidR="001F7826" w:rsidRPr="00C77927">
        <w:t>RP</w:t>
      </w:r>
      <w:r w:rsidR="008D78F6" w:rsidRPr="00C77927">
        <w:t>).”</w:t>
      </w:r>
    </w:p>
    <w:p w14:paraId="39589D5E" w14:textId="77777777" w:rsidR="008A715C" w:rsidRPr="00C77927" w:rsidRDefault="008A715C" w:rsidP="00BB1633">
      <w:pPr>
        <w:ind w:left="720"/>
        <w:rPr>
          <w:b/>
        </w:rPr>
      </w:pPr>
    </w:p>
    <w:p w14:paraId="1799F013" w14:textId="033CD5F6" w:rsidR="00DB4BFD" w:rsidRPr="00C77927" w:rsidRDefault="00DB4BFD" w:rsidP="0041132F">
      <w:pPr>
        <w:ind w:left="720"/>
      </w:pPr>
      <w:r w:rsidRPr="00C77927">
        <w:t xml:space="preserve">ICR Number: </w:t>
      </w:r>
      <w:r w:rsidR="00E16E5B" w:rsidRPr="00C77927">
        <w:t>2300.1</w:t>
      </w:r>
      <w:r w:rsidR="00AB0C0D" w:rsidRPr="00C77927">
        <w:t>8</w:t>
      </w:r>
    </w:p>
    <w:p w14:paraId="22C2786A" w14:textId="77777777" w:rsidR="00A018D7" w:rsidRPr="00C77927" w:rsidRDefault="00A018D7" w:rsidP="00BB1633">
      <w:pPr>
        <w:rPr>
          <w:b/>
        </w:rPr>
      </w:pPr>
    </w:p>
    <w:p w14:paraId="1992436A" w14:textId="77777777" w:rsidR="008D78F6" w:rsidRPr="00C77927" w:rsidRDefault="008D78F6" w:rsidP="007E7234">
      <w:pPr>
        <w:pStyle w:val="Heading2"/>
      </w:pPr>
      <w:bookmarkStart w:id="3" w:name="_Toc10555971"/>
      <w:r w:rsidRPr="00C77927">
        <w:t>1(b) Short Characterization/Abstract</w:t>
      </w:r>
      <w:bookmarkEnd w:id="3"/>
    </w:p>
    <w:p w14:paraId="1B31093C" w14:textId="77777777" w:rsidR="008D78F6" w:rsidRPr="00C77927" w:rsidRDefault="008D78F6" w:rsidP="00BB1633">
      <w:pPr>
        <w:rPr>
          <w:b/>
        </w:rPr>
      </w:pPr>
    </w:p>
    <w:p w14:paraId="433C0077" w14:textId="35FD43DE" w:rsidR="00457A4C" w:rsidRPr="00C77927" w:rsidRDefault="002C5BE8" w:rsidP="00BB1633">
      <w:pPr>
        <w:ind w:firstLine="720"/>
      </w:pPr>
      <w:r w:rsidRPr="00C77927">
        <w:t>In response to the FY2008 Consolidated Appropriations Act (H.R. 2764; Public Law 110-161) and under</w:t>
      </w:r>
      <w:r w:rsidR="00790742" w:rsidRPr="00C77927">
        <w:t xml:space="preserve"> authority of the Clean Air Act (CAA)</w:t>
      </w:r>
      <w:r w:rsidR="00C008D8" w:rsidRPr="00C77927">
        <w:t xml:space="preserve">, EPA finalized </w:t>
      </w:r>
      <w:r w:rsidR="00291175" w:rsidRPr="00C77927">
        <w:t>a greenhouse gas reporting rule</w:t>
      </w:r>
      <w:r w:rsidR="001B698A" w:rsidRPr="00C77927">
        <w:t xml:space="preserve"> in October of 2009</w:t>
      </w:r>
      <w:r w:rsidR="00C008D8" w:rsidRPr="00C77927">
        <w:t xml:space="preserve"> (</w:t>
      </w:r>
      <w:r w:rsidR="00F37F0C" w:rsidRPr="00C77927">
        <w:t xml:space="preserve">henceforth referred to as </w:t>
      </w:r>
      <w:r w:rsidR="00C008D8" w:rsidRPr="00C77927">
        <w:t xml:space="preserve">the </w:t>
      </w:r>
      <w:r w:rsidR="00CE7E0B" w:rsidRPr="00C77927">
        <w:t>Greenhouse Gas Reporting Program or GHGRP</w:t>
      </w:r>
      <w:r w:rsidR="00C008D8" w:rsidRPr="00C77927">
        <w:t xml:space="preserve">) (74 FR 56260; October 30, 2009). </w:t>
      </w:r>
      <w:r w:rsidR="00284944" w:rsidRPr="00C77927">
        <w:t xml:space="preserve">The Rule, which became effective on December 29, 2009, </w:t>
      </w:r>
      <w:r w:rsidR="00431EB5" w:rsidRPr="00C77927">
        <w:t xml:space="preserve">requires </w:t>
      </w:r>
      <w:r w:rsidR="00284944" w:rsidRPr="00C77927">
        <w:t xml:space="preserve">reporting of </w:t>
      </w:r>
      <w:r w:rsidR="00790742" w:rsidRPr="00C77927">
        <w:t>greenhouse gases (</w:t>
      </w:r>
      <w:r w:rsidR="00284944" w:rsidRPr="00C77927">
        <w:t>GHGs</w:t>
      </w:r>
      <w:r w:rsidR="00790742" w:rsidRPr="00C77927">
        <w:t>)</w:t>
      </w:r>
      <w:r w:rsidR="00284944" w:rsidRPr="00C77927">
        <w:t xml:space="preserve"> from certain </w:t>
      </w:r>
      <w:r w:rsidR="0038014F" w:rsidRPr="00C77927">
        <w:t xml:space="preserve">large </w:t>
      </w:r>
      <w:r w:rsidR="00284944" w:rsidRPr="00C77927">
        <w:t>facilities and suppliers</w:t>
      </w:r>
      <w:r w:rsidR="002C652C" w:rsidRPr="00C77927">
        <w:t xml:space="preserve">. </w:t>
      </w:r>
      <w:r w:rsidR="00790742" w:rsidRPr="00C77927">
        <w:t>I</w:t>
      </w:r>
      <w:r w:rsidR="00457A4C" w:rsidRPr="00C77927">
        <w:t xml:space="preserve">t does not require control of </w:t>
      </w:r>
      <w:r w:rsidR="00236B06" w:rsidRPr="00C77927">
        <w:t>GHGs</w:t>
      </w:r>
      <w:r w:rsidR="00457A4C" w:rsidRPr="00C77927">
        <w:t xml:space="preserve">. Instead, it requires that sources emitting </w:t>
      </w:r>
      <w:r w:rsidR="00236B06" w:rsidRPr="00C77927">
        <w:t>GHGs</w:t>
      </w:r>
      <w:r w:rsidR="00FA5CA2" w:rsidRPr="00C77927">
        <w:t>, supplying certain products that contain GHGs, or inject</w:t>
      </w:r>
      <w:r w:rsidR="003F0E48">
        <w:t>ing</w:t>
      </w:r>
      <w:r w:rsidR="00FA5CA2" w:rsidRPr="00C77927">
        <w:t xml:space="preserve"> carbon dioxide (CO</w:t>
      </w:r>
      <w:r w:rsidR="00FA5CA2" w:rsidRPr="00C77927">
        <w:rPr>
          <w:vertAlign w:val="subscript"/>
        </w:rPr>
        <w:t>2</w:t>
      </w:r>
      <w:r w:rsidR="00FA5CA2" w:rsidRPr="00C77927">
        <w:t>) underground</w:t>
      </w:r>
      <w:r w:rsidR="00236B06" w:rsidRPr="00C77927">
        <w:t xml:space="preserve"> in quantities </w:t>
      </w:r>
      <w:r w:rsidR="00457A4C" w:rsidRPr="00C77927">
        <w:t>above certain thr</w:t>
      </w:r>
      <w:r w:rsidR="00FA5CA2" w:rsidRPr="00C77927">
        <w:t xml:space="preserve">eshold levels of </w:t>
      </w:r>
      <w:r w:rsidR="00AB6F4F" w:rsidRPr="00C77927">
        <w:t>CO</w:t>
      </w:r>
      <w:r w:rsidR="00AB6F4F" w:rsidRPr="00C77927">
        <w:rPr>
          <w:vertAlign w:val="subscript"/>
        </w:rPr>
        <w:t>2</w:t>
      </w:r>
      <w:r w:rsidR="00457A4C" w:rsidRPr="00C77927">
        <w:t xml:space="preserve"> equivalent (</w:t>
      </w:r>
      <w:r w:rsidR="00AB6F4F" w:rsidRPr="00C77927">
        <w:t>CO</w:t>
      </w:r>
      <w:r w:rsidR="00AB6F4F" w:rsidRPr="00C77927">
        <w:rPr>
          <w:vertAlign w:val="subscript"/>
        </w:rPr>
        <w:t>2</w:t>
      </w:r>
      <w:r w:rsidR="00457A4C" w:rsidRPr="00C77927">
        <w:t xml:space="preserve">e) monitor and report </w:t>
      </w:r>
      <w:r w:rsidR="0038014F" w:rsidRPr="00C77927">
        <w:t>GHG data and other relevant information</w:t>
      </w:r>
      <w:r w:rsidR="00457A4C" w:rsidRPr="00C77927">
        <w:t>.</w:t>
      </w:r>
      <w:r w:rsidR="00B8210D" w:rsidRPr="00C77927">
        <w:t xml:space="preserve"> Subsequent rules have promulgated requirements for additional facilities, </w:t>
      </w:r>
      <w:r w:rsidR="003F0E48">
        <w:t xml:space="preserve">and </w:t>
      </w:r>
      <w:r w:rsidR="00B8210D" w:rsidRPr="00C77927">
        <w:t xml:space="preserve">suppliers; provided clarification and corrections to existing requirements; </w:t>
      </w:r>
      <w:r w:rsidR="003F0E48">
        <w:t xml:space="preserve">and </w:t>
      </w:r>
      <w:r w:rsidR="00B8210D" w:rsidRPr="00C77927">
        <w:t xml:space="preserve">finalized confidentiality business information (CBI) determinations, </w:t>
      </w:r>
      <w:r w:rsidR="00486CE6" w:rsidRPr="00C77927">
        <w:t>amended recordkeeping requirements, and implemented an alternative verification approach.</w:t>
      </w:r>
      <w:r w:rsidR="00B8210D" w:rsidRPr="00C77927">
        <w:t xml:space="preserve"> </w:t>
      </w:r>
    </w:p>
    <w:p w14:paraId="02FC569F" w14:textId="77777777" w:rsidR="00291175" w:rsidRPr="00C77927" w:rsidRDefault="00291175" w:rsidP="00BB1633">
      <w:pPr>
        <w:ind w:firstLine="720"/>
      </w:pPr>
    </w:p>
    <w:p w14:paraId="1ECFDD36" w14:textId="11E3129B" w:rsidR="004807B9" w:rsidRPr="00C77927" w:rsidRDefault="00284944" w:rsidP="00855D66">
      <w:pPr>
        <w:ind w:firstLine="720"/>
      </w:pPr>
      <w:r w:rsidRPr="00C77927">
        <w:t xml:space="preserve"> </w:t>
      </w:r>
      <w:r w:rsidR="0038014F" w:rsidRPr="00C77927">
        <w:t xml:space="preserve">Applicable facilities and suppliers are required by the GHGRP to follow specific monitoring, QA/QC, and calculation procedures to </w:t>
      </w:r>
      <w:r w:rsidR="004807B9" w:rsidRPr="00C77927">
        <w:t>determine</w:t>
      </w:r>
      <w:r w:rsidR="0038014F" w:rsidRPr="00C77927">
        <w:t xml:space="preserve"> GHG emissions and supplies to the economy. Reporters must electronically </w:t>
      </w:r>
      <w:r w:rsidR="004807B9" w:rsidRPr="00C77927">
        <w:t>report</w:t>
      </w:r>
      <w:r w:rsidR="0038014F" w:rsidRPr="00C77927">
        <w:t xml:space="preserve"> monitored and calculated data to EPA using </w:t>
      </w:r>
      <w:r w:rsidR="004807B9" w:rsidRPr="00C77927">
        <w:t>an interactive, web-based tool called the</w:t>
      </w:r>
      <w:r w:rsidR="0038014F" w:rsidRPr="00C77927">
        <w:t xml:space="preserve"> </w:t>
      </w:r>
      <w:r w:rsidR="00227FC2" w:rsidRPr="00C77927">
        <w:t>E</w:t>
      </w:r>
      <w:r w:rsidR="0038014F" w:rsidRPr="00C77927">
        <w:t xml:space="preserve">lectronic </w:t>
      </w:r>
      <w:r w:rsidR="00227FC2" w:rsidRPr="00C77927">
        <w:t>G</w:t>
      </w:r>
      <w:r w:rsidR="0038014F" w:rsidRPr="00C77927">
        <w:t xml:space="preserve">reenhouse </w:t>
      </w:r>
      <w:r w:rsidR="00227FC2" w:rsidRPr="00C77927">
        <w:t>G</w:t>
      </w:r>
      <w:r w:rsidR="0038014F" w:rsidRPr="00C77927">
        <w:t xml:space="preserve">as </w:t>
      </w:r>
      <w:r w:rsidR="00227FC2" w:rsidRPr="00C77927">
        <w:t>R</w:t>
      </w:r>
      <w:r w:rsidR="0038014F" w:rsidRPr="00C77927">
        <w:t xml:space="preserve">eporting </w:t>
      </w:r>
      <w:r w:rsidR="00227FC2" w:rsidRPr="00C77927">
        <w:t>T</w:t>
      </w:r>
      <w:r w:rsidR="0038014F" w:rsidRPr="00C77927">
        <w:t>ool (e-GGRT)</w:t>
      </w:r>
      <w:r w:rsidR="004807B9" w:rsidRPr="00C77927">
        <w:t xml:space="preserve">. </w:t>
      </w:r>
      <w:r w:rsidR="00F23A7D" w:rsidRPr="00C77927">
        <w:t xml:space="preserve">EPA conducts electronic and manual verification of the </w:t>
      </w:r>
      <w:r w:rsidR="004807B9" w:rsidRPr="00C77927">
        <w:t>reported</w:t>
      </w:r>
      <w:r w:rsidR="00F23A7D" w:rsidRPr="00C77927">
        <w:t xml:space="preserve"> data and then publishes all non-CBI data</w:t>
      </w:r>
      <w:r w:rsidR="004807B9" w:rsidRPr="00C77927">
        <w:t xml:space="preserve"> on the </w:t>
      </w:r>
      <w:r w:rsidR="00DB4001" w:rsidRPr="00C77927">
        <w:t>internet</w:t>
      </w:r>
      <w:r w:rsidR="00CB6358" w:rsidRPr="00C77927">
        <w:t>.</w:t>
      </w:r>
    </w:p>
    <w:p w14:paraId="261730B0" w14:textId="276624E1" w:rsidR="004807B9" w:rsidRPr="00C77927" w:rsidRDefault="004807B9" w:rsidP="00A51C1E">
      <w:pPr>
        <w:ind w:firstLine="720"/>
      </w:pPr>
      <w:r w:rsidRPr="00C77927">
        <w:t xml:space="preserve"> </w:t>
      </w:r>
    </w:p>
    <w:p w14:paraId="61E86194" w14:textId="36605BAF" w:rsidR="00153BF7" w:rsidRPr="008F7D63" w:rsidRDefault="00153BF7" w:rsidP="00036CDE">
      <w:pPr>
        <w:spacing w:after="240"/>
        <w:ind w:firstLine="720"/>
      </w:pPr>
      <w:r w:rsidRPr="00C77927">
        <w:t xml:space="preserve">For the three years covered by this ICR, the total respondent burden associated with this </w:t>
      </w:r>
      <w:r w:rsidR="003022F7">
        <w:t>information collection</w:t>
      </w:r>
      <w:r w:rsidRPr="00C77927">
        <w:t xml:space="preserve"> will </w:t>
      </w:r>
      <w:r w:rsidRPr="00C30E6B">
        <w:t xml:space="preserve">average </w:t>
      </w:r>
      <w:r w:rsidR="00493F8E">
        <w:t>740,012</w:t>
      </w:r>
      <w:r w:rsidRPr="00C30E6B">
        <w:t xml:space="preserve"> hours per year and the </w:t>
      </w:r>
      <w:r w:rsidR="00A47E53">
        <w:t xml:space="preserve">respondent </w:t>
      </w:r>
      <w:r w:rsidRPr="00C30E6B">
        <w:t xml:space="preserve">cost </w:t>
      </w:r>
      <w:r w:rsidRPr="00270225">
        <w:t xml:space="preserve">will average </w:t>
      </w:r>
      <w:r w:rsidRPr="008F7D63">
        <w:t>$</w:t>
      </w:r>
      <w:r w:rsidR="00D9316B" w:rsidRPr="008F7D63">
        <w:t>8</w:t>
      </w:r>
      <w:r w:rsidR="00132808">
        <w:t>7,945,711</w:t>
      </w:r>
      <w:r w:rsidRPr="00C30E6B">
        <w:t xml:space="preserve"> per year. </w:t>
      </w:r>
      <w:r w:rsidR="00036CDE" w:rsidRPr="00C30E6B">
        <w:t xml:space="preserve">This includes </w:t>
      </w:r>
      <w:r w:rsidR="00036CDE" w:rsidRPr="008F7D63">
        <w:t>$</w:t>
      </w:r>
      <w:r w:rsidR="005C76C1" w:rsidRPr="008F7D63">
        <w:t>29,</w:t>
      </w:r>
      <w:r w:rsidR="00D922F0">
        <w:t>5</w:t>
      </w:r>
      <w:r w:rsidR="00132808">
        <w:t>26,397</w:t>
      </w:r>
      <w:r w:rsidR="00DE1AAD">
        <w:t xml:space="preserve"> per year</w:t>
      </w:r>
      <w:r w:rsidR="00036CDE" w:rsidRPr="00C30E6B">
        <w:t xml:space="preserve"> for capital investment and operation and maintenance and </w:t>
      </w:r>
      <w:r w:rsidR="00036CDE" w:rsidRPr="008F7D63">
        <w:t>$5</w:t>
      </w:r>
      <w:r w:rsidR="00231EE5" w:rsidRPr="008F7D63">
        <w:t>8,</w:t>
      </w:r>
      <w:r w:rsidR="00D46809">
        <w:t>419</w:t>
      </w:r>
      <w:r w:rsidR="00880B75">
        <w:t>,</w:t>
      </w:r>
      <w:r w:rsidR="00D46809">
        <w:t>314</w:t>
      </w:r>
      <w:r w:rsidR="00036CDE" w:rsidRPr="00C30E6B">
        <w:t xml:space="preserve"> </w:t>
      </w:r>
      <w:r w:rsidR="00DE1AAD">
        <w:t xml:space="preserve">per year </w:t>
      </w:r>
      <w:r w:rsidR="00036CDE" w:rsidRPr="00C30E6B">
        <w:t xml:space="preserve">for labor. </w:t>
      </w:r>
      <w:r w:rsidR="00D9316B" w:rsidRPr="00C30E6B">
        <w:t>Over the same time period, t</w:t>
      </w:r>
      <w:r w:rsidRPr="00270225">
        <w:t xml:space="preserve">he total </w:t>
      </w:r>
      <w:r w:rsidRPr="00475190">
        <w:t xml:space="preserve">estimated cost for EPA </w:t>
      </w:r>
      <w:r w:rsidR="00036CDE" w:rsidRPr="00475190">
        <w:t xml:space="preserve">of the information collection </w:t>
      </w:r>
      <w:r w:rsidRPr="008F7D63">
        <w:t>will average $</w:t>
      </w:r>
      <w:r w:rsidR="00E05ED3" w:rsidRPr="008F7D63">
        <w:t>9,847,181</w:t>
      </w:r>
      <w:r w:rsidR="00036CDE" w:rsidRPr="00475190">
        <w:t xml:space="preserve"> per year. The total </w:t>
      </w:r>
      <w:r w:rsidR="007A5134" w:rsidRPr="00475190">
        <w:t xml:space="preserve">estimated </w:t>
      </w:r>
      <w:r w:rsidR="00036CDE" w:rsidRPr="008F7D63">
        <w:t>cost for all respondents and EPA will average $</w:t>
      </w:r>
      <w:r w:rsidR="00D9316B" w:rsidRPr="008F7D63">
        <w:t>9</w:t>
      </w:r>
      <w:r w:rsidR="00132808">
        <w:t>7,792,892</w:t>
      </w:r>
      <w:r w:rsidRPr="00475190">
        <w:t xml:space="preserve"> per year</w:t>
      </w:r>
      <w:r w:rsidR="00036CDE" w:rsidRPr="00475190">
        <w:t>.</w:t>
      </w:r>
    </w:p>
    <w:p w14:paraId="1577714C" w14:textId="38CA0044" w:rsidR="003B1CFA" w:rsidRPr="00C77927" w:rsidRDefault="003B1CFA">
      <w:pPr>
        <w:ind w:firstLine="900"/>
      </w:pPr>
      <w:r w:rsidRPr="008F7D63">
        <w:t>There is a</w:t>
      </w:r>
      <w:r w:rsidR="000658F0" w:rsidRPr="008F7D63">
        <w:t>n increase</w:t>
      </w:r>
      <w:r w:rsidRPr="008F7D63">
        <w:t xml:space="preserve"> </w:t>
      </w:r>
      <w:r w:rsidR="007A5134" w:rsidRPr="008F7D63">
        <w:t xml:space="preserve">in the average annual respondent burden </w:t>
      </w:r>
      <w:r w:rsidRPr="008F7D63">
        <w:t>of</w:t>
      </w:r>
      <w:r w:rsidR="000F6973" w:rsidRPr="008F7D63">
        <w:t xml:space="preserve"> </w:t>
      </w:r>
      <w:r w:rsidR="00D21C03">
        <w:t>825</w:t>
      </w:r>
      <w:r w:rsidRPr="00475190">
        <w:t xml:space="preserve"> hours </w:t>
      </w:r>
      <w:r w:rsidR="002C23D6" w:rsidRPr="008F7D63">
        <w:t xml:space="preserve">and </w:t>
      </w:r>
      <w:r w:rsidR="00640495" w:rsidRPr="008F7D63">
        <w:t>a</w:t>
      </w:r>
      <w:r w:rsidR="0013061A" w:rsidRPr="008F7D63">
        <w:t>n increase</w:t>
      </w:r>
      <w:r w:rsidR="00640495" w:rsidRPr="00475190">
        <w:t xml:space="preserve"> </w:t>
      </w:r>
      <w:r w:rsidR="007A5134" w:rsidRPr="008F7D63">
        <w:t xml:space="preserve">in average annual cost for all respondents </w:t>
      </w:r>
      <w:r w:rsidR="00BD793A" w:rsidRPr="008F7D63">
        <w:t xml:space="preserve">of </w:t>
      </w:r>
      <w:r w:rsidR="000F6973" w:rsidRPr="008F7D63">
        <w:t>$</w:t>
      </w:r>
      <w:r w:rsidR="00E11F13">
        <w:t>113,910</w:t>
      </w:r>
      <w:r w:rsidR="00731FE1" w:rsidRPr="00475190">
        <w:t xml:space="preserve"> </w:t>
      </w:r>
      <w:r w:rsidRPr="00475190">
        <w:t xml:space="preserve">compared with the </w:t>
      </w:r>
      <w:r w:rsidR="00B8210D" w:rsidRPr="008F7D63">
        <w:t xml:space="preserve">last </w:t>
      </w:r>
      <w:r w:rsidR="00291175" w:rsidRPr="008F7D63">
        <w:t>ICR</w:t>
      </w:r>
      <w:r w:rsidR="00B8210D" w:rsidRPr="008F7D63">
        <w:t xml:space="preserve"> renewal.</w:t>
      </w:r>
      <w:r w:rsidRPr="008F7D63">
        <w:t xml:space="preserve"> </w:t>
      </w:r>
      <w:r w:rsidRPr="00475190">
        <w:t>Th</w:t>
      </w:r>
      <w:r w:rsidR="007A5134" w:rsidRPr="00475190">
        <w:t>ese</w:t>
      </w:r>
      <w:r w:rsidR="00510543" w:rsidRPr="008F7D63">
        <w:t xml:space="preserve"> change</w:t>
      </w:r>
      <w:r w:rsidR="007A5134" w:rsidRPr="008F7D63">
        <w:t>s</w:t>
      </w:r>
      <w:r w:rsidR="00510543" w:rsidRPr="008F7D63">
        <w:t xml:space="preserve"> </w:t>
      </w:r>
      <w:r w:rsidRPr="008F7D63">
        <w:t xml:space="preserve">reflect </w:t>
      </w:r>
      <w:r w:rsidR="00B8210D" w:rsidRPr="008F7D63">
        <w:t>a</w:t>
      </w:r>
      <w:r w:rsidR="00510543" w:rsidRPr="008F7D63">
        <w:t>n</w:t>
      </w:r>
      <w:r w:rsidR="00B8210D" w:rsidRPr="008F7D63">
        <w:t xml:space="preserve"> </w:t>
      </w:r>
      <w:r w:rsidR="00BF4BDA" w:rsidRPr="008F7D63">
        <w:t xml:space="preserve">update in the </w:t>
      </w:r>
      <w:r w:rsidR="00B8210D" w:rsidRPr="008F7D63">
        <w:t xml:space="preserve">number of respondents, an </w:t>
      </w:r>
      <w:r w:rsidR="00510543" w:rsidRPr="008F7D63">
        <w:t>adjustment of labor rates</w:t>
      </w:r>
      <w:r w:rsidR="007A3D82" w:rsidRPr="008F7D63">
        <w:t xml:space="preserve"> to 201</w:t>
      </w:r>
      <w:r w:rsidR="0059483B" w:rsidRPr="008F7D63">
        <w:t>7</w:t>
      </w:r>
      <w:r w:rsidR="007A3D82" w:rsidRPr="008F7D63">
        <w:t xml:space="preserve"> Bureau of Labor and Statistics (BLS) labor rates,</w:t>
      </w:r>
      <w:r w:rsidR="00510543" w:rsidRPr="008F7D63">
        <w:t xml:space="preserve"> </w:t>
      </w:r>
      <w:r w:rsidR="007A3D82" w:rsidRPr="008F7D63">
        <w:t xml:space="preserve">an adjustment of </w:t>
      </w:r>
      <w:r w:rsidR="00510543" w:rsidRPr="008F7D63">
        <w:t>capital</w:t>
      </w:r>
      <w:r w:rsidR="00AC1A97" w:rsidRPr="008F7D63">
        <w:t xml:space="preserve"> and</w:t>
      </w:r>
      <w:r w:rsidR="00AC1A97" w:rsidRPr="00C77927">
        <w:t xml:space="preserve"> O&amp;M</w:t>
      </w:r>
      <w:r w:rsidR="00510543" w:rsidRPr="00C77927">
        <w:t xml:space="preserve"> costs</w:t>
      </w:r>
      <w:r w:rsidR="00A13B17" w:rsidRPr="00C77927">
        <w:t xml:space="preserve"> to reflect 201</w:t>
      </w:r>
      <w:r w:rsidR="0059483B" w:rsidRPr="00C77927">
        <w:t>7</w:t>
      </w:r>
      <w:r w:rsidR="0019341F" w:rsidRPr="00C77927">
        <w:t xml:space="preserve"> dollars</w:t>
      </w:r>
      <w:r w:rsidR="00B8210D" w:rsidRPr="00C77927">
        <w:t xml:space="preserve">, </w:t>
      </w:r>
      <w:r w:rsidR="00A96A0C" w:rsidRPr="00500A8A">
        <w:t>updates to the tax law for future years</w:t>
      </w:r>
      <w:r w:rsidR="00A96A0C" w:rsidRPr="00ED055E">
        <w:t xml:space="preserve"> (Tax Cuts and Jobs Act, Pub. </w:t>
      </w:r>
      <w:r w:rsidR="00A96A0C" w:rsidRPr="00B260CD">
        <w:t>L. No. 115–97 (2017))</w:t>
      </w:r>
      <w:r w:rsidR="00AE6BA8">
        <w:t>,</w:t>
      </w:r>
      <w:r w:rsidR="00A96A0C" w:rsidRPr="00B260CD">
        <w:t xml:space="preserve"> </w:t>
      </w:r>
      <w:r w:rsidR="0059483B" w:rsidRPr="00C77927">
        <w:t>and a wholesale</w:t>
      </w:r>
      <w:r w:rsidR="00BF4BDA" w:rsidRPr="00C77927">
        <w:t xml:space="preserve"> re-evaluation of the </w:t>
      </w:r>
      <w:r w:rsidR="007A5134" w:rsidRPr="00C77927">
        <w:t xml:space="preserve">hours and </w:t>
      </w:r>
      <w:r w:rsidR="00BF4BDA" w:rsidRPr="00C77927">
        <w:t>costs to monitor</w:t>
      </w:r>
      <w:r w:rsidR="0059483B" w:rsidRPr="00C77927">
        <w:t>, calculate,</w:t>
      </w:r>
      <w:r w:rsidR="00BF4BDA" w:rsidRPr="00C77927">
        <w:t xml:space="preserve"> and report emissions across the entire program</w:t>
      </w:r>
      <w:r w:rsidR="00B8210D" w:rsidRPr="00C77927">
        <w:t xml:space="preserve">. </w:t>
      </w:r>
    </w:p>
    <w:p w14:paraId="2CCF2F53" w14:textId="3060E8F9" w:rsidR="0011394A" w:rsidRPr="00C77927" w:rsidRDefault="0011394A">
      <w:pPr>
        <w:ind w:firstLine="900"/>
      </w:pPr>
    </w:p>
    <w:p w14:paraId="2AA1BF0C" w14:textId="4193C88C" w:rsidR="00424A62" w:rsidRPr="00C77927" w:rsidRDefault="00424A62">
      <w:pPr>
        <w:rPr>
          <w:b/>
          <w:lang w:val="x-none" w:eastAsia="x-none"/>
        </w:rPr>
      </w:pPr>
    </w:p>
    <w:p w14:paraId="5F130A4A" w14:textId="51404B9E" w:rsidR="008A715C" w:rsidRPr="00C77927" w:rsidRDefault="008A715C" w:rsidP="007E7234">
      <w:pPr>
        <w:pStyle w:val="Heading1"/>
      </w:pPr>
      <w:bookmarkStart w:id="4" w:name="_Toc10555972"/>
      <w:r w:rsidRPr="00C77927">
        <w:t>2.</w:t>
      </w:r>
      <w:r w:rsidRPr="00C77927">
        <w:tab/>
        <w:t>NEED FOR AND USE OF THE COLLECTION</w:t>
      </w:r>
      <w:bookmarkEnd w:id="4"/>
    </w:p>
    <w:p w14:paraId="787EB3E9" w14:textId="77777777" w:rsidR="008A715C" w:rsidRPr="00C77927" w:rsidRDefault="008A715C" w:rsidP="00BB1633">
      <w:pPr>
        <w:keepNext/>
        <w:keepLines/>
        <w:rPr>
          <w:b/>
        </w:rPr>
      </w:pPr>
    </w:p>
    <w:p w14:paraId="2FC8FB97" w14:textId="77777777" w:rsidR="008A715C" w:rsidRPr="00C77927" w:rsidRDefault="008D78F6" w:rsidP="007E7234">
      <w:pPr>
        <w:pStyle w:val="Heading2"/>
      </w:pPr>
      <w:bookmarkStart w:id="5" w:name="_Toc10555973"/>
      <w:r w:rsidRPr="00C77927">
        <w:t>2(a) Need/Authority for the Collection</w:t>
      </w:r>
      <w:bookmarkEnd w:id="5"/>
    </w:p>
    <w:p w14:paraId="4C6892C4" w14:textId="77777777" w:rsidR="008A715C" w:rsidRPr="00C77927" w:rsidRDefault="008A715C" w:rsidP="00BB1633">
      <w:pPr>
        <w:keepNext/>
        <w:keepLines/>
        <w:rPr>
          <w:b/>
        </w:rPr>
      </w:pPr>
    </w:p>
    <w:p w14:paraId="62D34AE8" w14:textId="77777777" w:rsidR="006203B7" w:rsidRPr="00C77927" w:rsidRDefault="006203B7" w:rsidP="00BB1633">
      <w:pPr>
        <w:keepNext/>
        <w:keepLines/>
        <w:autoSpaceDE w:val="0"/>
        <w:autoSpaceDN w:val="0"/>
        <w:adjustRightInd w:val="0"/>
        <w:ind w:firstLine="720"/>
      </w:pPr>
      <w:r w:rsidRPr="00C77927">
        <w:t>Signed into law on December 26, 2007, the FY200</w:t>
      </w:r>
      <w:r w:rsidR="0064763C" w:rsidRPr="00C77927">
        <w:t>8</w:t>
      </w:r>
      <w:r w:rsidRPr="00C77927">
        <w:t xml:space="preserve"> Consolidated Appropriations </w:t>
      </w:r>
      <w:r w:rsidR="00E775DD" w:rsidRPr="00C77927">
        <w:t xml:space="preserve">Act </w:t>
      </w:r>
      <w:r w:rsidR="004E4440" w:rsidRPr="00C77927">
        <w:t xml:space="preserve">(henceforth referred to as the “Appropriations Act”) </w:t>
      </w:r>
      <w:r w:rsidRPr="00C77927">
        <w:t xml:space="preserve">directed EPA to </w:t>
      </w:r>
      <w:r w:rsidR="006423E8" w:rsidRPr="00C77927">
        <w:t>“</w:t>
      </w:r>
      <w:r w:rsidRPr="00C77927">
        <w:t xml:space="preserve">develop and publish a draft rule not later than 9 months after the date of enactment of this Act, and a final rule not later than 18 months after the date of enactment of this Act, </w:t>
      </w:r>
      <w:bookmarkStart w:id="6" w:name="OLE_LINK4"/>
      <w:bookmarkStart w:id="7" w:name="OLE_LINK5"/>
      <w:r w:rsidRPr="00C77927">
        <w:t>to require mandatory reporting of greenhouse gas emissions above appropriate thresholds in all sectors of the economy</w:t>
      </w:r>
      <w:r w:rsidR="00E775DD" w:rsidRPr="00C77927">
        <w:t xml:space="preserve"> of the United States.</w:t>
      </w:r>
      <w:bookmarkEnd w:id="6"/>
      <w:bookmarkEnd w:id="7"/>
      <w:r w:rsidRPr="00C77927">
        <w:t xml:space="preserve">” </w:t>
      </w:r>
    </w:p>
    <w:p w14:paraId="5EEDA116" w14:textId="77777777" w:rsidR="006203B7" w:rsidRPr="00C77927" w:rsidRDefault="006203B7" w:rsidP="00BB1633">
      <w:pPr>
        <w:autoSpaceDE w:val="0"/>
        <w:autoSpaceDN w:val="0"/>
        <w:adjustRightInd w:val="0"/>
        <w:ind w:firstLine="720"/>
      </w:pPr>
      <w:r w:rsidRPr="00C77927">
        <w:t xml:space="preserve"> </w:t>
      </w:r>
    </w:p>
    <w:p w14:paraId="5D49BE07" w14:textId="30796C16" w:rsidR="006203B7" w:rsidRPr="00C77927" w:rsidRDefault="006203B7" w:rsidP="00E665E0">
      <w:pPr>
        <w:autoSpaceDE w:val="0"/>
        <w:autoSpaceDN w:val="0"/>
        <w:adjustRightInd w:val="0"/>
        <w:ind w:firstLine="720"/>
      </w:pPr>
      <w:r w:rsidRPr="00C77927">
        <w:t xml:space="preserve">The accompanying explanatory statement </w:t>
      </w:r>
      <w:r w:rsidR="00FB700D" w:rsidRPr="00C77927">
        <w:t xml:space="preserve">further </w:t>
      </w:r>
      <w:r w:rsidRPr="00C77927">
        <w:t xml:space="preserve">directed EPA to </w:t>
      </w:r>
      <w:r w:rsidR="00E358AE" w:rsidRPr="00C77927">
        <w:t>“</w:t>
      </w:r>
      <w:r w:rsidRPr="00C77927">
        <w:t>use its existing authority under the Clean Air Act</w:t>
      </w:r>
      <w:r w:rsidR="00E775DD" w:rsidRPr="00C77927">
        <w:t>”</w:t>
      </w:r>
      <w:r w:rsidR="00BF3DA8" w:rsidRPr="00C77927">
        <w:t xml:space="preserve"> </w:t>
      </w:r>
      <w:r w:rsidRPr="00C77927">
        <w:t xml:space="preserve">to develop a </w:t>
      </w:r>
      <w:r w:rsidR="00E025FC" w:rsidRPr="00C77927">
        <w:t>GHG reporting rule.</w:t>
      </w:r>
      <w:r w:rsidR="00F37F0C" w:rsidRPr="00C77927">
        <w:t xml:space="preserve"> “</w:t>
      </w:r>
      <w:r w:rsidRPr="00C77927">
        <w:t xml:space="preserve">The Agency is further directed to include in its rule reporting of emissions resulting from upstream production and downstream sources, to the extent that the Administrator deems it appropriate. The Administrator shall determine appropriate thresholds of emissions above which reporting is required, and how frequently reports shall be submitted to EPA. The Administrator shall have discretion to use existing reporting requirements for electric generating units under </w:t>
      </w:r>
      <w:r w:rsidR="002C652C" w:rsidRPr="00C77927">
        <w:t xml:space="preserve">Section </w:t>
      </w:r>
      <w:r w:rsidR="007F6D7C" w:rsidRPr="00C77927">
        <w:t>821</w:t>
      </w:r>
      <w:r w:rsidR="00F37F0C" w:rsidRPr="00C77927">
        <w:t>”</w:t>
      </w:r>
      <w:r w:rsidR="007F6D7C" w:rsidRPr="00C77927">
        <w:t xml:space="preserve"> of the </w:t>
      </w:r>
      <w:r w:rsidR="00E775DD" w:rsidRPr="00C77927">
        <w:t>1990 CAA amendments.</w:t>
      </w:r>
    </w:p>
    <w:p w14:paraId="710C081A" w14:textId="77777777" w:rsidR="006203B7" w:rsidRPr="00C77927" w:rsidRDefault="006203B7" w:rsidP="00BB1633">
      <w:pPr>
        <w:autoSpaceDE w:val="0"/>
        <w:autoSpaceDN w:val="0"/>
        <w:adjustRightInd w:val="0"/>
        <w:ind w:firstLine="720"/>
      </w:pPr>
    </w:p>
    <w:p w14:paraId="759FCD6B" w14:textId="2459A8A9" w:rsidR="00D624C7" w:rsidRPr="00C77927" w:rsidRDefault="004E317F" w:rsidP="00F4151A">
      <w:pPr>
        <w:autoSpaceDE w:val="0"/>
        <w:autoSpaceDN w:val="0"/>
        <w:adjustRightInd w:val="0"/>
        <w:ind w:firstLine="720"/>
      </w:pPr>
      <w:r w:rsidRPr="00C77927">
        <w:t>Section 114 of the CAA</w:t>
      </w:r>
      <w:r w:rsidR="004050F9" w:rsidRPr="00C77927">
        <w:t xml:space="preserve"> </w:t>
      </w:r>
      <w:r w:rsidRPr="00C77927">
        <w:t>provide</w:t>
      </w:r>
      <w:r w:rsidR="008A28E5">
        <w:t>s</w:t>
      </w:r>
      <w:r w:rsidRPr="00C77927">
        <w:t xml:space="preserve"> EPA authority to require the information mandated by the GHGRP because such data will inform and are relevant to future policy decisions. CAA section 114(a)(1) authorizes the Administrator to require emissions sources, persons subject to the CAA, or persons whom the Administrator believes may have necessary information to monitor and report emissions and provide such other information the Administrator requests for the purposes of carrying out any provision of the CAA.</w:t>
      </w:r>
      <w:r w:rsidR="003F0E48" w:rsidRPr="00C77927" w:rsidDel="003F0E48">
        <w:t xml:space="preserve"> </w:t>
      </w:r>
      <w:r w:rsidRPr="00C77927">
        <w:t>For these reasons, the Administrator may request that a person, on a one-time, periodic</w:t>
      </w:r>
      <w:r w:rsidR="00297F08">
        <w:t>,</w:t>
      </w:r>
      <w:r w:rsidRPr="00C77927">
        <w:t xml:space="preserve"> or continuous basis establish and maintain records, make reports, install and operate monitoring equipment and, among other things, provide such information the Administrator may reasonably require.</w:t>
      </w:r>
    </w:p>
    <w:p w14:paraId="0E988B5E" w14:textId="77777777" w:rsidR="004E317F" w:rsidRPr="00C77927" w:rsidRDefault="004E317F" w:rsidP="00F4151A">
      <w:pPr>
        <w:autoSpaceDE w:val="0"/>
        <w:autoSpaceDN w:val="0"/>
        <w:adjustRightInd w:val="0"/>
        <w:ind w:firstLine="720"/>
      </w:pPr>
    </w:p>
    <w:p w14:paraId="65ACE101" w14:textId="77777777" w:rsidR="008D78F6" w:rsidRPr="00C77927" w:rsidRDefault="008D78F6" w:rsidP="007E7234">
      <w:pPr>
        <w:pStyle w:val="Heading2"/>
        <w:keepNext/>
        <w:keepLines/>
      </w:pPr>
      <w:bookmarkStart w:id="8" w:name="_Toc10555974"/>
      <w:r w:rsidRPr="00C77927">
        <w:t>2(b) Practical Utility/Users of the Data</w:t>
      </w:r>
      <w:bookmarkEnd w:id="8"/>
    </w:p>
    <w:p w14:paraId="3440C72B" w14:textId="77777777" w:rsidR="008A715C" w:rsidRPr="00C77927" w:rsidRDefault="008A715C" w:rsidP="007E7234">
      <w:pPr>
        <w:keepNext/>
        <w:keepLines/>
        <w:rPr>
          <w:b/>
        </w:rPr>
      </w:pPr>
      <w:r w:rsidRPr="00C77927">
        <w:rPr>
          <w:b/>
        </w:rPr>
        <w:tab/>
      </w:r>
    </w:p>
    <w:p w14:paraId="3425945D" w14:textId="0D2BB441" w:rsidR="00266CC1" w:rsidRPr="00C77927" w:rsidRDefault="006D0D6D" w:rsidP="000E7C78">
      <w:pPr>
        <w:ind w:firstLine="720"/>
      </w:pPr>
      <w:r w:rsidRPr="00C77927">
        <w:t>The GHG</w:t>
      </w:r>
      <w:r w:rsidR="00266CC1" w:rsidRPr="00C77927">
        <w:t xml:space="preserve">RP </w:t>
      </w:r>
      <w:r w:rsidRPr="00C77927">
        <w:t xml:space="preserve">collects information from facilities that directly emit GHGs </w:t>
      </w:r>
      <w:r w:rsidR="002B2505" w:rsidRPr="00C77927">
        <w:t>or inject CO</w:t>
      </w:r>
      <w:r w:rsidR="002B2505" w:rsidRPr="00C77927">
        <w:rPr>
          <w:vertAlign w:val="subscript"/>
        </w:rPr>
        <w:t>2</w:t>
      </w:r>
      <w:r w:rsidR="002B2505" w:rsidRPr="00C77927">
        <w:t xml:space="preserve"> underground </w:t>
      </w:r>
      <w:r w:rsidRPr="00C77927">
        <w:t xml:space="preserve">and from suppliers of </w:t>
      </w:r>
      <w:r w:rsidR="00735D4F" w:rsidRPr="00C77927">
        <w:t xml:space="preserve">certain </w:t>
      </w:r>
      <w:r w:rsidRPr="00C77927">
        <w:t xml:space="preserve">products that </w:t>
      </w:r>
      <w:r w:rsidR="002B2505" w:rsidRPr="00C77927">
        <w:t>contain</w:t>
      </w:r>
      <w:r w:rsidRPr="00C77927">
        <w:t xml:space="preserve"> GHGs. </w:t>
      </w:r>
      <w:r w:rsidR="001D602F" w:rsidRPr="00C77927">
        <w:t xml:space="preserve">Reporting entities use uniform methods for </w:t>
      </w:r>
      <w:r w:rsidR="00C00FAB" w:rsidRPr="00C77927">
        <w:t xml:space="preserve">calculating </w:t>
      </w:r>
      <w:r w:rsidR="001D602F" w:rsidRPr="00C77927">
        <w:t xml:space="preserve">emissions, which enables data to be compared and analyzed. </w:t>
      </w:r>
      <w:r w:rsidR="007C09C1" w:rsidRPr="00C77927">
        <w:t xml:space="preserve">The </w:t>
      </w:r>
      <w:r w:rsidR="00266CC1" w:rsidRPr="00C77927">
        <w:t xml:space="preserve">comprehensive GHG data reported directly from large facilities and suppliers across the country are easily accessible to the public </w:t>
      </w:r>
      <w:r w:rsidR="00D34726" w:rsidRPr="00C77927">
        <w:t>via EPA’s online data publication tool, also known as FLIGHT (</w:t>
      </w:r>
      <w:r w:rsidR="00C762FF">
        <w:t>F</w:t>
      </w:r>
      <w:r w:rsidR="00D34726" w:rsidRPr="00C77927">
        <w:t xml:space="preserve">acility </w:t>
      </w:r>
      <w:r w:rsidR="00C762FF">
        <w:t>L</w:t>
      </w:r>
      <w:r w:rsidR="00D34726" w:rsidRPr="00C77927">
        <w:t xml:space="preserve">evel </w:t>
      </w:r>
      <w:r w:rsidR="00C762FF">
        <w:t>I</w:t>
      </w:r>
      <w:r w:rsidR="00D34726" w:rsidRPr="00C77927">
        <w:t xml:space="preserve">nformation on </w:t>
      </w:r>
      <w:r w:rsidR="00C762FF">
        <w:t>G</w:t>
      </w:r>
      <w:r w:rsidR="00D34726" w:rsidRPr="00C77927">
        <w:t>reenhouse gas</w:t>
      </w:r>
      <w:r w:rsidR="00A678CF" w:rsidRPr="00C77927">
        <w:t>es</w:t>
      </w:r>
      <w:r w:rsidR="00D34726" w:rsidRPr="00C77927">
        <w:t xml:space="preserve"> </w:t>
      </w:r>
      <w:r w:rsidR="00C762FF">
        <w:t>T</w:t>
      </w:r>
      <w:r w:rsidR="00D34726" w:rsidRPr="00C77927">
        <w:t>ool) at</w:t>
      </w:r>
      <w:r w:rsidR="00266CC1" w:rsidRPr="00C77927">
        <w:t xml:space="preserve">: </w:t>
      </w:r>
      <w:hyperlink r:id="rId14" w:history="1">
        <w:r w:rsidR="00266CC1" w:rsidRPr="00C77927">
          <w:rPr>
            <w:rStyle w:val="Hyperlink"/>
          </w:rPr>
          <w:t>http://ghgdata.epa.gov/ghgp/main.do</w:t>
        </w:r>
      </w:hyperlink>
      <w:r w:rsidR="00266CC1" w:rsidRPr="00C77927">
        <w:t xml:space="preserve">. </w:t>
      </w:r>
      <w:r w:rsidR="00D34726" w:rsidRPr="00C77927">
        <w:t xml:space="preserve">FLIGHT </w:t>
      </w:r>
      <w:r w:rsidR="008618CF" w:rsidRPr="00C77927">
        <w:t xml:space="preserve">is designed for the general public and </w:t>
      </w:r>
      <w:r w:rsidR="00266CC1" w:rsidRPr="00C77927">
        <w:t>allows users to view and sort GHG data for</w:t>
      </w:r>
      <w:r w:rsidR="00282A9E" w:rsidRPr="00C77927">
        <w:t xml:space="preserve"> every</w:t>
      </w:r>
      <w:r w:rsidR="00266CC1" w:rsidRPr="00C77927">
        <w:t xml:space="preserve"> </w:t>
      </w:r>
      <w:r w:rsidR="00A678CF" w:rsidRPr="00C77927">
        <w:t>data</w:t>
      </w:r>
      <w:r w:rsidR="00266CC1" w:rsidRPr="00C77927">
        <w:t xml:space="preserve"> year</w:t>
      </w:r>
      <w:r w:rsidR="00282A9E" w:rsidRPr="00C77927">
        <w:t xml:space="preserve"> starting with</w:t>
      </w:r>
      <w:r w:rsidR="00266CC1" w:rsidRPr="00C77927">
        <w:t xml:space="preserve"> 2010 from over </w:t>
      </w:r>
      <w:r w:rsidR="0019341F" w:rsidRPr="00C77927">
        <w:t>8</w:t>
      </w:r>
      <w:r w:rsidR="00B70B6F" w:rsidRPr="00C77927">
        <w:t>,000</w:t>
      </w:r>
      <w:r w:rsidR="00266CC1" w:rsidRPr="00C77927">
        <w:t xml:space="preserve"> </w:t>
      </w:r>
      <w:r w:rsidR="00B70B6F" w:rsidRPr="00C77927">
        <w:t xml:space="preserve">entities </w:t>
      </w:r>
      <w:r w:rsidR="007C09C1" w:rsidRPr="00C77927">
        <w:t xml:space="preserve">in a variety of ways </w:t>
      </w:r>
      <w:r w:rsidR="00266CC1" w:rsidRPr="00C77927">
        <w:t xml:space="preserve">including by location, industrial sector, and type of GHG emitted. </w:t>
      </w:r>
      <w:r w:rsidR="008618CF" w:rsidRPr="00C77927">
        <w:t xml:space="preserve">To support the needs of </w:t>
      </w:r>
      <w:r w:rsidR="00C00FAB" w:rsidRPr="00C77927">
        <w:t>data users</w:t>
      </w:r>
      <w:r w:rsidR="008618CF" w:rsidRPr="00C77927">
        <w:t xml:space="preserve">, all non-confidential data collected through the GHGRP </w:t>
      </w:r>
      <w:r w:rsidR="00C00FAB" w:rsidRPr="00C77927">
        <w:t xml:space="preserve">are </w:t>
      </w:r>
      <w:r w:rsidR="008618CF" w:rsidRPr="00C77927">
        <w:t>made available for download through Envirofacts (</w:t>
      </w:r>
      <w:hyperlink r:id="rId15" w:history="1">
        <w:r w:rsidR="000E7C78" w:rsidRPr="00C77927">
          <w:rPr>
            <w:rStyle w:val="Hyperlink"/>
          </w:rPr>
          <w:t>http://www.epa.gov/enviro/</w:t>
        </w:r>
      </w:hyperlink>
      <w:r w:rsidR="008618CF" w:rsidRPr="00C77927">
        <w:t>), a cross-EPA data publication website.</w:t>
      </w:r>
    </w:p>
    <w:p w14:paraId="0FBFCE8C" w14:textId="77777777" w:rsidR="0019341F" w:rsidRPr="00C77927" w:rsidRDefault="0019341F" w:rsidP="00C6739B">
      <w:pPr>
        <w:ind w:firstLine="720"/>
      </w:pPr>
    </w:p>
    <w:p w14:paraId="4D7A8255" w14:textId="2E8A85BF" w:rsidR="00C64E97" w:rsidRPr="00D25FC9" w:rsidRDefault="00C64E97" w:rsidP="00A678CF">
      <w:pPr>
        <w:ind w:firstLine="720"/>
        <w:rPr>
          <w:color w:val="1F497D"/>
          <w:sz w:val="22"/>
          <w:szCs w:val="22"/>
        </w:rPr>
      </w:pPr>
      <w:bookmarkStart w:id="9" w:name="_Hlk525567322"/>
      <w:r w:rsidRPr="00C77927">
        <w:rPr>
          <w:shd w:val="clear" w:color="auto" w:fill="FFFFFF"/>
        </w:rPr>
        <w:t xml:space="preserve">Data collected through the GHGRP complement the Inventory of U.S. Greenhouse Gas Emissions and Sinks (Inventory) and </w:t>
      </w:r>
      <w:r w:rsidR="009A13D6" w:rsidRPr="00C77927">
        <w:rPr>
          <w:shd w:val="clear" w:color="auto" w:fill="FFFFFF"/>
        </w:rPr>
        <w:t>are</w:t>
      </w:r>
      <w:r w:rsidRPr="00C77927">
        <w:rPr>
          <w:shd w:val="clear" w:color="auto" w:fill="FFFFFF"/>
        </w:rPr>
        <w:t xml:space="preserve"> used to significantly improve our understanding of key emissions sources</w:t>
      </w:r>
      <w:r w:rsidR="001605FF" w:rsidRPr="00C77927">
        <w:t xml:space="preserve"> by allowing EPA to better reflect changing technologies and emissions from a wide range of industrial facilities.</w:t>
      </w:r>
      <w:r w:rsidR="001605FF" w:rsidRPr="00C77927">
        <w:rPr>
          <w:shd w:val="clear" w:color="auto" w:fill="FFFFFF"/>
        </w:rPr>
        <w:t xml:space="preserve"> For example, </w:t>
      </w:r>
      <w:r w:rsidR="001605FF" w:rsidRPr="00C77927">
        <w:t xml:space="preserve">within the industrial processes and product use sector of the Inventory, EPA directly uses annual GHGRP data in </w:t>
      </w:r>
      <w:r w:rsidR="006C4757">
        <w:t>11</w:t>
      </w:r>
      <w:r w:rsidR="001605FF" w:rsidRPr="00C77927">
        <w:t xml:space="preserve"> categories to improve the national estimates. The industrial sectors that utilize GHGRP data include, but are not limited to, adipic acid production, aluminum production, cement production, petrochemical production, semiconductor manufacturing, and substitution of ozone depleting substances. The Inventory uses GHGRP data as both updates to activity data and emission factors. For example, GHGRP data </w:t>
      </w:r>
      <w:r w:rsidR="009A13D6" w:rsidRPr="00C77927">
        <w:t>are</w:t>
      </w:r>
      <w:r w:rsidR="001605FF" w:rsidRPr="00C77927">
        <w:t xml:space="preserve"> used as activity data within the cement production sector (e.g., utilizing aggregated reported clinker production), as updates to emissions factors for nitric acid production (e.g., nitric acid production data by abatement type used to develop country-specific emission factors), and as direct emissions captured within the lime production sector (e.g., capture of CO</w:t>
      </w:r>
      <w:r w:rsidR="001605FF" w:rsidRPr="00C77927">
        <w:rPr>
          <w:vertAlign w:val="subscript"/>
        </w:rPr>
        <w:t>2</w:t>
      </w:r>
      <w:r w:rsidR="001605FF" w:rsidRPr="00C77927">
        <w:t xml:space="preserve"> reported by lime facilities is incorporated directly into emissions calculations). In addition to direct use of GHGRP data as emission factors and activity data, the Inventory also uses GHGRP data as quality assurance and verification for calculated emissions estimates, emission factors, and other assumptions used in the Inventory. </w:t>
      </w:r>
      <w:r w:rsidRPr="00C77927">
        <w:rPr>
          <w:shd w:val="clear" w:color="auto" w:fill="FFFFFF"/>
        </w:rPr>
        <w:t>EPA continues to assess the GHGRP data for further updates to the Inventory.</w:t>
      </w:r>
    </w:p>
    <w:bookmarkEnd w:id="9"/>
    <w:p w14:paraId="4469D9E3" w14:textId="1A6B0EB0" w:rsidR="00B856FA" w:rsidRPr="00C77927" w:rsidRDefault="00B856FA" w:rsidP="004810A5">
      <w:pPr>
        <w:ind w:firstLine="720"/>
        <w:rPr>
          <w:shd w:val="clear" w:color="auto" w:fill="FFFFFF"/>
        </w:rPr>
      </w:pPr>
      <w:r w:rsidRPr="00C77927">
        <w:rPr>
          <w:shd w:val="clear" w:color="auto" w:fill="FFFFFF"/>
        </w:rPr>
        <w:t xml:space="preserve"> </w:t>
      </w:r>
    </w:p>
    <w:p w14:paraId="4D07625B" w14:textId="5D74E980" w:rsidR="00A678CF" w:rsidRPr="00C77927" w:rsidRDefault="00A05E42" w:rsidP="00A678CF">
      <w:pPr>
        <w:ind w:firstLine="720"/>
        <w:rPr>
          <w:color w:val="000000" w:themeColor="text1"/>
        </w:rPr>
      </w:pPr>
      <w:r w:rsidRPr="00C77927">
        <w:t xml:space="preserve">The GHGRP has been used to support </w:t>
      </w:r>
      <w:r w:rsidR="00C00FAB" w:rsidRPr="00C77927">
        <w:t>CAA policy</w:t>
      </w:r>
      <w:r w:rsidRPr="00C77927">
        <w:t xml:space="preserve"> in numerous ways. For example,</w:t>
      </w:r>
      <w:r w:rsidR="006A5018" w:rsidRPr="00C77927">
        <w:t xml:space="preserve"> </w:t>
      </w:r>
      <w:r w:rsidR="0047688D" w:rsidRPr="00C77927">
        <w:rPr>
          <w:color w:val="000000"/>
        </w:rPr>
        <w:t>GHGRP data on Petroleum and Natural Gas Systems (Subpart W) were analyzed to inform targeted improvements to the 2016 New Source Performance Standards</w:t>
      </w:r>
      <w:r w:rsidR="00716AE1" w:rsidRPr="00C77927">
        <w:rPr>
          <w:color w:val="000000"/>
        </w:rPr>
        <w:t xml:space="preserve"> (NSPS)</w:t>
      </w:r>
      <w:r w:rsidR="0047688D" w:rsidRPr="00C77927">
        <w:rPr>
          <w:color w:val="000000"/>
        </w:rPr>
        <w:t xml:space="preserve"> for the oil and gas industry </w:t>
      </w:r>
      <w:r w:rsidR="00716AE1" w:rsidRPr="00C77927">
        <w:rPr>
          <w:color w:val="000000"/>
        </w:rPr>
        <w:t xml:space="preserve">and to update emission factor and activity data used for that proposal and the 2016 NSPS, as updated in the US GHG Inventory </w:t>
      </w:r>
      <w:r w:rsidR="0047688D" w:rsidRPr="00C77927">
        <w:rPr>
          <w:color w:val="000000"/>
        </w:rPr>
        <w:t>(</w:t>
      </w:r>
      <w:r w:rsidR="00BB65A0" w:rsidRPr="00C77927">
        <w:rPr>
          <w:color w:val="000000"/>
        </w:rPr>
        <w:t>83 FR 52056; October 15, 2018</w:t>
      </w:r>
      <w:r w:rsidR="0047688D" w:rsidRPr="00C77927">
        <w:rPr>
          <w:color w:val="000000"/>
        </w:rPr>
        <w:t>)</w:t>
      </w:r>
      <w:r w:rsidR="0047688D" w:rsidRPr="00C77927">
        <w:t>.</w:t>
      </w:r>
    </w:p>
    <w:p w14:paraId="70A3CCF9" w14:textId="77777777" w:rsidR="00A678CF" w:rsidRPr="00C77927" w:rsidRDefault="00A678CF" w:rsidP="00A678CF">
      <w:pPr>
        <w:ind w:firstLine="720"/>
        <w:rPr>
          <w:color w:val="000000" w:themeColor="text1"/>
        </w:rPr>
      </w:pPr>
    </w:p>
    <w:p w14:paraId="56FB4D43" w14:textId="2FDF0185" w:rsidR="00A678CF" w:rsidRPr="00C77927" w:rsidRDefault="00A05E42" w:rsidP="00A678CF">
      <w:pPr>
        <w:ind w:firstLine="720"/>
        <w:rPr>
          <w:color w:val="000000"/>
        </w:rPr>
      </w:pPr>
      <w:r w:rsidRPr="00C77927">
        <w:rPr>
          <w:color w:val="000000" w:themeColor="text1"/>
        </w:rPr>
        <w:t xml:space="preserve">As part of the </w:t>
      </w:r>
      <w:r w:rsidR="00F17AC1" w:rsidRPr="00C77927">
        <w:rPr>
          <w:color w:val="000000" w:themeColor="text1"/>
        </w:rPr>
        <w:t xml:space="preserve">final </w:t>
      </w:r>
      <w:r w:rsidRPr="00C77927">
        <w:rPr>
          <w:color w:val="000000" w:themeColor="text1"/>
        </w:rPr>
        <w:t xml:space="preserve">New </w:t>
      </w:r>
      <w:r w:rsidRPr="00532E8B">
        <w:rPr>
          <w:color w:val="000000" w:themeColor="text1"/>
        </w:rPr>
        <w:t>So</w:t>
      </w:r>
      <w:r w:rsidR="00282A9E" w:rsidRPr="00532E8B">
        <w:rPr>
          <w:color w:val="000000" w:themeColor="text1"/>
        </w:rPr>
        <w:t>urce Performance Standard</w:t>
      </w:r>
      <w:r w:rsidRPr="00532E8B">
        <w:rPr>
          <w:color w:val="000000" w:themeColor="text1"/>
        </w:rPr>
        <w:t xml:space="preserve"> </w:t>
      </w:r>
      <w:r w:rsidR="000643CE" w:rsidRPr="00532E8B">
        <w:rPr>
          <w:color w:val="000000" w:themeColor="text1"/>
        </w:rPr>
        <w:t>(</w:t>
      </w:r>
      <w:r w:rsidR="001605FF" w:rsidRPr="00480737">
        <w:rPr>
          <w:color w:val="000000" w:themeColor="text1"/>
        </w:rPr>
        <w:t>81</w:t>
      </w:r>
      <w:r w:rsidR="000643CE" w:rsidRPr="00480737">
        <w:rPr>
          <w:color w:val="000000" w:themeColor="text1"/>
        </w:rPr>
        <w:t xml:space="preserve"> FR </w:t>
      </w:r>
      <w:r w:rsidR="001605FF" w:rsidRPr="00480737">
        <w:rPr>
          <w:color w:val="000000" w:themeColor="text1"/>
        </w:rPr>
        <w:t>59332</w:t>
      </w:r>
      <w:r w:rsidR="002B2505" w:rsidRPr="00480737">
        <w:rPr>
          <w:color w:val="000000" w:themeColor="text1"/>
        </w:rPr>
        <w:t>;</w:t>
      </w:r>
      <w:r w:rsidR="000643CE" w:rsidRPr="00480737">
        <w:rPr>
          <w:color w:val="000000" w:themeColor="text1"/>
        </w:rPr>
        <w:t xml:space="preserve"> </w:t>
      </w:r>
      <w:r w:rsidR="001605FF" w:rsidRPr="00532E8B">
        <w:rPr>
          <w:color w:val="000000" w:themeColor="text1"/>
        </w:rPr>
        <w:t>August 29, 2016</w:t>
      </w:r>
      <w:r w:rsidR="000643CE" w:rsidRPr="00532E8B">
        <w:rPr>
          <w:color w:val="000000" w:themeColor="text1"/>
        </w:rPr>
        <w:t>)</w:t>
      </w:r>
      <w:r w:rsidRPr="00532E8B">
        <w:rPr>
          <w:color w:val="000000" w:themeColor="text1"/>
        </w:rPr>
        <w:t xml:space="preserve"> and Emissions Guidelines </w:t>
      </w:r>
      <w:r w:rsidR="000643CE" w:rsidRPr="00532E8B">
        <w:rPr>
          <w:color w:val="000000" w:themeColor="text1"/>
        </w:rPr>
        <w:t>(</w:t>
      </w:r>
      <w:r w:rsidR="000643CE" w:rsidRPr="00480737">
        <w:rPr>
          <w:color w:val="000000" w:themeColor="text1"/>
        </w:rPr>
        <w:t>8</w:t>
      </w:r>
      <w:r w:rsidR="001605FF" w:rsidRPr="00480737">
        <w:rPr>
          <w:color w:val="000000" w:themeColor="text1"/>
        </w:rPr>
        <w:t>1</w:t>
      </w:r>
      <w:r w:rsidR="000643CE" w:rsidRPr="00480737">
        <w:rPr>
          <w:color w:val="000000" w:themeColor="text1"/>
        </w:rPr>
        <w:t xml:space="preserve"> FR 5</w:t>
      </w:r>
      <w:r w:rsidR="001605FF" w:rsidRPr="00480737">
        <w:rPr>
          <w:color w:val="000000" w:themeColor="text1"/>
        </w:rPr>
        <w:t>9276</w:t>
      </w:r>
      <w:r w:rsidR="002B2505" w:rsidRPr="00480737">
        <w:rPr>
          <w:color w:val="000000" w:themeColor="text1"/>
        </w:rPr>
        <w:t>;</w:t>
      </w:r>
      <w:r w:rsidR="000643CE" w:rsidRPr="00480737">
        <w:rPr>
          <w:color w:val="000000" w:themeColor="text1"/>
        </w:rPr>
        <w:t xml:space="preserve"> August 2</w:t>
      </w:r>
      <w:r w:rsidR="001605FF" w:rsidRPr="00480737">
        <w:rPr>
          <w:color w:val="000000" w:themeColor="text1"/>
        </w:rPr>
        <w:t>9</w:t>
      </w:r>
      <w:r w:rsidR="000643CE" w:rsidRPr="00480737">
        <w:rPr>
          <w:color w:val="000000" w:themeColor="text1"/>
        </w:rPr>
        <w:t>, 201</w:t>
      </w:r>
      <w:r w:rsidR="001605FF" w:rsidRPr="00532E8B">
        <w:rPr>
          <w:color w:val="000000" w:themeColor="text1"/>
        </w:rPr>
        <w:t>6</w:t>
      </w:r>
      <w:r w:rsidR="000643CE" w:rsidRPr="00532E8B">
        <w:rPr>
          <w:color w:val="000000" w:themeColor="text1"/>
        </w:rPr>
        <w:t>)</w:t>
      </w:r>
      <w:r w:rsidRPr="00C77927">
        <w:rPr>
          <w:color w:val="000000" w:themeColor="text1"/>
        </w:rPr>
        <w:t xml:space="preserve"> revisions for municipal solid waste</w:t>
      </w:r>
      <w:r w:rsidR="009010F6" w:rsidRPr="00C77927">
        <w:rPr>
          <w:color w:val="000000" w:themeColor="text1"/>
        </w:rPr>
        <w:t xml:space="preserve"> (MSW)</w:t>
      </w:r>
      <w:r w:rsidRPr="00C77927">
        <w:rPr>
          <w:color w:val="000000" w:themeColor="text1"/>
        </w:rPr>
        <w:t xml:space="preserve"> landfills, a database was developed to calculate the cost and emission impacts associated </w:t>
      </w:r>
      <w:r w:rsidRPr="00C77927">
        <w:rPr>
          <w:color w:val="000000"/>
        </w:rPr>
        <w:t xml:space="preserve">with varying certain control parameters and applying these parameters to a dataset of existing and model future landfills. Information collected through </w:t>
      </w:r>
      <w:r w:rsidR="009010F6" w:rsidRPr="00C77927">
        <w:rPr>
          <w:color w:val="000000"/>
        </w:rPr>
        <w:t>MSW</w:t>
      </w:r>
      <w:r w:rsidR="00227FC2" w:rsidRPr="00C77927">
        <w:rPr>
          <w:color w:val="000000"/>
        </w:rPr>
        <w:t xml:space="preserve"> Landfills (</w:t>
      </w:r>
      <w:r w:rsidRPr="00C77927">
        <w:rPr>
          <w:color w:val="000000"/>
        </w:rPr>
        <w:t>Subpart HH</w:t>
      </w:r>
      <w:r w:rsidR="00227FC2" w:rsidRPr="00C77927">
        <w:rPr>
          <w:color w:val="000000"/>
        </w:rPr>
        <w:t>)</w:t>
      </w:r>
      <w:r w:rsidRPr="00C77927">
        <w:rPr>
          <w:color w:val="000000"/>
        </w:rPr>
        <w:t xml:space="preserve"> of the GHGRP about the landfill itself (such as landfill open and closure year, landfill design capacity, landfill design area, and landfill depth), current and historical annual waste acceptance rates, as well as gas collection and control system data (as applicable) were incorporated into the database. These annual historical waste rate data serve as a significant improvement to the data input file used to gener</w:t>
      </w:r>
      <w:r w:rsidR="00282A9E" w:rsidRPr="00C77927">
        <w:rPr>
          <w:color w:val="000000"/>
        </w:rPr>
        <w:t>ate emission estimates. Of the</w:t>
      </w:r>
      <w:r w:rsidRPr="00C77927">
        <w:rPr>
          <w:color w:val="000000"/>
        </w:rPr>
        <w:t xml:space="preserve"> 1,970 landfills in the dataset</w:t>
      </w:r>
      <w:r w:rsidR="00282A9E" w:rsidRPr="00C77927">
        <w:rPr>
          <w:color w:val="000000"/>
        </w:rPr>
        <w:t>, 1,217</w:t>
      </w:r>
      <w:r w:rsidRPr="00C77927">
        <w:rPr>
          <w:color w:val="000000"/>
        </w:rPr>
        <w:t xml:space="preserve"> were from GHGRP Subpart HH data.</w:t>
      </w:r>
      <w:r w:rsidR="00856E16" w:rsidRPr="00C77927">
        <w:rPr>
          <w:color w:val="000000"/>
        </w:rPr>
        <w:t xml:space="preserve"> In addition, </w:t>
      </w:r>
      <w:r w:rsidR="009010F6" w:rsidRPr="00C77927">
        <w:rPr>
          <w:color w:val="000000"/>
        </w:rPr>
        <w:t>in support of the recent review of the National Emissions Standards for Hazardous Air Pollutants (NESHAP) for MSW landfills, GHGRP data w</w:t>
      </w:r>
      <w:r w:rsidR="009A13D6" w:rsidRPr="00C77927">
        <w:rPr>
          <w:color w:val="000000"/>
        </w:rPr>
        <w:t>ere</w:t>
      </w:r>
      <w:r w:rsidR="009010F6" w:rsidRPr="00C77927">
        <w:rPr>
          <w:color w:val="000000"/>
        </w:rPr>
        <w:t xml:space="preserve"> reviewed for changes in technologies and practices that could lead to further reductions in HAP emissions from MSW landfills.</w:t>
      </w:r>
    </w:p>
    <w:p w14:paraId="224D5261" w14:textId="773EF098" w:rsidR="00A678CF" w:rsidRPr="00C77927" w:rsidRDefault="00A678CF" w:rsidP="00A678CF">
      <w:pPr>
        <w:ind w:firstLine="720"/>
        <w:rPr>
          <w:color w:val="000000"/>
        </w:rPr>
      </w:pPr>
    </w:p>
    <w:p w14:paraId="44A0E523" w14:textId="48AC0D4E" w:rsidR="00716AE1" w:rsidRPr="00C77927" w:rsidRDefault="00716AE1" w:rsidP="4F29145A">
      <w:pPr>
        <w:ind w:firstLine="720"/>
      </w:pPr>
      <w:r w:rsidRPr="00C77927">
        <w:t>GHGRP data have also been used to support voluntary programs. For example, GHGRP data are used by the Natural Gas STAR Methane Challenge Program, which leverages GHGRP reporting to track partner petroleum and natural gas company activities related to their Methane Challenge commitments</w:t>
      </w:r>
      <w:r w:rsidR="003F0E48">
        <w:t>. In addition, GHGRP data are used by the Landfill Methane Outreach Program (LMOP) to supplement the LMOP Landfill and Landfill Gas Energy Project Database which includes data collected from LMOP Partners about landfill gas energy projects or potential for project development. LMOP has an approved ICR (OMB Control # 2060-0446) that allows for collection of these data. When the requested data are similar between GHGRP and LMOP, LMOP does not request the data from LMOP Partners; rather the data collected by GHGRP are used.</w:t>
      </w:r>
    </w:p>
    <w:p w14:paraId="4C74F50E" w14:textId="77777777" w:rsidR="00716AE1" w:rsidRPr="00C77927" w:rsidRDefault="00716AE1" w:rsidP="00A678CF">
      <w:pPr>
        <w:ind w:firstLine="720"/>
        <w:rPr>
          <w:color w:val="000000"/>
        </w:rPr>
      </w:pPr>
    </w:p>
    <w:p w14:paraId="3DD19F4F" w14:textId="3B6DFD63" w:rsidR="007717D8" w:rsidRPr="00C77927" w:rsidRDefault="007717D8" w:rsidP="007717D8">
      <w:pPr>
        <w:ind w:firstLine="720"/>
      </w:pPr>
      <w:r w:rsidRPr="00C77927">
        <w:t xml:space="preserve">Several states also use GHGRP data to inform their own </w:t>
      </w:r>
      <w:r w:rsidRPr="00CE0251">
        <w:t xml:space="preserve">policymaking. </w:t>
      </w:r>
      <w:r w:rsidR="60015EED" w:rsidRPr="00CE0251">
        <w:t>For example, the state of Hawaii is using GHGRP data to establish an emissions baseline for each facility subject to their GHG Reduction Plan and to assess whether facilities meet their targets in future years.</w:t>
      </w:r>
      <w:r w:rsidR="15C643E1" w:rsidRPr="00D25FC9">
        <w:rPr>
          <w:color w:val="FF0000"/>
        </w:rPr>
        <w:t xml:space="preserve"> </w:t>
      </w:r>
      <w:r w:rsidR="00E4739F" w:rsidRPr="00480737">
        <w:t>T</w:t>
      </w:r>
      <w:r w:rsidR="15C643E1" w:rsidRPr="00480737">
        <w:t>he state of Iowa uses annual GHGRP data to</w:t>
      </w:r>
      <w:r w:rsidR="7221ED8A" w:rsidRPr="00480737">
        <w:t xml:space="preserve"> </w:t>
      </w:r>
      <w:r w:rsidR="563211B1" w:rsidRPr="00480737">
        <w:t xml:space="preserve">support their annual </w:t>
      </w:r>
      <w:r w:rsidR="239230E8" w:rsidRPr="00480737">
        <w:t xml:space="preserve">report </w:t>
      </w:r>
      <w:r w:rsidR="009010F6" w:rsidRPr="00480737">
        <w:t xml:space="preserve">to </w:t>
      </w:r>
      <w:r w:rsidR="239230E8" w:rsidRPr="00480737">
        <w:t>the</w:t>
      </w:r>
      <w:r w:rsidR="563211B1" w:rsidRPr="00480737">
        <w:t xml:space="preserve"> </w:t>
      </w:r>
      <w:r w:rsidR="239230E8" w:rsidRPr="00480737">
        <w:t xml:space="preserve">governor and general assembly on </w:t>
      </w:r>
      <w:r w:rsidR="15C80A49" w:rsidRPr="00480737">
        <w:t xml:space="preserve">GHG emissions in the state. </w:t>
      </w:r>
      <w:r w:rsidR="78F3E0E6" w:rsidRPr="00480737">
        <w:t xml:space="preserve">The state of </w:t>
      </w:r>
      <w:r w:rsidR="522DEA02" w:rsidRPr="00480737">
        <w:t>Oregon uses EPA’s GHGRP data to support verification of data collected</w:t>
      </w:r>
      <w:r w:rsidR="320464F5" w:rsidRPr="00480737">
        <w:t xml:space="preserve"> under the </w:t>
      </w:r>
      <w:r w:rsidR="003F0E48" w:rsidRPr="00480737">
        <w:t>s</w:t>
      </w:r>
      <w:r w:rsidR="320464F5" w:rsidRPr="00480737">
        <w:t xml:space="preserve">tate’s own GHG reporting requirements. </w:t>
      </w:r>
      <w:r w:rsidRPr="00532E8B">
        <w:t xml:space="preserve">In addition, to meet requirements for reporting oil and gas activities to EPA under the National </w:t>
      </w:r>
      <w:r w:rsidRPr="00C77927">
        <w:t xml:space="preserve">Emissions Inventory, </w:t>
      </w:r>
      <w:r w:rsidR="003F0E48">
        <w:t>s</w:t>
      </w:r>
      <w:r w:rsidRPr="00C77927">
        <w:t xml:space="preserve">tates without their own data collection programs can leverage GHGRP data collected </w:t>
      </w:r>
      <w:r w:rsidR="00227FC2" w:rsidRPr="00C77927">
        <w:t>via Subpart W</w:t>
      </w:r>
      <w:r w:rsidRPr="00C77927">
        <w:t>.</w:t>
      </w:r>
    </w:p>
    <w:p w14:paraId="0DAB96DF" w14:textId="77777777" w:rsidR="007C09C1" w:rsidRPr="00C77927" w:rsidRDefault="007C09C1" w:rsidP="006D0D6D">
      <w:pPr>
        <w:ind w:firstLine="720"/>
      </w:pPr>
    </w:p>
    <w:p w14:paraId="0AC79573" w14:textId="62651362" w:rsidR="007C09C1" w:rsidRPr="00C77927" w:rsidRDefault="00A90B9C" w:rsidP="00A17391">
      <w:pPr>
        <w:ind w:firstLine="720"/>
      </w:pPr>
      <w:r w:rsidRPr="00C77927">
        <w:t xml:space="preserve">The standardization of GHG data provides businesses with the necessary information to benchmark themselves against similar facilities, better understand their relative standing within their industry, and achieve and disseminate their environmental achievements. </w:t>
      </w:r>
      <w:r w:rsidR="00C67049" w:rsidRPr="00C77927">
        <w:t xml:space="preserve">Businesses and other innovators </w:t>
      </w:r>
      <w:r w:rsidR="007C09C1" w:rsidRPr="00C77927">
        <w:t xml:space="preserve">can </w:t>
      </w:r>
      <w:r w:rsidR="00C67049" w:rsidRPr="00C77927">
        <w:t>use the data</w:t>
      </w:r>
      <w:r w:rsidR="007C09C1" w:rsidRPr="00C77927">
        <w:t xml:space="preserve"> </w:t>
      </w:r>
      <w:r w:rsidR="006D0D6D" w:rsidRPr="00C77927">
        <w:t xml:space="preserve">to </w:t>
      </w:r>
      <w:r w:rsidRPr="00C77927">
        <w:t xml:space="preserve">determine </w:t>
      </w:r>
      <w:r w:rsidR="00103282" w:rsidRPr="00C77927">
        <w:t xml:space="preserve">and track </w:t>
      </w:r>
      <w:r w:rsidRPr="00C77927">
        <w:t xml:space="preserve">their GHG footprints, </w:t>
      </w:r>
      <w:r w:rsidR="006D0D6D" w:rsidRPr="00C77927">
        <w:t xml:space="preserve">find cost- and fuel-saving efficiencies that </w:t>
      </w:r>
      <w:r w:rsidR="00266CC1" w:rsidRPr="00C77927">
        <w:t xml:space="preserve">reduce </w:t>
      </w:r>
      <w:r w:rsidR="00227FC2" w:rsidRPr="00C77927">
        <w:t>GHG</w:t>
      </w:r>
      <w:r w:rsidR="00266CC1" w:rsidRPr="00C77927">
        <w:t xml:space="preserve"> emissions</w:t>
      </w:r>
      <w:r w:rsidRPr="00C77927">
        <w:t xml:space="preserve"> (e.g., through energy audits or other forms of assistance),</w:t>
      </w:r>
      <w:r w:rsidR="006D0D6D" w:rsidRPr="00C77927">
        <w:t xml:space="preserve"> and foster technologies to protect public health and the environment</w:t>
      </w:r>
      <w:r w:rsidR="007C09C1" w:rsidRPr="00C77927">
        <w:t xml:space="preserve">. </w:t>
      </w:r>
      <w:r w:rsidR="00061E4A" w:rsidRPr="00C77927">
        <w:t>In addition, transparent, public data on emissions allow for accountability of polluters to the public who bear the cost of the pollution. This powerful data resource provides a critical tool for communities to identify nearby sources of GHGs and provide information to state and local governments. One example of this type of practical utility of GHGRP data was outlined in</w:t>
      </w:r>
      <w:r w:rsidR="002A2C72" w:rsidRPr="00C77927">
        <w:t xml:space="preserve"> a paper </w:t>
      </w:r>
      <w:r w:rsidR="00061E4A" w:rsidRPr="00C77927">
        <w:t xml:space="preserve">on </w:t>
      </w:r>
      <w:r w:rsidR="00D4037A" w:rsidRPr="00C77927">
        <w:t xml:space="preserve">Electrical Transmission and Distribution Equipment Use (Subpart DD) and Electrical Equipment Manufacture or Refurbishment </w:t>
      </w:r>
      <w:r w:rsidR="00061E4A" w:rsidRPr="00C77927">
        <w:t>(</w:t>
      </w:r>
      <w:r w:rsidR="00A17391" w:rsidRPr="00C77927">
        <w:t>S</w:t>
      </w:r>
      <w:r w:rsidR="00061E4A" w:rsidRPr="00C77927">
        <w:t xml:space="preserve">ubpart SS) </w:t>
      </w:r>
      <w:r w:rsidR="002A2C72" w:rsidRPr="00C77927">
        <w:t>authored by EPA staff and contractors (see Docket</w:t>
      </w:r>
      <w:r w:rsidR="00E50F31" w:rsidRPr="00C77927">
        <w:t xml:space="preserve"> EPA-HQ-OAR-2012-0333</w:t>
      </w:r>
      <w:r w:rsidR="002A2C72" w:rsidRPr="00C77927">
        <w:t>)</w:t>
      </w:r>
      <w:r w:rsidR="00061E4A" w:rsidRPr="00C77927">
        <w:t xml:space="preserve">. The paper explains that </w:t>
      </w:r>
      <w:r w:rsidR="002A2C72" w:rsidRPr="00C77927">
        <w:rPr>
          <w:sz w:val="23"/>
          <w:szCs w:val="23"/>
        </w:rPr>
        <w:t>fluorinated GHG</w:t>
      </w:r>
      <w:r w:rsidR="00265B13" w:rsidRPr="00C77927">
        <w:rPr>
          <w:sz w:val="23"/>
          <w:szCs w:val="23"/>
        </w:rPr>
        <w:t xml:space="preserve"> emissions from </w:t>
      </w:r>
      <w:r w:rsidR="00061E4A" w:rsidRPr="00C77927">
        <w:rPr>
          <w:sz w:val="23"/>
          <w:szCs w:val="23"/>
        </w:rPr>
        <w:t xml:space="preserve">these industries </w:t>
      </w:r>
      <w:r w:rsidR="00265B13" w:rsidRPr="00C77927">
        <w:rPr>
          <w:sz w:val="23"/>
          <w:szCs w:val="23"/>
        </w:rPr>
        <w:t>decreased significantly between 2011 and 2013</w:t>
      </w:r>
      <w:r w:rsidR="00061E4A" w:rsidRPr="00C77927">
        <w:rPr>
          <w:sz w:val="23"/>
          <w:szCs w:val="23"/>
        </w:rPr>
        <w:t>, and that p</w:t>
      </w:r>
      <w:r w:rsidR="002A2C72" w:rsidRPr="00C77927">
        <w:rPr>
          <w:sz w:val="23"/>
          <w:szCs w:val="23"/>
        </w:rPr>
        <w:t>ossible explanations for these reductions</w:t>
      </w:r>
      <w:r w:rsidR="00265B13" w:rsidRPr="00C77927">
        <w:rPr>
          <w:sz w:val="23"/>
          <w:szCs w:val="23"/>
        </w:rPr>
        <w:t xml:space="preserve"> </w:t>
      </w:r>
      <w:r w:rsidR="002A2C72" w:rsidRPr="00C77927">
        <w:rPr>
          <w:sz w:val="23"/>
          <w:szCs w:val="23"/>
        </w:rPr>
        <w:t>include increased awareness by facilities of the magnitude of their emissions (both in absolute terms and relative to the emissions of similar facilities) and/or concerns regarding public perception of those emissions.</w:t>
      </w:r>
    </w:p>
    <w:p w14:paraId="095917F7" w14:textId="77777777" w:rsidR="00C6739B" w:rsidRPr="00C77927" w:rsidRDefault="00C6739B" w:rsidP="00061E4A"/>
    <w:p w14:paraId="5CA0756D" w14:textId="59DFBB00" w:rsidR="0067655A" w:rsidRPr="00C77927" w:rsidRDefault="00CC14AE" w:rsidP="4F29145A">
      <w:pPr>
        <w:ind w:firstLine="720"/>
      </w:pPr>
      <w:r w:rsidRPr="00C77927">
        <w:t>GHGRP data are</w:t>
      </w:r>
      <w:r w:rsidR="00FF1A82" w:rsidRPr="00C77927">
        <w:t xml:space="preserve"> also being used to improve estimates of GHG emissions internationally. </w:t>
      </w:r>
      <w:r w:rsidR="0082183E" w:rsidRPr="00C77927">
        <w:t xml:space="preserve">Specifically, GHGRP data are informing several of the updates to emission estimation methods included </w:t>
      </w:r>
      <w:r w:rsidR="00A74917">
        <w:t xml:space="preserve">in </w:t>
      </w:r>
      <w:r w:rsidR="0082183E" w:rsidRPr="00C77927">
        <w:t xml:space="preserve">the 2019 Refinement of the 2006 </w:t>
      </w:r>
      <w:r w:rsidR="00752750">
        <w:t>Intergovernmental Panel on Climate Change (</w:t>
      </w:r>
      <w:r w:rsidR="0082183E" w:rsidRPr="00C77927">
        <w:t>IPCC</w:t>
      </w:r>
      <w:r w:rsidR="00752750">
        <w:t>)</w:t>
      </w:r>
      <w:r w:rsidR="0082183E" w:rsidRPr="00C77927">
        <w:t xml:space="preserve"> Guidelines for National GHG Inventories</w:t>
      </w:r>
      <w:r w:rsidR="009A13D6" w:rsidRPr="00C77927">
        <w:t xml:space="preserve"> (the Refinement)</w:t>
      </w:r>
      <w:r w:rsidR="0082183E" w:rsidRPr="00C77927">
        <w:t>. Th</w:t>
      </w:r>
      <w:r w:rsidR="00330748" w:rsidRPr="00C77927">
        <w:t>ese</w:t>
      </w:r>
      <w:r w:rsidR="0082183E" w:rsidRPr="00C77927">
        <w:t xml:space="preserve"> data include emission factor measurements submitted to support GHGRP reporting by the semiconductor industry, which </w:t>
      </w:r>
      <w:r w:rsidR="00D04743" w:rsidRPr="00C77927">
        <w:t xml:space="preserve">reflect recent technological changes in that industry and </w:t>
      </w:r>
      <w:r w:rsidR="0082183E" w:rsidRPr="00C77927">
        <w:t xml:space="preserve">are </w:t>
      </w:r>
      <w:r w:rsidR="00D04743" w:rsidRPr="00C77927">
        <w:t xml:space="preserve">therefore </w:t>
      </w:r>
      <w:r w:rsidR="0082183E" w:rsidRPr="00C77927">
        <w:t xml:space="preserve">being used to update </w:t>
      </w:r>
      <w:r w:rsidR="00D04743" w:rsidRPr="00C77927">
        <w:t xml:space="preserve">the </w:t>
      </w:r>
      <w:r w:rsidR="0082183E" w:rsidRPr="00C77927">
        <w:t xml:space="preserve">default emission factors </w:t>
      </w:r>
      <w:r w:rsidR="00D04743" w:rsidRPr="00C77927">
        <w:t xml:space="preserve">for semiconductor manufacturing </w:t>
      </w:r>
      <w:r w:rsidR="0082183E" w:rsidRPr="00C77927">
        <w:t xml:space="preserve">in the Refinement. It also includes emissions and production </w:t>
      </w:r>
      <w:r w:rsidR="005F0821" w:rsidRPr="00C77927">
        <w:t xml:space="preserve">data </w:t>
      </w:r>
      <w:r w:rsidR="0082183E" w:rsidRPr="00C77927">
        <w:t>reported by fluorinated gas producers under the GHGRP</w:t>
      </w:r>
      <w:r w:rsidR="00D04743" w:rsidRPr="00C77927">
        <w:t>, which are also being us</w:t>
      </w:r>
      <w:r w:rsidR="005F0821" w:rsidRPr="00C77927">
        <w:t xml:space="preserve">ed to update </w:t>
      </w:r>
      <w:r w:rsidR="00DF5999" w:rsidRPr="00C77927">
        <w:t>a</w:t>
      </w:r>
      <w:r w:rsidR="005F0821" w:rsidRPr="00C77927">
        <w:t xml:space="preserve"> default emission factor</w:t>
      </w:r>
      <w:r w:rsidR="00DF5999" w:rsidRPr="00C77927">
        <w:t xml:space="preserve"> for that industry in the Refinement.</w:t>
      </w:r>
      <w:r w:rsidR="00FF1A82" w:rsidRPr="00C77927">
        <w:t xml:space="preserve"> </w:t>
      </w:r>
    </w:p>
    <w:p w14:paraId="26304AEA" w14:textId="023FC5F5" w:rsidR="004527BC" w:rsidRPr="00C77927" w:rsidRDefault="004527BC" w:rsidP="00BB1633">
      <w:pPr>
        <w:keepLines/>
        <w:ind w:firstLine="720"/>
      </w:pPr>
    </w:p>
    <w:p w14:paraId="6F5963F6" w14:textId="1A2AF040" w:rsidR="008A715C" w:rsidRPr="00C77927" w:rsidRDefault="008A715C" w:rsidP="00F3717A">
      <w:pPr>
        <w:pStyle w:val="Heading1"/>
      </w:pPr>
      <w:bookmarkStart w:id="10" w:name="_Toc10555975"/>
      <w:r w:rsidRPr="00C77927">
        <w:t>3.</w:t>
      </w:r>
      <w:r w:rsidRPr="00C77927">
        <w:tab/>
        <w:t>NONDUPLICATION, CONSULTATIONS, A</w:t>
      </w:r>
      <w:r w:rsidR="00501961" w:rsidRPr="00C77927">
        <w:t>ND OTHER CO</w:t>
      </w:r>
      <w:r w:rsidR="007E7234" w:rsidRPr="00C77927">
        <w:t>LLECTION</w:t>
      </w:r>
      <w:r w:rsidR="00F3717A" w:rsidRPr="00C77927">
        <w:t xml:space="preserve"> </w:t>
      </w:r>
      <w:r w:rsidRPr="00C77927">
        <w:t>CRITERIA</w:t>
      </w:r>
      <w:bookmarkEnd w:id="10"/>
    </w:p>
    <w:p w14:paraId="535CC103" w14:textId="77777777" w:rsidR="008A715C" w:rsidRPr="00C77927" w:rsidRDefault="008A715C" w:rsidP="00BB1633">
      <w:pPr>
        <w:keepNext/>
        <w:keepLines/>
        <w:rPr>
          <w:b/>
        </w:rPr>
      </w:pPr>
    </w:p>
    <w:p w14:paraId="2865789E" w14:textId="77777777" w:rsidR="008A715C" w:rsidRPr="00C77927" w:rsidRDefault="0046780F" w:rsidP="00F3717A">
      <w:pPr>
        <w:pStyle w:val="Heading2"/>
      </w:pPr>
      <w:bookmarkStart w:id="11" w:name="_Toc10555976"/>
      <w:r w:rsidRPr="00C77927">
        <w:t xml:space="preserve">3(a) </w:t>
      </w:r>
      <w:r w:rsidR="008A715C" w:rsidRPr="00C77927">
        <w:t>Nonduplication</w:t>
      </w:r>
      <w:bookmarkEnd w:id="11"/>
    </w:p>
    <w:p w14:paraId="57D107C9" w14:textId="77777777" w:rsidR="008800A7" w:rsidRPr="00C77927" w:rsidRDefault="008800A7" w:rsidP="00BB1633">
      <w:pPr>
        <w:keepNext/>
        <w:keepLines/>
        <w:rPr>
          <w:b/>
        </w:rPr>
      </w:pPr>
    </w:p>
    <w:p w14:paraId="09248151" w14:textId="77777777" w:rsidR="001B1F30" w:rsidRPr="00C77927" w:rsidRDefault="00FB0BB5" w:rsidP="00BB1633">
      <w:pPr>
        <w:autoSpaceDE w:val="0"/>
        <w:autoSpaceDN w:val="0"/>
        <w:adjustRightInd w:val="0"/>
      </w:pPr>
      <w:bookmarkStart w:id="12" w:name="OLE_LINK1"/>
      <w:bookmarkStart w:id="13" w:name="OLE_LINK2"/>
      <w:r w:rsidRPr="00C77927">
        <w:rPr>
          <w:i/>
        </w:rPr>
        <w:tab/>
      </w:r>
      <w:r w:rsidR="00502BC8" w:rsidRPr="00C77927">
        <w:t>EPA evaluated existing GHG programs and the GHG data currently available to determine whether this request duplicates other information collections.</w:t>
      </w:r>
      <w:r w:rsidR="00A47CF8" w:rsidRPr="00C77927">
        <w:t xml:space="preserve"> </w:t>
      </w:r>
      <w:r w:rsidRPr="00C77927">
        <w:t>In developing the GHGRP, EPA reviewed monitoring methods incl</w:t>
      </w:r>
      <w:r w:rsidR="00424962" w:rsidRPr="00C77927">
        <w:t>uding:</w:t>
      </w:r>
    </w:p>
    <w:p w14:paraId="5881A4FD" w14:textId="77777777" w:rsidR="001B1F30" w:rsidRPr="00C77927" w:rsidRDefault="001B1F30" w:rsidP="001B1F30">
      <w:pPr>
        <w:ind w:left="720"/>
      </w:pPr>
    </w:p>
    <w:p w14:paraId="00A37054" w14:textId="575C22C0" w:rsidR="001B1F30" w:rsidRPr="00C77927" w:rsidRDefault="00424962" w:rsidP="0064400C">
      <w:pPr>
        <w:numPr>
          <w:ilvl w:val="0"/>
          <w:numId w:val="10"/>
        </w:numPr>
      </w:pPr>
      <w:r w:rsidRPr="00C77927">
        <w:t>Federal</w:t>
      </w:r>
      <w:r w:rsidR="001B1F30" w:rsidRPr="00C77927">
        <w:t xml:space="preserve"> programs</w:t>
      </w:r>
      <w:r w:rsidRPr="00C77927">
        <w:t xml:space="preserve"> within the United States</w:t>
      </w:r>
      <w:r w:rsidR="001B1F30" w:rsidRPr="00C77927">
        <w:t xml:space="preserve">, such as the </w:t>
      </w:r>
      <w:r w:rsidR="004B136C" w:rsidRPr="00C77927">
        <w:t>Inventory</w:t>
      </w:r>
      <w:r w:rsidR="006A75D4">
        <w:t>;</w:t>
      </w:r>
      <w:r w:rsidR="001B1F30" w:rsidRPr="00C77927">
        <w:t xml:space="preserve"> the </w:t>
      </w:r>
      <w:r w:rsidR="004B136C" w:rsidRPr="00C77927">
        <w:t xml:space="preserve">U.S. Department of Energy’s (DOE’s) Energy Information Administration’s (EIA’s) 1605b </w:t>
      </w:r>
      <w:r w:rsidR="001B1F30" w:rsidRPr="00C77927">
        <w:t>program</w:t>
      </w:r>
      <w:r w:rsidR="00ED22E8">
        <w:t>;</w:t>
      </w:r>
      <w:r w:rsidR="001B1F30" w:rsidRPr="00C77927">
        <w:t xml:space="preserve"> </w:t>
      </w:r>
      <w:r w:rsidR="003C3F0C" w:rsidRPr="00C77927">
        <w:t xml:space="preserve">the Bureau of Ocean Energy Management’s </w:t>
      </w:r>
      <w:r w:rsidR="00080E45">
        <w:t>Gulfwide Offshore Activity Data System;</w:t>
      </w:r>
      <w:r w:rsidR="003C3F0C" w:rsidRPr="00C77927">
        <w:t xml:space="preserve"> </w:t>
      </w:r>
      <w:r w:rsidR="001B1F30" w:rsidRPr="00C77927">
        <w:t xml:space="preserve">the </w:t>
      </w:r>
      <w:r w:rsidR="00080E45">
        <w:t xml:space="preserve">EPA’s </w:t>
      </w:r>
      <w:r w:rsidR="001B1F30" w:rsidRPr="00C77927">
        <w:t>Acid Rain Program,</w:t>
      </w:r>
      <w:r w:rsidR="004B136C" w:rsidRPr="00C77927">
        <w:t xml:space="preserve"> Natural Gas STAR Program,</w:t>
      </w:r>
      <w:r w:rsidR="001B1F30" w:rsidRPr="00C77927">
        <w:t xml:space="preserve"> and voluntary GHG partnership programs;</w:t>
      </w:r>
    </w:p>
    <w:p w14:paraId="19190801" w14:textId="77777777" w:rsidR="001B1F30" w:rsidRPr="00C77927" w:rsidRDefault="001B1F30" w:rsidP="001B1F30"/>
    <w:p w14:paraId="7054DEC3" w14:textId="77777777" w:rsidR="001B1F30" w:rsidRPr="00C77927" w:rsidRDefault="001B1F30" w:rsidP="0064400C">
      <w:pPr>
        <w:numPr>
          <w:ilvl w:val="0"/>
          <w:numId w:val="10"/>
        </w:numPr>
      </w:pPr>
      <w:r w:rsidRPr="00C77927">
        <w:t>State and r</w:t>
      </w:r>
      <w:r w:rsidR="00760EFC" w:rsidRPr="00C77927">
        <w:t>egional GHG reporting programs</w:t>
      </w:r>
      <w:r w:rsidRPr="00C77927">
        <w:t>, such as The Climate Registry, the Regional Greenhouse Gas Initiative, the Western Regional Air Partnership, and programs in several states including California, New Mexico, Connecticut, and New Jersey;</w:t>
      </w:r>
    </w:p>
    <w:p w14:paraId="02F2C05D" w14:textId="77777777" w:rsidR="001B1F30" w:rsidRPr="00C77927" w:rsidRDefault="001B1F30" w:rsidP="001B1F30"/>
    <w:p w14:paraId="35CA5FAA" w14:textId="77777777" w:rsidR="001B1F30" w:rsidRPr="00C77927" w:rsidRDefault="001B1F30" w:rsidP="0064400C">
      <w:pPr>
        <w:numPr>
          <w:ilvl w:val="0"/>
          <w:numId w:val="10"/>
        </w:numPr>
      </w:pPr>
      <w:r w:rsidRPr="00C77927">
        <w:t xml:space="preserve">Reporting protocols developed by nongovernmental organizations, such as the World Resources Institute/World Business Council for Sustainable Development; and </w:t>
      </w:r>
    </w:p>
    <w:p w14:paraId="2FC4D939" w14:textId="77777777" w:rsidR="001B1F30" w:rsidRPr="00C77927" w:rsidRDefault="001B1F30" w:rsidP="001B1F30">
      <w:pPr>
        <w:ind w:left="720"/>
      </w:pPr>
    </w:p>
    <w:p w14:paraId="2DCE2FBB" w14:textId="77777777" w:rsidR="001B1F30" w:rsidRPr="00C77927" w:rsidRDefault="001B1F30" w:rsidP="0064400C">
      <w:pPr>
        <w:numPr>
          <w:ilvl w:val="0"/>
          <w:numId w:val="10"/>
        </w:numPr>
      </w:pPr>
      <w:r w:rsidRPr="00C77927">
        <w:t>Programs from industrial trade organizations, such a</w:t>
      </w:r>
      <w:r w:rsidR="00760EFC" w:rsidRPr="00C77927">
        <w:t>s</w:t>
      </w:r>
      <w:r w:rsidRPr="00C77927">
        <w:t xml:space="preserve"> the Interstate Natural Gas Association of America’s GHG Emission Estimation Guidelines, the American Petroleum Institute’s Compendium of G</w:t>
      </w:r>
      <w:r w:rsidR="00760EFC" w:rsidRPr="00C77927">
        <w:t>HG</w:t>
      </w:r>
      <w:r w:rsidRPr="00C77927">
        <w:t xml:space="preserve"> Estimation Methodologies for the Oil and Gas Industry, and the </w:t>
      </w:r>
      <w:r w:rsidR="00760EFC" w:rsidRPr="00C77927">
        <w:t xml:space="preserve">World Business Council for Sustainable Development’s </w:t>
      </w:r>
      <w:r w:rsidRPr="00C77927">
        <w:t>Cement Sustainability Initiative’s CO</w:t>
      </w:r>
      <w:r w:rsidRPr="00C77927">
        <w:rPr>
          <w:vertAlign w:val="subscript"/>
        </w:rPr>
        <w:t>2</w:t>
      </w:r>
      <w:r w:rsidRPr="00C77927">
        <w:t xml:space="preserve"> Accounting and Reporting Standard for the Cement Industry. </w:t>
      </w:r>
    </w:p>
    <w:p w14:paraId="5A09F279" w14:textId="77777777" w:rsidR="004B136C" w:rsidRPr="00C77927" w:rsidRDefault="004B136C" w:rsidP="00BB1633">
      <w:pPr>
        <w:autoSpaceDE w:val="0"/>
        <w:autoSpaceDN w:val="0"/>
        <w:adjustRightInd w:val="0"/>
      </w:pPr>
    </w:p>
    <w:p w14:paraId="4AA7E81E" w14:textId="402229BA" w:rsidR="00FB0BB5" w:rsidRPr="00C77927" w:rsidRDefault="0093336F" w:rsidP="00EE1CE1">
      <w:pPr>
        <w:autoSpaceDE w:val="0"/>
        <w:autoSpaceDN w:val="0"/>
        <w:adjustRightInd w:val="0"/>
      </w:pPr>
      <w:r w:rsidRPr="00C77927">
        <w:tab/>
      </w:r>
      <w:r w:rsidR="00FB0BB5" w:rsidRPr="00C77927">
        <w:t xml:space="preserve">These are important programs that not only led the way in reporting of GHG emissions before the </w:t>
      </w:r>
      <w:r w:rsidR="00FD7FAA" w:rsidRPr="00C77927">
        <w:t>F</w:t>
      </w:r>
      <w:r w:rsidR="004C416B" w:rsidRPr="00C77927">
        <w:t>ederal</w:t>
      </w:r>
      <w:r w:rsidR="00FB0BB5" w:rsidRPr="00C77927">
        <w:t xml:space="preserve"> </w:t>
      </w:r>
      <w:r w:rsidR="00FD7FAA" w:rsidRPr="00C77927">
        <w:t>G</w:t>
      </w:r>
      <w:r w:rsidR="00FB0BB5" w:rsidRPr="00C77927">
        <w:t>overnment acted but also assist</w:t>
      </w:r>
      <w:r w:rsidR="00760EFC" w:rsidRPr="00C77927">
        <w:t>ed</w:t>
      </w:r>
      <w:r w:rsidR="00FB0BB5" w:rsidRPr="00C77927">
        <w:t xml:space="preserve"> in quantifying the GHG reductions achieved by various policies</w:t>
      </w:r>
      <w:r w:rsidR="002C652C" w:rsidRPr="00C77927">
        <w:t xml:space="preserve">. </w:t>
      </w:r>
      <w:r w:rsidR="00FB0BB5" w:rsidRPr="00C77927">
        <w:t xml:space="preserve">Many of these programs collect different or additional data as compared to </w:t>
      </w:r>
      <w:r w:rsidR="00A24C9A" w:rsidRPr="00C77927">
        <w:t>the GHGRP</w:t>
      </w:r>
      <w:r w:rsidR="002C652C" w:rsidRPr="00C77927">
        <w:t xml:space="preserve">. </w:t>
      </w:r>
      <w:r w:rsidR="00FB0BB5" w:rsidRPr="00C77927">
        <w:t xml:space="preserve">For example, </w:t>
      </w:r>
      <w:r w:rsidR="004C416B" w:rsidRPr="00C77927">
        <w:t>state</w:t>
      </w:r>
      <w:r w:rsidR="00FB0BB5" w:rsidRPr="00C77927">
        <w:t xml:space="preserve"> programs may establish lower thresholds for reporting, request information on areas not addressed in </w:t>
      </w:r>
      <w:r w:rsidR="004C416B" w:rsidRPr="00C77927">
        <w:t>the GHGRP</w:t>
      </w:r>
      <w:r w:rsidR="00FB0BB5" w:rsidRPr="00C77927">
        <w:t>, or include different data elements to support other programs (e.g., offsets)</w:t>
      </w:r>
      <w:r w:rsidR="002C652C" w:rsidRPr="00C77927">
        <w:t xml:space="preserve">. </w:t>
      </w:r>
      <w:r w:rsidR="00E750AB" w:rsidRPr="00C77927">
        <w:t xml:space="preserve">While some programs collect similar information on GHG emissions, the Agency has determined that the </w:t>
      </w:r>
      <w:r w:rsidR="004C416B" w:rsidRPr="00C77927">
        <w:t>GHGRP</w:t>
      </w:r>
      <w:r w:rsidR="00E750AB" w:rsidRPr="00C77927">
        <w:t xml:space="preserve"> supplement</w:t>
      </w:r>
      <w:r w:rsidR="004C416B" w:rsidRPr="00C77927">
        <w:t>s</w:t>
      </w:r>
      <w:r w:rsidR="00E750AB" w:rsidRPr="00C77927">
        <w:t xml:space="preserve"> and complement</w:t>
      </w:r>
      <w:r w:rsidR="004C416B" w:rsidRPr="00C77927">
        <w:t>s</w:t>
      </w:r>
      <w:r w:rsidR="00E750AB" w:rsidRPr="00C77927">
        <w:t>, rather than duplicate</w:t>
      </w:r>
      <w:r w:rsidR="004C416B" w:rsidRPr="00C77927">
        <w:t>s</w:t>
      </w:r>
      <w:r w:rsidR="00E750AB" w:rsidRPr="00C77927">
        <w:t xml:space="preserve">, existing programs’ data. </w:t>
      </w:r>
      <w:r w:rsidR="00E16E5B" w:rsidRPr="00C77927">
        <w:t xml:space="preserve">Further, EPA has made significant efforts over the past </w:t>
      </w:r>
      <w:r w:rsidR="00FD7FAA" w:rsidRPr="00C77927">
        <w:t>several</w:t>
      </w:r>
      <w:r w:rsidR="00E16E5B" w:rsidRPr="00C77927">
        <w:t xml:space="preserve"> years to facilitate reporting in the event a single entity has to report both the federal and state level. </w:t>
      </w:r>
      <w:r w:rsidR="4A8EB18C" w:rsidRPr="00C77927">
        <w:t>For example, EPA supported efforts by the California Air Resources Board to develop the California Electronic Greenhouse Gas Reporting Tool, or Cal e-GGRT. In addition</w:t>
      </w:r>
      <w:r w:rsidR="00237BD0">
        <w:t>,</w:t>
      </w:r>
      <w:r w:rsidR="4A8EB18C" w:rsidRPr="00C77927">
        <w:t xml:space="preserve"> Washington State has harmonized its GHG reporting requirements with GHGRP and EPA has established a workflow that allows Washington State facilities to use EPA’s Electronic Greenhouse Gas Reporting Tool (e-GGRT) as a single, common reporting form, to satisfy requirements for both federal and state programs. </w:t>
      </w:r>
    </w:p>
    <w:p w14:paraId="2680B0C6" w14:textId="77777777" w:rsidR="00FB0BB5" w:rsidRPr="00C77927" w:rsidRDefault="00FB0BB5" w:rsidP="00BB1633">
      <w:pPr>
        <w:autoSpaceDE w:val="0"/>
        <w:autoSpaceDN w:val="0"/>
        <w:adjustRightInd w:val="0"/>
      </w:pPr>
    </w:p>
    <w:p w14:paraId="545DCEDF" w14:textId="7333C665" w:rsidR="00502BC8" w:rsidRPr="00C77927" w:rsidRDefault="00FB0BB5" w:rsidP="008F7D63">
      <w:pPr>
        <w:autoSpaceDE w:val="0"/>
        <w:autoSpaceDN w:val="0"/>
        <w:adjustRightInd w:val="0"/>
      </w:pPr>
      <w:r w:rsidRPr="00C77927">
        <w:tab/>
      </w:r>
      <w:r w:rsidR="00B85CA3" w:rsidRPr="00C77927">
        <w:t xml:space="preserve">Documentation of EPA’s review of GHG monitoring protocols used by </w:t>
      </w:r>
      <w:r w:rsidR="008250BD" w:rsidRPr="00C77927">
        <w:t>federal</w:t>
      </w:r>
      <w:r w:rsidR="00B70B6F" w:rsidRPr="00C77927">
        <w:t xml:space="preserve"> and</w:t>
      </w:r>
      <w:r w:rsidR="00B85CA3" w:rsidRPr="00C77927">
        <w:t xml:space="preserve"> </w:t>
      </w:r>
      <w:r w:rsidR="008250BD" w:rsidRPr="00C77927">
        <w:t>state</w:t>
      </w:r>
      <w:r w:rsidR="00B85CA3" w:rsidRPr="00C77927">
        <w:t xml:space="preserve"> voluntary and mandatory GHG programs </w:t>
      </w:r>
      <w:r w:rsidR="005222D8" w:rsidRPr="00C77927">
        <w:t>a</w:t>
      </w:r>
      <w:r w:rsidR="004B136C" w:rsidRPr="00C77927">
        <w:t xml:space="preserve">s well as GHG reporting </w:t>
      </w:r>
      <w:r w:rsidR="005222D8" w:rsidRPr="00C77927">
        <w:t xml:space="preserve">rules </w:t>
      </w:r>
      <w:r w:rsidR="00B85CA3" w:rsidRPr="00C77927">
        <w:t>can be found in the docket at EPA-HQ-OAR-2008-0508-056.</w:t>
      </w:r>
      <w:r w:rsidR="006666D4" w:rsidRPr="00C77927">
        <w:t xml:space="preserve"> </w:t>
      </w:r>
      <w:r w:rsidR="0093336F" w:rsidRPr="00C77927">
        <w:t xml:space="preserve">For further discussion on the relationship of the GHGRP to other programs, please refer to the preambles of each of the </w:t>
      </w:r>
      <w:r w:rsidR="004B136C" w:rsidRPr="00C77927">
        <w:t xml:space="preserve">GHGRP </w:t>
      </w:r>
      <w:r w:rsidR="0093336F" w:rsidRPr="00C77927">
        <w:t>rulemakings</w:t>
      </w:r>
      <w:r w:rsidR="005222D8" w:rsidRPr="00C77927">
        <w:t xml:space="preserve">, </w:t>
      </w:r>
      <w:r w:rsidR="004B136C" w:rsidRPr="00C77927">
        <w:t xml:space="preserve">the </w:t>
      </w:r>
      <w:r w:rsidR="005222D8" w:rsidRPr="00C77927">
        <w:t xml:space="preserve">June 6, 2008 memorandum entitled </w:t>
      </w:r>
      <w:r w:rsidR="00AF65CF" w:rsidRPr="00C77927">
        <w:t>“</w:t>
      </w:r>
      <w:r w:rsidR="005222D8" w:rsidRPr="00C77927">
        <w:t>Review of Existing Programs</w:t>
      </w:r>
      <w:r w:rsidR="00AF65CF" w:rsidRPr="00C77927">
        <w:t>”</w:t>
      </w:r>
      <w:r w:rsidR="005816DF" w:rsidRPr="00C77927">
        <w:t xml:space="preserve"> (which can be found in the docket at EPA-HQ-OAR-2008-0508-0052)</w:t>
      </w:r>
      <w:r w:rsidR="005222D8" w:rsidRPr="00C77927">
        <w:t xml:space="preserve">, </w:t>
      </w:r>
      <w:r w:rsidR="00760EFC" w:rsidRPr="00C77927">
        <w:t>and</w:t>
      </w:r>
      <w:r w:rsidR="005222D8" w:rsidRPr="00C77927">
        <w:t xml:space="preserve"> the January 27, 2009 memorandum entitled </w:t>
      </w:r>
      <w:r w:rsidR="00AF65CF" w:rsidRPr="00C77927">
        <w:t>“</w:t>
      </w:r>
      <w:r w:rsidR="005222D8" w:rsidRPr="00C77927">
        <w:t>Review of Existing State Greenhouse Gas Reporting Rules</w:t>
      </w:r>
      <w:r w:rsidR="00AF65CF" w:rsidRPr="00C77927">
        <w:t>”</w:t>
      </w:r>
      <w:r w:rsidR="005816DF" w:rsidRPr="00C77927">
        <w:t xml:space="preserve"> (which can be found in the docket at EPA-HQ-OAR-2008-0508-0054)</w:t>
      </w:r>
      <w:r w:rsidR="0093336F" w:rsidRPr="00C77927">
        <w:t xml:space="preserve">. </w:t>
      </w:r>
      <w:r w:rsidRPr="00C77927">
        <w:t xml:space="preserve">Some GHG programs </w:t>
      </w:r>
      <w:r w:rsidR="00C71393" w:rsidRPr="00C77927">
        <w:t>are described below:</w:t>
      </w:r>
      <w:r w:rsidR="00A47CF8" w:rsidRPr="00C77927">
        <w:t xml:space="preserve"> </w:t>
      </w:r>
    </w:p>
    <w:p w14:paraId="08979CF8" w14:textId="77777777" w:rsidR="00340553" w:rsidRPr="00C77927" w:rsidRDefault="00340553" w:rsidP="00340553">
      <w:pPr>
        <w:pStyle w:val="LightGrid-Accent31"/>
      </w:pPr>
    </w:p>
    <w:p w14:paraId="7285EBC1" w14:textId="00EABC50" w:rsidR="00340553" w:rsidRPr="00C77927" w:rsidRDefault="00340553" w:rsidP="008F7D63">
      <w:pPr>
        <w:numPr>
          <w:ilvl w:val="0"/>
          <w:numId w:val="11"/>
        </w:numPr>
      </w:pPr>
      <w:bookmarkStart w:id="14" w:name="_Hlk536626847"/>
      <w:r w:rsidRPr="00C77927">
        <w:t>EPA considered CO</w:t>
      </w:r>
      <w:r w:rsidRPr="002D0309">
        <w:rPr>
          <w:vertAlign w:val="subscript"/>
        </w:rPr>
        <w:t>2</w:t>
      </w:r>
      <w:r w:rsidRPr="00C77927">
        <w:t xml:space="preserve"> data currently collected under Section 821 of the 1990 CAA A</w:t>
      </w:r>
      <w:r w:rsidR="004B136C" w:rsidRPr="00C77927">
        <w:t>mendments</w:t>
      </w:r>
      <w:r w:rsidR="00513433" w:rsidRPr="00C77927">
        <w:t xml:space="preserve"> (i.e., the Acid Rain program)</w:t>
      </w:r>
      <w:r w:rsidR="004B136C" w:rsidRPr="00C77927">
        <w:t>. To avoid duplication</w:t>
      </w:r>
      <w:r w:rsidRPr="00C77927">
        <w:t xml:space="preserve"> and because the Acid Rain program already requires reporting of CO</w:t>
      </w:r>
      <w:r w:rsidRPr="002D0309">
        <w:rPr>
          <w:vertAlign w:val="subscript"/>
        </w:rPr>
        <w:t>2</w:t>
      </w:r>
      <w:r w:rsidRPr="00C77927">
        <w:t xml:space="preserve"> data from electrical generating units (EGUs), the GHGRP allows for use of the same CO</w:t>
      </w:r>
      <w:r w:rsidRPr="002D0309">
        <w:rPr>
          <w:vertAlign w:val="subscript"/>
        </w:rPr>
        <w:t>2</w:t>
      </w:r>
      <w:r w:rsidRPr="00C77927">
        <w:t xml:space="preserve"> data</w:t>
      </w:r>
      <w:r w:rsidR="003F0E48">
        <w:t>.</w:t>
      </w:r>
      <w:r w:rsidRPr="00C77927">
        <w:t xml:space="preserve"> Facility operators do, however, have to report the emissions of GHGs that are not included under Section 821, such as </w:t>
      </w:r>
      <w:r w:rsidR="005D5363" w:rsidRPr="00C77927">
        <w:t>methane (</w:t>
      </w:r>
      <w:r w:rsidRPr="00C77927">
        <w:t>CH</w:t>
      </w:r>
      <w:r w:rsidRPr="002D0309">
        <w:rPr>
          <w:vertAlign w:val="subscript"/>
        </w:rPr>
        <w:t>4</w:t>
      </w:r>
      <w:r w:rsidR="005D5363" w:rsidRPr="00C77927">
        <w:t xml:space="preserve">) </w:t>
      </w:r>
      <w:r w:rsidRPr="00C77927">
        <w:t>and</w:t>
      </w:r>
      <w:r w:rsidR="005D5363" w:rsidRPr="00C77927">
        <w:t xml:space="preserve"> nitrous oxide (</w:t>
      </w:r>
      <w:r w:rsidRPr="00C77927">
        <w:t>N</w:t>
      </w:r>
      <w:r w:rsidRPr="002D0309">
        <w:rPr>
          <w:vertAlign w:val="subscript"/>
        </w:rPr>
        <w:t>2</w:t>
      </w:r>
      <w:r w:rsidRPr="00C77927">
        <w:t>O</w:t>
      </w:r>
      <w:r w:rsidR="005D5363" w:rsidRPr="00C77927">
        <w:t>)</w:t>
      </w:r>
      <w:r w:rsidRPr="00C77927">
        <w:t>.</w:t>
      </w:r>
      <w:r w:rsidR="00E27288" w:rsidRPr="00C77927">
        <w:t xml:space="preserve"> EPA </w:t>
      </w:r>
      <w:r w:rsidR="00F541BF">
        <w:t xml:space="preserve">recently </w:t>
      </w:r>
      <w:r w:rsidR="00E27288" w:rsidRPr="00C77927">
        <w:t xml:space="preserve">facilitated the </w:t>
      </w:r>
      <w:r w:rsidR="00BB480F">
        <w:t xml:space="preserve">automatic </w:t>
      </w:r>
      <w:r w:rsidR="00E27288" w:rsidRPr="00C77927">
        <w:t>carryover of data reported to the Acid Rain program into e</w:t>
      </w:r>
      <w:r w:rsidR="00344147" w:rsidRPr="00C77927">
        <w:t>-</w:t>
      </w:r>
      <w:r w:rsidR="00E27288" w:rsidRPr="00C77927">
        <w:t>GGRT to avoid duplication completely.</w:t>
      </w:r>
      <w:bookmarkEnd w:id="14"/>
    </w:p>
    <w:p w14:paraId="0D31BA7E" w14:textId="77777777" w:rsidR="00060F4D" w:rsidRPr="00C77927" w:rsidRDefault="00060F4D" w:rsidP="00060F4D">
      <w:pPr>
        <w:pStyle w:val="ListParagraph"/>
      </w:pPr>
    </w:p>
    <w:p w14:paraId="27139747" w14:textId="66CA70D5" w:rsidR="00227FC2" w:rsidRPr="00C77927" w:rsidRDefault="00E750AB" w:rsidP="00D66C85">
      <w:pPr>
        <w:pStyle w:val="ListParagraph"/>
        <w:numPr>
          <w:ilvl w:val="0"/>
          <w:numId w:val="11"/>
        </w:numPr>
        <w:rPr>
          <w:sz w:val="22"/>
          <w:szCs w:val="22"/>
        </w:rPr>
      </w:pPr>
      <w:r w:rsidRPr="00C77927">
        <w:t xml:space="preserve">EPA reviewed the Inventory, which is an annual comprehensive top-down assessment of national </w:t>
      </w:r>
      <w:r w:rsidR="00227FC2" w:rsidRPr="00C77927">
        <w:t>GHG</w:t>
      </w:r>
      <w:r w:rsidRPr="00C77927">
        <w:t xml:space="preserve"> emissions</w:t>
      </w:r>
      <w:r w:rsidR="002C652C" w:rsidRPr="00C77927">
        <w:t>.</w:t>
      </w:r>
      <w:r w:rsidR="00227FC2" w:rsidRPr="00C77927">
        <w:t xml:space="preserve"> The Inventory assesses GHG emissions from all sectors: energy, industry, waste, agriculture and forestry. </w:t>
      </w:r>
      <w:r w:rsidRPr="00C77927">
        <w:t xml:space="preserve">While the Inventory is </w:t>
      </w:r>
      <w:r w:rsidR="004900E8" w:rsidRPr="00C77927">
        <w:t xml:space="preserve">generally </w:t>
      </w:r>
      <w:r w:rsidR="00CC2D05" w:rsidRPr="00C77927">
        <w:t xml:space="preserve">compiled from national surveys (i.e., </w:t>
      </w:r>
      <w:r w:rsidRPr="00C77927">
        <w:t>not broken down at the geographic or facility level</w:t>
      </w:r>
      <w:r w:rsidR="00CC2D05" w:rsidRPr="00C77927">
        <w:t>)</w:t>
      </w:r>
      <w:r w:rsidRPr="00C77927">
        <w:t xml:space="preserve">, the </w:t>
      </w:r>
      <w:r w:rsidR="00CC2D05" w:rsidRPr="00C77927">
        <w:t>GHGRP</w:t>
      </w:r>
      <w:r w:rsidRPr="00C77927">
        <w:t xml:space="preserve"> focuses on bottom-up data from individual facilities that exceed appropriate thresholds</w:t>
      </w:r>
      <w:r w:rsidR="002C652C" w:rsidRPr="00C77927">
        <w:t xml:space="preserve">. </w:t>
      </w:r>
      <w:r w:rsidRPr="00C77927">
        <w:t xml:space="preserve">The bottom-up approach to data collection in the </w:t>
      </w:r>
      <w:r w:rsidR="00CC2D05" w:rsidRPr="00C77927">
        <w:t>GHGRP</w:t>
      </w:r>
      <w:r w:rsidRPr="00C77927">
        <w:t xml:space="preserve"> </w:t>
      </w:r>
      <w:r w:rsidR="004900E8" w:rsidRPr="00C77927">
        <w:t xml:space="preserve">can help reduce uncertainty in emissions estimates for specific industries, </w:t>
      </w:r>
      <w:r w:rsidR="00227FC2" w:rsidRPr="00C77927">
        <w:t xml:space="preserve">and as applicable, GHGRP information serves to complement and inform the Inventory. For example, GHGRP data </w:t>
      </w:r>
      <w:r w:rsidR="00897D0E" w:rsidRPr="00C77927">
        <w:t>are</w:t>
      </w:r>
      <w:r w:rsidR="00227FC2" w:rsidRPr="00C77927">
        <w:t xml:space="preserve"> applied to assess the quality of the top-down data, update activity data, and improve upon methodological approaches in the GHG inventory such as in the development of country-specific emission factors.</w:t>
      </w:r>
    </w:p>
    <w:p w14:paraId="4EEC6C2C" w14:textId="77777777" w:rsidR="00CC2D05" w:rsidRPr="00C77927" w:rsidRDefault="00CC2D05" w:rsidP="00CC2D05">
      <w:pPr>
        <w:ind w:left="1080"/>
      </w:pPr>
    </w:p>
    <w:p w14:paraId="5EFEB670" w14:textId="1F609D4D" w:rsidR="00AB6F4F" w:rsidRPr="00C77927" w:rsidRDefault="00194118" w:rsidP="00A81259">
      <w:pPr>
        <w:numPr>
          <w:ilvl w:val="0"/>
          <w:numId w:val="11"/>
        </w:numPr>
      </w:pPr>
      <w:r w:rsidRPr="00C77927">
        <w:t xml:space="preserve">EPA published the </w:t>
      </w:r>
      <w:r w:rsidR="002B2505" w:rsidRPr="00C77927">
        <w:t>“</w:t>
      </w:r>
      <w:r w:rsidRPr="00C77927">
        <w:t>Federal Requirements Under the Underground Injection Control (UIC) Program for Carbon Dioxide Geologic Sequestration (GS) Wells Final Rule</w:t>
      </w:r>
      <w:r w:rsidR="002B2505" w:rsidRPr="00C77927">
        <w:t>”</w:t>
      </w:r>
      <w:r w:rsidRPr="00C77927">
        <w:t xml:space="preserve"> (henceforth referred to as the “GS Rule”) (75 FR 77230</w:t>
      </w:r>
      <w:r w:rsidR="002B2505" w:rsidRPr="00C77927">
        <w:t>;</w:t>
      </w:r>
      <w:r w:rsidRPr="00C77927">
        <w:t xml:space="preserve"> December 10, 2010). </w:t>
      </w:r>
      <w:r w:rsidR="00AB6F4F" w:rsidRPr="00C77927">
        <w:t xml:space="preserve">EPA determined that the GHGRP </w:t>
      </w:r>
      <w:r w:rsidR="006A2548">
        <w:t xml:space="preserve">data </w:t>
      </w:r>
      <w:r w:rsidR="00D014F2">
        <w:t>are</w:t>
      </w:r>
      <w:r w:rsidR="00D014F2" w:rsidRPr="00C77927">
        <w:t xml:space="preserve"> </w:t>
      </w:r>
      <w:r w:rsidR="00AB6F4F" w:rsidRPr="00C77927">
        <w:t xml:space="preserve">complementary to and build </w:t>
      </w:r>
      <w:r w:rsidR="006A2548">
        <w:t>up</w:t>
      </w:r>
      <w:r w:rsidR="00AB6F4F" w:rsidRPr="00C77927">
        <w:t>on EPA’s UIC permit requirements. Requirements under the UIC program are focused on demonstrating that underground sources of drinking water are not endangered as a result of CO</w:t>
      </w:r>
      <w:r w:rsidR="00AB6F4F" w:rsidRPr="00C77927">
        <w:rPr>
          <w:vertAlign w:val="subscript"/>
        </w:rPr>
        <w:t>2</w:t>
      </w:r>
      <w:r w:rsidR="00AB6F4F" w:rsidRPr="00C77927">
        <w:t xml:space="preserve"> injection into the subsurface, while requir</w:t>
      </w:r>
      <w:r w:rsidR="00A17391" w:rsidRPr="00C77927">
        <w:t>ements under the GHGRP through S</w:t>
      </w:r>
      <w:r w:rsidR="00AB6F4F" w:rsidRPr="00C77927">
        <w:t>ubpart RR enable reporters to quantify the amount of CO</w:t>
      </w:r>
      <w:r w:rsidR="00AB6F4F" w:rsidRPr="00C77927">
        <w:rPr>
          <w:vertAlign w:val="subscript"/>
        </w:rPr>
        <w:t>2</w:t>
      </w:r>
      <w:r w:rsidR="00AB6F4F" w:rsidRPr="00C77927">
        <w:t xml:space="preserve"> that is geologically sequestered. For example, the UIC Class VI permit (including the Testing and Monitoring </w:t>
      </w:r>
      <w:r w:rsidR="00BF47A3" w:rsidRPr="00C77927">
        <w:t>Plan</w:t>
      </w:r>
      <w:r w:rsidR="00A17391" w:rsidRPr="00C77927">
        <w:t>) and S</w:t>
      </w:r>
      <w:r w:rsidR="00AB6F4F" w:rsidRPr="00C77927">
        <w:t>ubpart RR</w:t>
      </w:r>
      <w:r w:rsidR="00760EFC" w:rsidRPr="00C77927">
        <w:t>’s</w:t>
      </w:r>
      <w:r w:rsidR="00AB6F4F" w:rsidRPr="00C77927">
        <w:t xml:space="preserve"> monitoring, reporting, and verification plan have separate monitoring objectives. </w:t>
      </w:r>
    </w:p>
    <w:p w14:paraId="78740807" w14:textId="77777777" w:rsidR="0019341F" w:rsidRPr="00C77927" w:rsidRDefault="0019341F" w:rsidP="0019341F">
      <w:pPr>
        <w:pStyle w:val="ListParagraph"/>
      </w:pPr>
    </w:p>
    <w:p w14:paraId="7A229312" w14:textId="5F7CD77E" w:rsidR="00424A62" w:rsidRPr="00C77927" w:rsidRDefault="0019341F" w:rsidP="5EB8A445">
      <w:pPr>
        <w:numPr>
          <w:ilvl w:val="0"/>
          <w:numId w:val="11"/>
        </w:numPr>
      </w:pPr>
      <w:r w:rsidRPr="00C77927">
        <w:t>A</w:t>
      </w:r>
      <w:r w:rsidR="00117458" w:rsidRPr="00C77927">
        <w:t xml:space="preserve"> number of programs at the </w:t>
      </w:r>
      <w:r w:rsidR="00557C7F" w:rsidRPr="00C77927">
        <w:t xml:space="preserve">state, </w:t>
      </w:r>
      <w:r w:rsidR="008250BD" w:rsidRPr="00C77927">
        <w:t>t</w:t>
      </w:r>
      <w:r w:rsidR="00117458" w:rsidRPr="00C77927">
        <w:t>rib</w:t>
      </w:r>
      <w:r w:rsidR="008250BD" w:rsidRPr="00C77927">
        <w:t>al, t</w:t>
      </w:r>
      <w:r w:rsidR="00117458" w:rsidRPr="00C77927">
        <w:t xml:space="preserve">erritorial, and local level require emission sources in their respective jurisdictions to monitor and report </w:t>
      </w:r>
      <w:r w:rsidR="00D63E46" w:rsidRPr="00C77927">
        <w:t xml:space="preserve">GHG </w:t>
      </w:r>
      <w:r w:rsidR="00117458" w:rsidRPr="00C77927">
        <w:t>emissions</w:t>
      </w:r>
      <w:r w:rsidR="00987F90" w:rsidRPr="00C77927">
        <w:t xml:space="preserve"> (e.g., </w:t>
      </w:r>
      <w:r w:rsidR="5EB8A445" w:rsidRPr="00C77927">
        <w:t>California, Massachusetts, North Carolina, and New Jersey</w:t>
      </w:r>
      <w:r w:rsidR="00627978" w:rsidRPr="00C77927">
        <w:t>)</w:t>
      </w:r>
      <w:r w:rsidR="00117458" w:rsidRPr="00C77927">
        <w:t xml:space="preserve">. To reduce burden on reporters and program agencies, the Agency </w:t>
      </w:r>
      <w:r w:rsidR="734AA5AB" w:rsidRPr="00C77927">
        <w:t xml:space="preserve">publishes </w:t>
      </w:r>
      <w:r w:rsidR="5EB8A445" w:rsidRPr="00C77927">
        <w:t xml:space="preserve">and </w:t>
      </w:r>
      <w:r w:rsidR="00117458" w:rsidRPr="00C77927">
        <w:t>shar</w:t>
      </w:r>
      <w:r w:rsidR="00067AB0" w:rsidRPr="00C77927">
        <w:t>e</w:t>
      </w:r>
      <w:r w:rsidRPr="00C77927">
        <w:t>s</w:t>
      </w:r>
      <w:r w:rsidR="00117458" w:rsidRPr="00C77927">
        <w:t xml:space="preserve"> emission</w:t>
      </w:r>
      <w:r w:rsidR="000D1A27" w:rsidRPr="00C77927">
        <w:t>s</w:t>
      </w:r>
      <w:r w:rsidR="00117458" w:rsidRPr="00C77927">
        <w:t xml:space="preserve"> data with the exception of any CBI </w:t>
      </w:r>
      <w:r w:rsidR="71048714" w:rsidRPr="00C77927">
        <w:t>as appropriate</w:t>
      </w:r>
      <w:r w:rsidR="00117458" w:rsidRPr="00C77927">
        <w:t>.</w:t>
      </w:r>
      <w:bookmarkEnd w:id="12"/>
      <w:bookmarkEnd w:id="13"/>
    </w:p>
    <w:p w14:paraId="742B6C1F" w14:textId="77777777" w:rsidR="00424A62" w:rsidRPr="00C77927" w:rsidRDefault="00424A62" w:rsidP="00424A62"/>
    <w:p w14:paraId="1CDEC39E" w14:textId="04611D16" w:rsidR="008A715C" w:rsidRPr="00C77927" w:rsidRDefault="0046780F" w:rsidP="00F3717A">
      <w:pPr>
        <w:pStyle w:val="Heading2"/>
      </w:pPr>
      <w:bookmarkStart w:id="15" w:name="_Toc10555977"/>
      <w:r w:rsidRPr="00C77927">
        <w:t xml:space="preserve">3(b) Public Notice Required Prior to </w:t>
      </w:r>
      <w:r w:rsidR="00DA2441" w:rsidRPr="00C77927">
        <w:t>Information Collection Request (</w:t>
      </w:r>
      <w:r w:rsidRPr="00C77927">
        <w:t>ICR</w:t>
      </w:r>
      <w:r w:rsidR="00DA2441" w:rsidRPr="00C77927">
        <w:t>)</w:t>
      </w:r>
      <w:r w:rsidRPr="00C77927">
        <w:t xml:space="preserve"> Submissions to OMB</w:t>
      </w:r>
      <w:bookmarkEnd w:id="15"/>
    </w:p>
    <w:p w14:paraId="68F0EA5E" w14:textId="77777777" w:rsidR="00121479" w:rsidRPr="00C77927" w:rsidRDefault="00121479" w:rsidP="00121479">
      <w:pPr>
        <w:autoSpaceDE w:val="0"/>
        <w:autoSpaceDN w:val="0"/>
        <w:adjustRightInd w:val="0"/>
      </w:pPr>
    </w:p>
    <w:p w14:paraId="20460821" w14:textId="5C2B2903" w:rsidR="0060670F" w:rsidRPr="00134340" w:rsidRDefault="00E03FAD" w:rsidP="003818C3">
      <w:pPr>
        <w:ind w:firstLine="720"/>
      </w:pPr>
      <w:r w:rsidRPr="00C77927">
        <w:t>This Supporting Statement is appended to a</w:t>
      </w:r>
      <w:r w:rsidR="00D44E46" w:rsidRPr="00C77927">
        <w:t xml:space="preserve">n FR notice </w:t>
      </w:r>
      <w:r w:rsidRPr="00C77927">
        <w:t xml:space="preserve">that </w:t>
      </w:r>
      <w:r w:rsidR="00EA1E17" w:rsidRPr="00C77927">
        <w:t>was</w:t>
      </w:r>
      <w:r w:rsidRPr="00C77927">
        <w:t xml:space="preserve"> </w:t>
      </w:r>
      <w:r w:rsidR="00D44E46" w:rsidRPr="00C77927">
        <w:t xml:space="preserve">published </w:t>
      </w:r>
      <w:r w:rsidR="00EA1E17" w:rsidRPr="00C77927">
        <w:t xml:space="preserve">when the ICR was submitted to </w:t>
      </w:r>
      <w:r w:rsidR="00121479" w:rsidRPr="00C77927">
        <w:t xml:space="preserve">the </w:t>
      </w:r>
      <w:r w:rsidR="00D44E46" w:rsidRPr="00C77927">
        <w:t>OMB</w:t>
      </w:r>
      <w:r w:rsidR="00121479" w:rsidRPr="00C77927">
        <w:t xml:space="preserve"> in compliance with the Paperwork Reduction Act (44 USC 3501 </w:t>
      </w:r>
      <w:r w:rsidR="00121479" w:rsidRPr="00C77927">
        <w:rPr>
          <w:i/>
          <w:iCs/>
        </w:rPr>
        <w:t>et seq</w:t>
      </w:r>
      <w:r w:rsidR="00121479" w:rsidRPr="00134340">
        <w:t>.)</w:t>
      </w:r>
      <w:r w:rsidR="00D44E46" w:rsidRPr="00134340">
        <w:t xml:space="preserve">. The public comment period for this notice is </w:t>
      </w:r>
      <w:r w:rsidR="00EA1E17" w:rsidRPr="00134340">
        <w:t>3</w:t>
      </w:r>
      <w:r w:rsidR="00D44E46" w:rsidRPr="00134340">
        <w:t>0 days.</w:t>
      </w:r>
      <w:r w:rsidRPr="00134340">
        <w:t xml:space="preserve"> </w:t>
      </w:r>
      <w:r w:rsidR="002C4139" w:rsidRPr="00134340">
        <w:t xml:space="preserve">EPA also published </w:t>
      </w:r>
      <w:r w:rsidR="001063DD" w:rsidRPr="00134340">
        <w:t xml:space="preserve">a notice in the FR on </w:t>
      </w:r>
      <w:r w:rsidR="003A70E1" w:rsidRPr="00134340">
        <w:t xml:space="preserve">February </w:t>
      </w:r>
      <w:r w:rsidR="00435769" w:rsidRPr="00134340">
        <w:t>26</w:t>
      </w:r>
      <w:r w:rsidR="002C4139" w:rsidRPr="00134340">
        <w:t>, 201</w:t>
      </w:r>
      <w:r w:rsidR="00435769" w:rsidRPr="00134340">
        <w:t>9</w:t>
      </w:r>
      <w:r w:rsidR="002C4139" w:rsidRPr="00134340">
        <w:t xml:space="preserve">, announcing plans to submit this ICR renewal request to OMB. The public comment period for that notice was 60 days. EPA received comments </w:t>
      </w:r>
      <w:r w:rsidR="00843BBF" w:rsidRPr="00134340">
        <w:t xml:space="preserve">to that notice from American </w:t>
      </w:r>
      <w:r w:rsidR="003F0E48" w:rsidRPr="00134340">
        <w:t>Gas Association and Interstate Natural Gas Association of America</w:t>
      </w:r>
      <w:r w:rsidR="00843BBF" w:rsidRPr="00134340">
        <w:t>. T</w:t>
      </w:r>
      <w:r w:rsidR="00ED04FA" w:rsidRPr="00134340">
        <w:t xml:space="preserve">he </w:t>
      </w:r>
      <w:r w:rsidR="00976924" w:rsidRPr="00134340">
        <w:t>comments</w:t>
      </w:r>
      <w:r w:rsidR="00BF556C" w:rsidRPr="00134340">
        <w:t xml:space="preserve"> as well as the EPA responses to those comments can be found in the Response to Comment document which is available</w:t>
      </w:r>
      <w:r w:rsidR="00391FF5" w:rsidRPr="00134340">
        <w:t xml:space="preserve"> </w:t>
      </w:r>
      <w:r w:rsidR="00843BBF" w:rsidRPr="00134340">
        <w:t xml:space="preserve">in the </w:t>
      </w:r>
      <w:r w:rsidR="003F0E48" w:rsidRPr="00134340">
        <w:t>d</w:t>
      </w:r>
      <w:r w:rsidR="00976924" w:rsidRPr="00134340">
        <w:t xml:space="preserve">ocket for this ICR </w:t>
      </w:r>
      <w:r w:rsidR="00843BBF" w:rsidRPr="00134340">
        <w:t>(</w:t>
      </w:r>
      <w:r w:rsidR="00ED04FA" w:rsidRPr="00134340">
        <w:t xml:space="preserve">Docket ID Number </w:t>
      </w:r>
      <w:r w:rsidR="007017E4" w:rsidRPr="00134340">
        <w:t>EPA-HQ-OAR-2019-0027</w:t>
      </w:r>
      <w:r w:rsidR="00843BBF" w:rsidRPr="00134340">
        <w:t>)</w:t>
      </w:r>
      <w:r w:rsidR="001063DD" w:rsidRPr="00134340">
        <w:t>.</w:t>
      </w:r>
    </w:p>
    <w:p w14:paraId="6DAE5853" w14:textId="77777777" w:rsidR="004B4F3D" w:rsidRPr="00134340" w:rsidRDefault="004B4F3D" w:rsidP="00CB0EC3">
      <w:pPr>
        <w:ind w:firstLine="720"/>
      </w:pPr>
    </w:p>
    <w:p w14:paraId="015E5DDE" w14:textId="77777777" w:rsidR="008A715C" w:rsidRPr="00134340" w:rsidRDefault="0046780F" w:rsidP="00CB0EC3">
      <w:pPr>
        <w:pStyle w:val="Heading2"/>
        <w:keepNext/>
        <w:keepLines/>
      </w:pPr>
      <w:bookmarkStart w:id="16" w:name="_Toc10555978"/>
      <w:r w:rsidRPr="00134340">
        <w:t xml:space="preserve">3(c) </w:t>
      </w:r>
      <w:r w:rsidR="008A715C" w:rsidRPr="00134340">
        <w:t>Consultations</w:t>
      </w:r>
      <w:bookmarkEnd w:id="16"/>
    </w:p>
    <w:p w14:paraId="1C43D129" w14:textId="77777777" w:rsidR="00700D35" w:rsidRPr="00134340" w:rsidRDefault="00700D35" w:rsidP="00EC4BA6">
      <w:pPr>
        <w:keepNext/>
        <w:keepLines/>
        <w:rPr>
          <w:b/>
        </w:rPr>
      </w:pPr>
    </w:p>
    <w:p w14:paraId="45C4EE93" w14:textId="634FB0A9" w:rsidR="008C1DD3" w:rsidRPr="00C77927" w:rsidRDefault="00E03FAD" w:rsidP="003818C3">
      <w:pPr>
        <w:ind w:firstLine="720"/>
      </w:pPr>
      <w:r w:rsidRPr="00134340">
        <w:t xml:space="preserve">To </w:t>
      </w:r>
      <w:r w:rsidR="00DE4938" w:rsidRPr="00134340">
        <w:t xml:space="preserve">learn of ways to minimize burden on reporters, EPA engages in consultations with reporters on a regular basis. </w:t>
      </w:r>
      <w:bookmarkStart w:id="17" w:name="_Hlk529459200"/>
      <w:r w:rsidR="00DE4938" w:rsidRPr="00134340">
        <w:t>Since the GHGRP’s inception, EPA has conducted over 1</w:t>
      </w:r>
      <w:r w:rsidR="00B005CE" w:rsidRPr="00134340">
        <w:t>4</w:t>
      </w:r>
      <w:r w:rsidR="00DE4938" w:rsidRPr="00134340">
        <w:t>0 training webinars reaching over 1</w:t>
      </w:r>
      <w:r w:rsidR="00B005CE" w:rsidRPr="00134340">
        <w:t>7</w:t>
      </w:r>
      <w:r w:rsidR="00DE4938" w:rsidRPr="00134340">
        <w:t xml:space="preserve">,000 people and has responded to approximately </w:t>
      </w:r>
      <w:r w:rsidR="00B005CE" w:rsidRPr="00134340">
        <w:t>40</w:t>
      </w:r>
      <w:r w:rsidR="00DE4938" w:rsidRPr="00134340">
        <w:t>,000 questions</w:t>
      </w:r>
      <w:r w:rsidR="00DE4938" w:rsidRPr="00532E8B">
        <w:t xml:space="preserve"> received by our help desk. </w:t>
      </w:r>
      <w:bookmarkEnd w:id="17"/>
      <w:r w:rsidR="00DE4938" w:rsidRPr="00532E8B">
        <w:t>EPA also communicate</w:t>
      </w:r>
      <w:r w:rsidR="008C1DD3" w:rsidRPr="00532E8B">
        <w:t>s</w:t>
      </w:r>
      <w:r w:rsidR="00DE4938" w:rsidRPr="00532E8B">
        <w:t xml:space="preserve"> with GHGRP reporters directly after</w:t>
      </w:r>
      <w:r w:rsidR="00DE4938" w:rsidRPr="00C77927">
        <w:t xml:space="preserve"> every data submission deadline during our annual verification period</w:t>
      </w:r>
      <w:r w:rsidR="005C7565" w:rsidRPr="00C77927">
        <w:t>. The program maintains an open-door policy and has consulted on numerous occasions with trade associations as well as individual companies with issues or concerns</w:t>
      </w:r>
      <w:r w:rsidR="00DE4938" w:rsidRPr="00C77927">
        <w:t xml:space="preserve">. As a result of these consultations, EPA has identified specific sections of the rule language that </w:t>
      </w:r>
      <w:r w:rsidR="00976924" w:rsidRPr="00C77927">
        <w:t xml:space="preserve">could be clarified </w:t>
      </w:r>
      <w:r w:rsidR="00DE4938" w:rsidRPr="00C77927">
        <w:t xml:space="preserve">or did not have the intended effect. EPA has promulgated amendments to the rule to resolve these issues and to correct technical and editorial errors that have been identified. </w:t>
      </w:r>
    </w:p>
    <w:p w14:paraId="5F29C8F8" w14:textId="5B01F862" w:rsidR="008C1DD3" w:rsidRDefault="008C1DD3" w:rsidP="00627978">
      <w:pPr>
        <w:ind w:firstLine="720"/>
      </w:pPr>
    </w:p>
    <w:p w14:paraId="75A2BF7C" w14:textId="2081D48A" w:rsidR="003F0E48" w:rsidRDefault="003F0E48" w:rsidP="00627978">
      <w:pPr>
        <w:ind w:firstLine="720"/>
      </w:pPr>
      <w:r>
        <w:t>For example, in October 2018, EPA held a stakeholder workshop on the GHG data for petroleum and natural gas systems. Stakeholders participated in person and via webinar. A session of this workshop was used to garner feedback on potential burden reduction opportunities for the GHGRP. The session included EPA and stakeholder presentations, as well as an open stakeholder discussion.</w:t>
      </w:r>
    </w:p>
    <w:p w14:paraId="07B232B4" w14:textId="77777777" w:rsidR="003F0E48" w:rsidRPr="00C77927" w:rsidRDefault="003F0E48" w:rsidP="00627978">
      <w:pPr>
        <w:ind w:firstLine="720"/>
      </w:pPr>
    </w:p>
    <w:p w14:paraId="21A9AA5F" w14:textId="11A045D4" w:rsidR="00627978" w:rsidRPr="00C77927" w:rsidRDefault="00DE4938" w:rsidP="00A81259">
      <w:pPr>
        <w:ind w:firstLine="720"/>
      </w:pPr>
      <w:r w:rsidRPr="00C77927">
        <w:t xml:space="preserve">To monitor the usefulness of this data collection, </w:t>
      </w:r>
      <w:r w:rsidR="008C1DD3" w:rsidRPr="00C77927">
        <w:t>the</w:t>
      </w:r>
      <w:r w:rsidRPr="00C77927">
        <w:t xml:space="preserve"> GHGRP staff are in regular communication with other EPA programs that use the data, such as voluntary and mandatory GHG </w:t>
      </w:r>
      <w:r w:rsidR="008C1DD3" w:rsidRPr="00C77927">
        <w:t>reduction</w:t>
      </w:r>
      <w:r w:rsidRPr="00C77927">
        <w:t xml:space="preserve"> programs within the Office of Air</w:t>
      </w:r>
      <w:r w:rsidR="00287C2F">
        <w:t xml:space="preserve"> and Radiation</w:t>
      </w:r>
      <w:r w:rsidRPr="00C77927">
        <w:t xml:space="preserve">. EPA also consults regularly with </w:t>
      </w:r>
      <w:r w:rsidR="00287C2F">
        <w:t>s</w:t>
      </w:r>
      <w:r w:rsidRPr="00C77927">
        <w:t>tate, local, and triba</w:t>
      </w:r>
      <w:r w:rsidR="005C7565" w:rsidRPr="00C77927">
        <w:t xml:space="preserve">l environmental control agencies, environmental groups, </w:t>
      </w:r>
      <w:r w:rsidR="008C1DD3" w:rsidRPr="00C77927">
        <w:t xml:space="preserve">research entities, </w:t>
      </w:r>
      <w:r w:rsidR="005C7565" w:rsidRPr="00C77927">
        <w:t>and other nongovernmental organizations.</w:t>
      </w:r>
    </w:p>
    <w:p w14:paraId="72008284" w14:textId="77777777" w:rsidR="00AF65CF" w:rsidRPr="00C77927" w:rsidRDefault="00AF65CF" w:rsidP="00A81259">
      <w:pPr>
        <w:ind w:firstLine="720"/>
      </w:pPr>
    </w:p>
    <w:p w14:paraId="189BFC8A" w14:textId="34E950F4" w:rsidR="00AF65CF" w:rsidRPr="00C77927" w:rsidRDefault="00AF65CF" w:rsidP="00A17391">
      <w:pPr>
        <w:ind w:firstLine="720"/>
      </w:pPr>
      <w:r w:rsidRPr="00C77927">
        <w:t xml:space="preserve">In addition, EPA </w:t>
      </w:r>
      <w:r w:rsidR="000775DA" w:rsidRPr="00C77927">
        <w:t xml:space="preserve">contacted </w:t>
      </w:r>
      <w:r w:rsidR="000775DA">
        <w:t xml:space="preserve">designated representatives </w:t>
      </w:r>
      <w:r w:rsidR="000775DA" w:rsidRPr="00C77927">
        <w:t xml:space="preserve">from </w:t>
      </w:r>
      <w:r w:rsidR="000775DA">
        <w:t>nine</w:t>
      </w:r>
      <w:r w:rsidR="000775DA" w:rsidRPr="00C77927">
        <w:t xml:space="preserve"> </w:t>
      </w:r>
      <w:r w:rsidR="000775DA">
        <w:t xml:space="preserve">randomly selected </w:t>
      </w:r>
      <w:r w:rsidR="000775DA" w:rsidRPr="00C77927">
        <w:t xml:space="preserve">companies that report to the GHGRP to request consultation about the GHGRP </w:t>
      </w:r>
      <w:r w:rsidR="000775DA">
        <w:t>reporting burden values</w:t>
      </w:r>
      <w:r w:rsidR="000775DA" w:rsidRPr="00C77927">
        <w:t xml:space="preserve"> that were</w:t>
      </w:r>
      <w:r w:rsidR="000775DA">
        <w:t xml:space="preserve"> revised </w:t>
      </w:r>
      <w:r w:rsidR="003A7509">
        <w:t>in</w:t>
      </w:r>
      <w:r w:rsidR="000775DA">
        <w:t xml:space="preserve"> this ICR renewal</w:t>
      </w:r>
      <w:r w:rsidR="000775DA" w:rsidRPr="00C77927">
        <w:t xml:space="preserve">. </w:t>
      </w:r>
      <w:r w:rsidR="00BC5E3B" w:rsidRPr="00C77927">
        <w:t xml:space="preserve">These </w:t>
      </w:r>
      <w:r w:rsidR="002800D8">
        <w:t>nine</w:t>
      </w:r>
      <w:r w:rsidR="00BC5E3B" w:rsidRPr="00C77927">
        <w:t xml:space="preserve"> companies and the </w:t>
      </w:r>
      <w:r w:rsidR="00C226BB" w:rsidRPr="00C77927">
        <w:t xml:space="preserve">subparts </w:t>
      </w:r>
      <w:r w:rsidR="007C55B6" w:rsidRPr="00C77927">
        <w:t>for which their facilities report</w:t>
      </w:r>
      <w:r w:rsidR="00BC5E3B" w:rsidRPr="00C77927">
        <w:t xml:space="preserve"> are s</w:t>
      </w:r>
      <w:r w:rsidR="00C226BB" w:rsidRPr="00C77927">
        <w:t>hown</w:t>
      </w:r>
      <w:r w:rsidR="00BC5E3B" w:rsidRPr="00C77927">
        <w:t xml:space="preserve"> in Exhibit 3.1.</w:t>
      </w:r>
    </w:p>
    <w:p w14:paraId="162359F7" w14:textId="7F98C10E" w:rsidR="00BC5E3B" w:rsidRPr="00C77927" w:rsidRDefault="00BC5E3B" w:rsidP="00BC5E3B">
      <w:pPr>
        <w:ind w:firstLine="720"/>
      </w:pPr>
    </w:p>
    <w:p w14:paraId="3E70C2AD" w14:textId="4DEE67BD" w:rsidR="00BC5E3B" w:rsidRPr="00C77927" w:rsidRDefault="00BC5E3B" w:rsidP="00AF7429">
      <w:pPr>
        <w:pStyle w:val="ExhibitTitle"/>
        <w:rPr>
          <w:rFonts w:ascii="Times New Roman" w:hAnsi="Times New Roman" w:cs="Times New Roman"/>
        </w:rPr>
      </w:pPr>
      <w:r w:rsidRPr="00C77927">
        <w:rPr>
          <w:rFonts w:ascii="Times New Roman" w:hAnsi="Times New Roman" w:cs="Times New Roman"/>
        </w:rPr>
        <w:t>Exhibit 3.1 Consultations</w:t>
      </w:r>
    </w:p>
    <w:p w14:paraId="06E944A9" w14:textId="4E0E922E" w:rsidR="00BC5E3B" w:rsidRPr="00C77927" w:rsidRDefault="00BC5E3B" w:rsidP="00BC5E3B">
      <w:pPr>
        <w:rPr>
          <w:lang w:eastAsia="x-none"/>
        </w:rPr>
      </w:pPr>
    </w:p>
    <w:tbl>
      <w:tblPr>
        <w:tblStyle w:val="TableGrid"/>
        <w:tblW w:w="3333" w:type="pct"/>
        <w:tblLook w:val="04A0" w:firstRow="1" w:lastRow="0" w:firstColumn="1" w:lastColumn="0" w:noHBand="0" w:noVBand="1"/>
      </w:tblPr>
      <w:tblGrid>
        <w:gridCol w:w="3191"/>
        <w:gridCol w:w="3192"/>
      </w:tblGrid>
      <w:tr w:rsidR="00C226BB" w:rsidRPr="00C77927" w14:paraId="69DD32BB" w14:textId="3CC3A826" w:rsidTr="40A1D01C">
        <w:tc>
          <w:tcPr>
            <w:tcW w:w="2500" w:type="pct"/>
          </w:tcPr>
          <w:p w14:paraId="3DFBCAC1" w14:textId="581BA223" w:rsidR="00C226BB" w:rsidRPr="008F7D63" w:rsidRDefault="00C226BB" w:rsidP="008F7D63">
            <w:pPr>
              <w:jc w:val="center"/>
              <w:rPr>
                <w:sz w:val="20"/>
                <w:szCs w:val="20"/>
              </w:rPr>
            </w:pPr>
            <w:r w:rsidRPr="008F7D63">
              <w:rPr>
                <w:b/>
                <w:sz w:val="20"/>
                <w:szCs w:val="20"/>
              </w:rPr>
              <w:t>Parent Company</w:t>
            </w:r>
          </w:p>
        </w:tc>
        <w:tc>
          <w:tcPr>
            <w:tcW w:w="2500" w:type="pct"/>
          </w:tcPr>
          <w:p w14:paraId="7F9E3343" w14:textId="312A635E" w:rsidR="00C226BB" w:rsidRPr="008F7D63" w:rsidRDefault="00C226BB" w:rsidP="008F7D63">
            <w:pPr>
              <w:jc w:val="center"/>
              <w:rPr>
                <w:sz w:val="20"/>
                <w:szCs w:val="20"/>
              </w:rPr>
            </w:pPr>
            <w:r w:rsidRPr="008F7D63">
              <w:rPr>
                <w:b/>
                <w:sz w:val="20"/>
                <w:szCs w:val="20"/>
              </w:rPr>
              <w:t>Applicable Subparts</w:t>
            </w:r>
            <w:r w:rsidR="005B515A">
              <w:rPr>
                <w:b/>
                <w:sz w:val="20"/>
                <w:szCs w:val="20"/>
              </w:rPr>
              <w:t>*</w:t>
            </w:r>
          </w:p>
        </w:tc>
      </w:tr>
      <w:tr w:rsidR="00C226BB" w:rsidRPr="00C77927" w14:paraId="674FF9C4" w14:textId="4F303EE6" w:rsidTr="40A1D01C">
        <w:tc>
          <w:tcPr>
            <w:tcW w:w="2500" w:type="pct"/>
          </w:tcPr>
          <w:p w14:paraId="65F017DB" w14:textId="06D0E63D" w:rsidR="00C226BB" w:rsidRPr="008F7D63" w:rsidRDefault="002800D8" w:rsidP="008F7D63">
            <w:pPr>
              <w:rPr>
                <w:sz w:val="20"/>
                <w:szCs w:val="20"/>
              </w:rPr>
            </w:pPr>
            <w:r w:rsidRPr="008F7D63">
              <w:rPr>
                <w:sz w:val="20"/>
                <w:szCs w:val="20"/>
              </w:rPr>
              <w:t>Dow Texas Operations Freeport</w:t>
            </w:r>
          </w:p>
        </w:tc>
        <w:tc>
          <w:tcPr>
            <w:tcW w:w="2500" w:type="pct"/>
          </w:tcPr>
          <w:p w14:paraId="46D02A4A" w14:textId="171D64E4" w:rsidR="00C226BB" w:rsidRPr="008F7D63" w:rsidRDefault="00C226BB" w:rsidP="008F7D63">
            <w:pPr>
              <w:rPr>
                <w:sz w:val="20"/>
                <w:szCs w:val="20"/>
              </w:rPr>
            </w:pPr>
            <w:r w:rsidRPr="008F7D63">
              <w:rPr>
                <w:sz w:val="20"/>
                <w:szCs w:val="20"/>
              </w:rPr>
              <w:t xml:space="preserve">C, </w:t>
            </w:r>
            <w:r w:rsidR="002800D8" w:rsidRPr="008F7D63">
              <w:rPr>
                <w:sz w:val="20"/>
                <w:szCs w:val="20"/>
              </w:rPr>
              <w:t>W, X, DD, TT</w:t>
            </w:r>
          </w:p>
        </w:tc>
      </w:tr>
      <w:tr w:rsidR="00C226BB" w:rsidRPr="00C77927" w14:paraId="56E0F96C" w14:textId="7726934E" w:rsidTr="40A1D01C">
        <w:tc>
          <w:tcPr>
            <w:tcW w:w="2500" w:type="pct"/>
          </w:tcPr>
          <w:p w14:paraId="5B2B1D29" w14:textId="5DB4312E" w:rsidR="00C226BB" w:rsidRPr="008F7D63" w:rsidRDefault="00DA6CD7" w:rsidP="008F7D63">
            <w:pPr>
              <w:rPr>
                <w:sz w:val="20"/>
                <w:szCs w:val="20"/>
              </w:rPr>
            </w:pPr>
            <w:r w:rsidRPr="008F7D63">
              <w:rPr>
                <w:sz w:val="20"/>
                <w:szCs w:val="20"/>
              </w:rPr>
              <w:t>Dominion Energy</w:t>
            </w:r>
          </w:p>
        </w:tc>
        <w:tc>
          <w:tcPr>
            <w:tcW w:w="2500" w:type="pct"/>
          </w:tcPr>
          <w:p w14:paraId="200A8EA1" w14:textId="64CF8DF2" w:rsidR="00C226BB" w:rsidRPr="008F7D63" w:rsidRDefault="00C226BB" w:rsidP="008F7D63">
            <w:pPr>
              <w:rPr>
                <w:sz w:val="20"/>
                <w:szCs w:val="20"/>
              </w:rPr>
            </w:pPr>
            <w:r w:rsidRPr="008F7D63">
              <w:rPr>
                <w:sz w:val="20"/>
                <w:szCs w:val="20"/>
              </w:rPr>
              <w:t xml:space="preserve">C, </w:t>
            </w:r>
            <w:r w:rsidR="00DA6CD7" w:rsidRPr="008F7D63">
              <w:rPr>
                <w:sz w:val="20"/>
                <w:szCs w:val="20"/>
              </w:rPr>
              <w:t>W, NN</w:t>
            </w:r>
          </w:p>
        </w:tc>
      </w:tr>
      <w:tr w:rsidR="00C226BB" w:rsidRPr="00C77927" w14:paraId="64B82820" w14:textId="6CA9EF73" w:rsidTr="40A1D01C">
        <w:tc>
          <w:tcPr>
            <w:tcW w:w="2500" w:type="pct"/>
          </w:tcPr>
          <w:p w14:paraId="79537E64" w14:textId="4C756489" w:rsidR="00C226BB" w:rsidRPr="008F7D63" w:rsidRDefault="002800D8" w:rsidP="008F7D63">
            <w:pPr>
              <w:rPr>
                <w:sz w:val="20"/>
                <w:szCs w:val="20"/>
              </w:rPr>
            </w:pPr>
            <w:r w:rsidRPr="008F7D63">
              <w:rPr>
                <w:sz w:val="20"/>
                <w:szCs w:val="20"/>
              </w:rPr>
              <w:t xml:space="preserve">Standard Steel </w:t>
            </w:r>
          </w:p>
        </w:tc>
        <w:tc>
          <w:tcPr>
            <w:tcW w:w="2500" w:type="pct"/>
          </w:tcPr>
          <w:p w14:paraId="1324B712" w14:textId="5ED07415" w:rsidR="00C226BB" w:rsidRPr="008F7D63" w:rsidRDefault="00C226BB" w:rsidP="008F7D63">
            <w:pPr>
              <w:rPr>
                <w:sz w:val="20"/>
                <w:szCs w:val="20"/>
              </w:rPr>
            </w:pPr>
            <w:r w:rsidRPr="008F7D63">
              <w:rPr>
                <w:sz w:val="20"/>
                <w:szCs w:val="20"/>
              </w:rPr>
              <w:t xml:space="preserve">C, </w:t>
            </w:r>
            <w:r w:rsidR="002800D8" w:rsidRPr="008F7D63">
              <w:rPr>
                <w:sz w:val="20"/>
                <w:szCs w:val="20"/>
              </w:rPr>
              <w:t>Q</w:t>
            </w:r>
          </w:p>
        </w:tc>
      </w:tr>
      <w:tr w:rsidR="00C226BB" w:rsidRPr="00C77927" w14:paraId="000184A1" w14:textId="65E806B0" w:rsidTr="40A1D01C">
        <w:tc>
          <w:tcPr>
            <w:tcW w:w="2500" w:type="pct"/>
          </w:tcPr>
          <w:p w14:paraId="18F7324B" w14:textId="0740226C" w:rsidR="00C226BB" w:rsidRPr="008F7D63" w:rsidRDefault="00C226BB" w:rsidP="008F7D63">
            <w:pPr>
              <w:rPr>
                <w:sz w:val="20"/>
                <w:szCs w:val="20"/>
              </w:rPr>
            </w:pPr>
            <w:r w:rsidRPr="008F7D63">
              <w:rPr>
                <w:sz w:val="20"/>
                <w:szCs w:val="20"/>
              </w:rPr>
              <w:t>Waste Management</w:t>
            </w:r>
          </w:p>
        </w:tc>
        <w:tc>
          <w:tcPr>
            <w:tcW w:w="2500" w:type="pct"/>
          </w:tcPr>
          <w:p w14:paraId="5E512FA0" w14:textId="24B59A2A" w:rsidR="00C226BB" w:rsidRPr="008F7D63" w:rsidRDefault="00C226BB" w:rsidP="008F7D63">
            <w:pPr>
              <w:rPr>
                <w:sz w:val="20"/>
                <w:szCs w:val="20"/>
              </w:rPr>
            </w:pPr>
            <w:r w:rsidRPr="008F7D63">
              <w:rPr>
                <w:sz w:val="20"/>
                <w:szCs w:val="20"/>
              </w:rPr>
              <w:t>C, HH</w:t>
            </w:r>
          </w:p>
        </w:tc>
      </w:tr>
      <w:tr w:rsidR="00C226BB" w:rsidRPr="00C77927" w14:paraId="2410B4EA" w14:textId="42B276A4" w:rsidTr="40A1D01C">
        <w:tc>
          <w:tcPr>
            <w:tcW w:w="2500" w:type="pct"/>
          </w:tcPr>
          <w:p w14:paraId="3B43277B" w14:textId="7E0223D7" w:rsidR="00C226BB" w:rsidRPr="008F7D63" w:rsidRDefault="00DA6CD7" w:rsidP="008F7D63">
            <w:pPr>
              <w:rPr>
                <w:sz w:val="20"/>
                <w:szCs w:val="20"/>
              </w:rPr>
            </w:pPr>
            <w:r w:rsidRPr="008F7D63">
              <w:rPr>
                <w:sz w:val="20"/>
                <w:szCs w:val="20"/>
              </w:rPr>
              <w:t>G &amp; W Electric Company</w:t>
            </w:r>
          </w:p>
        </w:tc>
        <w:tc>
          <w:tcPr>
            <w:tcW w:w="2500" w:type="pct"/>
          </w:tcPr>
          <w:p w14:paraId="1A4E70E7" w14:textId="3325E39F" w:rsidR="00C226BB" w:rsidRPr="008F7D63" w:rsidRDefault="00DA6CD7" w:rsidP="008F7D63">
            <w:pPr>
              <w:rPr>
                <w:sz w:val="20"/>
                <w:szCs w:val="20"/>
              </w:rPr>
            </w:pPr>
            <w:r w:rsidRPr="008F7D63">
              <w:rPr>
                <w:sz w:val="20"/>
                <w:szCs w:val="20"/>
              </w:rPr>
              <w:t>SS</w:t>
            </w:r>
          </w:p>
        </w:tc>
      </w:tr>
      <w:tr w:rsidR="00C226BB" w:rsidRPr="00C77927" w14:paraId="01C90C1F" w14:textId="03AC5AC0" w:rsidTr="40A1D01C">
        <w:tc>
          <w:tcPr>
            <w:tcW w:w="2500" w:type="pct"/>
          </w:tcPr>
          <w:p w14:paraId="7420EAEC" w14:textId="2C31DB4C" w:rsidR="00C226BB" w:rsidRPr="008F7D63" w:rsidRDefault="00C226BB" w:rsidP="008F7D63">
            <w:pPr>
              <w:rPr>
                <w:sz w:val="20"/>
                <w:szCs w:val="20"/>
              </w:rPr>
            </w:pPr>
            <w:r w:rsidRPr="008F7D63">
              <w:rPr>
                <w:sz w:val="20"/>
                <w:szCs w:val="20"/>
              </w:rPr>
              <w:t>CF Industries</w:t>
            </w:r>
          </w:p>
        </w:tc>
        <w:tc>
          <w:tcPr>
            <w:tcW w:w="2500" w:type="pct"/>
          </w:tcPr>
          <w:p w14:paraId="2DE15D3E" w14:textId="4F9A0F9F" w:rsidR="00C226BB" w:rsidRPr="008F7D63" w:rsidRDefault="00C226BB" w:rsidP="008F7D63">
            <w:pPr>
              <w:rPr>
                <w:sz w:val="20"/>
                <w:szCs w:val="20"/>
              </w:rPr>
            </w:pPr>
            <w:r w:rsidRPr="008F7D63">
              <w:rPr>
                <w:sz w:val="20"/>
                <w:szCs w:val="20"/>
              </w:rPr>
              <w:t>C, G, V</w:t>
            </w:r>
          </w:p>
        </w:tc>
      </w:tr>
      <w:tr w:rsidR="00C226BB" w:rsidRPr="00C77927" w14:paraId="15E9F8CF" w14:textId="0E93E695" w:rsidTr="40A1D01C">
        <w:tc>
          <w:tcPr>
            <w:tcW w:w="2500" w:type="pct"/>
          </w:tcPr>
          <w:p w14:paraId="3D598773" w14:textId="0CC3C1C6" w:rsidR="00C226BB" w:rsidRPr="008F7D63" w:rsidRDefault="00DA6CD7" w:rsidP="008F7D63">
            <w:pPr>
              <w:rPr>
                <w:sz w:val="20"/>
                <w:szCs w:val="20"/>
              </w:rPr>
            </w:pPr>
            <w:r w:rsidRPr="008F7D63">
              <w:rPr>
                <w:sz w:val="20"/>
                <w:szCs w:val="20"/>
              </w:rPr>
              <w:t>Southern California Edison</w:t>
            </w:r>
          </w:p>
        </w:tc>
        <w:tc>
          <w:tcPr>
            <w:tcW w:w="2500" w:type="pct"/>
          </w:tcPr>
          <w:p w14:paraId="2EAE24D0" w14:textId="29D3FEC2" w:rsidR="00C226BB" w:rsidRPr="008F7D63" w:rsidRDefault="00DA6CD7" w:rsidP="008F7D63">
            <w:pPr>
              <w:rPr>
                <w:sz w:val="20"/>
                <w:szCs w:val="20"/>
              </w:rPr>
            </w:pPr>
            <w:r w:rsidRPr="008F7D63">
              <w:rPr>
                <w:sz w:val="20"/>
                <w:szCs w:val="20"/>
              </w:rPr>
              <w:t>DD</w:t>
            </w:r>
          </w:p>
        </w:tc>
      </w:tr>
      <w:tr w:rsidR="00DA6CD7" w:rsidRPr="00C77927" w14:paraId="5A892F86" w14:textId="77777777" w:rsidTr="40A1D01C">
        <w:tc>
          <w:tcPr>
            <w:tcW w:w="2500" w:type="pct"/>
          </w:tcPr>
          <w:p w14:paraId="5C1F0788" w14:textId="40E12243" w:rsidR="00DA6CD7" w:rsidRPr="008F7D63" w:rsidDel="00DA6CD7" w:rsidRDefault="00DA6CD7" w:rsidP="008F7D63">
            <w:pPr>
              <w:rPr>
                <w:sz w:val="20"/>
                <w:szCs w:val="20"/>
              </w:rPr>
            </w:pPr>
            <w:r w:rsidRPr="008F7D63">
              <w:rPr>
                <w:sz w:val="20"/>
                <w:szCs w:val="20"/>
              </w:rPr>
              <w:t>Texas Instruments</w:t>
            </w:r>
          </w:p>
        </w:tc>
        <w:tc>
          <w:tcPr>
            <w:tcW w:w="2500" w:type="pct"/>
          </w:tcPr>
          <w:p w14:paraId="2D70C6D9" w14:textId="0B5FBE19" w:rsidR="00DA6CD7" w:rsidRPr="008F7D63" w:rsidRDefault="00DA6CD7" w:rsidP="008F7D63">
            <w:pPr>
              <w:rPr>
                <w:sz w:val="20"/>
                <w:szCs w:val="20"/>
              </w:rPr>
            </w:pPr>
            <w:r w:rsidRPr="008F7D63">
              <w:rPr>
                <w:sz w:val="20"/>
                <w:szCs w:val="20"/>
              </w:rPr>
              <w:t>C, I</w:t>
            </w:r>
          </w:p>
        </w:tc>
      </w:tr>
      <w:tr w:rsidR="00DA6CD7" w:rsidRPr="00C77927" w14:paraId="484A95A2" w14:textId="77777777" w:rsidTr="40A1D01C">
        <w:tc>
          <w:tcPr>
            <w:tcW w:w="2500" w:type="pct"/>
          </w:tcPr>
          <w:p w14:paraId="1D903C16" w14:textId="4D06D96F" w:rsidR="00DA6CD7" w:rsidRPr="008F7D63" w:rsidDel="00DA6CD7" w:rsidRDefault="00DA6CD7" w:rsidP="008F7D63">
            <w:pPr>
              <w:rPr>
                <w:sz w:val="20"/>
                <w:szCs w:val="20"/>
              </w:rPr>
            </w:pPr>
            <w:r w:rsidRPr="008F7D63">
              <w:rPr>
                <w:sz w:val="20"/>
                <w:szCs w:val="20"/>
              </w:rPr>
              <w:t>Nova Chemicals Olefins</w:t>
            </w:r>
          </w:p>
        </w:tc>
        <w:tc>
          <w:tcPr>
            <w:tcW w:w="2500" w:type="pct"/>
          </w:tcPr>
          <w:p w14:paraId="415DD895" w14:textId="7B264924" w:rsidR="00DA6CD7" w:rsidRPr="008F7D63" w:rsidRDefault="00DA6CD7" w:rsidP="008F7D63">
            <w:pPr>
              <w:rPr>
                <w:sz w:val="20"/>
                <w:szCs w:val="20"/>
              </w:rPr>
            </w:pPr>
            <w:r w:rsidRPr="008F7D63">
              <w:rPr>
                <w:sz w:val="20"/>
                <w:szCs w:val="20"/>
              </w:rPr>
              <w:t>C, X</w:t>
            </w:r>
          </w:p>
        </w:tc>
      </w:tr>
    </w:tbl>
    <w:p w14:paraId="690D5E8C" w14:textId="77777777" w:rsidR="007E6D4D" w:rsidRPr="00286125" w:rsidRDefault="007E6D4D" w:rsidP="007E6D4D">
      <w:pPr>
        <w:rPr>
          <w:sz w:val="18"/>
          <w:szCs w:val="20"/>
          <w:lang w:eastAsia="x-none"/>
        </w:rPr>
      </w:pPr>
      <w:r w:rsidRPr="00286125">
        <w:rPr>
          <w:sz w:val="18"/>
          <w:szCs w:val="20"/>
          <w:lang w:eastAsia="x-none"/>
        </w:rPr>
        <w:t>*Subpart C – General Stationary Fuel Combustion Sources</w:t>
      </w:r>
    </w:p>
    <w:p w14:paraId="40F12329" w14:textId="77777777" w:rsidR="007E6D4D" w:rsidRPr="00286125" w:rsidRDefault="007E6D4D" w:rsidP="007E6D4D">
      <w:pPr>
        <w:rPr>
          <w:sz w:val="18"/>
          <w:szCs w:val="20"/>
          <w:lang w:eastAsia="x-none"/>
        </w:rPr>
      </w:pPr>
      <w:r w:rsidRPr="00286125">
        <w:rPr>
          <w:sz w:val="18"/>
          <w:szCs w:val="20"/>
          <w:lang w:eastAsia="x-none"/>
        </w:rPr>
        <w:t xml:space="preserve">  Subpart G – Ammonia Manufacturing</w:t>
      </w:r>
    </w:p>
    <w:p w14:paraId="7DDEB0DC" w14:textId="77777777" w:rsidR="007E6D4D" w:rsidRPr="00286125" w:rsidRDefault="007E6D4D" w:rsidP="007E6D4D">
      <w:pPr>
        <w:rPr>
          <w:sz w:val="18"/>
          <w:szCs w:val="20"/>
          <w:lang w:eastAsia="x-none"/>
        </w:rPr>
      </w:pPr>
      <w:r w:rsidRPr="00286125">
        <w:rPr>
          <w:sz w:val="18"/>
          <w:szCs w:val="20"/>
          <w:lang w:eastAsia="x-none"/>
        </w:rPr>
        <w:t xml:space="preserve">  Subpart I – Electronics Manufacturing</w:t>
      </w:r>
    </w:p>
    <w:p w14:paraId="6333E760" w14:textId="77777777" w:rsidR="007E6D4D" w:rsidRPr="00286125" w:rsidRDefault="007E6D4D" w:rsidP="007E6D4D">
      <w:pPr>
        <w:rPr>
          <w:sz w:val="18"/>
          <w:szCs w:val="20"/>
          <w:lang w:eastAsia="x-none"/>
        </w:rPr>
      </w:pPr>
      <w:r w:rsidRPr="00286125">
        <w:rPr>
          <w:sz w:val="18"/>
          <w:szCs w:val="20"/>
          <w:lang w:eastAsia="x-none"/>
        </w:rPr>
        <w:t xml:space="preserve">  Subpart Q – Iron and Steel Production</w:t>
      </w:r>
    </w:p>
    <w:p w14:paraId="594026AA" w14:textId="77777777" w:rsidR="007E6D4D" w:rsidRPr="00286125" w:rsidRDefault="007E6D4D" w:rsidP="007E6D4D">
      <w:pPr>
        <w:rPr>
          <w:sz w:val="18"/>
          <w:szCs w:val="20"/>
          <w:lang w:eastAsia="x-none"/>
        </w:rPr>
      </w:pPr>
      <w:r w:rsidRPr="00286125">
        <w:rPr>
          <w:sz w:val="18"/>
          <w:szCs w:val="20"/>
          <w:lang w:eastAsia="x-none"/>
        </w:rPr>
        <w:t xml:space="preserve">  Subpart V – Nitric Acid Production</w:t>
      </w:r>
    </w:p>
    <w:p w14:paraId="0D182AF7" w14:textId="77777777" w:rsidR="007E6D4D" w:rsidRPr="00286125" w:rsidRDefault="007E6D4D" w:rsidP="007E6D4D">
      <w:pPr>
        <w:rPr>
          <w:sz w:val="18"/>
          <w:szCs w:val="20"/>
          <w:lang w:eastAsia="x-none"/>
        </w:rPr>
      </w:pPr>
      <w:r w:rsidRPr="00286125">
        <w:rPr>
          <w:sz w:val="18"/>
          <w:szCs w:val="20"/>
          <w:lang w:eastAsia="x-none"/>
        </w:rPr>
        <w:t xml:space="preserve">  Subpart W – Petroleum and Natural Gas Systems</w:t>
      </w:r>
    </w:p>
    <w:p w14:paraId="73350C16" w14:textId="77777777" w:rsidR="007E6D4D" w:rsidRPr="00286125" w:rsidRDefault="007E6D4D" w:rsidP="007E6D4D">
      <w:pPr>
        <w:rPr>
          <w:sz w:val="18"/>
          <w:szCs w:val="20"/>
          <w:lang w:eastAsia="x-none"/>
        </w:rPr>
      </w:pPr>
      <w:r w:rsidRPr="00286125">
        <w:rPr>
          <w:sz w:val="18"/>
          <w:szCs w:val="20"/>
          <w:lang w:eastAsia="x-none"/>
        </w:rPr>
        <w:t xml:space="preserve">  Subpart X – Petrochemical Production</w:t>
      </w:r>
    </w:p>
    <w:p w14:paraId="551D9756" w14:textId="77777777" w:rsidR="007E6D4D" w:rsidRPr="00286125" w:rsidRDefault="007E6D4D" w:rsidP="007E6D4D">
      <w:pPr>
        <w:rPr>
          <w:sz w:val="18"/>
          <w:szCs w:val="20"/>
          <w:lang w:eastAsia="x-none"/>
        </w:rPr>
      </w:pPr>
      <w:r w:rsidRPr="00286125">
        <w:rPr>
          <w:sz w:val="18"/>
          <w:szCs w:val="20"/>
          <w:lang w:eastAsia="x-none"/>
        </w:rPr>
        <w:t xml:space="preserve">  Subpart DD – Electrical Transmission and Distribution Equipment Use</w:t>
      </w:r>
    </w:p>
    <w:p w14:paraId="6B439515" w14:textId="77777777" w:rsidR="007E6D4D" w:rsidRPr="00286125" w:rsidRDefault="007E6D4D" w:rsidP="007E6D4D">
      <w:pPr>
        <w:rPr>
          <w:sz w:val="18"/>
          <w:szCs w:val="20"/>
          <w:lang w:eastAsia="x-none"/>
        </w:rPr>
      </w:pPr>
      <w:r w:rsidRPr="00286125">
        <w:rPr>
          <w:sz w:val="18"/>
          <w:szCs w:val="20"/>
          <w:lang w:eastAsia="x-none"/>
        </w:rPr>
        <w:t xml:space="preserve">  Subpart HH – Municipal Solid Waste Landfills</w:t>
      </w:r>
    </w:p>
    <w:p w14:paraId="1ABB347A" w14:textId="77777777" w:rsidR="007E6D4D" w:rsidRPr="00286125" w:rsidRDefault="007E6D4D" w:rsidP="007E6D4D">
      <w:pPr>
        <w:rPr>
          <w:sz w:val="18"/>
          <w:szCs w:val="20"/>
          <w:lang w:eastAsia="x-none"/>
        </w:rPr>
      </w:pPr>
      <w:r w:rsidRPr="00286125">
        <w:rPr>
          <w:sz w:val="18"/>
          <w:szCs w:val="20"/>
          <w:lang w:eastAsia="x-none"/>
        </w:rPr>
        <w:t xml:space="preserve">  Subpart NN – Suppliers of Natural Gas and Natural Gas Liquids</w:t>
      </w:r>
    </w:p>
    <w:p w14:paraId="1AD8EAE3" w14:textId="77777777" w:rsidR="007E6D4D" w:rsidRPr="00286125" w:rsidRDefault="007E6D4D" w:rsidP="007E6D4D">
      <w:pPr>
        <w:rPr>
          <w:sz w:val="18"/>
          <w:szCs w:val="20"/>
          <w:lang w:eastAsia="x-none"/>
        </w:rPr>
      </w:pPr>
      <w:r w:rsidRPr="00286125">
        <w:rPr>
          <w:sz w:val="18"/>
          <w:szCs w:val="20"/>
          <w:lang w:eastAsia="x-none"/>
        </w:rPr>
        <w:t xml:space="preserve">  Subpart SS – Electrical Equipment Manufacture or Refurbishment</w:t>
      </w:r>
    </w:p>
    <w:p w14:paraId="0EB7D3A5" w14:textId="77777777" w:rsidR="007E6D4D" w:rsidRPr="00286125" w:rsidRDefault="007E6D4D" w:rsidP="003E1DFA">
      <w:pPr>
        <w:rPr>
          <w:sz w:val="22"/>
        </w:rPr>
      </w:pPr>
      <w:r w:rsidRPr="00286125">
        <w:rPr>
          <w:sz w:val="22"/>
        </w:rPr>
        <w:t xml:space="preserve">  </w:t>
      </w:r>
      <w:r w:rsidRPr="00286125">
        <w:rPr>
          <w:sz w:val="18"/>
          <w:szCs w:val="20"/>
          <w:lang w:eastAsia="x-none"/>
        </w:rPr>
        <w:t>Subpart TT – Industrial Waste Landfills</w:t>
      </w:r>
    </w:p>
    <w:p w14:paraId="56BD6678" w14:textId="77777777" w:rsidR="002E08D3" w:rsidRDefault="002E08D3" w:rsidP="00FD0BF8"/>
    <w:p w14:paraId="2F6079BC" w14:textId="6CB40CFE" w:rsidR="00FD4D55" w:rsidRDefault="00B408BD" w:rsidP="00FD4D55">
      <w:pPr>
        <w:ind w:firstLine="720"/>
      </w:pPr>
      <w:r>
        <w:t>As a result of the consultatio</w:t>
      </w:r>
      <w:r w:rsidR="00C21B44">
        <w:t xml:space="preserve">ns, </w:t>
      </w:r>
      <w:r w:rsidR="008E32A3" w:rsidRPr="00C77927">
        <w:t xml:space="preserve">EPA received </w:t>
      </w:r>
      <w:r w:rsidR="00967A82">
        <w:t xml:space="preserve">a </w:t>
      </w:r>
      <w:r w:rsidR="00D23D17">
        <w:t>comment</w:t>
      </w:r>
      <w:r w:rsidR="00F31A6E">
        <w:t xml:space="preserve"> from Waste Management</w:t>
      </w:r>
      <w:r w:rsidR="00687B88">
        <w:t>.</w:t>
      </w:r>
      <w:r w:rsidR="009661CA">
        <w:t xml:space="preserve"> </w:t>
      </w:r>
      <w:r w:rsidR="00D635D7">
        <w:t>The</w:t>
      </w:r>
      <w:r w:rsidR="00687B88">
        <w:t xml:space="preserve"> comment</w:t>
      </w:r>
      <w:r w:rsidR="00341EEE">
        <w:t xml:space="preserve"> and the</w:t>
      </w:r>
      <w:r w:rsidR="00D635D7">
        <w:t xml:space="preserve"> </w:t>
      </w:r>
      <w:r w:rsidR="008E32A3">
        <w:t xml:space="preserve">EPA response can be found in the Response to Comment document which is available </w:t>
      </w:r>
      <w:r w:rsidR="008E32A3" w:rsidRPr="00C77927">
        <w:t xml:space="preserve">in the </w:t>
      </w:r>
      <w:r w:rsidR="008E32A3">
        <w:t>d</w:t>
      </w:r>
      <w:r w:rsidR="008E32A3" w:rsidRPr="00C77927">
        <w:t>ocket for this ICR (</w:t>
      </w:r>
      <w:r w:rsidR="008E32A3" w:rsidRPr="00134340">
        <w:t>Docket ID Number EPA-HQ-OAR-2019-0027</w:t>
      </w:r>
      <w:r w:rsidR="008E32A3" w:rsidRPr="00C77927">
        <w:t>).</w:t>
      </w:r>
    </w:p>
    <w:p w14:paraId="4105B580" w14:textId="77777777" w:rsidR="00FD4D55" w:rsidRDefault="00FD4D55" w:rsidP="00FD4D55">
      <w:pPr>
        <w:ind w:firstLine="720"/>
      </w:pPr>
    </w:p>
    <w:p w14:paraId="5E7377AC" w14:textId="77777777" w:rsidR="00FD4D55" w:rsidRDefault="008A715C" w:rsidP="00BE6B7A">
      <w:pPr>
        <w:pStyle w:val="Heading2"/>
      </w:pPr>
      <w:bookmarkStart w:id="18" w:name="_Toc10555979"/>
      <w:r w:rsidRPr="00C77927">
        <w:t>3</w:t>
      </w:r>
      <w:r w:rsidR="0046780F" w:rsidRPr="00C77927">
        <w:t xml:space="preserve">(d) </w:t>
      </w:r>
      <w:r w:rsidRPr="00C77927">
        <w:t>Effects of Less Frequent Collection</w:t>
      </w:r>
      <w:bookmarkEnd w:id="18"/>
    </w:p>
    <w:p w14:paraId="665EBA10" w14:textId="77777777" w:rsidR="00FD4D55" w:rsidRDefault="00FD4D55" w:rsidP="00FD4D55">
      <w:pPr>
        <w:ind w:firstLine="720"/>
      </w:pPr>
    </w:p>
    <w:p w14:paraId="4271EB6D" w14:textId="77777777" w:rsidR="00EA0C57" w:rsidRDefault="00974C60" w:rsidP="00EA0C57">
      <w:pPr>
        <w:ind w:firstLine="720"/>
        <w:rPr>
          <w:color w:val="212121"/>
          <w:sz w:val="22"/>
          <w:szCs w:val="22"/>
          <w:shd w:val="clear" w:color="auto" w:fill="FFFFFF"/>
        </w:rPr>
      </w:pPr>
      <w:r w:rsidRPr="00C77927">
        <w:t xml:space="preserve">Annual reporting of the data is necessary to ensure that the Agency’s objectives for the GHGRP are met. </w:t>
      </w:r>
      <w:r w:rsidR="00C137AF" w:rsidRPr="00C77927">
        <w:t>Annual reporting</w:t>
      </w:r>
      <w:r w:rsidR="003818C3" w:rsidRPr="00C77927">
        <w:t xml:space="preserve"> is critical for assessing year-</w:t>
      </w:r>
      <w:r w:rsidR="00C137AF" w:rsidRPr="00C77927">
        <w:t>to</w:t>
      </w:r>
      <w:r w:rsidR="003818C3" w:rsidRPr="00C77927">
        <w:t>-</w:t>
      </w:r>
      <w:r w:rsidR="00C137AF" w:rsidRPr="00C77927">
        <w:t>year varia</w:t>
      </w:r>
      <w:r w:rsidR="00106CA0" w:rsidRPr="00C77927">
        <w:t>tion</w:t>
      </w:r>
      <w:r w:rsidR="00C137AF" w:rsidRPr="00C77927">
        <w:t xml:space="preserve">s in emissions both at the facility and sector level. With less frequent reporting, the EPA would be unable to discern multi-year trends. As the Agency evaluates potential GHG emission reduction opportunities, it is critical to be able to analyze up-to-date, multi-year data for all sectors covered by the program. For example, GHGRP collects critical information necessary to evaluate potential GHG reduction approaches, such as number of </w:t>
      </w:r>
      <w:r w:rsidR="00921D5E" w:rsidRPr="00C77927">
        <w:t>facili</w:t>
      </w:r>
      <w:r w:rsidR="00991D5E" w:rsidRPr="00C77927">
        <w:t>ties</w:t>
      </w:r>
      <w:r w:rsidR="00A429CD" w:rsidRPr="00C77927">
        <w:t xml:space="preserve"> in a sector</w:t>
      </w:r>
      <w:r w:rsidR="00C137AF" w:rsidRPr="00C77927">
        <w:t xml:space="preserve">, production or capacity of </w:t>
      </w:r>
      <w:r w:rsidR="00921D5E" w:rsidRPr="00C77927">
        <w:t>each</w:t>
      </w:r>
      <w:r w:rsidR="00C137AF" w:rsidRPr="00C77927">
        <w:t xml:space="preserve"> facility, abatement technologies used</w:t>
      </w:r>
      <w:r w:rsidR="00921D5E" w:rsidRPr="00C77927">
        <w:t xml:space="preserve"> across a sector</w:t>
      </w:r>
      <w:r w:rsidR="00C137AF" w:rsidRPr="00C77927">
        <w:t xml:space="preserve">, number of </w:t>
      </w:r>
      <w:r w:rsidR="00921D5E" w:rsidRPr="00C77927">
        <w:t>facilities</w:t>
      </w:r>
      <w:r w:rsidR="00C137AF" w:rsidRPr="00C77927">
        <w:t xml:space="preserve"> using continuous emission monitoring systems,</w:t>
      </w:r>
      <w:r w:rsidR="00A429CD" w:rsidRPr="00C77927">
        <w:t xml:space="preserve"> and chemical-specific GHG emission information. </w:t>
      </w:r>
      <w:r w:rsidR="00B70FB8" w:rsidRPr="00C77927">
        <w:t xml:space="preserve">These data are essential for understanding the sources that would be impacted by potential regulations, emissions monitoring approaches and abatement technologies currently employed within a sector, and the general emissions profile of the industry. </w:t>
      </w:r>
      <w:r w:rsidR="00A8257F" w:rsidRPr="00C77927">
        <w:t>Furthermore, an annual collection frequency supports the critical linkage</w:t>
      </w:r>
      <w:r w:rsidR="00061E4A" w:rsidRPr="00C77927">
        <w:t xml:space="preserve"> </w:t>
      </w:r>
      <w:r w:rsidR="00F10F3C" w:rsidRPr="00C77927">
        <w:t>(</w:t>
      </w:r>
      <w:r w:rsidR="00AD475E" w:rsidRPr="00C77927">
        <w:t xml:space="preserve">described in section 2(b) </w:t>
      </w:r>
      <w:r w:rsidR="00F10F3C" w:rsidRPr="00C77927">
        <w:t xml:space="preserve">of this document) </w:t>
      </w:r>
      <w:r w:rsidR="00061E4A" w:rsidRPr="00C77927">
        <w:t xml:space="preserve">between the GHGRP </w:t>
      </w:r>
      <w:r w:rsidR="003733D0" w:rsidRPr="00C77927">
        <w:rPr>
          <w:shd w:val="clear" w:color="auto" w:fill="FFFFFF"/>
        </w:rPr>
        <w:t>and its data sharing with the Inventory, an annual reporting requirement of the U.S. Government and led by EPA to the United Nations Framework Convention on Climate Change</w:t>
      </w:r>
      <w:r w:rsidR="003733D0" w:rsidRPr="00BE6B7A">
        <w:rPr>
          <w:color w:val="212121"/>
          <w:sz w:val="22"/>
          <w:szCs w:val="22"/>
          <w:shd w:val="clear" w:color="auto" w:fill="FFFFFF"/>
        </w:rPr>
        <w:t>.</w:t>
      </w:r>
    </w:p>
    <w:p w14:paraId="6534C9C3" w14:textId="77777777" w:rsidR="00EA0C57" w:rsidRDefault="00EA0C57" w:rsidP="00EA0C57">
      <w:pPr>
        <w:ind w:firstLine="720"/>
        <w:rPr>
          <w:color w:val="212121"/>
          <w:sz w:val="22"/>
          <w:szCs w:val="22"/>
          <w:shd w:val="clear" w:color="auto" w:fill="FFFFFF"/>
        </w:rPr>
      </w:pPr>
    </w:p>
    <w:p w14:paraId="4AE6021A" w14:textId="27619243" w:rsidR="005352C8" w:rsidRPr="00C77927" w:rsidRDefault="00A8257F" w:rsidP="00EA0C57">
      <w:pPr>
        <w:ind w:firstLine="720"/>
      </w:pPr>
      <w:r w:rsidRPr="00C77927">
        <w:t>W</w:t>
      </w:r>
      <w:r w:rsidR="00974C60" w:rsidRPr="00C77927">
        <w:t xml:space="preserve">ith annual data, stakeholders can monitor changes in facility emissions over time with respect to comparable facilities in the industry. </w:t>
      </w:r>
      <w:r w:rsidR="005352C8" w:rsidRPr="00C77927">
        <w:t xml:space="preserve">Annual reporting also lines up with the reporting frequency of all existing State </w:t>
      </w:r>
      <w:r w:rsidR="00F6234C" w:rsidRPr="00C77927">
        <w:t xml:space="preserve">GHG reporting </w:t>
      </w:r>
      <w:r w:rsidR="005352C8" w:rsidRPr="00C77927">
        <w:t>programs</w:t>
      </w:r>
      <w:r w:rsidR="00F6234C" w:rsidRPr="00C77927">
        <w:t xml:space="preserve"> as well as other Agency and State programs that require reporting of environmental data</w:t>
      </w:r>
      <w:r w:rsidR="005352C8" w:rsidRPr="00C77927">
        <w:t>.</w:t>
      </w:r>
    </w:p>
    <w:p w14:paraId="45BEFB02" w14:textId="77777777" w:rsidR="002A455B" w:rsidRDefault="002A455B" w:rsidP="001E7723">
      <w:pPr>
        <w:keepNext/>
        <w:keepLines/>
        <w:ind w:firstLine="720"/>
      </w:pPr>
    </w:p>
    <w:p w14:paraId="695C7F6A" w14:textId="7F825334" w:rsidR="0067655A" w:rsidRPr="00C77927" w:rsidRDefault="005352C8" w:rsidP="001E7723">
      <w:pPr>
        <w:keepNext/>
        <w:keepLines/>
        <w:ind w:firstLine="720"/>
      </w:pPr>
      <w:r w:rsidRPr="00C77927">
        <w:t>The frequency with which f</w:t>
      </w:r>
      <w:r w:rsidR="00974C60" w:rsidRPr="00C77927">
        <w:t xml:space="preserve">acilities and suppliers </w:t>
      </w:r>
      <w:r w:rsidR="003818C3" w:rsidRPr="00C77927">
        <w:t>subject</w:t>
      </w:r>
      <w:r w:rsidRPr="00C77927">
        <w:t xml:space="preserve"> to</w:t>
      </w:r>
      <w:r w:rsidR="003818C3" w:rsidRPr="00C77927">
        <w:t xml:space="preserve"> the</w:t>
      </w:r>
      <w:r w:rsidRPr="00C77927">
        <w:t xml:space="preserve"> GHGRP monitor, sample, or measure data </w:t>
      </w:r>
      <w:r w:rsidR="00974C60" w:rsidRPr="00C77927">
        <w:t xml:space="preserve">varies </w:t>
      </w:r>
      <w:r w:rsidRPr="00C77927">
        <w:t xml:space="preserve">across the 41 subparts, </w:t>
      </w:r>
      <w:r w:rsidR="00974C60" w:rsidRPr="00C77927">
        <w:t xml:space="preserve">from weekly to </w:t>
      </w:r>
      <w:r w:rsidR="003818C3" w:rsidRPr="00C77927">
        <w:t>annually</w:t>
      </w:r>
      <w:r w:rsidR="00974C60" w:rsidRPr="00C77927">
        <w:t>.</w:t>
      </w:r>
      <w:r w:rsidRPr="00C77927">
        <w:t xml:space="preserve"> These collection frequencies are necessary to ensure adequate data quality</w:t>
      </w:r>
      <w:r w:rsidR="008A655B" w:rsidRPr="00C77927">
        <w:t xml:space="preserve"> and </w:t>
      </w:r>
      <w:r w:rsidR="00F6234C" w:rsidRPr="00C77927">
        <w:t>were designed to match the</w:t>
      </w:r>
      <w:r w:rsidR="008A655B" w:rsidRPr="00C77927">
        <w:t xml:space="preserve"> variability of activities conducted by </w:t>
      </w:r>
      <w:r w:rsidR="003818C3" w:rsidRPr="00C77927">
        <w:t>the</w:t>
      </w:r>
      <w:r w:rsidR="008A655B" w:rsidRPr="00C77927">
        <w:t xml:space="preserve"> source category.</w:t>
      </w:r>
    </w:p>
    <w:p w14:paraId="240FBB22" w14:textId="435BF540" w:rsidR="006C0125" w:rsidRPr="00C77927" w:rsidRDefault="006C0125" w:rsidP="001E7723">
      <w:pPr>
        <w:keepNext/>
        <w:keepLines/>
        <w:ind w:firstLine="720"/>
      </w:pPr>
    </w:p>
    <w:p w14:paraId="071E8419" w14:textId="484A69F4" w:rsidR="008A715C" w:rsidRPr="00C77927" w:rsidRDefault="0046780F" w:rsidP="008F7D63">
      <w:pPr>
        <w:pStyle w:val="Heading2"/>
        <w:spacing w:after="240"/>
      </w:pPr>
      <w:bookmarkStart w:id="19" w:name="_Toc10555980"/>
      <w:r w:rsidRPr="00C77927">
        <w:t xml:space="preserve">3(e) </w:t>
      </w:r>
      <w:r w:rsidR="008A715C" w:rsidRPr="00C77927">
        <w:t>General Guidelines</w:t>
      </w:r>
      <w:bookmarkEnd w:id="19"/>
    </w:p>
    <w:p w14:paraId="1EA13BE5" w14:textId="57501098" w:rsidR="002317E0" w:rsidRPr="00C77927" w:rsidRDefault="1994C961" w:rsidP="00D66C85">
      <w:pPr>
        <w:ind w:firstLine="720"/>
      </w:pPr>
      <w:r w:rsidRPr="00C77927">
        <w:t>Generally,</w:t>
      </w:r>
      <w:r w:rsidR="008211C5" w:rsidRPr="00C77927">
        <w:t xml:space="preserve"> </w:t>
      </w:r>
      <w:r w:rsidR="00DA6CD7">
        <w:t xml:space="preserve">the </w:t>
      </w:r>
      <w:r w:rsidR="008211C5" w:rsidRPr="00C77927">
        <w:t>GHGRP</w:t>
      </w:r>
      <w:r w:rsidR="00F13598" w:rsidRPr="00C77927">
        <w:t xml:space="preserve"> has a </w:t>
      </w:r>
      <w:r w:rsidR="000D35B6" w:rsidRPr="00C77927">
        <w:t>three</w:t>
      </w:r>
      <w:r w:rsidR="0023710D">
        <w:t>-</w:t>
      </w:r>
      <w:r w:rsidR="00F13598" w:rsidRPr="00C77927">
        <w:t>year requirement for record retention</w:t>
      </w:r>
      <w:r w:rsidR="00A6204F" w:rsidRPr="00C77927">
        <w:t xml:space="preserve"> consistent with</w:t>
      </w:r>
      <w:r w:rsidR="00F13598" w:rsidRPr="00C77927">
        <w:t xml:space="preserve"> </w:t>
      </w:r>
      <w:r w:rsidR="00F21345" w:rsidRPr="00C77927">
        <w:t xml:space="preserve">the </w:t>
      </w:r>
      <w:r w:rsidR="008211C5" w:rsidRPr="00C77927">
        <w:t>retention period specified in the general information collection guidelines in 5 CFR 1320.</w:t>
      </w:r>
      <w:r w:rsidR="002317E0" w:rsidRPr="00C77927">
        <w:t>5</w:t>
      </w:r>
      <w:r w:rsidR="008211C5" w:rsidRPr="00C77927">
        <w:t>(f) of the OMB regulations implementing the Paperwork Reduction Act</w:t>
      </w:r>
      <w:r w:rsidR="18BD9E83" w:rsidRPr="00C77927">
        <w:t>.</w:t>
      </w:r>
      <w:r w:rsidR="008211C5" w:rsidRPr="00C77927">
        <w:t xml:space="preserve"> </w:t>
      </w:r>
      <w:r w:rsidR="18BD9E83" w:rsidRPr="00C77927">
        <w:t xml:space="preserve">However, for 23 subparts, </w:t>
      </w:r>
      <w:r w:rsidR="39502E5C" w:rsidRPr="00C77927">
        <w:t>some data used to</w:t>
      </w:r>
      <w:r w:rsidR="18BD9E83" w:rsidRPr="00C77927">
        <w:t xml:space="preserve"> </w:t>
      </w:r>
      <w:r w:rsidR="39502E5C" w:rsidRPr="00C77927">
        <w:t xml:space="preserve">calculate GHG emissions, such as process or production data </w:t>
      </w:r>
      <w:r w:rsidR="54D09A59" w:rsidRPr="00C77927">
        <w:t>specific to eac</w:t>
      </w:r>
      <w:r w:rsidR="1A9F88A7" w:rsidRPr="00C77927">
        <w:t>h facility’s operation,</w:t>
      </w:r>
      <w:r w:rsidR="54D09A59" w:rsidRPr="00C77927">
        <w:t xml:space="preserve"> </w:t>
      </w:r>
      <w:r w:rsidR="1A9F88A7" w:rsidRPr="00C77927">
        <w:t>are not reported to EPA because of dis</w:t>
      </w:r>
      <w:r w:rsidR="4DEF6464" w:rsidRPr="00C77927">
        <w:t>closure concerns</w:t>
      </w:r>
      <w:r w:rsidR="1A9F88A7" w:rsidRPr="00C77927">
        <w:t xml:space="preserve"> </w:t>
      </w:r>
      <w:r w:rsidR="4DEF6464" w:rsidRPr="00C77927">
        <w:t>(79 FR 63750, October 24, 2014). Reporters inst</w:t>
      </w:r>
      <w:r w:rsidR="7B475B04" w:rsidRPr="00C77927">
        <w:t>ead enter those data into a web-based verification tool</w:t>
      </w:r>
      <w:r w:rsidR="4DEF6464" w:rsidRPr="00C77927">
        <w:t xml:space="preserve"> </w:t>
      </w:r>
      <w:r w:rsidR="04C2956E" w:rsidRPr="00C77927">
        <w:t>called Inputs Verification Tool (IVT) housed within e-GGRT. IVT does not retain the entere</w:t>
      </w:r>
      <w:r w:rsidR="7CBA1439" w:rsidRPr="00C77927">
        <w:t>d inputs;</w:t>
      </w:r>
      <w:r w:rsidR="04C2956E" w:rsidRPr="00C77927">
        <w:t xml:space="preserve"> </w:t>
      </w:r>
      <w:r w:rsidR="7CBA1439" w:rsidRPr="00C77927">
        <w:t xml:space="preserve">instead it calculates emissions using </w:t>
      </w:r>
      <w:r w:rsidR="56FE77F4" w:rsidRPr="00C77927">
        <w:t>“inputs to equations”</w:t>
      </w:r>
      <w:r w:rsidR="7CBA1439" w:rsidRPr="00C77927">
        <w:t xml:space="preserve"> </w:t>
      </w:r>
      <w:r w:rsidR="56FE77F4" w:rsidRPr="00C77927">
        <w:t xml:space="preserve">and conducts verification checks at the time of data entry. </w:t>
      </w:r>
      <w:r w:rsidR="7035CA27" w:rsidRPr="00C77927">
        <w:t>F</w:t>
      </w:r>
      <w:r w:rsidR="00A6204F" w:rsidRPr="00C77927">
        <w:t xml:space="preserve">acilities using </w:t>
      </w:r>
      <w:r w:rsidR="00E46BE1" w:rsidRPr="00C77927">
        <w:t>IVT</w:t>
      </w:r>
      <w:r w:rsidR="00C350BD" w:rsidRPr="00C77927">
        <w:t xml:space="preserve"> for any subpart</w:t>
      </w:r>
      <w:r w:rsidR="00A6204F" w:rsidRPr="00C77927">
        <w:t xml:space="preserve"> </w:t>
      </w:r>
      <w:r w:rsidR="00F21345" w:rsidRPr="00C77927">
        <w:t xml:space="preserve">are required to </w:t>
      </w:r>
      <w:r w:rsidR="00A6204F" w:rsidRPr="00C77927">
        <w:t>retain</w:t>
      </w:r>
      <w:r w:rsidR="008C1DD3" w:rsidRPr="00C77927">
        <w:t xml:space="preserve"> all</w:t>
      </w:r>
      <w:r w:rsidR="00A6204F" w:rsidRPr="00C77927">
        <w:t xml:space="preserve"> records for </w:t>
      </w:r>
      <w:r w:rsidR="00EE1CE1" w:rsidRPr="00C77927">
        <w:t>five</w:t>
      </w:r>
      <w:r w:rsidR="00A6204F" w:rsidRPr="00C77927">
        <w:t xml:space="preserve"> years</w:t>
      </w:r>
      <w:r w:rsidR="00F21345" w:rsidRPr="00C77927">
        <w:t>.</w:t>
      </w:r>
    </w:p>
    <w:p w14:paraId="5788C17A" w14:textId="77777777" w:rsidR="002317E0" w:rsidRPr="00C77927" w:rsidRDefault="002317E0" w:rsidP="002317E0">
      <w:pPr>
        <w:ind w:firstLine="720"/>
      </w:pPr>
    </w:p>
    <w:p w14:paraId="576DED42" w14:textId="05919347" w:rsidR="00DC5FEF" w:rsidRPr="00C77927" w:rsidRDefault="002317E0" w:rsidP="00A81259">
      <w:pPr>
        <w:ind w:firstLine="720"/>
      </w:pPr>
      <w:r w:rsidRPr="00C77927">
        <w:t xml:space="preserve">The EPA has </w:t>
      </w:r>
      <w:r w:rsidR="00DC5FEF" w:rsidRPr="00C77927">
        <w:t xml:space="preserve">determined that </w:t>
      </w:r>
      <w:r w:rsidR="00EE1CE1" w:rsidRPr="00C77927">
        <w:t>five</w:t>
      </w:r>
      <w:r w:rsidR="00DC5FEF" w:rsidRPr="00C77927">
        <w:t xml:space="preserve"> years is </w:t>
      </w:r>
      <w:r w:rsidRPr="00C77927">
        <w:t xml:space="preserve">a </w:t>
      </w:r>
      <w:r w:rsidR="00DC5FEF" w:rsidRPr="00C77927">
        <w:t>reasonable</w:t>
      </w:r>
      <w:r w:rsidRPr="00C77927">
        <w:t xml:space="preserve"> time period gi</w:t>
      </w:r>
      <w:r w:rsidR="00DC5FEF" w:rsidRPr="00C77927">
        <w:t>ven the large number of reporters</w:t>
      </w:r>
      <w:r w:rsidRPr="00C77927">
        <w:t xml:space="preserve"> </w:t>
      </w:r>
      <w:r w:rsidR="00DC5FEF" w:rsidRPr="00C77927">
        <w:t>and the likely increase in follow-up</w:t>
      </w:r>
      <w:r w:rsidRPr="00C77927">
        <w:t xml:space="preserve"> </w:t>
      </w:r>
      <w:r w:rsidR="00DC5FEF" w:rsidRPr="00C77927">
        <w:t>activities</w:t>
      </w:r>
      <w:r w:rsidRPr="00C77927">
        <w:t xml:space="preserve"> due to </w:t>
      </w:r>
      <w:r w:rsidR="00E46BE1" w:rsidRPr="00C77927">
        <w:t>IVT</w:t>
      </w:r>
      <w:r w:rsidR="00DC5FEF" w:rsidRPr="00C77927">
        <w:t xml:space="preserve">. It </w:t>
      </w:r>
      <w:r w:rsidRPr="00C77927">
        <w:t>is</w:t>
      </w:r>
      <w:r w:rsidR="00DC5FEF" w:rsidRPr="00C77927">
        <w:t xml:space="preserve"> important that</w:t>
      </w:r>
      <w:r w:rsidRPr="00C77927">
        <w:t xml:space="preserve"> </w:t>
      </w:r>
      <w:r w:rsidR="00DC5FEF" w:rsidRPr="00C77927">
        <w:t>relevant records are available to the EPA</w:t>
      </w:r>
      <w:r w:rsidRPr="00C77927">
        <w:t xml:space="preserve"> </w:t>
      </w:r>
      <w:r w:rsidR="00DC5FEF" w:rsidRPr="00C77927">
        <w:t>for follow-up activities with facilities,</w:t>
      </w:r>
      <w:r w:rsidRPr="00C77927">
        <w:t xml:space="preserve"> </w:t>
      </w:r>
      <w:r w:rsidR="00DC5FEF" w:rsidRPr="00C77927">
        <w:t>including on-site audits if necessary,</w:t>
      </w:r>
      <w:r w:rsidRPr="00C77927">
        <w:t xml:space="preserve"> </w:t>
      </w:r>
      <w:r w:rsidR="00DC5FEF" w:rsidRPr="00C77927">
        <w:t>regarding potential errors,</w:t>
      </w:r>
      <w:r w:rsidRPr="00C77927">
        <w:t xml:space="preserve"> </w:t>
      </w:r>
      <w:r w:rsidR="00DC5FEF" w:rsidRPr="00C77927">
        <w:t>discrepancies, or questions. Should an</w:t>
      </w:r>
      <w:r w:rsidRPr="00C77927">
        <w:t xml:space="preserve"> </w:t>
      </w:r>
      <w:r w:rsidR="00DC5FEF" w:rsidRPr="00C77927">
        <w:t xml:space="preserve">EPA inspector visit a facility, it </w:t>
      </w:r>
      <w:r w:rsidR="00E46BE1" w:rsidRPr="00C77927">
        <w:t>is</w:t>
      </w:r>
      <w:r w:rsidR="00DC5FEF" w:rsidRPr="00C77927">
        <w:t xml:space="preserve"> important to be able to examine not</w:t>
      </w:r>
      <w:r w:rsidRPr="00C77927">
        <w:t xml:space="preserve"> </w:t>
      </w:r>
      <w:r w:rsidR="00DC5FEF" w:rsidRPr="00C77927">
        <w:t>only the current year’s records but those</w:t>
      </w:r>
      <w:r w:rsidRPr="00C77927">
        <w:t xml:space="preserve"> </w:t>
      </w:r>
      <w:r w:rsidR="00DC5FEF" w:rsidRPr="00C77927">
        <w:t>from previous years as well</w:t>
      </w:r>
      <w:r w:rsidR="00E46BE1" w:rsidRPr="00C77927">
        <w:t xml:space="preserve">. Employing </w:t>
      </w:r>
      <w:r w:rsidR="00DC5FEF" w:rsidRPr="00C77927">
        <w:t>year-to-year comparisons are</w:t>
      </w:r>
      <w:r w:rsidRPr="00C77927">
        <w:t xml:space="preserve"> </w:t>
      </w:r>
      <w:r w:rsidR="00DC5FEF" w:rsidRPr="00C77927">
        <w:t>useful for verifying the current year’s</w:t>
      </w:r>
      <w:r w:rsidRPr="00C77927">
        <w:t xml:space="preserve"> </w:t>
      </w:r>
      <w:r w:rsidR="00DC5FEF" w:rsidRPr="00C77927">
        <w:t>data. A 5-year record retention period</w:t>
      </w:r>
      <w:r w:rsidRPr="00C77927">
        <w:t xml:space="preserve"> </w:t>
      </w:r>
      <w:r w:rsidR="00DC5FEF" w:rsidRPr="00C77927">
        <w:t>ensure</w:t>
      </w:r>
      <w:r w:rsidR="009405D1" w:rsidRPr="00C77927">
        <w:t>s</w:t>
      </w:r>
      <w:r w:rsidR="00DC5FEF" w:rsidRPr="00C77927">
        <w:t xml:space="preserve"> the availability of relevant</w:t>
      </w:r>
      <w:r w:rsidRPr="00C77927">
        <w:t xml:space="preserve"> </w:t>
      </w:r>
      <w:r w:rsidR="00DC5FEF" w:rsidRPr="00C77927">
        <w:t>records for the follow-up activities</w:t>
      </w:r>
      <w:r w:rsidRPr="00C77927">
        <w:t xml:space="preserve"> </w:t>
      </w:r>
      <w:r w:rsidR="00DC5FEF" w:rsidRPr="00C77927">
        <w:t>described above.</w:t>
      </w:r>
      <w:r w:rsidR="008C1DD3" w:rsidRPr="00C77927">
        <w:t xml:space="preserve"> EPA proposed the change from three to five years for record retention for some facilities through a rulemaking process and took all comments received into consideration upon promulgating the final action.</w:t>
      </w:r>
    </w:p>
    <w:p w14:paraId="2378339C" w14:textId="77777777" w:rsidR="008C1DD3" w:rsidRPr="00C77927" w:rsidRDefault="008C1DD3" w:rsidP="00EE1CE1">
      <w:pPr>
        <w:ind w:firstLine="720"/>
      </w:pPr>
    </w:p>
    <w:p w14:paraId="5560B1DA" w14:textId="3C223871" w:rsidR="008C1DD3" w:rsidRPr="00C77927" w:rsidRDefault="008C1DD3" w:rsidP="00EE1CE1">
      <w:pPr>
        <w:ind w:firstLine="720"/>
      </w:pPr>
      <w:r w:rsidRPr="00C77927">
        <w:t xml:space="preserve">This collection of information is consistent with all </w:t>
      </w:r>
      <w:r w:rsidR="000D35B6" w:rsidRPr="00C77927">
        <w:t xml:space="preserve">other </w:t>
      </w:r>
      <w:r w:rsidRPr="00C77927">
        <w:t>OMB guidelines under 5 CFR 1320.5.</w:t>
      </w:r>
    </w:p>
    <w:p w14:paraId="10D14C9F" w14:textId="77777777" w:rsidR="006F15B8" w:rsidRPr="00C77927" w:rsidRDefault="006F15B8" w:rsidP="00855D66"/>
    <w:p w14:paraId="0E3CDE84" w14:textId="09B2AEA9" w:rsidR="008A715C" w:rsidRPr="00C77927" w:rsidRDefault="0046780F" w:rsidP="00A47DB5">
      <w:pPr>
        <w:pStyle w:val="Heading2"/>
      </w:pPr>
      <w:bookmarkStart w:id="20" w:name="_Toc10555981"/>
      <w:r w:rsidRPr="00C77927">
        <w:t>3(f) Confidentiality</w:t>
      </w:r>
      <w:bookmarkEnd w:id="20"/>
    </w:p>
    <w:p w14:paraId="50312CBE" w14:textId="77777777" w:rsidR="008800A7" w:rsidRPr="00C77927" w:rsidRDefault="008800A7" w:rsidP="00053711">
      <w:pPr>
        <w:rPr>
          <w:b/>
        </w:rPr>
      </w:pPr>
    </w:p>
    <w:p w14:paraId="0B31C321" w14:textId="288AFB2A" w:rsidR="00CA405C" w:rsidRPr="00C77927" w:rsidRDefault="0083086C">
      <w:pPr>
        <w:pStyle w:val="Default"/>
        <w:ind w:firstLine="720"/>
      </w:pPr>
      <w:r w:rsidRPr="00C77927">
        <w:t xml:space="preserve">Data collected under the </w:t>
      </w:r>
      <w:r w:rsidR="005B4001" w:rsidRPr="00C77927">
        <w:t>GHGRP</w:t>
      </w:r>
      <w:r w:rsidRPr="00C77927">
        <w:t xml:space="preserve"> must be</w:t>
      </w:r>
      <w:r w:rsidR="009420AC" w:rsidRPr="00C77927">
        <w:t xml:space="preserve"> made</w:t>
      </w:r>
      <w:r w:rsidRPr="00C77927">
        <w:t xml:space="preserve"> available to the public unless the data qualify for </w:t>
      </w:r>
      <w:r w:rsidR="004D2CAF" w:rsidRPr="00C77927">
        <w:t xml:space="preserve">CBI </w:t>
      </w:r>
      <w:r w:rsidRPr="00C77927">
        <w:t>treatment under the C</w:t>
      </w:r>
      <w:r w:rsidR="008D03DB" w:rsidRPr="00C77927">
        <w:t>AA</w:t>
      </w:r>
      <w:r w:rsidR="004017A6" w:rsidRPr="00C77927">
        <w:t xml:space="preserve"> and EPA regulations</w:t>
      </w:r>
      <w:r w:rsidRPr="00C77927">
        <w:t xml:space="preserve">. </w:t>
      </w:r>
      <w:r w:rsidR="008B38A4" w:rsidRPr="00C77927">
        <w:t xml:space="preserve">EPA typically makes </w:t>
      </w:r>
      <w:r w:rsidR="004D2CAF" w:rsidRPr="00C77927">
        <w:t xml:space="preserve">CBI </w:t>
      </w:r>
      <w:r w:rsidR="008B38A4" w:rsidRPr="00C77927">
        <w:t xml:space="preserve">determinations under the </w:t>
      </w:r>
      <w:r w:rsidR="008D03DB" w:rsidRPr="00C77927">
        <w:t>CAA</w:t>
      </w:r>
      <w:r w:rsidR="008B38A4" w:rsidRPr="00C77927">
        <w:t xml:space="preserve"> on a case-by-case basis</w:t>
      </w:r>
      <w:r w:rsidR="004017A6" w:rsidRPr="00C77927">
        <w:t xml:space="preserve"> under 40 CFR 2.301</w:t>
      </w:r>
      <w:r w:rsidR="008B38A4" w:rsidRPr="00C77927">
        <w:t>. Due to the large numbers of entities report</w:t>
      </w:r>
      <w:r w:rsidR="006902DF" w:rsidRPr="00C77927">
        <w:t>ing</w:t>
      </w:r>
      <w:r w:rsidR="008B38A4" w:rsidRPr="00C77927">
        <w:t xml:space="preserve"> under the </w:t>
      </w:r>
      <w:r w:rsidR="005B4001" w:rsidRPr="00C77927">
        <w:t>GHGRP</w:t>
      </w:r>
      <w:r w:rsidR="008B38A4" w:rsidRPr="00C77927">
        <w:t xml:space="preserve"> and the large number of data reporting elements, EPA concluded that case-by-case determinations would not result in a timely release</w:t>
      </w:r>
      <w:r w:rsidR="00D94516" w:rsidRPr="00C77927">
        <w:t xml:space="preserve"> of</w:t>
      </w:r>
      <w:r w:rsidR="004017A6" w:rsidRPr="00C77927">
        <w:t xml:space="preserve"> emission data and other</w:t>
      </w:r>
      <w:r w:rsidR="008B38A4" w:rsidRPr="00C77927">
        <w:t xml:space="preserve"> </w:t>
      </w:r>
      <w:r w:rsidR="008B38A4" w:rsidRPr="00D25FC9">
        <w:t>non-</w:t>
      </w:r>
      <w:r w:rsidR="004D2CAF" w:rsidRPr="00D25FC9">
        <w:t xml:space="preserve">CBI </w:t>
      </w:r>
      <w:r w:rsidR="008B38A4" w:rsidRPr="00D25FC9">
        <w:t>data</w:t>
      </w:r>
      <w:r w:rsidR="00BB14FD" w:rsidRPr="00D25FC9">
        <w:t xml:space="preserve"> (</w:t>
      </w:r>
      <w:r w:rsidR="002B2505" w:rsidRPr="00D25FC9">
        <w:t>75 FR 39094; July 7, 2010</w:t>
      </w:r>
      <w:r w:rsidR="00BB14FD" w:rsidRPr="00D25FC9">
        <w:t>)</w:t>
      </w:r>
      <w:r w:rsidR="008B38A4" w:rsidRPr="00D25FC9">
        <w:t xml:space="preserve">. </w:t>
      </w:r>
      <w:r w:rsidR="00BB14FD" w:rsidRPr="00D25FC9">
        <w:t xml:space="preserve">Therefore, the EPA has published </w:t>
      </w:r>
      <w:r w:rsidR="009405D1" w:rsidRPr="00D25FC9">
        <w:t>confidentiality</w:t>
      </w:r>
      <w:r w:rsidR="00BB14FD" w:rsidRPr="00D25FC9">
        <w:t xml:space="preserve"> determinations for most information reported under the GHGRP (</w:t>
      </w:r>
      <w:r w:rsidR="00F10218" w:rsidRPr="00D25FC9">
        <w:t xml:space="preserve">76 FR 30782; </w:t>
      </w:r>
      <w:r w:rsidR="00BB14FD" w:rsidRPr="00D25FC9">
        <w:t xml:space="preserve">May 26, 2011, </w:t>
      </w:r>
      <w:r w:rsidR="00F10218" w:rsidRPr="00D25FC9">
        <w:t xml:space="preserve">77 FR 48072; </w:t>
      </w:r>
      <w:r w:rsidR="00BB14FD" w:rsidRPr="00D25FC9">
        <w:t xml:space="preserve">August 13, 2012, </w:t>
      </w:r>
      <w:r w:rsidR="00F10218" w:rsidRPr="00D25FC9">
        <w:t xml:space="preserve">77 FR 51477; </w:t>
      </w:r>
      <w:r w:rsidR="00BB14FD" w:rsidRPr="00D25FC9">
        <w:t xml:space="preserve">August 24, 2012, </w:t>
      </w:r>
      <w:r w:rsidR="00F10218" w:rsidRPr="00D25FC9">
        <w:t xml:space="preserve">78 FR 68162; </w:t>
      </w:r>
      <w:r w:rsidR="00BB14FD" w:rsidRPr="00D25FC9">
        <w:t xml:space="preserve">November 13, 2013, </w:t>
      </w:r>
      <w:r w:rsidR="00F10218" w:rsidRPr="00D25FC9">
        <w:t xml:space="preserve">78 FR </w:t>
      </w:r>
      <w:r w:rsidR="00F10218" w:rsidRPr="00D25FC9">
        <w:rPr>
          <w:color w:val="auto"/>
        </w:rPr>
        <w:t xml:space="preserve">71904; </w:t>
      </w:r>
      <w:r w:rsidR="00BB14FD" w:rsidRPr="00D25FC9">
        <w:t>November 29, 2013</w:t>
      </w:r>
      <w:r w:rsidR="00F10218" w:rsidRPr="00D25FC9">
        <w:t>,</w:t>
      </w:r>
      <w:r w:rsidR="00BB14FD" w:rsidRPr="00D25FC9">
        <w:t xml:space="preserve"> </w:t>
      </w:r>
      <w:r w:rsidR="00F10218" w:rsidRPr="00C77927">
        <w:rPr>
          <w:color w:val="auto"/>
        </w:rPr>
        <w:t xml:space="preserve">79 FR 3507; </w:t>
      </w:r>
      <w:r w:rsidR="00007363" w:rsidRPr="00C77927">
        <w:rPr>
          <w:color w:val="auto"/>
        </w:rPr>
        <w:t xml:space="preserve">January 22, 2014, </w:t>
      </w:r>
      <w:r w:rsidR="00F10218" w:rsidRPr="00C77927">
        <w:rPr>
          <w:color w:val="auto"/>
        </w:rPr>
        <w:t xml:space="preserve">79 FR 63750; </w:t>
      </w:r>
      <w:r w:rsidR="00007363" w:rsidRPr="00C77927">
        <w:rPr>
          <w:color w:val="auto"/>
        </w:rPr>
        <w:t xml:space="preserve">October 24, 2014, </w:t>
      </w:r>
      <w:r w:rsidR="00F10218" w:rsidRPr="00C77927">
        <w:rPr>
          <w:color w:val="auto"/>
        </w:rPr>
        <w:t xml:space="preserve">79 FR 70352; </w:t>
      </w:r>
      <w:r w:rsidR="00007363" w:rsidRPr="00C77927">
        <w:rPr>
          <w:color w:val="auto"/>
        </w:rPr>
        <w:t xml:space="preserve">November 25, 2014, </w:t>
      </w:r>
      <w:r w:rsidR="000B1146" w:rsidRPr="00C77927">
        <w:rPr>
          <w:color w:val="auto"/>
        </w:rPr>
        <w:t>79 FR 73750; December 11, 2014,</w:t>
      </w:r>
      <w:r w:rsidR="00EE65B5" w:rsidRPr="00C77927">
        <w:rPr>
          <w:color w:val="auto"/>
        </w:rPr>
        <w:t xml:space="preserve"> </w:t>
      </w:r>
      <w:r w:rsidR="00F10218" w:rsidRPr="00C77927">
        <w:rPr>
          <w:color w:val="auto"/>
        </w:rPr>
        <w:t xml:space="preserve">80 FR 64262; </w:t>
      </w:r>
      <w:r w:rsidR="00EE65B5" w:rsidRPr="00C77927">
        <w:rPr>
          <w:color w:val="auto"/>
        </w:rPr>
        <w:t>October 22, 2015</w:t>
      </w:r>
      <w:r w:rsidR="000B1146" w:rsidRPr="00C77927">
        <w:rPr>
          <w:color w:val="auto"/>
        </w:rPr>
        <w:t xml:space="preserve">, </w:t>
      </w:r>
      <w:r w:rsidR="0052100F" w:rsidRPr="00C77927">
        <w:rPr>
          <w:color w:val="auto"/>
        </w:rPr>
        <w:t xml:space="preserve">81 FR 86490; November 30, 2016, </w:t>
      </w:r>
      <w:r w:rsidR="000B1146" w:rsidRPr="00C77927">
        <w:rPr>
          <w:color w:val="auto"/>
        </w:rPr>
        <w:t>and 81 FR 89188; December 9, 2016</w:t>
      </w:r>
      <w:r w:rsidR="00BB14FD" w:rsidRPr="00D25FC9">
        <w:rPr>
          <w:color w:val="auto"/>
        </w:rPr>
        <w:t xml:space="preserve">). </w:t>
      </w:r>
      <w:r w:rsidR="00BB14FD" w:rsidRPr="00D25FC9">
        <w:t>These</w:t>
      </w:r>
      <w:r w:rsidR="009405D1" w:rsidRPr="00D25FC9">
        <w:t xml:space="preserve"> confidentiality</w:t>
      </w:r>
      <w:r w:rsidR="00BB14FD" w:rsidRPr="00D25FC9">
        <w:t xml:space="preserve"> determinations specify which data reporting elements in Part 98: (1) are CBI, (2) are non-CBI, and (3) are emission data (i.e., ineligible for CBI protection). All data determined by the EPA to be CBI are safeguarded</w:t>
      </w:r>
      <w:r w:rsidR="008B38A4" w:rsidRPr="00D25FC9">
        <w:t xml:space="preserve"> in accordance with regulations in 40 CFR Chapter 1, </w:t>
      </w:r>
      <w:r w:rsidR="00894737" w:rsidRPr="00D25FC9">
        <w:t>P</w:t>
      </w:r>
      <w:r w:rsidR="008B38A4" w:rsidRPr="00D25FC9">
        <w:t xml:space="preserve">art 2, </w:t>
      </w:r>
      <w:r w:rsidR="00894737" w:rsidRPr="00D25FC9">
        <w:t>S</w:t>
      </w:r>
      <w:r w:rsidR="008B38A4" w:rsidRPr="00D25FC9">
        <w:t>ubpart B.</w:t>
      </w:r>
    </w:p>
    <w:p w14:paraId="306F6DA6" w14:textId="4C9F9065" w:rsidR="002D0309" w:rsidRDefault="002D0309" w:rsidP="00FD0BF8"/>
    <w:p w14:paraId="0F179079" w14:textId="3E3272EB" w:rsidR="008A715C" w:rsidRPr="00C77927" w:rsidRDefault="0046780F" w:rsidP="00F3717A">
      <w:pPr>
        <w:pStyle w:val="Heading2"/>
      </w:pPr>
      <w:bookmarkStart w:id="21" w:name="_Toc10555982"/>
      <w:r w:rsidRPr="00C77927">
        <w:t>3(g) Sensitive Questions</w:t>
      </w:r>
      <w:bookmarkEnd w:id="21"/>
    </w:p>
    <w:p w14:paraId="160E3060" w14:textId="77777777" w:rsidR="008800A7" w:rsidRPr="00C77927" w:rsidRDefault="008800A7" w:rsidP="00BB1633">
      <w:pPr>
        <w:keepNext/>
        <w:rPr>
          <w:b/>
        </w:rPr>
      </w:pPr>
    </w:p>
    <w:p w14:paraId="3962921D" w14:textId="77777777" w:rsidR="00787E91" w:rsidRPr="00C77927" w:rsidRDefault="00787E91" w:rsidP="00BB1633">
      <w:pPr>
        <w:keepNext/>
        <w:ind w:firstLine="720"/>
      </w:pPr>
      <w:r w:rsidRPr="00C77927">
        <w:t>This information collection does not ask any questions concerning sexual behavior or attitudes, religious beliefs, or other matters usually considered private.</w:t>
      </w:r>
    </w:p>
    <w:p w14:paraId="158C4811" w14:textId="77777777" w:rsidR="008211C5" w:rsidRPr="00C77927" w:rsidRDefault="008211C5" w:rsidP="00BB1633">
      <w:pPr>
        <w:keepNext/>
        <w:ind w:firstLine="720"/>
      </w:pPr>
    </w:p>
    <w:p w14:paraId="41B56C5F" w14:textId="77777777" w:rsidR="005E46F6" w:rsidRPr="00C77927" w:rsidRDefault="005E46F6" w:rsidP="00BB1633">
      <w:pPr>
        <w:rPr>
          <w:b/>
        </w:rPr>
      </w:pPr>
    </w:p>
    <w:p w14:paraId="476F8911" w14:textId="77777777" w:rsidR="006C0125" w:rsidRPr="00C77927" w:rsidRDefault="006C0125" w:rsidP="00F3717A">
      <w:pPr>
        <w:pStyle w:val="Heading1"/>
      </w:pPr>
      <w:r w:rsidRPr="00C77927">
        <w:br w:type="page"/>
      </w:r>
    </w:p>
    <w:p w14:paraId="680B5B31" w14:textId="33A476D5" w:rsidR="00095BC1" w:rsidRPr="00C77927" w:rsidRDefault="00095BC1" w:rsidP="00F3717A">
      <w:pPr>
        <w:pStyle w:val="Heading1"/>
      </w:pPr>
      <w:bookmarkStart w:id="22" w:name="_Toc10555983"/>
      <w:r w:rsidRPr="00C77927">
        <w:t>4.</w:t>
      </w:r>
      <w:r w:rsidRPr="00C77927">
        <w:tab/>
        <w:t>THE RESPONDENTS AND THE INFORMATION REQUESTED</w:t>
      </w:r>
      <w:bookmarkEnd w:id="22"/>
    </w:p>
    <w:p w14:paraId="16B6491C" w14:textId="77777777" w:rsidR="00095BC1" w:rsidRPr="00C77927" w:rsidRDefault="00095BC1" w:rsidP="00BB1633">
      <w:pPr>
        <w:keepNext/>
        <w:rPr>
          <w:b/>
        </w:rPr>
      </w:pPr>
    </w:p>
    <w:p w14:paraId="6A1F76A2" w14:textId="0ACA5DF7" w:rsidR="004E4440" w:rsidRPr="00C77927" w:rsidRDefault="004E4440" w:rsidP="000179AC">
      <w:pPr>
        <w:keepNext/>
        <w:autoSpaceDE w:val="0"/>
        <w:autoSpaceDN w:val="0"/>
        <w:adjustRightInd w:val="0"/>
        <w:ind w:firstLine="720"/>
      </w:pPr>
      <w:r w:rsidRPr="00C77927">
        <w:t xml:space="preserve">The respondents in this information collection include </w:t>
      </w:r>
      <w:r w:rsidR="00067AB0" w:rsidRPr="00C77927">
        <w:t xml:space="preserve">owners and </w:t>
      </w:r>
      <w:r w:rsidRPr="00C77927">
        <w:t xml:space="preserve">operators of facilities that </w:t>
      </w:r>
      <w:r w:rsidR="00F90A29" w:rsidRPr="00C77927">
        <w:t>must</w:t>
      </w:r>
      <w:r w:rsidRPr="00C77927">
        <w:t xml:space="preserve"> report their GHG emiss</w:t>
      </w:r>
      <w:r w:rsidR="00623F83" w:rsidRPr="00C77927">
        <w:t xml:space="preserve">ions to EPA to comply with the </w:t>
      </w:r>
      <w:r w:rsidR="000179AC" w:rsidRPr="00C77927">
        <w:t xml:space="preserve">GHGRP </w:t>
      </w:r>
      <w:r w:rsidRPr="00C77927">
        <w:t>rule. To facilitate the analysis, EPA has divided respondents into groups that align with the source categories identified in the rule</w:t>
      </w:r>
      <w:r w:rsidR="00D104E2" w:rsidRPr="00C77927">
        <w:t>.</w:t>
      </w:r>
      <w:r w:rsidR="00ED239B" w:rsidRPr="00C77927">
        <w:t xml:space="preserve"> </w:t>
      </w:r>
    </w:p>
    <w:p w14:paraId="54171F49" w14:textId="77777777" w:rsidR="004E4440" w:rsidRPr="00C77927" w:rsidRDefault="004E4440" w:rsidP="00BB1633">
      <w:pPr>
        <w:autoSpaceDE w:val="0"/>
        <w:autoSpaceDN w:val="0"/>
        <w:adjustRightInd w:val="0"/>
        <w:ind w:firstLine="720"/>
      </w:pPr>
    </w:p>
    <w:p w14:paraId="161805B8" w14:textId="6213ADEE" w:rsidR="00095BC1" w:rsidRPr="00C77927" w:rsidRDefault="00095BC1" w:rsidP="00BB1633">
      <w:pPr>
        <w:autoSpaceDE w:val="0"/>
        <w:autoSpaceDN w:val="0"/>
        <w:adjustRightInd w:val="0"/>
        <w:ind w:firstLine="720"/>
      </w:pPr>
      <w:r w:rsidRPr="00C77927">
        <w:t xml:space="preserve">This section lists the </w:t>
      </w:r>
      <w:bookmarkStart w:id="23" w:name="OLE_LINK9"/>
      <w:bookmarkStart w:id="24" w:name="OLE_LINK10"/>
      <w:r w:rsidR="00346553" w:rsidRPr="00C77927">
        <w:t xml:space="preserve">industry </w:t>
      </w:r>
      <w:r w:rsidRPr="00C77927">
        <w:t xml:space="preserve">sectors </w:t>
      </w:r>
      <w:bookmarkEnd w:id="23"/>
      <w:bookmarkEnd w:id="24"/>
      <w:r w:rsidRPr="00C77927">
        <w:t>(</w:t>
      </w:r>
      <w:r w:rsidR="00894737" w:rsidRPr="00C77927">
        <w:t xml:space="preserve">i.e., </w:t>
      </w:r>
      <w:r w:rsidRPr="00C77927">
        <w:t>GHG source</w:t>
      </w:r>
      <w:r w:rsidR="00D63E46" w:rsidRPr="00C77927">
        <w:t xml:space="preserve"> categories</w:t>
      </w:r>
      <w:r w:rsidRPr="00C77927">
        <w:t xml:space="preserve">) that </w:t>
      </w:r>
      <w:r w:rsidR="00F90A29" w:rsidRPr="00C77927">
        <w:t>must</w:t>
      </w:r>
      <w:r w:rsidR="000F67C7" w:rsidRPr="00C77927">
        <w:t xml:space="preserve"> </w:t>
      </w:r>
      <w:r w:rsidR="009405D1" w:rsidRPr="00C77927">
        <w:t xml:space="preserve">report to </w:t>
      </w:r>
      <w:r w:rsidR="000F67C7" w:rsidRPr="00C77927">
        <w:t>the GHGRP</w:t>
      </w:r>
      <w:r w:rsidRPr="00C77927">
        <w:t xml:space="preserve">, the data items </w:t>
      </w:r>
      <w:r w:rsidR="00F90A29" w:rsidRPr="00C77927">
        <w:t>required of</w:t>
      </w:r>
      <w:r w:rsidRPr="00C77927">
        <w:t xml:space="preserve"> program participants, and the activities in which participants </w:t>
      </w:r>
      <w:r w:rsidR="00F90A29" w:rsidRPr="00C77927">
        <w:t xml:space="preserve">must </w:t>
      </w:r>
      <w:r w:rsidRPr="00C77927">
        <w:t xml:space="preserve">engage to collect, assess, and in some cases submit the required data items. </w:t>
      </w:r>
    </w:p>
    <w:p w14:paraId="32A02149" w14:textId="77777777" w:rsidR="00095BC1" w:rsidRPr="00C77927" w:rsidRDefault="00095BC1" w:rsidP="00BB1633">
      <w:pPr>
        <w:autoSpaceDE w:val="0"/>
        <w:autoSpaceDN w:val="0"/>
        <w:adjustRightInd w:val="0"/>
        <w:rPr>
          <w:b/>
        </w:rPr>
      </w:pPr>
    </w:p>
    <w:p w14:paraId="4429C543" w14:textId="77777777" w:rsidR="00095BC1" w:rsidRPr="00C77927" w:rsidRDefault="00095BC1" w:rsidP="00053711">
      <w:pPr>
        <w:pStyle w:val="Heading2"/>
        <w:keepNext/>
        <w:keepLines/>
      </w:pPr>
      <w:bookmarkStart w:id="25" w:name="_Toc10555984"/>
      <w:r w:rsidRPr="00C77927">
        <w:t>4(a) Respondents/</w:t>
      </w:r>
      <w:r w:rsidR="00062186" w:rsidRPr="00C77927">
        <w:t xml:space="preserve">North American Industrial Classification Systems (NAICS) </w:t>
      </w:r>
      <w:r w:rsidRPr="00C77927">
        <w:t>Codes</w:t>
      </w:r>
      <w:bookmarkEnd w:id="25"/>
    </w:p>
    <w:p w14:paraId="118169B8" w14:textId="77777777" w:rsidR="00095BB2" w:rsidRPr="00C77927" w:rsidRDefault="00095BB2" w:rsidP="00E27715">
      <w:pPr>
        <w:keepNext/>
        <w:keepLines/>
        <w:rPr>
          <w:b/>
        </w:rPr>
      </w:pPr>
    </w:p>
    <w:p w14:paraId="2CC16B2C" w14:textId="7AD78084" w:rsidR="000B7B9C" w:rsidRPr="00C77927" w:rsidRDefault="005123CE" w:rsidP="00053711">
      <w:pPr>
        <w:keepNext/>
        <w:keepLines/>
        <w:ind w:firstLine="540"/>
      </w:pPr>
      <w:r w:rsidRPr="00C77927">
        <w:t>R</w:t>
      </w:r>
      <w:r w:rsidR="00095BC1" w:rsidRPr="00C77927">
        <w:t>eporting facilities</w:t>
      </w:r>
      <w:r w:rsidR="00D63E46" w:rsidRPr="00C77927">
        <w:t xml:space="preserve"> </w:t>
      </w:r>
      <w:r w:rsidR="00095BC1" w:rsidRPr="00C77927">
        <w:t>include</w:t>
      </w:r>
      <w:r w:rsidR="00062186" w:rsidRPr="00C77927">
        <w:rPr>
          <w:rStyle w:val="CommentReference"/>
          <w:sz w:val="24"/>
          <w:szCs w:val="24"/>
        </w:rPr>
        <w:t xml:space="preserve">, but </w:t>
      </w:r>
      <w:r w:rsidR="00AC1DE8" w:rsidRPr="00C77927">
        <w:rPr>
          <w:rStyle w:val="CommentReference"/>
          <w:sz w:val="24"/>
          <w:szCs w:val="24"/>
        </w:rPr>
        <w:t>are not</w:t>
      </w:r>
      <w:r w:rsidR="00062186" w:rsidRPr="00C77927">
        <w:rPr>
          <w:rStyle w:val="CommentReference"/>
          <w:sz w:val="24"/>
          <w:szCs w:val="24"/>
        </w:rPr>
        <w:t xml:space="preserve"> limited to, t</w:t>
      </w:r>
      <w:r w:rsidR="00095BC1" w:rsidRPr="00C77927">
        <w:t xml:space="preserve">hose operating one or more units that exceed the </w:t>
      </w:r>
      <w:r w:rsidR="00AB6F4F" w:rsidRPr="00C77927">
        <w:t>CO</w:t>
      </w:r>
      <w:r w:rsidR="00AB6F4F" w:rsidRPr="00C77927">
        <w:rPr>
          <w:vertAlign w:val="subscript"/>
        </w:rPr>
        <w:t>2</w:t>
      </w:r>
      <w:r w:rsidR="00095BC1" w:rsidRPr="00C77927">
        <w:t>e threshold for the industry sectors listed below</w:t>
      </w:r>
      <w:r w:rsidR="00673C8D" w:rsidRPr="00C77927">
        <w:t xml:space="preserve"> or </w:t>
      </w:r>
      <w:r w:rsidR="00095BC1" w:rsidRPr="00C77927">
        <w:t>those in the categories in which all must report, such as petroleum refining facilities</w:t>
      </w:r>
      <w:r w:rsidR="00C269C1" w:rsidRPr="00C77927">
        <w:t xml:space="preserve"> and all other large emitters listed in Table A-3 of </w:t>
      </w:r>
      <w:r w:rsidR="000F5127" w:rsidRPr="00C77927">
        <w:t>40 CFR 98.</w:t>
      </w:r>
      <w:r w:rsidR="00C269C1" w:rsidRPr="00C77927">
        <w:t>2(a)(1)</w:t>
      </w:r>
      <w:r w:rsidR="00673C8D" w:rsidRPr="00C77927">
        <w:t xml:space="preserve">. </w:t>
      </w:r>
    </w:p>
    <w:p w14:paraId="13393AB9" w14:textId="77777777" w:rsidR="000B7B9C" w:rsidRPr="00C77927" w:rsidRDefault="000B7B9C" w:rsidP="00BB1633">
      <w:pPr>
        <w:keepNext/>
        <w:keepLines/>
        <w:ind w:firstLine="540"/>
      </w:pPr>
    </w:p>
    <w:p w14:paraId="158E867A" w14:textId="77777777" w:rsidR="00095BC1" w:rsidRPr="00C77927" w:rsidRDefault="00095BC1" w:rsidP="00BB1633">
      <w:pPr>
        <w:keepNext/>
        <w:keepLines/>
        <w:ind w:firstLine="540"/>
      </w:pPr>
      <w:r w:rsidRPr="00C77927">
        <w:t>Industry sectors are listed below by their corresponding subpart of the rule and their NAICS code for reference.</w:t>
      </w:r>
      <w:r w:rsidR="00A47CF8" w:rsidRPr="00C77927">
        <w:t xml:space="preserve"> </w:t>
      </w:r>
    </w:p>
    <w:p w14:paraId="17C9C3CD" w14:textId="77777777" w:rsidR="00095BC1" w:rsidRPr="00C77927" w:rsidRDefault="00095BC1" w:rsidP="00E665E0">
      <w:pPr>
        <w:pStyle w:val="TOC2"/>
      </w:pPr>
    </w:p>
    <w:p w14:paraId="32693BE8" w14:textId="77777777" w:rsidR="00C269C1" w:rsidRPr="00C77927" w:rsidRDefault="00C269C1" w:rsidP="00C269C1"/>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60"/>
        <w:gridCol w:w="6090"/>
      </w:tblGrid>
      <w:tr w:rsidR="00095BC1" w:rsidRPr="00C77927" w14:paraId="6ACCEF49" w14:textId="77777777" w:rsidTr="00D25FC9">
        <w:trPr>
          <w:cantSplit/>
          <w:tblHeader/>
          <w:jc w:val="center"/>
        </w:trPr>
        <w:tc>
          <w:tcPr>
            <w:tcW w:w="2460" w:type="dxa"/>
            <w:tcBorders>
              <w:top w:val="single" w:sz="4" w:space="0" w:color="auto"/>
              <w:bottom w:val="single" w:sz="6" w:space="0" w:color="auto"/>
            </w:tcBorders>
            <w:shd w:val="clear" w:color="auto" w:fill="CCFFFF"/>
          </w:tcPr>
          <w:p w14:paraId="0A2C021C" w14:textId="386A2FA8" w:rsidR="00095BC1" w:rsidRPr="00D25FC9" w:rsidRDefault="00095BC1">
            <w:pPr>
              <w:keepNext/>
              <w:rPr>
                <w:b/>
                <w:bCs/>
                <w:sz w:val="22"/>
                <w:szCs w:val="22"/>
                <w:u w:val="single"/>
              </w:rPr>
            </w:pPr>
            <w:r w:rsidRPr="00D25FC9">
              <w:rPr>
                <w:b/>
                <w:bCs/>
                <w:sz w:val="22"/>
                <w:szCs w:val="22"/>
                <w:u w:val="single"/>
              </w:rPr>
              <w:t>Subpart</w:t>
            </w:r>
          </w:p>
        </w:tc>
        <w:tc>
          <w:tcPr>
            <w:tcW w:w="6090" w:type="dxa"/>
            <w:tcBorders>
              <w:top w:val="single" w:sz="4" w:space="0" w:color="auto"/>
              <w:bottom w:val="single" w:sz="6" w:space="0" w:color="auto"/>
            </w:tcBorders>
            <w:shd w:val="clear" w:color="auto" w:fill="CCFFFF"/>
          </w:tcPr>
          <w:p w14:paraId="5559A2F2" w14:textId="77777777" w:rsidR="00095BC1" w:rsidRPr="00D25FC9" w:rsidRDefault="00095BC1">
            <w:pPr>
              <w:keepNext/>
              <w:ind w:left="-18" w:firstLine="18"/>
              <w:rPr>
                <w:b/>
                <w:bCs/>
                <w:sz w:val="22"/>
                <w:szCs w:val="22"/>
                <w:u w:val="single"/>
              </w:rPr>
            </w:pPr>
            <w:r w:rsidRPr="00D25FC9">
              <w:rPr>
                <w:b/>
                <w:bCs/>
                <w:sz w:val="22"/>
                <w:szCs w:val="22"/>
                <w:u w:val="single"/>
              </w:rPr>
              <w:t>NAICS code(s)</w:t>
            </w:r>
          </w:p>
        </w:tc>
      </w:tr>
      <w:tr w:rsidR="00095BC1" w:rsidRPr="00C77927" w14:paraId="4529BDCE" w14:textId="77777777" w:rsidTr="00D25FC9">
        <w:trPr>
          <w:cantSplit/>
          <w:jc w:val="center"/>
        </w:trPr>
        <w:tc>
          <w:tcPr>
            <w:tcW w:w="2460" w:type="dxa"/>
            <w:tcBorders>
              <w:top w:val="single" w:sz="6" w:space="0" w:color="auto"/>
            </w:tcBorders>
          </w:tcPr>
          <w:p w14:paraId="58E11002" w14:textId="77777777" w:rsidR="00095BC1" w:rsidRPr="00D25FC9" w:rsidRDefault="00095BC1">
            <w:pPr>
              <w:keepNext/>
              <w:rPr>
                <w:sz w:val="22"/>
                <w:szCs w:val="22"/>
              </w:rPr>
            </w:pPr>
            <w:r w:rsidRPr="00D25FC9">
              <w:rPr>
                <w:sz w:val="22"/>
                <w:szCs w:val="22"/>
              </w:rPr>
              <w:t>C. General Stationary Fuel Combustion Sources</w:t>
            </w:r>
          </w:p>
        </w:tc>
        <w:tc>
          <w:tcPr>
            <w:tcW w:w="6090" w:type="dxa"/>
            <w:tcBorders>
              <w:top w:val="single" w:sz="6" w:space="0" w:color="auto"/>
            </w:tcBorders>
          </w:tcPr>
          <w:p w14:paraId="4D2FFDD5" w14:textId="60E3D72E" w:rsidR="00095BC1" w:rsidRPr="00D25FC9" w:rsidRDefault="00095BC1">
            <w:pPr>
              <w:keepNext/>
              <w:ind w:left="-18" w:firstLine="18"/>
              <w:rPr>
                <w:sz w:val="22"/>
                <w:szCs w:val="22"/>
              </w:rPr>
            </w:pPr>
            <w:r w:rsidRPr="00D25FC9">
              <w:rPr>
                <w:sz w:val="22"/>
                <w:szCs w:val="22"/>
              </w:rPr>
              <w:t xml:space="preserve">Facilities operating boilers, process heaters, incinerators, turbines, and internal combustion engines: 211 Extractors of crude petroleum and natural gas; 321 Manufacturers of lumber and wood products; 322 Pulp and paper mills; 325 Chemical manufacturers; 324 Petroleum refineries, and manufacturers of coal products; 316, 326, 339 Manufacturers of rubber and miscellaneous plastic products; 331 Steel works, blast furnaces; 332 Electroplating, plating, polishing, anodizing, and coloring; 336 Manufacturers of motor vehicle parts and </w:t>
            </w:r>
            <w:r w:rsidR="0019067B" w:rsidRPr="00D25FC9">
              <w:rPr>
                <w:sz w:val="22"/>
                <w:szCs w:val="22"/>
              </w:rPr>
              <w:t>accessories</w:t>
            </w:r>
            <w:r w:rsidR="0019067B">
              <w:rPr>
                <w:rStyle w:val="FootnoteReference"/>
                <w:sz w:val="22"/>
                <w:szCs w:val="22"/>
              </w:rPr>
              <w:footnoteReference w:id="2"/>
            </w:r>
            <w:r w:rsidRPr="00D25FC9">
              <w:rPr>
                <w:sz w:val="22"/>
                <w:szCs w:val="22"/>
              </w:rPr>
              <w:t>; 221 Electric, gas, and sanitary services; 622 Health services; 611 Educational services</w:t>
            </w:r>
          </w:p>
        </w:tc>
      </w:tr>
      <w:tr w:rsidR="00095BC1" w:rsidRPr="00C77927" w14:paraId="26428CF2" w14:textId="77777777" w:rsidTr="241623E5">
        <w:trPr>
          <w:cantSplit/>
          <w:jc w:val="center"/>
        </w:trPr>
        <w:tc>
          <w:tcPr>
            <w:tcW w:w="2460" w:type="dxa"/>
          </w:tcPr>
          <w:p w14:paraId="6D63511D" w14:textId="77777777" w:rsidR="00095BC1" w:rsidRPr="00D25FC9" w:rsidRDefault="00095BC1">
            <w:pPr>
              <w:rPr>
                <w:sz w:val="22"/>
                <w:szCs w:val="22"/>
              </w:rPr>
            </w:pPr>
            <w:r w:rsidRPr="00D25FC9">
              <w:rPr>
                <w:sz w:val="22"/>
                <w:szCs w:val="22"/>
              </w:rPr>
              <w:t>D. Electricity Generation</w:t>
            </w:r>
          </w:p>
        </w:tc>
        <w:tc>
          <w:tcPr>
            <w:tcW w:w="6090" w:type="dxa"/>
          </w:tcPr>
          <w:p w14:paraId="162BB81A" w14:textId="77777777" w:rsidR="00095BC1" w:rsidRPr="00D25FC9" w:rsidRDefault="00095BC1">
            <w:pPr>
              <w:rPr>
                <w:sz w:val="22"/>
                <w:szCs w:val="22"/>
              </w:rPr>
            </w:pPr>
            <w:r w:rsidRPr="00D25FC9">
              <w:rPr>
                <w:sz w:val="22"/>
                <w:szCs w:val="22"/>
              </w:rPr>
              <w:t>221112 Fossil-fuel fired electric generating units</w:t>
            </w:r>
            <w:r w:rsidR="006208D8" w:rsidRPr="00D25FC9">
              <w:rPr>
                <w:sz w:val="22"/>
                <w:szCs w:val="22"/>
              </w:rPr>
              <w:t xml:space="preserve">, including units owned by </w:t>
            </w:r>
            <w:r w:rsidR="004C416B" w:rsidRPr="00D25FC9">
              <w:rPr>
                <w:sz w:val="22"/>
                <w:szCs w:val="22"/>
              </w:rPr>
              <w:t>federal</w:t>
            </w:r>
            <w:r w:rsidR="006208D8" w:rsidRPr="00D25FC9">
              <w:rPr>
                <w:sz w:val="22"/>
                <w:szCs w:val="22"/>
              </w:rPr>
              <w:t xml:space="preserve"> and municipal governments and units located in Indian Country</w:t>
            </w:r>
          </w:p>
        </w:tc>
      </w:tr>
      <w:tr w:rsidR="00095BC1" w:rsidRPr="00C77927" w14:paraId="71B2FC0B" w14:textId="77777777" w:rsidTr="241623E5">
        <w:trPr>
          <w:cantSplit/>
          <w:jc w:val="center"/>
        </w:trPr>
        <w:tc>
          <w:tcPr>
            <w:tcW w:w="2460" w:type="dxa"/>
          </w:tcPr>
          <w:p w14:paraId="6225EF09" w14:textId="77777777" w:rsidR="00095BC1" w:rsidRPr="00D25FC9" w:rsidRDefault="00095BC1">
            <w:pPr>
              <w:rPr>
                <w:sz w:val="22"/>
                <w:szCs w:val="22"/>
              </w:rPr>
            </w:pPr>
            <w:r w:rsidRPr="00D25FC9">
              <w:rPr>
                <w:sz w:val="22"/>
                <w:szCs w:val="22"/>
              </w:rPr>
              <w:t>E. Adipic Acid Production</w:t>
            </w:r>
          </w:p>
        </w:tc>
        <w:tc>
          <w:tcPr>
            <w:tcW w:w="6090" w:type="dxa"/>
          </w:tcPr>
          <w:p w14:paraId="64502547" w14:textId="77777777" w:rsidR="00095BC1" w:rsidRPr="00D25FC9" w:rsidRDefault="00095BC1">
            <w:pPr>
              <w:widowControl w:val="0"/>
              <w:rPr>
                <w:sz w:val="22"/>
                <w:szCs w:val="22"/>
              </w:rPr>
            </w:pPr>
            <w:r w:rsidRPr="00D25FC9">
              <w:rPr>
                <w:sz w:val="22"/>
                <w:szCs w:val="22"/>
              </w:rPr>
              <w:t>325199 Adipic acid manufacturing facilities</w:t>
            </w:r>
          </w:p>
        </w:tc>
      </w:tr>
      <w:tr w:rsidR="00095BC1" w:rsidRPr="00C77927" w14:paraId="6EFF6901" w14:textId="77777777" w:rsidTr="241623E5">
        <w:trPr>
          <w:cantSplit/>
          <w:jc w:val="center"/>
        </w:trPr>
        <w:tc>
          <w:tcPr>
            <w:tcW w:w="2460" w:type="dxa"/>
          </w:tcPr>
          <w:p w14:paraId="7A7C175F" w14:textId="77777777" w:rsidR="00095BC1" w:rsidRPr="00D25FC9" w:rsidRDefault="00095BC1">
            <w:pPr>
              <w:rPr>
                <w:sz w:val="22"/>
                <w:szCs w:val="22"/>
              </w:rPr>
            </w:pPr>
            <w:r w:rsidRPr="00D25FC9">
              <w:rPr>
                <w:sz w:val="22"/>
                <w:szCs w:val="22"/>
              </w:rPr>
              <w:t>F. Aluminum Production</w:t>
            </w:r>
          </w:p>
        </w:tc>
        <w:tc>
          <w:tcPr>
            <w:tcW w:w="6090" w:type="dxa"/>
          </w:tcPr>
          <w:p w14:paraId="05998E94" w14:textId="627B1A62" w:rsidR="00095BC1" w:rsidRPr="00D25FC9" w:rsidRDefault="00095BC1">
            <w:pPr>
              <w:rPr>
                <w:sz w:val="22"/>
                <w:szCs w:val="22"/>
              </w:rPr>
            </w:pPr>
            <w:r w:rsidRPr="00D25FC9">
              <w:rPr>
                <w:sz w:val="22"/>
                <w:szCs w:val="22"/>
              </w:rPr>
              <w:t>33131</w:t>
            </w:r>
            <w:r w:rsidR="009705CC" w:rsidRPr="00D25FC9">
              <w:rPr>
                <w:sz w:val="22"/>
                <w:szCs w:val="22"/>
              </w:rPr>
              <w:t>3</w:t>
            </w:r>
            <w:r w:rsidRPr="00D25FC9">
              <w:rPr>
                <w:sz w:val="22"/>
                <w:szCs w:val="22"/>
              </w:rPr>
              <w:t xml:space="preserve"> Primary Aluminum production facilities</w:t>
            </w:r>
          </w:p>
        </w:tc>
      </w:tr>
      <w:tr w:rsidR="00095BC1" w:rsidRPr="00C77927" w14:paraId="53C97949" w14:textId="77777777" w:rsidTr="241623E5">
        <w:trPr>
          <w:cantSplit/>
          <w:jc w:val="center"/>
        </w:trPr>
        <w:tc>
          <w:tcPr>
            <w:tcW w:w="2460" w:type="dxa"/>
          </w:tcPr>
          <w:p w14:paraId="576C2FC4" w14:textId="77777777" w:rsidR="00095BC1" w:rsidRPr="00D25FC9" w:rsidRDefault="00095BC1">
            <w:pPr>
              <w:rPr>
                <w:sz w:val="22"/>
                <w:szCs w:val="22"/>
              </w:rPr>
            </w:pPr>
            <w:r w:rsidRPr="00D25FC9">
              <w:rPr>
                <w:sz w:val="22"/>
                <w:szCs w:val="22"/>
              </w:rPr>
              <w:t>G. Ammonia Manufacturing</w:t>
            </w:r>
          </w:p>
        </w:tc>
        <w:tc>
          <w:tcPr>
            <w:tcW w:w="6090" w:type="dxa"/>
          </w:tcPr>
          <w:p w14:paraId="6C715B53" w14:textId="77777777" w:rsidR="00095BC1" w:rsidRPr="00D25FC9" w:rsidRDefault="00095BC1">
            <w:pPr>
              <w:rPr>
                <w:sz w:val="22"/>
                <w:szCs w:val="22"/>
              </w:rPr>
            </w:pPr>
            <w:r w:rsidRPr="00D25FC9">
              <w:rPr>
                <w:sz w:val="22"/>
                <w:szCs w:val="22"/>
              </w:rPr>
              <w:t>325311 Anhydrous and aqueous ammonia manufacturing facilities</w:t>
            </w:r>
          </w:p>
        </w:tc>
      </w:tr>
      <w:tr w:rsidR="00095BC1" w:rsidRPr="00C77927" w14:paraId="720443E2" w14:textId="77777777" w:rsidTr="241623E5">
        <w:trPr>
          <w:cantSplit/>
          <w:jc w:val="center"/>
        </w:trPr>
        <w:tc>
          <w:tcPr>
            <w:tcW w:w="2460" w:type="dxa"/>
          </w:tcPr>
          <w:p w14:paraId="733EC25A" w14:textId="77777777" w:rsidR="00095BC1" w:rsidRPr="00D25FC9" w:rsidRDefault="00095BC1">
            <w:pPr>
              <w:rPr>
                <w:sz w:val="22"/>
                <w:szCs w:val="22"/>
              </w:rPr>
            </w:pPr>
            <w:r w:rsidRPr="00D25FC9">
              <w:rPr>
                <w:sz w:val="22"/>
                <w:szCs w:val="22"/>
              </w:rPr>
              <w:t>H. Cement Production</w:t>
            </w:r>
          </w:p>
        </w:tc>
        <w:tc>
          <w:tcPr>
            <w:tcW w:w="6090" w:type="dxa"/>
          </w:tcPr>
          <w:p w14:paraId="49B2F8EC" w14:textId="77777777" w:rsidR="00095BC1" w:rsidRPr="00D25FC9" w:rsidRDefault="00095BC1">
            <w:pPr>
              <w:rPr>
                <w:sz w:val="22"/>
                <w:szCs w:val="22"/>
              </w:rPr>
            </w:pPr>
            <w:r w:rsidRPr="00D25FC9">
              <w:rPr>
                <w:sz w:val="22"/>
                <w:szCs w:val="22"/>
              </w:rPr>
              <w:t xml:space="preserve">327310 </w:t>
            </w:r>
            <w:r w:rsidR="001238AF" w:rsidRPr="00D25FC9">
              <w:rPr>
                <w:sz w:val="22"/>
                <w:szCs w:val="22"/>
              </w:rPr>
              <w:t>Portland Cement manufacturing plants</w:t>
            </w:r>
          </w:p>
        </w:tc>
      </w:tr>
      <w:tr w:rsidR="00BF0364" w:rsidRPr="00C77927" w14:paraId="484700ED" w14:textId="77777777" w:rsidTr="241623E5">
        <w:trPr>
          <w:cantSplit/>
          <w:jc w:val="center"/>
        </w:trPr>
        <w:tc>
          <w:tcPr>
            <w:tcW w:w="2460" w:type="dxa"/>
          </w:tcPr>
          <w:p w14:paraId="28AD2040" w14:textId="77777777" w:rsidR="00BF0364" w:rsidRPr="00D25FC9" w:rsidRDefault="00717194">
            <w:pPr>
              <w:rPr>
                <w:sz w:val="22"/>
                <w:szCs w:val="22"/>
              </w:rPr>
            </w:pPr>
            <w:r w:rsidRPr="00D25FC9">
              <w:rPr>
                <w:sz w:val="22"/>
                <w:szCs w:val="22"/>
              </w:rPr>
              <w:t>I.</w:t>
            </w:r>
            <w:r w:rsidR="00BF0364" w:rsidRPr="00D25FC9">
              <w:rPr>
                <w:sz w:val="22"/>
                <w:szCs w:val="22"/>
              </w:rPr>
              <w:t xml:space="preserve"> Electronics Manufacturing</w:t>
            </w:r>
          </w:p>
          <w:p w14:paraId="14BB0780" w14:textId="77777777" w:rsidR="00BF0364" w:rsidRPr="00D25FC9" w:rsidRDefault="00BF0364" w:rsidP="00BB1633">
            <w:pPr>
              <w:rPr>
                <w:sz w:val="22"/>
                <w:szCs w:val="22"/>
              </w:rPr>
            </w:pPr>
          </w:p>
        </w:tc>
        <w:tc>
          <w:tcPr>
            <w:tcW w:w="6090" w:type="dxa"/>
          </w:tcPr>
          <w:p w14:paraId="661B8194" w14:textId="5AB2065B" w:rsidR="00BF0364" w:rsidRPr="00D25FC9" w:rsidRDefault="00BF0364">
            <w:pPr>
              <w:rPr>
                <w:sz w:val="22"/>
                <w:szCs w:val="22"/>
              </w:rPr>
            </w:pPr>
            <w:r w:rsidRPr="00D25FC9">
              <w:rPr>
                <w:sz w:val="22"/>
                <w:szCs w:val="22"/>
              </w:rPr>
              <w:t>334111 Microcomputers manufacturing facilities</w:t>
            </w:r>
            <w:r w:rsidR="00717194" w:rsidRPr="00D25FC9">
              <w:rPr>
                <w:sz w:val="22"/>
                <w:szCs w:val="22"/>
              </w:rPr>
              <w:t xml:space="preserve">; </w:t>
            </w:r>
            <w:r w:rsidRPr="00D25FC9">
              <w:rPr>
                <w:sz w:val="22"/>
                <w:szCs w:val="22"/>
              </w:rPr>
              <w:t>334413 Semiconductor, photovoltaic cells (PV) (solid-state) device manufacturing facilities</w:t>
            </w:r>
            <w:r w:rsidR="00717194" w:rsidRPr="00D25FC9">
              <w:rPr>
                <w:sz w:val="22"/>
                <w:szCs w:val="22"/>
              </w:rPr>
              <w:t xml:space="preserve">; </w:t>
            </w:r>
            <w:r w:rsidRPr="00D25FC9">
              <w:rPr>
                <w:sz w:val="22"/>
                <w:szCs w:val="22"/>
              </w:rPr>
              <w:t>334419 Liquid crystal display (LCD) unit screens manufacturing facilities</w:t>
            </w:r>
            <w:r w:rsidR="00717194" w:rsidRPr="00D25FC9">
              <w:rPr>
                <w:sz w:val="22"/>
                <w:szCs w:val="22"/>
              </w:rPr>
              <w:t xml:space="preserve">; </w:t>
            </w:r>
            <w:r w:rsidRPr="00D25FC9">
              <w:rPr>
                <w:sz w:val="22"/>
                <w:szCs w:val="22"/>
              </w:rPr>
              <w:t>334419 Micro</w:t>
            </w:r>
            <w:r w:rsidR="006820C4">
              <w:rPr>
                <w:sz w:val="22"/>
                <w:szCs w:val="22"/>
              </w:rPr>
              <w:t>-</w:t>
            </w:r>
            <w:r w:rsidRPr="00D25FC9">
              <w:rPr>
                <w:sz w:val="22"/>
                <w:szCs w:val="22"/>
              </w:rPr>
              <w:t>electro</w:t>
            </w:r>
            <w:r w:rsidR="006820C4">
              <w:rPr>
                <w:sz w:val="22"/>
                <w:szCs w:val="22"/>
              </w:rPr>
              <w:t>-</w:t>
            </w:r>
            <w:r w:rsidRPr="00D25FC9">
              <w:rPr>
                <w:sz w:val="22"/>
                <w:szCs w:val="22"/>
              </w:rPr>
              <w:t>mechanical devices (MEMS) manufacturing facilities</w:t>
            </w:r>
          </w:p>
        </w:tc>
      </w:tr>
      <w:tr w:rsidR="00BF0364" w:rsidRPr="00C77927" w14:paraId="30983746" w14:textId="77777777" w:rsidTr="241623E5">
        <w:trPr>
          <w:cantSplit/>
          <w:jc w:val="center"/>
        </w:trPr>
        <w:tc>
          <w:tcPr>
            <w:tcW w:w="2460" w:type="dxa"/>
          </w:tcPr>
          <w:p w14:paraId="66FB6F18" w14:textId="77777777" w:rsidR="00BF0364" w:rsidRPr="00D25FC9" w:rsidRDefault="00BF0364">
            <w:pPr>
              <w:rPr>
                <w:sz w:val="22"/>
                <w:szCs w:val="22"/>
              </w:rPr>
            </w:pPr>
            <w:r w:rsidRPr="00D25FC9">
              <w:rPr>
                <w:sz w:val="22"/>
                <w:szCs w:val="22"/>
              </w:rPr>
              <w:t>K. Ferroalloy Production</w:t>
            </w:r>
          </w:p>
        </w:tc>
        <w:tc>
          <w:tcPr>
            <w:tcW w:w="6090" w:type="dxa"/>
          </w:tcPr>
          <w:p w14:paraId="56E1D43E" w14:textId="27B01298" w:rsidR="00BF0364" w:rsidRPr="00D25FC9" w:rsidRDefault="00BF0364">
            <w:pPr>
              <w:rPr>
                <w:sz w:val="22"/>
                <w:szCs w:val="22"/>
              </w:rPr>
            </w:pPr>
            <w:r w:rsidRPr="00D25FC9">
              <w:rPr>
                <w:sz w:val="22"/>
                <w:szCs w:val="22"/>
              </w:rPr>
              <w:t>33111</w:t>
            </w:r>
            <w:r w:rsidR="009705CC" w:rsidRPr="00D25FC9">
              <w:rPr>
                <w:sz w:val="22"/>
                <w:szCs w:val="22"/>
              </w:rPr>
              <w:t>0</w:t>
            </w:r>
            <w:r w:rsidRPr="00D25FC9">
              <w:rPr>
                <w:sz w:val="22"/>
                <w:szCs w:val="22"/>
              </w:rPr>
              <w:t xml:space="preserve"> Ferroalloys manufacturing facilities</w:t>
            </w:r>
          </w:p>
        </w:tc>
      </w:tr>
      <w:tr w:rsidR="00BF0364" w:rsidRPr="00C77927" w14:paraId="59A805C4" w14:textId="77777777" w:rsidTr="241623E5">
        <w:trPr>
          <w:cantSplit/>
          <w:jc w:val="center"/>
        </w:trPr>
        <w:tc>
          <w:tcPr>
            <w:tcW w:w="2460" w:type="dxa"/>
          </w:tcPr>
          <w:p w14:paraId="5A8D4FB8" w14:textId="77777777" w:rsidR="00BF0364" w:rsidRPr="00D25FC9" w:rsidRDefault="00BF0364">
            <w:pPr>
              <w:rPr>
                <w:sz w:val="22"/>
                <w:szCs w:val="22"/>
              </w:rPr>
            </w:pPr>
            <w:r w:rsidRPr="00D25FC9">
              <w:rPr>
                <w:sz w:val="22"/>
                <w:szCs w:val="22"/>
              </w:rPr>
              <w:t>L</w:t>
            </w:r>
            <w:r w:rsidR="002C652C" w:rsidRPr="00D25FC9">
              <w:rPr>
                <w:sz w:val="22"/>
                <w:szCs w:val="22"/>
              </w:rPr>
              <w:t xml:space="preserve">. </w:t>
            </w:r>
            <w:r w:rsidRPr="00D25FC9">
              <w:rPr>
                <w:sz w:val="22"/>
                <w:szCs w:val="22"/>
              </w:rPr>
              <w:t>Fluorinated GHG Production</w:t>
            </w:r>
          </w:p>
        </w:tc>
        <w:tc>
          <w:tcPr>
            <w:tcW w:w="6090" w:type="dxa"/>
          </w:tcPr>
          <w:p w14:paraId="7A383722" w14:textId="77777777" w:rsidR="00BF0364" w:rsidRPr="00D25FC9" w:rsidRDefault="00BF0364">
            <w:pPr>
              <w:rPr>
                <w:sz w:val="22"/>
                <w:szCs w:val="22"/>
              </w:rPr>
            </w:pPr>
            <w:r w:rsidRPr="00D25FC9">
              <w:rPr>
                <w:sz w:val="22"/>
                <w:szCs w:val="22"/>
              </w:rPr>
              <w:t>325120 Industrial gases manufacturing facilities</w:t>
            </w:r>
          </w:p>
        </w:tc>
      </w:tr>
      <w:tr w:rsidR="00BF0364" w:rsidRPr="00C77927" w14:paraId="3B3351F5" w14:textId="77777777" w:rsidTr="241623E5">
        <w:trPr>
          <w:cantSplit/>
          <w:jc w:val="center"/>
        </w:trPr>
        <w:tc>
          <w:tcPr>
            <w:tcW w:w="2460" w:type="dxa"/>
          </w:tcPr>
          <w:p w14:paraId="1DF21822" w14:textId="77777777" w:rsidR="00BF0364" w:rsidRPr="00D25FC9" w:rsidRDefault="00BF0364">
            <w:pPr>
              <w:rPr>
                <w:sz w:val="22"/>
                <w:szCs w:val="22"/>
              </w:rPr>
            </w:pPr>
            <w:r w:rsidRPr="00D25FC9">
              <w:rPr>
                <w:sz w:val="22"/>
                <w:szCs w:val="22"/>
              </w:rPr>
              <w:t>N. Glass Production</w:t>
            </w:r>
          </w:p>
        </w:tc>
        <w:tc>
          <w:tcPr>
            <w:tcW w:w="6090" w:type="dxa"/>
          </w:tcPr>
          <w:p w14:paraId="6B94815A" w14:textId="77777777" w:rsidR="00BF0364" w:rsidRPr="00D25FC9" w:rsidRDefault="00BF0364">
            <w:pPr>
              <w:rPr>
                <w:sz w:val="22"/>
                <w:szCs w:val="22"/>
              </w:rPr>
            </w:pPr>
            <w:r w:rsidRPr="00D25FC9">
              <w:rPr>
                <w:sz w:val="22"/>
                <w:szCs w:val="22"/>
              </w:rPr>
              <w:t>327211 Flat glass manufacturing facilities; 327213 Glass container manufacturing facilities; 327212 Other pressed and blown glass and glassware manufacturing facilities</w:t>
            </w:r>
          </w:p>
        </w:tc>
      </w:tr>
      <w:tr w:rsidR="00BF0364" w:rsidRPr="00C77927" w14:paraId="0DA8E17E" w14:textId="77777777" w:rsidTr="241623E5">
        <w:trPr>
          <w:cantSplit/>
          <w:jc w:val="center"/>
        </w:trPr>
        <w:tc>
          <w:tcPr>
            <w:tcW w:w="2460" w:type="dxa"/>
          </w:tcPr>
          <w:p w14:paraId="3ADBEC03" w14:textId="77777777" w:rsidR="00BF0364" w:rsidRPr="00D25FC9" w:rsidRDefault="00BF0364">
            <w:pPr>
              <w:rPr>
                <w:sz w:val="22"/>
                <w:szCs w:val="22"/>
              </w:rPr>
            </w:pPr>
            <w:r w:rsidRPr="00D25FC9">
              <w:rPr>
                <w:sz w:val="22"/>
                <w:szCs w:val="22"/>
              </w:rPr>
              <w:t>O. HCFC-22 Production and HFC-23 Destruction</w:t>
            </w:r>
          </w:p>
        </w:tc>
        <w:tc>
          <w:tcPr>
            <w:tcW w:w="6090" w:type="dxa"/>
          </w:tcPr>
          <w:p w14:paraId="21F9F7EC" w14:textId="77777777" w:rsidR="00BF0364" w:rsidRPr="00D25FC9" w:rsidRDefault="00BF0364">
            <w:pPr>
              <w:rPr>
                <w:sz w:val="22"/>
                <w:szCs w:val="22"/>
              </w:rPr>
            </w:pPr>
            <w:r w:rsidRPr="00D25FC9">
              <w:rPr>
                <w:sz w:val="22"/>
                <w:szCs w:val="22"/>
              </w:rPr>
              <w:t>325120 Chlorodifluoromethane manufacturing facilities</w:t>
            </w:r>
          </w:p>
        </w:tc>
      </w:tr>
      <w:tr w:rsidR="00BF0364" w:rsidRPr="00C77927" w14:paraId="7B2E623D" w14:textId="77777777" w:rsidTr="241623E5">
        <w:trPr>
          <w:cantSplit/>
          <w:jc w:val="center"/>
        </w:trPr>
        <w:tc>
          <w:tcPr>
            <w:tcW w:w="2460" w:type="dxa"/>
          </w:tcPr>
          <w:p w14:paraId="22DF6090" w14:textId="77777777" w:rsidR="00BF0364" w:rsidRPr="00D25FC9" w:rsidRDefault="00BF0364">
            <w:pPr>
              <w:rPr>
                <w:sz w:val="22"/>
                <w:szCs w:val="22"/>
              </w:rPr>
            </w:pPr>
            <w:r w:rsidRPr="00D25FC9">
              <w:rPr>
                <w:sz w:val="22"/>
                <w:szCs w:val="22"/>
              </w:rPr>
              <w:t>P. Hydrogen Production</w:t>
            </w:r>
          </w:p>
        </w:tc>
        <w:tc>
          <w:tcPr>
            <w:tcW w:w="6090" w:type="dxa"/>
          </w:tcPr>
          <w:p w14:paraId="6E883A38" w14:textId="77777777" w:rsidR="00BF0364" w:rsidRPr="00D25FC9" w:rsidRDefault="00BF0364">
            <w:pPr>
              <w:rPr>
                <w:sz w:val="22"/>
                <w:szCs w:val="22"/>
              </w:rPr>
            </w:pPr>
            <w:r w:rsidRPr="00D25FC9">
              <w:rPr>
                <w:sz w:val="22"/>
                <w:szCs w:val="22"/>
              </w:rPr>
              <w:t>325120 Hydrogen manufacturing facilities</w:t>
            </w:r>
          </w:p>
        </w:tc>
      </w:tr>
      <w:tr w:rsidR="00BF0364" w:rsidRPr="00C77927" w14:paraId="5250E541" w14:textId="77777777" w:rsidTr="241623E5">
        <w:trPr>
          <w:cantSplit/>
          <w:jc w:val="center"/>
        </w:trPr>
        <w:tc>
          <w:tcPr>
            <w:tcW w:w="2460" w:type="dxa"/>
          </w:tcPr>
          <w:p w14:paraId="3D7BAD94" w14:textId="77777777" w:rsidR="00BF0364" w:rsidRPr="00D25FC9" w:rsidRDefault="00BF0364">
            <w:pPr>
              <w:rPr>
                <w:sz w:val="22"/>
                <w:szCs w:val="22"/>
              </w:rPr>
            </w:pPr>
            <w:r w:rsidRPr="00D25FC9">
              <w:rPr>
                <w:sz w:val="22"/>
                <w:szCs w:val="22"/>
              </w:rPr>
              <w:t>Q. Iron and Steel Production</w:t>
            </w:r>
          </w:p>
        </w:tc>
        <w:tc>
          <w:tcPr>
            <w:tcW w:w="6090" w:type="dxa"/>
          </w:tcPr>
          <w:p w14:paraId="4CBEE480" w14:textId="28C627C3" w:rsidR="00BF0364" w:rsidRPr="00D25FC9" w:rsidRDefault="00BF0364">
            <w:pPr>
              <w:rPr>
                <w:sz w:val="22"/>
                <w:szCs w:val="22"/>
              </w:rPr>
            </w:pPr>
            <w:r w:rsidRPr="00D25FC9">
              <w:rPr>
                <w:sz w:val="22"/>
                <w:szCs w:val="22"/>
              </w:rPr>
              <w:t>33111</w:t>
            </w:r>
            <w:r w:rsidR="009705CC" w:rsidRPr="00D25FC9">
              <w:rPr>
                <w:sz w:val="22"/>
                <w:szCs w:val="22"/>
              </w:rPr>
              <w:t>0</w:t>
            </w:r>
            <w:r w:rsidRPr="00D25FC9">
              <w:rPr>
                <w:sz w:val="22"/>
                <w:szCs w:val="22"/>
              </w:rPr>
              <w:t xml:space="preserve"> Integrated iron and steel mills, steel companies, sinter plants, blast furnaces, basic oxygen process furnace (BOPF) shops</w:t>
            </w:r>
          </w:p>
        </w:tc>
      </w:tr>
      <w:tr w:rsidR="00BF0364" w:rsidRPr="00C77927" w14:paraId="5613C96D" w14:textId="77777777" w:rsidTr="241623E5">
        <w:trPr>
          <w:cantSplit/>
          <w:jc w:val="center"/>
        </w:trPr>
        <w:tc>
          <w:tcPr>
            <w:tcW w:w="2460" w:type="dxa"/>
          </w:tcPr>
          <w:p w14:paraId="0477D7E4" w14:textId="77777777" w:rsidR="00BF0364" w:rsidRPr="00D25FC9" w:rsidRDefault="00BF0364">
            <w:pPr>
              <w:rPr>
                <w:sz w:val="22"/>
                <w:szCs w:val="22"/>
              </w:rPr>
            </w:pPr>
            <w:r w:rsidRPr="00D25FC9">
              <w:rPr>
                <w:sz w:val="22"/>
                <w:szCs w:val="22"/>
              </w:rPr>
              <w:t>R. Lead Production</w:t>
            </w:r>
          </w:p>
        </w:tc>
        <w:tc>
          <w:tcPr>
            <w:tcW w:w="6090" w:type="dxa"/>
          </w:tcPr>
          <w:p w14:paraId="04A2012D" w14:textId="77777777" w:rsidR="00BF0364" w:rsidRPr="00D25FC9" w:rsidRDefault="00BF0364">
            <w:pPr>
              <w:widowControl w:val="0"/>
              <w:rPr>
                <w:sz w:val="22"/>
                <w:szCs w:val="22"/>
              </w:rPr>
            </w:pPr>
            <w:r w:rsidRPr="00D25FC9">
              <w:rPr>
                <w:sz w:val="22"/>
                <w:szCs w:val="22"/>
              </w:rPr>
              <w:t>331419 Primary lead smelting and refining facilities; 331492 Secondary lead smelting and refining facilities</w:t>
            </w:r>
          </w:p>
        </w:tc>
      </w:tr>
      <w:tr w:rsidR="00BF0364" w:rsidRPr="00C77927" w14:paraId="6C978F1F" w14:textId="77777777" w:rsidTr="241623E5">
        <w:trPr>
          <w:cantSplit/>
          <w:jc w:val="center"/>
        </w:trPr>
        <w:tc>
          <w:tcPr>
            <w:tcW w:w="2460" w:type="dxa"/>
          </w:tcPr>
          <w:p w14:paraId="50234FA3" w14:textId="77777777" w:rsidR="00BF0364" w:rsidRPr="00D25FC9" w:rsidRDefault="00BF0364">
            <w:pPr>
              <w:rPr>
                <w:sz w:val="22"/>
                <w:szCs w:val="22"/>
              </w:rPr>
            </w:pPr>
            <w:r w:rsidRPr="00D25FC9">
              <w:rPr>
                <w:sz w:val="22"/>
                <w:szCs w:val="22"/>
              </w:rPr>
              <w:t>S. Lime Manufacturing</w:t>
            </w:r>
          </w:p>
        </w:tc>
        <w:tc>
          <w:tcPr>
            <w:tcW w:w="6090" w:type="dxa"/>
          </w:tcPr>
          <w:p w14:paraId="75B2EF69" w14:textId="77777777" w:rsidR="00BF0364" w:rsidRPr="00D25FC9" w:rsidRDefault="00BF0364">
            <w:pPr>
              <w:rPr>
                <w:sz w:val="22"/>
                <w:szCs w:val="22"/>
              </w:rPr>
            </w:pPr>
            <w:r w:rsidRPr="00D25FC9">
              <w:rPr>
                <w:sz w:val="22"/>
                <w:szCs w:val="22"/>
              </w:rPr>
              <w:t>327410 Calcium oxide, calcium hydroxide, dolomitic hydrates manufacturing facilities</w:t>
            </w:r>
          </w:p>
        </w:tc>
      </w:tr>
      <w:tr w:rsidR="00BF0364" w:rsidRPr="00C77927" w14:paraId="25997F9A" w14:textId="77777777" w:rsidTr="241623E5">
        <w:trPr>
          <w:cantSplit/>
          <w:jc w:val="center"/>
        </w:trPr>
        <w:tc>
          <w:tcPr>
            <w:tcW w:w="2460" w:type="dxa"/>
          </w:tcPr>
          <w:p w14:paraId="0D5A7B65" w14:textId="77777777" w:rsidR="00BF0364" w:rsidRPr="00D25FC9" w:rsidRDefault="00717194">
            <w:pPr>
              <w:rPr>
                <w:sz w:val="22"/>
                <w:szCs w:val="22"/>
              </w:rPr>
            </w:pPr>
            <w:r w:rsidRPr="00D25FC9">
              <w:rPr>
                <w:sz w:val="22"/>
                <w:szCs w:val="22"/>
              </w:rPr>
              <w:t xml:space="preserve">T. </w:t>
            </w:r>
            <w:r w:rsidR="00BF0364" w:rsidRPr="00D25FC9">
              <w:rPr>
                <w:sz w:val="22"/>
                <w:szCs w:val="22"/>
              </w:rPr>
              <w:t xml:space="preserve">Magnesium Production </w:t>
            </w:r>
          </w:p>
        </w:tc>
        <w:tc>
          <w:tcPr>
            <w:tcW w:w="6090" w:type="dxa"/>
          </w:tcPr>
          <w:p w14:paraId="633C9127" w14:textId="77777777" w:rsidR="00BF0364" w:rsidRPr="00D25FC9" w:rsidRDefault="00BF0364">
            <w:pPr>
              <w:rPr>
                <w:sz w:val="22"/>
                <w:szCs w:val="22"/>
              </w:rPr>
            </w:pPr>
            <w:r w:rsidRPr="00D25FC9">
              <w:rPr>
                <w:sz w:val="22"/>
                <w:szCs w:val="22"/>
              </w:rPr>
              <w:t>331419 Primary refiners of nonferrous</w:t>
            </w:r>
            <w:r w:rsidR="00640A16" w:rsidRPr="00D25FC9">
              <w:rPr>
                <w:sz w:val="22"/>
                <w:szCs w:val="22"/>
              </w:rPr>
              <w:t xml:space="preserve"> metals by electrolytic methods; </w:t>
            </w:r>
            <w:r w:rsidRPr="00D25FC9">
              <w:rPr>
                <w:sz w:val="22"/>
                <w:szCs w:val="22"/>
              </w:rPr>
              <w:t>331492 Secondary magnesium processing plants</w:t>
            </w:r>
          </w:p>
        </w:tc>
      </w:tr>
      <w:tr w:rsidR="00BF0364" w:rsidRPr="00C77927" w14:paraId="65B7EED7" w14:textId="77777777" w:rsidTr="241623E5">
        <w:trPr>
          <w:cantSplit/>
          <w:jc w:val="center"/>
        </w:trPr>
        <w:tc>
          <w:tcPr>
            <w:tcW w:w="2460" w:type="dxa"/>
          </w:tcPr>
          <w:p w14:paraId="0CC10925" w14:textId="77777777" w:rsidR="00BF0364" w:rsidRPr="00D25FC9" w:rsidRDefault="00BF0364">
            <w:pPr>
              <w:rPr>
                <w:sz w:val="22"/>
                <w:szCs w:val="22"/>
              </w:rPr>
            </w:pPr>
            <w:r w:rsidRPr="00D25FC9">
              <w:rPr>
                <w:sz w:val="22"/>
                <w:szCs w:val="22"/>
              </w:rPr>
              <w:t>U. Miscellaneous Uses of Carbonate</w:t>
            </w:r>
          </w:p>
        </w:tc>
        <w:tc>
          <w:tcPr>
            <w:tcW w:w="6090" w:type="dxa"/>
          </w:tcPr>
          <w:p w14:paraId="64888DE1" w14:textId="77777777" w:rsidR="00BF0364" w:rsidRPr="00D25FC9" w:rsidRDefault="00BF0364">
            <w:pPr>
              <w:rPr>
                <w:sz w:val="22"/>
                <w:szCs w:val="22"/>
              </w:rPr>
            </w:pPr>
            <w:r w:rsidRPr="00D25FC9">
              <w:rPr>
                <w:sz w:val="22"/>
                <w:szCs w:val="22"/>
              </w:rPr>
              <w:t>Facilities included elsewhere</w:t>
            </w:r>
          </w:p>
        </w:tc>
      </w:tr>
      <w:tr w:rsidR="00BF0364" w:rsidRPr="00C77927" w14:paraId="0D4B72A2" w14:textId="77777777" w:rsidTr="241623E5">
        <w:trPr>
          <w:cantSplit/>
          <w:jc w:val="center"/>
        </w:trPr>
        <w:tc>
          <w:tcPr>
            <w:tcW w:w="2460" w:type="dxa"/>
          </w:tcPr>
          <w:p w14:paraId="5C52A2D8" w14:textId="77777777" w:rsidR="00BF0364" w:rsidRPr="00D25FC9" w:rsidRDefault="00BF0364">
            <w:pPr>
              <w:rPr>
                <w:sz w:val="22"/>
                <w:szCs w:val="22"/>
              </w:rPr>
            </w:pPr>
            <w:r w:rsidRPr="00D25FC9">
              <w:rPr>
                <w:sz w:val="22"/>
                <w:szCs w:val="22"/>
              </w:rPr>
              <w:t>V. Nitric Acid Production</w:t>
            </w:r>
          </w:p>
        </w:tc>
        <w:tc>
          <w:tcPr>
            <w:tcW w:w="6090" w:type="dxa"/>
          </w:tcPr>
          <w:p w14:paraId="693E1228" w14:textId="77777777" w:rsidR="00BF0364" w:rsidRPr="00D25FC9" w:rsidRDefault="00BF0364">
            <w:pPr>
              <w:rPr>
                <w:sz w:val="22"/>
                <w:szCs w:val="22"/>
              </w:rPr>
            </w:pPr>
            <w:r w:rsidRPr="00D25FC9">
              <w:rPr>
                <w:sz w:val="22"/>
                <w:szCs w:val="22"/>
              </w:rPr>
              <w:t>325311 Nitric acid manufacturing facilities</w:t>
            </w:r>
          </w:p>
        </w:tc>
      </w:tr>
      <w:tr w:rsidR="00BF0364" w:rsidRPr="00C77927" w14:paraId="517D5B75" w14:textId="77777777" w:rsidTr="241623E5">
        <w:trPr>
          <w:cantSplit/>
          <w:jc w:val="center"/>
        </w:trPr>
        <w:tc>
          <w:tcPr>
            <w:tcW w:w="2460" w:type="dxa"/>
          </w:tcPr>
          <w:p w14:paraId="22796C1F" w14:textId="77777777" w:rsidR="00BF0364" w:rsidRPr="00D25FC9" w:rsidRDefault="00BF0364">
            <w:pPr>
              <w:rPr>
                <w:sz w:val="22"/>
                <w:szCs w:val="22"/>
              </w:rPr>
            </w:pPr>
            <w:r w:rsidRPr="00D25FC9">
              <w:rPr>
                <w:sz w:val="22"/>
                <w:szCs w:val="22"/>
              </w:rPr>
              <w:t>W</w:t>
            </w:r>
            <w:r w:rsidR="002C652C" w:rsidRPr="00D25FC9">
              <w:rPr>
                <w:sz w:val="22"/>
                <w:szCs w:val="22"/>
              </w:rPr>
              <w:t xml:space="preserve">. </w:t>
            </w:r>
            <w:r w:rsidRPr="00D25FC9">
              <w:rPr>
                <w:sz w:val="22"/>
                <w:szCs w:val="22"/>
              </w:rPr>
              <w:t>Petroleum and Natural Gas Systems</w:t>
            </w:r>
          </w:p>
        </w:tc>
        <w:tc>
          <w:tcPr>
            <w:tcW w:w="6090" w:type="dxa"/>
          </w:tcPr>
          <w:p w14:paraId="2735AEBD" w14:textId="604001C0" w:rsidR="00BF0364" w:rsidRPr="00D25FC9" w:rsidRDefault="00BF0364">
            <w:pPr>
              <w:rPr>
                <w:sz w:val="22"/>
                <w:szCs w:val="22"/>
              </w:rPr>
            </w:pPr>
            <w:r w:rsidRPr="00D25FC9">
              <w:rPr>
                <w:sz w:val="22"/>
                <w:szCs w:val="22"/>
              </w:rPr>
              <w:t>486210</w:t>
            </w:r>
            <w:r w:rsidR="002C54FB" w:rsidRPr="00D25FC9">
              <w:rPr>
                <w:sz w:val="22"/>
                <w:szCs w:val="22"/>
              </w:rPr>
              <w:t xml:space="preserve"> </w:t>
            </w:r>
            <w:r w:rsidRPr="00D25FC9">
              <w:rPr>
                <w:sz w:val="22"/>
                <w:szCs w:val="22"/>
              </w:rPr>
              <w:t>Pipeline transportation of natural gas</w:t>
            </w:r>
            <w:r w:rsidR="00640A16" w:rsidRPr="00D25FC9">
              <w:rPr>
                <w:sz w:val="22"/>
                <w:szCs w:val="22"/>
              </w:rPr>
              <w:t xml:space="preserve">; </w:t>
            </w:r>
            <w:r w:rsidRPr="00D25FC9">
              <w:rPr>
                <w:sz w:val="22"/>
                <w:szCs w:val="22"/>
              </w:rPr>
              <w:t>221210</w:t>
            </w:r>
            <w:r w:rsidR="002C54FB" w:rsidRPr="00D25FC9">
              <w:rPr>
                <w:sz w:val="22"/>
                <w:szCs w:val="22"/>
              </w:rPr>
              <w:t xml:space="preserve"> </w:t>
            </w:r>
            <w:r w:rsidRPr="00D25FC9">
              <w:rPr>
                <w:sz w:val="22"/>
                <w:szCs w:val="22"/>
              </w:rPr>
              <w:t xml:space="preserve">Natural gas distribution </w:t>
            </w:r>
            <w:r w:rsidR="00640A16" w:rsidRPr="00D25FC9">
              <w:rPr>
                <w:sz w:val="22"/>
                <w:szCs w:val="22"/>
              </w:rPr>
              <w:t xml:space="preserve">facilities; </w:t>
            </w:r>
            <w:r w:rsidR="009705CC" w:rsidRPr="00D25FC9">
              <w:rPr>
                <w:sz w:val="22"/>
                <w:szCs w:val="22"/>
              </w:rPr>
              <w:t>21112 Crude petroleum extraction; 21113 Natural gas extraction</w:t>
            </w:r>
          </w:p>
        </w:tc>
      </w:tr>
      <w:tr w:rsidR="00BF0364" w:rsidRPr="00C77927" w14:paraId="5C0EB50A" w14:textId="77777777" w:rsidTr="241623E5">
        <w:trPr>
          <w:cantSplit/>
          <w:jc w:val="center"/>
        </w:trPr>
        <w:tc>
          <w:tcPr>
            <w:tcW w:w="2460" w:type="dxa"/>
          </w:tcPr>
          <w:p w14:paraId="512A6654" w14:textId="77777777" w:rsidR="00BF0364" w:rsidRPr="00D25FC9" w:rsidRDefault="00BF0364">
            <w:pPr>
              <w:rPr>
                <w:sz w:val="22"/>
                <w:szCs w:val="22"/>
              </w:rPr>
            </w:pPr>
            <w:r w:rsidRPr="00D25FC9">
              <w:rPr>
                <w:sz w:val="22"/>
                <w:szCs w:val="22"/>
              </w:rPr>
              <w:t>X. Petrochemical Production</w:t>
            </w:r>
          </w:p>
        </w:tc>
        <w:tc>
          <w:tcPr>
            <w:tcW w:w="6090" w:type="dxa"/>
          </w:tcPr>
          <w:p w14:paraId="62A481A6" w14:textId="12901E16" w:rsidR="00BF0364" w:rsidRPr="00D25FC9" w:rsidRDefault="00BF0364">
            <w:pPr>
              <w:rPr>
                <w:sz w:val="22"/>
                <w:szCs w:val="22"/>
              </w:rPr>
            </w:pPr>
            <w:r w:rsidRPr="00D25FC9">
              <w:rPr>
                <w:sz w:val="22"/>
                <w:szCs w:val="22"/>
              </w:rPr>
              <w:t>32511 Ethylene dichloride manufacturing facilities; 325199 Acrylonitrile, ethylene oxide, methanol manufacturing facilities; 325110 Ethylene manufacturing facilities; 32518</w:t>
            </w:r>
            <w:r w:rsidR="009705CC" w:rsidRPr="00D25FC9">
              <w:rPr>
                <w:sz w:val="22"/>
                <w:szCs w:val="22"/>
              </w:rPr>
              <w:t>0</w:t>
            </w:r>
            <w:r w:rsidRPr="00D25FC9">
              <w:rPr>
                <w:sz w:val="22"/>
                <w:szCs w:val="22"/>
              </w:rPr>
              <w:t xml:space="preserve"> Carbon black manufacturing facilities</w:t>
            </w:r>
          </w:p>
        </w:tc>
      </w:tr>
      <w:tr w:rsidR="00BF0364" w:rsidRPr="00C77927" w14:paraId="7BFB1839" w14:textId="77777777" w:rsidTr="241623E5">
        <w:trPr>
          <w:cantSplit/>
          <w:jc w:val="center"/>
        </w:trPr>
        <w:tc>
          <w:tcPr>
            <w:tcW w:w="2460" w:type="dxa"/>
          </w:tcPr>
          <w:p w14:paraId="3B442483" w14:textId="77777777" w:rsidR="00BF0364" w:rsidRPr="00D25FC9" w:rsidRDefault="00BF0364">
            <w:pPr>
              <w:rPr>
                <w:sz w:val="22"/>
                <w:szCs w:val="22"/>
              </w:rPr>
            </w:pPr>
            <w:r w:rsidRPr="00D25FC9">
              <w:rPr>
                <w:sz w:val="22"/>
                <w:szCs w:val="22"/>
              </w:rPr>
              <w:t>Y. Petroleum Refineries</w:t>
            </w:r>
          </w:p>
        </w:tc>
        <w:tc>
          <w:tcPr>
            <w:tcW w:w="6090" w:type="dxa"/>
          </w:tcPr>
          <w:p w14:paraId="4039944D" w14:textId="77777777" w:rsidR="00BF0364" w:rsidRPr="00D25FC9" w:rsidRDefault="00BF0364">
            <w:pPr>
              <w:rPr>
                <w:sz w:val="22"/>
                <w:szCs w:val="22"/>
              </w:rPr>
            </w:pPr>
            <w:r w:rsidRPr="00D25FC9">
              <w:rPr>
                <w:sz w:val="22"/>
                <w:szCs w:val="22"/>
              </w:rPr>
              <w:t>324110 Petroleum refineries</w:t>
            </w:r>
          </w:p>
        </w:tc>
      </w:tr>
      <w:tr w:rsidR="00BF0364" w:rsidRPr="00C77927" w14:paraId="5BA4184D" w14:textId="77777777" w:rsidTr="241623E5">
        <w:trPr>
          <w:cantSplit/>
          <w:jc w:val="center"/>
        </w:trPr>
        <w:tc>
          <w:tcPr>
            <w:tcW w:w="2460" w:type="dxa"/>
          </w:tcPr>
          <w:p w14:paraId="6ADD4322" w14:textId="77777777" w:rsidR="00BF0364" w:rsidRPr="00D25FC9" w:rsidRDefault="00BF0364">
            <w:pPr>
              <w:rPr>
                <w:sz w:val="22"/>
                <w:szCs w:val="22"/>
              </w:rPr>
            </w:pPr>
            <w:r w:rsidRPr="00D25FC9">
              <w:rPr>
                <w:sz w:val="22"/>
                <w:szCs w:val="22"/>
              </w:rPr>
              <w:t>Z. Phosphoric Acid Production</w:t>
            </w:r>
          </w:p>
        </w:tc>
        <w:tc>
          <w:tcPr>
            <w:tcW w:w="6090" w:type="dxa"/>
          </w:tcPr>
          <w:p w14:paraId="45655614" w14:textId="77777777" w:rsidR="00BF0364" w:rsidRPr="00D25FC9" w:rsidRDefault="00BF0364">
            <w:pPr>
              <w:rPr>
                <w:sz w:val="22"/>
                <w:szCs w:val="22"/>
              </w:rPr>
            </w:pPr>
            <w:r w:rsidRPr="00D25FC9">
              <w:rPr>
                <w:sz w:val="22"/>
                <w:szCs w:val="22"/>
              </w:rPr>
              <w:t>325312 Phosphoric acid manufacturing facilities</w:t>
            </w:r>
          </w:p>
        </w:tc>
      </w:tr>
      <w:tr w:rsidR="00BF0364" w:rsidRPr="00C77927" w14:paraId="5674CA5F" w14:textId="77777777" w:rsidTr="241623E5">
        <w:trPr>
          <w:cantSplit/>
          <w:jc w:val="center"/>
        </w:trPr>
        <w:tc>
          <w:tcPr>
            <w:tcW w:w="2460" w:type="dxa"/>
          </w:tcPr>
          <w:p w14:paraId="41453669" w14:textId="77777777" w:rsidR="00BF0364" w:rsidRPr="00D25FC9" w:rsidRDefault="00BF0364">
            <w:pPr>
              <w:rPr>
                <w:sz w:val="22"/>
                <w:szCs w:val="22"/>
              </w:rPr>
            </w:pPr>
            <w:r w:rsidRPr="00D25FC9">
              <w:rPr>
                <w:sz w:val="22"/>
                <w:szCs w:val="22"/>
              </w:rPr>
              <w:t>AA. Pulp and Paper Manufacturing</w:t>
            </w:r>
          </w:p>
        </w:tc>
        <w:tc>
          <w:tcPr>
            <w:tcW w:w="6090" w:type="dxa"/>
          </w:tcPr>
          <w:p w14:paraId="17453E54" w14:textId="77777777" w:rsidR="00BF0364" w:rsidRPr="00D25FC9" w:rsidRDefault="00BF0364">
            <w:pPr>
              <w:rPr>
                <w:sz w:val="22"/>
                <w:szCs w:val="22"/>
              </w:rPr>
            </w:pPr>
            <w:r w:rsidRPr="00D25FC9">
              <w:rPr>
                <w:sz w:val="22"/>
                <w:szCs w:val="22"/>
              </w:rPr>
              <w:t>322110 Pulp mills; 322121 Paper mills; 322130 Paperboard mills</w:t>
            </w:r>
          </w:p>
        </w:tc>
      </w:tr>
      <w:tr w:rsidR="00BF0364" w:rsidRPr="00C77927" w14:paraId="27F23C5B" w14:textId="77777777" w:rsidTr="241623E5">
        <w:trPr>
          <w:cantSplit/>
          <w:jc w:val="center"/>
        </w:trPr>
        <w:tc>
          <w:tcPr>
            <w:tcW w:w="2460" w:type="dxa"/>
          </w:tcPr>
          <w:p w14:paraId="59847EA5" w14:textId="77777777" w:rsidR="00BF0364" w:rsidRPr="00D25FC9" w:rsidRDefault="00BF0364">
            <w:pPr>
              <w:rPr>
                <w:sz w:val="22"/>
                <w:szCs w:val="22"/>
              </w:rPr>
            </w:pPr>
            <w:r w:rsidRPr="00D25FC9">
              <w:rPr>
                <w:sz w:val="22"/>
                <w:szCs w:val="22"/>
              </w:rPr>
              <w:t>BB. Silicon Carbide Production</w:t>
            </w:r>
          </w:p>
        </w:tc>
        <w:tc>
          <w:tcPr>
            <w:tcW w:w="6090" w:type="dxa"/>
          </w:tcPr>
          <w:p w14:paraId="4AFB5B81" w14:textId="77777777" w:rsidR="00BF0364" w:rsidRPr="00D25FC9" w:rsidRDefault="00BF0364">
            <w:pPr>
              <w:rPr>
                <w:sz w:val="22"/>
                <w:szCs w:val="22"/>
              </w:rPr>
            </w:pPr>
            <w:r w:rsidRPr="00D25FC9">
              <w:rPr>
                <w:sz w:val="22"/>
                <w:szCs w:val="22"/>
              </w:rPr>
              <w:t>327910 Silicon carbide abrasives manufacturing facilities</w:t>
            </w:r>
          </w:p>
        </w:tc>
      </w:tr>
      <w:tr w:rsidR="00BF0364" w:rsidRPr="00C77927" w14:paraId="6E1B6C77" w14:textId="77777777" w:rsidTr="241623E5">
        <w:trPr>
          <w:cantSplit/>
          <w:jc w:val="center"/>
        </w:trPr>
        <w:tc>
          <w:tcPr>
            <w:tcW w:w="2460" w:type="dxa"/>
          </w:tcPr>
          <w:p w14:paraId="13023665" w14:textId="77777777" w:rsidR="00BF0364" w:rsidRPr="00D25FC9" w:rsidRDefault="00BF0364">
            <w:pPr>
              <w:rPr>
                <w:sz w:val="22"/>
                <w:szCs w:val="22"/>
              </w:rPr>
            </w:pPr>
            <w:r w:rsidRPr="00D25FC9">
              <w:rPr>
                <w:sz w:val="22"/>
                <w:szCs w:val="22"/>
              </w:rPr>
              <w:t>CC. Soda Ash Manufacturing</w:t>
            </w:r>
          </w:p>
        </w:tc>
        <w:tc>
          <w:tcPr>
            <w:tcW w:w="6090" w:type="dxa"/>
          </w:tcPr>
          <w:p w14:paraId="56ED712B" w14:textId="3DDEE4B8" w:rsidR="00BF0364" w:rsidRPr="00D25FC9" w:rsidRDefault="00BF0364">
            <w:pPr>
              <w:rPr>
                <w:sz w:val="22"/>
                <w:szCs w:val="22"/>
              </w:rPr>
            </w:pPr>
            <w:r w:rsidRPr="00D25FC9">
              <w:rPr>
                <w:sz w:val="22"/>
                <w:szCs w:val="22"/>
              </w:rPr>
              <w:t>32518</w:t>
            </w:r>
            <w:r w:rsidR="009705CC" w:rsidRPr="00D25FC9">
              <w:rPr>
                <w:sz w:val="22"/>
                <w:szCs w:val="22"/>
              </w:rPr>
              <w:t>0</w:t>
            </w:r>
            <w:r w:rsidRPr="00D25FC9">
              <w:rPr>
                <w:sz w:val="22"/>
                <w:szCs w:val="22"/>
              </w:rPr>
              <w:t xml:space="preserve"> Alkalis and chlorine manufacturing facilities, 212391 Soda ash, natural, mining and/or beneficiation</w:t>
            </w:r>
          </w:p>
        </w:tc>
      </w:tr>
      <w:tr w:rsidR="00BF0364" w:rsidRPr="00C77927" w14:paraId="3BAEABEA" w14:textId="77777777" w:rsidTr="241623E5">
        <w:trPr>
          <w:cantSplit/>
          <w:jc w:val="center"/>
        </w:trPr>
        <w:tc>
          <w:tcPr>
            <w:tcW w:w="2460" w:type="dxa"/>
          </w:tcPr>
          <w:p w14:paraId="2D1CF603" w14:textId="77777777" w:rsidR="00BF0364" w:rsidRPr="00D25FC9" w:rsidRDefault="00717194">
            <w:pPr>
              <w:rPr>
                <w:sz w:val="22"/>
                <w:szCs w:val="22"/>
              </w:rPr>
            </w:pPr>
            <w:r w:rsidRPr="00D25FC9">
              <w:rPr>
                <w:sz w:val="22"/>
                <w:szCs w:val="22"/>
              </w:rPr>
              <w:t>DD.</w:t>
            </w:r>
            <w:r w:rsidR="00BF0364" w:rsidRPr="00D25FC9">
              <w:rPr>
                <w:sz w:val="22"/>
                <w:szCs w:val="22"/>
              </w:rPr>
              <w:t xml:space="preserve"> Electrical Equipment Use</w:t>
            </w:r>
          </w:p>
        </w:tc>
        <w:tc>
          <w:tcPr>
            <w:tcW w:w="6090" w:type="dxa"/>
          </w:tcPr>
          <w:p w14:paraId="4B169067" w14:textId="77777777" w:rsidR="00BF0364" w:rsidRPr="00D25FC9" w:rsidRDefault="00BF0364">
            <w:pPr>
              <w:rPr>
                <w:sz w:val="22"/>
                <w:szCs w:val="22"/>
              </w:rPr>
            </w:pPr>
            <w:r w:rsidRPr="00D25FC9">
              <w:rPr>
                <w:sz w:val="22"/>
                <w:szCs w:val="22"/>
              </w:rPr>
              <w:t>221121 Electric bulk power transmission and control facilities</w:t>
            </w:r>
          </w:p>
        </w:tc>
      </w:tr>
      <w:tr w:rsidR="00BF0364" w:rsidRPr="00C77927" w14:paraId="06F1CC62" w14:textId="77777777" w:rsidTr="241623E5">
        <w:trPr>
          <w:cantSplit/>
          <w:jc w:val="center"/>
        </w:trPr>
        <w:tc>
          <w:tcPr>
            <w:tcW w:w="2460" w:type="dxa"/>
          </w:tcPr>
          <w:p w14:paraId="37060A72" w14:textId="77777777" w:rsidR="00BF0364" w:rsidRPr="00D25FC9" w:rsidRDefault="00BF0364">
            <w:pPr>
              <w:rPr>
                <w:sz w:val="22"/>
                <w:szCs w:val="22"/>
              </w:rPr>
            </w:pPr>
            <w:r w:rsidRPr="00D25FC9">
              <w:rPr>
                <w:sz w:val="22"/>
                <w:szCs w:val="22"/>
              </w:rPr>
              <w:t>EE. Titanium Dioxide Production</w:t>
            </w:r>
          </w:p>
        </w:tc>
        <w:tc>
          <w:tcPr>
            <w:tcW w:w="6090" w:type="dxa"/>
          </w:tcPr>
          <w:p w14:paraId="7DCB9A77" w14:textId="2AF93F8F" w:rsidR="00BF0364" w:rsidRPr="00D25FC9" w:rsidRDefault="00BF0364">
            <w:pPr>
              <w:rPr>
                <w:sz w:val="22"/>
                <w:szCs w:val="22"/>
              </w:rPr>
            </w:pPr>
            <w:r w:rsidRPr="00D25FC9">
              <w:rPr>
                <w:sz w:val="22"/>
                <w:szCs w:val="22"/>
              </w:rPr>
              <w:t>32518</w:t>
            </w:r>
            <w:r w:rsidR="009705CC" w:rsidRPr="00D25FC9">
              <w:rPr>
                <w:sz w:val="22"/>
                <w:szCs w:val="22"/>
              </w:rPr>
              <w:t>0</w:t>
            </w:r>
            <w:r w:rsidRPr="00D25FC9">
              <w:rPr>
                <w:sz w:val="22"/>
                <w:szCs w:val="22"/>
              </w:rPr>
              <w:t xml:space="preserve"> Titanium dioxide manufacturing facilities</w:t>
            </w:r>
          </w:p>
        </w:tc>
      </w:tr>
      <w:tr w:rsidR="00BF0364" w:rsidRPr="00C77927" w14:paraId="3924F00B" w14:textId="77777777" w:rsidTr="241623E5">
        <w:trPr>
          <w:cantSplit/>
          <w:jc w:val="center"/>
        </w:trPr>
        <w:tc>
          <w:tcPr>
            <w:tcW w:w="2460" w:type="dxa"/>
          </w:tcPr>
          <w:p w14:paraId="053A768A" w14:textId="77777777" w:rsidR="00BF0364" w:rsidRPr="00D25FC9" w:rsidRDefault="00717194">
            <w:pPr>
              <w:rPr>
                <w:sz w:val="22"/>
                <w:szCs w:val="22"/>
              </w:rPr>
            </w:pPr>
            <w:r w:rsidRPr="00D25FC9">
              <w:rPr>
                <w:sz w:val="22"/>
                <w:szCs w:val="22"/>
              </w:rPr>
              <w:t>FF.</w:t>
            </w:r>
            <w:r w:rsidR="00BF0364" w:rsidRPr="00D25FC9">
              <w:rPr>
                <w:sz w:val="22"/>
                <w:szCs w:val="22"/>
              </w:rPr>
              <w:t xml:space="preserve"> Underground Coal Mines</w:t>
            </w:r>
          </w:p>
        </w:tc>
        <w:tc>
          <w:tcPr>
            <w:tcW w:w="6090" w:type="dxa"/>
          </w:tcPr>
          <w:p w14:paraId="2EE242AF" w14:textId="77777777" w:rsidR="00BF0364" w:rsidRPr="00D25FC9" w:rsidRDefault="00BF0364">
            <w:pPr>
              <w:rPr>
                <w:sz w:val="22"/>
                <w:szCs w:val="22"/>
              </w:rPr>
            </w:pPr>
            <w:r w:rsidRPr="00D25FC9">
              <w:rPr>
                <w:sz w:val="22"/>
                <w:szCs w:val="22"/>
              </w:rPr>
              <w:t>212113 Underground an</w:t>
            </w:r>
            <w:r w:rsidR="00717194" w:rsidRPr="00D25FC9">
              <w:rPr>
                <w:sz w:val="22"/>
                <w:szCs w:val="22"/>
              </w:rPr>
              <w:t xml:space="preserve">thracite coal mining operations; </w:t>
            </w:r>
            <w:r w:rsidRPr="00D25FC9">
              <w:rPr>
                <w:sz w:val="22"/>
                <w:szCs w:val="22"/>
              </w:rPr>
              <w:t>212112 Underground bituminous coal mining operations</w:t>
            </w:r>
          </w:p>
        </w:tc>
      </w:tr>
      <w:tr w:rsidR="00BF0364" w:rsidRPr="00C77927" w14:paraId="5FE47F2F" w14:textId="77777777" w:rsidTr="241623E5">
        <w:trPr>
          <w:cantSplit/>
          <w:jc w:val="center"/>
        </w:trPr>
        <w:tc>
          <w:tcPr>
            <w:tcW w:w="2460" w:type="dxa"/>
          </w:tcPr>
          <w:p w14:paraId="59199FE0" w14:textId="77777777" w:rsidR="00BF0364" w:rsidRPr="00D25FC9" w:rsidRDefault="00BF0364">
            <w:pPr>
              <w:rPr>
                <w:sz w:val="22"/>
                <w:szCs w:val="22"/>
              </w:rPr>
            </w:pPr>
            <w:r w:rsidRPr="00D25FC9">
              <w:rPr>
                <w:sz w:val="22"/>
                <w:szCs w:val="22"/>
              </w:rPr>
              <w:t>GG. Zinc Production</w:t>
            </w:r>
          </w:p>
        </w:tc>
        <w:tc>
          <w:tcPr>
            <w:tcW w:w="6090" w:type="dxa"/>
          </w:tcPr>
          <w:p w14:paraId="471731F6" w14:textId="37082D30" w:rsidR="00BF0364" w:rsidRPr="00D25FC9" w:rsidRDefault="00BF0364">
            <w:pPr>
              <w:rPr>
                <w:sz w:val="22"/>
                <w:szCs w:val="22"/>
              </w:rPr>
            </w:pPr>
            <w:r w:rsidRPr="00D25FC9">
              <w:rPr>
                <w:sz w:val="22"/>
                <w:szCs w:val="22"/>
              </w:rPr>
              <w:t>33141</w:t>
            </w:r>
            <w:r w:rsidR="009705CC" w:rsidRPr="00D25FC9">
              <w:rPr>
                <w:sz w:val="22"/>
                <w:szCs w:val="22"/>
              </w:rPr>
              <w:t>0</w:t>
            </w:r>
            <w:r w:rsidRPr="00D25FC9">
              <w:rPr>
                <w:sz w:val="22"/>
                <w:szCs w:val="22"/>
              </w:rPr>
              <w:t xml:space="preserve"> Primary zinc refining facilities; 331492 Zinc dust reclaiming facilities, recovering from scrap and/or alloying purchased metals</w:t>
            </w:r>
          </w:p>
        </w:tc>
      </w:tr>
      <w:tr w:rsidR="00BF0364" w:rsidRPr="00C77927" w14:paraId="53A33B0D" w14:textId="77777777" w:rsidTr="241623E5">
        <w:trPr>
          <w:cantSplit/>
          <w:jc w:val="center"/>
        </w:trPr>
        <w:tc>
          <w:tcPr>
            <w:tcW w:w="2460" w:type="dxa"/>
          </w:tcPr>
          <w:p w14:paraId="5BF01F97" w14:textId="77777777" w:rsidR="00BF0364" w:rsidRPr="00D25FC9" w:rsidRDefault="00BF0364">
            <w:pPr>
              <w:rPr>
                <w:sz w:val="22"/>
                <w:szCs w:val="22"/>
              </w:rPr>
            </w:pPr>
            <w:r w:rsidRPr="00D25FC9">
              <w:rPr>
                <w:sz w:val="22"/>
                <w:szCs w:val="22"/>
              </w:rPr>
              <w:t xml:space="preserve">HH. </w:t>
            </w:r>
            <w:r w:rsidR="006208D8" w:rsidRPr="00D25FC9">
              <w:rPr>
                <w:sz w:val="22"/>
                <w:szCs w:val="22"/>
              </w:rPr>
              <w:t xml:space="preserve">Municipal Solid Waste </w:t>
            </w:r>
            <w:r w:rsidRPr="00D25FC9">
              <w:rPr>
                <w:sz w:val="22"/>
                <w:szCs w:val="22"/>
              </w:rPr>
              <w:t>Landfills</w:t>
            </w:r>
          </w:p>
        </w:tc>
        <w:tc>
          <w:tcPr>
            <w:tcW w:w="6090" w:type="dxa"/>
          </w:tcPr>
          <w:p w14:paraId="25F8C4D1" w14:textId="77777777" w:rsidR="00BF0364" w:rsidRPr="00D25FC9" w:rsidRDefault="00BF0364">
            <w:pPr>
              <w:rPr>
                <w:sz w:val="22"/>
                <w:szCs w:val="22"/>
              </w:rPr>
            </w:pPr>
            <w:r w:rsidRPr="00D25FC9">
              <w:rPr>
                <w:sz w:val="22"/>
                <w:szCs w:val="22"/>
              </w:rPr>
              <w:t>562212 Solid waste landfills; 221320 Sewage Treatment Facilities</w:t>
            </w:r>
          </w:p>
        </w:tc>
      </w:tr>
      <w:tr w:rsidR="00BF0364" w:rsidRPr="00C77927" w14:paraId="69A9B712" w14:textId="77777777" w:rsidTr="241623E5">
        <w:trPr>
          <w:cantSplit/>
          <w:jc w:val="center"/>
        </w:trPr>
        <w:tc>
          <w:tcPr>
            <w:tcW w:w="2460" w:type="dxa"/>
          </w:tcPr>
          <w:p w14:paraId="381D333F" w14:textId="77777777" w:rsidR="00BF0364" w:rsidRPr="00D25FC9" w:rsidRDefault="00717194">
            <w:pPr>
              <w:rPr>
                <w:sz w:val="22"/>
                <w:szCs w:val="22"/>
              </w:rPr>
            </w:pPr>
            <w:r w:rsidRPr="00D25FC9">
              <w:rPr>
                <w:sz w:val="22"/>
                <w:szCs w:val="22"/>
              </w:rPr>
              <w:t>II.</w:t>
            </w:r>
            <w:r w:rsidR="00BF0364" w:rsidRPr="00D25FC9">
              <w:rPr>
                <w:sz w:val="22"/>
                <w:szCs w:val="22"/>
              </w:rPr>
              <w:t xml:space="preserve"> Industrial Wastewater Treatment</w:t>
            </w:r>
          </w:p>
        </w:tc>
        <w:tc>
          <w:tcPr>
            <w:tcW w:w="6090" w:type="dxa"/>
          </w:tcPr>
          <w:p w14:paraId="5343C357" w14:textId="77777777" w:rsidR="00BF0364" w:rsidRPr="00D25FC9" w:rsidRDefault="00640A16">
            <w:pPr>
              <w:rPr>
                <w:sz w:val="22"/>
                <w:szCs w:val="22"/>
              </w:rPr>
            </w:pPr>
            <w:r w:rsidRPr="00D25FC9">
              <w:rPr>
                <w:sz w:val="22"/>
                <w:szCs w:val="22"/>
              </w:rPr>
              <w:t xml:space="preserve">322110 Pulp mills; </w:t>
            </w:r>
            <w:r w:rsidR="00BF0364" w:rsidRPr="00D25FC9">
              <w:rPr>
                <w:sz w:val="22"/>
                <w:szCs w:val="22"/>
              </w:rPr>
              <w:t>322121 Paper mills</w:t>
            </w:r>
            <w:r w:rsidRPr="00D25FC9">
              <w:rPr>
                <w:sz w:val="22"/>
                <w:szCs w:val="22"/>
              </w:rPr>
              <w:t xml:space="preserve">; </w:t>
            </w:r>
            <w:r w:rsidR="00BF0364" w:rsidRPr="00D25FC9">
              <w:rPr>
                <w:sz w:val="22"/>
                <w:szCs w:val="22"/>
              </w:rPr>
              <w:t>322122 Newsprint mills</w:t>
            </w:r>
            <w:r w:rsidRPr="00D25FC9">
              <w:rPr>
                <w:sz w:val="22"/>
                <w:szCs w:val="22"/>
              </w:rPr>
              <w:t xml:space="preserve">; </w:t>
            </w:r>
            <w:r w:rsidR="00BF0364" w:rsidRPr="00D25FC9">
              <w:rPr>
                <w:sz w:val="22"/>
                <w:szCs w:val="22"/>
              </w:rPr>
              <w:t>322130 Paperboard mills</w:t>
            </w:r>
            <w:r w:rsidRPr="00D25FC9">
              <w:rPr>
                <w:sz w:val="22"/>
                <w:szCs w:val="22"/>
              </w:rPr>
              <w:t xml:space="preserve">; </w:t>
            </w:r>
            <w:r w:rsidR="00BF0364" w:rsidRPr="00D25FC9">
              <w:rPr>
                <w:sz w:val="22"/>
                <w:szCs w:val="22"/>
              </w:rPr>
              <w:t>311611 Meat processing facilities</w:t>
            </w:r>
            <w:r w:rsidRPr="00D25FC9">
              <w:rPr>
                <w:sz w:val="22"/>
                <w:szCs w:val="22"/>
              </w:rPr>
              <w:t xml:space="preserve">; </w:t>
            </w:r>
            <w:r w:rsidR="00BF0364" w:rsidRPr="00D25FC9">
              <w:rPr>
                <w:sz w:val="22"/>
                <w:szCs w:val="22"/>
              </w:rPr>
              <w:t>311411 Frozen fruit, juice, and vegetable manufacturing facilities</w:t>
            </w:r>
            <w:r w:rsidRPr="00D25FC9">
              <w:rPr>
                <w:sz w:val="22"/>
                <w:szCs w:val="22"/>
              </w:rPr>
              <w:t xml:space="preserve">; </w:t>
            </w:r>
            <w:r w:rsidR="00BF0364" w:rsidRPr="00D25FC9">
              <w:rPr>
                <w:sz w:val="22"/>
                <w:szCs w:val="22"/>
              </w:rPr>
              <w:t>311421 Fruit and vegetable canning facilities</w:t>
            </w:r>
            <w:r w:rsidRPr="00D25FC9">
              <w:rPr>
                <w:sz w:val="22"/>
                <w:szCs w:val="22"/>
              </w:rPr>
              <w:t xml:space="preserve">; </w:t>
            </w:r>
            <w:r w:rsidR="00BF0364" w:rsidRPr="00D25FC9">
              <w:rPr>
                <w:sz w:val="22"/>
                <w:szCs w:val="22"/>
              </w:rPr>
              <w:t>325193 Ethanol manufacturing facilities</w:t>
            </w:r>
            <w:r w:rsidRPr="00D25FC9">
              <w:rPr>
                <w:sz w:val="22"/>
                <w:szCs w:val="22"/>
              </w:rPr>
              <w:t xml:space="preserve">; </w:t>
            </w:r>
            <w:r w:rsidR="00BF0364" w:rsidRPr="00D25FC9">
              <w:rPr>
                <w:sz w:val="22"/>
                <w:szCs w:val="22"/>
              </w:rPr>
              <w:t>324110 Petroleum refineries</w:t>
            </w:r>
          </w:p>
        </w:tc>
      </w:tr>
      <w:tr w:rsidR="00BF0364" w:rsidRPr="00C77927" w14:paraId="777CD62B" w14:textId="77777777" w:rsidTr="241623E5">
        <w:trPr>
          <w:cantSplit/>
          <w:jc w:val="center"/>
        </w:trPr>
        <w:tc>
          <w:tcPr>
            <w:tcW w:w="2460" w:type="dxa"/>
          </w:tcPr>
          <w:p w14:paraId="3AE3882A" w14:textId="77777777" w:rsidR="00BF0364" w:rsidRPr="00D25FC9" w:rsidRDefault="00BF0364">
            <w:pPr>
              <w:rPr>
                <w:sz w:val="22"/>
                <w:szCs w:val="22"/>
              </w:rPr>
            </w:pPr>
            <w:r w:rsidRPr="00D25FC9">
              <w:rPr>
                <w:sz w:val="22"/>
                <w:szCs w:val="22"/>
              </w:rPr>
              <w:t>LL. Suppliers of Coal-based Liquid Fuels</w:t>
            </w:r>
          </w:p>
        </w:tc>
        <w:tc>
          <w:tcPr>
            <w:tcW w:w="6090" w:type="dxa"/>
          </w:tcPr>
          <w:p w14:paraId="45EB85E7" w14:textId="4FBA54EA" w:rsidR="00BF0364" w:rsidRPr="00D25FC9" w:rsidRDefault="00BF0364">
            <w:pPr>
              <w:rPr>
                <w:sz w:val="22"/>
                <w:szCs w:val="22"/>
              </w:rPr>
            </w:pPr>
            <w:r w:rsidRPr="00D25FC9">
              <w:rPr>
                <w:sz w:val="22"/>
                <w:szCs w:val="22"/>
              </w:rPr>
              <w:t>2111</w:t>
            </w:r>
            <w:r w:rsidR="009705CC" w:rsidRPr="00D25FC9">
              <w:rPr>
                <w:sz w:val="22"/>
                <w:szCs w:val="22"/>
              </w:rPr>
              <w:t>30</w:t>
            </w:r>
            <w:r w:rsidRPr="00D25FC9">
              <w:rPr>
                <w:sz w:val="22"/>
                <w:szCs w:val="22"/>
              </w:rPr>
              <w:t xml:space="preserve"> Coal liquefaction at mine sites</w:t>
            </w:r>
          </w:p>
        </w:tc>
      </w:tr>
      <w:tr w:rsidR="00BF0364" w:rsidRPr="00C77927" w14:paraId="06B9AB8F" w14:textId="77777777" w:rsidTr="241623E5">
        <w:trPr>
          <w:cantSplit/>
          <w:jc w:val="center"/>
        </w:trPr>
        <w:tc>
          <w:tcPr>
            <w:tcW w:w="2460" w:type="dxa"/>
          </w:tcPr>
          <w:p w14:paraId="0B311501" w14:textId="77777777" w:rsidR="00BF0364" w:rsidRPr="00D25FC9" w:rsidRDefault="00BF0364">
            <w:pPr>
              <w:rPr>
                <w:sz w:val="22"/>
                <w:szCs w:val="22"/>
              </w:rPr>
            </w:pPr>
            <w:r w:rsidRPr="00D25FC9">
              <w:rPr>
                <w:sz w:val="22"/>
                <w:szCs w:val="22"/>
              </w:rPr>
              <w:t>MM. Suppliers of Petroleum Products</w:t>
            </w:r>
          </w:p>
        </w:tc>
        <w:tc>
          <w:tcPr>
            <w:tcW w:w="6090" w:type="dxa"/>
          </w:tcPr>
          <w:p w14:paraId="74FF71B2" w14:textId="77777777" w:rsidR="00BF0364" w:rsidRPr="00D25FC9" w:rsidRDefault="00BF0364">
            <w:pPr>
              <w:rPr>
                <w:sz w:val="22"/>
                <w:szCs w:val="22"/>
              </w:rPr>
            </w:pPr>
            <w:r w:rsidRPr="00D25FC9">
              <w:rPr>
                <w:sz w:val="22"/>
                <w:szCs w:val="22"/>
              </w:rPr>
              <w:t>324110 Petroleum refineries</w:t>
            </w:r>
          </w:p>
        </w:tc>
      </w:tr>
      <w:tr w:rsidR="00BF0364" w:rsidRPr="00C77927" w14:paraId="350D7635" w14:textId="77777777" w:rsidTr="241623E5">
        <w:trPr>
          <w:cantSplit/>
          <w:jc w:val="center"/>
        </w:trPr>
        <w:tc>
          <w:tcPr>
            <w:tcW w:w="2460" w:type="dxa"/>
          </w:tcPr>
          <w:p w14:paraId="1BF74406" w14:textId="77777777" w:rsidR="00BF0364" w:rsidRPr="00D25FC9" w:rsidRDefault="00BF0364">
            <w:pPr>
              <w:rPr>
                <w:sz w:val="22"/>
                <w:szCs w:val="22"/>
              </w:rPr>
            </w:pPr>
            <w:r w:rsidRPr="00D25FC9">
              <w:rPr>
                <w:sz w:val="22"/>
                <w:szCs w:val="22"/>
              </w:rPr>
              <w:t>NN. Suppliers of Natural Gas and Natural Gas Liquids</w:t>
            </w:r>
          </w:p>
        </w:tc>
        <w:tc>
          <w:tcPr>
            <w:tcW w:w="6090" w:type="dxa"/>
          </w:tcPr>
          <w:p w14:paraId="77F9610F" w14:textId="77777777" w:rsidR="00BF0364" w:rsidRPr="00D25FC9" w:rsidRDefault="00BF0364">
            <w:pPr>
              <w:rPr>
                <w:sz w:val="22"/>
                <w:szCs w:val="22"/>
              </w:rPr>
            </w:pPr>
            <w:r w:rsidRPr="00D25FC9">
              <w:rPr>
                <w:sz w:val="22"/>
                <w:szCs w:val="22"/>
              </w:rPr>
              <w:t>221210 Natural gas distribution facilities; 211112 Natural gas liquid extraction facilities</w:t>
            </w:r>
          </w:p>
        </w:tc>
      </w:tr>
      <w:tr w:rsidR="00BF0364" w:rsidRPr="00C77927" w14:paraId="4D1B9B50" w14:textId="77777777" w:rsidTr="241623E5">
        <w:trPr>
          <w:cantSplit/>
          <w:jc w:val="center"/>
        </w:trPr>
        <w:tc>
          <w:tcPr>
            <w:tcW w:w="2460" w:type="dxa"/>
          </w:tcPr>
          <w:p w14:paraId="607CAF89" w14:textId="77777777" w:rsidR="00BF0364" w:rsidRPr="00D25FC9" w:rsidRDefault="00BF0364">
            <w:pPr>
              <w:rPr>
                <w:sz w:val="22"/>
                <w:szCs w:val="22"/>
              </w:rPr>
            </w:pPr>
            <w:r w:rsidRPr="00D25FC9">
              <w:rPr>
                <w:sz w:val="22"/>
                <w:szCs w:val="22"/>
              </w:rPr>
              <w:t>OO. Suppliers of Industrial Greenhouse Gases</w:t>
            </w:r>
          </w:p>
        </w:tc>
        <w:tc>
          <w:tcPr>
            <w:tcW w:w="6090" w:type="dxa"/>
          </w:tcPr>
          <w:p w14:paraId="2A670445" w14:textId="77777777" w:rsidR="00BF0364" w:rsidRPr="00D25FC9" w:rsidRDefault="00BF0364">
            <w:pPr>
              <w:rPr>
                <w:sz w:val="22"/>
                <w:szCs w:val="22"/>
              </w:rPr>
            </w:pPr>
            <w:r w:rsidRPr="00D25FC9">
              <w:rPr>
                <w:sz w:val="22"/>
                <w:szCs w:val="22"/>
              </w:rPr>
              <w:t>325120 Industrial greenhouse gas manufacturing facilities</w:t>
            </w:r>
          </w:p>
        </w:tc>
      </w:tr>
      <w:tr w:rsidR="00BF0364" w:rsidRPr="00C77927" w14:paraId="159C9A2E" w14:textId="77777777" w:rsidTr="241623E5">
        <w:trPr>
          <w:cantSplit/>
          <w:jc w:val="center"/>
        </w:trPr>
        <w:tc>
          <w:tcPr>
            <w:tcW w:w="2460" w:type="dxa"/>
          </w:tcPr>
          <w:p w14:paraId="37223A82" w14:textId="77777777" w:rsidR="00BF0364" w:rsidRPr="00D25FC9" w:rsidRDefault="00BF0364">
            <w:pPr>
              <w:rPr>
                <w:sz w:val="22"/>
                <w:szCs w:val="22"/>
              </w:rPr>
            </w:pPr>
            <w:r w:rsidRPr="00D25FC9">
              <w:rPr>
                <w:sz w:val="22"/>
                <w:szCs w:val="22"/>
              </w:rPr>
              <w:t>PP. Suppliers of Carbon Dioxide</w:t>
            </w:r>
          </w:p>
        </w:tc>
        <w:tc>
          <w:tcPr>
            <w:tcW w:w="6090" w:type="dxa"/>
          </w:tcPr>
          <w:p w14:paraId="372B5D07" w14:textId="77777777" w:rsidR="00BF0364" w:rsidRPr="00D25FC9" w:rsidRDefault="00BF0364">
            <w:pPr>
              <w:rPr>
                <w:sz w:val="22"/>
                <w:szCs w:val="22"/>
              </w:rPr>
            </w:pPr>
            <w:r w:rsidRPr="00D25FC9">
              <w:rPr>
                <w:sz w:val="22"/>
                <w:szCs w:val="22"/>
              </w:rPr>
              <w:t>325120 Industrial greenhouse gas manufacturing facilities</w:t>
            </w:r>
          </w:p>
        </w:tc>
      </w:tr>
      <w:tr w:rsidR="00BF0364" w:rsidRPr="00C77927" w14:paraId="2BAA8F22" w14:textId="77777777" w:rsidTr="241623E5">
        <w:trPr>
          <w:cantSplit/>
          <w:jc w:val="center"/>
        </w:trPr>
        <w:tc>
          <w:tcPr>
            <w:tcW w:w="2460" w:type="dxa"/>
          </w:tcPr>
          <w:p w14:paraId="33D398E0" w14:textId="77777777" w:rsidR="00BF0364" w:rsidRPr="00D25FC9" w:rsidRDefault="00717194">
            <w:pPr>
              <w:rPr>
                <w:sz w:val="22"/>
                <w:szCs w:val="22"/>
              </w:rPr>
            </w:pPr>
            <w:r w:rsidRPr="00D25FC9">
              <w:rPr>
                <w:sz w:val="22"/>
                <w:szCs w:val="22"/>
              </w:rPr>
              <w:t>QQ.</w:t>
            </w:r>
            <w:r w:rsidR="00BF0364" w:rsidRPr="00D25FC9">
              <w:rPr>
                <w:sz w:val="22"/>
                <w:szCs w:val="22"/>
              </w:rPr>
              <w:t xml:space="preserve"> Importers and Exporters of Pre-charged Equipment and Closed-Cell Foams</w:t>
            </w:r>
          </w:p>
        </w:tc>
        <w:tc>
          <w:tcPr>
            <w:tcW w:w="6090" w:type="dxa"/>
          </w:tcPr>
          <w:p w14:paraId="579C8BC3" w14:textId="77777777" w:rsidR="00BF0364" w:rsidRPr="00D25FC9" w:rsidRDefault="00BF0364">
            <w:pPr>
              <w:rPr>
                <w:sz w:val="22"/>
                <w:szCs w:val="22"/>
              </w:rPr>
            </w:pPr>
            <w:r w:rsidRPr="00D25FC9">
              <w:rPr>
                <w:sz w:val="22"/>
                <w:szCs w:val="22"/>
              </w:rPr>
              <w:t>423730 Air-conditioning equipment (except room units) merchant wholesalers</w:t>
            </w:r>
            <w:r w:rsidR="00640A16" w:rsidRPr="00D25FC9">
              <w:rPr>
                <w:sz w:val="22"/>
                <w:szCs w:val="22"/>
              </w:rPr>
              <w:t xml:space="preserve">; </w:t>
            </w:r>
            <w:r w:rsidRPr="00D25FC9">
              <w:rPr>
                <w:sz w:val="22"/>
                <w:szCs w:val="22"/>
              </w:rPr>
              <w:t>333415 Air-conditioning equipment (except motor vehicle) manufacturing</w:t>
            </w:r>
            <w:r w:rsidR="00640A16" w:rsidRPr="00D25FC9">
              <w:rPr>
                <w:sz w:val="22"/>
                <w:szCs w:val="22"/>
              </w:rPr>
              <w:t xml:space="preserve">; </w:t>
            </w:r>
            <w:r w:rsidRPr="00D25FC9">
              <w:rPr>
                <w:sz w:val="22"/>
                <w:szCs w:val="22"/>
              </w:rPr>
              <w:t>336391 Motor vehicle</w:t>
            </w:r>
            <w:r w:rsidR="00640A16" w:rsidRPr="00D25FC9">
              <w:rPr>
                <w:sz w:val="22"/>
                <w:szCs w:val="22"/>
              </w:rPr>
              <w:t xml:space="preserve"> air-conditioning manufacturing; </w:t>
            </w:r>
            <w:r w:rsidRPr="00D25FC9">
              <w:rPr>
                <w:sz w:val="22"/>
                <w:szCs w:val="22"/>
              </w:rPr>
              <w:t>423620 Air-conditioners, room, merchant wholesalers</w:t>
            </w:r>
            <w:r w:rsidR="00640A16" w:rsidRPr="00D25FC9">
              <w:rPr>
                <w:sz w:val="22"/>
                <w:szCs w:val="22"/>
              </w:rPr>
              <w:t xml:space="preserve">; </w:t>
            </w:r>
            <w:r w:rsidRPr="00D25FC9">
              <w:rPr>
                <w:sz w:val="22"/>
                <w:szCs w:val="22"/>
              </w:rPr>
              <w:t>443111 Household Appliance Stores</w:t>
            </w:r>
            <w:r w:rsidR="00640A16" w:rsidRPr="00D25FC9">
              <w:rPr>
                <w:sz w:val="22"/>
                <w:szCs w:val="22"/>
              </w:rPr>
              <w:t xml:space="preserve">; </w:t>
            </w:r>
            <w:r w:rsidRPr="00D25FC9">
              <w:rPr>
                <w:sz w:val="22"/>
                <w:szCs w:val="22"/>
              </w:rPr>
              <w:t>423730 Automotive air-co</w:t>
            </w:r>
            <w:r w:rsidR="00640A16" w:rsidRPr="00D25FC9">
              <w:rPr>
                <w:sz w:val="22"/>
                <w:szCs w:val="22"/>
              </w:rPr>
              <w:t xml:space="preserve">nditioners merchant wholesalers; </w:t>
            </w:r>
            <w:r w:rsidRPr="00D25FC9">
              <w:rPr>
                <w:sz w:val="22"/>
                <w:szCs w:val="22"/>
              </w:rPr>
              <w:t>326150 Polyurethane foam products manufacturing</w:t>
            </w:r>
            <w:r w:rsidR="00640A16" w:rsidRPr="00D25FC9">
              <w:rPr>
                <w:sz w:val="22"/>
                <w:szCs w:val="22"/>
              </w:rPr>
              <w:t xml:space="preserve">; </w:t>
            </w:r>
            <w:r w:rsidRPr="00D25FC9">
              <w:rPr>
                <w:sz w:val="22"/>
                <w:szCs w:val="22"/>
              </w:rPr>
              <w:t>335313 Circuit breakers, power, manufacturing</w:t>
            </w:r>
            <w:r w:rsidR="00640A16" w:rsidRPr="00D25FC9">
              <w:rPr>
                <w:sz w:val="22"/>
                <w:szCs w:val="22"/>
              </w:rPr>
              <w:t xml:space="preserve">; </w:t>
            </w:r>
            <w:r w:rsidRPr="00D25FC9">
              <w:rPr>
                <w:sz w:val="22"/>
                <w:szCs w:val="22"/>
              </w:rPr>
              <w:t>423610 Circuit breakers merchant wholesalers</w:t>
            </w:r>
          </w:p>
        </w:tc>
      </w:tr>
      <w:tr w:rsidR="00717194" w:rsidRPr="00C77927" w14:paraId="3C995D1B" w14:textId="77777777" w:rsidTr="241623E5">
        <w:trPr>
          <w:cantSplit/>
          <w:jc w:val="center"/>
        </w:trPr>
        <w:tc>
          <w:tcPr>
            <w:tcW w:w="2460" w:type="dxa"/>
          </w:tcPr>
          <w:p w14:paraId="4941D648" w14:textId="77777777" w:rsidR="00717194" w:rsidRPr="00D25FC9" w:rsidRDefault="00717194">
            <w:pPr>
              <w:rPr>
                <w:sz w:val="22"/>
                <w:szCs w:val="22"/>
              </w:rPr>
            </w:pPr>
            <w:r w:rsidRPr="00D25FC9">
              <w:rPr>
                <w:sz w:val="22"/>
                <w:szCs w:val="22"/>
              </w:rPr>
              <w:t>RR. Geologic Sequestration of Carbon Dioxide</w:t>
            </w:r>
          </w:p>
        </w:tc>
        <w:tc>
          <w:tcPr>
            <w:tcW w:w="6090" w:type="dxa"/>
          </w:tcPr>
          <w:p w14:paraId="7DC65434" w14:textId="70CBE808" w:rsidR="00717194" w:rsidRPr="00D25FC9" w:rsidRDefault="00717194">
            <w:pPr>
              <w:rPr>
                <w:sz w:val="22"/>
                <w:szCs w:val="22"/>
              </w:rPr>
            </w:pPr>
            <w:r w:rsidRPr="00D25FC9">
              <w:rPr>
                <w:sz w:val="22"/>
                <w:szCs w:val="22"/>
              </w:rPr>
              <w:t xml:space="preserve">211 Oil and gas extraction projects using </w:t>
            </w:r>
            <w:r w:rsidR="00AB6F4F" w:rsidRPr="00D25FC9">
              <w:rPr>
                <w:sz w:val="22"/>
                <w:szCs w:val="22"/>
              </w:rPr>
              <w:t>CO</w:t>
            </w:r>
            <w:r w:rsidR="00AB6F4F" w:rsidRPr="00D25FC9">
              <w:rPr>
                <w:sz w:val="22"/>
                <w:szCs w:val="22"/>
                <w:vertAlign w:val="subscript"/>
              </w:rPr>
              <w:t>2</w:t>
            </w:r>
            <w:r w:rsidRPr="00D25FC9">
              <w:rPr>
                <w:sz w:val="22"/>
                <w:szCs w:val="22"/>
              </w:rPr>
              <w:t xml:space="preserve"> enhanced oil and gas recovery; 2111</w:t>
            </w:r>
            <w:r w:rsidR="009705CC" w:rsidRPr="00D25FC9">
              <w:rPr>
                <w:sz w:val="22"/>
                <w:szCs w:val="22"/>
              </w:rPr>
              <w:t>20</w:t>
            </w:r>
            <w:r w:rsidRPr="00D25FC9">
              <w:rPr>
                <w:sz w:val="22"/>
                <w:szCs w:val="22"/>
              </w:rPr>
              <w:t xml:space="preserve"> or 2111</w:t>
            </w:r>
            <w:r w:rsidR="009705CC" w:rsidRPr="00D25FC9">
              <w:rPr>
                <w:sz w:val="22"/>
                <w:szCs w:val="22"/>
              </w:rPr>
              <w:t>30</w:t>
            </w:r>
            <w:r w:rsidRPr="00D25FC9">
              <w:rPr>
                <w:sz w:val="22"/>
                <w:szCs w:val="22"/>
              </w:rPr>
              <w:t xml:space="preserve"> Projects that inject acid gas containing </w:t>
            </w:r>
            <w:r w:rsidR="00AB6F4F" w:rsidRPr="00D25FC9">
              <w:rPr>
                <w:sz w:val="22"/>
                <w:szCs w:val="22"/>
              </w:rPr>
              <w:t>CO</w:t>
            </w:r>
            <w:r w:rsidR="00AB6F4F" w:rsidRPr="00D25FC9">
              <w:rPr>
                <w:sz w:val="22"/>
                <w:szCs w:val="22"/>
                <w:vertAlign w:val="subscript"/>
              </w:rPr>
              <w:t>2</w:t>
            </w:r>
            <w:r w:rsidRPr="00D25FC9">
              <w:rPr>
                <w:sz w:val="22"/>
                <w:szCs w:val="22"/>
              </w:rPr>
              <w:t xml:space="preserve"> underground; N/A</w:t>
            </w:r>
            <w:r w:rsidR="002C54FB" w:rsidRPr="00D25FC9">
              <w:rPr>
                <w:sz w:val="22"/>
                <w:szCs w:val="22"/>
              </w:rPr>
              <w:t xml:space="preserve"> </w:t>
            </w:r>
            <w:r w:rsidR="00AB6F4F" w:rsidRPr="00D25FC9">
              <w:rPr>
                <w:sz w:val="22"/>
                <w:szCs w:val="22"/>
              </w:rPr>
              <w:t>CO</w:t>
            </w:r>
            <w:r w:rsidR="00AB6F4F" w:rsidRPr="00D25FC9">
              <w:rPr>
                <w:sz w:val="22"/>
                <w:szCs w:val="22"/>
                <w:vertAlign w:val="subscript"/>
              </w:rPr>
              <w:t>2</w:t>
            </w:r>
            <w:r w:rsidRPr="00D25FC9">
              <w:rPr>
                <w:sz w:val="22"/>
                <w:szCs w:val="22"/>
              </w:rPr>
              <w:t xml:space="preserve"> geologic sequestration projects</w:t>
            </w:r>
          </w:p>
        </w:tc>
      </w:tr>
      <w:tr w:rsidR="00BF0364" w:rsidRPr="00C77927" w14:paraId="6109F0C4" w14:textId="77777777" w:rsidTr="241623E5">
        <w:trPr>
          <w:cantSplit/>
          <w:jc w:val="center"/>
        </w:trPr>
        <w:tc>
          <w:tcPr>
            <w:tcW w:w="2460" w:type="dxa"/>
          </w:tcPr>
          <w:p w14:paraId="6295A55B" w14:textId="77777777" w:rsidR="00BF0364" w:rsidRPr="00D25FC9" w:rsidRDefault="00BF0364">
            <w:pPr>
              <w:rPr>
                <w:sz w:val="22"/>
                <w:szCs w:val="22"/>
              </w:rPr>
            </w:pPr>
            <w:r w:rsidRPr="00D25FC9">
              <w:rPr>
                <w:sz w:val="22"/>
                <w:szCs w:val="22"/>
              </w:rPr>
              <w:t>SS</w:t>
            </w:r>
            <w:r w:rsidR="00717194" w:rsidRPr="00D25FC9">
              <w:rPr>
                <w:sz w:val="22"/>
                <w:szCs w:val="22"/>
              </w:rPr>
              <w:t>.</w:t>
            </w:r>
            <w:r w:rsidRPr="00D25FC9">
              <w:rPr>
                <w:sz w:val="22"/>
                <w:szCs w:val="22"/>
              </w:rPr>
              <w:t xml:space="preserve"> Electrical Equipment Manufacture or Refurbishment</w:t>
            </w:r>
          </w:p>
        </w:tc>
        <w:tc>
          <w:tcPr>
            <w:tcW w:w="6090" w:type="dxa"/>
          </w:tcPr>
          <w:p w14:paraId="21F57804" w14:textId="77777777" w:rsidR="00BF0364" w:rsidRPr="00D25FC9" w:rsidRDefault="00BF0364">
            <w:pPr>
              <w:rPr>
                <w:sz w:val="22"/>
                <w:szCs w:val="22"/>
              </w:rPr>
            </w:pPr>
            <w:r w:rsidRPr="00D25FC9">
              <w:rPr>
                <w:sz w:val="22"/>
                <w:szCs w:val="22"/>
              </w:rPr>
              <w:t>33531 Power transmission and distribution switchgear and specialty transformers manufacturing facilities</w:t>
            </w:r>
          </w:p>
        </w:tc>
      </w:tr>
      <w:tr w:rsidR="00BF0364" w:rsidRPr="00C77927" w14:paraId="577C2449" w14:textId="77777777" w:rsidTr="241623E5">
        <w:trPr>
          <w:cantSplit/>
          <w:jc w:val="center"/>
        </w:trPr>
        <w:tc>
          <w:tcPr>
            <w:tcW w:w="2460" w:type="dxa"/>
          </w:tcPr>
          <w:p w14:paraId="55667BB3" w14:textId="77777777" w:rsidR="00BF0364" w:rsidRPr="00D25FC9" w:rsidRDefault="00BF0364">
            <w:pPr>
              <w:rPr>
                <w:sz w:val="22"/>
                <w:szCs w:val="22"/>
              </w:rPr>
            </w:pPr>
            <w:r w:rsidRPr="00D25FC9">
              <w:rPr>
                <w:sz w:val="22"/>
                <w:szCs w:val="22"/>
              </w:rPr>
              <w:t>TT</w:t>
            </w:r>
            <w:r w:rsidR="00717194" w:rsidRPr="00D25FC9">
              <w:rPr>
                <w:sz w:val="22"/>
                <w:szCs w:val="22"/>
              </w:rPr>
              <w:t>.</w:t>
            </w:r>
            <w:r w:rsidRPr="00D25FC9">
              <w:rPr>
                <w:sz w:val="22"/>
                <w:szCs w:val="22"/>
              </w:rPr>
              <w:t xml:space="preserve"> Industrial Waste Landfills</w:t>
            </w:r>
          </w:p>
        </w:tc>
        <w:tc>
          <w:tcPr>
            <w:tcW w:w="6090" w:type="dxa"/>
          </w:tcPr>
          <w:p w14:paraId="57A45C77" w14:textId="77777777" w:rsidR="00BF0364" w:rsidRPr="00D25FC9" w:rsidRDefault="00BF0364">
            <w:pPr>
              <w:rPr>
                <w:sz w:val="22"/>
                <w:szCs w:val="22"/>
              </w:rPr>
            </w:pPr>
            <w:r w:rsidRPr="00D25FC9">
              <w:rPr>
                <w:sz w:val="22"/>
                <w:szCs w:val="22"/>
              </w:rPr>
              <w:t>562212 Solid waste landfills</w:t>
            </w:r>
            <w:r w:rsidR="00640A16" w:rsidRPr="00D25FC9">
              <w:rPr>
                <w:sz w:val="22"/>
                <w:szCs w:val="22"/>
              </w:rPr>
              <w:t xml:space="preserve">; </w:t>
            </w:r>
            <w:r w:rsidRPr="00D25FC9">
              <w:rPr>
                <w:sz w:val="22"/>
                <w:szCs w:val="22"/>
              </w:rPr>
              <w:t>322110 Pulp mills</w:t>
            </w:r>
            <w:r w:rsidR="00640A16" w:rsidRPr="00D25FC9">
              <w:rPr>
                <w:sz w:val="22"/>
                <w:szCs w:val="22"/>
              </w:rPr>
              <w:t xml:space="preserve">; </w:t>
            </w:r>
            <w:r w:rsidRPr="00D25FC9">
              <w:rPr>
                <w:sz w:val="22"/>
                <w:szCs w:val="22"/>
              </w:rPr>
              <w:t>322121 Paper mills</w:t>
            </w:r>
            <w:r w:rsidR="00640A16" w:rsidRPr="00D25FC9">
              <w:rPr>
                <w:sz w:val="22"/>
                <w:szCs w:val="22"/>
              </w:rPr>
              <w:t xml:space="preserve">; </w:t>
            </w:r>
            <w:r w:rsidRPr="00D25FC9">
              <w:rPr>
                <w:sz w:val="22"/>
                <w:szCs w:val="22"/>
              </w:rPr>
              <w:t>322122 Newsprint mills</w:t>
            </w:r>
            <w:r w:rsidR="00640A16" w:rsidRPr="00D25FC9">
              <w:rPr>
                <w:sz w:val="22"/>
                <w:szCs w:val="22"/>
              </w:rPr>
              <w:t xml:space="preserve">; </w:t>
            </w:r>
            <w:r w:rsidRPr="00D25FC9">
              <w:rPr>
                <w:sz w:val="22"/>
                <w:szCs w:val="22"/>
              </w:rPr>
              <w:t>322130 Paperboard mills</w:t>
            </w:r>
            <w:r w:rsidR="00640A16" w:rsidRPr="00D25FC9">
              <w:rPr>
                <w:sz w:val="22"/>
                <w:szCs w:val="22"/>
              </w:rPr>
              <w:t xml:space="preserve">; </w:t>
            </w:r>
            <w:r w:rsidRPr="00D25FC9">
              <w:rPr>
                <w:sz w:val="22"/>
                <w:szCs w:val="22"/>
              </w:rPr>
              <w:t>311611 Meat processing facilities</w:t>
            </w:r>
            <w:r w:rsidR="00640A16" w:rsidRPr="00D25FC9">
              <w:rPr>
                <w:sz w:val="22"/>
                <w:szCs w:val="22"/>
              </w:rPr>
              <w:t xml:space="preserve">; </w:t>
            </w:r>
            <w:r w:rsidRPr="00D25FC9">
              <w:rPr>
                <w:sz w:val="22"/>
                <w:szCs w:val="22"/>
              </w:rPr>
              <w:t>311411 Frozen fruit, juice, and vegetable manufacturing facilities</w:t>
            </w:r>
            <w:r w:rsidR="00640A16" w:rsidRPr="00D25FC9">
              <w:rPr>
                <w:sz w:val="22"/>
                <w:szCs w:val="22"/>
              </w:rPr>
              <w:t xml:space="preserve">; </w:t>
            </w:r>
            <w:r w:rsidRPr="00D25FC9">
              <w:rPr>
                <w:sz w:val="22"/>
                <w:szCs w:val="22"/>
              </w:rPr>
              <w:t>311421 Fruit and vegetable canning facilities</w:t>
            </w:r>
            <w:r w:rsidR="00640A16" w:rsidRPr="00D25FC9">
              <w:rPr>
                <w:sz w:val="22"/>
                <w:szCs w:val="22"/>
              </w:rPr>
              <w:t xml:space="preserve">; </w:t>
            </w:r>
            <w:r w:rsidRPr="00D25FC9">
              <w:rPr>
                <w:sz w:val="22"/>
                <w:szCs w:val="22"/>
              </w:rPr>
              <w:t>221320 Sewage treatment facilities</w:t>
            </w:r>
          </w:p>
        </w:tc>
      </w:tr>
      <w:tr w:rsidR="00717194" w:rsidRPr="00C77927" w14:paraId="3E405BE4" w14:textId="77777777" w:rsidTr="241623E5">
        <w:trPr>
          <w:cantSplit/>
          <w:jc w:val="center"/>
        </w:trPr>
        <w:tc>
          <w:tcPr>
            <w:tcW w:w="2460" w:type="dxa"/>
          </w:tcPr>
          <w:p w14:paraId="5088E34E" w14:textId="77777777" w:rsidR="00717194" w:rsidRPr="00D25FC9" w:rsidRDefault="00717194">
            <w:pPr>
              <w:rPr>
                <w:sz w:val="22"/>
                <w:szCs w:val="22"/>
              </w:rPr>
            </w:pPr>
            <w:r w:rsidRPr="00D25FC9">
              <w:rPr>
                <w:sz w:val="22"/>
                <w:szCs w:val="22"/>
              </w:rPr>
              <w:t>UU. Injection of Carbon Dioxide</w:t>
            </w:r>
          </w:p>
        </w:tc>
        <w:tc>
          <w:tcPr>
            <w:tcW w:w="6090" w:type="dxa"/>
          </w:tcPr>
          <w:p w14:paraId="2E84F88F" w14:textId="43F03AC9" w:rsidR="00717194" w:rsidRPr="00D25FC9" w:rsidRDefault="00717194">
            <w:pPr>
              <w:rPr>
                <w:sz w:val="22"/>
                <w:szCs w:val="22"/>
              </w:rPr>
            </w:pPr>
            <w:r w:rsidRPr="00D25FC9">
              <w:rPr>
                <w:sz w:val="22"/>
                <w:szCs w:val="22"/>
              </w:rPr>
              <w:t xml:space="preserve">211 Oil and gas extraction projects using </w:t>
            </w:r>
            <w:r w:rsidR="00AB6F4F" w:rsidRPr="00D25FC9">
              <w:rPr>
                <w:sz w:val="22"/>
                <w:szCs w:val="22"/>
              </w:rPr>
              <w:t>CO</w:t>
            </w:r>
            <w:r w:rsidR="00AB6F4F" w:rsidRPr="00D25FC9">
              <w:rPr>
                <w:sz w:val="22"/>
                <w:szCs w:val="22"/>
                <w:vertAlign w:val="subscript"/>
              </w:rPr>
              <w:t>2</w:t>
            </w:r>
            <w:r w:rsidRPr="00D25FC9">
              <w:rPr>
                <w:sz w:val="22"/>
                <w:szCs w:val="22"/>
              </w:rPr>
              <w:t xml:space="preserve"> enhanced oil and gas recovery; 2111</w:t>
            </w:r>
            <w:r w:rsidR="009705CC" w:rsidRPr="00D25FC9">
              <w:rPr>
                <w:sz w:val="22"/>
                <w:szCs w:val="22"/>
              </w:rPr>
              <w:t>20</w:t>
            </w:r>
            <w:r w:rsidRPr="00D25FC9">
              <w:rPr>
                <w:sz w:val="22"/>
                <w:szCs w:val="22"/>
              </w:rPr>
              <w:t xml:space="preserve"> or 2111</w:t>
            </w:r>
            <w:r w:rsidR="009705CC" w:rsidRPr="00D25FC9">
              <w:rPr>
                <w:sz w:val="22"/>
                <w:szCs w:val="22"/>
              </w:rPr>
              <w:t>30</w:t>
            </w:r>
            <w:r w:rsidRPr="00D25FC9">
              <w:rPr>
                <w:sz w:val="22"/>
                <w:szCs w:val="22"/>
              </w:rPr>
              <w:t xml:space="preserve"> Projects that inject acid gas containing </w:t>
            </w:r>
            <w:r w:rsidR="00AB6F4F" w:rsidRPr="00D25FC9">
              <w:rPr>
                <w:sz w:val="22"/>
                <w:szCs w:val="22"/>
              </w:rPr>
              <w:t>CO</w:t>
            </w:r>
            <w:r w:rsidR="00AB6F4F" w:rsidRPr="00D25FC9">
              <w:rPr>
                <w:sz w:val="22"/>
                <w:szCs w:val="22"/>
                <w:vertAlign w:val="subscript"/>
              </w:rPr>
              <w:t>2</w:t>
            </w:r>
            <w:r w:rsidRPr="00D25FC9">
              <w:rPr>
                <w:sz w:val="22"/>
                <w:szCs w:val="22"/>
              </w:rPr>
              <w:t xml:space="preserve"> underground</w:t>
            </w:r>
          </w:p>
        </w:tc>
      </w:tr>
    </w:tbl>
    <w:p w14:paraId="4F01096C" w14:textId="77777777" w:rsidR="00F3717A" w:rsidRPr="00C77927" w:rsidRDefault="00F3717A" w:rsidP="00BB1633"/>
    <w:p w14:paraId="75D363E0" w14:textId="77777777" w:rsidR="00095BC1" w:rsidRPr="00C77927" w:rsidRDefault="00095BC1" w:rsidP="00F3717A">
      <w:pPr>
        <w:pStyle w:val="Heading2"/>
        <w:keepNext/>
        <w:keepLines/>
      </w:pPr>
      <w:bookmarkStart w:id="26" w:name="_Toc10555985"/>
      <w:r w:rsidRPr="00C77927">
        <w:t>4(b) Information Requested</w:t>
      </w:r>
      <w:bookmarkEnd w:id="26"/>
      <w:r w:rsidR="00A07E35" w:rsidRPr="00C77927">
        <w:t xml:space="preserve"> </w:t>
      </w:r>
    </w:p>
    <w:p w14:paraId="49AB7AF1" w14:textId="77777777" w:rsidR="00095BC1" w:rsidRPr="00C77927" w:rsidRDefault="00095BC1" w:rsidP="00F3717A">
      <w:pPr>
        <w:keepNext/>
        <w:keepLines/>
        <w:rPr>
          <w:b/>
        </w:rPr>
      </w:pPr>
    </w:p>
    <w:p w14:paraId="52983F0D" w14:textId="77777777" w:rsidR="00095BC1" w:rsidRPr="00D25FC9" w:rsidRDefault="00095BC1" w:rsidP="241623E5">
      <w:pPr>
        <w:keepNext/>
        <w:keepLines/>
        <w:ind w:left="720"/>
        <w:rPr>
          <w:i/>
          <w:iCs/>
        </w:rPr>
      </w:pPr>
      <w:r w:rsidRPr="00C77927">
        <w:rPr>
          <w:i/>
          <w:iCs/>
        </w:rPr>
        <w:t>(i) Data Items</w:t>
      </w:r>
    </w:p>
    <w:p w14:paraId="35B7A4D9" w14:textId="77777777" w:rsidR="00095BC1" w:rsidRPr="00C77927" w:rsidRDefault="00095BC1" w:rsidP="00F3717A">
      <w:pPr>
        <w:keepNext/>
        <w:keepLines/>
        <w:ind w:left="720"/>
        <w:rPr>
          <w:i/>
        </w:rPr>
      </w:pPr>
    </w:p>
    <w:p w14:paraId="613BEB7A" w14:textId="7647BE24" w:rsidR="00095BC1" w:rsidRPr="00D25FC9" w:rsidRDefault="00095BC1" w:rsidP="40A1D01C">
      <w:pPr>
        <w:keepNext/>
        <w:keepLines/>
        <w:ind w:left="720"/>
        <w:rPr>
          <w:i/>
          <w:iCs/>
        </w:rPr>
      </w:pPr>
      <w:r w:rsidRPr="00C77927">
        <w:rPr>
          <w:i/>
          <w:iCs/>
        </w:rPr>
        <w:t xml:space="preserve"> Re</w:t>
      </w:r>
      <w:r w:rsidR="00D2644D" w:rsidRPr="00C77927">
        <w:rPr>
          <w:i/>
          <w:iCs/>
        </w:rPr>
        <w:t xml:space="preserve">porting </w:t>
      </w:r>
      <w:r w:rsidR="000D35B6" w:rsidRPr="00C77927">
        <w:rPr>
          <w:i/>
          <w:iCs/>
        </w:rPr>
        <w:t xml:space="preserve">and Recordkeeping </w:t>
      </w:r>
      <w:r w:rsidRPr="00C77927">
        <w:rPr>
          <w:i/>
          <w:iCs/>
        </w:rPr>
        <w:t>Requirements</w:t>
      </w:r>
    </w:p>
    <w:p w14:paraId="52C58E92" w14:textId="77777777" w:rsidR="00D3466D" w:rsidRPr="00C77927" w:rsidRDefault="00D3466D" w:rsidP="00F3717A">
      <w:pPr>
        <w:keepNext/>
        <w:keepLines/>
        <w:ind w:firstLine="540"/>
      </w:pPr>
    </w:p>
    <w:p w14:paraId="7FFB5C6A" w14:textId="3599EC9A" w:rsidR="000F5127" w:rsidRPr="00C77927" w:rsidRDefault="00D3466D" w:rsidP="000179AC">
      <w:pPr>
        <w:keepNext/>
        <w:keepLines/>
        <w:ind w:firstLine="540"/>
      </w:pPr>
      <w:r w:rsidRPr="00C77927">
        <w:t xml:space="preserve">The GHGRP applies to certain facilities that </w:t>
      </w:r>
      <w:r w:rsidR="000179AC" w:rsidRPr="00C77927">
        <w:t xml:space="preserve">directly </w:t>
      </w:r>
      <w:r w:rsidRPr="00C77927">
        <w:t xml:space="preserve">emit GHGs </w:t>
      </w:r>
      <w:r w:rsidR="00735D4F" w:rsidRPr="00C77927">
        <w:t>or inject CO</w:t>
      </w:r>
      <w:r w:rsidR="00735D4F" w:rsidRPr="00C77927">
        <w:rPr>
          <w:vertAlign w:val="subscript"/>
        </w:rPr>
        <w:t>2</w:t>
      </w:r>
      <w:r w:rsidR="00735D4F" w:rsidRPr="00C77927">
        <w:t xml:space="preserve"> underground </w:t>
      </w:r>
      <w:r w:rsidRPr="00C77927">
        <w:t xml:space="preserve">and to </w:t>
      </w:r>
      <w:r w:rsidR="00735D4F" w:rsidRPr="00C77927">
        <w:t xml:space="preserve">certain </w:t>
      </w:r>
      <w:r w:rsidRPr="00C77927">
        <w:t xml:space="preserve">suppliers of </w:t>
      </w:r>
      <w:r w:rsidR="00F13598" w:rsidRPr="00C77927">
        <w:t xml:space="preserve">products that </w:t>
      </w:r>
      <w:r w:rsidR="00735D4F" w:rsidRPr="00C77927">
        <w:t>contain GHGs</w:t>
      </w:r>
      <w:r w:rsidR="00F13598" w:rsidRPr="00C77927">
        <w:t xml:space="preserve">. </w:t>
      </w:r>
      <w:r w:rsidRPr="00C77927">
        <w:t xml:space="preserve">Applicability depends on the source categories located at the facility and, for some source categories, the emission level or production capacity. </w:t>
      </w:r>
      <w:r w:rsidR="005222D8" w:rsidRPr="00C77927">
        <w:t>Fossil fuel and industrial GHG suppliers, and facilities that emit 25,000 metric tons or more of CO</w:t>
      </w:r>
      <w:r w:rsidR="005222D8" w:rsidRPr="00C77927">
        <w:rPr>
          <w:vertAlign w:val="subscript"/>
        </w:rPr>
        <w:t>2</w:t>
      </w:r>
      <w:r w:rsidR="005222D8" w:rsidRPr="00C77927">
        <w:t>e</w:t>
      </w:r>
      <w:r w:rsidR="004A2BCA" w:rsidRPr="00C77927">
        <w:t>/</w:t>
      </w:r>
      <w:r w:rsidR="005222D8" w:rsidRPr="00C77927">
        <w:t>year report GHG data to EPA annually.</w:t>
      </w:r>
    </w:p>
    <w:p w14:paraId="6915457E" w14:textId="77777777" w:rsidR="00D3466D" w:rsidRPr="00C77927" w:rsidRDefault="00D3466D" w:rsidP="00BB1633">
      <w:pPr>
        <w:ind w:firstLine="540"/>
      </w:pPr>
    </w:p>
    <w:p w14:paraId="7017DDB2" w14:textId="5E333B57" w:rsidR="000F5127" w:rsidRPr="00C77927" w:rsidRDefault="000F5127" w:rsidP="00BB1633">
      <w:pPr>
        <w:ind w:firstLine="540"/>
      </w:pPr>
      <w:r w:rsidRPr="00C77927">
        <w:t>Specifically, t</w:t>
      </w:r>
      <w:r w:rsidR="005222D8" w:rsidRPr="00C77927">
        <w:t>he facilities in the source list</w:t>
      </w:r>
      <w:r w:rsidR="004A2BCA" w:rsidRPr="00C77927">
        <w:t xml:space="preserve"> of</w:t>
      </w:r>
      <w:r w:rsidR="005222D8" w:rsidRPr="00C77927">
        <w:t xml:space="preserve"> Table A-3 of </w:t>
      </w:r>
      <w:r w:rsidRPr="00C77927">
        <w:t>40 CFR 98.</w:t>
      </w:r>
      <w:r w:rsidR="005222D8" w:rsidRPr="00C77927">
        <w:t>2(a)(1) are subject to an all-in threshold, in which they report emissions regardless of a CO</w:t>
      </w:r>
      <w:r w:rsidR="005222D8" w:rsidRPr="00C77927">
        <w:rPr>
          <w:vertAlign w:val="subscript"/>
        </w:rPr>
        <w:t>2</w:t>
      </w:r>
      <w:r w:rsidR="005222D8" w:rsidRPr="00C77927">
        <w:t>e/year emissions threshold.</w:t>
      </w:r>
      <w:r w:rsidR="002C54FB" w:rsidRPr="00C77927">
        <w:t xml:space="preserve"> </w:t>
      </w:r>
      <w:r w:rsidR="009405D1" w:rsidRPr="00C77927">
        <w:t>EPA established the all-in source categories for simplification because all or almost all of the sources in these subparts have emissions well over the 25,000 CO</w:t>
      </w:r>
      <w:r w:rsidR="009405D1" w:rsidRPr="00C77927">
        <w:rPr>
          <w:vertAlign w:val="subscript"/>
        </w:rPr>
        <w:t>2</w:t>
      </w:r>
      <w:r w:rsidR="009405D1" w:rsidRPr="00C77927">
        <w:t xml:space="preserve">e/year threshold. </w:t>
      </w:r>
      <w:r w:rsidR="005222D8" w:rsidRPr="00C77927">
        <w:t xml:space="preserve">These emitters report all emissions from </w:t>
      </w:r>
      <w:r w:rsidR="00B643EC" w:rsidRPr="00C77927">
        <w:t xml:space="preserve">all-in </w:t>
      </w:r>
      <w:r w:rsidR="005222D8" w:rsidRPr="00C77927">
        <w:t xml:space="preserve">emission source categories as well as </w:t>
      </w:r>
      <w:r w:rsidR="00B643EC" w:rsidRPr="00C77927">
        <w:t>threshold</w:t>
      </w:r>
      <w:r w:rsidR="005222D8" w:rsidRPr="00C77927">
        <w:t xml:space="preserve"> source categories (Table A-4 of </w:t>
      </w:r>
      <w:r w:rsidRPr="00C77927">
        <w:t>40 CFR 98.</w:t>
      </w:r>
      <w:r w:rsidR="005222D8" w:rsidRPr="00C77927">
        <w:t>2(a)(</w:t>
      </w:r>
      <w:r w:rsidR="00D374F2" w:rsidRPr="00C77927">
        <w:t>2</w:t>
      </w:r>
      <w:r w:rsidR="005222D8" w:rsidRPr="00C77927">
        <w:t>) source list</w:t>
      </w:r>
      <w:r w:rsidR="00894737" w:rsidRPr="00C77927">
        <w:t>)</w:t>
      </w:r>
      <w:r w:rsidR="005222D8" w:rsidRPr="00C77927">
        <w:t>, stationary fuel combustion sources</w:t>
      </w:r>
      <w:r w:rsidR="003C24D4" w:rsidRPr="00C77927">
        <w:t xml:space="preserve"> </w:t>
      </w:r>
      <w:r w:rsidR="00A17391" w:rsidRPr="00C77927">
        <w:t>(S</w:t>
      </w:r>
      <w:r w:rsidR="003C24D4" w:rsidRPr="00C77927">
        <w:t>ubpart C)</w:t>
      </w:r>
      <w:r w:rsidR="005222D8" w:rsidRPr="00C77927">
        <w:t>, and miscellaneous use of carbona</w:t>
      </w:r>
      <w:r w:rsidR="00A17391" w:rsidRPr="00C77927">
        <w:t>tes (S</w:t>
      </w:r>
      <w:r w:rsidR="00D374F2" w:rsidRPr="00C77927">
        <w:t>ubpart U</w:t>
      </w:r>
      <w:r w:rsidR="005222D8" w:rsidRPr="00C77927">
        <w:t xml:space="preserve">). </w:t>
      </w:r>
      <w:r w:rsidRPr="00C77927">
        <w:t xml:space="preserve">Suppliers </w:t>
      </w:r>
      <w:r w:rsidR="004A2BCA" w:rsidRPr="00C77927">
        <w:t>in the source list</w:t>
      </w:r>
      <w:r w:rsidR="005222D8" w:rsidRPr="00C77927">
        <w:t xml:space="preserve"> </w:t>
      </w:r>
      <w:r w:rsidR="004A2BCA" w:rsidRPr="00C77927">
        <w:t>of</w:t>
      </w:r>
      <w:r w:rsidR="005222D8" w:rsidRPr="00C77927">
        <w:t xml:space="preserve"> Table A-5 </w:t>
      </w:r>
      <w:r w:rsidR="00D374F2" w:rsidRPr="00C77927">
        <w:t xml:space="preserve">of </w:t>
      </w:r>
      <w:r w:rsidRPr="00C77927">
        <w:t>40 CFR 98.</w:t>
      </w:r>
      <w:r w:rsidR="00D374F2" w:rsidRPr="00C77927">
        <w:t xml:space="preserve">2(a)(4) </w:t>
      </w:r>
      <w:r w:rsidRPr="00C77927">
        <w:t>report all applicable products in Table A-5.</w:t>
      </w:r>
    </w:p>
    <w:p w14:paraId="5EA0D738" w14:textId="77777777" w:rsidR="000F5127" w:rsidRPr="00C77927" w:rsidRDefault="000F5127" w:rsidP="000F5127">
      <w:pPr>
        <w:ind w:firstLine="540"/>
      </w:pPr>
    </w:p>
    <w:p w14:paraId="5B6D6C5D" w14:textId="64E05CFB" w:rsidR="004A2BCA" w:rsidRPr="00C77927" w:rsidRDefault="000F5127" w:rsidP="000179AC">
      <w:pPr>
        <w:ind w:firstLine="540"/>
      </w:pPr>
      <w:r w:rsidRPr="00C77927">
        <w:t>I</w:t>
      </w:r>
      <w:r w:rsidR="00C269C1" w:rsidRPr="00C77927">
        <w:t xml:space="preserve">n addition, facilities that </w:t>
      </w:r>
      <w:r w:rsidR="00B643EC" w:rsidRPr="00C77927">
        <w:t>do not contain sources listed in Table A-3</w:t>
      </w:r>
      <w:r w:rsidR="00C85054" w:rsidRPr="00C77927">
        <w:t xml:space="preserve"> of 40 CFR 98.2(a)(1)</w:t>
      </w:r>
      <w:r w:rsidR="00B643EC" w:rsidRPr="00C77927">
        <w:t xml:space="preserve">, </w:t>
      </w:r>
      <w:r w:rsidR="00C269C1" w:rsidRPr="00C77927">
        <w:t xml:space="preserve">but that emit </w:t>
      </w:r>
      <w:r w:rsidR="00B643EC" w:rsidRPr="00C77927">
        <w:t xml:space="preserve">at least </w:t>
      </w:r>
      <w:r w:rsidR="00C269C1" w:rsidRPr="00C77927">
        <w:t xml:space="preserve">25,000 metric tons </w:t>
      </w:r>
      <w:r w:rsidR="00AB6F4F" w:rsidRPr="00C77927">
        <w:t>CO</w:t>
      </w:r>
      <w:r w:rsidR="00AB6F4F" w:rsidRPr="00C77927">
        <w:rPr>
          <w:vertAlign w:val="subscript"/>
        </w:rPr>
        <w:t>2</w:t>
      </w:r>
      <w:r w:rsidR="00C269C1" w:rsidRPr="00C77927">
        <w:t>e</w:t>
      </w:r>
      <w:r w:rsidR="005D5E71" w:rsidRPr="00C77927">
        <w:t>/year</w:t>
      </w:r>
      <w:r w:rsidR="00C269C1" w:rsidRPr="00C77927">
        <w:t xml:space="preserve"> in combined emissions</w:t>
      </w:r>
      <w:r w:rsidR="00B643EC" w:rsidRPr="00C77927">
        <w:t xml:space="preserve"> from stationary combustion sources and other sources listed in Table A-4 </w:t>
      </w:r>
      <w:r w:rsidR="00C85054" w:rsidRPr="00C77927">
        <w:t xml:space="preserve">of 40 CFR 98.2(a)(2) </w:t>
      </w:r>
      <w:r w:rsidR="00C965D2" w:rsidRPr="00C77927">
        <w:t xml:space="preserve">report emissions from </w:t>
      </w:r>
      <w:r w:rsidR="00A17391" w:rsidRPr="00C77927">
        <w:t>S</w:t>
      </w:r>
      <w:r w:rsidR="00C965D2" w:rsidRPr="00C77927">
        <w:t>ubpart C, S</w:t>
      </w:r>
      <w:r w:rsidR="00C269C1" w:rsidRPr="00C77927">
        <w:t>ubpart U, and all applicable source categories</w:t>
      </w:r>
      <w:r w:rsidR="00B643EC" w:rsidRPr="00C77927">
        <w:t xml:space="preserve"> listed in Table A-4</w:t>
      </w:r>
      <w:r w:rsidR="00C85054" w:rsidRPr="00C77927">
        <w:t xml:space="preserve"> of 40 CFR 98.2(a)(2)</w:t>
      </w:r>
      <w:r w:rsidR="00C269C1" w:rsidRPr="00C77927">
        <w:t xml:space="preserve">. </w:t>
      </w:r>
      <w:r w:rsidR="00B643EC" w:rsidRPr="00C77927">
        <w:t>Facilities with only combustion emissions that emit at least 25,000 metric tons CO</w:t>
      </w:r>
      <w:r w:rsidR="00B643EC" w:rsidRPr="00C77927">
        <w:rPr>
          <w:vertAlign w:val="subscript"/>
        </w:rPr>
        <w:t>2</w:t>
      </w:r>
      <w:r w:rsidR="00B643EC" w:rsidRPr="00C77927">
        <w:t>e/year are only required to report emissions from combustion sources.</w:t>
      </w:r>
    </w:p>
    <w:p w14:paraId="0FE310A4" w14:textId="77777777" w:rsidR="004A2BCA" w:rsidRPr="00C77927" w:rsidRDefault="004A2BCA" w:rsidP="00BB1633">
      <w:pPr>
        <w:ind w:firstLine="540"/>
      </w:pPr>
    </w:p>
    <w:p w14:paraId="17EE8FEA" w14:textId="614D5A6C" w:rsidR="00C85054" w:rsidRPr="00C77927" w:rsidRDefault="00C269C1" w:rsidP="00BB1633">
      <w:pPr>
        <w:ind w:firstLine="540"/>
      </w:pPr>
      <w:r w:rsidRPr="00C77927">
        <w:t>Respondents comply with the following categories of requirements (if applicable):</w:t>
      </w:r>
      <w:r w:rsidR="00ED239B" w:rsidRPr="00C77927">
        <w:t xml:space="preserve"> </w:t>
      </w:r>
      <w:r w:rsidR="00670D67" w:rsidRPr="00C77927">
        <w:t>th</w:t>
      </w:r>
      <w:r w:rsidR="004C316D" w:rsidRPr="00C77927">
        <w:t>e</w:t>
      </w:r>
      <w:r w:rsidR="00670D67" w:rsidRPr="00C77927">
        <w:t xml:space="preserve"> </w:t>
      </w:r>
      <w:r w:rsidR="004C316D" w:rsidRPr="00C77927">
        <w:t>G</w:t>
      </w:r>
      <w:r w:rsidR="00670D67" w:rsidRPr="00C77927">
        <w:t>eneral</w:t>
      </w:r>
      <w:r w:rsidR="004C316D" w:rsidRPr="00C77927">
        <w:t xml:space="preserve"> Provisions</w:t>
      </w:r>
      <w:r w:rsidR="007B2432" w:rsidRPr="00C77927">
        <w:t xml:space="preserve"> applicable to all sources</w:t>
      </w:r>
      <w:r w:rsidR="00F43805" w:rsidRPr="00C77927">
        <w:t>;</w:t>
      </w:r>
      <w:r w:rsidR="007B2432" w:rsidRPr="00C77927">
        <w:t xml:space="preserve"> </w:t>
      </w:r>
      <w:r w:rsidR="00936802" w:rsidRPr="00C77927">
        <w:t>stationary combustion</w:t>
      </w:r>
      <w:r w:rsidR="00F43805" w:rsidRPr="00C77927">
        <w:t>;</w:t>
      </w:r>
      <w:r w:rsidR="007B2432" w:rsidRPr="00C77927">
        <w:t xml:space="preserve"> and </w:t>
      </w:r>
      <w:r w:rsidR="00F43805" w:rsidRPr="00C77927">
        <w:t xml:space="preserve">requirements </w:t>
      </w:r>
      <w:r w:rsidR="007B2432" w:rsidRPr="00C77927">
        <w:t>applicable to other specific s</w:t>
      </w:r>
      <w:r w:rsidR="00A17391" w:rsidRPr="00C77927">
        <w:t>ource categories identified in S</w:t>
      </w:r>
      <w:r w:rsidR="007B2432" w:rsidRPr="00C77927">
        <w:t xml:space="preserve">ubparts D through </w:t>
      </w:r>
      <w:r w:rsidR="00856268" w:rsidRPr="00C77927">
        <w:t xml:space="preserve">UU </w:t>
      </w:r>
      <w:r w:rsidR="007B2432" w:rsidRPr="00C77927">
        <w:t xml:space="preserve">of the rule. </w:t>
      </w:r>
    </w:p>
    <w:p w14:paraId="0F09E56E" w14:textId="77777777" w:rsidR="00D374F2" w:rsidRPr="00C77927" w:rsidRDefault="00D374F2" w:rsidP="00BB1633">
      <w:pPr>
        <w:ind w:firstLine="540"/>
      </w:pPr>
    </w:p>
    <w:p w14:paraId="09B36589" w14:textId="5CB48D88" w:rsidR="00F43805" w:rsidRPr="00C77927" w:rsidRDefault="000D35B6" w:rsidP="00E958CD">
      <w:pPr>
        <w:ind w:firstLine="540"/>
      </w:pPr>
      <w:r w:rsidRPr="00C77927">
        <w:t>Appendix B contains a list of the reporting r</w:t>
      </w:r>
      <w:r w:rsidR="004D0FC5" w:rsidRPr="00C77927">
        <w:t xml:space="preserve">equirements </w:t>
      </w:r>
      <w:r w:rsidRPr="00C77927">
        <w:t>applicable to all facilities as well as those specific to each source category. Appendix C contains a similar list for recordkeeping requirements.</w:t>
      </w:r>
    </w:p>
    <w:p w14:paraId="40054E91" w14:textId="77777777" w:rsidR="00813B27" w:rsidRPr="00C77927" w:rsidRDefault="00813B27" w:rsidP="00BB1633"/>
    <w:p w14:paraId="26A3E785" w14:textId="77777777" w:rsidR="00C15FBD" w:rsidRPr="00D25FC9" w:rsidRDefault="00095BC1" w:rsidP="40A1D01C">
      <w:pPr>
        <w:keepNext/>
        <w:keepLines/>
        <w:rPr>
          <w:i/>
          <w:iCs/>
        </w:rPr>
      </w:pPr>
      <w:r w:rsidRPr="00C77927">
        <w:rPr>
          <w:i/>
        </w:rPr>
        <w:tab/>
      </w:r>
      <w:r w:rsidRPr="00C77927">
        <w:rPr>
          <w:i/>
          <w:iCs/>
        </w:rPr>
        <w:t>(ii) Respondent Activities</w:t>
      </w:r>
    </w:p>
    <w:p w14:paraId="78F5A0CB" w14:textId="77777777" w:rsidR="00542591" w:rsidRPr="00C77927" w:rsidRDefault="00542591" w:rsidP="00BB1633">
      <w:pPr>
        <w:keepNext/>
        <w:keepLines/>
        <w:rPr>
          <w:i/>
        </w:rPr>
      </w:pPr>
    </w:p>
    <w:p w14:paraId="022696E4" w14:textId="733C558B" w:rsidR="00095BC1" w:rsidRPr="00C77927" w:rsidRDefault="00095BC1" w:rsidP="000179AC">
      <w:pPr>
        <w:keepNext/>
        <w:keepLines/>
        <w:ind w:firstLine="720"/>
      </w:pPr>
      <w:r w:rsidRPr="00C77927">
        <w:t xml:space="preserve">The owner or operator of a facility </w:t>
      </w:r>
      <w:r w:rsidR="00800F07" w:rsidRPr="00C77927">
        <w:t xml:space="preserve">or supplier </w:t>
      </w:r>
      <w:r w:rsidRPr="00C77927">
        <w:t>that is subject to th</w:t>
      </w:r>
      <w:r w:rsidR="005B03F6" w:rsidRPr="00C77927">
        <w:t>e</w:t>
      </w:r>
      <w:r w:rsidRPr="00C77927">
        <w:t xml:space="preserve"> </w:t>
      </w:r>
      <w:r w:rsidR="00FE1DBB" w:rsidRPr="00C77927">
        <w:t>GHGRP</w:t>
      </w:r>
      <w:r w:rsidR="00E804E2" w:rsidRPr="00C77927">
        <w:t>’s reporting requirements</w:t>
      </w:r>
      <w:r w:rsidRPr="00C77927">
        <w:t xml:space="preserve"> report</w:t>
      </w:r>
      <w:r w:rsidR="00FE6099" w:rsidRPr="00C77927">
        <w:t>s</w:t>
      </w:r>
      <w:r w:rsidRPr="00C77927">
        <w:t xml:space="preserve"> total annual GHG emissions in metric tons of </w:t>
      </w:r>
      <w:r w:rsidR="00AB6F4F" w:rsidRPr="00C77927">
        <w:t>CO</w:t>
      </w:r>
      <w:r w:rsidR="00AB6F4F" w:rsidRPr="00C77927">
        <w:rPr>
          <w:vertAlign w:val="subscript"/>
        </w:rPr>
        <w:t>2</w:t>
      </w:r>
      <w:r w:rsidRPr="00C77927">
        <w:t>e</w:t>
      </w:r>
      <w:r w:rsidR="00206007" w:rsidRPr="00C77927">
        <w:t>, as applicable</w:t>
      </w:r>
      <w:r w:rsidRPr="00C77927">
        <w:t>.</w:t>
      </w:r>
      <w:r w:rsidR="00A47CF8" w:rsidRPr="00C77927">
        <w:t xml:space="preserve"> </w:t>
      </w:r>
      <w:r w:rsidRPr="00C77927">
        <w:t xml:space="preserve">The primary tasks that </w:t>
      </w:r>
      <w:r w:rsidR="009674CB" w:rsidRPr="00C77927">
        <w:t xml:space="preserve">respondents perform </w:t>
      </w:r>
      <w:r w:rsidR="0041392E" w:rsidRPr="00C77927">
        <w:t>include</w:t>
      </w:r>
      <w:r w:rsidRPr="00C77927">
        <w:t>:</w:t>
      </w:r>
    </w:p>
    <w:p w14:paraId="1D776825" w14:textId="77777777" w:rsidR="00095BC1" w:rsidRPr="00C77927" w:rsidRDefault="00095BC1" w:rsidP="00BB1633">
      <w:pPr>
        <w:autoSpaceDE w:val="0"/>
        <w:autoSpaceDN w:val="0"/>
        <w:adjustRightInd w:val="0"/>
        <w:ind w:firstLine="720"/>
      </w:pPr>
    </w:p>
    <w:p w14:paraId="1041C0F9" w14:textId="0B000EE4" w:rsidR="00EE1CE1" w:rsidRPr="00C77927" w:rsidRDefault="00E00084" w:rsidP="00C85054">
      <w:pPr>
        <w:numPr>
          <w:ilvl w:val="0"/>
          <w:numId w:val="12"/>
        </w:numPr>
        <w:autoSpaceDE w:val="0"/>
        <w:autoSpaceDN w:val="0"/>
        <w:adjustRightInd w:val="0"/>
      </w:pPr>
      <w:r w:rsidRPr="00C77927">
        <w:t>I</w:t>
      </w:r>
      <w:r w:rsidR="00206007" w:rsidRPr="00C77927">
        <w:t>mplement</w:t>
      </w:r>
      <w:r w:rsidR="00C85054" w:rsidRPr="00C77927">
        <w:t>ing</w:t>
      </w:r>
      <w:r w:rsidR="00206007" w:rsidRPr="00C77927">
        <w:t xml:space="preserve"> and updat</w:t>
      </w:r>
      <w:r w:rsidR="00C85054" w:rsidRPr="00C77927">
        <w:t>ing</w:t>
      </w:r>
      <w:r w:rsidR="00206007" w:rsidRPr="00C77927">
        <w:t xml:space="preserve">, as necessary, </w:t>
      </w:r>
      <w:r w:rsidR="00095BC1" w:rsidRPr="00C77927">
        <w:t>appropriate monitoring plan</w:t>
      </w:r>
      <w:r w:rsidR="00F1231A" w:rsidRPr="00C77927">
        <w:t>s</w:t>
      </w:r>
      <w:r w:rsidR="00095BC1" w:rsidRPr="00C77927">
        <w:t xml:space="preserve"> for each affected source and each affected unit at a source, as applicable;</w:t>
      </w:r>
    </w:p>
    <w:p w14:paraId="08E31995" w14:textId="76BD5E89" w:rsidR="00095BC1" w:rsidRPr="00C77927" w:rsidRDefault="00EE1CE1" w:rsidP="0064400C">
      <w:pPr>
        <w:numPr>
          <w:ilvl w:val="0"/>
          <w:numId w:val="12"/>
        </w:numPr>
        <w:autoSpaceDE w:val="0"/>
        <w:autoSpaceDN w:val="0"/>
        <w:adjustRightInd w:val="0"/>
      </w:pPr>
      <w:r w:rsidRPr="00C77927">
        <w:t>Monitoring activities, where required;</w:t>
      </w:r>
      <w:r w:rsidR="00095BC1" w:rsidRPr="00C77927">
        <w:t xml:space="preserve"> </w:t>
      </w:r>
    </w:p>
    <w:p w14:paraId="0B590DD9" w14:textId="40C3D817" w:rsidR="00095BC1" w:rsidRPr="00C77927" w:rsidRDefault="00C85054" w:rsidP="00C85054">
      <w:pPr>
        <w:numPr>
          <w:ilvl w:val="0"/>
          <w:numId w:val="12"/>
        </w:numPr>
        <w:autoSpaceDE w:val="0"/>
        <w:autoSpaceDN w:val="0"/>
        <w:adjustRightInd w:val="0"/>
      </w:pPr>
      <w:r w:rsidRPr="00C77927">
        <w:t>Conducting o</w:t>
      </w:r>
      <w:r w:rsidR="00095BC1" w:rsidRPr="00C77927">
        <w:t xml:space="preserve">peration and maintenance activities associated with the monitoring, including quality assurance activities; </w:t>
      </w:r>
    </w:p>
    <w:p w14:paraId="7274F174" w14:textId="77777777" w:rsidR="00095BC1" w:rsidRPr="00C77927" w:rsidRDefault="00095BC1" w:rsidP="0064400C">
      <w:pPr>
        <w:numPr>
          <w:ilvl w:val="0"/>
          <w:numId w:val="12"/>
        </w:numPr>
        <w:autoSpaceDE w:val="0"/>
        <w:autoSpaceDN w:val="0"/>
        <w:adjustRightInd w:val="0"/>
      </w:pPr>
      <w:r w:rsidRPr="00C77927">
        <w:t>Ensuring data quality, preparing annual reports</w:t>
      </w:r>
      <w:r w:rsidR="00F13598" w:rsidRPr="00C77927">
        <w:t xml:space="preserve"> for submission to EPA</w:t>
      </w:r>
      <w:r w:rsidR="00D26C07" w:rsidRPr="00C77927">
        <w:t>,</w:t>
      </w:r>
      <w:r w:rsidRPr="00C77927">
        <w:t xml:space="preserve"> and submitting these reports to EPA; </w:t>
      </w:r>
    </w:p>
    <w:p w14:paraId="0B5FF51E" w14:textId="77777777" w:rsidR="00095BC1" w:rsidRPr="00C77927" w:rsidRDefault="00F1231A" w:rsidP="0064400C">
      <w:pPr>
        <w:numPr>
          <w:ilvl w:val="0"/>
          <w:numId w:val="12"/>
        </w:numPr>
        <w:autoSpaceDE w:val="0"/>
        <w:autoSpaceDN w:val="0"/>
        <w:adjustRightInd w:val="0"/>
      </w:pPr>
      <w:r w:rsidRPr="00C77927">
        <w:t>Potentially r</w:t>
      </w:r>
      <w:r w:rsidR="00095BC1" w:rsidRPr="00C77927">
        <w:t xml:space="preserve">esponding to </w:t>
      </w:r>
      <w:r w:rsidRPr="00C77927">
        <w:t xml:space="preserve">questions or </w:t>
      </w:r>
      <w:r w:rsidR="00095BC1" w:rsidRPr="00C77927">
        <w:t xml:space="preserve">error messages </w:t>
      </w:r>
      <w:r w:rsidRPr="00C77927">
        <w:t xml:space="preserve">from </w:t>
      </w:r>
      <w:r w:rsidR="00095BC1" w:rsidRPr="00C77927">
        <w:t xml:space="preserve">EPA; and </w:t>
      </w:r>
    </w:p>
    <w:p w14:paraId="7B4B2AAE" w14:textId="12B6E090" w:rsidR="00676041" w:rsidRPr="00C77927" w:rsidRDefault="00095BC1" w:rsidP="0064400C">
      <w:pPr>
        <w:numPr>
          <w:ilvl w:val="0"/>
          <w:numId w:val="12"/>
        </w:numPr>
        <w:autoSpaceDE w:val="0"/>
        <w:autoSpaceDN w:val="0"/>
        <w:adjustRightInd w:val="0"/>
      </w:pPr>
      <w:r w:rsidRPr="00C77927">
        <w:t xml:space="preserve">Maintaining records for a </w:t>
      </w:r>
      <w:r w:rsidR="002C3896" w:rsidRPr="00C77927">
        <w:t xml:space="preserve">period </w:t>
      </w:r>
      <w:r w:rsidRPr="00C77927">
        <w:t xml:space="preserve">of </w:t>
      </w:r>
      <w:r w:rsidR="00931BC5" w:rsidRPr="00C77927">
        <w:t>three</w:t>
      </w:r>
      <w:r w:rsidRPr="00C77927">
        <w:t xml:space="preserve"> years</w:t>
      </w:r>
      <w:r w:rsidR="00EE1CE1" w:rsidRPr="00C77927">
        <w:t xml:space="preserve"> or five years</w:t>
      </w:r>
      <w:r w:rsidR="002C3896" w:rsidRPr="00C77927">
        <w:t xml:space="preserve">, as specified </w:t>
      </w:r>
      <w:r w:rsidR="005B538D">
        <w:t>by</w:t>
      </w:r>
      <w:r w:rsidR="002C3896" w:rsidRPr="00C77927">
        <w:t xml:space="preserve"> the GHGRP</w:t>
      </w:r>
      <w:r w:rsidRPr="00C77927">
        <w:t>.</w:t>
      </w:r>
    </w:p>
    <w:p w14:paraId="0DB14A8D" w14:textId="77777777" w:rsidR="00676041" w:rsidRPr="00C77927" w:rsidRDefault="00676041" w:rsidP="00BB1633">
      <w:pPr>
        <w:autoSpaceDE w:val="0"/>
        <w:autoSpaceDN w:val="0"/>
        <w:adjustRightInd w:val="0"/>
      </w:pPr>
    </w:p>
    <w:p w14:paraId="6585C814" w14:textId="14B9386F" w:rsidR="00676041" w:rsidRPr="00C77927" w:rsidRDefault="001073F8" w:rsidP="00BB1633">
      <w:pPr>
        <w:autoSpaceDE w:val="0"/>
        <w:autoSpaceDN w:val="0"/>
        <w:adjustRightInd w:val="0"/>
      </w:pPr>
      <w:r w:rsidRPr="00C77927">
        <w:tab/>
      </w:r>
      <w:r w:rsidR="00F04199" w:rsidRPr="00C77927">
        <w:t>Respondents that use</w:t>
      </w:r>
      <w:r w:rsidR="003739A6" w:rsidRPr="00C77927">
        <w:t xml:space="preserve"> a continuous emissions monitoring system (</w:t>
      </w:r>
      <w:r w:rsidR="00F04199" w:rsidRPr="00C77927">
        <w:t>CEMS</w:t>
      </w:r>
      <w:r w:rsidR="003739A6" w:rsidRPr="00C77927">
        <w:t>)</w:t>
      </w:r>
      <w:r w:rsidR="00F04199" w:rsidRPr="00C77927">
        <w:t xml:space="preserve"> also conduct tests to certify the operations of monitors, submit the results of these tests, and </w:t>
      </w:r>
      <w:r w:rsidR="00ED239B" w:rsidRPr="00C77927">
        <w:t>record emissions data</w:t>
      </w:r>
      <w:r w:rsidR="00676041" w:rsidRPr="00C77927">
        <w:t xml:space="preserve"> (this activity is </w:t>
      </w:r>
      <w:r w:rsidR="00DA6CD7" w:rsidRPr="00C77927">
        <w:t xml:space="preserve">generally </w:t>
      </w:r>
      <w:r w:rsidR="00676041" w:rsidRPr="00C77927">
        <w:t>performed electronically).</w:t>
      </w:r>
    </w:p>
    <w:p w14:paraId="5859A4B2" w14:textId="77777777" w:rsidR="00A04F15" w:rsidRPr="00C77927" w:rsidRDefault="00A04F15" w:rsidP="00BB1633">
      <w:pPr>
        <w:autoSpaceDE w:val="0"/>
        <w:autoSpaceDN w:val="0"/>
        <w:adjustRightInd w:val="0"/>
      </w:pPr>
    </w:p>
    <w:p w14:paraId="02101D0E" w14:textId="77777777" w:rsidR="00A04F15" w:rsidRPr="00C77927" w:rsidRDefault="00F04199" w:rsidP="00BB1633">
      <w:pPr>
        <w:keepNext/>
        <w:keepLines/>
        <w:ind w:firstLine="720"/>
      </w:pPr>
      <w:r w:rsidRPr="00C77927">
        <w:t>Reports</w:t>
      </w:r>
      <w:r w:rsidR="00A04F15" w:rsidRPr="00C77927">
        <w:t xml:space="preserve"> present the annual mass GHG emissions from each source category separately.</w:t>
      </w:r>
      <w:r w:rsidR="00A47CF8" w:rsidRPr="00C77927">
        <w:t xml:space="preserve"> </w:t>
      </w:r>
      <w:r w:rsidR="00A04F15" w:rsidRPr="00C77927">
        <w:t>The calculations used to determine GHG emissions, the frequency at which those calculations are required, the methods used to estimate missing data, and the QA/QC requirements depend on the specific source category.</w:t>
      </w:r>
      <w:r w:rsidR="00A47CF8" w:rsidRPr="00C77927">
        <w:t xml:space="preserve"> </w:t>
      </w:r>
    </w:p>
    <w:p w14:paraId="3F375423" w14:textId="77777777" w:rsidR="00A04F15" w:rsidRPr="00C77927" w:rsidRDefault="00A04F15" w:rsidP="00BB1633">
      <w:pPr>
        <w:autoSpaceDE w:val="0"/>
        <w:autoSpaceDN w:val="0"/>
        <w:adjustRightInd w:val="0"/>
      </w:pPr>
    </w:p>
    <w:p w14:paraId="48A3A972" w14:textId="77777777" w:rsidR="006E60EE" w:rsidRPr="00C77927" w:rsidRDefault="006E60EE" w:rsidP="00BB1633">
      <w:pPr>
        <w:ind w:left="720" w:hanging="720"/>
        <w:rPr>
          <w:b/>
        </w:rPr>
      </w:pPr>
    </w:p>
    <w:p w14:paraId="26F8EE14" w14:textId="77777777" w:rsidR="00424A62" w:rsidRPr="00C77927" w:rsidRDefault="00424A62">
      <w:pPr>
        <w:rPr>
          <w:b/>
          <w:lang w:val="x-none" w:eastAsia="x-none"/>
        </w:rPr>
      </w:pPr>
      <w:r w:rsidRPr="00C77927">
        <w:br w:type="page"/>
      </w:r>
    </w:p>
    <w:p w14:paraId="49A84604" w14:textId="11DEAF54" w:rsidR="008A715C" w:rsidRPr="00C77927" w:rsidRDefault="008A715C" w:rsidP="00F3717A">
      <w:pPr>
        <w:pStyle w:val="Heading1"/>
      </w:pPr>
      <w:bookmarkStart w:id="27" w:name="_Toc10555986"/>
      <w:r w:rsidRPr="00C77927">
        <w:t>5.</w:t>
      </w:r>
      <w:r w:rsidRPr="00C77927">
        <w:tab/>
        <w:t>THE INFORMATION COLLECTED – AGENCY ACTIVITIES, COLLECTION METHOD</w:t>
      </w:r>
      <w:r w:rsidR="0046780F" w:rsidRPr="00C77927">
        <w:t>S</w:t>
      </w:r>
      <w:r w:rsidRPr="00C77927">
        <w:t>, AND INFORMATION MANAGEMENT</w:t>
      </w:r>
      <w:bookmarkEnd w:id="27"/>
    </w:p>
    <w:p w14:paraId="5792EBDB" w14:textId="77777777" w:rsidR="008A715C" w:rsidRPr="00C77927" w:rsidRDefault="008A715C" w:rsidP="00BB1633">
      <w:pPr>
        <w:keepNext/>
        <w:rPr>
          <w:b/>
        </w:rPr>
      </w:pPr>
    </w:p>
    <w:p w14:paraId="3A6F19AF" w14:textId="77777777" w:rsidR="008A715C" w:rsidRPr="00C77927" w:rsidRDefault="0046780F" w:rsidP="00F3717A">
      <w:pPr>
        <w:pStyle w:val="Heading2"/>
      </w:pPr>
      <w:bookmarkStart w:id="28" w:name="_Toc10555987"/>
      <w:r w:rsidRPr="00C77927">
        <w:t xml:space="preserve">5(a) </w:t>
      </w:r>
      <w:r w:rsidR="008A715C" w:rsidRPr="00C77927">
        <w:t>Agency Activities</w:t>
      </w:r>
      <w:bookmarkEnd w:id="28"/>
    </w:p>
    <w:p w14:paraId="53392258" w14:textId="77777777" w:rsidR="007A5250" w:rsidRPr="00C77927" w:rsidRDefault="007A5250" w:rsidP="00BB1633">
      <w:pPr>
        <w:rPr>
          <w:b/>
        </w:rPr>
      </w:pPr>
    </w:p>
    <w:p w14:paraId="56A5DBA1" w14:textId="3E80FB9A" w:rsidR="006C0125" w:rsidRPr="00C77927" w:rsidRDefault="00CA763D" w:rsidP="00424A62">
      <w:pPr>
        <w:ind w:firstLine="720"/>
      </w:pPr>
      <w:r w:rsidRPr="00C77927">
        <w:t xml:space="preserve">EPA </w:t>
      </w:r>
      <w:r w:rsidR="00BE58BB" w:rsidRPr="00C77927">
        <w:t xml:space="preserve">activities include </w:t>
      </w:r>
      <w:r w:rsidR="00E00084" w:rsidRPr="00C77927">
        <w:t xml:space="preserve">the </w:t>
      </w:r>
      <w:r w:rsidR="00BE58BB" w:rsidRPr="00C77927">
        <w:t>monitoring and verification of emission reports, database and software maintenance, communication and outreach, and program evaluation.</w:t>
      </w:r>
    </w:p>
    <w:p w14:paraId="754108B3" w14:textId="77777777" w:rsidR="00424A62" w:rsidRPr="00C77927" w:rsidRDefault="00424A62" w:rsidP="00424A62">
      <w:pPr>
        <w:ind w:firstLine="720"/>
      </w:pPr>
    </w:p>
    <w:p w14:paraId="5A16753F" w14:textId="523BAE98" w:rsidR="008A715C" w:rsidRPr="00C77927" w:rsidRDefault="008A715C" w:rsidP="00F3717A">
      <w:pPr>
        <w:pStyle w:val="Heading2"/>
      </w:pPr>
      <w:bookmarkStart w:id="29" w:name="_Toc10555988"/>
      <w:r w:rsidRPr="00C77927">
        <w:t>5</w:t>
      </w:r>
      <w:r w:rsidR="0046780F" w:rsidRPr="00C77927">
        <w:t xml:space="preserve">(b) </w:t>
      </w:r>
      <w:r w:rsidRPr="00C77927">
        <w:t>Collection Methodology and Management</w:t>
      </w:r>
      <w:bookmarkEnd w:id="29"/>
    </w:p>
    <w:p w14:paraId="2A9CCE5A" w14:textId="77777777" w:rsidR="008800A7" w:rsidRPr="00C77927" w:rsidRDefault="008800A7" w:rsidP="00BB1633">
      <w:pPr>
        <w:rPr>
          <w:b/>
        </w:rPr>
      </w:pPr>
    </w:p>
    <w:p w14:paraId="5CA50BB7" w14:textId="785A169E" w:rsidR="007C3783" w:rsidRPr="00D25FC9" w:rsidRDefault="00BB1633">
      <w:pPr>
        <w:ind w:firstLine="720"/>
        <w:rPr>
          <w:rFonts w:eastAsia="Calibri"/>
        </w:rPr>
      </w:pPr>
      <w:r w:rsidRPr="00C77927">
        <w:rPr>
          <w:rFonts w:eastAsia="Calibri"/>
        </w:rPr>
        <w:t xml:space="preserve">EPA </w:t>
      </w:r>
      <w:r w:rsidR="00E33DDB" w:rsidRPr="00C77927">
        <w:rPr>
          <w:rFonts w:eastAsia="Calibri"/>
        </w:rPr>
        <w:t>has</w:t>
      </w:r>
      <w:r w:rsidRPr="00C77927">
        <w:rPr>
          <w:rFonts w:eastAsia="Calibri"/>
        </w:rPr>
        <w:t xml:space="preserve"> establish</w:t>
      </w:r>
      <w:r w:rsidR="00E33DDB" w:rsidRPr="00C77927">
        <w:rPr>
          <w:rFonts w:eastAsia="Calibri"/>
        </w:rPr>
        <w:t>ed</w:t>
      </w:r>
      <w:r w:rsidRPr="00C77927">
        <w:rPr>
          <w:rFonts w:eastAsia="Calibri"/>
        </w:rPr>
        <w:t xml:space="preserve"> a central repository of data for all respondents</w:t>
      </w:r>
      <w:r w:rsidR="00E33DDB" w:rsidRPr="00C77927">
        <w:rPr>
          <w:rFonts w:eastAsia="Calibri"/>
        </w:rPr>
        <w:t xml:space="preserve">, the web-based Electronic Greenhouse Gas Reporting Tool (e-GGRT). </w:t>
      </w:r>
      <w:r w:rsidR="007C3783" w:rsidRPr="00C77927">
        <w:rPr>
          <w:rFonts w:eastAsia="Calibri"/>
        </w:rPr>
        <w:t>Respondents report da</w:t>
      </w:r>
      <w:r w:rsidR="001F26AD" w:rsidRPr="00C77927">
        <w:rPr>
          <w:rFonts w:eastAsia="Calibri"/>
        </w:rPr>
        <w:t xml:space="preserve">ta electronically, and EPA </w:t>
      </w:r>
      <w:r w:rsidR="007C3783" w:rsidRPr="00C77927">
        <w:rPr>
          <w:rFonts w:eastAsia="Calibri"/>
        </w:rPr>
        <w:t>store</w:t>
      </w:r>
      <w:r w:rsidR="00F13598" w:rsidRPr="00C77927">
        <w:rPr>
          <w:rFonts w:eastAsia="Calibri"/>
        </w:rPr>
        <w:t>s</w:t>
      </w:r>
      <w:r w:rsidR="007C3783" w:rsidRPr="00C77927">
        <w:rPr>
          <w:rFonts w:eastAsia="Calibri"/>
        </w:rPr>
        <w:t xml:space="preserve"> the data in the database. Facilities and suppliers subject to the GHGRP register online through th</w:t>
      </w:r>
      <w:r w:rsidR="001F26AD" w:rsidRPr="00C77927">
        <w:rPr>
          <w:rFonts w:eastAsia="Calibri"/>
        </w:rPr>
        <w:t>e e-GGRT system.</w:t>
      </w:r>
    </w:p>
    <w:p w14:paraId="42BF4E16" w14:textId="77777777" w:rsidR="007C3783" w:rsidRPr="00C77927" w:rsidRDefault="007C3783" w:rsidP="00BB1633">
      <w:pPr>
        <w:ind w:firstLine="720"/>
        <w:rPr>
          <w:rFonts w:eastAsia="Calibri"/>
          <w:bCs/>
        </w:rPr>
      </w:pPr>
    </w:p>
    <w:p w14:paraId="40237D55" w14:textId="3F12D6BE" w:rsidR="00E33DDB" w:rsidRPr="00D25FC9" w:rsidRDefault="00E33DDB">
      <w:pPr>
        <w:ind w:firstLine="720"/>
        <w:rPr>
          <w:rFonts w:eastAsia="Calibri"/>
        </w:rPr>
      </w:pPr>
      <w:r w:rsidRPr="00C77927">
        <w:rPr>
          <w:rFonts w:eastAsia="Calibri"/>
        </w:rPr>
        <w:t xml:space="preserve">All data </w:t>
      </w:r>
      <w:r w:rsidR="00CF31C6" w:rsidRPr="00C77927">
        <w:rPr>
          <w:rFonts w:eastAsia="Calibri"/>
        </w:rPr>
        <w:t>are</w:t>
      </w:r>
      <w:r w:rsidRPr="00C77927">
        <w:rPr>
          <w:rFonts w:eastAsia="Calibri"/>
        </w:rPr>
        <w:t xml:space="preserve"> submitted to EPA electronically in e-GGRT except the one-time Electronic Signature Agreement (ESA)</w:t>
      </w:r>
      <w:r w:rsidR="58E9E84B" w:rsidRPr="00C77927">
        <w:rPr>
          <w:rFonts w:eastAsia="Calibri"/>
        </w:rPr>
        <w:t xml:space="preserve"> for new </w:t>
      </w:r>
      <w:r w:rsidR="424AE040" w:rsidRPr="00C77927">
        <w:rPr>
          <w:rFonts w:eastAsia="Calibri"/>
        </w:rPr>
        <w:t>users</w:t>
      </w:r>
      <w:r w:rsidRPr="00C77927">
        <w:rPr>
          <w:rFonts w:eastAsia="Calibri"/>
        </w:rPr>
        <w:t>.</w:t>
      </w:r>
      <w:r w:rsidR="4437B70F" w:rsidRPr="00C77927">
        <w:rPr>
          <w:rFonts w:eastAsia="Calibri"/>
        </w:rPr>
        <w:t xml:space="preserve"> In most cases, the ESA is also submitted electronically</w:t>
      </w:r>
      <w:r w:rsidR="0002076A">
        <w:rPr>
          <w:rFonts w:eastAsia="Calibri"/>
        </w:rPr>
        <w:t>;</w:t>
      </w:r>
      <w:r w:rsidR="4437B70F" w:rsidRPr="00C77927">
        <w:rPr>
          <w:rFonts w:eastAsia="Calibri"/>
        </w:rPr>
        <w:t xml:space="preserve"> </w:t>
      </w:r>
      <w:r w:rsidR="00965141">
        <w:rPr>
          <w:rFonts w:eastAsia="Calibri"/>
        </w:rPr>
        <w:t>h</w:t>
      </w:r>
      <w:r w:rsidR="4437B70F" w:rsidRPr="00C77927">
        <w:rPr>
          <w:rFonts w:eastAsia="Calibri"/>
        </w:rPr>
        <w:t>oweve</w:t>
      </w:r>
      <w:r w:rsidR="0016C4F8" w:rsidRPr="00C77927">
        <w:rPr>
          <w:rFonts w:eastAsia="Calibri"/>
        </w:rPr>
        <w:t xml:space="preserve">r, </w:t>
      </w:r>
      <w:r w:rsidR="00965141">
        <w:rPr>
          <w:rFonts w:eastAsia="Calibri"/>
        </w:rPr>
        <w:t>it is possible for users to opt out of submitting the ESA electronically and for those cases</w:t>
      </w:r>
      <w:r w:rsidR="5715A718" w:rsidRPr="00C77927">
        <w:rPr>
          <w:rFonts w:eastAsia="Calibri"/>
        </w:rPr>
        <w:t>,</w:t>
      </w:r>
      <w:r w:rsidR="29935865" w:rsidRPr="00C77927">
        <w:rPr>
          <w:rFonts w:eastAsia="Calibri"/>
        </w:rPr>
        <w:t xml:space="preserve"> </w:t>
      </w:r>
      <w:r w:rsidR="0016C4F8" w:rsidRPr="00C77927">
        <w:rPr>
          <w:rFonts w:eastAsia="Calibri"/>
        </w:rPr>
        <w:t>the ESA must be submitted on pap</w:t>
      </w:r>
      <w:r w:rsidR="43298811" w:rsidRPr="00C77927">
        <w:rPr>
          <w:rFonts w:eastAsia="Calibri"/>
        </w:rPr>
        <w:t>er</w:t>
      </w:r>
      <w:r w:rsidR="29935865" w:rsidRPr="00C77927">
        <w:rPr>
          <w:rFonts w:eastAsia="Calibri"/>
        </w:rPr>
        <w:t>.</w:t>
      </w:r>
      <w:r w:rsidRPr="00C77927">
        <w:rPr>
          <w:rFonts w:eastAsia="Calibri"/>
        </w:rPr>
        <w:t xml:space="preserve"> </w:t>
      </w:r>
      <w:r w:rsidR="00BA59BA" w:rsidRPr="00C77927">
        <w:rPr>
          <w:rFonts w:eastAsia="Calibri"/>
        </w:rPr>
        <w:t xml:space="preserve">e-GGRT </w:t>
      </w:r>
      <w:r w:rsidR="00E00084" w:rsidRPr="00C77927">
        <w:rPr>
          <w:rFonts w:eastAsia="Calibri"/>
        </w:rPr>
        <w:t>has</w:t>
      </w:r>
      <w:r w:rsidR="001F26AD" w:rsidRPr="00C77927">
        <w:rPr>
          <w:rFonts w:eastAsia="Calibri"/>
        </w:rPr>
        <w:t xml:space="preserve"> an XML reporting schema that </w:t>
      </w:r>
      <w:r w:rsidRPr="00C77927">
        <w:rPr>
          <w:rFonts w:eastAsia="Calibri"/>
        </w:rPr>
        <w:t>allow</w:t>
      </w:r>
      <w:r w:rsidR="001F26AD" w:rsidRPr="00C77927">
        <w:rPr>
          <w:rFonts w:eastAsia="Calibri"/>
        </w:rPr>
        <w:t>s</w:t>
      </w:r>
      <w:r w:rsidRPr="00C77927">
        <w:rPr>
          <w:rFonts w:eastAsia="Calibri"/>
        </w:rPr>
        <w:t xml:space="preserve"> facilities to upload GHG data directly in lieu of using the </w:t>
      </w:r>
      <w:r w:rsidR="15414399" w:rsidRPr="00C77927">
        <w:rPr>
          <w:rFonts w:eastAsia="Calibri"/>
        </w:rPr>
        <w:t xml:space="preserve">guided </w:t>
      </w:r>
      <w:r w:rsidRPr="00C77927">
        <w:rPr>
          <w:rFonts w:eastAsia="Calibri"/>
        </w:rPr>
        <w:t>web fo</w:t>
      </w:r>
      <w:r w:rsidR="007C3783" w:rsidRPr="00C77927">
        <w:rPr>
          <w:rFonts w:eastAsia="Calibri"/>
        </w:rPr>
        <w:t>rms provided through e-GGRT.</w:t>
      </w:r>
      <w:r w:rsidRPr="00C77927">
        <w:rPr>
          <w:rFonts w:eastAsia="Calibri"/>
        </w:rPr>
        <w:t xml:space="preserve"> The XML reporting schema contains all data elements needed to comply with the GHGRP. The electronic reports submitted under </w:t>
      </w:r>
      <w:r w:rsidR="00A24C9A" w:rsidRPr="00C77927">
        <w:rPr>
          <w:rFonts w:eastAsia="Calibri"/>
        </w:rPr>
        <w:t>the GHGRP</w:t>
      </w:r>
      <w:r w:rsidRPr="00C77927">
        <w:rPr>
          <w:rFonts w:eastAsia="Calibri"/>
        </w:rPr>
        <w:t xml:space="preserve"> are subject to the provisions of </w:t>
      </w:r>
      <w:r w:rsidR="000F5127" w:rsidRPr="00C77927">
        <w:rPr>
          <w:rFonts w:eastAsia="Calibri"/>
        </w:rPr>
        <w:t>40 CFR Part</w:t>
      </w:r>
      <w:r w:rsidRPr="00C77927">
        <w:rPr>
          <w:rFonts w:eastAsia="Calibri"/>
        </w:rPr>
        <w:t xml:space="preserve"> 3, specifying EPA systems to which electronic submissions must be made and the requirements for valid electronic signatures.</w:t>
      </w:r>
      <w:r w:rsidR="00E00084" w:rsidRPr="00C77927">
        <w:rPr>
          <w:rFonts w:eastAsia="Calibri"/>
        </w:rPr>
        <w:t xml:space="preserve"> Additionally, </w:t>
      </w:r>
      <w:r w:rsidR="006123EC" w:rsidRPr="00C77927">
        <w:rPr>
          <w:rFonts w:eastAsia="Calibri"/>
        </w:rPr>
        <w:t>e</w:t>
      </w:r>
      <w:r w:rsidR="00E00084" w:rsidRPr="00C77927">
        <w:rPr>
          <w:rFonts w:eastAsia="Calibri"/>
        </w:rPr>
        <w:t xml:space="preserve">-GGRT </w:t>
      </w:r>
      <w:r w:rsidR="00D25841" w:rsidRPr="00C77927">
        <w:rPr>
          <w:rFonts w:eastAsia="Calibri"/>
        </w:rPr>
        <w:t>is designed to collect and store</w:t>
      </w:r>
      <w:r w:rsidR="00E00084" w:rsidRPr="00C77927">
        <w:rPr>
          <w:rFonts w:eastAsia="Calibri"/>
        </w:rPr>
        <w:t xml:space="preserve"> CBI.</w:t>
      </w:r>
    </w:p>
    <w:p w14:paraId="2C8BE977" w14:textId="77777777" w:rsidR="00E33DDB" w:rsidRPr="00C77927" w:rsidRDefault="00E33DDB" w:rsidP="00BB1633">
      <w:pPr>
        <w:ind w:firstLine="720"/>
        <w:rPr>
          <w:rFonts w:eastAsia="Calibri"/>
          <w:bCs/>
        </w:rPr>
      </w:pPr>
    </w:p>
    <w:p w14:paraId="0E884DEE" w14:textId="5D4D3E91" w:rsidR="00E33DDB" w:rsidRPr="00D25FC9" w:rsidRDefault="00E33DDB">
      <w:pPr>
        <w:ind w:firstLine="720"/>
        <w:rPr>
          <w:rFonts w:eastAsia="Calibri"/>
        </w:rPr>
      </w:pPr>
      <w:r w:rsidRPr="00C77927">
        <w:rPr>
          <w:rFonts w:eastAsia="Calibri"/>
        </w:rPr>
        <w:t xml:space="preserve">The system follows Agency standards for design, security, data element and reporting format conformance, and accessibility. EPA </w:t>
      </w:r>
      <w:r w:rsidR="007C3783" w:rsidRPr="00C77927">
        <w:rPr>
          <w:rFonts w:eastAsia="Calibri"/>
        </w:rPr>
        <w:t xml:space="preserve">designed the database </w:t>
      </w:r>
      <w:r w:rsidRPr="00C77927">
        <w:rPr>
          <w:rFonts w:eastAsia="Calibri"/>
        </w:rPr>
        <w:t xml:space="preserve">to minimize respondents’ burden by integrating with existing data collection and data management systems, when feasible. </w:t>
      </w:r>
    </w:p>
    <w:p w14:paraId="1E2252D1" w14:textId="77777777" w:rsidR="00E33DDB" w:rsidRPr="00C77927" w:rsidRDefault="00E33DDB" w:rsidP="00BB1633">
      <w:pPr>
        <w:ind w:firstLine="720"/>
        <w:rPr>
          <w:rFonts w:eastAsia="Calibri"/>
          <w:bCs/>
        </w:rPr>
      </w:pPr>
    </w:p>
    <w:p w14:paraId="25CFEDF9" w14:textId="341BD077" w:rsidR="00BB1633" w:rsidRPr="00D25FC9" w:rsidRDefault="00E33DDB">
      <w:pPr>
        <w:ind w:firstLine="720"/>
        <w:rPr>
          <w:rFonts w:eastAsia="Calibri"/>
        </w:rPr>
      </w:pPr>
      <w:r w:rsidRPr="00C77927">
        <w:rPr>
          <w:rFonts w:eastAsia="Calibri"/>
        </w:rPr>
        <w:t xml:space="preserve">All facilities or suppliers </w:t>
      </w:r>
      <w:r w:rsidR="00C9469B" w:rsidRPr="00C77927">
        <w:rPr>
          <w:rFonts w:eastAsia="Calibri"/>
        </w:rPr>
        <w:t xml:space="preserve">must </w:t>
      </w:r>
      <w:r w:rsidR="0002076A">
        <w:rPr>
          <w:rFonts w:eastAsia="Calibri"/>
        </w:rPr>
        <w:t>assign</w:t>
      </w:r>
      <w:r w:rsidRPr="00C77927">
        <w:rPr>
          <w:rFonts w:eastAsia="Calibri"/>
        </w:rPr>
        <w:t xml:space="preserve"> a Designated Representative (DR) in order to report. </w:t>
      </w:r>
      <w:r w:rsidR="00C9469B" w:rsidRPr="00C77927">
        <w:rPr>
          <w:rFonts w:eastAsia="Calibri"/>
        </w:rPr>
        <w:t xml:space="preserve">The DR may appoint an Alternative Designated Representative (ADR) and </w:t>
      </w:r>
      <w:r w:rsidR="00C85054" w:rsidRPr="00C77927">
        <w:rPr>
          <w:rFonts w:eastAsia="Calibri"/>
        </w:rPr>
        <w:t xml:space="preserve">multiple </w:t>
      </w:r>
      <w:r w:rsidR="00C9469B" w:rsidRPr="00C77927">
        <w:rPr>
          <w:rFonts w:eastAsia="Calibri"/>
        </w:rPr>
        <w:t>agents. The D</w:t>
      </w:r>
      <w:r w:rsidR="00E26D35" w:rsidRPr="00C77927">
        <w:rPr>
          <w:rFonts w:eastAsia="Calibri"/>
        </w:rPr>
        <w:t>R</w:t>
      </w:r>
      <w:r w:rsidR="00C9469B" w:rsidRPr="00C77927">
        <w:rPr>
          <w:rFonts w:eastAsia="Calibri"/>
        </w:rPr>
        <w:t>, ADR, and agent</w:t>
      </w:r>
      <w:r w:rsidR="00C85054" w:rsidRPr="00C77927">
        <w:rPr>
          <w:rFonts w:eastAsia="Calibri"/>
        </w:rPr>
        <w:t>s</w:t>
      </w:r>
      <w:r w:rsidR="00C9469B" w:rsidRPr="00C77927">
        <w:rPr>
          <w:rFonts w:eastAsia="Calibri"/>
        </w:rPr>
        <w:t xml:space="preserve"> are all able to enter data and submit the electronic report</w:t>
      </w:r>
      <w:r w:rsidR="00FA4174">
        <w:rPr>
          <w:rFonts w:eastAsia="Calibri"/>
        </w:rPr>
        <w:t xml:space="preserve"> on behalf of the regulated facility</w:t>
      </w:r>
      <w:r w:rsidR="00C9469B" w:rsidRPr="00C77927">
        <w:rPr>
          <w:rFonts w:eastAsia="Calibri"/>
        </w:rPr>
        <w:t>. Before submitting a report, the DR (or ADR) must certify the annual report.</w:t>
      </w:r>
      <w:r w:rsidR="002C54FB" w:rsidRPr="00C77927">
        <w:rPr>
          <w:rFonts w:eastAsia="Calibri"/>
        </w:rPr>
        <w:t xml:space="preserve"> </w:t>
      </w:r>
      <w:r w:rsidR="00C9469B" w:rsidRPr="00C77927">
        <w:rPr>
          <w:rFonts w:eastAsia="Calibri"/>
        </w:rPr>
        <w:t>An</w:t>
      </w:r>
      <w:r w:rsidR="00BB1633" w:rsidRPr="00C77927">
        <w:rPr>
          <w:rFonts w:eastAsia="Calibri"/>
        </w:rPr>
        <w:t xml:space="preserve"> electronic signature device (e.g., a PIN or password)</w:t>
      </w:r>
      <w:r w:rsidR="00C9469B" w:rsidRPr="00C77927">
        <w:rPr>
          <w:rFonts w:eastAsia="Calibri"/>
        </w:rPr>
        <w:t xml:space="preserve"> is required</w:t>
      </w:r>
      <w:r w:rsidR="00BB1633" w:rsidRPr="00C77927">
        <w:rPr>
          <w:rFonts w:eastAsia="Calibri"/>
        </w:rPr>
        <w:t xml:space="preserve"> to submit a report.</w:t>
      </w:r>
    </w:p>
    <w:p w14:paraId="6361F5ED" w14:textId="77777777" w:rsidR="000A2970" w:rsidRPr="00C77927" w:rsidRDefault="000A2970" w:rsidP="00BB1633">
      <w:pPr>
        <w:ind w:firstLine="720"/>
        <w:rPr>
          <w:rFonts w:eastAsia="Calibri"/>
          <w:bCs/>
        </w:rPr>
      </w:pPr>
    </w:p>
    <w:p w14:paraId="362B6366" w14:textId="27E7DAE1" w:rsidR="000A2970" w:rsidRPr="00D25FC9" w:rsidRDefault="000A2970">
      <w:pPr>
        <w:ind w:firstLine="720"/>
        <w:rPr>
          <w:rFonts w:eastAsia="Calibri"/>
        </w:rPr>
      </w:pPr>
      <w:r w:rsidRPr="00C77927">
        <w:rPr>
          <w:rFonts w:eastAsia="Calibri"/>
        </w:rPr>
        <w:t xml:space="preserve">EPA </w:t>
      </w:r>
      <w:r w:rsidR="00D25841" w:rsidRPr="00C77927">
        <w:rPr>
          <w:rFonts w:eastAsia="Calibri"/>
        </w:rPr>
        <w:t>ensures</w:t>
      </w:r>
      <w:r w:rsidRPr="00C77927">
        <w:rPr>
          <w:rFonts w:eastAsia="Calibri"/>
        </w:rPr>
        <w:t xml:space="preserve"> data quality by conducting </w:t>
      </w:r>
      <w:r w:rsidR="00D25841" w:rsidRPr="00C77927">
        <w:rPr>
          <w:rFonts w:eastAsia="Calibri"/>
        </w:rPr>
        <w:t>robust</w:t>
      </w:r>
      <w:r w:rsidRPr="00C77927">
        <w:rPr>
          <w:rFonts w:eastAsia="Calibri"/>
        </w:rPr>
        <w:t xml:space="preserve"> verification </w:t>
      </w:r>
      <w:r w:rsidR="00D25841" w:rsidRPr="00C77927">
        <w:rPr>
          <w:rFonts w:eastAsia="Calibri"/>
        </w:rPr>
        <w:t>checks</w:t>
      </w:r>
      <w:r w:rsidRPr="00C77927">
        <w:rPr>
          <w:rFonts w:eastAsia="Calibri"/>
        </w:rPr>
        <w:t xml:space="preserve"> using both electronic software </w:t>
      </w:r>
      <w:r w:rsidR="00C85054" w:rsidRPr="00C77927">
        <w:rPr>
          <w:rFonts w:eastAsia="Calibri"/>
        </w:rPr>
        <w:t>and</w:t>
      </w:r>
      <w:r w:rsidRPr="00C77927">
        <w:rPr>
          <w:rFonts w:eastAsia="Calibri"/>
        </w:rPr>
        <w:t xml:space="preserve"> manual review. EPA contacts facilities </w:t>
      </w:r>
      <w:r w:rsidR="00C86FEC" w:rsidRPr="00C77927">
        <w:rPr>
          <w:rFonts w:eastAsia="Calibri"/>
        </w:rPr>
        <w:t>when annual</w:t>
      </w:r>
      <w:r w:rsidRPr="00C77927">
        <w:rPr>
          <w:rFonts w:eastAsia="Calibri"/>
        </w:rPr>
        <w:t xml:space="preserve"> reports contain potential errors, and the statute requires that the facilities either resolve the error or explain that it is not an error in a timely manner. EPA makes all data accessible to the public on a web-based, user-friendly publication tool called FLIGHT</w:t>
      </w:r>
      <w:r w:rsidR="00F10F3C" w:rsidRPr="00C77927">
        <w:rPr>
          <w:rFonts w:eastAsia="Calibri"/>
        </w:rPr>
        <w:t>, as detailed in Section 2(b) of this document</w:t>
      </w:r>
      <w:r w:rsidRPr="00C77927">
        <w:rPr>
          <w:rFonts w:eastAsia="Calibri"/>
        </w:rPr>
        <w:t>.</w:t>
      </w:r>
    </w:p>
    <w:p w14:paraId="34E93F53" w14:textId="77777777" w:rsidR="00E33DDB" w:rsidRPr="00C77927" w:rsidRDefault="00E33DDB" w:rsidP="00BB1633">
      <w:pPr>
        <w:rPr>
          <w:rFonts w:eastAsia="Calibri"/>
          <w:bCs/>
        </w:rPr>
      </w:pPr>
    </w:p>
    <w:p w14:paraId="324A10CD" w14:textId="77777777" w:rsidR="00E63108" w:rsidRDefault="00E63108" w:rsidP="00F3717A">
      <w:pPr>
        <w:pStyle w:val="Heading2"/>
      </w:pPr>
      <w:r>
        <w:br w:type="page"/>
      </w:r>
    </w:p>
    <w:p w14:paraId="732F3322" w14:textId="199633B3" w:rsidR="008A715C" w:rsidRPr="00C77927" w:rsidRDefault="0046780F" w:rsidP="00F3717A">
      <w:pPr>
        <w:pStyle w:val="Heading2"/>
      </w:pPr>
      <w:bookmarkStart w:id="30" w:name="_Toc10555989"/>
      <w:r w:rsidRPr="00C77927">
        <w:t xml:space="preserve">5(c) </w:t>
      </w:r>
      <w:r w:rsidR="008A715C" w:rsidRPr="00C77927">
        <w:t>Small Entity Flexibility</w:t>
      </w:r>
      <w:bookmarkEnd w:id="30"/>
    </w:p>
    <w:p w14:paraId="74C99356" w14:textId="77777777" w:rsidR="008800A7" w:rsidRPr="00C77927" w:rsidRDefault="008800A7" w:rsidP="00BB1633">
      <w:pPr>
        <w:autoSpaceDE w:val="0"/>
        <w:autoSpaceDN w:val="0"/>
        <w:adjustRightInd w:val="0"/>
        <w:rPr>
          <w:i/>
        </w:rPr>
      </w:pPr>
    </w:p>
    <w:p w14:paraId="74265156" w14:textId="77777777" w:rsidR="00A24C9A" w:rsidRPr="00C77927" w:rsidRDefault="00A94E4F" w:rsidP="00BB1633">
      <w:pPr>
        <w:autoSpaceDE w:val="0"/>
        <w:autoSpaceDN w:val="0"/>
        <w:adjustRightInd w:val="0"/>
        <w:ind w:firstLine="720"/>
      </w:pPr>
      <w:r w:rsidRPr="00C77927">
        <w:t xml:space="preserve">EPA took several steps to minimize the impacts on small entities. The Agency </w:t>
      </w:r>
      <w:r w:rsidR="005B03F6" w:rsidRPr="00C77927">
        <w:t xml:space="preserve">met </w:t>
      </w:r>
      <w:r w:rsidRPr="00C77927">
        <w:t xml:space="preserve">several </w:t>
      </w:r>
      <w:r w:rsidR="005B03F6" w:rsidRPr="00C77927">
        <w:t xml:space="preserve">times </w:t>
      </w:r>
      <w:r w:rsidRPr="00C77927">
        <w:t xml:space="preserve">with industry trade associations to discuss the </w:t>
      </w:r>
      <w:r w:rsidR="00584D99" w:rsidRPr="00C77927">
        <w:t xml:space="preserve">reporting </w:t>
      </w:r>
      <w:r w:rsidRPr="00C77927">
        <w:t>options considered and their possible impacts on small entities. EPA further minimized impacts on small entities by</w:t>
      </w:r>
      <w:r w:rsidR="007F5125" w:rsidRPr="00C77927">
        <w:t xml:space="preserve"> </w:t>
      </w:r>
      <w:r w:rsidRPr="00C77927">
        <w:t>not requiring facilities below a certain emissions threshold to report their emissions.</w:t>
      </w:r>
      <w:r w:rsidR="00ED239B" w:rsidRPr="00C77927">
        <w:t xml:space="preserve"> </w:t>
      </w:r>
    </w:p>
    <w:p w14:paraId="7D0B3D42" w14:textId="77777777" w:rsidR="00500602" w:rsidRPr="00C77927" w:rsidRDefault="00500602" w:rsidP="00BB1633">
      <w:pPr>
        <w:autoSpaceDE w:val="0"/>
        <w:autoSpaceDN w:val="0"/>
        <w:adjustRightInd w:val="0"/>
        <w:ind w:firstLine="720"/>
      </w:pPr>
    </w:p>
    <w:p w14:paraId="333A1845" w14:textId="77777777" w:rsidR="007C3783" w:rsidRPr="00C77927" w:rsidRDefault="00554C54" w:rsidP="005D5E71">
      <w:pPr>
        <w:autoSpaceDE w:val="0"/>
        <w:autoSpaceDN w:val="0"/>
        <w:adjustRightInd w:val="0"/>
        <w:ind w:firstLine="720"/>
      </w:pPr>
      <w:r w:rsidRPr="00C77927">
        <w:t>Where feasible, EPA also use</w:t>
      </w:r>
      <w:r w:rsidR="005D5363" w:rsidRPr="00C77927">
        <w:t>s</w:t>
      </w:r>
      <w:r w:rsidRPr="00C77927">
        <w:t xml:space="preserve"> existing </w:t>
      </w:r>
      <w:r w:rsidR="00BB1EAB" w:rsidRPr="00C77927">
        <w:t xml:space="preserve">GHG </w:t>
      </w:r>
      <w:r w:rsidRPr="00C77927">
        <w:t>emission</w:t>
      </w:r>
      <w:r w:rsidR="0041392E" w:rsidRPr="00C77927">
        <w:t>s</w:t>
      </w:r>
      <w:r w:rsidRPr="00C77927">
        <w:t xml:space="preserve"> estimation and reporting methodologies </w:t>
      </w:r>
      <w:r w:rsidR="005D5363" w:rsidRPr="00C77927">
        <w:t>and</w:t>
      </w:r>
      <w:r w:rsidR="00253056" w:rsidRPr="00C77927">
        <w:t xml:space="preserve"> provide</w:t>
      </w:r>
      <w:r w:rsidR="005D5363" w:rsidRPr="00C77927">
        <w:t>s</w:t>
      </w:r>
      <w:r w:rsidR="00253056" w:rsidRPr="00C77927">
        <w:t xml:space="preserve"> simplified methodological options </w:t>
      </w:r>
      <w:r w:rsidRPr="00C77927">
        <w:t>to reduce reporting burden.</w:t>
      </w:r>
      <w:r w:rsidR="00ED239B" w:rsidRPr="00C77927">
        <w:t xml:space="preserve"> </w:t>
      </w:r>
      <w:r w:rsidR="00753062" w:rsidRPr="00C77927">
        <w:t xml:space="preserve">According to the Agency’s analysis, a facility with stationary combustion units that have a maximum rated heat input capacity of less than 30 mmBtu/hr, operating full time with </w:t>
      </w:r>
      <w:r w:rsidR="007F5125" w:rsidRPr="00C77927">
        <w:t>any</w:t>
      </w:r>
      <w:r w:rsidR="00753062" w:rsidRPr="00C77927">
        <w:t xml:space="preserve"> type of fossil fuel</w:t>
      </w:r>
      <w:r w:rsidR="00AD438A" w:rsidRPr="00C77927">
        <w:t>,</w:t>
      </w:r>
      <w:r w:rsidR="00753062" w:rsidRPr="00C77927">
        <w:t xml:space="preserve"> would not exceed 25,000 metric tons </w:t>
      </w:r>
      <w:r w:rsidR="00AB6F4F" w:rsidRPr="00C77927">
        <w:t>CO</w:t>
      </w:r>
      <w:r w:rsidR="00AB6F4F" w:rsidRPr="00C77927">
        <w:rPr>
          <w:vertAlign w:val="subscript"/>
        </w:rPr>
        <w:t>2</w:t>
      </w:r>
      <w:r w:rsidR="00753062" w:rsidRPr="00C77927">
        <w:t>e/y</w:t>
      </w:r>
      <w:r w:rsidR="005D5E71" w:rsidRPr="00C77927">
        <w:t>ea</w:t>
      </w:r>
      <w:r w:rsidR="00753062" w:rsidRPr="00C77927">
        <w:t>r.</w:t>
      </w:r>
      <w:r w:rsidR="00ED239B" w:rsidRPr="00C77927">
        <w:t xml:space="preserve"> </w:t>
      </w:r>
      <w:r w:rsidR="007F5125" w:rsidRPr="00C77927">
        <w:t xml:space="preserve">Exempting facilities based on combustion unit capacity has allowed for small entities to perform a simple </w:t>
      </w:r>
      <w:r w:rsidR="00CE7E0B" w:rsidRPr="00C77927">
        <w:t>calculation</w:t>
      </w:r>
      <w:r w:rsidR="007F5125" w:rsidRPr="00C77927">
        <w:t xml:space="preserve"> </w:t>
      </w:r>
      <w:r w:rsidR="00CE7E0B" w:rsidRPr="00C77927">
        <w:t>to determine if they are even required to estimate emissions for applicability purposes.</w:t>
      </w:r>
    </w:p>
    <w:p w14:paraId="56C1DC51" w14:textId="77777777" w:rsidR="00503442" w:rsidRPr="00C77927" w:rsidRDefault="00503442" w:rsidP="00503442">
      <w:pPr>
        <w:autoSpaceDE w:val="0"/>
        <w:autoSpaceDN w:val="0"/>
        <w:adjustRightInd w:val="0"/>
        <w:ind w:firstLine="720"/>
        <w:rPr>
          <w:bCs/>
        </w:rPr>
      </w:pPr>
    </w:p>
    <w:p w14:paraId="662DF3AE" w14:textId="4248F9BE" w:rsidR="00500602" w:rsidRPr="00C77927" w:rsidRDefault="004A2F46" w:rsidP="00A81259">
      <w:pPr>
        <w:autoSpaceDE w:val="0"/>
        <w:autoSpaceDN w:val="0"/>
        <w:adjustRightInd w:val="0"/>
        <w:ind w:firstLine="720"/>
      </w:pPr>
      <w:r w:rsidRPr="00C77927">
        <w:t xml:space="preserve">Additionally, EPA minimized the impact on small entities in </w:t>
      </w:r>
      <w:r w:rsidR="00A17391" w:rsidRPr="00C77927">
        <w:t>S</w:t>
      </w:r>
      <w:r w:rsidRPr="00C77927">
        <w:t xml:space="preserve">ubpart NN (Suppliers of Natural Gas and Natural Gas Liquids) by </w:t>
      </w:r>
      <w:r w:rsidR="00DD32A3">
        <w:t xml:space="preserve">previously </w:t>
      </w:r>
      <w:r w:rsidR="00BD094B" w:rsidRPr="00C77927">
        <w:t>amending the reporting threshold</w:t>
      </w:r>
      <w:r w:rsidRPr="00C77927">
        <w:t xml:space="preserve"> from an all-in threshold to a </w:t>
      </w:r>
      <w:r w:rsidR="00BD094B" w:rsidRPr="00C77927">
        <w:t>capacity-based threshold</w:t>
      </w:r>
      <w:r w:rsidRPr="00C77927">
        <w:t xml:space="preserve">. </w:t>
      </w:r>
      <w:r w:rsidR="00500602" w:rsidRPr="00C77927">
        <w:t xml:space="preserve">EPA </w:t>
      </w:r>
      <w:r w:rsidR="00BD094B" w:rsidRPr="00C77927">
        <w:t xml:space="preserve">revised </w:t>
      </w:r>
      <w:r w:rsidR="00500602" w:rsidRPr="00C77927">
        <w:t>the applicability threshold so that only loc</w:t>
      </w:r>
      <w:r w:rsidR="00C965D2" w:rsidRPr="00C77927">
        <w:t>al distribution companies</w:t>
      </w:r>
      <w:r w:rsidR="00500602" w:rsidRPr="00C77927">
        <w:t xml:space="preserve"> that deliver 460,000 thousand standard cubic feet (mscf) or more of natural gas per year are subject to the GHGRP (75 FR 79092; December 17, 2010).</w:t>
      </w:r>
    </w:p>
    <w:p w14:paraId="0BEA3567" w14:textId="77777777" w:rsidR="004A2F46" w:rsidRPr="00C77927" w:rsidRDefault="004A2F46" w:rsidP="00500602">
      <w:pPr>
        <w:autoSpaceDE w:val="0"/>
        <w:autoSpaceDN w:val="0"/>
        <w:adjustRightInd w:val="0"/>
        <w:ind w:firstLine="720"/>
        <w:rPr>
          <w:bCs/>
        </w:rPr>
      </w:pPr>
    </w:p>
    <w:p w14:paraId="45FB3C29" w14:textId="77777777" w:rsidR="0041039C" w:rsidRDefault="00A24C9A">
      <w:pPr>
        <w:ind w:firstLine="720"/>
        <w:rPr>
          <w:color w:val="000000"/>
        </w:rPr>
      </w:pPr>
      <w:r w:rsidRPr="00C77927">
        <w:rPr>
          <w:color w:val="000000"/>
        </w:rPr>
        <w:t xml:space="preserve">The rule includes a mechanism in 40 CFR 98.2 to allow facilities and suppliers that report less than 25,000 metric tons of </w:t>
      </w:r>
      <w:r w:rsidR="00AB6F4F" w:rsidRPr="00C77927">
        <w:rPr>
          <w:color w:val="000000"/>
        </w:rPr>
        <w:t>CO</w:t>
      </w:r>
      <w:r w:rsidR="00AB6F4F" w:rsidRPr="00C77927">
        <w:rPr>
          <w:color w:val="000000"/>
          <w:vertAlign w:val="subscript"/>
        </w:rPr>
        <w:t>2</w:t>
      </w:r>
      <w:r w:rsidRPr="00C77927">
        <w:rPr>
          <w:color w:val="000000"/>
        </w:rPr>
        <w:t>e</w:t>
      </w:r>
      <w:r w:rsidR="005D5E71" w:rsidRPr="00C77927">
        <w:rPr>
          <w:color w:val="000000"/>
        </w:rPr>
        <w:t>/year</w:t>
      </w:r>
      <w:r w:rsidRPr="00C77927">
        <w:rPr>
          <w:color w:val="000000"/>
        </w:rPr>
        <w:t xml:space="preserve"> for </w:t>
      </w:r>
      <w:r w:rsidR="00EE1CE1" w:rsidRPr="00C77927">
        <w:rPr>
          <w:color w:val="000000"/>
        </w:rPr>
        <w:t>five</w:t>
      </w:r>
      <w:r w:rsidRPr="00C77927">
        <w:rPr>
          <w:color w:val="000000"/>
        </w:rPr>
        <w:t xml:space="preserve"> </w:t>
      </w:r>
      <w:r w:rsidR="007C55B6" w:rsidRPr="00C77927">
        <w:rPr>
          <w:color w:val="000000"/>
        </w:rPr>
        <w:t xml:space="preserve">consecutive </w:t>
      </w:r>
      <w:r w:rsidRPr="00C77927">
        <w:rPr>
          <w:color w:val="000000"/>
        </w:rPr>
        <w:t>years</w:t>
      </w:r>
      <w:r w:rsidR="005D5E71" w:rsidRPr="00C77927">
        <w:rPr>
          <w:color w:val="000000"/>
        </w:rPr>
        <w:t xml:space="preserve"> or less than 15,000 metric tons CO</w:t>
      </w:r>
      <w:r w:rsidR="005D5E71" w:rsidRPr="00C77927">
        <w:rPr>
          <w:color w:val="000000"/>
          <w:vertAlign w:val="subscript"/>
        </w:rPr>
        <w:t>2</w:t>
      </w:r>
      <w:r w:rsidR="005D5E71" w:rsidRPr="00C77927">
        <w:rPr>
          <w:color w:val="000000"/>
        </w:rPr>
        <w:t xml:space="preserve">e/year for </w:t>
      </w:r>
      <w:r w:rsidR="00EE1CE1" w:rsidRPr="00C77927">
        <w:rPr>
          <w:color w:val="000000"/>
        </w:rPr>
        <w:t>three</w:t>
      </w:r>
      <w:r w:rsidR="005D5E71" w:rsidRPr="00C77927">
        <w:rPr>
          <w:color w:val="000000"/>
        </w:rPr>
        <w:t xml:space="preserve"> </w:t>
      </w:r>
      <w:r w:rsidR="007C55B6" w:rsidRPr="00C77927">
        <w:rPr>
          <w:color w:val="000000"/>
        </w:rPr>
        <w:t xml:space="preserve">consecutive </w:t>
      </w:r>
      <w:r w:rsidR="005D5E71" w:rsidRPr="00C77927">
        <w:rPr>
          <w:color w:val="000000"/>
        </w:rPr>
        <w:t>years</w:t>
      </w:r>
      <w:r w:rsidRPr="00C77927">
        <w:rPr>
          <w:color w:val="000000"/>
        </w:rPr>
        <w:t xml:space="preserve"> to cease annual reporting to EPA</w:t>
      </w:r>
      <w:r w:rsidR="002C652C" w:rsidRPr="00C77927">
        <w:rPr>
          <w:color w:val="000000"/>
        </w:rPr>
        <w:t>.</w:t>
      </w:r>
    </w:p>
    <w:p w14:paraId="1348A99F" w14:textId="77777777" w:rsidR="0041039C" w:rsidRDefault="0041039C" w:rsidP="00FD0BF8"/>
    <w:p w14:paraId="487F0B81" w14:textId="64ECBAB0" w:rsidR="008800A7" w:rsidRDefault="0046780F" w:rsidP="00353236">
      <w:pPr>
        <w:pStyle w:val="Heading2"/>
        <w:widowControl w:val="0"/>
      </w:pPr>
      <w:bookmarkStart w:id="31" w:name="_Toc10555990"/>
      <w:r w:rsidRPr="00C77927">
        <w:t>5(d) Collection Schedule</w:t>
      </w:r>
      <w:bookmarkEnd w:id="31"/>
    </w:p>
    <w:p w14:paraId="68C2D2F8" w14:textId="77777777" w:rsidR="004F071B" w:rsidRPr="004F071B" w:rsidRDefault="004F071B" w:rsidP="004F071B">
      <w:pPr>
        <w:widowControl w:val="0"/>
        <w:rPr>
          <w:lang w:val="x-none" w:eastAsia="x-none"/>
        </w:rPr>
      </w:pPr>
    </w:p>
    <w:p w14:paraId="4CE92D1A" w14:textId="6139F2D6" w:rsidR="00A24C9A" w:rsidRPr="00C77927" w:rsidRDefault="006F06C9" w:rsidP="004F071B">
      <w:pPr>
        <w:widowControl w:val="0"/>
        <w:ind w:firstLine="720"/>
      </w:pPr>
      <w:r w:rsidRPr="00C77927">
        <w:t>F</w:t>
      </w:r>
      <w:r w:rsidR="0064652D" w:rsidRPr="00C77927">
        <w:t>or each reporting year, f</w:t>
      </w:r>
      <w:r w:rsidRPr="00C77927">
        <w:t xml:space="preserve">acilities collect data and calculate emissions at varying frequencies, as described in the </w:t>
      </w:r>
      <w:r w:rsidR="00A24C9A" w:rsidRPr="00C77927">
        <w:t>GHGRP</w:t>
      </w:r>
      <w:r w:rsidRPr="00C77927">
        <w:t xml:space="preserve">, and summarized in </w:t>
      </w:r>
      <w:r w:rsidR="005B03F6" w:rsidRPr="00C77927">
        <w:t>Appendi</w:t>
      </w:r>
      <w:r w:rsidR="00056D06" w:rsidRPr="00C77927">
        <w:t>ces</w:t>
      </w:r>
      <w:r w:rsidR="005B03F6" w:rsidRPr="00C77927">
        <w:t xml:space="preserve"> </w:t>
      </w:r>
      <w:r w:rsidR="000A2970" w:rsidRPr="00C77927">
        <w:t>B</w:t>
      </w:r>
      <w:r w:rsidR="00056D06" w:rsidRPr="00C77927">
        <w:t xml:space="preserve"> and </w:t>
      </w:r>
      <w:r w:rsidR="000A2970" w:rsidRPr="00C77927">
        <w:t>C</w:t>
      </w:r>
      <w:r w:rsidR="0086572D" w:rsidRPr="00C77927">
        <w:t xml:space="preserve"> of this document</w:t>
      </w:r>
      <w:r w:rsidRPr="00C77927">
        <w:t>.</w:t>
      </w:r>
      <w:r w:rsidR="008C6830" w:rsidRPr="00C77927">
        <w:t xml:space="preserve"> </w:t>
      </w:r>
      <w:r w:rsidR="0064652D" w:rsidRPr="00C77927">
        <w:t>F</w:t>
      </w:r>
      <w:r w:rsidR="008C6830" w:rsidRPr="00C77927">
        <w:t xml:space="preserve">acilities </w:t>
      </w:r>
      <w:r w:rsidR="0064652D" w:rsidRPr="00C77927">
        <w:t>then</w:t>
      </w:r>
      <w:r w:rsidR="00753062" w:rsidRPr="00C77927">
        <w:t xml:space="preserve"> </w:t>
      </w:r>
      <w:r w:rsidR="008C6830" w:rsidRPr="00C77927">
        <w:t>submit GHG reports</w:t>
      </w:r>
      <w:r w:rsidR="00753062" w:rsidRPr="00C77927">
        <w:t xml:space="preserve"> </w:t>
      </w:r>
      <w:r w:rsidR="0064652D" w:rsidRPr="00C77927">
        <w:t>on March 31</w:t>
      </w:r>
      <w:r w:rsidR="005A0955" w:rsidRPr="00C77927">
        <w:t xml:space="preserve"> of each calendar year for GHG emissions that occurred in the previous calendar</w:t>
      </w:r>
      <w:r w:rsidR="0064652D" w:rsidRPr="00C77927">
        <w:t xml:space="preserve"> year</w:t>
      </w:r>
      <w:r w:rsidR="008C6830" w:rsidRPr="00C77927">
        <w:t>.</w:t>
      </w:r>
      <w:r w:rsidR="00B4218F" w:rsidRPr="00C77927">
        <w:t xml:space="preserve"> EPA conducts a verification process of the data </w:t>
      </w:r>
      <w:r w:rsidR="003B66A8">
        <w:t xml:space="preserve">typically </w:t>
      </w:r>
      <w:r w:rsidR="00B4218F" w:rsidRPr="00C77927">
        <w:t>from April 1 through the end of September of each calendar year</w:t>
      </w:r>
      <w:r w:rsidR="00C86FEC" w:rsidRPr="00C77927">
        <w:t xml:space="preserve"> and</w:t>
      </w:r>
      <w:r w:rsidR="00B4218F" w:rsidRPr="00C77927">
        <w:t xml:space="preserve"> publishes the data in FLIGHT </w:t>
      </w:r>
      <w:r w:rsidR="070AF621" w:rsidRPr="00C77927">
        <w:t>in</w:t>
      </w:r>
      <w:r w:rsidR="00B4218F" w:rsidRPr="00C77927">
        <w:t xml:space="preserve"> October. During the verification period, EPA notifies facilities </w:t>
      </w:r>
      <w:r w:rsidR="0086572D" w:rsidRPr="00C77927">
        <w:t>if</w:t>
      </w:r>
      <w:r w:rsidR="00B4218F" w:rsidRPr="00C77927">
        <w:t xml:space="preserve"> their report contain</w:t>
      </w:r>
      <w:r w:rsidR="0086572D" w:rsidRPr="00C77927">
        <w:t>s potential</w:t>
      </w:r>
      <w:r w:rsidR="00B4218F" w:rsidRPr="00C77927">
        <w:t xml:space="preserve"> errors. The regulation requires that these facilities resubmit their reports with corrected data or respond to the notification with an explanation of why it is not an error within 45 days of receiving the notification. Facilities may request a 30-day extension if necessary, which is automatically granted by EPA.</w:t>
      </w:r>
    </w:p>
    <w:p w14:paraId="04FFE482" w14:textId="77777777" w:rsidR="009E0090" w:rsidRPr="00C77927" w:rsidRDefault="009E0090" w:rsidP="004F071B">
      <w:pPr>
        <w:widowControl w:val="0"/>
        <w:ind w:firstLine="720"/>
      </w:pPr>
    </w:p>
    <w:p w14:paraId="3EE21C13" w14:textId="7B0DC8B3" w:rsidR="0020342A" w:rsidRPr="00C77927" w:rsidRDefault="00A875D7" w:rsidP="00A250AA">
      <w:pPr>
        <w:widowControl w:val="0"/>
        <w:ind w:firstLine="720"/>
      </w:pPr>
      <w:r w:rsidRPr="00C77927">
        <w:t xml:space="preserve">Facilities or suppliers that </w:t>
      </w:r>
      <w:r w:rsidR="00877654" w:rsidRPr="00C77927">
        <w:t>cease annual reporting as described in Section 5(c)</w:t>
      </w:r>
      <w:r w:rsidR="0086572D" w:rsidRPr="00C77927">
        <w:t xml:space="preserve"> of this document</w:t>
      </w:r>
      <w:r w:rsidR="00877654" w:rsidRPr="00C77927">
        <w:t xml:space="preserve"> must first </w:t>
      </w:r>
      <w:r w:rsidR="00D21A0D" w:rsidRPr="00C77927">
        <w:t xml:space="preserve">submit a notification </w:t>
      </w:r>
      <w:r w:rsidR="00A51C1E" w:rsidRPr="00C77927">
        <w:t xml:space="preserve">to discontinue reporting </w:t>
      </w:r>
      <w:r w:rsidR="00D21A0D" w:rsidRPr="00C77927">
        <w:t>to the Administrator no later than March 31 of the year immediately following the fifth</w:t>
      </w:r>
      <w:r w:rsidR="008C4D1B" w:rsidRPr="00C77927">
        <w:t xml:space="preserve"> (or third)</w:t>
      </w:r>
      <w:r w:rsidR="002C54FB" w:rsidRPr="00C77927">
        <w:t xml:space="preserve"> </w:t>
      </w:r>
      <w:r w:rsidR="00D21A0D" w:rsidRPr="00C77927">
        <w:t>consecutive year of emissions less than 25,000</w:t>
      </w:r>
      <w:r w:rsidR="008C4D1B" w:rsidRPr="00C77927">
        <w:t xml:space="preserve"> (or 15,000)</w:t>
      </w:r>
      <w:r w:rsidR="00D21A0D" w:rsidRPr="00C77927">
        <w:t xml:space="preserve"> tons </w:t>
      </w:r>
      <w:r w:rsidR="00AB6F4F" w:rsidRPr="00C77927">
        <w:t>CO</w:t>
      </w:r>
      <w:r w:rsidR="00AB6F4F" w:rsidRPr="00C77927">
        <w:rPr>
          <w:vertAlign w:val="subscript"/>
        </w:rPr>
        <w:t>2</w:t>
      </w:r>
      <w:r w:rsidR="005D5E71" w:rsidRPr="00C77927">
        <w:t>e/</w:t>
      </w:r>
      <w:r w:rsidR="00D21A0D" w:rsidRPr="00C77927">
        <w:t xml:space="preserve">year. </w:t>
      </w:r>
      <w:r w:rsidR="00877654" w:rsidRPr="00C77927">
        <w:t>Likewise, f</w:t>
      </w:r>
      <w:r w:rsidR="004413A8" w:rsidRPr="00C77927">
        <w:t xml:space="preserve">acilities or suppliers that change operations such that all applicable GHG-emitting processes and operations cease to operate are exempt from reporting in the years following the year in which cessation of such operations occurs, provided that the owner or operator submits a notification to the Administrator </w:t>
      </w:r>
      <w:r w:rsidR="000A2970" w:rsidRPr="00C77927">
        <w:t>no later than March 31 of the year immediately following the operation cessation.</w:t>
      </w:r>
      <w:r w:rsidR="0020342A" w:rsidRPr="00C77927">
        <w:br w:type="page"/>
      </w:r>
    </w:p>
    <w:p w14:paraId="689881FC" w14:textId="19ADE2CA" w:rsidR="00764258" w:rsidRPr="00C77927" w:rsidRDefault="00764258" w:rsidP="00F3717A">
      <w:pPr>
        <w:pStyle w:val="Heading1"/>
      </w:pPr>
      <w:bookmarkStart w:id="32" w:name="_Toc10555991"/>
      <w:r w:rsidRPr="00C77927">
        <w:t>6.</w:t>
      </w:r>
      <w:r w:rsidRPr="00C77927">
        <w:tab/>
        <w:t xml:space="preserve">ESTIMATING THE BURDEN AND COST OF </w:t>
      </w:r>
      <w:r w:rsidR="009209AB" w:rsidRPr="00C77927">
        <w:t xml:space="preserve">THE </w:t>
      </w:r>
      <w:r w:rsidRPr="00C77927">
        <w:t>COLLECTION</w:t>
      </w:r>
      <w:bookmarkEnd w:id="32"/>
    </w:p>
    <w:p w14:paraId="3DBF8002" w14:textId="77777777" w:rsidR="00D134BA" w:rsidRPr="00C77927" w:rsidRDefault="00D134BA" w:rsidP="00BB1633">
      <w:pPr>
        <w:keepNext/>
        <w:autoSpaceDE w:val="0"/>
        <w:autoSpaceDN w:val="0"/>
        <w:adjustRightInd w:val="0"/>
      </w:pPr>
    </w:p>
    <w:p w14:paraId="769E8FEF" w14:textId="01747CFC" w:rsidR="00D34B38" w:rsidRPr="00C77927" w:rsidRDefault="00D34B38" w:rsidP="00D9316B">
      <w:pPr>
        <w:keepNext/>
        <w:autoSpaceDE w:val="0"/>
        <w:autoSpaceDN w:val="0"/>
        <w:adjustRightInd w:val="0"/>
        <w:ind w:firstLine="720"/>
      </w:pPr>
      <w:r w:rsidRPr="00C77927">
        <w:t xml:space="preserve">This section presents EPA’s estimates of the burden and costs to respondents associated with the activities described in Section 4 </w:t>
      </w:r>
      <w:r w:rsidR="0086572D" w:rsidRPr="00C77927">
        <w:t xml:space="preserve">of this document </w:t>
      </w:r>
      <w:r w:rsidRPr="00C77927">
        <w:t xml:space="preserve">as well as the </w:t>
      </w:r>
      <w:r w:rsidR="008250BD" w:rsidRPr="00C77927">
        <w:t>federal</w:t>
      </w:r>
      <w:r w:rsidRPr="00C77927">
        <w:t xml:space="preserve"> burden hours and costs </w:t>
      </w:r>
      <w:r w:rsidR="009E7A27" w:rsidRPr="00C77927">
        <w:t>associated with the activities described in Section 5(a)</w:t>
      </w:r>
      <w:r w:rsidR="0086572D" w:rsidRPr="00C77927">
        <w:t xml:space="preserve"> of this document</w:t>
      </w:r>
      <w:r w:rsidRPr="00C77927">
        <w:t>.</w:t>
      </w:r>
      <w:r w:rsidR="00A47CF8" w:rsidRPr="00C77927">
        <w:t xml:space="preserve"> </w:t>
      </w:r>
      <w:r w:rsidRPr="00C77927">
        <w:t xml:space="preserve">EPA estimates that, over the three years covered by this request, the total respondent burden associated with this reporting </w:t>
      </w:r>
      <w:r w:rsidR="009674CB" w:rsidRPr="00C77927">
        <w:t>will</w:t>
      </w:r>
      <w:r w:rsidRPr="00C77927">
        <w:t xml:space="preserve"> average </w:t>
      </w:r>
      <w:r w:rsidR="00EE0693" w:rsidRPr="008F7D63">
        <w:t>7</w:t>
      </w:r>
      <w:r w:rsidR="00BA5449" w:rsidRPr="008F7D63">
        <w:t>4</w:t>
      </w:r>
      <w:r w:rsidR="00FE3772">
        <w:t>0,012</w:t>
      </w:r>
      <w:r w:rsidR="00DA3F49" w:rsidRPr="00C77927">
        <w:t xml:space="preserve"> </w:t>
      </w:r>
      <w:r w:rsidRPr="00C77927">
        <w:t xml:space="preserve">hours per year and the cost </w:t>
      </w:r>
      <w:r w:rsidR="00C53B5C" w:rsidRPr="00C77927">
        <w:t>of all</w:t>
      </w:r>
      <w:r w:rsidRPr="00C77927">
        <w:t xml:space="preserve"> respondents of the information collection </w:t>
      </w:r>
      <w:r w:rsidR="009674CB" w:rsidRPr="00C77927">
        <w:t>will</w:t>
      </w:r>
      <w:r w:rsidRPr="00C77927">
        <w:t xml:space="preserve"> average </w:t>
      </w:r>
      <w:r w:rsidRPr="008F7D63">
        <w:t>$</w:t>
      </w:r>
      <w:r w:rsidR="00D9316B" w:rsidRPr="008F7D63">
        <w:t>8</w:t>
      </w:r>
      <w:r w:rsidR="00FE3772">
        <w:t>7,945,711</w:t>
      </w:r>
      <w:r w:rsidR="005933BC" w:rsidRPr="00C77927">
        <w:t xml:space="preserve"> </w:t>
      </w:r>
      <w:r w:rsidRPr="00C77927">
        <w:t>per year.</w:t>
      </w:r>
    </w:p>
    <w:p w14:paraId="3C04C168" w14:textId="77777777" w:rsidR="00D34B38" w:rsidRPr="00C77927" w:rsidRDefault="00D34B38" w:rsidP="00BB1633">
      <w:pPr>
        <w:autoSpaceDE w:val="0"/>
        <w:autoSpaceDN w:val="0"/>
        <w:adjustRightInd w:val="0"/>
        <w:ind w:firstLine="720"/>
      </w:pPr>
    </w:p>
    <w:p w14:paraId="1D7C76BE" w14:textId="4D14BC89" w:rsidR="00D34B38" w:rsidRPr="00C77927" w:rsidRDefault="00D34B38" w:rsidP="00BB1633">
      <w:pPr>
        <w:autoSpaceDE w:val="0"/>
        <w:autoSpaceDN w:val="0"/>
        <w:adjustRightInd w:val="0"/>
        <w:ind w:firstLine="720"/>
      </w:pPr>
      <w:r w:rsidRPr="00C77927">
        <w:t xml:space="preserve">Section 6(a) </w:t>
      </w:r>
      <w:r w:rsidR="00E53F7E" w:rsidRPr="00C77927">
        <w:t xml:space="preserve">of this ICR </w:t>
      </w:r>
      <w:r w:rsidRPr="00C77927">
        <w:t xml:space="preserve">provides estimates of burden </w:t>
      </w:r>
      <w:r w:rsidR="008B755E" w:rsidRPr="00C77927">
        <w:t>(</w:t>
      </w:r>
      <w:r w:rsidRPr="00C77927">
        <w:t>hours</w:t>
      </w:r>
      <w:r w:rsidR="008B755E" w:rsidRPr="00C77927">
        <w:t>)</w:t>
      </w:r>
      <w:r w:rsidRPr="00C77927">
        <w:t xml:space="preserve"> for all respondent types.</w:t>
      </w:r>
      <w:r w:rsidR="00A47CF8" w:rsidRPr="00C77927">
        <w:t xml:space="preserve"> </w:t>
      </w:r>
      <w:r w:rsidRPr="00C77927">
        <w:t>Section 6(b) contains estimates of respondent costs for the information collection.</w:t>
      </w:r>
      <w:r w:rsidR="00A47CF8" w:rsidRPr="00C77927">
        <w:t xml:space="preserve"> </w:t>
      </w:r>
      <w:r w:rsidRPr="00C77927">
        <w:t xml:space="preserve">Section 6(c) summarizes </w:t>
      </w:r>
      <w:r w:rsidR="008250BD" w:rsidRPr="00C77927">
        <w:t>federal</w:t>
      </w:r>
      <w:r w:rsidRPr="00C77927">
        <w:t xml:space="preserve"> burden and costs.</w:t>
      </w:r>
      <w:r w:rsidR="00A47CF8" w:rsidRPr="00C77927">
        <w:t xml:space="preserve"> </w:t>
      </w:r>
      <w:r w:rsidRPr="00C77927">
        <w:t>Section 6(d) describes the respondent universe and the total burden and cost of this collection to respondents.</w:t>
      </w:r>
      <w:r w:rsidR="00A47CF8" w:rsidRPr="00C77927">
        <w:t xml:space="preserve"> </w:t>
      </w:r>
      <w:r w:rsidRPr="00C77927">
        <w:t xml:space="preserve">Section 6(e) presents the bottom line burden and cost. </w:t>
      </w:r>
      <w:r w:rsidR="008C4D1B" w:rsidRPr="00C77927">
        <w:t>Section 6(f) provides reasons for any change in burden</w:t>
      </w:r>
      <w:r w:rsidR="00C76441">
        <w:t xml:space="preserve"> </w:t>
      </w:r>
      <w:r w:rsidR="006C6D81" w:rsidRPr="00475190">
        <w:t xml:space="preserve">compared with the </w:t>
      </w:r>
      <w:r w:rsidR="006C6D81" w:rsidRPr="008F7D63">
        <w:t>last ICR renewal</w:t>
      </w:r>
      <w:r w:rsidR="006C6D81">
        <w:t xml:space="preserve"> </w:t>
      </w:r>
      <w:r w:rsidR="00C76441">
        <w:t>approved</w:t>
      </w:r>
      <w:r w:rsidR="008C4D1B" w:rsidRPr="00C77927">
        <w:t xml:space="preserve">. </w:t>
      </w:r>
      <w:r w:rsidRPr="00C77927">
        <w:t>The burden statement for this information collection is in Section 6(</w:t>
      </w:r>
      <w:r w:rsidR="008C4D1B" w:rsidRPr="00C77927">
        <w:t>g</w:t>
      </w:r>
      <w:r w:rsidRPr="00C77927">
        <w:t xml:space="preserve">). </w:t>
      </w:r>
    </w:p>
    <w:p w14:paraId="4AE42732" w14:textId="77777777" w:rsidR="00D34B38" w:rsidRPr="00C77927" w:rsidRDefault="00D34B38" w:rsidP="00BB1633">
      <w:pPr>
        <w:autoSpaceDE w:val="0"/>
        <w:autoSpaceDN w:val="0"/>
        <w:adjustRightInd w:val="0"/>
        <w:rPr>
          <w:b/>
          <w:bCs/>
        </w:rPr>
      </w:pPr>
    </w:p>
    <w:p w14:paraId="2DC090A4" w14:textId="77777777" w:rsidR="00D34B38" w:rsidRPr="00C77927" w:rsidRDefault="00D34B38" w:rsidP="00F3717A">
      <w:pPr>
        <w:pStyle w:val="Heading2"/>
      </w:pPr>
      <w:bookmarkStart w:id="33" w:name="_Toc10555992"/>
      <w:r w:rsidRPr="00C77927">
        <w:t>6(a) Estimating Respondent Burden</w:t>
      </w:r>
      <w:bookmarkEnd w:id="33"/>
    </w:p>
    <w:p w14:paraId="4F79B77F" w14:textId="77777777" w:rsidR="00D34B38" w:rsidRPr="00C77927" w:rsidRDefault="00D34B38" w:rsidP="00BB1633">
      <w:pPr>
        <w:autoSpaceDE w:val="0"/>
        <w:autoSpaceDN w:val="0"/>
        <w:adjustRightInd w:val="0"/>
        <w:rPr>
          <w:color w:val="0000FF"/>
        </w:rPr>
      </w:pPr>
    </w:p>
    <w:p w14:paraId="6A7568F0" w14:textId="22140E99" w:rsidR="00FB1C47" w:rsidRDefault="00D34B38" w:rsidP="00D9316B">
      <w:pPr>
        <w:keepNext/>
      </w:pPr>
      <w:r w:rsidRPr="00C77927">
        <w:tab/>
        <w:t>Respondent burden estimates are presented in Exhibit 6</w:t>
      </w:r>
      <w:r w:rsidR="00620EAF" w:rsidRPr="00C77927">
        <w:t>.1</w:t>
      </w:r>
      <w:r w:rsidRPr="00C77927">
        <w:t>.</w:t>
      </w:r>
      <w:r w:rsidR="00A47CF8" w:rsidRPr="00C77927">
        <w:t xml:space="preserve"> </w:t>
      </w:r>
      <w:r w:rsidR="00620EAF" w:rsidRPr="00C77927">
        <w:t xml:space="preserve">EPA estimates that the total annual burden to all affected entities </w:t>
      </w:r>
      <w:r w:rsidR="009674CB" w:rsidRPr="00C77927">
        <w:t>is</w:t>
      </w:r>
      <w:r w:rsidR="00DA3F49" w:rsidRPr="00C77927">
        <w:t xml:space="preserve"> </w:t>
      </w:r>
      <w:r w:rsidR="00EE0693" w:rsidRPr="008F7D63">
        <w:t>7</w:t>
      </w:r>
      <w:r w:rsidR="00BA5449" w:rsidRPr="008F7D63">
        <w:t>4</w:t>
      </w:r>
      <w:r w:rsidR="00FE3772">
        <w:t>0,012</w:t>
      </w:r>
      <w:r w:rsidR="008A7D1F" w:rsidRPr="00C77927">
        <w:t xml:space="preserve"> hours</w:t>
      </w:r>
      <w:r w:rsidR="00620EAF" w:rsidRPr="00C77927">
        <w:t xml:space="preserve"> per year over the three years covered by this information collection. </w:t>
      </w:r>
      <w:r w:rsidR="00823B13" w:rsidRPr="00C77927">
        <w:t>EPA also estimated the number of responses, or actions taken as a result of the rule, per respondent (facility) per year.</w:t>
      </w:r>
    </w:p>
    <w:p w14:paraId="2E34D758" w14:textId="7680B9E7" w:rsidR="00402A04" w:rsidRDefault="00402A04" w:rsidP="00D9316B">
      <w:pPr>
        <w:keepNext/>
      </w:pPr>
    </w:p>
    <w:p w14:paraId="0B816DC3" w14:textId="27009E95" w:rsidR="00D34B38" w:rsidRPr="00C77927" w:rsidRDefault="00620EAF" w:rsidP="008F7D63">
      <w:pPr>
        <w:ind w:firstLine="720"/>
      </w:pPr>
      <w:r w:rsidRPr="00C77927">
        <w:t xml:space="preserve">Exhibit 6.1 </w:t>
      </w:r>
      <w:r w:rsidR="0086572D" w:rsidRPr="00C77927">
        <w:t xml:space="preserve">of this document </w:t>
      </w:r>
      <w:r w:rsidRPr="00C77927">
        <w:t xml:space="preserve">presents aggregate </w:t>
      </w:r>
      <w:r w:rsidR="00265B77" w:rsidRPr="00C77927">
        <w:t xml:space="preserve">burden </w:t>
      </w:r>
      <w:r w:rsidRPr="00C77927">
        <w:t xml:space="preserve">by </w:t>
      </w:r>
      <w:r w:rsidR="005F0EA8">
        <w:t>subpart</w:t>
      </w:r>
      <w:r w:rsidR="005F0EA8" w:rsidRPr="00C77927">
        <w:t xml:space="preserve"> </w:t>
      </w:r>
      <w:r w:rsidRPr="00C77927">
        <w:t>only</w:t>
      </w:r>
      <w:r w:rsidR="004279CA">
        <w:t>. Note that the</w:t>
      </w:r>
      <w:r w:rsidR="004279CA" w:rsidRPr="00A8773C">
        <w:t xml:space="preserve"> total cost numbers</w:t>
      </w:r>
      <w:r w:rsidR="004279CA">
        <w:t xml:space="preserve"> in Exhibit 6.1</w:t>
      </w:r>
      <w:r w:rsidR="004279CA" w:rsidRPr="00A8773C">
        <w:t xml:space="preserve"> may not add up due to rounding of the labor hours to the nearest tenth of an hour and rounding of costs to the nearest dollar.</w:t>
      </w:r>
      <w:r w:rsidR="004F566C">
        <w:t xml:space="preserve"> </w:t>
      </w:r>
      <w:r w:rsidR="004279CA">
        <w:t>F</w:t>
      </w:r>
      <w:r w:rsidR="00965141">
        <w:t>or further</w:t>
      </w:r>
      <w:r w:rsidRPr="00C77927">
        <w:t xml:space="preserve"> details of burden calculations, </w:t>
      </w:r>
      <w:r w:rsidR="00AA6D4E" w:rsidRPr="00C77927">
        <w:t xml:space="preserve">please see </w:t>
      </w:r>
      <w:r w:rsidR="005F0EA8">
        <w:t xml:space="preserve">Appendix H to the Supporting Statement, </w:t>
      </w:r>
      <w:r w:rsidR="00D0627C">
        <w:t>which contains the subpart-specific</w:t>
      </w:r>
      <w:r w:rsidR="00AA6D4E" w:rsidRPr="00C77927">
        <w:t xml:space="preserve"> cost</w:t>
      </w:r>
      <w:r w:rsidR="00465602">
        <w:t>s that are expected to be associated with this information collection</w:t>
      </w:r>
      <w:r w:rsidRPr="00C77927">
        <w:t>.</w:t>
      </w:r>
      <w:r w:rsidR="00FC092E" w:rsidRPr="00C77927">
        <w:t xml:space="preserve"> </w:t>
      </w:r>
    </w:p>
    <w:p w14:paraId="7F5C9785" w14:textId="77777777" w:rsidR="00DC4DD4" w:rsidRPr="00C77927" w:rsidRDefault="00DC4DD4" w:rsidP="00BB1633">
      <w:pPr>
        <w:autoSpaceDE w:val="0"/>
        <w:autoSpaceDN w:val="0"/>
        <w:adjustRightInd w:val="0"/>
      </w:pPr>
    </w:p>
    <w:p w14:paraId="1E2DC6AD" w14:textId="77777777" w:rsidR="00D34B38" w:rsidRPr="00C77927" w:rsidRDefault="00D34B38" w:rsidP="00F3717A">
      <w:pPr>
        <w:pStyle w:val="Heading2"/>
      </w:pPr>
      <w:bookmarkStart w:id="34" w:name="_Toc10555993"/>
      <w:r w:rsidRPr="00C77927">
        <w:t>6(b)</w:t>
      </w:r>
      <w:r w:rsidR="00A47CF8" w:rsidRPr="00C77927">
        <w:t xml:space="preserve"> </w:t>
      </w:r>
      <w:r w:rsidRPr="00C77927">
        <w:t>Estimating Respondent Costs</w:t>
      </w:r>
      <w:bookmarkEnd w:id="34"/>
    </w:p>
    <w:p w14:paraId="5D2B89FA" w14:textId="77777777" w:rsidR="00D34B38" w:rsidRPr="00C77927" w:rsidRDefault="00D34B38" w:rsidP="00BB1633">
      <w:pPr>
        <w:keepNext/>
        <w:keepLines/>
        <w:autoSpaceDE w:val="0"/>
        <w:autoSpaceDN w:val="0"/>
        <w:adjustRightInd w:val="0"/>
        <w:ind w:firstLine="720"/>
        <w:rPr>
          <w:b/>
          <w:bCs/>
        </w:rPr>
      </w:pPr>
    </w:p>
    <w:p w14:paraId="6A591F53" w14:textId="77777777" w:rsidR="00620EAF" w:rsidRPr="00C77927" w:rsidRDefault="00620EAF" w:rsidP="00BB1633">
      <w:pPr>
        <w:keepNext/>
        <w:keepLines/>
        <w:autoSpaceDE w:val="0"/>
        <w:autoSpaceDN w:val="0"/>
        <w:adjustRightInd w:val="0"/>
        <w:ind w:firstLine="720"/>
      </w:pPr>
      <w:r w:rsidRPr="00C77927">
        <w:t xml:space="preserve">Costs to respondents associated with this information collection include labor costs (i.e., the cost of labor </w:t>
      </w:r>
      <w:r w:rsidR="009E7A27" w:rsidRPr="00C77927">
        <w:t xml:space="preserve">by </w:t>
      </w:r>
      <w:r w:rsidRPr="00C77927">
        <w:t xml:space="preserve">facility staff to meet the </w:t>
      </w:r>
      <w:r w:rsidR="00623F83" w:rsidRPr="00C77927">
        <w:t xml:space="preserve">rule’s </w:t>
      </w:r>
      <w:r w:rsidRPr="00C77927">
        <w:t>information collection requirements</w:t>
      </w:r>
      <w:r w:rsidR="00623F83" w:rsidRPr="00C77927">
        <w:t>)</w:t>
      </w:r>
      <w:r w:rsidRPr="00C77927">
        <w:t xml:space="preserve"> and non-labor costs (e.g., </w:t>
      </w:r>
      <w:r w:rsidR="00057540" w:rsidRPr="00C77927">
        <w:t>the cost of purchasing and installing monitoring equipment or contractor costs associated with providing the required information).</w:t>
      </w:r>
      <w:r w:rsidR="00A47CF8" w:rsidRPr="00C77927">
        <w:t xml:space="preserve"> </w:t>
      </w:r>
    </w:p>
    <w:p w14:paraId="78139561" w14:textId="77777777" w:rsidR="00620EAF" w:rsidRPr="00C77927" w:rsidRDefault="00620EAF" w:rsidP="00BB1633">
      <w:pPr>
        <w:autoSpaceDE w:val="0"/>
        <w:autoSpaceDN w:val="0"/>
        <w:adjustRightInd w:val="0"/>
        <w:ind w:firstLine="720"/>
      </w:pPr>
    </w:p>
    <w:p w14:paraId="2256AF77" w14:textId="02C721CF" w:rsidR="00452B05" w:rsidRPr="00C77927" w:rsidRDefault="00452B05" w:rsidP="00A17391">
      <w:pPr>
        <w:autoSpaceDE w:val="0"/>
        <w:autoSpaceDN w:val="0"/>
        <w:ind w:firstLine="720"/>
      </w:pPr>
      <w:r w:rsidRPr="00C77927">
        <w:t xml:space="preserve">To calculate labor costs, EPA </w:t>
      </w:r>
      <w:r w:rsidR="004451EE" w:rsidRPr="00C77927">
        <w:t>us</w:t>
      </w:r>
      <w:r w:rsidR="00A51C1E" w:rsidRPr="00C77927">
        <w:t>ed</w:t>
      </w:r>
      <w:r w:rsidR="004451EE" w:rsidRPr="00C77927">
        <w:t xml:space="preserve"> an approach consistent with the ICR associated with the GHGRP currently approved by </w:t>
      </w:r>
      <w:r w:rsidR="00D86751" w:rsidRPr="00C77927">
        <w:t>OMB</w:t>
      </w:r>
      <w:r w:rsidR="00D86751">
        <w:t>, updated to incorporate the 2017 BLS labor rates</w:t>
      </w:r>
      <w:r w:rsidR="00D86751" w:rsidRPr="00C77927">
        <w:t xml:space="preserve">. </w:t>
      </w:r>
      <w:r w:rsidRPr="00C77927">
        <w:t xml:space="preserve">For </w:t>
      </w:r>
      <w:r w:rsidR="00E67F99" w:rsidRPr="00C77927">
        <w:t>all but two</w:t>
      </w:r>
      <w:r w:rsidRPr="00C77927">
        <w:t xml:space="preserve"> subparts the labor rates are:</w:t>
      </w:r>
      <w:r w:rsidR="00ED239B" w:rsidRPr="00C77927">
        <w:t xml:space="preserve"> </w:t>
      </w:r>
      <w:r w:rsidRPr="00C77927">
        <w:t>$</w:t>
      </w:r>
      <w:r w:rsidR="006B2E41" w:rsidRPr="00C77927">
        <w:t>71.4</w:t>
      </w:r>
      <w:r w:rsidR="0031068F">
        <w:t>5</w:t>
      </w:r>
      <w:r w:rsidR="00AA6D4E" w:rsidRPr="00C77927">
        <w:t xml:space="preserve"> for technical workers, $</w:t>
      </w:r>
      <w:r w:rsidR="006B2E41" w:rsidRPr="00C77927">
        <w:t>87.45</w:t>
      </w:r>
      <w:r w:rsidR="00AA6D4E" w:rsidRPr="00C77927">
        <w:t xml:space="preserve"> for managers, </w:t>
      </w:r>
      <w:r w:rsidR="002A7953" w:rsidRPr="00C77927">
        <w:t>$</w:t>
      </w:r>
      <w:r w:rsidR="006B2E41" w:rsidRPr="00C77927">
        <w:t>36.28</w:t>
      </w:r>
      <w:r w:rsidR="002A7953" w:rsidRPr="00C77927">
        <w:t xml:space="preserve"> for clerical support, and $</w:t>
      </w:r>
      <w:r w:rsidR="006B2E41" w:rsidRPr="00C77927">
        <w:t>112.23</w:t>
      </w:r>
      <w:r w:rsidR="002A7953" w:rsidRPr="00C77927">
        <w:t xml:space="preserve"> for legal support. </w:t>
      </w:r>
      <w:r w:rsidR="00E67F99" w:rsidRPr="00C77927">
        <w:t>S</w:t>
      </w:r>
      <w:r w:rsidR="006E22D4" w:rsidRPr="00C77927">
        <w:t xml:space="preserve">ector-specific labor rates are used for </w:t>
      </w:r>
      <w:r w:rsidR="00456367" w:rsidRPr="00C77927">
        <w:t>two</w:t>
      </w:r>
      <w:r w:rsidR="006E22D4" w:rsidRPr="00C77927">
        <w:t xml:space="preserve"> subparts</w:t>
      </w:r>
      <w:r w:rsidR="00030ABC" w:rsidRPr="00C77927">
        <w:t xml:space="preserve"> in the oil and gas industry</w:t>
      </w:r>
      <w:r w:rsidR="00456367" w:rsidRPr="00C77927">
        <w:t xml:space="preserve"> (</w:t>
      </w:r>
      <w:r w:rsidR="00A17391" w:rsidRPr="00C77927">
        <w:t>S</w:t>
      </w:r>
      <w:r w:rsidR="00456367" w:rsidRPr="00C77927">
        <w:t xml:space="preserve">ubpart W and </w:t>
      </w:r>
      <w:r w:rsidR="00A17391" w:rsidRPr="00C77927">
        <w:t>S</w:t>
      </w:r>
      <w:r w:rsidR="00456367" w:rsidRPr="00C77927">
        <w:t>ubpart RR)</w:t>
      </w:r>
      <w:r w:rsidR="009E6EDC" w:rsidRPr="00C77927">
        <w:t>:</w:t>
      </w:r>
      <w:r w:rsidR="00CC659D" w:rsidRPr="00C77927">
        <w:t xml:space="preserve"> </w:t>
      </w:r>
      <w:r w:rsidR="001D63E4" w:rsidRPr="00C77927">
        <w:t>$</w:t>
      </w:r>
      <w:r w:rsidR="0038794E" w:rsidRPr="00C77927">
        <w:t>1</w:t>
      </w:r>
      <w:r w:rsidR="00B72DB9">
        <w:t>41.54</w:t>
      </w:r>
      <w:r w:rsidR="001D63E4" w:rsidRPr="00C77927">
        <w:t xml:space="preserve"> for se</w:t>
      </w:r>
      <w:r w:rsidR="006E22D4" w:rsidRPr="00C77927">
        <w:t>nior managers, $1</w:t>
      </w:r>
      <w:r w:rsidR="00B72DB9">
        <w:t>05.68</w:t>
      </w:r>
      <w:r w:rsidR="001D63E4" w:rsidRPr="00C77927">
        <w:t xml:space="preserve"> for middle managers, $</w:t>
      </w:r>
      <w:r w:rsidR="0038794E" w:rsidRPr="00C77927">
        <w:t>9</w:t>
      </w:r>
      <w:r w:rsidR="00B72DB9">
        <w:t>1.06</w:t>
      </w:r>
      <w:r w:rsidR="001D63E4" w:rsidRPr="00C77927">
        <w:t xml:space="preserve"> for engineers, </w:t>
      </w:r>
      <w:r w:rsidR="00833241">
        <w:t xml:space="preserve">and </w:t>
      </w:r>
      <w:r w:rsidR="001D63E4" w:rsidRPr="00C77927">
        <w:t>$</w:t>
      </w:r>
      <w:r w:rsidR="00A83106">
        <w:t>60.72</w:t>
      </w:r>
      <w:r w:rsidR="001D63E4" w:rsidRPr="00C77927">
        <w:t xml:space="preserve"> for technicians.</w:t>
      </w:r>
      <w:r w:rsidR="00A51C1E" w:rsidRPr="00C77927">
        <w:rPr>
          <w:rStyle w:val="FootnoteReference"/>
        </w:rPr>
        <w:footnoteReference w:id="3"/>
      </w:r>
      <w:r w:rsidR="001D63E4" w:rsidRPr="00C77927">
        <w:t xml:space="preserve"> </w:t>
      </w:r>
      <w:r w:rsidR="00465602">
        <w:t>Labor and n</w:t>
      </w:r>
      <w:r w:rsidRPr="00C77927">
        <w:t xml:space="preserve">on-labor costs (capital and O&amp;M) for individual </w:t>
      </w:r>
      <w:r w:rsidR="000D4FB1">
        <w:t>subparts</w:t>
      </w:r>
      <w:r w:rsidR="000D4FB1" w:rsidRPr="00C77927">
        <w:t xml:space="preserve"> </w:t>
      </w:r>
      <w:r w:rsidR="00AA6D4E" w:rsidRPr="00C77927">
        <w:t xml:space="preserve">are </w:t>
      </w:r>
      <w:r w:rsidR="002A7953" w:rsidRPr="00C77927">
        <w:t>summarized in Exhibit 6-1.</w:t>
      </w:r>
      <w:r w:rsidR="002C54FB" w:rsidRPr="00C77927">
        <w:t xml:space="preserve"> </w:t>
      </w:r>
    </w:p>
    <w:p w14:paraId="72961A34" w14:textId="77777777" w:rsidR="00265B77" w:rsidRPr="00C77927" w:rsidRDefault="00452B05" w:rsidP="00BB1633">
      <w:pPr>
        <w:autoSpaceDE w:val="0"/>
        <w:autoSpaceDN w:val="0"/>
        <w:adjustRightInd w:val="0"/>
        <w:ind w:firstLine="720"/>
      </w:pPr>
      <w:r w:rsidRPr="00C77927" w:rsidDel="00452B05">
        <w:rPr>
          <w:highlight w:val="yellow"/>
        </w:rPr>
        <w:t xml:space="preserve"> </w:t>
      </w:r>
    </w:p>
    <w:p w14:paraId="655B2E2C" w14:textId="231B9A17" w:rsidR="00B71770" w:rsidRPr="00C77927" w:rsidRDefault="00265B77" w:rsidP="008F7D63">
      <w:pPr>
        <w:tabs>
          <w:tab w:val="left" w:pos="720"/>
        </w:tabs>
        <w:ind w:firstLine="720"/>
      </w:pPr>
      <w:r w:rsidRPr="00C77927">
        <w:t xml:space="preserve">EPA estimates that the total annual cost to all affected </w:t>
      </w:r>
      <w:r w:rsidR="005F3100" w:rsidRPr="00C77927">
        <w:t>non-</w:t>
      </w:r>
      <w:r w:rsidR="008250BD" w:rsidRPr="00C77927">
        <w:t>federal</w:t>
      </w:r>
      <w:r w:rsidR="005F3100" w:rsidRPr="00C77927">
        <w:t xml:space="preserve"> </w:t>
      </w:r>
      <w:r w:rsidRPr="00C77927">
        <w:t xml:space="preserve">entities </w:t>
      </w:r>
      <w:r w:rsidR="009674CB" w:rsidRPr="00C77927">
        <w:t>is</w:t>
      </w:r>
      <w:r w:rsidRPr="00C77927">
        <w:t xml:space="preserve"> $</w:t>
      </w:r>
      <w:r w:rsidR="00D9316B" w:rsidRPr="00C77927">
        <w:t>8</w:t>
      </w:r>
      <w:r w:rsidR="008C3974">
        <w:t>8.2</w:t>
      </w:r>
      <w:r w:rsidR="000F6973" w:rsidRPr="00C77927">
        <w:t xml:space="preserve"> </w:t>
      </w:r>
      <w:r w:rsidRPr="00C77927">
        <w:t>million over the three years covered by this information collection. Exhibit 6.1 presents</w:t>
      </w:r>
      <w:r w:rsidR="009E6EDC" w:rsidRPr="00C77927">
        <w:t xml:space="preserve"> aggregate costs by sector</w:t>
      </w:r>
      <w:r w:rsidR="00062882" w:rsidRPr="00C77927">
        <w:t xml:space="preserve">. </w:t>
      </w:r>
    </w:p>
    <w:p w14:paraId="6E5F5A8A" w14:textId="77777777" w:rsidR="00E1011B" w:rsidRPr="00C77927" w:rsidRDefault="00E1011B" w:rsidP="00752C8E">
      <w:pPr>
        <w:tabs>
          <w:tab w:val="left" w:pos="1710"/>
        </w:tabs>
        <w:ind w:firstLine="720"/>
      </w:pPr>
    </w:p>
    <w:p w14:paraId="0F249213" w14:textId="2EEB9DD4" w:rsidR="00B71770" w:rsidRPr="00C77927" w:rsidRDefault="00030DCF" w:rsidP="006157ED">
      <w:pPr>
        <w:tabs>
          <w:tab w:val="left" w:pos="1710"/>
        </w:tabs>
        <w:ind w:firstLine="720"/>
      </w:pPr>
      <w:r w:rsidRPr="00C77927">
        <w:t>Appendix E contains the burden and costs for Subpart W, including the labor assumptions used for each activity required in Subpart W and the number of respondents expected in each industry segment.</w:t>
      </w:r>
      <w:r w:rsidR="00465602">
        <w:t xml:space="preserve"> All assumptions are documented in Appendix E.</w:t>
      </w:r>
      <w:r w:rsidRPr="00C77927">
        <w:t xml:space="preserve"> </w:t>
      </w:r>
    </w:p>
    <w:p w14:paraId="5B215B50" w14:textId="77777777" w:rsidR="00E1011B" w:rsidRPr="00C77927" w:rsidRDefault="00E1011B" w:rsidP="006157ED">
      <w:pPr>
        <w:tabs>
          <w:tab w:val="left" w:pos="1710"/>
        </w:tabs>
        <w:ind w:firstLine="720"/>
      </w:pPr>
    </w:p>
    <w:p w14:paraId="31B5E848" w14:textId="7D039DB6" w:rsidR="00527EFE" w:rsidRPr="00C77927" w:rsidRDefault="00527EFE" w:rsidP="00EE0693">
      <w:pPr>
        <w:tabs>
          <w:tab w:val="left" w:pos="1710"/>
        </w:tabs>
        <w:ind w:firstLine="720"/>
      </w:pPr>
      <w:r w:rsidRPr="00C77927">
        <w:t>Appendix F contains</w:t>
      </w:r>
      <w:r w:rsidR="00EE0693" w:rsidRPr="00C77927">
        <w:t xml:space="preserve"> the burden and costs related to Subpart C compliance, including the labor assumptions used for each activity required for each Tier. All assumptions are documented in Appendix F.</w:t>
      </w:r>
    </w:p>
    <w:p w14:paraId="2A9CE447" w14:textId="77777777" w:rsidR="00527EFE" w:rsidRPr="00C77927" w:rsidRDefault="00527EFE" w:rsidP="00527EFE">
      <w:pPr>
        <w:tabs>
          <w:tab w:val="left" w:pos="1710"/>
        </w:tabs>
        <w:ind w:firstLine="720"/>
      </w:pPr>
    </w:p>
    <w:p w14:paraId="47998357" w14:textId="0527C001" w:rsidR="00030DCF" w:rsidRPr="00C77927" w:rsidRDefault="007E6C98" w:rsidP="00527EFE">
      <w:pPr>
        <w:tabs>
          <w:tab w:val="left" w:pos="1710"/>
        </w:tabs>
        <w:ind w:firstLine="720"/>
      </w:pPr>
      <w:r w:rsidRPr="00C77927">
        <w:t xml:space="preserve">Appendix </w:t>
      </w:r>
      <w:r w:rsidR="00527EFE" w:rsidRPr="00C77927">
        <w:t>G</w:t>
      </w:r>
      <w:r w:rsidRPr="00C77927">
        <w:t xml:space="preserve"> contains the burden and costs for Subpart RR.</w:t>
      </w:r>
    </w:p>
    <w:p w14:paraId="60FD8EAC" w14:textId="7A57520B" w:rsidR="00095AEA" w:rsidRPr="00C77927" w:rsidRDefault="00095AEA" w:rsidP="00527EFE">
      <w:pPr>
        <w:tabs>
          <w:tab w:val="left" w:pos="1710"/>
        </w:tabs>
        <w:ind w:firstLine="720"/>
      </w:pPr>
    </w:p>
    <w:p w14:paraId="02F36FFA" w14:textId="3C3460AA" w:rsidR="00095AEA" w:rsidRDefault="00095AEA" w:rsidP="00527EFE">
      <w:pPr>
        <w:tabs>
          <w:tab w:val="left" w:pos="1710"/>
        </w:tabs>
        <w:ind w:firstLine="720"/>
      </w:pPr>
      <w:r w:rsidRPr="00C77927">
        <w:t xml:space="preserve">Appendix H contains the </w:t>
      </w:r>
      <w:r w:rsidR="00D02AD0" w:rsidRPr="00C77927">
        <w:t>subpart-specific cost summaries for all GHGRP subparts.</w:t>
      </w:r>
    </w:p>
    <w:p w14:paraId="406D207E" w14:textId="3584473C" w:rsidR="002934BF" w:rsidRDefault="002934BF" w:rsidP="00527EFE">
      <w:pPr>
        <w:tabs>
          <w:tab w:val="left" w:pos="1710"/>
        </w:tabs>
        <w:ind w:firstLine="720"/>
      </w:pPr>
    </w:p>
    <w:p w14:paraId="2EAD8AE3" w14:textId="5232BBC7" w:rsidR="002934BF" w:rsidRPr="00C77927" w:rsidRDefault="002934BF" w:rsidP="00527EFE">
      <w:pPr>
        <w:tabs>
          <w:tab w:val="left" w:pos="1710"/>
        </w:tabs>
        <w:ind w:firstLine="720"/>
      </w:pPr>
      <w:r>
        <w:t>Appendix I expla</w:t>
      </w:r>
      <w:r w:rsidR="00527401">
        <w:t>ins</w:t>
      </w:r>
      <w:r>
        <w:t xml:space="preserve"> the </w:t>
      </w:r>
      <w:r w:rsidR="00933538">
        <w:t>methodology for determining the</w:t>
      </w:r>
      <w:r w:rsidR="00A202B4">
        <w:t xml:space="preserve"> number of </w:t>
      </w:r>
      <w:r w:rsidR="00527401">
        <w:t xml:space="preserve">responses </w:t>
      </w:r>
      <w:r w:rsidR="00933538">
        <w:t xml:space="preserve">and responses </w:t>
      </w:r>
      <w:r w:rsidR="00527401">
        <w:t>per respondent</w:t>
      </w:r>
      <w:r w:rsidR="00A202B4">
        <w:t xml:space="preserve"> </w:t>
      </w:r>
      <w:r w:rsidR="00933538">
        <w:t>by</w:t>
      </w:r>
      <w:r w:rsidR="00A202B4">
        <w:t xml:space="preserve"> subpart.</w:t>
      </w:r>
    </w:p>
    <w:p w14:paraId="6283B0C5" w14:textId="77777777" w:rsidR="009E511B" w:rsidRPr="00C77927" w:rsidRDefault="009E511B" w:rsidP="0086572D">
      <w:pPr>
        <w:tabs>
          <w:tab w:val="left" w:pos="1710"/>
        </w:tabs>
        <w:ind w:firstLine="720"/>
      </w:pPr>
    </w:p>
    <w:p w14:paraId="22E8A456" w14:textId="77777777" w:rsidR="00030DCF" w:rsidRPr="00C77927" w:rsidRDefault="00030DCF" w:rsidP="00030DCF">
      <w:pPr>
        <w:tabs>
          <w:tab w:val="left" w:pos="1710"/>
        </w:tabs>
        <w:ind w:firstLine="720"/>
      </w:pPr>
    </w:p>
    <w:p w14:paraId="36AF5A20" w14:textId="77777777" w:rsidR="00030DCF" w:rsidRPr="00C77927" w:rsidRDefault="00030DCF" w:rsidP="00030DCF">
      <w:pPr>
        <w:tabs>
          <w:tab w:val="left" w:pos="1710"/>
        </w:tabs>
        <w:ind w:firstLine="720"/>
      </w:pPr>
    </w:p>
    <w:p w14:paraId="043A3773" w14:textId="77777777" w:rsidR="00552FAD" w:rsidRPr="00C77927" w:rsidRDefault="00B162AD" w:rsidP="000B1CD3">
      <w:pPr>
        <w:keepNext/>
        <w:keepLines/>
        <w:autoSpaceDE w:val="0"/>
        <w:autoSpaceDN w:val="0"/>
        <w:adjustRightInd w:val="0"/>
        <w:ind w:firstLine="720"/>
        <w:jc w:val="center"/>
        <w:rPr>
          <w:color w:val="0000FF"/>
        </w:rPr>
        <w:sectPr w:rsidR="00552FAD" w:rsidRPr="00C77927" w:rsidSect="00AB1467">
          <w:footerReference w:type="default" r:id="rId16"/>
          <w:pgSz w:w="12240" w:h="15840" w:code="1"/>
          <w:pgMar w:top="1440" w:right="1440" w:bottom="1440" w:left="1440" w:header="720" w:footer="432" w:gutter="0"/>
          <w:pgNumType w:start="1"/>
          <w:cols w:space="720"/>
          <w:docGrid w:linePitch="360"/>
        </w:sectPr>
      </w:pPr>
      <w:r w:rsidRPr="00C77927">
        <w:rPr>
          <w:color w:val="0000FF"/>
        </w:rPr>
        <w:br w:type="page"/>
      </w:r>
    </w:p>
    <w:p w14:paraId="4B517D55" w14:textId="20129041" w:rsidR="005D2AE1" w:rsidRPr="00D25FC9" w:rsidRDefault="00265B77" w:rsidP="00AF7429">
      <w:pPr>
        <w:pStyle w:val="ExhibitTitle"/>
        <w:rPr>
          <w:rFonts w:ascii="Times New Roman" w:hAnsi="Times New Roman" w:cs="Times New Roman"/>
        </w:rPr>
      </w:pPr>
      <w:r w:rsidRPr="00D25FC9">
        <w:rPr>
          <w:rFonts w:ascii="Times New Roman" w:hAnsi="Times New Roman" w:cs="Times New Roman"/>
        </w:rPr>
        <w:t xml:space="preserve">Exhibit </w:t>
      </w:r>
      <w:r w:rsidR="00B162AD" w:rsidRPr="00D25FC9">
        <w:rPr>
          <w:rFonts w:ascii="Times New Roman" w:hAnsi="Times New Roman" w:cs="Times New Roman"/>
        </w:rPr>
        <w:t>6.1</w:t>
      </w:r>
      <w:r w:rsidRPr="00D25FC9">
        <w:rPr>
          <w:rFonts w:ascii="Times New Roman" w:hAnsi="Times New Roman" w:cs="Times New Roman"/>
        </w:rPr>
        <w:t xml:space="preserve"> </w:t>
      </w:r>
      <w:r w:rsidR="00C718F5" w:rsidRPr="00D25FC9">
        <w:rPr>
          <w:rFonts w:ascii="Times New Roman" w:hAnsi="Times New Roman" w:cs="Times New Roman"/>
        </w:rPr>
        <w:t>An</w:t>
      </w:r>
      <w:r w:rsidR="0050761C">
        <w:rPr>
          <w:rFonts w:ascii="Times New Roman" w:hAnsi="Times New Roman" w:cs="Times New Roman"/>
        </w:rPr>
        <w:t>n</w:t>
      </w:r>
      <w:r w:rsidR="00C718F5" w:rsidRPr="00D25FC9">
        <w:rPr>
          <w:rFonts w:ascii="Times New Roman" w:hAnsi="Times New Roman" w:cs="Times New Roman"/>
        </w:rPr>
        <w:t xml:space="preserve">ual Average Respondent </w:t>
      </w:r>
      <w:r w:rsidR="00B162AD" w:rsidRPr="00D25FC9">
        <w:rPr>
          <w:rFonts w:ascii="Times New Roman" w:hAnsi="Times New Roman" w:cs="Times New Roman"/>
        </w:rPr>
        <w:t>Burden and Cost</w:t>
      </w:r>
      <w:r w:rsidR="00AF7429" w:rsidRPr="00D25FC9">
        <w:rPr>
          <w:rFonts w:ascii="Times New Roman" w:hAnsi="Times New Roman" w:cs="Times New Roman"/>
        </w:rPr>
        <w:t xml:space="preserve"> </w:t>
      </w:r>
      <w:r w:rsidR="00C718F5" w:rsidRPr="00D25FC9">
        <w:rPr>
          <w:rFonts w:ascii="Times New Roman" w:hAnsi="Times New Roman" w:cs="Times New Roman"/>
        </w:rPr>
        <w:t>F</w:t>
      </w:r>
      <w:r w:rsidR="00B162AD" w:rsidRPr="00D25FC9">
        <w:rPr>
          <w:rFonts w:ascii="Times New Roman" w:hAnsi="Times New Roman" w:cs="Times New Roman"/>
        </w:rPr>
        <w:t xml:space="preserve">or the GHG Reporting </w:t>
      </w:r>
      <w:r w:rsidR="005E46F6" w:rsidRPr="00D25FC9">
        <w:rPr>
          <w:rFonts w:ascii="Times New Roman" w:hAnsi="Times New Roman" w:cs="Times New Roman"/>
        </w:rPr>
        <w:t>Program</w:t>
      </w:r>
    </w:p>
    <w:tbl>
      <w:tblPr>
        <w:tblW w:w="5071" w:type="pct"/>
        <w:tblLayout w:type="fixed"/>
        <w:tblLook w:val="04A0" w:firstRow="1" w:lastRow="0" w:firstColumn="1" w:lastColumn="0" w:noHBand="0" w:noVBand="1"/>
      </w:tblPr>
      <w:tblGrid>
        <w:gridCol w:w="3565"/>
        <w:gridCol w:w="970"/>
        <w:gridCol w:w="1243"/>
        <w:gridCol w:w="1085"/>
        <w:gridCol w:w="1376"/>
        <w:gridCol w:w="1374"/>
        <w:gridCol w:w="1192"/>
        <w:gridCol w:w="1374"/>
        <w:gridCol w:w="1184"/>
      </w:tblGrid>
      <w:tr w:rsidR="005D2AE1" w:rsidRPr="00C77927" w14:paraId="315A873E" w14:textId="77777777" w:rsidTr="00E85643">
        <w:trPr>
          <w:trHeight w:val="288"/>
        </w:trPr>
        <w:tc>
          <w:tcPr>
            <w:tcW w:w="1334" w:type="pct"/>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68705A37" w14:textId="77777777" w:rsidR="005D2AE1" w:rsidRPr="00D25FC9" w:rsidRDefault="005D2AE1">
            <w:pPr>
              <w:jc w:val="center"/>
              <w:rPr>
                <w:b/>
                <w:bCs/>
                <w:sz w:val="14"/>
                <w:szCs w:val="14"/>
              </w:rPr>
            </w:pPr>
            <w:r w:rsidRPr="00D25FC9">
              <w:rPr>
                <w:b/>
                <w:bCs/>
                <w:sz w:val="14"/>
                <w:szCs w:val="14"/>
              </w:rPr>
              <w:t>Source Category</w:t>
            </w:r>
          </w:p>
        </w:tc>
        <w:tc>
          <w:tcPr>
            <w:tcW w:w="3666" w:type="pct"/>
            <w:gridSpan w:val="8"/>
            <w:tcBorders>
              <w:top w:val="single" w:sz="4" w:space="0" w:color="auto"/>
              <w:left w:val="nil"/>
              <w:bottom w:val="single" w:sz="4" w:space="0" w:color="auto"/>
              <w:right w:val="single" w:sz="4" w:space="0" w:color="auto"/>
            </w:tcBorders>
            <w:shd w:val="clear" w:color="auto" w:fill="CCFFFF"/>
            <w:noWrap/>
            <w:vAlign w:val="bottom"/>
            <w:hideMark/>
          </w:tcPr>
          <w:p w14:paraId="3941EE2A" w14:textId="3DD99EF6" w:rsidR="005D2AE1" w:rsidRPr="00D25FC9" w:rsidRDefault="005D2AE1">
            <w:pPr>
              <w:jc w:val="center"/>
              <w:rPr>
                <w:b/>
                <w:bCs/>
                <w:sz w:val="14"/>
                <w:szCs w:val="14"/>
              </w:rPr>
            </w:pPr>
            <w:r w:rsidRPr="00D25FC9">
              <w:rPr>
                <w:b/>
                <w:bCs/>
                <w:sz w:val="14"/>
                <w:szCs w:val="14"/>
              </w:rPr>
              <w:t>Annual Average</w:t>
            </w:r>
          </w:p>
        </w:tc>
      </w:tr>
      <w:tr w:rsidR="00077E5B" w:rsidRPr="00C77927" w14:paraId="7C01FF79" w14:textId="77777777" w:rsidTr="00E85643">
        <w:trPr>
          <w:trHeight w:val="539"/>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79032206" w14:textId="77777777" w:rsidR="005D2AE1" w:rsidRPr="00D25FC9" w:rsidRDefault="005D2AE1">
            <w:pPr>
              <w:rPr>
                <w:b/>
                <w:bCs/>
                <w:sz w:val="14"/>
                <w:szCs w:val="14"/>
              </w:rPr>
            </w:pPr>
          </w:p>
        </w:tc>
        <w:tc>
          <w:tcPr>
            <w:tcW w:w="363" w:type="pct"/>
            <w:tcBorders>
              <w:top w:val="nil"/>
              <w:left w:val="single" w:sz="4" w:space="0" w:color="auto"/>
              <w:bottom w:val="single" w:sz="4" w:space="0" w:color="auto"/>
              <w:right w:val="single" w:sz="4" w:space="0" w:color="auto"/>
            </w:tcBorders>
            <w:shd w:val="clear" w:color="auto" w:fill="CCFFFF"/>
            <w:vAlign w:val="center"/>
            <w:hideMark/>
          </w:tcPr>
          <w:p w14:paraId="083D2B7B" w14:textId="50C060A7" w:rsidR="005D2AE1" w:rsidRPr="00D25FC9" w:rsidRDefault="005D2AE1">
            <w:pPr>
              <w:jc w:val="center"/>
              <w:rPr>
                <w:b/>
                <w:bCs/>
                <w:sz w:val="12"/>
                <w:szCs w:val="12"/>
              </w:rPr>
            </w:pPr>
            <w:r w:rsidRPr="00D25FC9">
              <w:rPr>
                <w:b/>
                <w:bCs/>
                <w:sz w:val="12"/>
                <w:szCs w:val="12"/>
              </w:rPr>
              <w:t>Number of Respondents</w:t>
            </w:r>
          </w:p>
        </w:tc>
        <w:tc>
          <w:tcPr>
            <w:tcW w:w="465" w:type="pct"/>
            <w:tcBorders>
              <w:top w:val="nil"/>
              <w:left w:val="nil"/>
              <w:bottom w:val="single" w:sz="4" w:space="0" w:color="auto"/>
              <w:right w:val="single" w:sz="4" w:space="0" w:color="auto"/>
            </w:tcBorders>
            <w:shd w:val="clear" w:color="auto" w:fill="CCFFFF"/>
            <w:vAlign w:val="center"/>
            <w:hideMark/>
          </w:tcPr>
          <w:p w14:paraId="6B9D1946" w14:textId="77777777" w:rsidR="005D2AE1" w:rsidRPr="00D25FC9" w:rsidRDefault="005D2AE1">
            <w:pPr>
              <w:jc w:val="center"/>
              <w:rPr>
                <w:b/>
                <w:bCs/>
                <w:sz w:val="12"/>
                <w:szCs w:val="12"/>
              </w:rPr>
            </w:pPr>
            <w:r w:rsidRPr="00D25FC9">
              <w:rPr>
                <w:b/>
                <w:bCs/>
                <w:sz w:val="12"/>
                <w:szCs w:val="12"/>
              </w:rPr>
              <w:t>Responses/</w:t>
            </w:r>
          </w:p>
          <w:p w14:paraId="2DB9C55B" w14:textId="034BC68F" w:rsidR="005D2AE1" w:rsidRPr="00D25FC9" w:rsidRDefault="005D2AE1">
            <w:pPr>
              <w:jc w:val="center"/>
              <w:rPr>
                <w:b/>
                <w:bCs/>
                <w:sz w:val="12"/>
                <w:szCs w:val="12"/>
              </w:rPr>
            </w:pPr>
            <w:r w:rsidRPr="00D25FC9">
              <w:rPr>
                <w:b/>
                <w:bCs/>
                <w:sz w:val="12"/>
                <w:szCs w:val="12"/>
              </w:rPr>
              <w:t>Respondent</w:t>
            </w:r>
            <w:r w:rsidR="00BB0603" w:rsidRPr="00D25FC9">
              <w:rPr>
                <w:b/>
                <w:bCs/>
                <w:sz w:val="12"/>
                <w:szCs w:val="12"/>
                <w:vertAlign w:val="superscript"/>
              </w:rPr>
              <w:t>a</w:t>
            </w:r>
          </w:p>
        </w:tc>
        <w:tc>
          <w:tcPr>
            <w:tcW w:w="406" w:type="pct"/>
            <w:tcBorders>
              <w:top w:val="nil"/>
              <w:left w:val="nil"/>
              <w:bottom w:val="single" w:sz="4" w:space="0" w:color="auto"/>
              <w:right w:val="single" w:sz="4" w:space="0" w:color="auto"/>
            </w:tcBorders>
            <w:shd w:val="clear" w:color="auto" w:fill="CCFFFF"/>
            <w:vAlign w:val="center"/>
            <w:hideMark/>
          </w:tcPr>
          <w:p w14:paraId="4AD50C53" w14:textId="5492A99A" w:rsidR="005D2AE1" w:rsidRPr="00D25FC9" w:rsidRDefault="005D2AE1">
            <w:pPr>
              <w:jc w:val="center"/>
              <w:rPr>
                <w:b/>
                <w:bCs/>
                <w:sz w:val="12"/>
                <w:szCs w:val="12"/>
              </w:rPr>
            </w:pPr>
            <w:r w:rsidRPr="00D25FC9">
              <w:rPr>
                <w:b/>
                <w:bCs/>
                <w:sz w:val="12"/>
                <w:szCs w:val="12"/>
              </w:rPr>
              <w:t>Total Responses</w:t>
            </w:r>
            <w:r w:rsidR="003D09A5" w:rsidRPr="00D25FC9">
              <w:rPr>
                <w:b/>
                <w:bCs/>
                <w:sz w:val="12"/>
                <w:szCs w:val="12"/>
                <w:vertAlign w:val="superscript"/>
              </w:rPr>
              <w:t>b</w:t>
            </w:r>
          </w:p>
        </w:tc>
        <w:tc>
          <w:tcPr>
            <w:tcW w:w="515" w:type="pct"/>
            <w:tcBorders>
              <w:top w:val="nil"/>
              <w:left w:val="nil"/>
              <w:bottom w:val="single" w:sz="4" w:space="0" w:color="auto"/>
              <w:right w:val="single" w:sz="4" w:space="0" w:color="auto"/>
            </w:tcBorders>
            <w:shd w:val="clear" w:color="auto" w:fill="CCFFFF"/>
            <w:vAlign w:val="center"/>
            <w:hideMark/>
          </w:tcPr>
          <w:p w14:paraId="02BF3DE7" w14:textId="77777777" w:rsidR="005D2AE1" w:rsidRPr="00D25FC9" w:rsidRDefault="005D2AE1">
            <w:pPr>
              <w:jc w:val="center"/>
              <w:rPr>
                <w:b/>
                <w:bCs/>
                <w:sz w:val="14"/>
                <w:szCs w:val="14"/>
              </w:rPr>
            </w:pPr>
            <w:r w:rsidRPr="00D25FC9">
              <w:rPr>
                <w:b/>
                <w:bCs/>
                <w:sz w:val="14"/>
                <w:szCs w:val="14"/>
              </w:rPr>
              <w:t>Total Burden (hrs)</w:t>
            </w:r>
          </w:p>
        </w:tc>
        <w:tc>
          <w:tcPr>
            <w:tcW w:w="514" w:type="pct"/>
            <w:tcBorders>
              <w:top w:val="nil"/>
              <w:left w:val="nil"/>
              <w:bottom w:val="single" w:sz="4" w:space="0" w:color="auto"/>
              <w:right w:val="single" w:sz="4" w:space="0" w:color="auto"/>
            </w:tcBorders>
            <w:shd w:val="clear" w:color="auto" w:fill="CCFFFF"/>
            <w:vAlign w:val="center"/>
            <w:hideMark/>
          </w:tcPr>
          <w:p w14:paraId="7DB68076" w14:textId="77777777" w:rsidR="005D2AE1" w:rsidRPr="00D25FC9" w:rsidRDefault="005D2AE1">
            <w:pPr>
              <w:jc w:val="center"/>
              <w:rPr>
                <w:b/>
                <w:bCs/>
                <w:sz w:val="14"/>
                <w:szCs w:val="14"/>
              </w:rPr>
            </w:pPr>
            <w:r w:rsidRPr="00D25FC9">
              <w:rPr>
                <w:b/>
                <w:bCs/>
                <w:sz w:val="14"/>
                <w:szCs w:val="14"/>
              </w:rPr>
              <w:t>Total Labor Cost</w:t>
            </w:r>
            <w:r w:rsidRPr="00D25FC9">
              <w:rPr>
                <w:b/>
                <w:bCs/>
                <w:sz w:val="14"/>
                <w:szCs w:val="14"/>
              </w:rPr>
              <w:br/>
              <w:t>($)</w:t>
            </w:r>
          </w:p>
        </w:tc>
        <w:tc>
          <w:tcPr>
            <w:tcW w:w="446" w:type="pct"/>
            <w:tcBorders>
              <w:top w:val="nil"/>
              <w:left w:val="nil"/>
              <w:bottom w:val="single" w:sz="4" w:space="0" w:color="auto"/>
              <w:right w:val="single" w:sz="4" w:space="0" w:color="auto"/>
            </w:tcBorders>
            <w:shd w:val="clear" w:color="auto" w:fill="CCFFFF"/>
            <w:vAlign w:val="center"/>
            <w:hideMark/>
          </w:tcPr>
          <w:p w14:paraId="5D6B1BE4" w14:textId="77777777" w:rsidR="005D2AE1" w:rsidRPr="00D25FC9" w:rsidRDefault="005D2AE1">
            <w:pPr>
              <w:jc w:val="center"/>
              <w:rPr>
                <w:b/>
                <w:bCs/>
                <w:sz w:val="14"/>
                <w:szCs w:val="14"/>
              </w:rPr>
            </w:pPr>
            <w:r w:rsidRPr="00D25FC9">
              <w:rPr>
                <w:b/>
                <w:bCs/>
                <w:sz w:val="14"/>
                <w:szCs w:val="14"/>
              </w:rPr>
              <w:t>Capital Cost</w:t>
            </w:r>
            <w:r w:rsidRPr="00D25FC9">
              <w:rPr>
                <w:b/>
                <w:bCs/>
                <w:sz w:val="14"/>
                <w:szCs w:val="14"/>
              </w:rPr>
              <w:br/>
              <w:t>($)</w:t>
            </w:r>
          </w:p>
        </w:tc>
        <w:tc>
          <w:tcPr>
            <w:tcW w:w="514" w:type="pct"/>
            <w:tcBorders>
              <w:top w:val="nil"/>
              <w:left w:val="nil"/>
              <w:bottom w:val="single" w:sz="4" w:space="0" w:color="auto"/>
              <w:right w:val="single" w:sz="4" w:space="0" w:color="auto"/>
            </w:tcBorders>
            <w:shd w:val="clear" w:color="auto" w:fill="CCFFFF"/>
            <w:vAlign w:val="center"/>
            <w:hideMark/>
          </w:tcPr>
          <w:p w14:paraId="7119CF52" w14:textId="77777777" w:rsidR="005D2AE1" w:rsidRPr="00D25FC9" w:rsidRDefault="005D2AE1">
            <w:pPr>
              <w:jc w:val="center"/>
              <w:rPr>
                <w:b/>
                <w:bCs/>
                <w:sz w:val="14"/>
                <w:szCs w:val="14"/>
              </w:rPr>
            </w:pPr>
            <w:r w:rsidRPr="00D25FC9">
              <w:rPr>
                <w:b/>
                <w:bCs/>
                <w:sz w:val="14"/>
                <w:szCs w:val="14"/>
              </w:rPr>
              <w:t>O&amp;M Cost</w:t>
            </w:r>
            <w:r w:rsidRPr="00D25FC9">
              <w:rPr>
                <w:b/>
                <w:bCs/>
                <w:sz w:val="14"/>
                <w:szCs w:val="14"/>
              </w:rPr>
              <w:br/>
              <w:t xml:space="preserve"> ($)</w:t>
            </w:r>
          </w:p>
        </w:tc>
        <w:tc>
          <w:tcPr>
            <w:tcW w:w="443" w:type="pct"/>
            <w:tcBorders>
              <w:top w:val="nil"/>
              <w:left w:val="nil"/>
              <w:bottom w:val="single" w:sz="4" w:space="0" w:color="auto"/>
              <w:right w:val="single" w:sz="4" w:space="0" w:color="auto"/>
            </w:tcBorders>
            <w:shd w:val="clear" w:color="auto" w:fill="CCFFFF"/>
            <w:vAlign w:val="center"/>
            <w:hideMark/>
          </w:tcPr>
          <w:p w14:paraId="0633604C" w14:textId="77777777" w:rsidR="005D2AE1" w:rsidRPr="00D25FC9" w:rsidRDefault="005D2AE1">
            <w:pPr>
              <w:jc w:val="center"/>
              <w:rPr>
                <w:b/>
                <w:bCs/>
                <w:sz w:val="14"/>
                <w:szCs w:val="14"/>
              </w:rPr>
            </w:pPr>
            <w:r w:rsidRPr="00D25FC9">
              <w:rPr>
                <w:b/>
                <w:bCs/>
                <w:sz w:val="14"/>
                <w:szCs w:val="14"/>
              </w:rPr>
              <w:t>Total Cost</w:t>
            </w:r>
            <w:r w:rsidRPr="00D25FC9">
              <w:rPr>
                <w:b/>
                <w:bCs/>
                <w:sz w:val="14"/>
                <w:szCs w:val="14"/>
              </w:rPr>
              <w:br/>
              <w:t>($)</w:t>
            </w:r>
          </w:p>
        </w:tc>
      </w:tr>
      <w:tr w:rsidR="00252F0C" w:rsidRPr="00C77927" w14:paraId="7417C57E" w14:textId="77777777" w:rsidTr="00D771CB">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3B2CA2D" w14:textId="0667575D" w:rsidR="00252F0C" w:rsidRPr="00D25FC9" w:rsidRDefault="00252F0C" w:rsidP="00252F0C">
            <w:pPr>
              <w:rPr>
                <w:color w:val="000000" w:themeColor="text1"/>
                <w:sz w:val="14"/>
                <w:szCs w:val="14"/>
              </w:rPr>
            </w:pPr>
            <w:r w:rsidRPr="00D25FC9">
              <w:rPr>
                <w:color w:val="000000"/>
                <w:sz w:val="14"/>
                <w:szCs w:val="14"/>
              </w:rPr>
              <w:t xml:space="preserve">C. </w:t>
            </w:r>
            <w:r>
              <w:rPr>
                <w:color w:val="000000"/>
                <w:sz w:val="14"/>
                <w:szCs w:val="14"/>
              </w:rPr>
              <w:t xml:space="preserve">General </w:t>
            </w:r>
            <w:r w:rsidRPr="00D25FC9">
              <w:rPr>
                <w:color w:val="000000"/>
                <w:sz w:val="14"/>
                <w:szCs w:val="14"/>
              </w:rPr>
              <w:t xml:space="preserve">Stationary </w:t>
            </w:r>
            <w:r>
              <w:rPr>
                <w:color w:val="000000"/>
                <w:sz w:val="14"/>
                <w:szCs w:val="14"/>
              </w:rPr>
              <w:t xml:space="preserve">Fuel </w:t>
            </w:r>
            <w:r w:rsidRPr="00D25FC9">
              <w:rPr>
                <w:color w:val="000000"/>
                <w:sz w:val="14"/>
                <w:szCs w:val="14"/>
              </w:rPr>
              <w:t>Combustion</w:t>
            </w:r>
            <w:r>
              <w:rPr>
                <w:color w:val="000000"/>
                <w:sz w:val="14"/>
                <w:szCs w:val="14"/>
              </w:rPr>
              <w:t xml:space="preserve"> Sources</w:t>
            </w:r>
            <w:r w:rsidRPr="00D25FC9">
              <w:rPr>
                <w:color w:val="000000"/>
                <w:sz w:val="14"/>
                <w:szCs w:val="14"/>
              </w:rPr>
              <w:t xml:space="preserve"> (reporters with only Subpart) </w:t>
            </w:r>
            <w:r w:rsidRPr="00D25FC9">
              <w:rPr>
                <w:color w:val="000000"/>
                <w:sz w:val="14"/>
                <w:szCs w:val="14"/>
                <w:vertAlign w:val="superscript"/>
              </w:rPr>
              <w:t>c,d</w:t>
            </w:r>
            <w:r>
              <w:rPr>
                <w:color w:val="000000"/>
                <w:sz w:val="14"/>
                <w:szCs w:val="14"/>
                <w:vertAlign w:val="superscript"/>
              </w:rPr>
              <w:t>,g</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14:paraId="2D031F0E" w14:textId="1847EB03" w:rsidR="00252F0C" w:rsidRPr="009D165E" w:rsidRDefault="00252F0C" w:rsidP="00252F0C">
            <w:pPr>
              <w:jc w:val="right"/>
              <w:rPr>
                <w:color w:val="000000" w:themeColor="text1"/>
                <w:sz w:val="14"/>
                <w:szCs w:val="14"/>
              </w:rPr>
            </w:pPr>
            <w:r w:rsidRPr="008F7D63">
              <w:rPr>
                <w:sz w:val="14"/>
                <w:szCs w:val="14"/>
              </w:rPr>
              <w:t>2,093</w:t>
            </w:r>
          </w:p>
        </w:tc>
        <w:tc>
          <w:tcPr>
            <w:tcW w:w="465" w:type="pct"/>
            <w:tcBorders>
              <w:top w:val="single" w:sz="4" w:space="0" w:color="auto"/>
              <w:left w:val="nil"/>
              <w:bottom w:val="single" w:sz="4" w:space="0" w:color="auto"/>
              <w:right w:val="single" w:sz="4" w:space="0" w:color="auto"/>
            </w:tcBorders>
            <w:shd w:val="clear" w:color="auto" w:fill="auto"/>
            <w:noWrap/>
          </w:tcPr>
          <w:p w14:paraId="6BCB158E" w14:textId="7F5AAA44" w:rsidR="00252F0C" w:rsidRPr="009D165E" w:rsidRDefault="006E46F6" w:rsidP="00252F0C">
            <w:pPr>
              <w:jc w:val="right"/>
              <w:rPr>
                <w:color w:val="000000" w:themeColor="text1"/>
                <w:sz w:val="14"/>
                <w:szCs w:val="14"/>
              </w:rPr>
            </w:pPr>
            <w:r>
              <w:rPr>
                <w:sz w:val="14"/>
                <w:szCs w:val="14"/>
              </w:rPr>
              <w:t>111</w:t>
            </w:r>
          </w:p>
        </w:tc>
        <w:tc>
          <w:tcPr>
            <w:tcW w:w="406" w:type="pct"/>
            <w:tcBorders>
              <w:top w:val="single" w:sz="4" w:space="0" w:color="auto"/>
              <w:left w:val="nil"/>
              <w:bottom w:val="single" w:sz="4" w:space="0" w:color="auto"/>
              <w:right w:val="single" w:sz="4" w:space="0" w:color="auto"/>
            </w:tcBorders>
            <w:shd w:val="clear" w:color="auto" w:fill="auto"/>
            <w:noWrap/>
          </w:tcPr>
          <w:p w14:paraId="6906CEA3" w14:textId="5442DEE6" w:rsidR="00252F0C" w:rsidRPr="00B40AFD" w:rsidRDefault="006E46F6" w:rsidP="00252F0C">
            <w:pPr>
              <w:jc w:val="right"/>
              <w:rPr>
                <w:color w:val="000000"/>
                <w:sz w:val="14"/>
                <w:szCs w:val="14"/>
              </w:rPr>
            </w:pPr>
            <w:r>
              <w:rPr>
                <w:sz w:val="14"/>
                <w:szCs w:val="14"/>
              </w:rPr>
              <w:t>232,323</w:t>
            </w:r>
          </w:p>
        </w:tc>
        <w:tc>
          <w:tcPr>
            <w:tcW w:w="515" w:type="pct"/>
            <w:tcBorders>
              <w:top w:val="single" w:sz="4" w:space="0" w:color="auto"/>
              <w:left w:val="nil"/>
              <w:bottom w:val="single" w:sz="4" w:space="0" w:color="auto"/>
              <w:right w:val="single" w:sz="4" w:space="0" w:color="auto"/>
            </w:tcBorders>
            <w:shd w:val="clear" w:color="auto" w:fill="auto"/>
            <w:noWrap/>
          </w:tcPr>
          <w:p w14:paraId="08DA4868" w14:textId="7AB6E869" w:rsidR="00252F0C" w:rsidRPr="009D165E" w:rsidRDefault="00252F0C" w:rsidP="00252F0C">
            <w:pPr>
              <w:jc w:val="right"/>
              <w:rPr>
                <w:color w:val="000000" w:themeColor="text1"/>
                <w:sz w:val="14"/>
                <w:szCs w:val="14"/>
              </w:rPr>
            </w:pPr>
            <w:r w:rsidRPr="008F7D63">
              <w:rPr>
                <w:sz w:val="14"/>
                <w:szCs w:val="14"/>
              </w:rPr>
              <w:t>86,335</w:t>
            </w:r>
          </w:p>
        </w:tc>
        <w:tc>
          <w:tcPr>
            <w:tcW w:w="514" w:type="pct"/>
            <w:tcBorders>
              <w:top w:val="single" w:sz="4" w:space="0" w:color="auto"/>
              <w:left w:val="nil"/>
              <w:bottom w:val="single" w:sz="4" w:space="0" w:color="auto"/>
              <w:right w:val="single" w:sz="4" w:space="0" w:color="auto"/>
            </w:tcBorders>
            <w:shd w:val="clear" w:color="auto" w:fill="auto"/>
            <w:noWrap/>
          </w:tcPr>
          <w:p w14:paraId="391873E1" w14:textId="55FEEED7" w:rsidR="00252F0C" w:rsidRPr="009D165E" w:rsidRDefault="00252F0C" w:rsidP="00252F0C">
            <w:pPr>
              <w:jc w:val="right"/>
              <w:rPr>
                <w:color w:val="000000" w:themeColor="text1"/>
                <w:sz w:val="14"/>
                <w:szCs w:val="14"/>
              </w:rPr>
            </w:pPr>
            <w:r w:rsidRPr="008F7D63">
              <w:rPr>
                <w:sz w:val="14"/>
                <w:szCs w:val="14"/>
              </w:rPr>
              <w:t xml:space="preserve"> $6,108,421 </w:t>
            </w:r>
          </w:p>
        </w:tc>
        <w:tc>
          <w:tcPr>
            <w:tcW w:w="446" w:type="pct"/>
            <w:tcBorders>
              <w:top w:val="single" w:sz="4" w:space="0" w:color="auto"/>
              <w:left w:val="nil"/>
              <w:bottom w:val="single" w:sz="4" w:space="0" w:color="auto"/>
              <w:right w:val="single" w:sz="4" w:space="0" w:color="auto"/>
            </w:tcBorders>
            <w:shd w:val="clear" w:color="auto" w:fill="auto"/>
            <w:noWrap/>
          </w:tcPr>
          <w:p w14:paraId="7A225E1E" w14:textId="301DA11F" w:rsidR="00252F0C" w:rsidRPr="009D165E" w:rsidRDefault="00252F0C" w:rsidP="00252F0C">
            <w:pPr>
              <w:jc w:val="right"/>
              <w:rPr>
                <w:color w:val="000000" w:themeColor="text1"/>
                <w:sz w:val="14"/>
                <w:szCs w:val="14"/>
              </w:rPr>
            </w:pPr>
            <w:r w:rsidRPr="008F7D63">
              <w:rPr>
                <w:sz w:val="14"/>
                <w:szCs w:val="14"/>
              </w:rPr>
              <w:t xml:space="preserve"> $230,059 </w:t>
            </w:r>
          </w:p>
        </w:tc>
        <w:tc>
          <w:tcPr>
            <w:tcW w:w="514" w:type="pct"/>
            <w:tcBorders>
              <w:top w:val="single" w:sz="4" w:space="0" w:color="auto"/>
              <w:left w:val="nil"/>
              <w:bottom w:val="single" w:sz="4" w:space="0" w:color="auto"/>
              <w:right w:val="single" w:sz="4" w:space="0" w:color="auto"/>
            </w:tcBorders>
            <w:shd w:val="clear" w:color="auto" w:fill="auto"/>
            <w:noWrap/>
          </w:tcPr>
          <w:p w14:paraId="1381ADDF" w14:textId="7BBAF521" w:rsidR="00252F0C" w:rsidRPr="009D165E" w:rsidRDefault="00252F0C" w:rsidP="00252F0C">
            <w:pPr>
              <w:jc w:val="right"/>
              <w:rPr>
                <w:color w:val="000000" w:themeColor="text1"/>
                <w:sz w:val="14"/>
                <w:szCs w:val="14"/>
              </w:rPr>
            </w:pPr>
            <w:r w:rsidRPr="008F7D63">
              <w:rPr>
                <w:sz w:val="14"/>
                <w:szCs w:val="14"/>
              </w:rPr>
              <w:t xml:space="preserve"> $2,069,723 </w:t>
            </w:r>
          </w:p>
        </w:tc>
        <w:tc>
          <w:tcPr>
            <w:tcW w:w="443" w:type="pct"/>
            <w:tcBorders>
              <w:top w:val="single" w:sz="4" w:space="0" w:color="auto"/>
              <w:left w:val="nil"/>
              <w:bottom w:val="single" w:sz="4" w:space="0" w:color="auto"/>
              <w:right w:val="single" w:sz="4" w:space="0" w:color="auto"/>
            </w:tcBorders>
            <w:shd w:val="clear" w:color="auto" w:fill="auto"/>
            <w:noWrap/>
          </w:tcPr>
          <w:p w14:paraId="70F7F8FC" w14:textId="4E5AEF25" w:rsidR="00252F0C" w:rsidRPr="009D165E" w:rsidRDefault="00252F0C" w:rsidP="00252F0C">
            <w:pPr>
              <w:jc w:val="right"/>
              <w:rPr>
                <w:color w:val="000000" w:themeColor="text1"/>
                <w:sz w:val="14"/>
                <w:szCs w:val="14"/>
              </w:rPr>
            </w:pPr>
            <w:r w:rsidRPr="008F7D63">
              <w:rPr>
                <w:sz w:val="14"/>
                <w:szCs w:val="14"/>
              </w:rPr>
              <w:t xml:space="preserve"> $8,408,203 </w:t>
            </w:r>
          </w:p>
        </w:tc>
      </w:tr>
      <w:tr w:rsidR="00252F0C" w:rsidRPr="00C77927" w14:paraId="7BB4EEAA" w14:textId="77777777" w:rsidTr="00480737">
        <w:trPr>
          <w:trHeight w:val="144"/>
        </w:trPr>
        <w:tc>
          <w:tcPr>
            <w:tcW w:w="1334" w:type="pct"/>
            <w:tcBorders>
              <w:top w:val="nil"/>
              <w:left w:val="single" w:sz="4" w:space="0" w:color="auto"/>
              <w:bottom w:val="single" w:sz="4" w:space="0" w:color="auto"/>
              <w:right w:val="single" w:sz="4" w:space="0" w:color="auto"/>
            </w:tcBorders>
            <w:shd w:val="clear" w:color="auto" w:fill="auto"/>
            <w:vAlign w:val="bottom"/>
          </w:tcPr>
          <w:p w14:paraId="4076FA4C" w14:textId="0F621E52" w:rsidR="00252F0C" w:rsidRPr="00D25FC9" w:rsidRDefault="00252F0C" w:rsidP="00252F0C">
            <w:pPr>
              <w:rPr>
                <w:color w:val="000000" w:themeColor="text1"/>
                <w:sz w:val="14"/>
                <w:szCs w:val="14"/>
              </w:rPr>
            </w:pPr>
            <w:r w:rsidRPr="00D25FC9">
              <w:rPr>
                <w:color w:val="000000"/>
                <w:sz w:val="14"/>
                <w:szCs w:val="14"/>
              </w:rPr>
              <w:t xml:space="preserve">C. </w:t>
            </w:r>
            <w:r>
              <w:rPr>
                <w:color w:val="000000"/>
                <w:sz w:val="14"/>
                <w:szCs w:val="14"/>
              </w:rPr>
              <w:t xml:space="preserve">General </w:t>
            </w:r>
            <w:r w:rsidRPr="00D25FC9">
              <w:rPr>
                <w:color w:val="000000"/>
                <w:sz w:val="14"/>
                <w:szCs w:val="14"/>
              </w:rPr>
              <w:t xml:space="preserve">Stationary </w:t>
            </w:r>
            <w:r>
              <w:rPr>
                <w:color w:val="000000"/>
                <w:sz w:val="14"/>
                <w:szCs w:val="14"/>
              </w:rPr>
              <w:t xml:space="preserve">Fuel </w:t>
            </w:r>
            <w:r w:rsidRPr="00D25FC9">
              <w:rPr>
                <w:color w:val="000000"/>
                <w:sz w:val="14"/>
                <w:szCs w:val="14"/>
              </w:rPr>
              <w:t>Combustion</w:t>
            </w:r>
            <w:r>
              <w:rPr>
                <w:color w:val="000000"/>
                <w:sz w:val="14"/>
                <w:szCs w:val="14"/>
              </w:rPr>
              <w:t xml:space="preserve"> Sources</w:t>
            </w:r>
            <w:r w:rsidRPr="00D25FC9">
              <w:rPr>
                <w:color w:val="000000"/>
                <w:sz w:val="14"/>
                <w:szCs w:val="14"/>
              </w:rPr>
              <w:t xml:space="preserve"> (reporters with Subpart C plus one or more subparts) </w:t>
            </w:r>
            <w:r w:rsidRPr="00D25FC9">
              <w:rPr>
                <w:color w:val="000000"/>
                <w:sz w:val="14"/>
                <w:szCs w:val="14"/>
                <w:vertAlign w:val="superscript"/>
              </w:rPr>
              <w:t>c,d,</w:t>
            </w:r>
            <w:r>
              <w:rPr>
                <w:color w:val="000000"/>
                <w:sz w:val="14"/>
                <w:szCs w:val="14"/>
                <w:vertAlign w:val="superscript"/>
              </w:rPr>
              <w:t>g</w:t>
            </w:r>
          </w:p>
        </w:tc>
        <w:tc>
          <w:tcPr>
            <w:tcW w:w="363" w:type="pct"/>
            <w:tcBorders>
              <w:top w:val="single" w:sz="4" w:space="0" w:color="auto"/>
              <w:left w:val="single" w:sz="4" w:space="0" w:color="auto"/>
              <w:bottom w:val="single" w:sz="4" w:space="0" w:color="auto"/>
              <w:right w:val="single" w:sz="4" w:space="0" w:color="auto"/>
            </w:tcBorders>
            <w:shd w:val="clear" w:color="auto" w:fill="auto"/>
            <w:noWrap/>
          </w:tcPr>
          <w:p w14:paraId="2F6D173E" w14:textId="646C72FA" w:rsidR="00252F0C" w:rsidRPr="009D165E" w:rsidRDefault="00252F0C" w:rsidP="00252F0C">
            <w:pPr>
              <w:jc w:val="right"/>
              <w:rPr>
                <w:color w:val="000000" w:themeColor="text1"/>
                <w:sz w:val="14"/>
                <w:szCs w:val="14"/>
              </w:rPr>
            </w:pPr>
            <w:r w:rsidRPr="008F7D63">
              <w:rPr>
                <w:sz w:val="14"/>
                <w:szCs w:val="14"/>
              </w:rPr>
              <w:t>3,951</w:t>
            </w:r>
          </w:p>
        </w:tc>
        <w:tc>
          <w:tcPr>
            <w:tcW w:w="465" w:type="pct"/>
            <w:tcBorders>
              <w:top w:val="single" w:sz="4" w:space="0" w:color="auto"/>
              <w:left w:val="nil"/>
              <w:bottom w:val="single" w:sz="4" w:space="0" w:color="auto"/>
              <w:right w:val="single" w:sz="4" w:space="0" w:color="auto"/>
            </w:tcBorders>
            <w:shd w:val="clear" w:color="auto" w:fill="auto"/>
            <w:noWrap/>
          </w:tcPr>
          <w:p w14:paraId="07217301" w14:textId="246E027C" w:rsidR="00252F0C" w:rsidRPr="009D165E" w:rsidRDefault="006E46F6" w:rsidP="00252F0C">
            <w:pPr>
              <w:jc w:val="right"/>
              <w:rPr>
                <w:color w:val="000000" w:themeColor="text1"/>
                <w:sz w:val="14"/>
                <w:szCs w:val="14"/>
              </w:rPr>
            </w:pPr>
            <w:r>
              <w:rPr>
                <w:sz w:val="14"/>
                <w:szCs w:val="14"/>
              </w:rPr>
              <w:t>111</w:t>
            </w:r>
          </w:p>
        </w:tc>
        <w:tc>
          <w:tcPr>
            <w:tcW w:w="406" w:type="pct"/>
            <w:tcBorders>
              <w:top w:val="single" w:sz="4" w:space="0" w:color="auto"/>
              <w:left w:val="nil"/>
              <w:bottom w:val="single" w:sz="4" w:space="0" w:color="auto"/>
              <w:right w:val="single" w:sz="4" w:space="0" w:color="auto"/>
            </w:tcBorders>
            <w:shd w:val="clear" w:color="auto" w:fill="auto"/>
            <w:noWrap/>
          </w:tcPr>
          <w:p w14:paraId="294599CC" w14:textId="2B621C39" w:rsidR="00252F0C" w:rsidRPr="00B40AFD" w:rsidRDefault="006E46F6" w:rsidP="00252F0C">
            <w:pPr>
              <w:jc w:val="right"/>
              <w:rPr>
                <w:color w:val="000000"/>
                <w:sz w:val="14"/>
                <w:szCs w:val="14"/>
              </w:rPr>
            </w:pPr>
            <w:r>
              <w:rPr>
                <w:sz w:val="14"/>
                <w:szCs w:val="14"/>
              </w:rPr>
              <w:t>438,561</w:t>
            </w:r>
          </w:p>
        </w:tc>
        <w:tc>
          <w:tcPr>
            <w:tcW w:w="515" w:type="pct"/>
            <w:tcBorders>
              <w:top w:val="single" w:sz="4" w:space="0" w:color="auto"/>
              <w:left w:val="nil"/>
              <w:bottom w:val="single" w:sz="4" w:space="0" w:color="auto"/>
              <w:right w:val="single" w:sz="4" w:space="0" w:color="auto"/>
            </w:tcBorders>
            <w:shd w:val="clear" w:color="auto" w:fill="auto"/>
            <w:noWrap/>
          </w:tcPr>
          <w:p w14:paraId="6E29F5EE" w14:textId="6FB885BB" w:rsidR="00252F0C" w:rsidRPr="009D165E" w:rsidRDefault="00252F0C" w:rsidP="00252F0C">
            <w:pPr>
              <w:jc w:val="right"/>
              <w:rPr>
                <w:color w:val="000000" w:themeColor="text1"/>
                <w:sz w:val="14"/>
                <w:szCs w:val="14"/>
              </w:rPr>
            </w:pPr>
            <w:r w:rsidRPr="008F7D63">
              <w:rPr>
                <w:sz w:val="14"/>
                <w:szCs w:val="14"/>
              </w:rPr>
              <w:t>174,019</w:t>
            </w:r>
          </w:p>
        </w:tc>
        <w:tc>
          <w:tcPr>
            <w:tcW w:w="514" w:type="pct"/>
            <w:tcBorders>
              <w:top w:val="single" w:sz="4" w:space="0" w:color="auto"/>
              <w:left w:val="nil"/>
              <w:bottom w:val="single" w:sz="4" w:space="0" w:color="auto"/>
              <w:right w:val="single" w:sz="4" w:space="0" w:color="auto"/>
            </w:tcBorders>
            <w:shd w:val="clear" w:color="auto" w:fill="auto"/>
            <w:noWrap/>
          </w:tcPr>
          <w:p w14:paraId="5ACCAEF5" w14:textId="14EF4229" w:rsidR="00252F0C" w:rsidRPr="009D165E" w:rsidRDefault="00252F0C" w:rsidP="00252F0C">
            <w:pPr>
              <w:jc w:val="right"/>
              <w:rPr>
                <w:color w:val="000000" w:themeColor="text1"/>
                <w:sz w:val="14"/>
                <w:szCs w:val="14"/>
              </w:rPr>
            </w:pPr>
            <w:r w:rsidRPr="008F7D63">
              <w:rPr>
                <w:sz w:val="14"/>
                <w:szCs w:val="14"/>
              </w:rPr>
              <w:t xml:space="preserve"> $12,320,056 </w:t>
            </w:r>
          </w:p>
        </w:tc>
        <w:tc>
          <w:tcPr>
            <w:tcW w:w="446" w:type="pct"/>
            <w:tcBorders>
              <w:top w:val="single" w:sz="4" w:space="0" w:color="auto"/>
              <w:left w:val="nil"/>
              <w:bottom w:val="single" w:sz="4" w:space="0" w:color="auto"/>
              <w:right w:val="single" w:sz="4" w:space="0" w:color="auto"/>
            </w:tcBorders>
            <w:shd w:val="clear" w:color="auto" w:fill="auto"/>
            <w:noWrap/>
          </w:tcPr>
          <w:p w14:paraId="7960E4D0" w14:textId="39C9CFAC" w:rsidR="00252F0C" w:rsidRPr="009D165E" w:rsidRDefault="00252F0C" w:rsidP="00252F0C">
            <w:pPr>
              <w:jc w:val="right"/>
              <w:rPr>
                <w:color w:val="000000" w:themeColor="text1"/>
                <w:sz w:val="14"/>
                <w:szCs w:val="14"/>
              </w:rPr>
            </w:pPr>
            <w:r w:rsidRPr="008F7D63">
              <w:rPr>
                <w:sz w:val="14"/>
                <w:szCs w:val="14"/>
              </w:rPr>
              <w:t xml:space="preserve"> $181,955 </w:t>
            </w:r>
          </w:p>
        </w:tc>
        <w:tc>
          <w:tcPr>
            <w:tcW w:w="514" w:type="pct"/>
            <w:tcBorders>
              <w:top w:val="single" w:sz="4" w:space="0" w:color="auto"/>
              <w:left w:val="nil"/>
              <w:bottom w:val="single" w:sz="4" w:space="0" w:color="auto"/>
              <w:right w:val="single" w:sz="4" w:space="0" w:color="auto"/>
            </w:tcBorders>
            <w:shd w:val="clear" w:color="auto" w:fill="auto"/>
            <w:noWrap/>
          </w:tcPr>
          <w:p w14:paraId="1536EA6A" w14:textId="0E30DCD8" w:rsidR="00252F0C" w:rsidRPr="009D165E" w:rsidRDefault="00252F0C" w:rsidP="00252F0C">
            <w:pPr>
              <w:jc w:val="right"/>
              <w:rPr>
                <w:color w:val="000000" w:themeColor="text1"/>
                <w:sz w:val="14"/>
                <w:szCs w:val="14"/>
              </w:rPr>
            </w:pPr>
            <w:r w:rsidRPr="008F7D63">
              <w:rPr>
                <w:sz w:val="14"/>
                <w:szCs w:val="14"/>
              </w:rPr>
              <w:t xml:space="preserve"> $3,557,490 </w:t>
            </w:r>
          </w:p>
        </w:tc>
        <w:tc>
          <w:tcPr>
            <w:tcW w:w="443" w:type="pct"/>
            <w:tcBorders>
              <w:top w:val="single" w:sz="4" w:space="0" w:color="auto"/>
              <w:left w:val="nil"/>
              <w:bottom w:val="single" w:sz="4" w:space="0" w:color="auto"/>
              <w:right w:val="single" w:sz="4" w:space="0" w:color="auto"/>
            </w:tcBorders>
            <w:shd w:val="clear" w:color="auto" w:fill="auto"/>
            <w:noWrap/>
          </w:tcPr>
          <w:p w14:paraId="76CB98E1" w14:textId="0394F867" w:rsidR="00252F0C" w:rsidRPr="009D165E" w:rsidRDefault="00252F0C" w:rsidP="00252F0C">
            <w:pPr>
              <w:jc w:val="right"/>
              <w:rPr>
                <w:color w:val="000000" w:themeColor="text1"/>
                <w:sz w:val="14"/>
                <w:szCs w:val="14"/>
              </w:rPr>
            </w:pPr>
            <w:r w:rsidRPr="008F7D63">
              <w:rPr>
                <w:sz w:val="14"/>
                <w:szCs w:val="14"/>
              </w:rPr>
              <w:t xml:space="preserve"> $16,059,501 </w:t>
            </w:r>
          </w:p>
        </w:tc>
      </w:tr>
      <w:tr w:rsidR="00252F0C" w:rsidRPr="00C77927" w14:paraId="56B8EC87"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4F006CFB" w14:textId="0E22224D" w:rsidR="00252F0C" w:rsidRPr="00D25FC9" w:rsidRDefault="00252F0C" w:rsidP="00252F0C">
            <w:pPr>
              <w:rPr>
                <w:color w:val="000000" w:themeColor="text1"/>
                <w:sz w:val="14"/>
                <w:szCs w:val="14"/>
              </w:rPr>
            </w:pPr>
            <w:r w:rsidRPr="00D25FC9">
              <w:rPr>
                <w:color w:val="000000"/>
                <w:sz w:val="14"/>
                <w:szCs w:val="14"/>
              </w:rPr>
              <w:t xml:space="preserve">D. Electricity Generation </w:t>
            </w:r>
            <w:r w:rsidRPr="00D25FC9">
              <w:rPr>
                <w:color w:val="000000"/>
                <w:sz w:val="14"/>
                <w:szCs w:val="14"/>
                <w:vertAlign w:val="superscript"/>
              </w:rPr>
              <w:t>c,g</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14:paraId="5E61BCE9" w14:textId="00E21254" w:rsidR="00252F0C" w:rsidRPr="009D165E" w:rsidRDefault="00252F0C" w:rsidP="00252F0C">
            <w:pPr>
              <w:spacing w:line="259" w:lineRule="auto"/>
              <w:jc w:val="right"/>
              <w:rPr>
                <w:color w:val="000000" w:themeColor="text1"/>
                <w:sz w:val="14"/>
                <w:szCs w:val="14"/>
              </w:rPr>
            </w:pPr>
            <w:r w:rsidRPr="00480737">
              <w:rPr>
                <w:sz w:val="14"/>
                <w:szCs w:val="14"/>
              </w:rPr>
              <w:t>1,124</w:t>
            </w:r>
          </w:p>
        </w:tc>
        <w:tc>
          <w:tcPr>
            <w:tcW w:w="465" w:type="pct"/>
            <w:tcBorders>
              <w:top w:val="single" w:sz="4" w:space="0" w:color="auto"/>
              <w:left w:val="nil"/>
              <w:bottom w:val="single" w:sz="4" w:space="0" w:color="auto"/>
              <w:right w:val="single" w:sz="4" w:space="0" w:color="auto"/>
            </w:tcBorders>
            <w:shd w:val="clear" w:color="auto" w:fill="auto"/>
            <w:noWrap/>
          </w:tcPr>
          <w:p w14:paraId="66992DC7" w14:textId="6DE193FE" w:rsidR="00252F0C" w:rsidRPr="009D165E" w:rsidRDefault="006E729F" w:rsidP="00252F0C">
            <w:pPr>
              <w:jc w:val="right"/>
              <w:rPr>
                <w:color w:val="000000" w:themeColor="text1"/>
                <w:sz w:val="14"/>
                <w:szCs w:val="14"/>
              </w:rPr>
            </w:pPr>
            <w:r>
              <w:rPr>
                <w:sz w:val="14"/>
                <w:szCs w:val="14"/>
              </w:rPr>
              <w:t>61</w:t>
            </w:r>
          </w:p>
        </w:tc>
        <w:tc>
          <w:tcPr>
            <w:tcW w:w="406" w:type="pct"/>
            <w:tcBorders>
              <w:top w:val="single" w:sz="4" w:space="0" w:color="auto"/>
              <w:left w:val="nil"/>
              <w:bottom w:val="single" w:sz="4" w:space="0" w:color="auto"/>
              <w:right w:val="single" w:sz="4" w:space="0" w:color="auto"/>
            </w:tcBorders>
            <w:shd w:val="clear" w:color="auto" w:fill="auto"/>
            <w:noWrap/>
          </w:tcPr>
          <w:p w14:paraId="1D7E2428" w14:textId="01F75696" w:rsidR="00252F0C" w:rsidRPr="00480737" w:rsidRDefault="006E46F6" w:rsidP="00252F0C">
            <w:pPr>
              <w:spacing w:line="259" w:lineRule="auto"/>
              <w:jc w:val="right"/>
              <w:rPr>
                <w:sz w:val="14"/>
                <w:szCs w:val="14"/>
              </w:rPr>
            </w:pPr>
            <w:r>
              <w:rPr>
                <w:sz w:val="14"/>
                <w:szCs w:val="14"/>
              </w:rPr>
              <w:t>68,564</w:t>
            </w:r>
          </w:p>
        </w:tc>
        <w:tc>
          <w:tcPr>
            <w:tcW w:w="515" w:type="pct"/>
            <w:tcBorders>
              <w:top w:val="single" w:sz="4" w:space="0" w:color="auto"/>
              <w:left w:val="nil"/>
              <w:bottom w:val="single" w:sz="4" w:space="0" w:color="auto"/>
              <w:right w:val="single" w:sz="4" w:space="0" w:color="auto"/>
            </w:tcBorders>
            <w:shd w:val="clear" w:color="auto" w:fill="auto"/>
            <w:noWrap/>
          </w:tcPr>
          <w:p w14:paraId="6B47E0BF" w14:textId="54E79E7B" w:rsidR="00252F0C" w:rsidRPr="009D165E" w:rsidRDefault="00252F0C" w:rsidP="00252F0C">
            <w:pPr>
              <w:jc w:val="right"/>
              <w:rPr>
                <w:color w:val="000000" w:themeColor="text1"/>
                <w:sz w:val="14"/>
                <w:szCs w:val="14"/>
              </w:rPr>
            </w:pPr>
            <w:r>
              <w:rPr>
                <w:sz w:val="14"/>
                <w:szCs w:val="14"/>
              </w:rPr>
              <w:t>5,058</w:t>
            </w:r>
          </w:p>
        </w:tc>
        <w:tc>
          <w:tcPr>
            <w:tcW w:w="514" w:type="pct"/>
            <w:tcBorders>
              <w:top w:val="single" w:sz="4" w:space="0" w:color="auto"/>
              <w:left w:val="nil"/>
              <w:bottom w:val="single" w:sz="4" w:space="0" w:color="auto"/>
              <w:right w:val="single" w:sz="4" w:space="0" w:color="auto"/>
            </w:tcBorders>
            <w:shd w:val="clear" w:color="auto" w:fill="auto"/>
            <w:noWrap/>
          </w:tcPr>
          <w:p w14:paraId="3F85E883" w14:textId="258F7DC7" w:rsidR="00252F0C" w:rsidRPr="009D165E" w:rsidRDefault="00252F0C" w:rsidP="00252F0C">
            <w:pPr>
              <w:jc w:val="right"/>
              <w:rPr>
                <w:color w:val="000000" w:themeColor="text1"/>
                <w:sz w:val="14"/>
                <w:szCs w:val="14"/>
              </w:rPr>
            </w:pPr>
            <w:r w:rsidRPr="008F7D63">
              <w:rPr>
                <w:sz w:val="14"/>
                <w:szCs w:val="14"/>
              </w:rPr>
              <w:t xml:space="preserve"> $345,234 </w:t>
            </w:r>
          </w:p>
        </w:tc>
        <w:tc>
          <w:tcPr>
            <w:tcW w:w="446" w:type="pct"/>
            <w:tcBorders>
              <w:top w:val="single" w:sz="4" w:space="0" w:color="auto"/>
              <w:left w:val="nil"/>
              <w:bottom w:val="single" w:sz="4" w:space="0" w:color="auto"/>
              <w:right w:val="single" w:sz="4" w:space="0" w:color="auto"/>
            </w:tcBorders>
            <w:shd w:val="clear" w:color="auto" w:fill="auto"/>
            <w:noWrap/>
          </w:tcPr>
          <w:p w14:paraId="0F35BD70" w14:textId="0CD8F54A"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single" w:sz="4" w:space="0" w:color="auto"/>
              <w:left w:val="nil"/>
              <w:bottom w:val="single" w:sz="4" w:space="0" w:color="auto"/>
              <w:right w:val="single" w:sz="4" w:space="0" w:color="auto"/>
            </w:tcBorders>
            <w:shd w:val="clear" w:color="auto" w:fill="auto"/>
            <w:noWrap/>
          </w:tcPr>
          <w:p w14:paraId="1BB12EFB" w14:textId="0C58730A" w:rsidR="00252F0C" w:rsidRPr="009D165E" w:rsidRDefault="00252F0C" w:rsidP="00252F0C">
            <w:pPr>
              <w:jc w:val="right"/>
              <w:rPr>
                <w:color w:val="000000" w:themeColor="text1"/>
                <w:sz w:val="14"/>
                <w:szCs w:val="14"/>
              </w:rPr>
            </w:pPr>
            <w:r w:rsidRPr="008F7D63">
              <w:rPr>
                <w:sz w:val="14"/>
                <w:szCs w:val="14"/>
              </w:rPr>
              <w:t xml:space="preserve"> $56,200 </w:t>
            </w:r>
          </w:p>
        </w:tc>
        <w:tc>
          <w:tcPr>
            <w:tcW w:w="443" w:type="pct"/>
            <w:tcBorders>
              <w:top w:val="single" w:sz="4" w:space="0" w:color="auto"/>
              <w:left w:val="single" w:sz="4" w:space="0" w:color="auto"/>
              <w:bottom w:val="single" w:sz="4" w:space="0" w:color="auto"/>
              <w:right w:val="single" w:sz="4" w:space="0" w:color="auto"/>
            </w:tcBorders>
            <w:shd w:val="clear" w:color="auto" w:fill="auto"/>
            <w:noWrap/>
          </w:tcPr>
          <w:p w14:paraId="77641CFC" w14:textId="5949B1A2" w:rsidR="00252F0C" w:rsidRPr="009D165E" w:rsidRDefault="00252F0C" w:rsidP="00252F0C">
            <w:pPr>
              <w:jc w:val="right"/>
              <w:rPr>
                <w:color w:val="000000" w:themeColor="text1"/>
                <w:sz w:val="14"/>
                <w:szCs w:val="14"/>
              </w:rPr>
            </w:pPr>
            <w:r w:rsidRPr="008F7D63">
              <w:rPr>
                <w:sz w:val="14"/>
                <w:szCs w:val="14"/>
              </w:rPr>
              <w:t xml:space="preserve"> $4</w:t>
            </w:r>
            <w:r>
              <w:rPr>
                <w:sz w:val="14"/>
                <w:szCs w:val="14"/>
              </w:rPr>
              <w:t>01,434</w:t>
            </w:r>
            <w:r w:rsidRPr="008F7D63">
              <w:rPr>
                <w:sz w:val="14"/>
                <w:szCs w:val="14"/>
              </w:rPr>
              <w:t xml:space="preserve"> </w:t>
            </w:r>
          </w:p>
        </w:tc>
      </w:tr>
      <w:tr w:rsidR="00252F0C" w:rsidRPr="00C77927" w14:paraId="6381BA88"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F56CFFC" w14:textId="458F489A" w:rsidR="00252F0C" w:rsidRPr="00D25FC9" w:rsidRDefault="00252F0C" w:rsidP="00252F0C">
            <w:pPr>
              <w:rPr>
                <w:color w:val="000000" w:themeColor="text1"/>
                <w:sz w:val="14"/>
                <w:szCs w:val="14"/>
              </w:rPr>
            </w:pPr>
            <w:r w:rsidRPr="00D25FC9">
              <w:rPr>
                <w:color w:val="000000"/>
                <w:sz w:val="14"/>
                <w:szCs w:val="14"/>
              </w:rPr>
              <w:t>E. Adipic Acid Prod</w:t>
            </w:r>
            <w:r>
              <w:rPr>
                <w:color w:val="000000"/>
                <w:sz w:val="14"/>
                <w:szCs w:val="14"/>
              </w:rPr>
              <w:t>uction</w:t>
            </w:r>
            <w:r w:rsidRPr="00D25FC9">
              <w:rPr>
                <w:color w:val="000000"/>
                <w:sz w:val="14"/>
                <w:szCs w:val="14"/>
              </w:rPr>
              <w:t xml:space="preserve">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1075C154" w14:textId="0B68B6ED" w:rsidR="00252F0C" w:rsidRPr="009D165E" w:rsidRDefault="00252F0C" w:rsidP="00252F0C">
            <w:pPr>
              <w:jc w:val="right"/>
              <w:rPr>
                <w:color w:val="000000" w:themeColor="text1"/>
                <w:sz w:val="14"/>
                <w:szCs w:val="14"/>
              </w:rPr>
            </w:pPr>
            <w:r w:rsidRPr="008F7D63">
              <w:rPr>
                <w:sz w:val="14"/>
                <w:szCs w:val="14"/>
              </w:rPr>
              <w:t>2</w:t>
            </w:r>
          </w:p>
        </w:tc>
        <w:tc>
          <w:tcPr>
            <w:tcW w:w="465" w:type="pct"/>
            <w:tcBorders>
              <w:top w:val="nil"/>
              <w:left w:val="nil"/>
              <w:bottom w:val="single" w:sz="4" w:space="0" w:color="auto"/>
              <w:right w:val="single" w:sz="4" w:space="0" w:color="auto"/>
            </w:tcBorders>
            <w:shd w:val="clear" w:color="auto" w:fill="auto"/>
          </w:tcPr>
          <w:p w14:paraId="108671A2" w14:textId="08C16DC5" w:rsidR="00252F0C" w:rsidRPr="009D165E" w:rsidRDefault="006E729F" w:rsidP="00252F0C">
            <w:pPr>
              <w:jc w:val="right"/>
              <w:rPr>
                <w:color w:val="000000" w:themeColor="text1"/>
                <w:sz w:val="14"/>
                <w:szCs w:val="14"/>
              </w:rPr>
            </w:pPr>
            <w:r>
              <w:rPr>
                <w:sz w:val="14"/>
                <w:szCs w:val="14"/>
              </w:rPr>
              <w:t>31</w:t>
            </w:r>
          </w:p>
        </w:tc>
        <w:tc>
          <w:tcPr>
            <w:tcW w:w="406" w:type="pct"/>
            <w:tcBorders>
              <w:top w:val="nil"/>
              <w:left w:val="nil"/>
              <w:bottom w:val="single" w:sz="4" w:space="0" w:color="auto"/>
              <w:right w:val="single" w:sz="4" w:space="0" w:color="auto"/>
            </w:tcBorders>
            <w:shd w:val="clear" w:color="auto" w:fill="auto"/>
          </w:tcPr>
          <w:p w14:paraId="10C21D96" w14:textId="7F9CD7A9" w:rsidR="00252F0C" w:rsidRPr="00B40AFD" w:rsidRDefault="006E46F6" w:rsidP="00252F0C">
            <w:pPr>
              <w:jc w:val="right"/>
              <w:rPr>
                <w:color w:val="000000"/>
                <w:sz w:val="14"/>
                <w:szCs w:val="14"/>
              </w:rPr>
            </w:pPr>
            <w:r>
              <w:rPr>
                <w:sz w:val="14"/>
                <w:szCs w:val="14"/>
              </w:rPr>
              <w:t>62</w:t>
            </w:r>
          </w:p>
        </w:tc>
        <w:tc>
          <w:tcPr>
            <w:tcW w:w="515" w:type="pct"/>
            <w:tcBorders>
              <w:top w:val="nil"/>
              <w:left w:val="nil"/>
              <w:bottom w:val="single" w:sz="4" w:space="0" w:color="auto"/>
              <w:right w:val="single" w:sz="4" w:space="0" w:color="auto"/>
            </w:tcBorders>
            <w:shd w:val="clear" w:color="auto" w:fill="auto"/>
          </w:tcPr>
          <w:p w14:paraId="2F8C8548" w14:textId="24B9603B" w:rsidR="00252F0C" w:rsidRPr="009D165E" w:rsidRDefault="00252F0C" w:rsidP="00252F0C">
            <w:pPr>
              <w:jc w:val="right"/>
              <w:rPr>
                <w:color w:val="000000" w:themeColor="text1"/>
                <w:sz w:val="14"/>
                <w:szCs w:val="14"/>
              </w:rPr>
            </w:pPr>
            <w:r w:rsidRPr="008F7D63">
              <w:rPr>
                <w:sz w:val="14"/>
                <w:szCs w:val="14"/>
              </w:rPr>
              <w:t>44</w:t>
            </w:r>
          </w:p>
        </w:tc>
        <w:tc>
          <w:tcPr>
            <w:tcW w:w="514" w:type="pct"/>
            <w:tcBorders>
              <w:top w:val="nil"/>
              <w:left w:val="nil"/>
              <w:bottom w:val="single" w:sz="4" w:space="0" w:color="auto"/>
              <w:right w:val="single" w:sz="4" w:space="0" w:color="auto"/>
            </w:tcBorders>
            <w:shd w:val="clear" w:color="auto" w:fill="auto"/>
          </w:tcPr>
          <w:p w14:paraId="3CE1E9C2" w14:textId="76AD782B" w:rsidR="00252F0C" w:rsidRPr="009D165E" w:rsidRDefault="00252F0C" w:rsidP="00252F0C">
            <w:pPr>
              <w:jc w:val="right"/>
              <w:rPr>
                <w:color w:val="000000" w:themeColor="text1"/>
                <w:sz w:val="14"/>
                <w:szCs w:val="14"/>
              </w:rPr>
            </w:pPr>
            <w:r w:rsidRPr="008F7D63">
              <w:rPr>
                <w:sz w:val="14"/>
                <w:szCs w:val="14"/>
              </w:rPr>
              <w:t xml:space="preserve"> $3,175 </w:t>
            </w:r>
          </w:p>
        </w:tc>
        <w:tc>
          <w:tcPr>
            <w:tcW w:w="446" w:type="pct"/>
            <w:tcBorders>
              <w:top w:val="nil"/>
              <w:left w:val="nil"/>
              <w:bottom w:val="single" w:sz="4" w:space="0" w:color="auto"/>
              <w:right w:val="single" w:sz="4" w:space="0" w:color="auto"/>
            </w:tcBorders>
            <w:shd w:val="clear" w:color="auto" w:fill="auto"/>
          </w:tcPr>
          <w:p w14:paraId="41D17FB5" w14:textId="77E8076C"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1D1D207E" w14:textId="1B71B98A" w:rsidR="00252F0C" w:rsidRPr="009D165E" w:rsidRDefault="00252F0C" w:rsidP="00252F0C">
            <w:pPr>
              <w:jc w:val="right"/>
              <w:rPr>
                <w:color w:val="000000" w:themeColor="text1"/>
                <w:sz w:val="14"/>
                <w:szCs w:val="14"/>
              </w:rPr>
            </w:pPr>
            <w:r w:rsidRPr="008F7D63">
              <w:rPr>
                <w:sz w:val="14"/>
                <w:szCs w:val="14"/>
              </w:rPr>
              <w:t xml:space="preserve"> $5,537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01743E2B" w14:textId="74E7ADFC" w:rsidR="00252F0C" w:rsidRPr="009D165E" w:rsidRDefault="00252F0C" w:rsidP="00252F0C">
            <w:pPr>
              <w:jc w:val="right"/>
              <w:rPr>
                <w:color w:val="000000" w:themeColor="text1"/>
                <w:sz w:val="14"/>
                <w:szCs w:val="14"/>
              </w:rPr>
            </w:pPr>
            <w:r w:rsidRPr="008F7D63">
              <w:rPr>
                <w:sz w:val="14"/>
                <w:szCs w:val="14"/>
              </w:rPr>
              <w:t xml:space="preserve"> $8,712 </w:t>
            </w:r>
          </w:p>
        </w:tc>
      </w:tr>
      <w:tr w:rsidR="00252F0C" w:rsidRPr="00C77927" w14:paraId="2D3CABA1"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2DDD51E" w14:textId="0119426B" w:rsidR="00252F0C" w:rsidRPr="00D25FC9" w:rsidRDefault="00252F0C" w:rsidP="00252F0C">
            <w:pPr>
              <w:rPr>
                <w:color w:val="000000" w:themeColor="text1"/>
                <w:sz w:val="14"/>
                <w:szCs w:val="14"/>
              </w:rPr>
            </w:pPr>
            <w:r w:rsidRPr="00D25FC9">
              <w:rPr>
                <w:color w:val="000000"/>
                <w:sz w:val="14"/>
                <w:szCs w:val="14"/>
              </w:rPr>
              <w:t xml:space="preserve">F. Aluminum Production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13459972" w14:textId="03F88BBB" w:rsidR="00252F0C" w:rsidRPr="009D165E" w:rsidRDefault="00252F0C" w:rsidP="00252F0C">
            <w:pPr>
              <w:jc w:val="right"/>
              <w:rPr>
                <w:color w:val="000000" w:themeColor="text1"/>
                <w:sz w:val="14"/>
                <w:szCs w:val="14"/>
              </w:rPr>
            </w:pPr>
            <w:r w:rsidRPr="008F7D63">
              <w:rPr>
                <w:sz w:val="14"/>
                <w:szCs w:val="14"/>
              </w:rPr>
              <w:t>7</w:t>
            </w:r>
          </w:p>
        </w:tc>
        <w:tc>
          <w:tcPr>
            <w:tcW w:w="465" w:type="pct"/>
            <w:tcBorders>
              <w:top w:val="nil"/>
              <w:left w:val="nil"/>
              <w:bottom w:val="single" w:sz="4" w:space="0" w:color="auto"/>
              <w:right w:val="single" w:sz="4" w:space="0" w:color="auto"/>
            </w:tcBorders>
            <w:shd w:val="clear" w:color="auto" w:fill="auto"/>
          </w:tcPr>
          <w:p w14:paraId="701C7112" w14:textId="3F0A6EF6" w:rsidR="00252F0C" w:rsidRPr="009D165E" w:rsidRDefault="006E729F" w:rsidP="00252F0C">
            <w:pPr>
              <w:jc w:val="right"/>
              <w:rPr>
                <w:color w:val="000000" w:themeColor="text1"/>
                <w:sz w:val="14"/>
                <w:szCs w:val="14"/>
              </w:rPr>
            </w:pPr>
            <w:r>
              <w:rPr>
                <w:sz w:val="14"/>
                <w:szCs w:val="14"/>
              </w:rPr>
              <w:t>23</w:t>
            </w:r>
          </w:p>
        </w:tc>
        <w:tc>
          <w:tcPr>
            <w:tcW w:w="406" w:type="pct"/>
            <w:tcBorders>
              <w:top w:val="nil"/>
              <w:left w:val="nil"/>
              <w:bottom w:val="single" w:sz="4" w:space="0" w:color="auto"/>
              <w:right w:val="single" w:sz="4" w:space="0" w:color="auto"/>
            </w:tcBorders>
            <w:shd w:val="clear" w:color="auto" w:fill="auto"/>
          </w:tcPr>
          <w:p w14:paraId="0E2ABB66" w14:textId="0E4FB8C0" w:rsidR="00252F0C" w:rsidRPr="00B40AFD" w:rsidRDefault="006E46F6" w:rsidP="00252F0C">
            <w:pPr>
              <w:jc w:val="right"/>
              <w:rPr>
                <w:color w:val="000000"/>
                <w:sz w:val="14"/>
                <w:szCs w:val="14"/>
              </w:rPr>
            </w:pPr>
            <w:r>
              <w:rPr>
                <w:sz w:val="14"/>
                <w:szCs w:val="14"/>
              </w:rPr>
              <w:t>161</w:t>
            </w:r>
          </w:p>
        </w:tc>
        <w:tc>
          <w:tcPr>
            <w:tcW w:w="515" w:type="pct"/>
            <w:tcBorders>
              <w:top w:val="nil"/>
              <w:left w:val="nil"/>
              <w:bottom w:val="single" w:sz="4" w:space="0" w:color="auto"/>
              <w:right w:val="single" w:sz="4" w:space="0" w:color="auto"/>
            </w:tcBorders>
            <w:shd w:val="clear" w:color="auto" w:fill="auto"/>
          </w:tcPr>
          <w:p w14:paraId="1058AEB4" w14:textId="61B3ACAF" w:rsidR="00252F0C" w:rsidRPr="009D165E" w:rsidRDefault="00252F0C" w:rsidP="00252F0C">
            <w:pPr>
              <w:jc w:val="right"/>
              <w:rPr>
                <w:color w:val="000000" w:themeColor="text1"/>
                <w:sz w:val="14"/>
                <w:szCs w:val="14"/>
              </w:rPr>
            </w:pPr>
            <w:r w:rsidRPr="008F7D63">
              <w:rPr>
                <w:sz w:val="14"/>
                <w:szCs w:val="14"/>
              </w:rPr>
              <w:t>446</w:t>
            </w:r>
          </w:p>
        </w:tc>
        <w:tc>
          <w:tcPr>
            <w:tcW w:w="514" w:type="pct"/>
            <w:tcBorders>
              <w:top w:val="nil"/>
              <w:left w:val="nil"/>
              <w:bottom w:val="single" w:sz="4" w:space="0" w:color="auto"/>
              <w:right w:val="single" w:sz="4" w:space="0" w:color="auto"/>
            </w:tcBorders>
            <w:shd w:val="clear" w:color="auto" w:fill="auto"/>
          </w:tcPr>
          <w:p w14:paraId="3532DBC0" w14:textId="44F4A943" w:rsidR="00252F0C" w:rsidRPr="009D165E" w:rsidRDefault="00252F0C" w:rsidP="00252F0C">
            <w:pPr>
              <w:jc w:val="right"/>
              <w:rPr>
                <w:color w:val="000000" w:themeColor="text1"/>
                <w:sz w:val="14"/>
                <w:szCs w:val="14"/>
              </w:rPr>
            </w:pPr>
            <w:r w:rsidRPr="008F7D63">
              <w:rPr>
                <w:sz w:val="14"/>
                <w:szCs w:val="14"/>
              </w:rPr>
              <w:t xml:space="preserve"> $32,463 </w:t>
            </w:r>
          </w:p>
        </w:tc>
        <w:tc>
          <w:tcPr>
            <w:tcW w:w="446" w:type="pct"/>
            <w:tcBorders>
              <w:top w:val="nil"/>
              <w:left w:val="nil"/>
              <w:bottom w:val="single" w:sz="4" w:space="0" w:color="auto"/>
              <w:right w:val="single" w:sz="4" w:space="0" w:color="auto"/>
            </w:tcBorders>
            <w:shd w:val="clear" w:color="auto" w:fill="auto"/>
          </w:tcPr>
          <w:p w14:paraId="7B251C9A" w14:textId="790E5A8F"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59C74790" w14:textId="36B51D61" w:rsidR="00252F0C" w:rsidRPr="009D165E" w:rsidRDefault="00252F0C" w:rsidP="00252F0C">
            <w:pPr>
              <w:jc w:val="right"/>
              <w:rPr>
                <w:color w:val="000000" w:themeColor="text1"/>
                <w:sz w:val="14"/>
                <w:szCs w:val="14"/>
              </w:rPr>
            </w:pPr>
            <w:r w:rsidRPr="008F7D63">
              <w:rPr>
                <w:sz w:val="14"/>
                <w:szCs w:val="14"/>
              </w:rPr>
              <w:t xml:space="preserve"> $4,048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D1156D3" w14:textId="5D34EEC6" w:rsidR="00252F0C" w:rsidRPr="009D165E" w:rsidRDefault="00252F0C" w:rsidP="00252F0C">
            <w:pPr>
              <w:jc w:val="right"/>
              <w:rPr>
                <w:color w:val="000000" w:themeColor="text1"/>
                <w:sz w:val="14"/>
                <w:szCs w:val="14"/>
              </w:rPr>
            </w:pPr>
            <w:r w:rsidRPr="008F7D63">
              <w:rPr>
                <w:sz w:val="14"/>
                <w:szCs w:val="14"/>
              </w:rPr>
              <w:t xml:space="preserve"> $36,511 </w:t>
            </w:r>
          </w:p>
        </w:tc>
      </w:tr>
      <w:tr w:rsidR="00252F0C" w:rsidRPr="00C77927" w14:paraId="3CD66BAC"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B910433" w14:textId="77F0324A" w:rsidR="00252F0C" w:rsidRPr="00D25FC9" w:rsidRDefault="00252F0C" w:rsidP="00252F0C">
            <w:pPr>
              <w:rPr>
                <w:color w:val="000000" w:themeColor="text1"/>
                <w:sz w:val="14"/>
                <w:szCs w:val="14"/>
              </w:rPr>
            </w:pPr>
            <w:r w:rsidRPr="00D25FC9">
              <w:rPr>
                <w:color w:val="000000"/>
                <w:sz w:val="14"/>
                <w:szCs w:val="14"/>
              </w:rPr>
              <w:t xml:space="preserve">G. Ammonia Manufacturing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555AE1A8" w14:textId="1F7F90A5" w:rsidR="00252F0C" w:rsidRPr="009D165E" w:rsidRDefault="00252F0C" w:rsidP="00252F0C">
            <w:pPr>
              <w:jc w:val="right"/>
              <w:rPr>
                <w:color w:val="000000" w:themeColor="text1"/>
                <w:sz w:val="14"/>
                <w:szCs w:val="14"/>
              </w:rPr>
            </w:pPr>
            <w:r w:rsidRPr="008F7D63">
              <w:rPr>
                <w:sz w:val="14"/>
                <w:szCs w:val="14"/>
              </w:rPr>
              <w:t>34</w:t>
            </w:r>
          </w:p>
        </w:tc>
        <w:tc>
          <w:tcPr>
            <w:tcW w:w="465" w:type="pct"/>
            <w:tcBorders>
              <w:top w:val="nil"/>
              <w:left w:val="nil"/>
              <w:bottom w:val="single" w:sz="4" w:space="0" w:color="auto"/>
              <w:right w:val="single" w:sz="4" w:space="0" w:color="auto"/>
            </w:tcBorders>
            <w:shd w:val="clear" w:color="auto" w:fill="auto"/>
          </w:tcPr>
          <w:p w14:paraId="1A8FCEAA" w14:textId="236F4803" w:rsidR="00252F0C" w:rsidRPr="009D165E" w:rsidRDefault="006E729F" w:rsidP="00252F0C">
            <w:pPr>
              <w:jc w:val="right"/>
              <w:rPr>
                <w:color w:val="000000" w:themeColor="text1"/>
                <w:sz w:val="14"/>
                <w:szCs w:val="14"/>
              </w:rPr>
            </w:pPr>
            <w:r>
              <w:rPr>
                <w:sz w:val="14"/>
                <w:szCs w:val="14"/>
              </w:rPr>
              <w:t>134</w:t>
            </w:r>
          </w:p>
        </w:tc>
        <w:tc>
          <w:tcPr>
            <w:tcW w:w="406" w:type="pct"/>
            <w:tcBorders>
              <w:top w:val="nil"/>
              <w:left w:val="nil"/>
              <w:bottom w:val="single" w:sz="4" w:space="0" w:color="auto"/>
              <w:right w:val="single" w:sz="4" w:space="0" w:color="auto"/>
            </w:tcBorders>
            <w:shd w:val="clear" w:color="auto" w:fill="auto"/>
          </w:tcPr>
          <w:p w14:paraId="19F80110" w14:textId="7F2A5FA5" w:rsidR="00252F0C" w:rsidRPr="00B40AFD" w:rsidRDefault="006E46F6" w:rsidP="00252F0C">
            <w:pPr>
              <w:jc w:val="right"/>
              <w:rPr>
                <w:color w:val="000000"/>
                <w:sz w:val="14"/>
                <w:szCs w:val="14"/>
              </w:rPr>
            </w:pPr>
            <w:r>
              <w:rPr>
                <w:sz w:val="14"/>
                <w:szCs w:val="14"/>
              </w:rPr>
              <w:t>4,556</w:t>
            </w:r>
          </w:p>
        </w:tc>
        <w:tc>
          <w:tcPr>
            <w:tcW w:w="515" w:type="pct"/>
            <w:tcBorders>
              <w:top w:val="nil"/>
              <w:left w:val="nil"/>
              <w:bottom w:val="single" w:sz="4" w:space="0" w:color="auto"/>
              <w:right w:val="single" w:sz="4" w:space="0" w:color="auto"/>
            </w:tcBorders>
            <w:shd w:val="clear" w:color="auto" w:fill="auto"/>
          </w:tcPr>
          <w:p w14:paraId="458C4F23" w14:textId="3CB29C3A" w:rsidR="00252F0C" w:rsidRPr="009D165E" w:rsidRDefault="00252F0C" w:rsidP="00252F0C">
            <w:pPr>
              <w:jc w:val="right"/>
              <w:rPr>
                <w:color w:val="000000" w:themeColor="text1"/>
                <w:sz w:val="14"/>
                <w:szCs w:val="14"/>
              </w:rPr>
            </w:pPr>
            <w:r w:rsidRPr="008F7D63">
              <w:rPr>
                <w:sz w:val="14"/>
                <w:szCs w:val="14"/>
              </w:rPr>
              <w:t>1,489</w:t>
            </w:r>
          </w:p>
        </w:tc>
        <w:tc>
          <w:tcPr>
            <w:tcW w:w="514" w:type="pct"/>
            <w:tcBorders>
              <w:top w:val="nil"/>
              <w:left w:val="nil"/>
              <w:bottom w:val="single" w:sz="4" w:space="0" w:color="auto"/>
              <w:right w:val="single" w:sz="4" w:space="0" w:color="auto"/>
            </w:tcBorders>
            <w:shd w:val="clear" w:color="auto" w:fill="auto"/>
          </w:tcPr>
          <w:p w14:paraId="32C4BE85" w14:textId="2B203BA2" w:rsidR="00252F0C" w:rsidRPr="009D165E" w:rsidRDefault="00252F0C" w:rsidP="00252F0C">
            <w:pPr>
              <w:jc w:val="right"/>
              <w:rPr>
                <w:color w:val="000000" w:themeColor="text1"/>
                <w:sz w:val="14"/>
                <w:szCs w:val="14"/>
              </w:rPr>
            </w:pPr>
            <w:r w:rsidRPr="008F7D63">
              <w:rPr>
                <w:sz w:val="14"/>
                <w:szCs w:val="14"/>
              </w:rPr>
              <w:t xml:space="preserve"> $106,666 </w:t>
            </w:r>
          </w:p>
        </w:tc>
        <w:tc>
          <w:tcPr>
            <w:tcW w:w="446" w:type="pct"/>
            <w:tcBorders>
              <w:top w:val="nil"/>
              <w:left w:val="nil"/>
              <w:bottom w:val="single" w:sz="4" w:space="0" w:color="auto"/>
              <w:right w:val="single" w:sz="4" w:space="0" w:color="auto"/>
            </w:tcBorders>
            <w:shd w:val="clear" w:color="auto" w:fill="auto"/>
          </w:tcPr>
          <w:p w14:paraId="40CDC5C4" w14:textId="0E9C722C"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3128B4B0" w14:textId="22D4BDEE" w:rsidR="00252F0C" w:rsidRPr="009D165E" w:rsidRDefault="00252F0C" w:rsidP="00252F0C">
            <w:pPr>
              <w:jc w:val="right"/>
              <w:rPr>
                <w:color w:val="000000" w:themeColor="text1"/>
                <w:sz w:val="14"/>
                <w:szCs w:val="14"/>
              </w:rPr>
            </w:pPr>
            <w:r w:rsidRPr="008F7D63">
              <w:rPr>
                <w:sz w:val="14"/>
                <w:szCs w:val="14"/>
              </w:rPr>
              <w:t xml:space="preserve"> $167,700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01A89E88" w14:textId="568712ED" w:rsidR="00252F0C" w:rsidRPr="009D165E" w:rsidRDefault="00252F0C" w:rsidP="00252F0C">
            <w:pPr>
              <w:jc w:val="right"/>
              <w:rPr>
                <w:color w:val="000000" w:themeColor="text1"/>
                <w:sz w:val="14"/>
                <w:szCs w:val="14"/>
              </w:rPr>
            </w:pPr>
            <w:r w:rsidRPr="008F7D63">
              <w:rPr>
                <w:sz w:val="14"/>
                <w:szCs w:val="14"/>
              </w:rPr>
              <w:t xml:space="preserve"> $274,366 </w:t>
            </w:r>
          </w:p>
        </w:tc>
      </w:tr>
      <w:tr w:rsidR="00252F0C" w:rsidRPr="00C77927" w14:paraId="3EABF127"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8ED7C08" w14:textId="51D05C5D" w:rsidR="00252F0C" w:rsidRPr="00D25FC9" w:rsidRDefault="00252F0C" w:rsidP="00252F0C">
            <w:pPr>
              <w:rPr>
                <w:color w:val="000000" w:themeColor="text1"/>
                <w:sz w:val="14"/>
                <w:szCs w:val="14"/>
              </w:rPr>
            </w:pPr>
            <w:r w:rsidRPr="00D25FC9">
              <w:rPr>
                <w:color w:val="000000"/>
                <w:sz w:val="14"/>
                <w:szCs w:val="14"/>
              </w:rPr>
              <w:t xml:space="preserve">H. Cement Production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19BBF5FB" w14:textId="0BBDFEBC" w:rsidR="00252F0C" w:rsidRPr="009D165E" w:rsidRDefault="00252F0C" w:rsidP="00252F0C">
            <w:pPr>
              <w:jc w:val="right"/>
              <w:rPr>
                <w:color w:val="000000" w:themeColor="text1"/>
                <w:sz w:val="14"/>
                <w:szCs w:val="14"/>
              </w:rPr>
            </w:pPr>
            <w:r w:rsidRPr="008F7D63">
              <w:rPr>
                <w:sz w:val="14"/>
                <w:szCs w:val="14"/>
              </w:rPr>
              <w:t>94</w:t>
            </w:r>
          </w:p>
        </w:tc>
        <w:tc>
          <w:tcPr>
            <w:tcW w:w="465" w:type="pct"/>
            <w:tcBorders>
              <w:top w:val="nil"/>
              <w:left w:val="nil"/>
              <w:bottom w:val="single" w:sz="4" w:space="0" w:color="auto"/>
              <w:right w:val="single" w:sz="4" w:space="0" w:color="auto"/>
            </w:tcBorders>
            <w:shd w:val="clear" w:color="auto" w:fill="auto"/>
          </w:tcPr>
          <w:p w14:paraId="5AD86510" w14:textId="17A444DD" w:rsidR="00252F0C" w:rsidRPr="009D165E" w:rsidRDefault="006E729F" w:rsidP="00252F0C">
            <w:pPr>
              <w:jc w:val="right"/>
              <w:rPr>
                <w:color w:val="000000" w:themeColor="text1"/>
                <w:sz w:val="14"/>
                <w:szCs w:val="14"/>
              </w:rPr>
            </w:pPr>
            <w:r>
              <w:rPr>
                <w:sz w:val="14"/>
                <w:szCs w:val="14"/>
              </w:rPr>
              <w:t>112</w:t>
            </w:r>
          </w:p>
        </w:tc>
        <w:tc>
          <w:tcPr>
            <w:tcW w:w="406" w:type="pct"/>
            <w:tcBorders>
              <w:top w:val="nil"/>
              <w:left w:val="nil"/>
              <w:bottom w:val="single" w:sz="4" w:space="0" w:color="auto"/>
              <w:right w:val="single" w:sz="4" w:space="0" w:color="auto"/>
            </w:tcBorders>
            <w:shd w:val="clear" w:color="auto" w:fill="auto"/>
          </w:tcPr>
          <w:p w14:paraId="3AAA1092" w14:textId="13F298F2" w:rsidR="00252F0C" w:rsidRPr="00B40AFD" w:rsidRDefault="006E46F6" w:rsidP="00252F0C">
            <w:pPr>
              <w:jc w:val="right"/>
              <w:rPr>
                <w:color w:val="000000"/>
                <w:sz w:val="14"/>
                <w:szCs w:val="14"/>
              </w:rPr>
            </w:pPr>
            <w:r>
              <w:rPr>
                <w:sz w:val="14"/>
                <w:szCs w:val="14"/>
              </w:rPr>
              <w:t>10,528</w:t>
            </w:r>
          </w:p>
        </w:tc>
        <w:tc>
          <w:tcPr>
            <w:tcW w:w="515" w:type="pct"/>
            <w:tcBorders>
              <w:top w:val="nil"/>
              <w:left w:val="nil"/>
              <w:bottom w:val="single" w:sz="4" w:space="0" w:color="auto"/>
              <w:right w:val="single" w:sz="4" w:space="0" w:color="auto"/>
            </w:tcBorders>
            <w:shd w:val="clear" w:color="auto" w:fill="auto"/>
          </w:tcPr>
          <w:p w14:paraId="6C17B9C0" w14:textId="1C4DCE66" w:rsidR="00252F0C" w:rsidRPr="009D165E" w:rsidRDefault="00252F0C" w:rsidP="00252F0C">
            <w:pPr>
              <w:jc w:val="right"/>
              <w:rPr>
                <w:color w:val="000000" w:themeColor="text1"/>
                <w:sz w:val="14"/>
                <w:szCs w:val="14"/>
              </w:rPr>
            </w:pPr>
            <w:r w:rsidRPr="008F7D63">
              <w:rPr>
                <w:sz w:val="14"/>
                <w:szCs w:val="14"/>
              </w:rPr>
              <w:t>2,280</w:t>
            </w:r>
          </w:p>
        </w:tc>
        <w:tc>
          <w:tcPr>
            <w:tcW w:w="514" w:type="pct"/>
            <w:tcBorders>
              <w:top w:val="nil"/>
              <w:left w:val="nil"/>
              <w:bottom w:val="single" w:sz="4" w:space="0" w:color="auto"/>
              <w:right w:val="single" w:sz="4" w:space="0" w:color="auto"/>
            </w:tcBorders>
            <w:shd w:val="clear" w:color="auto" w:fill="auto"/>
          </w:tcPr>
          <w:p w14:paraId="653DFA5A" w14:textId="6FF3E2CA" w:rsidR="00252F0C" w:rsidRPr="009D165E" w:rsidRDefault="00252F0C" w:rsidP="00252F0C">
            <w:pPr>
              <w:jc w:val="right"/>
              <w:rPr>
                <w:color w:val="000000" w:themeColor="text1"/>
                <w:sz w:val="14"/>
                <w:szCs w:val="14"/>
              </w:rPr>
            </w:pPr>
            <w:r w:rsidRPr="008F7D63">
              <w:rPr>
                <w:sz w:val="14"/>
                <w:szCs w:val="14"/>
              </w:rPr>
              <w:t xml:space="preserve"> $156,018 </w:t>
            </w:r>
          </w:p>
        </w:tc>
        <w:tc>
          <w:tcPr>
            <w:tcW w:w="446" w:type="pct"/>
            <w:tcBorders>
              <w:top w:val="nil"/>
              <w:left w:val="nil"/>
              <w:bottom w:val="single" w:sz="4" w:space="0" w:color="auto"/>
              <w:right w:val="single" w:sz="4" w:space="0" w:color="auto"/>
            </w:tcBorders>
            <w:shd w:val="clear" w:color="auto" w:fill="auto"/>
          </w:tcPr>
          <w:p w14:paraId="15BA356D" w14:textId="7A504103"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23A04B33" w14:textId="73DB0400" w:rsidR="00252F0C" w:rsidRPr="009D165E" w:rsidRDefault="00252F0C" w:rsidP="00252F0C">
            <w:pPr>
              <w:jc w:val="right"/>
              <w:rPr>
                <w:color w:val="000000" w:themeColor="text1"/>
                <w:sz w:val="14"/>
                <w:szCs w:val="14"/>
              </w:rPr>
            </w:pPr>
            <w:r w:rsidRPr="008F7D63">
              <w:rPr>
                <w:sz w:val="14"/>
                <w:szCs w:val="14"/>
              </w:rPr>
              <w:t xml:space="preserve"> $4,700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5771AAA2" w14:textId="34357434" w:rsidR="00252F0C" w:rsidRPr="009D165E" w:rsidRDefault="00252F0C" w:rsidP="00252F0C">
            <w:pPr>
              <w:jc w:val="right"/>
              <w:rPr>
                <w:color w:val="000000" w:themeColor="text1"/>
                <w:sz w:val="14"/>
                <w:szCs w:val="14"/>
              </w:rPr>
            </w:pPr>
            <w:r w:rsidRPr="008F7D63">
              <w:rPr>
                <w:sz w:val="14"/>
                <w:szCs w:val="14"/>
              </w:rPr>
              <w:t xml:space="preserve"> $160,718 </w:t>
            </w:r>
          </w:p>
        </w:tc>
      </w:tr>
      <w:tr w:rsidR="00252F0C" w:rsidRPr="00C77927" w14:paraId="43B83F35"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54F3903" w14:textId="22CCA634" w:rsidR="00252F0C" w:rsidRPr="00D25FC9" w:rsidRDefault="00252F0C" w:rsidP="00252F0C">
            <w:pPr>
              <w:rPr>
                <w:color w:val="000000" w:themeColor="text1"/>
                <w:sz w:val="14"/>
                <w:szCs w:val="14"/>
              </w:rPr>
            </w:pPr>
            <w:r w:rsidRPr="00D25FC9">
              <w:rPr>
                <w:color w:val="000000"/>
                <w:sz w:val="14"/>
                <w:szCs w:val="14"/>
              </w:rPr>
              <w:t xml:space="preserve">I. Electronics Manufacturing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2B4B0BBF" w14:textId="43238A82" w:rsidR="00252F0C" w:rsidRPr="009D165E" w:rsidRDefault="00252F0C" w:rsidP="00252F0C">
            <w:pPr>
              <w:jc w:val="right"/>
              <w:rPr>
                <w:color w:val="000000" w:themeColor="text1"/>
                <w:sz w:val="14"/>
                <w:szCs w:val="14"/>
              </w:rPr>
            </w:pPr>
            <w:r w:rsidRPr="008F7D63">
              <w:rPr>
                <w:sz w:val="14"/>
                <w:szCs w:val="14"/>
              </w:rPr>
              <w:t>55</w:t>
            </w:r>
          </w:p>
        </w:tc>
        <w:tc>
          <w:tcPr>
            <w:tcW w:w="465" w:type="pct"/>
            <w:tcBorders>
              <w:top w:val="nil"/>
              <w:left w:val="nil"/>
              <w:bottom w:val="single" w:sz="4" w:space="0" w:color="auto"/>
              <w:right w:val="single" w:sz="4" w:space="0" w:color="auto"/>
            </w:tcBorders>
            <w:shd w:val="clear" w:color="auto" w:fill="auto"/>
          </w:tcPr>
          <w:p w14:paraId="790E6830" w14:textId="5CE23A67" w:rsidR="00252F0C" w:rsidRPr="009D165E" w:rsidRDefault="006E729F" w:rsidP="00252F0C">
            <w:pPr>
              <w:jc w:val="right"/>
              <w:rPr>
                <w:color w:val="000000" w:themeColor="text1"/>
                <w:sz w:val="14"/>
                <w:szCs w:val="14"/>
              </w:rPr>
            </w:pPr>
            <w:r>
              <w:rPr>
                <w:sz w:val="14"/>
                <w:szCs w:val="14"/>
              </w:rPr>
              <w:t>379</w:t>
            </w:r>
          </w:p>
        </w:tc>
        <w:tc>
          <w:tcPr>
            <w:tcW w:w="406" w:type="pct"/>
            <w:tcBorders>
              <w:top w:val="nil"/>
              <w:left w:val="nil"/>
              <w:bottom w:val="single" w:sz="4" w:space="0" w:color="auto"/>
              <w:right w:val="single" w:sz="4" w:space="0" w:color="auto"/>
            </w:tcBorders>
            <w:shd w:val="clear" w:color="auto" w:fill="auto"/>
          </w:tcPr>
          <w:p w14:paraId="38BFF66B" w14:textId="6DE76DFD" w:rsidR="00252F0C" w:rsidRPr="00B40AFD" w:rsidRDefault="006E46F6" w:rsidP="00252F0C">
            <w:pPr>
              <w:jc w:val="right"/>
              <w:rPr>
                <w:color w:val="000000"/>
                <w:sz w:val="14"/>
                <w:szCs w:val="14"/>
              </w:rPr>
            </w:pPr>
            <w:r>
              <w:rPr>
                <w:sz w:val="14"/>
                <w:szCs w:val="14"/>
              </w:rPr>
              <w:t>20,845</w:t>
            </w:r>
          </w:p>
        </w:tc>
        <w:tc>
          <w:tcPr>
            <w:tcW w:w="515" w:type="pct"/>
            <w:tcBorders>
              <w:top w:val="nil"/>
              <w:left w:val="nil"/>
              <w:bottom w:val="single" w:sz="4" w:space="0" w:color="auto"/>
              <w:right w:val="single" w:sz="4" w:space="0" w:color="auto"/>
            </w:tcBorders>
            <w:shd w:val="clear" w:color="auto" w:fill="auto"/>
          </w:tcPr>
          <w:p w14:paraId="0AB544DC" w14:textId="00B423DC" w:rsidR="00252F0C" w:rsidRPr="009D165E" w:rsidRDefault="00252F0C" w:rsidP="00252F0C">
            <w:pPr>
              <w:jc w:val="right"/>
              <w:rPr>
                <w:color w:val="000000" w:themeColor="text1"/>
                <w:sz w:val="14"/>
                <w:szCs w:val="14"/>
              </w:rPr>
            </w:pPr>
            <w:r w:rsidRPr="008F7D63">
              <w:rPr>
                <w:sz w:val="14"/>
                <w:szCs w:val="14"/>
              </w:rPr>
              <w:t>13,140</w:t>
            </w:r>
          </w:p>
        </w:tc>
        <w:tc>
          <w:tcPr>
            <w:tcW w:w="514" w:type="pct"/>
            <w:tcBorders>
              <w:top w:val="nil"/>
              <w:left w:val="nil"/>
              <w:bottom w:val="single" w:sz="4" w:space="0" w:color="auto"/>
              <w:right w:val="single" w:sz="4" w:space="0" w:color="auto"/>
            </w:tcBorders>
            <w:shd w:val="clear" w:color="auto" w:fill="auto"/>
          </w:tcPr>
          <w:p w14:paraId="671F62B1" w14:textId="19D06DF0" w:rsidR="00252F0C" w:rsidRPr="009D165E" w:rsidRDefault="00252F0C" w:rsidP="00252F0C">
            <w:pPr>
              <w:jc w:val="right"/>
              <w:rPr>
                <w:color w:val="000000" w:themeColor="text1"/>
                <w:sz w:val="14"/>
                <w:szCs w:val="14"/>
              </w:rPr>
            </w:pPr>
            <w:r w:rsidRPr="008F7D63">
              <w:rPr>
                <w:sz w:val="14"/>
                <w:szCs w:val="14"/>
              </w:rPr>
              <w:t xml:space="preserve"> $935,831 </w:t>
            </w:r>
          </w:p>
        </w:tc>
        <w:tc>
          <w:tcPr>
            <w:tcW w:w="446" w:type="pct"/>
            <w:tcBorders>
              <w:top w:val="nil"/>
              <w:left w:val="nil"/>
              <w:bottom w:val="single" w:sz="4" w:space="0" w:color="auto"/>
              <w:right w:val="single" w:sz="4" w:space="0" w:color="auto"/>
            </w:tcBorders>
            <w:shd w:val="clear" w:color="auto" w:fill="auto"/>
          </w:tcPr>
          <w:p w14:paraId="3A1A1809" w14:textId="6C1660CF"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1618F527" w14:textId="318CDBA0" w:rsidR="00252F0C" w:rsidRPr="009D165E" w:rsidRDefault="00252F0C" w:rsidP="00252F0C">
            <w:pPr>
              <w:jc w:val="right"/>
              <w:rPr>
                <w:color w:val="000000" w:themeColor="text1"/>
                <w:sz w:val="14"/>
                <w:szCs w:val="14"/>
              </w:rPr>
            </w:pPr>
            <w:r w:rsidRPr="008F7D63">
              <w:rPr>
                <w:sz w:val="14"/>
                <w:szCs w:val="14"/>
              </w:rPr>
              <w:t xml:space="preserve"> $224,576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56819183" w14:textId="03D25315" w:rsidR="00252F0C" w:rsidRPr="009D165E" w:rsidRDefault="00252F0C" w:rsidP="00252F0C">
            <w:pPr>
              <w:jc w:val="right"/>
              <w:rPr>
                <w:color w:val="000000" w:themeColor="text1"/>
                <w:sz w:val="14"/>
                <w:szCs w:val="14"/>
              </w:rPr>
            </w:pPr>
            <w:r w:rsidRPr="008F7D63">
              <w:rPr>
                <w:sz w:val="14"/>
                <w:szCs w:val="14"/>
              </w:rPr>
              <w:t xml:space="preserve"> $1,160,407 </w:t>
            </w:r>
          </w:p>
        </w:tc>
      </w:tr>
      <w:tr w:rsidR="00252F0C" w:rsidRPr="00C77927" w14:paraId="350E0B8A"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E5DAE52" w14:textId="426B4211" w:rsidR="00252F0C" w:rsidRPr="00D25FC9" w:rsidRDefault="00252F0C" w:rsidP="00252F0C">
            <w:pPr>
              <w:rPr>
                <w:color w:val="000000" w:themeColor="text1"/>
                <w:sz w:val="14"/>
                <w:szCs w:val="14"/>
              </w:rPr>
            </w:pPr>
            <w:r w:rsidRPr="00D25FC9">
              <w:rPr>
                <w:color w:val="000000"/>
                <w:sz w:val="14"/>
                <w:szCs w:val="14"/>
              </w:rPr>
              <w:t xml:space="preserve">K. Ferroalloy Production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3AF54001" w14:textId="000DEAFE" w:rsidR="00252F0C" w:rsidRPr="009D165E" w:rsidRDefault="00252F0C" w:rsidP="00252F0C">
            <w:pPr>
              <w:jc w:val="right"/>
              <w:rPr>
                <w:color w:val="000000" w:themeColor="text1"/>
                <w:sz w:val="14"/>
                <w:szCs w:val="14"/>
              </w:rPr>
            </w:pPr>
            <w:r w:rsidRPr="008F7D63">
              <w:rPr>
                <w:sz w:val="14"/>
                <w:szCs w:val="14"/>
              </w:rPr>
              <w:t>10</w:t>
            </w:r>
          </w:p>
        </w:tc>
        <w:tc>
          <w:tcPr>
            <w:tcW w:w="465" w:type="pct"/>
            <w:tcBorders>
              <w:top w:val="nil"/>
              <w:left w:val="nil"/>
              <w:bottom w:val="single" w:sz="4" w:space="0" w:color="auto"/>
              <w:right w:val="single" w:sz="4" w:space="0" w:color="auto"/>
            </w:tcBorders>
            <w:shd w:val="clear" w:color="auto" w:fill="auto"/>
          </w:tcPr>
          <w:p w14:paraId="6DA53363" w14:textId="62736451" w:rsidR="00252F0C" w:rsidRPr="009D165E" w:rsidRDefault="006E729F" w:rsidP="00252F0C">
            <w:pPr>
              <w:jc w:val="right"/>
              <w:rPr>
                <w:color w:val="000000" w:themeColor="text1"/>
                <w:sz w:val="14"/>
                <w:szCs w:val="14"/>
              </w:rPr>
            </w:pPr>
            <w:r>
              <w:rPr>
                <w:sz w:val="14"/>
                <w:szCs w:val="14"/>
              </w:rPr>
              <w:t>179</w:t>
            </w:r>
          </w:p>
        </w:tc>
        <w:tc>
          <w:tcPr>
            <w:tcW w:w="406" w:type="pct"/>
            <w:tcBorders>
              <w:top w:val="nil"/>
              <w:left w:val="nil"/>
              <w:bottom w:val="single" w:sz="4" w:space="0" w:color="auto"/>
              <w:right w:val="single" w:sz="4" w:space="0" w:color="auto"/>
            </w:tcBorders>
            <w:shd w:val="clear" w:color="auto" w:fill="auto"/>
          </w:tcPr>
          <w:p w14:paraId="75B152AD" w14:textId="7FDC565B" w:rsidR="00252F0C" w:rsidRPr="00B40AFD" w:rsidRDefault="006E46F6" w:rsidP="00252F0C">
            <w:pPr>
              <w:jc w:val="right"/>
              <w:rPr>
                <w:color w:val="000000"/>
                <w:sz w:val="14"/>
                <w:szCs w:val="14"/>
              </w:rPr>
            </w:pPr>
            <w:r>
              <w:rPr>
                <w:sz w:val="14"/>
                <w:szCs w:val="14"/>
              </w:rPr>
              <w:t>1,790</w:t>
            </w:r>
          </w:p>
        </w:tc>
        <w:tc>
          <w:tcPr>
            <w:tcW w:w="515" w:type="pct"/>
            <w:tcBorders>
              <w:top w:val="nil"/>
              <w:left w:val="nil"/>
              <w:bottom w:val="single" w:sz="4" w:space="0" w:color="auto"/>
              <w:right w:val="single" w:sz="4" w:space="0" w:color="auto"/>
            </w:tcBorders>
            <w:shd w:val="clear" w:color="auto" w:fill="auto"/>
          </w:tcPr>
          <w:p w14:paraId="43355A7C" w14:textId="6E019D24" w:rsidR="00252F0C" w:rsidRPr="009D165E" w:rsidRDefault="00252F0C" w:rsidP="00252F0C">
            <w:pPr>
              <w:jc w:val="right"/>
              <w:rPr>
                <w:color w:val="000000" w:themeColor="text1"/>
                <w:sz w:val="14"/>
                <w:szCs w:val="14"/>
              </w:rPr>
            </w:pPr>
            <w:r w:rsidRPr="008F7D63">
              <w:rPr>
                <w:sz w:val="14"/>
                <w:szCs w:val="14"/>
              </w:rPr>
              <w:t>396</w:t>
            </w:r>
          </w:p>
        </w:tc>
        <w:tc>
          <w:tcPr>
            <w:tcW w:w="514" w:type="pct"/>
            <w:tcBorders>
              <w:top w:val="nil"/>
              <w:left w:val="nil"/>
              <w:bottom w:val="single" w:sz="4" w:space="0" w:color="auto"/>
              <w:right w:val="single" w:sz="4" w:space="0" w:color="auto"/>
            </w:tcBorders>
            <w:shd w:val="clear" w:color="auto" w:fill="auto"/>
          </w:tcPr>
          <w:p w14:paraId="70DD1618" w14:textId="4EF66A15" w:rsidR="00252F0C" w:rsidRPr="009D165E" w:rsidRDefault="00252F0C" w:rsidP="00252F0C">
            <w:pPr>
              <w:jc w:val="right"/>
              <w:rPr>
                <w:color w:val="000000" w:themeColor="text1"/>
                <w:sz w:val="14"/>
                <w:szCs w:val="14"/>
              </w:rPr>
            </w:pPr>
            <w:r w:rsidRPr="008F7D63">
              <w:rPr>
                <w:sz w:val="14"/>
                <w:szCs w:val="14"/>
              </w:rPr>
              <w:t xml:space="preserve"> $28,760 </w:t>
            </w:r>
          </w:p>
        </w:tc>
        <w:tc>
          <w:tcPr>
            <w:tcW w:w="446" w:type="pct"/>
            <w:tcBorders>
              <w:top w:val="nil"/>
              <w:left w:val="nil"/>
              <w:bottom w:val="single" w:sz="4" w:space="0" w:color="auto"/>
              <w:right w:val="single" w:sz="4" w:space="0" w:color="auto"/>
            </w:tcBorders>
            <w:shd w:val="clear" w:color="auto" w:fill="auto"/>
          </w:tcPr>
          <w:p w14:paraId="6CA588C2" w14:textId="5E509925"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p>
        </w:tc>
        <w:tc>
          <w:tcPr>
            <w:tcW w:w="514" w:type="pct"/>
            <w:tcBorders>
              <w:top w:val="nil"/>
              <w:left w:val="nil"/>
              <w:bottom w:val="single" w:sz="4" w:space="0" w:color="auto"/>
              <w:right w:val="single" w:sz="4" w:space="0" w:color="auto"/>
            </w:tcBorders>
            <w:shd w:val="clear" w:color="auto" w:fill="auto"/>
          </w:tcPr>
          <w:p w14:paraId="257C6600" w14:textId="55100166" w:rsidR="00252F0C" w:rsidRPr="009D165E" w:rsidRDefault="00252F0C" w:rsidP="00252F0C">
            <w:pPr>
              <w:jc w:val="right"/>
              <w:rPr>
                <w:color w:val="000000" w:themeColor="text1"/>
                <w:sz w:val="14"/>
                <w:szCs w:val="14"/>
              </w:rPr>
            </w:pPr>
            <w:r w:rsidRPr="008F7D63">
              <w:rPr>
                <w:sz w:val="14"/>
                <w:szCs w:val="14"/>
              </w:rPr>
              <w:t xml:space="preserve"> $500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061DAA7" w14:textId="6212818A" w:rsidR="00252F0C" w:rsidRPr="009D165E" w:rsidRDefault="00252F0C" w:rsidP="00252F0C">
            <w:pPr>
              <w:jc w:val="right"/>
              <w:rPr>
                <w:color w:val="000000" w:themeColor="text1"/>
                <w:sz w:val="14"/>
                <w:szCs w:val="14"/>
              </w:rPr>
            </w:pPr>
            <w:r w:rsidRPr="008F7D63">
              <w:rPr>
                <w:sz w:val="14"/>
                <w:szCs w:val="14"/>
              </w:rPr>
              <w:t xml:space="preserve"> $29,260 </w:t>
            </w:r>
          </w:p>
        </w:tc>
      </w:tr>
      <w:tr w:rsidR="00252F0C" w:rsidRPr="00C77927" w14:paraId="26F82880"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76DD82EC" w14:textId="56FA06E4" w:rsidR="00252F0C" w:rsidRPr="00D25FC9" w:rsidRDefault="00252F0C" w:rsidP="00252F0C">
            <w:pPr>
              <w:rPr>
                <w:color w:val="000000" w:themeColor="text1"/>
                <w:sz w:val="14"/>
                <w:szCs w:val="14"/>
              </w:rPr>
            </w:pPr>
            <w:r w:rsidRPr="00D25FC9">
              <w:rPr>
                <w:color w:val="000000"/>
                <w:sz w:val="14"/>
                <w:szCs w:val="14"/>
              </w:rPr>
              <w:t>L. Fluorinated Gas Prod</w:t>
            </w:r>
            <w:r>
              <w:rPr>
                <w:color w:val="000000"/>
                <w:sz w:val="14"/>
                <w:szCs w:val="14"/>
              </w:rPr>
              <w:t>uction</w:t>
            </w:r>
            <w:r w:rsidRPr="00D25FC9">
              <w:rPr>
                <w:color w:val="000000"/>
                <w:sz w:val="14"/>
                <w:szCs w:val="14"/>
              </w:rPr>
              <w:t xml:space="preserve">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2AF4971D" w14:textId="5DAF2245" w:rsidR="00252F0C" w:rsidRPr="009D165E" w:rsidRDefault="00252F0C" w:rsidP="00252F0C">
            <w:pPr>
              <w:jc w:val="right"/>
              <w:rPr>
                <w:color w:val="000000" w:themeColor="text1"/>
                <w:sz w:val="14"/>
                <w:szCs w:val="14"/>
              </w:rPr>
            </w:pPr>
            <w:r w:rsidRPr="008F7D63">
              <w:rPr>
                <w:sz w:val="14"/>
                <w:szCs w:val="14"/>
              </w:rPr>
              <w:t>14</w:t>
            </w:r>
          </w:p>
        </w:tc>
        <w:tc>
          <w:tcPr>
            <w:tcW w:w="465" w:type="pct"/>
            <w:tcBorders>
              <w:top w:val="nil"/>
              <w:left w:val="nil"/>
              <w:bottom w:val="single" w:sz="4" w:space="0" w:color="auto"/>
              <w:right w:val="single" w:sz="4" w:space="0" w:color="auto"/>
            </w:tcBorders>
            <w:shd w:val="clear" w:color="auto" w:fill="auto"/>
          </w:tcPr>
          <w:p w14:paraId="04560549" w14:textId="42E9E695" w:rsidR="00252F0C" w:rsidRPr="009D165E" w:rsidRDefault="006E729F" w:rsidP="00252F0C">
            <w:pPr>
              <w:jc w:val="right"/>
              <w:rPr>
                <w:color w:val="000000" w:themeColor="text1"/>
                <w:sz w:val="14"/>
                <w:szCs w:val="14"/>
              </w:rPr>
            </w:pPr>
            <w:r>
              <w:rPr>
                <w:sz w:val="14"/>
                <w:szCs w:val="14"/>
              </w:rPr>
              <w:t>363</w:t>
            </w:r>
          </w:p>
        </w:tc>
        <w:tc>
          <w:tcPr>
            <w:tcW w:w="406" w:type="pct"/>
            <w:tcBorders>
              <w:top w:val="nil"/>
              <w:left w:val="nil"/>
              <w:bottom w:val="single" w:sz="4" w:space="0" w:color="auto"/>
              <w:right w:val="single" w:sz="4" w:space="0" w:color="auto"/>
            </w:tcBorders>
            <w:shd w:val="clear" w:color="auto" w:fill="auto"/>
          </w:tcPr>
          <w:p w14:paraId="73157B83" w14:textId="223FAFFB" w:rsidR="00252F0C" w:rsidRPr="00B40AFD" w:rsidRDefault="006E46F6" w:rsidP="00252F0C">
            <w:pPr>
              <w:jc w:val="right"/>
              <w:rPr>
                <w:color w:val="000000"/>
                <w:sz w:val="14"/>
                <w:szCs w:val="14"/>
              </w:rPr>
            </w:pPr>
            <w:r>
              <w:rPr>
                <w:sz w:val="14"/>
                <w:szCs w:val="14"/>
              </w:rPr>
              <w:t>5,082</w:t>
            </w:r>
          </w:p>
        </w:tc>
        <w:tc>
          <w:tcPr>
            <w:tcW w:w="515" w:type="pct"/>
            <w:tcBorders>
              <w:top w:val="nil"/>
              <w:left w:val="nil"/>
              <w:bottom w:val="single" w:sz="4" w:space="0" w:color="auto"/>
              <w:right w:val="single" w:sz="4" w:space="0" w:color="auto"/>
            </w:tcBorders>
            <w:shd w:val="clear" w:color="auto" w:fill="auto"/>
          </w:tcPr>
          <w:p w14:paraId="0C839625" w14:textId="781EB1D6" w:rsidR="00252F0C" w:rsidRPr="009D165E" w:rsidRDefault="00252F0C" w:rsidP="00252F0C">
            <w:pPr>
              <w:jc w:val="right"/>
              <w:rPr>
                <w:color w:val="000000" w:themeColor="text1"/>
                <w:sz w:val="14"/>
                <w:szCs w:val="14"/>
              </w:rPr>
            </w:pPr>
            <w:r w:rsidRPr="008F7D63">
              <w:rPr>
                <w:sz w:val="14"/>
                <w:szCs w:val="14"/>
              </w:rPr>
              <w:t>11,755</w:t>
            </w:r>
          </w:p>
        </w:tc>
        <w:tc>
          <w:tcPr>
            <w:tcW w:w="514" w:type="pct"/>
            <w:tcBorders>
              <w:top w:val="nil"/>
              <w:left w:val="nil"/>
              <w:bottom w:val="single" w:sz="4" w:space="0" w:color="auto"/>
              <w:right w:val="single" w:sz="4" w:space="0" w:color="auto"/>
            </w:tcBorders>
            <w:shd w:val="clear" w:color="auto" w:fill="auto"/>
          </w:tcPr>
          <w:p w14:paraId="2F23CA1B" w14:textId="4C996936" w:rsidR="00252F0C" w:rsidRPr="009D165E" w:rsidRDefault="00252F0C" w:rsidP="00252F0C">
            <w:pPr>
              <w:jc w:val="right"/>
              <w:rPr>
                <w:color w:val="000000" w:themeColor="text1"/>
                <w:sz w:val="14"/>
                <w:szCs w:val="14"/>
              </w:rPr>
            </w:pPr>
            <w:r w:rsidRPr="008F7D63">
              <w:rPr>
                <w:sz w:val="14"/>
                <w:szCs w:val="14"/>
              </w:rPr>
              <w:t xml:space="preserve"> $817,591 </w:t>
            </w:r>
          </w:p>
        </w:tc>
        <w:tc>
          <w:tcPr>
            <w:tcW w:w="446" w:type="pct"/>
            <w:tcBorders>
              <w:top w:val="nil"/>
              <w:left w:val="nil"/>
              <w:bottom w:val="single" w:sz="4" w:space="0" w:color="auto"/>
              <w:right w:val="single" w:sz="4" w:space="0" w:color="auto"/>
            </w:tcBorders>
            <w:shd w:val="clear" w:color="auto" w:fill="auto"/>
          </w:tcPr>
          <w:p w14:paraId="0B0D3E49" w14:textId="10640997" w:rsidR="00252F0C" w:rsidRPr="009D165E" w:rsidRDefault="00252F0C" w:rsidP="00252F0C">
            <w:pPr>
              <w:jc w:val="right"/>
              <w:rPr>
                <w:color w:val="000000" w:themeColor="text1"/>
                <w:sz w:val="14"/>
                <w:szCs w:val="14"/>
              </w:rPr>
            </w:pPr>
            <w:r w:rsidRPr="00635746">
              <w:rPr>
                <w:sz w:val="14"/>
                <w:szCs w:val="14"/>
              </w:rPr>
              <w:t>$</w:t>
            </w:r>
            <w:r>
              <w:rPr>
                <w:sz w:val="14"/>
                <w:szCs w:val="14"/>
              </w:rPr>
              <w:t>0</w:t>
            </w:r>
          </w:p>
        </w:tc>
        <w:tc>
          <w:tcPr>
            <w:tcW w:w="514" w:type="pct"/>
            <w:tcBorders>
              <w:top w:val="nil"/>
              <w:left w:val="nil"/>
              <w:bottom w:val="single" w:sz="4" w:space="0" w:color="auto"/>
              <w:right w:val="single" w:sz="4" w:space="0" w:color="auto"/>
            </w:tcBorders>
            <w:shd w:val="clear" w:color="auto" w:fill="auto"/>
          </w:tcPr>
          <w:p w14:paraId="161B2D25" w14:textId="49956DE7" w:rsidR="00252F0C" w:rsidRPr="009D165E" w:rsidRDefault="00252F0C" w:rsidP="00252F0C">
            <w:pPr>
              <w:jc w:val="right"/>
              <w:rPr>
                <w:color w:val="000000" w:themeColor="text1"/>
                <w:sz w:val="14"/>
                <w:szCs w:val="14"/>
              </w:rPr>
            </w:pPr>
            <w:r w:rsidRPr="008F7D63">
              <w:rPr>
                <w:sz w:val="14"/>
                <w:szCs w:val="14"/>
              </w:rPr>
              <w:t xml:space="preserve"> $700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B9FA7E1" w14:textId="04A6121C" w:rsidR="00252F0C" w:rsidRPr="009D165E" w:rsidRDefault="00252F0C" w:rsidP="00252F0C">
            <w:pPr>
              <w:jc w:val="right"/>
              <w:rPr>
                <w:color w:val="000000" w:themeColor="text1"/>
                <w:sz w:val="14"/>
                <w:szCs w:val="14"/>
              </w:rPr>
            </w:pPr>
            <w:r w:rsidRPr="008F7D63">
              <w:rPr>
                <w:sz w:val="14"/>
                <w:szCs w:val="14"/>
              </w:rPr>
              <w:t xml:space="preserve"> $818,291 </w:t>
            </w:r>
          </w:p>
        </w:tc>
      </w:tr>
      <w:tr w:rsidR="00252F0C" w:rsidRPr="00C77927" w14:paraId="29B1039E"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19366E19" w14:textId="7924669B" w:rsidR="00252F0C" w:rsidRPr="00D25FC9" w:rsidRDefault="00252F0C" w:rsidP="00252F0C">
            <w:pPr>
              <w:rPr>
                <w:color w:val="000000" w:themeColor="text1"/>
                <w:sz w:val="14"/>
                <w:szCs w:val="14"/>
              </w:rPr>
            </w:pPr>
            <w:r w:rsidRPr="00D25FC9">
              <w:rPr>
                <w:color w:val="000000"/>
                <w:sz w:val="14"/>
                <w:szCs w:val="14"/>
              </w:rPr>
              <w:t xml:space="preserve">N. Glass Production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582A8661" w14:textId="4DC6C31D" w:rsidR="00252F0C" w:rsidRPr="009D165E" w:rsidRDefault="00252F0C" w:rsidP="00252F0C">
            <w:pPr>
              <w:jc w:val="right"/>
              <w:rPr>
                <w:color w:val="000000" w:themeColor="text1"/>
                <w:sz w:val="14"/>
                <w:szCs w:val="14"/>
              </w:rPr>
            </w:pPr>
            <w:r w:rsidRPr="008F7D63">
              <w:rPr>
                <w:sz w:val="14"/>
                <w:szCs w:val="14"/>
              </w:rPr>
              <w:t>103</w:t>
            </w:r>
          </w:p>
        </w:tc>
        <w:tc>
          <w:tcPr>
            <w:tcW w:w="465" w:type="pct"/>
            <w:tcBorders>
              <w:top w:val="nil"/>
              <w:left w:val="nil"/>
              <w:bottom w:val="single" w:sz="4" w:space="0" w:color="auto"/>
              <w:right w:val="single" w:sz="4" w:space="0" w:color="auto"/>
            </w:tcBorders>
            <w:shd w:val="clear" w:color="auto" w:fill="auto"/>
          </w:tcPr>
          <w:p w14:paraId="72721426" w14:textId="004EFF76" w:rsidR="00252F0C" w:rsidRPr="009D165E" w:rsidRDefault="006E729F" w:rsidP="00252F0C">
            <w:pPr>
              <w:jc w:val="right"/>
              <w:rPr>
                <w:color w:val="000000" w:themeColor="text1"/>
                <w:sz w:val="14"/>
                <w:szCs w:val="14"/>
              </w:rPr>
            </w:pPr>
            <w:r>
              <w:rPr>
                <w:sz w:val="14"/>
                <w:szCs w:val="14"/>
              </w:rPr>
              <w:t>60</w:t>
            </w:r>
          </w:p>
        </w:tc>
        <w:tc>
          <w:tcPr>
            <w:tcW w:w="406" w:type="pct"/>
            <w:tcBorders>
              <w:top w:val="nil"/>
              <w:left w:val="nil"/>
              <w:bottom w:val="single" w:sz="4" w:space="0" w:color="auto"/>
              <w:right w:val="single" w:sz="4" w:space="0" w:color="auto"/>
            </w:tcBorders>
            <w:shd w:val="clear" w:color="auto" w:fill="auto"/>
          </w:tcPr>
          <w:p w14:paraId="1D7BD8A3" w14:textId="71AB0C15" w:rsidR="00252F0C" w:rsidRPr="00B40AFD" w:rsidRDefault="006E46F6" w:rsidP="00252F0C">
            <w:pPr>
              <w:jc w:val="right"/>
              <w:rPr>
                <w:color w:val="000000"/>
                <w:sz w:val="14"/>
                <w:szCs w:val="14"/>
              </w:rPr>
            </w:pPr>
            <w:r>
              <w:rPr>
                <w:sz w:val="14"/>
                <w:szCs w:val="14"/>
              </w:rPr>
              <w:t>6,180</w:t>
            </w:r>
          </w:p>
        </w:tc>
        <w:tc>
          <w:tcPr>
            <w:tcW w:w="515" w:type="pct"/>
            <w:tcBorders>
              <w:top w:val="nil"/>
              <w:left w:val="nil"/>
              <w:bottom w:val="single" w:sz="4" w:space="0" w:color="auto"/>
              <w:right w:val="single" w:sz="4" w:space="0" w:color="auto"/>
            </w:tcBorders>
            <w:shd w:val="clear" w:color="auto" w:fill="auto"/>
          </w:tcPr>
          <w:p w14:paraId="132E90E7" w14:textId="05341E2E" w:rsidR="00252F0C" w:rsidRPr="009D165E" w:rsidRDefault="00252F0C" w:rsidP="00252F0C">
            <w:pPr>
              <w:jc w:val="right"/>
              <w:rPr>
                <w:color w:val="000000" w:themeColor="text1"/>
                <w:sz w:val="14"/>
                <w:szCs w:val="14"/>
              </w:rPr>
            </w:pPr>
            <w:r w:rsidRPr="008F7D63">
              <w:rPr>
                <w:sz w:val="14"/>
                <w:szCs w:val="14"/>
              </w:rPr>
              <w:t>4,954</w:t>
            </w:r>
          </w:p>
        </w:tc>
        <w:tc>
          <w:tcPr>
            <w:tcW w:w="514" w:type="pct"/>
            <w:tcBorders>
              <w:top w:val="nil"/>
              <w:left w:val="nil"/>
              <w:bottom w:val="single" w:sz="4" w:space="0" w:color="auto"/>
              <w:right w:val="single" w:sz="4" w:space="0" w:color="auto"/>
            </w:tcBorders>
            <w:shd w:val="clear" w:color="auto" w:fill="auto"/>
          </w:tcPr>
          <w:p w14:paraId="7C79B4CC" w14:textId="3B766B4E" w:rsidR="00252F0C" w:rsidRPr="009D165E" w:rsidRDefault="00252F0C" w:rsidP="00252F0C">
            <w:pPr>
              <w:jc w:val="right"/>
              <w:rPr>
                <w:color w:val="000000" w:themeColor="text1"/>
                <w:sz w:val="14"/>
                <w:szCs w:val="14"/>
              </w:rPr>
            </w:pPr>
            <w:r w:rsidRPr="008F7D63">
              <w:rPr>
                <w:sz w:val="14"/>
                <w:szCs w:val="14"/>
              </w:rPr>
              <w:t xml:space="preserve"> $354,547 </w:t>
            </w:r>
          </w:p>
        </w:tc>
        <w:tc>
          <w:tcPr>
            <w:tcW w:w="446" w:type="pct"/>
            <w:tcBorders>
              <w:top w:val="nil"/>
              <w:left w:val="nil"/>
              <w:bottom w:val="single" w:sz="4" w:space="0" w:color="auto"/>
              <w:right w:val="single" w:sz="4" w:space="0" w:color="auto"/>
            </w:tcBorders>
            <w:shd w:val="clear" w:color="auto" w:fill="auto"/>
          </w:tcPr>
          <w:p w14:paraId="6419EFDE" w14:textId="48FF69B3" w:rsidR="00252F0C" w:rsidRPr="009D165E" w:rsidRDefault="00252F0C" w:rsidP="00252F0C">
            <w:pPr>
              <w:jc w:val="right"/>
              <w:rPr>
                <w:color w:val="000000" w:themeColor="text1"/>
                <w:sz w:val="14"/>
                <w:szCs w:val="14"/>
              </w:rPr>
            </w:pPr>
            <w:r w:rsidRPr="00635746">
              <w:rPr>
                <w:sz w:val="14"/>
                <w:szCs w:val="14"/>
              </w:rPr>
              <w:t>$</w:t>
            </w:r>
            <w:r>
              <w:rPr>
                <w:sz w:val="14"/>
                <w:szCs w:val="14"/>
              </w:rPr>
              <w:t>0</w:t>
            </w:r>
            <w:r w:rsidRPr="00635746">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5213F7EE" w14:textId="0986D41E" w:rsidR="00252F0C" w:rsidRPr="009D165E" w:rsidRDefault="00252F0C" w:rsidP="00252F0C">
            <w:pPr>
              <w:jc w:val="right"/>
              <w:rPr>
                <w:color w:val="000000" w:themeColor="text1"/>
                <w:sz w:val="14"/>
                <w:szCs w:val="14"/>
              </w:rPr>
            </w:pPr>
            <w:r w:rsidRPr="008F7D63">
              <w:rPr>
                <w:sz w:val="14"/>
                <w:szCs w:val="14"/>
              </w:rPr>
              <w:t xml:space="preserve"> $10,380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631B4EF5" w14:textId="14843F72" w:rsidR="00252F0C" w:rsidRPr="009D165E" w:rsidRDefault="00252F0C" w:rsidP="00252F0C">
            <w:pPr>
              <w:jc w:val="right"/>
              <w:rPr>
                <w:color w:val="000000" w:themeColor="text1"/>
                <w:sz w:val="14"/>
                <w:szCs w:val="14"/>
              </w:rPr>
            </w:pPr>
            <w:r w:rsidRPr="008F7D63">
              <w:rPr>
                <w:sz w:val="14"/>
                <w:szCs w:val="14"/>
              </w:rPr>
              <w:t xml:space="preserve"> $364,927 </w:t>
            </w:r>
          </w:p>
        </w:tc>
      </w:tr>
      <w:tr w:rsidR="00252F0C" w:rsidRPr="00C77927" w14:paraId="2563A990" w14:textId="77777777" w:rsidTr="00D771CB">
        <w:trPr>
          <w:trHeight w:val="143"/>
        </w:trPr>
        <w:tc>
          <w:tcPr>
            <w:tcW w:w="1334" w:type="pct"/>
            <w:tcBorders>
              <w:top w:val="nil"/>
              <w:left w:val="single" w:sz="4" w:space="0" w:color="auto"/>
              <w:bottom w:val="single" w:sz="4" w:space="0" w:color="auto"/>
              <w:right w:val="single" w:sz="4" w:space="0" w:color="auto"/>
            </w:tcBorders>
            <w:shd w:val="clear" w:color="auto" w:fill="auto"/>
            <w:hideMark/>
          </w:tcPr>
          <w:p w14:paraId="06E48C7C" w14:textId="6E5D4032" w:rsidR="00252F0C" w:rsidRPr="00D25FC9" w:rsidRDefault="00252F0C" w:rsidP="00252F0C">
            <w:pPr>
              <w:rPr>
                <w:color w:val="000000" w:themeColor="text1"/>
                <w:sz w:val="14"/>
                <w:szCs w:val="14"/>
              </w:rPr>
            </w:pPr>
            <w:r w:rsidRPr="00D25FC9">
              <w:rPr>
                <w:color w:val="000000"/>
                <w:sz w:val="14"/>
                <w:szCs w:val="14"/>
              </w:rPr>
              <w:t xml:space="preserve">O. HCFC-22 Production and HFC-23 Destruction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08EE1A7C" w14:textId="1EB02B05" w:rsidR="00252F0C" w:rsidRPr="009D165E" w:rsidRDefault="00252F0C" w:rsidP="00252F0C">
            <w:pPr>
              <w:jc w:val="right"/>
              <w:rPr>
                <w:color w:val="000000" w:themeColor="text1"/>
                <w:sz w:val="14"/>
                <w:szCs w:val="14"/>
              </w:rPr>
            </w:pPr>
            <w:r w:rsidRPr="008F7D63">
              <w:rPr>
                <w:sz w:val="14"/>
                <w:szCs w:val="14"/>
              </w:rPr>
              <w:t>4</w:t>
            </w:r>
          </w:p>
        </w:tc>
        <w:tc>
          <w:tcPr>
            <w:tcW w:w="465" w:type="pct"/>
            <w:tcBorders>
              <w:top w:val="nil"/>
              <w:left w:val="nil"/>
              <w:bottom w:val="single" w:sz="4" w:space="0" w:color="auto"/>
              <w:right w:val="single" w:sz="4" w:space="0" w:color="auto"/>
            </w:tcBorders>
            <w:shd w:val="clear" w:color="auto" w:fill="auto"/>
          </w:tcPr>
          <w:p w14:paraId="317ACBAF" w14:textId="49FB8701" w:rsidR="00252F0C" w:rsidRPr="009D165E" w:rsidRDefault="006E729F" w:rsidP="00252F0C">
            <w:pPr>
              <w:jc w:val="right"/>
              <w:rPr>
                <w:color w:val="000000" w:themeColor="text1"/>
                <w:sz w:val="14"/>
                <w:szCs w:val="14"/>
              </w:rPr>
            </w:pPr>
            <w:r>
              <w:rPr>
                <w:sz w:val="14"/>
                <w:szCs w:val="14"/>
              </w:rPr>
              <w:t>32</w:t>
            </w:r>
          </w:p>
        </w:tc>
        <w:tc>
          <w:tcPr>
            <w:tcW w:w="406" w:type="pct"/>
            <w:tcBorders>
              <w:top w:val="nil"/>
              <w:left w:val="nil"/>
              <w:bottom w:val="single" w:sz="4" w:space="0" w:color="auto"/>
              <w:right w:val="single" w:sz="4" w:space="0" w:color="auto"/>
            </w:tcBorders>
            <w:shd w:val="clear" w:color="auto" w:fill="auto"/>
          </w:tcPr>
          <w:p w14:paraId="4EE4BABC" w14:textId="5176FF83" w:rsidR="00252F0C" w:rsidRPr="00B40AFD" w:rsidRDefault="006E46F6" w:rsidP="00252F0C">
            <w:pPr>
              <w:jc w:val="right"/>
              <w:rPr>
                <w:color w:val="000000"/>
                <w:sz w:val="14"/>
                <w:szCs w:val="14"/>
              </w:rPr>
            </w:pPr>
            <w:r>
              <w:rPr>
                <w:sz w:val="14"/>
                <w:szCs w:val="14"/>
              </w:rPr>
              <w:t>128</w:t>
            </w:r>
          </w:p>
        </w:tc>
        <w:tc>
          <w:tcPr>
            <w:tcW w:w="515" w:type="pct"/>
            <w:tcBorders>
              <w:top w:val="nil"/>
              <w:left w:val="nil"/>
              <w:bottom w:val="single" w:sz="4" w:space="0" w:color="auto"/>
              <w:right w:val="single" w:sz="4" w:space="0" w:color="auto"/>
            </w:tcBorders>
            <w:shd w:val="clear" w:color="auto" w:fill="auto"/>
          </w:tcPr>
          <w:p w14:paraId="018A02C8" w14:textId="01466B90" w:rsidR="00252F0C" w:rsidRPr="009D165E" w:rsidRDefault="00252F0C" w:rsidP="00252F0C">
            <w:pPr>
              <w:jc w:val="right"/>
              <w:rPr>
                <w:color w:val="000000" w:themeColor="text1"/>
                <w:sz w:val="14"/>
                <w:szCs w:val="14"/>
              </w:rPr>
            </w:pPr>
            <w:r w:rsidRPr="008F7D63">
              <w:rPr>
                <w:sz w:val="14"/>
                <w:szCs w:val="14"/>
              </w:rPr>
              <w:t>456</w:t>
            </w:r>
          </w:p>
        </w:tc>
        <w:tc>
          <w:tcPr>
            <w:tcW w:w="514" w:type="pct"/>
            <w:tcBorders>
              <w:top w:val="nil"/>
              <w:left w:val="nil"/>
              <w:bottom w:val="single" w:sz="4" w:space="0" w:color="auto"/>
              <w:right w:val="single" w:sz="4" w:space="0" w:color="auto"/>
            </w:tcBorders>
            <w:shd w:val="clear" w:color="auto" w:fill="auto"/>
          </w:tcPr>
          <w:p w14:paraId="269963A9" w14:textId="05992A50" w:rsidR="00252F0C" w:rsidRPr="009D165E" w:rsidRDefault="00252F0C" w:rsidP="00252F0C">
            <w:pPr>
              <w:jc w:val="right"/>
              <w:rPr>
                <w:color w:val="000000" w:themeColor="text1"/>
                <w:sz w:val="14"/>
                <w:szCs w:val="14"/>
              </w:rPr>
            </w:pPr>
            <w:r w:rsidRPr="008F7D63">
              <w:rPr>
                <w:sz w:val="14"/>
                <w:szCs w:val="14"/>
              </w:rPr>
              <w:t xml:space="preserve"> $31,987 </w:t>
            </w:r>
          </w:p>
        </w:tc>
        <w:tc>
          <w:tcPr>
            <w:tcW w:w="446" w:type="pct"/>
            <w:tcBorders>
              <w:top w:val="nil"/>
              <w:left w:val="nil"/>
              <w:bottom w:val="single" w:sz="4" w:space="0" w:color="auto"/>
              <w:right w:val="single" w:sz="4" w:space="0" w:color="auto"/>
            </w:tcBorders>
            <w:shd w:val="clear" w:color="auto" w:fill="auto"/>
          </w:tcPr>
          <w:p w14:paraId="65911C4A" w14:textId="5FF8FEFA"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0AF73CAF" w14:textId="6E5A9FD5" w:rsidR="00252F0C" w:rsidRPr="009D165E" w:rsidRDefault="00252F0C" w:rsidP="00252F0C">
            <w:pPr>
              <w:jc w:val="right"/>
              <w:rPr>
                <w:color w:val="000000" w:themeColor="text1"/>
                <w:sz w:val="14"/>
                <w:szCs w:val="14"/>
              </w:rPr>
            </w:pPr>
            <w:r w:rsidRPr="008F7D63">
              <w:rPr>
                <w:sz w:val="14"/>
                <w:szCs w:val="14"/>
              </w:rPr>
              <w:t xml:space="preserve"> $200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9DFAFAF" w14:textId="25B29542" w:rsidR="00252F0C" w:rsidRPr="009D165E" w:rsidRDefault="00252F0C" w:rsidP="00252F0C">
            <w:pPr>
              <w:jc w:val="right"/>
              <w:rPr>
                <w:color w:val="000000" w:themeColor="text1"/>
                <w:sz w:val="14"/>
                <w:szCs w:val="14"/>
              </w:rPr>
            </w:pPr>
            <w:r w:rsidRPr="008F7D63">
              <w:rPr>
                <w:sz w:val="14"/>
                <w:szCs w:val="14"/>
              </w:rPr>
              <w:t xml:space="preserve"> $32,187 </w:t>
            </w:r>
          </w:p>
        </w:tc>
      </w:tr>
      <w:tr w:rsidR="00252F0C" w:rsidRPr="00C77927" w14:paraId="6E347177"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7B6CBCBF" w14:textId="37D83A97" w:rsidR="00252F0C" w:rsidRPr="00D25FC9" w:rsidRDefault="00252F0C" w:rsidP="00252F0C">
            <w:pPr>
              <w:rPr>
                <w:color w:val="000000" w:themeColor="text1"/>
                <w:sz w:val="14"/>
                <w:szCs w:val="14"/>
              </w:rPr>
            </w:pPr>
            <w:r w:rsidRPr="00D25FC9">
              <w:rPr>
                <w:color w:val="000000"/>
                <w:sz w:val="14"/>
                <w:szCs w:val="14"/>
              </w:rPr>
              <w:t xml:space="preserve">P. Hydrogen Production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1591D783" w14:textId="1F6291DE" w:rsidR="00252F0C" w:rsidRPr="009D165E" w:rsidRDefault="00252F0C" w:rsidP="00252F0C">
            <w:pPr>
              <w:jc w:val="right"/>
              <w:rPr>
                <w:color w:val="000000" w:themeColor="text1"/>
                <w:sz w:val="14"/>
                <w:szCs w:val="14"/>
              </w:rPr>
            </w:pPr>
            <w:r w:rsidRPr="008F7D63">
              <w:rPr>
                <w:sz w:val="14"/>
                <w:szCs w:val="14"/>
              </w:rPr>
              <w:t>117</w:t>
            </w:r>
          </w:p>
        </w:tc>
        <w:tc>
          <w:tcPr>
            <w:tcW w:w="465" w:type="pct"/>
            <w:tcBorders>
              <w:top w:val="nil"/>
              <w:left w:val="nil"/>
              <w:bottom w:val="single" w:sz="4" w:space="0" w:color="auto"/>
              <w:right w:val="single" w:sz="4" w:space="0" w:color="auto"/>
            </w:tcBorders>
            <w:shd w:val="clear" w:color="auto" w:fill="auto"/>
          </w:tcPr>
          <w:p w14:paraId="17057444" w14:textId="5D352FBC" w:rsidR="00252F0C" w:rsidRPr="009D165E" w:rsidRDefault="006E729F" w:rsidP="00252F0C">
            <w:pPr>
              <w:jc w:val="right"/>
              <w:rPr>
                <w:color w:val="000000" w:themeColor="text1"/>
                <w:sz w:val="14"/>
                <w:szCs w:val="14"/>
              </w:rPr>
            </w:pPr>
            <w:r>
              <w:rPr>
                <w:sz w:val="14"/>
                <w:szCs w:val="14"/>
              </w:rPr>
              <w:t>137</w:t>
            </w:r>
          </w:p>
        </w:tc>
        <w:tc>
          <w:tcPr>
            <w:tcW w:w="406" w:type="pct"/>
            <w:tcBorders>
              <w:top w:val="nil"/>
              <w:left w:val="nil"/>
              <w:bottom w:val="single" w:sz="4" w:space="0" w:color="auto"/>
              <w:right w:val="single" w:sz="4" w:space="0" w:color="auto"/>
            </w:tcBorders>
            <w:shd w:val="clear" w:color="auto" w:fill="auto"/>
          </w:tcPr>
          <w:p w14:paraId="474A069B" w14:textId="5C7535C2" w:rsidR="00252F0C" w:rsidRPr="00B40AFD" w:rsidRDefault="006E729F" w:rsidP="00252F0C">
            <w:pPr>
              <w:jc w:val="right"/>
              <w:rPr>
                <w:color w:val="000000"/>
                <w:sz w:val="14"/>
                <w:szCs w:val="14"/>
              </w:rPr>
            </w:pPr>
            <w:r>
              <w:rPr>
                <w:sz w:val="14"/>
                <w:szCs w:val="14"/>
              </w:rPr>
              <w:t>16,029</w:t>
            </w:r>
          </w:p>
        </w:tc>
        <w:tc>
          <w:tcPr>
            <w:tcW w:w="515" w:type="pct"/>
            <w:tcBorders>
              <w:top w:val="nil"/>
              <w:left w:val="nil"/>
              <w:bottom w:val="single" w:sz="4" w:space="0" w:color="auto"/>
              <w:right w:val="single" w:sz="4" w:space="0" w:color="auto"/>
            </w:tcBorders>
            <w:shd w:val="clear" w:color="auto" w:fill="auto"/>
          </w:tcPr>
          <w:p w14:paraId="07CAB26E" w14:textId="2CCF1D63" w:rsidR="00252F0C" w:rsidRPr="009D165E" w:rsidRDefault="00252F0C" w:rsidP="00252F0C">
            <w:pPr>
              <w:jc w:val="right"/>
              <w:rPr>
                <w:color w:val="000000" w:themeColor="text1"/>
                <w:sz w:val="14"/>
                <w:szCs w:val="14"/>
              </w:rPr>
            </w:pPr>
            <w:r w:rsidRPr="008F7D63">
              <w:rPr>
                <w:sz w:val="14"/>
                <w:szCs w:val="14"/>
              </w:rPr>
              <w:t>4,678</w:t>
            </w:r>
          </w:p>
        </w:tc>
        <w:tc>
          <w:tcPr>
            <w:tcW w:w="514" w:type="pct"/>
            <w:tcBorders>
              <w:top w:val="nil"/>
              <w:left w:val="nil"/>
              <w:bottom w:val="single" w:sz="4" w:space="0" w:color="auto"/>
              <w:right w:val="single" w:sz="4" w:space="0" w:color="auto"/>
            </w:tcBorders>
            <w:shd w:val="clear" w:color="auto" w:fill="auto"/>
          </w:tcPr>
          <w:p w14:paraId="062BDB8A" w14:textId="20A73AFB" w:rsidR="00252F0C" w:rsidRPr="009D165E" w:rsidRDefault="00252F0C" w:rsidP="00252F0C">
            <w:pPr>
              <w:jc w:val="right"/>
              <w:rPr>
                <w:color w:val="000000" w:themeColor="text1"/>
                <w:sz w:val="14"/>
                <w:szCs w:val="14"/>
              </w:rPr>
            </w:pPr>
            <w:r w:rsidRPr="008F7D63">
              <w:rPr>
                <w:sz w:val="14"/>
                <w:szCs w:val="14"/>
              </w:rPr>
              <w:t xml:space="preserve"> $331,590 </w:t>
            </w:r>
          </w:p>
        </w:tc>
        <w:tc>
          <w:tcPr>
            <w:tcW w:w="446" w:type="pct"/>
            <w:tcBorders>
              <w:top w:val="nil"/>
              <w:left w:val="nil"/>
              <w:bottom w:val="single" w:sz="4" w:space="0" w:color="auto"/>
              <w:right w:val="single" w:sz="4" w:space="0" w:color="auto"/>
            </w:tcBorders>
            <w:shd w:val="clear" w:color="auto" w:fill="auto"/>
          </w:tcPr>
          <w:p w14:paraId="5B91EBBD" w14:textId="4A8E64C2"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080D8AC1" w14:textId="53BC3B72" w:rsidR="00252F0C" w:rsidRPr="009D165E" w:rsidRDefault="00252F0C" w:rsidP="00252F0C">
            <w:pPr>
              <w:jc w:val="right"/>
              <w:rPr>
                <w:color w:val="000000" w:themeColor="text1"/>
                <w:sz w:val="14"/>
                <w:szCs w:val="14"/>
              </w:rPr>
            </w:pPr>
            <w:r w:rsidRPr="008F7D63">
              <w:rPr>
                <w:sz w:val="14"/>
                <w:szCs w:val="14"/>
              </w:rPr>
              <w:t xml:space="preserve"> $50,581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0A90C078" w14:textId="77415D80" w:rsidR="00252F0C" w:rsidRPr="009D165E" w:rsidRDefault="00252F0C" w:rsidP="00252F0C">
            <w:pPr>
              <w:jc w:val="right"/>
              <w:rPr>
                <w:color w:val="000000" w:themeColor="text1"/>
                <w:sz w:val="14"/>
                <w:szCs w:val="14"/>
              </w:rPr>
            </w:pPr>
            <w:r w:rsidRPr="008F7D63">
              <w:rPr>
                <w:sz w:val="14"/>
                <w:szCs w:val="14"/>
              </w:rPr>
              <w:t xml:space="preserve"> $382,171 </w:t>
            </w:r>
          </w:p>
        </w:tc>
      </w:tr>
      <w:tr w:rsidR="00252F0C" w:rsidRPr="00C77927" w14:paraId="11119D97"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CF1D312" w14:textId="795D2143" w:rsidR="00252F0C" w:rsidRPr="00D25FC9" w:rsidRDefault="00252F0C" w:rsidP="00252F0C">
            <w:pPr>
              <w:rPr>
                <w:color w:val="000000" w:themeColor="text1"/>
                <w:sz w:val="14"/>
                <w:szCs w:val="14"/>
              </w:rPr>
            </w:pPr>
            <w:r w:rsidRPr="00D25FC9">
              <w:rPr>
                <w:color w:val="000000"/>
                <w:sz w:val="14"/>
                <w:szCs w:val="14"/>
              </w:rPr>
              <w:t xml:space="preserve">Q. Iron and Steel Production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143B48A9" w14:textId="56AEB8D7" w:rsidR="00252F0C" w:rsidRPr="009D165E" w:rsidRDefault="00252F0C" w:rsidP="00252F0C">
            <w:pPr>
              <w:jc w:val="right"/>
              <w:rPr>
                <w:color w:val="000000" w:themeColor="text1"/>
                <w:sz w:val="14"/>
                <w:szCs w:val="14"/>
              </w:rPr>
            </w:pPr>
            <w:r w:rsidRPr="008F7D63">
              <w:rPr>
                <w:sz w:val="14"/>
                <w:szCs w:val="14"/>
              </w:rPr>
              <w:t>122</w:t>
            </w:r>
          </w:p>
        </w:tc>
        <w:tc>
          <w:tcPr>
            <w:tcW w:w="465" w:type="pct"/>
            <w:tcBorders>
              <w:top w:val="nil"/>
              <w:left w:val="nil"/>
              <w:bottom w:val="single" w:sz="4" w:space="0" w:color="auto"/>
              <w:right w:val="single" w:sz="4" w:space="0" w:color="auto"/>
            </w:tcBorders>
            <w:shd w:val="clear" w:color="auto" w:fill="auto"/>
          </w:tcPr>
          <w:p w14:paraId="415F3D42" w14:textId="179C33FD" w:rsidR="00252F0C" w:rsidRPr="009D165E" w:rsidRDefault="006E729F" w:rsidP="00252F0C">
            <w:pPr>
              <w:jc w:val="right"/>
              <w:rPr>
                <w:color w:val="000000" w:themeColor="text1"/>
                <w:sz w:val="14"/>
                <w:szCs w:val="14"/>
              </w:rPr>
            </w:pPr>
            <w:r>
              <w:rPr>
                <w:sz w:val="14"/>
                <w:szCs w:val="14"/>
              </w:rPr>
              <w:t>61</w:t>
            </w:r>
          </w:p>
        </w:tc>
        <w:tc>
          <w:tcPr>
            <w:tcW w:w="406" w:type="pct"/>
            <w:tcBorders>
              <w:top w:val="nil"/>
              <w:left w:val="nil"/>
              <w:bottom w:val="single" w:sz="4" w:space="0" w:color="auto"/>
              <w:right w:val="single" w:sz="4" w:space="0" w:color="auto"/>
            </w:tcBorders>
            <w:shd w:val="clear" w:color="auto" w:fill="auto"/>
          </w:tcPr>
          <w:p w14:paraId="7DBDD9D9" w14:textId="5E832296" w:rsidR="00252F0C" w:rsidRPr="00B40AFD" w:rsidRDefault="006E729F" w:rsidP="00252F0C">
            <w:pPr>
              <w:jc w:val="right"/>
              <w:rPr>
                <w:color w:val="000000"/>
                <w:sz w:val="14"/>
                <w:szCs w:val="14"/>
              </w:rPr>
            </w:pPr>
            <w:r>
              <w:rPr>
                <w:sz w:val="14"/>
                <w:szCs w:val="14"/>
              </w:rPr>
              <w:t>7,442</w:t>
            </w:r>
          </w:p>
        </w:tc>
        <w:tc>
          <w:tcPr>
            <w:tcW w:w="515" w:type="pct"/>
            <w:tcBorders>
              <w:top w:val="nil"/>
              <w:left w:val="nil"/>
              <w:bottom w:val="single" w:sz="4" w:space="0" w:color="auto"/>
              <w:right w:val="single" w:sz="4" w:space="0" w:color="auto"/>
            </w:tcBorders>
            <w:shd w:val="clear" w:color="auto" w:fill="auto"/>
          </w:tcPr>
          <w:p w14:paraId="3331A3C6" w14:textId="62BF8B0C" w:rsidR="00252F0C" w:rsidRPr="009D165E" w:rsidRDefault="00252F0C" w:rsidP="00252F0C">
            <w:pPr>
              <w:jc w:val="right"/>
              <w:rPr>
                <w:color w:val="000000" w:themeColor="text1"/>
                <w:sz w:val="14"/>
                <w:szCs w:val="14"/>
              </w:rPr>
            </w:pPr>
            <w:r w:rsidRPr="008F7D63">
              <w:rPr>
                <w:sz w:val="14"/>
                <w:szCs w:val="14"/>
              </w:rPr>
              <w:t>2,938</w:t>
            </w:r>
          </w:p>
        </w:tc>
        <w:tc>
          <w:tcPr>
            <w:tcW w:w="514" w:type="pct"/>
            <w:tcBorders>
              <w:top w:val="nil"/>
              <w:left w:val="nil"/>
              <w:bottom w:val="single" w:sz="4" w:space="0" w:color="auto"/>
              <w:right w:val="single" w:sz="4" w:space="0" w:color="auto"/>
            </w:tcBorders>
            <w:shd w:val="clear" w:color="auto" w:fill="auto"/>
          </w:tcPr>
          <w:p w14:paraId="1264AF96" w14:textId="69463682" w:rsidR="00252F0C" w:rsidRPr="009D165E" w:rsidRDefault="00252F0C" w:rsidP="00252F0C">
            <w:pPr>
              <w:jc w:val="right"/>
              <w:rPr>
                <w:color w:val="000000" w:themeColor="text1"/>
                <w:sz w:val="14"/>
                <w:szCs w:val="14"/>
              </w:rPr>
            </w:pPr>
            <w:r w:rsidRPr="008F7D63">
              <w:rPr>
                <w:sz w:val="14"/>
                <w:szCs w:val="14"/>
              </w:rPr>
              <w:t xml:space="preserve"> $212,776 </w:t>
            </w:r>
          </w:p>
        </w:tc>
        <w:tc>
          <w:tcPr>
            <w:tcW w:w="446" w:type="pct"/>
            <w:tcBorders>
              <w:top w:val="nil"/>
              <w:left w:val="nil"/>
              <w:bottom w:val="single" w:sz="4" w:space="0" w:color="auto"/>
              <w:right w:val="single" w:sz="4" w:space="0" w:color="auto"/>
            </w:tcBorders>
            <w:shd w:val="clear" w:color="auto" w:fill="auto"/>
          </w:tcPr>
          <w:p w14:paraId="3BB0BA00" w14:textId="45A60054"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05DC67CC" w14:textId="0C676DF6" w:rsidR="00252F0C" w:rsidRPr="009D165E" w:rsidRDefault="00252F0C" w:rsidP="00252F0C">
            <w:pPr>
              <w:jc w:val="right"/>
              <w:rPr>
                <w:color w:val="000000" w:themeColor="text1"/>
                <w:sz w:val="14"/>
                <w:szCs w:val="14"/>
              </w:rPr>
            </w:pPr>
            <w:r w:rsidRPr="008F7D63">
              <w:rPr>
                <w:sz w:val="14"/>
                <w:szCs w:val="14"/>
              </w:rPr>
              <w:t xml:space="preserve"> $116,100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386AFC2" w14:textId="76F228DE" w:rsidR="00252F0C" w:rsidRPr="009D165E" w:rsidRDefault="00252F0C" w:rsidP="00252F0C">
            <w:pPr>
              <w:jc w:val="right"/>
              <w:rPr>
                <w:color w:val="000000" w:themeColor="text1"/>
                <w:sz w:val="14"/>
                <w:szCs w:val="14"/>
              </w:rPr>
            </w:pPr>
            <w:r w:rsidRPr="008F7D63">
              <w:rPr>
                <w:sz w:val="14"/>
                <w:szCs w:val="14"/>
              </w:rPr>
              <w:t xml:space="preserve"> $328,876 </w:t>
            </w:r>
          </w:p>
        </w:tc>
      </w:tr>
      <w:tr w:rsidR="00252F0C" w:rsidRPr="00C77927" w14:paraId="27DE54F9"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BD763EC" w14:textId="04959DFE" w:rsidR="00252F0C" w:rsidRPr="00D25FC9" w:rsidRDefault="00252F0C" w:rsidP="00252F0C">
            <w:pPr>
              <w:rPr>
                <w:color w:val="000000" w:themeColor="text1"/>
                <w:sz w:val="14"/>
                <w:szCs w:val="14"/>
              </w:rPr>
            </w:pPr>
            <w:r w:rsidRPr="00D25FC9">
              <w:rPr>
                <w:color w:val="000000"/>
                <w:sz w:val="14"/>
                <w:szCs w:val="14"/>
              </w:rPr>
              <w:t xml:space="preserve">R. Lead Production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41214C2C" w14:textId="59707EF6" w:rsidR="00252F0C" w:rsidRPr="009D165E" w:rsidRDefault="00252F0C" w:rsidP="00252F0C">
            <w:pPr>
              <w:jc w:val="right"/>
              <w:rPr>
                <w:color w:val="000000" w:themeColor="text1"/>
                <w:sz w:val="14"/>
                <w:szCs w:val="14"/>
              </w:rPr>
            </w:pPr>
            <w:r w:rsidRPr="008F7D63">
              <w:rPr>
                <w:sz w:val="14"/>
                <w:szCs w:val="14"/>
              </w:rPr>
              <w:t>11</w:t>
            </w:r>
          </w:p>
        </w:tc>
        <w:tc>
          <w:tcPr>
            <w:tcW w:w="465" w:type="pct"/>
            <w:tcBorders>
              <w:top w:val="nil"/>
              <w:left w:val="nil"/>
              <w:bottom w:val="single" w:sz="4" w:space="0" w:color="auto"/>
              <w:right w:val="single" w:sz="4" w:space="0" w:color="auto"/>
            </w:tcBorders>
            <w:shd w:val="clear" w:color="auto" w:fill="auto"/>
          </w:tcPr>
          <w:p w14:paraId="3573FC24" w14:textId="67D2BEBD" w:rsidR="00252F0C" w:rsidRPr="009D165E" w:rsidRDefault="006E729F" w:rsidP="00252F0C">
            <w:pPr>
              <w:jc w:val="right"/>
              <w:rPr>
                <w:color w:val="000000" w:themeColor="text1"/>
                <w:sz w:val="14"/>
                <w:szCs w:val="14"/>
              </w:rPr>
            </w:pPr>
            <w:r>
              <w:rPr>
                <w:sz w:val="14"/>
                <w:szCs w:val="14"/>
              </w:rPr>
              <w:t>79</w:t>
            </w:r>
          </w:p>
        </w:tc>
        <w:tc>
          <w:tcPr>
            <w:tcW w:w="406" w:type="pct"/>
            <w:tcBorders>
              <w:top w:val="nil"/>
              <w:left w:val="nil"/>
              <w:bottom w:val="single" w:sz="4" w:space="0" w:color="auto"/>
              <w:right w:val="single" w:sz="4" w:space="0" w:color="auto"/>
            </w:tcBorders>
            <w:shd w:val="clear" w:color="auto" w:fill="auto"/>
          </w:tcPr>
          <w:p w14:paraId="3D9CC7D8" w14:textId="1AEC483B" w:rsidR="00252F0C" w:rsidRPr="00B40AFD" w:rsidRDefault="006E729F" w:rsidP="00252F0C">
            <w:pPr>
              <w:jc w:val="right"/>
              <w:rPr>
                <w:color w:val="000000"/>
                <w:sz w:val="14"/>
                <w:szCs w:val="14"/>
              </w:rPr>
            </w:pPr>
            <w:r>
              <w:rPr>
                <w:sz w:val="14"/>
                <w:szCs w:val="14"/>
              </w:rPr>
              <w:t>869</w:t>
            </w:r>
          </w:p>
        </w:tc>
        <w:tc>
          <w:tcPr>
            <w:tcW w:w="515" w:type="pct"/>
            <w:tcBorders>
              <w:top w:val="nil"/>
              <w:left w:val="nil"/>
              <w:bottom w:val="single" w:sz="4" w:space="0" w:color="auto"/>
              <w:right w:val="single" w:sz="4" w:space="0" w:color="auto"/>
            </w:tcBorders>
            <w:shd w:val="clear" w:color="auto" w:fill="auto"/>
          </w:tcPr>
          <w:p w14:paraId="0AE1AD67" w14:textId="71323C64" w:rsidR="00252F0C" w:rsidRPr="009D165E" w:rsidRDefault="00252F0C" w:rsidP="00252F0C">
            <w:pPr>
              <w:jc w:val="right"/>
              <w:rPr>
                <w:color w:val="000000" w:themeColor="text1"/>
                <w:sz w:val="14"/>
                <w:szCs w:val="14"/>
              </w:rPr>
            </w:pPr>
            <w:r w:rsidRPr="008F7D63">
              <w:rPr>
                <w:sz w:val="14"/>
                <w:szCs w:val="14"/>
              </w:rPr>
              <w:t>273</w:t>
            </w:r>
          </w:p>
        </w:tc>
        <w:tc>
          <w:tcPr>
            <w:tcW w:w="514" w:type="pct"/>
            <w:tcBorders>
              <w:top w:val="nil"/>
              <w:left w:val="nil"/>
              <w:bottom w:val="single" w:sz="4" w:space="0" w:color="auto"/>
              <w:right w:val="single" w:sz="4" w:space="0" w:color="auto"/>
            </w:tcBorders>
            <w:shd w:val="clear" w:color="auto" w:fill="auto"/>
          </w:tcPr>
          <w:p w14:paraId="0EC602DE" w14:textId="2F43B3B4" w:rsidR="00252F0C" w:rsidRPr="009D165E" w:rsidRDefault="00252F0C" w:rsidP="00252F0C">
            <w:pPr>
              <w:jc w:val="right"/>
              <w:rPr>
                <w:color w:val="000000" w:themeColor="text1"/>
                <w:sz w:val="14"/>
                <w:szCs w:val="14"/>
              </w:rPr>
            </w:pPr>
            <w:r w:rsidRPr="008F7D63">
              <w:rPr>
                <w:sz w:val="14"/>
                <w:szCs w:val="14"/>
              </w:rPr>
              <w:t xml:space="preserve"> $20,051 </w:t>
            </w:r>
          </w:p>
        </w:tc>
        <w:tc>
          <w:tcPr>
            <w:tcW w:w="446" w:type="pct"/>
            <w:tcBorders>
              <w:top w:val="nil"/>
              <w:left w:val="nil"/>
              <w:bottom w:val="single" w:sz="4" w:space="0" w:color="auto"/>
              <w:right w:val="single" w:sz="4" w:space="0" w:color="auto"/>
            </w:tcBorders>
            <w:shd w:val="clear" w:color="auto" w:fill="auto"/>
          </w:tcPr>
          <w:p w14:paraId="5D68A5D6" w14:textId="5351BF1B"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12AEDC82" w14:textId="021D49ED" w:rsidR="00252F0C" w:rsidRPr="009D165E" w:rsidRDefault="00252F0C" w:rsidP="00252F0C">
            <w:pPr>
              <w:jc w:val="right"/>
              <w:rPr>
                <w:color w:val="000000" w:themeColor="text1"/>
                <w:sz w:val="14"/>
                <w:szCs w:val="14"/>
              </w:rPr>
            </w:pPr>
            <w:r w:rsidRPr="008F7D63">
              <w:rPr>
                <w:sz w:val="14"/>
                <w:szCs w:val="14"/>
              </w:rPr>
              <w:t xml:space="preserve"> $11,550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594E31EE" w14:textId="38A9B7C7" w:rsidR="00252F0C" w:rsidRPr="009D165E" w:rsidRDefault="00252F0C" w:rsidP="00252F0C">
            <w:pPr>
              <w:jc w:val="right"/>
              <w:rPr>
                <w:color w:val="000000" w:themeColor="text1"/>
                <w:sz w:val="14"/>
                <w:szCs w:val="14"/>
              </w:rPr>
            </w:pPr>
            <w:r w:rsidRPr="008F7D63">
              <w:rPr>
                <w:sz w:val="14"/>
                <w:szCs w:val="14"/>
              </w:rPr>
              <w:t xml:space="preserve"> $31,601 </w:t>
            </w:r>
          </w:p>
        </w:tc>
      </w:tr>
      <w:tr w:rsidR="00252F0C" w:rsidRPr="00C77927" w14:paraId="7B6EDFAF"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176EA24F" w14:textId="38DEFD0D" w:rsidR="00252F0C" w:rsidRPr="00D25FC9" w:rsidRDefault="00252F0C" w:rsidP="00252F0C">
            <w:pPr>
              <w:rPr>
                <w:color w:val="000000" w:themeColor="text1"/>
                <w:sz w:val="14"/>
                <w:szCs w:val="14"/>
              </w:rPr>
            </w:pPr>
            <w:r w:rsidRPr="00D25FC9">
              <w:rPr>
                <w:color w:val="000000"/>
                <w:sz w:val="14"/>
                <w:szCs w:val="14"/>
              </w:rPr>
              <w:t xml:space="preserve">S. Lime Manufacturing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0A557FFA" w14:textId="2264C14B" w:rsidR="00252F0C" w:rsidRPr="009D165E" w:rsidRDefault="00252F0C" w:rsidP="00252F0C">
            <w:pPr>
              <w:jc w:val="right"/>
              <w:rPr>
                <w:color w:val="000000" w:themeColor="text1"/>
                <w:sz w:val="14"/>
                <w:szCs w:val="14"/>
              </w:rPr>
            </w:pPr>
            <w:r w:rsidRPr="008F7D63">
              <w:rPr>
                <w:sz w:val="14"/>
                <w:szCs w:val="14"/>
              </w:rPr>
              <w:t>75</w:t>
            </w:r>
          </w:p>
        </w:tc>
        <w:tc>
          <w:tcPr>
            <w:tcW w:w="465" w:type="pct"/>
            <w:tcBorders>
              <w:top w:val="nil"/>
              <w:left w:val="nil"/>
              <w:bottom w:val="single" w:sz="4" w:space="0" w:color="auto"/>
              <w:right w:val="single" w:sz="4" w:space="0" w:color="auto"/>
            </w:tcBorders>
            <w:shd w:val="clear" w:color="auto" w:fill="auto"/>
          </w:tcPr>
          <w:p w14:paraId="0D1B540B" w14:textId="759BC4AA" w:rsidR="00252F0C" w:rsidRPr="009D165E" w:rsidRDefault="006E729F" w:rsidP="00252F0C">
            <w:pPr>
              <w:jc w:val="right"/>
              <w:rPr>
                <w:color w:val="000000" w:themeColor="text1"/>
                <w:sz w:val="14"/>
                <w:szCs w:val="14"/>
              </w:rPr>
            </w:pPr>
            <w:r>
              <w:rPr>
                <w:sz w:val="14"/>
                <w:szCs w:val="14"/>
              </w:rPr>
              <w:t>268</w:t>
            </w:r>
          </w:p>
        </w:tc>
        <w:tc>
          <w:tcPr>
            <w:tcW w:w="406" w:type="pct"/>
            <w:tcBorders>
              <w:top w:val="nil"/>
              <w:left w:val="nil"/>
              <w:bottom w:val="single" w:sz="4" w:space="0" w:color="auto"/>
              <w:right w:val="single" w:sz="4" w:space="0" w:color="auto"/>
            </w:tcBorders>
            <w:shd w:val="clear" w:color="auto" w:fill="auto"/>
          </w:tcPr>
          <w:p w14:paraId="6C73E2A4" w14:textId="73D4A7AA" w:rsidR="00252F0C" w:rsidRPr="00B40AFD" w:rsidRDefault="006E729F" w:rsidP="00252F0C">
            <w:pPr>
              <w:jc w:val="right"/>
              <w:rPr>
                <w:color w:val="000000"/>
                <w:sz w:val="14"/>
                <w:szCs w:val="14"/>
              </w:rPr>
            </w:pPr>
            <w:r>
              <w:rPr>
                <w:sz w:val="14"/>
                <w:szCs w:val="14"/>
              </w:rPr>
              <w:t>20,100</w:t>
            </w:r>
          </w:p>
        </w:tc>
        <w:tc>
          <w:tcPr>
            <w:tcW w:w="515" w:type="pct"/>
            <w:tcBorders>
              <w:top w:val="nil"/>
              <w:left w:val="nil"/>
              <w:bottom w:val="single" w:sz="4" w:space="0" w:color="auto"/>
              <w:right w:val="single" w:sz="4" w:space="0" w:color="auto"/>
            </w:tcBorders>
            <w:shd w:val="clear" w:color="auto" w:fill="auto"/>
          </w:tcPr>
          <w:p w14:paraId="235F32C6" w14:textId="52D8F155" w:rsidR="00252F0C" w:rsidRPr="009D165E" w:rsidRDefault="00252F0C" w:rsidP="00252F0C">
            <w:pPr>
              <w:jc w:val="right"/>
              <w:rPr>
                <w:color w:val="000000" w:themeColor="text1"/>
                <w:sz w:val="14"/>
                <w:szCs w:val="14"/>
              </w:rPr>
            </w:pPr>
            <w:r w:rsidRPr="008F7D63">
              <w:rPr>
                <w:sz w:val="14"/>
                <w:szCs w:val="14"/>
              </w:rPr>
              <w:t>2,057</w:t>
            </w:r>
          </w:p>
        </w:tc>
        <w:tc>
          <w:tcPr>
            <w:tcW w:w="514" w:type="pct"/>
            <w:tcBorders>
              <w:top w:val="nil"/>
              <w:left w:val="nil"/>
              <w:bottom w:val="single" w:sz="4" w:space="0" w:color="auto"/>
              <w:right w:val="single" w:sz="4" w:space="0" w:color="auto"/>
            </w:tcBorders>
            <w:shd w:val="clear" w:color="auto" w:fill="auto"/>
          </w:tcPr>
          <w:p w14:paraId="162B9B17" w14:textId="67AF1EFF" w:rsidR="00252F0C" w:rsidRPr="009D165E" w:rsidRDefault="00252F0C" w:rsidP="00252F0C">
            <w:pPr>
              <w:jc w:val="right"/>
              <w:rPr>
                <w:color w:val="000000" w:themeColor="text1"/>
                <w:sz w:val="14"/>
                <w:szCs w:val="14"/>
              </w:rPr>
            </w:pPr>
            <w:r w:rsidRPr="008F7D63">
              <w:rPr>
                <w:sz w:val="14"/>
                <w:szCs w:val="14"/>
              </w:rPr>
              <w:t xml:space="preserve"> $150,324 </w:t>
            </w:r>
          </w:p>
        </w:tc>
        <w:tc>
          <w:tcPr>
            <w:tcW w:w="446" w:type="pct"/>
            <w:tcBorders>
              <w:top w:val="nil"/>
              <w:left w:val="nil"/>
              <w:bottom w:val="single" w:sz="4" w:space="0" w:color="auto"/>
              <w:right w:val="single" w:sz="4" w:space="0" w:color="auto"/>
            </w:tcBorders>
            <w:shd w:val="clear" w:color="auto" w:fill="auto"/>
          </w:tcPr>
          <w:p w14:paraId="21E98DEF" w14:textId="444503AA"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17F6D5BB" w14:textId="26AA613C" w:rsidR="00252F0C" w:rsidRPr="009D165E" w:rsidRDefault="00252F0C" w:rsidP="00252F0C">
            <w:pPr>
              <w:jc w:val="right"/>
              <w:rPr>
                <w:color w:val="000000" w:themeColor="text1"/>
                <w:sz w:val="14"/>
                <w:szCs w:val="14"/>
              </w:rPr>
            </w:pPr>
            <w:r w:rsidRPr="008F7D63">
              <w:rPr>
                <w:sz w:val="14"/>
                <w:szCs w:val="14"/>
              </w:rPr>
              <w:t xml:space="preserve"> $3,750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3721A7B" w14:textId="7160F16B" w:rsidR="00252F0C" w:rsidRPr="009D165E" w:rsidRDefault="00252F0C" w:rsidP="00252F0C">
            <w:pPr>
              <w:jc w:val="right"/>
              <w:rPr>
                <w:color w:val="000000" w:themeColor="text1"/>
                <w:sz w:val="14"/>
                <w:szCs w:val="14"/>
              </w:rPr>
            </w:pPr>
            <w:r w:rsidRPr="008F7D63">
              <w:rPr>
                <w:sz w:val="14"/>
                <w:szCs w:val="14"/>
              </w:rPr>
              <w:t xml:space="preserve"> $154,074 </w:t>
            </w:r>
          </w:p>
        </w:tc>
      </w:tr>
      <w:tr w:rsidR="00252F0C" w:rsidRPr="00C77927" w14:paraId="56F1CE6C"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7883847" w14:textId="293E4E4D" w:rsidR="00252F0C" w:rsidRPr="00D25FC9" w:rsidRDefault="00252F0C" w:rsidP="00252F0C">
            <w:pPr>
              <w:rPr>
                <w:color w:val="000000" w:themeColor="text1"/>
                <w:sz w:val="14"/>
                <w:szCs w:val="14"/>
              </w:rPr>
            </w:pPr>
            <w:r w:rsidRPr="00D25FC9">
              <w:rPr>
                <w:color w:val="000000"/>
                <w:sz w:val="14"/>
                <w:szCs w:val="14"/>
              </w:rPr>
              <w:t xml:space="preserve">T. Magnesium Production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6FE3F7CC" w14:textId="2F1A7FAC" w:rsidR="00252F0C" w:rsidRPr="009D165E" w:rsidRDefault="00252F0C" w:rsidP="00252F0C">
            <w:pPr>
              <w:jc w:val="right"/>
              <w:rPr>
                <w:color w:val="000000" w:themeColor="text1"/>
                <w:sz w:val="14"/>
                <w:szCs w:val="14"/>
              </w:rPr>
            </w:pPr>
            <w:r w:rsidRPr="008F7D63">
              <w:rPr>
                <w:sz w:val="14"/>
                <w:szCs w:val="14"/>
              </w:rPr>
              <w:t>11</w:t>
            </w:r>
          </w:p>
        </w:tc>
        <w:tc>
          <w:tcPr>
            <w:tcW w:w="465" w:type="pct"/>
            <w:tcBorders>
              <w:top w:val="nil"/>
              <w:left w:val="nil"/>
              <w:bottom w:val="single" w:sz="4" w:space="0" w:color="auto"/>
              <w:right w:val="single" w:sz="4" w:space="0" w:color="auto"/>
            </w:tcBorders>
            <w:shd w:val="clear" w:color="auto" w:fill="auto"/>
          </w:tcPr>
          <w:p w14:paraId="17A63E8E" w14:textId="403112FA" w:rsidR="00252F0C" w:rsidRPr="009D165E" w:rsidRDefault="006E729F" w:rsidP="00252F0C">
            <w:pPr>
              <w:jc w:val="right"/>
              <w:rPr>
                <w:color w:val="000000" w:themeColor="text1"/>
                <w:sz w:val="14"/>
                <w:szCs w:val="14"/>
              </w:rPr>
            </w:pPr>
            <w:r>
              <w:rPr>
                <w:sz w:val="14"/>
                <w:szCs w:val="14"/>
              </w:rPr>
              <w:t>83</w:t>
            </w:r>
          </w:p>
        </w:tc>
        <w:tc>
          <w:tcPr>
            <w:tcW w:w="406" w:type="pct"/>
            <w:tcBorders>
              <w:top w:val="nil"/>
              <w:left w:val="nil"/>
              <w:bottom w:val="single" w:sz="4" w:space="0" w:color="auto"/>
              <w:right w:val="single" w:sz="4" w:space="0" w:color="auto"/>
            </w:tcBorders>
            <w:shd w:val="clear" w:color="auto" w:fill="auto"/>
          </w:tcPr>
          <w:p w14:paraId="5FBA815C" w14:textId="35B1E227" w:rsidR="00252F0C" w:rsidRPr="00B40AFD" w:rsidRDefault="006E729F" w:rsidP="00252F0C">
            <w:pPr>
              <w:jc w:val="right"/>
              <w:rPr>
                <w:color w:val="000000"/>
                <w:sz w:val="14"/>
                <w:szCs w:val="14"/>
              </w:rPr>
            </w:pPr>
            <w:r>
              <w:rPr>
                <w:sz w:val="14"/>
                <w:szCs w:val="14"/>
              </w:rPr>
              <w:t>913</w:t>
            </w:r>
          </w:p>
        </w:tc>
        <w:tc>
          <w:tcPr>
            <w:tcW w:w="515" w:type="pct"/>
            <w:tcBorders>
              <w:top w:val="nil"/>
              <w:left w:val="nil"/>
              <w:bottom w:val="single" w:sz="4" w:space="0" w:color="auto"/>
              <w:right w:val="single" w:sz="4" w:space="0" w:color="auto"/>
            </w:tcBorders>
            <w:shd w:val="clear" w:color="auto" w:fill="auto"/>
          </w:tcPr>
          <w:p w14:paraId="5E463C71" w14:textId="42785558" w:rsidR="00252F0C" w:rsidRPr="009D165E" w:rsidRDefault="00252F0C" w:rsidP="00252F0C">
            <w:pPr>
              <w:jc w:val="right"/>
              <w:rPr>
                <w:color w:val="000000" w:themeColor="text1"/>
                <w:sz w:val="14"/>
                <w:szCs w:val="14"/>
              </w:rPr>
            </w:pPr>
            <w:r w:rsidRPr="008F7D63">
              <w:rPr>
                <w:sz w:val="14"/>
                <w:szCs w:val="14"/>
              </w:rPr>
              <w:t>200</w:t>
            </w:r>
          </w:p>
        </w:tc>
        <w:tc>
          <w:tcPr>
            <w:tcW w:w="514" w:type="pct"/>
            <w:tcBorders>
              <w:top w:val="nil"/>
              <w:left w:val="nil"/>
              <w:bottom w:val="single" w:sz="4" w:space="0" w:color="auto"/>
              <w:right w:val="single" w:sz="4" w:space="0" w:color="auto"/>
            </w:tcBorders>
            <w:shd w:val="clear" w:color="auto" w:fill="auto"/>
          </w:tcPr>
          <w:p w14:paraId="4789A36D" w14:textId="1D6EEDF5" w:rsidR="00252F0C" w:rsidRPr="009D165E" w:rsidRDefault="00252F0C" w:rsidP="00252F0C">
            <w:pPr>
              <w:jc w:val="right"/>
              <w:rPr>
                <w:color w:val="000000" w:themeColor="text1"/>
                <w:sz w:val="14"/>
                <w:szCs w:val="14"/>
              </w:rPr>
            </w:pPr>
            <w:r w:rsidRPr="008F7D63">
              <w:rPr>
                <w:sz w:val="14"/>
                <w:szCs w:val="14"/>
              </w:rPr>
              <w:t xml:space="preserve"> $14,387 </w:t>
            </w:r>
          </w:p>
        </w:tc>
        <w:tc>
          <w:tcPr>
            <w:tcW w:w="446" w:type="pct"/>
            <w:tcBorders>
              <w:top w:val="nil"/>
              <w:left w:val="nil"/>
              <w:bottom w:val="single" w:sz="4" w:space="0" w:color="auto"/>
              <w:right w:val="single" w:sz="4" w:space="0" w:color="auto"/>
            </w:tcBorders>
            <w:shd w:val="clear" w:color="auto" w:fill="auto"/>
          </w:tcPr>
          <w:p w14:paraId="064F676A" w14:textId="43AB9371"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p>
        </w:tc>
        <w:tc>
          <w:tcPr>
            <w:tcW w:w="514" w:type="pct"/>
            <w:tcBorders>
              <w:top w:val="nil"/>
              <w:left w:val="nil"/>
              <w:bottom w:val="single" w:sz="4" w:space="0" w:color="auto"/>
              <w:right w:val="single" w:sz="4" w:space="0" w:color="auto"/>
            </w:tcBorders>
            <w:shd w:val="clear" w:color="auto" w:fill="auto"/>
          </w:tcPr>
          <w:p w14:paraId="2F3F06AE" w14:textId="28441BD0" w:rsidR="00252F0C" w:rsidRPr="009D165E" w:rsidRDefault="00252F0C" w:rsidP="00252F0C">
            <w:pPr>
              <w:jc w:val="right"/>
              <w:rPr>
                <w:color w:val="000000" w:themeColor="text1"/>
                <w:sz w:val="14"/>
                <w:szCs w:val="14"/>
              </w:rPr>
            </w:pPr>
            <w:r w:rsidRPr="008F7D63">
              <w:rPr>
                <w:sz w:val="14"/>
                <w:szCs w:val="14"/>
              </w:rPr>
              <w:t xml:space="preserve"> $550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1FF00B64" w14:textId="57EBB228" w:rsidR="00252F0C" w:rsidRPr="009D165E" w:rsidRDefault="00252F0C" w:rsidP="00252F0C">
            <w:pPr>
              <w:jc w:val="right"/>
              <w:rPr>
                <w:color w:val="000000" w:themeColor="text1"/>
                <w:sz w:val="14"/>
                <w:szCs w:val="14"/>
              </w:rPr>
            </w:pPr>
            <w:r w:rsidRPr="008F7D63">
              <w:rPr>
                <w:sz w:val="14"/>
                <w:szCs w:val="14"/>
              </w:rPr>
              <w:t xml:space="preserve"> $14,937 </w:t>
            </w:r>
          </w:p>
        </w:tc>
      </w:tr>
      <w:tr w:rsidR="00252F0C" w:rsidRPr="00C77927" w14:paraId="1ACFE3C7"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1588EFEF" w14:textId="50E73151" w:rsidR="00252F0C" w:rsidRPr="00D25FC9" w:rsidRDefault="00252F0C" w:rsidP="00252F0C">
            <w:pPr>
              <w:rPr>
                <w:color w:val="000000" w:themeColor="text1"/>
                <w:sz w:val="14"/>
                <w:szCs w:val="14"/>
              </w:rPr>
            </w:pPr>
            <w:r w:rsidRPr="00D25FC9">
              <w:rPr>
                <w:color w:val="000000"/>
                <w:sz w:val="14"/>
                <w:szCs w:val="14"/>
              </w:rPr>
              <w:t>U. Misc</w:t>
            </w:r>
            <w:r>
              <w:rPr>
                <w:color w:val="000000"/>
                <w:sz w:val="14"/>
                <w:szCs w:val="14"/>
              </w:rPr>
              <w:t>ellaneous</w:t>
            </w:r>
            <w:r w:rsidRPr="00D25FC9">
              <w:rPr>
                <w:color w:val="000000"/>
                <w:sz w:val="14"/>
                <w:szCs w:val="14"/>
              </w:rPr>
              <w:t xml:space="preserve"> Uses of Carbonate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4169707A" w14:textId="4D62ACF2" w:rsidR="00252F0C" w:rsidRPr="009D165E" w:rsidRDefault="00252F0C" w:rsidP="00252F0C">
            <w:pPr>
              <w:jc w:val="right"/>
              <w:rPr>
                <w:color w:val="000000" w:themeColor="text1"/>
                <w:sz w:val="14"/>
                <w:szCs w:val="14"/>
              </w:rPr>
            </w:pPr>
            <w:r w:rsidRPr="008F7D63">
              <w:rPr>
                <w:sz w:val="14"/>
                <w:szCs w:val="14"/>
              </w:rPr>
              <w:t>7</w:t>
            </w:r>
          </w:p>
        </w:tc>
        <w:tc>
          <w:tcPr>
            <w:tcW w:w="465" w:type="pct"/>
            <w:tcBorders>
              <w:top w:val="nil"/>
              <w:left w:val="nil"/>
              <w:bottom w:val="single" w:sz="4" w:space="0" w:color="auto"/>
              <w:right w:val="single" w:sz="4" w:space="0" w:color="auto"/>
            </w:tcBorders>
            <w:shd w:val="clear" w:color="auto" w:fill="auto"/>
          </w:tcPr>
          <w:p w14:paraId="050CCB32" w14:textId="043DCA23" w:rsidR="00252F0C" w:rsidRPr="009D165E" w:rsidRDefault="006E729F" w:rsidP="00252F0C">
            <w:pPr>
              <w:jc w:val="right"/>
              <w:rPr>
                <w:color w:val="000000" w:themeColor="text1"/>
                <w:sz w:val="14"/>
                <w:szCs w:val="14"/>
              </w:rPr>
            </w:pPr>
            <w:r>
              <w:rPr>
                <w:sz w:val="14"/>
                <w:szCs w:val="14"/>
              </w:rPr>
              <w:t>7</w:t>
            </w:r>
          </w:p>
        </w:tc>
        <w:tc>
          <w:tcPr>
            <w:tcW w:w="406" w:type="pct"/>
            <w:tcBorders>
              <w:top w:val="nil"/>
              <w:left w:val="nil"/>
              <w:bottom w:val="single" w:sz="4" w:space="0" w:color="auto"/>
              <w:right w:val="single" w:sz="4" w:space="0" w:color="auto"/>
            </w:tcBorders>
            <w:shd w:val="clear" w:color="auto" w:fill="auto"/>
          </w:tcPr>
          <w:p w14:paraId="56DBEC98" w14:textId="51805DA1" w:rsidR="00252F0C" w:rsidRPr="00B40AFD" w:rsidRDefault="006E729F" w:rsidP="00252F0C">
            <w:pPr>
              <w:jc w:val="right"/>
              <w:rPr>
                <w:color w:val="000000"/>
                <w:sz w:val="14"/>
                <w:szCs w:val="14"/>
              </w:rPr>
            </w:pPr>
            <w:r>
              <w:rPr>
                <w:sz w:val="14"/>
                <w:szCs w:val="14"/>
              </w:rPr>
              <w:t>49</w:t>
            </w:r>
          </w:p>
        </w:tc>
        <w:tc>
          <w:tcPr>
            <w:tcW w:w="515" w:type="pct"/>
            <w:tcBorders>
              <w:top w:val="nil"/>
              <w:left w:val="nil"/>
              <w:bottom w:val="single" w:sz="4" w:space="0" w:color="auto"/>
              <w:right w:val="single" w:sz="4" w:space="0" w:color="auto"/>
            </w:tcBorders>
            <w:shd w:val="clear" w:color="auto" w:fill="auto"/>
          </w:tcPr>
          <w:p w14:paraId="39980FE3" w14:textId="13E66FB8" w:rsidR="00252F0C" w:rsidRPr="009D165E" w:rsidRDefault="00252F0C" w:rsidP="00252F0C">
            <w:pPr>
              <w:jc w:val="right"/>
              <w:rPr>
                <w:color w:val="000000" w:themeColor="text1"/>
                <w:sz w:val="14"/>
                <w:szCs w:val="14"/>
              </w:rPr>
            </w:pPr>
            <w:r w:rsidRPr="008F7D63">
              <w:rPr>
                <w:sz w:val="14"/>
                <w:szCs w:val="14"/>
              </w:rPr>
              <w:t>63</w:t>
            </w:r>
          </w:p>
        </w:tc>
        <w:tc>
          <w:tcPr>
            <w:tcW w:w="514" w:type="pct"/>
            <w:tcBorders>
              <w:top w:val="nil"/>
              <w:left w:val="nil"/>
              <w:bottom w:val="single" w:sz="4" w:space="0" w:color="auto"/>
              <w:right w:val="single" w:sz="4" w:space="0" w:color="auto"/>
            </w:tcBorders>
            <w:shd w:val="clear" w:color="auto" w:fill="auto"/>
          </w:tcPr>
          <w:p w14:paraId="19A63FEC" w14:textId="0A58B100" w:rsidR="00252F0C" w:rsidRPr="009D165E" w:rsidRDefault="00252F0C" w:rsidP="00252F0C">
            <w:pPr>
              <w:jc w:val="right"/>
              <w:rPr>
                <w:color w:val="000000" w:themeColor="text1"/>
                <w:sz w:val="14"/>
                <w:szCs w:val="14"/>
              </w:rPr>
            </w:pPr>
            <w:r w:rsidRPr="008F7D63">
              <w:rPr>
                <w:sz w:val="14"/>
                <w:szCs w:val="14"/>
              </w:rPr>
              <w:t xml:space="preserve"> $4,300 </w:t>
            </w:r>
          </w:p>
        </w:tc>
        <w:tc>
          <w:tcPr>
            <w:tcW w:w="446" w:type="pct"/>
            <w:tcBorders>
              <w:top w:val="nil"/>
              <w:left w:val="nil"/>
              <w:bottom w:val="single" w:sz="4" w:space="0" w:color="auto"/>
              <w:right w:val="single" w:sz="4" w:space="0" w:color="auto"/>
            </w:tcBorders>
            <w:shd w:val="clear" w:color="auto" w:fill="auto"/>
          </w:tcPr>
          <w:p w14:paraId="19EF0D04" w14:textId="078B0799"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p>
        </w:tc>
        <w:tc>
          <w:tcPr>
            <w:tcW w:w="514" w:type="pct"/>
            <w:tcBorders>
              <w:top w:val="nil"/>
              <w:left w:val="nil"/>
              <w:bottom w:val="single" w:sz="4" w:space="0" w:color="auto"/>
              <w:right w:val="single" w:sz="4" w:space="0" w:color="auto"/>
            </w:tcBorders>
            <w:shd w:val="clear" w:color="auto" w:fill="auto"/>
          </w:tcPr>
          <w:p w14:paraId="02D3027C" w14:textId="7BAF2DB4" w:rsidR="00252F0C" w:rsidRPr="009D165E" w:rsidRDefault="00252F0C" w:rsidP="00252F0C">
            <w:pPr>
              <w:jc w:val="right"/>
              <w:rPr>
                <w:color w:val="000000" w:themeColor="text1"/>
                <w:sz w:val="14"/>
                <w:szCs w:val="14"/>
              </w:rPr>
            </w:pPr>
            <w:r w:rsidRPr="008F7D63">
              <w:rPr>
                <w:sz w:val="14"/>
                <w:szCs w:val="14"/>
              </w:rPr>
              <w:t xml:space="preserve"> $350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4131314" w14:textId="0A794A48" w:rsidR="00252F0C" w:rsidRPr="009D165E" w:rsidRDefault="00252F0C" w:rsidP="00252F0C">
            <w:pPr>
              <w:jc w:val="right"/>
              <w:rPr>
                <w:color w:val="000000" w:themeColor="text1"/>
                <w:sz w:val="14"/>
                <w:szCs w:val="14"/>
              </w:rPr>
            </w:pPr>
            <w:r w:rsidRPr="008F7D63">
              <w:rPr>
                <w:sz w:val="14"/>
                <w:szCs w:val="14"/>
              </w:rPr>
              <w:t xml:space="preserve"> $4,650 </w:t>
            </w:r>
          </w:p>
        </w:tc>
      </w:tr>
      <w:tr w:rsidR="00252F0C" w:rsidRPr="00C77927" w14:paraId="61207981"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3461F6ED" w14:textId="151057C3" w:rsidR="00252F0C" w:rsidRPr="00D25FC9" w:rsidRDefault="00252F0C" w:rsidP="00252F0C">
            <w:pPr>
              <w:rPr>
                <w:color w:val="000000" w:themeColor="text1"/>
                <w:sz w:val="14"/>
                <w:szCs w:val="14"/>
              </w:rPr>
            </w:pPr>
            <w:r w:rsidRPr="00D25FC9">
              <w:rPr>
                <w:color w:val="000000"/>
                <w:sz w:val="14"/>
                <w:szCs w:val="14"/>
              </w:rPr>
              <w:t xml:space="preserve">V. Nitric Acid Production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2D4AAD54" w14:textId="7CDE82D4" w:rsidR="00252F0C" w:rsidRPr="009D165E" w:rsidRDefault="00252F0C" w:rsidP="00252F0C">
            <w:pPr>
              <w:jc w:val="right"/>
              <w:rPr>
                <w:color w:val="000000" w:themeColor="text1"/>
                <w:sz w:val="14"/>
                <w:szCs w:val="14"/>
              </w:rPr>
            </w:pPr>
            <w:r w:rsidRPr="008F7D63">
              <w:rPr>
                <w:sz w:val="14"/>
                <w:szCs w:val="14"/>
              </w:rPr>
              <w:t>32</w:t>
            </w:r>
          </w:p>
        </w:tc>
        <w:tc>
          <w:tcPr>
            <w:tcW w:w="465" w:type="pct"/>
            <w:tcBorders>
              <w:top w:val="nil"/>
              <w:left w:val="nil"/>
              <w:bottom w:val="single" w:sz="4" w:space="0" w:color="auto"/>
              <w:right w:val="single" w:sz="4" w:space="0" w:color="auto"/>
            </w:tcBorders>
            <w:shd w:val="clear" w:color="auto" w:fill="auto"/>
          </w:tcPr>
          <w:p w14:paraId="24E83114" w14:textId="4494DD2D" w:rsidR="00252F0C" w:rsidRPr="009D165E" w:rsidRDefault="008B089D" w:rsidP="00252F0C">
            <w:pPr>
              <w:jc w:val="right"/>
              <w:rPr>
                <w:color w:val="000000" w:themeColor="text1"/>
                <w:sz w:val="14"/>
                <w:szCs w:val="14"/>
              </w:rPr>
            </w:pPr>
            <w:r>
              <w:rPr>
                <w:sz w:val="14"/>
                <w:szCs w:val="14"/>
              </w:rPr>
              <w:t>23</w:t>
            </w:r>
          </w:p>
        </w:tc>
        <w:tc>
          <w:tcPr>
            <w:tcW w:w="406" w:type="pct"/>
            <w:tcBorders>
              <w:top w:val="nil"/>
              <w:left w:val="nil"/>
              <w:bottom w:val="single" w:sz="4" w:space="0" w:color="auto"/>
              <w:right w:val="single" w:sz="4" w:space="0" w:color="auto"/>
            </w:tcBorders>
            <w:shd w:val="clear" w:color="auto" w:fill="auto"/>
          </w:tcPr>
          <w:p w14:paraId="7AAFA3A1" w14:textId="1DF5F293" w:rsidR="00252F0C" w:rsidRPr="00B40AFD" w:rsidRDefault="00A97121" w:rsidP="00252F0C">
            <w:pPr>
              <w:jc w:val="right"/>
              <w:rPr>
                <w:color w:val="000000"/>
                <w:sz w:val="14"/>
                <w:szCs w:val="14"/>
              </w:rPr>
            </w:pPr>
            <w:r>
              <w:rPr>
                <w:sz w:val="14"/>
                <w:szCs w:val="14"/>
              </w:rPr>
              <w:t>736</w:t>
            </w:r>
          </w:p>
        </w:tc>
        <w:tc>
          <w:tcPr>
            <w:tcW w:w="515" w:type="pct"/>
            <w:tcBorders>
              <w:top w:val="nil"/>
              <w:left w:val="nil"/>
              <w:bottom w:val="single" w:sz="4" w:space="0" w:color="auto"/>
              <w:right w:val="single" w:sz="4" w:space="0" w:color="auto"/>
            </w:tcBorders>
            <w:shd w:val="clear" w:color="auto" w:fill="auto"/>
          </w:tcPr>
          <w:p w14:paraId="5F6C404A" w14:textId="3E97C15B" w:rsidR="00252F0C" w:rsidRPr="009D165E" w:rsidRDefault="00252F0C" w:rsidP="00252F0C">
            <w:pPr>
              <w:jc w:val="right"/>
              <w:rPr>
                <w:color w:val="000000" w:themeColor="text1"/>
                <w:sz w:val="14"/>
                <w:szCs w:val="14"/>
              </w:rPr>
            </w:pPr>
            <w:r w:rsidRPr="008F7D63">
              <w:rPr>
                <w:sz w:val="14"/>
                <w:szCs w:val="14"/>
              </w:rPr>
              <w:t>1,150</w:t>
            </w:r>
          </w:p>
        </w:tc>
        <w:tc>
          <w:tcPr>
            <w:tcW w:w="514" w:type="pct"/>
            <w:tcBorders>
              <w:top w:val="nil"/>
              <w:left w:val="nil"/>
              <w:bottom w:val="single" w:sz="4" w:space="0" w:color="auto"/>
              <w:right w:val="single" w:sz="4" w:space="0" w:color="auto"/>
            </w:tcBorders>
            <w:shd w:val="clear" w:color="auto" w:fill="auto"/>
          </w:tcPr>
          <w:p w14:paraId="56EB4327" w14:textId="5EE19C4B" w:rsidR="00252F0C" w:rsidRPr="009D165E" w:rsidRDefault="00252F0C" w:rsidP="00252F0C">
            <w:pPr>
              <w:jc w:val="right"/>
              <w:rPr>
                <w:color w:val="000000" w:themeColor="text1"/>
                <w:sz w:val="14"/>
                <w:szCs w:val="14"/>
              </w:rPr>
            </w:pPr>
            <w:r w:rsidRPr="008F7D63">
              <w:rPr>
                <w:sz w:val="14"/>
                <w:szCs w:val="14"/>
              </w:rPr>
              <w:t xml:space="preserve"> $82,418 </w:t>
            </w:r>
          </w:p>
        </w:tc>
        <w:tc>
          <w:tcPr>
            <w:tcW w:w="446" w:type="pct"/>
            <w:tcBorders>
              <w:top w:val="nil"/>
              <w:left w:val="nil"/>
              <w:bottom w:val="single" w:sz="4" w:space="0" w:color="auto"/>
              <w:right w:val="single" w:sz="4" w:space="0" w:color="auto"/>
            </w:tcBorders>
            <w:shd w:val="clear" w:color="auto" w:fill="auto"/>
          </w:tcPr>
          <w:p w14:paraId="1A7C1B11" w14:textId="1035DA17"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2627243C" w14:textId="7CFC6CF5" w:rsidR="00252F0C" w:rsidRPr="009D165E" w:rsidRDefault="00252F0C" w:rsidP="00252F0C">
            <w:pPr>
              <w:jc w:val="right"/>
              <w:rPr>
                <w:color w:val="000000" w:themeColor="text1"/>
                <w:sz w:val="14"/>
                <w:szCs w:val="14"/>
              </w:rPr>
            </w:pPr>
            <w:r w:rsidRPr="008F7D63">
              <w:rPr>
                <w:sz w:val="14"/>
                <w:szCs w:val="14"/>
              </w:rPr>
              <w:t xml:space="preserve"> $257,812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6A5C918" w14:textId="7AECF394" w:rsidR="00252F0C" w:rsidRPr="009D165E" w:rsidRDefault="00252F0C" w:rsidP="00252F0C">
            <w:pPr>
              <w:jc w:val="right"/>
              <w:rPr>
                <w:color w:val="000000" w:themeColor="text1"/>
                <w:sz w:val="14"/>
                <w:szCs w:val="14"/>
              </w:rPr>
            </w:pPr>
            <w:r w:rsidRPr="008F7D63">
              <w:rPr>
                <w:sz w:val="14"/>
                <w:szCs w:val="14"/>
              </w:rPr>
              <w:t xml:space="preserve"> $340,231 </w:t>
            </w:r>
          </w:p>
        </w:tc>
      </w:tr>
      <w:tr w:rsidR="00252F0C" w:rsidRPr="00C77927" w14:paraId="46D4643C"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35E23742" w14:textId="375F2999" w:rsidR="00252F0C" w:rsidRPr="00D25FC9" w:rsidRDefault="00252F0C" w:rsidP="00252F0C">
            <w:pPr>
              <w:rPr>
                <w:color w:val="000000" w:themeColor="text1"/>
                <w:sz w:val="14"/>
                <w:szCs w:val="14"/>
              </w:rPr>
            </w:pPr>
            <w:r w:rsidRPr="00D25FC9">
              <w:rPr>
                <w:color w:val="000000"/>
                <w:sz w:val="14"/>
                <w:szCs w:val="14"/>
              </w:rPr>
              <w:t xml:space="preserve">W. Petroleum and Natural Gas Systems </w:t>
            </w:r>
            <w:r w:rsidRPr="00D25FC9">
              <w:rPr>
                <w:color w:val="000000"/>
                <w:sz w:val="14"/>
                <w:szCs w:val="14"/>
                <w:vertAlign w:val="superscript"/>
              </w:rPr>
              <w:t>c,</w:t>
            </w:r>
            <w:r>
              <w:rPr>
                <w:color w:val="000000"/>
                <w:sz w:val="14"/>
                <w:szCs w:val="14"/>
                <w:vertAlign w:val="superscript"/>
              </w:rPr>
              <w:t>e,</w:t>
            </w:r>
            <w:r w:rsidRPr="00D25FC9">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426EC04F" w14:textId="5BFED498" w:rsidR="00252F0C" w:rsidRPr="009D165E" w:rsidRDefault="00252F0C" w:rsidP="00252F0C">
            <w:pPr>
              <w:jc w:val="right"/>
              <w:rPr>
                <w:color w:val="000000" w:themeColor="text1"/>
                <w:sz w:val="14"/>
                <w:szCs w:val="14"/>
              </w:rPr>
            </w:pPr>
            <w:r w:rsidRPr="008F7D63">
              <w:rPr>
                <w:sz w:val="14"/>
                <w:szCs w:val="14"/>
              </w:rPr>
              <w:t>2,202</w:t>
            </w:r>
          </w:p>
        </w:tc>
        <w:tc>
          <w:tcPr>
            <w:tcW w:w="465" w:type="pct"/>
            <w:tcBorders>
              <w:top w:val="nil"/>
              <w:left w:val="nil"/>
              <w:bottom w:val="single" w:sz="4" w:space="0" w:color="auto"/>
              <w:right w:val="single" w:sz="4" w:space="0" w:color="auto"/>
            </w:tcBorders>
            <w:shd w:val="clear" w:color="auto" w:fill="auto"/>
          </w:tcPr>
          <w:p w14:paraId="2DD46EAB" w14:textId="7F67A21A" w:rsidR="00252F0C" w:rsidRPr="009D165E" w:rsidRDefault="008B089D" w:rsidP="00252F0C">
            <w:pPr>
              <w:jc w:val="right"/>
              <w:rPr>
                <w:color w:val="000000" w:themeColor="text1"/>
                <w:sz w:val="14"/>
                <w:szCs w:val="14"/>
              </w:rPr>
            </w:pPr>
            <w:r>
              <w:rPr>
                <w:sz w:val="14"/>
                <w:szCs w:val="14"/>
              </w:rPr>
              <w:t>3,294</w:t>
            </w:r>
          </w:p>
        </w:tc>
        <w:tc>
          <w:tcPr>
            <w:tcW w:w="406" w:type="pct"/>
            <w:tcBorders>
              <w:top w:val="nil"/>
              <w:left w:val="nil"/>
              <w:bottom w:val="single" w:sz="4" w:space="0" w:color="auto"/>
              <w:right w:val="single" w:sz="4" w:space="0" w:color="auto"/>
            </w:tcBorders>
            <w:shd w:val="clear" w:color="auto" w:fill="auto"/>
          </w:tcPr>
          <w:p w14:paraId="49A6530A" w14:textId="45C2C232" w:rsidR="00252F0C" w:rsidRPr="009D165E" w:rsidRDefault="00A97121" w:rsidP="00252F0C">
            <w:pPr>
              <w:jc w:val="right"/>
              <w:rPr>
                <w:color w:val="000000" w:themeColor="text1"/>
                <w:sz w:val="14"/>
                <w:szCs w:val="14"/>
              </w:rPr>
            </w:pPr>
            <w:r>
              <w:rPr>
                <w:sz w:val="14"/>
                <w:szCs w:val="14"/>
              </w:rPr>
              <w:t>7,253,388</w:t>
            </w:r>
          </w:p>
        </w:tc>
        <w:tc>
          <w:tcPr>
            <w:tcW w:w="515" w:type="pct"/>
            <w:tcBorders>
              <w:top w:val="nil"/>
              <w:left w:val="nil"/>
              <w:bottom w:val="single" w:sz="4" w:space="0" w:color="auto"/>
              <w:right w:val="single" w:sz="4" w:space="0" w:color="auto"/>
            </w:tcBorders>
            <w:shd w:val="clear" w:color="auto" w:fill="auto"/>
          </w:tcPr>
          <w:p w14:paraId="2BAD61DD" w14:textId="28B62AA8" w:rsidR="00252F0C" w:rsidRPr="009D165E" w:rsidRDefault="00252F0C" w:rsidP="00252F0C">
            <w:pPr>
              <w:jc w:val="right"/>
              <w:rPr>
                <w:color w:val="000000" w:themeColor="text1"/>
                <w:sz w:val="14"/>
                <w:szCs w:val="14"/>
              </w:rPr>
            </w:pPr>
            <w:r w:rsidRPr="008F7D63">
              <w:rPr>
                <w:sz w:val="14"/>
                <w:szCs w:val="14"/>
              </w:rPr>
              <w:t>270,666</w:t>
            </w:r>
          </w:p>
        </w:tc>
        <w:tc>
          <w:tcPr>
            <w:tcW w:w="514" w:type="pct"/>
            <w:tcBorders>
              <w:top w:val="nil"/>
              <w:left w:val="nil"/>
              <w:bottom w:val="single" w:sz="4" w:space="0" w:color="auto"/>
              <w:right w:val="single" w:sz="4" w:space="0" w:color="auto"/>
            </w:tcBorders>
            <w:shd w:val="clear" w:color="auto" w:fill="auto"/>
          </w:tcPr>
          <w:p w14:paraId="35901BA6" w14:textId="6F8F46D8" w:rsidR="00252F0C" w:rsidRPr="009D165E" w:rsidRDefault="00252F0C" w:rsidP="00252F0C">
            <w:pPr>
              <w:jc w:val="right"/>
              <w:rPr>
                <w:color w:val="000000" w:themeColor="text1"/>
                <w:sz w:val="14"/>
                <w:szCs w:val="14"/>
              </w:rPr>
            </w:pPr>
            <w:r w:rsidRPr="008F7D63">
              <w:rPr>
                <w:sz w:val="14"/>
                <w:szCs w:val="14"/>
              </w:rPr>
              <w:t xml:space="preserve"> $25,051,135 </w:t>
            </w:r>
          </w:p>
        </w:tc>
        <w:tc>
          <w:tcPr>
            <w:tcW w:w="446" w:type="pct"/>
            <w:tcBorders>
              <w:top w:val="nil"/>
              <w:left w:val="nil"/>
              <w:bottom w:val="single" w:sz="4" w:space="0" w:color="auto"/>
              <w:right w:val="single" w:sz="4" w:space="0" w:color="auto"/>
            </w:tcBorders>
            <w:shd w:val="clear" w:color="auto" w:fill="auto"/>
          </w:tcPr>
          <w:p w14:paraId="74818A44" w14:textId="669DC82C"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28A2402D" w14:textId="4E153BFD" w:rsidR="00252F0C" w:rsidRPr="009D165E" w:rsidRDefault="00252F0C" w:rsidP="00252F0C">
            <w:pPr>
              <w:jc w:val="right"/>
              <w:rPr>
                <w:color w:val="000000" w:themeColor="text1"/>
                <w:sz w:val="14"/>
                <w:szCs w:val="14"/>
              </w:rPr>
            </w:pPr>
            <w:r w:rsidRPr="008F7D63">
              <w:rPr>
                <w:sz w:val="14"/>
                <w:szCs w:val="14"/>
              </w:rPr>
              <w:t xml:space="preserve"> $20,161,288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384C05B" w14:textId="1FAB4A5B" w:rsidR="00252F0C" w:rsidRPr="009D165E" w:rsidRDefault="00252F0C" w:rsidP="00252F0C">
            <w:pPr>
              <w:jc w:val="right"/>
              <w:rPr>
                <w:color w:val="000000" w:themeColor="text1"/>
                <w:sz w:val="14"/>
                <w:szCs w:val="14"/>
              </w:rPr>
            </w:pPr>
            <w:r w:rsidRPr="008F7D63">
              <w:rPr>
                <w:sz w:val="14"/>
                <w:szCs w:val="14"/>
              </w:rPr>
              <w:t xml:space="preserve"> $45,212,423 </w:t>
            </w:r>
          </w:p>
        </w:tc>
      </w:tr>
      <w:tr w:rsidR="00252F0C" w:rsidRPr="00C77927" w14:paraId="14D0567F"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5D163154" w14:textId="1497AB77" w:rsidR="00252F0C" w:rsidRPr="00D25FC9" w:rsidRDefault="00252F0C" w:rsidP="00252F0C">
            <w:pPr>
              <w:rPr>
                <w:color w:val="000000" w:themeColor="text1"/>
                <w:sz w:val="14"/>
                <w:szCs w:val="14"/>
              </w:rPr>
            </w:pPr>
            <w:r w:rsidRPr="00D25FC9">
              <w:rPr>
                <w:color w:val="000000"/>
                <w:sz w:val="14"/>
                <w:szCs w:val="14"/>
              </w:rPr>
              <w:t xml:space="preserve">X. Petrochemical Production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376F540F" w14:textId="659B712E" w:rsidR="00252F0C" w:rsidRPr="009D165E" w:rsidRDefault="00252F0C" w:rsidP="00252F0C">
            <w:pPr>
              <w:jc w:val="right"/>
              <w:rPr>
                <w:color w:val="000000" w:themeColor="text1"/>
                <w:sz w:val="14"/>
                <w:szCs w:val="14"/>
              </w:rPr>
            </w:pPr>
            <w:r w:rsidRPr="008F7D63">
              <w:rPr>
                <w:sz w:val="14"/>
                <w:szCs w:val="14"/>
              </w:rPr>
              <w:t>79</w:t>
            </w:r>
          </w:p>
        </w:tc>
        <w:tc>
          <w:tcPr>
            <w:tcW w:w="465" w:type="pct"/>
            <w:tcBorders>
              <w:top w:val="nil"/>
              <w:left w:val="nil"/>
              <w:bottom w:val="single" w:sz="4" w:space="0" w:color="auto"/>
              <w:right w:val="single" w:sz="4" w:space="0" w:color="auto"/>
            </w:tcBorders>
            <w:shd w:val="clear" w:color="auto" w:fill="auto"/>
          </w:tcPr>
          <w:p w14:paraId="44F8968B" w14:textId="5BA0D0A7" w:rsidR="00252F0C" w:rsidRPr="009D165E" w:rsidRDefault="008B089D" w:rsidP="00252F0C">
            <w:pPr>
              <w:jc w:val="right"/>
              <w:rPr>
                <w:color w:val="000000" w:themeColor="text1"/>
                <w:sz w:val="14"/>
                <w:szCs w:val="14"/>
              </w:rPr>
            </w:pPr>
            <w:r>
              <w:rPr>
                <w:sz w:val="14"/>
                <w:szCs w:val="14"/>
              </w:rPr>
              <w:t>672</w:t>
            </w:r>
          </w:p>
        </w:tc>
        <w:tc>
          <w:tcPr>
            <w:tcW w:w="406" w:type="pct"/>
            <w:tcBorders>
              <w:top w:val="nil"/>
              <w:left w:val="nil"/>
              <w:bottom w:val="single" w:sz="4" w:space="0" w:color="auto"/>
              <w:right w:val="single" w:sz="4" w:space="0" w:color="auto"/>
            </w:tcBorders>
            <w:shd w:val="clear" w:color="auto" w:fill="auto"/>
          </w:tcPr>
          <w:p w14:paraId="0FB43D32" w14:textId="4371845D" w:rsidR="00252F0C" w:rsidRPr="00B40AFD" w:rsidRDefault="008B089D" w:rsidP="00252F0C">
            <w:pPr>
              <w:jc w:val="right"/>
              <w:rPr>
                <w:color w:val="000000"/>
                <w:sz w:val="14"/>
                <w:szCs w:val="14"/>
              </w:rPr>
            </w:pPr>
            <w:r>
              <w:rPr>
                <w:sz w:val="14"/>
                <w:szCs w:val="14"/>
              </w:rPr>
              <w:t>53,088</w:t>
            </w:r>
          </w:p>
        </w:tc>
        <w:tc>
          <w:tcPr>
            <w:tcW w:w="515" w:type="pct"/>
            <w:tcBorders>
              <w:top w:val="nil"/>
              <w:left w:val="nil"/>
              <w:bottom w:val="single" w:sz="4" w:space="0" w:color="auto"/>
              <w:right w:val="single" w:sz="4" w:space="0" w:color="auto"/>
            </w:tcBorders>
            <w:shd w:val="clear" w:color="auto" w:fill="auto"/>
          </w:tcPr>
          <w:p w14:paraId="520CF692" w14:textId="3C734449" w:rsidR="00252F0C" w:rsidRPr="009D165E" w:rsidRDefault="00252F0C" w:rsidP="00252F0C">
            <w:pPr>
              <w:jc w:val="right"/>
              <w:rPr>
                <w:color w:val="000000" w:themeColor="text1"/>
                <w:sz w:val="14"/>
                <w:szCs w:val="14"/>
              </w:rPr>
            </w:pPr>
            <w:r w:rsidRPr="008F7D63">
              <w:rPr>
                <w:sz w:val="14"/>
                <w:szCs w:val="14"/>
              </w:rPr>
              <w:t>12,733</w:t>
            </w:r>
          </w:p>
        </w:tc>
        <w:tc>
          <w:tcPr>
            <w:tcW w:w="514" w:type="pct"/>
            <w:tcBorders>
              <w:top w:val="nil"/>
              <w:left w:val="nil"/>
              <w:bottom w:val="single" w:sz="4" w:space="0" w:color="auto"/>
              <w:right w:val="single" w:sz="4" w:space="0" w:color="auto"/>
            </w:tcBorders>
            <w:shd w:val="clear" w:color="auto" w:fill="auto"/>
          </w:tcPr>
          <w:p w14:paraId="565C1F65" w14:textId="2D0F6DA7" w:rsidR="00252F0C" w:rsidRPr="009D165E" w:rsidRDefault="00252F0C" w:rsidP="00252F0C">
            <w:pPr>
              <w:jc w:val="right"/>
              <w:rPr>
                <w:color w:val="000000" w:themeColor="text1"/>
                <w:sz w:val="14"/>
                <w:szCs w:val="14"/>
              </w:rPr>
            </w:pPr>
            <w:r w:rsidRPr="008F7D63">
              <w:rPr>
                <w:sz w:val="14"/>
                <w:szCs w:val="14"/>
              </w:rPr>
              <w:t xml:space="preserve"> $891,591 </w:t>
            </w:r>
          </w:p>
        </w:tc>
        <w:tc>
          <w:tcPr>
            <w:tcW w:w="446" w:type="pct"/>
            <w:tcBorders>
              <w:top w:val="nil"/>
              <w:left w:val="nil"/>
              <w:bottom w:val="single" w:sz="4" w:space="0" w:color="auto"/>
              <w:right w:val="single" w:sz="4" w:space="0" w:color="auto"/>
            </w:tcBorders>
            <w:shd w:val="clear" w:color="auto" w:fill="auto"/>
          </w:tcPr>
          <w:p w14:paraId="272D5629" w14:textId="43EE5DEF"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114F2F06" w14:textId="2A96717E" w:rsidR="00252F0C" w:rsidRPr="009D165E" w:rsidRDefault="00252F0C" w:rsidP="00252F0C">
            <w:pPr>
              <w:jc w:val="right"/>
              <w:rPr>
                <w:color w:val="000000" w:themeColor="text1"/>
                <w:sz w:val="14"/>
                <w:szCs w:val="14"/>
              </w:rPr>
            </w:pPr>
            <w:r w:rsidRPr="008F7D63">
              <w:rPr>
                <w:sz w:val="14"/>
                <w:szCs w:val="14"/>
              </w:rPr>
              <w:t xml:space="preserve"> $129,770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5CBC1A3" w14:textId="688CB62E" w:rsidR="00252F0C" w:rsidRPr="009D165E" w:rsidRDefault="00252F0C" w:rsidP="00252F0C">
            <w:pPr>
              <w:jc w:val="right"/>
              <w:rPr>
                <w:color w:val="000000" w:themeColor="text1"/>
                <w:sz w:val="14"/>
                <w:szCs w:val="14"/>
              </w:rPr>
            </w:pPr>
            <w:r w:rsidRPr="008F7D63">
              <w:rPr>
                <w:sz w:val="14"/>
                <w:szCs w:val="14"/>
              </w:rPr>
              <w:t xml:space="preserve"> $1,021,361 </w:t>
            </w:r>
          </w:p>
        </w:tc>
      </w:tr>
      <w:tr w:rsidR="00252F0C" w:rsidRPr="00C77927" w14:paraId="6B148B5E"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1792F62B" w14:textId="3A8F30B7" w:rsidR="00252F0C" w:rsidRPr="00D25FC9" w:rsidRDefault="00252F0C" w:rsidP="00252F0C">
            <w:pPr>
              <w:rPr>
                <w:color w:val="000000" w:themeColor="text1"/>
                <w:sz w:val="14"/>
                <w:szCs w:val="14"/>
              </w:rPr>
            </w:pPr>
            <w:r w:rsidRPr="00D25FC9">
              <w:rPr>
                <w:color w:val="000000"/>
                <w:sz w:val="14"/>
                <w:szCs w:val="14"/>
              </w:rPr>
              <w:t xml:space="preserve">Y. Petroleum Refineries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7BFA93A7" w14:textId="67B9BCDC" w:rsidR="00252F0C" w:rsidRPr="009D165E" w:rsidRDefault="00252F0C" w:rsidP="00252F0C">
            <w:pPr>
              <w:jc w:val="right"/>
              <w:rPr>
                <w:color w:val="000000" w:themeColor="text1"/>
                <w:sz w:val="14"/>
                <w:szCs w:val="14"/>
              </w:rPr>
            </w:pPr>
            <w:r w:rsidRPr="008F7D63">
              <w:rPr>
                <w:sz w:val="14"/>
                <w:szCs w:val="14"/>
              </w:rPr>
              <w:t>144</w:t>
            </w:r>
          </w:p>
        </w:tc>
        <w:tc>
          <w:tcPr>
            <w:tcW w:w="465" w:type="pct"/>
            <w:tcBorders>
              <w:top w:val="nil"/>
              <w:left w:val="nil"/>
              <w:bottom w:val="single" w:sz="4" w:space="0" w:color="auto"/>
              <w:right w:val="single" w:sz="4" w:space="0" w:color="auto"/>
            </w:tcBorders>
            <w:shd w:val="clear" w:color="auto" w:fill="auto"/>
          </w:tcPr>
          <w:p w14:paraId="56FF6B2C" w14:textId="74EFBAA0" w:rsidR="00252F0C" w:rsidRPr="009D165E" w:rsidRDefault="008B089D" w:rsidP="00252F0C">
            <w:pPr>
              <w:jc w:val="right"/>
              <w:rPr>
                <w:color w:val="000000" w:themeColor="text1"/>
                <w:sz w:val="14"/>
                <w:szCs w:val="14"/>
              </w:rPr>
            </w:pPr>
            <w:r>
              <w:rPr>
                <w:sz w:val="14"/>
                <w:szCs w:val="14"/>
              </w:rPr>
              <w:t>173</w:t>
            </w:r>
          </w:p>
        </w:tc>
        <w:tc>
          <w:tcPr>
            <w:tcW w:w="406" w:type="pct"/>
            <w:tcBorders>
              <w:top w:val="nil"/>
              <w:left w:val="nil"/>
              <w:bottom w:val="single" w:sz="4" w:space="0" w:color="auto"/>
              <w:right w:val="single" w:sz="4" w:space="0" w:color="auto"/>
            </w:tcBorders>
            <w:shd w:val="clear" w:color="auto" w:fill="auto"/>
          </w:tcPr>
          <w:p w14:paraId="1FBF5A6B" w14:textId="2BD779F9" w:rsidR="00252F0C" w:rsidRPr="00B40AFD" w:rsidRDefault="008B089D" w:rsidP="00252F0C">
            <w:pPr>
              <w:jc w:val="right"/>
              <w:rPr>
                <w:color w:val="000000"/>
                <w:sz w:val="14"/>
                <w:szCs w:val="14"/>
              </w:rPr>
            </w:pPr>
            <w:r>
              <w:rPr>
                <w:sz w:val="14"/>
                <w:szCs w:val="14"/>
              </w:rPr>
              <w:t>24,912</w:t>
            </w:r>
          </w:p>
        </w:tc>
        <w:tc>
          <w:tcPr>
            <w:tcW w:w="515" w:type="pct"/>
            <w:tcBorders>
              <w:top w:val="nil"/>
              <w:left w:val="nil"/>
              <w:bottom w:val="single" w:sz="4" w:space="0" w:color="auto"/>
              <w:right w:val="single" w:sz="4" w:space="0" w:color="auto"/>
            </w:tcBorders>
            <w:shd w:val="clear" w:color="auto" w:fill="auto"/>
          </w:tcPr>
          <w:p w14:paraId="7660305E" w14:textId="577ED9C8" w:rsidR="00252F0C" w:rsidRPr="009D165E" w:rsidRDefault="00252F0C" w:rsidP="00252F0C">
            <w:pPr>
              <w:jc w:val="right"/>
              <w:rPr>
                <w:color w:val="000000" w:themeColor="text1"/>
                <w:sz w:val="14"/>
                <w:szCs w:val="14"/>
              </w:rPr>
            </w:pPr>
            <w:r w:rsidRPr="008F7D63">
              <w:rPr>
                <w:sz w:val="14"/>
                <w:szCs w:val="14"/>
              </w:rPr>
              <w:t>8,070</w:t>
            </w:r>
          </w:p>
        </w:tc>
        <w:tc>
          <w:tcPr>
            <w:tcW w:w="514" w:type="pct"/>
            <w:tcBorders>
              <w:top w:val="nil"/>
              <w:left w:val="nil"/>
              <w:bottom w:val="single" w:sz="4" w:space="0" w:color="auto"/>
              <w:right w:val="single" w:sz="4" w:space="0" w:color="auto"/>
            </w:tcBorders>
            <w:shd w:val="clear" w:color="auto" w:fill="auto"/>
          </w:tcPr>
          <w:p w14:paraId="632C709F" w14:textId="3875C192" w:rsidR="00252F0C" w:rsidRPr="009D165E" w:rsidRDefault="00252F0C" w:rsidP="00252F0C">
            <w:pPr>
              <w:jc w:val="right"/>
              <w:rPr>
                <w:color w:val="000000" w:themeColor="text1"/>
                <w:sz w:val="14"/>
                <w:szCs w:val="14"/>
              </w:rPr>
            </w:pPr>
            <w:r w:rsidRPr="008F7D63">
              <w:rPr>
                <w:sz w:val="14"/>
                <w:szCs w:val="14"/>
              </w:rPr>
              <w:t xml:space="preserve"> $575,893 </w:t>
            </w:r>
          </w:p>
        </w:tc>
        <w:tc>
          <w:tcPr>
            <w:tcW w:w="446" w:type="pct"/>
            <w:tcBorders>
              <w:top w:val="nil"/>
              <w:left w:val="nil"/>
              <w:bottom w:val="single" w:sz="4" w:space="0" w:color="auto"/>
              <w:right w:val="single" w:sz="4" w:space="0" w:color="auto"/>
            </w:tcBorders>
            <w:shd w:val="clear" w:color="auto" w:fill="auto"/>
          </w:tcPr>
          <w:p w14:paraId="3AE961F2" w14:textId="188FD7CE"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p>
        </w:tc>
        <w:tc>
          <w:tcPr>
            <w:tcW w:w="514" w:type="pct"/>
            <w:tcBorders>
              <w:top w:val="nil"/>
              <w:left w:val="nil"/>
              <w:bottom w:val="single" w:sz="4" w:space="0" w:color="auto"/>
              <w:right w:val="single" w:sz="4" w:space="0" w:color="auto"/>
            </w:tcBorders>
            <w:shd w:val="clear" w:color="auto" w:fill="auto"/>
          </w:tcPr>
          <w:p w14:paraId="265F671E" w14:textId="6156C48A" w:rsidR="00252F0C" w:rsidRPr="009D165E" w:rsidRDefault="00252F0C" w:rsidP="00252F0C">
            <w:pPr>
              <w:jc w:val="right"/>
              <w:rPr>
                <w:color w:val="000000" w:themeColor="text1"/>
                <w:sz w:val="14"/>
                <w:szCs w:val="14"/>
              </w:rPr>
            </w:pPr>
            <w:r w:rsidRPr="008F7D63">
              <w:rPr>
                <w:sz w:val="14"/>
                <w:szCs w:val="14"/>
              </w:rPr>
              <w:t xml:space="preserve"> $7,200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503BA73" w14:textId="58BEBFA4" w:rsidR="00252F0C" w:rsidRPr="009D165E" w:rsidRDefault="00252F0C" w:rsidP="00252F0C">
            <w:pPr>
              <w:jc w:val="right"/>
              <w:rPr>
                <w:color w:val="000000" w:themeColor="text1"/>
                <w:sz w:val="14"/>
                <w:szCs w:val="14"/>
              </w:rPr>
            </w:pPr>
            <w:r w:rsidRPr="008F7D63">
              <w:rPr>
                <w:sz w:val="14"/>
                <w:szCs w:val="14"/>
              </w:rPr>
              <w:t xml:space="preserve"> $583,093 </w:t>
            </w:r>
          </w:p>
        </w:tc>
      </w:tr>
      <w:tr w:rsidR="00252F0C" w:rsidRPr="00C77927" w14:paraId="2088E1A2"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E337AD4" w14:textId="7223CEAB" w:rsidR="00252F0C" w:rsidRPr="00D25FC9" w:rsidRDefault="00252F0C" w:rsidP="00252F0C">
            <w:pPr>
              <w:rPr>
                <w:color w:val="000000" w:themeColor="text1"/>
                <w:sz w:val="14"/>
                <w:szCs w:val="14"/>
              </w:rPr>
            </w:pPr>
            <w:r w:rsidRPr="00D25FC9">
              <w:rPr>
                <w:color w:val="000000"/>
                <w:sz w:val="14"/>
                <w:szCs w:val="14"/>
              </w:rPr>
              <w:t xml:space="preserve">Z. Phosphoric Acid Production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67FBDD39" w14:textId="0B9E3D06" w:rsidR="00252F0C" w:rsidRPr="009D165E" w:rsidRDefault="00252F0C" w:rsidP="00252F0C">
            <w:pPr>
              <w:jc w:val="right"/>
              <w:rPr>
                <w:color w:val="000000" w:themeColor="text1"/>
                <w:sz w:val="14"/>
                <w:szCs w:val="14"/>
              </w:rPr>
            </w:pPr>
            <w:r w:rsidRPr="008F7D63">
              <w:rPr>
                <w:sz w:val="14"/>
                <w:szCs w:val="14"/>
              </w:rPr>
              <w:t>11</w:t>
            </w:r>
          </w:p>
        </w:tc>
        <w:tc>
          <w:tcPr>
            <w:tcW w:w="465" w:type="pct"/>
            <w:tcBorders>
              <w:top w:val="nil"/>
              <w:left w:val="nil"/>
              <w:bottom w:val="single" w:sz="4" w:space="0" w:color="auto"/>
              <w:right w:val="single" w:sz="4" w:space="0" w:color="auto"/>
            </w:tcBorders>
            <w:shd w:val="clear" w:color="auto" w:fill="auto"/>
          </w:tcPr>
          <w:p w14:paraId="4462B51D" w14:textId="046F0407" w:rsidR="00252F0C" w:rsidRPr="009D165E" w:rsidRDefault="008B089D" w:rsidP="00252F0C">
            <w:pPr>
              <w:jc w:val="right"/>
              <w:rPr>
                <w:color w:val="000000" w:themeColor="text1"/>
                <w:sz w:val="14"/>
                <w:szCs w:val="14"/>
              </w:rPr>
            </w:pPr>
            <w:r>
              <w:rPr>
                <w:sz w:val="14"/>
                <w:szCs w:val="14"/>
              </w:rPr>
              <w:t>100</w:t>
            </w:r>
          </w:p>
        </w:tc>
        <w:tc>
          <w:tcPr>
            <w:tcW w:w="406" w:type="pct"/>
            <w:tcBorders>
              <w:top w:val="nil"/>
              <w:left w:val="nil"/>
              <w:bottom w:val="single" w:sz="4" w:space="0" w:color="auto"/>
              <w:right w:val="single" w:sz="4" w:space="0" w:color="auto"/>
            </w:tcBorders>
            <w:shd w:val="clear" w:color="auto" w:fill="auto"/>
          </w:tcPr>
          <w:p w14:paraId="19CAF879" w14:textId="31FA275B" w:rsidR="00252F0C" w:rsidRPr="00B40AFD" w:rsidRDefault="008B089D" w:rsidP="00252F0C">
            <w:pPr>
              <w:jc w:val="right"/>
              <w:rPr>
                <w:color w:val="000000"/>
                <w:sz w:val="14"/>
                <w:szCs w:val="14"/>
              </w:rPr>
            </w:pPr>
            <w:r>
              <w:rPr>
                <w:sz w:val="14"/>
                <w:szCs w:val="14"/>
              </w:rPr>
              <w:t>1,100</w:t>
            </w:r>
          </w:p>
        </w:tc>
        <w:tc>
          <w:tcPr>
            <w:tcW w:w="515" w:type="pct"/>
            <w:tcBorders>
              <w:top w:val="nil"/>
              <w:left w:val="nil"/>
              <w:bottom w:val="single" w:sz="4" w:space="0" w:color="auto"/>
              <w:right w:val="single" w:sz="4" w:space="0" w:color="auto"/>
            </w:tcBorders>
            <w:shd w:val="clear" w:color="auto" w:fill="auto"/>
          </w:tcPr>
          <w:p w14:paraId="4F638A84" w14:textId="6FCBA4F0" w:rsidR="00252F0C" w:rsidRPr="009D165E" w:rsidRDefault="00252F0C" w:rsidP="00252F0C">
            <w:pPr>
              <w:jc w:val="right"/>
              <w:rPr>
                <w:color w:val="000000" w:themeColor="text1"/>
                <w:sz w:val="14"/>
                <w:szCs w:val="14"/>
              </w:rPr>
            </w:pPr>
            <w:r w:rsidRPr="008F7D63">
              <w:rPr>
                <w:sz w:val="14"/>
                <w:szCs w:val="14"/>
              </w:rPr>
              <w:t>110</w:t>
            </w:r>
          </w:p>
        </w:tc>
        <w:tc>
          <w:tcPr>
            <w:tcW w:w="514" w:type="pct"/>
            <w:tcBorders>
              <w:top w:val="nil"/>
              <w:left w:val="nil"/>
              <w:bottom w:val="single" w:sz="4" w:space="0" w:color="auto"/>
              <w:right w:val="single" w:sz="4" w:space="0" w:color="auto"/>
            </w:tcBorders>
            <w:shd w:val="clear" w:color="auto" w:fill="auto"/>
          </w:tcPr>
          <w:p w14:paraId="38C5D720" w14:textId="72837B21" w:rsidR="00252F0C" w:rsidRPr="009D165E" w:rsidRDefault="00252F0C" w:rsidP="00252F0C">
            <w:pPr>
              <w:jc w:val="right"/>
              <w:rPr>
                <w:color w:val="000000" w:themeColor="text1"/>
                <w:sz w:val="14"/>
                <w:szCs w:val="14"/>
              </w:rPr>
            </w:pPr>
            <w:r w:rsidRPr="008F7D63">
              <w:rPr>
                <w:sz w:val="14"/>
                <w:szCs w:val="14"/>
              </w:rPr>
              <w:t xml:space="preserve"> $7,992 </w:t>
            </w:r>
          </w:p>
        </w:tc>
        <w:tc>
          <w:tcPr>
            <w:tcW w:w="446" w:type="pct"/>
            <w:tcBorders>
              <w:top w:val="nil"/>
              <w:left w:val="nil"/>
              <w:bottom w:val="single" w:sz="4" w:space="0" w:color="auto"/>
              <w:right w:val="single" w:sz="4" w:space="0" w:color="auto"/>
            </w:tcBorders>
            <w:shd w:val="clear" w:color="auto" w:fill="auto"/>
          </w:tcPr>
          <w:p w14:paraId="18DAB30E" w14:textId="39178937"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1913DE0E" w14:textId="56F7CFEE" w:rsidR="00252F0C" w:rsidRPr="009D165E" w:rsidRDefault="00252F0C" w:rsidP="00252F0C">
            <w:pPr>
              <w:jc w:val="right"/>
              <w:rPr>
                <w:color w:val="000000" w:themeColor="text1"/>
                <w:sz w:val="14"/>
                <w:szCs w:val="14"/>
              </w:rPr>
            </w:pPr>
            <w:r w:rsidRPr="008F7D63">
              <w:rPr>
                <w:sz w:val="14"/>
                <w:szCs w:val="14"/>
              </w:rPr>
              <w:t xml:space="preserve"> $550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A3A7AE1" w14:textId="7BF0CC34" w:rsidR="00252F0C" w:rsidRPr="009D165E" w:rsidRDefault="00252F0C" w:rsidP="00252F0C">
            <w:pPr>
              <w:jc w:val="right"/>
              <w:rPr>
                <w:color w:val="000000" w:themeColor="text1"/>
                <w:sz w:val="14"/>
                <w:szCs w:val="14"/>
              </w:rPr>
            </w:pPr>
            <w:r w:rsidRPr="008F7D63">
              <w:rPr>
                <w:sz w:val="14"/>
                <w:szCs w:val="14"/>
              </w:rPr>
              <w:t xml:space="preserve"> $8,542 </w:t>
            </w:r>
          </w:p>
        </w:tc>
      </w:tr>
      <w:tr w:rsidR="00252F0C" w:rsidRPr="00C77927" w14:paraId="2447385D"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3E44B9CD" w14:textId="505BDE1F" w:rsidR="00252F0C" w:rsidRPr="00D25FC9" w:rsidRDefault="00252F0C" w:rsidP="00252F0C">
            <w:pPr>
              <w:rPr>
                <w:color w:val="000000" w:themeColor="text1"/>
                <w:sz w:val="14"/>
                <w:szCs w:val="14"/>
              </w:rPr>
            </w:pPr>
            <w:r w:rsidRPr="00D25FC9">
              <w:rPr>
                <w:color w:val="000000"/>
                <w:sz w:val="14"/>
                <w:szCs w:val="14"/>
              </w:rPr>
              <w:t xml:space="preserve">AA. Pulp </w:t>
            </w:r>
            <w:r>
              <w:rPr>
                <w:color w:val="000000"/>
                <w:sz w:val="14"/>
                <w:szCs w:val="14"/>
              </w:rPr>
              <w:t>and</w:t>
            </w:r>
            <w:r w:rsidRPr="00D25FC9">
              <w:rPr>
                <w:color w:val="000000"/>
                <w:sz w:val="14"/>
                <w:szCs w:val="14"/>
              </w:rPr>
              <w:t xml:space="preserve"> Paper Manufacturing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6D98BEEB" w14:textId="4F58B8E6" w:rsidR="00252F0C" w:rsidRPr="009D165E" w:rsidRDefault="00252F0C" w:rsidP="00252F0C">
            <w:pPr>
              <w:jc w:val="right"/>
              <w:rPr>
                <w:color w:val="000000" w:themeColor="text1"/>
                <w:sz w:val="14"/>
                <w:szCs w:val="14"/>
              </w:rPr>
            </w:pPr>
            <w:r w:rsidRPr="008F7D63">
              <w:rPr>
                <w:sz w:val="14"/>
                <w:szCs w:val="14"/>
              </w:rPr>
              <w:t>107</w:t>
            </w:r>
          </w:p>
        </w:tc>
        <w:tc>
          <w:tcPr>
            <w:tcW w:w="465" w:type="pct"/>
            <w:tcBorders>
              <w:top w:val="nil"/>
              <w:left w:val="nil"/>
              <w:bottom w:val="single" w:sz="4" w:space="0" w:color="auto"/>
              <w:right w:val="single" w:sz="4" w:space="0" w:color="auto"/>
            </w:tcBorders>
            <w:shd w:val="clear" w:color="auto" w:fill="auto"/>
          </w:tcPr>
          <w:p w14:paraId="17E12839" w14:textId="64C4AB58" w:rsidR="00252F0C" w:rsidRPr="009D165E" w:rsidRDefault="008B089D" w:rsidP="00252F0C">
            <w:pPr>
              <w:jc w:val="right"/>
              <w:rPr>
                <w:color w:val="000000" w:themeColor="text1"/>
                <w:sz w:val="14"/>
                <w:szCs w:val="14"/>
              </w:rPr>
            </w:pPr>
            <w:r>
              <w:rPr>
                <w:sz w:val="14"/>
                <w:szCs w:val="14"/>
              </w:rPr>
              <w:t>105</w:t>
            </w:r>
          </w:p>
        </w:tc>
        <w:tc>
          <w:tcPr>
            <w:tcW w:w="406" w:type="pct"/>
            <w:tcBorders>
              <w:top w:val="nil"/>
              <w:left w:val="nil"/>
              <w:bottom w:val="single" w:sz="4" w:space="0" w:color="auto"/>
              <w:right w:val="single" w:sz="4" w:space="0" w:color="auto"/>
            </w:tcBorders>
            <w:shd w:val="clear" w:color="auto" w:fill="auto"/>
          </w:tcPr>
          <w:p w14:paraId="33D0C715" w14:textId="67EE2E47" w:rsidR="00252F0C" w:rsidRPr="00B40AFD" w:rsidRDefault="008B089D" w:rsidP="00252F0C">
            <w:pPr>
              <w:jc w:val="right"/>
              <w:rPr>
                <w:color w:val="000000"/>
                <w:sz w:val="14"/>
                <w:szCs w:val="14"/>
              </w:rPr>
            </w:pPr>
            <w:r>
              <w:rPr>
                <w:sz w:val="14"/>
                <w:szCs w:val="14"/>
              </w:rPr>
              <w:t>11,235</w:t>
            </w:r>
          </w:p>
        </w:tc>
        <w:tc>
          <w:tcPr>
            <w:tcW w:w="515" w:type="pct"/>
            <w:tcBorders>
              <w:top w:val="nil"/>
              <w:left w:val="nil"/>
              <w:bottom w:val="single" w:sz="4" w:space="0" w:color="auto"/>
              <w:right w:val="single" w:sz="4" w:space="0" w:color="auto"/>
            </w:tcBorders>
            <w:shd w:val="clear" w:color="auto" w:fill="auto"/>
          </w:tcPr>
          <w:p w14:paraId="1D317F49" w14:textId="6FE76E63" w:rsidR="00252F0C" w:rsidRPr="009D165E" w:rsidRDefault="00252F0C" w:rsidP="00252F0C">
            <w:pPr>
              <w:jc w:val="right"/>
              <w:rPr>
                <w:color w:val="000000" w:themeColor="text1"/>
                <w:sz w:val="14"/>
                <w:szCs w:val="14"/>
              </w:rPr>
            </w:pPr>
            <w:r w:rsidRPr="008F7D63">
              <w:rPr>
                <w:sz w:val="14"/>
                <w:szCs w:val="14"/>
              </w:rPr>
              <w:t>3,039</w:t>
            </w:r>
          </w:p>
        </w:tc>
        <w:tc>
          <w:tcPr>
            <w:tcW w:w="514" w:type="pct"/>
            <w:tcBorders>
              <w:top w:val="nil"/>
              <w:left w:val="nil"/>
              <w:bottom w:val="single" w:sz="4" w:space="0" w:color="auto"/>
              <w:right w:val="single" w:sz="4" w:space="0" w:color="auto"/>
            </w:tcBorders>
            <w:shd w:val="clear" w:color="auto" w:fill="auto"/>
          </w:tcPr>
          <w:p w14:paraId="0EECE4E6" w14:textId="1C82C13B" w:rsidR="00252F0C" w:rsidRPr="009D165E" w:rsidRDefault="00252F0C" w:rsidP="00252F0C">
            <w:pPr>
              <w:jc w:val="right"/>
              <w:rPr>
                <w:color w:val="000000" w:themeColor="text1"/>
                <w:sz w:val="14"/>
                <w:szCs w:val="14"/>
              </w:rPr>
            </w:pPr>
            <w:r w:rsidRPr="008F7D63">
              <w:rPr>
                <w:sz w:val="14"/>
                <w:szCs w:val="14"/>
              </w:rPr>
              <w:t xml:space="preserve"> $219,446 </w:t>
            </w:r>
          </w:p>
        </w:tc>
        <w:tc>
          <w:tcPr>
            <w:tcW w:w="446" w:type="pct"/>
            <w:tcBorders>
              <w:top w:val="nil"/>
              <w:left w:val="nil"/>
              <w:bottom w:val="single" w:sz="4" w:space="0" w:color="auto"/>
              <w:right w:val="single" w:sz="4" w:space="0" w:color="auto"/>
            </w:tcBorders>
            <w:shd w:val="clear" w:color="auto" w:fill="auto"/>
          </w:tcPr>
          <w:p w14:paraId="3115F9B6" w14:textId="5F3BB23F"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331990C3" w14:textId="10321579" w:rsidR="00252F0C" w:rsidRPr="009D165E" w:rsidRDefault="00252F0C" w:rsidP="00252F0C">
            <w:pPr>
              <w:jc w:val="right"/>
              <w:rPr>
                <w:color w:val="000000" w:themeColor="text1"/>
                <w:sz w:val="14"/>
                <w:szCs w:val="14"/>
              </w:rPr>
            </w:pPr>
            <w:r w:rsidRPr="008F7D63">
              <w:rPr>
                <w:sz w:val="14"/>
                <w:szCs w:val="14"/>
              </w:rPr>
              <w:t xml:space="preserve"> $25,894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6D353EA" w14:textId="6C6E7CB9" w:rsidR="00252F0C" w:rsidRPr="009D165E" w:rsidRDefault="00252F0C" w:rsidP="00252F0C">
            <w:pPr>
              <w:jc w:val="right"/>
              <w:rPr>
                <w:color w:val="000000" w:themeColor="text1"/>
                <w:sz w:val="14"/>
                <w:szCs w:val="14"/>
              </w:rPr>
            </w:pPr>
            <w:r w:rsidRPr="008F7D63">
              <w:rPr>
                <w:sz w:val="14"/>
                <w:szCs w:val="14"/>
              </w:rPr>
              <w:t xml:space="preserve"> $245,340 </w:t>
            </w:r>
          </w:p>
        </w:tc>
      </w:tr>
      <w:tr w:rsidR="00252F0C" w:rsidRPr="00C77927" w14:paraId="2BB996BE"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5B4A011B" w14:textId="3EC48427" w:rsidR="00252F0C" w:rsidRPr="00D25FC9" w:rsidRDefault="00252F0C" w:rsidP="00252F0C">
            <w:pPr>
              <w:rPr>
                <w:color w:val="000000" w:themeColor="text1"/>
                <w:sz w:val="14"/>
                <w:szCs w:val="14"/>
              </w:rPr>
            </w:pPr>
            <w:r w:rsidRPr="00D25FC9">
              <w:rPr>
                <w:color w:val="000000"/>
                <w:sz w:val="14"/>
                <w:szCs w:val="14"/>
              </w:rPr>
              <w:t xml:space="preserve">BB. Silicon Carbide Production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411940ED" w14:textId="3CEB3BFE" w:rsidR="00252F0C" w:rsidRPr="009D165E" w:rsidRDefault="00252F0C" w:rsidP="00252F0C">
            <w:pPr>
              <w:jc w:val="right"/>
              <w:rPr>
                <w:color w:val="000000" w:themeColor="text1"/>
                <w:sz w:val="14"/>
                <w:szCs w:val="14"/>
              </w:rPr>
            </w:pPr>
            <w:r w:rsidRPr="008F7D63">
              <w:rPr>
                <w:sz w:val="14"/>
                <w:szCs w:val="14"/>
              </w:rPr>
              <w:t>1</w:t>
            </w:r>
          </w:p>
        </w:tc>
        <w:tc>
          <w:tcPr>
            <w:tcW w:w="465" w:type="pct"/>
            <w:tcBorders>
              <w:top w:val="nil"/>
              <w:left w:val="nil"/>
              <w:bottom w:val="single" w:sz="4" w:space="0" w:color="auto"/>
              <w:right w:val="single" w:sz="4" w:space="0" w:color="auto"/>
            </w:tcBorders>
            <w:shd w:val="clear" w:color="auto" w:fill="auto"/>
          </w:tcPr>
          <w:p w14:paraId="00DC8EF5" w14:textId="3772356E" w:rsidR="00252F0C" w:rsidRPr="009D165E" w:rsidRDefault="008B089D" w:rsidP="00252F0C">
            <w:pPr>
              <w:jc w:val="right"/>
              <w:rPr>
                <w:color w:val="000000" w:themeColor="text1"/>
                <w:sz w:val="14"/>
                <w:szCs w:val="14"/>
              </w:rPr>
            </w:pPr>
            <w:r>
              <w:rPr>
                <w:sz w:val="14"/>
                <w:szCs w:val="14"/>
              </w:rPr>
              <w:t>10</w:t>
            </w:r>
          </w:p>
        </w:tc>
        <w:tc>
          <w:tcPr>
            <w:tcW w:w="406" w:type="pct"/>
            <w:tcBorders>
              <w:top w:val="nil"/>
              <w:left w:val="nil"/>
              <w:bottom w:val="single" w:sz="4" w:space="0" w:color="auto"/>
              <w:right w:val="single" w:sz="4" w:space="0" w:color="auto"/>
            </w:tcBorders>
            <w:shd w:val="clear" w:color="auto" w:fill="auto"/>
          </w:tcPr>
          <w:p w14:paraId="2864EBBA" w14:textId="33789C6C" w:rsidR="00252F0C" w:rsidRPr="00B40AFD" w:rsidRDefault="008B089D" w:rsidP="00252F0C">
            <w:pPr>
              <w:jc w:val="right"/>
              <w:rPr>
                <w:color w:val="000000"/>
                <w:sz w:val="14"/>
                <w:szCs w:val="14"/>
              </w:rPr>
            </w:pPr>
            <w:r>
              <w:rPr>
                <w:sz w:val="14"/>
                <w:szCs w:val="14"/>
              </w:rPr>
              <w:t>10</w:t>
            </w:r>
          </w:p>
        </w:tc>
        <w:tc>
          <w:tcPr>
            <w:tcW w:w="515" w:type="pct"/>
            <w:tcBorders>
              <w:top w:val="nil"/>
              <w:left w:val="nil"/>
              <w:bottom w:val="single" w:sz="4" w:space="0" w:color="auto"/>
              <w:right w:val="single" w:sz="4" w:space="0" w:color="auto"/>
            </w:tcBorders>
            <w:shd w:val="clear" w:color="auto" w:fill="auto"/>
          </w:tcPr>
          <w:p w14:paraId="2A4A37F9" w14:textId="5531B250" w:rsidR="00252F0C" w:rsidRPr="009D165E" w:rsidRDefault="00252F0C" w:rsidP="00252F0C">
            <w:pPr>
              <w:jc w:val="right"/>
              <w:rPr>
                <w:color w:val="000000" w:themeColor="text1"/>
                <w:sz w:val="14"/>
                <w:szCs w:val="14"/>
              </w:rPr>
            </w:pPr>
            <w:r w:rsidRPr="008F7D63">
              <w:rPr>
                <w:sz w:val="14"/>
                <w:szCs w:val="14"/>
              </w:rPr>
              <w:t>15</w:t>
            </w:r>
          </w:p>
        </w:tc>
        <w:tc>
          <w:tcPr>
            <w:tcW w:w="514" w:type="pct"/>
            <w:tcBorders>
              <w:top w:val="nil"/>
              <w:left w:val="nil"/>
              <w:bottom w:val="single" w:sz="4" w:space="0" w:color="auto"/>
              <w:right w:val="single" w:sz="4" w:space="0" w:color="auto"/>
            </w:tcBorders>
            <w:shd w:val="clear" w:color="auto" w:fill="auto"/>
          </w:tcPr>
          <w:p w14:paraId="7C521482" w14:textId="6E9284CC" w:rsidR="00252F0C" w:rsidRPr="009D165E" w:rsidRDefault="00252F0C" w:rsidP="00252F0C">
            <w:pPr>
              <w:jc w:val="right"/>
              <w:rPr>
                <w:color w:val="000000" w:themeColor="text1"/>
                <w:sz w:val="14"/>
                <w:szCs w:val="14"/>
              </w:rPr>
            </w:pPr>
            <w:r w:rsidRPr="008F7D63">
              <w:rPr>
                <w:sz w:val="14"/>
                <w:szCs w:val="14"/>
              </w:rPr>
              <w:t xml:space="preserve"> $1,017 </w:t>
            </w:r>
          </w:p>
        </w:tc>
        <w:tc>
          <w:tcPr>
            <w:tcW w:w="446" w:type="pct"/>
            <w:tcBorders>
              <w:top w:val="nil"/>
              <w:left w:val="nil"/>
              <w:bottom w:val="single" w:sz="4" w:space="0" w:color="auto"/>
              <w:right w:val="single" w:sz="4" w:space="0" w:color="auto"/>
            </w:tcBorders>
            <w:shd w:val="clear" w:color="auto" w:fill="auto"/>
          </w:tcPr>
          <w:p w14:paraId="73E9C33F" w14:textId="05FD68DE"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69F44A2F" w14:textId="65ACCFB5" w:rsidR="00252F0C" w:rsidRPr="009D165E" w:rsidRDefault="00252F0C" w:rsidP="00252F0C">
            <w:pPr>
              <w:jc w:val="right"/>
              <w:rPr>
                <w:color w:val="000000" w:themeColor="text1"/>
                <w:sz w:val="14"/>
                <w:szCs w:val="14"/>
              </w:rPr>
            </w:pPr>
            <w:r w:rsidRPr="008F7D63">
              <w:rPr>
                <w:sz w:val="14"/>
                <w:szCs w:val="14"/>
              </w:rPr>
              <w:t xml:space="preserve"> $229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5BCEE87B" w14:textId="31A94266" w:rsidR="00252F0C" w:rsidRPr="009D165E" w:rsidRDefault="00252F0C" w:rsidP="00252F0C">
            <w:pPr>
              <w:jc w:val="right"/>
              <w:rPr>
                <w:color w:val="000000" w:themeColor="text1"/>
                <w:sz w:val="14"/>
                <w:szCs w:val="14"/>
              </w:rPr>
            </w:pPr>
            <w:r w:rsidRPr="008F7D63">
              <w:rPr>
                <w:sz w:val="14"/>
                <w:szCs w:val="14"/>
              </w:rPr>
              <w:t xml:space="preserve"> $1,246 </w:t>
            </w:r>
          </w:p>
        </w:tc>
      </w:tr>
      <w:tr w:rsidR="00252F0C" w:rsidRPr="00C77927" w14:paraId="73A088D2"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09D8CB9F" w14:textId="1214801E" w:rsidR="00252F0C" w:rsidRPr="00D25FC9" w:rsidRDefault="00252F0C" w:rsidP="00252F0C">
            <w:pPr>
              <w:rPr>
                <w:color w:val="000000" w:themeColor="text1"/>
                <w:sz w:val="14"/>
                <w:szCs w:val="14"/>
              </w:rPr>
            </w:pPr>
            <w:r w:rsidRPr="00D25FC9">
              <w:rPr>
                <w:color w:val="000000"/>
                <w:sz w:val="14"/>
                <w:szCs w:val="14"/>
              </w:rPr>
              <w:t xml:space="preserve">CC. Soda Ash Manufacturing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5D084902" w14:textId="51072666" w:rsidR="00252F0C" w:rsidRPr="009D165E" w:rsidRDefault="00252F0C" w:rsidP="00252F0C">
            <w:pPr>
              <w:jc w:val="right"/>
              <w:rPr>
                <w:color w:val="000000" w:themeColor="text1"/>
                <w:sz w:val="14"/>
                <w:szCs w:val="14"/>
              </w:rPr>
            </w:pPr>
            <w:r w:rsidRPr="008F7D63">
              <w:rPr>
                <w:sz w:val="14"/>
                <w:szCs w:val="14"/>
              </w:rPr>
              <w:t>4</w:t>
            </w:r>
          </w:p>
        </w:tc>
        <w:tc>
          <w:tcPr>
            <w:tcW w:w="465" w:type="pct"/>
            <w:tcBorders>
              <w:top w:val="nil"/>
              <w:left w:val="nil"/>
              <w:bottom w:val="single" w:sz="4" w:space="0" w:color="auto"/>
              <w:right w:val="single" w:sz="4" w:space="0" w:color="auto"/>
            </w:tcBorders>
            <w:shd w:val="clear" w:color="auto" w:fill="auto"/>
          </w:tcPr>
          <w:p w14:paraId="21E5BF0D" w14:textId="35159E72" w:rsidR="00252F0C" w:rsidRPr="009D165E" w:rsidRDefault="008B089D" w:rsidP="00252F0C">
            <w:pPr>
              <w:jc w:val="right"/>
              <w:rPr>
                <w:color w:val="000000" w:themeColor="text1"/>
                <w:sz w:val="14"/>
                <w:szCs w:val="14"/>
              </w:rPr>
            </w:pPr>
            <w:r>
              <w:rPr>
                <w:sz w:val="14"/>
                <w:szCs w:val="14"/>
              </w:rPr>
              <w:t>28</w:t>
            </w:r>
          </w:p>
        </w:tc>
        <w:tc>
          <w:tcPr>
            <w:tcW w:w="406" w:type="pct"/>
            <w:tcBorders>
              <w:top w:val="nil"/>
              <w:left w:val="nil"/>
              <w:bottom w:val="single" w:sz="4" w:space="0" w:color="auto"/>
              <w:right w:val="single" w:sz="4" w:space="0" w:color="auto"/>
            </w:tcBorders>
            <w:shd w:val="clear" w:color="auto" w:fill="auto"/>
          </w:tcPr>
          <w:p w14:paraId="05DF09BA" w14:textId="196C52A2" w:rsidR="00252F0C" w:rsidRPr="00B40AFD" w:rsidRDefault="008B089D" w:rsidP="00252F0C">
            <w:pPr>
              <w:jc w:val="right"/>
              <w:rPr>
                <w:color w:val="000000"/>
                <w:sz w:val="14"/>
                <w:szCs w:val="14"/>
              </w:rPr>
            </w:pPr>
            <w:r>
              <w:rPr>
                <w:sz w:val="14"/>
                <w:szCs w:val="14"/>
              </w:rPr>
              <w:t>112</w:t>
            </w:r>
          </w:p>
        </w:tc>
        <w:tc>
          <w:tcPr>
            <w:tcW w:w="515" w:type="pct"/>
            <w:tcBorders>
              <w:top w:val="nil"/>
              <w:left w:val="nil"/>
              <w:bottom w:val="single" w:sz="4" w:space="0" w:color="auto"/>
              <w:right w:val="single" w:sz="4" w:space="0" w:color="auto"/>
            </w:tcBorders>
            <w:shd w:val="clear" w:color="auto" w:fill="auto"/>
          </w:tcPr>
          <w:p w14:paraId="4611A16F" w14:textId="4747EB7F" w:rsidR="00252F0C" w:rsidRPr="009D165E" w:rsidRDefault="00252F0C" w:rsidP="00252F0C">
            <w:pPr>
              <w:jc w:val="right"/>
              <w:rPr>
                <w:color w:val="000000" w:themeColor="text1"/>
                <w:sz w:val="14"/>
                <w:szCs w:val="14"/>
              </w:rPr>
            </w:pPr>
            <w:r w:rsidRPr="008F7D63">
              <w:rPr>
                <w:sz w:val="14"/>
                <w:szCs w:val="14"/>
              </w:rPr>
              <w:t>37</w:t>
            </w:r>
          </w:p>
        </w:tc>
        <w:tc>
          <w:tcPr>
            <w:tcW w:w="514" w:type="pct"/>
            <w:tcBorders>
              <w:top w:val="nil"/>
              <w:left w:val="nil"/>
              <w:bottom w:val="single" w:sz="4" w:space="0" w:color="auto"/>
              <w:right w:val="single" w:sz="4" w:space="0" w:color="auto"/>
            </w:tcBorders>
            <w:shd w:val="clear" w:color="auto" w:fill="auto"/>
          </w:tcPr>
          <w:p w14:paraId="2D6B0933" w14:textId="2D22500A" w:rsidR="00252F0C" w:rsidRPr="009D165E" w:rsidRDefault="00252F0C" w:rsidP="00252F0C">
            <w:pPr>
              <w:jc w:val="right"/>
              <w:rPr>
                <w:color w:val="000000" w:themeColor="text1"/>
                <w:sz w:val="14"/>
                <w:szCs w:val="14"/>
              </w:rPr>
            </w:pPr>
            <w:r w:rsidRPr="008F7D63">
              <w:rPr>
                <w:sz w:val="14"/>
                <w:szCs w:val="14"/>
              </w:rPr>
              <w:t xml:space="preserve"> $2,508 </w:t>
            </w:r>
          </w:p>
        </w:tc>
        <w:tc>
          <w:tcPr>
            <w:tcW w:w="446" w:type="pct"/>
            <w:tcBorders>
              <w:top w:val="nil"/>
              <w:left w:val="nil"/>
              <w:bottom w:val="single" w:sz="4" w:space="0" w:color="auto"/>
              <w:right w:val="single" w:sz="4" w:space="0" w:color="auto"/>
            </w:tcBorders>
            <w:shd w:val="clear" w:color="auto" w:fill="auto"/>
          </w:tcPr>
          <w:p w14:paraId="7E4CB640" w14:textId="18654E80"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5FF8B573" w14:textId="01814731" w:rsidR="00252F0C" w:rsidRPr="009D165E" w:rsidRDefault="00252F0C" w:rsidP="00252F0C">
            <w:pPr>
              <w:jc w:val="right"/>
              <w:rPr>
                <w:color w:val="000000" w:themeColor="text1"/>
                <w:sz w:val="14"/>
                <w:szCs w:val="14"/>
              </w:rPr>
            </w:pPr>
            <w:r w:rsidRPr="008F7D63">
              <w:rPr>
                <w:sz w:val="14"/>
                <w:szCs w:val="14"/>
              </w:rPr>
              <w:t xml:space="preserve"> $2,017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6355F4E3" w14:textId="5794C93D" w:rsidR="00252F0C" w:rsidRPr="009D165E" w:rsidRDefault="00252F0C" w:rsidP="00252F0C">
            <w:pPr>
              <w:jc w:val="right"/>
              <w:rPr>
                <w:color w:val="000000" w:themeColor="text1"/>
                <w:sz w:val="14"/>
                <w:szCs w:val="14"/>
              </w:rPr>
            </w:pPr>
            <w:r w:rsidRPr="008F7D63">
              <w:rPr>
                <w:sz w:val="14"/>
                <w:szCs w:val="14"/>
              </w:rPr>
              <w:t xml:space="preserve"> $4,526 </w:t>
            </w:r>
          </w:p>
        </w:tc>
      </w:tr>
      <w:tr w:rsidR="00252F0C" w:rsidRPr="00C77927" w14:paraId="39DCDF57"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70ADD0C1" w14:textId="50AA7CBD" w:rsidR="00252F0C" w:rsidRPr="00D25FC9" w:rsidRDefault="00252F0C" w:rsidP="00252F0C">
            <w:pPr>
              <w:rPr>
                <w:color w:val="000000" w:themeColor="text1"/>
                <w:sz w:val="14"/>
                <w:szCs w:val="14"/>
              </w:rPr>
            </w:pPr>
            <w:r w:rsidRPr="00D25FC9">
              <w:rPr>
                <w:color w:val="000000"/>
                <w:sz w:val="14"/>
                <w:szCs w:val="14"/>
              </w:rPr>
              <w:t xml:space="preserve">DD. </w:t>
            </w:r>
            <w:r>
              <w:rPr>
                <w:color w:val="000000"/>
                <w:sz w:val="14"/>
                <w:szCs w:val="14"/>
              </w:rPr>
              <w:t>Electrical Transmission and Distribution Equipment Use</w:t>
            </w:r>
            <w:r w:rsidRPr="00D25FC9">
              <w:rPr>
                <w:color w:val="000000"/>
                <w:sz w:val="14"/>
                <w:szCs w:val="14"/>
              </w:rPr>
              <w:t xml:space="preserve">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572E6EAD" w14:textId="4A00481C" w:rsidR="00252F0C" w:rsidRPr="009D165E" w:rsidRDefault="00252F0C" w:rsidP="00252F0C">
            <w:pPr>
              <w:jc w:val="right"/>
              <w:rPr>
                <w:color w:val="000000" w:themeColor="text1"/>
                <w:sz w:val="14"/>
                <w:szCs w:val="14"/>
              </w:rPr>
            </w:pPr>
            <w:r w:rsidRPr="008F7D63">
              <w:rPr>
                <w:sz w:val="14"/>
                <w:szCs w:val="14"/>
              </w:rPr>
              <w:t>83</w:t>
            </w:r>
          </w:p>
        </w:tc>
        <w:tc>
          <w:tcPr>
            <w:tcW w:w="465" w:type="pct"/>
            <w:tcBorders>
              <w:top w:val="nil"/>
              <w:left w:val="nil"/>
              <w:bottom w:val="single" w:sz="4" w:space="0" w:color="auto"/>
              <w:right w:val="single" w:sz="4" w:space="0" w:color="auto"/>
            </w:tcBorders>
            <w:shd w:val="clear" w:color="auto" w:fill="auto"/>
          </w:tcPr>
          <w:p w14:paraId="2B58D8B6" w14:textId="6BAAD4CF" w:rsidR="00252F0C" w:rsidRPr="009D165E" w:rsidRDefault="00A97121" w:rsidP="00252F0C">
            <w:pPr>
              <w:jc w:val="right"/>
              <w:rPr>
                <w:color w:val="000000" w:themeColor="text1"/>
                <w:sz w:val="14"/>
                <w:szCs w:val="14"/>
              </w:rPr>
            </w:pPr>
            <w:r>
              <w:rPr>
                <w:sz w:val="14"/>
                <w:szCs w:val="14"/>
              </w:rPr>
              <w:t>206</w:t>
            </w:r>
          </w:p>
        </w:tc>
        <w:tc>
          <w:tcPr>
            <w:tcW w:w="406" w:type="pct"/>
            <w:tcBorders>
              <w:top w:val="nil"/>
              <w:left w:val="nil"/>
              <w:bottom w:val="single" w:sz="4" w:space="0" w:color="auto"/>
              <w:right w:val="single" w:sz="4" w:space="0" w:color="auto"/>
            </w:tcBorders>
            <w:shd w:val="clear" w:color="auto" w:fill="auto"/>
          </w:tcPr>
          <w:p w14:paraId="0A7E8D3F" w14:textId="13B2FFBD" w:rsidR="00252F0C" w:rsidRPr="00B40AFD" w:rsidRDefault="00C73B3E" w:rsidP="00252F0C">
            <w:pPr>
              <w:jc w:val="right"/>
              <w:rPr>
                <w:color w:val="000000"/>
                <w:sz w:val="14"/>
                <w:szCs w:val="14"/>
              </w:rPr>
            </w:pPr>
            <w:r>
              <w:rPr>
                <w:sz w:val="14"/>
                <w:szCs w:val="14"/>
              </w:rPr>
              <w:t>17,098</w:t>
            </w:r>
          </w:p>
        </w:tc>
        <w:tc>
          <w:tcPr>
            <w:tcW w:w="515" w:type="pct"/>
            <w:tcBorders>
              <w:top w:val="nil"/>
              <w:left w:val="nil"/>
              <w:bottom w:val="single" w:sz="4" w:space="0" w:color="auto"/>
              <w:right w:val="single" w:sz="4" w:space="0" w:color="auto"/>
            </w:tcBorders>
            <w:shd w:val="clear" w:color="auto" w:fill="auto"/>
          </w:tcPr>
          <w:p w14:paraId="188D2F34" w14:textId="22455C2C" w:rsidR="00252F0C" w:rsidRPr="009D165E" w:rsidRDefault="00252F0C" w:rsidP="00252F0C">
            <w:pPr>
              <w:jc w:val="right"/>
              <w:rPr>
                <w:color w:val="000000" w:themeColor="text1"/>
                <w:sz w:val="14"/>
                <w:szCs w:val="14"/>
              </w:rPr>
            </w:pPr>
            <w:r w:rsidRPr="008F7D63">
              <w:rPr>
                <w:sz w:val="14"/>
                <w:szCs w:val="14"/>
              </w:rPr>
              <w:t>3,486</w:t>
            </w:r>
          </w:p>
        </w:tc>
        <w:tc>
          <w:tcPr>
            <w:tcW w:w="514" w:type="pct"/>
            <w:tcBorders>
              <w:top w:val="nil"/>
              <w:left w:val="nil"/>
              <w:bottom w:val="single" w:sz="4" w:space="0" w:color="auto"/>
              <w:right w:val="single" w:sz="4" w:space="0" w:color="auto"/>
            </w:tcBorders>
            <w:shd w:val="clear" w:color="auto" w:fill="auto"/>
          </w:tcPr>
          <w:p w14:paraId="7B589915" w14:textId="59EDB822" w:rsidR="00252F0C" w:rsidRPr="009D165E" w:rsidRDefault="00252F0C" w:rsidP="00252F0C">
            <w:pPr>
              <w:jc w:val="right"/>
              <w:rPr>
                <w:color w:val="000000" w:themeColor="text1"/>
                <w:sz w:val="14"/>
                <w:szCs w:val="14"/>
              </w:rPr>
            </w:pPr>
            <w:r w:rsidRPr="008F7D63">
              <w:rPr>
                <w:sz w:val="14"/>
                <w:szCs w:val="14"/>
              </w:rPr>
              <w:t xml:space="preserve"> $242,380 </w:t>
            </w:r>
          </w:p>
        </w:tc>
        <w:tc>
          <w:tcPr>
            <w:tcW w:w="446" w:type="pct"/>
            <w:tcBorders>
              <w:top w:val="nil"/>
              <w:left w:val="nil"/>
              <w:bottom w:val="single" w:sz="4" w:space="0" w:color="auto"/>
              <w:right w:val="single" w:sz="4" w:space="0" w:color="auto"/>
            </w:tcBorders>
            <w:shd w:val="clear" w:color="auto" w:fill="auto"/>
          </w:tcPr>
          <w:p w14:paraId="10F5A781" w14:textId="0FBDDA61"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3B27B07E" w14:textId="016F6F8B" w:rsidR="00252F0C" w:rsidRPr="009D165E" w:rsidRDefault="00252F0C" w:rsidP="00252F0C">
            <w:pPr>
              <w:jc w:val="right"/>
              <w:rPr>
                <w:color w:val="000000" w:themeColor="text1"/>
                <w:sz w:val="14"/>
                <w:szCs w:val="14"/>
              </w:rPr>
            </w:pPr>
            <w:r w:rsidRPr="008F7D63">
              <w:rPr>
                <w:sz w:val="14"/>
                <w:szCs w:val="14"/>
              </w:rPr>
              <w:t xml:space="preserve"> $103,750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CAAA730" w14:textId="2B16D2BB" w:rsidR="00252F0C" w:rsidRPr="009D165E" w:rsidRDefault="00252F0C" w:rsidP="00252F0C">
            <w:pPr>
              <w:jc w:val="right"/>
              <w:rPr>
                <w:color w:val="000000" w:themeColor="text1"/>
                <w:sz w:val="14"/>
                <w:szCs w:val="14"/>
              </w:rPr>
            </w:pPr>
            <w:r w:rsidRPr="008F7D63">
              <w:rPr>
                <w:sz w:val="14"/>
                <w:szCs w:val="14"/>
              </w:rPr>
              <w:t xml:space="preserve"> $346,130 </w:t>
            </w:r>
          </w:p>
        </w:tc>
      </w:tr>
      <w:tr w:rsidR="00252F0C" w:rsidRPr="00C77927" w14:paraId="23CBB784" w14:textId="77777777" w:rsidTr="00D771CB">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70CCAB" w14:textId="6623F0F7" w:rsidR="00252F0C" w:rsidRPr="00D25FC9" w:rsidRDefault="00252F0C" w:rsidP="00252F0C">
            <w:pPr>
              <w:rPr>
                <w:color w:val="000000" w:themeColor="text1"/>
                <w:sz w:val="14"/>
                <w:szCs w:val="14"/>
              </w:rPr>
            </w:pPr>
            <w:r w:rsidRPr="00D25FC9">
              <w:rPr>
                <w:color w:val="000000"/>
                <w:sz w:val="14"/>
                <w:szCs w:val="14"/>
              </w:rPr>
              <w:t xml:space="preserve">EE. Titanium Dioxide Production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2768A193" w14:textId="64F5DAE8" w:rsidR="00252F0C" w:rsidRPr="009D165E" w:rsidRDefault="00252F0C" w:rsidP="00252F0C">
            <w:pPr>
              <w:jc w:val="right"/>
              <w:rPr>
                <w:color w:val="000000" w:themeColor="text1"/>
                <w:sz w:val="14"/>
                <w:szCs w:val="14"/>
              </w:rPr>
            </w:pPr>
            <w:r w:rsidRPr="008F7D63">
              <w:rPr>
                <w:sz w:val="14"/>
                <w:szCs w:val="14"/>
              </w:rPr>
              <w:t>6</w:t>
            </w:r>
          </w:p>
        </w:tc>
        <w:tc>
          <w:tcPr>
            <w:tcW w:w="465" w:type="pct"/>
            <w:tcBorders>
              <w:top w:val="nil"/>
              <w:left w:val="nil"/>
              <w:bottom w:val="single" w:sz="4" w:space="0" w:color="auto"/>
              <w:right w:val="single" w:sz="4" w:space="0" w:color="auto"/>
            </w:tcBorders>
            <w:shd w:val="clear" w:color="auto" w:fill="auto"/>
          </w:tcPr>
          <w:p w14:paraId="740B5BFE" w14:textId="5509B6EC" w:rsidR="00252F0C" w:rsidRPr="009D165E" w:rsidRDefault="00A97121" w:rsidP="00252F0C">
            <w:pPr>
              <w:jc w:val="right"/>
              <w:rPr>
                <w:color w:val="000000" w:themeColor="text1"/>
                <w:sz w:val="14"/>
                <w:szCs w:val="14"/>
              </w:rPr>
            </w:pPr>
            <w:r>
              <w:rPr>
                <w:sz w:val="14"/>
                <w:szCs w:val="14"/>
              </w:rPr>
              <w:t>76</w:t>
            </w:r>
          </w:p>
        </w:tc>
        <w:tc>
          <w:tcPr>
            <w:tcW w:w="406" w:type="pct"/>
            <w:tcBorders>
              <w:top w:val="nil"/>
              <w:left w:val="nil"/>
              <w:bottom w:val="single" w:sz="4" w:space="0" w:color="auto"/>
              <w:right w:val="single" w:sz="4" w:space="0" w:color="auto"/>
            </w:tcBorders>
            <w:shd w:val="clear" w:color="auto" w:fill="auto"/>
          </w:tcPr>
          <w:p w14:paraId="72D50613" w14:textId="70BB5D97" w:rsidR="00252F0C" w:rsidRPr="00B40AFD" w:rsidRDefault="00F745A9" w:rsidP="00252F0C">
            <w:pPr>
              <w:jc w:val="right"/>
              <w:rPr>
                <w:color w:val="000000"/>
                <w:sz w:val="14"/>
                <w:szCs w:val="14"/>
              </w:rPr>
            </w:pPr>
            <w:r>
              <w:rPr>
                <w:sz w:val="14"/>
                <w:szCs w:val="14"/>
              </w:rPr>
              <w:t>456</w:t>
            </w:r>
          </w:p>
        </w:tc>
        <w:tc>
          <w:tcPr>
            <w:tcW w:w="515" w:type="pct"/>
            <w:tcBorders>
              <w:top w:val="nil"/>
              <w:left w:val="nil"/>
              <w:bottom w:val="single" w:sz="4" w:space="0" w:color="auto"/>
              <w:right w:val="single" w:sz="4" w:space="0" w:color="auto"/>
            </w:tcBorders>
            <w:shd w:val="clear" w:color="auto" w:fill="auto"/>
          </w:tcPr>
          <w:p w14:paraId="20DBD1C3" w14:textId="36E17102" w:rsidR="00252F0C" w:rsidRPr="009D165E" w:rsidRDefault="00252F0C" w:rsidP="00252F0C">
            <w:pPr>
              <w:jc w:val="right"/>
              <w:rPr>
                <w:color w:val="000000" w:themeColor="text1"/>
                <w:sz w:val="14"/>
                <w:szCs w:val="14"/>
              </w:rPr>
            </w:pPr>
            <w:r w:rsidRPr="008F7D63">
              <w:rPr>
                <w:sz w:val="14"/>
                <w:szCs w:val="14"/>
              </w:rPr>
              <w:t>92</w:t>
            </w:r>
          </w:p>
        </w:tc>
        <w:tc>
          <w:tcPr>
            <w:tcW w:w="514" w:type="pct"/>
            <w:tcBorders>
              <w:top w:val="nil"/>
              <w:left w:val="nil"/>
              <w:bottom w:val="single" w:sz="4" w:space="0" w:color="auto"/>
              <w:right w:val="single" w:sz="4" w:space="0" w:color="auto"/>
            </w:tcBorders>
            <w:shd w:val="clear" w:color="auto" w:fill="auto"/>
          </w:tcPr>
          <w:p w14:paraId="2C0AEE5F" w14:textId="01B917D9" w:rsidR="00252F0C" w:rsidRPr="009D165E" w:rsidRDefault="00252F0C" w:rsidP="00252F0C">
            <w:pPr>
              <w:jc w:val="right"/>
              <w:rPr>
                <w:color w:val="000000" w:themeColor="text1"/>
                <w:sz w:val="14"/>
                <w:szCs w:val="14"/>
              </w:rPr>
            </w:pPr>
            <w:r w:rsidRPr="008F7D63">
              <w:rPr>
                <w:sz w:val="14"/>
                <w:szCs w:val="14"/>
              </w:rPr>
              <w:t xml:space="preserve"> $6,100 </w:t>
            </w:r>
          </w:p>
        </w:tc>
        <w:tc>
          <w:tcPr>
            <w:tcW w:w="446" w:type="pct"/>
            <w:tcBorders>
              <w:top w:val="nil"/>
              <w:left w:val="nil"/>
              <w:bottom w:val="single" w:sz="4" w:space="0" w:color="auto"/>
              <w:right w:val="single" w:sz="4" w:space="0" w:color="auto"/>
            </w:tcBorders>
            <w:shd w:val="clear" w:color="auto" w:fill="auto"/>
          </w:tcPr>
          <w:p w14:paraId="3A6785C2" w14:textId="34D48333" w:rsidR="00252F0C" w:rsidRPr="009D165E" w:rsidRDefault="00252F0C" w:rsidP="00252F0C">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308335C0" w14:textId="57BA0B2D" w:rsidR="00252F0C" w:rsidRPr="009D165E" w:rsidRDefault="00252F0C" w:rsidP="00252F0C">
            <w:pPr>
              <w:jc w:val="right"/>
              <w:rPr>
                <w:color w:val="000000" w:themeColor="text1"/>
                <w:sz w:val="14"/>
                <w:szCs w:val="14"/>
              </w:rPr>
            </w:pPr>
            <w:r w:rsidRPr="008F7D63">
              <w:rPr>
                <w:sz w:val="14"/>
                <w:szCs w:val="14"/>
              </w:rPr>
              <w:t xml:space="preserve"> $2,450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4B1CB29" w14:textId="174BB16A" w:rsidR="00252F0C" w:rsidRPr="009D165E" w:rsidRDefault="00252F0C" w:rsidP="00252F0C">
            <w:pPr>
              <w:jc w:val="right"/>
              <w:rPr>
                <w:color w:val="000000" w:themeColor="text1"/>
                <w:sz w:val="14"/>
                <w:szCs w:val="14"/>
              </w:rPr>
            </w:pPr>
            <w:r w:rsidRPr="008F7D63">
              <w:rPr>
                <w:sz w:val="14"/>
                <w:szCs w:val="14"/>
              </w:rPr>
              <w:t xml:space="preserve"> $8,550 </w:t>
            </w:r>
          </w:p>
        </w:tc>
      </w:tr>
      <w:tr w:rsidR="00AB3190" w:rsidRPr="00C77927" w14:paraId="5D4DE125" w14:textId="77777777" w:rsidTr="00D771CB">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4C11B4" w14:textId="322F9544" w:rsidR="00AB3190" w:rsidRPr="00D25FC9" w:rsidRDefault="00AB3190" w:rsidP="00AB3190">
            <w:pPr>
              <w:rPr>
                <w:color w:val="000000" w:themeColor="text1"/>
                <w:sz w:val="14"/>
                <w:szCs w:val="14"/>
              </w:rPr>
            </w:pPr>
            <w:r w:rsidRPr="00D25FC9">
              <w:rPr>
                <w:color w:val="000000"/>
                <w:sz w:val="14"/>
                <w:szCs w:val="14"/>
              </w:rPr>
              <w:t xml:space="preserve">FF. Underground Coal Mines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564FFC8F" w14:textId="6FE1774A" w:rsidR="00AB3190" w:rsidRPr="009D165E" w:rsidRDefault="00AB3190" w:rsidP="00AB3190">
            <w:pPr>
              <w:jc w:val="right"/>
              <w:rPr>
                <w:color w:val="000000" w:themeColor="text1"/>
                <w:sz w:val="14"/>
                <w:szCs w:val="14"/>
              </w:rPr>
            </w:pPr>
            <w:r w:rsidRPr="008F7D63">
              <w:rPr>
                <w:sz w:val="14"/>
                <w:szCs w:val="14"/>
              </w:rPr>
              <w:t>78</w:t>
            </w:r>
          </w:p>
        </w:tc>
        <w:tc>
          <w:tcPr>
            <w:tcW w:w="465" w:type="pct"/>
            <w:tcBorders>
              <w:top w:val="nil"/>
              <w:left w:val="nil"/>
              <w:bottom w:val="single" w:sz="4" w:space="0" w:color="auto"/>
              <w:right w:val="single" w:sz="4" w:space="0" w:color="auto"/>
            </w:tcBorders>
            <w:shd w:val="clear" w:color="auto" w:fill="auto"/>
          </w:tcPr>
          <w:p w14:paraId="5598CF71" w14:textId="5F024C3C" w:rsidR="00AB3190" w:rsidRPr="009D165E" w:rsidRDefault="00AB3190" w:rsidP="00AB3190">
            <w:pPr>
              <w:jc w:val="right"/>
              <w:rPr>
                <w:color w:val="000000" w:themeColor="text1"/>
                <w:sz w:val="14"/>
                <w:szCs w:val="14"/>
              </w:rPr>
            </w:pPr>
            <w:r>
              <w:rPr>
                <w:sz w:val="14"/>
                <w:szCs w:val="14"/>
              </w:rPr>
              <w:t>1,614</w:t>
            </w:r>
          </w:p>
        </w:tc>
        <w:tc>
          <w:tcPr>
            <w:tcW w:w="406" w:type="pct"/>
            <w:tcBorders>
              <w:top w:val="nil"/>
              <w:left w:val="nil"/>
              <w:bottom w:val="single" w:sz="4" w:space="0" w:color="auto"/>
              <w:right w:val="single" w:sz="4" w:space="0" w:color="auto"/>
            </w:tcBorders>
            <w:shd w:val="clear" w:color="auto" w:fill="auto"/>
          </w:tcPr>
          <w:p w14:paraId="625B058E" w14:textId="763386AA" w:rsidR="00AB3190" w:rsidRPr="00B40AFD" w:rsidRDefault="00F745A9" w:rsidP="00AB3190">
            <w:pPr>
              <w:jc w:val="right"/>
              <w:rPr>
                <w:color w:val="000000"/>
                <w:sz w:val="14"/>
                <w:szCs w:val="14"/>
              </w:rPr>
            </w:pPr>
            <w:r>
              <w:rPr>
                <w:sz w:val="14"/>
                <w:szCs w:val="14"/>
              </w:rPr>
              <w:t>125,892</w:t>
            </w:r>
          </w:p>
        </w:tc>
        <w:tc>
          <w:tcPr>
            <w:tcW w:w="515" w:type="pct"/>
            <w:tcBorders>
              <w:top w:val="nil"/>
              <w:left w:val="nil"/>
              <w:bottom w:val="single" w:sz="4" w:space="0" w:color="auto"/>
              <w:right w:val="single" w:sz="4" w:space="0" w:color="auto"/>
            </w:tcBorders>
            <w:shd w:val="clear" w:color="auto" w:fill="auto"/>
          </w:tcPr>
          <w:p w14:paraId="51124E03" w14:textId="5FD36570" w:rsidR="00AB3190" w:rsidRPr="009D165E" w:rsidRDefault="00AB3190" w:rsidP="00AB3190">
            <w:pPr>
              <w:jc w:val="right"/>
              <w:rPr>
                <w:color w:val="000000" w:themeColor="text1"/>
                <w:sz w:val="14"/>
                <w:szCs w:val="14"/>
              </w:rPr>
            </w:pPr>
            <w:r w:rsidRPr="008F7D63">
              <w:rPr>
                <w:sz w:val="14"/>
                <w:szCs w:val="14"/>
              </w:rPr>
              <w:t>4,602</w:t>
            </w:r>
          </w:p>
        </w:tc>
        <w:tc>
          <w:tcPr>
            <w:tcW w:w="514" w:type="pct"/>
            <w:tcBorders>
              <w:top w:val="nil"/>
              <w:left w:val="nil"/>
              <w:bottom w:val="single" w:sz="4" w:space="0" w:color="auto"/>
              <w:right w:val="single" w:sz="4" w:space="0" w:color="auto"/>
            </w:tcBorders>
            <w:shd w:val="clear" w:color="auto" w:fill="auto"/>
          </w:tcPr>
          <w:p w14:paraId="4647B570" w14:textId="4BE755C6" w:rsidR="00AB3190" w:rsidRPr="009D165E" w:rsidRDefault="00AB3190" w:rsidP="00AB3190">
            <w:pPr>
              <w:jc w:val="right"/>
              <w:rPr>
                <w:color w:val="000000" w:themeColor="text1"/>
                <w:sz w:val="14"/>
                <w:szCs w:val="14"/>
              </w:rPr>
            </w:pPr>
            <w:r w:rsidRPr="008F7D63">
              <w:rPr>
                <w:sz w:val="14"/>
                <w:szCs w:val="14"/>
              </w:rPr>
              <w:t xml:space="preserve"> $325,575 </w:t>
            </w:r>
          </w:p>
        </w:tc>
        <w:tc>
          <w:tcPr>
            <w:tcW w:w="446" w:type="pct"/>
            <w:tcBorders>
              <w:top w:val="nil"/>
              <w:left w:val="nil"/>
              <w:bottom w:val="single" w:sz="4" w:space="0" w:color="auto"/>
              <w:right w:val="single" w:sz="4" w:space="0" w:color="auto"/>
            </w:tcBorders>
            <w:shd w:val="clear" w:color="auto" w:fill="auto"/>
          </w:tcPr>
          <w:p w14:paraId="48085630" w14:textId="04D26FD7" w:rsidR="00AB3190" w:rsidRPr="009D165E" w:rsidRDefault="00AB3190" w:rsidP="00AB3190">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02DF5ABD" w14:textId="18193598" w:rsidR="00AB3190" w:rsidRPr="009D165E" w:rsidRDefault="00AB3190" w:rsidP="00AB3190">
            <w:pPr>
              <w:jc w:val="right"/>
              <w:rPr>
                <w:color w:val="000000" w:themeColor="text1"/>
                <w:sz w:val="14"/>
                <w:szCs w:val="14"/>
              </w:rPr>
            </w:pPr>
            <w:r w:rsidRPr="008F7D63">
              <w:rPr>
                <w:sz w:val="14"/>
                <w:szCs w:val="14"/>
              </w:rPr>
              <w:t xml:space="preserve"> $21,900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DA8BC55" w14:textId="1A29BB53" w:rsidR="00AB3190" w:rsidRPr="009D165E" w:rsidRDefault="00AB3190" w:rsidP="00AB3190">
            <w:pPr>
              <w:jc w:val="right"/>
              <w:rPr>
                <w:color w:val="000000" w:themeColor="text1"/>
                <w:sz w:val="14"/>
                <w:szCs w:val="14"/>
              </w:rPr>
            </w:pPr>
            <w:r w:rsidRPr="008F7D63">
              <w:rPr>
                <w:sz w:val="14"/>
                <w:szCs w:val="14"/>
              </w:rPr>
              <w:t xml:space="preserve"> $347,475 </w:t>
            </w:r>
          </w:p>
        </w:tc>
      </w:tr>
      <w:tr w:rsidR="00AB3190" w:rsidRPr="00C77927" w14:paraId="2A244324" w14:textId="77777777" w:rsidTr="00D771CB">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C3383D" w14:textId="0FFD74D2" w:rsidR="00AB3190" w:rsidRPr="00D25FC9" w:rsidRDefault="00AB3190" w:rsidP="00AB3190">
            <w:pPr>
              <w:rPr>
                <w:color w:val="000000" w:themeColor="text1"/>
                <w:sz w:val="14"/>
                <w:szCs w:val="14"/>
              </w:rPr>
            </w:pPr>
            <w:r w:rsidRPr="00D25FC9">
              <w:rPr>
                <w:color w:val="000000"/>
                <w:sz w:val="14"/>
                <w:szCs w:val="14"/>
              </w:rPr>
              <w:t xml:space="preserve">GG. Zinc Production </w:t>
            </w:r>
            <w:r w:rsidRPr="00D25FC9">
              <w:rPr>
                <w:color w:val="000000"/>
                <w:sz w:val="14"/>
                <w:szCs w:val="14"/>
                <w:vertAlign w:val="superscript"/>
              </w:rPr>
              <w:t>c,</w:t>
            </w:r>
            <w:r>
              <w:rPr>
                <w:color w:val="000000"/>
                <w:sz w:val="14"/>
                <w:szCs w:val="14"/>
                <w:vertAlign w:val="superscript"/>
              </w:rPr>
              <w:t>g</w:t>
            </w:r>
          </w:p>
        </w:tc>
        <w:tc>
          <w:tcPr>
            <w:tcW w:w="363" w:type="pct"/>
            <w:tcBorders>
              <w:top w:val="nil"/>
              <w:left w:val="single" w:sz="4" w:space="0" w:color="auto"/>
              <w:bottom w:val="single" w:sz="4" w:space="0" w:color="auto"/>
              <w:right w:val="single" w:sz="4" w:space="0" w:color="auto"/>
            </w:tcBorders>
            <w:shd w:val="clear" w:color="auto" w:fill="auto"/>
            <w:hideMark/>
          </w:tcPr>
          <w:p w14:paraId="4F512FEF" w14:textId="0C99442F" w:rsidR="00AB3190" w:rsidRPr="009D165E" w:rsidRDefault="00AB3190" w:rsidP="00AB3190">
            <w:pPr>
              <w:jc w:val="right"/>
              <w:rPr>
                <w:color w:val="000000" w:themeColor="text1"/>
                <w:sz w:val="14"/>
                <w:szCs w:val="14"/>
              </w:rPr>
            </w:pPr>
            <w:r w:rsidRPr="008F7D63">
              <w:rPr>
                <w:sz w:val="14"/>
                <w:szCs w:val="14"/>
              </w:rPr>
              <w:t>5</w:t>
            </w:r>
          </w:p>
        </w:tc>
        <w:tc>
          <w:tcPr>
            <w:tcW w:w="465" w:type="pct"/>
            <w:tcBorders>
              <w:top w:val="nil"/>
              <w:left w:val="nil"/>
              <w:bottom w:val="single" w:sz="4" w:space="0" w:color="auto"/>
              <w:right w:val="single" w:sz="4" w:space="0" w:color="auto"/>
            </w:tcBorders>
            <w:shd w:val="clear" w:color="auto" w:fill="auto"/>
          </w:tcPr>
          <w:p w14:paraId="78A8D15E" w14:textId="31C2250A" w:rsidR="00AB3190" w:rsidRPr="009D165E" w:rsidRDefault="00AB3190" w:rsidP="00AB3190">
            <w:pPr>
              <w:jc w:val="right"/>
              <w:rPr>
                <w:color w:val="000000" w:themeColor="text1"/>
                <w:sz w:val="14"/>
                <w:szCs w:val="14"/>
              </w:rPr>
            </w:pPr>
            <w:r>
              <w:rPr>
                <w:sz w:val="14"/>
                <w:szCs w:val="14"/>
              </w:rPr>
              <w:t>44</w:t>
            </w:r>
          </w:p>
        </w:tc>
        <w:tc>
          <w:tcPr>
            <w:tcW w:w="406" w:type="pct"/>
            <w:tcBorders>
              <w:top w:val="nil"/>
              <w:left w:val="nil"/>
              <w:bottom w:val="single" w:sz="4" w:space="0" w:color="auto"/>
              <w:right w:val="single" w:sz="4" w:space="0" w:color="auto"/>
            </w:tcBorders>
            <w:shd w:val="clear" w:color="auto" w:fill="auto"/>
          </w:tcPr>
          <w:p w14:paraId="7F74F26A" w14:textId="0013BF16" w:rsidR="00AB3190" w:rsidRPr="00B40AFD" w:rsidRDefault="00F745A9" w:rsidP="00AB3190">
            <w:pPr>
              <w:jc w:val="right"/>
              <w:rPr>
                <w:color w:val="000000"/>
                <w:sz w:val="14"/>
                <w:szCs w:val="14"/>
              </w:rPr>
            </w:pPr>
            <w:r>
              <w:rPr>
                <w:sz w:val="14"/>
                <w:szCs w:val="14"/>
              </w:rPr>
              <w:t>220</w:t>
            </w:r>
          </w:p>
        </w:tc>
        <w:tc>
          <w:tcPr>
            <w:tcW w:w="515" w:type="pct"/>
            <w:tcBorders>
              <w:top w:val="nil"/>
              <w:left w:val="nil"/>
              <w:bottom w:val="single" w:sz="4" w:space="0" w:color="auto"/>
              <w:right w:val="single" w:sz="4" w:space="0" w:color="auto"/>
            </w:tcBorders>
            <w:shd w:val="clear" w:color="auto" w:fill="auto"/>
          </w:tcPr>
          <w:p w14:paraId="0BF83E0B" w14:textId="16D2226A" w:rsidR="00AB3190" w:rsidRPr="009D165E" w:rsidRDefault="00AB3190" w:rsidP="00AB3190">
            <w:pPr>
              <w:jc w:val="right"/>
              <w:rPr>
                <w:color w:val="000000" w:themeColor="text1"/>
                <w:sz w:val="14"/>
                <w:szCs w:val="14"/>
              </w:rPr>
            </w:pPr>
            <w:r w:rsidRPr="008F7D63">
              <w:rPr>
                <w:sz w:val="14"/>
                <w:szCs w:val="14"/>
              </w:rPr>
              <w:t>159</w:t>
            </w:r>
          </w:p>
        </w:tc>
        <w:tc>
          <w:tcPr>
            <w:tcW w:w="514" w:type="pct"/>
            <w:tcBorders>
              <w:top w:val="nil"/>
              <w:left w:val="nil"/>
              <w:bottom w:val="single" w:sz="4" w:space="0" w:color="auto"/>
              <w:right w:val="single" w:sz="4" w:space="0" w:color="auto"/>
            </w:tcBorders>
            <w:shd w:val="clear" w:color="auto" w:fill="auto"/>
          </w:tcPr>
          <w:p w14:paraId="4D70F367" w14:textId="167EFB9A" w:rsidR="00AB3190" w:rsidRPr="009D165E" w:rsidRDefault="00AB3190" w:rsidP="00AB3190">
            <w:pPr>
              <w:jc w:val="right"/>
              <w:rPr>
                <w:color w:val="000000" w:themeColor="text1"/>
                <w:sz w:val="14"/>
                <w:szCs w:val="14"/>
              </w:rPr>
            </w:pPr>
            <w:r w:rsidRPr="008F7D63">
              <w:rPr>
                <w:sz w:val="14"/>
                <w:szCs w:val="14"/>
              </w:rPr>
              <w:t xml:space="preserve"> $11,575 </w:t>
            </w:r>
          </w:p>
        </w:tc>
        <w:tc>
          <w:tcPr>
            <w:tcW w:w="446" w:type="pct"/>
            <w:tcBorders>
              <w:top w:val="nil"/>
              <w:left w:val="nil"/>
              <w:bottom w:val="single" w:sz="4" w:space="0" w:color="auto"/>
              <w:right w:val="single" w:sz="4" w:space="0" w:color="auto"/>
            </w:tcBorders>
            <w:shd w:val="clear" w:color="auto" w:fill="auto"/>
          </w:tcPr>
          <w:p w14:paraId="0136943B" w14:textId="2086F42D" w:rsidR="00AB3190" w:rsidRPr="009D165E" w:rsidRDefault="00AB3190" w:rsidP="00AB3190">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25E15ECC" w14:textId="745222C8" w:rsidR="00AB3190" w:rsidRPr="009D165E" w:rsidRDefault="00AB3190" w:rsidP="00AB3190">
            <w:pPr>
              <w:jc w:val="right"/>
              <w:rPr>
                <w:color w:val="000000" w:themeColor="text1"/>
                <w:sz w:val="14"/>
                <w:szCs w:val="14"/>
              </w:rPr>
            </w:pPr>
            <w:r w:rsidRPr="008F7D63">
              <w:rPr>
                <w:sz w:val="14"/>
                <w:szCs w:val="14"/>
              </w:rPr>
              <w:t xml:space="preserve"> $7,000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51FE76E6" w14:textId="0E0D5AF4" w:rsidR="00AB3190" w:rsidRPr="009D165E" w:rsidRDefault="00AB3190" w:rsidP="00AB3190">
            <w:pPr>
              <w:jc w:val="right"/>
              <w:rPr>
                <w:color w:val="000000" w:themeColor="text1"/>
                <w:sz w:val="14"/>
                <w:szCs w:val="14"/>
              </w:rPr>
            </w:pPr>
            <w:r w:rsidRPr="008F7D63">
              <w:rPr>
                <w:sz w:val="14"/>
                <w:szCs w:val="14"/>
              </w:rPr>
              <w:t xml:space="preserve"> $18,575 </w:t>
            </w:r>
          </w:p>
        </w:tc>
      </w:tr>
      <w:tr w:rsidR="00AB3190" w:rsidRPr="00C77927" w14:paraId="5CFBFCE7" w14:textId="77777777" w:rsidTr="00D771CB">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A07262" w14:textId="4127C4C8" w:rsidR="00AB3190" w:rsidRPr="00D25FC9" w:rsidRDefault="00AB3190" w:rsidP="00AB3190">
            <w:pPr>
              <w:rPr>
                <w:color w:val="000000" w:themeColor="text1"/>
                <w:sz w:val="14"/>
                <w:szCs w:val="14"/>
              </w:rPr>
            </w:pPr>
            <w:r w:rsidRPr="00D25FC9">
              <w:rPr>
                <w:color w:val="000000"/>
                <w:sz w:val="14"/>
                <w:szCs w:val="14"/>
              </w:rPr>
              <w:t xml:space="preserve">HH. Municipal </w:t>
            </w:r>
            <w:r>
              <w:rPr>
                <w:color w:val="000000"/>
                <w:sz w:val="14"/>
                <w:szCs w:val="14"/>
              </w:rPr>
              <w:t xml:space="preserve">Solid Waste </w:t>
            </w:r>
            <w:r w:rsidRPr="00D25FC9">
              <w:rPr>
                <w:color w:val="000000"/>
                <w:sz w:val="14"/>
                <w:szCs w:val="14"/>
              </w:rPr>
              <w:t xml:space="preserve">Landfills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0150C969" w14:textId="585293AB" w:rsidR="00AB3190" w:rsidRPr="009D165E" w:rsidRDefault="00AB3190" w:rsidP="00AB3190">
            <w:pPr>
              <w:jc w:val="right"/>
              <w:rPr>
                <w:color w:val="000000" w:themeColor="text1"/>
                <w:sz w:val="14"/>
                <w:szCs w:val="14"/>
              </w:rPr>
            </w:pPr>
            <w:r w:rsidRPr="008F7D63">
              <w:rPr>
                <w:sz w:val="14"/>
                <w:szCs w:val="14"/>
              </w:rPr>
              <w:t>1,15</w:t>
            </w:r>
            <w:r>
              <w:rPr>
                <w:sz w:val="14"/>
                <w:szCs w:val="14"/>
              </w:rPr>
              <w:t>7</w:t>
            </w:r>
          </w:p>
        </w:tc>
        <w:tc>
          <w:tcPr>
            <w:tcW w:w="465" w:type="pct"/>
            <w:tcBorders>
              <w:top w:val="nil"/>
              <w:left w:val="nil"/>
              <w:bottom w:val="single" w:sz="4" w:space="0" w:color="auto"/>
              <w:right w:val="single" w:sz="4" w:space="0" w:color="auto"/>
            </w:tcBorders>
            <w:shd w:val="clear" w:color="auto" w:fill="auto"/>
          </w:tcPr>
          <w:p w14:paraId="134B7047" w14:textId="1096694A" w:rsidR="00AB3190" w:rsidRPr="009D165E" w:rsidRDefault="00AB3190" w:rsidP="00AB3190">
            <w:pPr>
              <w:jc w:val="right"/>
              <w:rPr>
                <w:color w:val="000000" w:themeColor="text1"/>
                <w:sz w:val="14"/>
                <w:szCs w:val="14"/>
              </w:rPr>
            </w:pPr>
            <w:r>
              <w:rPr>
                <w:sz w:val="14"/>
                <w:szCs w:val="14"/>
              </w:rPr>
              <w:t>514</w:t>
            </w:r>
          </w:p>
        </w:tc>
        <w:tc>
          <w:tcPr>
            <w:tcW w:w="406" w:type="pct"/>
            <w:tcBorders>
              <w:top w:val="nil"/>
              <w:left w:val="nil"/>
              <w:bottom w:val="single" w:sz="4" w:space="0" w:color="auto"/>
              <w:right w:val="single" w:sz="4" w:space="0" w:color="auto"/>
            </w:tcBorders>
            <w:shd w:val="clear" w:color="auto" w:fill="auto"/>
          </w:tcPr>
          <w:p w14:paraId="501F10EF" w14:textId="652A26CC" w:rsidR="00AB3190" w:rsidRPr="00B40AFD" w:rsidRDefault="00F745A9" w:rsidP="00AB3190">
            <w:pPr>
              <w:jc w:val="right"/>
              <w:rPr>
                <w:color w:val="000000"/>
                <w:sz w:val="14"/>
                <w:szCs w:val="14"/>
              </w:rPr>
            </w:pPr>
            <w:r>
              <w:rPr>
                <w:sz w:val="14"/>
                <w:szCs w:val="14"/>
              </w:rPr>
              <w:t>594,527</w:t>
            </w:r>
          </w:p>
        </w:tc>
        <w:tc>
          <w:tcPr>
            <w:tcW w:w="515" w:type="pct"/>
            <w:tcBorders>
              <w:top w:val="nil"/>
              <w:left w:val="nil"/>
              <w:bottom w:val="single" w:sz="4" w:space="0" w:color="auto"/>
              <w:right w:val="single" w:sz="4" w:space="0" w:color="auto"/>
            </w:tcBorders>
            <w:shd w:val="clear" w:color="auto" w:fill="auto"/>
          </w:tcPr>
          <w:p w14:paraId="7FF43DEC" w14:textId="67D84BF0" w:rsidR="00AB3190" w:rsidRPr="009D165E" w:rsidRDefault="00AB3190" w:rsidP="00AB3190">
            <w:pPr>
              <w:jc w:val="right"/>
              <w:rPr>
                <w:color w:val="000000" w:themeColor="text1"/>
                <w:sz w:val="14"/>
                <w:szCs w:val="14"/>
              </w:rPr>
            </w:pPr>
            <w:r w:rsidRPr="008F7D63">
              <w:rPr>
                <w:sz w:val="14"/>
                <w:szCs w:val="14"/>
              </w:rPr>
              <w:t>74,</w:t>
            </w:r>
            <w:r>
              <w:rPr>
                <w:sz w:val="14"/>
                <w:szCs w:val="14"/>
              </w:rPr>
              <w:t>396</w:t>
            </w:r>
          </w:p>
        </w:tc>
        <w:tc>
          <w:tcPr>
            <w:tcW w:w="514" w:type="pct"/>
            <w:tcBorders>
              <w:top w:val="nil"/>
              <w:left w:val="nil"/>
              <w:bottom w:val="single" w:sz="4" w:space="0" w:color="auto"/>
              <w:right w:val="single" w:sz="4" w:space="0" w:color="auto"/>
            </w:tcBorders>
            <w:shd w:val="clear" w:color="auto" w:fill="auto"/>
          </w:tcPr>
          <w:p w14:paraId="57F8959F" w14:textId="6FE63351" w:rsidR="00AB3190" w:rsidRPr="009D165E" w:rsidRDefault="00AB3190" w:rsidP="00AB3190">
            <w:pPr>
              <w:jc w:val="right"/>
              <w:rPr>
                <w:color w:val="000000" w:themeColor="text1"/>
                <w:sz w:val="14"/>
                <w:szCs w:val="14"/>
              </w:rPr>
            </w:pPr>
            <w:r w:rsidRPr="008F7D63">
              <w:rPr>
                <w:sz w:val="14"/>
                <w:szCs w:val="14"/>
              </w:rPr>
              <w:t xml:space="preserve"> $5,</w:t>
            </w:r>
            <w:r>
              <w:rPr>
                <w:sz w:val="14"/>
                <w:szCs w:val="14"/>
              </w:rPr>
              <w:t>211,182</w:t>
            </w:r>
            <w:r w:rsidRPr="008F7D63">
              <w:rPr>
                <w:sz w:val="14"/>
                <w:szCs w:val="14"/>
              </w:rPr>
              <w:t xml:space="preserve"> </w:t>
            </w:r>
          </w:p>
        </w:tc>
        <w:tc>
          <w:tcPr>
            <w:tcW w:w="446" w:type="pct"/>
            <w:tcBorders>
              <w:top w:val="nil"/>
              <w:left w:val="nil"/>
              <w:bottom w:val="single" w:sz="4" w:space="0" w:color="auto"/>
              <w:right w:val="single" w:sz="4" w:space="0" w:color="auto"/>
            </w:tcBorders>
            <w:shd w:val="clear" w:color="auto" w:fill="auto"/>
          </w:tcPr>
          <w:p w14:paraId="7690DD95" w14:textId="6D4B914D" w:rsidR="00AB3190" w:rsidRPr="009D165E" w:rsidRDefault="00AB3190" w:rsidP="00AB3190">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2E91A1C1" w14:textId="07121FF3" w:rsidR="00AB3190" w:rsidRPr="009D165E" w:rsidRDefault="00AB3190" w:rsidP="00AB3190">
            <w:pPr>
              <w:jc w:val="right"/>
              <w:rPr>
                <w:color w:val="000000" w:themeColor="text1"/>
                <w:sz w:val="14"/>
                <w:szCs w:val="14"/>
              </w:rPr>
            </w:pPr>
            <w:r w:rsidRPr="008F7D63">
              <w:rPr>
                <w:sz w:val="14"/>
                <w:szCs w:val="14"/>
              </w:rPr>
              <w:t xml:space="preserve"> $1,85</w:t>
            </w:r>
            <w:r>
              <w:rPr>
                <w:sz w:val="14"/>
                <w:szCs w:val="14"/>
              </w:rPr>
              <w:t>6,676</w:t>
            </w:r>
            <w:r w:rsidRPr="008F7D63">
              <w:rPr>
                <w:sz w:val="14"/>
                <w:szCs w:val="14"/>
              </w:rPr>
              <w:t xml:space="preserve">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3F73013" w14:textId="5D60732F" w:rsidR="00AB3190" w:rsidRPr="009D165E" w:rsidRDefault="00AB3190" w:rsidP="00AB3190">
            <w:pPr>
              <w:jc w:val="right"/>
              <w:rPr>
                <w:color w:val="000000" w:themeColor="text1"/>
                <w:sz w:val="14"/>
                <w:szCs w:val="14"/>
              </w:rPr>
            </w:pPr>
            <w:r w:rsidRPr="008F7D63">
              <w:rPr>
                <w:sz w:val="14"/>
                <w:szCs w:val="14"/>
              </w:rPr>
              <w:t xml:space="preserve"> $7,0</w:t>
            </w:r>
            <w:r>
              <w:rPr>
                <w:sz w:val="14"/>
                <w:szCs w:val="14"/>
              </w:rPr>
              <w:t>67,858</w:t>
            </w:r>
            <w:r w:rsidRPr="008F7D63">
              <w:rPr>
                <w:sz w:val="14"/>
                <w:szCs w:val="14"/>
              </w:rPr>
              <w:t xml:space="preserve"> </w:t>
            </w:r>
          </w:p>
        </w:tc>
      </w:tr>
      <w:tr w:rsidR="00AB3190" w:rsidRPr="00C77927" w14:paraId="25AE65B4" w14:textId="77777777" w:rsidTr="00D771CB">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220601" w14:textId="1348B903" w:rsidR="00AB3190" w:rsidRPr="00D25FC9" w:rsidRDefault="00AB3190" w:rsidP="00AB3190">
            <w:pPr>
              <w:rPr>
                <w:color w:val="000000" w:themeColor="text1"/>
                <w:sz w:val="14"/>
                <w:szCs w:val="14"/>
              </w:rPr>
            </w:pPr>
            <w:r w:rsidRPr="00D25FC9">
              <w:rPr>
                <w:color w:val="000000"/>
                <w:sz w:val="14"/>
                <w:szCs w:val="14"/>
              </w:rPr>
              <w:t>II. Industrial Wastewater</w:t>
            </w:r>
            <w:r>
              <w:rPr>
                <w:color w:val="000000"/>
                <w:sz w:val="14"/>
                <w:szCs w:val="14"/>
              </w:rPr>
              <w:t xml:space="preserve"> Treatment</w:t>
            </w:r>
            <w:r w:rsidRPr="00D25FC9">
              <w:rPr>
                <w:color w:val="000000"/>
                <w:sz w:val="14"/>
                <w:szCs w:val="14"/>
              </w:rPr>
              <w:t xml:space="preserve">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hideMark/>
          </w:tcPr>
          <w:p w14:paraId="164D3746" w14:textId="3A97C283" w:rsidR="00AB3190" w:rsidRPr="009D165E" w:rsidRDefault="00AB3190" w:rsidP="00AB3190">
            <w:pPr>
              <w:jc w:val="right"/>
              <w:rPr>
                <w:color w:val="000000" w:themeColor="text1"/>
                <w:sz w:val="14"/>
                <w:szCs w:val="14"/>
              </w:rPr>
            </w:pPr>
            <w:r w:rsidRPr="008F7D63">
              <w:rPr>
                <w:sz w:val="14"/>
                <w:szCs w:val="14"/>
              </w:rPr>
              <w:t>140</w:t>
            </w:r>
          </w:p>
        </w:tc>
        <w:tc>
          <w:tcPr>
            <w:tcW w:w="465" w:type="pct"/>
            <w:tcBorders>
              <w:top w:val="nil"/>
              <w:left w:val="nil"/>
              <w:bottom w:val="single" w:sz="4" w:space="0" w:color="auto"/>
              <w:right w:val="single" w:sz="4" w:space="0" w:color="auto"/>
            </w:tcBorders>
            <w:shd w:val="clear" w:color="auto" w:fill="auto"/>
          </w:tcPr>
          <w:p w14:paraId="2B4E22EA" w14:textId="1D1F4AE2" w:rsidR="00AB3190" w:rsidRPr="009D165E" w:rsidRDefault="00AB3190" w:rsidP="00AB3190">
            <w:pPr>
              <w:jc w:val="right"/>
              <w:rPr>
                <w:color w:val="000000" w:themeColor="text1"/>
                <w:sz w:val="14"/>
                <w:szCs w:val="14"/>
              </w:rPr>
            </w:pPr>
            <w:r>
              <w:rPr>
                <w:sz w:val="14"/>
                <w:szCs w:val="14"/>
              </w:rPr>
              <w:t>437</w:t>
            </w:r>
          </w:p>
        </w:tc>
        <w:tc>
          <w:tcPr>
            <w:tcW w:w="406" w:type="pct"/>
            <w:tcBorders>
              <w:top w:val="nil"/>
              <w:left w:val="nil"/>
              <w:bottom w:val="single" w:sz="4" w:space="0" w:color="auto"/>
              <w:right w:val="single" w:sz="4" w:space="0" w:color="auto"/>
            </w:tcBorders>
            <w:shd w:val="clear" w:color="auto" w:fill="auto"/>
          </w:tcPr>
          <w:p w14:paraId="6F9E4478" w14:textId="548893B8" w:rsidR="00AB3190" w:rsidRPr="00B40AFD" w:rsidRDefault="00F745A9" w:rsidP="00AB3190">
            <w:pPr>
              <w:jc w:val="right"/>
              <w:rPr>
                <w:color w:val="000000"/>
                <w:sz w:val="14"/>
                <w:szCs w:val="14"/>
              </w:rPr>
            </w:pPr>
            <w:r>
              <w:rPr>
                <w:sz w:val="14"/>
                <w:szCs w:val="14"/>
              </w:rPr>
              <w:t>61,180</w:t>
            </w:r>
          </w:p>
        </w:tc>
        <w:tc>
          <w:tcPr>
            <w:tcW w:w="515" w:type="pct"/>
            <w:tcBorders>
              <w:top w:val="nil"/>
              <w:left w:val="nil"/>
              <w:bottom w:val="single" w:sz="4" w:space="0" w:color="auto"/>
              <w:right w:val="single" w:sz="4" w:space="0" w:color="auto"/>
            </w:tcBorders>
            <w:shd w:val="clear" w:color="auto" w:fill="auto"/>
          </w:tcPr>
          <w:p w14:paraId="6B3C0F91" w14:textId="6D158EBD" w:rsidR="00AB3190" w:rsidRPr="009D165E" w:rsidRDefault="00AB3190" w:rsidP="00AB3190">
            <w:pPr>
              <w:jc w:val="right"/>
              <w:rPr>
                <w:color w:val="000000" w:themeColor="text1"/>
                <w:sz w:val="14"/>
                <w:szCs w:val="14"/>
              </w:rPr>
            </w:pPr>
            <w:r w:rsidRPr="008F7D63">
              <w:rPr>
                <w:sz w:val="14"/>
                <w:szCs w:val="14"/>
              </w:rPr>
              <w:t>4,399</w:t>
            </w:r>
          </w:p>
        </w:tc>
        <w:tc>
          <w:tcPr>
            <w:tcW w:w="514" w:type="pct"/>
            <w:tcBorders>
              <w:top w:val="nil"/>
              <w:left w:val="nil"/>
              <w:bottom w:val="single" w:sz="4" w:space="0" w:color="auto"/>
              <w:right w:val="single" w:sz="4" w:space="0" w:color="auto"/>
            </w:tcBorders>
            <w:shd w:val="clear" w:color="auto" w:fill="auto"/>
          </w:tcPr>
          <w:p w14:paraId="7A2E2808" w14:textId="6F11D0F5" w:rsidR="00AB3190" w:rsidRPr="009D165E" w:rsidRDefault="00AB3190" w:rsidP="00AB3190">
            <w:pPr>
              <w:jc w:val="right"/>
              <w:rPr>
                <w:color w:val="000000" w:themeColor="text1"/>
                <w:sz w:val="14"/>
                <w:szCs w:val="14"/>
              </w:rPr>
            </w:pPr>
            <w:r w:rsidRPr="008F7D63">
              <w:rPr>
                <w:sz w:val="14"/>
                <w:szCs w:val="14"/>
              </w:rPr>
              <w:t xml:space="preserve"> $320,001 </w:t>
            </w:r>
          </w:p>
        </w:tc>
        <w:tc>
          <w:tcPr>
            <w:tcW w:w="446" w:type="pct"/>
            <w:tcBorders>
              <w:top w:val="nil"/>
              <w:left w:val="nil"/>
              <w:bottom w:val="single" w:sz="4" w:space="0" w:color="auto"/>
              <w:right w:val="single" w:sz="4" w:space="0" w:color="auto"/>
            </w:tcBorders>
            <w:shd w:val="clear" w:color="auto" w:fill="auto"/>
          </w:tcPr>
          <w:p w14:paraId="57C2AC92" w14:textId="198A4137" w:rsidR="00AB3190" w:rsidRPr="009D165E" w:rsidRDefault="00AB3190" w:rsidP="00AB3190">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62634C02" w14:textId="67F49858" w:rsidR="00AB3190" w:rsidRPr="009D165E" w:rsidRDefault="00AB3190" w:rsidP="00AB3190">
            <w:pPr>
              <w:jc w:val="right"/>
              <w:rPr>
                <w:color w:val="000000" w:themeColor="text1"/>
                <w:sz w:val="14"/>
                <w:szCs w:val="14"/>
              </w:rPr>
            </w:pPr>
            <w:r w:rsidRPr="008F7D63">
              <w:rPr>
                <w:sz w:val="14"/>
                <w:szCs w:val="14"/>
              </w:rPr>
              <w:t xml:space="preserve"> $172,667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1667C2F1" w14:textId="2D855F1B" w:rsidR="00AB3190" w:rsidRPr="009D165E" w:rsidRDefault="00AB3190" w:rsidP="00AB3190">
            <w:pPr>
              <w:jc w:val="right"/>
              <w:rPr>
                <w:color w:val="000000" w:themeColor="text1"/>
                <w:sz w:val="14"/>
                <w:szCs w:val="14"/>
              </w:rPr>
            </w:pPr>
            <w:r w:rsidRPr="008F7D63">
              <w:rPr>
                <w:sz w:val="14"/>
                <w:szCs w:val="14"/>
              </w:rPr>
              <w:t xml:space="preserve"> $492,667 </w:t>
            </w:r>
          </w:p>
        </w:tc>
      </w:tr>
      <w:tr w:rsidR="00AB3190" w:rsidRPr="00C77927" w14:paraId="0C7E02D8" w14:textId="77777777" w:rsidTr="00D771CB">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806F2D" w14:textId="3FD0E91D" w:rsidR="00AB3190" w:rsidRPr="00D25FC9" w:rsidRDefault="00AB3190" w:rsidP="00AB3190">
            <w:pPr>
              <w:rPr>
                <w:color w:val="000000" w:themeColor="text1"/>
                <w:sz w:val="14"/>
                <w:szCs w:val="14"/>
              </w:rPr>
            </w:pPr>
            <w:r w:rsidRPr="00D25FC9">
              <w:rPr>
                <w:color w:val="000000"/>
                <w:sz w:val="14"/>
                <w:szCs w:val="14"/>
              </w:rPr>
              <w:t>LL. Suppliers of Coal-based Liquid Fuels</w:t>
            </w:r>
            <w:r>
              <w:rPr>
                <w:color w:val="000000"/>
                <w:sz w:val="14"/>
                <w:szCs w:val="14"/>
              </w:rPr>
              <w:t xml:space="preserve"> </w:t>
            </w:r>
            <w:r w:rsidRPr="00D25FC9">
              <w:rPr>
                <w:color w:val="000000"/>
                <w:sz w:val="14"/>
                <w:szCs w:val="14"/>
                <w:vertAlign w:val="superscript"/>
              </w:rPr>
              <w:t>c,g</w:t>
            </w:r>
            <w:r w:rsidRPr="00D25FC9">
              <w:rPr>
                <w:color w:val="000000"/>
                <w:sz w:val="14"/>
                <w:szCs w:val="14"/>
              </w:rPr>
              <w:t xml:space="preserve"> </w:t>
            </w:r>
          </w:p>
        </w:tc>
        <w:tc>
          <w:tcPr>
            <w:tcW w:w="363" w:type="pct"/>
            <w:tcBorders>
              <w:top w:val="nil"/>
              <w:left w:val="single" w:sz="4" w:space="0" w:color="auto"/>
              <w:bottom w:val="single" w:sz="4" w:space="0" w:color="auto"/>
              <w:right w:val="single" w:sz="4" w:space="0" w:color="auto"/>
            </w:tcBorders>
            <w:shd w:val="clear" w:color="auto" w:fill="auto"/>
            <w:hideMark/>
          </w:tcPr>
          <w:p w14:paraId="1035E173" w14:textId="3BF0160F" w:rsidR="00AB3190" w:rsidRPr="009D165E" w:rsidRDefault="00AB3190" w:rsidP="00AB3190">
            <w:pPr>
              <w:jc w:val="right"/>
              <w:rPr>
                <w:color w:val="000000" w:themeColor="text1"/>
                <w:sz w:val="14"/>
                <w:szCs w:val="14"/>
              </w:rPr>
            </w:pPr>
            <w:r w:rsidRPr="008F7D63">
              <w:rPr>
                <w:sz w:val="14"/>
                <w:szCs w:val="14"/>
              </w:rPr>
              <w:t>2</w:t>
            </w:r>
          </w:p>
        </w:tc>
        <w:tc>
          <w:tcPr>
            <w:tcW w:w="465" w:type="pct"/>
            <w:tcBorders>
              <w:top w:val="nil"/>
              <w:left w:val="nil"/>
              <w:bottom w:val="single" w:sz="4" w:space="0" w:color="auto"/>
              <w:right w:val="single" w:sz="4" w:space="0" w:color="auto"/>
            </w:tcBorders>
            <w:shd w:val="clear" w:color="auto" w:fill="auto"/>
          </w:tcPr>
          <w:p w14:paraId="7E16B2EB" w14:textId="1697EEF6" w:rsidR="00AB3190" w:rsidRPr="009D165E" w:rsidRDefault="00AB3190" w:rsidP="00AB3190">
            <w:pPr>
              <w:jc w:val="right"/>
              <w:rPr>
                <w:color w:val="000000" w:themeColor="text1"/>
                <w:sz w:val="14"/>
                <w:szCs w:val="14"/>
              </w:rPr>
            </w:pPr>
            <w:r>
              <w:rPr>
                <w:sz w:val="14"/>
                <w:szCs w:val="14"/>
              </w:rPr>
              <w:t>2</w:t>
            </w:r>
          </w:p>
        </w:tc>
        <w:tc>
          <w:tcPr>
            <w:tcW w:w="406" w:type="pct"/>
            <w:tcBorders>
              <w:top w:val="nil"/>
              <w:left w:val="nil"/>
              <w:bottom w:val="single" w:sz="4" w:space="0" w:color="auto"/>
              <w:right w:val="single" w:sz="4" w:space="0" w:color="auto"/>
            </w:tcBorders>
            <w:shd w:val="clear" w:color="auto" w:fill="auto"/>
          </w:tcPr>
          <w:p w14:paraId="47DADFC6" w14:textId="5DB7032C" w:rsidR="00AB3190" w:rsidRPr="00B40AFD" w:rsidRDefault="00F745A9" w:rsidP="00AB3190">
            <w:pPr>
              <w:jc w:val="right"/>
              <w:rPr>
                <w:color w:val="000000"/>
                <w:sz w:val="14"/>
                <w:szCs w:val="14"/>
              </w:rPr>
            </w:pPr>
            <w:r>
              <w:rPr>
                <w:sz w:val="14"/>
                <w:szCs w:val="14"/>
              </w:rPr>
              <w:t>4</w:t>
            </w:r>
          </w:p>
        </w:tc>
        <w:tc>
          <w:tcPr>
            <w:tcW w:w="515" w:type="pct"/>
            <w:tcBorders>
              <w:top w:val="nil"/>
              <w:left w:val="nil"/>
              <w:bottom w:val="single" w:sz="4" w:space="0" w:color="auto"/>
              <w:right w:val="single" w:sz="4" w:space="0" w:color="auto"/>
            </w:tcBorders>
            <w:shd w:val="clear" w:color="auto" w:fill="auto"/>
          </w:tcPr>
          <w:p w14:paraId="029B4FB7" w14:textId="35D9B652" w:rsidR="00AB3190" w:rsidRPr="009D165E" w:rsidRDefault="00AB3190" w:rsidP="00AB3190">
            <w:pPr>
              <w:jc w:val="right"/>
              <w:rPr>
                <w:color w:val="000000" w:themeColor="text1"/>
                <w:sz w:val="14"/>
                <w:szCs w:val="14"/>
              </w:rPr>
            </w:pPr>
            <w:r w:rsidRPr="008F7D63">
              <w:rPr>
                <w:sz w:val="14"/>
                <w:szCs w:val="14"/>
              </w:rPr>
              <w:t>43</w:t>
            </w:r>
          </w:p>
        </w:tc>
        <w:tc>
          <w:tcPr>
            <w:tcW w:w="514" w:type="pct"/>
            <w:tcBorders>
              <w:top w:val="nil"/>
              <w:left w:val="nil"/>
              <w:bottom w:val="single" w:sz="4" w:space="0" w:color="auto"/>
              <w:right w:val="single" w:sz="4" w:space="0" w:color="auto"/>
            </w:tcBorders>
            <w:shd w:val="clear" w:color="auto" w:fill="auto"/>
          </w:tcPr>
          <w:p w14:paraId="1B4DBECE" w14:textId="7C344452" w:rsidR="00AB3190" w:rsidRPr="009D165E" w:rsidRDefault="00AB3190" w:rsidP="00AB3190">
            <w:pPr>
              <w:jc w:val="right"/>
              <w:rPr>
                <w:color w:val="000000" w:themeColor="text1"/>
                <w:sz w:val="14"/>
                <w:szCs w:val="14"/>
              </w:rPr>
            </w:pPr>
            <w:r w:rsidRPr="008F7D63">
              <w:rPr>
                <w:sz w:val="14"/>
                <w:szCs w:val="14"/>
              </w:rPr>
              <w:t xml:space="preserve"> $3,149 </w:t>
            </w:r>
          </w:p>
        </w:tc>
        <w:tc>
          <w:tcPr>
            <w:tcW w:w="446" w:type="pct"/>
            <w:tcBorders>
              <w:top w:val="nil"/>
              <w:left w:val="nil"/>
              <w:bottom w:val="single" w:sz="4" w:space="0" w:color="auto"/>
              <w:right w:val="single" w:sz="4" w:space="0" w:color="auto"/>
            </w:tcBorders>
            <w:shd w:val="clear" w:color="auto" w:fill="auto"/>
          </w:tcPr>
          <w:p w14:paraId="109DAC77" w14:textId="7C2E0A80" w:rsidR="00AB3190" w:rsidRPr="009D165E" w:rsidRDefault="00AB3190" w:rsidP="00AB3190">
            <w:pPr>
              <w:jc w:val="right"/>
              <w:rPr>
                <w:color w:val="000000" w:themeColor="text1"/>
                <w:sz w:val="14"/>
                <w:szCs w:val="14"/>
              </w:rPr>
            </w:pPr>
            <w:r w:rsidRPr="008F7D63">
              <w:rPr>
                <w:sz w:val="14"/>
                <w:szCs w:val="14"/>
              </w:rPr>
              <w:t xml:space="preserve"> $</w:t>
            </w:r>
            <w:r>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0BEE15F1" w14:textId="0D55D580" w:rsidR="00AB3190" w:rsidRPr="009D165E" w:rsidRDefault="00AB3190" w:rsidP="00AB3190">
            <w:pPr>
              <w:jc w:val="right"/>
              <w:rPr>
                <w:color w:val="000000" w:themeColor="text1"/>
                <w:sz w:val="14"/>
                <w:szCs w:val="14"/>
              </w:rPr>
            </w:pPr>
            <w:r w:rsidRPr="008F7D63">
              <w:rPr>
                <w:sz w:val="14"/>
                <w:szCs w:val="14"/>
              </w:rPr>
              <w:t xml:space="preserve"> $100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7CC87AE" w14:textId="30EC52DD" w:rsidR="00AB3190" w:rsidRPr="009D165E" w:rsidRDefault="00AB3190" w:rsidP="00AB3190">
            <w:pPr>
              <w:jc w:val="right"/>
              <w:rPr>
                <w:color w:val="000000" w:themeColor="text1"/>
                <w:sz w:val="14"/>
                <w:szCs w:val="14"/>
              </w:rPr>
            </w:pPr>
            <w:r w:rsidRPr="008F7D63">
              <w:rPr>
                <w:sz w:val="14"/>
                <w:szCs w:val="14"/>
              </w:rPr>
              <w:t xml:space="preserve"> $3,249 </w:t>
            </w:r>
          </w:p>
        </w:tc>
      </w:tr>
      <w:tr w:rsidR="00AB3190" w:rsidRPr="00C77927" w14:paraId="3ED30DF5" w14:textId="77777777" w:rsidTr="00480737">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06E36C79" w14:textId="2AE97A06" w:rsidR="00AB3190" w:rsidRPr="00D25FC9" w:rsidRDefault="00AB3190" w:rsidP="00AB3190">
            <w:pPr>
              <w:rPr>
                <w:color w:val="000000"/>
                <w:sz w:val="14"/>
                <w:szCs w:val="14"/>
              </w:rPr>
            </w:pPr>
            <w:r w:rsidRPr="00D25FC9">
              <w:rPr>
                <w:color w:val="000000"/>
                <w:sz w:val="14"/>
                <w:szCs w:val="14"/>
              </w:rPr>
              <w:t xml:space="preserve">MM. Suppliers of Petroleum Products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tcPr>
          <w:p w14:paraId="5DC4FF60" w14:textId="480A99ED" w:rsidR="00AB3190" w:rsidRPr="004E75EF" w:rsidRDefault="00AB3190" w:rsidP="00AB3190">
            <w:pPr>
              <w:jc w:val="right"/>
              <w:rPr>
                <w:sz w:val="14"/>
                <w:szCs w:val="14"/>
              </w:rPr>
            </w:pPr>
            <w:r w:rsidRPr="00F85AFA">
              <w:rPr>
                <w:sz w:val="14"/>
                <w:szCs w:val="14"/>
              </w:rPr>
              <w:t>241</w:t>
            </w:r>
          </w:p>
        </w:tc>
        <w:tc>
          <w:tcPr>
            <w:tcW w:w="465" w:type="pct"/>
            <w:tcBorders>
              <w:top w:val="nil"/>
              <w:left w:val="nil"/>
              <w:bottom w:val="single" w:sz="4" w:space="0" w:color="auto"/>
              <w:right w:val="single" w:sz="4" w:space="0" w:color="auto"/>
            </w:tcBorders>
            <w:shd w:val="clear" w:color="auto" w:fill="auto"/>
          </w:tcPr>
          <w:p w14:paraId="6985E029" w14:textId="5101847A" w:rsidR="00AB3190" w:rsidRPr="004E75EF" w:rsidRDefault="00AB3190" w:rsidP="00AB3190">
            <w:pPr>
              <w:jc w:val="right"/>
              <w:rPr>
                <w:sz w:val="14"/>
                <w:szCs w:val="14"/>
              </w:rPr>
            </w:pPr>
            <w:r>
              <w:rPr>
                <w:sz w:val="14"/>
                <w:szCs w:val="14"/>
              </w:rPr>
              <w:t>149</w:t>
            </w:r>
          </w:p>
        </w:tc>
        <w:tc>
          <w:tcPr>
            <w:tcW w:w="406" w:type="pct"/>
            <w:tcBorders>
              <w:top w:val="nil"/>
              <w:left w:val="nil"/>
              <w:bottom w:val="single" w:sz="4" w:space="0" w:color="auto"/>
              <w:right w:val="single" w:sz="4" w:space="0" w:color="auto"/>
            </w:tcBorders>
            <w:shd w:val="clear" w:color="auto" w:fill="auto"/>
          </w:tcPr>
          <w:p w14:paraId="4FF58060" w14:textId="42441FD3" w:rsidR="00AB3190" w:rsidRPr="00D26510" w:rsidRDefault="00F745A9" w:rsidP="00AB3190">
            <w:pPr>
              <w:jc w:val="right"/>
              <w:rPr>
                <w:sz w:val="14"/>
                <w:szCs w:val="14"/>
              </w:rPr>
            </w:pPr>
            <w:r>
              <w:rPr>
                <w:sz w:val="14"/>
                <w:szCs w:val="14"/>
              </w:rPr>
              <w:t>35,909</w:t>
            </w:r>
          </w:p>
        </w:tc>
        <w:tc>
          <w:tcPr>
            <w:tcW w:w="515" w:type="pct"/>
            <w:tcBorders>
              <w:top w:val="nil"/>
              <w:left w:val="nil"/>
              <w:bottom w:val="single" w:sz="4" w:space="0" w:color="auto"/>
              <w:right w:val="single" w:sz="4" w:space="0" w:color="auto"/>
            </w:tcBorders>
            <w:shd w:val="clear" w:color="auto" w:fill="auto"/>
          </w:tcPr>
          <w:p w14:paraId="184AC9E7" w14:textId="696D05D2" w:rsidR="00AB3190" w:rsidRPr="00A1245A" w:rsidRDefault="00AB3190" w:rsidP="00AB3190">
            <w:pPr>
              <w:jc w:val="right"/>
              <w:rPr>
                <w:sz w:val="14"/>
                <w:szCs w:val="14"/>
              </w:rPr>
            </w:pPr>
            <w:r w:rsidRPr="00F85AFA">
              <w:rPr>
                <w:sz w:val="14"/>
                <w:szCs w:val="14"/>
              </w:rPr>
              <w:t>9,303</w:t>
            </w:r>
          </w:p>
        </w:tc>
        <w:tc>
          <w:tcPr>
            <w:tcW w:w="514" w:type="pct"/>
            <w:tcBorders>
              <w:top w:val="nil"/>
              <w:left w:val="nil"/>
              <w:bottom w:val="single" w:sz="4" w:space="0" w:color="auto"/>
              <w:right w:val="single" w:sz="4" w:space="0" w:color="auto"/>
            </w:tcBorders>
            <w:shd w:val="clear" w:color="auto" w:fill="auto"/>
          </w:tcPr>
          <w:p w14:paraId="08307365" w14:textId="16852BAC" w:rsidR="00AB3190" w:rsidRPr="00A1245A" w:rsidRDefault="00AB3190" w:rsidP="00AB3190">
            <w:pPr>
              <w:jc w:val="right"/>
              <w:rPr>
                <w:sz w:val="14"/>
                <w:szCs w:val="14"/>
              </w:rPr>
            </w:pPr>
            <w:r w:rsidRPr="00F85AFA">
              <w:rPr>
                <w:sz w:val="14"/>
                <w:szCs w:val="14"/>
              </w:rPr>
              <w:t xml:space="preserve"> $666,789 </w:t>
            </w:r>
          </w:p>
        </w:tc>
        <w:tc>
          <w:tcPr>
            <w:tcW w:w="446" w:type="pct"/>
            <w:tcBorders>
              <w:top w:val="nil"/>
              <w:left w:val="nil"/>
              <w:bottom w:val="single" w:sz="4" w:space="0" w:color="auto"/>
              <w:right w:val="single" w:sz="4" w:space="0" w:color="auto"/>
            </w:tcBorders>
            <w:shd w:val="clear" w:color="auto" w:fill="auto"/>
          </w:tcPr>
          <w:p w14:paraId="45C7A050" w14:textId="0DE92BEC" w:rsidR="00AB3190" w:rsidRPr="00A1245A" w:rsidRDefault="00AB3190" w:rsidP="00AB3190">
            <w:pPr>
              <w:jc w:val="right"/>
              <w:rPr>
                <w:sz w:val="14"/>
                <w:szCs w:val="14"/>
              </w:rPr>
            </w:pPr>
            <w:r w:rsidRPr="00F85AFA">
              <w:rPr>
                <w:sz w:val="14"/>
                <w:szCs w:val="14"/>
              </w:rPr>
              <w:t xml:space="preserve"> $</w:t>
            </w:r>
            <w:r>
              <w:rPr>
                <w:sz w:val="14"/>
                <w:szCs w:val="14"/>
              </w:rPr>
              <w:t>0</w:t>
            </w:r>
            <w:r w:rsidRPr="00F85AFA">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165E06DD" w14:textId="4546A652" w:rsidR="00AB3190" w:rsidRPr="00A1245A" w:rsidRDefault="00AB3190" w:rsidP="00AB3190">
            <w:pPr>
              <w:jc w:val="right"/>
              <w:rPr>
                <w:sz w:val="14"/>
                <w:szCs w:val="14"/>
              </w:rPr>
            </w:pPr>
            <w:r w:rsidRPr="00F85AFA">
              <w:rPr>
                <w:sz w:val="14"/>
                <w:szCs w:val="14"/>
              </w:rPr>
              <w:t xml:space="preserve"> $12,050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03A120B" w14:textId="42676A5C" w:rsidR="00AB3190" w:rsidRPr="00A1245A" w:rsidRDefault="00AB3190" w:rsidP="00AB3190">
            <w:pPr>
              <w:jc w:val="right"/>
              <w:rPr>
                <w:sz w:val="14"/>
                <w:szCs w:val="14"/>
              </w:rPr>
            </w:pPr>
            <w:r w:rsidRPr="00F85AFA">
              <w:rPr>
                <w:sz w:val="14"/>
                <w:szCs w:val="14"/>
              </w:rPr>
              <w:t xml:space="preserve"> $678,839 </w:t>
            </w:r>
          </w:p>
        </w:tc>
      </w:tr>
      <w:tr w:rsidR="00AB3190" w:rsidRPr="00C77927" w14:paraId="4702E1DB" w14:textId="77777777" w:rsidTr="00480737">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6F34AB" w14:textId="0E26100E" w:rsidR="00AB3190" w:rsidRPr="00D25FC9" w:rsidRDefault="00AB3190" w:rsidP="00AB3190">
            <w:pPr>
              <w:rPr>
                <w:color w:val="000000" w:themeColor="text1"/>
                <w:sz w:val="14"/>
                <w:szCs w:val="14"/>
              </w:rPr>
            </w:pPr>
            <w:r w:rsidRPr="00D25FC9">
              <w:rPr>
                <w:color w:val="000000"/>
                <w:sz w:val="14"/>
                <w:szCs w:val="14"/>
              </w:rPr>
              <w:t xml:space="preserve">NN. Supplies of Natural Gas and Natural Gas Liquids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tcPr>
          <w:p w14:paraId="714440F6" w14:textId="065E458C" w:rsidR="00AB3190" w:rsidRPr="009D165E" w:rsidRDefault="00AB3190" w:rsidP="00AB3190">
            <w:pPr>
              <w:jc w:val="right"/>
              <w:rPr>
                <w:color w:val="000000" w:themeColor="text1"/>
                <w:sz w:val="14"/>
                <w:szCs w:val="14"/>
              </w:rPr>
            </w:pPr>
            <w:r w:rsidRPr="00F85AFA">
              <w:rPr>
                <w:sz w:val="14"/>
                <w:szCs w:val="14"/>
              </w:rPr>
              <w:t>511</w:t>
            </w:r>
          </w:p>
        </w:tc>
        <w:tc>
          <w:tcPr>
            <w:tcW w:w="465" w:type="pct"/>
            <w:tcBorders>
              <w:top w:val="nil"/>
              <w:left w:val="nil"/>
              <w:bottom w:val="single" w:sz="4" w:space="0" w:color="auto"/>
              <w:right w:val="single" w:sz="4" w:space="0" w:color="auto"/>
            </w:tcBorders>
            <w:shd w:val="clear" w:color="auto" w:fill="auto"/>
          </w:tcPr>
          <w:p w14:paraId="627D0A16" w14:textId="4A85C3E2" w:rsidR="00AB3190" w:rsidRPr="009D165E" w:rsidRDefault="00AB3190" w:rsidP="00AB3190">
            <w:pPr>
              <w:jc w:val="right"/>
              <w:rPr>
                <w:color w:val="000000" w:themeColor="text1"/>
                <w:sz w:val="14"/>
                <w:szCs w:val="14"/>
              </w:rPr>
            </w:pPr>
            <w:r>
              <w:rPr>
                <w:sz w:val="14"/>
                <w:szCs w:val="14"/>
              </w:rPr>
              <w:t>64</w:t>
            </w:r>
          </w:p>
        </w:tc>
        <w:tc>
          <w:tcPr>
            <w:tcW w:w="406" w:type="pct"/>
            <w:tcBorders>
              <w:top w:val="nil"/>
              <w:left w:val="nil"/>
              <w:bottom w:val="single" w:sz="4" w:space="0" w:color="auto"/>
              <w:right w:val="single" w:sz="4" w:space="0" w:color="auto"/>
            </w:tcBorders>
            <w:shd w:val="clear" w:color="auto" w:fill="auto"/>
          </w:tcPr>
          <w:p w14:paraId="71F8DD68" w14:textId="08B893F7" w:rsidR="00AB3190" w:rsidRPr="00B40AFD" w:rsidRDefault="00F745A9" w:rsidP="00AB3190">
            <w:pPr>
              <w:jc w:val="right"/>
              <w:rPr>
                <w:color w:val="000000"/>
                <w:sz w:val="14"/>
                <w:szCs w:val="14"/>
              </w:rPr>
            </w:pPr>
            <w:r>
              <w:rPr>
                <w:sz w:val="14"/>
                <w:szCs w:val="14"/>
              </w:rPr>
              <w:t>32,704</w:t>
            </w:r>
          </w:p>
        </w:tc>
        <w:tc>
          <w:tcPr>
            <w:tcW w:w="515" w:type="pct"/>
            <w:tcBorders>
              <w:top w:val="nil"/>
              <w:left w:val="nil"/>
              <w:bottom w:val="single" w:sz="4" w:space="0" w:color="auto"/>
              <w:right w:val="single" w:sz="4" w:space="0" w:color="auto"/>
            </w:tcBorders>
            <w:shd w:val="clear" w:color="auto" w:fill="auto"/>
          </w:tcPr>
          <w:p w14:paraId="631DB08C" w14:textId="5DAE239B" w:rsidR="00AB3190" w:rsidRPr="009D165E" w:rsidRDefault="00AB3190" w:rsidP="00AB3190">
            <w:pPr>
              <w:jc w:val="right"/>
              <w:rPr>
                <w:color w:val="000000" w:themeColor="text1"/>
                <w:sz w:val="14"/>
                <w:szCs w:val="14"/>
              </w:rPr>
            </w:pPr>
            <w:r w:rsidRPr="00F85AFA">
              <w:rPr>
                <w:sz w:val="14"/>
                <w:szCs w:val="14"/>
              </w:rPr>
              <w:t>8,632</w:t>
            </w:r>
          </w:p>
        </w:tc>
        <w:tc>
          <w:tcPr>
            <w:tcW w:w="514" w:type="pct"/>
            <w:tcBorders>
              <w:top w:val="nil"/>
              <w:left w:val="nil"/>
              <w:bottom w:val="single" w:sz="4" w:space="0" w:color="auto"/>
              <w:right w:val="single" w:sz="4" w:space="0" w:color="auto"/>
            </w:tcBorders>
            <w:shd w:val="clear" w:color="auto" w:fill="auto"/>
          </w:tcPr>
          <w:p w14:paraId="050AC78D" w14:textId="7C98DCFA" w:rsidR="00AB3190" w:rsidRPr="009D165E" w:rsidRDefault="00AB3190" w:rsidP="00AB3190">
            <w:pPr>
              <w:jc w:val="right"/>
              <w:rPr>
                <w:color w:val="000000" w:themeColor="text1"/>
                <w:sz w:val="14"/>
                <w:szCs w:val="14"/>
              </w:rPr>
            </w:pPr>
            <w:r w:rsidRPr="00F85AFA">
              <w:rPr>
                <w:sz w:val="14"/>
                <w:szCs w:val="14"/>
              </w:rPr>
              <w:t xml:space="preserve"> $627,057 </w:t>
            </w:r>
          </w:p>
        </w:tc>
        <w:tc>
          <w:tcPr>
            <w:tcW w:w="446" w:type="pct"/>
            <w:tcBorders>
              <w:top w:val="nil"/>
              <w:left w:val="nil"/>
              <w:bottom w:val="single" w:sz="4" w:space="0" w:color="auto"/>
              <w:right w:val="single" w:sz="4" w:space="0" w:color="auto"/>
            </w:tcBorders>
            <w:shd w:val="clear" w:color="auto" w:fill="auto"/>
          </w:tcPr>
          <w:p w14:paraId="099613CA" w14:textId="0F6263B3" w:rsidR="00AB3190" w:rsidRPr="009D165E" w:rsidRDefault="00AB3190" w:rsidP="00AB3190">
            <w:pPr>
              <w:jc w:val="right"/>
              <w:rPr>
                <w:color w:val="000000" w:themeColor="text1"/>
                <w:sz w:val="14"/>
                <w:szCs w:val="14"/>
              </w:rPr>
            </w:pPr>
            <w:r w:rsidRPr="00F85AFA">
              <w:rPr>
                <w:sz w:val="14"/>
                <w:szCs w:val="14"/>
              </w:rPr>
              <w:t xml:space="preserve"> $</w:t>
            </w:r>
            <w:r>
              <w:rPr>
                <w:sz w:val="14"/>
                <w:szCs w:val="14"/>
              </w:rPr>
              <w:t>0</w:t>
            </w:r>
            <w:r w:rsidRPr="00F85AFA">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5D81DC43" w14:textId="4C978DB0" w:rsidR="00AB3190" w:rsidRPr="009D165E" w:rsidRDefault="00AB3190" w:rsidP="00AB3190">
            <w:pPr>
              <w:jc w:val="right"/>
              <w:rPr>
                <w:color w:val="000000" w:themeColor="text1"/>
                <w:sz w:val="14"/>
                <w:szCs w:val="14"/>
              </w:rPr>
            </w:pPr>
            <w:r w:rsidRPr="00F85AFA">
              <w:rPr>
                <w:sz w:val="14"/>
                <w:szCs w:val="14"/>
              </w:rPr>
              <w:t xml:space="preserve"> $25,550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59EBD2CD" w14:textId="6D237399" w:rsidR="00AB3190" w:rsidRPr="009D165E" w:rsidRDefault="00AB3190" w:rsidP="00AB3190">
            <w:pPr>
              <w:jc w:val="right"/>
              <w:rPr>
                <w:color w:val="000000" w:themeColor="text1"/>
                <w:sz w:val="14"/>
                <w:szCs w:val="14"/>
              </w:rPr>
            </w:pPr>
            <w:r w:rsidRPr="00F85AFA">
              <w:rPr>
                <w:sz w:val="14"/>
                <w:szCs w:val="14"/>
              </w:rPr>
              <w:t xml:space="preserve"> $652,607 </w:t>
            </w:r>
          </w:p>
        </w:tc>
      </w:tr>
      <w:tr w:rsidR="00AB3190" w:rsidRPr="00C77927" w14:paraId="5AF7029D" w14:textId="77777777" w:rsidTr="00480737">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3D1E40" w14:textId="47E1AD75" w:rsidR="00AB3190" w:rsidRPr="00D25FC9" w:rsidRDefault="00AB3190" w:rsidP="00AB3190">
            <w:pPr>
              <w:rPr>
                <w:color w:val="000000" w:themeColor="text1"/>
                <w:sz w:val="14"/>
                <w:szCs w:val="14"/>
              </w:rPr>
            </w:pPr>
            <w:r w:rsidRPr="00D25FC9">
              <w:rPr>
                <w:color w:val="000000"/>
                <w:sz w:val="14"/>
                <w:szCs w:val="14"/>
              </w:rPr>
              <w:t xml:space="preserve">OO. Suppliers of Industrial GHG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tcPr>
          <w:p w14:paraId="09BE7656" w14:textId="0416AC8C" w:rsidR="00AB3190" w:rsidRPr="009D165E" w:rsidRDefault="00AB3190" w:rsidP="00AB3190">
            <w:pPr>
              <w:jc w:val="right"/>
              <w:rPr>
                <w:color w:val="000000" w:themeColor="text1"/>
                <w:sz w:val="14"/>
                <w:szCs w:val="14"/>
              </w:rPr>
            </w:pPr>
            <w:r w:rsidRPr="00F85AFA">
              <w:rPr>
                <w:sz w:val="14"/>
                <w:szCs w:val="14"/>
              </w:rPr>
              <w:t>86</w:t>
            </w:r>
          </w:p>
        </w:tc>
        <w:tc>
          <w:tcPr>
            <w:tcW w:w="465" w:type="pct"/>
            <w:tcBorders>
              <w:top w:val="nil"/>
              <w:left w:val="nil"/>
              <w:bottom w:val="single" w:sz="4" w:space="0" w:color="auto"/>
              <w:right w:val="single" w:sz="4" w:space="0" w:color="auto"/>
            </w:tcBorders>
            <w:shd w:val="clear" w:color="auto" w:fill="auto"/>
          </w:tcPr>
          <w:p w14:paraId="6ACE8919" w14:textId="2C111C8F" w:rsidR="00AB3190" w:rsidRPr="009D165E" w:rsidRDefault="00AB3190" w:rsidP="00AB3190">
            <w:pPr>
              <w:jc w:val="right"/>
              <w:rPr>
                <w:color w:val="000000" w:themeColor="text1"/>
                <w:sz w:val="14"/>
                <w:szCs w:val="14"/>
              </w:rPr>
            </w:pPr>
            <w:r>
              <w:rPr>
                <w:sz w:val="14"/>
                <w:szCs w:val="14"/>
              </w:rPr>
              <w:t>3,635</w:t>
            </w:r>
          </w:p>
        </w:tc>
        <w:tc>
          <w:tcPr>
            <w:tcW w:w="406" w:type="pct"/>
            <w:tcBorders>
              <w:top w:val="nil"/>
              <w:left w:val="nil"/>
              <w:bottom w:val="single" w:sz="4" w:space="0" w:color="auto"/>
              <w:right w:val="single" w:sz="4" w:space="0" w:color="auto"/>
            </w:tcBorders>
            <w:shd w:val="clear" w:color="auto" w:fill="auto"/>
          </w:tcPr>
          <w:p w14:paraId="106E6558" w14:textId="27816BC6" w:rsidR="00AB3190" w:rsidRPr="00B40AFD" w:rsidRDefault="00F745A9" w:rsidP="00AB3190">
            <w:pPr>
              <w:jc w:val="right"/>
              <w:rPr>
                <w:color w:val="000000"/>
                <w:sz w:val="14"/>
                <w:szCs w:val="14"/>
              </w:rPr>
            </w:pPr>
            <w:r>
              <w:rPr>
                <w:sz w:val="14"/>
                <w:szCs w:val="14"/>
              </w:rPr>
              <w:t>312,610</w:t>
            </w:r>
          </w:p>
        </w:tc>
        <w:tc>
          <w:tcPr>
            <w:tcW w:w="515" w:type="pct"/>
            <w:tcBorders>
              <w:top w:val="nil"/>
              <w:left w:val="nil"/>
              <w:bottom w:val="single" w:sz="4" w:space="0" w:color="auto"/>
              <w:right w:val="single" w:sz="4" w:space="0" w:color="auto"/>
            </w:tcBorders>
            <w:shd w:val="clear" w:color="auto" w:fill="auto"/>
          </w:tcPr>
          <w:p w14:paraId="4C449AE5" w14:textId="1902BF1D" w:rsidR="00AB3190" w:rsidRPr="009D165E" w:rsidRDefault="00AB3190" w:rsidP="00AB3190">
            <w:pPr>
              <w:jc w:val="right"/>
              <w:rPr>
                <w:color w:val="000000" w:themeColor="text1"/>
                <w:sz w:val="14"/>
                <w:szCs w:val="14"/>
              </w:rPr>
            </w:pPr>
            <w:r w:rsidRPr="00F85AFA">
              <w:rPr>
                <w:sz w:val="14"/>
                <w:szCs w:val="14"/>
              </w:rPr>
              <w:t>8,779</w:t>
            </w:r>
          </w:p>
        </w:tc>
        <w:tc>
          <w:tcPr>
            <w:tcW w:w="514" w:type="pct"/>
            <w:tcBorders>
              <w:top w:val="nil"/>
              <w:left w:val="nil"/>
              <w:bottom w:val="single" w:sz="4" w:space="0" w:color="auto"/>
              <w:right w:val="single" w:sz="4" w:space="0" w:color="auto"/>
            </w:tcBorders>
            <w:shd w:val="clear" w:color="auto" w:fill="auto"/>
          </w:tcPr>
          <w:p w14:paraId="7EF7298A" w14:textId="196A8B69" w:rsidR="00AB3190" w:rsidRPr="009D165E" w:rsidRDefault="00AB3190" w:rsidP="00AB3190">
            <w:pPr>
              <w:jc w:val="right"/>
              <w:rPr>
                <w:color w:val="000000" w:themeColor="text1"/>
                <w:sz w:val="14"/>
                <w:szCs w:val="14"/>
              </w:rPr>
            </w:pPr>
            <w:r w:rsidRPr="00F85AFA">
              <w:rPr>
                <w:sz w:val="14"/>
                <w:szCs w:val="14"/>
              </w:rPr>
              <w:t xml:space="preserve"> $633,246 </w:t>
            </w:r>
          </w:p>
        </w:tc>
        <w:tc>
          <w:tcPr>
            <w:tcW w:w="446" w:type="pct"/>
            <w:tcBorders>
              <w:top w:val="nil"/>
              <w:left w:val="nil"/>
              <w:bottom w:val="single" w:sz="4" w:space="0" w:color="auto"/>
              <w:right w:val="single" w:sz="4" w:space="0" w:color="auto"/>
            </w:tcBorders>
            <w:shd w:val="clear" w:color="auto" w:fill="auto"/>
          </w:tcPr>
          <w:p w14:paraId="6B0197FA" w14:textId="277306C0" w:rsidR="00AB3190" w:rsidRPr="009D165E" w:rsidRDefault="00AB3190" w:rsidP="00AB3190">
            <w:pPr>
              <w:jc w:val="right"/>
              <w:rPr>
                <w:color w:val="000000" w:themeColor="text1"/>
                <w:sz w:val="14"/>
                <w:szCs w:val="14"/>
              </w:rPr>
            </w:pPr>
            <w:r w:rsidRPr="00F85AFA">
              <w:rPr>
                <w:sz w:val="14"/>
                <w:szCs w:val="14"/>
              </w:rPr>
              <w:t xml:space="preserve"> $</w:t>
            </w:r>
            <w:r>
              <w:rPr>
                <w:sz w:val="14"/>
                <w:szCs w:val="14"/>
              </w:rPr>
              <w:t>0</w:t>
            </w:r>
            <w:r w:rsidRPr="00F85AFA">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373053F9" w14:textId="02D6B1CB" w:rsidR="00AB3190" w:rsidRPr="009D165E" w:rsidRDefault="00AB3190" w:rsidP="00AB3190">
            <w:pPr>
              <w:jc w:val="right"/>
              <w:rPr>
                <w:color w:val="000000" w:themeColor="text1"/>
                <w:sz w:val="14"/>
                <w:szCs w:val="14"/>
              </w:rPr>
            </w:pPr>
            <w:r w:rsidRPr="00F85AFA">
              <w:rPr>
                <w:sz w:val="14"/>
                <w:szCs w:val="14"/>
              </w:rPr>
              <w:t xml:space="preserve"> $4,300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54123E90" w14:textId="016F7B83" w:rsidR="00AB3190" w:rsidRPr="009D165E" w:rsidRDefault="00AB3190" w:rsidP="00AB3190">
            <w:pPr>
              <w:jc w:val="right"/>
              <w:rPr>
                <w:color w:val="000000" w:themeColor="text1"/>
                <w:sz w:val="14"/>
                <w:szCs w:val="14"/>
              </w:rPr>
            </w:pPr>
            <w:r w:rsidRPr="00F85AFA">
              <w:rPr>
                <w:sz w:val="14"/>
                <w:szCs w:val="14"/>
              </w:rPr>
              <w:t xml:space="preserve"> $637,546 </w:t>
            </w:r>
          </w:p>
        </w:tc>
      </w:tr>
      <w:tr w:rsidR="00AB3190" w:rsidRPr="00C77927" w14:paraId="5D5A8920" w14:textId="77777777" w:rsidTr="00480737">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12C14E1" w14:textId="4D8E51F7" w:rsidR="00AB3190" w:rsidRPr="00D25FC9" w:rsidRDefault="00AB3190" w:rsidP="00AB3190">
            <w:pPr>
              <w:rPr>
                <w:color w:val="000000" w:themeColor="text1"/>
                <w:sz w:val="14"/>
                <w:szCs w:val="14"/>
              </w:rPr>
            </w:pPr>
            <w:r w:rsidRPr="00D25FC9">
              <w:rPr>
                <w:color w:val="000000"/>
                <w:sz w:val="14"/>
                <w:szCs w:val="14"/>
              </w:rPr>
              <w:t>PP. Suppliers of C</w:t>
            </w:r>
            <w:r>
              <w:rPr>
                <w:color w:val="000000"/>
                <w:sz w:val="14"/>
                <w:szCs w:val="14"/>
              </w:rPr>
              <w:t>arbon Dioxide</w:t>
            </w:r>
            <w:r w:rsidRPr="00D25FC9">
              <w:rPr>
                <w:color w:val="000000"/>
                <w:sz w:val="14"/>
                <w:szCs w:val="14"/>
              </w:rPr>
              <w:t xml:space="preserve">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tcPr>
          <w:p w14:paraId="2329DF65" w14:textId="74DA1351" w:rsidR="00AB3190" w:rsidRPr="009D165E" w:rsidRDefault="00AB3190" w:rsidP="00AB3190">
            <w:pPr>
              <w:jc w:val="right"/>
              <w:rPr>
                <w:color w:val="000000" w:themeColor="text1"/>
                <w:sz w:val="14"/>
                <w:szCs w:val="14"/>
              </w:rPr>
            </w:pPr>
            <w:r w:rsidRPr="00F85AFA">
              <w:rPr>
                <w:sz w:val="14"/>
                <w:szCs w:val="14"/>
              </w:rPr>
              <w:t>131</w:t>
            </w:r>
          </w:p>
        </w:tc>
        <w:tc>
          <w:tcPr>
            <w:tcW w:w="465" w:type="pct"/>
            <w:tcBorders>
              <w:top w:val="nil"/>
              <w:left w:val="nil"/>
              <w:bottom w:val="single" w:sz="4" w:space="0" w:color="auto"/>
              <w:right w:val="single" w:sz="4" w:space="0" w:color="auto"/>
            </w:tcBorders>
            <w:shd w:val="clear" w:color="auto" w:fill="auto"/>
          </w:tcPr>
          <w:p w14:paraId="186BEF80" w14:textId="2B104BE5" w:rsidR="00AB3190" w:rsidRPr="009D165E" w:rsidRDefault="00AB3190" w:rsidP="00AB3190">
            <w:pPr>
              <w:jc w:val="right"/>
              <w:rPr>
                <w:color w:val="000000" w:themeColor="text1"/>
                <w:sz w:val="14"/>
                <w:szCs w:val="14"/>
              </w:rPr>
            </w:pPr>
            <w:r>
              <w:rPr>
                <w:sz w:val="14"/>
                <w:szCs w:val="14"/>
              </w:rPr>
              <w:t>94</w:t>
            </w:r>
          </w:p>
        </w:tc>
        <w:tc>
          <w:tcPr>
            <w:tcW w:w="406" w:type="pct"/>
            <w:tcBorders>
              <w:top w:val="nil"/>
              <w:left w:val="nil"/>
              <w:bottom w:val="single" w:sz="4" w:space="0" w:color="auto"/>
              <w:right w:val="single" w:sz="4" w:space="0" w:color="auto"/>
            </w:tcBorders>
            <w:shd w:val="clear" w:color="auto" w:fill="auto"/>
          </w:tcPr>
          <w:p w14:paraId="7FCFB1C0" w14:textId="2B3C562D" w:rsidR="00AB3190" w:rsidRPr="00B40AFD" w:rsidRDefault="00F745A9" w:rsidP="00AB3190">
            <w:pPr>
              <w:jc w:val="right"/>
              <w:rPr>
                <w:color w:val="000000"/>
                <w:sz w:val="14"/>
                <w:szCs w:val="14"/>
              </w:rPr>
            </w:pPr>
            <w:r>
              <w:rPr>
                <w:sz w:val="14"/>
                <w:szCs w:val="14"/>
              </w:rPr>
              <w:t>12,314</w:t>
            </w:r>
          </w:p>
        </w:tc>
        <w:tc>
          <w:tcPr>
            <w:tcW w:w="515" w:type="pct"/>
            <w:tcBorders>
              <w:top w:val="nil"/>
              <w:left w:val="nil"/>
              <w:bottom w:val="single" w:sz="4" w:space="0" w:color="auto"/>
              <w:right w:val="single" w:sz="4" w:space="0" w:color="auto"/>
            </w:tcBorders>
            <w:shd w:val="clear" w:color="auto" w:fill="auto"/>
          </w:tcPr>
          <w:p w14:paraId="0F9EEB7F" w14:textId="16A379DE" w:rsidR="00AB3190" w:rsidRPr="009D165E" w:rsidRDefault="00AB3190" w:rsidP="00AB3190">
            <w:pPr>
              <w:jc w:val="right"/>
              <w:rPr>
                <w:color w:val="000000" w:themeColor="text1"/>
                <w:sz w:val="14"/>
                <w:szCs w:val="14"/>
              </w:rPr>
            </w:pPr>
            <w:r w:rsidRPr="00F85AFA">
              <w:rPr>
                <w:sz w:val="14"/>
                <w:szCs w:val="14"/>
              </w:rPr>
              <w:t>1,703</w:t>
            </w:r>
          </w:p>
        </w:tc>
        <w:tc>
          <w:tcPr>
            <w:tcW w:w="514" w:type="pct"/>
            <w:tcBorders>
              <w:top w:val="nil"/>
              <w:left w:val="nil"/>
              <w:bottom w:val="single" w:sz="4" w:space="0" w:color="auto"/>
              <w:right w:val="single" w:sz="4" w:space="0" w:color="auto"/>
            </w:tcBorders>
            <w:shd w:val="clear" w:color="auto" w:fill="auto"/>
          </w:tcPr>
          <w:p w14:paraId="5EBD190A" w14:textId="1886F0CC" w:rsidR="00AB3190" w:rsidRPr="009D165E" w:rsidRDefault="00AB3190" w:rsidP="00AB3190">
            <w:pPr>
              <w:jc w:val="right"/>
              <w:rPr>
                <w:color w:val="000000" w:themeColor="text1"/>
                <w:sz w:val="14"/>
                <w:szCs w:val="14"/>
              </w:rPr>
            </w:pPr>
            <w:r w:rsidRPr="00F85AFA">
              <w:rPr>
                <w:sz w:val="14"/>
                <w:szCs w:val="14"/>
              </w:rPr>
              <w:t xml:space="preserve"> $120,008 </w:t>
            </w:r>
          </w:p>
        </w:tc>
        <w:tc>
          <w:tcPr>
            <w:tcW w:w="446" w:type="pct"/>
            <w:tcBorders>
              <w:top w:val="nil"/>
              <w:left w:val="nil"/>
              <w:bottom w:val="single" w:sz="4" w:space="0" w:color="auto"/>
              <w:right w:val="single" w:sz="4" w:space="0" w:color="auto"/>
            </w:tcBorders>
            <w:shd w:val="clear" w:color="auto" w:fill="auto"/>
          </w:tcPr>
          <w:p w14:paraId="17766D6D" w14:textId="0BD08FF7" w:rsidR="00AB3190" w:rsidRPr="009D165E" w:rsidRDefault="00AB3190" w:rsidP="00AB3190">
            <w:pPr>
              <w:jc w:val="right"/>
              <w:rPr>
                <w:color w:val="000000" w:themeColor="text1"/>
                <w:sz w:val="14"/>
                <w:szCs w:val="14"/>
              </w:rPr>
            </w:pPr>
            <w:r w:rsidRPr="00F85AFA">
              <w:rPr>
                <w:sz w:val="14"/>
                <w:szCs w:val="14"/>
              </w:rPr>
              <w:t xml:space="preserve"> $</w:t>
            </w:r>
            <w:r>
              <w:rPr>
                <w:sz w:val="14"/>
                <w:szCs w:val="14"/>
              </w:rPr>
              <w:t>0</w:t>
            </w:r>
            <w:r w:rsidRPr="00F85AFA">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3550AB71" w14:textId="5B2F9FA4" w:rsidR="00AB3190" w:rsidRPr="009D165E" w:rsidRDefault="00AB3190" w:rsidP="00AB3190">
            <w:pPr>
              <w:jc w:val="right"/>
              <w:rPr>
                <w:color w:val="000000" w:themeColor="text1"/>
                <w:sz w:val="14"/>
                <w:szCs w:val="14"/>
              </w:rPr>
            </w:pPr>
            <w:r w:rsidRPr="00F85AFA">
              <w:rPr>
                <w:sz w:val="14"/>
                <w:szCs w:val="14"/>
              </w:rPr>
              <w:t xml:space="preserve"> $6,550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2CDD468" w14:textId="4D0C3729" w:rsidR="00AB3190" w:rsidRPr="009D165E" w:rsidRDefault="00AB3190" w:rsidP="00AB3190">
            <w:pPr>
              <w:jc w:val="right"/>
              <w:rPr>
                <w:color w:val="000000" w:themeColor="text1"/>
                <w:sz w:val="14"/>
                <w:szCs w:val="14"/>
              </w:rPr>
            </w:pPr>
            <w:r w:rsidRPr="00F85AFA">
              <w:rPr>
                <w:sz w:val="14"/>
                <w:szCs w:val="14"/>
              </w:rPr>
              <w:t xml:space="preserve"> $126,558 </w:t>
            </w:r>
          </w:p>
        </w:tc>
      </w:tr>
      <w:tr w:rsidR="00AB3190" w:rsidRPr="00C77927" w14:paraId="200B0631" w14:textId="77777777" w:rsidTr="00480737">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6F31B4" w14:textId="14E650EA" w:rsidR="00AB3190" w:rsidRPr="00D25FC9" w:rsidRDefault="00AB3190" w:rsidP="00AB3190">
            <w:pPr>
              <w:rPr>
                <w:color w:val="000000" w:themeColor="text1"/>
                <w:sz w:val="14"/>
                <w:szCs w:val="14"/>
              </w:rPr>
            </w:pPr>
            <w:r w:rsidRPr="00D25FC9">
              <w:rPr>
                <w:color w:val="000000"/>
                <w:sz w:val="14"/>
                <w:szCs w:val="14"/>
              </w:rPr>
              <w:t>QQ</w:t>
            </w:r>
            <w:r>
              <w:rPr>
                <w:color w:val="000000"/>
                <w:sz w:val="14"/>
                <w:szCs w:val="14"/>
              </w:rPr>
              <w:t>.</w:t>
            </w:r>
            <w:r w:rsidRPr="00D25FC9">
              <w:rPr>
                <w:color w:val="000000"/>
                <w:sz w:val="14"/>
                <w:szCs w:val="14"/>
              </w:rPr>
              <w:t xml:space="preserve"> Import</w:t>
            </w:r>
            <w:r>
              <w:rPr>
                <w:color w:val="000000"/>
                <w:sz w:val="14"/>
                <w:szCs w:val="14"/>
              </w:rPr>
              <w:t>er</w:t>
            </w:r>
            <w:r w:rsidRPr="00D25FC9">
              <w:rPr>
                <w:color w:val="000000"/>
                <w:sz w:val="14"/>
                <w:szCs w:val="14"/>
              </w:rPr>
              <w:t>s and Export</w:t>
            </w:r>
            <w:r>
              <w:rPr>
                <w:color w:val="000000"/>
                <w:sz w:val="14"/>
                <w:szCs w:val="14"/>
              </w:rPr>
              <w:t>er</w:t>
            </w:r>
            <w:r w:rsidRPr="00D25FC9">
              <w:rPr>
                <w:color w:val="000000"/>
                <w:sz w:val="14"/>
                <w:szCs w:val="14"/>
              </w:rPr>
              <w:t xml:space="preserve">s of Fluorinated GHGs </w:t>
            </w:r>
            <w:r>
              <w:rPr>
                <w:color w:val="000000"/>
                <w:sz w:val="14"/>
                <w:szCs w:val="14"/>
              </w:rPr>
              <w:t xml:space="preserve">Contained </w:t>
            </w:r>
            <w:r w:rsidRPr="00D25FC9">
              <w:rPr>
                <w:color w:val="000000"/>
                <w:sz w:val="14"/>
                <w:szCs w:val="14"/>
              </w:rPr>
              <w:t xml:space="preserve">in </w:t>
            </w:r>
            <w:r>
              <w:rPr>
                <w:color w:val="000000"/>
                <w:sz w:val="14"/>
                <w:szCs w:val="14"/>
              </w:rPr>
              <w:t>Pre-Charged Equipment or Closed-Cell Foams</w:t>
            </w:r>
            <w:r w:rsidRPr="00D25FC9">
              <w:rPr>
                <w:color w:val="000000"/>
                <w:sz w:val="14"/>
                <w:szCs w:val="14"/>
              </w:rPr>
              <w:t xml:space="preserve"> </w:t>
            </w:r>
            <w:r w:rsidRPr="00D25FC9">
              <w:rPr>
                <w:color w:val="000000"/>
                <w:sz w:val="14"/>
                <w:szCs w:val="14"/>
                <w:vertAlign w:val="superscript"/>
              </w:rPr>
              <w:t>c,g</w:t>
            </w:r>
          </w:p>
        </w:tc>
        <w:tc>
          <w:tcPr>
            <w:tcW w:w="363" w:type="pct"/>
            <w:tcBorders>
              <w:top w:val="nil"/>
              <w:left w:val="single" w:sz="4" w:space="0" w:color="auto"/>
              <w:bottom w:val="single" w:sz="4" w:space="0" w:color="auto"/>
              <w:right w:val="single" w:sz="4" w:space="0" w:color="auto"/>
            </w:tcBorders>
            <w:shd w:val="clear" w:color="auto" w:fill="auto"/>
          </w:tcPr>
          <w:p w14:paraId="36D29451" w14:textId="68ACFEE7" w:rsidR="00AB3190" w:rsidRPr="009D165E" w:rsidRDefault="00AB3190" w:rsidP="00AB3190">
            <w:pPr>
              <w:jc w:val="right"/>
              <w:rPr>
                <w:color w:val="000000" w:themeColor="text1"/>
                <w:sz w:val="14"/>
                <w:szCs w:val="14"/>
              </w:rPr>
            </w:pPr>
            <w:r w:rsidRPr="00F85AFA">
              <w:rPr>
                <w:sz w:val="14"/>
                <w:szCs w:val="14"/>
              </w:rPr>
              <w:t>41</w:t>
            </w:r>
          </w:p>
        </w:tc>
        <w:tc>
          <w:tcPr>
            <w:tcW w:w="465" w:type="pct"/>
            <w:tcBorders>
              <w:top w:val="nil"/>
              <w:left w:val="nil"/>
              <w:bottom w:val="single" w:sz="4" w:space="0" w:color="auto"/>
              <w:right w:val="single" w:sz="4" w:space="0" w:color="auto"/>
            </w:tcBorders>
            <w:shd w:val="clear" w:color="auto" w:fill="auto"/>
          </w:tcPr>
          <w:p w14:paraId="4790BDAB" w14:textId="44C2C8D9" w:rsidR="00AB3190" w:rsidRPr="009D165E" w:rsidRDefault="00AB3190" w:rsidP="00AB3190">
            <w:pPr>
              <w:jc w:val="right"/>
              <w:rPr>
                <w:color w:val="000000" w:themeColor="text1"/>
                <w:sz w:val="14"/>
                <w:szCs w:val="14"/>
              </w:rPr>
            </w:pPr>
            <w:r>
              <w:rPr>
                <w:color w:val="000000"/>
                <w:sz w:val="14"/>
                <w:szCs w:val="14"/>
              </w:rPr>
              <w:t>4,092</w:t>
            </w:r>
          </w:p>
        </w:tc>
        <w:tc>
          <w:tcPr>
            <w:tcW w:w="406" w:type="pct"/>
            <w:tcBorders>
              <w:top w:val="nil"/>
              <w:left w:val="nil"/>
              <w:bottom w:val="single" w:sz="4" w:space="0" w:color="auto"/>
              <w:right w:val="single" w:sz="4" w:space="0" w:color="auto"/>
            </w:tcBorders>
            <w:shd w:val="clear" w:color="auto" w:fill="auto"/>
          </w:tcPr>
          <w:p w14:paraId="16C92596" w14:textId="7FA01820" w:rsidR="00AB3190" w:rsidRPr="00B40AFD" w:rsidRDefault="00F745A9" w:rsidP="00AB3190">
            <w:pPr>
              <w:jc w:val="right"/>
              <w:rPr>
                <w:color w:val="000000"/>
                <w:sz w:val="14"/>
                <w:szCs w:val="14"/>
              </w:rPr>
            </w:pPr>
            <w:r>
              <w:rPr>
                <w:sz w:val="14"/>
                <w:szCs w:val="14"/>
              </w:rPr>
              <w:t>167,772</w:t>
            </w:r>
          </w:p>
        </w:tc>
        <w:tc>
          <w:tcPr>
            <w:tcW w:w="515" w:type="pct"/>
            <w:tcBorders>
              <w:top w:val="nil"/>
              <w:left w:val="nil"/>
              <w:bottom w:val="single" w:sz="4" w:space="0" w:color="auto"/>
              <w:right w:val="single" w:sz="4" w:space="0" w:color="auto"/>
            </w:tcBorders>
            <w:shd w:val="clear" w:color="auto" w:fill="auto"/>
          </w:tcPr>
          <w:p w14:paraId="4A6D2079" w14:textId="192A6028" w:rsidR="00AB3190" w:rsidRPr="009D165E" w:rsidRDefault="00AB3190" w:rsidP="00AB3190">
            <w:pPr>
              <w:jc w:val="right"/>
              <w:rPr>
                <w:color w:val="000000" w:themeColor="text1"/>
                <w:sz w:val="14"/>
                <w:szCs w:val="14"/>
              </w:rPr>
            </w:pPr>
            <w:r w:rsidRPr="00F85AFA">
              <w:rPr>
                <w:sz w:val="14"/>
                <w:szCs w:val="14"/>
              </w:rPr>
              <w:t>2,624</w:t>
            </w:r>
          </w:p>
        </w:tc>
        <w:tc>
          <w:tcPr>
            <w:tcW w:w="514" w:type="pct"/>
            <w:tcBorders>
              <w:top w:val="nil"/>
              <w:left w:val="nil"/>
              <w:bottom w:val="single" w:sz="4" w:space="0" w:color="auto"/>
              <w:right w:val="single" w:sz="4" w:space="0" w:color="auto"/>
            </w:tcBorders>
            <w:shd w:val="clear" w:color="auto" w:fill="auto"/>
          </w:tcPr>
          <w:p w14:paraId="578397C0" w14:textId="09B799BA" w:rsidR="00AB3190" w:rsidRPr="009D165E" w:rsidRDefault="00AB3190" w:rsidP="00AB3190">
            <w:pPr>
              <w:jc w:val="right"/>
              <w:rPr>
                <w:color w:val="000000" w:themeColor="text1"/>
                <w:sz w:val="14"/>
                <w:szCs w:val="14"/>
              </w:rPr>
            </w:pPr>
            <w:r w:rsidRPr="00F85AFA">
              <w:rPr>
                <w:sz w:val="14"/>
                <w:szCs w:val="14"/>
              </w:rPr>
              <w:t xml:space="preserve"> $185,490 </w:t>
            </w:r>
          </w:p>
        </w:tc>
        <w:tc>
          <w:tcPr>
            <w:tcW w:w="446" w:type="pct"/>
            <w:tcBorders>
              <w:top w:val="nil"/>
              <w:left w:val="nil"/>
              <w:bottom w:val="single" w:sz="4" w:space="0" w:color="auto"/>
              <w:right w:val="single" w:sz="4" w:space="0" w:color="auto"/>
            </w:tcBorders>
            <w:shd w:val="clear" w:color="auto" w:fill="auto"/>
          </w:tcPr>
          <w:p w14:paraId="6E6179C3" w14:textId="63913B13" w:rsidR="00AB3190" w:rsidRPr="009D165E" w:rsidRDefault="00AB3190" w:rsidP="00AB3190">
            <w:pPr>
              <w:jc w:val="right"/>
              <w:rPr>
                <w:color w:val="000000" w:themeColor="text1"/>
                <w:sz w:val="14"/>
                <w:szCs w:val="14"/>
              </w:rPr>
            </w:pPr>
            <w:r w:rsidRPr="00F85AFA">
              <w:rPr>
                <w:sz w:val="14"/>
                <w:szCs w:val="14"/>
              </w:rPr>
              <w:t xml:space="preserve"> $</w:t>
            </w:r>
            <w:r>
              <w:rPr>
                <w:sz w:val="14"/>
                <w:szCs w:val="14"/>
              </w:rPr>
              <w:t>0</w:t>
            </w:r>
            <w:r w:rsidRPr="00F85AFA">
              <w:rPr>
                <w:sz w:val="14"/>
                <w:szCs w:val="14"/>
              </w:rPr>
              <w:t xml:space="preserve"> </w:t>
            </w:r>
          </w:p>
        </w:tc>
        <w:tc>
          <w:tcPr>
            <w:tcW w:w="514" w:type="pct"/>
            <w:tcBorders>
              <w:top w:val="nil"/>
              <w:left w:val="nil"/>
              <w:bottom w:val="single" w:sz="4" w:space="0" w:color="auto"/>
              <w:right w:val="single" w:sz="4" w:space="0" w:color="auto"/>
            </w:tcBorders>
            <w:shd w:val="clear" w:color="auto" w:fill="auto"/>
          </w:tcPr>
          <w:p w14:paraId="2C8925F4" w14:textId="5594452E" w:rsidR="00AB3190" w:rsidRPr="009D165E" w:rsidRDefault="00AB3190" w:rsidP="00AB3190">
            <w:pPr>
              <w:jc w:val="right"/>
              <w:rPr>
                <w:color w:val="000000" w:themeColor="text1"/>
                <w:sz w:val="14"/>
                <w:szCs w:val="14"/>
              </w:rPr>
            </w:pPr>
            <w:r w:rsidRPr="00F85AFA">
              <w:rPr>
                <w:sz w:val="14"/>
                <w:szCs w:val="14"/>
              </w:rPr>
              <w:t xml:space="preserve"> $2,050 </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81BBB6" w14:textId="342EEA86" w:rsidR="00AB3190" w:rsidRPr="009D165E" w:rsidRDefault="00AB3190" w:rsidP="00AB3190">
            <w:pPr>
              <w:jc w:val="right"/>
              <w:rPr>
                <w:color w:val="000000" w:themeColor="text1"/>
                <w:sz w:val="14"/>
                <w:szCs w:val="14"/>
              </w:rPr>
            </w:pPr>
            <w:r w:rsidRPr="00F85AFA">
              <w:rPr>
                <w:sz w:val="14"/>
                <w:szCs w:val="14"/>
              </w:rPr>
              <w:t xml:space="preserve"> $187,540 </w:t>
            </w:r>
          </w:p>
        </w:tc>
      </w:tr>
      <w:tr w:rsidR="00252F0C" w:rsidRPr="00C77927" w14:paraId="7B441E5F" w14:textId="77777777" w:rsidTr="00480737">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0344D5" w14:textId="51DC1987" w:rsidR="00252F0C" w:rsidRPr="00D25FC9" w:rsidRDefault="00252F0C" w:rsidP="00252F0C">
            <w:pPr>
              <w:rPr>
                <w:color w:val="000000" w:themeColor="text1"/>
                <w:sz w:val="14"/>
                <w:szCs w:val="14"/>
              </w:rPr>
            </w:pPr>
            <w:r w:rsidRPr="00D25FC9">
              <w:rPr>
                <w:color w:val="000000"/>
                <w:sz w:val="14"/>
                <w:szCs w:val="14"/>
              </w:rPr>
              <w:t>RR. Geologic Sequestration of Carbon Dioxide</w:t>
            </w:r>
            <w:r>
              <w:rPr>
                <w:color w:val="000000"/>
                <w:sz w:val="14"/>
                <w:szCs w:val="14"/>
                <w:vertAlign w:val="superscript"/>
              </w:rPr>
              <w:t xml:space="preserve"> c,f,g</w:t>
            </w:r>
          </w:p>
        </w:tc>
        <w:tc>
          <w:tcPr>
            <w:tcW w:w="363" w:type="pct"/>
            <w:tcBorders>
              <w:top w:val="nil"/>
              <w:left w:val="single" w:sz="4" w:space="0" w:color="auto"/>
              <w:bottom w:val="single" w:sz="4" w:space="0" w:color="auto"/>
              <w:right w:val="single" w:sz="4" w:space="0" w:color="auto"/>
            </w:tcBorders>
            <w:shd w:val="clear" w:color="auto" w:fill="auto"/>
          </w:tcPr>
          <w:p w14:paraId="0974558E" w14:textId="3BC1BCDC" w:rsidR="00252F0C" w:rsidRPr="009D165E" w:rsidRDefault="00252F0C" w:rsidP="00252F0C">
            <w:pPr>
              <w:jc w:val="right"/>
              <w:rPr>
                <w:color w:val="000000" w:themeColor="text1"/>
                <w:sz w:val="14"/>
                <w:szCs w:val="14"/>
              </w:rPr>
            </w:pPr>
            <w:r>
              <w:rPr>
                <w:color w:val="000000"/>
                <w:sz w:val="14"/>
                <w:szCs w:val="14"/>
              </w:rPr>
              <w:t>8</w:t>
            </w:r>
          </w:p>
        </w:tc>
        <w:tc>
          <w:tcPr>
            <w:tcW w:w="465" w:type="pct"/>
            <w:tcBorders>
              <w:top w:val="nil"/>
              <w:left w:val="nil"/>
              <w:bottom w:val="single" w:sz="4" w:space="0" w:color="auto"/>
              <w:right w:val="single" w:sz="4" w:space="0" w:color="auto"/>
            </w:tcBorders>
            <w:shd w:val="clear" w:color="auto" w:fill="auto"/>
          </w:tcPr>
          <w:p w14:paraId="4F02E893" w14:textId="3BCA8806" w:rsidR="00252F0C" w:rsidRPr="009D165E" w:rsidRDefault="00F745A9" w:rsidP="00252F0C">
            <w:pPr>
              <w:jc w:val="right"/>
              <w:rPr>
                <w:color w:val="000000"/>
                <w:sz w:val="14"/>
                <w:szCs w:val="14"/>
              </w:rPr>
            </w:pPr>
            <w:r>
              <w:rPr>
                <w:color w:val="000000"/>
                <w:sz w:val="14"/>
                <w:szCs w:val="14"/>
              </w:rPr>
              <w:t>1,882</w:t>
            </w:r>
          </w:p>
        </w:tc>
        <w:tc>
          <w:tcPr>
            <w:tcW w:w="406" w:type="pct"/>
            <w:tcBorders>
              <w:top w:val="nil"/>
              <w:left w:val="nil"/>
              <w:bottom w:val="single" w:sz="4" w:space="0" w:color="auto"/>
              <w:right w:val="single" w:sz="4" w:space="0" w:color="auto"/>
            </w:tcBorders>
            <w:shd w:val="clear" w:color="auto" w:fill="auto"/>
          </w:tcPr>
          <w:p w14:paraId="3DA12DE3" w14:textId="63D12685" w:rsidR="00252F0C" w:rsidRPr="009D165E" w:rsidRDefault="00F745A9" w:rsidP="00252F0C">
            <w:pPr>
              <w:jc w:val="right"/>
              <w:rPr>
                <w:color w:val="000000"/>
                <w:sz w:val="14"/>
                <w:szCs w:val="14"/>
              </w:rPr>
            </w:pPr>
            <w:r>
              <w:rPr>
                <w:color w:val="000000"/>
                <w:sz w:val="14"/>
                <w:szCs w:val="14"/>
              </w:rPr>
              <w:t>15,056</w:t>
            </w:r>
          </w:p>
        </w:tc>
        <w:tc>
          <w:tcPr>
            <w:tcW w:w="515" w:type="pct"/>
            <w:tcBorders>
              <w:top w:val="nil"/>
              <w:left w:val="nil"/>
              <w:bottom w:val="single" w:sz="4" w:space="0" w:color="auto"/>
              <w:right w:val="single" w:sz="4" w:space="0" w:color="auto"/>
            </w:tcBorders>
            <w:shd w:val="clear" w:color="auto" w:fill="auto"/>
          </w:tcPr>
          <w:p w14:paraId="0307497F" w14:textId="3C426B52" w:rsidR="00252F0C" w:rsidRPr="009D165E" w:rsidRDefault="00252F0C" w:rsidP="00252F0C">
            <w:pPr>
              <w:jc w:val="right"/>
              <w:rPr>
                <w:color w:val="000000" w:themeColor="text1"/>
                <w:sz w:val="14"/>
                <w:szCs w:val="14"/>
              </w:rPr>
            </w:pPr>
            <w:r>
              <w:rPr>
                <w:color w:val="000000"/>
                <w:sz w:val="14"/>
                <w:szCs w:val="14"/>
              </w:rPr>
              <w:t>4,378</w:t>
            </w:r>
          </w:p>
        </w:tc>
        <w:tc>
          <w:tcPr>
            <w:tcW w:w="514" w:type="pct"/>
            <w:tcBorders>
              <w:top w:val="nil"/>
              <w:left w:val="nil"/>
              <w:bottom w:val="single" w:sz="4" w:space="0" w:color="auto"/>
              <w:right w:val="single" w:sz="4" w:space="0" w:color="auto"/>
            </w:tcBorders>
            <w:shd w:val="clear" w:color="auto" w:fill="auto"/>
          </w:tcPr>
          <w:p w14:paraId="499B4927" w14:textId="5B1BEFBF" w:rsidR="00252F0C" w:rsidRPr="009D165E" w:rsidRDefault="00252F0C" w:rsidP="00252F0C">
            <w:pPr>
              <w:jc w:val="right"/>
              <w:rPr>
                <w:color w:val="000000" w:themeColor="text1"/>
                <w:sz w:val="14"/>
                <w:szCs w:val="14"/>
              </w:rPr>
            </w:pPr>
            <w:r>
              <w:rPr>
                <w:color w:val="000000"/>
                <w:sz w:val="14"/>
                <w:szCs w:val="14"/>
              </w:rPr>
              <w:t>$481,406</w:t>
            </w:r>
          </w:p>
        </w:tc>
        <w:tc>
          <w:tcPr>
            <w:tcW w:w="446" w:type="pct"/>
            <w:tcBorders>
              <w:top w:val="nil"/>
              <w:left w:val="nil"/>
              <w:bottom w:val="single" w:sz="4" w:space="0" w:color="auto"/>
              <w:right w:val="single" w:sz="4" w:space="0" w:color="auto"/>
            </w:tcBorders>
            <w:shd w:val="clear" w:color="auto" w:fill="auto"/>
          </w:tcPr>
          <w:p w14:paraId="655249F7" w14:textId="59C94CC0" w:rsidR="00252F0C" w:rsidRPr="009D165E" w:rsidRDefault="00252F0C" w:rsidP="00252F0C">
            <w:pPr>
              <w:jc w:val="right"/>
              <w:rPr>
                <w:color w:val="000000" w:themeColor="text1"/>
                <w:sz w:val="14"/>
                <w:szCs w:val="14"/>
              </w:rPr>
            </w:pPr>
            <w:r>
              <w:rPr>
                <w:color w:val="000000"/>
                <w:sz w:val="14"/>
                <w:szCs w:val="14"/>
              </w:rPr>
              <w:t>$0</w:t>
            </w:r>
          </w:p>
        </w:tc>
        <w:tc>
          <w:tcPr>
            <w:tcW w:w="514" w:type="pct"/>
            <w:tcBorders>
              <w:top w:val="nil"/>
              <w:left w:val="nil"/>
              <w:bottom w:val="single" w:sz="4" w:space="0" w:color="auto"/>
              <w:right w:val="single" w:sz="4" w:space="0" w:color="auto"/>
            </w:tcBorders>
            <w:shd w:val="clear" w:color="auto" w:fill="auto"/>
          </w:tcPr>
          <w:p w14:paraId="20EC6FAF" w14:textId="1A923DD7" w:rsidR="00252F0C" w:rsidRPr="009D165E" w:rsidRDefault="00252F0C" w:rsidP="00252F0C">
            <w:pPr>
              <w:jc w:val="right"/>
              <w:rPr>
                <w:color w:val="000000" w:themeColor="text1"/>
                <w:sz w:val="14"/>
                <w:szCs w:val="14"/>
              </w:rPr>
            </w:pPr>
            <w:r>
              <w:rPr>
                <w:color w:val="000000"/>
                <w:sz w:val="14"/>
                <w:szCs w:val="14"/>
              </w:rPr>
              <w:t>$16,000</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9855615" w14:textId="775B1DA5" w:rsidR="00252F0C" w:rsidRPr="008F7D63" w:rsidRDefault="00252F0C" w:rsidP="00252F0C">
            <w:pPr>
              <w:jc w:val="right"/>
              <w:rPr>
                <w:sz w:val="14"/>
                <w:szCs w:val="14"/>
              </w:rPr>
            </w:pPr>
            <w:r>
              <w:rPr>
                <w:color w:val="000000"/>
                <w:sz w:val="14"/>
                <w:szCs w:val="14"/>
              </w:rPr>
              <w:t>$497,406</w:t>
            </w:r>
          </w:p>
        </w:tc>
      </w:tr>
    </w:tbl>
    <w:p w14:paraId="5A95BC68" w14:textId="2E52EAA8" w:rsidR="00BD49E4" w:rsidRPr="00D25FC9" w:rsidRDefault="00BD49E4" w:rsidP="008F7D63">
      <w:pPr>
        <w:keepNext/>
        <w:keepLines/>
        <w:autoSpaceDE w:val="0"/>
        <w:autoSpaceDN w:val="0"/>
        <w:adjustRightInd w:val="0"/>
        <w:ind w:firstLine="720"/>
        <w:jc w:val="center"/>
        <w:rPr>
          <w:b/>
          <w:bCs/>
          <w:sz w:val="26"/>
          <w:szCs w:val="26"/>
        </w:rPr>
      </w:pPr>
      <w:r w:rsidRPr="00D25FC9">
        <w:rPr>
          <w:b/>
          <w:bCs/>
          <w:sz w:val="26"/>
          <w:szCs w:val="26"/>
        </w:rPr>
        <w:t>Exhibit 6.1 Annual Average Respondent Burden and Cost</w:t>
      </w:r>
      <w:r w:rsidR="00AF7429" w:rsidRPr="00D25FC9">
        <w:rPr>
          <w:b/>
          <w:bCs/>
          <w:sz w:val="26"/>
          <w:szCs w:val="26"/>
        </w:rPr>
        <w:t xml:space="preserve"> </w:t>
      </w:r>
      <w:r w:rsidRPr="00D25FC9">
        <w:rPr>
          <w:b/>
          <w:bCs/>
          <w:sz w:val="26"/>
          <w:szCs w:val="26"/>
        </w:rPr>
        <w:t>For the GHG Reporting Program</w:t>
      </w:r>
      <w:r w:rsidR="00AF7429" w:rsidRPr="00D25FC9">
        <w:rPr>
          <w:b/>
          <w:bCs/>
          <w:sz w:val="26"/>
          <w:szCs w:val="26"/>
        </w:rPr>
        <w:t xml:space="preserve"> </w:t>
      </w:r>
      <w:r w:rsidRPr="00D25FC9">
        <w:rPr>
          <w:b/>
          <w:bCs/>
          <w:sz w:val="26"/>
          <w:szCs w:val="26"/>
        </w:rPr>
        <w:t>(continued)</w:t>
      </w:r>
    </w:p>
    <w:p w14:paraId="7BF44096" w14:textId="454F1F17" w:rsidR="003C3D86" w:rsidRPr="00D25FC9" w:rsidRDefault="003C3D86" w:rsidP="00146DB5">
      <w:pPr>
        <w:keepNext/>
        <w:keepLines/>
        <w:jc w:val="center"/>
        <w:rPr>
          <w:b/>
          <w:sz w:val="26"/>
          <w:szCs w:val="26"/>
        </w:rPr>
      </w:pPr>
    </w:p>
    <w:tbl>
      <w:tblPr>
        <w:tblW w:w="5071" w:type="pct"/>
        <w:tblLayout w:type="fixed"/>
        <w:tblLook w:val="04A0" w:firstRow="1" w:lastRow="0" w:firstColumn="1" w:lastColumn="0" w:noHBand="0" w:noVBand="1"/>
      </w:tblPr>
      <w:tblGrid>
        <w:gridCol w:w="3566"/>
        <w:gridCol w:w="1010"/>
        <w:gridCol w:w="1189"/>
        <w:gridCol w:w="1098"/>
        <w:gridCol w:w="1376"/>
        <w:gridCol w:w="1374"/>
        <w:gridCol w:w="1187"/>
        <w:gridCol w:w="1374"/>
        <w:gridCol w:w="1189"/>
      </w:tblGrid>
      <w:tr w:rsidR="00761810" w:rsidRPr="00C77927" w14:paraId="3650D1A6" w14:textId="77777777" w:rsidTr="00D25FC9">
        <w:trPr>
          <w:trHeight w:val="288"/>
        </w:trPr>
        <w:tc>
          <w:tcPr>
            <w:tcW w:w="1334" w:type="pct"/>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2822C6F4" w14:textId="02EC2B0B" w:rsidR="00BB0603" w:rsidRPr="00D25FC9" w:rsidRDefault="00761810">
            <w:pPr>
              <w:jc w:val="center"/>
              <w:rPr>
                <w:b/>
                <w:bCs/>
                <w:sz w:val="14"/>
                <w:szCs w:val="14"/>
              </w:rPr>
            </w:pPr>
            <w:r w:rsidRPr="00D25FC9">
              <w:rPr>
                <w:b/>
                <w:bCs/>
                <w:sz w:val="14"/>
                <w:szCs w:val="14"/>
              </w:rPr>
              <w:t>Source Category</w:t>
            </w:r>
          </w:p>
        </w:tc>
        <w:tc>
          <w:tcPr>
            <w:tcW w:w="3666" w:type="pct"/>
            <w:gridSpan w:val="8"/>
            <w:tcBorders>
              <w:top w:val="single" w:sz="4" w:space="0" w:color="auto"/>
              <w:left w:val="nil"/>
              <w:bottom w:val="single" w:sz="4" w:space="0" w:color="auto"/>
              <w:right w:val="single" w:sz="4" w:space="0" w:color="auto"/>
            </w:tcBorders>
            <w:shd w:val="clear" w:color="auto" w:fill="CCFFFF"/>
            <w:noWrap/>
            <w:vAlign w:val="bottom"/>
            <w:hideMark/>
          </w:tcPr>
          <w:p w14:paraId="59373749" w14:textId="07B04732" w:rsidR="00761810" w:rsidRPr="00D25FC9" w:rsidRDefault="00761810">
            <w:pPr>
              <w:jc w:val="center"/>
              <w:rPr>
                <w:b/>
                <w:bCs/>
                <w:sz w:val="14"/>
                <w:szCs w:val="14"/>
              </w:rPr>
            </w:pPr>
            <w:r w:rsidRPr="00D25FC9">
              <w:rPr>
                <w:b/>
                <w:bCs/>
                <w:sz w:val="14"/>
                <w:szCs w:val="14"/>
              </w:rPr>
              <w:t>Annual Average</w:t>
            </w:r>
          </w:p>
        </w:tc>
      </w:tr>
      <w:tr w:rsidR="00CE4006" w:rsidRPr="00C77927" w14:paraId="6F63969B" w14:textId="77777777" w:rsidTr="00D25FC9">
        <w:trPr>
          <w:trHeight w:val="539"/>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558796E2" w14:textId="77777777" w:rsidR="005D2AE1" w:rsidRPr="00D25FC9" w:rsidRDefault="005D2AE1" w:rsidP="004E5776">
            <w:pPr>
              <w:rPr>
                <w:b/>
                <w:bCs/>
                <w:sz w:val="14"/>
                <w:szCs w:val="14"/>
              </w:rPr>
            </w:pPr>
          </w:p>
        </w:tc>
        <w:tc>
          <w:tcPr>
            <w:tcW w:w="378" w:type="pct"/>
            <w:tcBorders>
              <w:top w:val="nil"/>
              <w:left w:val="nil"/>
              <w:bottom w:val="single" w:sz="4" w:space="0" w:color="auto"/>
              <w:right w:val="single" w:sz="4" w:space="0" w:color="auto"/>
            </w:tcBorders>
            <w:shd w:val="clear" w:color="auto" w:fill="CCFFFF"/>
            <w:vAlign w:val="center"/>
            <w:hideMark/>
          </w:tcPr>
          <w:p w14:paraId="4DB4442D" w14:textId="20057371" w:rsidR="00BB0603" w:rsidRPr="00D25FC9" w:rsidRDefault="005D2AE1">
            <w:pPr>
              <w:jc w:val="center"/>
              <w:rPr>
                <w:b/>
                <w:bCs/>
                <w:sz w:val="14"/>
                <w:szCs w:val="14"/>
              </w:rPr>
            </w:pPr>
            <w:r w:rsidRPr="00D25FC9">
              <w:rPr>
                <w:b/>
                <w:bCs/>
                <w:sz w:val="14"/>
                <w:szCs w:val="14"/>
              </w:rPr>
              <w:t>No. Respondents</w:t>
            </w:r>
          </w:p>
        </w:tc>
        <w:tc>
          <w:tcPr>
            <w:tcW w:w="445" w:type="pct"/>
            <w:tcBorders>
              <w:top w:val="nil"/>
              <w:left w:val="nil"/>
              <w:bottom w:val="single" w:sz="4" w:space="0" w:color="auto"/>
              <w:right w:val="single" w:sz="4" w:space="0" w:color="auto"/>
            </w:tcBorders>
            <w:shd w:val="clear" w:color="auto" w:fill="CCFFFF"/>
            <w:vAlign w:val="center"/>
            <w:hideMark/>
          </w:tcPr>
          <w:p w14:paraId="17A857A7" w14:textId="77777777" w:rsidR="005D2AE1" w:rsidRPr="00D25FC9" w:rsidRDefault="005D2AE1">
            <w:pPr>
              <w:jc w:val="center"/>
              <w:rPr>
                <w:b/>
                <w:bCs/>
                <w:sz w:val="14"/>
                <w:szCs w:val="14"/>
              </w:rPr>
            </w:pPr>
            <w:r w:rsidRPr="00D25FC9">
              <w:rPr>
                <w:b/>
                <w:bCs/>
                <w:sz w:val="14"/>
                <w:szCs w:val="14"/>
              </w:rPr>
              <w:t>Responses/</w:t>
            </w:r>
          </w:p>
          <w:p w14:paraId="30376B53" w14:textId="0CA60A9D" w:rsidR="00BB0603" w:rsidRPr="00D25FC9" w:rsidRDefault="005D2AE1">
            <w:pPr>
              <w:jc w:val="center"/>
              <w:rPr>
                <w:b/>
                <w:bCs/>
                <w:sz w:val="14"/>
                <w:szCs w:val="14"/>
                <w:vertAlign w:val="superscript"/>
              </w:rPr>
            </w:pPr>
            <w:r w:rsidRPr="00D25FC9">
              <w:rPr>
                <w:b/>
                <w:bCs/>
                <w:sz w:val="14"/>
                <w:szCs w:val="14"/>
              </w:rPr>
              <w:t>Respondent</w:t>
            </w:r>
            <w:r w:rsidR="00BB0603" w:rsidRPr="00D25FC9">
              <w:rPr>
                <w:b/>
                <w:bCs/>
                <w:sz w:val="14"/>
                <w:szCs w:val="14"/>
                <w:vertAlign w:val="superscript"/>
              </w:rPr>
              <w:t>a</w:t>
            </w:r>
          </w:p>
        </w:tc>
        <w:tc>
          <w:tcPr>
            <w:tcW w:w="411" w:type="pct"/>
            <w:tcBorders>
              <w:top w:val="nil"/>
              <w:left w:val="nil"/>
              <w:bottom w:val="single" w:sz="4" w:space="0" w:color="auto"/>
              <w:right w:val="single" w:sz="4" w:space="0" w:color="auto"/>
            </w:tcBorders>
            <w:shd w:val="clear" w:color="auto" w:fill="CCFFFF"/>
            <w:vAlign w:val="center"/>
            <w:hideMark/>
          </w:tcPr>
          <w:p w14:paraId="591D17D5" w14:textId="26EAC840" w:rsidR="005D2AE1" w:rsidRPr="00D25FC9" w:rsidRDefault="005D2AE1">
            <w:pPr>
              <w:jc w:val="center"/>
              <w:rPr>
                <w:b/>
                <w:bCs/>
                <w:sz w:val="14"/>
                <w:szCs w:val="14"/>
              </w:rPr>
            </w:pPr>
            <w:r w:rsidRPr="00D25FC9">
              <w:rPr>
                <w:b/>
                <w:bCs/>
                <w:sz w:val="14"/>
                <w:szCs w:val="14"/>
              </w:rPr>
              <w:t>Total Responses</w:t>
            </w:r>
            <w:r w:rsidR="00BB0603" w:rsidRPr="00D25FC9">
              <w:rPr>
                <w:b/>
                <w:bCs/>
                <w:sz w:val="14"/>
                <w:szCs w:val="14"/>
                <w:vertAlign w:val="superscript"/>
              </w:rPr>
              <w:t>b</w:t>
            </w:r>
          </w:p>
        </w:tc>
        <w:tc>
          <w:tcPr>
            <w:tcW w:w="515" w:type="pct"/>
            <w:tcBorders>
              <w:top w:val="nil"/>
              <w:left w:val="nil"/>
              <w:bottom w:val="single" w:sz="4" w:space="0" w:color="auto"/>
              <w:right w:val="single" w:sz="4" w:space="0" w:color="auto"/>
            </w:tcBorders>
            <w:shd w:val="clear" w:color="auto" w:fill="CCFFFF"/>
            <w:vAlign w:val="center"/>
            <w:hideMark/>
          </w:tcPr>
          <w:p w14:paraId="5E9F9694" w14:textId="77777777" w:rsidR="005D2AE1" w:rsidRPr="00D25FC9" w:rsidRDefault="005D2AE1">
            <w:pPr>
              <w:jc w:val="center"/>
              <w:rPr>
                <w:b/>
                <w:bCs/>
                <w:sz w:val="14"/>
                <w:szCs w:val="14"/>
              </w:rPr>
            </w:pPr>
            <w:r w:rsidRPr="00D25FC9">
              <w:rPr>
                <w:b/>
                <w:bCs/>
                <w:sz w:val="14"/>
                <w:szCs w:val="14"/>
              </w:rPr>
              <w:t>Total Burden (hrs)</w:t>
            </w:r>
          </w:p>
        </w:tc>
        <w:tc>
          <w:tcPr>
            <w:tcW w:w="514" w:type="pct"/>
            <w:tcBorders>
              <w:top w:val="nil"/>
              <w:left w:val="nil"/>
              <w:bottom w:val="single" w:sz="4" w:space="0" w:color="auto"/>
              <w:right w:val="single" w:sz="4" w:space="0" w:color="auto"/>
            </w:tcBorders>
            <w:shd w:val="clear" w:color="auto" w:fill="CCFFFF"/>
            <w:vAlign w:val="center"/>
            <w:hideMark/>
          </w:tcPr>
          <w:p w14:paraId="2B6085AE" w14:textId="77777777" w:rsidR="005D2AE1" w:rsidRPr="00D25FC9" w:rsidRDefault="005D2AE1">
            <w:pPr>
              <w:jc w:val="center"/>
              <w:rPr>
                <w:b/>
                <w:bCs/>
                <w:sz w:val="14"/>
                <w:szCs w:val="14"/>
              </w:rPr>
            </w:pPr>
            <w:r w:rsidRPr="00D25FC9">
              <w:rPr>
                <w:b/>
                <w:bCs/>
                <w:sz w:val="14"/>
                <w:szCs w:val="14"/>
              </w:rPr>
              <w:t>Total Labor Cost</w:t>
            </w:r>
            <w:r w:rsidRPr="00D25FC9">
              <w:rPr>
                <w:b/>
                <w:bCs/>
                <w:sz w:val="14"/>
                <w:szCs w:val="14"/>
              </w:rPr>
              <w:br/>
              <w:t>($)</w:t>
            </w:r>
          </w:p>
        </w:tc>
        <w:tc>
          <w:tcPr>
            <w:tcW w:w="444" w:type="pct"/>
            <w:tcBorders>
              <w:top w:val="nil"/>
              <w:left w:val="nil"/>
              <w:bottom w:val="single" w:sz="4" w:space="0" w:color="auto"/>
              <w:right w:val="single" w:sz="4" w:space="0" w:color="auto"/>
            </w:tcBorders>
            <w:shd w:val="clear" w:color="auto" w:fill="CCFFFF"/>
            <w:vAlign w:val="center"/>
            <w:hideMark/>
          </w:tcPr>
          <w:p w14:paraId="30F53CDA" w14:textId="77777777" w:rsidR="005D2AE1" w:rsidRPr="00D25FC9" w:rsidRDefault="005D2AE1">
            <w:pPr>
              <w:jc w:val="center"/>
              <w:rPr>
                <w:b/>
                <w:bCs/>
                <w:sz w:val="14"/>
                <w:szCs w:val="14"/>
              </w:rPr>
            </w:pPr>
            <w:r w:rsidRPr="00D25FC9">
              <w:rPr>
                <w:b/>
                <w:bCs/>
                <w:sz w:val="14"/>
                <w:szCs w:val="14"/>
              </w:rPr>
              <w:t>Capital Cost</w:t>
            </w:r>
            <w:r w:rsidRPr="00D25FC9">
              <w:rPr>
                <w:b/>
                <w:bCs/>
                <w:sz w:val="14"/>
                <w:szCs w:val="14"/>
              </w:rPr>
              <w:br/>
              <w:t>($)</w:t>
            </w:r>
          </w:p>
        </w:tc>
        <w:tc>
          <w:tcPr>
            <w:tcW w:w="514" w:type="pct"/>
            <w:tcBorders>
              <w:top w:val="nil"/>
              <w:left w:val="nil"/>
              <w:bottom w:val="single" w:sz="4" w:space="0" w:color="auto"/>
              <w:right w:val="single" w:sz="4" w:space="0" w:color="auto"/>
            </w:tcBorders>
            <w:shd w:val="clear" w:color="auto" w:fill="CCFFFF"/>
            <w:vAlign w:val="center"/>
            <w:hideMark/>
          </w:tcPr>
          <w:p w14:paraId="4B2C4C77" w14:textId="77777777" w:rsidR="005D2AE1" w:rsidRPr="00D25FC9" w:rsidRDefault="005D2AE1">
            <w:pPr>
              <w:jc w:val="center"/>
              <w:rPr>
                <w:b/>
                <w:bCs/>
                <w:sz w:val="14"/>
                <w:szCs w:val="14"/>
              </w:rPr>
            </w:pPr>
            <w:r w:rsidRPr="00D25FC9">
              <w:rPr>
                <w:b/>
                <w:bCs/>
                <w:sz w:val="14"/>
                <w:szCs w:val="14"/>
              </w:rPr>
              <w:t>O&amp;M Cost</w:t>
            </w:r>
            <w:r w:rsidRPr="00D25FC9">
              <w:rPr>
                <w:b/>
                <w:bCs/>
                <w:sz w:val="14"/>
                <w:szCs w:val="14"/>
              </w:rPr>
              <w:br/>
              <w:t xml:space="preserve"> ($)</w:t>
            </w:r>
          </w:p>
        </w:tc>
        <w:tc>
          <w:tcPr>
            <w:tcW w:w="445" w:type="pct"/>
            <w:tcBorders>
              <w:top w:val="nil"/>
              <w:left w:val="nil"/>
              <w:bottom w:val="single" w:sz="4" w:space="0" w:color="auto"/>
              <w:right w:val="single" w:sz="4" w:space="0" w:color="auto"/>
            </w:tcBorders>
            <w:shd w:val="clear" w:color="auto" w:fill="CCFFFF"/>
            <w:vAlign w:val="center"/>
            <w:hideMark/>
          </w:tcPr>
          <w:p w14:paraId="7D7E3FD4" w14:textId="77777777" w:rsidR="005D2AE1" w:rsidRPr="00D25FC9" w:rsidRDefault="005D2AE1">
            <w:pPr>
              <w:jc w:val="center"/>
              <w:rPr>
                <w:b/>
                <w:bCs/>
                <w:sz w:val="14"/>
                <w:szCs w:val="14"/>
              </w:rPr>
            </w:pPr>
            <w:r w:rsidRPr="00D25FC9">
              <w:rPr>
                <w:b/>
                <w:bCs/>
                <w:sz w:val="14"/>
                <w:szCs w:val="14"/>
              </w:rPr>
              <w:t>Total Cost</w:t>
            </w:r>
            <w:r w:rsidRPr="00D25FC9">
              <w:rPr>
                <w:b/>
                <w:bCs/>
                <w:sz w:val="14"/>
                <w:szCs w:val="14"/>
              </w:rPr>
              <w:br/>
              <w:t>($)</w:t>
            </w:r>
          </w:p>
        </w:tc>
      </w:tr>
      <w:tr w:rsidR="00B40AFD" w:rsidRPr="00C77927" w14:paraId="2F55368F"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4F609FFF" w14:textId="7E7A7A86" w:rsidR="00B40AFD" w:rsidRPr="00D25FC9" w:rsidRDefault="0059490D" w:rsidP="00B40AFD">
            <w:pPr>
              <w:rPr>
                <w:color w:val="000000" w:themeColor="text1"/>
                <w:sz w:val="14"/>
                <w:szCs w:val="14"/>
              </w:rPr>
            </w:pPr>
            <w:r w:rsidRPr="00D25FC9">
              <w:rPr>
                <w:color w:val="000000"/>
                <w:sz w:val="14"/>
                <w:szCs w:val="14"/>
              </w:rPr>
              <w:t>SS</w:t>
            </w:r>
            <w:r>
              <w:rPr>
                <w:color w:val="000000"/>
                <w:sz w:val="14"/>
                <w:szCs w:val="14"/>
              </w:rPr>
              <w:t>.</w:t>
            </w:r>
            <w:r w:rsidRPr="00D25FC9">
              <w:rPr>
                <w:color w:val="000000"/>
                <w:sz w:val="14"/>
                <w:szCs w:val="14"/>
              </w:rPr>
              <w:t xml:space="preserve"> </w:t>
            </w:r>
            <w:r>
              <w:rPr>
                <w:color w:val="000000"/>
                <w:sz w:val="14"/>
                <w:szCs w:val="14"/>
              </w:rPr>
              <w:t>Electrical</w:t>
            </w:r>
            <w:r w:rsidRPr="00D25FC9">
              <w:rPr>
                <w:color w:val="000000"/>
                <w:sz w:val="14"/>
                <w:szCs w:val="14"/>
              </w:rPr>
              <w:t xml:space="preserve"> Equipment </w:t>
            </w:r>
            <w:r>
              <w:rPr>
                <w:color w:val="000000"/>
                <w:sz w:val="14"/>
                <w:szCs w:val="14"/>
              </w:rPr>
              <w:t xml:space="preserve">Manufacture or Refurbishment </w:t>
            </w:r>
            <w:r w:rsidRPr="00D25FC9">
              <w:rPr>
                <w:color w:val="000000"/>
                <w:sz w:val="14"/>
                <w:szCs w:val="14"/>
                <w:vertAlign w:val="superscript"/>
              </w:rPr>
              <w:t>c,g</w:t>
            </w:r>
          </w:p>
        </w:tc>
        <w:tc>
          <w:tcPr>
            <w:tcW w:w="378" w:type="pct"/>
            <w:tcBorders>
              <w:top w:val="single" w:sz="4" w:space="0" w:color="auto"/>
              <w:left w:val="single" w:sz="4" w:space="0" w:color="auto"/>
              <w:bottom w:val="single" w:sz="4" w:space="0" w:color="auto"/>
              <w:right w:val="single" w:sz="4" w:space="0" w:color="auto"/>
            </w:tcBorders>
            <w:shd w:val="clear" w:color="auto" w:fill="auto"/>
            <w:hideMark/>
          </w:tcPr>
          <w:p w14:paraId="48E6E95B" w14:textId="51E10ECE" w:rsidR="00B40AFD" w:rsidRPr="00B40AFD" w:rsidRDefault="00B40AFD" w:rsidP="00B40AFD">
            <w:pPr>
              <w:jc w:val="right"/>
              <w:rPr>
                <w:color w:val="000000" w:themeColor="text1"/>
                <w:sz w:val="14"/>
                <w:szCs w:val="14"/>
              </w:rPr>
            </w:pPr>
            <w:r w:rsidRPr="008F7D63">
              <w:rPr>
                <w:sz w:val="14"/>
                <w:szCs w:val="14"/>
              </w:rPr>
              <w:t>8</w:t>
            </w:r>
          </w:p>
        </w:tc>
        <w:tc>
          <w:tcPr>
            <w:tcW w:w="445" w:type="pct"/>
            <w:tcBorders>
              <w:top w:val="single" w:sz="4" w:space="0" w:color="auto"/>
              <w:left w:val="nil"/>
              <w:bottom w:val="single" w:sz="4" w:space="0" w:color="auto"/>
              <w:right w:val="single" w:sz="4" w:space="0" w:color="auto"/>
            </w:tcBorders>
            <w:shd w:val="clear" w:color="auto" w:fill="auto"/>
          </w:tcPr>
          <w:p w14:paraId="5D931B3A" w14:textId="69BF9C13" w:rsidR="00B40AFD" w:rsidRPr="00B40AFD" w:rsidRDefault="00EE7762" w:rsidP="00B40AFD">
            <w:pPr>
              <w:jc w:val="right"/>
              <w:rPr>
                <w:color w:val="000000" w:themeColor="text1"/>
                <w:sz w:val="14"/>
                <w:szCs w:val="14"/>
              </w:rPr>
            </w:pPr>
            <w:r>
              <w:rPr>
                <w:sz w:val="14"/>
                <w:szCs w:val="14"/>
              </w:rPr>
              <w:t>465</w:t>
            </w:r>
          </w:p>
        </w:tc>
        <w:tc>
          <w:tcPr>
            <w:tcW w:w="411" w:type="pct"/>
            <w:tcBorders>
              <w:top w:val="single" w:sz="4" w:space="0" w:color="auto"/>
              <w:left w:val="nil"/>
              <w:bottom w:val="single" w:sz="4" w:space="0" w:color="auto"/>
              <w:right w:val="single" w:sz="4" w:space="0" w:color="auto"/>
            </w:tcBorders>
            <w:shd w:val="clear" w:color="auto" w:fill="auto"/>
          </w:tcPr>
          <w:p w14:paraId="6F8871BC" w14:textId="76D363FC" w:rsidR="00B40AFD" w:rsidRPr="00B40AFD" w:rsidRDefault="00EE7762" w:rsidP="00B40AFD">
            <w:pPr>
              <w:jc w:val="right"/>
              <w:rPr>
                <w:color w:val="000000"/>
                <w:sz w:val="14"/>
                <w:szCs w:val="14"/>
              </w:rPr>
            </w:pPr>
            <w:r>
              <w:rPr>
                <w:sz w:val="14"/>
                <w:szCs w:val="14"/>
              </w:rPr>
              <w:t>3,720</w:t>
            </w:r>
          </w:p>
        </w:tc>
        <w:tc>
          <w:tcPr>
            <w:tcW w:w="515" w:type="pct"/>
            <w:tcBorders>
              <w:top w:val="single" w:sz="4" w:space="0" w:color="auto"/>
              <w:left w:val="nil"/>
              <w:bottom w:val="single" w:sz="4" w:space="0" w:color="auto"/>
              <w:right w:val="single" w:sz="4" w:space="0" w:color="auto"/>
            </w:tcBorders>
            <w:shd w:val="clear" w:color="auto" w:fill="auto"/>
          </w:tcPr>
          <w:p w14:paraId="750369F5" w14:textId="22BB3DC1" w:rsidR="00B40AFD" w:rsidRPr="00B40AFD" w:rsidRDefault="00B40AFD" w:rsidP="00B40AFD">
            <w:pPr>
              <w:jc w:val="right"/>
              <w:rPr>
                <w:color w:val="000000" w:themeColor="text1"/>
                <w:sz w:val="14"/>
                <w:szCs w:val="14"/>
              </w:rPr>
            </w:pPr>
            <w:r w:rsidRPr="008F7D63">
              <w:rPr>
                <w:sz w:val="14"/>
                <w:szCs w:val="14"/>
              </w:rPr>
              <w:t>376</w:t>
            </w:r>
          </w:p>
        </w:tc>
        <w:tc>
          <w:tcPr>
            <w:tcW w:w="514" w:type="pct"/>
            <w:tcBorders>
              <w:top w:val="single" w:sz="4" w:space="0" w:color="auto"/>
              <w:left w:val="nil"/>
              <w:bottom w:val="single" w:sz="4" w:space="0" w:color="auto"/>
              <w:right w:val="single" w:sz="4" w:space="0" w:color="auto"/>
            </w:tcBorders>
            <w:shd w:val="clear" w:color="auto" w:fill="auto"/>
          </w:tcPr>
          <w:p w14:paraId="1F04D11F" w14:textId="043CD57B" w:rsidR="00B40AFD" w:rsidRPr="00B40AFD" w:rsidRDefault="00B40AFD" w:rsidP="00B40AFD">
            <w:pPr>
              <w:jc w:val="right"/>
              <w:rPr>
                <w:color w:val="000000" w:themeColor="text1"/>
                <w:sz w:val="14"/>
                <w:szCs w:val="14"/>
              </w:rPr>
            </w:pPr>
            <w:r w:rsidRPr="008F7D63">
              <w:rPr>
                <w:sz w:val="14"/>
                <w:szCs w:val="14"/>
              </w:rPr>
              <w:t xml:space="preserve"> $26,706 </w:t>
            </w:r>
          </w:p>
        </w:tc>
        <w:tc>
          <w:tcPr>
            <w:tcW w:w="444" w:type="pct"/>
            <w:tcBorders>
              <w:top w:val="single" w:sz="4" w:space="0" w:color="auto"/>
              <w:left w:val="nil"/>
              <w:bottom w:val="single" w:sz="4" w:space="0" w:color="auto"/>
              <w:right w:val="single" w:sz="4" w:space="0" w:color="auto"/>
            </w:tcBorders>
            <w:shd w:val="clear" w:color="auto" w:fill="auto"/>
          </w:tcPr>
          <w:p w14:paraId="16D74225" w14:textId="2CD68449" w:rsidR="00B40AFD" w:rsidRPr="00B40AFD" w:rsidRDefault="00B40AFD" w:rsidP="00B40AFD">
            <w:pPr>
              <w:jc w:val="right"/>
              <w:rPr>
                <w:color w:val="000000" w:themeColor="text1"/>
                <w:sz w:val="14"/>
                <w:szCs w:val="14"/>
              </w:rPr>
            </w:pPr>
            <w:r w:rsidRPr="008F7D63">
              <w:rPr>
                <w:sz w:val="14"/>
                <w:szCs w:val="14"/>
              </w:rPr>
              <w:t xml:space="preserve"> $</w:t>
            </w:r>
            <w:r w:rsidR="00E63108">
              <w:rPr>
                <w:sz w:val="14"/>
                <w:szCs w:val="14"/>
              </w:rPr>
              <w:t>0</w:t>
            </w:r>
            <w:r w:rsidRPr="008F7D63">
              <w:rPr>
                <w:sz w:val="14"/>
                <w:szCs w:val="14"/>
              </w:rPr>
              <w:t xml:space="preserve"> </w:t>
            </w:r>
          </w:p>
        </w:tc>
        <w:tc>
          <w:tcPr>
            <w:tcW w:w="514" w:type="pct"/>
            <w:tcBorders>
              <w:top w:val="single" w:sz="4" w:space="0" w:color="auto"/>
              <w:left w:val="nil"/>
              <w:bottom w:val="single" w:sz="4" w:space="0" w:color="auto"/>
              <w:right w:val="single" w:sz="4" w:space="0" w:color="auto"/>
            </w:tcBorders>
            <w:shd w:val="clear" w:color="auto" w:fill="auto"/>
          </w:tcPr>
          <w:p w14:paraId="5B113B8A" w14:textId="3C9DABA1" w:rsidR="00B40AFD" w:rsidRPr="00B40AFD" w:rsidRDefault="00B40AFD" w:rsidP="00B40AFD">
            <w:pPr>
              <w:jc w:val="right"/>
              <w:rPr>
                <w:color w:val="000000" w:themeColor="text1"/>
                <w:sz w:val="14"/>
                <w:szCs w:val="14"/>
              </w:rPr>
            </w:pPr>
            <w:r w:rsidRPr="008F7D63">
              <w:rPr>
                <w:sz w:val="14"/>
                <w:szCs w:val="14"/>
              </w:rPr>
              <w:t xml:space="preserve"> $400 </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F25FC84" w14:textId="07CE016E" w:rsidR="00B40AFD" w:rsidRPr="00B40AFD" w:rsidRDefault="00B40AFD" w:rsidP="00B40AFD">
            <w:pPr>
              <w:jc w:val="right"/>
              <w:rPr>
                <w:color w:val="000000" w:themeColor="text1"/>
                <w:sz w:val="14"/>
                <w:szCs w:val="14"/>
              </w:rPr>
            </w:pPr>
            <w:r w:rsidRPr="008F7D63">
              <w:rPr>
                <w:sz w:val="14"/>
                <w:szCs w:val="14"/>
              </w:rPr>
              <w:t xml:space="preserve"> $27,106 </w:t>
            </w:r>
          </w:p>
        </w:tc>
      </w:tr>
      <w:tr w:rsidR="00B40AFD" w:rsidRPr="00C77927" w14:paraId="01DEEEE8"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731AE749" w14:textId="112FFAD8" w:rsidR="00B40AFD" w:rsidRPr="00D25FC9" w:rsidRDefault="00B40AFD" w:rsidP="00B40AFD">
            <w:pPr>
              <w:rPr>
                <w:color w:val="000000" w:themeColor="text1"/>
                <w:sz w:val="14"/>
                <w:szCs w:val="14"/>
              </w:rPr>
            </w:pPr>
            <w:r w:rsidRPr="00D25FC9">
              <w:rPr>
                <w:color w:val="000000"/>
                <w:sz w:val="14"/>
                <w:szCs w:val="14"/>
              </w:rPr>
              <w:t>TT</w:t>
            </w:r>
            <w:r w:rsidR="00E64C1B">
              <w:rPr>
                <w:color w:val="000000"/>
                <w:sz w:val="14"/>
                <w:szCs w:val="14"/>
              </w:rPr>
              <w:t>.</w:t>
            </w:r>
            <w:r w:rsidRPr="00D25FC9">
              <w:rPr>
                <w:color w:val="000000"/>
                <w:sz w:val="14"/>
                <w:szCs w:val="14"/>
              </w:rPr>
              <w:t xml:space="preserve"> Industrial</w:t>
            </w:r>
            <w:r w:rsidR="00E64C1B">
              <w:rPr>
                <w:color w:val="000000"/>
                <w:sz w:val="14"/>
                <w:szCs w:val="14"/>
              </w:rPr>
              <w:t xml:space="preserve"> Waste</w:t>
            </w:r>
            <w:r w:rsidRPr="00D25FC9">
              <w:rPr>
                <w:color w:val="000000"/>
                <w:sz w:val="14"/>
                <w:szCs w:val="14"/>
              </w:rPr>
              <w:t xml:space="preserve"> Landfills </w:t>
            </w:r>
            <w:r w:rsidRPr="00D25FC9">
              <w:rPr>
                <w:color w:val="000000"/>
                <w:sz w:val="14"/>
                <w:szCs w:val="14"/>
                <w:vertAlign w:val="superscript"/>
              </w:rPr>
              <w:t>c,</w:t>
            </w:r>
            <w:r w:rsidR="00E739C6">
              <w:rPr>
                <w:color w:val="000000"/>
                <w:sz w:val="14"/>
                <w:szCs w:val="14"/>
                <w:vertAlign w:val="superscript"/>
              </w:rPr>
              <w:t>g</w:t>
            </w:r>
          </w:p>
        </w:tc>
        <w:tc>
          <w:tcPr>
            <w:tcW w:w="378" w:type="pct"/>
            <w:tcBorders>
              <w:top w:val="nil"/>
              <w:left w:val="single" w:sz="4" w:space="0" w:color="auto"/>
              <w:bottom w:val="single" w:sz="4" w:space="0" w:color="auto"/>
              <w:right w:val="single" w:sz="4" w:space="0" w:color="auto"/>
            </w:tcBorders>
            <w:shd w:val="clear" w:color="auto" w:fill="auto"/>
            <w:noWrap/>
            <w:hideMark/>
          </w:tcPr>
          <w:p w14:paraId="6A27C577" w14:textId="3F4780B5" w:rsidR="00B40AFD" w:rsidRPr="00B40AFD" w:rsidRDefault="00B40AFD" w:rsidP="00B40AFD">
            <w:pPr>
              <w:jc w:val="right"/>
              <w:rPr>
                <w:color w:val="000000" w:themeColor="text1"/>
                <w:sz w:val="14"/>
                <w:szCs w:val="14"/>
              </w:rPr>
            </w:pPr>
            <w:r w:rsidRPr="008F7D63">
              <w:rPr>
                <w:sz w:val="14"/>
                <w:szCs w:val="14"/>
              </w:rPr>
              <w:t>174</w:t>
            </w:r>
          </w:p>
        </w:tc>
        <w:tc>
          <w:tcPr>
            <w:tcW w:w="445" w:type="pct"/>
            <w:tcBorders>
              <w:top w:val="nil"/>
              <w:left w:val="nil"/>
              <w:bottom w:val="single" w:sz="4" w:space="0" w:color="auto"/>
              <w:right w:val="single" w:sz="4" w:space="0" w:color="auto"/>
            </w:tcBorders>
            <w:shd w:val="clear" w:color="auto" w:fill="auto"/>
            <w:noWrap/>
          </w:tcPr>
          <w:p w14:paraId="12CF6071" w14:textId="26AFA7A5" w:rsidR="00B40AFD" w:rsidRPr="00B40AFD" w:rsidRDefault="00EE7762" w:rsidP="00B40AFD">
            <w:pPr>
              <w:jc w:val="right"/>
              <w:rPr>
                <w:color w:val="000000" w:themeColor="text1"/>
                <w:sz w:val="14"/>
                <w:szCs w:val="14"/>
              </w:rPr>
            </w:pPr>
            <w:r>
              <w:rPr>
                <w:sz w:val="14"/>
                <w:szCs w:val="14"/>
              </w:rPr>
              <w:t>1,661</w:t>
            </w:r>
          </w:p>
        </w:tc>
        <w:tc>
          <w:tcPr>
            <w:tcW w:w="411" w:type="pct"/>
            <w:tcBorders>
              <w:top w:val="nil"/>
              <w:left w:val="nil"/>
              <w:bottom w:val="single" w:sz="4" w:space="0" w:color="auto"/>
              <w:right w:val="single" w:sz="4" w:space="0" w:color="auto"/>
            </w:tcBorders>
            <w:shd w:val="clear" w:color="auto" w:fill="auto"/>
            <w:noWrap/>
          </w:tcPr>
          <w:p w14:paraId="38B38C58" w14:textId="3BBF2A67" w:rsidR="00B40AFD" w:rsidRPr="00B40AFD" w:rsidRDefault="00EE7762" w:rsidP="00B40AFD">
            <w:pPr>
              <w:jc w:val="right"/>
              <w:rPr>
                <w:color w:val="000000"/>
                <w:sz w:val="14"/>
                <w:szCs w:val="14"/>
              </w:rPr>
            </w:pPr>
            <w:r>
              <w:rPr>
                <w:sz w:val="14"/>
                <w:szCs w:val="14"/>
              </w:rPr>
              <w:t>289,014</w:t>
            </w:r>
          </w:p>
        </w:tc>
        <w:tc>
          <w:tcPr>
            <w:tcW w:w="515" w:type="pct"/>
            <w:tcBorders>
              <w:top w:val="nil"/>
              <w:left w:val="nil"/>
              <w:bottom w:val="single" w:sz="4" w:space="0" w:color="auto"/>
              <w:right w:val="single" w:sz="4" w:space="0" w:color="auto"/>
            </w:tcBorders>
            <w:shd w:val="clear" w:color="auto" w:fill="auto"/>
            <w:noWrap/>
          </w:tcPr>
          <w:p w14:paraId="3A7D2CBB" w14:textId="456DB89E" w:rsidR="00B40AFD" w:rsidRPr="00B40AFD" w:rsidRDefault="00B40AFD" w:rsidP="00B40AFD">
            <w:pPr>
              <w:jc w:val="right"/>
              <w:rPr>
                <w:color w:val="000000" w:themeColor="text1"/>
                <w:sz w:val="14"/>
                <w:szCs w:val="14"/>
              </w:rPr>
            </w:pPr>
            <w:r w:rsidRPr="008F7D63">
              <w:rPr>
                <w:sz w:val="14"/>
                <w:szCs w:val="14"/>
              </w:rPr>
              <w:t>9,408</w:t>
            </w:r>
          </w:p>
        </w:tc>
        <w:tc>
          <w:tcPr>
            <w:tcW w:w="514" w:type="pct"/>
            <w:tcBorders>
              <w:top w:val="nil"/>
              <w:left w:val="nil"/>
              <w:bottom w:val="single" w:sz="4" w:space="0" w:color="auto"/>
              <w:right w:val="single" w:sz="4" w:space="0" w:color="auto"/>
            </w:tcBorders>
            <w:shd w:val="clear" w:color="auto" w:fill="auto"/>
            <w:noWrap/>
          </w:tcPr>
          <w:p w14:paraId="6F29CBA9" w14:textId="1D50502E" w:rsidR="00B40AFD" w:rsidRPr="00B40AFD" w:rsidRDefault="00B40AFD" w:rsidP="00B40AFD">
            <w:pPr>
              <w:jc w:val="right"/>
              <w:rPr>
                <w:color w:val="000000" w:themeColor="text1"/>
                <w:sz w:val="14"/>
                <w:szCs w:val="14"/>
              </w:rPr>
            </w:pPr>
            <w:r w:rsidRPr="008F7D63">
              <w:rPr>
                <w:sz w:val="14"/>
                <w:szCs w:val="14"/>
              </w:rPr>
              <w:t xml:space="preserve"> $665,443 </w:t>
            </w:r>
          </w:p>
        </w:tc>
        <w:tc>
          <w:tcPr>
            <w:tcW w:w="444" w:type="pct"/>
            <w:tcBorders>
              <w:top w:val="nil"/>
              <w:left w:val="nil"/>
              <w:bottom w:val="single" w:sz="4" w:space="0" w:color="auto"/>
              <w:right w:val="single" w:sz="4" w:space="0" w:color="auto"/>
            </w:tcBorders>
            <w:shd w:val="clear" w:color="auto" w:fill="auto"/>
            <w:noWrap/>
          </w:tcPr>
          <w:p w14:paraId="31770868" w14:textId="2D20B2D4" w:rsidR="00B40AFD" w:rsidRPr="00B40AFD" w:rsidRDefault="00B40AFD" w:rsidP="00B40AFD">
            <w:pPr>
              <w:jc w:val="right"/>
              <w:rPr>
                <w:color w:val="000000" w:themeColor="text1"/>
                <w:sz w:val="14"/>
                <w:szCs w:val="14"/>
              </w:rPr>
            </w:pPr>
            <w:r w:rsidRPr="008F7D63">
              <w:rPr>
                <w:sz w:val="14"/>
                <w:szCs w:val="14"/>
              </w:rPr>
              <w:t xml:space="preserve"> $</w:t>
            </w:r>
            <w:r w:rsidR="00115523">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noWrap/>
          </w:tcPr>
          <w:p w14:paraId="3E8A5AEB" w14:textId="5A7938BE" w:rsidR="00B40AFD" w:rsidRPr="00B40AFD" w:rsidRDefault="00B40AFD" w:rsidP="00B40AFD">
            <w:pPr>
              <w:jc w:val="right"/>
              <w:rPr>
                <w:color w:val="000000" w:themeColor="text1"/>
                <w:sz w:val="14"/>
                <w:szCs w:val="14"/>
              </w:rPr>
            </w:pPr>
            <w:r w:rsidRPr="008F7D63">
              <w:rPr>
                <w:sz w:val="14"/>
                <w:szCs w:val="14"/>
              </w:rPr>
              <w:t xml:space="preserve"> $8,795 </w:t>
            </w:r>
          </w:p>
        </w:tc>
        <w:tc>
          <w:tcPr>
            <w:tcW w:w="445" w:type="pct"/>
            <w:tcBorders>
              <w:top w:val="single" w:sz="4" w:space="0" w:color="auto"/>
              <w:left w:val="single" w:sz="4" w:space="0" w:color="auto"/>
              <w:bottom w:val="single" w:sz="4" w:space="0" w:color="auto"/>
              <w:right w:val="single" w:sz="4" w:space="0" w:color="auto"/>
            </w:tcBorders>
            <w:shd w:val="clear" w:color="auto" w:fill="auto"/>
            <w:noWrap/>
          </w:tcPr>
          <w:p w14:paraId="5CCEBABE" w14:textId="7782C708" w:rsidR="00B40AFD" w:rsidRPr="00B40AFD" w:rsidRDefault="00B40AFD" w:rsidP="00B40AFD">
            <w:pPr>
              <w:jc w:val="right"/>
              <w:rPr>
                <w:color w:val="000000" w:themeColor="text1"/>
                <w:sz w:val="14"/>
                <w:szCs w:val="14"/>
              </w:rPr>
            </w:pPr>
            <w:r w:rsidRPr="008F7D63">
              <w:rPr>
                <w:sz w:val="14"/>
                <w:szCs w:val="14"/>
              </w:rPr>
              <w:t xml:space="preserve"> $674,239 </w:t>
            </w:r>
          </w:p>
        </w:tc>
      </w:tr>
      <w:tr w:rsidR="00B40AFD" w:rsidRPr="00C77927" w14:paraId="27DD910D" w14:textId="77777777" w:rsidTr="00D771CB">
        <w:trPr>
          <w:trHeight w:val="144"/>
        </w:trPr>
        <w:tc>
          <w:tcPr>
            <w:tcW w:w="1334" w:type="pct"/>
            <w:tcBorders>
              <w:top w:val="nil"/>
              <w:left w:val="single" w:sz="4" w:space="0" w:color="auto"/>
              <w:bottom w:val="single" w:sz="4" w:space="0" w:color="auto"/>
              <w:right w:val="single" w:sz="4" w:space="0" w:color="auto"/>
            </w:tcBorders>
            <w:shd w:val="clear" w:color="auto" w:fill="auto"/>
            <w:vAlign w:val="bottom"/>
            <w:hideMark/>
          </w:tcPr>
          <w:p w14:paraId="607FF2A0" w14:textId="62E335E3" w:rsidR="00B40AFD" w:rsidRPr="00D25FC9" w:rsidRDefault="00B40AFD" w:rsidP="00B40AFD">
            <w:pPr>
              <w:rPr>
                <w:color w:val="000000" w:themeColor="text1"/>
                <w:sz w:val="14"/>
                <w:szCs w:val="14"/>
              </w:rPr>
            </w:pPr>
            <w:r w:rsidRPr="00D25FC9">
              <w:rPr>
                <w:color w:val="000000"/>
                <w:sz w:val="14"/>
                <w:szCs w:val="14"/>
              </w:rPr>
              <w:t xml:space="preserve">UU. Injection of Carbon Dioxide </w:t>
            </w:r>
            <w:r w:rsidRPr="00D25FC9">
              <w:rPr>
                <w:color w:val="000000"/>
                <w:sz w:val="14"/>
                <w:szCs w:val="14"/>
                <w:vertAlign w:val="superscript"/>
              </w:rPr>
              <w:t>c,g</w:t>
            </w:r>
          </w:p>
        </w:tc>
        <w:tc>
          <w:tcPr>
            <w:tcW w:w="378" w:type="pct"/>
            <w:tcBorders>
              <w:top w:val="nil"/>
              <w:left w:val="single" w:sz="4" w:space="0" w:color="auto"/>
              <w:bottom w:val="single" w:sz="4" w:space="0" w:color="auto"/>
              <w:right w:val="single" w:sz="4" w:space="0" w:color="auto"/>
            </w:tcBorders>
            <w:shd w:val="clear" w:color="auto" w:fill="auto"/>
            <w:noWrap/>
            <w:hideMark/>
          </w:tcPr>
          <w:p w14:paraId="278BD4BF" w14:textId="6F1A8154" w:rsidR="00B40AFD" w:rsidRPr="00B40AFD" w:rsidRDefault="00B40AFD" w:rsidP="00B40AFD">
            <w:pPr>
              <w:jc w:val="right"/>
              <w:rPr>
                <w:color w:val="000000" w:themeColor="text1"/>
                <w:sz w:val="14"/>
                <w:szCs w:val="14"/>
              </w:rPr>
            </w:pPr>
            <w:r w:rsidRPr="008F7D63">
              <w:rPr>
                <w:sz w:val="14"/>
                <w:szCs w:val="14"/>
              </w:rPr>
              <w:t>95</w:t>
            </w:r>
          </w:p>
        </w:tc>
        <w:tc>
          <w:tcPr>
            <w:tcW w:w="445" w:type="pct"/>
            <w:tcBorders>
              <w:top w:val="nil"/>
              <w:left w:val="nil"/>
              <w:bottom w:val="single" w:sz="4" w:space="0" w:color="auto"/>
              <w:right w:val="single" w:sz="4" w:space="0" w:color="auto"/>
            </w:tcBorders>
            <w:shd w:val="clear" w:color="auto" w:fill="auto"/>
            <w:noWrap/>
          </w:tcPr>
          <w:p w14:paraId="3A6D6E17" w14:textId="2FCA7382" w:rsidR="00B40AFD" w:rsidRPr="00B40AFD" w:rsidRDefault="00EE7762" w:rsidP="00B40AFD">
            <w:pPr>
              <w:jc w:val="right"/>
              <w:rPr>
                <w:color w:val="000000" w:themeColor="text1"/>
                <w:sz w:val="14"/>
                <w:szCs w:val="14"/>
              </w:rPr>
            </w:pPr>
            <w:r>
              <w:rPr>
                <w:sz w:val="14"/>
                <w:szCs w:val="14"/>
              </w:rPr>
              <w:t>62</w:t>
            </w:r>
          </w:p>
        </w:tc>
        <w:tc>
          <w:tcPr>
            <w:tcW w:w="411" w:type="pct"/>
            <w:tcBorders>
              <w:top w:val="nil"/>
              <w:left w:val="nil"/>
              <w:bottom w:val="single" w:sz="4" w:space="0" w:color="auto"/>
              <w:right w:val="single" w:sz="4" w:space="0" w:color="auto"/>
            </w:tcBorders>
            <w:shd w:val="clear" w:color="auto" w:fill="auto"/>
            <w:noWrap/>
          </w:tcPr>
          <w:p w14:paraId="132545DE" w14:textId="04BDFDA6" w:rsidR="00B40AFD" w:rsidRPr="00B40AFD" w:rsidRDefault="006E46F6" w:rsidP="00B40AFD">
            <w:pPr>
              <w:jc w:val="right"/>
              <w:rPr>
                <w:color w:val="000000"/>
                <w:sz w:val="14"/>
                <w:szCs w:val="14"/>
              </w:rPr>
            </w:pPr>
            <w:r>
              <w:rPr>
                <w:sz w:val="14"/>
                <w:szCs w:val="14"/>
              </w:rPr>
              <w:t>5,890</w:t>
            </w:r>
          </w:p>
        </w:tc>
        <w:tc>
          <w:tcPr>
            <w:tcW w:w="515" w:type="pct"/>
            <w:tcBorders>
              <w:top w:val="nil"/>
              <w:left w:val="nil"/>
              <w:bottom w:val="single" w:sz="4" w:space="0" w:color="auto"/>
              <w:right w:val="single" w:sz="4" w:space="0" w:color="auto"/>
            </w:tcBorders>
            <w:shd w:val="clear" w:color="auto" w:fill="auto"/>
            <w:noWrap/>
          </w:tcPr>
          <w:p w14:paraId="7F05C3B5" w14:textId="5FACBE84" w:rsidR="00B40AFD" w:rsidRPr="00B40AFD" w:rsidRDefault="00B40AFD" w:rsidP="00B40AFD">
            <w:pPr>
              <w:jc w:val="right"/>
              <w:rPr>
                <w:color w:val="000000" w:themeColor="text1"/>
                <w:sz w:val="14"/>
                <w:szCs w:val="14"/>
              </w:rPr>
            </w:pPr>
            <w:r w:rsidRPr="008F7D63">
              <w:rPr>
                <w:sz w:val="14"/>
                <w:szCs w:val="14"/>
              </w:rPr>
              <w:t>1,235</w:t>
            </w:r>
          </w:p>
        </w:tc>
        <w:tc>
          <w:tcPr>
            <w:tcW w:w="514" w:type="pct"/>
            <w:tcBorders>
              <w:top w:val="nil"/>
              <w:left w:val="nil"/>
              <w:bottom w:val="single" w:sz="4" w:space="0" w:color="auto"/>
              <w:right w:val="single" w:sz="4" w:space="0" w:color="auto"/>
            </w:tcBorders>
            <w:shd w:val="clear" w:color="auto" w:fill="auto"/>
            <w:noWrap/>
          </w:tcPr>
          <w:p w14:paraId="1B31E6B3" w14:textId="0115BEB9" w:rsidR="00B40AFD" w:rsidRPr="00B40AFD" w:rsidRDefault="00B40AFD" w:rsidP="00B40AFD">
            <w:pPr>
              <w:jc w:val="right"/>
              <w:rPr>
                <w:color w:val="000000" w:themeColor="text1"/>
                <w:sz w:val="14"/>
                <w:szCs w:val="14"/>
              </w:rPr>
            </w:pPr>
            <w:r w:rsidRPr="008F7D63">
              <w:rPr>
                <w:sz w:val="14"/>
                <w:szCs w:val="14"/>
              </w:rPr>
              <w:t xml:space="preserve"> $87,029 </w:t>
            </w:r>
          </w:p>
        </w:tc>
        <w:tc>
          <w:tcPr>
            <w:tcW w:w="444" w:type="pct"/>
            <w:tcBorders>
              <w:top w:val="nil"/>
              <w:left w:val="nil"/>
              <w:bottom w:val="single" w:sz="4" w:space="0" w:color="auto"/>
              <w:right w:val="single" w:sz="4" w:space="0" w:color="auto"/>
            </w:tcBorders>
            <w:shd w:val="clear" w:color="auto" w:fill="auto"/>
            <w:noWrap/>
          </w:tcPr>
          <w:p w14:paraId="646C22E3" w14:textId="3A4280D8" w:rsidR="00B40AFD" w:rsidRPr="00B40AFD" w:rsidRDefault="00B40AFD" w:rsidP="00B40AFD">
            <w:pPr>
              <w:jc w:val="right"/>
              <w:rPr>
                <w:color w:val="000000" w:themeColor="text1"/>
                <w:sz w:val="14"/>
                <w:szCs w:val="14"/>
              </w:rPr>
            </w:pPr>
            <w:r w:rsidRPr="008F7D63">
              <w:rPr>
                <w:sz w:val="14"/>
                <w:szCs w:val="14"/>
              </w:rPr>
              <w:t xml:space="preserve"> $</w:t>
            </w:r>
            <w:r w:rsidR="00115523">
              <w:rPr>
                <w:sz w:val="14"/>
                <w:szCs w:val="14"/>
              </w:rPr>
              <w:t>0</w:t>
            </w:r>
            <w:r w:rsidRPr="008F7D63">
              <w:rPr>
                <w:sz w:val="14"/>
                <w:szCs w:val="14"/>
              </w:rPr>
              <w:t xml:space="preserve"> </w:t>
            </w:r>
          </w:p>
        </w:tc>
        <w:tc>
          <w:tcPr>
            <w:tcW w:w="514" w:type="pct"/>
            <w:tcBorders>
              <w:top w:val="nil"/>
              <w:left w:val="nil"/>
              <w:bottom w:val="single" w:sz="4" w:space="0" w:color="auto"/>
              <w:right w:val="single" w:sz="4" w:space="0" w:color="auto"/>
            </w:tcBorders>
            <w:shd w:val="clear" w:color="auto" w:fill="auto"/>
            <w:noWrap/>
          </w:tcPr>
          <w:p w14:paraId="238351B5" w14:textId="2455BCCF" w:rsidR="00B40AFD" w:rsidRPr="00B40AFD" w:rsidRDefault="00B40AFD" w:rsidP="00B40AFD">
            <w:pPr>
              <w:jc w:val="right"/>
              <w:rPr>
                <w:color w:val="000000" w:themeColor="text1"/>
                <w:sz w:val="14"/>
                <w:szCs w:val="14"/>
              </w:rPr>
            </w:pPr>
            <w:r w:rsidRPr="008F7D63">
              <w:rPr>
                <w:sz w:val="14"/>
                <w:szCs w:val="14"/>
              </w:rPr>
              <w:t xml:space="preserve"> $4,750 </w:t>
            </w:r>
          </w:p>
        </w:tc>
        <w:tc>
          <w:tcPr>
            <w:tcW w:w="445" w:type="pct"/>
            <w:tcBorders>
              <w:top w:val="single" w:sz="4" w:space="0" w:color="auto"/>
              <w:left w:val="single" w:sz="4" w:space="0" w:color="auto"/>
              <w:bottom w:val="single" w:sz="4" w:space="0" w:color="auto"/>
              <w:right w:val="single" w:sz="4" w:space="0" w:color="auto"/>
            </w:tcBorders>
            <w:shd w:val="clear" w:color="auto" w:fill="auto"/>
            <w:noWrap/>
          </w:tcPr>
          <w:p w14:paraId="7FE24E2A" w14:textId="08390414" w:rsidR="00B40AFD" w:rsidRPr="00B40AFD" w:rsidRDefault="00B40AFD" w:rsidP="00B40AFD">
            <w:pPr>
              <w:jc w:val="right"/>
              <w:rPr>
                <w:color w:val="000000" w:themeColor="text1"/>
                <w:sz w:val="14"/>
                <w:szCs w:val="14"/>
              </w:rPr>
            </w:pPr>
            <w:r w:rsidRPr="008F7D63">
              <w:rPr>
                <w:sz w:val="14"/>
                <w:szCs w:val="14"/>
              </w:rPr>
              <w:t xml:space="preserve"> $91,779 </w:t>
            </w:r>
          </w:p>
        </w:tc>
      </w:tr>
      <w:tr w:rsidR="00B40AFD" w:rsidRPr="00C77927" w14:paraId="54CE7ECE" w14:textId="77777777" w:rsidTr="00D25FC9">
        <w:trPr>
          <w:trHeight w:val="144"/>
        </w:trPr>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FB3330" w14:textId="77777777" w:rsidR="00B40AFD" w:rsidRPr="00D25FC9" w:rsidRDefault="00B40AFD" w:rsidP="00B40AFD">
            <w:pPr>
              <w:rPr>
                <w:b/>
                <w:bCs/>
                <w:sz w:val="14"/>
                <w:szCs w:val="14"/>
              </w:rPr>
            </w:pPr>
            <w:r w:rsidRPr="00D25FC9">
              <w:rPr>
                <w:b/>
                <w:bCs/>
                <w:sz w:val="14"/>
                <w:szCs w:val="14"/>
              </w:rPr>
              <w:t>TOTALS</w:t>
            </w:r>
          </w:p>
        </w:tc>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0E7968C" w14:textId="20F8A458" w:rsidR="00B40AFD" w:rsidRPr="00B40AFD" w:rsidRDefault="00B40AFD" w:rsidP="00B40AFD">
            <w:pPr>
              <w:jc w:val="right"/>
              <w:rPr>
                <w:color w:val="000000" w:themeColor="text1"/>
                <w:sz w:val="14"/>
                <w:szCs w:val="14"/>
              </w:rPr>
            </w:pPr>
            <w:r w:rsidRPr="008F7D63">
              <w:rPr>
                <w:sz w:val="14"/>
                <w:szCs w:val="14"/>
              </w:rPr>
              <w:t>13,</w:t>
            </w:r>
            <w:r w:rsidR="00CF1919">
              <w:rPr>
                <w:sz w:val="14"/>
                <w:szCs w:val="14"/>
              </w:rPr>
              <w:t>180</w:t>
            </w:r>
          </w:p>
        </w:tc>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F875817" w14:textId="07B87E5C" w:rsidR="00B40AFD" w:rsidRPr="00B40AFD" w:rsidRDefault="00EE7762" w:rsidP="00B40AFD">
            <w:pPr>
              <w:jc w:val="right"/>
              <w:rPr>
                <w:color w:val="000000" w:themeColor="text1"/>
                <w:sz w:val="14"/>
                <w:szCs w:val="14"/>
              </w:rPr>
            </w:pPr>
            <w:r>
              <w:rPr>
                <w:sz w:val="14"/>
                <w:szCs w:val="14"/>
              </w:rPr>
              <w:t>748</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64B6563" w14:textId="26CCDD9C" w:rsidR="00B40AFD" w:rsidRPr="00B40AFD" w:rsidRDefault="00EE7762" w:rsidP="00B40AFD">
            <w:pPr>
              <w:jc w:val="right"/>
              <w:rPr>
                <w:color w:val="000000" w:themeColor="text1"/>
                <w:sz w:val="14"/>
                <w:szCs w:val="14"/>
              </w:rPr>
            </w:pPr>
            <w:r>
              <w:rPr>
                <w:sz w:val="14"/>
                <w:szCs w:val="14"/>
              </w:rPr>
              <w:t>9,853,129</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C1096D9" w14:textId="096C305B" w:rsidR="00B40AFD" w:rsidRPr="00B40AFD" w:rsidRDefault="00B40AFD" w:rsidP="00B40AFD">
            <w:pPr>
              <w:jc w:val="right"/>
              <w:rPr>
                <w:color w:val="000000" w:themeColor="text1"/>
                <w:sz w:val="14"/>
                <w:szCs w:val="14"/>
              </w:rPr>
            </w:pPr>
            <w:r w:rsidRPr="008F7D63">
              <w:rPr>
                <w:sz w:val="14"/>
                <w:szCs w:val="14"/>
              </w:rPr>
              <w:t>74</w:t>
            </w:r>
            <w:r w:rsidR="00CF1919">
              <w:rPr>
                <w:sz w:val="14"/>
                <w:szCs w:val="14"/>
              </w:rPr>
              <w:t>0,012</w:t>
            </w:r>
          </w:p>
        </w:tc>
        <w:tc>
          <w:tcPr>
            <w:tcW w:w="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377D58E" w14:textId="54712BEB" w:rsidR="00B40AFD" w:rsidRPr="00B40AFD" w:rsidRDefault="00BD10D8" w:rsidP="00B40AFD">
            <w:pPr>
              <w:jc w:val="right"/>
              <w:rPr>
                <w:color w:val="000000"/>
                <w:sz w:val="14"/>
                <w:szCs w:val="14"/>
              </w:rPr>
            </w:pPr>
            <w:r>
              <w:rPr>
                <w:sz w:val="14"/>
                <w:szCs w:val="14"/>
              </w:rPr>
              <w:t>$</w:t>
            </w:r>
            <w:r w:rsidR="00B40AFD" w:rsidRPr="008F7D63">
              <w:rPr>
                <w:sz w:val="14"/>
                <w:szCs w:val="14"/>
              </w:rPr>
              <w:t>58,</w:t>
            </w:r>
            <w:r w:rsidR="00CE0291">
              <w:rPr>
                <w:sz w:val="14"/>
                <w:szCs w:val="14"/>
              </w:rPr>
              <w:t>419,314</w:t>
            </w:r>
          </w:p>
        </w:tc>
        <w:tc>
          <w:tcPr>
            <w:tcW w:w="4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7487070" w14:textId="7298DEC6" w:rsidR="00B40AFD" w:rsidRPr="00B40AFD" w:rsidRDefault="00B40AFD" w:rsidP="00B40AFD">
            <w:pPr>
              <w:jc w:val="right"/>
              <w:rPr>
                <w:color w:val="000000"/>
                <w:sz w:val="14"/>
                <w:szCs w:val="14"/>
              </w:rPr>
            </w:pPr>
            <w:r w:rsidRPr="008F7D63">
              <w:rPr>
                <w:sz w:val="14"/>
                <w:szCs w:val="14"/>
              </w:rPr>
              <w:t>$412,014</w:t>
            </w:r>
          </w:p>
        </w:tc>
        <w:tc>
          <w:tcPr>
            <w:tcW w:w="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10E804F" w14:textId="6DA74A1D" w:rsidR="00B40AFD" w:rsidRPr="00B40AFD" w:rsidRDefault="00B40AFD" w:rsidP="00B40AFD">
            <w:pPr>
              <w:jc w:val="right"/>
              <w:rPr>
                <w:color w:val="000000"/>
                <w:sz w:val="14"/>
                <w:szCs w:val="14"/>
              </w:rPr>
            </w:pPr>
            <w:r w:rsidRPr="008F7D63">
              <w:rPr>
                <w:sz w:val="14"/>
                <w:szCs w:val="14"/>
              </w:rPr>
              <w:t>$29,1</w:t>
            </w:r>
            <w:r w:rsidR="00CE0291">
              <w:rPr>
                <w:sz w:val="14"/>
                <w:szCs w:val="14"/>
              </w:rPr>
              <w:t>14,383</w:t>
            </w:r>
          </w:p>
        </w:tc>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45D27D9" w14:textId="57C7D0F0" w:rsidR="00B40AFD" w:rsidRPr="00B40AFD" w:rsidRDefault="00B40AFD" w:rsidP="00B40AFD">
            <w:pPr>
              <w:jc w:val="right"/>
              <w:rPr>
                <w:color w:val="000000"/>
                <w:sz w:val="14"/>
                <w:szCs w:val="14"/>
              </w:rPr>
            </w:pPr>
            <w:r w:rsidRPr="008F7D63">
              <w:rPr>
                <w:sz w:val="14"/>
                <w:szCs w:val="14"/>
              </w:rPr>
              <w:t>$</w:t>
            </w:r>
            <w:r w:rsidR="009D65EF">
              <w:rPr>
                <w:sz w:val="14"/>
                <w:szCs w:val="14"/>
              </w:rPr>
              <w:t>87,945,</w:t>
            </w:r>
            <w:r w:rsidR="00E57E8A">
              <w:rPr>
                <w:sz w:val="14"/>
                <w:szCs w:val="14"/>
              </w:rPr>
              <w:t>711</w:t>
            </w:r>
          </w:p>
        </w:tc>
      </w:tr>
    </w:tbl>
    <w:p w14:paraId="14F48753" w14:textId="77777777" w:rsidR="00BD49E4" w:rsidRPr="00D25FC9" w:rsidRDefault="00BD49E4" w:rsidP="00146DB5">
      <w:pPr>
        <w:keepNext/>
        <w:keepLines/>
        <w:jc w:val="center"/>
        <w:rPr>
          <w:b/>
          <w:sz w:val="26"/>
          <w:szCs w:val="26"/>
        </w:rPr>
      </w:pPr>
    </w:p>
    <w:p w14:paraId="1810F43A" w14:textId="4A936F46" w:rsidR="00BB0603" w:rsidRPr="00C77927" w:rsidRDefault="00043FA6" w:rsidP="009B0902">
      <w:pPr>
        <w:keepNext/>
        <w:keepLines/>
        <w:ind w:left="180" w:hanging="180"/>
        <w:rPr>
          <w:sz w:val="14"/>
          <w:szCs w:val="14"/>
        </w:rPr>
      </w:pPr>
      <w:r w:rsidRPr="00C77927">
        <w:rPr>
          <w:sz w:val="14"/>
          <w:szCs w:val="14"/>
          <w:vertAlign w:val="superscript"/>
        </w:rPr>
        <w:t>a</w:t>
      </w:r>
      <w:r w:rsidR="009B0902" w:rsidRPr="00C77927">
        <w:rPr>
          <w:sz w:val="14"/>
          <w:szCs w:val="14"/>
          <w:vertAlign w:val="superscript"/>
        </w:rPr>
        <w:tab/>
      </w:r>
      <w:r w:rsidR="00BB0603" w:rsidRPr="00C77927">
        <w:rPr>
          <w:sz w:val="14"/>
          <w:szCs w:val="14"/>
        </w:rPr>
        <w:t>The number of responses per respondent are rounded.</w:t>
      </w:r>
    </w:p>
    <w:p w14:paraId="0D0D0863" w14:textId="01018AA6" w:rsidR="00BB0603" w:rsidRPr="00C77927" w:rsidRDefault="00BB0603" w:rsidP="009B0902">
      <w:pPr>
        <w:keepNext/>
        <w:keepLines/>
        <w:ind w:left="180" w:hanging="180"/>
        <w:rPr>
          <w:sz w:val="14"/>
          <w:szCs w:val="14"/>
          <w:vertAlign w:val="superscript"/>
        </w:rPr>
      </w:pPr>
      <w:r w:rsidRPr="00C77927">
        <w:rPr>
          <w:sz w:val="14"/>
          <w:szCs w:val="14"/>
          <w:vertAlign w:val="superscript"/>
        </w:rPr>
        <w:t>b</w:t>
      </w:r>
      <w:r w:rsidR="009B0902" w:rsidRPr="00C77927">
        <w:rPr>
          <w:sz w:val="14"/>
          <w:szCs w:val="14"/>
          <w:vertAlign w:val="superscript"/>
        </w:rPr>
        <w:tab/>
      </w:r>
      <w:r w:rsidRPr="00C77927">
        <w:rPr>
          <w:sz w:val="14"/>
          <w:szCs w:val="14"/>
        </w:rPr>
        <w:t>Total Responses is the number of respondents multiplied by the number of responses per respondent. Because the number of responses per respondent are rounded, the calculated total responses may differ slightly</w:t>
      </w:r>
      <w:r w:rsidR="003D09A5" w:rsidRPr="00C77927">
        <w:rPr>
          <w:sz w:val="14"/>
          <w:szCs w:val="14"/>
        </w:rPr>
        <w:t xml:space="preserve"> from the numbers shown in Exhibit 6.1</w:t>
      </w:r>
      <w:r w:rsidRPr="00C77927">
        <w:rPr>
          <w:sz w:val="14"/>
          <w:szCs w:val="14"/>
        </w:rPr>
        <w:t>.</w:t>
      </w:r>
    </w:p>
    <w:p w14:paraId="0AEA9E0F" w14:textId="66DB6467" w:rsidR="00043FA6" w:rsidRPr="00C77927" w:rsidRDefault="003D09A5" w:rsidP="009B0902">
      <w:pPr>
        <w:keepNext/>
        <w:keepLines/>
        <w:ind w:left="180" w:hanging="180"/>
        <w:rPr>
          <w:sz w:val="14"/>
          <w:szCs w:val="14"/>
        </w:rPr>
      </w:pPr>
      <w:r w:rsidRPr="00C77927">
        <w:rPr>
          <w:sz w:val="14"/>
          <w:szCs w:val="14"/>
          <w:vertAlign w:val="superscript"/>
        </w:rPr>
        <w:t>c</w:t>
      </w:r>
      <w:r w:rsidR="009B0902" w:rsidRPr="00C77927">
        <w:rPr>
          <w:sz w:val="14"/>
          <w:szCs w:val="14"/>
          <w:vertAlign w:val="superscript"/>
        </w:rPr>
        <w:tab/>
      </w:r>
      <w:r w:rsidR="00043FA6" w:rsidRPr="00C77927">
        <w:rPr>
          <w:sz w:val="14"/>
          <w:szCs w:val="14"/>
        </w:rPr>
        <w:t>Number of respondents based on RY201</w:t>
      </w:r>
      <w:r w:rsidR="009D165E">
        <w:rPr>
          <w:sz w:val="14"/>
          <w:szCs w:val="14"/>
        </w:rPr>
        <w:t>7</w:t>
      </w:r>
      <w:r w:rsidR="00043FA6" w:rsidRPr="00C77927">
        <w:rPr>
          <w:sz w:val="14"/>
          <w:szCs w:val="14"/>
        </w:rPr>
        <w:t xml:space="preserve"> data as of </w:t>
      </w:r>
      <w:r w:rsidR="00E47F0B">
        <w:rPr>
          <w:sz w:val="14"/>
          <w:szCs w:val="14"/>
        </w:rPr>
        <w:t>August 2018</w:t>
      </w:r>
      <w:r w:rsidR="00043FA6" w:rsidRPr="00C77927">
        <w:rPr>
          <w:sz w:val="14"/>
          <w:szCs w:val="14"/>
        </w:rPr>
        <w:t>.</w:t>
      </w:r>
      <w:r w:rsidR="00D66D44" w:rsidRPr="00C77927">
        <w:rPr>
          <w:sz w:val="14"/>
          <w:szCs w:val="14"/>
        </w:rPr>
        <w:t xml:space="preserve"> </w:t>
      </w:r>
    </w:p>
    <w:p w14:paraId="7E65E94D" w14:textId="5BEC7861" w:rsidR="002023CA" w:rsidRPr="00C77927" w:rsidRDefault="00FC5FF5" w:rsidP="002023CA">
      <w:pPr>
        <w:keepNext/>
        <w:keepLines/>
        <w:ind w:left="180" w:hanging="180"/>
        <w:rPr>
          <w:sz w:val="14"/>
          <w:szCs w:val="14"/>
        </w:rPr>
      </w:pPr>
      <w:r>
        <w:rPr>
          <w:sz w:val="14"/>
          <w:szCs w:val="14"/>
          <w:vertAlign w:val="superscript"/>
        </w:rPr>
        <w:t>d</w:t>
      </w:r>
      <w:r w:rsidR="009B0902" w:rsidRPr="00C77927">
        <w:rPr>
          <w:sz w:val="14"/>
          <w:szCs w:val="14"/>
          <w:vertAlign w:val="superscript"/>
        </w:rPr>
        <w:tab/>
      </w:r>
      <w:r w:rsidR="002023CA">
        <w:rPr>
          <w:sz w:val="14"/>
          <w:szCs w:val="14"/>
        </w:rPr>
        <w:t>See Appendix F for details</w:t>
      </w:r>
      <w:r w:rsidR="002023CA" w:rsidRPr="00C77927">
        <w:rPr>
          <w:sz w:val="14"/>
          <w:szCs w:val="14"/>
        </w:rPr>
        <w:t>.</w:t>
      </w:r>
    </w:p>
    <w:p w14:paraId="57D3B561" w14:textId="48880881" w:rsidR="005852D1" w:rsidRDefault="000B6CC7" w:rsidP="009B0902">
      <w:pPr>
        <w:keepNext/>
        <w:keepLines/>
        <w:ind w:left="180" w:hanging="180"/>
        <w:rPr>
          <w:sz w:val="14"/>
          <w:szCs w:val="14"/>
        </w:rPr>
      </w:pPr>
      <w:r>
        <w:rPr>
          <w:sz w:val="14"/>
          <w:szCs w:val="14"/>
          <w:vertAlign w:val="superscript"/>
        </w:rPr>
        <w:t>e</w:t>
      </w:r>
      <w:r>
        <w:rPr>
          <w:sz w:val="14"/>
          <w:szCs w:val="14"/>
        </w:rPr>
        <w:tab/>
      </w:r>
      <w:r w:rsidR="00D779D3" w:rsidRPr="00C77927">
        <w:rPr>
          <w:sz w:val="14"/>
          <w:szCs w:val="14"/>
        </w:rPr>
        <w:t>See Appendix E for details</w:t>
      </w:r>
    </w:p>
    <w:p w14:paraId="4A0DEBE0" w14:textId="08D80238" w:rsidR="00527EFE" w:rsidRPr="00C77927" w:rsidRDefault="000B6CC7" w:rsidP="009B0902">
      <w:pPr>
        <w:keepNext/>
        <w:keepLines/>
        <w:ind w:left="180" w:hanging="180"/>
        <w:rPr>
          <w:sz w:val="14"/>
          <w:szCs w:val="14"/>
        </w:rPr>
      </w:pPr>
      <w:r>
        <w:rPr>
          <w:sz w:val="14"/>
          <w:szCs w:val="14"/>
          <w:vertAlign w:val="superscript"/>
        </w:rPr>
        <w:t>f</w:t>
      </w:r>
      <w:r w:rsidR="009B0902" w:rsidRPr="00C77927">
        <w:rPr>
          <w:sz w:val="14"/>
          <w:szCs w:val="14"/>
          <w:vertAlign w:val="superscript"/>
        </w:rPr>
        <w:tab/>
      </w:r>
      <w:r w:rsidR="00527EFE" w:rsidRPr="00C77927">
        <w:rPr>
          <w:sz w:val="14"/>
          <w:szCs w:val="14"/>
        </w:rPr>
        <w:t>See Appendix G for details.</w:t>
      </w:r>
    </w:p>
    <w:p w14:paraId="452E5A77" w14:textId="668E6B1E" w:rsidR="00E05794" w:rsidRPr="00DF641A" w:rsidRDefault="00844160" w:rsidP="00E05794">
      <w:pPr>
        <w:keepNext/>
        <w:keepLines/>
        <w:ind w:left="180" w:hanging="180"/>
        <w:rPr>
          <w:sz w:val="14"/>
          <w:szCs w:val="14"/>
        </w:rPr>
      </w:pPr>
      <w:r w:rsidRPr="008F7D63">
        <w:rPr>
          <w:sz w:val="14"/>
          <w:szCs w:val="14"/>
          <w:vertAlign w:val="superscript"/>
        </w:rPr>
        <w:t>g</w:t>
      </w:r>
      <w:r>
        <w:rPr>
          <w:sz w:val="14"/>
          <w:szCs w:val="14"/>
        </w:rPr>
        <w:tab/>
      </w:r>
      <w:r w:rsidR="00E05794" w:rsidRPr="00DF641A">
        <w:rPr>
          <w:sz w:val="14"/>
          <w:szCs w:val="14"/>
        </w:rPr>
        <w:t>See Appendix H for all details related to subpart-specific cost and LOE estimates.</w:t>
      </w:r>
    </w:p>
    <w:p w14:paraId="2D703858" w14:textId="77777777" w:rsidR="00E05794" w:rsidRDefault="00E05794" w:rsidP="009B0902">
      <w:pPr>
        <w:keepNext/>
        <w:keepLines/>
        <w:ind w:left="180" w:hanging="180"/>
        <w:rPr>
          <w:sz w:val="14"/>
          <w:szCs w:val="14"/>
        </w:rPr>
      </w:pPr>
    </w:p>
    <w:p w14:paraId="62635C7C" w14:textId="77777777" w:rsidR="00E05794" w:rsidRPr="00C77927" w:rsidRDefault="00E05794" w:rsidP="009B0902">
      <w:pPr>
        <w:keepNext/>
        <w:keepLines/>
        <w:ind w:left="180" w:hanging="180"/>
        <w:rPr>
          <w:sz w:val="14"/>
          <w:szCs w:val="14"/>
        </w:rPr>
      </w:pPr>
    </w:p>
    <w:p w14:paraId="574DEDD9" w14:textId="77777777" w:rsidR="00B43CE8" w:rsidRPr="00C77927" w:rsidRDefault="00B43CE8" w:rsidP="000B1CD3">
      <w:pPr>
        <w:keepNext/>
        <w:keepLines/>
        <w:jc w:val="center"/>
        <w:rPr>
          <w:b/>
          <w:bCs/>
        </w:rPr>
      </w:pPr>
    </w:p>
    <w:p w14:paraId="0BFCE25B" w14:textId="77777777" w:rsidR="00D66D44" w:rsidRPr="00C77927" w:rsidRDefault="00D66D44" w:rsidP="00B340C0">
      <w:pPr>
        <w:keepNext/>
        <w:keepLines/>
        <w:rPr>
          <w:b/>
          <w:bCs/>
        </w:rPr>
      </w:pPr>
    </w:p>
    <w:p w14:paraId="735CC0B1" w14:textId="77777777" w:rsidR="00FA5A1F" w:rsidRPr="00C77927" w:rsidRDefault="00FA5A1F" w:rsidP="00F3717A">
      <w:pPr>
        <w:pStyle w:val="Heading2"/>
        <w:rPr>
          <w:lang w:val="en-US"/>
        </w:rPr>
        <w:sectPr w:rsidR="00FA5A1F" w:rsidRPr="00C77927" w:rsidSect="00552FAD">
          <w:footerReference w:type="default" r:id="rId17"/>
          <w:pgSz w:w="15840" w:h="12240" w:orient="landscape" w:code="1"/>
          <w:pgMar w:top="1440" w:right="1440" w:bottom="1440" w:left="1440" w:header="720" w:footer="432" w:gutter="0"/>
          <w:pgNumType w:start="1"/>
          <w:cols w:space="720"/>
          <w:docGrid w:linePitch="360"/>
        </w:sectPr>
      </w:pPr>
    </w:p>
    <w:p w14:paraId="63AA7891" w14:textId="22CED20B" w:rsidR="00D34B38" w:rsidRPr="00C77927" w:rsidRDefault="00D34B38" w:rsidP="00F3717A">
      <w:pPr>
        <w:pStyle w:val="Heading2"/>
      </w:pPr>
      <w:bookmarkStart w:id="35" w:name="_Toc10555994"/>
      <w:r w:rsidRPr="00C77927">
        <w:t>6(c) Estimating Agency Burden and Cost</w:t>
      </w:r>
      <w:bookmarkEnd w:id="35"/>
    </w:p>
    <w:p w14:paraId="1DE0519B" w14:textId="77777777" w:rsidR="00D34B38" w:rsidRPr="00C77927" w:rsidRDefault="00D34B38" w:rsidP="00BB1633">
      <w:pPr>
        <w:keepNext/>
        <w:keepLines/>
        <w:autoSpaceDE w:val="0"/>
        <w:autoSpaceDN w:val="0"/>
        <w:adjustRightInd w:val="0"/>
        <w:ind w:firstLine="720"/>
        <w:rPr>
          <w:b/>
          <w:bCs/>
        </w:rPr>
      </w:pPr>
    </w:p>
    <w:p w14:paraId="41A7759C" w14:textId="6068BB27" w:rsidR="003C702F" w:rsidRPr="00C77927" w:rsidRDefault="003C702F" w:rsidP="40A1D01C">
      <w:pPr>
        <w:keepNext/>
        <w:keepLines/>
        <w:autoSpaceDE w:val="0"/>
        <w:autoSpaceDN w:val="0"/>
        <w:adjustRightInd w:val="0"/>
        <w:ind w:firstLine="720"/>
        <w:rPr>
          <w:bCs/>
        </w:rPr>
      </w:pPr>
      <w:r w:rsidRPr="00C77927">
        <w:t xml:space="preserve">This section describes the burden and cost to the </w:t>
      </w:r>
      <w:r w:rsidR="008250BD" w:rsidRPr="00C77927">
        <w:t>federal</w:t>
      </w:r>
      <w:r w:rsidRPr="00C77927">
        <w:t xml:space="preserve"> government associated with this information collection.</w:t>
      </w:r>
      <w:r w:rsidR="00ED239B" w:rsidRPr="00C77927">
        <w:t xml:space="preserve"> </w:t>
      </w:r>
      <w:r w:rsidR="008250BD" w:rsidRPr="00C77927">
        <w:t>Federal</w:t>
      </w:r>
      <w:r w:rsidRPr="00C77927">
        <w:t xml:space="preserve"> activities under this information collection include </w:t>
      </w:r>
      <w:r w:rsidR="000263D8" w:rsidRPr="00C77927">
        <w:t xml:space="preserve">EPA </w:t>
      </w:r>
      <w:r w:rsidRPr="00C77927">
        <w:t>oversight of the reporting pro</w:t>
      </w:r>
      <w:r w:rsidR="0099779D" w:rsidRPr="00C77927">
        <w:t xml:space="preserve">gram and required reporting by </w:t>
      </w:r>
      <w:r w:rsidR="008250BD" w:rsidRPr="00C77927">
        <w:t>federal</w:t>
      </w:r>
      <w:r w:rsidRPr="00C77927">
        <w:t>l</w:t>
      </w:r>
      <w:r w:rsidR="009A3B58" w:rsidRPr="00C77927">
        <w:t>y</w:t>
      </w:r>
      <w:r w:rsidR="00191267" w:rsidRPr="00C77927">
        <w:t xml:space="preserve"> </w:t>
      </w:r>
      <w:r w:rsidRPr="00C77927">
        <w:t>owned GHG generating facilities.</w:t>
      </w:r>
    </w:p>
    <w:p w14:paraId="5057B464" w14:textId="77777777" w:rsidR="003C702F" w:rsidRPr="00C77927" w:rsidRDefault="003C702F" w:rsidP="00BB1633">
      <w:pPr>
        <w:autoSpaceDE w:val="0"/>
        <w:autoSpaceDN w:val="0"/>
        <w:adjustRightInd w:val="0"/>
        <w:ind w:firstLine="720"/>
        <w:rPr>
          <w:bCs/>
        </w:rPr>
      </w:pPr>
    </w:p>
    <w:p w14:paraId="4FB04E8C" w14:textId="77777777" w:rsidR="00D474D6" w:rsidRPr="00D25FC9" w:rsidRDefault="00D474D6" w:rsidP="40A1D01C">
      <w:pPr>
        <w:keepNext/>
        <w:keepLines/>
        <w:autoSpaceDE w:val="0"/>
        <w:autoSpaceDN w:val="0"/>
        <w:adjustRightInd w:val="0"/>
        <w:ind w:firstLine="720"/>
        <w:rPr>
          <w:i/>
          <w:iCs/>
        </w:rPr>
      </w:pPr>
      <w:r w:rsidRPr="00C77927">
        <w:rPr>
          <w:i/>
          <w:iCs/>
        </w:rPr>
        <w:t xml:space="preserve">EPA </w:t>
      </w:r>
      <w:r w:rsidR="002A7953" w:rsidRPr="00C77927">
        <w:rPr>
          <w:i/>
          <w:iCs/>
        </w:rPr>
        <w:t>Burden and C</w:t>
      </w:r>
      <w:r w:rsidRPr="00C77927">
        <w:rPr>
          <w:i/>
          <w:iCs/>
        </w:rPr>
        <w:t xml:space="preserve">ost </w:t>
      </w:r>
      <w:r w:rsidR="002A7953" w:rsidRPr="00C77927">
        <w:rPr>
          <w:i/>
          <w:iCs/>
        </w:rPr>
        <w:t xml:space="preserve">for Program Oversight </w:t>
      </w:r>
    </w:p>
    <w:p w14:paraId="39C2321E" w14:textId="77777777" w:rsidR="00D474D6" w:rsidRPr="00C77927" w:rsidRDefault="00D474D6" w:rsidP="00BB1633">
      <w:pPr>
        <w:keepNext/>
        <w:keepLines/>
        <w:autoSpaceDE w:val="0"/>
        <w:autoSpaceDN w:val="0"/>
        <w:adjustRightInd w:val="0"/>
        <w:ind w:firstLine="720"/>
        <w:rPr>
          <w:bCs/>
        </w:rPr>
      </w:pPr>
    </w:p>
    <w:p w14:paraId="6A0979E5" w14:textId="6AF6790A" w:rsidR="00B25A40" w:rsidRPr="00C77927" w:rsidRDefault="004E2234" w:rsidP="40A1D01C">
      <w:pPr>
        <w:keepNext/>
        <w:keepLines/>
        <w:autoSpaceDE w:val="0"/>
        <w:autoSpaceDN w:val="0"/>
        <w:adjustRightInd w:val="0"/>
        <w:ind w:firstLine="720"/>
        <w:rPr>
          <w:bCs/>
        </w:rPr>
      </w:pPr>
      <w:r w:rsidRPr="00C77927">
        <w:t xml:space="preserve">EPA </w:t>
      </w:r>
      <w:r w:rsidR="004437D0" w:rsidRPr="00C77927">
        <w:t>activities associated with the</w:t>
      </w:r>
      <w:r w:rsidR="00623F83" w:rsidRPr="00C77927">
        <w:t xml:space="preserve"> GHG reporting </w:t>
      </w:r>
      <w:r w:rsidR="005E46F6" w:rsidRPr="00C77927">
        <w:t xml:space="preserve">program </w:t>
      </w:r>
      <w:r w:rsidR="004437D0" w:rsidRPr="00C77927">
        <w:t xml:space="preserve">include oversight </w:t>
      </w:r>
      <w:r w:rsidR="00FD42B4" w:rsidRPr="00C77927">
        <w:t xml:space="preserve">and implementation of the reporting program, e.g., </w:t>
      </w:r>
      <w:r w:rsidR="00790306" w:rsidRPr="00C77927">
        <w:t>monitoring and verification of emission reports, database and software maintenance, communication and outreach, and program evaluation</w:t>
      </w:r>
      <w:r w:rsidR="00FD42B4" w:rsidRPr="00C77927">
        <w:t>.</w:t>
      </w:r>
      <w:r w:rsidR="00A47CF8" w:rsidRPr="00C77927">
        <w:t xml:space="preserve"> </w:t>
      </w:r>
      <w:r w:rsidR="00B25A40" w:rsidRPr="00C77927">
        <w:t xml:space="preserve">EPA estimates that </w:t>
      </w:r>
      <w:r w:rsidR="0011555F" w:rsidRPr="00C77927">
        <w:t>it</w:t>
      </w:r>
      <w:r w:rsidR="00B25A40" w:rsidRPr="00C77927">
        <w:t xml:space="preserve"> </w:t>
      </w:r>
      <w:r w:rsidR="009674CB" w:rsidRPr="00C77927">
        <w:t>will</w:t>
      </w:r>
      <w:r w:rsidR="00B25A40" w:rsidRPr="00C77927">
        <w:t xml:space="preserve"> devote </w:t>
      </w:r>
      <w:r w:rsidR="003B5D80" w:rsidRPr="00C77927">
        <w:t xml:space="preserve">up to </w:t>
      </w:r>
      <w:r w:rsidR="00433C4B" w:rsidRPr="00C77927">
        <w:t>12</w:t>
      </w:r>
      <w:r w:rsidR="002F727B" w:rsidRPr="00C77927">
        <w:t xml:space="preserve"> </w:t>
      </w:r>
      <w:r w:rsidR="00B25A40" w:rsidRPr="00C77927">
        <w:t xml:space="preserve">full time equivalents (FTEs), or </w:t>
      </w:r>
      <w:r w:rsidR="002A7953" w:rsidRPr="00C77927">
        <w:rPr>
          <w:color w:val="000000"/>
        </w:rPr>
        <w:t xml:space="preserve">an estimated </w:t>
      </w:r>
      <w:r w:rsidR="00433C4B" w:rsidRPr="00C77927">
        <w:rPr>
          <w:color w:val="000000"/>
        </w:rPr>
        <w:t>24,960</w:t>
      </w:r>
      <w:r w:rsidR="00B25A40" w:rsidRPr="00C77927">
        <w:t xml:space="preserve"> hours </w:t>
      </w:r>
      <w:r w:rsidR="00D771CB">
        <w:t xml:space="preserve">annually </w:t>
      </w:r>
      <w:r w:rsidR="00B25A40" w:rsidRPr="00C77927">
        <w:t>to these activities.</w:t>
      </w:r>
    </w:p>
    <w:p w14:paraId="08962D99" w14:textId="77777777" w:rsidR="00B25A40" w:rsidRPr="00C77927" w:rsidRDefault="00B25A40" w:rsidP="00BB1633">
      <w:pPr>
        <w:autoSpaceDE w:val="0"/>
        <w:autoSpaceDN w:val="0"/>
        <w:adjustRightInd w:val="0"/>
        <w:ind w:firstLine="720"/>
        <w:rPr>
          <w:bCs/>
        </w:rPr>
      </w:pPr>
    </w:p>
    <w:p w14:paraId="045FED2D" w14:textId="2D5EBE5C" w:rsidR="00B25A40" w:rsidRPr="00C77927" w:rsidRDefault="00D474D6" w:rsidP="00365789">
      <w:pPr>
        <w:ind w:firstLine="720"/>
      </w:pPr>
      <w:r w:rsidRPr="00C77927">
        <w:t xml:space="preserve">To </w:t>
      </w:r>
      <w:r w:rsidR="00B25A40" w:rsidRPr="00C77927">
        <w:t xml:space="preserve">develop </w:t>
      </w:r>
      <w:r w:rsidRPr="00C77927">
        <w:t xml:space="preserve">EPA </w:t>
      </w:r>
      <w:r w:rsidR="00B25A40" w:rsidRPr="00C77927">
        <w:t>labor costs, EPA estimate</w:t>
      </w:r>
      <w:r w:rsidR="00CF31C6" w:rsidRPr="00C77927">
        <w:t>d</w:t>
      </w:r>
      <w:r w:rsidR="00B25A40" w:rsidRPr="00C77927">
        <w:t xml:space="preserve"> the average hourly labor rate for salary and overhead and benefits for Agency staff to be $</w:t>
      </w:r>
      <w:r w:rsidR="00050B1B" w:rsidRPr="00C77927">
        <w:t>5</w:t>
      </w:r>
      <w:r w:rsidR="008326CF" w:rsidRPr="00C77927">
        <w:t>7.98</w:t>
      </w:r>
      <w:r w:rsidR="00B25A40" w:rsidRPr="00C77927">
        <w:t>.</w:t>
      </w:r>
      <w:r w:rsidR="00A47CF8" w:rsidRPr="00C77927">
        <w:t xml:space="preserve"> </w:t>
      </w:r>
      <w:r w:rsidR="00B25A40" w:rsidRPr="00C77927">
        <w:t>To derive this figure, EPA multiplied the hourly compensation at GS-1</w:t>
      </w:r>
      <w:r w:rsidR="00CE1168" w:rsidRPr="00C77927">
        <w:t>3</w:t>
      </w:r>
      <w:r w:rsidR="00B25A40" w:rsidRPr="00C77927">
        <w:t xml:space="preserve">, Step </w:t>
      </w:r>
      <w:r w:rsidR="00CE1168" w:rsidRPr="00C77927">
        <w:t>1</w:t>
      </w:r>
      <w:r w:rsidR="00B25A40" w:rsidRPr="00C77927">
        <w:t xml:space="preserve"> on the </w:t>
      </w:r>
      <w:r w:rsidR="00050B1B" w:rsidRPr="00C77927">
        <w:t>201</w:t>
      </w:r>
      <w:r w:rsidR="008326CF" w:rsidRPr="00C77927">
        <w:t>8</w:t>
      </w:r>
      <w:r w:rsidR="00B25A40" w:rsidRPr="00C77927">
        <w:t xml:space="preserve"> GS pay scale ($</w:t>
      </w:r>
      <w:r w:rsidR="00050B1B" w:rsidRPr="00C77927">
        <w:t>3</w:t>
      </w:r>
      <w:r w:rsidR="008326CF" w:rsidRPr="00C77927">
        <w:t>6</w:t>
      </w:r>
      <w:r w:rsidR="000A7A52" w:rsidRPr="00C77927">
        <w:t>.</w:t>
      </w:r>
      <w:r w:rsidR="008326CF" w:rsidRPr="00C77927">
        <w:t>24</w:t>
      </w:r>
      <w:r w:rsidR="00B25A40" w:rsidRPr="00C77927">
        <w:t>) by the standard government benefits multiplication factor of 1.6 to acco</w:t>
      </w:r>
      <w:r w:rsidR="00591400" w:rsidRPr="00C77927">
        <w:t>unt for overhead and benefits.</w:t>
      </w:r>
      <w:r w:rsidR="00365789" w:rsidRPr="00C77927">
        <w:rPr>
          <w:rStyle w:val="FootnoteReference"/>
        </w:rPr>
        <w:footnoteReference w:id="4"/>
      </w:r>
    </w:p>
    <w:p w14:paraId="6F1A795D" w14:textId="77777777" w:rsidR="00B25A40" w:rsidRPr="00C77927" w:rsidRDefault="00B25A40" w:rsidP="00BB1633">
      <w:pPr>
        <w:ind w:firstLine="720"/>
      </w:pPr>
    </w:p>
    <w:p w14:paraId="6C1F226F" w14:textId="08910056" w:rsidR="00D154B2" w:rsidRPr="00C77927" w:rsidRDefault="00B25A40" w:rsidP="00BB1633">
      <w:pPr>
        <w:autoSpaceDE w:val="0"/>
        <w:autoSpaceDN w:val="0"/>
        <w:adjustRightInd w:val="0"/>
        <w:ind w:firstLine="720"/>
      </w:pPr>
      <w:r w:rsidRPr="00C77927">
        <w:t xml:space="preserve">In addition to the labor cost, </w:t>
      </w:r>
      <w:r w:rsidR="00C60816" w:rsidRPr="00C77927">
        <w:t xml:space="preserve">EPA </w:t>
      </w:r>
      <w:r w:rsidR="009674CB" w:rsidRPr="00C77927">
        <w:t>will</w:t>
      </w:r>
      <w:r w:rsidRPr="00C77927">
        <w:t xml:space="preserve"> </w:t>
      </w:r>
      <w:r w:rsidR="006B5DC8" w:rsidRPr="00C77927">
        <w:t>incur a</w:t>
      </w:r>
      <w:r w:rsidR="003E2C28" w:rsidRPr="00C77927">
        <w:t xml:space="preserve"> non-labor</w:t>
      </w:r>
      <w:r w:rsidR="006B5DC8" w:rsidRPr="00C77927">
        <w:t xml:space="preserve"> cost of </w:t>
      </w:r>
      <w:r w:rsidR="00007B66" w:rsidRPr="00C77927">
        <w:t xml:space="preserve">approximately </w:t>
      </w:r>
      <w:r w:rsidR="002A7953" w:rsidRPr="00C77927">
        <w:t>$</w:t>
      </w:r>
      <w:r w:rsidR="00A5429F" w:rsidRPr="00C77927">
        <w:t>8.4</w:t>
      </w:r>
      <w:r w:rsidR="009A4D56" w:rsidRPr="00C77927">
        <w:t xml:space="preserve"> million</w:t>
      </w:r>
      <w:r w:rsidRPr="00C77927">
        <w:t xml:space="preserve"> </w:t>
      </w:r>
      <w:r w:rsidR="009E7A27" w:rsidRPr="00C77927">
        <w:t xml:space="preserve">in </w:t>
      </w:r>
      <w:r w:rsidR="00E57601" w:rsidRPr="00C77927">
        <w:t xml:space="preserve">each of the three years </w:t>
      </w:r>
      <w:r w:rsidR="009E7A27" w:rsidRPr="00C77927">
        <w:t xml:space="preserve">of the information collection </w:t>
      </w:r>
      <w:r w:rsidR="006B5DC8" w:rsidRPr="00C77927">
        <w:t>for developing guidance, training, responding to stakeholders, communication and outreach</w:t>
      </w:r>
      <w:r w:rsidR="00E57601" w:rsidRPr="00C77927">
        <w:t xml:space="preserve">, </w:t>
      </w:r>
      <w:r w:rsidR="002A7953" w:rsidRPr="00C77927">
        <w:t>database maintenance, and other</w:t>
      </w:r>
      <w:r w:rsidR="00821C38">
        <w:t xml:space="preserve"> </w:t>
      </w:r>
      <w:r w:rsidR="002A7953" w:rsidRPr="00C77927">
        <w:t>contractor support.</w:t>
      </w:r>
    </w:p>
    <w:p w14:paraId="5A92FA61" w14:textId="173AB52C" w:rsidR="00230517" w:rsidRPr="00C77927" w:rsidRDefault="00230517" w:rsidP="00BB1633">
      <w:pPr>
        <w:autoSpaceDE w:val="0"/>
        <w:autoSpaceDN w:val="0"/>
        <w:adjustRightInd w:val="0"/>
        <w:ind w:firstLine="720"/>
        <w:rPr>
          <w:bCs/>
        </w:rPr>
      </w:pPr>
    </w:p>
    <w:p w14:paraId="539C4D47" w14:textId="716FC4C5" w:rsidR="00DC4DD4" w:rsidRPr="00C77927" w:rsidRDefault="004437D0" w:rsidP="40A1D01C">
      <w:pPr>
        <w:autoSpaceDE w:val="0"/>
        <w:autoSpaceDN w:val="0"/>
        <w:adjustRightInd w:val="0"/>
        <w:ind w:firstLine="720"/>
        <w:rPr>
          <w:bCs/>
        </w:rPr>
      </w:pPr>
      <w:r w:rsidRPr="00C77927">
        <w:t>Exhibit 6.</w:t>
      </w:r>
      <w:r w:rsidR="00265B77" w:rsidRPr="00C77927">
        <w:t>2</w:t>
      </w:r>
      <w:r w:rsidRPr="00C77927">
        <w:t xml:space="preserve"> presents the annual </w:t>
      </w:r>
      <w:r w:rsidR="00673257" w:rsidRPr="00C77927">
        <w:t xml:space="preserve">Agency </w:t>
      </w:r>
      <w:r w:rsidRPr="00C77927">
        <w:t>burden and cost</w:t>
      </w:r>
      <w:r w:rsidR="00673257" w:rsidRPr="00C77927">
        <w:t>.</w:t>
      </w:r>
    </w:p>
    <w:p w14:paraId="2E4D882B" w14:textId="77777777" w:rsidR="00DC4DD4" w:rsidRPr="00D25FC9" w:rsidRDefault="00DC4DD4" w:rsidP="00BB1633">
      <w:pPr>
        <w:autoSpaceDE w:val="0"/>
        <w:autoSpaceDN w:val="0"/>
        <w:adjustRightInd w:val="0"/>
        <w:ind w:firstLine="720"/>
        <w:rPr>
          <w:bCs/>
          <w:color w:val="0000FF"/>
        </w:rPr>
      </w:pPr>
    </w:p>
    <w:p w14:paraId="01C71066" w14:textId="77777777" w:rsidR="00AF7429" w:rsidRPr="00C77927" w:rsidRDefault="00AF7429" w:rsidP="007C0C85">
      <w:pPr>
        <w:pStyle w:val="Heading2"/>
      </w:pPr>
      <w:bookmarkStart w:id="36" w:name="_Toc10555995"/>
      <w:r w:rsidRPr="00C77927">
        <w:t>6(d) Estimating the Respondent Universe and Total Burden and Costs</w:t>
      </w:r>
      <w:bookmarkEnd w:id="36"/>
    </w:p>
    <w:p w14:paraId="4CCCD0BA" w14:textId="77777777" w:rsidR="00AF7429" w:rsidRPr="00C77927" w:rsidRDefault="00AF7429" w:rsidP="00AF7429">
      <w:pPr>
        <w:autoSpaceDE w:val="0"/>
        <w:autoSpaceDN w:val="0"/>
        <w:adjustRightInd w:val="0"/>
        <w:ind w:firstLine="720"/>
        <w:rPr>
          <w:b/>
          <w:bCs/>
        </w:rPr>
      </w:pPr>
    </w:p>
    <w:p w14:paraId="687047D6" w14:textId="77777777" w:rsidR="00AF7429" w:rsidRPr="00C77927" w:rsidRDefault="00AF7429" w:rsidP="00AF7429">
      <w:pPr>
        <w:autoSpaceDE w:val="0"/>
        <w:autoSpaceDN w:val="0"/>
        <w:adjustRightInd w:val="0"/>
        <w:ind w:firstLine="720"/>
      </w:pPr>
      <w:r w:rsidRPr="00C77927">
        <w:t xml:space="preserve">The number of respondents in each sector that perform the required activities under this information collection is presented in Exhibit 6.1. The required activities depend on whether the facility must report its GHG emissions and on the applicable sector-specific reporting requirements. These activities are described in Section 4(b) of this ICR. </w:t>
      </w:r>
    </w:p>
    <w:p w14:paraId="3680CC89" w14:textId="77777777" w:rsidR="00AF7429" w:rsidRPr="00C77927" w:rsidRDefault="00AF7429" w:rsidP="00AF7429">
      <w:pPr>
        <w:autoSpaceDE w:val="0"/>
        <w:autoSpaceDN w:val="0"/>
        <w:adjustRightInd w:val="0"/>
        <w:ind w:firstLine="720"/>
      </w:pPr>
    </w:p>
    <w:p w14:paraId="06337DEA" w14:textId="77777777" w:rsidR="00AF7429" w:rsidRPr="00C77927" w:rsidRDefault="00AF7429" w:rsidP="00AF7429">
      <w:pPr>
        <w:pStyle w:val="Heading2"/>
      </w:pPr>
      <w:bookmarkStart w:id="37" w:name="_Toc10555996"/>
      <w:r w:rsidRPr="00C77927">
        <w:t>6(e) Bottom Line Burden Hours and Costs</w:t>
      </w:r>
      <w:bookmarkEnd w:id="37"/>
    </w:p>
    <w:p w14:paraId="00721AD5" w14:textId="77777777" w:rsidR="00AF7429" w:rsidRPr="00C77927" w:rsidRDefault="00AF7429" w:rsidP="00AF7429">
      <w:pPr>
        <w:autoSpaceDE w:val="0"/>
        <w:autoSpaceDN w:val="0"/>
        <w:adjustRightInd w:val="0"/>
        <w:ind w:firstLine="720"/>
        <w:rPr>
          <w:b/>
          <w:bCs/>
        </w:rPr>
      </w:pPr>
    </w:p>
    <w:p w14:paraId="347BFFEC" w14:textId="1C5E7FC4" w:rsidR="00AF7429" w:rsidRPr="00C77927" w:rsidRDefault="00AF7429" w:rsidP="00AF7429">
      <w:pPr>
        <w:autoSpaceDE w:val="0"/>
        <w:autoSpaceDN w:val="0"/>
        <w:adjustRightInd w:val="0"/>
        <w:ind w:firstLine="720"/>
      </w:pPr>
      <w:r w:rsidRPr="00C77927">
        <w:t xml:space="preserve">The </w:t>
      </w:r>
      <w:r w:rsidR="00D771CB" w:rsidRPr="00C77927">
        <w:t>bottom-line</w:t>
      </w:r>
      <w:r w:rsidRPr="00C77927">
        <w:t xml:space="preserve"> burden hours and costs are shown in Exhibit 6.3.</w:t>
      </w:r>
    </w:p>
    <w:p w14:paraId="0434F358" w14:textId="77777777" w:rsidR="00AF7429" w:rsidRPr="00D25FC9" w:rsidRDefault="00AF7429" w:rsidP="00F3717A">
      <w:pPr>
        <w:pStyle w:val="Heading2"/>
        <w:rPr>
          <w:sz w:val="26"/>
          <w:szCs w:val="26"/>
          <w:lang w:val="en-US"/>
        </w:rPr>
      </w:pPr>
      <w:r w:rsidRPr="00D25FC9">
        <w:rPr>
          <w:sz w:val="26"/>
          <w:szCs w:val="26"/>
          <w:lang w:val="en-US"/>
        </w:rPr>
        <w:br w:type="page"/>
      </w:r>
    </w:p>
    <w:p w14:paraId="04B46B96" w14:textId="7C55D763" w:rsidR="00D154B2" w:rsidRPr="00D25FC9" w:rsidRDefault="00D154B2" w:rsidP="00AF7429">
      <w:pPr>
        <w:pStyle w:val="ExhibitTitle"/>
        <w:rPr>
          <w:rFonts w:ascii="Times New Roman" w:hAnsi="Times New Roman" w:cs="Times New Roman"/>
        </w:rPr>
      </w:pPr>
      <w:r w:rsidRPr="00D25FC9">
        <w:rPr>
          <w:rFonts w:ascii="Times New Roman" w:hAnsi="Times New Roman" w:cs="Times New Roman"/>
        </w:rPr>
        <w:t>Exhibit 6.2 Annual Agency Burden and Cost</w:t>
      </w:r>
    </w:p>
    <w:p w14:paraId="5EA31E0F" w14:textId="77777777" w:rsidR="00D154B2" w:rsidRPr="00C77927" w:rsidDel="00361A26" w:rsidRDefault="00D154B2" w:rsidP="00D154B2">
      <w:pPr>
        <w:rPr>
          <w:lang w:eastAsia="x-none"/>
        </w:rPr>
      </w:pPr>
    </w:p>
    <w:tbl>
      <w:tblPr>
        <w:tblStyle w:val="TableGrid"/>
        <w:tblW w:w="0" w:type="auto"/>
        <w:tblLayout w:type="fixed"/>
        <w:tblLook w:val="04A0" w:firstRow="1" w:lastRow="0" w:firstColumn="1" w:lastColumn="0" w:noHBand="0" w:noVBand="1"/>
      </w:tblPr>
      <w:tblGrid>
        <w:gridCol w:w="2605"/>
        <w:gridCol w:w="1350"/>
        <w:gridCol w:w="1440"/>
        <w:gridCol w:w="1260"/>
        <w:gridCol w:w="1260"/>
        <w:gridCol w:w="1435"/>
      </w:tblGrid>
      <w:tr w:rsidR="009E64B7" w:rsidRPr="00C77927" w14:paraId="7C849942" w14:textId="77777777" w:rsidTr="241623E5">
        <w:tc>
          <w:tcPr>
            <w:tcW w:w="2605" w:type="dxa"/>
          </w:tcPr>
          <w:p w14:paraId="2068C359" w14:textId="04906EFB" w:rsidR="00D154B2" w:rsidRPr="00D25FC9" w:rsidRDefault="00D154B2" w:rsidP="00D25FC9">
            <w:pPr>
              <w:rPr>
                <w:sz w:val="20"/>
                <w:szCs w:val="20"/>
              </w:rPr>
            </w:pPr>
            <w:r w:rsidRPr="00D25FC9">
              <w:rPr>
                <w:b/>
                <w:sz w:val="20"/>
                <w:szCs w:val="20"/>
              </w:rPr>
              <w:t>Information Collection Activity</w:t>
            </w:r>
          </w:p>
        </w:tc>
        <w:tc>
          <w:tcPr>
            <w:tcW w:w="1350" w:type="dxa"/>
          </w:tcPr>
          <w:p w14:paraId="6E1AFE1A" w14:textId="33FE422A" w:rsidR="00D154B2" w:rsidRPr="00D25FC9" w:rsidRDefault="00D154B2" w:rsidP="00D25FC9">
            <w:pPr>
              <w:rPr>
                <w:sz w:val="20"/>
                <w:szCs w:val="20"/>
              </w:rPr>
            </w:pPr>
            <w:r w:rsidRPr="00D25FC9">
              <w:rPr>
                <w:b/>
                <w:sz w:val="20"/>
                <w:szCs w:val="20"/>
              </w:rPr>
              <w:t>Annual Responses</w:t>
            </w:r>
          </w:p>
        </w:tc>
        <w:tc>
          <w:tcPr>
            <w:tcW w:w="1440" w:type="dxa"/>
          </w:tcPr>
          <w:p w14:paraId="1C93244F" w14:textId="60144AD1" w:rsidR="00D154B2" w:rsidRPr="00D25FC9" w:rsidRDefault="00D154B2" w:rsidP="00D25FC9">
            <w:pPr>
              <w:rPr>
                <w:sz w:val="20"/>
                <w:szCs w:val="20"/>
              </w:rPr>
            </w:pPr>
            <w:r w:rsidRPr="00D25FC9">
              <w:rPr>
                <w:b/>
                <w:sz w:val="20"/>
                <w:szCs w:val="20"/>
              </w:rPr>
              <w:t>Total Annual Burden</w:t>
            </w:r>
            <w:r w:rsidR="005E644B" w:rsidRPr="00D25FC9">
              <w:rPr>
                <w:b/>
                <w:sz w:val="20"/>
                <w:szCs w:val="20"/>
              </w:rPr>
              <w:t xml:space="preserve"> (hrs)</w:t>
            </w:r>
          </w:p>
        </w:tc>
        <w:tc>
          <w:tcPr>
            <w:tcW w:w="1260" w:type="dxa"/>
          </w:tcPr>
          <w:p w14:paraId="53E49DB9" w14:textId="338DCD14" w:rsidR="00D154B2" w:rsidRPr="00D25FC9" w:rsidRDefault="00D154B2" w:rsidP="00D25FC9">
            <w:pPr>
              <w:rPr>
                <w:sz w:val="20"/>
                <w:szCs w:val="20"/>
              </w:rPr>
            </w:pPr>
            <w:r w:rsidRPr="00D25FC9">
              <w:rPr>
                <w:b/>
                <w:sz w:val="20"/>
                <w:szCs w:val="20"/>
              </w:rPr>
              <w:t>Labor Cost</w:t>
            </w:r>
          </w:p>
        </w:tc>
        <w:tc>
          <w:tcPr>
            <w:tcW w:w="1260" w:type="dxa"/>
          </w:tcPr>
          <w:p w14:paraId="0483B6CD" w14:textId="6201357B" w:rsidR="00D154B2" w:rsidRPr="00D25FC9" w:rsidRDefault="00D154B2" w:rsidP="00D25FC9">
            <w:pPr>
              <w:rPr>
                <w:sz w:val="20"/>
                <w:szCs w:val="20"/>
              </w:rPr>
            </w:pPr>
            <w:r w:rsidRPr="00D25FC9">
              <w:rPr>
                <w:b/>
                <w:sz w:val="20"/>
                <w:szCs w:val="20"/>
              </w:rPr>
              <w:t>Non-Labor Cost</w:t>
            </w:r>
          </w:p>
        </w:tc>
        <w:tc>
          <w:tcPr>
            <w:tcW w:w="1435" w:type="dxa"/>
          </w:tcPr>
          <w:p w14:paraId="4C087BDD" w14:textId="636D98E2" w:rsidR="00D154B2" w:rsidRPr="00D25FC9" w:rsidRDefault="00D154B2" w:rsidP="00D25FC9">
            <w:pPr>
              <w:rPr>
                <w:sz w:val="20"/>
                <w:szCs w:val="20"/>
              </w:rPr>
            </w:pPr>
            <w:r w:rsidRPr="00D25FC9">
              <w:rPr>
                <w:b/>
                <w:sz w:val="20"/>
                <w:szCs w:val="20"/>
              </w:rPr>
              <w:t>Total Annual Cost</w:t>
            </w:r>
          </w:p>
        </w:tc>
      </w:tr>
      <w:tr w:rsidR="009E64B7" w:rsidRPr="00C77927" w14:paraId="3A770F3D" w14:textId="77777777" w:rsidTr="241623E5">
        <w:tc>
          <w:tcPr>
            <w:tcW w:w="2605" w:type="dxa"/>
          </w:tcPr>
          <w:p w14:paraId="05F8803A" w14:textId="019DE519" w:rsidR="00D154B2" w:rsidRPr="00D25FC9" w:rsidRDefault="00D154B2" w:rsidP="00D25FC9">
            <w:pPr>
              <w:rPr>
                <w:sz w:val="20"/>
                <w:szCs w:val="20"/>
              </w:rPr>
            </w:pPr>
            <w:r w:rsidRPr="00D25FC9">
              <w:rPr>
                <w:sz w:val="20"/>
                <w:szCs w:val="20"/>
              </w:rPr>
              <w:t>Developing Guidance, Conducting Training, Audits, and General Oversight</w:t>
            </w:r>
          </w:p>
        </w:tc>
        <w:tc>
          <w:tcPr>
            <w:tcW w:w="1350" w:type="dxa"/>
          </w:tcPr>
          <w:p w14:paraId="295BDF4E" w14:textId="216AA462" w:rsidR="00D154B2" w:rsidRPr="00D25FC9" w:rsidRDefault="00D154B2" w:rsidP="00D25FC9">
            <w:pPr>
              <w:rPr>
                <w:sz w:val="20"/>
                <w:szCs w:val="20"/>
              </w:rPr>
            </w:pPr>
            <w:r w:rsidRPr="00D25FC9">
              <w:rPr>
                <w:sz w:val="20"/>
                <w:szCs w:val="20"/>
              </w:rPr>
              <w:t>1</w:t>
            </w:r>
          </w:p>
        </w:tc>
        <w:tc>
          <w:tcPr>
            <w:tcW w:w="1440" w:type="dxa"/>
          </w:tcPr>
          <w:p w14:paraId="44926996" w14:textId="571FA407" w:rsidR="00D154B2" w:rsidRPr="00D25FC9" w:rsidRDefault="00433C4B" w:rsidP="00D25FC9">
            <w:pPr>
              <w:rPr>
                <w:sz w:val="20"/>
                <w:szCs w:val="20"/>
              </w:rPr>
            </w:pPr>
            <w:r w:rsidRPr="00D25FC9">
              <w:rPr>
                <w:sz w:val="20"/>
                <w:szCs w:val="20"/>
              </w:rPr>
              <w:t>24,960</w:t>
            </w:r>
          </w:p>
        </w:tc>
        <w:tc>
          <w:tcPr>
            <w:tcW w:w="1260" w:type="dxa"/>
          </w:tcPr>
          <w:p w14:paraId="3FE96673" w14:textId="39DBF551" w:rsidR="00D154B2" w:rsidRPr="00D25FC9" w:rsidRDefault="00D154B2" w:rsidP="00D25FC9">
            <w:pPr>
              <w:rPr>
                <w:sz w:val="20"/>
                <w:szCs w:val="20"/>
              </w:rPr>
            </w:pPr>
            <w:r w:rsidRPr="00D25FC9">
              <w:rPr>
                <w:sz w:val="20"/>
                <w:szCs w:val="20"/>
              </w:rPr>
              <w:t>$</w:t>
            </w:r>
            <w:r w:rsidR="00433C4B" w:rsidRPr="00D25FC9">
              <w:rPr>
                <w:sz w:val="20"/>
                <w:szCs w:val="20"/>
              </w:rPr>
              <w:t>1,</w:t>
            </w:r>
            <w:r w:rsidR="00A5429F" w:rsidRPr="00D25FC9">
              <w:rPr>
                <w:sz w:val="20"/>
                <w:szCs w:val="20"/>
              </w:rPr>
              <w:t>447,181</w:t>
            </w:r>
          </w:p>
        </w:tc>
        <w:tc>
          <w:tcPr>
            <w:tcW w:w="1260" w:type="dxa"/>
          </w:tcPr>
          <w:p w14:paraId="780C2423" w14:textId="723D5E76" w:rsidR="00D154B2" w:rsidRPr="00D25FC9" w:rsidRDefault="00D154B2" w:rsidP="00D25FC9">
            <w:pPr>
              <w:rPr>
                <w:sz w:val="20"/>
                <w:szCs w:val="20"/>
              </w:rPr>
            </w:pPr>
            <w:r w:rsidRPr="00D25FC9">
              <w:rPr>
                <w:sz w:val="20"/>
                <w:szCs w:val="20"/>
              </w:rPr>
              <w:t>$</w:t>
            </w:r>
            <w:r w:rsidR="00A5429F" w:rsidRPr="00D25FC9">
              <w:rPr>
                <w:sz w:val="20"/>
                <w:szCs w:val="20"/>
              </w:rPr>
              <w:t>8</w:t>
            </w:r>
            <w:r w:rsidRPr="00D25FC9">
              <w:rPr>
                <w:sz w:val="20"/>
                <w:szCs w:val="20"/>
              </w:rPr>
              <w:t>,</w:t>
            </w:r>
            <w:r w:rsidR="00A5429F" w:rsidRPr="00D25FC9">
              <w:rPr>
                <w:sz w:val="20"/>
                <w:szCs w:val="20"/>
              </w:rPr>
              <w:t>400,0</w:t>
            </w:r>
            <w:r w:rsidR="00801E8A" w:rsidRPr="00D25FC9">
              <w:rPr>
                <w:sz w:val="20"/>
                <w:szCs w:val="20"/>
              </w:rPr>
              <w:t>00</w:t>
            </w:r>
          </w:p>
        </w:tc>
        <w:tc>
          <w:tcPr>
            <w:tcW w:w="1435" w:type="dxa"/>
          </w:tcPr>
          <w:p w14:paraId="04D3552B" w14:textId="62373B31" w:rsidR="00D154B2" w:rsidRPr="00D25FC9" w:rsidRDefault="00D154B2" w:rsidP="00D25FC9">
            <w:pPr>
              <w:rPr>
                <w:sz w:val="20"/>
                <w:szCs w:val="20"/>
              </w:rPr>
            </w:pPr>
            <w:r w:rsidRPr="00D25FC9">
              <w:rPr>
                <w:sz w:val="20"/>
                <w:szCs w:val="20"/>
              </w:rPr>
              <w:t>$</w:t>
            </w:r>
            <w:r w:rsidR="00801E8A" w:rsidRPr="00D25FC9">
              <w:rPr>
                <w:sz w:val="20"/>
                <w:szCs w:val="20"/>
              </w:rPr>
              <w:t>9,847,181</w:t>
            </w:r>
          </w:p>
        </w:tc>
      </w:tr>
    </w:tbl>
    <w:p w14:paraId="68A5E6C5" w14:textId="77777777" w:rsidR="00387376" w:rsidRPr="00C77927" w:rsidRDefault="00387376" w:rsidP="00BB1633">
      <w:pPr>
        <w:autoSpaceDE w:val="0"/>
        <w:autoSpaceDN w:val="0"/>
        <w:adjustRightInd w:val="0"/>
        <w:ind w:firstLine="720"/>
      </w:pPr>
    </w:p>
    <w:p w14:paraId="3F9311F9" w14:textId="77777777" w:rsidR="00387376" w:rsidRPr="00C77927" w:rsidRDefault="00387376" w:rsidP="00BB1633">
      <w:pPr>
        <w:autoSpaceDE w:val="0"/>
        <w:autoSpaceDN w:val="0"/>
        <w:adjustRightInd w:val="0"/>
        <w:ind w:firstLine="720"/>
      </w:pPr>
    </w:p>
    <w:p w14:paraId="1848962D" w14:textId="0AA01634" w:rsidR="007E7075" w:rsidRPr="00D25FC9" w:rsidRDefault="001E1D4F" w:rsidP="00AF7429">
      <w:pPr>
        <w:pStyle w:val="ExhibitTitle"/>
        <w:rPr>
          <w:rFonts w:ascii="Times New Roman" w:hAnsi="Times New Roman" w:cs="Times New Roman"/>
        </w:rPr>
      </w:pPr>
      <w:r w:rsidRPr="00D25FC9">
        <w:rPr>
          <w:rFonts w:ascii="Times New Roman" w:hAnsi="Times New Roman" w:cs="Times New Roman"/>
        </w:rPr>
        <w:t>Exhibit 6.3</w:t>
      </w:r>
      <w:r w:rsidR="00ED239B" w:rsidRPr="00D25FC9">
        <w:rPr>
          <w:rFonts w:ascii="Times New Roman" w:hAnsi="Times New Roman" w:cs="Times New Roman"/>
        </w:rPr>
        <w:t xml:space="preserve"> </w:t>
      </w:r>
      <w:r w:rsidR="004550A0" w:rsidRPr="00D25FC9">
        <w:rPr>
          <w:rFonts w:ascii="Times New Roman" w:hAnsi="Times New Roman" w:cs="Times New Roman"/>
        </w:rPr>
        <w:t xml:space="preserve">Bottom Line Annual </w:t>
      </w:r>
      <w:r w:rsidRPr="00D25FC9">
        <w:rPr>
          <w:rFonts w:ascii="Times New Roman" w:hAnsi="Times New Roman" w:cs="Times New Roman"/>
        </w:rPr>
        <w:t>Burden and Cost</w:t>
      </w:r>
    </w:p>
    <w:p w14:paraId="5D314FC6" w14:textId="77777777" w:rsidR="009E64B7" w:rsidRPr="00D25FC9" w:rsidRDefault="009E64B7"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p>
    <w:tbl>
      <w:tblPr>
        <w:tblW w:w="5000" w:type="pct"/>
        <w:tblLayout w:type="fixed"/>
        <w:tblLook w:val="04A0" w:firstRow="1" w:lastRow="0" w:firstColumn="1" w:lastColumn="0" w:noHBand="0" w:noVBand="1"/>
      </w:tblPr>
      <w:tblGrid>
        <w:gridCol w:w="3037"/>
        <w:gridCol w:w="1383"/>
        <w:gridCol w:w="276"/>
        <w:gridCol w:w="1567"/>
        <w:gridCol w:w="3313"/>
      </w:tblGrid>
      <w:tr w:rsidR="00D85D0A" w:rsidRPr="00C77927" w14:paraId="26BEF4AC" w14:textId="77777777" w:rsidTr="00D25FC9">
        <w:trPr>
          <w:trHeight w:val="288"/>
        </w:trPr>
        <w:tc>
          <w:tcPr>
            <w:tcW w:w="1586" w:type="pct"/>
            <w:tcBorders>
              <w:top w:val="single" w:sz="4" w:space="0" w:color="auto"/>
              <w:left w:val="single" w:sz="4" w:space="0" w:color="auto"/>
              <w:bottom w:val="single" w:sz="4" w:space="0" w:color="auto"/>
              <w:right w:val="nil"/>
            </w:tcBorders>
            <w:shd w:val="clear" w:color="auto" w:fill="auto"/>
            <w:noWrap/>
            <w:vAlign w:val="bottom"/>
            <w:hideMark/>
          </w:tcPr>
          <w:p w14:paraId="69DEF33E" w14:textId="77777777" w:rsidR="009E64B7" w:rsidRPr="00D25FC9" w:rsidRDefault="009E64B7">
            <w:pPr>
              <w:rPr>
                <w:color w:val="000000"/>
                <w:sz w:val="20"/>
                <w:szCs w:val="20"/>
              </w:rPr>
            </w:pPr>
            <w:r w:rsidRPr="00D25FC9">
              <w:rPr>
                <w:color w:val="000000"/>
                <w:sz w:val="20"/>
                <w:szCs w:val="20"/>
              </w:rPr>
              <w:t>Number of Respondents</w:t>
            </w:r>
          </w:p>
        </w:tc>
        <w:tc>
          <w:tcPr>
            <w:tcW w:w="722" w:type="pct"/>
            <w:tcBorders>
              <w:top w:val="single" w:sz="4" w:space="0" w:color="auto"/>
              <w:left w:val="single" w:sz="4" w:space="0" w:color="auto"/>
              <w:bottom w:val="nil"/>
              <w:right w:val="nil"/>
            </w:tcBorders>
            <w:shd w:val="clear" w:color="auto" w:fill="auto"/>
            <w:noWrap/>
            <w:vAlign w:val="bottom"/>
            <w:hideMark/>
          </w:tcPr>
          <w:p w14:paraId="29268D15" w14:textId="7BE6ABF3" w:rsidR="009E64B7" w:rsidRPr="00D25FC9" w:rsidRDefault="008224D8">
            <w:pPr>
              <w:jc w:val="right"/>
              <w:rPr>
                <w:color w:val="000000" w:themeColor="text1"/>
                <w:sz w:val="20"/>
                <w:szCs w:val="20"/>
              </w:rPr>
            </w:pPr>
            <w:r w:rsidRPr="00D25FC9">
              <w:rPr>
                <w:color w:val="000000"/>
                <w:sz w:val="20"/>
                <w:szCs w:val="20"/>
              </w:rPr>
              <w:t>1</w:t>
            </w:r>
            <w:r w:rsidR="00F22719">
              <w:rPr>
                <w:color w:val="000000"/>
                <w:sz w:val="20"/>
                <w:szCs w:val="20"/>
              </w:rPr>
              <w:t>3,</w:t>
            </w:r>
            <w:r w:rsidR="00EB702D">
              <w:rPr>
                <w:color w:val="000000"/>
                <w:sz w:val="20"/>
                <w:szCs w:val="20"/>
              </w:rPr>
              <w:t>180</w:t>
            </w:r>
          </w:p>
        </w:tc>
        <w:tc>
          <w:tcPr>
            <w:tcW w:w="144" w:type="pct"/>
            <w:tcBorders>
              <w:top w:val="single" w:sz="4" w:space="0" w:color="auto"/>
              <w:left w:val="nil"/>
              <w:bottom w:val="nil"/>
              <w:right w:val="nil"/>
            </w:tcBorders>
            <w:shd w:val="clear" w:color="auto" w:fill="auto"/>
            <w:noWrap/>
            <w:vAlign w:val="bottom"/>
            <w:hideMark/>
          </w:tcPr>
          <w:p w14:paraId="46FF2643" w14:textId="77777777" w:rsidR="009E64B7" w:rsidRPr="00D25FC9" w:rsidRDefault="009E64B7">
            <w:pPr>
              <w:rPr>
                <w:color w:val="000000" w:themeColor="text1"/>
                <w:sz w:val="20"/>
                <w:szCs w:val="20"/>
              </w:rPr>
            </w:pPr>
            <w:r w:rsidRPr="00D25FC9">
              <w:rPr>
                <w:color w:val="000000"/>
                <w:sz w:val="20"/>
                <w:szCs w:val="20"/>
              </w:rPr>
              <w:t> </w:t>
            </w:r>
          </w:p>
        </w:tc>
        <w:tc>
          <w:tcPr>
            <w:tcW w:w="818" w:type="pct"/>
            <w:tcBorders>
              <w:top w:val="single" w:sz="4" w:space="0" w:color="auto"/>
              <w:left w:val="nil"/>
              <w:bottom w:val="nil"/>
              <w:right w:val="nil"/>
            </w:tcBorders>
            <w:shd w:val="clear" w:color="auto" w:fill="auto"/>
            <w:noWrap/>
            <w:vAlign w:val="bottom"/>
            <w:hideMark/>
          </w:tcPr>
          <w:p w14:paraId="456BA4B1" w14:textId="77777777" w:rsidR="009E64B7" w:rsidRPr="00D25FC9" w:rsidRDefault="009E64B7">
            <w:pPr>
              <w:rPr>
                <w:color w:val="000000" w:themeColor="text1"/>
                <w:sz w:val="20"/>
                <w:szCs w:val="20"/>
              </w:rPr>
            </w:pPr>
            <w:r w:rsidRPr="00D25FC9">
              <w:rPr>
                <w:color w:val="000000"/>
                <w:sz w:val="20"/>
                <w:szCs w:val="20"/>
              </w:rPr>
              <w:t> </w:t>
            </w:r>
          </w:p>
        </w:tc>
        <w:tc>
          <w:tcPr>
            <w:tcW w:w="1730" w:type="pct"/>
            <w:tcBorders>
              <w:top w:val="single" w:sz="4" w:space="0" w:color="auto"/>
              <w:left w:val="nil"/>
              <w:bottom w:val="nil"/>
              <w:right w:val="single" w:sz="4" w:space="0" w:color="auto"/>
            </w:tcBorders>
            <w:shd w:val="clear" w:color="auto" w:fill="auto"/>
            <w:noWrap/>
            <w:vAlign w:val="bottom"/>
            <w:hideMark/>
          </w:tcPr>
          <w:p w14:paraId="4D99F7A9" w14:textId="77777777" w:rsidR="009E64B7" w:rsidRPr="00D25FC9" w:rsidRDefault="009E64B7">
            <w:pPr>
              <w:jc w:val="right"/>
              <w:rPr>
                <w:color w:val="000000"/>
                <w:sz w:val="20"/>
                <w:szCs w:val="20"/>
              </w:rPr>
            </w:pPr>
            <w:r w:rsidRPr="00D25FC9">
              <w:rPr>
                <w:color w:val="000000"/>
                <w:sz w:val="20"/>
                <w:szCs w:val="20"/>
              </w:rPr>
              <w:t>From Exhibit 6.1</w:t>
            </w:r>
          </w:p>
        </w:tc>
      </w:tr>
      <w:tr w:rsidR="00D85D0A" w:rsidRPr="00C77927" w14:paraId="57C90FBE" w14:textId="77777777" w:rsidTr="00D25FC9">
        <w:trPr>
          <w:trHeight w:val="288"/>
        </w:trPr>
        <w:tc>
          <w:tcPr>
            <w:tcW w:w="1586" w:type="pct"/>
            <w:tcBorders>
              <w:top w:val="nil"/>
              <w:left w:val="single" w:sz="4" w:space="0" w:color="auto"/>
              <w:bottom w:val="single" w:sz="4" w:space="0" w:color="auto"/>
              <w:right w:val="nil"/>
            </w:tcBorders>
            <w:shd w:val="clear" w:color="auto" w:fill="auto"/>
            <w:noWrap/>
            <w:vAlign w:val="bottom"/>
            <w:hideMark/>
          </w:tcPr>
          <w:p w14:paraId="06BD4201" w14:textId="77777777" w:rsidR="009E64B7" w:rsidRPr="00D25FC9" w:rsidRDefault="009E64B7">
            <w:pPr>
              <w:rPr>
                <w:color w:val="000000"/>
                <w:sz w:val="20"/>
                <w:szCs w:val="20"/>
              </w:rPr>
            </w:pPr>
            <w:r w:rsidRPr="00D25FC9">
              <w:rPr>
                <w:color w:val="000000"/>
                <w:sz w:val="20"/>
                <w:szCs w:val="20"/>
              </w:rPr>
              <w:t>Total Annual Responses</w:t>
            </w:r>
          </w:p>
        </w:tc>
        <w:tc>
          <w:tcPr>
            <w:tcW w:w="722" w:type="pct"/>
            <w:tcBorders>
              <w:top w:val="single" w:sz="4" w:space="0" w:color="auto"/>
              <w:left w:val="single" w:sz="4" w:space="0" w:color="auto"/>
              <w:bottom w:val="single" w:sz="4" w:space="0" w:color="auto"/>
              <w:right w:val="nil"/>
            </w:tcBorders>
            <w:shd w:val="clear" w:color="auto" w:fill="auto"/>
            <w:noWrap/>
            <w:vAlign w:val="bottom"/>
            <w:hideMark/>
          </w:tcPr>
          <w:p w14:paraId="2599D9D6" w14:textId="071DD733" w:rsidR="009E64B7" w:rsidRPr="00D25FC9" w:rsidRDefault="00B954A0">
            <w:pPr>
              <w:jc w:val="right"/>
              <w:rPr>
                <w:color w:val="000000" w:themeColor="text1"/>
                <w:sz w:val="20"/>
                <w:szCs w:val="20"/>
              </w:rPr>
            </w:pPr>
            <w:r>
              <w:rPr>
                <w:color w:val="000000"/>
                <w:sz w:val="20"/>
                <w:szCs w:val="20"/>
              </w:rPr>
              <w:t>9,</w:t>
            </w:r>
            <w:r w:rsidR="00C818E3">
              <w:rPr>
                <w:color w:val="000000"/>
                <w:sz w:val="20"/>
                <w:szCs w:val="20"/>
              </w:rPr>
              <w:t>853,129</w:t>
            </w:r>
          </w:p>
        </w:tc>
        <w:tc>
          <w:tcPr>
            <w:tcW w:w="144" w:type="pct"/>
            <w:tcBorders>
              <w:top w:val="single" w:sz="4" w:space="0" w:color="auto"/>
              <w:left w:val="nil"/>
              <w:bottom w:val="single" w:sz="4" w:space="0" w:color="auto"/>
              <w:right w:val="nil"/>
            </w:tcBorders>
            <w:shd w:val="clear" w:color="auto" w:fill="auto"/>
            <w:noWrap/>
            <w:vAlign w:val="bottom"/>
            <w:hideMark/>
          </w:tcPr>
          <w:p w14:paraId="1A46A66F" w14:textId="77777777" w:rsidR="009E64B7" w:rsidRPr="00D25FC9" w:rsidRDefault="009E64B7">
            <w:pPr>
              <w:rPr>
                <w:color w:val="000000" w:themeColor="text1"/>
                <w:sz w:val="20"/>
                <w:szCs w:val="20"/>
              </w:rPr>
            </w:pPr>
            <w:r w:rsidRPr="00D25FC9">
              <w:rPr>
                <w:color w:val="000000"/>
                <w:sz w:val="20"/>
                <w:szCs w:val="20"/>
              </w:rPr>
              <w:t> </w:t>
            </w:r>
          </w:p>
        </w:tc>
        <w:tc>
          <w:tcPr>
            <w:tcW w:w="818" w:type="pct"/>
            <w:tcBorders>
              <w:top w:val="single" w:sz="4" w:space="0" w:color="auto"/>
              <w:left w:val="nil"/>
              <w:bottom w:val="single" w:sz="4" w:space="0" w:color="auto"/>
              <w:right w:val="nil"/>
            </w:tcBorders>
            <w:shd w:val="clear" w:color="auto" w:fill="auto"/>
            <w:noWrap/>
            <w:vAlign w:val="bottom"/>
            <w:hideMark/>
          </w:tcPr>
          <w:p w14:paraId="236BB2F0" w14:textId="77777777" w:rsidR="009E64B7" w:rsidRPr="00D25FC9" w:rsidRDefault="009E64B7">
            <w:pPr>
              <w:rPr>
                <w:color w:val="000000" w:themeColor="text1"/>
                <w:sz w:val="20"/>
                <w:szCs w:val="20"/>
              </w:rPr>
            </w:pPr>
            <w:r w:rsidRPr="00D25FC9">
              <w:rPr>
                <w:color w:val="000000"/>
                <w:sz w:val="20"/>
                <w:szCs w:val="20"/>
              </w:rPr>
              <w:t> </w:t>
            </w:r>
          </w:p>
        </w:tc>
        <w:tc>
          <w:tcPr>
            <w:tcW w:w="1730" w:type="pct"/>
            <w:tcBorders>
              <w:top w:val="single" w:sz="4" w:space="0" w:color="auto"/>
              <w:left w:val="nil"/>
              <w:bottom w:val="single" w:sz="4" w:space="0" w:color="auto"/>
              <w:right w:val="single" w:sz="4" w:space="0" w:color="auto"/>
            </w:tcBorders>
            <w:shd w:val="clear" w:color="auto" w:fill="auto"/>
            <w:noWrap/>
            <w:vAlign w:val="bottom"/>
            <w:hideMark/>
          </w:tcPr>
          <w:p w14:paraId="75BC6705" w14:textId="77777777" w:rsidR="009E64B7" w:rsidRPr="00D25FC9" w:rsidRDefault="009E64B7">
            <w:pPr>
              <w:jc w:val="right"/>
              <w:rPr>
                <w:color w:val="000000"/>
                <w:sz w:val="20"/>
                <w:szCs w:val="20"/>
              </w:rPr>
            </w:pPr>
            <w:r w:rsidRPr="00D25FC9">
              <w:rPr>
                <w:color w:val="000000"/>
                <w:sz w:val="20"/>
                <w:szCs w:val="20"/>
              </w:rPr>
              <w:t>From Exhibit 6.1</w:t>
            </w:r>
          </w:p>
        </w:tc>
      </w:tr>
      <w:tr w:rsidR="00D85D0A" w:rsidRPr="00C77927" w14:paraId="4DEA566B" w14:textId="77777777" w:rsidTr="00D25FC9">
        <w:trPr>
          <w:trHeight w:val="288"/>
        </w:trPr>
        <w:tc>
          <w:tcPr>
            <w:tcW w:w="1586" w:type="pct"/>
            <w:vMerge w:val="restart"/>
            <w:tcBorders>
              <w:top w:val="nil"/>
              <w:left w:val="single" w:sz="4" w:space="0" w:color="auto"/>
              <w:bottom w:val="single" w:sz="4" w:space="0" w:color="auto"/>
              <w:right w:val="nil"/>
            </w:tcBorders>
            <w:shd w:val="clear" w:color="auto" w:fill="auto"/>
            <w:noWrap/>
            <w:vAlign w:val="bottom"/>
            <w:hideMark/>
          </w:tcPr>
          <w:p w14:paraId="576DDFA3" w14:textId="77777777" w:rsidR="009E64B7" w:rsidRPr="00D25FC9" w:rsidRDefault="009E64B7">
            <w:pPr>
              <w:rPr>
                <w:color w:val="000000"/>
                <w:sz w:val="20"/>
                <w:szCs w:val="20"/>
              </w:rPr>
            </w:pPr>
            <w:r w:rsidRPr="00D25FC9">
              <w:rPr>
                <w:color w:val="000000"/>
                <w:sz w:val="20"/>
                <w:szCs w:val="20"/>
              </w:rPr>
              <w:t>Number of Responses per Respondent</w:t>
            </w:r>
          </w:p>
        </w:tc>
        <w:tc>
          <w:tcPr>
            <w:tcW w:w="722" w:type="pct"/>
            <w:tcBorders>
              <w:top w:val="nil"/>
              <w:left w:val="single" w:sz="4" w:space="0" w:color="auto"/>
              <w:bottom w:val="nil"/>
              <w:right w:val="nil"/>
            </w:tcBorders>
            <w:shd w:val="clear" w:color="auto" w:fill="auto"/>
            <w:noWrap/>
            <w:vAlign w:val="bottom"/>
            <w:hideMark/>
          </w:tcPr>
          <w:p w14:paraId="2D295478" w14:textId="1ED57B19" w:rsidR="009E64B7" w:rsidRPr="00D25FC9" w:rsidRDefault="007F6DF3">
            <w:pPr>
              <w:jc w:val="right"/>
              <w:rPr>
                <w:color w:val="000000" w:themeColor="text1"/>
                <w:sz w:val="20"/>
                <w:szCs w:val="20"/>
              </w:rPr>
            </w:pPr>
            <w:r>
              <w:rPr>
                <w:color w:val="000000"/>
                <w:sz w:val="20"/>
                <w:szCs w:val="20"/>
              </w:rPr>
              <w:t>7</w:t>
            </w:r>
            <w:r w:rsidR="00C818E3">
              <w:rPr>
                <w:color w:val="000000"/>
                <w:sz w:val="20"/>
                <w:szCs w:val="20"/>
              </w:rPr>
              <w:t>48</w:t>
            </w:r>
          </w:p>
        </w:tc>
        <w:tc>
          <w:tcPr>
            <w:tcW w:w="144" w:type="pct"/>
            <w:tcBorders>
              <w:top w:val="nil"/>
              <w:left w:val="nil"/>
              <w:bottom w:val="nil"/>
              <w:right w:val="nil"/>
            </w:tcBorders>
            <w:shd w:val="clear" w:color="auto" w:fill="auto"/>
            <w:noWrap/>
            <w:vAlign w:val="bottom"/>
            <w:hideMark/>
          </w:tcPr>
          <w:p w14:paraId="259A5AC9" w14:textId="77777777" w:rsidR="009E64B7" w:rsidRPr="00D25FC9" w:rsidRDefault="009E64B7">
            <w:pPr>
              <w:rPr>
                <w:color w:val="000000"/>
                <w:sz w:val="20"/>
                <w:szCs w:val="20"/>
              </w:rPr>
            </w:pPr>
            <w:r w:rsidRPr="00D25FC9">
              <w:rPr>
                <w:color w:val="000000"/>
                <w:sz w:val="20"/>
                <w:szCs w:val="20"/>
              </w:rPr>
              <w:t>=</w:t>
            </w:r>
          </w:p>
        </w:tc>
        <w:tc>
          <w:tcPr>
            <w:tcW w:w="818" w:type="pct"/>
            <w:tcBorders>
              <w:top w:val="nil"/>
              <w:left w:val="nil"/>
              <w:bottom w:val="nil"/>
              <w:right w:val="nil"/>
            </w:tcBorders>
            <w:shd w:val="clear" w:color="auto" w:fill="auto"/>
            <w:noWrap/>
            <w:vAlign w:val="bottom"/>
            <w:hideMark/>
          </w:tcPr>
          <w:p w14:paraId="2D9986AB" w14:textId="79C741D9" w:rsidR="009E64B7" w:rsidRPr="00D25FC9" w:rsidRDefault="00207FB5">
            <w:pPr>
              <w:jc w:val="right"/>
              <w:rPr>
                <w:color w:val="000000" w:themeColor="text1"/>
                <w:sz w:val="20"/>
                <w:szCs w:val="20"/>
              </w:rPr>
            </w:pPr>
            <w:r>
              <w:rPr>
                <w:color w:val="000000"/>
                <w:sz w:val="20"/>
                <w:szCs w:val="20"/>
              </w:rPr>
              <w:t>9,</w:t>
            </w:r>
            <w:r w:rsidR="00C818E3">
              <w:rPr>
                <w:color w:val="000000"/>
                <w:sz w:val="20"/>
                <w:szCs w:val="20"/>
              </w:rPr>
              <w:t>853,129</w:t>
            </w:r>
          </w:p>
        </w:tc>
        <w:tc>
          <w:tcPr>
            <w:tcW w:w="1730" w:type="pct"/>
            <w:tcBorders>
              <w:top w:val="nil"/>
              <w:left w:val="nil"/>
              <w:bottom w:val="nil"/>
              <w:right w:val="single" w:sz="4" w:space="0" w:color="auto"/>
            </w:tcBorders>
            <w:shd w:val="clear" w:color="auto" w:fill="auto"/>
            <w:noWrap/>
            <w:vAlign w:val="bottom"/>
            <w:hideMark/>
          </w:tcPr>
          <w:p w14:paraId="75D02A0E" w14:textId="77777777" w:rsidR="009E64B7" w:rsidRPr="00D25FC9" w:rsidRDefault="009E64B7">
            <w:pPr>
              <w:jc w:val="right"/>
              <w:rPr>
                <w:color w:val="000000"/>
                <w:sz w:val="20"/>
                <w:szCs w:val="20"/>
              </w:rPr>
            </w:pPr>
            <w:r w:rsidRPr="00D25FC9">
              <w:rPr>
                <w:color w:val="000000"/>
                <w:sz w:val="20"/>
                <w:szCs w:val="20"/>
              </w:rPr>
              <w:t>Total annual responses from above /</w:t>
            </w:r>
          </w:p>
        </w:tc>
      </w:tr>
      <w:tr w:rsidR="00D85D0A" w:rsidRPr="00C77927" w14:paraId="67DBCE3E" w14:textId="77777777" w:rsidTr="00D25FC9">
        <w:trPr>
          <w:trHeight w:val="288"/>
        </w:trPr>
        <w:tc>
          <w:tcPr>
            <w:tcW w:w="1586" w:type="pct"/>
            <w:vMerge/>
            <w:tcBorders>
              <w:top w:val="nil"/>
              <w:left w:val="single" w:sz="4" w:space="0" w:color="auto"/>
              <w:bottom w:val="single" w:sz="4" w:space="0" w:color="auto"/>
              <w:right w:val="nil"/>
            </w:tcBorders>
            <w:vAlign w:val="center"/>
            <w:hideMark/>
          </w:tcPr>
          <w:p w14:paraId="3202201D" w14:textId="77777777" w:rsidR="009E64B7" w:rsidRPr="00D25FC9" w:rsidRDefault="009E64B7">
            <w:pPr>
              <w:rPr>
                <w:color w:val="000000"/>
                <w:sz w:val="20"/>
                <w:szCs w:val="20"/>
              </w:rPr>
            </w:pPr>
          </w:p>
        </w:tc>
        <w:tc>
          <w:tcPr>
            <w:tcW w:w="722" w:type="pct"/>
            <w:tcBorders>
              <w:top w:val="nil"/>
              <w:left w:val="single" w:sz="4" w:space="0" w:color="auto"/>
              <w:bottom w:val="nil"/>
              <w:right w:val="nil"/>
            </w:tcBorders>
            <w:shd w:val="clear" w:color="auto" w:fill="auto"/>
            <w:noWrap/>
            <w:vAlign w:val="bottom"/>
            <w:hideMark/>
          </w:tcPr>
          <w:p w14:paraId="1696B8D4" w14:textId="77777777" w:rsidR="009E64B7" w:rsidRPr="00D25FC9" w:rsidRDefault="009E64B7">
            <w:pPr>
              <w:rPr>
                <w:color w:val="000000" w:themeColor="text1"/>
                <w:sz w:val="20"/>
                <w:szCs w:val="20"/>
              </w:rPr>
            </w:pPr>
            <w:r w:rsidRPr="00D25FC9">
              <w:rPr>
                <w:color w:val="000000"/>
                <w:sz w:val="20"/>
                <w:szCs w:val="20"/>
              </w:rPr>
              <w:t> </w:t>
            </w:r>
          </w:p>
        </w:tc>
        <w:tc>
          <w:tcPr>
            <w:tcW w:w="144" w:type="pct"/>
            <w:tcBorders>
              <w:top w:val="nil"/>
              <w:left w:val="nil"/>
              <w:bottom w:val="nil"/>
              <w:right w:val="nil"/>
            </w:tcBorders>
            <w:shd w:val="clear" w:color="auto" w:fill="auto"/>
            <w:noWrap/>
            <w:vAlign w:val="bottom"/>
            <w:hideMark/>
          </w:tcPr>
          <w:p w14:paraId="2F3D4AA6" w14:textId="77777777" w:rsidR="009E64B7" w:rsidRPr="00D25FC9" w:rsidRDefault="009E64B7">
            <w:pPr>
              <w:rPr>
                <w:color w:val="000000"/>
                <w:sz w:val="20"/>
                <w:szCs w:val="20"/>
              </w:rPr>
            </w:pPr>
          </w:p>
        </w:tc>
        <w:tc>
          <w:tcPr>
            <w:tcW w:w="818" w:type="pct"/>
            <w:tcBorders>
              <w:top w:val="nil"/>
              <w:left w:val="nil"/>
              <w:bottom w:val="nil"/>
              <w:right w:val="nil"/>
            </w:tcBorders>
            <w:shd w:val="clear" w:color="auto" w:fill="auto"/>
            <w:noWrap/>
            <w:vAlign w:val="bottom"/>
            <w:hideMark/>
          </w:tcPr>
          <w:p w14:paraId="5D658D88" w14:textId="6CF306D2" w:rsidR="009E64B7" w:rsidRPr="00D25FC9" w:rsidRDefault="008224D8">
            <w:pPr>
              <w:jc w:val="right"/>
              <w:rPr>
                <w:color w:val="000000" w:themeColor="text1"/>
                <w:sz w:val="20"/>
                <w:szCs w:val="20"/>
              </w:rPr>
            </w:pPr>
            <w:r w:rsidRPr="00D25FC9">
              <w:rPr>
                <w:color w:val="000000"/>
                <w:sz w:val="20"/>
                <w:szCs w:val="20"/>
              </w:rPr>
              <w:t>1</w:t>
            </w:r>
            <w:r w:rsidR="00207FB5">
              <w:rPr>
                <w:color w:val="000000"/>
                <w:sz w:val="20"/>
                <w:szCs w:val="20"/>
              </w:rPr>
              <w:t>3,</w:t>
            </w:r>
            <w:r w:rsidR="007F6DF3">
              <w:rPr>
                <w:color w:val="000000"/>
                <w:sz w:val="20"/>
                <w:szCs w:val="20"/>
              </w:rPr>
              <w:t>180</w:t>
            </w:r>
          </w:p>
        </w:tc>
        <w:tc>
          <w:tcPr>
            <w:tcW w:w="1730" w:type="pct"/>
            <w:tcBorders>
              <w:top w:val="nil"/>
              <w:left w:val="nil"/>
              <w:bottom w:val="nil"/>
              <w:right w:val="single" w:sz="4" w:space="0" w:color="auto"/>
            </w:tcBorders>
            <w:shd w:val="clear" w:color="auto" w:fill="auto"/>
            <w:noWrap/>
            <w:vAlign w:val="bottom"/>
            <w:hideMark/>
          </w:tcPr>
          <w:p w14:paraId="1BF38256" w14:textId="77777777" w:rsidR="009E64B7" w:rsidRPr="00D25FC9" w:rsidRDefault="009E64B7">
            <w:pPr>
              <w:jc w:val="right"/>
              <w:rPr>
                <w:color w:val="000000"/>
                <w:sz w:val="20"/>
                <w:szCs w:val="20"/>
              </w:rPr>
            </w:pPr>
            <w:r w:rsidRPr="00D25FC9">
              <w:rPr>
                <w:color w:val="000000"/>
                <w:sz w:val="20"/>
                <w:szCs w:val="20"/>
              </w:rPr>
              <w:t>Total respondents from above</w:t>
            </w:r>
          </w:p>
        </w:tc>
      </w:tr>
      <w:tr w:rsidR="00D85D0A" w:rsidRPr="00C77927" w14:paraId="1BCB251F" w14:textId="77777777" w:rsidTr="00D25FC9">
        <w:trPr>
          <w:trHeight w:val="288"/>
        </w:trPr>
        <w:tc>
          <w:tcPr>
            <w:tcW w:w="1586" w:type="pct"/>
            <w:tcBorders>
              <w:top w:val="nil"/>
              <w:left w:val="single" w:sz="4" w:space="0" w:color="auto"/>
              <w:bottom w:val="single" w:sz="4" w:space="0" w:color="auto"/>
              <w:right w:val="nil"/>
            </w:tcBorders>
            <w:shd w:val="clear" w:color="auto" w:fill="auto"/>
            <w:noWrap/>
            <w:vAlign w:val="bottom"/>
            <w:hideMark/>
          </w:tcPr>
          <w:p w14:paraId="768418C8" w14:textId="77777777" w:rsidR="009E64B7" w:rsidRPr="00D25FC9" w:rsidRDefault="009E64B7">
            <w:pPr>
              <w:rPr>
                <w:color w:val="000000"/>
                <w:sz w:val="20"/>
                <w:szCs w:val="20"/>
              </w:rPr>
            </w:pPr>
            <w:r w:rsidRPr="00D25FC9">
              <w:rPr>
                <w:color w:val="000000"/>
                <w:sz w:val="20"/>
                <w:szCs w:val="20"/>
              </w:rPr>
              <w:t>Total Respondent Hours</w:t>
            </w:r>
          </w:p>
        </w:tc>
        <w:tc>
          <w:tcPr>
            <w:tcW w:w="722" w:type="pct"/>
            <w:tcBorders>
              <w:top w:val="single" w:sz="4" w:space="0" w:color="auto"/>
              <w:left w:val="single" w:sz="4" w:space="0" w:color="auto"/>
              <w:bottom w:val="single" w:sz="4" w:space="0" w:color="auto"/>
              <w:right w:val="nil"/>
            </w:tcBorders>
            <w:shd w:val="clear" w:color="auto" w:fill="auto"/>
            <w:noWrap/>
            <w:vAlign w:val="bottom"/>
            <w:hideMark/>
          </w:tcPr>
          <w:p w14:paraId="44B79EF3" w14:textId="2B028D08" w:rsidR="009E64B7" w:rsidRPr="00D25FC9" w:rsidRDefault="008224D8">
            <w:pPr>
              <w:jc w:val="right"/>
              <w:rPr>
                <w:color w:val="000000" w:themeColor="text1"/>
                <w:sz w:val="20"/>
                <w:szCs w:val="20"/>
              </w:rPr>
            </w:pPr>
            <w:r w:rsidRPr="00D25FC9">
              <w:rPr>
                <w:color w:val="000000"/>
                <w:sz w:val="20"/>
                <w:szCs w:val="20"/>
              </w:rPr>
              <w:t>7</w:t>
            </w:r>
            <w:r w:rsidR="00207FB5">
              <w:rPr>
                <w:color w:val="000000"/>
                <w:sz w:val="20"/>
                <w:szCs w:val="20"/>
              </w:rPr>
              <w:t>4</w:t>
            </w:r>
            <w:r w:rsidR="00A52737">
              <w:rPr>
                <w:color w:val="000000"/>
                <w:sz w:val="20"/>
                <w:szCs w:val="20"/>
              </w:rPr>
              <w:t>0,012</w:t>
            </w:r>
          </w:p>
        </w:tc>
        <w:tc>
          <w:tcPr>
            <w:tcW w:w="144" w:type="pct"/>
            <w:tcBorders>
              <w:top w:val="single" w:sz="4" w:space="0" w:color="auto"/>
              <w:left w:val="nil"/>
              <w:bottom w:val="single" w:sz="4" w:space="0" w:color="auto"/>
              <w:right w:val="nil"/>
            </w:tcBorders>
            <w:shd w:val="clear" w:color="auto" w:fill="auto"/>
            <w:noWrap/>
            <w:vAlign w:val="bottom"/>
            <w:hideMark/>
          </w:tcPr>
          <w:p w14:paraId="5359B880" w14:textId="77777777" w:rsidR="009E64B7" w:rsidRPr="00D25FC9" w:rsidRDefault="009E64B7">
            <w:pPr>
              <w:rPr>
                <w:color w:val="000000" w:themeColor="text1"/>
                <w:sz w:val="20"/>
                <w:szCs w:val="20"/>
              </w:rPr>
            </w:pPr>
            <w:r w:rsidRPr="00D25FC9">
              <w:rPr>
                <w:color w:val="000000"/>
                <w:sz w:val="20"/>
                <w:szCs w:val="20"/>
              </w:rPr>
              <w:t> </w:t>
            </w:r>
          </w:p>
        </w:tc>
        <w:tc>
          <w:tcPr>
            <w:tcW w:w="818" w:type="pct"/>
            <w:tcBorders>
              <w:top w:val="single" w:sz="4" w:space="0" w:color="auto"/>
              <w:left w:val="nil"/>
              <w:bottom w:val="single" w:sz="4" w:space="0" w:color="auto"/>
              <w:right w:val="nil"/>
            </w:tcBorders>
            <w:shd w:val="clear" w:color="auto" w:fill="auto"/>
            <w:noWrap/>
            <w:vAlign w:val="bottom"/>
            <w:hideMark/>
          </w:tcPr>
          <w:p w14:paraId="3407F9BE" w14:textId="77777777" w:rsidR="009E64B7" w:rsidRPr="00D25FC9" w:rsidRDefault="009E64B7">
            <w:pPr>
              <w:rPr>
                <w:color w:val="000000" w:themeColor="text1"/>
                <w:sz w:val="20"/>
                <w:szCs w:val="20"/>
              </w:rPr>
            </w:pPr>
            <w:r w:rsidRPr="00D25FC9">
              <w:rPr>
                <w:color w:val="000000"/>
                <w:sz w:val="20"/>
                <w:szCs w:val="20"/>
              </w:rPr>
              <w:t> </w:t>
            </w:r>
          </w:p>
        </w:tc>
        <w:tc>
          <w:tcPr>
            <w:tcW w:w="1730" w:type="pct"/>
            <w:tcBorders>
              <w:top w:val="single" w:sz="4" w:space="0" w:color="auto"/>
              <w:left w:val="nil"/>
              <w:bottom w:val="single" w:sz="4" w:space="0" w:color="auto"/>
              <w:right w:val="single" w:sz="4" w:space="0" w:color="auto"/>
            </w:tcBorders>
            <w:shd w:val="clear" w:color="auto" w:fill="auto"/>
            <w:noWrap/>
            <w:vAlign w:val="bottom"/>
            <w:hideMark/>
          </w:tcPr>
          <w:p w14:paraId="3104AF70" w14:textId="77777777" w:rsidR="009E64B7" w:rsidRPr="00D25FC9" w:rsidRDefault="009E64B7">
            <w:pPr>
              <w:jc w:val="right"/>
              <w:rPr>
                <w:color w:val="000000"/>
                <w:sz w:val="20"/>
                <w:szCs w:val="20"/>
              </w:rPr>
            </w:pPr>
            <w:r w:rsidRPr="00D25FC9">
              <w:rPr>
                <w:color w:val="000000"/>
                <w:sz w:val="20"/>
                <w:szCs w:val="20"/>
              </w:rPr>
              <w:t>From Exhibit 6.1</w:t>
            </w:r>
          </w:p>
        </w:tc>
      </w:tr>
      <w:tr w:rsidR="00D85D0A" w:rsidRPr="00C77927" w14:paraId="04D1FA7F" w14:textId="77777777" w:rsidTr="00D25FC9">
        <w:trPr>
          <w:trHeight w:val="288"/>
        </w:trPr>
        <w:tc>
          <w:tcPr>
            <w:tcW w:w="1586" w:type="pct"/>
            <w:vMerge w:val="restart"/>
            <w:tcBorders>
              <w:top w:val="nil"/>
              <w:left w:val="single" w:sz="4" w:space="0" w:color="auto"/>
              <w:bottom w:val="single" w:sz="4" w:space="0" w:color="000000" w:themeColor="text1"/>
              <w:right w:val="nil"/>
            </w:tcBorders>
            <w:shd w:val="clear" w:color="auto" w:fill="auto"/>
            <w:noWrap/>
            <w:vAlign w:val="bottom"/>
            <w:hideMark/>
          </w:tcPr>
          <w:p w14:paraId="5B5BCA09" w14:textId="77777777" w:rsidR="009E64B7" w:rsidRPr="00D25FC9" w:rsidRDefault="009E64B7">
            <w:pPr>
              <w:rPr>
                <w:color w:val="000000"/>
                <w:sz w:val="20"/>
                <w:szCs w:val="20"/>
              </w:rPr>
            </w:pPr>
            <w:r w:rsidRPr="00D25FC9">
              <w:rPr>
                <w:color w:val="000000"/>
                <w:sz w:val="20"/>
                <w:szCs w:val="20"/>
              </w:rPr>
              <w:t>Hours per Response</w:t>
            </w:r>
          </w:p>
        </w:tc>
        <w:tc>
          <w:tcPr>
            <w:tcW w:w="722" w:type="pct"/>
            <w:tcBorders>
              <w:top w:val="nil"/>
              <w:left w:val="single" w:sz="4" w:space="0" w:color="auto"/>
              <w:bottom w:val="nil"/>
              <w:right w:val="nil"/>
            </w:tcBorders>
            <w:shd w:val="clear" w:color="auto" w:fill="auto"/>
            <w:noWrap/>
            <w:vAlign w:val="bottom"/>
            <w:hideMark/>
          </w:tcPr>
          <w:p w14:paraId="6B62A8D0" w14:textId="5D50F723" w:rsidR="009E64B7" w:rsidRPr="00D25FC9" w:rsidRDefault="006E2935">
            <w:pPr>
              <w:jc w:val="right"/>
              <w:rPr>
                <w:color w:val="000000" w:themeColor="text1"/>
                <w:sz w:val="20"/>
                <w:szCs w:val="20"/>
              </w:rPr>
            </w:pPr>
            <w:r w:rsidRPr="00D25FC9">
              <w:rPr>
                <w:color w:val="000000"/>
                <w:sz w:val="20"/>
                <w:szCs w:val="20"/>
              </w:rPr>
              <w:t>0.</w:t>
            </w:r>
            <w:r w:rsidR="006D6E12">
              <w:rPr>
                <w:color w:val="000000"/>
                <w:sz w:val="20"/>
                <w:szCs w:val="20"/>
              </w:rPr>
              <w:t>08</w:t>
            </w:r>
          </w:p>
        </w:tc>
        <w:tc>
          <w:tcPr>
            <w:tcW w:w="144" w:type="pct"/>
            <w:tcBorders>
              <w:top w:val="nil"/>
              <w:left w:val="nil"/>
              <w:bottom w:val="nil"/>
              <w:right w:val="nil"/>
            </w:tcBorders>
            <w:shd w:val="clear" w:color="auto" w:fill="auto"/>
            <w:noWrap/>
            <w:vAlign w:val="bottom"/>
            <w:hideMark/>
          </w:tcPr>
          <w:p w14:paraId="42F322D5" w14:textId="77777777" w:rsidR="009E64B7" w:rsidRPr="00D25FC9" w:rsidRDefault="009E64B7">
            <w:pPr>
              <w:rPr>
                <w:color w:val="000000"/>
                <w:sz w:val="20"/>
                <w:szCs w:val="20"/>
              </w:rPr>
            </w:pPr>
            <w:r w:rsidRPr="00D25FC9">
              <w:rPr>
                <w:color w:val="000000"/>
                <w:sz w:val="20"/>
                <w:szCs w:val="20"/>
              </w:rPr>
              <w:t>=</w:t>
            </w:r>
          </w:p>
        </w:tc>
        <w:tc>
          <w:tcPr>
            <w:tcW w:w="818" w:type="pct"/>
            <w:tcBorders>
              <w:top w:val="nil"/>
              <w:left w:val="nil"/>
              <w:bottom w:val="nil"/>
              <w:right w:val="nil"/>
            </w:tcBorders>
            <w:shd w:val="clear" w:color="auto" w:fill="auto"/>
            <w:noWrap/>
            <w:vAlign w:val="bottom"/>
            <w:hideMark/>
          </w:tcPr>
          <w:p w14:paraId="048C152E" w14:textId="770EBF47" w:rsidR="009E64B7" w:rsidRPr="00D25FC9" w:rsidRDefault="008224D8">
            <w:pPr>
              <w:jc w:val="right"/>
              <w:rPr>
                <w:color w:val="000000" w:themeColor="text1"/>
                <w:sz w:val="20"/>
                <w:szCs w:val="20"/>
              </w:rPr>
            </w:pPr>
            <w:r w:rsidRPr="00D25FC9">
              <w:rPr>
                <w:color w:val="000000"/>
                <w:sz w:val="20"/>
                <w:szCs w:val="20"/>
              </w:rPr>
              <w:t>7</w:t>
            </w:r>
            <w:r w:rsidR="00207FB5">
              <w:rPr>
                <w:color w:val="000000"/>
                <w:sz w:val="20"/>
                <w:szCs w:val="20"/>
              </w:rPr>
              <w:t>4</w:t>
            </w:r>
            <w:r w:rsidR="00A52737">
              <w:rPr>
                <w:color w:val="000000"/>
                <w:sz w:val="20"/>
                <w:szCs w:val="20"/>
              </w:rPr>
              <w:t>0,012</w:t>
            </w:r>
          </w:p>
        </w:tc>
        <w:tc>
          <w:tcPr>
            <w:tcW w:w="1730" w:type="pct"/>
            <w:tcBorders>
              <w:top w:val="nil"/>
              <w:left w:val="nil"/>
              <w:bottom w:val="nil"/>
              <w:right w:val="single" w:sz="4" w:space="0" w:color="auto"/>
            </w:tcBorders>
            <w:shd w:val="clear" w:color="auto" w:fill="auto"/>
            <w:noWrap/>
            <w:vAlign w:val="bottom"/>
            <w:hideMark/>
          </w:tcPr>
          <w:p w14:paraId="0D154A59" w14:textId="77777777" w:rsidR="009E64B7" w:rsidRPr="00D25FC9" w:rsidRDefault="009E64B7">
            <w:pPr>
              <w:jc w:val="right"/>
              <w:rPr>
                <w:color w:val="000000"/>
                <w:sz w:val="20"/>
                <w:szCs w:val="20"/>
              </w:rPr>
            </w:pPr>
            <w:r w:rsidRPr="00D25FC9">
              <w:rPr>
                <w:color w:val="000000"/>
                <w:sz w:val="20"/>
                <w:szCs w:val="20"/>
              </w:rPr>
              <w:t>Total annual hours from above /</w:t>
            </w:r>
          </w:p>
        </w:tc>
      </w:tr>
      <w:tr w:rsidR="00D85D0A" w:rsidRPr="00C77927" w14:paraId="69CB7A04" w14:textId="77777777" w:rsidTr="00D25FC9">
        <w:trPr>
          <w:trHeight w:val="288"/>
        </w:trPr>
        <w:tc>
          <w:tcPr>
            <w:tcW w:w="1586" w:type="pct"/>
            <w:vMerge/>
            <w:tcBorders>
              <w:top w:val="nil"/>
              <w:left w:val="single" w:sz="4" w:space="0" w:color="auto"/>
              <w:bottom w:val="single" w:sz="4" w:space="0" w:color="000000"/>
              <w:right w:val="nil"/>
            </w:tcBorders>
            <w:vAlign w:val="center"/>
            <w:hideMark/>
          </w:tcPr>
          <w:p w14:paraId="06839C87" w14:textId="77777777" w:rsidR="009E64B7" w:rsidRPr="00D25FC9" w:rsidRDefault="009E64B7">
            <w:pPr>
              <w:rPr>
                <w:color w:val="000000"/>
                <w:sz w:val="20"/>
                <w:szCs w:val="20"/>
              </w:rPr>
            </w:pPr>
          </w:p>
        </w:tc>
        <w:tc>
          <w:tcPr>
            <w:tcW w:w="722" w:type="pct"/>
            <w:tcBorders>
              <w:top w:val="nil"/>
              <w:left w:val="single" w:sz="4" w:space="0" w:color="auto"/>
              <w:bottom w:val="single" w:sz="4" w:space="0" w:color="auto"/>
              <w:right w:val="nil"/>
            </w:tcBorders>
            <w:shd w:val="clear" w:color="auto" w:fill="auto"/>
            <w:noWrap/>
            <w:vAlign w:val="bottom"/>
            <w:hideMark/>
          </w:tcPr>
          <w:p w14:paraId="021897FA" w14:textId="77777777" w:rsidR="009E64B7" w:rsidRPr="00D25FC9" w:rsidRDefault="009E64B7">
            <w:pPr>
              <w:rPr>
                <w:color w:val="000000" w:themeColor="text1"/>
                <w:sz w:val="20"/>
                <w:szCs w:val="20"/>
              </w:rPr>
            </w:pPr>
            <w:r w:rsidRPr="00D25FC9">
              <w:rPr>
                <w:color w:val="000000"/>
                <w:sz w:val="20"/>
                <w:szCs w:val="20"/>
              </w:rPr>
              <w:t> </w:t>
            </w:r>
          </w:p>
        </w:tc>
        <w:tc>
          <w:tcPr>
            <w:tcW w:w="144" w:type="pct"/>
            <w:tcBorders>
              <w:top w:val="nil"/>
              <w:left w:val="nil"/>
              <w:bottom w:val="single" w:sz="4" w:space="0" w:color="auto"/>
              <w:right w:val="nil"/>
            </w:tcBorders>
            <w:shd w:val="clear" w:color="auto" w:fill="auto"/>
            <w:noWrap/>
            <w:vAlign w:val="bottom"/>
            <w:hideMark/>
          </w:tcPr>
          <w:p w14:paraId="048AF664" w14:textId="77777777" w:rsidR="009E64B7" w:rsidRPr="00D25FC9" w:rsidRDefault="009E64B7">
            <w:pPr>
              <w:rPr>
                <w:color w:val="000000" w:themeColor="text1"/>
                <w:sz w:val="20"/>
                <w:szCs w:val="20"/>
              </w:rPr>
            </w:pPr>
            <w:r w:rsidRPr="00D25FC9">
              <w:rPr>
                <w:color w:val="000000"/>
                <w:sz w:val="20"/>
                <w:szCs w:val="20"/>
              </w:rPr>
              <w:t> </w:t>
            </w:r>
          </w:p>
        </w:tc>
        <w:tc>
          <w:tcPr>
            <w:tcW w:w="818" w:type="pct"/>
            <w:tcBorders>
              <w:top w:val="nil"/>
              <w:left w:val="nil"/>
              <w:bottom w:val="single" w:sz="4" w:space="0" w:color="auto"/>
              <w:right w:val="nil"/>
            </w:tcBorders>
            <w:shd w:val="clear" w:color="auto" w:fill="auto"/>
            <w:noWrap/>
            <w:vAlign w:val="bottom"/>
            <w:hideMark/>
          </w:tcPr>
          <w:p w14:paraId="621B0005" w14:textId="0E87ACAA" w:rsidR="009E64B7" w:rsidRPr="00D25FC9" w:rsidRDefault="00911D43">
            <w:pPr>
              <w:jc w:val="right"/>
              <w:rPr>
                <w:color w:val="000000" w:themeColor="text1"/>
                <w:sz w:val="20"/>
                <w:szCs w:val="20"/>
              </w:rPr>
            </w:pPr>
            <w:r>
              <w:rPr>
                <w:color w:val="000000"/>
                <w:sz w:val="20"/>
                <w:szCs w:val="20"/>
              </w:rPr>
              <w:t>9,</w:t>
            </w:r>
            <w:r w:rsidR="005A2F1B">
              <w:rPr>
                <w:color w:val="000000"/>
                <w:sz w:val="20"/>
                <w:szCs w:val="20"/>
              </w:rPr>
              <w:t>853</w:t>
            </w:r>
            <w:r w:rsidR="00A52737">
              <w:rPr>
                <w:color w:val="000000"/>
                <w:sz w:val="20"/>
                <w:szCs w:val="20"/>
              </w:rPr>
              <w:t>,</w:t>
            </w:r>
            <w:r w:rsidR="005A2F1B">
              <w:rPr>
                <w:color w:val="000000"/>
                <w:sz w:val="20"/>
                <w:szCs w:val="20"/>
              </w:rPr>
              <w:t>129</w:t>
            </w:r>
          </w:p>
        </w:tc>
        <w:tc>
          <w:tcPr>
            <w:tcW w:w="1730" w:type="pct"/>
            <w:tcBorders>
              <w:top w:val="nil"/>
              <w:left w:val="nil"/>
              <w:bottom w:val="single" w:sz="4" w:space="0" w:color="auto"/>
              <w:right w:val="single" w:sz="4" w:space="0" w:color="auto"/>
            </w:tcBorders>
            <w:shd w:val="clear" w:color="auto" w:fill="auto"/>
            <w:noWrap/>
            <w:vAlign w:val="bottom"/>
            <w:hideMark/>
          </w:tcPr>
          <w:p w14:paraId="40DC984C" w14:textId="77777777" w:rsidR="009E64B7" w:rsidRPr="00D25FC9" w:rsidRDefault="009E64B7">
            <w:pPr>
              <w:jc w:val="right"/>
              <w:rPr>
                <w:color w:val="000000"/>
                <w:sz w:val="20"/>
                <w:szCs w:val="20"/>
              </w:rPr>
            </w:pPr>
            <w:r w:rsidRPr="00D25FC9">
              <w:rPr>
                <w:color w:val="000000"/>
                <w:sz w:val="20"/>
                <w:szCs w:val="20"/>
              </w:rPr>
              <w:t>Total responses from above</w:t>
            </w:r>
          </w:p>
        </w:tc>
      </w:tr>
      <w:tr w:rsidR="003256F7" w:rsidRPr="00C77927" w14:paraId="19B78346" w14:textId="77777777" w:rsidTr="00D25FC9">
        <w:trPr>
          <w:trHeight w:val="288"/>
        </w:trPr>
        <w:tc>
          <w:tcPr>
            <w:tcW w:w="1586" w:type="pct"/>
            <w:tcBorders>
              <w:top w:val="nil"/>
              <w:left w:val="single" w:sz="4" w:space="0" w:color="auto"/>
              <w:bottom w:val="single" w:sz="4" w:space="0" w:color="auto"/>
              <w:right w:val="nil"/>
            </w:tcBorders>
            <w:shd w:val="clear" w:color="auto" w:fill="auto"/>
            <w:noWrap/>
            <w:vAlign w:val="bottom"/>
          </w:tcPr>
          <w:p w14:paraId="0AF187BF" w14:textId="3F30AA88" w:rsidR="003256F7" w:rsidRPr="00D25FC9" w:rsidRDefault="003256F7">
            <w:pPr>
              <w:rPr>
                <w:color w:val="000000"/>
                <w:sz w:val="20"/>
                <w:szCs w:val="20"/>
              </w:rPr>
            </w:pPr>
            <w:r w:rsidRPr="00D25FC9">
              <w:rPr>
                <w:color w:val="000000"/>
                <w:sz w:val="20"/>
                <w:szCs w:val="20"/>
              </w:rPr>
              <w:t xml:space="preserve">Total </w:t>
            </w:r>
            <w:r w:rsidR="00957594">
              <w:rPr>
                <w:color w:val="000000"/>
                <w:sz w:val="20"/>
                <w:szCs w:val="20"/>
              </w:rPr>
              <w:t xml:space="preserve">Respondent </w:t>
            </w:r>
            <w:r w:rsidRPr="00D25FC9">
              <w:rPr>
                <w:color w:val="000000"/>
                <w:sz w:val="20"/>
                <w:szCs w:val="20"/>
              </w:rPr>
              <w:t>Labor Costs</w:t>
            </w:r>
          </w:p>
        </w:tc>
        <w:tc>
          <w:tcPr>
            <w:tcW w:w="722" w:type="pct"/>
            <w:tcBorders>
              <w:top w:val="single" w:sz="4" w:space="0" w:color="auto"/>
              <w:left w:val="single" w:sz="4" w:space="0" w:color="auto"/>
              <w:bottom w:val="single" w:sz="4" w:space="0" w:color="auto"/>
              <w:right w:val="nil"/>
            </w:tcBorders>
            <w:shd w:val="clear" w:color="auto" w:fill="auto"/>
            <w:noWrap/>
            <w:vAlign w:val="bottom"/>
          </w:tcPr>
          <w:p w14:paraId="6EF1723E" w14:textId="004AAEBA" w:rsidR="003256F7" w:rsidRPr="00D25FC9" w:rsidRDefault="008224D8">
            <w:pPr>
              <w:jc w:val="right"/>
              <w:rPr>
                <w:color w:val="000000" w:themeColor="text1"/>
                <w:sz w:val="20"/>
                <w:szCs w:val="20"/>
              </w:rPr>
            </w:pPr>
            <w:r w:rsidRPr="00D25FC9">
              <w:rPr>
                <w:color w:val="000000"/>
                <w:sz w:val="20"/>
                <w:szCs w:val="20"/>
              </w:rPr>
              <w:t>5</w:t>
            </w:r>
            <w:r w:rsidR="00911D43">
              <w:rPr>
                <w:color w:val="000000"/>
                <w:sz w:val="20"/>
                <w:szCs w:val="20"/>
              </w:rPr>
              <w:t>8,</w:t>
            </w:r>
            <w:r w:rsidR="00A52737">
              <w:rPr>
                <w:color w:val="000000"/>
                <w:sz w:val="20"/>
                <w:szCs w:val="20"/>
              </w:rPr>
              <w:t>419,314</w:t>
            </w:r>
          </w:p>
        </w:tc>
        <w:tc>
          <w:tcPr>
            <w:tcW w:w="144" w:type="pct"/>
            <w:tcBorders>
              <w:top w:val="single" w:sz="4" w:space="0" w:color="auto"/>
              <w:left w:val="nil"/>
              <w:bottom w:val="single" w:sz="4" w:space="0" w:color="auto"/>
              <w:right w:val="nil"/>
            </w:tcBorders>
            <w:shd w:val="clear" w:color="auto" w:fill="auto"/>
            <w:noWrap/>
            <w:vAlign w:val="bottom"/>
          </w:tcPr>
          <w:p w14:paraId="3FB895C8" w14:textId="77777777" w:rsidR="003256F7" w:rsidRPr="00D25FC9" w:rsidRDefault="003256F7">
            <w:pPr>
              <w:jc w:val="right"/>
              <w:rPr>
                <w:color w:val="000000"/>
                <w:sz w:val="20"/>
                <w:szCs w:val="20"/>
              </w:rPr>
            </w:pPr>
          </w:p>
        </w:tc>
        <w:tc>
          <w:tcPr>
            <w:tcW w:w="818" w:type="pct"/>
            <w:tcBorders>
              <w:top w:val="single" w:sz="4" w:space="0" w:color="auto"/>
              <w:left w:val="nil"/>
              <w:bottom w:val="single" w:sz="4" w:space="0" w:color="auto"/>
              <w:right w:val="nil"/>
            </w:tcBorders>
            <w:shd w:val="clear" w:color="auto" w:fill="auto"/>
            <w:noWrap/>
            <w:vAlign w:val="bottom"/>
          </w:tcPr>
          <w:p w14:paraId="2756EACE" w14:textId="77777777" w:rsidR="003256F7" w:rsidRPr="00D25FC9" w:rsidRDefault="003256F7">
            <w:pPr>
              <w:rPr>
                <w:sz w:val="20"/>
                <w:szCs w:val="20"/>
              </w:rPr>
            </w:pPr>
          </w:p>
        </w:tc>
        <w:tc>
          <w:tcPr>
            <w:tcW w:w="1730" w:type="pct"/>
            <w:tcBorders>
              <w:top w:val="single" w:sz="4" w:space="0" w:color="auto"/>
              <w:left w:val="nil"/>
              <w:bottom w:val="single" w:sz="4" w:space="0" w:color="auto"/>
              <w:right w:val="single" w:sz="4" w:space="0" w:color="auto"/>
            </w:tcBorders>
            <w:shd w:val="clear" w:color="auto" w:fill="auto"/>
            <w:noWrap/>
            <w:vAlign w:val="bottom"/>
          </w:tcPr>
          <w:p w14:paraId="4C7AAFCF" w14:textId="21954216" w:rsidR="003256F7" w:rsidRPr="00D25FC9" w:rsidRDefault="003256F7">
            <w:pPr>
              <w:jc w:val="right"/>
              <w:rPr>
                <w:color w:val="000000"/>
                <w:sz w:val="20"/>
                <w:szCs w:val="20"/>
              </w:rPr>
            </w:pPr>
            <w:r w:rsidRPr="00D25FC9">
              <w:rPr>
                <w:color w:val="000000"/>
                <w:sz w:val="20"/>
                <w:szCs w:val="20"/>
              </w:rPr>
              <w:t>From Exhibit 6.1</w:t>
            </w:r>
          </w:p>
        </w:tc>
      </w:tr>
      <w:tr w:rsidR="00D85D0A" w:rsidRPr="00C77927" w14:paraId="4CCFB9E6" w14:textId="77777777" w:rsidTr="00D25FC9">
        <w:trPr>
          <w:trHeight w:val="288"/>
        </w:trPr>
        <w:tc>
          <w:tcPr>
            <w:tcW w:w="1586" w:type="pct"/>
            <w:tcBorders>
              <w:top w:val="nil"/>
              <w:left w:val="single" w:sz="4" w:space="0" w:color="auto"/>
              <w:bottom w:val="single" w:sz="4" w:space="0" w:color="auto"/>
              <w:right w:val="nil"/>
            </w:tcBorders>
            <w:shd w:val="clear" w:color="auto" w:fill="auto"/>
            <w:noWrap/>
            <w:vAlign w:val="bottom"/>
            <w:hideMark/>
          </w:tcPr>
          <w:p w14:paraId="3E14E690" w14:textId="4134C7D9" w:rsidR="009E64B7" w:rsidRPr="00D25FC9" w:rsidRDefault="009E64B7">
            <w:pPr>
              <w:rPr>
                <w:color w:val="000000"/>
                <w:sz w:val="20"/>
                <w:szCs w:val="20"/>
              </w:rPr>
            </w:pPr>
            <w:r w:rsidRPr="00D25FC9">
              <w:rPr>
                <w:color w:val="000000"/>
                <w:sz w:val="20"/>
                <w:szCs w:val="20"/>
              </w:rPr>
              <w:t>Annual</w:t>
            </w:r>
            <w:r w:rsidR="00957594">
              <w:rPr>
                <w:color w:val="000000"/>
                <w:sz w:val="20"/>
                <w:szCs w:val="20"/>
              </w:rPr>
              <w:t xml:space="preserve"> Respondent</w:t>
            </w:r>
            <w:r w:rsidRPr="00D25FC9">
              <w:rPr>
                <w:color w:val="000000"/>
                <w:sz w:val="20"/>
                <w:szCs w:val="20"/>
              </w:rPr>
              <w:t xml:space="preserve"> O&amp;M and Capital Cost</w:t>
            </w:r>
          </w:p>
        </w:tc>
        <w:tc>
          <w:tcPr>
            <w:tcW w:w="722" w:type="pct"/>
            <w:tcBorders>
              <w:top w:val="single" w:sz="4" w:space="0" w:color="auto"/>
              <w:left w:val="single" w:sz="4" w:space="0" w:color="auto"/>
              <w:bottom w:val="nil"/>
              <w:right w:val="nil"/>
            </w:tcBorders>
            <w:shd w:val="clear" w:color="auto" w:fill="auto"/>
            <w:noWrap/>
            <w:vAlign w:val="bottom"/>
            <w:hideMark/>
          </w:tcPr>
          <w:p w14:paraId="42DDE67F" w14:textId="2BD97881" w:rsidR="009E64B7" w:rsidRPr="00D25FC9" w:rsidRDefault="00911D43">
            <w:pPr>
              <w:jc w:val="right"/>
              <w:rPr>
                <w:color w:val="000000" w:themeColor="text1"/>
                <w:sz w:val="20"/>
                <w:szCs w:val="20"/>
              </w:rPr>
            </w:pPr>
            <w:r>
              <w:rPr>
                <w:color w:val="000000"/>
                <w:sz w:val="20"/>
                <w:szCs w:val="20"/>
              </w:rPr>
              <w:t>29,5</w:t>
            </w:r>
            <w:r w:rsidR="00C96850">
              <w:rPr>
                <w:color w:val="000000"/>
                <w:sz w:val="20"/>
                <w:szCs w:val="20"/>
              </w:rPr>
              <w:t>26,397</w:t>
            </w:r>
          </w:p>
        </w:tc>
        <w:tc>
          <w:tcPr>
            <w:tcW w:w="144" w:type="pct"/>
            <w:tcBorders>
              <w:top w:val="single" w:sz="4" w:space="0" w:color="auto"/>
              <w:left w:val="nil"/>
              <w:bottom w:val="nil"/>
              <w:right w:val="nil"/>
            </w:tcBorders>
            <w:shd w:val="clear" w:color="auto" w:fill="auto"/>
            <w:noWrap/>
            <w:vAlign w:val="bottom"/>
            <w:hideMark/>
          </w:tcPr>
          <w:p w14:paraId="55E07B37" w14:textId="77777777" w:rsidR="009E64B7" w:rsidRPr="00D25FC9" w:rsidRDefault="009E64B7">
            <w:pPr>
              <w:jc w:val="right"/>
              <w:rPr>
                <w:color w:val="000000"/>
                <w:sz w:val="20"/>
                <w:szCs w:val="20"/>
              </w:rPr>
            </w:pPr>
          </w:p>
        </w:tc>
        <w:tc>
          <w:tcPr>
            <w:tcW w:w="818" w:type="pct"/>
            <w:tcBorders>
              <w:top w:val="single" w:sz="4" w:space="0" w:color="auto"/>
              <w:left w:val="nil"/>
              <w:bottom w:val="nil"/>
              <w:right w:val="nil"/>
            </w:tcBorders>
            <w:shd w:val="clear" w:color="auto" w:fill="auto"/>
            <w:noWrap/>
            <w:vAlign w:val="bottom"/>
            <w:hideMark/>
          </w:tcPr>
          <w:p w14:paraId="1FE3C818" w14:textId="77777777" w:rsidR="009E64B7" w:rsidRPr="00D25FC9" w:rsidRDefault="009E64B7">
            <w:pPr>
              <w:rPr>
                <w:sz w:val="20"/>
                <w:szCs w:val="20"/>
              </w:rPr>
            </w:pPr>
          </w:p>
        </w:tc>
        <w:tc>
          <w:tcPr>
            <w:tcW w:w="1730" w:type="pct"/>
            <w:tcBorders>
              <w:top w:val="single" w:sz="4" w:space="0" w:color="auto"/>
              <w:left w:val="nil"/>
              <w:bottom w:val="nil"/>
              <w:right w:val="single" w:sz="4" w:space="0" w:color="auto"/>
            </w:tcBorders>
            <w:shd w:val="clear" w:color="auto" w:fill="auto"/>
            <w:noWrap/>
            <w:vAlign w:val="bottom"/>
            <w:hideMark/>
          </w:tcPr>
          <w:p w14:paraId="008015C4" w14:textId="77777777" w:rsidR="009E64B7" w:rsidRPr="00D25FC9" w:rsidRDefault="009E64B7">
            <w:pPr>
              <w:jc w:val="right"/>
              <w:rPr>
                <w:color w:val="000000"/>
                <w:sz w:val="20"/>
                <w:szCs w:val="20"/>
              </w:rPr>
            </w:pPr>
            <w:r w:rsidRPr="00D25FC9">
              <w:rPr>
                <w:color w:val="000000"/>
                <w:sz w:val="20"/>
                <w:szCs w:val="20"/>
              </w:rPr>
              <w:t>From Exhibit 6.1</w:t>
            </w:r>
          </w:p>
        </w:tc>
      </w:tr>
      <w:tr w:rsidR="00D85D0A" w:rsidRPr="00C77927" w14:paraId="4D5CD862" w14:textId="77777777" w:rsidTr="00D25FC9">
        <w:trPr>
          <w:trHeight w:val="288"/>
        </w:trPr>
        <w:tc>
          <w:tcPr>
            <w:tcW w:w="1586" w:type="pct"/>
            <w:tcBorders>
              <w:top w:val="nil"/>
              <w:left w:val="single" w:sz="4" w:space="0" w:color="auto"/>
              <w:bottom w:val="single" w:sz="4" w:space="0" w:color="auto"/>
              <w:right w:val="nil"/>
            </w:tcBorders>
            <w:shd w:val="clear" w:color="auto" w:fill="auto"/>
            <w:noWrap/>
            <w:vAlign w:val="bottom"/>
            <w:hideMark/>
          </w:tcPr>
          <w:p w14:paraId="56A0A4C6" w14:textId="77777777" w:rsidR="00D85D0A" w:rsidRPr="00D25FC9" w:rsidRDefault="009E64B7">
            <w:pPr>
              <w:rPr>
                <w:color w:val="000000"/>
                <w:sz w:val="20"/>
                <w:szCs w:val="20"/>
              </w:rPr>
            </w:pPr>
            <w:r w:rsidRPr="00D25FC9">
              <w:rPr>
                <w:color w:val="000000"/>
                <w:sz w:val="20"/>
                <w:szCs w:val="20"/>
              </w:rPr>
              <w:t xml:space="preserve">Total Respondent Cost </w:t>
            </w:r>
          </w:p>
          <w:p w14:paraId="581B8126" w14:textId="6BDE3723" w:rsidR="009E64B7" w:rsidRPr="00D25FC9" w:rsidRDefault="009E64B7">
            <w:pPr>
              <w:rPr>
                <w:color w:val="000000"/>
                <w:sz w:val="20"/>
                <w:szCs w:val="20"/>
              </w:rPr>
            </w:pPr>
            <w:r w:rsidRPr="00D25FC9">
              <w:rPr>
                <w:color w:val="000000"/>
                <w:sz w:val="20"/>
                <w:szCs w:val="20"/>
              </w:rPr>
              <w:t>(labor + non)</w:t>
            </w:r>
          </w:p>
        </w:tc>
        <w:tc>
          <w:tcPr>
            <w:tcW w:w="722" w:type="pct"/>
            <w:tcBorders>
              <w:top w:val="single" w:sz="4" w:space="0" w:color="auto"/>
              <w:left w:val="single" w:sz="4" w:space="0" w:color="auto"/>
              <w:bottom w:val="single" w:sz="4" w:space="0" w:color="auto"/>
              <w:right w:val="nil"/>
            </w:tcBorders>
            <w:shd w:val="clear" w:color="auto" w:fill="auto"/>
            <w:noWrap/>
            <w:vAlign w:val="bottom"/>
            <w:hideMark/>
          </w:tcPr>
          <w:p w14:paraId="323676E2" w14:textId="50F0A7D5" w:rsidR="009E64B7" w:rsidRPr="00D25FC9" w:rsidRDefault="006740D5">
            <w:pPr>
              <w:jc w:val="right"/>
              <w:rPr>
                <w:color w:val="000000" w:themeColor="text1"/>
                <w:sz w:val="20"/>
                <w:szCs w:val="20"/>
              </w:rPr>
            </w:pPr>
            <w:r>
              <w:rPr>
                <w:color w:val="000000"/>
                <w:sz w:val="20"/>
                <w:szCs w:val="20"/>
              </w:rPr>
              <w:t>8</w:t>
            </w:r>
            <w:r w:rsidR="00C96850">
              <w:rPr>
                <w:color w:val="000000"/>
                <w:sz w:val="20"/>
                <w:szCs w:val="20"/>
              </w:rPr>
              <w:t>7,945,711</w:t>
            </w:r>
          </w:p>
        </w:tc>
        <w:tc>
          <w:tcPr>
            <w:tcW w:w="144" w:type="pct"/>
            <w:tcBorders>
              <w:top w:val="single" w:sz="4" w:space="0" w:color="auto"/>
              <w:left w:val="nil"/>
              <w:bottom w:val="single" w:sz="4" w:space="0" w:color="auto"/>
              <w:right w:val="nil"/>
            </w:tcBorders>
            <w:shd w:val="clear" w:color="auto" w:fill="auto"/>
            <w:noWrap/>
            <w:vAlign w:val="bottom"/>
            <w:hideMark/>
          </w:tcPr>
          <w:p w14:paraId="6E7B7B0A" w14:textId="77777777" w:rsidR="009E64B7" w:rsidRPr="00D25FC9" w:rsidRDefault="009E64B7">
            <w:pPr>
              <w:rPr>
                <w:color w:val="000000" w:themeColor="text1"/>
                <w:sz w:val="20"/>
                <w:szCs w:val="20"/>
              </w:rPr>
            </w:pPr>
            <w:r w:rsidRPr="00D25FC9">
              <w:rPr>
                <w:color w:val="000000"/>
                <w:sz w:val="20"/>
                <w:szCs w:val="20"/>
              </w:rPr>
              <w:t> </w:t>
            </w:r>
          </w:p>
        </w:tc>
        <w:tc>
          <w:tcPr>
            <w:tcW w:w="818" w:type="pct"/>
            <w:tcBorders>
              <w:top w:val="single" w:sz="4" w:space="0" w:color="auto"/>
              <w:left w:val="nil"/>
              <w:bottom w:val="single" w:sz="4" w:space="0" w:color="auto"/>
              <w:right w:val="nil"/>
            </w:tcBorders>
            <w:shd w:val="clear" w:color="auto" w:fill="auto"/>
            <w:noWrap/>
            <w:vAlign w:val="bottom"/>
            <w:hideMark/>
          </w:tcPr>
          <w:p w14:paraId="122C1EA7" w14:textId="77777777" w:rsidR="009E64B7" w:rsidRPr="00D25FC9" w:rsidRDefault="009E64B7">
            <w:pPr>
              <w:rPr>
                <w:color w:val="000000" w:themeColor="text1"/>
                <w:sz w:val="20"/>
                <w:szCs w:val="20"/>
              </w:rPr>
            </w:pPr>
            <w:r w:rsidRPr="00D25FC9">
              <w:rPr>
                <w:color w:val="000000"/>
                <w:sz w:val="20"/>
                <w:szCs w:val="20"/>
              </w:rPr>
              <w:t> </w:t>
            </w:r>
          </w:p>
        </w:tc>
        <w:tc>
          <w:tcPr>
            <w:tcW w:w="1730" w:type="pct"/>
            <w:tcBorders>
              <w:top w:val="single" w:sz="4" w:space="0" w:color="auto"/>
              <w:left w:val="nil"/>
              <w:bottom w:val="single" w:sz="4" w:space="0" w:color="auto"/>
              <w:right w:val="single" w:sz="4" w:space="0" w:color="auto"/>
            </w:tcBorders>
            <w:shd w:val="clear" w:color="auto" w:fill="auto"/>
            <w:noWrap/>
            <w:vAlign w:val="bottom"/>
            <w:hideMark/>
          </w:tcPr>
          <w:p w14:paraId="41A0B56C" w14:textId="77777777" w:rsidR="009E64B7" w:rsidRPr="00D25FC9" w:rsidRDefault="009E64B7">
            <w:pPr>
              <w:jc w:val="right"/>
              <w:rPr>
                <w:color w:val="000000"/>
                <w:sz w:val="20"/>
                <w:szCs w:val="20"/>
              </w:rPr>
            </w:pPr>
            <w:r w:rsidRPr="00D25FC9">
              <w:rPr>
                <w:color w:val="000000"/>
                <w:sz w:val="20"/>
                <w:szCs w:val="20"/>
              </w:rPr>
              <w:t>From Exhibit 6.1</w:t>
            </w:r>
          </w:p>
        </w:tc>
      </w:tr>
    </w:tbl>
    <w:p w14:paraId="47CE49ED" w14:textId="77777777" w:rsidR="009E64B7" w:rsidRPr="00D25FC9" w:rsidRDefault="009E64B7"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p>
    <w:p w14:paraId="33B60195" w14:textId="77777777" w:rsidR="006C2747" w:rsidRPr="00D25FC9" w:rsidRDefault="006C2747" w:rsidP="00BB1633">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686784AC" w14:textId="5FE6CD89" w:rsidR="0065466D" w:rsidRPr="00C77927" w:rsidRDefault="0065466D" w:rsidP="00BB1633">
      <w:pPr>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59A8A0" w14:textId="77777777" w:rsidR="00BB2048" w:rsidRPr="00C77927" w:rsidRDefault="00BB2048" w:rsidP="00BB2048">
      <w:pPr>
        <w:autoSpaceDE w:val="0"/>
        <w:autoSpaceDN w:val="0"/>
        <w:adjustRightInd w:val="0"/>
        <w:rPr>
          <w:b/>
          <w:bCs/>
        </w:rPr>
      </w:pPr>
      <w:bookmarkStart w:id="38" w:name="_Toc199057246"/>
      <w:r w:rsidRPr="00C77927">
        <w:rPr>
          <w:b/>
          <w:bCs/>
        </w:rPr>
        <w:tab/>
      </w:r>
    </w:p>
    <w:p w14:paraId="30891DD4" w14:textId="77777777" w:rsidR="00AF7429" w:rsidRPr="00C77927" w:rsidRDefault="00AF7429" w:rsidP="00F3717A">
      <w:pPr>
        <w:pStyle w:val="Heading2"/>
      </w:pPr>
      <w:r w:rsidRPr="00C77927">
        <w:br w:type="page"/>
      </w:r>
    </w:p>
    <w:p w14:paraId="18A702C8" w14:textId="7B458268" w:rsidR="00BB2048" w:rsidRPr="00C77927" w:rsidRDefault="00BB2048" w:rsidP="00F3717A">
      <w:pPr>
        <w:pStyle w:val="Heading2"/>
      </w:pPr>
      <w:bookmarkStart w:id="39" w:name="_Toc10555997"/>
      <w:r w:rsidRPr="00C77927">
        <w:t>6(f)</w:t>
      </w:r>
      <w:r w:rsidR="002E08D3">
        <w:rPr>
          <w:lang w:val="en-US"/>
        </w:rPr>
        <w:t xml:space="preserve"> </w:t>
      </w:r>
      <w:r w:rsidRPr="00C77927">
        <w:t>Reasons for Change in Burden</w:t>
      </w:r>
      <w:bookmarkEnd w:id="38"/>
      <w:bookmarkEnd w:id="39"/>
    </w:p>
    <w:p w14:paraId="5A226169" w14:textId="77777777" w:rsidR="00BB2048" w:rsidRPr="00C77927" w:rsidRDefault="00BB2048" w:rsidP="00BB2048">
      <w:pPr>
        <w:autoSpaceDE w:val="0"/>
        <w:autoSpaceDN w:val="0"/>
        <w:adjustRightInd w:val="0"/>
        <w:rPr>
          <w:szCs w:val="20"/>
        </w:rPr>
      </w:pPr>
    </w:p>
    <w:p w14:paraId="1D6CD0BC" w14:textId="251A0D59" w:rsidR="00B71770" w:rsidRPr="00C77927" w:rsidRDefault="00BA3C28" w:rsidP="241623E5">
      <w:pPr>
        <w:autoSpaceDE w:val="0"/>
        <w:autoSpaceDN w:val="0"/>
        <w:adjustRightInd w:val="0"/>
        <w:ind w:firstLine="720"/>
        <w:rPr>
          <w:szCs w:val="20"/>
        </w:rPr>
      </w:pPr>
      <w:r w:rsidRPr="00C77927">
        <w:t xml:space="preserve">This section presents the change in burden </w:t>
      </w:r>
      <w:r w:rsidR="00800AD7" w:rsidRPr="00475190">
        <w:t xml:space="preserve">compared with the </w:t>
      </w:r>
      <w:r w:rsidR="00800AD7" w:rsidRPr="008F7D63">
        <w:t>last ICR renewal</w:t>
      </w:r>
      <w:r w:rsidR="00800AD7">
        <w:t xml:space="preserve"> approved</w:t>
      </w:r>
      <w:r w:rsidR="00800AD7" w:rsidRPr="00C77927">
        <w:t xml:space="preserve"> </w:t>
      </w:r>
      <w:r w:rsidRPr="00C77927">
        <w:t>and explains the reasons for the change in burden.</w:t>
      </w:r>
      <w:r w:rsidR="002C54FB" w:rsidRPr="00C77927">
        <w:t xml:space="preserve"> </w:t>
      </w:r>
      <w:r w:rsidR="00BB2048" w:rsidRPr="00C77927">
        <w:t xml:space="preserve">Exhibit 6.4 summarizes </w:t>
      </w:r>
      <w:r w:rsidR="008C4D1B" w:rsidRPr="00C77927">
        <w:t>the</w:t>
      </w:r>
      <w:r w:rsidRPr="00C77927">
        <w:t xml:space="preserve"> adjustments</w:t>
      </w:r>
      <w:r w:rsidR="00BB2048" w:rsidRPr="00C77927">
        <w:t xml:space="preserve"> </w:t>
      </w:r>
      <w:r w:rsidRPr="00C77927">
        <w:t>that have</w:t>
      </w:r>
      <w:r w:rsidR="00BB2048" w:rsidRPr="00C77927">
        <w:t xml:space="preserve"> affected the overall burden inventory for the final GHGRP ICRs.</w:t>
      </w:r>
      <w:r w:rsidR="002C54FB" w:rsidRPr="00C77927">
        <w:t xml:space="preserve"> </w:t>
      </w:r>
      <w:r w:rsidR="00273D1A" w:rsidRPr="00C77927">
        <w:t>There is a</w:t>
      </w:r>
      <w:r w:rsidR="00F70F2B">
        <w:t>n</w:t>
      </w:r>
      <w:r w:rsidR="008A7D1F" w:rsidRPr="00C77927">
        <w:t xml:space="preserve"> </w:t>
      </w:r>
      <w:r w:rsidR="006B1F2F">
        <w:t>increase</w:t>
      </w:r>
      <w:r w:rsidR="00273D1A" w:rsidRPr="00C77927">
        <w:t xml:space="preserve"> of </w:t>
      </w:r>
      <w:r w:rsidR="00443AB1">
        <w:t>825</w:t>
      </w:r>
      <w:r w:rsidR="00273D1A" w:rsidRPr="00C77927">
        <w:t xml:space="preserve"> hours and</w:t>
      </w:r>
      <w:r w:rsidR="00D45540" w:rsidRPr="00C77927">
        <w:t xml:space="preserve"> a</w:t>
      </w:r>
      <w:r w:rsidR="0093211C">
        <w:t>n increase</w:t>
      </w:r>
      <w:r w:rsidR="008A7D1F" w:rsidRPr="00C77927">
        <w:t xml:space="preserve"> </w:t>
      </w:r>
      <w:r w:rsidR="00A20032" w:rsidRPr="00C77927">
        <w:t xml:space="preserve">of </w:t>
      </w:r>
      <w:r w:rsidR="00A20032" w:rsidRPr="008F7D63">
        <w:t>$</w:t>
      </w:r>
      <w:r w:rsidR="006F2975">
        <w:t>113,910</w:t>
      </w:r>
      <w:r w:rsidR="00273D1A" w:rsidRPr="00C77927">
        <w:t xml:space="preserve"> in the total estimated respondent burden compared with that identified in the</w:t>
      </w:r>
      <w:r w:rsidR="00642047" w:rsidRPr="00C77927">
        <w:t xml:space="preserve"> GHGRP</w:t>
      </w:r>
      <w:r w:rsidR="00273D1A" w:rsidRPr="00C77927">
        <w:t xml:space="preserve"> ICR </w:t>
      </w:r>
      <w:r w:rsidR="00470726" w:rsidRPr="00C77927">
        <w:t>renewed</w:t>
      </w:r>
      <w:r w:rsidR="00273D1A" w:rsidRPr="00C77927">
        <w:t xml:space="preserve"> by OMB</w:t>
      </w:r>
      <w:r w:rsidR="00470726" w:rsidRPr="00C77927">
        <w:t xml:space="preserve"> in 201</w:t>
      </w:r>
      <w:r w:rsidR="003029CC" w:rsidRPr="00C77927">
        <w:t>6</w:t>
      </w:r>
      <w:r w:rsidR="00273D1A" w:rsidRPr="00C77927">
        <w:t xml:space="preserve">. This </w:t>
      </w:r>
      <w:r w:rsidR="00642047" w:rsidRPr="00C77927">
        <w:t xml:space="preserve">change </w:t>
      </w:r>
      <w:r w:rsidR="00273D1A" w:rsidRPr="00C77927">
        <w:t>reflects a</w:t>
      </w:r>
      <w:r w:rsidR="00642047" w:rsidRPr="00C77927">
        <w:t xml:space="preserve"> </w:t>
      </w:r>
      <w:r w:rsidR="00470726" w:rsidRPr="00C77927">
        <w:t xml:space="preserve">number of updates in this ICR renewal as compared to the previous ICR renewal. Overall, EPA </w:t>
      </w:r>
      <w:r w:rsidR="005933BC" w:rsidRPr="00C77927">
        <w:t>adjusted</w:t>
      </w:r>
      <w:r w:rsidR="007A3D82" w:rsidRPr="00C77927">
        <w:t xml:space="preserve"> capital costs to reflect 201</w:t>
      </w:r>
      <w:r w:rsidR="003029CC" w:rsidRPr="00C77927">
        <w:t>7</w:t>
      </w:r>
      <w:r w:rsidR="007A3D82" w:rsidRPr="00C77927">
        <w:t xml:space="preserve"> dollars</w:t>
      </w:r>
      <w:r w:rsidR="00AA259F">
        <w:t xml:space="preserve"> and changes to the tax law</w:t>
      </w:r>
      <w:r w:rsidR="00BE0A5E">
        <w:t>;</w:t>
      </w:r>
      <w:r w:rsidR="007A3D82" w:rsidRPr="00C77927">
        <w:t xml:space="preserve"> </w:t>
      </w:r>
      <w:r w:rsidR="00470726" w:rsidRPr="00C77927">
        <w:t xml:space="preserve">and </w:t>
      </w:r>
      <w:r w:rsidR="001063DD" w:rsidRPr="00C77927">
        <w:t>adjusted</w:t>
      </w:r>
      <w:r w:rsidR="00273D1A" w:rsidRPr="00C77927">
        <w:t xml:space="preserve"> the number of respondents</w:t>
      </w:r>
      <w:r w:rsidR="00642047" w:rsidRPr="00C77927">
        <w:t xml:space="preserve"> </w:t>
      </w:r>
      <w:r w:rsidR="00AE0C66" w:rsidRPr="00C77927">
        <w:t>by taking the</w:t>
      </w:r>
      <w:r w:rsidR="00642047" w:rsidRPr="00C77927">
        <w:t xml:space="preserve"> actual number of respondents for each subpart in reporting year 201</w:t>
      </w:r>
      <w:r w:rsidR="003029CC" w:rsidRPr="00C77927">
        <w:t>7</w:t>
      </w:r>
      <w:r w:rsidR="00642047" w:rsidRPr="00C77927">
        <w:t xml:space="preserve"> </w:t>
      </w:r>
      <w:r w:rsidR="00AE0C66" w:rsidRPr="00C77927">
        <w:t>(RY201</w:t>
      </w:r>
      <w:r w:rsidR="003029CC" w:rsidRPr="00C77927">
        <w:t>7</w:t>
      </w:r>
      <w:r w:rsidR="00AE0C66" w:rsidRPr="00C77927">
        <w:t>)</w:t>
      </w:r>
      <w:r w:rsidR="00156CF5">
        <w:t>.</w:t>
      </w:r>
      <w:r w:rsidR="00470726" w:rsidRPr="00C77927">
        <w:t xml:space="preserve"> </w:t>
      </w:r>
      <w:r w:rsidR="00A451DA">
        <w:t>EPA also did a complete</w:t>
      </w:r>
      <w:r w:rsidR="0033779A">
        <w:t xml:space="preserve"> and comprehensive</w:t>
      </w:r>
      <w:r w:rsidR="00A451DA">
        <w:t xml:space="preserve"> re-evaluation of the activities and costs associated with all subparts of the GHGRP</w:t>
      </w:r>
      <w:r w:rsidR="00AA259F">
        <w:t xml:space="preserve"> and used a new methodology to determine the number of responses </w:t>
      </w:r>
      <w:r w:rsidR="00933538">
        <w:t xml:space="preserve">and the number of responses </w:t>
      </w:r>
      <w:r w:rsidR="003741C3">
        <w:t xml:space="preserve">per respondent </w:t>
      </w:r>
      <w:r w:rsidR="00AA259F">
        <w:t>by subpart and for the program as a whole</w:t>
      </w:r>
      <w:r w:rsidR="00A451DA">
        <w:t>.</w:t>
      </w:r>
    </w:p>
    <w:p w14:paraId="2ADA8811" w14:textId="77777777" w:rsidR="00B71770" w:rsidRPr="00C77927" w:rsidRDefault="00B71770" w:rsidP="00A678CF">
      <w:pPr>
        <w:autoSpaceDE w:val="0"/>
        <w:autoSpaceDN w:val="0"/>
        <w:adjustRightInd w:val="0"/>
        <w:ind w:firstLine="720"/>
        <w:rPr>
          <w:szCs w:val="20"/>
        </w:rPr>
      </w:pPr>
    </w:p>
    <w:p w14:paraId="119D6956" w14:textId="25C0598B" w:rsidR="000A056F" w:rsidRPr="00C77927" w:rsidRDefault="0033779A" w:rsidP="40A1D01C">
      <w:pPr>
        <w:autoSpaceDE w:val="0"/>
        <w:autoSpaceDN w:val="0"/>
        <w:adjustRightInd w:val="0"/>
        <w:ind w:firstLine="720"/>
        <w:rPr>
          <w:szCs w:val="20"/>
        </w:rPr>
      </w:pPr>
      <w:r>
        <w:t xml:space="preserve">The following list details both the programmatic and </w:t>
      </w:r>
      <w:r w:rsidR="00470726" w:rsidRPr="00C77927">
        <w:t>subpart specific updates</w:t>
      </w:r>
      <w:r w:rsidR="004313F9" w:rsidRPr="00C77927">
        <w:t xml:space="preserve"> made</w:t>
      </w:r>
      <w:r>
        <w:t xml:space="preserve"> that resulted in the change in burden</w:t>
      </w:r>
      <w:r w:rsidR="00470726" w:rsidRPr="00C77927">
        <w:t xml:space="preserve">. </w:t>
      </w:r>
    </w:p>
    <w:p w14:paraId="6DDC7267" w14:textId="77777777" w:rsidR="000A056F" w:rsidRPr="00C77927" w:rsidRDefault="000A056F" w:rsidP="00731FE1">
      <w:pPr>
        <w:autoSpaceDE w:val="0"/>
        <w:autoSpaceDN w:val="0"/>
        <w:adjustRightInd w:val="0"/>
        <w:ind w:firstLine="720"/>
        <w:rPr>
          <w:szCs w:val="20"/>
        </w:rPr>
      </w:pPr>
    </w:p>
    <w:p w14:paraId="140B7EF7" w14:textId="23CBA324" w:rsidR="00FB2799" w:rsidRPr="00FB2799" w:rsidRDefault="00661A0B" w:rsidP="00661A0B">
      <w:pPr>
        <w:pStyle w:val="ListParagraph"/>
        <w:numPr>
          <w:ilvl w:val="0"/>
          <w:numId w:val="31"/>
        </w:numPr>
        <w:autoSpaceDE w:val="0"/>
        <w:autoSpaceDN w:val="0"/>
        <w:adjustRightInd w:val="0"/>
      </w:pPr>
      <w:r w:rsidRPr="00C77927">
        <w:t xml:space="preserve">First, EPA accounted for new segments and reporters added to Subpart W to improve the Agency’s </w:t>
      </w:r>
      <w:r w:rsidRPr="00661A0B">
        <w:t xml:space="preserve">coverage of emissions from petroleum and natural gas systems. EPA also re-evaluated the respondent costs related to all segments of Subpart W to accurately reflect the activities conducted by respondents. This includes the addition of </w:t>
      </w:r>
      <w:r w:rsidR="00E55D8C">
        <w:t xml:space="preserve">O&amp;M </w:t>
      </w:r>
      <w:r w:rsidRPr="00661A0B">
        <w:t xml:space="preserve">costs required by respondents </w:t>
      </w:r>
      <w:r w:rsidR="00BA3509">
        <w:t xml:space="preserve">who are </w:t>
      </w:r>
      <w:r w:rsidRPr="00661A0B">
        <w:t xml:space="preserve">subject to the petroleum and natural gas systems source category to monitor and report combustion emissions. </w:t>
      </w:r>
      <w:r w:rsidR="00E55D8C">
        <w:rPr>
          <w:iCs/>
        </w:rPr>
        <w:t xml:space="preserve">This re-evaluation resulted in a large increase in O&amp;M costs for </w:t>
      </w:r>
      <w:r w:rsidR="003353F6">
        <w:rPr>
          <w:iCs/>
        </w:rPr>
        <w:t>S</w:t>
      </w:r>
      <w:r w:rsidR="00E55D8C">
        <w:rPr>
          <w:iCs/>
        </w:rPr>
        <w:t>ubpart W and overall for the program</w:t>
      </w:r>
      <w:r w:rsidRPr="00661A0B">
        <w:rPr>
          <w:i/>
        </w:rPr>
        <w:t>.</w:t>
      </w:r>
      <w:r w:rsidR="00E55D8C">
        <w:rPr>
          <w:i/>
        </w:rPr>
        <w:t xml:space="preserve"> </w:t>
      </w:r>
      <w:r w:rsidR="00EB48A4" w:rsidRPr="00661A0B">
        <w:rPr>
          <w:iCs/>
        </w:rPr>
        <w:t>Th</w:t>
      </w:r>
      <w:r w:rsidR="001E144C">
        <w:rPr>
          <w:iCs/>
        </w:rPr>
        <w:t>is</w:t>
      </w:r>
      <w:r w:rsidR="0030015A">
        <w:rPr>
          <w:iCs/>
        </w:rPr>
        <w:t xml:space="preserve"> O&amp;M cost increase</w:t>
      </w:r>
      <w:r w:rsidR="00EB48A4">
        <w:rPr>
          <w:iCs/>
        </w:rPr>
        <w:t xml:space="preserve"> is due to </w:t>
      </w:r>
      <w:r w:rsidR="00074148">
        <w:rPr>
          <w:iCs/>
        </w:rPr>
        <w:t xml:space="preserve">a </w:t>
      </w:r>
      <w:r w:rsidR="001C563F">
        <w:rPr>
          <w:iCs/>
        </w:rPr>
        <w:t xml:space="preserve">large increase </w:t>
      </w:r>
      <w:r w:rsidR="00FB2799">
        <w:rPr>
          <w:iCs/>
        </w:rPr>
        <w:t>in the number of components</w:t>
      </w:r>
      <w:r w:rsidR="00C47955">
        <w:rPr>
          <w:iCs/>
        </w:rPr>
        <w:t xml:space="preserve"> that must be surveyed</w:t>
      </w:r>
      <w:r w:rsidR="00074148">
        <w:rPr>
          <w:iCs/>
        </w:rPr>
        <w:t xml:space="preserve"> at each reporter</w:t>
      </w:r>
      <w:r w:rsidR="00C47955">
        <w:rPr>
          <w:iCs/>
        </w:rPr>
        <w:t xml:space="preserve">. </w:t>
      </w:r>
      <w:r w:rsidR="003B522B">
        <w:rPr>
          <w:iCs/>
        </w:rPr>
        <w:t xml:space="preserve">Using actual </w:t>
      </w:r>
      <w:r w:rsidR="00B03863">
        <w:rPr>
          <w:iCs/>
        </w:rPr>
        <w:t xml:space="preserve">reported </w:t>
      </w:r>
      <w:r w:rsidR="00C476D3">
        <w:rPr>
          <w:iCs/>
        </w:rPr>
        <w:t>component</w:t>
      </w:r>
      <w:r w:rsidR="00B03863">
        <w:rPr>
          <w:iCs/>
        </w:rPr>
        <w:t xml:space="preserve"> count</w:t>
      </w:r>
      <w:r w:rsidR="00C476D3">
        <w:rPr>
          <w:iCs/>
        </w:rPr>
        <w:t>s</w:t>
      </w:r>
      <w:r w:rsidR="00B03863">
        <w:rPr>
          <w:iCs/>
        </w:rPr>
        <w:t xml:space="preserve"> </w:t>
      </w:r>
      <w:r w:rsidR="00CD512A">
        <w:rPr>
          <w:iCs/>
        </w:rPr>
        <w:t>by industry segment, the number increased from an</w:t>
      </w:r>
      <w:r w:rsidR="00E058B0">
        <w:rPr>
          <w:iCs/>
        </w:rPr>
        <w:t xml:space="preserve"> average of</w:t>
      </w:r>
      <w:r w:rsidR="00962A9D">
        <w:rPr>
          <w:iCs/>
        </w:rPr>
        <w:t xml:space="preserve"> </w:t>
      </w:r>
      <w:r w:rsidR="00706AE0">
        <w:rPr>
          <w:iCs/>
        </w:rPr>
        <w:t>1,000 components per re</w:t>
      </w:r>
      <w:r w:rsidR="00E058B0">
        <w:rPr>
          <w:iCs/>
        </w:rPr>
        <w:t xml:space="preserve">porter to </w:t>
      </w:r>
      <w:r w:rsidR="00E13A52">
        <w:rPr>
          <w:iCs/>
        </w:rPr>
        <w:t>an average of 4,500 components per reporter</w:t>
      </w:r>
      <w:r w:rsidR="001E144C">
        <w:rPr>
          <w:iCs/>
        </w:rPr>
        <w:t>.</w:t>
      </w:r>
    </w:p>
    <w:p w14:paraId="3BF6E383" w14:textId="75D6784A" w:rsidR="0083058D" w:rsidRPr="00C77927" w:rsidRDefault="0083058D" w:rsidP="0083058D">
      <w:pPr>
        <w:pStyle w:val="ListParagraph"/>
        <w:autoSpaceDE w:val="0"/>
        <w:autoSpaceDN w:val="0"/>
        <w:adjustRightInd w:val="0"/>
        <w:ind w:left="1440"/>
        <w:rPr>
          <w:rStyle w:val="CommentReference"/>
          <w:sz w:val="24"/>
          <w:szCs w:val="20"/>
        </w:rPr>
      </w:pPr>
    </w:p>
    <w:p w14:paraId="3D1DC7CA" w14:textId="5949AF61" w:rsidR="000A056F" w:rsidRPr="00C77927" w:rsidRDefault="000A056F">
      <w:pPr>
        <w:pStyle w:val="ListParagraph"/>
        <w:numPr>
          <w:ilvl w:val="0"/>
          <w:numId w:val="31"/>
        </w:numPr>
        <w:autoSpaceDE w:val="0"/>
        <w:autoSpaceDN w:val="0"/>
        <w:adjustRightInd w:val="0"/>
      </w:pPr>
      <w:bookmarkStart w:id="40" w:name="_Hlk525739850"/>
      <w:r w:rsidRPr="00C77927">
        <w:t>Sec</w:t>
      </w:r>
      <w:r w:rsidR="00731FE1" w:rsidRPr="00C77927">
        <w:t xml:space="preserve">ond, </w:t>
      </w:r>
      <w:r w:rsidR="00D45540" w:rsidRPr="00C77927">
        <w:t>EPA re</w:t>
      </w:r>
      <w:r w:rsidR="00BA6919">
        <w:t>-</w:t>
      </w:r>
      <w:r w:rsidR="00D45540" w:rsidRPr="00C77927">
        <w:t xml:space="preserve">evaluated the respondent costs related to monitoring and reporting combustion emissions to Subpart C. </w:t>
      </w:r>
      <w:r w:rsidR="00E40ACA">
        <w:t>In previous analyses, the c</w:t>
      </w:r>
      <w:r w:rsidR="00D45540" w:rsidRPr="00C77927">
        <w:t>ombustion emission</w:t>
      </w:r>
      <w:r w:rsidR="002C0695">
        <w:t>s</w:t>
      </w:r>
      <w:r w:rsidR="00D45540" w:rsidRPr="00C77927">
        <w:t xml:space="preserve"> costs </w:t>
      </w:r>
      <w:r w:rsidR="00A16BB0" w:rsidRPr="00C77927">
        <w:t>had been</w:t>
      </w:r>
      <w:r w:rsidR="00D45540" w:rsidRPr="00C77927">
        <w:t xml:space="preserve"> estimated by subpart and </w:t>
      </w:r>
      <w:r w:rsidR="004B4169" w:rsidRPr="00C77927">
        <w:t>aggregate</w:t>
      </w:r>
      <w:r w:rsidR="00A16BB0" w:rsidRPr="00C77927">
        <w:t>d</w:t>
      </w:r>
      <w:r w:rsidR="004B4169" w:rsidRPr="00C77927">
        <w:t xml:space="preserve"> with each subpart’s </w:t>
      </w:r>
      <w:r w:rsidR="00D45540" w:rsidRPr="00C77927">
        <w:t xml:space="preserve">process emission costs. In preparing this renewal, EPA </w:t>
      </w:r>
      <w:r w:rsidR="002E3E3C">
        <w:t>decided to</w:t>
      </w:r>
      <w:r w:rsidR="008B4366">
        <w:t xml:space="preserve"> better represent the burden to facilities</w:t>
      </w:r>
      <w:r w:rsidR="00E40ACA">
        <w:t xml:space="preserve"> </w:t>
      </w:r>
      <w:r w:rsidR="002F551B">
        <w:t>by including subpart-specific combustion</w:t>
      </w:r>
      <w:r w:rsidR="00EB35B4">
        <w:t xml:space="preserve"> costs </w:t>
      </w:r>
      <w:r w:rsidR="00E40ACA">
        <w:t>in the Subpart C analysis</w:t>
      </w:r>
      <w:r w:rsidR="00BF0651">
        <w:t>, where appropriate</w:t>
      </w:r>
      <w:r w:rsidR="008B4366">
        <w:t>.</w:t>
      </w:r>
      <w:r w:rsidR="00D45540" w:rsidRPr="00C77927">
        <w:t xml:space="preserve"> </w:t>
      </w:r>
      <w:r w:rsidR="00640495" w:rsidRPr="00C77927">
        <w:t>W</w:t>
      </w:r>
      <w:r w:rsidR="000355DB" w:rsidRPr="00C77927">
        <w:t xml:space="preserve">ith </w:t>
      </w:r>
      <w:r w:rsidR="00640495" w:rsidRPr="00C77927">
        <w:t xml:space="preserve">a </w:t>
      </w:r>
      <w:r w:rsidR="000355DB" w:rsidRPr="00C77927">
        <w:t xml:space="preserve">few exceptions, </w:t>
      </w:r>
      <w:r w:rsidR="00640495" w:rsidRPr="00C77927">
        <w:t>Exhibit</w:t>
      </w:r>
      <w:r w:rsidR="000355DB" w:rsidRPr="00C77927">
        <w:t xml:space="preserve"> 6.1 of this Supporting Statement presents the costs for </w:t>
      </w:r>
      <w:r w:rsidR="00640495" w:rsidRPr="00C77927">
        <w:t xml:space="preserve">subpart-specific </w:t>
      </w:r>
      <w:r w:rsidR="000355DB" w:rsidRPr="00C77927">
        <w:t xml:space="preserve">process emissions in each subpart-specific row and the costs for </w:t>
      </w:r>
      <w:r w:rsidR="00640495" w:rsidRPr="00C77927">
        <w:t xml:space="preserve">all </w:t>
      </w:r>
      <w:r w:rsidR="000355DB" w:rsidRPr="00C77927">
        <w:t xml:space="preserve">combustion emissions </w:t>
      </w:r>
      <w:r w:rsidR="004B4169" w:rsidRPr="00C77927">
        <w:t>in two Subpart C rows</w:t>
      </w:r>
      <w:r w:rsidR="00360E28">
        <w:t xml:space="preserve"> (one for facilities that only report to Subpart C and a second for facilities that report to Subpart C plus another subpart)</w:t>
      </w:r>
      <w:r w:rsidR="000355DB" w:rsidRPr="00C77927">
        <w:t>.</w:t>
      </w:r>
      <w:r w:rsidR="004B4169" w:rsidRPr="00C77927">
        <w:t xml:space="preserve"> </w:t>
      </w:r>
      <w:r w:rsidR="005B4C30">
        <w:t xml:space="preserve">This reanalysis resulted in the number of respondents </w:t>
      </w:r>
      <w:r w:rsidR="00FE5B57">
        <w:t xml:space="preserve">in the Subpart C analysis </w:t>
      </w:r>
      <w:r w:rsidR="005B4C30">
        <w:t xml:space="preserve">increasing by more than 2,500, in order to account for the impact of the combustion costs appropriately. </w:t>
      </w:r>
      <w:r w:rsidR="00230D2D">
        <w:t>H</w:t>
      </w:r>
      <w:r w:rsidR="000355DB" w:rsidRPr="00C77927">
        <w:t>owever,</w:t>
      </w:r>
      <w:r w:rsidR="00230D2D">
        <w:t xml:space="preserve"> </w:t>
      </w:r>
      <w:r w:rsidR="009E11E0">
        <w:t xml:space="preserve">in </w:t>
      </w:r>
      <w:r w:rsidR="005B4C30">
        <w:t>a few</w:t>
      </w:r>
      <w:r w:rsidR="009E11E0">
        <w:t xml:space="preserve"> situations, </w:t>
      </w:r>
      <w:r w:rsidR="00FE5B57">
        <w:t xml:space="preserve">subpart-specific </w:t>
      </w:r>
      <w:r w:rsidR="004B4169" w:rsidRPr="00C77927">
        <w:t xml:space="preserve">combustion </w:t>
      </w:r>
      <w:r w:rsidR="003D254F">
        <w:t>emission</w:t>
      </w:r>
      <w:r w:rsidR="002C0695">
        <w:t>s</w:t>
      </w:r>
      <w:r w:rsidR="003D254F">
        <w:t xml:space="preserve"> </w:t>
      </w:r>
      <w:r w:rsidR="004B4169" w:rsidRPr="00C77927">
        <w:t xml:space="preserve">costs were </w:t>
      </w:r>
      <w:r w:rsidR="000355DB" w:rsidRPr="00C77927">
        <w:t xml:space="preserve">so </w:t>
      </w:r>
      <w:r w:rsidR="00690CD5" w:rsidRPr="00C77927">
        <w:t xml:space="preserve">intertwined with </w:t>
      </w:r>
      <w:r w:rsidR="00FE5B57">
        <w:t xml:space="preserve">subpart-specific </w:t>
      </w:r>
      <w:r w:rsidR="00690CD5" w:rsidRPr="00C77927">
        <w:t xml:space="preserve">process emissions costs </w:t>
      </w:r>
      <w:r w:rsidR="000355DB" w:rsidRPr="00C77927">
        <w:t>that they</w:t>
      </w:r>
      <w:r w:rsidR="00690CD5" w:rsidRPr="00C77927">
        <w:t xml:space="preserve"> could not be separated</w:t>
      </w:r>
      <w:r w:rsidR="006161D0" w:rsidRPr="00C77927">
        <w:t>.</w:t>
      </w:r>
      <w:r w:rsidR="009E11E0">
        <w:t xml:space="preserve"> The</w:t>
      </w:r>
      <w:r w:rsidR="002C0695">
        <w:t>refore</w:t>
      </w:r>
      <w:r w:rsidR="005F0572">
        <w:t xml:space="preserve">, the </w:t>
      </w:r>
      <w:r w:rsidR="009E11E0">
        <w:t xml:space="preserve">following </w:t>
      </w:r>
      <w:r w:rsidR="001C0640">
        <w:t xml:space="preserve">subpart-specific combustion emissions costs </w:t>
      </w:r>
      <w:r w:rsidR="0033340B">
        <w:t xml:space="preserve">are not included in </w:t>
      </w:r>
      <w:r w:rsidR="001C0640">
        <w:t xml:space="preserve">the </w:t>
      </w:r>
      <w:r w:rsidR="0033340B">
        <w:t xml:space="preserve">Subpart C </w:t>
      </w:r>
      <w:r w:rsidR="001C0640">
        <w:t>analysi</w:t>
      </w:r>
      <w:r w:rsidR="0033340B">
        <w:t xml:space="preserve">s: ethylene facilities reporting under </w:t>
      </w:r>
      <w:r w:rsidR="0033340B" w:rsidRPr="00C77927">
        <w:t>Petrochemical Production (Subpart X)</w:t>
      </w:r>
      <w:r w:rsidR="0033340B">
        <w:t xml:space="preserve"> utilizing Tier 3 methodology</w:t>
      </w:r>
      <w:r w:rsidR="00365A47">
        <w:t xml:space="preserve"> in Subpart C</w:t>
      </w:r>
      <w:r w:rsidR="00FE011F">
        <w:t>;</w:t>
      </w:r>
      <w:r w:rsidR="0033340B" w:rsidRPr="00C77927">
        <w:t xml:space="preserve"> </w:t>
      </w:r>
      <w:r w:rsidR="0033340B">
        <w:t xml:space="preserve">complex refineries operating </w:t>
      </w:r>
      <w:r w:rsidR="004A2078">
        <w:t>fluid catalytic cracking units (</w:t>
      </w:r>
      <w:r w:rsidR="0033340B">
        <w:t>FCCU</w:t>
      </w:r>
      <w:r w:rsidR="004A2078">
        <w:t>)</w:t>
      </w:r>
      <w:r w:rsidR="0033340B">
        <w:t xml:space="preserve"> equipped with a CEMS reporting under </w:t>
      </w:r>
      <w:r w:rsidR="0033340B" w:rsidRPr="00C77927">
        <w:t>Petroleum Refineries (Subpart Y)</w:t>
      </w:r>
      <w:r w:rsidR="00365A47">
        <w:t xml:space="preserve"> utilizing Tier 4 methodology in Subpart C</w:t>
      </w:r>
      <w:r w:rsidR="001E753D">
        <w:t>;</w:t>
      </w:r>
      <w:r w:rsidR="0033340B" w:rsidRPr="00C77927">
        <w:t xml:space="preserve"> </w:t>
      </w:r>
      <w:r w:rsidR="0033340B">
        <w:t xml:space="preserve">and </w:t>
      </w:r>
      <w:r w:rsidR="0033340B" w:rsidRPr="00C77927">
        <w:t>Pulp and Paper Manufacturing (Subpart AA)</w:t>
      </w:r>
      <w:r w:rsidR="00365A47">
        <w:t xml:space="preserve"> facilities utilizing Tier 1, 2, or 3 methodolog</w:t>
      </w:r>
      <w:r w:rsidR="00E2221A">
        <w:t>ies</w:t>
      </w:r>
      <w:r w:rsidR="00365A47">
        <w:t xml:space="preserve"> in Subpart C</w:t>
      </w:r>
      <w:r w:rsidR="0033340B">
        <w:t>.</w:t>
      </w:r>
      <w:r w:rsidR="000355DB" w:rsidRPr="00C77927">
        <w:t xml:space="preserve"> </w:t>
      </w:r>
      <w:r w:rsidR="006161D0" w:rsidRPr="00C77927">
        <w:t>F</w:t>
      </w:r>
      <w:r w:rsidR="000355DB" w:rsidRPr="00C77927">
        <w:t xml:space="preserve">or those </w:t>
      </w:r>
      <w:r w:rsidR="00365A47">
        <w:t>situations</w:t>
      </w:r>
      <w:r w:rsidR="000355DB" w:rsidRPr="00C77927">
        <w:t xml:space="preserve">, as well as for </w:t>
      </w:r>
      <w:r w:rsidR="008E32BF">
        <w:t>S</w:t>
      </w:r>
      <w:r w:rsidR="000355DB" w:rsidRPr="00C77927">
        <w:t xml:space="preserve">ubpart W discussed </w:t>
      </w:r>
      <w:r w:rsidR="00AC2E17" w:rsidRPr="00C77927">
        <w:t>above</w:t>
      </w:r>
      <w:r w:rsidR="000355DB" w:rsidRPr="00C77927">
        <w:t>, the costs of monitoring and rep</w:t>
      </w:r>
      <w:r w:rsidR="00640495" w:rsidRPr="00C77927">
        <w:t>orting combustion emissions continue to be accounted for and presented</w:t>
      </w:r>
      <w:r w:rsidR="000355DB" w:rsidRPr="00C77927">
        <w:t xml:space="preserve"> in the subpart-specific rows along with process emissions</w:t>
      </w:r>
      <w:r w:rsidR="00690CD5" w:rsidRPr="00C77927">
        <w:t>.</w:t>
      </w:r>
      <w:r w:rsidR="00D45540" w:rsidRPr="00C77927">
        <w:t xml:space="preserve"> </w:t>
      </w:r>
    </w:p>
    <w:p w14:paraId="61C04C43" w14:textId="77777777" w:rsidR="0089604B" w:rsidRPr="00C77927" w:rsidRDefault="0089604B" w:rsidP="008F7D63">
      <w:pPr>
        <w:pStyle w:val="ListParagraph"/>
        <w:autoSpaceDE w:val="0"/>
        <w:autoSpaceDN w:val="0"/>
        <w:adjustRightInd w:val="0"/>
        <w:ind w:left="1440"/>
      </w:pPr>
    </w:p>
    <w:bookmarkEnd w:id="40"/>
    <w:p w14:paraId="6C38F590" w14:textId="314F075F" w:rsidR="004961C9" w:rsidRPr="006A4530" w:rsidRDefault="004961C9" w:rsidP="006A4530">
      <w:pPr>
        <w:pStyle w:val="ListParagraph"/>
        <w:numPr>
          <w:ilvl w:val="0"/>
          <w:numId w:val="31"/>
        </w:numPr>
        <w:autoSpaceDE w:val="0"/>
        <w:autoSpaceDN w:val="0"/>
        <w:adjustRightInd w:val="0"/>
        <w:rPr>
          <w:sz w:val="22"/>
          <w:szCs w:val="22"/>
        </w:rPr>
      </w:pPr>
      <w:r w:rsidRPr="00C77927">
        <w:t>Third</w:t>
      </w:r>
      <w:r w:rsidR="001273CC" w:rsidRPr="00C77927">
        <w:t xml:space="preserve">, EPA </w:t>
      </w:r>
      <w:r w:rsidR="00172A94" w:rsidRPr="00C77927">
        <w:t>re</w:t>
      </w:r>
      <w:r w:rsidR="00BA6919">
        <w:t>-</w:t>
      </w:r>
      <w:r w:rsidR="00172A94" w:rsidRPr="00C77927">
        <w:t xml:space="preserve">evaluated costs related to sampling and analysis and capital costs for Electronics Manufacturing (Subpart I). In preparing this renewal, EPA found that those costs were outdated as they reflected projected rather than actual activity data of reporters. </w:t>
      </w:r>
      <w:r w:rsidR="007A52C4" w:rsidRPr="00C77927">
        <w:t>For this ICR renewal, EPA re-calculated the costs of sampling and analysis and applied those calculations to actual activity data in a uniform way. Costs for the Triennial Report were also added to the sampling and analysis costs, scaled to the expected number of reporters and spread out over three years.</w:t>
      </w:r>
      <w:r w:rsidR="008845D0">
        <w:t xml:space="preserve"> </w:t>
      </w:r>
      <w:r w:rsidR="00172A94" w:rsidRPr="00C77927">
        <w:t xml:space="preserve">In addition, costs for measuring site-specific destruction and removal efficiencies were added to the </w:t>
      </w:r>
      <w:r w:rsidR="005F7144">
        <w:t>O&amp;M costs</w:t>
      </w:r>
      <w:r w:rsidR="007A52C4" w:rsidRPr="00C77927">
        <w:t xml:space="preserve"> and </w:t>
      </w:r>
      <w:r w:rsidR="00172A94" w:rsidRPr="00C77927">
        <w:t xml:space="preserve">scaled to reported activity. </w:t>
      </w:r>
    </w:p>
    <w:p w14:paraId="4F1C3B9B" w14:textId="77777777" w:rsidR="000A056F" w:rsidRPr="00C77927" w:rsidRDefault="000A056F" w:rsidP="00D25FC9">
      <w:pPr>
        <w:autoSpaceDE w:val="0"/>
        <w:autoSpaceDN w:val="0"/>
        <w:adjustRightInd w:val="0"/>
        <w:ind w:left="1440"/>
        <w:rPr>
          <w:sz w:val="22"/>
          <w:szCs w:val="22"/>
        </w:rPr>
      </w:pPr>
    </w:p>
    <w:p w14:paraId="42DDFFF2" w14:textId="120E4AF7" w:rsidR="000A056F" w:rsidRPr="00C77927" w:rsidRDefault="00640495" w:rsidP="00FD30E4">
      <w:pPr>
        <w:pStyle w:val="ListParagraph"/>
        <w:numPr>
          <w:ilvl w:val="0"/>
          <w:numId w:val="31"/>
        </w:numPr>
        <w:autoSpaceDE w:val="0"/>
        <w:autoSpaceDN w:val="0"/>
        <w:adjustRightInd w:val="0"/>
        <w:rPr>
          <w:sz w:val="22"/>
          <w:szCs w:val="22"/>
        </w:rPr>
      </w:pPr>
      <w:r w:rsidRPr="00C77927">
        <w:t>F</w:t>
      </w:r>
      <w:r w:rsidR="004961C9" w:rsidRPr="00C77927">
        <w:t>ourth</w:t>
      </w:r>
      <w:r w:rsidR="00A17391" w:rsidRPr="00C77927">
        <w:t xml:space="preserve">, EPA </w:t>
      </w:r>
      <w:r w:rsidR="00EF2125">
        <w:t>decreased</w:t>
      </w:r>
      <w:r w:rsidR="00EF2125" w:rsidRPr="00C77927">
        <w:t xml:space="preserve"> </w:t>
      </w:r>
      <w:r w:rsidR="00A17391" w:rsidRPr="00C77927">
        <w:t>costs of S</w:t>
      </w:r>
      <w:r w:rsidR="002133C2" w:rsidRPr="00C77927">
        <w:t xml:space="preserve">ubpart RR to reflect the latest industry cost </w:t>
      </w:r>
      <w:r w:rsidR="00347B02" w:rsidRPr="00C77927">
        <w:t xml:space="preserve">and project </w:t>
      </w:r>
      <w:r w:rsidR="002133C2" w:rsidRPr="00C77927">
        <w:t xml:space="preserve">analyses and </w:t>
      </w:r>
      <w:r w:rsidR="00E9187A" w:rsidRPr="00C77927">
        <w:t xml:space="preserve">monitoring, reporting and verification plan submissions </w:t>
      </w:r>
      <w:r w:rsidR="002133C2" w:rsidRPr="00C77927">
        <w:t xml:space="preserve">to </w:t>
      </w:r>
      <w:r w:rsidR="00C06E2E">
        <w:t xml:space="preserve">show </w:t>
      </w:r>
      <w:r w:rsidR="00347B02" w:rsidRPr="00C77927">
        <w:t xml:space="preserve">decreased costs per facility </w:t>
      </w:r>
      <w:r w:rsidR="00236316">
        <w:t>and</w:t>
      </w:r>
      <w:r w:rsidR="00347B02" w:rsidRPr="00C77927">
        <w:t xml:space="preserve"> </w:t>
      </w:r>
      <w:r w:rsidR="008503D4">
        <w:t xml:space="preserve">an </w:t>
      </w:r>
      <w:r w:rsidR="002133C2" w:rsidRPr="00C77927">
        <w:t>increase</w:t>
      </w:r>
      <w:r w:rsidR="00196A16">
        <w:t>d</w:t>
      </w:r>
      <w:r w:rsidR="00347B02" w:rsidRPr="00C77927">
        <w:t xml:space="preserve"> number of </w:t>
      </w:r>
      <w:r w:rsidR="00030884" w:rsidRPr="00C77927">
        <w:t>CO</w:t>
      </w:r>
      <w:r w:rsidR="00030884" w:rsidRPr="00C77927">
        <w:rPr>
          <w:vertAlign w:val="subscript"/>
        </w:rPr>
        <w:t>2</w:t>
      </w:r>
      <w:r w:rsidR="00030884" w:rsidRPr="00C77927">
        <w:t xml:space="preserve">-EOR </w:t>
      </w:r>
      <w:r w:rsidR="002133C2" w:rsidRPr="00C77927">
        <w:t>projects</w:t>
      </w:r>
      <w:r w:rsidR="006F6A92" w:rsidRPr="00C77927">
        <w:t xml:space="preserve"> </w:t>
      </w:r>
      <w:r w:rsidR="00030884" w:rsidRPr="00C77927">
        <w:t>over the three year</w:t>
      </w:r>
      <w:r w:rsidR="00FD30E4" w:rsidRPr="00C77927">
        <w:t>s</w:t>
      </w:r>
      <w:r w:rsidR="00030884" w:rsidRPr="00C77927">
        <w:t xml:space="preserve"> </w:t>
      </w:r>
      <w:r w:rsidR="00FD30E4" w:rsidRPr="00C77927">
        <w:t>covered by this information collection</w:t>
      </w:r>
      <w:r w:rsidR="00030884" w:rsidRPr="00C77927">
        <w:t xml:space="preserve"> </w:t>
      </w:r>
      <w:r w:rsidR="006F6A92" w:rsidRPr="00C77927">
        <w:t xml:space="preserve">(see Appendix </w:t>
      </w:r>
      <w:r w:rsidR="007E7F9C" w:rsidRPr="00C77927">
        <w:t>G</w:t>
      </w:r>
      <w:r w:rsidR="006F6A92" w:rsidRPr="00C77927">
        <w:t xml:space="preserve"> of this Supporting Statement)</w:t>
      </w:r>
      <w:r w:rsidR="002133C2" w:rsidRPr="00C77927">
        <w:t>.</w:t>
      </w:r>
      <w:r w:rsidR="00EF2125">
        <w:t xml:space="preserve"> Previous cost estimates for RR </w:t>
      </w:r>
      <w:r w:rsidR="0085300A">
        <w:t xml:space="preserve">over-represented the cost </w:t>
      </w:r>
      <w:r w:rsidR="0057373F">
        <w:t>to industry</w:t>
      </w:r>
      <w:r w:rsidR="0085300A">
        <w:t xml:space="preserve">, as they were based on </w:t>
      </w:r>
      <w:r w:rsidR="00943457">
        <w:t>theoretical information rather than actual data.</w:t>
      </w:r>
      <w:r w:rsidR="0085300A">
        <w:t xml:space="preserve"> </w:t>
      </w:r>
    </w:p>
    <w:p w14:paraId="5AD95823" w14:textId="77777777" w:rsidR="000B3970" w:rsidRPr="008F7D63" w:rsidRDefault="000B3970" w:rsidP="008F7D63">
      <w:pPr>
        <w:pStyle w:val="ListParagraph"/>
        <w:rPr>
          <w:sz w:val="22"/>
          <w:szCs w:val="22"/>
        </w:rPr>
      </w:pPr>
    </w:p>
    <w:p w14:paraId="471276E2" w14:textId="17F993D8" w:rsidR="000D7B90" w:rsidRPr="008F7D63" w:rsidRDefault="00AA259F">
      <w:pPr>
        <w:pStyle w:val="ListParagraph"/>
        <w:numPr>
          <w:ilvl w:val="0"/>
          <w:numId w:val="31"/>
        </w:numPr>
        <w:autoSpaceDE w:val="0"/>
        <w:autoSpaceDN w:val="0"/>
        <w:adjustRightInd w:val="0"/>
      </w:pPr>
      <w:r>
        <w:t>Fif</w:t>
      </w:r>
      <w:r w:rsidR="00F22A82" w:rsidRPr="00E55D8C">
        <w:t>th,</w:t>
      </w:r>
      <w:r w:rsidR="00E23060" w:rsidRPr="00E55D8C">
        <w:t xml:space="preserve"> </w:t>
      </w:r>
      <w:r w:rsidR="0033779A">
        <w:t xml:space="preserve">as stated above, all </w:t>
      </w:r>
      <w:r w:rsidR="00E23060" w:rsidRPr="00E55D8C">
        <w:t xml:space="preserve">costs were </w:t>
      </w:r>
      <w:r w:rsidR="00E55D8C">
        <w:t xml:space="preserve">completely and </w:t>
      </w:r>
      <w:r w:rsidR="68E3A63E" w:rsidRPr="00E55D8C">
        <w:t xml:space="preserve">comprehensively </w:t>
      </w:r>
      <w:r w:rsidR="00E23060" w:rsidRPr="00E55D8C">
        <w:t>re</w:t>
      </w:r>
      <w:r w:rsidR="00BA6919" w:rsidRPr="00E55D8C">
        <w:t>-</w:t>
      </w:r>
      <w:r w:rsidR="00E23060" w:rsidRPr="00E55D8C">
        <w:t xml:space="preserve">evaluated for all subparts and </w:t>
      </w:r>
      <w:r w:rsidR="002738FA">
        <w:rPr>
          <w:sz w:val="22"/>
          <w:szCs w:val="22"/>
        </w:rPr>
        <w:t xml:space="preserve">in some cases </w:t>
      </w:r>
      <w:r w:rsidR="00E23060" w:rsidRPr="00E55D8C">
        <w:t>involved large changes</w:t>
      </w:r>
      <w:r w:rsidR="006660E5" w:rsidRPr="00E55D8C">
        <w:t xml:space="preserve"> in burden and cost from the renewal approved by OMB in 2016. </w:t>
      </w:r>
      <w:r>
        <w:t>In addition to the changes itemized for subparts C, I, W and RR described above, a</w:t>
      </w:r>
      <w:r w:rsidR="006660E5" w:rsidRPr="00E55D8C">
        <w:t xml:space="preserve"> few examples are </w:t>
      </w:r>
      <w:r w:rsidR="000D7B90" w:rsidRPr="00E55D8C">
        <w:t>listed below:</w:t>
      </w:r>
    </w:p>
    <w:p w14:paraId="5A606157" w14:textId="77777777" w:rsidR="00AA0ECC" w:rsidRPr="00196A6A" w:rsidRDefault="00AA0ECC" w:rsidP="008F7D63">
      <w:pPr>
        <w:pStyle w:val="ListParagraph"/>
        <w:rPr>
          <w:szCs w:val="22"/>
        </w:rPr>
      </w:pPr>
    </w:p>
    <w:p w14:paraId="17740E96" w14:textId="7B3CBB92" w:rsidR="00AA0ECC" w:rsidRPr="008F7D63" w:rsidRDefault="00AA0ECC" w:rsidP="00AA0ECC">
      <w:pPr>
        <w:pStyle w:val="ListParagraph"/>
        <w:numPr>
          <w:ilvl w:val="1"/>
          <w:numId w:val="31"/>
        </w:numPr>
        <w:autoSpaceDE w:val="0"/>
        <w:autoSpaceDN w:val="0"/>
        <w:adjustRightInd w:val="0"/>
        <w:rPr>
          <w:szCs w:val="22"/>
        </w:rPr>
      </w:pPr>
      <w:r w:rsidRPr="008F7D63">
        <w:rPr>
          <w:szCs w:val="22"/>
        </w:rPr>
        <w:t xml:space="preserve">For Subpart G, O&amp;M costs </w:t>
      </w:r>
      <w:r w:rsidR="00044B41">
        <w:rPr>
          <w:szCs w:val="22"/>
        </w:rPr>
        <w:t>have increased by</w:t>
      </w:r>
      <w:r w:rsidRPr="008F7D63">
        <w:rPr>
          <w:szCs w:val="22"/>
        </w:rPr>
        <w:t xml:space="preserve"> $12,000 per year per facility for carbon content testing, as a quality assurance measure of carbon content received from feedstock suppliers.</w:t>
      </w:r>
    </w:p>
    <w:p w14:paraId="6676CC12" w14:textId="62908B38" w:rsidR="00AA0ECC" w:rsidRPr="008F7D63" w:rsidRDefault="007B0D25" w:rsidP="00AA0ECC">
      <w:pPr>
        <w:pStyle w:val="ListParagraph"/>
        <w:numPr>
          <w:ilvl w:val="1"/>
          <w:numId w:val="31"/>
        </w:numPr>
        <w:autoSpaceDE w:val="0"/>
        <w:autoSpaceDN w:val="0"/>
        <w:adjustRightInd w:val="0"/>
        <w:rPr>
          <w:szCs w:val="22"/>
        </w:rPr>
      </w:pPr>
      <w:r w:rsidRPr="008F7D63">
        <w:rPr>
          <w:szCs w:val="22"/>
        </w:rPr>
        <w:t>For Subpart L, costs have increased due to improved assumptions related to the large facility</w:t>
      </w:r>
      <w:r w:rsidR="00AA7CF9" w:rsidRPr="008F7D63">
        <w:rPr>
          <w:szCs w:val="22"/>
        </w:rPr>
        <w:t xml:space="preserve"> that reports to Subpart L. I</w:t>
      </w:r>
      <w:r w:rsidRPr="008F7D63">
        <w:rPr>
          <w:szCs w:val="22"/>
        </w:rPr>
        <w:t>n prior analyses, the number of processes at the large facility were underestimated</w:t>
      </w:r>
      <w:r w:rsidR="00AA7CF9" w:rsidRPr="008F7D63">
        <w:rPr>
          <w:szCs w:val="22"/>
        </w:rPr>
        <w:t>; the</w:t>
      </w:r>
      <w:r w:rsidRPr="008F7D63">
        <w:rPr>
          <w:szCs w:val="22"/>
        </w:rPr>
        <w:t xml:space="preserve"> current analysis </w:t>
      </w:r>
      <w:r w:rsidR="00AA7CF9" w:rsidRPr="008F7D63">
        <w:rPr>
          <w:szCs w:val="22"/>
        </w:rPr>
        <w:t xml:space="preserve">uses </w:t>
      </w:r>
      <w:r w:rsidRPr="008F7D63">
        <w:rPr>
          <w:szCs w:val="22"/>
        </w:rPr>
        <w:t>the actual number of processes reported by the facility</w:t>
      </w:r>
      <w:r w:rsidR="00AA7CF9" w:rsidRPr="008F7D63">
        <w:rPr>
          <w:szCs w:val="22"/>
        </w:rPr>
        <w:t>.</w:t>
      </w:r>
    </w:p>
    <w:p w14:paraId="5E39DBE7" w14:textId="1D1DF9B7" w:rsidR="00AA7CF9" w:rsidRPr="008F010B" w:rsidRDefault="003A54DC" w:rsidP="008F7D63">
      <w:pPr>
        <w:pStyle w:val="ListParagraph"/>
        <w:numPr>
          <w:ilvl w:val="1"/>
          <w:numId w:val="31"/>
        </w:numPr>
        <w:autoSpaceDE w:val="0"/>
        <w:autoSpaceDN w:val="0"/>
        <w:adjustRightInd w:val="0"/>
      </w:pPr>
      <w:r w:rsidRPr="008F7D63">
        <w:rPr>
          <w:szCs w:val="22"/>
        </w:rPr>
        <w:t xml:space="preserve">For Subpart X, </w:t>
      </w:r>
      <w:r w:rsidR="005A25F6">
        <w:rPr>
          <w:szCs w:val="22"/>
        </w:rPr>
        <w:t xml:space="preserve">assumptions used to calculate </w:t>
      </w:r>
      <w:r w:rsidR="00E6405C" w:rsidRPr="008F7D63">
        <w:rPr>
          <w:szCs w:val="22"/>
        </w:rPr>
        <w:t>costs related to sampling</w:t>
      </w:r>
      <w:r w:rsidR="0013539C">
        <w:rPr>
          <w:szCs w:val="22"/>
        </w:rPr>
        <w:t xml:space="preserve"> were improved</w:t>
      </w:r>
      <w:r w:rsidR="00E6405C" w:rsidRPr="008F7D63">
        <w:rPr>
          <w:szCs w:val="22"/>
        </w:rPr>
        <w:t>. The prior analyses assumed that all sampling was done manually. The current analysis</w:t>
      </w:r>
      <w:r w:rsidR="00617061" w:rsidRPr="008F7D63">
        <w:rPr>
          <w:szCs w:val="22"/>
        </w:rPr>
        <w:t xml:space="preserve"> assumed that continuous on-line equipment is used for </w:t>
      </w:r>
      <w:r w:rsidR="00E6405C" w:rsidRPr="008F7D63">
        <w:rPr>
          <w:szCs w:val="22"/>
        </w:rPr>
        <w:t xml:space="preserve">hourly and daily sampling; </w:t>
      </w:r>
      <w:r w:rsidR="00C852B6" w:rsidRPr="008F7D63">
        <w:rPr>
          <w:szCs w:val="22"/>
        </w:rPr>
        <w:t xml:space="preserve">only weekly sampling is assumed to </w:t>
      </w:r>
      <w:r w:rsidR="00C852B6" w:rsidRPr="008F010B">
        <w:t>be done manually.</w:t>
      </w:r>
    </w:p>
    <w:p w14:paraId="2201AAD6" w14:textId="77777777" w:rsidR="00E55D8C" w:rsidRPr="00FD0BF8" w:rsidRDefault="00E55D8C" w:rsidP="00FD0BF8">
      <w:pPr>
        <w:pStyle w:val="ListParagraph"/>
        <w:autoSpaceDE w:val="0"/>
        <w:autoSpaceDN w:val="0"/>
        <w:adjustRightInd w:val="0"/>
        <w:ind w:left="2160"/>
      </w:pPr>
    </w:p>
    <w:p w14:paraId="57B5035E" w14:textId="006C0EBA" w:rsidR="00E55D8C" w:rsidRPr="00FD0BF8" w:rsidRDefault="00E55D8C" w:rsidP="53B5BFB5">
      <w:pPr>
        <w:pStyle w:val="ListParagraph"/>
        <w:numPr>
          <w:ilvl w:val="0"/>
          <w:numId w:val="31"/>
        </w:numPr>
        <w:autoSpaceDE w:val="0"/>
        <w:autoSpaceDN w:val="0"/>
        <w:adjustRightInd w:val="0"/>
      </w:pPr>
      <w:r w:rsidRPr="00FD0BF8">
        <w:t>S</w:t>
      </w:r>
      <w:r w:rsidR="00AA259F">
        <w:t>ix</w:t>
      </w:r>
      <w:r w:rsidRPr="00FD0BF8">
        <w:t>th, a new methodology was used to determine the number of responses by subpart and thus the number of total responses for the program</w:t>
      </w:r>
      <w:r w:rsidR="00A97B75">
        <w:t xml:space="preserve"> as shown in Exhibit 6.1</w:t>
      </w:r>
      <w:r w:rsidRPr="00FD0BF8">
        <w:t xml:space="preserve">. </w:t>
      </w:r>
      <w:r w:rsidRPr="008F010B">
        <w:t>In the interest of transparency, EPA’s</w:t>
      </w:r>
      <w:r w:rsidRPr="00FD0BF8">
        <w:t xml:space="preserve"> new method </w:t>
      </w:r>
      <w:r w:rsidR="00AA259F">
        <w:t xml:space="preserve">uses </w:t>
      </w:r>
      <w:r w:rsidRPr="00FD0BF8">
        <w:t xml:space="preserve">the actual data that has been reported to </w:t>
      </w:r>
      <w:r w:rsidR="00AA259F">
        <w:t>the GHGRP</w:t>
      </w:r>
      <w:r w:rsidRPr="00FD0BF8">
        <w:t xml:space="preserve"> through e</w:t>
      </w:r>
      <w:r w:rsidR="00A636CB" w:rsidRPr="53B5BFB5">
        <w:t>-</w:t>
      </w:r>
      <w:r w:rsidRPr="00FD0BF8">
        <w:t>GGRT. </w:t>
      </w:r>
      <w:r w:rsidR="00AA259F">
        <w:t>The</w:t>
      </w:r>
      <w:r w:rsidRPr="53B5BFB5">
        <w:t xml:space="preserve"> </w:t>
      </w:r>
      <w:r w:rsidRPr="00FD0BF8">
        <w:t>e</w:t>
      </w:r>
      <w:r w:rsidR="00A636CB" w:rsidRPr="53B5BFB5">
        <w:t>-</w:t>
      </w:r>
      <w:r w:rsidRPr="00FD0BF8">
        <w:t xml:space="preserve">GGRT database was queried for the number of </w:t>
      </w:r>
      <w:r w:rsidR="0013778F">
        <w:t xml:space="preserve">individual pieces of </w:t>
      </w:r>
      <w:r w:rsidRPr="00FD0BF8">
        <w:t xml:space="preserve">data </w:t>
      </w:r>
      <w:r w:rsidR="0013778F">
        <w:t xml:space="preserve">(i.e., data counts) </w:t>
      </w:r>
      <w:r w:rsidRPr="00FD0BF8">
        <w:t>entered by all re</w:t>
      </w:r>
      <w:r w:rsidR="00AA259F">
        <w:t>spondents</w:t>
      </w:r>
      <w:r w:rsidRPr="53B5BFB5">
        <w:t xml:space="preserve"> </w:t>
      </w:r>
      <w:r w:rsidRPr="00FD0BF8">
        <w:t xml:space="preserve">for </w:t>
      </w:r>
      <w:r w:rsidR="495B8FAC" w:rsidRPr="00FD0BF8">
        <w:t xml:space="preserve">reporting year </w:t>
      </w:r>
      <w:r w:rsidRPr="00FD0BF8">
        <w:t>201</w:t>
      </w:r>
      <w:r w:rsidR="00986405">
        <w:t>7</w:t>
      </w:r>
      <w:r w:rsidR="495B8FAC" w:rsidRPr="53B5BFB5">
        <w:t>,</w:t>
      </w:r>
      <w:r w:rsidRPr="00FD0BF8">
        <w:t xml:space="preserve"> by subpart</w:t>
      </w:r>
      <w:r w:rsidR="495B8FAC" w:rsidRPr="53B5BFB5">
        <w:t>,</w:t>
      </w:r>
      <w:r w:rsidRPr="53B5BFB5">
        <w:t xml:space="preserve"> </w:t>
      </w:r>
      <w:r w:rsidR="53B5BFB5" w:rsidRPr="00FD0BF8">
        <w:t>which provided</w:t>
      </w:r>
      <w:r w:rsidRPr="00FD0BF8">
        <w:t xml:space="preserve"> the number of responses by subpart</w:t>
      </w:r>
      <w:r w:rsidRPr="53B5BFB5">
        <w:t xml:space="preserve">. </w:t>
      </w:r>
      <w:r w:rsidR="00AA259F">
        <w:t>T</w:t>
      </w:r>
      <w:bookmarkStart w:id="41" w:name="_Hlk16149499"/>
      <w:r w:rsidR="00AA259F">
        <w:t xml:space="preserve">he number of responses by subpart was </w:t>
      </w:r>
      <w:r w:rsidR="00A97B75">
        <w:t xml:space="preserve">then </w:t>
      </w:r>
      <w:r w:rsidR="00AA259F">
        <w:t xml:space="preserve">divided by the number of </w:t>
      </w:r>
      <w:r w:rsidR="00BD5060">
        <w:t>reporters</w:t>
      </w:r>
      <w:r w:rsidR="00AA259F">
        <w:t xml:space="preserve"> per subpart to arrive at the </w:t>
      </w:r>
      <w:r w:rsidR="00BD5060">
        <w:t xml:space="preserve">number of responses per respondent. </w:t>
      </w:r>
      <w:r w:rsidRPr="00FD0BF8">
        <w:t>The number of responses by subpart was</w:t>
      </w:r>
      <w:r w:rsidRPr="53B5BFB5">
        <w:t xml:space="preserve"> </w:t>
      </w:r>
      <w:r w:rsidR="00BD5060">
        <w:t xml:space="preserve">also </w:t>
      </w:r>
      <w:r w:rsidRPr="00FD0BF8">
        <w:t>added to</w:t>
      </w:r>
      <w:r w:rsidR="00AA259F">
        <w:t>gether to</w:t>
      </w:r>
      <w:r w:rsidRPr="53B5BFB5">
        <w:t xml:space="preserve"> </w:t>
      </w:r>
      <w:r w:rsidRPr="00FD0BF8">
        <w:t>arrive at the number of total responses for the program. The result is a much larger number of responses than in the previous ICR</w:t>
      </w:r>
      <w:r w:rsidR="003E4570">
        <w:t>;</w:t>
      </w:r>
      <w:r w:rsidRPr="00FD0BF8">
        <w:t xml:space="preserve"> however</w:t>
      </w:r>
      <w:r w:rsidR="003E4570">
        <w:t>,</w:t>
      </w:r>
      <w:r w:rsidRPr="00FD0BF8">
        <w:t xml:space="preserve"> this new methodology is solidly grounded in actual reported data and is therefore considered more accurate than previous estimates</w:t>
      </w:r>
      <w:bookmarkEnd w:id="41"/>
      <w:r w:rsidRPr="53B5BFB5">
        <w:t xml:space="preserve">. </w:t>
      </w:r>
      <w:r w:rsidRPr="00FD0BF8">
        <w:t xml:space="preserve">See Appendix I for more detail on the new methodology for determining the number of </w:t>
      </w:r>
      <w:r w:rsidR="00BD5060">
        <w:t>responses</w:t>
      </w:r>
      <w:r w:rsidR="005C68D2">
        <w:t xml:space="preserve"> per respondent</w:t>
      </w:r>
      <w:r w:rsidR="00BD5060">
        <w:t xml:space="preserve"> by subpart and </w:t>
      </w:r>
      <w:r w:rsidRPr="00FD0BF8">
        <w:t>total responses</w:t>
      </w:r>
      <w:r w:rsidR="00BD5060">
        <w:t xml:space="preserve"> for the GHGRP</w:t>
      </w:r>
      <w:r w:rsidRPr="53B5BFB5">
        <w:t>.</w:t>
      </w:r>
    </w:p>
    <w:p w14:paraId="3CBD14ED" w14:textId="77777777" w:rsidR="0033779A" w:rsidRPr="00FD0BF8" w:rsidRDefault="0033779A" w:rsidP="00FD0BF8">
      <w:pPr>
        <w:pStyle w:val="ListParagraph"/>
        <w:autoSpaceDE w:val="0"/>
        <w:autoSpaceDN w:val="0"/>
        <w:adjustRightInd w:val="0"/>
        <w:ind w:left="1440"/>
      </w:pPr>
    </w:p>
    <w:p w14:paraId="1EFCCDE2" w14:textId="5CF9393E" w:rsidR="000042D3" w:rsidRPr="00FD0BF8" w:rsidRDefault="004B1CB8" w:rsidP="0013778F">
      <w:pPr>
        <w:pStyle w:val="ListParagraph"/>
        <w:numPr>
          <w:ilvl w:val="0"/>
          <w:numId w:val="31"/>
        </w:numPr>
        <w:autoSpaceDE w:val="0"/>
        <w:autoSpaceDN w:val="0"/>
        <w:adjustRightInd w:val="0"/>
      </w:pPr>
      <w:r>
        <w:t>Seventh</w:t>
      </w:r>
      <w:r w:rsidR="0033779A" w:rsidRPr="00FD0BF8">
        <w:t>, d</w:t>
      </w:r>
      <w:r w:rsidR="0033779A" w:rsidRPr="008F010B">
        <w:t>ue to the updates to the tax law for future years (Tax Cuts and Jobs Act, Pub. L. No. 115–97 (2017)) and the benefit of writing off expenses in a higher-tax-rate period, it was</w:t>
      </w:r>
      <w:r w:rsidR="0033779A" w:rsidRPr="00FD0BF8">
        <w:t xml:space="preserve"> determined that the majority of reporting facilities will have paid off any remaining annualized capital costs associated with equipment that was purchased during initial compliance prior to the three years covered by this ICR (e.g. installation of a Continuous Emissions Monitoring System (CEMS)); therefore, those costs are not included in the applicable subparts. The only exception is for Subpart C, which requires that new facilities using Tier 4 to purchase CEMS. It is not clear how this tax law (or any other future tax laws) will affect new facilities that purchase equipment in 2019, 2020, or 2021; therefore, those capital costs are included in the applicable table of Subpart C as a conservative estimate of costs.” As a result, the capital costs have greatly decreased from the renewal approved by OMB in 2016</w:t>
      </w:r>
      <w:r w:rsidR="00A550D2" w:rsidRPr="00FD0BF8">
        <w:t>.</w:t>
      </w:r>
      <w:r w:rsidR="00D00008" w:rsidRPr="00FD0BF8" w:rsidDel="00D00008">
        <w:t xml:space="preserve"> </w:t>
      </w:r>
    </w:p>
    <w:p w14:paraId="641690BA" w14:textId="41C1F0A3" w:rsidR="0033779A" w:rsidRDefault="0033779A" w:rsidP="00D771CB">
      <w:pPr>
        <w:pStyle w:val="ListParagraph"/>
        <w:numPr>
          <w:ilvl w:val="0"/>
          <w:numId w:val="31"/>
        </w:numPr>
        <w:autoSpaceDE w:val="0"/>
        <w:autoSpaceDN w:val="0"/>
        <w:adjustRightInd w:val="0"/>
      </w:pPr>
      <w:r w:rsidRPr="008F010B">
        <w:t xml:space="preserve">Lastly, the large decrease in annual cost burden (represented by combined Capital and O&amp;M costs) is due to an error in the previous ICR entry </w:t>
      </w:r>
      <w:r w:rsidR="00BD5060">
        <w:t xml:space="preserve">as shown on regulations.gov, </w:t>
      </w:r>
      <w:r w:rsidRPr="008F010B">
        <w:t>which incorrectly used labor costs as the annual cost burden amount instead of non-labor costs. The amount entered for t</w:t>
      </w:r>
      <w:r w:rsidRPr="00FD0BF8">
        <w:t>he previous ICR should have been $30,621,791 instead of $58,815,798</w:t>
      </w:r>
      <w:r w:rsidRPr="008F010B">
        <w:t>.</w:t>
      </w:r>
      <w:r w:rsidR="00BD5060">
        <w:t xml:space="preserve"> The values depicted to Exhibit 6.4 below are correct as previously estimated, but not as shown on regulations.gov. </w:t>
      </w:r>
    </w:p>
    <w:p w14:paraId="230531E9" w14:textId="77777777" w:rsidR="00A322FD" w:rsidRPr="00FD0BF8" w:rsidRDefault="00A322FD" w:rsidP="00FD0BF8">
      <w:pPr>
        <w:autoSpaceDE w:val="0"/>
        <w:autoSpaceDN w:val="0"/>
        <w:adjustRightInd w:val="0"/>
      </w:pPr>
    </w:p>
    <w:p w14:paraId="6B9C0978" w14:textId="10313C5C" w:rsidR="00F647F4" w:rsidRDefault="00F647F4" w:rsidP="00D53190">
      <w:pPr>
        <w:pStyle w:val="ExhibitTitle"/>
      </w:pPr>
      <w:r>
        <w:br w:type="page"/>
      </w:r>
    </w:p>
    <w:p w14:paraId="757D949F" w14:textId="702D7742" w:rsidR="007657E4" w:rsidRDefault="00BB2048" w:rsidP="00D53190">
      <w:pPr>
        <w:pStyle w:val="ExhibitTitle"/>
        <w:rPr>
          <w:rFonts w:ascii="Times New Roman" w:hAnsi="Times New Roman" w:cs="Times New Roman"/>
        </w:rPr>
      </w:pPr>
      <w:bookmarkStart w:id="42" w:name="_Toc199048142"/>
      <w:r w:rsidRPr="00D25FC9">
        <w:rPr>
          <w:rFonts w:ascii="Times New Roman" w:hAnsi="Times New Roman" w:cs="Times New Roman"/>
        </w:rPr>
        <w:t>Exhibit 6.4 Summary of Changes in Annual Burden</w:t>
      </w:r>
      <w:bookmarkEnd w:id="42"/>
    </w:p>
    <w:p w14:paraId="00AFE7C1" w14:textId="77777777" w:rsidR="00752397" w:rsidRDefault="00752397" w:rsidP="00D53190">
      <w:pPr>
        <w:pStyle w:val="ExhibitTitle"/>
        <w:rPr>
          <w:rFonts w:ascii="Times New Roman" w:hAnsi="Times New Roman" w:cs="Times New Roman"/>
        </w:rPr>
      </w:pPr>
    </w:p>
    <w:tbl>
      <w:tblPr>
        <w:tblW w:w="9760" w:type="dxa"/>
        <w:tblLook w:val="04A0" w:firstRow="1" w:lastRow="0" w:firstColumn="1" w:lastColumn="0" w:noHBand="0" w:noVBand="1"/>
      </w:tblPr>
      <w:tblGrid>
        <w:gridCol w:w="960"/>
        <w:gridCol w:w="960"/>
        <w:gridCol w:w="960"/>
        <w:gridCol w:w="1120"/>
        <w:gridCol w:w="960"/>
        <w:gridCol w:w="960"/>
        <w:gridCol w:w="960"/>
        <w:gridCol w:w="960"/>
        <w:gridCol w:w="960"/>
        <w:gridCol w:w="960"/>
      </w:tblGrid>
      <w:tr w:rsidR="00752397" w14:paraId="206D5833" w14:textId="77777777" w:rsidTr="007B7599">
        <w:trPr>
          <w:trHeight w:val="85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788581" w14:textId="77777777" w:rsidR="00752397" w:rsidRDefault="00752397">
            <w:pPr>
              <w:jc w:val="center"/>
              <w:rPr>
                <w:b/>
                <w:bCs/>
                <w:color w:val="000000"/>
                <w:sz w:val="16"/>
                <w:szCs w:val="16"/>
              </w:rPr>
            </w:pPr>
            <w:r>
              <w:rPr>
                <w:b/>
                <w:bCs/>
                <w:color w:val="000000"/>
                <w:sz w:val="16"/>
                <w:szCs w:val="16"/>
              </w:rPr>
              <w:t>Title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4A68147" w14:textId="77777777" w:rsidR="00752397" w:rsidRDefault="00752397">
            <w:pPr>
              <w:jc w:val="center"/>
              <w:rPr>
                <w:b/>
                <w:bCs/>
                <w:color w:val="000000"/>
                <w:sz w:val="16"/>
                <w:szCs w:val="16"/>
              </w:rPr>
            </w:pPr>
            <w:r>
              <w:rPr>
                <w:b/>
                <w:bCs/>
                <w:color w:val="000000"/>
                <w:sz w:val="16"/>
                <w:szCs w:val="16"/>
              </w:rPr>
              <w:t>Current OMB Control Number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2BA4B59" w14:textId="77777777" w:rsidR="00752397" w:rsidRDefault="00752397">
            <w:pPr>
              <w:jc w:val="center"/>
              <w:rPr>
                <w:b/>
                <w:bCs/>
                <w:color w:val="000000"/>
                <w:sz w:val="16"/>
                <w:szCs w:val="16"/>
              </w:rPr>
            </w:pPr>
            <w:r>
              <w:rPr>
                <w:b/>
                <w:bCs/>
                <w:color w:val="000000"/>
                <w:sz w:val="16"/>
                <w:szCs w:val="16"/>
              </w:rPr>
              <w:t>Agency Tracking Number</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7FE964E7" w14:textId="77777777" w:rsidR="00752397" w:rsidRDefault="00752397">
            <w:pPr>
              <w:jc w:val="center"/>
              <w:rPr>
                <w:b/>
                <w:bCs/>
                <w:color w:val="000000"/>
                <w:sz w:val="16"/>
                <w:szCs w:val="16"/>
              </w:rPr>
            </w:pPr>
            <w:r>
              <w:rPr>
                <w:b/>
                <w:bCs/>
                <w:color w:val="000000"/>
                <w:sz w:val="16"/>
                <w:szCs w:val="16"/>
              </w:rPr>
              <w:t>Number of Respondents</w:t>
            </w:r>
          </w:p>
        </w:tc>
        <w:tc>
          <w:tcPr>
            <w:tcW w:w="960" w:type="dxa"/>
            <w:tcBorders>
              <w:top w:val="single" w:sz="8" w:space="0" w:color="auto"/>
              <w:left w:val="nil"/>
              <w:bottom w:val="single" w:sz="8" w:space="0" w:color="auto"/>
              <w:right w:val="single" w:sz="8" w:space="0" w:color="auto"/>
            </w:tcBorders>
            <w:shd w:val="clear" w:color="auto" w:fill="auto"/>
            <w:vAlign w:val="center"/>
          </w:tcPr>
          <w:p w14:paraId="37D0EE60" w14:textId="77777777" w:rsidR="00752397" w:rsidRDefault="007B7599">
            <w:pPr>
              <w:jc w:val="center"/>
              <w:rPr>
                <w:b/>
                <w:bCs/>
                <w:color w:val="000000"/>
                <w:sz w:val="16"/>
                <w:szCs w:val="16"/>
              </w:rPr>
            </w:pPr>
            <w:r>
              <w:rPr>
                <w:b/>
                <w:bCs/>
                <w:color w:val="000000"/>
                <w:sz w:val="16"/>
                <w:szCs w:val="16"/>
              </w:rPr>
              <w:t>Number of Responses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555A779" w14:textId="77777777" w:rsidR="00752397" w:rsidRDefault="00752397">
            <w:pPr>
              <w:jc w:val="center"/>
              <w:rPr>
                <w:b/>
                <w:bCs/>
                <w:color w:val="000000"/>
                <w:sz w:val="16"/>
                <w:szCs w:val="16"/>
              </w:rPr>
            </w:pPr>
            <w:r>
              <w:rPr>
                <w:b/>
                <w:bCs/>
                <w:color w:val="000000"/>
                <w:sz w:val="16"/>
                <w:szCs w:val="16"/>
              </w:rPr>
              <w:t>Total Burden (hrs)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206BB8E" w14:textId="77777777" w:rsidR="00752397" w:rsidRDefault="00752397">
            <w:pPr>
              <w:jc w:val="center"/>
              <w:rPr>
                <w:b/>
                <w:bCs/>
                <w:color w:val="000000"/>
                <w:sz w:val="16"/>
                <w:szCs w:val="16"/>
              </w:rPr>
            </w:pPr>
            <w:r>
              <w:rPr>
                <w:b/>
                <w:bCs/>
                <w:color w:val="000000"/>
                <w:sz w:val="16"/>
                <w:szCs w:val="16"/>
              </w:rPr>
              <w:t>Total Labor Cost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755EDF4" w14:textId="77777777" w:rsidR="00752397" w:rsidRDefault="00752397">
            <w:pPr>
              <w:jc w:val="center"/>
              <w:rPr>
                <w:b/>
                <w:bCs/>
                <w:color w:val="000000"/>
                <w:sz w:val="16"/>
                <w:szCs w:val="16"/>
              </w:rPr>
            </w:pPr>
            <w:r>
              <w:rPr>
                <w:b/>
                <w:bCs/>
                <w:color w:val="000000"/>
                <w:sz w:val="16"/>
                <w:szCs w:val="16"/>
              </w:rPr>
              <w:t>Capital Cost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696B2C3" w14:textId="77777777" w:rsidR="00752397" w:rsidRDefault="00752397">
            <w:pPr>
              <w:jc w:val="center"/>
              <w:rPr>
                <w:b/>
                <w:bCs/>
                <w:color w:val="000000"/>
                <w:sz w:val="16"/>
                <w:szCs w:val="16"/>
              </w:rPr>
            </w:pPr>
            <w:r>
              <w:rPr>
                <w:b/>
                <w:bCs/>
                <w:color w:val="000000"/>
                <w:sz w:val="16"/>
                <w:szCs w:val="16"/>
              </w:rPr>
              <w:t>O&amp;M Cost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E54A5E6" w14:textId="77777777" w:rsidR="00752397" w:rsidRDefault="00752397">
            <w:pPr>
              <w:jc w:val="center"/>
              <w:rPr>
                <w:b/>
                <w:bCs/>
                <w:color w:val="000000"/>
                <w:sz w:val="16"/>
                <w:szCs w:val="16"/>
              </w:rPr>
            </w:pPr>
            <w:r>
              <w:rPr>
                <w:b/>
                <w:bCs/>
                <w:color w:val="000000"/>
                <w:sz w:val="16"/>
                <w:szCs w:val="16"/>
              </w:rPr>
              <w:t>Total Cost ($)</w:t>
            </w:r>
          </w:p>
        </w:tc>
      </w:tr>
      <w:tr w:rsidR="00752397" w14:paraId="52079D5B" w14:textId="77777777" w:rsidTr="00752397">
        <w:trPr>
          <w:trHeight w:val="315"/>
        </w:trPr>
        <w:tc>
          <w:tcPr>
            <w:tcW w:w="976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1DDD68BB" w14:textId="77777777" w:rsidR="00752397" w:rsidRDefault="00752397">
            <w:pPr>
              <w:rPr>
                <w:color w:val="000000"/>
                <w:sz w:val="16"/>
                <w:szCs w:val="16"/>
              </w:rPr>
            </w:pPr>
            <w:r>
              <w:rPr>
                <w:color w:val="000000"/>
                <w:sz w:val="16"/>
                <w:szCs w:val="16"/>
              </w:rPr>
              <w:t>Information Collection Request for the Greenhouse Gas Reporting Program</w:t>
            </w:r>
          </w:p>
        </w:tc>
      </w:tr>
      <w:tr w:rsidR="00752397" w14:paraId="5FF57803" w14:textId="77777777" w:rsidTr="00752397">
        <w:trPr>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2C9A95" w14:textId="77777777" w:rsidR="00752397" w:rsidRDefault="00752397">
            <w:pPr>
              <w:jc w:val="center"/>
              <w:rPr>
                <w:color w:val="000000"/>
                <w:sz w:val="16"/>
                <w:szCs w:val="16"/>
              </w:rPr>
            </w:pPr>
            <w:r>
              <w:rPr>
                <w:color w:val="000000"/>
                <w:sz w:val="16"/>
                <w:szCs w:val="16"/>
              </w:rPr>
              <w:t>Current Inventory</w:t>
            </w:r>
          </w:p>
        </w:tc>
        <w:tc>
          <w:tcPr>
            <w:tcW w:w="960" w:type="dxa"/>
            <w:tcBorders>
              <w:top w:val="nil"/>
              <w:left w:val="nil"/>
              <w:bottom w:val="single" w:sz="8" w:space="0" w:color="auto"/>
              <w:right w:val="single" w:sz="8" w:space="0" w:color="auto"/>
            </w:tcBorders>
            <w:shd w:val="clear" w:color="auto" w:fill="auto"/>
            <w:vAlign w:val="center"/>
            <w:hideMark/>
          </w:tcPr>
          <w:p w14:paraId="0F32F689" w14:textId="77777777" w:rsidR="00752397" w:rsidRDefault="00752397">
            <w:pPr>
              <w:jc w:val="center"/>
              <w:rPr>
                <w:color w:val="000000"/>
                <w:sz w:val="16"/>
                <w:szCs w:val="16"/>
              </w:rPr>
            </w:pPr>
            <w:r>
              <w:rPr>
                <w:color w:val="000000"/>
                <w:sz w:val="16"/>
                <w:szCs w:val="16"/>
              </w:rPr>
              <w:t>2060-0629</w:t>
            </w:r>
          </w:p>
        </w:tc>
        <w:tc>
          <w:tcPr>
            <w:tcW w:w="960" w:type="dxa"/>
            <w:tcBorders>
              <w:top w:val="nil"/>
              <w:left w:val="nil"/>
              <w:bottom w:val="single" w:sz="8" w:space="0" w:color="auto"/>
              <w:right w:val="single" w:sz="8" w:space="0" w:color="auto"/>
            </w:tcBorders>
            <w:shd w:val="clear" w:color="auto" w:fill="auto"/>
            <w:vAlign w:val="center"/>
            <w:hideMark/>
          </w:tcPr>
          <w:p w14:paraId="3128A649" w14:textId="77777777" w:rsidR="00752397" w:rsidRDefault="00752397">
            <w:pPr>
              <w:jc w:val="center"/>
              <w:rPr>
                <w:color w:val="000000"/>
                <w:sz w:val="16"/>
                <w:szCs w:val="16"/>
              </w:rPr>
            </w:pPr>
            <w:r>
              <w:rPr>
                <w:color w:val="000000"/>
                <w:sz w:val="16"/>
                <w:szCs w:val="16"/>
              </w:rPr>
              <w:t>2300.17</w:t>
            </w:r>
          </w:p>
        </w:tc>
        <w:tc>
          <w:tcPr>
            <w:tcW w:w="1120" w:type="dxa"/>
            <w:tcBorders>
              <w:top w:val="nil"/>
              <w:left w:val="nil"/>
              <w:bottom w:val="single" w:sz="8" w:space="0" w:color="auto"/>
              <w:right w:val="single" w:sz="8" w:space="0" w:color="auto"/>
            </w:tcBorders>
            <w:shd w:val="clear" w:color="auto" w:fill="auto"/>
            <w:vAlign w:val="center"/>
            <w:hideMark/>
          </w:tcPr>
          <w:p w14:paraId="7F80010D" w14:textId="77777777" w:rsidR="00752397" w:rsidRDefault="00752397">
            <w:pPr>
              <w:jc w:val="center"/>
              <w:rPr>
                <w:color w:val="000000"/>
                <w:sz w:val="16"/>
                <w:szCs w:val="16"/>
              </w:rPr>
            </w:pPr>
            <w:r>
              <w:rPr>
                <w:color w:val="000000"/>
                <w:sz w:val="16"/>
                <w:szCs w:val="16"/>
              </w:rPr>
              <w:t>11,080</w:t>
            </w:r>
          </w:p>
        </w:tc>
        <w:tc>
          <w:tcPr>
            <w:tcW w:w="960" w:type="dxa"/>
            <w:tcBorders>
              <w:top w:val="nil"/>
              <w:left w:val="nil"/>
              <w:bottom w:val="single" w:sz="8" w:space="0" w:color="auto"/>
              <w:right w:val="single" w:sz="8" w:space="0" w:color="auto"/>
            </w:tcBorders>
            <w:shd w:val="clear" w:color="auto" w:fill="auto"/>
            <w:vAlign w:val="center"/>
            <w:hideMark/>
          </w:tcPr>
          <w:p w14:paraId="6CB55B50" w14:textId="48ABABF4" w:rsidR="00752397" w:rsidRDefault="00D72519">
            <w:pPr>
              <w:jc w:val="center"/>
              <w:rPr>
                <w:color w:val="000000"/>
                <w:sz w:val="16"/>
                <w:szCs w:val="16"/>
              </w:rPr>
            </w:pPr>
            <w:r w:rsidRPr="00D72519">
              <w:rPr>
                <w:color w:val="000000"/>
                <w:sz w:val="16"/>
                <w:szCs w:val="16"/>
              </w:rPr>
              <w:t>1,013,963</w:t>
            </w:r>
            <w:r w:rsidR="00752397">
              <w:rPr>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14:paraId="047CF531" w14:textId="77777777" w:rsidR="00752397" w:rsidRDefault="00752397">
            <w:pPr>
              <w:jc w:val="center"/>
              <w:rPr>
                <w:color w:val="000000"/>
                <w:sz w:val="16"/>
                <w:szCs w:val="16"/>
              </w:rPr>
            </w:pPr>
            <w:r>
              <w:rPr>
                <w:color w:val="000000"/>
                <w:sz w:val="16"/>
                <w:szCs w:val="16"/>
              </w:rPr>
              <w:t>739,187</w:t>
            </w:r>
          </w:p>
        </w:tc>
        <w:tc>
          <w:tcPr>
            <w:tcW w:w="960" w:type="dxa"/>
            <w:tcBorders>
              <w:top w:val="nil"/>
              <w:left w:val="nil"/>
              <w:bottom w:val="single" w:sz="8" w:space="0" w:color="auto"/>
              <w:right w:val="single" w:sz="8" w:space="0" w:color="auto"/>
            </w:tcBorders>
            <w:shd w:val="clear" w:color="auto" w:fill="auto"/>
            <w:vAlign w:val="center"/>
            <w:hideMark/>
          </w:tcPr>
          <w:p w14:paraId="48D70648" w14:textId="77777777" w:rsidR="00752397" w:rsidRDefault="00752397">
            <w:pPr>
              <w:jc w:val="center"/>
              <w:rPr>
                <w:color w:val="000000"/>
                <w:sz w:val="16"/>
                <w:szCs w:val="16"/>
              </w:rPr>
            </w:pPr>
            <w:r>
              <w:rPr>
                <w:color w:val="000000"/>
                <w:sz w:val="16"/>
                <w:szCs w:val="16"/>
              </w:rPr>
              <w:t>57,210,010</w:t>
            </w:r>
          </w:p>
        </w:tc>
        <w:tc>
          <w:tcPr>
            <w:tcW w:w="960" w:type="dxa"/>
            <w:tcBorders>
              <w:top w:val="nil"/>
              <w:left w:val="nil"/>
              <w:bottom w:val="single" w:sz="8" w:space="0" w:color="auto"/>
              <w:right w:val="single" w:sz="8" w:space="0" w:color="auto"/>
            </w:tcBorders>
            <w:shd w:val="clear" w:color="auto" w:fill="auto"/>
            <w:vAlign w:val="center"/>
            <w:hideMark/>
          </w:tcPr>
          <w:p w14:paraId="7C18DBCF" w14:textId="77777777" w:rsidR="00752397" w:rsidRDefault="00752397">
            <w:pPr>
              <w:jc w:val="center"/>
              <w:rPr>
                <w:color w:val="000000"/>
                <w:sz w:val="16"/>
                <w:szCs w:val="16"/>
              </w:rPr>
            </w:pPr>
            <w:r>
              <w:rPr>
                <w:color w:val="000000"/>
                <w:sz w:val="16"/>
                <w:szCs w:val="16"/>
              </w:rPr>
              <w:t>15,102,490</w:t>
            </w:r>
          </w:p>
        </w:tc>
        <w:tc>
          <w:tcPr>
            <w:tcW w:w="960" w:type="dxa"/>
            <w:tcBorders>
              <w:top w:val="nil"/>
              <w:left w:val="nil"/>
              <w:bottom w:val="single" w:sz="8" w:space="0" w:color="auto"/>
              <w:right w:val="single" w:sz="8" w:space="0" w:color="auto"/>
            </w:tcBorders>
            <w:shd w:val="clear" w:color="auto" w:fill="auto"/>
            <w:vAlign w:val="center"/>
            <w:hideMark/>
          </w:tcPr>
          <w:p w14:paraId="60B5845D" w14:textId="77777777" w:rsidR="00752397" w:rsidRDefault="00752397">
            <w:pPr>
              <w:jc w:val="center"/>
              <w:rPr>
                <w:color w:val="000000"/>
                <w:sz w:val="16"/>
                <w:szCs w:val="16"/>
              </w:rPr>
            </w:pPr>
            <w:r>
              <w:rPr>
                <w:color w:val="000000"/>
                <w:sz w:val="16"/>
                <w:szCs w:val="16"/>
              </w:rPr>
              <w:t>15,519,301</w:t>
            </w:r>
          </w:p>
        </w:tc>
        <w:tc>
          <w:tcPr>
            <w:tcW w:w="960" w:type="dxa"/>
            <w:tcBorders>
              <w:top w:val="nil"/>
              <w:left w:val="nil"/>
              <w:bottom w:val="single" w:sz="8" w:space="0" w:color="auto"/>
              <w:right w:val="single" w:sz="8" w:space="0" w:color="auto"/>
            </w:tcBorders>
            <w:shd w:val="clear" w:color="auto" w:fill="auto"/>
            <w:vAlign w:val="center"/>
            <w:hideMark/>
          </w:tcPr>
          <w:p w14:paraId="2EA3E0D8" w14:textId="77777777" w:rsidR="00752397" w:rsidRDefault="00752397">
            <w:pPr>
              <w:jc w:val="center"/>
              <w:rPr>
                <w:color w:val="000000"/>
                <w:sz w:val="16"/>
                <w:szCs w:val="16"/>
              </w:rPr>
            </w:pPr>
            <w:r>
              <w:rPr>
                <w:color w:val="000000"/>
                <w:sz w:val="16"/>
                <w:szCs w:val="16"/>
              </w:rPr>
              <w:t>87,831,801</w:t>
            </w:r>
          </w:p>
        </w:tc>
      </w:tr>
      <w:tr w:rsidR="00752397" w14:paraId="383BE3C2" w14:textId="77777777" w:rsidTr="00752397">
        <w:trPr>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09F81C" w14:textId="77777777" w:rsidR="00752397" w:rsidRDefault="00752397">
            <w:pPr>
              <w:jc w:val="center"/>
              <w:rPr>
                <w:color w:val="000000"/>
                <w:sz w:val="16"/>
                <w:szCs w:val="16"/>
              </w:rPr>
            </w:pPr>
            <w:r>
              <w:rPr>
                <w:color w:val="000000"/>
                <w:sz w:val="16"/>
                <w:szCs w:val="16"/>
              </w:rPr>
              <w:t>Revised Inventory</w:t>
            </w:r>
          </w:p>
        </w:tc>
        <w:tc>
          <w:tcPr>
            <w:tcW w:w="960" w:type="dxa"/>
            <w:tcBorders>
              <w:top w:val="nil"/>
              <w:left w:val="nil"/>
              <w:bottom w:val="single" w:sz="8" w:space="0" w:color="auto"/>
              <w:right w:val="single" w:sz="8" w:space="0" w:color="auto"/>
            </w:tcBorders>
            <w:shd w:val="clear" w:color="auto" w:fill="auto"/>
            <w:vAlign w:val="center"/>
            <w:hideMark/>
          </w:tcPr>
          <w:p w14:paraId="04802F08" w14:textId="77777777" w:rsidR="00752397" w:rsidRDefault="00752397">
            <w:pPr>
              <w:jc w:val="center"/>
              <w:rPr>
                <w:color w:val="000000"/>
                <w:sz w:val="16"/>
                <w:szCs w:val="16"/>
              </w:rPr>
            </w:pPr>
            <w:r>
              <w:rPr>
                <w:color w:val="000000"/>
                <w:sz w:val="16"/>
                <w:szCs w:val="16"/>
              </w:rPr>
              <w:t>2060-0629</w:t>
            </w:r>
          </w:p>
        </w:tc>
        <w:tc>
          <w:tcPr>
            <w:tcW w:w="960" w:type="dxa"/>
            <w:tcBorders>
              <w:top w:val="nil"/>
              <w:left w:val="nil"/>
              <w:bottom w:val="single" w:sz="8" w:space="0" w:color="auto"/>
              <w:right w:val="single" w:sz="8" w:space="0" w:color="auto"/>
            </w:tcBorders>
            <w:shd w:val="clear" w:color="auto" w:fill="auto"/>
            <w:vAlign w:val="center"/>
            <w:hideMark/>
          </w:tcPr>
          <w:p w14:paraId="4498E5C0" w14:textId="77777777" w:rsidR="00752397" w:rsidRDefault="00752397">
            <w:pPr>
              <w:jc w:val="center"/>
              <w:rPr>
                <w:color w:val="000000"/>
                <w:sz w:val="16"/>
                <w:szCs w:val="16"/>
              </w:rPr>
            </w:pPr>
            <w:r>
              <w:rPr>
                <w:color w:val="000000"/>
                <w:sz w:val="16"/>
                <w:szCs w:val="16"/>
              </w:rPr>
              <w:t>2300.18</w:t>
            </w:r>
          </w:p>
        </w:tc>
        <w:tc>
          <w:tcPr>
            <w:tcW w:w="1120" w:type="dxa"/>
            <w:tcBorders>
              <w:top w:val="nil"/>
              <w:left w:val="nil"/>
              <w:bottom w:val="single" w:sz="8" w:space="0" w:color="auto"/>
              <w:right w:val="single" w:sz="8" w:space="0" w:color="auto"/>
            </w:tcBorders>
            <w:shd w:val="clear" w:color="auto" w:fill="auto"/>
            <w:vAlign w:val="center"/>
            <w:hideMark/>
          </w:tcPr>
          <w:p w14:paraId="38B2D828" w14:textId="77777777" w:rsidR="00752397" w:rsidRDefault="00752397">
            <w:pPr>
              <w:jc w:val="center"/>
              <w:rPr>
                <w:color w:val="000000"/>
                <w:sz w:val="16"/>
                <w:szCs w:val="16"/>
              </w:rPr>
            </w:pPr>
            <w:r>
              <w:rPr>
                <w:color w:val="000000"/>
                <w:sz w:val="16"/>
                <w:szCs w:val="16"/>
              </w:rPr>
              <w:t>13,180</w:t>
            </w:r>
          </w:p>
        </w:tc>
        <w:tc>
          <w:tcPr>
            <w:tcW w:w="960" w:type="dxa"/>
            <w:tcBorders>
              <w:top w:val="nil"/>
              <w:left w:val="nil"/>
              <w:bottom w:val="single" w:sz="8" w:space="0" w:color="auto"/>
              <w:right w:val="single" w:sz="8" w:space="0" w:color="auto"/>
            </w:tcBorders>
            <w:shd w:val="clear" w:color="auto" w:fill="auto"/>
            <w:vAlign w:val="center"/>
            <w:hideMark/>
          </w:tcPr>
          <w:p w14:paraId="401B5577" w14:textId="24DCAA56" w:rsidR="00752397" w:rsidRDefault="00304968">
            <w:pPr>
              <w:jc w:val="center"/>
              <w:rPr>
                <w:color w:val="000000"/>
                <w:sz w:val="16"/>
                <w:szCs w:val="16"/>
              </w:rPr>
            </w:pPr>
            <w:r w:rsidRPr="00304968">
              <w:rPr>
                <w:color w:val="000000"/>
                <w:sz w:val="16"/>
                <w:szCs w:val="16"/>
              </w:rPr>
              <w:t>9</w:t>
            </w:r>
            <w:r>
              <w:rPr>
                <w:color w:val="000000"/>
                <w:sz w:val="16"/>
                <w:szCs w:val="16"/>
              </w:rPr>
              <w:t>,</w:t>
            </w:r>
            <w:r w:rsidR="000962EA">
              <w:rPr>
                <w:color w:val="000000"/>
                <w:sz w:val="16"/>
                <w:szCs w:val="16"/>
              </w:rPr>
              <w:t>8</w:t>
            </w:r>
            <w:r w:rsidR="00AB5ED1">
              <w:rPr>
                <w:color w:val="000000"/>
                <w:sz w:val="16"/>
                <w:szCs w:val="16"/>
              </w:rPr>
              <w:t>53</w:t>
            </w:r>
            <w:r>
              <w:rPr>
                <w:color w:val="000000"/>
                <w:sz w:val="16"/>
                <w:szCs w:val="16"/>
              </w:rPr>
              <w:t>,</w:t>
            </w:r>
            <w:r w:rsidR="00AB5ED1">
              <w:rPr>
                <w:color w:val="000000"/>
                <w:sz w:val="16"/>
                <w:szCs w:val="16"/>
              </w:rPr>
              <w:t>129</w:t>
            </w:r>
          </w:p>
        </w:tc>
        <w:tc>
          <w:tcPr>
            <w:tcW w:w="960" w:type="dxa"/>
            <w:tcBorders>
              <w:top w:val="nil"/>
              <w:left w:val="nil"/>
              <w:bottom w:val="single" w:sz="8" w:space="0" w:color="auto"/>
              <w:right w:val="single" w:sz="8" w:space="0" w:color="auto"/>
            </w:tcBorders>
            <w:shd w:val="clear" w:color="auto" w:fill="auto"/>
            <w:vAlign w:val="center"/>
            <w:hideMark/>
          </w:tcPr>
          <w:p w14:paraId="73AA9563" w14:textId="77777777" w:rsidR="00752397" w:rsidRDefault="00752397">
            <w:pPr>
              <w:jc w:val="center"/>
              <w:rPr>
                <w:color w:val="000000"/>
                <w:sz w:val="16"/>
                <w:szCs w:val="16"/>
              </w:rPr>
            </w:pPr>
            <w:r>
              <w:rPr>
                <w:color w:val="000000"/>
                <w:sz w:val="16"/>
                <w:szCs w:val="16"/>
              </w:rPr>
              <w:t>740,012</w:t>
            </w:r>
          </w:p>
        </w:tc>
        <w:tc>
          <w:tcPr>
            <w:tcW w:w="960" w:type="dxa"/>
            <w:tcBorders>
              <w:top w:val="nil"/>
              <w:left w:val="nil"/>
              <w:bottom w:val="single" w:sz="8" w:space="0" w:color="auto"/>
              <w:right w:val="single" w:sz="8" w:space="0" w:color="auto"/>
            </w:tcBorders>
            <w:shd w:val="clear" w:color="auto" w:fill="auto"/>
            <w:vAlign w:val="center"/>
            <w:hideMark/>
          </w:tcPr>
          <w:p w14:paraId="7231EB07" w14:textId="77777777" w:rsidR="00752397" w:rsidRDefault="00752397">
            <w:pPr>
              <w:jc w:val="center"/>
              <w:rPr>
                <w:color w:val="000000"/>
                <w:sz w:val="16"/>
                <w:szCs w:val="16"/>
              </w:rPr>
            </w:pPr>
            <w:r>
              <w:rPr>
                <w:color w:val="000000"/>
                <w:sz w:val="16"/>
                <w:szCs w:val="16"/>
              </w:rPr>
              <w:t>58,419,314</w:t>
            </w:r>
          </w:p>
        </w:tc>
        <w:tc>
          <w:tcPr>
            <w:tcW w:w="960" w:type="dxa"/>
            <w:tcBorders>
              <w:top w:val="nil"/>
              <w:left w:val="nil"/>
              <w:bottom w:val="single" w:sz="8" w:space="0" w:color="auto"/>
              <w:right w:val="single" w:sz="8" w:space="0" w:color="auto"/>
            </w:tcBorders>
            <w:shd w:val="clear" w:color="auto" w:fill="auto"/>
            <w:vAlign w:val="center"/>
            <w:hideMark/>
          </w:tcPr>
          <w:p w14:paraId="00125353" w14:textId="77777777" w:rsidR="00752397" w:rsidRDefault="00752397">
            <w:pPr>
              <w:jc w:val="center"/>
              <w:rPr>
                <w:color w:val="000000"/>
                <w:sz w:val="16"/>
                <w:szCs w:val="16"/>
              </w:rPr>
            </w:pPr>
            <w:r>
              <w:rPr>
                <w:color w:val="000000"/>
                <w:sz w:val="16"/>
                <w:szCs w:val="16"/>
              </w:rPr>
              <w:t>412,014</w:t>
            </w:r>
          </w:p>
        </w:tc>
        <w:tc>
          <w:tcPr>
            <w:tcW w:w="960" w:type="dxa"/>
            <w:tcBorders>
              <w:top w:val="nil"/>
              <w:left w:val="nil"/>
              <w:bottom w:val="single" w:sz="8" w:space="0" w:color="auto"/>
              <w:right w:val="single" w:sz="8" w:space="0" w:color="auto"/>
            </w:tcBorders>
            <w:shd w:val="clear" w:color="auto" w:fill="auto"/>
            <w:vAlign w:val="center"/>
            <w:hideMark/>
          </w:tcPr>
          <w:p w14:paraId="5A133A4B" w14:textId="77777777" w:rsidR="00752397" w:rsidRDefault="00752397">
            <w:pPr>
              <w:jc w:val="center"/>
              <w:rPr>
                <w:color w:val="000000"/>
                <w:sz w:val="16"/>
                <w:szCs w:val="16"/>
              </w:rPr>
            </w:pPr>
            <w:r>
              <w:rPr>
                <w:color w:val="000000"/>
                <w:sz w:val="16"/>
                <w:szCs w:val="16"/>
              </w:rPr>
              <w:t>29,114,383</w:t>
            </w:r>
          </w:p>
        </w:tc>
        <w:tc>
          <w:tcPr>
            <w:tcW w:w="960" w:type="dxa"/>
            <w:tcBorders>
              <w:top w:val="nil"/>
              <w:left w:val="nil"/>
              <w:bottom w:val="single" w:sz="8" w:space="0" w:color="auto"/>
              <w:right w:val="single" w:sz="8" w:space="0" w:color="auto"/>
            </w:tcBorders>
            <w:shd w:val="clear" w:color="auto" w:fill="auto"/>
            <w:vAlign w:val="center"/>
            <w:hideMark/>
          </w:tcPr>
          <w:p w14:paraId="2EB0305B" w14:textId="77777777" w:rsidR="00752397" w:rsidRDefault="00752397">
            <w:pPr>
              <w:jc w:val="center"/>
              <w:rPr>
                <w:color w:val="000000"/>
                <w:sz w:val="16"/>
                <w:szCs w:val="16"/>
              </w:rPr>
            </w:pPr>
            <w:r>
              <w:rPr>
                <w:color w:val="000000"/>
                <w:sz w:val="16"/>
                <w:szCs w:val="16"/>
              </w:rPr>
              <w:t>87,945,711</w:t>
            </w:r>
          </w:p>
        </w:tc>
      </w:tr>
      <w:tr w:rsidR="00752397" w14:paraId="551E8CE7" w14:textId="77777777" w:rsidTr="00084E5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C9D5500" w14:textId="77777777" w:rsidR="00752397" w:rsidRDefault="00752397">
            <w:pPr>
              <w:jc w:val="center"/>
              <w:rPr>
                <w:color w:val="000000"/>
                <w:sz w:val="16"/>
                <w:szCs w:val="16"/>
              </w:rPr>
            </w:pPr>
            <w:r>
              <w:rPr>
                <w:color w:val="000000"/>
                <w:sz w:val="16"/>
                <w:szCs w:val="16"/>
              </w:rPr>
              <w:t>Change</w:t>
            </w:r>
          </w:p>
        </w:tc>
        <w:tc>
          <w:tcPr>
            <w:tcW w:w="960" w:type="dxa"/>
            <w:tcBorders>
              <w:top w:val="nil"/>
              <w:left w:val="nil"/>
              <w:bottom w:val="single" w:sz="8" w:space="0" w:color="auto"/>
              <w:right w:val="single" w:sz="8" w:space="0" w:color="auto"/>
            </w:tcBorders>
            <w:shd w:val="clear" w:color="auto" w:fill="auto"/>
            <w:vAlign w:val="center"/>
            <w:hideMark/>
          </w:tcPr>
          <w:p w14:paraId="6AD2E4CC" w14:textId="77777777" w:rsidR="00752397" w:rsidRDefault="00752397">
            <w:pPr>
              <w:jc w:val="center"/>
              <w:rPr>
                <w:color w:val="000000"/>
                <w:sz w:val="16"/>
                <w:szCs w:val="16"/>
              </w:rPr>
            </w:pPr>
            <w:r>
              <w:rPr>
                <w:bCs/>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14:paraId="37A0536E" w14:textId="77777777" w:rsidR="00752397" w:rsidRDefault="00752397">
            <w:pPr>
              <w:jc w:val="center"/>
              <w:rPr>
                <w:color w:val="000000"/>
                <w:sz w:val="16"/>
                <w:szCs w:val="16"/>
              </w:rPr>
            </w:pPr>
            <w:r>
              <w:rPr>
                <w:bCs/>
                <w:color w:val="000000"/>
                <w:sz w:val="16"/>
                <w:szCs w:val="16"/>
              </w:rPr>
              <w:t> </w:t>
            </w:r>
          </w:p>
        </w:tc>
        <w:tc>
          <w:tcPr>
            <w:tcW w:w="1120" w:type="dxa"/>
            <w:tcBorders>
              <w:top w:val="nil"/>
              <w:left w:val="nil"/>
              <w:bottom w:val="single" w:sz="8" w:space="0" w:color="auto"/>
              <w:right w:val="single" w:sz="8" w:space="0" w:color="auto"/>
            </w:tcBorders>
            <w:shd w:val="clear" w:color="auto" w:fill="auto"/>
            <w:vAlign w:val="center"/>
            <w:hideMark/>
          </w:tcPr>
          <w:p w14:paraId="1CAD7D67" w14:textId="77777777" w:rsidR="00752397" w:rsidRDefault="00752397">
            <w:pPr>
              <w:jc w:val="center"/>
              <w:rPr>
                <w:color w:val="000000"/>
                <w:sz w:val="16"/>
                <w:szCs w:val="16"/>
              </w:rPr>
            </w:pPr>
            <w:r>
              <w:rPr>
                <w:color w:val="000000"/>
                <w:sz w:val="16"/>
                <w:szCs w:val="16"/>
              </w:rPr>
              <w:t>2,100</w:t>
            </w:r>
          </w:p>
        </w:tc>
        <w:tc>
          <w:tcPr>
            <w:tcW w:w="960" w:type="dxa"/>
            <w:tcBorders>
              <w:top w:val="nil"/>
              <w:left w:val="nil"/>
              <w:bottom w:val="single" w:sz="8" w:space="0" w:color="auto"/>
              <w:right w:val="single" w:sz="8" w:space="0" w:color="auto"/>
            </w:tcBorders>
            <w:shd w:val="clear" w:color="auto" w:fill="auto"/>
            <w:vAlign w:val="center"/>
            <w:hideMark/>
          </w:tcPr>
          <w:p w14:paraId="46B0951C" w14:textId="1296210F" w:rsidR="00752397" w:rsidRDefault="00B600AC">
            <w:pPr>
              <w:jc w:val="center"/>
              <w:rPr>
                <w:color w:val="000000"/>
                <w:sz w:val="16"/>
                <w:szCs w:val="16"/>
              </w:rPr>
            </w:pPr>
            <w:r>
              <w:rPr>
                <w:color w:val="000000"/>
                <w:sz w:val="16"/>
                <w:szCs w:val="16"/>
              </w:rPr>
              <w:t>8,431,024</w:t>
            </w:r>
          </w:p>
        </w:tc>
        <w:tc>
          <w:tcPr>
            <w:tcW w:w="960" w:type="dxa"/>
            <w:tcBorders>
              <w:top w:val="nil"/>
              <w:left w:val="nil"/>
              <w:bottom w:val="single" w:sz="8" w:space="0" w:color="auto"/>
              <w:right w:val="single" w:sz="8" w:space="0" w:color="auto"/>
            </w:tcBorders>
            <w:shd w:val="clear" w:color="auto" w:fill="auto"/>
            <w:vAlign w:val="center"/>
            <w:hideMark/>
          </w:tcPr>
          <w:p w14:paraId="7F5531F4" w14:textId="77777777" w:rsidR="00752397" w:rsidRDefault="00752397">
            <w:pPr>
              <w:jc w:val="center"/>
              <w:rPr>
                <w:color w:val="000000"/>
                <w:sz w:val="16"/>
                <w:szCs w:val="16"/>
              </w:rPr>
            </w:pPr>
            <w:r>
              <w:rPr>
                <w:color w:val="000000"/>
                <w:sz w:val="16"/>
                <w:szCs w:val="16"/>
              </w:rPr>
              <w:t>825</w:t>
            </w:r>
          </w:p>
        </w:tc>
        <w:tc>
          <w:tcPr>
            <w:tcW w:w="960" w:type="dxa"/>
            <w:tcBorders>
              <w:top w:val="nil"/>
              <w:left w:val="nil"/>
              <w:bottom w:val="single" w:sz="8" w:space="0" w:color="auto"/>
              <w:right w:val="single" w:sz="8" w:space="0" w:color="auto"/>
            </w:tcBorders>
            <w:shd w:val="clear" w:color="auto" w:fill="auto"/>
            <w:vAlign w:val="center"/>
            <w:hideMark/>
          </w:tcPr>
          <w:p w14:paraId="026A553B" w14:textId="77777777" w:rsidR="00752397" w:rsidRDefault="00752397">
            <w:pPr>
              <w:jc w:val="center"/>
              <w:rPr>
                <w:color w:val="000000"/>
                <w:sz w:val="16"/>
                <w:szCs w:val="16"/>
              </w:rPr>
            </w:pPr>
            <w:r>
              <w:rPr>
                <w:color w:val="000000"/>
                <w:sz w:val="16"/>
                <w:szCs w:val="16"/>
              </w:rPr>
              <w:t>1,209,304</w:t>
            </w:r>
          </w:p>
        </w:tc>
        <w:tc>
          <w:tcPr>
            <w:tcW w:w="960" w:type="dxa"/>
            <w:tcBorders>
              <w:top w:val="nil"/>
              <w:left w:val="nil"/>
              <w:bottom w:val="single" w:sz="8" w:space="0" w:color="auto"/>
              <w:right w:val="single" w:sz="8" w:space="0" w:color="auto"/>
            </w:tcBorders>
            <w:shd w:val="clear" w:color="auto" w:fill="auto"/>
            <w:vAlign w:val="center"/>
            <w:hideMark/>
          </w:tcPr>
          <w:p w14:paraId="44546803" w14:textId="77777777" w:rsidR="00752397" w:rsidRDefault="00752397">
            <w:pPr>
              <w:jc w:val="center"/>
              <w:rPr>
                <w:color w:val="000000"/>
                <w:sz w:val="16"/>
                <w:szCs w:val="16"/>
              </w:rPr>
            </w:pPr>
            <w:r>
              <w:rPr>
                <w:color w:val="000000"/>
                <w:sz w:val="16"/>
                <w:szCs w:val="16"/>
              </w:rPr>
              <w:t>-14,690,476</w:t>
            </w:r>
          </w:p>
        </w:tc>
        <w:tc>
          <w:tcPr>
            <w:tcW w:w="960" w:type="dxa"/>
            <w:tcBorders>
              <w:top w:val="nil"/>
              <w:left w:val="nil"/>
              <w:bottom w:val="single" w:sz="8" w:space="0" w:color="auto"/>
              <w:right w:val="single" w:sz="8" w:space="0" w:color="auto"/>
            </w:tcBorders>
            <w:shd w:val="clear" w:color="auto" w:fill="auto"/>
            <w:vAlign w:val="center"/>
            <w:hideMark/>
          </w:tcPr>
          <w:p w14:paraId="7527220A" w14:textId="77777777" w:rsidR="00752397" w:rsidRDefault="00752397">
            <w:pPr>
              <w:jc w:val="center"/>
              <w:rPr>
                <w:color w:val="000000"/>
                <w:sz w:val="16"/>
                <w:szCs w:val="16"/>
              </w:rPr>
            </w:pPr>
            <w:r>
              <w:rPr>
                <w:color w:val="000000"/>
                <w:sz w:val="16"/>
                <w:szCs w:val="16"/>
              </w:rPr>
              <w:t>13,595,082</w:t>
            </w:r>
          </w:p>
        </w:tc>
        <w:tc>
          <w:tcPr>
            <w:tcW w:w="960" w:type="dxa"/>
            <w:tcBorders>
              <w:top w:val="nil"/>
              <w:left w:val="nil"/>
              <w:bottom w:val="single" w:sz="8" w:space="0" w:color="auto"/>
              <w:right w:val="single" w:sz="8" w:space="0" w:color="auto"/>
            </w:tcBorders>
            <w:shd w:val="clear" w:color="auto" w:fill="auto"/>
            <w:vAlign w:val="center"/>
            <w:hideMark/>
          </w:tcPr>
          <w:p w14:paraId="7951E080" w14:textId="77777777" w:rsidR="00752397" w:rsidRDefault="00752397">
            <w:pPr>
              <w:jc w:val="center"/>
              <w:rPr>
                <w:color w:val="000000"/>
                <w:sz w:val="16"/>
                <w:szCs w:val="16"/>
              </w:rPr>
            </w:pPr>
            <w:r>
              <w:rPr>
                <w:color w:val="000000"/>
                <w:sz w:val="16"/>
                <w:szCs w:val="16"/>
              </w:rPr>
              <w:t>113,910</w:t>
            </w:r>
          </w:p>
        </w:tc>
      </w:tr>
      <w:tr w:rsidR="00084E53" w14:paraId="73620CB4" w14:textId="77777777" w:rsidTr="0013778F">
        <w:trPr>
          <w:trHeight w:val="315"/>
        </w:trPr>
        <w:tc>
          <w:tcPr>
            <w:tcW w:w="9760" w:type="dxa"/>
            <w:gridSpan w:val="10"/>
            <w:tcBorders>
              <w:top w:val="single" w:sz="8" w:space="0" w:color="auto"/>
              <w:left w:val="single" w:sz="8" w:space="0" w:color="auto"/>
              <w:bottom w:val="single" w:sz="8" w:space="0" w:color="auto"/>
              <w:right w:val="single" w:sz="8" w:space="0" w:color="auto"/>
            </w:tcBorders>
            <w:shd w:val="clear" w:color="auto" w:fill="auto"/>
          </w:tcPr>
          <w:p w14:paraId="47DA88FA" w14:textId="77777777" w:rsidR="00084E53" w:rsidRPr="00D25FC9" w:rsidRDefault="00084E53" w:rsidP="00084E53">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D25FC9">
              <w:rPr>
                <w:sz w:val="16"/>
                <w:szCs w:val="16"/>
              </w:rPr>
              <w:t>Reason for Change in Burden</w:t>
            </w:r>
          </w:p>
          <w:p w14:paraId="25C5AD32" w14:textId="77777777" w:rsidR="00084E53" w:rsidRPr="000A68C7" w:rsidRDefault="00084E53" w:rsidP="00084E53">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0A68C7">
              <w:rPr>
                <w:sz w:val="16"/>
                <w:szCs w:val="16"/>
              </w:rPr>
              <w:t>Adjusted the number of respondents</w:t>
            </w:r>
            <w:r w:rsidRPr="008F7D63">
              <w:rPr>
                <w:sz w:val="16"/>
                <w:szCs w:val="16"/>
              </w:rPr>
              <w:t xml:space="preserve"> to correspond to actual data from RY2017 reports</w:t>
            </w:r>
            <w:r>
              <w:rPr>
                <w:sz w:val="16"/>
                <w:szCs w:val="16"/>
              </w:rPr>
              <w:t>.</w:t>
            </w:r>
          </w:p>
          <w:p w14:paraId="2B9230DB" w14:textId="57AD3F42" w:rsidR="00084E53" w:rsidRPr="00A009C4" w:rsidRDefault="00084E53" w:rsidP="00084E53">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A009C4">
              <w:rPr>
                <w:sz w:val="16"/>
                <w:szCs w:val="16"/>
              </w:rPr>
              <w:t>Adjusted labor rates</w:t>
            </w:r>
            <w:r>
              <w:rPr>
                <w:sz w:val="16"/>
                <w:szCs w:val="16"/>
              </w:rPr>
              <w:t xml:space="preserve"> (see Appendix D of this Supporting Statement).</w:t>
            </w:r>
          </w:p>
          <w:p w14:paraId="2269054C" w14:textId="77777777" w:rsidR="00084E53" w:rsidRPr="000A68C7" w:rsidRDefault="00084E53" w:rsidP="00084E53">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Updated</w:t>
            </w:r>
            <w:r w:rsidRPr="000A68C7">
              <w:rPr>
                <w:sz w:val="16"/>
                <w:szCs w:val="16"/>
              </w:rPr>
              <w:t xml:space="preserve"> assumptions </w:t>
            </w:r>
            <w:r>
              <w:rPr>
                <w:sz w:val="16"/>
                <w:szCs w:val="16"/>
              </w:rPr>
              <w:t xml:space="preserve">used in the burden and cost analysis </w:t>
            </w:r>
            <w:r w:rsidRPr="000A68C7">
              <w:rPr>
                <w:sz w:val="16"/>
                <w:szCs w:val="16"/>
              </w:rPr>
              <w:t xml:space="preserve">for Subpart </w:t>
            </w:r>
            <w:r>
              <w:rPr>
                <w:sz w:val="16"/>
                <w:szCs w:val="16"/>
              </w:rPr>
              <w:t>W</w:t>
            </w:r>
            <w:r w:rsidRPr="000A68C7">
              <w:rPr>
                <w:sz w:val="16"/>
                <w:szCs w:val="16"/>
              </w:rPr>
              <w:t xml:space="preserve"> (see Appendix E of this Supporting Statement)</w:t>
            </w:r>
            <w:r>
              <w:rPr>
                <w:sz w:val="16"/>
                <w:szCs w:val="16"/>
              </w:rPr>
              <w:t>.</w:t>
            </w:r>
          </w:p>
          <w:p w14:paraId="31FCEFE1" w14:textId="77777777" w:rsidR="00084E53" w:rsidRDefault="00084E53" w:rsidP="00084E53">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Updated </w:t>
            </w:r>
            <w:r w:rsidRPr="000A68C7">
              <w:rPr>
                <w:sz w:val="16"/>
                <w:szCs w:val="16"/>
              </w:rPr>
              <w:t xml:space="preserve">assumptions </w:t>
            </w:r>
            <w:r>
              <w:rPr>
                <w:sz w:val="16"/>
                <w:szCs w:val="16"/>
              </w:rPr>
              <w:t xml:space="preserve">used in the burden and cost analysis </w:t>
            </w:r>
            <w:r w:rsidRPr="000A68C7">
              <w:rPr>
                <w:sz w:val="16"/>
                <w:szCs w:val="16"/>
              </w:rPr>
              <w:t xml:space="preserve">for Subpart </w:t>
            </w:r>
            <w:r>
              <w:rPr>
                <w:sz w:val="16"/>
                <w:szCs w:val="16"/>
              </w:rPr>
              <w:t>C</w:t>
            </w:r>
            <w:r w:rsidRPr="000A68C7">
              <w:rPr>
                <w:sz w:val="16"/>
                <w:szCs w:val="16"/>
              </w:rPr>
              <w:t xml:space="preserve"> (see Appendix F of this Supporting Statement)</w:t>
            </w:r>
            <w:r>
              <w:rPr>
                <w:sz w:val="16"/>
                <w:szCs w:val="16"/>
              </w:rPr>
              <w:t>.</w:t>
            </w:r>
          </w:p>
          <w:p w14:paraId="4F8B5837" w14:textId="77777777" w:rsidR="00084E53" w:rsidRDefault="00084E53" w:rsidP="00084E53">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Updated </w:t>
            </w:r>
            <w:r w:rsidRPr="000A68C7">
              <w:rPr>
                <w:sz w:val="16"/>
                <w:szCs w:val="16"/>
              </w:rPr>
              <w:t xml:space="preserve">assumptions </w:t>
            </w:r>
            <w:r>
              <w:rPr>
                <w:sz w:val="16"/>
                <w:szCs w:val="16"/>
              </w:rPr>
              <w:t xml:space="preserve">used in the burden and cost analysis </w:t>
            </w:r>
            <w:r w:rsidRPr="000A68C7">
              <w:rPr>
                <w:sz w:val="16"/>
                <w:szCs w:val="16"/>
              </w:rPr>
              <w:t xml:space="preserve">for Subpart </w:t>
            </w:r>
            <w:r>
              <w:rPr>
                <w:sz w:val="16"/>
                <w:szCs w:val="16"/>
              </w:rPr>
              <w:t>RR</w:t>
            </w:r>
            <w:r w:rsidRPr="000A68C7">
              <w:rPr>
                <w:sz w:val="16"/>
                <w:szCs w:val="16"/>
              </w:rPr>
              <w:t xml:space="preserve"> (see Appendix </w:t>
            </w:r>
            <w:r>
              <w:rPr>
                <w:sz w:val="16"/>
                <w:szCs w:val="16"/>
              </w:rPr>
              <w:t>G</w:t>
            </w:r>
            <w:r w:rsidRPr="000A68C7">
              <w:rPr>
                <w:sz w:val="16"/>
                <w:szCs w:val="16"/>
              </w:rPr>
              <w:t xml:space="preserve"> of this Supporting Statement</w:t>
            </w:r>
            <w:r>
              <w:rPr>
                <w:sz w:val="16"/>
                <w:szCs w:val="16"/>
              </w:rPr>
              <w:t>).</w:t>
            </w:r>
          </w:p>
          <w:p w14:paraId="2FC408C7" w14:textId="2C60B918" w:rsidR="00084E53" w:rsidRDefault="00084E53" w:rsidP="00084E53">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6768DF">
              <w:rPr>
                <w:sz w:val="16"/>
                <w:szCs w:val="16"/>
              </w:rPr>
              <w:t>Changed labor hours</w:t>
            </w:r>
            <w:r>
              <w:rPr>
                <w:sz w:val="16"/>
                <w:szCs w:val="16"/>
              </w:rPr>
              <w:t xml:space="preserve"> (including recordkeeping and reporting hours) </w:t>
            </w:r>
            <w:r w:rsidRPr="006768DF">
              <w:rPr>
                <w:sz w:val="16"/>
                <w:szCs w:val="16"/>
              </w:rPr>
              <w:t>and capital</w:t>
            </w:r>
            <w:r>
              <w:rPr>
                <w:sz w:val="16"/>
                <w:szCs w:val="16"/>
              </w:rPr>
              <w:t xml:space="preserve"> and </w:t>
            </w:r>
            <w:r w:rsidRPr="006768DF">
              <w:rPr>
                <w:sz w:val="16"/>
                <w:szCs w:val="16"/>
              </w:rPr>
              <w:t xml:space="preserve">O&amp;M costs based on a complete re-evaluation of </w:t>
            </w:r>
            <w:r>
              <w:rPr>
                <w:sz w:val="16"/>
                <w:szCs w:val="16"/>
              </w:rPr>
              <w:t>burden</w:t>
            </w:r>
            <w:r w:rsidRPr="006768DF">
              <w:rPr>
                <w:sz w:val="16"/>
                <w:szCs w:val="16"/>
              </w:rPr>
              <w:t xml:space="preserve"> and costs for </w:t>
            </w:r>
            <w:r>
              <w:rPr>
                <w:sz w:val="16"/>
                <w:szCs w:val="16"/>
              </w:rPr>
              <w:t>all</w:t>
            </w:r>
            <w:r w:rsidRPr="006768DF">
              <w:rPr>
                <w:sz w:val="16"/>
                <w:szCs w:val="16"/>
              </w:rPr>
              <w:t xml:space="preserve"> subpart</w:t>
            </w:r>
            <w:r>
              <w:rPr>
                <w:sz w:val="16"/>
                <w:szCs w:val="16"/>
              </w:rPr>
              <w:t>s (See Appendix H of this Supporting Statement).</w:t>
            </w:r>
          </w:p>
          <w:p w14:paraId="0E91891F" w14:textId="77777777" w:rsidR="00084E53" w:rsidRDefault="00084E53" w:rsidP="00084E53">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Changed capital costs based on updates to the tax law</w:t>
            </w:r>
            <w:r>
              <w:t xml:space="preserve"> </w:t>
            </w:r>
            <w:r w:rsidRPr="006931BB">
              <w:rPr>
                <w:sz w:val="16"/>
                <w:szCs w:val="16"/>
              </w:rPr>
              <w:t>for future years (Tax Cuts and Jobs Act, Pub. L. No. 115–97 (2017))</w:t>
            </w:r>
            <w:r>
              <w:rPr>
                <w:sz w:val="16"/>
                <w:szCs w:val="16"/>
              </w:rPr>
              <w:t>.</w:t>
            </w:r>
          </w:p>
          <w:p w14:paraId="0046210A" w14:textId="15A999B3" w:rsidR="00084E53" w:rsidRDefault="00084E53" w:rsidP="00084E53">
            <w:pPr>
              <w:pStyle w:val="ListParagraph"/>
              <w:keepNext/>
              <w:keepLines/>
              <w:numPr>
                <w:ilvl w:val="0"/>
                <w:numId w:val="28"/>
              </w:numPr>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Updated the number of responses  per subpart based on RY2017 data (See Appendix I of this Supporting Statement).</w:t>
            </w:r>
          </w:p>
          <w:p w14:paraId="797407F4" w14:textId="267A228C" w:rsidR="00084E53" w:rsidRDefault="00242CB6" w:rsidP="00D771CB">
            <w:pPr>
              <w:rPr>
                <w:color w:val="000000"/>
                <w:sz w:val="16"/>
                <w:szCs w:val="16"/>
              </w:rPr>
            </w:pPr>
            <w:r>
              <w:rPr>
                <w:sz w:val="16"/>
                <w:szCs w:val="16"/>
              </w:rPr>
              <w:t xml:space="preserve">Note: </w:t>
            </w:r>
            <w:r w:rsidR="00084E53">
              <w:rPr>
                <w:sz w:val="16"/>
                <w:szCs w:val="16"/>
              </w:rPr>
              <w:t>Capital and O&amp;M costs for the Current Inventory are correct as depicted here. The “annual burden costs” (represented by the combined Capital and O&amp;M costs) as shown on regulations.gov for the Current Inventory of this ICR were incorrectly entered as $58,815,798.</w:t>
            </w:r>
          </w:p>
        </w:tc>
      </w:tr>
    </w:tbl>
    <w:p w14:paraId="65FCA61D" w14:textId="77777777" w:rsidR="00752397" w:rsidRDefault="00752397" w:rsidP="00D53190">
      <w:pPr>
        <w:pStyle w:val="ExhibitTitle"/>
        <w:rPr>
          <w:b w:val="0"/>
          <w:sz w:val="26"/>
        </w:rPr>
      </w:pPr>
    </w:p>
    <w:p w14:paraId="046F16A5" w14:textId="77777777" w:rsidR="00F24E53" w:rsidRPr="00D25FC9" w:rsidRDefault="00F24E53" w:rsidP="00361A26">
      <w:pPr>
        <w:keepNext/>
        <w:keepLines/>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6"/>
        </w:rPr>
      </w:pPr>
    </w:p>
    <w:p w14:paraId="202BA690" w14:textId="77777777" w:rsidR="00787733" w:rsidRPr="00C77927" w:rsidRDefault="00787733" w:rsidP="00277129">
      <w:pPr>
        <w:jc w:val="center"/>
        <w:rPr>
          <w:szCs w:val="20"/>
        </w:rPr>
      </w:pPr>
    </w:p>
    <w:p w14:paraId="45A19BDB" w14:textId="77777777" w:rsidR="00115E6D" w:rsidRPr="00C77927" w:rsidRDefault="009209AB" w:rsidP="00F3717A">
      <w:pPr>
        <w:pStyle w:val="Heading2"/>
        <w:keepNext/>
        <w:keepLines/>
      </w:pPr>
      <w:bookmarkStart w:id="43" w:name="_Toc10555998"/>
      <w:r w:rsidRPr="00C77927">
        <w:t>6(</w:t>
      </w:r>
      <w:r w:rsidR="00BB2048" w:rsidRPr="00C77927">
        <w:t>g</w:t>
      </w:r>
      <w:r w:rsidR="00115E6D" w:rsidRPr="00C77927">
        <w:t>) Burden Statement</w:t>
      </w:r>
      <w:bookmarkEnd w:id="43"/>
    </w:p>
    <w:p w14:paraId="63E50D94" w14:textId="77777777" w:rsidR="007E0A21" w:rsidRPr="00C77927" w:rsidRDefault="007E0A21" w:rsidP="00F3717A">
      <w:pPr>
        <w:keepNext/>
        <w:keepLines/>
        <w:rPr>
          <w:b/>
        </w:rPr>
      </w:pPr>
    </w:p>
    <w:p w14:paraId="6546CB9E" w14:textId="737EE1AD" w:rsidR="00BA3C28" w:rsidRPr="00C77927" w:rsidRDefault="003E446D" w:rsidP="00030884">
      <w:pPr>
        <w:keepNext/>
        <w:keepLines/>
        <w:autoSpaceDE w:val="0"/>
        <w:autoSpaceDN w:val="0"/>
        <w:adjustRightInd w:val="0"/>
        <w:ind w:firstLine="720"/>
        <w:rPr>
          <w:color w:val="000000"/>
        </w:rPr>
      </w:pPr>
      <w:r w:rsidRPr="008E4A0D">
        <w:rPr>
          <w:color w:val="000000"/>
        </w:rPr>
        <w:t>The annual public reporting and recordkeeping burden for this collection of information is estimated to</w:t>
      </w:r>
      <w:r w:rsidR="004514C1" w:rsidRPr="008E4A0D">
        <w:rPr>
          <w:color w:val="000000"/>
        </w:rPr>
        <w:t xml:space="preserve"> </w:t>
      </w:r>
      <w:r w:rsidRPr="00F33894">
        <w:rPr>
          <w:color w:val="000000"/>
        </w:rPr>
        <w:t>average</w:t>
      </w:r>
      <w:r w:rsidR="005F3100" w:rsidRPr="00F33894">
        <w:rPr>
          <w:color w:val="000000"/>
        </w:rPr>
        <w:t xml:space="preserve"> </w:t>
      </w:r>
      <w:r w:rsidR="00FD5643" w:rsidRPr="008F7D63">
        <w:rPr>
          <w:color w:val="000000"/>
        </w:rPr>
        <w:t>0.</w:t>
      </w:r>
      <w:r w:rsidR="00415798" w:rsidRPr="008F7D63">
        <w:rPr>
          <w:color w:val="000000"/>
        </w:rPr>
        <w:t>08</w:t>
      </w:r>
      <w:r w:rsidR="00BD5E2C" w:rsidRPr="00C77927">
        <w:rPr>
          <w:color w:val="000000"/>
        </w:rPr>
        <w:t xml:space="preserve"> hours per re</w:t>
      </w:r>
      <w:r w:rsidRPr="00C77927">
        <w:rPr>
          <w:color w:val="000000"/>
        </w:rPr>
        <w:t xml:space="preserve">sponse. </w:t>
      </w:r>
    </w:p>
    <w:p w14:paraId="67FE58F8" w14:textId="77777777" w:rsidR="00BA3C28" w:rsidRPr="00C77927" w:rsidRDefault="00BA3C28" w:rsidP="00BB1633">
      <w:pPr>
        <w:keepNext/>
        <w:keepLines/>
        <w:autoSpaceDE w:val="0"/>
        <w:autoSpaceDN w:val="0"/>
        <w:adjustRightInd w:val="0"/>
        <w:ind w:firstLine="720"/>
        <w:rPr>
          <w:color w:val="000000"/>
        </w:rPr>
      </w:pPr>
    </w:p>
    <w:p w14:paraId="23292049" w14:textId="77777777" w:rsidR="00D45540" w:rsidRPr="00C77927" w:rsidRDefault="00D45540" w:rsidP="00D45540">
      <w:pPr>
        <w:keepNext/>
        <w:keepLines/>
        <w:autoSpaceDE w:val="0"/>
        <w:autoSpaceDN w:val="0"/>
        <w:adjustRightInd w:val="0"/>
        <w:ind w:firstLine="720"/>
        <w:rPr>
          <w:color w:val="000000"/>
        </w:rPr>
      </w:pPr>
      <w:r w:rsidRPr="00C77927">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respond to a collection of information; search data sources; complete and review the collection of information; and transmit or otherwise disclose the information.</w:t>
      </w:r>
    </w:p>
    <w:p w14:paraId="7F9B246E" w14:textId="77777777" w:rsidR="003E446D" w:rsidRPr="00C77927" w:rsidRDefault="003E446D" w:rsidP="00BB1633">
      <w:pPr>
        <w:autoSpaceDE w:val="0"/>
        <w:autoSpaceDN w:val="0"/>
        <w:adjustRightInd w:val="0"/>
        <w:rPr>
          <w:color w:val="000000"/>
        </w:rPr>
      </w:pPr>
    </w:p>
    <w:p w14:paraId="1853BC40" w14:textId="77777777" w:rsidR="00973A6D" w:rsidRPr="00C77927" w:rsidRDefault="003E446D" w:rsidP="005F5DFC">
      <w:pPr>
        <w:autoSpaceDE w:val="0"/>
        <w:autoSpaceDN w:val="0"/>
        <w:adjustRightInd w:val="0"/>
        <w:ind w:firstLine="720"/>
        <w:rPr>
          <w:color w:val="000000"/>
        </w:rPr>
      </w:pPr>
      <w:r w:rsidRPr="00C77927">
        <w:rPr>
          <w:color w:val="000000"/>
        </w:rPr>
        <w:t xml:space="preserve">An agency may not conduct or sponsor, and a person is not required to respond to, a collection of information unless it displays a currently valid OMB control number. The OMB control numbers for </w:t>
      </w:r>
      <w:r w:rsidR="00833ED1" w:rsidRPr="00C77927">
        <w:rPr>
          <w:color w:val="000000"/>
        </w:rPr>
        <w:t xml:space="preserve">EPA’s </w:t>
      </w:r>
      <w:r w:rsidRPr="00C77927">
        <w:rPr>
          <w:color w:val="000000"/>
        </w:rPr>
        <w:t xml:space="preserve">regulations are listed in </w:t>
      </w:r>
      <w:r w:rsidR="000F5127" w:rsidRPr="00C77927">
        <w:rPr>
          <w:color w:val="000000"/>
        </w:rPr>
        <w:t>40 CFR Part</w:t>
      </w:r>
      <w:r w:rsidRPr="00C77927">
        <w:rPr>
          <w:color w:val="000000"/>
        </w:rPr>
        <w:t xml:space="preserve"> </w:t>
      </w:r>
      <w:r w:rsidR="00452B05" w:rsidRPr="00C77927">
        <w:rPr>
          <w:color w:val="000000"/>
        </w:rPr>
        <w:t>9</w:t>
      </w:r>
      <w:r w:rsidR="004514C1" w:rsidRPr="00C77927">
        <w:rPr>
          <w:color w:val="000000"/>
        </w:rPr>
        <w:t>.</w:t>
      </w:r>
    </w:p>
    <w:p w14:paraId="627962BB" w14:textId="67CD084C" w:rsidR="00454B79" w:rsidRPr="00C77927" w:rsidRDefault="00454B79" w:rsidP="005F5DFC">
      <w:pPr>
        <w:autoSpaceDE w:val="0"/>
        <w:autoSpaceDN w:val="0"/>
        <w:adjustRightInd w:val="0"/>
        <w:ind w:firstLine="720"/>
        <w:rPr>
          <w:color w:val="000000"/>
        </w:rPr>
      </w:pPr>
    </w:p>
    <w:p w14:paraId="288DDE85" w14:textId="5B888EB7" w:rsidR="0003088B" w:rsidRPr="00D25FC9" w:rsidRDefault="003E446D">
      <w:pPr>
        <w:autoSpaceDE w:val="0"/>
        <w:autoSpaceDN w:val="0"/>
        <w:adjustRightInd w:val="0"/>
        <w:ind w:firstLine="720"/>
        <w:rPr>
          <w:b/>
          <w:bCs/>
        </w:rPr>
      </w:pPr>
      <w:r w:rsidRPr="00C77927">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72034" w:rsidRPr="00C77927">
        <w:t>EPA-HQ-OAR-201</w:t>
      </w:r>
      <w:r w:rsidR="000B3970">
        <w:t>9</w:t>
      </w:r>
      <w:r w:rsidR="00E72034" w:rsidRPr="00C77927">
        <w:t>-0</w:t>
      </w:r>
      <w:r w:rsidR="000B3970">
        <w:t>027</w:t>
      </w:r>
      <w:r w:rsidRPr="00C77927">
        <w:rPr>
          <w:color w:val="0F0F0F"/>
        </w:rPr>
        <w:t xml:space="preserve">, which is available for online viewing at </w:t>
      </w:r>
      <w:r w:rsidR="00803CDD" w:rsidRPr="00C77927">
        <w:rPr>
          <w:color w:val="0F0F0F"/>
        </w:rPr>
        <w:t>http://</w:t>
      </w:r>
      <w:r w:rsidRPr="00C77927">
        <w:rPr>
          <w:color w:val="0F0F0F"/>
        </w:rPr>
        <w:t>www.regulations.gov, or in person viewing at the Air and Radiation docket in the EPA Docket Center (EPA/DC), EPA West</w:t>
      </w:r>
      <w:r w:rsidR="00F315E4" w:rsidRPr="00C77927">
        <w:rPr>
          <w:color w:val="0F0F0F"/>
        </w:rPr>
        <w:t xml:space="preserve"> Building</w:t>
      </w:r>
      <w:r w:rsidRPr="00C77927">
        <w:rPr>
          <w:color w:val="0F0F0F"/>
        </w:rPr>
        <w:t>, Room</w:t>
      </w:r>
      <w:r w:rsidR="00E5659B" w:rsidRPr="00C77927">
        <w:rPr>
          <w:color w:val="0F0F0F"/>
        </w:rPr>
        <w:t xml:space="preserve"> </w:t>
      </w:r>
      <w:r w:rsidR="00F315E4" w:rsidRPr="00C77927">
        <w:rPr>
          <w:color w:val="0F0F0F"/>
        </w:rPr>
        <w:t>3334</w:t>
      </w:r>
      <w:r w:rsidRPr="00C77927">
        <w:rPr>
          <w:color w:val="0F0F0F"/>
        </w:rPr>
        <w:t xml:space="preserve">, 1301 Constitution Avenue, NW, Washington, D.C. The telephone number for the Reading </w:t>
      </w:r>
      <w:r w:rsidR="000B3970">
        <w:rPr>
          <w:color w:val="0F0F0F"/>
        </w:rPr>
        <w:t>Center is</w:t>
      </w:r>
      <w:r w:rsidRPr="00C77927">
        <w:rPr>
          <w:color w:val="0F0F0F"/>
        </w:rPr>
        <w:t xml:space="preserve"> (202) 566-1744</w:t>
      </w:r>
      <w:r w:rsidR="000B3970">
        <w:rPr>
          <w:color w:val="0F0F0F"/>
        </w:rPr>
        <w:t>.</w:t>
      </w:r>
      <w:r w:rsidRPr="00C77927">
        <w:rPr>
          <w:color w:val="0F0F0F"/>
        </w:rPr>
        <w:t xml:space="preserve"> An electronic version of the public docket is available at </w:t>
      </w:r>
      <w:r w:rsidR="00803CDD" w:rsidRPr="00C77927">
        <w:rPr>
          <w:color w:val="0F0F0F"/>
        </w:rPr>
        <w:t>http://</w:t>
      </w:r>
      <w:r w:rsidRPr="00C77927">
        <w:rPr>
          <w:color w:val="0F0F0F"/>
        </w:rPr>
        <w:t>www.regulations.gov. This site can be used to submit or view public comments, access the index listing of the contents of the public docket, and to access those documents in the public docket that are available electronically. When in the system, select “search,” then key in the Docket ID</w:t>
      </w:r>
      <w:r w:rsidR="000D6D57" w:rsidRPr="00C77927">
        <w:rPr>
          <w:color w:val="0F0F0F"/>
        </w:rPr>
        <w:t xml:space="preserve"> </w:t>
      </w:r>
      <w:r w:rsidRPr="00C77927">
        <w:rPr>
          <w:color w:val="0F0F0F"/>
        </w:rPr>
        <w:t xml:space="preserve">Number identified above. </w:t>
      </w:r>
    </w:p>
    <w:p w14:paraId="153DCE8C" w14:textId="77777777" w:rsidR="00BB1633" w:rsidRPr="00C77927" w:rsidRDefault="00BB1633">
      <w:pPr>
        <w:autoSpaceDE w:val="0"/>
        <w:autoSpaceDN w:val="0"/>
        <w:adjustRightInd w:val="0"/>
        <w:ind w:firstLine="720"/>
      </w:pPr>
    </w:p>
    <w:sectPr w:rsidR="00BB1633" w:rsidRPr="00C77927" w:rsidSect="000962EA">
      <w:footerReference w:type="default" r:id="rId18"/>
      <w:pgSz w:w="12240" w:h="15840" w:code="1"/>
      <w:pgMar w:top="1440" w:right="1440" w:bottom="1440" w:left="1440" w:header="720" w:footer="432"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075F5" w14:textId="77777777" w:rsidR="00A91A3A" w:rsidRDefault="00A91A3A">
      <w:r>
        <w:separator/>
      </w:r>
    </w:p>
  </w:endnote>
  <w:endnote w:type="continuationSeparator" w:id="0">
    <w:p w14:paraId="1F9E2835" w14:textId="77777777" w:rsidR="00A91A3A" w:rsidRDefault="00A91A3A">
      <w:r>
        <w:continuationSeparator/>
      </w:r>
    </w:p>
  </w:endnote>
  <w:endnote w:type="continuationNotice" w:id="1">
    <w:p w14:paraId="7514014B" w14:textId="77777777" w:rsidR="00A91A3A" w:rsidRDefault="00A91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F35E0" w14:textId="368C2961" w:rsidR="0051088B" w:rsidRDefault="0051088B" w:rsidP="00480737">
    <w:pPr>
      <w:pStyle w:val="Footer"/>
      <w:tabs>
        <w:tab w:val="clear" w:pos="4680"/>
        <w:tab w:val="clear" w:pos="9360"/>
        <w:tab w:val="left" w:pos="4695"/>
        <w:tab w:val="center" w:pos="8640"/>
        <w:tab w:val="right" w:pos="12960"/>
      </w:tabs>
    </w:pPr>
    <w:r w:rsidRPr="241623E5">
      <w:rPr>
        <w:i/>
        <w:iCs/>
        <w:sz w:val="18"/>
        <w:szCs w:val="18"/>
      </w:rPr>
      <w:t>ICR for the GHGRP</w:t>
    </w:r>
    <w:r>
      <w:rPr>
        <w:i/>
        <w:sz w:val="18"/>
        <w:szCs w:val="18"/>
      </w:rPr>
      <w:tab/>
    </w:r>
    <w:r w:rsidRPr="241623E5">
      <w:rPr>
        <w:i/>
        <w:iCs/>
        <w:sz w:val="18"/>
        <w:szCs w:val="18"/>
      </w:rPr>
      <w:t xml:space="preserve"> Page </w:t>
    </w:r>
    <w:r w:rsidRPr="00D25FC9">
      <w:rPr>
        <w:i/>
        <w:iCs/>
        <w:noProof/>
        <w:sz w:val="18"/>
        <w:szCs w:val="18"/>
      </w:rPr>
      <w:fldChar w:fldCharType="begin"/>
    </w:r>
    <w:r w:rsidRPr="00D924C2">
      <w:rPr>
        <w:i/>
        <w:sz w:val="18"/>
        <w:szCs w:val="18"/>
      </w:rPr>
      <w:instrText xml:space="preserve"> PAGE </w:instrText>
    </w:r>
    <w:r w:rsidRPr="00D25FC9">
      <w:rPr>
        <w:i/>
        <w:sz w:val="18"/>
        <w:szCs w:val="18"/>
      </w:rPr>
      <w:fldChar w:fldCharType="separate"/>
    </w:r>
    <w:r>
      <w:rPr>
        <w:i/>
        <w:noProof/>
        <w:sz w:val="18"/>
        <w:szCs w:val="18"/>
      </w:rPr>
      <w:t>16</w:t>
    </w:r>
    <w:r w:rsidRPr="00D25FC9">
      <w:rPr>
        <w:i/>
        <w:iCs/>
        <w:noProof/>
        <w:sz w:val="18"/>
        <w:szCs w:val="18"/>
      </w:rPr>
      <w:fldChar w:fldCharType="end"/>
    </w:r>
    <w:r>
      <w:rPr>
        <w:i/>
        <w:iCs/>
        <w:noProof/>
        <w:sz w:val="18"/>
        <w:szCs w:val="18"/>
      </w:rPr>
      <w:tab/>
    </w:r>
    <w:r>
      <w:rPr>
        <w:i/>
        <w:iCs/>
        <w:sz w:val="18"/>
        <w:szCs w:val="18"/>
        <w:lang w:val="en-US"/>
      </w:rPr>
      <w:t>August 2019</w:t>
    </w:r>
    <w:r w:rsidRPr="241623E5">
      <w:rPr>
        <w:i/>
        <w:iCs/>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09E06" w14:textId="6965002D" w:rsidR="0051088B" w:rsidRDefault="0051088B" w:rsidP="00037CAD">
    <w:pPr>
      <w:pStyle w:val="Footer"/>
      <w:tabs>
        <w:tab w:val="clear" w:pos="4680"/>
        <w:tab w:val="clear" w:pos="9360"/>
        <w:tab w:val="left" w:pos="4695"/>
        <w:tab w:val="center" w:pos="5760"/>
        <w:tab w:val="right" w:pos="12960"/>
      </w:tabs>
    </w:pPr>
    <w:r w:rsidRPr="40A1D01C">
      <w:rPr>
        <w:i/>
        <w:iCs/>
        <w:sz w:val="18"/>
        <w:szCs w:val="18"/>
      </w:rPr>
      <w:t>ICR for the GHGRP</w:t>
    </w:r>
    <w:r>
      <w:rPr>
        <w:i/>
        <w:sz w:val="18"/>
        <w:szCs w:val="18"/>
      </w:rPr>
      <w:tab/>
    </w:r>
    <w:r w:rsidRPr="40A1D01C">
      <w:rPr>
        <w:i/>
        <w:iCs/>
        <w:sz w:val="18"/>
        <w:szCs w:val="18"/>
      </w:rPr>
      <w:t xml:space="preserve"> </w:t>
    </w:r>
    <w:r>
      <w:rPr>
        <w:i/>
        <w:sz w:val="18"/>
        <w:szCs w:val="18"/>
      </w:rPr>
      <w:tab/>
    </w:r>
    <w:r w:rsidRPr="40A1D01C">
      <w:rPr>
        <w:i/>
        <w:iCs/>
        <w:sz w:val="18"/>
        <w:szCs w:val="18"/>
      </w:rPr>
      <w:t xml:space="preserve">Page </w:t>
    </w:r>
    <w:r w:rsidRPr="40A1D01C">
      <w:rPr>
        <w:i/>
        <w:iCs/>
        <w:sz w:val="18"/>
        <w:szCs w:val="18"/>
        <w:lang w:val="en-US"/>
      </w:rPr>
      <w:t>24</w:t>
    </w:r>
    <w:r>
      <w:rPr>
        <w:i/>
        <w:sz w:val="18"/>
        <w:szCs w:val="18"/>
      </w:rPr>
      <w:tab/>
    </w:r>
    <w:r>
      <w:rPr>
        <w:i/>
        <w:iCs/>
        <w:sz w:val="18"/>
        <w:szCs w:val="18"/>
        <w:lang w:val="en-US"/>
      </w:rPr>
      <w:t>August</w:t>
    </w:r>
    <w:r w:rsidRPr="40A1D01C">
      <w:rPr>
        <w:i/>
        <w:iCs/>
        <w:sz w:val="18"/>
        <w:szCs w:val="18"/>
      </w:rPr>
      <w:t xml:space="preserve"> 201</w:t>
    </w:r>
    <w:r>
      <w:rPr>
        <w:i/>
        <w:iCs/>
        <w:sz w:val="18"/>
        <w:szCs w:val="18"/>
        <w:lang w:val="en-US"/>
      </w:rPr>
      <w:t>9</w:t>
    </w:r>
    <w:r w:rsidRPr="40A1D01C">
      <w:rPr>
        <w:i/>
        <w:iCs/>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89D85" w14:textId="62C4BEB3" w:rsidR="0051088B" w:rsidRDefault="0051088B" w:rsidP="00480737">
    <w:pPr>
      <w:pStyle w:val="Footer"/>
      <w:tabs>
        <w:tab w:val="clear" w:pos="4680"/>
        <w:tab w:val="clear" w:pos="9360"/>
        <w:tab w:val="left" w:pos="4695"/>
        <w:tab w:val="center" w:pos="8640"/>
        <w:tab w:val="right" w:pos="12960"/>
      </w:tabs>
    </w:pPr>
    <w:r w:rsidRPr="241623E5">
      <w:rPr>
        <w:i/>
        <w:iCs/>
        <w:sz w:val="18"/>
        <w:szCs w:val="18"/>
      </w:rPr>
      <w:t>ICR for the GHGRP</w:t>
    </w:r>
    <w:r>
      <w:rPr>
        <w:i/>
        <w:sz w:val="18"/>
        <w:szCs w:val="18"/>
      </w:rPr>
      <w:tab/>
    </w:r>
    <w:r w:rsidRPr="241623E5">
      <w:rPr>
        <w:i/>
        <w:iCs/>
        <w:sz w:val="18"/>
        <w:szCs w:val="18"/>
      </w:rPr>
      <w:t xml:space="preserve"> Page </w:t>
    </w:r>
    <w:r w:rsidRPr="00D25FC9">
      <w:rPr>
        <w:i/>
        <w:iCs/>
        <w:noProof/>
        <w:sz w:val="18"/>
        <w:szCs w:val="18"/>
      </w:rPr>
      <w:fldChar w:fldCharType="begin"/>
    </w:r>
    <w:r w:rsidRPr="00D924C2">
      <w:rPr>
        <w:i/>
        <w:sz w:val="18"/>
        <w:szCs w:val="18"/>
      </w:rPr>
      <w:instrText xml:space="preserve"> PAGE </w:instrText>
    </w:r>
    <w:r w:rsidRPr="00D25FC9">
      <w:rPr>
        <w:i/>
        <w:sz w:val="18"/>
        <w:szCs w:val="18"/>
      </w:rPr>
      <w:fldChar w:fldCharType="separate"/>
    </w:r>
    <w:r>
      <w:rPr>
        <w:i/>
        <w:noProof/>
        <w:sz w:val="18"/>
        <w:szCs w:val="18"/>
      </w:rPr>
      <w:t>26</w:t>
    </w:r>
    <w:r w:rsidRPr="00D25FC9">
      <w:rPr>
        <w:i/>
        <w:iCs/>
        <w:noProof/>
        <w:sz w:val="18"/>
        <w:szCs w:val="18"/>
      </w:rPr>
      <w:fldChar w:fldCharType="end"/>
    </w:r>
    <w:r>
      <w:rPr>
        <w:i/>
        <w:iCs/>
        <w:sz w:val="18"/>
        <w:szCs w:val="18"/>
      </w:rPr>
      <w:tab/>
    </w:r>
    <w:r w:rsidRPr="241623E5">
      <w:rPr>
        <w:i/>
        <w:iCs/>
        <w:sz w:val="18"/>
        <w:szCs w:val="18"/>
      </w:rPr>
      <w:t xml:space="preserve"> </w:t>
    </w:r>
    <w:r>
      <w:rPr>
        <w:i/>
        <w:iCs/>
        <w:sz w:val="18"/>
        <w:szCs w:val="18"/>
        <w:lang w:val="en-US"/>
      </w:rPr>
      <w:t>August 2019</w:t>
    </w:r>
    <w:r w:rsidRPr="241623E5">
      <w:rPr>
        <w:i/>
        <w:iCs/>
        <w:sz w:val="18"/>
        <w:szCs w:val="18"/>
      </w:rPr>
      <w:t xml:space="preserve"> </w:t>
    </w:r>
  </w:p>
  <w:p w14:paraId="25D4DBED" w14:textId="68D72CCD" w:rsidR="0051088B" w:rsidRDefault="0051088B">
    <w:pPr>
      <w:pStyle w:val="Footer"/>
      <w:tabs>
        <w:tab w:val="clear" w:pos="4680"/>
        <w:tab w:val="clear" w:pos="9360"/>
        <w:tab w:val="left" w:pos="4695"/>
        <w:tab w:val="center" w:pos="5760"/>
        <w:tab w:val="right" w:pos="129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37BEC" w14:textId="77777777" w:rsidR="00A91A3A" w:rsidRDefault="00A91A3A">
      <w:r>
        <w:separator/>
      </w:r>
    </w:p>
  </w:footnote>
  <w:footnote w:type="continuationSeparator" w:id="0">
    <w:p w14:paraId="447C4F47" w14:textId="77777777" w:rsidR="00A91A3A" w:rsidRDefault="00A91A3A">
      <w:r>
        <w:continuationSeparator/>
      </w:r>
    </w:p>
  </w:footnote>
  <w:footnote w:type="continuationNotice" w:id="1">
    <w:p w14:paraId="6D7039C7" w14:textId="77777777" w:rsidR="00A91A3A" w:rsidRDefault="00A91A3A"/>
  </w:footnote>
  <w:footnote w:id="2">
    <w:p w14:paraId="1FC2F99F" w14:textId="77777777" w:rsidR="0051088B" w:rsidRPr="007B239E" w:rsidRDefault="0051088B" w:rsidP="0019067B">
      <w:pPr>
        <w:pStyle w:val="FootnoteText"/>
        <w:rPr>
          <w:rFonts w:ascii="Times New Roman" w:hAnsi="Times New Roman"/>
          <w:lang w:val="en-US"/>
        </w:rPr>
      </w:pPr>
      <w:r w:rsidRPr="007B239E">
        <w:rPr>
          <w:rStyle w:val="FootnoteReference"/>
          <w:rFonts w:ascii="Times New Roman" w:hAnsi="Times New Roman"/>
        </w:rPr>
        <w:footnoteRef/>
      </w:r>
      <w:r w:rsidRPr="007B239E">
        <w:rPr>
          <w:rFonts w:ascii="Times New Roman" w:hAnsi="Times New Roman"/>
        </w:rPr>
        <w:t xml:space="preserve"> </w:t>
      </w:r>
      <w:r w:rsidRPr="007B239E">
        <w:rPr>
          <w:rFonts w:ascii="Times New Roman" w:hAnsi="Times New Roman"/>
          <w:lang w:val="en-US"/>
        </w:rPr>
        <w:t xml:space="preserve">Includes </w:t>
      </w:r>
      <w:r w:rsidRPr="007B239E">
        <w:rPr>
          <w:rFonts w:ascii="Times New Roman" w:hAnsi="Times New Roman"/>
        </w:rPr>
        <w:t xml:space="preserve">reporting for combustion only and </w:t>
      </w:r>
      <w:r w:rsidRPr="007B239E">
        <w:rPr>
          <w:rFonts w:ascii="Times New Roman" w:hAnsi="Times New Roman"/>
          <w:lang w:val="en-US"/>
        </w:rPr>
        <w:t xml:space="preserve">is </w:t>
      </w:r>
      <w:r w:rsidRPr="007B239E">
        <w:rPr>
          <w:rFonts w:ascii="Times New Roman" w:hAnsi="Times New Roman"/>
        </w:rPr>
        <w:t>not representative of the GHG process emissions from the automotive sector as a whole</w:t>
      </w:r>
      <w:r w:rsidRPr="007B239E">
        <w:rPr>
          <w:rFonts w:ascii="Times New Roman" w:hAnsi="Times New Roman"/>
          <w:lang w:val="en-US"/>
        </w:rPr>
        <w:t>.</w:t>
      </w:r>
    </w:p>
  </w:footnote>
  <w:footnote w:id="3">
    <w:p w14:paraId="52EDD6A8" w14:textId="7B20C58D" w:rsidR="0051088B" w:rsidRPr="00880F7F" w:rsidRDefault="0051088B" w:rsidP="00146DB5">
      <w:pPr>
        <w:pStyle w:val="FootnoteText"/>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See Appendix D to this Supporting Statement for details.</w:t>
      </w:r>
    </w:p>
  </w:footnote>
  <w:footnote w:id="4">
    <w:p w14:paraId="03C3D5F6" w14:textId="2ED268B9" w:rsidR="0051088B" w:rsidRPr="00B340C0" w:rsidRDefault="0051088B">
      <w:pPr>
        <w:pStyle w:val="FootnoteText"/>
        <w:rPr>
          <w:rFonts w:asciiTheme="majorBidi" w:hAnsiTheme="majorBidi" w:cstheme="majorBidi"/>
          <w:lang w:val="en-US"/>
        </w:rPr>
      </w:pPr>
      <w:r w:rsidRPr="00B340C0">
        <w:rPr>
          <w:rStyle w:val="FootnoteReference"/>
          <w:rFonts w:asciiTheme="majorBidi" w:hAnsiTheme="majorBidi" w:cstheme="majorBidi"/>
        </w:rPr>
        <w:footnoteRef/>
      </w:r>
      <w:r w:rsidRPr="00B340C0">
        <w:rPr>
          <w:rFonts w:asciiTheme="majorBidi" w:hAnsiTheme="majorBidi" w:cstheme="majorBidi"/>
        </w:rPr>
        <w:t xml:space="preserve"> http://www.opm.gov/policy-data-oversight/pay-leave/salaries-wages/salary-tables/pdf/201</w:t>
      </w:r>
      <w:r>
        <w:rPr>
          <w:rFonts w:asciiTheme="majorBidi" w:hAnsiTheme="majorBidi" w:cstheme="majorBidi"/>
          <w:lang w:val="en-US"/>
        </w:rPr>
        <w:t>8</w:t>
      </w:r>
      <w:r w:rsidRPr="00B340C0">
        <w:rPr>
          <w:rFonts w:asciiTheme="majorBidi" w:hAnsiTheme="majorBidi" w:cstheme="majorBidi"/>
        </w:rPr>
        <w:t>/GS_h.pdf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050C3" w14:textId="6F8BCC20" w:rsidR="0051088B" w:rsidRPr="00AA4783" w:rsidRDefault="0051088B" w:rsidP="00AA47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385"/>
    <w:multiLevelType w:val="multilevel"/>
    <w:tmpl w:val="5C6E5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4D13C9"/>
    <w:multiLevelType w:val="hybridMultilevel"/>
    <w:tmpl w:val="99200474"/>
    <w:lvl w:ilvl="0" w:tplc="735ADC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21104E5"/>
    <w:multiLevelType w:val="hybridMultilevel"/>
    <w:tmpl w:val="EE9E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62B57"/>
    <w:multiLevelType w:val="hybridMultilevel"/>
    <w:tmpl w:val="7C9273F6"/>
    <w:lvl w:ilvl="0" w:tplc="E264AFCA">
      <w:start w:val="1"/>
      <w:numFmt w:val="bullet"/>
      <w:pStyle w:val="Bullet-GHGPreamble"/>
      <w:lvlText w:val=""/>
      <w:lvlJc w:val="left"/>
      <w:pPr>
        <w:tabs>
          <w:tab w:val="num" w:pos="720"/>
        </w:tabs>
        <w:ind w:left="720" w:hanging="720"/>
      </w:pPr>
      <w:rPr>
        <w:rFonts w:ascii="WP MathA" w:hAnsi="WP MathA" w:hint="default"/>
        <w:sz w:val="24"/>
      </w:rPr>
    </w:lvl>
    <w:lvl w:ilvl="1" w:tplc="04090019">
      <w:start w:val="1"/>
      <w:numFmt w:val="lowerLetter"/>
      <w:lvlText w:val="%2."/>
      <w:lvlJc w:val="left"/>
      <w:pPr>
        <w:tabs>
          <w:tab w:val="num" w:pos="2340"/>
        </w:tabs>
        <w:ind w:left="2340" w:hanging="360"/>
      </w:p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nsid w:val="0BD23008"/>
    <w:multiLevelType w:val="hybridMultilevel"/>
    <w:tmpl w:val="7B7491B2"/>
    <w:lvl w:ilvl="0" w:tplc="E42E3FC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45378"/>
    <w:multiLevelType w:val="hybridMultilevel"/>
    <w:tmpl w:val="CF081E16"/>
    <w:lvl w:ilvl="0" w:tplc="977E2A76">
      <w:start w:val="1"/>
      <w:numFmt w:val="bullet"/>
      <w:lvlText w:val="•"/>
      <w:lvlJc w:val="left"/>
      <w:pPr>
        <w:tabs>
          <w:tab w:val="num" w:pos="720"/>
        </w:tabs>
        <w:ind w:left="720" w:hanging="360"/>
      </w:pPr>
      <w:rPr>
        <w:rFonts w:ascii="Times New Roman" w:hAnsi="Times New Roman" w:hint="default"/>
      </w:rPr>
    </w:lvl>
    <w:lvl w:ilvl="1" w:tplc="43A4816C">
      <w:start w:val="67"/>
      <w:numFmt w:val="bullet"/>
      <w:lvlText w:val="–"/>
      <w:lvlJc w:val="left"/>
      <w:pPr>
        <w:tabs>
          <w:tab w:val="num" w:pos="1440"/>
        </w:tabs>
        <w:ind w:left="1440" w:hanging="360"/>
      </w:pPr>
      <w:rPr>
        <w:rFonts w:ascii="Times New Roman" w:hAnsi="Times New Roman" w:hint="default"/>
      </w:rPr>
    </w:lvl>
    <w:lvl w:ilvl="2" w:tplc="AE68362E">
      <w:start w:val="67"/>
      <w:numFmt w:val="bullet"/>
      <w:lvlText w:val="•"/>
      <w:lvlJc w:val="left"/>
      <w:pPr>
        <w:tabs>
          <w:tab w:val="num" w:pos="2160"/>
        </w:tabs>
        <w:ind w:left="2160" w:hanging="360"/>
      </w:pPr>
      <w:rPr>
        <w:rFonts w:ascii="Times New Roman" w:hAnsi="Times New Roman" w:hint="default"/>
      </w:rPr>
    </w:lvl>
    <w:lvl w:ilvl="3" w:tplc="FB6871F2" w:tentative="1">
      <w:start w:val="1"/>
      <w:numFmt w:val="bullet"/>
      <w:lvlText w:val="•"/>
      <w:lvlJc w:val="left"/>
      <w:pPr>
        <w:tabs>
          <w:tab w:val="num" w:pos="2880"/>
        </w:tabs>
        <w:ind w:left="2880" w:hanging="360"/>
      </w:pPr>
      <w:rPr>
        <w:rFonts w:ascii="Times New Roman" w:hAnsi="Times New Roman" w:hint="default"/>
      </w:rPr>
    </w:lvl>
    <w:lvl w:ilvl="4" w:tplc="F45CEF10" w:tentative="1">
      <w:start w:val="1"/>
      <w:numFmt w:val="bullet"/>
      <w:lvlText w:val="•"/>
      <w:lvlJc w:val="left"/>
      <w:pPr>
        <w:tabs>
          <w:tab w:val="num" w:pos="3600"/>
        </w:tabs>
        <w:ind w:left="3600" w:hanging="360"/>
      </w:pPr>
      <w:rPr>
        <w:rFonts w:ascii="Times New Roman" w:hAnsi="Times New Roman" w:hint="default"/>
      </w:rPr>
    </w:lvl>
    <w:lvl w:ilvl="5" w:tplc="D902DA78" w:tentative="1">
      <w:start w:val="1"/>
      <w:numFmt w:val="bullet"/>
      <w:lvlText w:val="•"/>
      <w:lvlJc w:val="left"/>
      <w:pPr>
        <w:tabs>
          <w:tab w:val="num" w:pos="4320"/>
        </w:tabs>
        <w:ind w:left="4320" w:hanging="360"/>
      </w:pPr>
      <w:rPr>
        <w:rFonts w:ascii="Times New Roman" w:hAnsi="Times New Roman" w:hint="default"/>
      </w:rPr>
    </w:lvl>
    <w:lvl w:ilvl="6" w:tplc="E2E03A58" w:tentative="1">
      <w:start w:val="1"/>
      <w:numFmt w:val="bullet"/>
      <w:lvlText w:val="•"/>
      <w:lvlJc w:val="left"/>
      <w:pPr>
        <w:tabs>
          <w:tab w:val="num" w:pos="5040"/>
        </w:tabs>
        <w:ind w:left="5040" w:hanging="360"/>
      </w:pPr>
      <w:rPr>
        <w:rFonts w:ascii="Times New Roman" w:hAnsi="Times New Roman" w:hint="default"/>
      </w:rPr>
    </w:lvl>
    <w:lvl w:ilvl="7" w:tplc="CF3CB034" w:tentative="1">
      <w:start w:val="1"/>
      <w:numFmt w:val="bullet"/>
      <w:lvlText w:val="•"/>
      <w:lvlJc w:val="left"/>
      <w:pPr>
        <w:tabs>
          <w:tab w:val="num" w:pos="5760"/>
        </w:tabs>
        <w:ind w:left="5760" w:hanging="360"/>
      </w:pPr>
      <w:rPr>
        <w:rFonts w:ascii="Times New Roman" w:hAnsi="Times New Roman" w:hint="default"/>
      </w:rPr>
    </w:lvl>
    <w:lvl w:ilvl="8" w:tplc="4052E19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Helv"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Helv"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Helv"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09C44C4"/>
    <w:multiLevelType w:val="hybridMultilevel"/>
    <w:tmpl w:val="CE460206"/>
    <w:lvl w:ilvl="0" w:tplc="0409000F">
      <w:start w:val="1"/>
      <w:numFmt w:val="decimal"/>
      <w:lvlText w:val="%1."/>
      <w:lvlJc w:val="left"/>
      <w:pPr>
        <w:tabs>
          <w:tab w:val="num" w:pos="1080"/>
        </w:tabs>
        <w:ind w:left="1080" w:hanging="360"/>
      </w:pPr>
    </w:lvl>
    <w:lvl w:ilvl="1" w:tplc="E6446E5A">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1DF22AE"/>
    <w:multiLevelType w:val="hybridMultilevel"/>
    <w:tmpl w:val="320EBE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BE10B1"/>
    <w:multiLevelType w:val="hybridMultilevel"/>
    <w:tmpl w:val="1DB2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5E62FF"/>
    <w:multiLevelType w:val="hybridMultilevel"/>
    <w:tmpl w:val="1FC8B3EE"/>
    <w:lvl w:ilvl="0" w:tplc="735ADC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4613B44"/>
    <w:multiLevelType w:val="hybridMultilevel"/>
    <w:tmpl w:val="8A24143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260"/>
        </w:tabs>
        <w:ind w:left="1260" w:hanging="360"/>
      </w:pPr>
    </w:lvl>
    <w:lvl w:ilvl="2" w:tplc="3C6A369C">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A8A6E79"/>
    <w:multiLevelType w:val="hybridMultilevel"/>
    <w:tmpl w:val="CD8A9C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CF003DA"/>
    <w:multiLevelType w:val="hybridMultilevel"/>
    <w:tmpl w:val="454621B6"/>
    <w:lvl w:ilvl="0" w:tplc="9D28B166">
      <w:start w:val="1"/>
      <w:numFmt w:val="bullet"/>
      <w:pStyle w:val="GHGPreamble-level4"/>
      <w:lvlText w:val=""/>
      <w:lvlJc w:val="left"/>
      <w:pPr>
        <w:tabs>
          <w:tab w:val="num" w:pos="360"/>
        </w:tabs>
        <w:ind w:left="360" w:hanging="360"/>
      </w:pPr>
      <w:rPr>
        <w:rFonts w:ascii="WP MathA" w:hAnsi="WP MathA"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26D643D2">
      <w:start w:val="1"/>
      <w:numFmt w:val="lowerRoman"/>
      <w:pStyle w:val="GHGPreamble-level4"/>
      <w:lvlText w:val="%6."/>
      <w:lvlJc w:val="right"/>
      <w:pPr>
        <w:tabs>
          <w:tab w:val="num" w:pos="3240"/>
        </w:tabs>
        <w:ind w:left="3240" w:hanging="180"/>
      </w:pPr>
    </w:lvl>
    <w:lvl w:ilvl="6" w:tplc="04090001">
      <w:start w:val="1"/>
      <w:numFmt w:val="bullet"/>
      <w:lvlText w:val=""/>
      <w:lvlJc w:val="left"/>
      <w:pPr>
        <w:tabs>
          <w:tab w:val="num" w:pos="3960"/>
        </w:tabs>
        <w:ind w:left="3960" w:hanging="360"/>
      </w:pPr>
      <w:rPr>
        <w:rFonts w:ascii="Symbol" w:hAnsi="Symbol" w:hint="default"/>
      </w:r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3E242FA1"/>
    <w:multiLevelType w:val="hybridMultilevel"/>
    <w:tmpl w:val="64B4EC30"/>
    <w:lvl w:ilvl="0" w:tplc="481A6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4C3636"/>
    <w:multiLevelType w:val="hybridMultilevel"/>
    <w:tmpl w:val="F1862B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7CF220F"/>
    <w:multiLevelType w:val="hybridMultilevel"/>
    <w:tmpl w:val="C1240046"/>
    <w:lvl w:ilvl="0" w:tplc="9E3E3D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945408"/>
    <w:multiLevelType w:val="hybridMultilevel"/>
    <w:tmpl w:val="FB34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20">
    <w:nsid w:val="64EF65D9"/>
    <w:multiLevelType w:val="hybridMultilevel"/>
    <w:tmpl w:val="6B3C7526"/>
    <w:lvl w:ilvl="0" w:tplc="04090001">
      <w:start w:val="1"/>
      <w:numFmt w:val="bullet"/>
      <w:lvlText w:val=""/>
      <w:lvlJc w:val="left"/>
      <w:pPr>
        <w:tabs>
          <w:tab w:val="num" w:pos="1080"/>
        </w:tabs>
        <w:ind w:left="1080" w:hanging="360"/>
      </w:pPr>
      <w:rPr>
        <w:rFonts w:ascii="Symbol" w:hAnsi="Symbol" w:hint="default"/>
      </w:rPr>
    </w:lvl>
    <w:lvl w:ilvl="1" w:tplc="CF3E035C">
      <w:start w:val="1"/>
      <w:numFmt w:val="bullet"/>
      <w:lvlText w:val="_"/>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22">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E8B2999"/>
    <w:multiLevelType w:val="hybridMultilevel"/>
    <w:tmpl w:val="1BA6F6B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00239AC"/>
    <w:multiLevelType w:val="hybridMultilevel"/>
    <w:tmpl w:val="55B22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1"/>
  </w:num>
  <w:num w:numId="3">
    <w:abstractNumId w:val="3"/>
  </w:num>
  <w:num w:numId="4">
    <w:abstractNumId w:val="7"/>
  </w:num>
  <w:num w:numId="5">
    <w:abstractNumId w:val="14"/>
  </w:num>
  <w:num w:numId="6">
    <w:abstractNumId w:val="22"/>
  </w:num>
  <w:num w:numId="7">
    <w:abstractNumId w:val="19"/>
  </w:num>
  <w:num w:numId="8">
    <w:abstractNumId w:val="11"/>
  </w:num>
  <w:num w:numId="9">
    <w:abstractNumId w:val="13"/>
  </w:num>
  <w:num w:numId="10">
    <w:abstractNumId w:val="23"/>
  </w:num>
  <w:num w:numId="11">
    <w:abstractNumId w:val="20"/>
  </w:num>
  <w:num w:numId="12">
    <w:abstractNumId w:val="16"/>
  </w:num>
  <w:num w:numId="13">
    <w:abstractNumId w:val="15"/>
  </w:num>
  <w:num w:numId="14">
    <w:abstractNumId w:val="1"/>
  </w:num>
  <w:num w:numId="15">
    <w:abstractNumId w:val="6"/>
  </w:num>
  <w:num w:numId="16">
    <w:abstractNumId w:val="10"/>
  </w:num>
  <w:num w:numId="17">
    <w:abstractNumId w:val="17"/>
  </w:num>
  <w:num w:numId="18">
    <w:abstractNumId w:val="4"/>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4"/>
  </w:num>
  <w:num w:numId="30">
    <w:abstractNumId w:val="5"/>
  </w:num>
  <w:num w:numId="31">
    <w:abstractNumId w:val="8"/>
  </w:num>
  <w:num w:numId="32">
    <w:abstractNumId w:val="18"/>
  </w:num>
  <w:num w:numId="3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94"/>
    <w:rsid w:val="000001AB"/>
    <w:rsid w:val="00000B7D"/>
    <w:rsid w:val="00000E5F"/>
    <w:rsid w:val="0000135D"/>
    <w:rsid w:val="00001711"/>
    <w:rsid w:val="00003216"/>
    <w:rsid w:val="00003F06"/>
    <w:rsid w:val="000042D3"/>
    <w:rsid w:val="00005125"/>
    <w:rsid w:val="00006050"/>
    <w:rsid w:val="000067C8"/>
    <w:rsid w:val="00007363"/>
    <w:rsid w:val="000074A5"/>
    <w:rsid w:val="00007B66"/>
    <w:rsid w:val="000106A4"/>
    <w:rsid w:val="000108AF"/>
    <w:rsid w:val="000108B8"/>
    <w:rsid w:val="00011417"/>
    <w:rsid w:val="00012240"/>
    <w:rsid w:val="00012AAA"/>
    <w:rsid w:val="0001563F"/>
    <w:rsid w:val="00016E59"/>
    <w:rsid w:val="000170F7"/>
    <w:rsid w:val="00017383"/>
    <w:rsid w:val="000179AC"/>
    <w:rsid w:val="00017BE4"/>
    <w:rsid w:val="0002076A"/>
    <w:rsid w:val="00021369"/>
    <w:rsid w:val="0002175B"/>
    <w:rsid w:val="00021944"/>
    <w:rsid w:val="00022691"/>
    <w:rsid w:val="000239FD"/>
    <w:rsid w:val="0002436E"/>
    <w:rsid w:val="000263D8"/>
    <w:rsid w:val="00027509"/>
    <w:rsid w:val="00027F70"/>
    <w:rsid w:val="00030412"/>
    <w:rsid w:val="00030419"/>
    <w:rsid w:val="000304B0"/>
    <w:rsid w:val="00030884"/>
    <w:rsid w:val="0003088B"/>
    <w:rsid w:val="00030ABC"/>
    <w:rsid w:val="00030DCF"/>
    <w:rsid w:val="00032BF6"/>
    <w:rsid w:val="000330B4"/>
    <w:rsid w:val="00033C14"/>
    <w:rsid w:val="00033CBD"/>
    <w:rsid w:val="00033D68"/>
    <w:rsid w:val="0003433C"/>
    <w:rsid w:val="00035226"/>
    <w:rsid w:val="00035443"/>
    <w:rsid w:val="000355DB"/>
    <w:rsid w:val="00035CD2"/>
    <w:rsid w:val="00036CDE"/>
    <w:rsid w:val="00037413"/>
    <w:rsid w:val="00037432"/>
    <w:rsid w:val="0003779D"/>
    <w:rsid w:val="00037CAD"/>
    <w:rsid w:val="00040844"/>
    <w:rsid w:val="00041BA1"/>
    <w:rsid w:val="00041F94"/>
    <w:rsid w:val="00042E32"/>
    <w:rsid w:val="00043A2C"/>
    <w:rsid w:val="00043FA6"/>
    <w:rsid w:val="0004449C"/>
    <w:rsid w:val="00044B41"/>
    <w:rsid w:val="00046165"/>
    <w:rsid w:val="00047A9E"/>
    <w:rsid w:val="000508AF"/>
    <w:rsid w:val="00050986"/>
    <w:rsid w:val="00050B1B"/>
    <w:rsid w:val="000519B4"/>
    <w:rsid w:val="0005262A"/>
    <w:rsid w:val="00053711"/>
    <w:rsid w:val="00054AF8"/>
    <w:rsid w:val="00056D06"/>
    <w:rsid w:val="000570B4"/>
    <w:rsid w:val="00057540"/>
    <w:rsid w:val="00060046"/>
    <w:rsid w:val="000603F0"/>
    <w:rsid w:val="00060537"/>
    <w:rsid w:val="00060F4D"/>
    <w:rsid w:val="000611DF"/>
    <w:rsid w:val="0006159B"/>
    <w:rsid w:val="000618D2"/>
    <w:rsid w:val="00061E4A"/>
    <w:rsid w:val="00062186"/>
    <w:rsid w:val="00062882"/>
    <w:rsid w:val="00063223"/>
    <w:rsid w:val="000643CE"/>
    <w:rsid w:val="000644A7"/>
    <w:rsid w:val="00064ADA"/>
    <w:rsid w:val="000658F0"/>
    <w:rsid w:val="0006639B"/>
    <w:rsid w:val="00066503"/>
    <w:rsid w:val="000669E4"/>
    <w:rsid w:val="00066D48"/>
    <w:rsid w:val="0006705A"/>
    <w:rsid w:val="00067AB0"/>
    <w:rsid w:val="00072130"/>
    <w:rsid w:val="000733BE"/>
    <w:rsid w:val="00073AE4"/>
    <w:rsid w:val="00074148"/>
    <w:rsid w:val="000746F2"/>
    <w:rsid w:val="000750A5"/>
    <w:rsid w:val="0007583E"/>
    <w:rsid w:val="00075C2B"/>
    <w:rsid w:val="0007687E"/>
    <w:rsid w:val="00076CB2"/>
    <w:rsid w:val="000775DA"/>
    <w:rsid w:val="00077E5B"/>
    <w:rsid w:val="00077FA4"/>
    <w:rsid w:val="00080E45"/>
    <w:rsid w:val="000822B0"/>
    <w:rsid w:val="00082E8A"/>
    <w:rsid w:val="00083B3F"/>
    <w:rsid w:val="0008472C"/>
    <w:rsid w:val="000849CD"/>
    <w:rsid w:val="00084E53"/>
    <w:rsid w:val="000856F4"/>
    <w:rsid w:val="0008633D"/>
    <w:rsid w:val="00086CAF"/>
    <w:rsid w:val="00086EBD"/>
    <w:rsid w:val="00090942"/>
    <w:rsid w:val="00093456"/>
    <w:rsid w:val="00093819"/>
    <w:rsid w:val="00094391"/>
    <w:rsid w:val="0009478B"/>
    <w:rsid w:val="00095AEA"/>
    <w:rsid w:val="00095BB2"/>
    <w:rsid w:val="00095BC1"/>
    <w:rsid w:val="00095FDF"/>
    <w:rsid w:val="000962EA"/>
    <w:rsid w:val="00096321"/>
    <w:rsid w:val="00096512"/>
    <w:rsid w:val="000A056F"/>
    <w:rsid w:val="000A0B1B"/>
    <w:rsid w:val="000A0E14"/>
    <w:rsid w:val="000A1D87"/>
    <w:rsid w:val="000A2970"/>
    <w:rsid w:val="000A401E"/>
    <w:rsid w:val="000A47A2"/>
    <w:rsid w:val="000A487F"/>
    <w:rsid w:val="000A5D20"/>
    <w:rsid w:val="000A68C7"/>
    <w:rsid w:val="000A7A52"/>
    <w:rsid w:val="000B0C37"/>
    <w:rsid w:val="000B1146"/>
    <w:rsid w:val="000B1CD3"/>
    <w:rsid w:val="000B3970"/>
    <w:rsid w:val="000B57DF"/>
    <w:rsid w:val="000B5DD9"/>
    <w:rsid w:val="000B674D"/>
    <w:rsid w:val="000B6CC7"/>
    <w:rsid w:val="000B7216"/>
    <w:rsid w:val="000B7B9C"/>
    <w:rsid w:val="000C012C"/>
    <w:rsid w:val="000C01FD"/>
    <w:rsid w:val="000C0DB4"/>
    <w:rsid w:val="000C106E"/>
    <w:rsid w:val="000C2140"/>
    <w:rsid w:val="000C27E0"/>
    <w:rsid w:val="000C31A9"/>
    <w:rsid w:val="000C3331"/>
    <w:rsid w:val="000C5197"/>
    <w:rsid w:val="000C61F0"/>
    <w:rsid w:val="000C663E"/>
    <w:rsid w:val="000C6958"/>
    <w:rsid w:val="000C6F2C"/>
    <w:rsid w:val="000C7CBD"/>
    <w:rsid w:val="000D061E"/>
    <w:rsid w:val="000D199C"/>
    <w:rsid w:val="000D1A27"/>
    <w:rsid w:val="000D2342"/>
    <w:rsid w:val="000D2383"/>
    <w:rsid w:val="000D2810"/>
    <w:rsid w:val="000D2A0A"/>
    <w:rsid w:val="000D35B6"/>
    <w:rsid w:val="000D3AAF"/>
    <w:rsid w:val="000D410A"/>
    <w:rsid w:val="000D422D"/>
    <w:rsid w:val="000D4FB1"/>
    <w:rsid w:val="000D5979"/>
    <w:rsid w:val="000D5AE9"/>
    <w:rsid w:val="000D6431"/>
    <w:rsid w:val="000D64A2"/>
    <w:rsid w:val="000D6711"/>
    <w:rsid w:val="000D6D57"/>
    <w:rsid w:val="000D7073"/>
    <w:rsid w:val="000D7B90"/>
    <w:rsid w:val="000E15DE"/>
    <w:rsid w:val="000E1A4F"/>
    <w:rsid w:val="000E25DE"/>
    <w:rsid w:val="000E2D93"/>
    <w:rsid w:val="000E358A"/>
    <w:rsid w:val="000E4CF6"/>
    <w:rsid w:val="000E65E8"/>
    <w:rsid w:val="000E6886"/>
    <w:rsid w:val="000E7132"/>
    <w:rsid w:val="000E7C78"/>
    <w:rsid w:val="000F0CBF"/>
    <w:rsid w:val="000F1633"/>
    <w:rsid w:val="000F1F60"/>
    <w:rsid w:val="000F2247"/>
    <w:rsid w:val="000F3256"/>
    <w:rsid w:val="000F337C"/>
    <w:rsid w:val="000F5127"/>
    <w:rsid w:val="000F5477"/>
    <w:rsid w:val="000F5A10"/>
    <w:rsid w:val="000F67C7"/>
    <w:rsid w:val="000F6973"/>
    <w:rsid w:val="000F7C60"/>
    <w:rsid w:val="00100293"/>
    <w:rsid w:val="00101885"/>
    <w:rsid w:val="00101AE0"/>
    <w:rsid w:val="00102312"/>
    <w:rsid w:val="00102A4B"/>
    <w:rsid w:val="00103282"/>
    <w:rsid w:val="00103839"/>
    <w:rsid w:val="001045B5"/>
    <w:rsid w:val="001046F8"/>
    <w:rsid w:val="00104906"/>
    <w:rsid w:val="001063DD"/>
    <w:rsid w:val="001063E3"/>
    <w:rsid w:val="00106CA0"/>
    <w:rsid w:val="001073F8"/>
    <w:rsid w:val="001105EA"/>
    <w:rsid w:val="00110AF7"/>
    <w:rsid w:val="00110C5F"/>
    <w:rsid w:val="001114C7"/>
    <w:rsid w:val="0011287B"/>
    <w:rsid w:val="0011394A"/>
    <w:rsid w:val="00113B5B"/>
    <w:rsid w:val="00114A52"/>
    <w:rsid w:val="00115308"/>
    <w:rsid w:val="00115523"/>
    <w:rsid w:val="0011555F"/>
    <w:rsid w:val="00115E6D"/>
    <w:rsid w:val="00115E6E"/>
    <w:rsid w:val="001172A2"/>
    <w:rsid w:val="00117458"/>
    <w:rsid w:val="00117A41"/>
    <w:rsid w:val="00120301"/>
    <w:rsid w:val="00121479"/>
    <w:rsid w:val="0012252D"/>
    <w:rsid w:val="001228C7"/>
    <w:rsid w:val="00122ECD"/>
    <w:rsid w:val="00123293"/>
    <w:rsid w:val="001232AC"/>
    <w:rsid w:val="00123562"/>
    <w:rsid w:val="00123896"/>
    <w:rsid w:val="001238AF"/>
    <w:rsid w:val="001241F4"/>
    <w:rsid w:val="00124E18"/>
    <w:rsid w:val="0012550D"/>
    <w:rsid w:val="0012551E"/>
    <w:rsid w:val="001257A0"/>
    <w:rsid w:val="00126C7E"/>
    <w:rsid w:val="0012733D"/>
    <w:rsid w:val="001273CC"/>
    <w:rsid w:val="00130497"/>
    <w:rsid w:val="0013061A"/>
    <w:rsid w:val="00132808"/>
    <w:rsid w:val="00133DBE"/>
    <w:rsid w:val="00134340"/>
    <w:rsid w:val="0013466D"/>
    <w:rsid w:val="00134993"/>
    <w:rsid w:val="0013539C"/>
    <w:rsid w:val="00135FD2"/>
    <w:rsid w:val="00136C76"/>
    <w:rsid w:val="0013778F"/>
    <w:rsid w:val="00137A5F"/>
    <w:rsid w:val="00140502"/>
    <w:rsid w:val="00141652"/>
    <w:rsid w:val="001427BA"/>
    <w:rsid w:val="001439B0"/>
    <w:rsid w:val="00144688"/>
    <w:rsid w:val="00146A12"/>
    <w:rsid w:val="00146B1D"/>
    <w:rsid w:val="00146DB5"/>
    <w:rsid w:val="0014768F"/>
    <w:rsid w:val="0015217C"/>
    <w:rsid w:val="00152A5A"/>
    <w:rsid w:val="00153BF7"/>
    <w:rsid w:val="00155FFA"/>
    <w:rsid w:val="001563ED"/>
    <w:rsid w:val="00156CF5"/>
    <w:rsid w:val="00156F18"/>
    <w:rsid w:val="001575EF"/>
    <w:rsid w:val="001605FF"/>
    <w:rsid w:val="00160621"/>
    <w:rsid w:val="0016221D"/>
    <w:rsid w:val="00164077"/>
    <w:rsid w:val="001646B3"/>
    <w:rsid w:val="00165358"/>
    <w:rsid w:val="0016601C"/>
    <w:rsid w:val="001665FE"/>
    <w:rsid w:val="00166991"/>
    <w:rsid w:val="00166D66"/>
    <w:rsid w:val="00167272"/>
    <w:rsid w:val="00167277"/>
    <w:rsid w:val="00167359"/>
    <w:rsid w:val="0016C4F8"/>
    <w:rsid w:val="00172222"/>
    <w:rsid w:val="00172998"/>
    <w:rsid w:val="00172A94"/>
    <w:rsid w:val="001733B8"/>
    <w:rsid w:val="00173518"/>
    <w:rsid w:val="00173ACE"/>
    <w:rsid w:val="00174FEC"/>
    <w:rsid w:val="001759D2"/>
    <w:rsid w:val="00176D49"/>
    <w:rsid w:val="00176FFF"/>
    <w:rsid w:val="00180181"/>
    <w:rsid w:val="00180D37"/>
    <w:rsid w:val="001812DE"/>
    <w:rsid w:val="001839DB"/>
    <w:rsid w:val="00183CD9"/>
    <w:rsid w:val="00183F95"/>
    <w:rsid w:val="00183FF5"/>
    <w:rsid w:val="001842CD"/>
    <w:rsid w:val="001843C6"/>
    <w:rsid w:val="0018596E"/>
    <w:rsid w:val="001862CF"/>
    <w:rsid w:val="0018640A"/>
    <w:rsid w:val="00186C80"/>
    <w:rsid w:val="00187508"/>
    <w:rsid w:val="00187D5F"/>
    <w:rsid w:val="001900A5"/>
    <w:rsid w:val="0019067B"/>
    <w:rsid w:val="00191267"/>
    <w:rsid w:val="001926E6"/>
    <w:rsid w:val="00193293"/>
    <w:rsid w:val="0019341F"/>
    <w:rsid w:val="00194118"/>
    <w:rsid w:val="00194387"/>
    <w:rsid w:val="001945B1"/>
    <w:rsid w:val="001945D8"/>
    <w:rsid w:val="00196A16"/>
    <w:rsid w:val="00196A6A"/>
    <w:rsid w:val="001972DE"/>
    <w:rsid w:val="00197CA2"/>
    <w:rsid w:val="001A0016"/>
    <w:rsid w:val="001A11A1"/>
    <w:rsid w:val="001A1935"/>
    <w:rsid w:val="001A2426"/>
    <w:rsid w:val="001A32C8"/>
    <w:rsid w:val="001A3BDC"/>
    <w:rsid w:val="001A492B"/>
    <w:rsid w:val="001A684D"/>
    <w:rsid w:val="001A6D53"/>
    <w:rsid w:val="001A6F57"/>
    <w:rsid w:val="001A7397"/>
    <w:rsid w:val="001B084F"/>
    <w:rsid w:val="001B1A69"/>
    <w:rsid w:val="001B1F30"/>
    <w:rsid w:val="001B1FB3"/>
    <w:rsid w:val="001B20F3"/>
    <w:rsid w:val="001B2753"/>
    <w:rsid w:val="001B4132"/>
    <w:rsid w:val="001B4808"/>
    <w:rsid w:val="001B61DE"/>
    <w:rsid w:val="001B698A"/>
    <w:rsid w:val="001C0640"/>
    <w:rsid w:val="001C33B2"/>
    <w:rsid w:val="001C41FB"/>
    <w:rsid w:val="001C42AC"/>
    <w:rsid w:val="001C513B"/>
    <w:rsid w:val="001C563F"/>
    <w:rsid w:val="001C637A"/>
    <w:rsid w:val="001C7057"/>
    <w:rsid w:val="001D2CE9"/>
    <w:rsid w:val="001D49E5"/>
    <w:rsid w:val="001D4F25"/>
    <w:rsid w:val="001D52F7"/>
    <w:rsid w:val="001D5FBE"/>
    <w:rsid w:val="001D602F"/>
    <w:rsid w:val="001D63E4"/>
    <w:rsid w:val="001D6A6D"/>
    <w:rsid w:val="001D743E"/>
    <w:rsid w:val="001E025A"/>
    <w:rsid w:val="001E05C1"/>
    <w:rsid w:val="001E0AE8"/>
    <w:rsid w:val="001E144C"/>
    <w:rsid w:val="001E1D4F"/>
    <w:rsid w:val="001E265F"/>
    <w:rsid w:val="001E3A07"/>
    <w:rsid w:val="001E40DB"/>
    <w:rsid w:val="001E42FC"/>
    <w:rsid w:val="001E49F1"/>
    <w:rsid w:val="001E517E"/>
    <w:rsid w:val="001E652F"/>
    <w:rsid w:val="001E753D"/>
    <w:rsid w:val="001E7723"/>
    <w:rsid w:val="001E792B"/>
    <w:rsid w:val="001E7D3A"/>
    <w:rsid w:val="001F088E"/>
    <w:rsid w:val="001F20FC"/>
    <w:rsid w:val="001F26AD"/>
    <w:rsid w:val="001F27AF"/>
    <w:rsid w:val="001F2B58"/>
    <w:rsid w:val="001F50C6"/>
    <w:rsid w:val="001F630D"/>
    <w:rsid w:val="001F63C8"/>
    <w:rsid w:val="001F7826"/>
    <w:rsid w:val="001F7F9E"/>
    <w:rsid w:val="001F7FB0"/>
    <w:rsid w:val="002000F5"/>
    <w:rsid w:val="002023CA"/>
    <w:rsid w:val="00202406"/>
    <w:rsid w:val="00203189"/>
    <w:rsid w:val="002031D0"/>
    <w:rsid w:val="0020342A"/>
    <w:rsid w:val="00203F95"/>
    <w:rsid w:val="00204742"/>
    <w:rsid w:val="00206007"/>
    <w:rsid w:val="00206D19"/>
    <w:rsid w:val="00207E2D"/>
    <w:rsid w:val="00207F07"/>
    <w:rsid w:val="00207FB5"/>
    <w:rsid w:val="00210CB1"/>
    <w:rsid w:val="002114DA"/>
    <w:rsid w:val="00211B5B"/>
    <w:rsid w:val="00211C62"/>
    <w:rsid w:val="00212D58"/>
    <w:rsid w:val="00212FEF"/>
    <w:rsid w:val="00213005"/>
    <w:rsid w:val="0021321C"/>
    <w:rsid w:val="002133C2"/>
    <w:rsid w:val="00213773"/>
    <w:rsid w:val="00214C13"/>
    <w:rsid w:val="00215B06"/>
    <w:rsid w:val="00215EFA"/>
    <w:rsid w:val="00216606"/>
    <w:rsid w:val="002167DC"/>
    <w:rsid w:val="00217243"/>
    <w:rsid w:val="00217C65"/>
    <w:rsid w:val="002215AB"/>
    <w:rsid w:val="00223239"/>
    <w:rsid w:val="00223F00"/>
    <w:rsid w:val="00223FDB"/>
    <w:rsid w:val="00224C19"/>
    <w:rsid w:val="00226014"/>
    <w:rsid w:val="00226214"/>
    <w:rsid w:val="00227FC2"/>
    <w:rsid w:val="0023042C"/>
    <w:rsid w:val="00230517"/>
    <w:rsid w:val="00230D2D"/>
    <w:rsid w:val="002312F3"/>
    <w:rsid w:val="002317E0"/>
    <w:rsid w:val="00231EE5"/>
    <w:rsid w:val="00232093"/>
    <w:rsid w:val="00232F71"/>
    <w:rsid w:val="00236316"/>
    <w:rsid w:val="00236991"/>
    <w:rsid w:val="00236B06"/>
    <w:rsid w:val="00236CC5"/>
    <w:rsid w:val="0023710D"/>
    <w:rsid w:val="00237BD0"/>
    <w:rsid w:val="0024060C"/>
    <w:rsid w:val="00241EC9"/>
    <w:rsid w:val="00242862"/>
    <w:rsid w:val="00242CB6"/>
    <w:rsid w:val="00243B25"/>
    <w:rsid w:val="00243E8B"/>
    <w:rsid w:val="00244E71"/>
    <w:rsid w:val="00245C0B"/>
    <w:rsid w:val="00245F49"/>
    <w:rsid w:val="00246255"/>
    <w:rsid w:val="00246522"/>
    <w:rsid w:val="00247AF7"/>
    <w:rsid w:val="002506BC"/>
    <w:rsid w:val="00251AEC"/>
    <w:rsid w:val="00252C05"/>
    <w:rsid w:val="00252F0C"/>
    <w:rsid w:val="00253056"/>
    <w:rsid w:val="002535CF"/>
    <w:rsid w:val="00254026"/>
    <w:rsid w:val="00255CAB"/>
    <w:rsid w:val="00256623"/>
    <w:rsid w:val="00257B9B"/>
    <w:rsid w:val="00260064"/>
    <w:rsid w:val="0026047D"/>
    <w:rsid w:val="00260FA9"/>
    <w:rsid w:val="00261463"/>
    <w:rsid w:val="00262C70"/>
    <w:rsid w:val="002641B1"/>
    <w:rsid w:val="00265B13"/>
    <w:rsid w:val="00265B77"/>
    <w:rsid w:val="0026675B"/>
    <w:rsid w:val="00266A35"/>
    <w:rsid w:val="00266BB6"/>
    <w:rsid w:val="00266CC1"/>
    <w:rsid w:val="00270225"/>
    <w:rsid w:val="00272932"/>
    <w:rsid w:val="002738FA"/>
    <w:rsid w:val="00273D1A"/>
    <w:rsid w:val="00274059"/>
    <w:rsid w:val="00274475"/>
    <w:rsid w:val="00275F08"/>
    <w:rsid w:val="00277129"/>
    <w:rsid w:val="002800D8"/>
    <w:rsid w:val="00280151"/>
    <w:rsid w:val="002813B2"/>
    <w:rsid w:val="0028265A"/>
    <w:rsid w:val="0028280C"/>
    <w:rsid w:val="00282A9E"/>
    <w:rsid w:val="00283071"/>
    <w:rsid w:val="00284944"/>
    <w:rsid w:val="0028504A"/>
    <w:rsid w:val="002860AE"/>
    <w:rsid w:val="00286125"/>
    <w:rsid w:val="00286EF3"/>
    <w:rsid w:val="00287187"/>
    <w:rsid w:val="00287C2F"/>
    <w:rsid w:val="002902AB"/>
    <w:rsid w:val="00290DC8"/>
    <w:rsid w:val="00291175"/>
    <w:rsid w:val="002934BF"/>
    <w:rsid w:val="002948A7"/>
    <w:rsid w:val="00294DB0"/>
    <w:rsid w:val="00295D12"/>
    <w:rsid w:val="00297F08"/>
    <w:rsid w:val="002A02E8"/>
    <w:rsid w:val="002A098F"/>
    <w:rsid w:val="002A0ACD"/>
    <w:rsid w:val="002A0C74"/>
    <w:rsid w:val="002A2C72"/>
    <w:rsid w:val="002A455B"/>
    <w:rsid w:val="002A4BC8"/>
    <w:rsid w:val="002A5B3A"/>
    <w:rsid w:val="002A6203"/>
    <w:rsid w:val="002A6896"/>
    <w:rsid w:val="002A739E"/>
    <w:rsid w:val="002A7455"/>
    <w:rsid w:val="002A7953"/>
    <w:rsid w:val="002B033F"/>
    <w:rsid w:val="002B0CE9"/>
    <w:rsid w:val="002B104E"/>
    <w:rsid w:val="002B2241"/>
    <w:rsid w:val="002B2505"/>
    <w:rsid w:val="002B3277"/>
    <w:rsid w:val="002B3C5A"/>
    <w:rsid w:val="002B4F65"/>
    <w:rsid w:val="002B7115"/>
    <w:rsid w:val="002B73D8"/>
    <w:rsid w:val="002C04B7"/>
    <w:rsid w:val="002C0695"/>
    <w:rsid w:val="002C07AA"/>
    <w:rsid w:val="002C14C0"/>
    <w:rsid w:val="002C23D6"/>
    <w:rsid w:val="002C3896"/>
    <w:rsid w:val="002C3D3D"/>
    <w:rsid w:val="002C4139"/>
    <w:rsid w:val="002C485A"/>
    <w:rsid w:val="002C54FB"/>
    <w:rsid w:val="002C561D"/>
    <w:rsid w:val="002C5BE8"/>
    <w:rsid w:val="002C652C"/>
    <w:rsid w:val="002C672B"/>
    <w:rsid w:val="002C7490"/>
    <w:rsid w:val="002D0309"/>
    <w:rsid w:val="002D0D98"/>
    <w:rsid w:val="002D10AB"/>
    <w:rsid w:val="002D3492"/>
    <w:rsid w:val="002D44C0"/>
    <w:rsid w:val="002D492C"/>
    <w:rsid w:val="002D5CA5"/>
    <w:rsid w:val="002D6C60"/>
    <w:rsid w:val="002D7165"/>
    <w:rsid w:val="002E08D3"/>
    <w:rsid w:val="002E0E28"/>
    <w:rsid w:val="002E2337"/>
    <w:rsid w:val="002E3A26"/>
    <w:rsid w:val="002E3E3C"/>
    <w:rsid w:val="002E414E"/>
    <w:rsid w:val="002E45B7"/>
    <w:rsid w:val="002E4A28"/>
    <w:rsid w:val="002E4D94"/>
    <w:rsid w:val="002E5A93"/>
    <w:rsid w:val="002E70BE"/>
    <w:rsid w:val="002F0739"/>
    <w:rsid w:val="002F25E7"/>
    <w:rsid w:val="002F2B04"/>
    <w:rsid w:val="002F4351"/>
    <w:rsid w:val="002F46F5"/>
    <w:rsid w:val="002F551B"/>
    <w:rsid w:val="002F5D1A"/>
    <w:rsid w:val="002F62A2"/>
    <w:rsid w:val="002F6991"/>
    <w:rsid w:val="002F727B"/>
    <w:rsid w:val="002F79C7"/>
    <w:rsid w:val="002F7A1B"/>
    <w:rsid w:val="0030015A"/>
    <w:rsid w:val="0030048B"/>
    <w:rsid w:val="00300514"/>
    <w:rsid w:val="00301ABD"/>
    <w:rsid w:val="00301C40"/>
    <w:rsid w:val="003022F7"/>
    <w:rsid w:val="00302301"/>
    <w:rsid w:val="003029CC"/>
    <w:rsid w:val="003030CF"/>
    <w:rsid w:val="00303B6B"/>
    <w:rsid w:val="00303CC0"/>
    <w:rsid w:val="00304968"/>
    <w:rsid w:val="003053EA"/>
    <w:rsid w:val="00306557"/>
    <w:rsid w:val="00306606"/>
    <w:rsid w:val="00306791"/>
    <w:rsid w:val="003077C3"/>
    <w:rsid w:val="00307A06"/>
    <w:rsid w:val="00307E88"/>
    <w:rsid w:val="0031068F"/>
    <w:rsid w:val="00310F53"/>
    <w:rsid w:val="00311016"/>
    <w:rsid w:val="003120F4"/>
    <w:rsid w:val="00312236"/>
    <w:rsid w:val="0031346B"/>
    <w:rsid w:val="0031358A"/>
    <w:rsid w:val="003146B8"/>
    <w:rsid w:val="00316C51"/>
    <w:rsid w:val="003202E0"/>
    <w:rsid w:val="003204EC"/>
    <w:rsid w:val="00320911"/>
    <w:rsid w:val="00320ABF"/>
    <w:rsid w:val="00322087"/>
    <w:rsid w:val="0032222D"/>
    <w:rsid w:val="00322BC3"/>
    <w:rsid w:val="003244CF"/>
    <w:rsid w:val="003256F7"/>
    <w:rsid w:val="00325D8A"/>
    <w:rsid w:val="00326B55"/>
    <w:rsid w:val="00330748"/>
    <w:rsid w:val="00331D14"/>
    <w:rsid w:val="00331E1F"/>
    <w:rsid w:val="0033340B"/>
    <w:rsid w:val="00333E3B"/>
    <w:rsid w:val="003353F6"/>
    <w:rsid w:val="003373CA"/>
    <w:rsid w:val="0033779A"/>
    <w:rsid w:val="00337A93"/>
    <w:rsid w:val="0034021B"/>
    <w:rsid w:val="00340553"/>
    <w:rsid w:val="00341BA9"/>
    <w:rsid w:val="00341EEE"/>
    <w:rsid w:val="00342102"/>
    <w:rsid w:val="003421B1"/>
    <w:rsid w:val="00342372"/>
    <w:rsid w:val="00342A1F"/>
    <w:rsid w:val="00343D38"/>
    <w:rsid w:val="00344147"/>
    <w:rsid w:val="003446F4"/>
    <w:rsid w:val="00345743"/>
    <w:rsid w:val="00346553"/>
    <w:rsid w:val="003466A0"/>
    <w:rsid w:val="00346D05"/>
    <w:rsid w:val="003474A7"/>
    <w:rsid w:val="00347B02"/>
    <w:rsid w:val="003507A5"/>
    <w:rsid w:val="00350C35"/>
    <w:rsid w:val="003512E7"/>
    <w:rsid w:val="00351892"/>
    <w:rsid w:val="00352B70"/>
    <w:rsid w:val="00353236"/>
    <w:rsid w:val="00354794"/>
    <w:rsid w:val="003547A9"/>
    <w:rsid w:val="00354813"/>
    <w:rsid w:val="003567C1"/>
    <w:rsid w:val="003603FC"/>
    <w:rsid w:val="00360E28"/>
    <w:rsid w:val="00361A26"/>
    <w:rsid w:val="00361B84"/>
    <w:rsid w:val="00362B1A"/>
    <w:rsid w:val="00363493"/>
    <w:rsid w:val="00364E5A"/>
    <w:rsid w:val="00365120"/>
    <w:rsid w:val="003651B0"/>
    <w:rsid w:val="00365789"/>
    <w:rsid w:val="003658C9"/>
    <w:rsid w:val="00365A47"/>
    <w:rsid w:val="00365B22"/>
    <w:rsid w:val="003677EB"/>
    <w:rsid w:val="00367B38"/>
    <w:rsid w:val="00371F7E"/>
    <w:rsid w:val="0037235D"/>
    <w:rsid w:val="003723EB"/>
    <w:rsid w:val="003733D0"/>
    <w:rsid w:val="003739A6"/>
    <w:rsid w:val="003741C3"/>
    <w:rsid w:val="00375A0F"/>
    <w:rsid w:val="003763BD"/>
    <w:rsid w:val="003769B2"/>
    <w:rsid w:val="00377773"/>
    <w:rsid w:val="00377BF6"/>
    <w:rsid w:val="0038014F"/>
    <w:rsid w:val="0038016C"/>
    <w:rsid w:val="003818C3"/>
    <w:rsid w:val="003822CD"/>
    <w:rsid w:val="003836D0"/>
    <w:rsid w:val="003838B3"/>
    <w:rsid w:val="00383A4B"/>
    <w:rsid w:val="00384009"/>
    <w:rsid w:val="003851AE"/>
    <w:rsid w:val="00385A18"/>
    <w:rsid w:val="003863BC"/>
    <w:rsid w:val="00386F2B"/>
    <w:rsid w:val="00387376"/>
    <w:rsid w:val="0038794E"/>
    <w:rsid w:val="00387EA4"/>
    <w:rsid w:val="00391528"/>
    <w:rsid w:val="00391FF5"/>
    <w:rsid w:val="003953E6"/>
    <w:rsid w:val="003A1913"/>
    <w:rsid w:val="003A38DD"/>
    <w:rsid w:val="003A43D1"/>
    <w:rsid w:val="003A4785"/>
    <w:rsid w:val="003A4C5A"/>
    <w:rsid w:val="003A5159"/>
    <w:rsid w:val="003A5406"/>
    <w:rsid w:val="003A54DC"/>
    <w:rsid w:val="003A5F50"/>
    <w:rsid w:val="003A70E1"/>
    <w:rsid w:val="003A7509"/>
    <w:rsid w:val="003B1A07"/>
    <w:rsid w:val="003B1CFA"/>
    <w:rsid w:val="003B1D43"/>
    <w:rsid w:val="003B20BF"/>
    <w:rsid w:val="003B211A"/>
    <w:rsid w:val="003B290F"/>
    <w:rsid w:val="003B2C76"/>
    <w:rsid w:val="003B3139"/>
    <w:rsid w:val="003B458C"/>
    <w:rsid w:val="003B522B"/>
    <w:rsid w:val="003B5A07"/>
    <w:rsid w:val="003B5D80"/>
    <w:rsid w:val="003B661D"/>
    <w:rsid w:val="003B66A8"/>
    <w:rsid w:val="003C0DED"/>
    <w:rsid w:val="003C0E11"/>
    <w:rsid w:val="003C1628"/>
    <w:rsid w:val="003C24CF"/>
    <w:rsid w:val="003C24D4"/>
    <w:rsid w:val="003C33BD"/>
    <w:rsid w:val="003C3D86"/>
    <w:rsid w:val="003C3F0C"/>
    <w:rsid w:val="003C44FB"/>
    <w:rsid w:val="003C45CC"/>
    <w:rsid w:val="003C49D6"/>
    <w:rsid w:val="003C6069"/>
    <w:rsid w:val="003C702F"/>
    <w:rsid w:val="003D0995"/>
    <w:rsid w:val="003D09A5"/>
    <w:rsid w:val="003D1389"/>
    <w:rsid w:val="003D254F"/>
    <w:rsid w:val="003D2994"/>
    <w:rsid w:val="003D6B1F"/>
    <w:rsid w:val="003D74C0"/>
    <w:rsid w:val="003D7BC6"/>
    <w:rsid w:val="003E0422"/>
    <w:rsid w:val="003E0AAD"/>
    <w:rsid w:val="003E1B81"/>
    <w:rsid w:val="003E1DFA"/>
    <w:rsid w:val="003E2019"/>
    <w:rsid w:val="003E272B"/>
    <w:rsid w:val="003E2C28"/>
    <w:rsid w:val="003E3A81"/>
    <w:rsid w:val="003E4152"/>
    <w:rsid w:val="003E418F"/>
    <w:rsid w:val="003E42A0"/>
    <w:rsid w:val="003E446D"/>
    <w:rsid w:val="003E4570"/>
    <w:rsid w:val="003E594E"/>
    <w:rsid w:val="003E5D7F"/>
    <w:rsid w:val="003E7167"/>
    <w:rsid w:val="003E730D"/>
    <w:rsid w:val="003E7BB9"/>
    <w:rsid w:val="003F0E48"/>
    <w:rsid w:val="003F16AF"/>
    <w:rsid w:val="003F2470"/>
    <w:rsid w:val="003F2766"/>
    <w:rsid w:val="003F2883"/>
    <w:rsid w:val="003F7C76"/>
    <w:rsid w:val="0040097B"/>
    <w:rsid w:val="00400C3E"/>
    <w:rsid w:val="004017A6"/>
    <w:rsid w:val="00401826"/>
    <w:rsid w:val="0040261E"/>
    <w:rsid w:val="00402A04"/>
    <w:rsid w:val="00402EA1"/>
    <w:rsid w:val="00403B25"/>
    <w:rsid w:val="004049D9"/>
    <w:rsid w:val="004050F9"/>
    <w:rsid w:val="0041039C"/>
    <w:rsid w:val="0041132F"/>
    <w:rsid w:val="0041392E"/>
    <w:rsid w:val="00415798"/>
    <w:rsid w:val="004158BB"/>
    <w:rsid w:val="00416B2E"/>
    <w:rsid w:val="00417375"/>
    <w:rsid w:val="0041784D"/>
    <w:rsid w:val="00420855"/>
    <w:rsid w:val="00420F5C"/>
    <w:rsid w:val="00421BE3"/>
    <w:rsid w:val="00421E6A"/>
    <w:rsid w:val="00422138"/>
    <w:rsid w:val="004235EB"/>
    <w:rsid w:val="0042374D"/>
    <w:rsid w:val="00424962"/>
    <w:rsid w:val="00424A62"/>
    <w:rsid w:val="00424F71"/>
    <w:rsid w:val="00426954"/>
    <w:rsid w:val="004274B7"/>
    <w:rsid w:val="0042790B"/>
    <w:rsid w:val="004279CA"/>
    <w:rsid w:val="004313F8"/>
    <w:rsid w:val="004313F9"/>
    <w:rsid w:val="00431EB5"/>
    <w:rsid w:val="00432B64"/>
    <w:rsid w:val="004335C3"/>
    <w:rsid w:val="00433C4B"/>
    <w:rsid w:val="00433E5B"/>
    <w:rsid w:val="00435769"/>
    <w:rsid w:val="004379C6"/>
    <w:rsid w:val="0044045A"/>
    <w:rsid w:val="00440E8A"/>
    <w:rsid w:val="004413A8"/>
    <w:rsid w:val="004414B0"/>
    <w:rsid w:val="00441798"/>
    <w:rsid w:val="00441CD1"/>
    <w:rsid w:val="00442665"/>
    <w:rsid w:val="00442EB4"/>
    <w:rsid w:val="004437D0"/>
    <w:rsid w:val="00443AB1"/>
    <w:rsid w:val="00444D1F"/>
    <w:rsid w:val="00445162"/>
    <w:rsid w:val="004451DC"/>
    <w:rsid w:val="004451EE"/>
    <w:rsid w:val="0044737D"/>
    <w:rsid w:val="004514C1"/>
    <w:rsid w:val="004527BC"/>
    <w:rsid w:val="00452B05"/>
    <w:rsid w:val="00452ED7"/>
    <w:rsid w:val="00453FA3"/>
    <w:rsid w:val="0045487E"/>
    <w:rsid w:val="004548D1"/>
    <w:rsid w:val="00454B79"/>
    <w:rsid w:val="004550A0"/>
    <w:rsid w:val="0045575F"/>
    <w:rsid w:val="00455946"/>
    <w:rsid w:val="00455E56"/>
    <w:rsid w:val="00456367"/>
    <w:rsid w:val="00456DEA"/>
    <w:rsid w:val="00456E4C"/>
    <w:rsid w:val="00457A4C"/>
    <w:rsid w:val="00460180"/>
    <w:rsid w:val="0046080C"/>
    <w:rsid w:val="00460D0F"/>
    <w:rsid w:val="00461AC2"/>
    <w:rsid w:val="00465602"/>
    <w:rsid w:val="00465695"/>
    <w:rsid w:val="0046604B"/>
    <w:rsid w:val="004669F5"/>
    <w:rsid w:val="00466C94"/>
    <w:rsid w:val="0046780F"/>
    <w:rsid w:val="00467A8E"/>
    <w:rsid w:val="00467F38"/>
    <w:rsid w:val="00470726"/>
    <w:rsid w:val="00470836"/>
    <w:rsid w:val="00471EE3"/>
    <w:rsid w:val="00472399"/>
    <w:rsid w:val="00472792"/>
    <w:rsid w:val="00473371"/>
    <w:rsid w:val="004734A9"/>
    <w:rsid w:val="004735A1"/>
    <w:rsid w:val="00473A78"/>
    <w:rsid w:val="00475190"/>
    <w:rsid w:val="004756B1"/>
    <w:rsid w:val="00475D4A"/>
    <w:rsid w:val="0047651E"/>
    <w:rsid w:val="0047688D"/>
    <w:rsid w:val="00476D5F"/>
    <w:rsid w:val="00477E41"/>
    <w:rsid w:val="00477E6C"/>
    <w:rsid w:val="00480737"/>
    <w:rsid w:val="004807B9"/>
    <w:rsid w:val="004810A5"/>
    <w:rsid w:val="00481BE6"/>
    <w:rsid w:val="00482007"/>
    <w:rsid w:val="0048303E"/>
    <w:rsid w:val="00485E8E"/>
    <w:rsid w:val="0048624E"/>
    <w:rsid w:val="00486CE6"/>
    <w:rsid w:val="004878B0"/>
    <w:rsid w:val="0048790A"/>
    <w:rsid w:val="004900E8"/>
    <w:rsid w:val="00491079"/>
    <w:rsid w:val="00492674"/>
    <w:rsid w:val="004928E7"/>
    <w:rsid w:val="00492AD2"/>
    <w:rsid w:val="00493570"/>
    <w:rsid w:val="00493E44"/>
    <w:rsid w:val="00493F8E"/>
    <w:rsid w:val="004945A5"/>
    <w:rsid w:val="004945E2"/>
    <w:rsid w:val="00494BFE"/>
    <w:rsid w:val="0049548F"/>
    <w:rsid w:val="004955BA"/>
    <w:rsid w:val="004961C9"/>
    <w:rsid w:val="004965AE"/>
    <w:rsid w:val="00497333"/>
    <w:rsid w:val="004979D6"/>
    <w:rsid w:val="004A0C9F"/>
    <w:rsid w:val="004A0E59"/>
    <w:rsid w:val="004A2078"/>
    <w:rsid w:val="004A2699"/>
    <w:rsid w:val="004A2BCA"/>
    <w:rsid w:val="004A2C26"/>
    <w:rsid w:val="004A2F46"/>
    <w:rsid w:val="004A34FB"/>
    <w:rsid w:val="004A5E77"/>
    <w:rsid w:val="004B07DE"/>
    <w:rsid w:val="004B136C"/>
    <w:rsid w:val="004B1CB8"/>
    <w:rsid w:val="004B3A57"/>
    <w:rsid w:val="004B4169"/>
    <w:rsid w:val="004B4F3D"/>
    <w:rsid w:val="004B5D5A"/>
    <w:rsid w:val="004B64F4"/>
    <w:rsid w:val="004B6B32"/>
    <w:rsid w:val="004C1DC4"/>
    <w:rsid w:val="004C316D"/>
    <w:rsid w:val="004C416B"/>
    <w:rsid w:val="004C49F1"/>
    <w:rsid w:val="004C51E2"/>
    <w:rsid w:val="004C5792"/>
    <w:rsid w:val="004C73E1"/>
    <w:rsid w:val="004C789E"/>
    <w:rsid w:val="004D0FC5"/>
    <w:rsid w:val="004D1EC1"/>
    <w:rsid w:val="004D2CAF"/>
    <w:rsid w:val="004D32EA"/>
    <w:rsid w:val="004D47A4"/>
    <w:rsid w:val="004D5459"/>
    <w:rsid w:val="004D64EB"/>
    <w:rsid w:val="004D6F92"/>
    <w:rsid w:val="004D7710"/>
    <w:rsid w:val="004D790E"/>
    <w:rsid w:val="004D797D"/>
    <w:rsid w:val="004D7A26"/>
    <w:rsid w:val="004E07BF"/>
    <w:rsid w:val="004E0A67"/>
    <w:rsid w:val="004E2234"/>
    <w:rsid w:val="004E317F"/>
    <w:rsid w:val="004E4418"/>
    <w:rsid w:val="004E4440"/>
    <w:rsid w:val="004E5776"/>
    <w:rsid w:val="004E5E65"/>
    <w:rsid w:val="004E655D"/>
    <w:rsid w:val="004E75EF"/>
    <w:rsid w:val="004E76C3"/>
    <w:rsid w:val="004E7AF1"/>
    <w:rsid w:val="004F071B"/>
    <w:rsid w:val="004F0FC6"/>
    <w:rsid w:val="004F128E"/>
    <w:rsid w:val="004F28DB"/>
    <w:rsid w:val="004F331C"/>
    <w:rsid w:val="004F5137"/>
    <w:rsid w:val="004F566C"/>
    <w:rsid w:val="004F57C2"/>
    <w:rsid w:val="004F6A9D"/>
    <w:rsid w:val="005000BD"/>
    <w:rsid w:val="00500602"/>
    <w:rsid w:val="00500EC7"/>
    <w:rsid w:val="00501843"/>
    <w:rsid w:val="00501961"/>
    <w:rsid w:val="00502BC8"/>
    <w:rsid w:val="00503354"/>
    <w:rsid w:val="00503442"/>
    <w:rsid w:val="005040EA"/>
    <w:rsid w:val="00505749"/>
    <w:rsid w:val="00505781"/>
    <w:rsid w:val="00505CC5"/>
    <w:rsid w:val="0050708D"/>
    <w:rsid w:val="0050761C"/>
    <w:rsid w:val="005103D8"/>
    <w:rsid w:val="00510543"/>
    <w:rsid w:val="0051088B"/>
    <w:rsid w:val="00510DBD"/>
    <w:rsid w:val="005123CE"/>
    <w:rsid w:val="005126F8"/>
    <w:rsid w:val="00513433"/>
    <w:rsid w:val="0051519E"/>
    <w:rsid w:val="00516946"/>
    <w:rsid w:val="00517AC1"/>
    <w:rsid w:val="00520126"/>
    <w:rsid w:val="0052066E"/>
    <w:rsid w:val="0052100F"/>
    <w:rsid w:val="005213E3"/>
    <w:rsid w:val="005222D8"/>
    <w:rsid w:val="00522E7C"/>
    <w:rsid w:val="00523922"/>
    <w:rsid w:val="005252B1"/>
    <w:rsid w:val="00525433"/>
    <w:rsid w:val="0052589D"/>
    <w:rsid w:val="00525DC9"/>
    <w:rsid w:val="00526D3A"/>
    <w:rsid w:val="00526E00"/>
    <w:rsid w:val="00527401"/>
    <w:rsid w:val="00527EFE"/>
    <w:rsid w:val="00530A44"/>
    <w:rsid w:val="00531916"/>
    <w:rsid w:val="00531DE2"/>
    <w:rsid w:val="00532E8B"/>
    <w:rsid w:val="00532EFB"/>
    <w:rsid w:val="00533EA4"/>
    <w:rsid w:val="005349F0"/>
    <w:rsid w:val="00534B6A"/>
    <w:rsid w:val="005352C8"/>
    <w:rsid w:val="00542591"/>
    <w:rsid w:val="00542D86"/>
    <w:rsid w:val="005435CB"/>
    <w:rsid w:val="005438B8"/>
    <w:rsid w:val="00544DCA"/>
    <w:rsid w:val="00545A70"/>
    <w:rsid w:val="00545FB3"/>
    <w:rsid w:val="00550512"/>
    <w:rsid w:val="00551431"/>
    <w:rsid w:val="00551ABD"/>
    <w:rsid w:val="00552FAD"/>
    <w:rsid w:val="005532DA"/>
    <w:rsid w:val="0055392D"/>
    <w:rsid w:val="005546CF"/>
    <w:rsid w:val="00554C54"/>
    <w:rsid w:val="00555512"/>
    <w:rsid w:val="00555D7B"/>
    <w:rsid w:val="00555FDF"/>
    <w:rsid w:val="005569BB"/>
    <w:rsid w:val="00556FDE"/>
    <w:rsid w:val="0055707E"/>
    <w:rsid w:val="00557C7F"/>
    <w:rsid w:val="005625D7"/>
    <w:rsid w:val="0056364F"/>
    <w:rsid w:val="0056374A"/>
    <w:rsid w:val="0056436F"/>
    <w:rsid w:val="00564618"/>
    <w:rsid w:val="00564AB7"/>
    <w:rsid w:val="00566794"/>
    <w:rsid w:val="00570159"/>
    <w:rsid w:val="00570E54"/>
    <w:rsid w:val="0057278F"/>
    <w:rsid w:val="00572C8F"/>
    <w:rsid w:val="00573447"/>
    <w:rsid w:val="0057373F"/>
    <w:rsid w:val="00573B02"/>
    <w:rsid w:val="00574274"/>
    <w:rsid w:val="00574C3D"/>
    <w:rsid w:val="005750B2"/>
    <w:rsid w:val="005758FB"/>
    <w:rsid w:val="005760C0"/>
    <w:rsid w:val="00576345"/>
    <w:rsid w:val="00576C30"/>
    <w:rsid w:val="005809C6"/>
    <w:rsid w:val="00581166"/>
    <w:rsid w:val="005816DF"/>
    <w:rsid w:val="005829E7"/>
    <w:rsid w:val="00583AE6"/>
    <w:rsid w:val="00584D6D"/>
    <w:rsid w:val="00584D99"/>
    <w:rsid w:val="005852D1"/>
    <w:rsid w:val="00585329"/>
    <w:rsid w:val="005864EE"/>
    <w:rsid w:val="0058675F"/>
    <w:rsid w:val="00590FAC"/>
    <w:rsid w:val="00591400"/>
    <w:rsid w:val="00592B8B"/>
    <w:rsid w:val="00592D7C"/>
    <w:rsid w:val="005931C9"/>
    <w:rsid w:val="005933BC"/>
    <w:rsid w:val="00593912"/>
    <w:rsid w:val="00593E97"/>
    <w:rsid w:val="005942F9"/>
    <w:rsid w:val="0059483B"/>
    <w:rsid w:val="0059490D"/>
    <w:rsid w:val="00595907"/>
    <w:rsid w:val="0059595A"/>
    <w:rsid w:val="005963EB"/>
    <w:rsid w:val="00597694"/>
    <w:rsid w:val="00597DFC"/>
    <w:rsid w:val="005A0011"/>
    <w:rsid w:val="005A0955"/>
    <w:rsid w:val="005A1642"/>
    <w:rsid w:val="005A25F6"/>
    <w:rsid w:val="005A2F1B"/>
    <w:rsid w:val="005A6C12"/>
    <w:rsid w:val="005A7F2B"/>
    <w:rsid w:val="005B015E"/>
    <w:rsid w:val="005B03F6"/>
    <w:rsid w:val="005B0828"/>
    <w:rsid w:val="005B21B0"/>
    <w:rsid w:val="005B2A7D"/>
    <w:rsid w:val="005B349F"/>
    <w:rsid w:val="005B4001"/>
    <w:rsid w:val="005B46DD"/>
    <w:rsid w:val="005B4C30"/>
    <w:rsid w:val="005B5044"/>
    <w:rsid w:val="005B515A"/>
    <w:rsid w:val="005B538D"/>
    <w:rsid w:val="005C0B83"/>
    <w:rsid w:val="005C1A05"/>
    <w:rsid w:val="005C382B"/>
    <w:rsid w:val="005C3DEB"/>
    <w:rsid w:val="005C4501"/>
    <w:rsid w:val="005C4744"/>
    <w:rsid w:val="005C4B8B"/>
    <w:rsid w:val="005C6385"/>
    <w:rsid w:val="005C67F0"/>
    <w:rsid w:val="005C68D2"/>
    <w:rsid w:val="005C6D08"/>
    <w:rsid w:val="005C735D"/>
    <w:rsid w:val="005C7565"/>
    <w:rsid w:val="005C76C1"/>
    <w:rsid w:val="005D02AA"/>
    <w:rsid w:val="005D0B74"/>
    <w:rsid w:val="005D0EB3"/>
    <w:rsid w:val="005D1C5B"/>
    <w:rsid w:val="005D23D0"/>
    <w:rsid w:val="005D2AE1"/>
    <w:rsid w:val="005D403F"/>
    <w:rsid w:val="005D419A"/>
    <w:rsid w:val="005D5363"/>
    <w:rsid w:val="005D5993"/>
    <w:rsid w:val="005D5E71"/>
    <w:rsid w:val="005D6CD7"/>
    <w:rsid w:val="005D769C"/>
    <w:rsid w:val="005D7E9B"/>
    <w:rsid w:val="005E28FD"/>
    <w:rsid w:val="005E296F"/>
    <w:rsid w:val="005E38DD"/>
    <w:rsid w:val="005E3D2F"/>
    <w:rsid w:val="005E412C"/>
    <w:rsid w:val="005E46F6"/>
    <w:rsid w:val="005E4D25"/>
    <w:rsid w:val="005E644B"/>
    <w:rsid w:val="005E6A9F"/>
    <w:rsid w:val="005E7EDB"/>
    <w:rsid w:val="005F0572"/>
    <w:rsid w:val="005F0821"/>
    <w:rsid w:val="005F0EA8"/>
    <w:rsid w:val="005F14E6"/>
    <w:rsid w:val="005F270B"/>
    <w:rsid w:val="005F2A0D"/>
    <w:rsid w:val="005F3100"/>
    <w:rsid w:val="005F3A2E"/>
    <w:rsid w:val="005F3AAB"/>
    <w:rsid w:val="005F3AEE"/>
    <w:rsid w:val="005F5DFC"/>
    <w:rsid w:val="005F7144"/>
    <w:rsid w:val="005F755C"/>
    <w:rsid w:val="005F7599"/>
    <w:rsid w:val="00600C9C"/>
    <w:rsid w:val="00601C7D"/>
    <w:rsid w:val="0060278C"/>
    <w:rsid w:val="00603219"/>
    <w:rsid w:val="00603347"/>
    <w:rsid w:val="00603E91"/>
    <w:rsid w:val="006053B8"/>
    <w:rsid w:val="00605DDB"/>
    <w:rsid w:val="0060615B"/>
    <w:rsid w:val="0060625E"/>
    <w:rsid w:val="0060670F"/>
    <w:rsid w:val="0060713F"/>
    <w:rsid w:val="006079BE"/>
    <w:rsid w:val="006115B7"/>
    <w:rsid w:val="006123EC"/>
    <w:rsid w:val="006126BE"/>
    <w:rsid w:val="00613681"/>
    <w:rsid w:val="00613F61"/>
    <w:rsid w:val="0061488C"/>
    <w:rsid w:val="00614A60"/>
    <w:rsid w:val="006157ED"/>
    <w:rsid w:val="00616132"/>
    <w:rsid w:val="006161D0"/>
    <w:rsid w:val="00616ED3"/>
    <w:rsid w:val="00617061"/>
    <w:rsid w:val="006203B7"/>
    <w:rsid w:val="006208D8"/>
    <w:rsid w:val="00620BB5"/>
    <w:rsid w:val="00620D0C"/>
    <w:rsid w:val="00620EAF"/>
    <w:rsid w:val="006219D5"/>
    <w:rsid w:val="00623F83"/>
    <w:rsid w:val="00624187"/>
    <w:rsid w:val="00624462"/>
    <w:rsid w:val="00625CEC"/>
    <w:rsid w:val="00626690"/>
    <w:rsid w:val="00627978"/>
    <w:rsid w:val="00632688"/>
    <w:rsid w:val="00632E93"/>
    <w:rsid w:val="00633887"/>
    <w:rsid w:val="006338B3"/>
    <w:rsid w:val="00634823"/>
    <w:rsid w:val="00635302"/>
    <w:rsid w:val="00635D5B"/>
    <w:rsid w:val="00640495"/>
    <w:rsid w:val="00640A16"/>
    <w:rsid w:val="00641BCB"/>
    <w:rsid w:val="0064203F"/>
    <w:rsid w:val="00642047"/>
    <w:rsid w:val="006423E8"/>
    <w:rsid w:val="0064249C"/>
    <w:rsid w:val="00642C87"/>
    <w:rsid w:val="00642C9C"/>
    <w:rsid w:val="0064400C"/>
    <w:rsid w:val="00645416"/>
    <w:rsid w:val="00645B3F"/>
    <w:rsid w:val="00645BA2"/>
    <w:rsid w:val="0064652D"/>
    <w:rsid w:val="006466CC"/>
    <w:rsid w:val="00646832"/>
    <w:rsid w:val="00646C1E"/>
    <w:rsid w:val="00647481"/>
    <w:rsid w:val="00647580"/>
    <w:rsid w:val="0064763C"/>
    <w:rsid w:val="00651A74"/>
    <w:rsid w:val="00651D86"/>
    <w:rsid w:val="00651E10"/>
    <w:rsid w:val="0065326D"/>
    <w:rsid w:val="0065399A"/>
    <w:rsid w:val="006544A3"/>
    <w:rsid w:val="0065466D"/>
    <w:rsid w:val="00654B02"/>
    <w:rsid w:val="00655C93"/>
    <w:rsid w:val="0065636C"/>
    <w:rsid w:val="00661379"/>
    <w:rsid w:val="00661A0B"/>
    <w:rsid w:val="00662AAF"/>
    <w:rsid w:val="00663B2C"/>
    <w:rsid w:val="00664149"/>
    <w:rsid w:val="0066606E"/>
    <w:rsid w:val="006660E5"/>
    <w:rsid w:val="0066628D"/>
    <w:rsid w:val="006666D4"/>
    <w:rsid w:val="006668C2"/>
    <w:rsid w:val="006678E3"/>
    <w:rsid w:val="00667FEE"/>
    <w:rsid w:val="00670D67"/>
    <w:rsid w:val="006726C1"/>
    <w:rsid w:val="00672F43"/>
    <w:rsid w:val="006731BD"/>
    <w:rsid w:val="00673257"/>
    <w:rsid w:val="00673C8D"/>
    <w:rsid w:val="006740D5"/>
    <w:rsid w:val="0067427B"/>
    <w:rsid w:val="0067458D"/>
    <w:rsid w:val="00674A18"/>
    <w:rsid w:val="00676041"/>
    <w:rsid w:val="0067655A"/>
    <w:rsid w:val="006768DF"/>
    <w:rsid w:val="00677F02"/>
    <w:rsid w:val="00680887"/>
    <w:rsid w:val="00680A2F"/>
    <w:rsid w:val="00680AB3"/>
    <w:rsid w:val="006820C4"/>
    <w:rsid w:val="006824A3"/>
    <w:rsid w:val="00683298"/>
    <w:rsid w:val="00683555"/>
    <w:rsid w:val="00683B63"/>
    <w:rsid w:val="00684827"/>
    <w:rsid w:val="00684BC1"/>
    <w:rsid w:val="00685A03"/>
    <w:rsid w:val="00685A57"/>
    <w:rsid w:val="00687B88"/>
    <w:rsid w:val="006902DF"/>
    <w:rsid w:val="00690CD5"/>
    <w:rsid w:val="00690E93"/>
    <w:rsid w:val="00691C7E"/>
    <w:rsid w:val="00691EF4"/>
    <w:rsid w:val="006931BB"/>
    <w:rsid w:val="00693308"/>
    <w:rsid w:val="00694BB2"/>
    <w:rsid w:val="00695586"/>
    <w:rsid w:val="006A0798"/>
    <w:rsid w:val="006A2548"/>
    <w:rsid w:val="006A2BEB"/>
    <w:rsid w:val="006A35D1"/>
    <w:rsid w:val="006A3889"/>
    <w:rsid w:val="006A38E5"/>
    <w:rsid w:val="006A4530"/>
    <w:rsid w:val="006A4E24"/>
    <w:rsid w:val="006A5018"/>
    <w:rsid w:val="006A57FD"/>
    <w:rsid w:val="006A5B71"/>
    <w:rsid w:val="006A6B5D"/>
    <w:rsid w:val="006A720A"/>
    <w:rsid w:val="006A75D4"/>
    <w:rsid w:val="006B07A1"/>
    <w:rsid w:val="006B1F2F"/>
    <w:rsid w:val="006B2E41"/>
    <w:rsid w:val="006B37BE"/>
    <w:rsid w:val="006B4003"/>
    <w:rsid w:val="006B41CF"/>
    <w:rsid w:val="006B4D0E"/>
    <w:rsid w:val="006B4E92"/>
    <w:rsid w:val="006B5640"/>
    <w:rsid w:val="006B5DC8"/>
    <w:rsid w:val="006B6055"/>
    <w:rsid w:val="006B77B1"/>
    <w:rsid w:val="006C0021"/>
    <w:rsid w:val="006C0125"/>
    <w:rsid w:val="006C0E9E"/>
    <w:rsid w:val="006C0EF9"/>
    <w:rsid w:val="006C2747"/>
    <w:rsid w:val="006C3455"/>
    <w:rsid w:val="006C42D1"/>
    <w:rsid w:val="006C4757"/>
    <w:rsid w:val="006C5175"/>
    <w:rsid w:val="006C5B3E"/>
    <w:rsid w:val="006C5DB2"/>
    <w:rsid w:val="006C6D81"/>
    <w:rsid w:val="006D0CE7"/>
    <w:rsid w:val="006D0D6D"/>
    <w:rsid w:val="006D1DFB"/>
    <w:rsid w:val="006D21B5"/>
    <w:rsid w:val="006D3441"/>
    <w:rsid w:val="006D3842"/>
    <w:rsid w:val="006D4202"/>
    <w:rsid w:val="006D6C92"/>
    <w:rsid w:val="006D6E12"/>
    <w:rsid w:val="006D7866"/>
    <w:rsid w:val="006E05D4"/>
    <w:rsid w:val="006E151D"/>
    <w:rsid w:val="006E15DD"/>
    <w:rsid w:val="006E1BED"/>
    <w:rsid w:val="006E22D4"/>
    <w:rsid w:val="006E2784"/>
    <w:rsid w:val="006E2935"/>
    <w:rsid w:val="006E2FB0"/>
    <w:rsid w:val="006E34F9"/>
    <w:rsid w:val="006E42B9"/>
    <w:rsid w:val="006E46F6"/>
    <w:rsid w:val="006E60EE"/>
    <w:rsid w:val="006E694A"/>
    <w:rsid w:val="006E729F"/>
    <w:rsid w:val="006F06C9"/>
    <w:rsid w:val="006F104A"/>
    <w:rsid w:val="006F15B8"/>
    <w:rsid w:val="006F2748"/>
    <w:rsid w:val="006F2975"/>
    <w:rsid w:val="006F2E64"/>
    <w:rsid w:val="006F6A92"/>
    <w:rsid w:val="006F76F1"/>
    <w:rsid w:val="006F79C2"/>
    <w:rsid w:val="007000FA"/>
    <w:rsid w:val="007003B2"/>
    <w:rsid w:val="0070046A"/>
    <w:rsid w:val="00700D35"/>
    <w:rsid w:val="00701410"/>
    <w:rsid w:val="007017E4"/>
    <w:rsid w:val="007037ED"/>
    <w:rsid w:val="007038A7"/>
    <w:rsid w:val="00703D77"/>
    <w:rsid w:val="00704E1A"/>
    <w:rsid w:val="00706AE0"/>
    <w:rsid w:val="0070746B"/>
    <w:rsid w:val="00710929"/>
    <w:rsid w:val="00710F57"/>
    <w:rsid w:val="00711E77"/>
    <w:rsid w:val="00711F51"/>
    <w:rsid w:val="007127BB"/>
    <w:rsid w:val="00712E91"/>
    <w:rsid w:val="0071301E"/>
    <w:rsid w:val="007135AF"/>
    <w:rsid w:val="007143DA"/>
    <w:rsid w:val="0071445C"/>
    <w:rsid w:val="00716A97"/>
    <w:rsid w:val="00716AE1"/>
    <w:rsid w:val="00716FE7"/>
    <w:rsid w:val="00717194"/>
    <w:rsid w:val="00720954"/>
    <w:rsid w:val="007217F3"/>
    <w:rsid w:val="007219F8"/>
    <w:rsid w:val="00723293"/>
    <w:rsid w:val="00725A9C"/>
    <w:rsid w:val="00725B88"/>
    <w:rsid w:val="00725D86"/>
    <w:rsid w:val="007274C0"/>
    <w:rsid w:val="00731785"/>
    <w:rsid w:val="00731FE1"/>
    <w:rsid w:val="0073269B"/>
    <w:rsid w:val="00732DE2"/>
    <w:rsid w:val="007338CE"/>
    <w:rsid w:val="00733A34"/>
    <w:rsid w:val="00733E2B"/>
    <w:rsid w:val="007341BD"/>
    <w:rsid w:val="007353A9"/>
    <w:rsid w:val="00735763"/>
    <w:rsid w:val="00735D4F"/>
    <w:rsid w:val="0073654A"/>
    <w:rsid w:val="00736C06"/>
    <w:rsid w:val="00737612"/>
    <w:rsid w:val="00737719"/>
    <w:rsid w:val="00737A58"/>
    <w:rsid w:val="00740335"/>
    <w:rsid w:val="0074039B"/>
    <w:rsid w:val="00741165"/>
    <w:rsid w:val="00741FB7"/>
    <w:rsid w:val="00743364"/>
    <w:rsid w:val="00744E89"/>
    <w:rsid w:val="00745469"/>
    <w:rsid w:val="0074599A"/>
    <w:rsid w:val="00745A9F"/>
    <w:rsid w:val="007468FB"/>
    <w:rsid w:val="00752397"/>
    <w:rsid w:val="00752750"/>
    <w:rsid w:val="00752C8E"/>
    <w:rsid w:val="00752ECF"/>
    <w:rsid w:val="00753062"/>
    <w:rsid w:val="00753481"/>
    <w:rsid w:val="00753798"/>
    <w:rsid w:val="00753E79"/>
    <w:rsid w:val="0075413D"/>
    <w:rsid w:val="0075439A"/>
    <w:rsid w:val="00754BB7"/>
    <w:rsid w:val="007554FF"/>
    <w:rsid w:val="00755FDF"/>
    <w:rsid w:val="0075687A"/>
    <w:rsid w:val="0075699C"/>
    <w:rsid w:val="00757101"/>
    <w:rsid w:val="007571A7"/>
    <w:rsid w:val="00757750"/>
    <w:rsid w:val="007577B9"/>
    <w:rsid w:val="00760EFC"/>
    <w:rsid w:val="007612DD"/>
    <w:rsid w:val="00761810"/>
    <w:rsid w:val="00764258"/>
    <w:rsid w:val="00764BF2"/>
    <w:rsid w:val="00765509"/>
    <w:rsid w:val="007657E4"/>
    <w:rsid w:val="00765C4E"/>
    <w:rsid w:val="00766087"/>
    <w:rsid w:val="00766922"/>
    <w:rsid w:val="007717D8"/>
    <w:rsid w:val="00771B41"/>
    <w:rsid w:val="00774071"/>
    <w:rsid w:val="00774521"/>
    <w:rsid w:val="0077485B"/>
    <w:rsid w:val="00774CA7"/>
    <w:rsid w:val="00774E5F"/>
    <w:rsid w:val="00775368"/>
    <w:rsid w:val="0077557E"/>
    <w:rsid w:val="00775703"/>
    <w:rsid w:val="00775A4C"/>
    <w:rsid w:val="00776878"/>
    <w:rsid w:val="00780699"/>
    <w:rsid w:val="00781BCC"/>
    <w:rsid w:val="00783702"/>
    <w:rsid w:val="007845E4"/>
    <w:rsid w:val="007866A0"/>
    <w:rsid w:val="00787733"/>
    <w:rsid w:val="00787892"/>
    <w:rsid w:val="00787E91"/>
    <w:rsid w:val="00790306"/>
    <w:rsid w:val="00790742"/>
    <w:rsid w:val="00791B81"/>
    <w:rsid w:val="0079298D"/>
    <w:rsid w:val="007933EB"/>
    <w:rsid w:val="007934B8"/>
    <w:rsid w:val="00795974"/>
    <w:rsid w:val="00796030"/>
    <w:rsid w:val="00796FAE"/>
    <w:rsid w:val="00797200"/>
    <w:rsid w:val="0079721B"/>
    <w:rsid w:val="0079745E"/>
    <w:rsid w:val="007A0B78"/>
    <w:rsid w:val="007A1D80"/>
    <w:rsid w:val="007A23EA"/>
    <w:rsid w:val="007A2BC7"/>
    <w:rsid w:val="007A3902"/>
    <w:rsid w:val="007A39B9"/>
    <w:rsid w:val="007A3ABD"/>
    <w:rsid w:val="007A3D82"/>
    <w:rsid w:val="007A4182"/>
    <w:rsid w:val="007A5134"/>
    <w:rsid w:val="007A514D"/>
    <w:rsid w:val="007A5250"/>
    <w:rsid w:val="007A52C4"/>
    <w:rsid w:val="007A5690"/>
    <w:rsid w:val="007A772D"/>
    <w:rsid w:val="007B0BAB"/>
    <w:rsid w:val="007B0C65"/>
    <w:rsid w:val="007B0D25"/>
    <w:rsid w:val="007B1312"/>
    <w:rsid w:val="007B1587"/>
    <w:rsid w:val="007B2432"/>
    <w:rsid w:val="007B323B"/>
    <w:rsid w:val="007B4552"/>
    <w:rsid w:val="007B5E20"/>
    <w:rsid w:val="007B6915"/>
    <w:rsid w:val="007B719A"/>
    <w:rsid w:val="007B7504"/>
    <w:rsid w:val="007B7599"/>
    <w:rsid w:val="007B7F07"/>
    <w:rsid w:val="007C09C1"/>
    <w:rsid w:val="007C0C85"/>
    <w:rsid w:val="007C12F1"/>
    <w:rsid w:val="007C13A6"/>
    <w:rsid w:val="007C1F28"/>
    <w:rsid w:val="007C3161"/>
    <w:rsid w:val="007C3783"/>
    <w:rsid w:val="007C380A"/>
    <w:rsid w:val="007C38BE"/>
    <w:rsid w:val="007C3A64"/>
    <w:rsid w:val="007C3EE0"/>
    <w:rsid w:val="007C55B6"/>
    <w:rsid w:val="007C5EED"/>
    <w:rsid w:val="007C79C5"/>
    <w:rsid w:val="007C7E45"/>
    <w:rsid w:val="007D01D8"/>
    <w:rsid w:val="007D288F"/>
    <w:rsid w:val="007D3120"/>
    <w:rsid w:val="007D3AA0"/>
    <w:rsid w:val="007D5042"/>
    <w:rsid w:val="007D65DC"/>
    <w:rsid w:val="007D7244"/>
    <w:rsid w:val="007E0A21"/>
    <w:rsid w:val="007E1710"/>
    <w:rsid w:val="007E2557"/>
    <w:rsid w:val="007E2F76"/>
    <w:rsid w:val="007E41BE"/>
    <w:rsid w:val="007E4306"/>
    <w:rsid w:val="007E48A5"/>
    <w:rsid w:val="007E4EB9"/>
    <w:rsid w:val="007E6088"/>
    <w:rsid w:val="007E6C98"/>
    <w:rsid w:val="007E6D4D"/>
    <w:rsid w:val="007E7075"/>
    <w:rsid w:val="007E719D"/>
    <w:rsid w:val="007E7234"/>
    <w:rsid w:val="007E7F9C"/>
    <w:rsid w:val="007F2216"/>
    <w:rsid w:val="007F2258"/>
    <w:rsid w:val="007F3EA3"/>
    <w:rsid w:val="007F4A76"/>
    <w:rsid w:val="007F4EEB"/>
    <w:rsid w:val="007F5125"/>
    <w:rsid w:val="007F6216"/>
    <w:rsid w:val="007F6D7C"/>
    <w:rsid w:val="007F6DF3"/>
    <w:rsid w:val="007F763B"/>
    <w:rsid w:val="007F7C2C"/>
    <w:rsid w:val="00800AD7"/>
    <w:rsid w:val="00800F07"/>
    <w:rsid w:val="00801ABD"/>
    <w:rsid w:val="00801DF5"/>
    <w:rsid w:val="00801E8A"/>
    <w:rsid w:val="00803110"/>
    <w:rsid w:val="00803AE0"/>
    <w:rsid w:val="00803CDD"/>
    <w:rsid w:val="00805146"/>
    <w:rsid w:val="0080517A"/>
    <w:rsid w:val="00805E1D"/>
    <w:rsid w:val="00806428"/>
    <w:rsid w:val="00806432"/>
    <w:rsid w:val="008067C3"/>
    <w:rsid w:val="00806D35"/>
    <w:rsid w:val="008076CD"/>
    <w:rsid w:val="008127E1"/>
    <w:rsid w:val="00813B27"/>
    <w:rsid w:val="008141BA"/>
    <w:rsid w:val="00815420"/>
    <w:rsid w:val="008162D5"/>
    <w:rsid w:val="00816FC5"/>
    <w:rsid w:val="0081734D"/>
    <w:rsid w:val="0081778C"/>
    <w:rsid w:val="0081785B"/>
    <w:rsid w:val="00817D7F"/>
    <w:rsid w:val="00820232"/>
    <w:rsid w:val="008206C9"/>
    <w:rsid w:val="00820E29"/>
    <w:rsid w:val="008211C5"/>
    <w:rsid w:val="0082183E"/>
    <w:rsid w:val="00821C38"/>
    <w:rsid w:val="00822214"/>
    <w:rsid w:val="008224D8"/>
    <w:rsid w:val="008227A1"/>
    <w:rsid w:val="00822A7E"/>
    <w:rsid w:val="00823B13"/>
    <w:rsid w:val="00823E4A"/>
    <w:rsid w:val="008250BD"/>
    <w:rsid w:val="00826A2D"/>
    <w:rsid w:val="00827DF9"/>
    <w:rsid w:val="00827EDF"/>
    <w:rsid w:val="0083058D"/>
    <w:rsid w:val="0083086C"/>
    <w:rsid w:val="008326CF"/>
    <w:rsid w:val="00833241"/>
    <w:rsid w:val="00833ED1"/>
    <w:rsid w:val="0083450D"/>
    <w:rsid w:val="0083465F"/>
    <w:rsid w:val="008356C8"/>
    <w:rsid w:val="0083732A"/>
    <w:rsid w:val="00837413"/>
    <w:rsid w:val="00842F01"/>
    <w:rsid w:val="00843592"/>
    <w:rsid w:val="00843BBF"/>
    <w:rsid w:val="00844160"/>
    <w:rsid w:val="00845113"/>
    <w:rsid w:val="00845D03"/>
    <w:rsid w:val="008472C4"/>
    <w:rsid w:val="00847A66"/>
    <w:rsid w:val="008503D4"/>
    <w:rsid w:val="008512FD"/>
    <w:rsid w:val="0085187A"/>
    <w:rsid w:val="008524D1"/>
    <w:rsid w:val="0085300A"/>
    <w:rsid w:val="0085550E"/>
    <w:rsid w:val="0085596D"/>
    <w:rsid w:val="00855D66"/>
    <w:rsid w:val="00856268"/>
    <w:rsid w:val="00856E16"/>
    <w:rsid w:val="00860DA5"/>
    <w:rsid w:val="008618CF"/>
    <w:rsid w:val="008620C3"/>
    <w:rsid w:val="008622F0"/>
    <w:rsid w:val="00862964"/>
    <w:rsid w:val="0086327D"/>
    <w:rsid w:val="00864209"/>
    <w:rsid w:val="0086572D"/>
    <w:rsid w:val="0086585A"/>
    <w:rsid w:val="00867759"/>
    <w:rsid w:val="008677C7"/>
    <w:rsid w:val="00867AAB"/>
    <w:rsid w:val="00870252"/>
    <w:rsid w:val="00870667"/>
    <w:rsid w:val="00871107"/>
    <w:rsid w:val="00871159"/>
    <w:rsid w:val="00872242"/>
    <w:rsid w:val="00872B65"/>
    <w:rsid w:val="00873168"/>
    <w:rsid w:val="00874A18"/>
    <w:rsid w:val="00876571"/>
    <w:rsid w:val="008769DE"/>
    <w:rsid w:val="00876C57"/>
    <w:rsid w:val="00877654"/>
    <w:rsid w:val="008800A7"/>
    <w:rsid w:val="00880391"/>
    <w:rsid w:val="00880B75"/>
    <w:rsid w:val="00880F7F"/>
    <w:rsid w:val="00882D8D"/>
    <w:rsid w:val="00883D3B"/>
    <w:rsid w:val="008845D0"/>
    <w:rsid w:val="008845F4"/>
    <w:rsid w:val="0088511A"/>
    <w:rsid w:val="00885A79"/>
    <w:rsid w:val="00886221"/>
    <w:rsid w:val="0088622C"/>
    <w:rsid w:val="008903C9"/>
    <w:rsid w:val="008905EE"/>
    <w:rsid w:val="00891993"/>
    <w:rsid w:val="0089424D"/>
    <w:rsid w:val="00894737"/>
    <w:rsid w:val="008947BE"/>
    <w:rsid w:val="00894FB6"/>
    <w:rsid w:val="0089604B"/>
    <w:rsid w:val="008967F4"/>
    <w:rsid w:val="00897264"/>
    <w:rsid w:val="00897D0E"/>
    <w:rsid w:val="00897E9E"/>
    <w:rsid w:val="008A28E5"/>
    <w:rsid w:val="008A3AE9"/>
    <w:rsid w:val="008A438F"/>
    <w:rsid w:val="008A4474"/>
    <w:rsid w:val="008A655B"/>
    <w:rsid w:val="008A6DFA"/>
    <w:rsid w:val="008A715C"/>
    <w:rsid w:val="008A7D1F"/>
    <w:rsid w:val="008B0148"/>
    <w:rsid w:val="008B087E"/>
    <w:rsid w:val="008B089D"/>
    <w:rsid w:val="008B1377"/>
    <w:rsid w:val="008B38A4"/>
    <w:rsid w:val="008B3E53"/>
    <w:rsid w:val="008B4366"/>
    <w:rsid w:val="008B4492"/>
    <w:rsid w:val="008B4B0B"/>
    <w:rsid w:val="008B58AC"/>
    <w:rsid w:val="008B6BEF"/>
    <w:rsid w:val="008B755E"/>
    <w:rsid w:val="008B7A67"/>
    <w:rsid w:val="008C022B"/>
    <w:rsid w:val="008C0237"/>
    <w:rsid w:val="008C18E6"/>
    <w:rsid w:val="008C1DD3"/>
    <w:rsid w:val="008C26CD"/>
    <w:rsid w:val="008C3974"/>
    <w:rsid w:val="008C4D1B"/>
    <w:rsid w:val="008C5386"/>
    <w:rsid w:val="008C5442"/>
    <w:rsid w:val="008C5C5C"/>
    <w:rsid w:val="008C5FEE"/>
    <w:rsid w:val="008C656A"/>
    <w:rsid w:val="008C6830"/>
    <w:rsid w:val="008C6AB7"/>
    <w:rsid w:val="008C6E90"/>
    <w:rsid w:val="008C7701"/>
    <w:rsid w:val="008D03DB"/>
    <w:rsid w:val="008D0835"/>
    <w:rsid w:val="008D1DB4"/>
    <w:rsid w:val="008D20EE"/>
    <w:rsid w:val="008D42B9"/>
    <w:rsid w:val="008D47BE"/>
    <w:rsid w:val="008D78F6"/>
    <w:rsid w:val="008D7EA1"/>
    <w:rsid w:val="008E04ED"/>
    <w:rsid w:val="008E12E0"/>
    <w:rsid w:val="008E1BCC"/>
    <w:rsid w:val="008E1C7C"/>
    <w:rsid w:val="008E1E3C"/>
    <w:rsid w:val="008E32A3"/>
    <w:rsid w:val="008E32BF"/>
    <w:rsid w:val="008E4A0D"/>
    <w:rsid w:val="008E4A94"/>
    <w:rsid w:val="008E6815"/>
    <w:rsid w:val="008E6883"/>
    <w:rsid w:val="008E7948"/>
    <w:rsid w:val="008F010B"/>
    <w:rsid w:val="008F08E5"/>
    <w:rsid w:val="008F1820"/>
    <w:rsid w:val="008F1F87"/>
    <w:rsid w:val="008F2000"/>
    <w:rsid w:val="008F272E"/>
    <w:rsid w:val="008F38F8"/>
    <w:rsid w:val="008F435A"/>
    <w:rsid w:val="008F4D6B"/>
    <w:rsid w:val="008F57A0"/>
    <w:rsid w:val="008F5FCD"/>
    <w:rsid w:val="008F64DB"/>
    <w:rsid w:val="008F69C8"/>
    <w:rsid w:val="008F7D63"/>
    <w:rsid w:val="009010F6"/>
    <w:rsid w:val="0090199F"/>
    <w:rsid w:val="00901E94"/>
    <w:rsid w:val="00902274"/>
    <w:rsid w:val="0090242B"/>
    <w:rsid w:val="009030EB"/>
    <w:rsid w:val="009039E6"/>
    <w:rsid w:val="00903DA7"/>
    <w:rsid w:val="0090488F"/>
    <w:rsid w:val="00906AD8"/>
    <w:rsid w:val="00907AAA"/>
    <w:rsid w:val="00907AB9"/>
    <w:rsid w:val="00907BCD"/>
    <w:rsid w:val="00910815"/>
    <w:rsid w:val="009110CC"/>
    <w:rsid w:val="00911CC1"/>
    <w:rsid w:val="00911D43"/>
    <w:rsid w:val="00912739"/>
    <w:rsid w:val="00912F17"/>
    <w:rsid w:val="00912FD6"/>
    <w:rsid w:val="009130B9"/>
    <w:rsid w:val="00913810"/>
    <w:rsid w:val="0091391D"/>
    <w:rsid w:val="0091483A"/>
    <w:rsid w:val="00914F1C"/>
    <w:rsid w:val="00916CF7"/>
    <w:rsid w:val="00920206"/>
    <w:rsid w:val="009209AB"/>
    <w:rsid w:val="00921D5E"/>
    <w:rsid w:val="00922B58"/>
    <w:rsid w:val="009230B4"/>
    <w:rsid w:val="0092444B"/>
    <w:rsid w:val="00925818"/>
    <w:rsid w:val="00925D50"/>
    <w:rsid w:val="009268B0"/>
    <w:rsid w:val="00926D7C"/>
    <w:rsid w:val="00927827"/>
    <w:rsid w:val="00927C31"/>
    <w:rsid w:val="009316CD"/>
    <w:rsid w:val="00931BC5"/>
    <w:rsid w:val="0093211C"/>
    <w:rsid w:val="0093336F"/>
    <w:rsid w:val="00933538"/>
    <w:rsid w:val="00933656"/>
    <w:rsid w:val="009339AA"/>
    <w:rsid w:val="00933BC2"/>
    <w:rsid w:val="00934A97"/>
    <w:rsid w:val="0093554B"/>
    <w:rsid w:val="00935C0B"/>
    <w:rsid w:val="00936185"/>
    <w:rsid w:val="009362EC"/>
    <w:rsid w:val="00936802"/>
    <w:rsid w:val="00937913"/>
    <w:rsid w:val="009405D1"/>
    <w:rsid w:val="009410C8"/>
    <w:rsid w:val="009420AC"/>
    <w:rsid w:val="00943457"/>
    <w:rsid w:val="0094447A"/>
    <w:rsid w:val="00945FD0"/>
    <w:rsid w:val="00946675"/>
    <w:rsid w:val="00947540"/>
    <w:rsid w:val="00947FF4"/>
    <w:rsid w:val="0095094B"/>
    <w:rsid w:val="00950CA8"/>
    <w:rsid w:val="009512DD"/>
    <w:rsid w:val="009520B4"/>
    <w:rsid w:val="00952CDD"/>
    <w:rsid w:val="0095351C"/>
    <w:rsid w:val="00953E00"/>
    <w:rsid w:val="009543E6"/>
    <w:rsid w:val="0095474A"/>
    <w:rsid w:val="00956F0E"/>
    <w:rsid w:val="00957594"/>
    <w:rsid w:val="00961922"/>
    <w:rsid w:val="00962A9D"/>
    <w:rsid w:val="00962C1A"/>
    <w:rsid w:val="00963AFD"/>
    <w:rsid w:val="0096452E"/>
    <w:rsid w:val="00965141"/>
    <w:rsid w:val="00965687"/>
    <w:rsid w:val="009660EE"/>
    <w:rsid w:val="009661CA"/>
    <w:rsid w:val="009674CB"/>
    <w:rsid w:val="00967A82"/>
    <w:rsid w:val="00967DF8"/>
    <w:rsid w:val="00967F9D"/>
    <w:rsid w:val="00970363"/>
    <w:rsid w:val="009705CC"/>
    <w:rsid w:val="009713E4"/>
    <w:rsid w:val="009721D0"/>
    <w:rsid w:val="00973A6D"/>
    <w:rsid w:val="00974C60"/>
    <w:rsid w:val="00974DB2"/>
    <w:rsid w:val="009763A1"/>
    <w:rsid w:val="00976924"/>
    <w:rsid w:val="00977165"/>
    <w:rsid w:val="00977D32"/>
    <w:rsid w:val="0098020E"/>
    <w:rsid w:val="0098075E"/>
    <w:rsid w:val="00981B1F"/>
    <w:rsid w:val="00981BDD"/>
    <w:rsid w:val="0098305E"/>
    <w:rsid w:val="009839A2"/>
    <w:rsid w:val="00984552"/>
    <w:rsid w:val="00984F2B"/>
    <w:rsid w:val="009851D2"/>
    <w:rsid w:val="00986405"/>
    <w:rsid w:val="00986FDD"/>
    <w:rsid w:val="00987AF6"/>
    <w:rsid w:val="00987F90"/>
    <w:rsid w:val="00990399"/>
    <w:rsid w:val="009914DF"/>
    <w:rsid w:val="00991D5E"/>
    <w:rsid w:val="0099204B"/>
    <w:rsid w:val="009924EF"/>
    <w:rsid w:val="00994460"/>
    <w:rsid w:val="00994ECF"/>
    <w:rsid w:val="00997167"/>
    <w:rsid w:val="0099779D"/>
    <w:rsid w:val="009A0854"/>
    <w:rsid w:val="009A13D6"/>
    <w:rsid w:val="009A21A6"/>
    <w:rsid w:val="009A2214"/>
    <w:rsid w:val="009A2434"/>
    <w:rsid w:val="009A2720"/>
    <w:rsid w:val="009A3B58"/>
    <w:rsid w:val="009A4662"/>
    <w:rsid w:val="009A4692"/>
    <w:rsid w:val="009A49DD"/>
    <w:rsid w:val="009A4D56"/>
    <w:rsid w:val="009A500D"/>
    <w:rsid w:val="009A6870"/>
    <w:rsid w:val="009A717D"/>
    <w:rsid w:val="009B0902"/>
    <w:rsid w:val="009B1980"/>
    <w:rsid w:val="009B1CCC"/>
    <w:rsid w:val="009B25E0"/>
    <w:rsid w:val="009B2896"/>
    <w:rsid w:val="009B469F"/>
    <w:rsid w:val="009B4D20"/>
    <w:rsid w:val="009B54A5"/>
    <w:rsid w:val="009B56DE"/>
    <w:rsid w:val="009B7260"/>
    <w:rsid w:val="009B744E"/>
    <w:rsid w:val="009C1A53"/>
    <w:rsid w:val="009C2AA6"/>
    <w:rsid w:val="009C2F80"/>
    <w:rsid w:val="009C3439"/>
    <w:rsid w:val="009C3FD5"/>
    <w:rsid w:val="009C4B48"/>
    <w:rsid w:val="009C4F87"/>
    <w:rsid w:val="009C5775"/>
    <w:rsid w:val="009C6B1B"/>
    <w:rsid w:val="009C6B9A"/>
    <w:rsid w:val="009D0EF0"/>
    <w:rsid w:val="009D165E"/>
    <w:rsid w:val="009D2956"/>
    <w:rsid w:val="009D38AD"/>
    <w:rsid w:val="009D3ECF"/>
    <w:rsid w:val="009D535B"/>
    <w:rsid w:val="009D65EF"/>
    <w:rsid w:val="009D689B"/>
    <w:rsid w:val="009D6E39"/>
    <w:rsid w:val="009D72B9"/>
    <w:rsid w:val="009E0090"/>
    <w:rsid w:val="009E11E0"/>
    <w:rsid w:val="009E11E8"/>
    <w:rsid w:val="009E1C8F"/>
    <w:rsid w:val="009E2B1D"/>
    <w:rsid w:val="009E2B55"/>
    <w:rsid w:val="009E3A7D"/>
    <w:rsid w:val="009E4A5D"/>
    <w:rsid w:val="009E4C8D"/>
    <w:rsid w:val="009E511B"/>
    <w:rsid w:val="009E5A93"/>
    <w:rsid w:val="009E5F5E"/>
    <w:rsid w:val="009E64B7"/>
    <w:rsid w:val="009E6EDC"/>
    <w:rsid w:val="009E7A27"/>
    <w:rsid w:val="009F002B"/>
    <w:rsid w:val="009F0CE2"/>
    <w:rsid w:val="009F2F2C"/>
    <w:rsid w:val="009F31DB"/>
    <w:rsid w:val="009F3399"/>
    <w:rsid w:val="009F5349"/>
    <w:rsid w:val="009F5445"/>
    <w:rsid w:val="009F61AB"/>
    <w:rsid w:val="009F6CDA"/>
    <w:rsid w:val="009F6D45"/>
    <w:rsid w:val="009F7053"/>
    <w:rsid w:val="00A00147"/>
    <w:rsid w:val="00A0036B"/>
    <w:rsid w:val="00A00570"/>
    <w:rsid w:val="00A009C4"/>
    <w:rsid w:val="00A01160"/>
    <w:rsid w:val="00A018D7"/>
    <w:rsid w:val="00A01F75"/>
    <w:rsid w:val="00A0315F"/>
    <w:rsid w:val="00A03501"/>
    <w:rsid w:val="00A03BF6"/>
    <w:rsid w:val="00A048DB"/>
    <w:rsid w:val="00A04F15"/>
    <w:rsid w:val="00A0547B"/>
    <w:rsid w:val="00A0573B"/>
    <w:rsid w:val="00A05E42"/>
    <w:rsid w:val="00A07C1B"/>
    <w:rsid w:val="00A07E35"/>
    <w:rsid w:val="00A10F42"/>
    <w:rsid w:val="00A11DE9"/>
    <w:rsid w:val="00A1245A"/>
    <w:rsid w:val="00A135E4"/>
    <w:rsid w:val="00A13B06"/>
    <w:rsid w:val="00A13B17"/>
    <w:rsid w:val="00A14A43"/>
    <w:rsid w:val="00A15094"/>
    <w:rsid w:val="00A151B7"/>
    <w:rsid w:val="00A1591F"/>
    <w:rsid w:val="00A15B46"/>
    <w:rsid w:val="00A16BB0"/>
    <w:rsid w:val="00A17391"/>
    <w:rsid w:val="00A20023"/>
    <w:rsid w:val="00A20032"/>
    <w:rsid w:val="00A20241"/>
    <w:rsid w:val="00A202B4"/>
    <w:rsid w:val="00A20331"/>
    <w:rsid w:val="00A20853"/>
    <w:rsid w:val="00A21752"/>
    <w:rsid w:val="00A23D31"/>
    <w:rsid w:val="00A24197"/>
    <w:rsid w:val="00A247D3"/>
    <w:rsid w:val="00A24C9A"/>
    <w:rsid w:val="00A250AA"/>
    <w:rsid w:val="00A25A91"/>
    <w:rsid w:val="00A26CC0"/>
    <w:rsid w:val="00A272FB"/>
    <w:rsid w:val="00A277C7"/>
    <w:rsid w:val="00A27F16"/>
    <w:rsid w:val="00A310BC"/>
    <w:rsid w:val="00A3129C"/>
    <w:rsid w:val="00A322FD"/>
    <w:rsid w:val="00A32947"/>
    <w:rsid w:val="00A33F41"/>
    <w:rsid w:val="00A349EC"/>
    <w:rsid w:val="00A349F4"/>
    <w:rsid w:val="00A34B37"/>
    <w:rsid w:val="00A34CD0"/>
    <w:rsid w:val="00A36099"/>
    <w:rsid w:val="00A37B25"/>
    <w:rsid w:val="00A37DDF"/>
    <w:rsid w:val="00A4002D"/>
    <w:rsid w:val="00A400B5"/>
    <w:rsid w:val="00A40F6F"/>
    <w:rsid w:val="00A419B0"/>
    <w:rsid w:val="00A4290C"/>
    <w:rsid w:val="00A429AC"/>
    <w:rsid w:val="00A429CD"/>
    <w:rsid w:val="00A43E5A"/>
    <w:rsid w:val="00A449C2"/>
    <w:rsid w:val="00A451DA"/>
    <w:rsid w:val="00A45D69"/>
    <w:rsid w:val="00A45E39"/>
    <w:rsid w:val="00A477DB"/>
    <w:rsid w:val="00A47BEE"/>
    <w:rsid w:val="00A47CF8"/>
    <w:rsid w:val="00A47DB5"/>
    <w:rsid w:val="00A47E53"/>
    <w:rsid w:val="00A519FB"/>
    <w:rsid w:val="00A51C1E"/>
    <w:rsid w:val="00A52737"/>
    <w:rsid w:val="00A53353"/>
    <w:rsid w:val="00A534EC"/>
    <w:rsid w:val="00A53768"/>
    <w:rsid w:val="00A5429F"/>
    <w:rsid w:val="00A54E71"/>
    <w:rsid w:val="00A550D2"/>
    <w:rsid w:val="00A55953"/>
    <w:rsid w:val="00A57752"/>
    <w:rsid w:val="00A60B11"/>
    <w:rsid w:val="00A616D6"/>
    <w:rsid w:val="00A6204F"/>
    <w:rsid w:val="00A63548"/>
    <w:rsid w:val="00A636CB"/>
    <w:rsid w:val="00A644BC"/>
    <w:rsid w:val="00A644FE"/>
    <w:rsid w:val="00A64612"/>
    <w:rsid w:val="00A64704"/>
    <w:rsid w:val="00A64784"/>
    <w:rsid w:val="00A64CE4"/>
    <w:rsid w:val="00A678CF"/>
    <w:rsid w:val="00A715F9"/>
    <w:rsid w:val="00A74917"/>
    <w:rsid w:val="00A766BB"/>
    <w:rsid w:val="00A807B5"/>
    <w:rsid w:val="00A80EBB"/>
    <w:rsid w:val="00A81259"/>
    <w:rsid w:val="00A8254D"/>
    <w:rsid w:val="00A8257F"/>
    <w:rsid w:val="00A83022"/>
    <w:rsid w:val="00A83106"/>
    <w:rsid w:val="00A84892"/>
    <w:rsid w:val="00A862E5"/>
    <w:rsid w:val="00A8676C"/>
    <w:rsid w:val="00A875D7"/>
    <w:rsid w:val="00A87ED2"/>
    <w:rsid w:val="00A90B9C"/>
    <w:rsid w:val="00A91A3A"/>
    <w:rsid w:val="00A91C5E"/>
    <w:rsid w:val="00A93453"/>
    <w:rsid w:val="00A94CE5"/>
    <w:rsid w:val="00A94D01"/>
    <w:rsid w:val="00A94E4F"/>
    <w:rsid w:val="00A95351"/>
    <w:rsid w:val="00A9668F"/>
    <w:rsid w:val="00A96A0C"/>
    <w:rsid w:val="00A96C81"/>
    <w:rsid w:val="00A97121"/>
    <w:rsid w:val="00A975E1"/>
    <w:rsid w:val="00A97B75"/>
    <w:rsid w:val="00AA0EAC"/>
    <w:rsid w:val="00AA0ECC"/>
    <w:rsid w:val="00AA10AF"/>
    <w:rsid w:val="00AA1F69"/>
    <w:rsid w:val="00AA259F"/>
    <w:rsid w:val="00AA3841"/>
    <w:rsid w:val="00AA4592"/>
    <w:rsid w:val="00AA4783"/>
    <w:rsid w:val="00AA6D4E"/>
    <w:rsid w:val="00AA7CF9"/>
    <w:rsid w:val="00AB0C0D"/>
    <w:rsid w:val="00AB0FB3"/>
    <w:rsid w:val="00AB1467"/>
    <w:rsid w:val="00AB2564"/>
    <w:rsid w:val="00AB2747"/>
    <w:rsid w:val="00AB2B9D"/>
    <w:rsid w:val="00AB3190"/>
    <w:rsid w:val="00AB48A5"/>
    <w:rsid w:val="00AB57C2"/>
    <w:rsid w:val="00AB5ED1"/>
    <w:rsid w:val="00AB616C"/>
    <w:rsid w:val="00AB6F4F"/>
    <w:rsid w:val="00AC1027"/>
    <w:rsid w:val="00AC1A97"/>
    <w:rsid w:val="00AC1DE8"/>
    <w:rsid w:val="00AC2689"/>
    <w:rsid w:val="00AC2E17"/>
    <w:rsid w:val="00AC3955"/>
    <w:rsid w:val="00AC448D"/>
    <w:rsid w:val="00AC5517"/>
    <w:rsid w:val="00AC5F11"/>
    <w:rsid w:val="00AC69F3"/>
    <w:rsid w:val="00AC769E"/>
    <w:rsid w:val="00AD031E"/>
    <w:rsid w:val="00AD438A"/>
    <w:rsid w:val="00AD475E"/>
    <w:rsid w:val="00AD56E9"/>
    <w:rsid w:val="00AD5B22"/>
    <w:rsid w:val="00AD7699"/>
    <w:rsid w:val="00AD7D12"/>
    <w:rsid w:val="00AE0C66"/>
    <w:rsid w:val="00AE15F4"/>
    <w:rsid w:val="00AE1BBE"/>
    <w:rsid w:val="00AE1CDF"/>
    <w:rsid w:val="00AE1FE5"/>
    <w:rsid w:val="00AE2D60"/>
    <w:rsid w:val="00AE2FEF"/>
    <w:rsid w:val="00AE6333"/>
    <w:rsid w:val="00AE6BA8"/>
    <w:rsid w:val="00AF00C1"/>
    <w:rsid w:val="00AF1EE3"/>
    <w:rsid w:val="00AF201E"/>
    <w:rsid w:val="00AF340D"/>
    <w:rsid w:val="00AF3922"/>
    <w:rsid w:val="00AF3D42"/>
    <w:rsid w:val="00AF51B6"/>
    <w:rsid w:val="00AF56B3"/>
    <w:rsid w:val="00AF5DCC"/>
    <w:rsid w:val="00AF6136"/>
    <w:rsid w:val="00AF65CF"/>
    <w:rsid w:val="00AF696B"/>
    <w:rsid w:val="00AF6C5B"/>
    <w:rsid w:val="00AF70B2"/>
    <w:rsid w:val="00AF7429"/>
    <w:rsid w:val="00B005CE"/>
    <w:rsid w:val="00B01E33"/>
    <w:rsid w:val="00B03863"/>
    <w:rsid w:val="00B03AFE"/>
    <w:rsid w:val="00B05236"/>
    <w:rsid w:val="00B060A4"/>
    <w:rsid w:val="00B06A43"/>
    <w:rsid w:val="00B06A4E"/>
    <w:rsid w:val="00B06C02"/>
    <w:rsid w:val="00B07122"/>
    <w:rsid w:val="00B077B7"/>
    <w:rsid w:val="00B10290"/>
    <w:rsid w:val="00B10DBC"/>
    <w:rsid w:val="00B13CFB"/>
    <w:rsid w:val="00B14D7F"/>
    <w:rsid w:val="00B14EF2"/>
    <w:rsid w:val="00B152FD"/>
    <w:rsid w:val="00B15AB8"/>
    <w:rsid w:val="00B162AD"/>
    <w:rsid w:val="00B163A0"/>
    <w:rsid w:val="00B169F0"/>
    <w:rsid w:val="00B17A72"/>
    <w:rsid w:val="00B20C32"/>
    <w:rsid w:val="00B20E01"/>
    <w:rsid w:val="00B23508"/>
    <w:rsid w:val="00B23F7D"/>
    <w:rsid w:val="00B245FB"/>
    <w:rsid w:val="00B254C4"/>
    <w:rsid w:val="00B25A40"/>
    <w:rsid w:val="00B25ADB"/>
    <w:rsid w:val="00B2633E"/>
    <w:rsid w:val="00B27708"/>
    <w:rsid w:val="00B309C9"/>
    <w:rsid w:val="00B30FDE"/>
    <w:rsid w:val="00B31BCD"/>
    <w:rsid w:val="00B31DB4"/>
    <w:rsid w:val="00B32620"/>
    <w:rsid w:val="00B32EC0"/>
    <w:rsid w:val="00B33206"/>
    <w:rsid w:val="00B340C0"/>
    <w:rsid w:val="00B3595E"/>
    <w:rsid w:val="00B3604F"/>
    <w:rsid w:val="00B368F5"/>
    <w:rsid w:val="00B368FA"/>
    <w:rsid w:val="00B407B2"/>
    <w:rsid w:val="00B408BD"/>
    <w:rsid w:val="00B40AFD"/>
    <w:rsid w:val="00B41377"/>
    <w:rsid w:val="00B41DC3"/>
    <w:rsid w:val="00B420C8"/>
    <w:rsid w:val="00B4218F"/>
    <w:rsid w:val="00B4330D"/>
    <w:rsid w:val="00B43862"/>
    <w:rsid w:val="00B4391F"/>
    <w:rsid w:val="00B43CE8"/>
    <w:rsid w:val="00B44AF8"/>
    <w:rsid w:val="00B458B5"/>
    <w:rsid w:val="00B463E6"/>
    <w:rsid w:val="00B4745A"/>
    <w:rsid w:val="00B50581"/>
    <w:rsid w:val="00B5083F"/>
    <w:rsid w:val="00B50CF9"/>
    <w:rsid w:val="00B50DEC"/>
    <w:rsid w:val="00B51FBF"/>
    <w:rsid w:val="00B54A21"/>
    <w:rsid w:val="00B55B66"/>
    <w:rsid w:val="00B55BA8"/>
    <w:rsid w:val="00B5609D"/>
    <w:rsid w:val="00B5678F"/>
    <w:rsid w:val="00B5706A"/>
    <w:rsid w:val="00B57CA9"/>
    <w:rsid w:val="00B600AC"/>
    <w:rsid w:val="00B6127E"/>
    <w:rsid w:val="00B617B9"/>
    <w:rsid w:val="00B6233B"/>
    <w:rsid w:val="00B62CAE"/>
    <w:rsid w:val="00B62E9B"/>
    <w:rsid w:val="00B64118"/>
    <w:rsid w:val="00B643EC"/>
    <w:rsid w:val="00B64E3F"/>
    <w:rsid w:val="00B65558"/>
    <w:rsid w:val="00B66D31"/>
    <w:rsid w:val="00B678E4"/>
    <w:rsid w:val="00B67AB7"/>
    <w:rsid w:val="00B704E2"/>
    <w:rsid w:val="00B70B6F"/>
    <w:rsid w:val="00B70FB8"/>
    <w:rsid w:val="00B71770"/>
    <w:rsid w:val="00B71BE5"/>
    <w:rsid w:val="00B71F99"/>
    <w:rsid w:val="00B72DB9"/>
    <w:rsid w:val="00B72FD5"/>
    <w:rsid w:val="00B738E1"/>
    <w:rsid w:val="00B76059"/>
    <w:rsid w:val="00B76C4C"/>
    <w:rsid w:val="00B77D8B"/>
    <w:rsid w:val="00B77E85"/>
    <w:rsid w:val="00B8210D"/>
    <w:rsid w:val="00B82DEB"/>
    <w:rsid w:val="00B83274"/>
    <w:rsid w:val="00B849C9"/>
    <w:rsid w:val="00B856FA"/>
    <w:rsid w:val="00B85CA3"/>
    <w:rsid w:val="00B86227"/>
    <w:rsid w:val="00B867CD"/>
    <w:rsid w:val="00B86978"/>
    <w:rsid w:val="00B87796"/>
    <w:rsid w:val="00B87865"/>
    <w:rsid w:val="00B900B8"/>
    <w:rsid w:val="00B901B5"/>
    <w:rsid w:val="00B90817"/>
    <w:rsid w:val="00B91DEA"/>
    <w:rsid w:val="00B92536"/>
    <w:rsid w:val="00B92CC9"/>
    <w:rsid w:val="00B93168"/>
    <w:rsid w:val="00B954A0"/>
    <w:rsid w:val="00BA10F2"/>
    <w:rsid w:val="00BA1C4C"/>
    <w:rsid w:val="00BA277C"/>
    <w:rsid w:val="00BA3509"/>
    <w:rsid w:val="00BA3C28"/>
    <w:rsid w:val="00BA5449"/>
    <w:rsid w:val="00BA59BA"/>
    <w:rsid w:val="00BA5C51"/>
    <w:rsid w:val="00BA6919"/>
    <w:rsid w:val="00BA7020"/>
    <w:rsid w:val="00BA7780"/>
    <w:rsid w:val="00BB0603"/>
    <w:rsid w:val="00BB0B18"/>
    <w:rsid w:val="00BB14FD"/>
    <w:rsid w:val="00BB1633"/>
    <w:rsid w:val="00BB1EAB"/>
    <w:rsid w:val="00BB2048"/>
    <w:rsid w:val="00BB2590"/>
    <w:rsid w:val="00BB480F"/>
    <w:rsid w:val="00BB5532"/>
    <w:rsid w:val="00BB65A0"/>
    <w:rsid w:val="00BB6856"/>
    <w:rsid w:val="00BB6926"/>
    <w:rsid w:val="00BB701F"/>
    <w:rsid w:val="00BB76DA"/>
    <w:rsid w:val="00BC0232"/>
    <w:rsid w:val="00BC0377"/>
    <w:rsid w:val="00BC0706"/>
    <w:rsid w:val="00BC361C"/>
    <w:rsid w:val="00BC4339"/>
    <w:rsid w:val="00BC4DEA"/>
    <w:rsid w:val="00BC4E69"/>
    <w:rsid w:val="00BC5D6A"/>
    <w:rsid w:val="00BC5E3B"/>
    <w:rsid w:val="00BC64DA"/>
    <w:rsid w:val="00BC6B0C"/>
    <w:rsid w:val="00BC7605"/>
    <w:rsid w:val="00BD094B"/>
    <w:rsid w:val="00BD10D8"/>
    <w:rsid w:val="00BD3711"/>
    <w:rsid w:val="00BD3CB2"/>
    <w:rsid w:val="00BD49E4"/>
    <w:rsid w:val="00BD5060"/>
    <w:rsid w:val="00BD5504"/>
    <w:rsid w:val="00BD5804"/>
    <w:rsid w:val="00BD5E2C"/>
    <w:rsid w:val="00BD6B79"/>
    <w:rsid w:val="00BD793A"/>
    <w:rsid w:val="00BD7ADE"/>
    <w:rsid w:val="00BE03C8"/>
    <w:rsid w:val="00BE0898"/>
    <w:rsid w:val="00BE092F"/>
    <w:rsid w:val="00BE0A5E"/>
    <w:rsid w:val="00BE1A44"/>
    <w:rsid w:val="00BE1A89"/>
    <w:rsid w:val="00BE429E"/>
    <w:rsid w:val="00BE58BB"/>
    <w:rsid w:val="00BE5E7C"/>
    <w:rsid w:val="00BE6B7A"/>
    <w:rsid w:val="00BE7610"/>
    <w:rsid w:val="00BE79CD"/>
    <w:rsid w:val="00BF0019"/>
    <w:rsid w:val="00BF0364"/>
    <w:rsid w:val="00BF0651"/>
    <w:rsid w:val="00BF123D"/>
    <w:rsid w:val="00BF148B"/>
    <w:rsid w:val="00BF3602"/>
    <w:rsid w:val="00BF3DA8"/>
    <w:rsid w:val="00BF47A3"/>
    <w:rsid w:val="00BF4BDA"/>
    <w:rsid w:val="00BF556C"/>
    <w:rsid w:val="00BF5AE6"/>
    <w:rsid w:val="00BF6044"/>
    <w:rsid w:val="00BF6632"/>
    <w:rsid w:val="00BF6AD1"/>
    <w:rsid w:val="00BF7C4E"/>
    <w:rsid w:val="00C00284"/>
    <w:rsid w:val="00C008D8"/>
    <w:rsid w:val="00C00FAB"/>
    <w:rsid w:val="00C0103D"/>
    <w:rsid w:val="00C040B4"/>
    <w:rsid w:val="00C04327"/>
    <w:rsid w:val="00C051DC"/>
    <w:rsid w:val="00C05B55"/>
    <w:rsid w:val="00C061EE"/>
    <w:rsid w:val="00C06E2E"/>
    <w:rsid w:val="00C06E9C"/>
    <w:rsid w:val="00C1308B"/>
    <w:rsid w:val="00C13607"/>
    <w:rsid w:val="00C137AF"/>
    <w:rsid w:val="00C138CE"/>
    <w:rsid w:val="00C141F1"/>
    <w:rsid w:val="00C15311"/>
    <w:rsid w:val="00C15FBD"/>
    <w:rsid w:val="00C173D8"/>
    <w:rsid w:val="00C179E6"/>
    <w:rsid w:val="00C2029E"/>
    <w:rsid w:val="00C20349"/>
    <w:rsid w:val="00C20988"/>
    <w:rsid w:val="00C20D69"/>
    <w:rsid w:val="00C20F25"/>
    <w:rsid w:val="00C21B44"/>
    <w:rsid w:val="00C21D95"/>
    <w:rsid w:val="00C226BB"/>
    <w:rsid w:val="00C2331F"/>
    <w:rsid w:val="00C23BCF"/>
    <w:rsid w:val="00C24B1D"/>
    <w:rsid w:val="00C24F0C"/>
    <w:rsid w:val="00C2513A"/>
    <w:rsid w:val="00C269C1"/>
    <w:rsid w:val="00C26A08"/>
    <w:rsid w:val="00C26F4C"/>
    <w:rsid w:val="00C30E6B"/>
    <w:rsid w:val="00C31DD4"/>
    <w:rsid w:val="00C320E6"/>
    <w:rsid w:val="00C338A8"/>
    <w:rsid w:val="00C3499F"/>
    <w:rsid w:val="00C34C84"/>
    <w:rsid w:val="00C34E3E"/>
    <w:rsid w:val="00C350BD"/>
    <w:rsid w:val="00C358EE"/>
    <w:rsid w:val="00C36FEE"/>
    <w:rsid w:val="00C37DE0"/>
    <w:rsid w:val="00C41528"/>
    <w:rsid w:val="00C41C1D"/>
    <w:rsid w:val="00C41C20"/>
    <w:rsid w:val="00C41FBE"/>
    <w:rsid w:val="00C4213B"/>
    <w:rsid w:val="00C42443"/>
    <w:rsid w:val="00C42CF9"/>
    <w:rsid w:val="00C43020"/>
    <w:rsid w:val="00C4323C"/>
    <w:rsid w:val="00C435CB"/>
    <w:rsid w:val="00C44D0D"/>
    <w:rsid w:val="00C45818"/>
    <w:rsid w:val="00C45DC6"/>
    <w:rsid w:val="00C46266"/>
    <w:rsid w:val="00C46468"/>
    <w:rsid w:val="00C46817"/>
    <w:rsid w:val="00C46F3A"/>
    <w:rsid w:val="00C476D3"/>
    <w:rsid w:val="00C47845"/>
    <w:rsid w:val="00C47955"/>
    <w:rsid w:val="00C479FE"/>
    <w:rsid w:val="00C50CA9"/>
    <w:rsid w:val="00C517EB"/>
    <w:rsid w:val="00C52CB6"/>
    <w:rsid w:val="00C53B5C"/>
    <w:rsid w:val="00C53B8A"/>
    <w:rsid w:val="00C54485"/>
    <w:rsid w:val="00C55046"/>
    <w:rsid w:val="00C55499"/>
    <w:rsid w:val="00C55CA0"/>
    <w:rsid w:val="00C55CD4"/>
    <w:rsid w:val="00C56A0D"/>
    <w:rsid w:val="00C57829"/>
    <w:rsid w:val="00C579B3"/>
    <w:rsid w:val="00C60241"/>
    <w:rsid w:val="00C6066F"/>
    <w:rsid w:val="00C60816"/>
    <w:rsid w:val="00C60E09"/>
    <w:rsid w:val="00C62ACD"/>
    <w:rsid w:val="00C638C3"/>
    <w:rsid w:val="00C63F24"/>
    <w:rsid w:val="00C64E97"/>
    <w:rsid w:val="00C65459"/>
    <w:rsid w:val="00C65E04"/>
    <w:rsid w:val="00C66080"/>
    <w:rsid w:val="00C67049"/>
    <w:rsid w:val="00C6739B"/>
    <w:rsid w:val="00C71393"/>
    <w:rsid w:val="00C71728"/>
    <w:rsid w:val="00C718F5"/>
    <w:rsid w:val="00C73420"/>
    <w:rsid w:val="00C73A2E"/>
    <w:rsid w:val="00C73A31"/>
    <w:rsid w:val="00C73B3E"/>
    <w:rsid w:val="00C74BAB"/>
    <w:rsid w:val="00C74E1E"/>
    <w:rsid w:val="00C74FBA"/>
    <w:rsid w:val="00C75DCB"/>
    <w:rsid w:val="00C762FF"/>
    <w:rsid w:val="00C76441"/>
    <w:rsid w:val="00C765C9"/>
    <w:rsid w:val="00C76AE6"/>
    <w:rsid w:val="00C76B78"/>
    <w:rsid w:val="00C77927"/>
    <w:rsid w:val="00C80687"/>
    <w:rsid w:val="00C80721"/>
    <w:rsid w:val="00C80968"/>
    <w:rsid w:val="00C80E7C"/>
    <w:rsid w:val="00C80F74"/>
    <w:rsid w:val="00C818E3"/>
    <w:rsid w:val="00C829D3"/>
    <w:rsid w:val="00C83643"/>
    <w:rsid w:val="00C83A98"/>
    <w:rsid w:val="00C84859"/>
    <w:rsid w:val="00C85054"/>
    <w:rsid w:val="00C852B6"/>
    <w:rsid w:val="00C8535A"/>
    <w:rsid w:val="00C85634"/>
    <w:rsid w:val="00C86FEC"/>
    <w:rsid w:val="00C87078"/>
    <w:rsid w:val="00C878E2"/>
    <w:rsid w:val="00C901E4"/>
    <w:rsid w:val="00C91995"/>
    <w:rsid w:val="00C93081"/>
    <w:rsid w:val="00C9343A"/>
    <w:rsid w:val="00C936EB"/>
    <w:rsid w:val="00C9469B"/>
    <w:rsid w:val="00C94BD3"/>
    <w:rsid w:val="00C951BC"/>
    <w:rsid w:val="00C9634D"/>
    <w:rsid w:val="00C965D2"/>
    <w:rsid w:val="00C96850"/>
    <w:rsid w:val="00C96D74"/>
    <w:rsid w:val="00C973D6"/>
    <w:rsid w:val="00C9755E"/>
    <w:rsid w:val="00C9791B"/>
    <w:rsid w:val="00CA1911"/>
    <w:rsid w:val="00CA31D7"/>
    <w:rsid w:val="00CA3286"/>
    <w:rsid w:val="00CA3753"/>
    <w:rsid w:val="00CA405C"/>
    <w:rsid w:val="00CA4766"/>
    <w:rsid w:val="00CA4B11"/>
    <w:rsid w:val="00CA5224"/>
    <w:rsid w:val="00CA65B2"/>
    <w:rsid w:val="00CA763D"/>
    <w:rsid w:val="00CB0EC3"/>
    <w:rsid w:val="00CB0EC5"/>
    <w:rsid w:val="00CB20E6"/>
    <w:rsid w:val="00CB2E7B"/>
    <w:rsid w:val="00CB3663"/>
    <w:rsid w:val="00CB6355"/>
    <w:rsid w:val="00CB6358"/>
    <w:rsid w:val="00CC0EC9"/>
    <w:rsid w:val="00CC14AE"/>
    <w:rsid w:val="00CC19E9"/>
    <w:rsid w:val="00CC24DD"/>
    <w:rsid w:val="00CC2564"/>
    <w:rsid w:val="00CC2D05"/>
    <w:rsid w:val="00CC2D17"/>
    <w:rsid w:val="00CC332D"/>
    <w:rsid w:val="00CC36B4"/>
    <w:rsid w:val="00CC3B43"/>
    <w:rsid w:val="00CC659D"/>
    <w:rsid w:val="00CC7B1D"/>
    <w:rsid w:val="00CD1B00"/>
    <w:rsid w:val="00CD3C52"/>
    <w:rsid w:val="00CD3EF5"/>
    <w:rsid w:val="00CD42E9"/>
    <w:rsid w:val="00CD4C0E"/>
    <w:rsid w:val="00CD512A"/>
    <w:rsid w:val="00CD5ECB"/>
    <w:rsid w:val="00CD6B3C"/>
    <w:rsid w:val="00CD6D0D"/>
    <w:rsid w:val="00CD7585"/>
    <w:rsid w:val="00CE0251"/>
    <w:rsid w:val="00CE0291"/>
    <w:rsid w:val="00CE0787"/>
    <w:rsid w:val="00CE100F"/>
    <w:rsid w:val="00CE1168"/>
    <w:rsid w:val="00CE1DC0"/>
    <w:rsid w:val="00CE2072"/>
    <w:rsid w:val="00CE2479"/>
    <w:rsid w:val="00CE2F5B"/>
    <w:rsid w:val="00CE3C3C"/>
    <w:rsid w:val="00CE4006"/>
    <w:rsid w:val="00CE7920"/>
    <w:rsid w:val="00CE7E0B"/>
    <w:rsid w:val="00CF0CBF"/>
    <w:rsid w:val="00CF18E5"/>
    <w:rsid w:val="00CF1919"/>
    <w:rsid w:val="00CF1A11"/>
    <w:rsid w:val="00CF31C6"/>
    <w:rsid w:val="00CF6DC7"/>
    <w:rsid w:val="00CF71A9"/>
    <w:rsid w:val="00D00008"/>
    <w:rsid w:val="00D004E0"/>
    <w:rsid w:val="00D008FA"/>
    <w:rsid w:val="00D00EC7"/>
    <w:rsid w:val="00D014F2"/>
    <w:rsid w:val="00D02AD0"/>
    <w:rsid w:val="00D03688"/>
    <w:rsid w:val="00D04041"/>
    <w:rsid w:val="00D04743"/>
    <w:rsid w:val="00D05B12"/>
    <w:rsid w:val="00D0627C"/>
    <w:rsid w:val="00D104E2"/>
    <w:rsid w:val="00D1063F"/>
    <w:rsid w:val="00D127C6"/>
    <w:rsid w:val="00D134BA"/>
    <w:rsid w:val="00D14C49"/>
    <w:rsid w:val="00D14CA5"/>
    <w:rsid w:val="00D14D85"/>
    <w:rsid w:val="00D154B2"/>
    <w:rsid w:val="00D1570A"/>
    <w:rsid w:val="00D158C8"/>
    <w:rsid w:val="00D163D0"/>
    <w:rsid w:val="00D17ABD"/>
    <w:rsid w:val="00D17D7A"/>
    <w:rsid w:val="00D20CD8"/>
    <w:rsid w:val="00D20DB4"/>
    <w:rsid w:val="00D212B4"/>
    <w:rsid w:val="00D219B9"/>
    <w:rsid w:val="00D21A0D"/>
    <w:rsid w:val="00D21C03"/>
    <w:rsid w:val="00D21E6C"/>
    <w:rsid w:val="00D228CF"/>
    <w:rsid w:val="00D2371B"/>
    <w:rsid w:val="00D239AE"/>
    <w:rsid w:val="00D23D17"/>
    <w:rsid w:val="00D23F19"/>
    <w:rsid w:val="00D240CC"/>
    <w:rsid w:val="00D24D50"/>
    <w:rsid w:val="00D24FC8"/>
    <w:rsid w:val="00D25841"/>
    <w:rsid w:val="00D25960"/>
    <w:rsid w:val="00D25FC9"/>
    <w:rsid w:val="00D2644D"/>
    <w:rsid w:val="00D26510"/>
    <w:rsid w:val="00D26C02"/>
    <w:rsid w:val="00D26C07"/>
    <w:rsid w:val="00D27B35"/>
    <w:rsid w:val="00D27C60"/>
    <w:rsid w:val="00D27FD9"/>
    <w:rsid w:val="00D3055E"/>
    <w:rsid w:val="00D30A61"/>
    <w:rsid w:val="00D30B11"/>
    <w:rsid w:val="00D31CD4"/>
    <w:rsid w:val="00D33481"/>
    <w:rsid w:val="00D3466D"/>
    <w:rsid w:val="00D34726"/>
    <w:rsid w:val="00D34829"/>
    <w:rsid w:val="00D34B38"/>
    <w:rsid w:val="00D35418"/>
    <w:rsid w:val="00D36211"/>
    <w:rsid w:val="00D3673A"/>
    <w:rsid w:val="00D374F2"/>
    <w:rsid w:val="00D4037A"/>
    <w:rsid w:val="00D434C9"/>
    <w:rsid w:val="00D4389A"/>
    <w:rsid w:val="00D43C18"/>
    <w:rsid w:val="00D44A28"/>
    <w:rsid w:val="00D44DAC"/>
    <w:rsid w:val="00D44E46"/>
    <w:rsid w:val="00D45540"/>
    <w:rsid w:val="00D45C81"/>
    <w:rsid w:val="00D46608"/>
    <w:rsid w:val="00D46809"/>
    <w:rsid w:val="00D474D6"/>
    <w:rsid w:val="00D47712"/>
    <w:rsid w:val="00D4774C"/>
    <w:rsid w:val="00D47929"/>
    <w:rsid w:val="00D47C93"/>
    <w:rsid w:val="00D52350"/>
    <w:rsid w:val="00D52893"/>
    <w:rsid w:val="00D53137"/>
    <w:rsid w:val="00D53190"/>
    <w:rsid w:val="00D56430"/>
    <w:rsid w:val="00D564A1"/>
    <w:rsid w:val="00D56F1F"/>
    <w:rsid w:val="00D5767A"/>
    <w:rsid w:val="00D6009F"/>
    <w:rsid w:val="00D608A6"/>
    <w:rsid w:val="00D60D07"/>
    <w:rsid w:val="00D624C7"/>
    <w:rsid w:val="00D62D4B"/>
    <w:rsid w:val="00D635D7"/>
    <w:rsid w:val="00D63A14"/>
    <w:rsid w:val="00D63A89"/>
    <w:rsid w:val="00D63A95"/>
    <w:rsid w:val="00D63E46"/>
    <w:rsid w:val="00D64C41"/>
    <w:rsid w:val="00D652C2"/>
    <w:rsid w:val="00D653BF"/>
    <w:rsid w:val="00D66C85"/>
    <w:rsid w:val="00D66D44"/>
    <w:rsid w:val="00D67F76"/>
    <w:rsid w:val="00D724F6"/>
    <w:rsid w:val="00D72519"/>
    <w:rsid w:val="00D72B0C"/>
    <w:rsid w:val="00D732BD"/>
    <w:rsid w:val="00D742EA"/>
    <w:rsid w:val="00D745A1"/>
    <w:rsid w:val="00D74E47"/>
    <w:rsid w:val="00D75741"/>
    <w:rsid w:val="00D75D60"/>
    <w:rsid w:val="00D761BF"/>
    <w:rsid w:val="00D766FA"/>
    <w:rsid w:val="00D766FB"/>
    <w:rsid w:val="00D76A69"/>
    <w:rsid w:val="00D771CB"/>
    <w:rsid w:val="00D77994"/>
    <w:rsid w:val="00D779D3"/>
    <w:rsid w:val="00D834D4"/>
    <w:rsid w:val="00D83581"/>
    <w:rsid w:val="00D8390B"/>
    <w:rsid w:val="00D846E5"/>
    <w:rsid w:val="00D85363"/>
    <w:rsid w:val="00D85D0A"/>
    <w:rsid w:val="00D86751"/>
    <w:rsid w:val="00D90480"/>
    <w:rsid w:val="00D90947"/>
    <w:rsid w:val="00D90A2B"/>
    <w:rsid w:val="00D90D42"/>
    <w:rsid w:val="00D90EB4"/>
    <w:rsid w:val="00D922F0"/>
    <w:rsid w:val="00D924C2"/>
    <w:rsid w:val="00D92723"/>
    <w:rsid w:val="00D92BF7"/>
    <w:rsid w:val="00D9316B"/>
    <w:rsid w:val="00D94516"/>
    <w:rsid w:val="00D94D7B"/>
    <w:rsid w:val="00D97CA5"/>
    <w:rsid w:val="00DA0933"/>
    <w:rsid w:val="00DA13D2"/>
    <w:rsid w:val="00DA1BFD"/>
    <w:rsid w:val="00DA2441"/>
    <w:rsid w:val="00DA25FD"/>
    <w:rsid w:val="00DA2BD4"/>
    <w:rsid w:val="00DA3307"/>
    <w:rsid w:val="00DA3AD5"/>
    <w:rsid w:val="00DA3F49"/>
    <w:rsid w:val="00DA6CD7"/>
    <w:rsid w:val="00DA72A9"/>
    <w:rsid w:val="00DA761B"/>
    <w:rsid w:val="00DB05E1"/>
    <w:rsid w:val="00DB0851"/>
    <w:rsid w:val="00DB0F07"/>
    <w:rsid w:val="00DB1FA7"/>
    <w:rsid w:val="00DB3713"/>
    <w:rsid w:val="00DB4001"/>
    <w:rsid w:val="00DB48E2"/>
    <w:rsid w:val="00DB4BFD"/>
    <w:rsid w:val="00DB4C48"/>
    <w:rsid w:val="00DB5A2E"/>
    <w:rsid w:val="00DB7422"/>
    <w:rsid w:val="00DB748F"/>
    <w:rsid w:val="00DC1450"/>
    <w:rsid w:val="00DC151E"/>
    <w:rsid w:val="00DC1DE4"/>
    <w:rsid w:val="00DC2D47"/>
    <w:rsid w:val="00DC39EE"/>
    <w:rsid w:val="00DC4622"/>
    <w:rsid w:val="00DC4DD4"/>
    <w:rsid w:val="00DC596B"/>
    <w:rsid w:val="00DC5FEF"/>
    <w:rsid w:val="00DC62E9"/>
    <w:rsid w:val="00DC6527"/>
    <w:rsid w:val="00DC65CD"/>
    <w:rsid w:val="00DC746C"/>
    <w:rsid w:val="00DC7C98"/>
    <w:rsid w:val="00DD0B30"/>
    <w:rsid w:val="00DD1CAC"/>
    <w:rsid w:val="00DD32A3"/>
    <w:rsid w:val="00DD36C8"/>
    <w:rsid w:val="00DD5281"/>
    <w:rsid w:val="00DD549E"/>
    <w:rsid w:val="00DD6185"/>
    <w:rsid w:val="00DD7879"/>
    <w:rsid w:val="00DE002D"/>
    <w:rsid w:val="00DE1551"/>
    <w:rsid w:val="00DE1AAD"/>
    <w:rsid w:val="00DE1DC3"/>
    <w:rsid w:val="00DE311E"/>
    <w:rsid w:val="00DE4938"/>
    <w:rsid w:val="00DE496B"/>
    <w:rsid w:val="00DE55FB"/>
    <w:rsid w:val="00DE6072"/>
    <w:rsid w:val="00DE6B3A"/>
    <w:rsid w:val="00DF11A4"/>
    <w:rsid w:val="00DF194C"/>
    <w:rsid w:val="00DF3895"/>
    <w:rsid w:val="00DF4BF6"/>
    <w:rsid w:val="00DF5999"/>
    <w:rsid w:val="00DF5A8A"/>
    <w:rsid w:val="00E00084"/>
    <w:rsid w:val="00E001D5"/>
    <w:rsid w:val="00E0022F"/>
    <w:rsid w:val="00E007C2"/>
    <w:rsid w:val="00E022CB"/>
    <w:rsid w:val="00E025FC"/>
    <w:rsid w:val="00E02BC1"/>
    <w:rsid w:val="00E03FAD"/>
    <w:rsid w:val="00E047B6"/>
    <w:rsid w:val="00E047D3"/>
    <w:rsid w:val="00E050BE"/>
    <w:rsid w:val="00E05794"/>
    <w:rsid w:val="00E058B0"/>
    <w:rsid w:val="00E05ED3"/>
    <w:rsid w:val="00E0668A"/>
    <w:rsid w:val="00E07725"/>
    <w:rsid w:val="00E1011B"/>
    <w:rsid w:val="00E105E3"/>
    <w:rsid w:val="00E10785"/>
    <w:rsid w:val="00E11DFC"/>
    <w:rsid w:val="00E11EC4"/>
    <w:rsid w:val="00E11F13"/>
    <w:rsid w:val="00E12F45"/>
    <w:rsid w:val="00E13086"/>
    <w:rsid w:val="00E13A52"/>
    <w:rsid w:val="00E16437"/>
    <w:rsid w:val="00E16E5B"/>
    <w:rsid w:val="00E17211"/>
    <w:rsid w:val="00E17C14"/>
    <w:rsid w:val="00E204B7"/>
    <w:rsid w:val="00E211FC"/>
    <w:rsid w:val="00E2221A"/>
    <w:rsid w:val="00E22768"/>
    <w:rsid w:val="00E22A7D"/>
    <w:rsid w:val="00E23060"/>
    <w:rsid w:val="00E25791"/>
    <w:rsid w:val="00E25980"/>
    <w:rsid w:val="00E259B1"/>
    <w:rsid w:val="00E26D01"/>
    <w:rsid w:val="00E26D35"/>
    <w:rsid w:val="00E27288"/>
    <w:rsid w:val="00E27715"/>
    <w:rsid w:val="00E3219A"/>
    <w:rsid w:val="00E33DDB"/>
    <w:rsid w:val="00E33F64"/>
    <w:rsid w:val="00E344A8"/>
    <w:rsid w:val="00E356AD"/>
    <w:rsid w:val="00E358AE"/>
    <w:rsid w:val="00E37D7F"/>
    <w:rsid w:val="00E40ACA"/>
    <w:rsid w:val="00E41424"/>
    <w:rsid w:val="00E43F90"/>
    <w:rsid w:val="00E451C1"/>
    <w:rsid w:val="00E46BE1"/>
    <w:rsid w:val="00E4739F"/>
    <w:rsid w:val="00E476AE"/>
    <w:rsid w:val="00E4772C"/>
    <w:rsid w:val="00E47D30"/>
    <w:rsid w:val="00E47F0B"/>
    <w:rsid w:val="00E50B15"/>
    <w:rsid w:val="00E50F31"/>
    <w:rsid w:val="00E515A4"/>
    <w:rsid w:val="00E5178F"/>
    <w:rsid w:val="00E53C7A"/>
    <w:rsid w:val="00E53F7E"/>
    <w:rsid w:val="00E54576"/>
    <w:rsid w:val="00E54A73"/>
    <w:rsid w:val="00E55D8C"/>
    <w:rsid w:val="00E5659B"/>
    <w:rsid w:val="00E57601"/>
    <w:rsid w:val="00E57E8A"/>
    <w:rsid w:val="00E57FCE"/>
    <w:rsid w:val="00E614A1"/>
    <w:rsid w:val="00E61D7E"/>
    <w:rsid w:val="00E63108"/>
    <w:rsid w:val="00E638D7"/>
    <w:rsid w:val="00E6405C"/>
    <w:rsid w:val="00E64834"/>
    <w:rsid w:val="00E64C1B"/>
    <w:rsid w:val="00E64CBE"/>
    <w:rsid w:val="00E65359"/>
    <w:rsid w:val="00E65C48"/>
    <w:rsid w:val="00E66369"/>
    <w:rsid w:val="00E6652E"/>
    <w:rsid w:val="00E665E0"/>
    <w:rsid w:val="00E66CDC"/>
    <w:rsid w:val="00E67232"/>
    <w:rsid w:val="00E67A54"/>
    <w:rsid w:val="00E67F99"/>
    <w:rsid w:val="00E72034"/>
    <w:rsid w:val="00E739C6"/>
    <w:rsid w:val="00E739ED"/>
    <w:rsid w:val="00E73EB1"/>
    <w:rsid w:val="00E7480E"/>
    <w:rsid w:val="00E750AB"/>
    <w:rsid w:val="00E757C7"/>
    <w:rsid w:val="00E75D52"/>
    <w:rsid w:val="00E75FCB"/>
    <w:rsid w:val="00E7655D"/>
    <w:rsid w:val="00E772C5"/>
    <w:rsid w:val="00E775DD"/>
    <w:rsid w:val="00E804E2"/>
    <w:rsid w:val="00E810B3"/>
    <w:rsid w:val="00E82E8F"/>
    <w:rsid w:val="00E8330A"/>
    <w:rsid w:val="00E834AD"/>
    <w:rsid w:val="00E841EA"/>
    <w:rsid w:val="00E84EF0"/>
    <w:rsid w:val="00E84F11"/>
    <w:rsid w:val="00E84FB1"/>
    <w:rsid w:val="00E8518E"/>
    <w:rsid w:val="00E85643"/>
    <w:rsid w:val="00E8634A"/>
    <w:rsid w:val="00E865E9"/>
    <w:rsid w:val="00E86C07"/>
    <w:rsid w:val="00E86D99"/>
    <w:rsid w:val="00E86DCA"/>
    <w:rsid w:val="00E87111"/>
    <w:rsid w:val="00E87C6E"/>
    <w:rsid w:val="00E87D73"/>
    <w:rsid w:val="00E87F51"/>
    <w:rsid w:val="00E900B7"/>
    <w:rsid w:val="00E9187A"/>
    <w:rsid w:val="00E92171"/>
    <w:rsid w:val="00E923E2"/>
    <w:rsid w:val="00E925B9"/>
    <w:rsid w:val="00E9316F"/>
    <w:rsid w:val="00E94AD7"/>
    <w:rsid w:val="00E958CD"/>
    <w:rsid w:val="00E965AE"/>
    <w:rsid w:val="00EA0120"/>
    <w:rsid w:val="00EA01EB"/>
    <w:rsid w:val="00EA0388"/>
    <w:rsid w:val="00EA0C57"/>
    <w:rsid w:val="00EA0EEA"/>
    <w:rsid w:val="00EA11E5"/>
    <w:rsid w:val="00EA1C22"/>
    <w:rsid w:val="00EA1E17"/>
    <w:rsid w:val="00EA22F1"/>
    <w:rsid w:val="00EA2971"/>
    <w:rsid w:val="00EA2CD6"/>
    <w:rsid w:val="00EA3874"/>
    <w:rsid w:val="00EA3D25"/>
    <w:rsid w:val="00EA52F2"/>
    <w:rsid w:val="00EA5353"/>
    <w:rsid w:val="00EA60B7"/>
    <w:rsid w:val="00EA6431"/>
    <w:rsid w:val="00EA72B1"/>
    <w:rsid w:val="00EB35B4"/>
    <w:rsid w:val="00EB48A4"/>
    <w:rsid w:val="00EB626E"/>
    <w:rsid w:val="00EB702D"/>
    <w:rsid w:val="00EC021F"/>
    <w:rsid w:val="00EC2C7D"/>
    <w:rsid w:val="00EC3A9B"/>
    <w:rsid w:val="00EC3EBC"/>
    <w:rsid w:val="00EC3F1E"/>
    <w:rsid w:val="00EC456C"/>
    <w:rsid w:val="00EC4BA6"/>
    <w:rsid w:val="00EC52EB"/>
    <w:rsid w:val="00EC55CA"/>
    <w:rsid w:val="00EC60DD"/>
    <w:rsid w:val="00EC7311"/>
    <w:rsid w:val="00EC78AD"/>
    <w:rsid w:val="00EC7E51"/>
    <w:rsid w:val="00ED04FA"/>
    <w:rsid w:val="00ED083B"/>
    <w:rsid w:val="00ED22E8"/>
    <w:rsid w:val="00ED239B"/>
    <w:rsid w:val="00ED3398"/>
    <w:rsid w:val="00ED33FA"/>
    <w:rsid w:val="00ED3F7B"/>
    <w:rsid w:val="00ED5A4E"/>
    <w:rsid w:val="00ED5BB5"/>
    <w:rsid w:val="00ED5CCD"/>
    <w:rsid w:val="00ED62B6"/>
    <w:rsid w:val="00ED6393"/>
    <w:rsid w:val="00ED7014"/>
    <w:rsid w:val="00ED77EF"/>
    <w:rsid w:val="00EE0693"/>
    <w:rsid w:val="00EE15EF"/>
    <w:rsid w:val="00EE19D5"/>
    <w:rsid w:val="00EE1CE1"/>
    <w:rsid w:val="00EE2D6B"/>
    <w:rsid w:val="00EE2F33"/>
    <w:rsid w:val="00EE383A"/>
    <w:rsid w:val="00EE3939"/>
    <w:rsid w:val="00EE577D"/>
    <w:rsid w:val="00EE5B21"/>
    <w:rsid w:val="00EE6291"/>
    <w:rsid w:val="00EE65B5"/>
    <w:rsid w:val="00EE6A4F"/>
    <w:rsid w:val="00EE7250"/>
    <w:rsid w:val="00EE73AB"/>
    <w:rsid w:val="00EE7762"/>
    <w:rsid w:val="00EE7CD8"/>
    <w:rsid w:val="00EF123E"/>
    <w:rsid w:val="00EF1FE4"/>
    <w:rsid w:val="00EF2125"/>
    <w:rsid w:val="00EF2A2D"/>
    <w:rsid w:val="00EF455B"/>
    <w:rsid w:val="00EF611F"/>
    <w:rsid w:val="00EF6914"/>
    <w:rsid w:val="00F00649"/>
    <w:rsid w:val="00F01A40"/>
    <w:rsid w:val="00F02620"/>
    <w:rsid w:val="00F030BA"/>
    <w:rsid w:val="00F03D6C"/>
    <w:rsid w:val="00F04199"/>
    <w:rsid w:val="00F04A86"/>
    <w:rsid w:val="00F04C49"/>
    <w:rsid w:val="00F05F04"/>
    <w:rsid w:val="00F06F72"/>
    <w:rsid w:val="00F10218"/>
    <w:rsid w:val="00F10F3C"/>
    <w:rsid w:val="00F11BFD"/>
    <w:rsid w:val="00F1211F"/>
    <w:rsid w:val="00F1231A"/>
    <w:rsid w:val="00F128AD"/>
    <w:rsid w:val="00F12D2F"/>
    <w:rsid w:val="00F13598"/>
    <w:rsid w:val="00F13947"/>
    <w:rsid w:val="00F14D47"/>
    <w:rsid w:val="00F17AC1"/>
    <w:rsid w:val="00F202D9"/>
    <w:rsid w:val="00F2085B"/>
    <w:rsid w:val="00F21345"/>
    <w:rsid w:val="00F22719"/>
    <w:rsid w:val="00F22853"/>
    <w:rsid w:val="00F22A82"/>
    <w:rsid w:val="00F23A7D"/>
    <w:rsid w:val="00F23F9E"/>
    <w:rsid w:val="00F24E53"/>
    <w:rsid w:val="00F2500C"/>
    <w:rsid w:val="00F304E9"/>
    <w:rsid w:val="00F309B0"/>
    <w:rsid w:val="00F30A9F"/>
    <w:rsid w:val="00F31343"/>
    <w:rsid w:val="00F315E4"/>
    <w:rsid w:val="00F31A13"/>
    <w:rsid w:val="00F31A6E"/>
    <w:rsid w:val="00F32C28"/>
    <w:rsid w:val="00F33894"/>
    <w:rsid w:val="00F33C88"/>
    <w:rsid w:val="00F344ED"/>
    <w:rsid w:val="00F34D43"/>
    <w:rsid w:val="00F35308"/>
    <w:rsid w:val="00F36CA3"/>
    <w:rsid w:val="00F3717A"/>
    <w:rsid w:val="00F37F0C"/>
    <w:rsid w:val="00F37FBF"/>
    <w:rsid w:val="00F4059E"/>
    <w:rsid w:val="00F4151A"/>
    <w:rsid w:val="00F4151D"/>
    <w:rsid w:val="00F4237E"/>
    <w:rsid w:val="00F424AB"/>
    <w:rsid w:val="00F42D3B"/>
    <w:rsid w:val="00F43805"/>
    <w:rsid w:val="00F45148"/>
    <w:rsid w:val="00F451B6"/>
    <w:rsid w:val="00F46404"/>
    <w:rsid w:val="00F46C02"/>
    <w:rsid w:val="00F4711D"/>
    <w:rsid w:val="00F503C5"/>
    <w:rsid w:val="00F509EB"/>
    <w:rsid w:val="00F513D4"/>
    <w:rsid w:val="00F51CCC"/>
    <w:rsid w:val="00F528E2"/>
    <w:rsid w:val="00F538C5"/>
    <w:rsid w:val="00F541BF"/>
    <w:rsid w:val="00F56933"/>
    <w:rsid w:val="00F6234C"/>
    <w:rsid w:val="00F6237D"/>
    <w:rsid w:val="00F623B0"/>
    <w:rsid w:val="00F63996"/>
    <w:rsid w:val="00F64359"/>
    <w:rsid w:val="00F647F4"/>
    <w:rsid w:val="00F658C8"/>
    <w:rsid w:val="00F659C7"/>
    <w:rsid w:val="00F6687C"/>
    <w:rsid w:val="00F670A6"/>
    <w:rsid w:val="00F6761C"/>
    <w:rsid w:val="00F67BBA"/>
    <w:rsid w:val="00F70903"/>
    <w:rsid w:val="00F70CB0"/>
    <w:rsid w:val="00F70D63"/>
    <w:rsid w:val="00F70F2B"/>
    <w:rsid w:val="00F7126E"/>
    <w:rsid w:val="00F71BDC"/>
    <w:rsid w:val="00F72A38"/>
    <w:rsid w:val="00F745A9"/>
    <w:rsid w:val="00F76064"/>
    <w:rsid w:val="00F76285"/>
    <w:rsid w:val="00F763CC"/>
    <w:rsid w:val="00F76456"/>
    <w:rsid w:val="00F7665C"/>
    <w:rsid w:val="00F769F8"/>
    <w:rsid w:val="00F77394"/>
    <w:rsid w:val="00F807BC"/>
    <w:rsid w:val="00F831F6"/>
    <w:rsid w:val="00F837E9"/>
    <w:rsid w:val="00F83EB8"/>
    <w:rsid w:val="00F85A8E"/>
    <w:rsid w:val="00F85C2C"/>
    <w:rsid w:val="00F8619B"/>
    <w:rsid w:val="00F869ED"/>
    <w:rsid w:val="00F87166"/>
    <w:rsid w:val="00F87173"/>
    <w:rsid w:val="00F87B80"/>
    <w:rsid w:val="00F90A29"/>
    <w:rsid w:val="00F90DC4"/>
    <w:rsid w:val="00F91E87"/>
    <w:rsid w:val="00F922CA"/>
    <w:rsid w:val="00F9320B"/>
    <w:rsid w:val="00F9330A"/>
    <w:rsid w:val="00F9380E"/>
    <w:rsid w:val="00F93E00"/>
    <w:rsid w:val="00F94095"/>
    <w:rsid w:val="00F94A5F"/>
    <w:rsid w:val="00F96724"/>
    <w:rsid w:val="00FA150A"/>
    <w:rsid w:val="00FA1AC8"/>
    <w:rsid w:val="00FA3C81"/>
    <w:rsid w:val="00FA4174"/>
    <w:rsid w:val="00FA4952"/>
    <w:rsid w:val="00FA4A1E"/>
    <w:rsid w:val="00FA5A1F"/>
    <w:rsid w:val="00FA5CA2"/>
    <w:rsid w:val="00FA6563"/>
    <w:rsid w:val="00FA783F"/>
    <w:rsid w:val="00FB05A0"/>
    <w:rsid w:val="00FB0BB5"/>
    <w:rsid w:val="00FB0D73"/>
    <w:rsid w:val="00FB0DF0"/>
    <w:rsid w:val="00FB1417"/>
    <w:rsid w:val="00FB1C47"/>
    <w:rsid w:val="00FB2799"/>
    <w:rsid w:val="00FB3C48"/>
    <w:rsid w:val="00FB5CE1"/>
    <w:rsid w:val="00FB6AC2"/>
    <w:rsid w:val="00FB700D"/>
    <w:rsid w:val="00FB7027"/>
    <w:rsid w:val="00FC00E2"/>
    <w:rsid w:val="00FC092E"/>
    <w:rsid w:val="00FC1334"/>
    <w:rsid w:val="00FC16F1"/>
    <w:rsid w:val="00FC2681"/>
    <w:rsid w:val="00FC2C18"/>
    <w:rsid w:val="00FC36EB"/>
    <w:rsid w:val="00FC3E5E"/>
    <w:rsid w:val="00FC458E"/>
    <w:rsid w:val="00FC5BD8"/>
    <w:rsid w:val="00FC5FF5"/>
    <w:rsid w:val="00FD0BF8"/>
    <w:rsid w:val="00FD144D"/>
    <w:rsid w:val="00FD30E4"/>
    <w:rsid w:val="00FD42B4"/>
    <w:rsid w:val="00FD4D55"/>
    <w:rsid w:val="00FD5643"/>
    <w:rsid w:val="00FD7A22"/>
    <w:rsid w:val="00FD7FAA"/>
    <w:rsid w:val="00FE011F"/>
    <w:rsid w:val="00FE159C"/>
    <w:rsid w:val="00FE1DBB"/>
    <w:rsid w:val="00FE209F"/>
    <w:rsid w:val="00FE21CD"/>
    <w:rsid w:val="00FE2B75"/>
    <w:rsid w:val="00FE3772"/>
    <w:rsid w:val="00FE3875"/>
    <w:rsid w:val="00FE3960"/>
    <w:rsid w:val="00FE5B57"/>
    <w:rsid w:val="00FE6099"/>
    <w:rsid w:val="00FE60D4"/>
    <w:rsid w:val="00FE622A"/>
    <w:rsid w:val="00FE678B"/>
    <w:rsid w:val="00FE7081"/>
    <w:rsid w:val="00FE734F"/>
    <w:rsid w:val="00FE7FDA"/>
    <w:rsid w:val="00FF0C17"/>
    <w:rsid w:val="00FF0F71"/>
    <w:rsid w:val="00FF166C"/>
    <w:rsid w:val="00FF1A82"/>
    <w:rsid w:val="00FF463C"/>
    <w:rsid w:val="00FF51CC"/>
    <w:rsid w:val="00FF6A27"/>
    <w:rsid w:val="00FF7958"/>
    <w:rsid w:val="00FF7F0E"/>
    <w:rsid w:val="01D939E7"/>
    <w:rsid w:val="0465EEF0"/>
    <w:rsid w:val="04C2956E"/>
    <w:rsid w:val="070AF621"/>
    <w:rsid w:val="0851EA61"/>
    <w:rsid w:val="0B675972"/>
    <w:rsid w:val="0F16945D"/>
    <w:rsid w:val="11F4BA86"/>
    <w:rsid w:val="15414399"/>
    <w:rsid w:val="15C643E1"/>
    <w:rsid w:val="15C80A49"/>
    <w:rsid w:val="1649228D"/>
    <w:rsid w:val="18BD9E83"/>
    <w:rsid w:val="18F65145"/>
    <w:rsid w:val="1994C961"/>
    <w:rsid w:val="1A9F88A7"/>
    <w:rsid w:val="1C8D18EC"/>
    <w:rsid w:val="22A33E84"/>
    <w:rsid w:val="239230E8"/>
    <w:rsid w:val="241623E5"/>
    <w:rsid w:val="29935865"/>
    <w:rsid w:val="2D84FA89"/>
    <w:rsid w:val="315BF76D"/>
    <w:rsid w:val="320464F5"/>
    <w:rsid w:val="34A49BA8"/>
    <w:rsid w:val="3763F007"/>
    <w:rsid w:val="39502E5C"/>
    <w:rsid w:val="39A6066C"/>
    <w:rsid w:val="3BE56D73"/>
    <w:rsid w:val="3F29F2EE"/>
    <w:rsid w:val="3F3919C3"/>
    <w:rsid w:val="3F88F1B3"/>
    <w:rsid w:val="40A1D01C"/>
    <w:rsid w:val="424AE040"/>
    <w:rsid w:val="43298811"/>
    <w:rsid w:val="4437B70F"/>
    <w:rsid w:val="4837EE9B"/>
    <w:rsid w:val="495B8FAC"/>
    <w:rsid w:val="4A8EB18C"/>
    <w:rsid w:val="4AC85D9D"/>
    <w:rsid w:val="4DEF6464"/>
    <w:rsid w:val="4F212CDF"/>
    <w:rsid w:val="4F29145A"/>
    <w:rsid w:val="522DEA02"/>
    <w:rsid w:val="53B5BFB5"/>
    <w:rsid w:val="54D09A59"/>
    <w:rsid w:val="563211B1"/>
    <w:rsid w:val="5694EDBF"/>
    <w:rsid w:val="56FE77F4"/>
    <w:rsid w:val="5715A718"/>
    <w:rsid w:val="57706C65"/>
    <w:rsid w:val="58E9E84B"/>
    <w:rsid w:val="5AD29105"/>
    <w:rsid w:val="5B1160D6"/>
    <w:rsid w:val="5EB8A445"/>
    <w:rsid w:val="60015EED"/>
    <w:rsid w:val="68E3A63E"/>
    <w:rsid w:val="6CACA04E"/>
    <w:rsid w:val="7035CA27"/>
    <w:rsid w:val="71048714"/>
    <w:rsid w:val="7221ED8A"/>
    <w:rsid w:val="734AA5AB"/>
    <w:rsid w:val="7683CEE3"/>
    <w:rsid w:val="78852F67"/>
    <w:rsid w:val="78F3E0E6"/>
    <w:rsid w:val="7B475B04"/>
    <w:rsid w:val="7CBA1439"/>
    <w:rsid w:val="7D9B2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7B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86"/>
    <w:rPr>
      <w:sz w:val="24"/>
      <w:szCs w:val="24"/>
    </w:rPr>
  </w:style>
  <w:style w:type="paragraph" w:styleId="Heading1">
    <w:name w:val="heading 1"/>
    <w:basedOn w:val="1"/>
    <w:next w:val="Normal"/>
    <w:qFormat/>
    <w:rsid w:val="007E7234"/>
    <w:pPr>
      <w:outlineLvl w:val="0"/>
    </w:pPr>
  </w:style>
  <w:style w:type="paragraph" w:styleId="Heading2">
    <w:name w:val="heading 2"/>
    <w:basedOn w:val="Normal"/>
    <w:next w:val="Normal"/>
    <w:link w:val="Heading2Char"/>
    <w:qFormat/>
    <w:rsid w:val="007E7234"/>
    <w:pPr>
      <w:ind w:firstLine="720"/>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sz w:val="28"/>
    </w:rPr>
  </w:style>
  <w:style w:type="paragraph" w:customStyle="1" w:styleId="Level2-GHGPreamble">
    <w:name w:val="_Level 2-GHG Preamble"/>
    <w:link w:val="Level2-GHGPreambleCharChar"/>
    <w:autoRedefine/>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uiPriority w:val="99"/>
    <w:rsid w:val="00501961"/>
    <w:rPr>
      <w:sz w:val="16"/>
      <w:szCs w:val="16"/>
    </w:rPr>
  </w:style>
  <w:style w:type="paragraph" w:styleId="CommentText">
    <w:name w:val="annotation text"/>
    <w:basedOn w:val="Normal"/>
    <w:link w:val="CommentTextChar"/>
    <w:uiPriority w:val="99"/>
    <w:rsid w:val="00501961"/>
    <w:rPr>
      <w:rFonts w:ascii="Courier New" w:hAnsi="Courier New"/>
      <w:sz w:val="20"/>
      <w:szCs w:val="20"/>
      <w:lang w:val="x-none" w:eastAsia="x-none"/>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rsid w:val="00787E91"/>
    <w:rPr>
      <w:rFonts w:ascii="Courier New" w:hAnsi="Courier New"/>
      <w:sz w:val="24"/>
      <w:szCs w:val="24"/>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rPr>
  </w:style>
  <w:style w:type="character" w:styleId="Strong">
    <w:name w:val="Strong"/>
    <w:qFormat/>
    <w:rsid w:val="00787E91"/>
    <w:rPr>
      <w:b/>
      <w:bCs/>
    </w:r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787E91"/>
    <w:rPr>
      <w:rFonts w:ascii="Courier New" w:hAnsi="Courier New"/>
      <w:sz w:val="20"/>
      <w:szCs w:val="20"/>
      <w:lang w:val="x-none" w:eastAsia="x-none"/>
    </w:rPr>
  </w:style>
  <w:style w:type="character" w:styleId="FootnoteReference">
    <w:name w:val="footnote reference"/>
    <w:semiHidden/>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E665E0"/>
    <w:pPr>
      <w:tabs>
        <w:tab w:val="right" w:leader="dot" w:pos="9350"/>
      </w:tabs>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uiPriority w:val="99"/>
    <w:rsid w:val="008D20EE"/>
    <w:pPr>
      <w:tabs>
        <w:tab w:val="center" w:pos="4680"/>
        <w:tab w:val="right" w:pos="9360"/>
      </w:tabs>
    </w:pPr>
    <w:rPr>
      <w:lang w:val="x-none" w:eastAsia="x-none"/>
    </w:rPr>
  </w:style>
  <w:style w:type="character" w:customStyle="1" w:styleId="HeaderChar">
    <w:name w:val="Header Char"/>
    <w:link w:val="Header"/>
    <w:uiPriority w:val="99"/>
    <w:rsid w:val="008D20EE"/>
    <w:rPr>
      <w:sz w:val="24"/>
      <w:szCs w:val="24"/>
    </w:rPr>
  </w:style>
  <w:style w:type="paragraph" w:styleId="Footer">
    <w:name w:val="footer"/>
    <w:basedOn w:val="Normal"/>
    <w:link w:val="FooterChar"/>
    <w:uiPriority w:val="99"/>
    <w:rsid w:val="008D20EE"/>
    <w:pPr>
      <w:tabs>
        <w:tab w:val="center" w:pos="4680"/>
        <w:tab w:val="right" w:pos="9360"/>
      </w:tabs>
    </w:pPr>
    <w:rPr>
      <w:lang w:val="x-none" w:eastAsia="x-none"/>
    </w:r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E665E0"/>
    <w:pPr>
      <w:tabs>
        <w:tab w:val="left" w:pos="540"/>
        <w:tab w:val="right" w:leader="dot" w:pos="9350"/>
      </w:tabs>
    </w:pPr>
  </w:style>
  <w:style w:type="paragraph" w:customStyle="1" w:styleId="GHGPreamble-level4">
    <w:name w:val="_GHG Preamble-level4"/>
    <w:semiHidden/>
    <w:rsid w:val="00287187"/>
    <w:pPr>
      <w:numPr>
        <w:ilvl w:val="5"/>
        <w:numId w:val="5"/>
      </w:numPr>
      <w:tabs>
        <w:tab w:val="num" w:pos="1440"/>
      </w:tabs>
      <w:ind w:left="1440" w:hanging="360"/>
    </w:pPr>
    <w:rPr>
      <w:color w:val="000000"/>
      <w:sz w:val="24"/>
      <w:szCs w:val="24"/>
    </w:rPr>
  </w:style>
  <w:style w:type="numbering" w:styleId="111111">
    <w:name w:val="Outline List 2"/>
    <w:basedOn w:val="NoList"/>
    <w:semiHidden/>
    <w:rsid w:val="00287187"/>
    <w:pPr>
      <w:numPr>
        <w:numId w:val="6"/>
      </w:numPr>
    </w:pPr>
  </w:style>
  <w:style w:type="paragraph" w:customStyle="1" w:styleId="GHGLevels">
    <w:name w:val="GHG Levels"/>
    <w:basedOn w:val="Normal"/>
    <w:link w:val="GHGLevelsCharChar"/>
    <w:rsid w:val="00556FDE"/>
    <w:pPr>
      <w:numPr>
        <w:numId w:val="7"/>
      </w:numPr>
      <w:spacing w:before="80" w:after="80"/>
    </w:pPr>
    <w:rPr>
      <w:bCs/>
    </w:rPr>
  </w:style>
  <w:style w:type="character" w:customStyle="1" w:styleId="GHGLevelsCharChar">
    <w:name w:val="GHG Levels Char Char"/>
    <w:link w:val="GHGLevels"/>
    <w:rsid w:val="00556FDE"/>
    <w:rPr>
      <w:bCs/>
      <w:sz w:val="24"/>
      <w:szCs w:val="24"/>
    </w:rPr>
  </w:style>
  <w:style w:type="table" w:styleId="TableGrid">
    <w:name w:val="Table Grid"/>
    <w:basedOn w:val="TableNormal"/>
    <w:uiPriority w:val="59"/>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AF7429"/>
    <w:pPr>
      <w:keepLines/>
      <w:autoSpaceDE w:val="0"/>
      <w:autoSpaceDN w:val="0"/>
      <w:adjustRightInd w:val="0"/>
      <w:jc w:val="both"/>
    </w:pPr>
    <w:rPr>
      <w:rFonts w:asciiTheme="majorBidi" w:hAnsiTheme="majorBidi" w:cstheme="majorBidi"/>
      <w:b/>
      <w:sz w:val="28"/>
      <w:szCs w:val="32"/>
    </w:rPr>
  </w:style>
  <w:style w:type="character" w:customStyle="1" w:styleId="ExhibitTitleChar">
    <w:name w:val="Exhibit Title Char"/>
    <w:link w:val="ExhibitTitle"/>
    <w:rsid w:val="00AF7429"/>
    <w:rPr>
      <w:rFonts w:asciiTheme="majorBidi" w:hAnsiTheme="majorBidi" w:cstheme="majorBidi"/>
      <w:b/>
      <w:sz w:val="28"/>
      <w:szCs w:val="32"/>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link w:val="FootnoteText"/>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lang w:val="x-none" w:eastAsia="x-none"/>
    </w:rPr>
  </w:style>
  <w:style w:type="paragraph" w:customStyle="1" w:styleId="bullets-3rdlevel">
    <w:name w:val="bullets-3rd level"/>
    <w:uiPriority w:val="99"/>
    <w:rsid w:val="00B85CA3"/>
    <w:pPr>
      <w:numPr>
        <w:numId w:val="15"/>
      </w:numPr>
      <w:tabs>
        <w:tab w:val="clear" w:pos="2160"/>
      </w:tabs>
      <w:spacing w:after="120"/>
      <w:ind w:left="1800"/>
    </w:pPr>
    <w:rPr>
      <w:sz w:val="24"/>
    </w:rPr>
  </w:style>
  <w:style w:type="character" w:customStyle="1" w:styleId="bodytextChar">
    <w:name w:val="body text Char"/>
    <w:aliases w:val="bt Char,body tx Char,indent Char,flush Char"/>
    <w:link w:val="BodyText1"/>
    <w:uiPriority w:val="99"/>
    <w:rsid w:val="00B85CA3"/>
    <w:rPr>
      <w:sz w:val="24"/>
    </w:rPr>
  </w:style>
  <w:style w:type="character" w:styleId="FollowedHyperlink">
    <w:name w:val="FollowedHyperlink"/>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lang w:val="x-none" w:eastAsia="x-none"/>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1">
    <w:name w:val="Light Grid - Accent 311"/>
    <w:basedOn w:val="Normal"/>
    <w:uiPriority w:val="34"/>
    <w:qFormat/>
    <w:rsid w:val="00B368FA"/>
    <w:pPr>
      <w:ind w:left="720"/>
    </w:pPr>
  </w:style>
  <w:style w:type="character" w:customStyle="1" w:styleId="Level2-GHGPreambleCharChar">
    <w:name w:val="_Level 2-GHG Preamble Char Char"/>
    <w:link w:val="Level2-GHGPreamble"/>
    <w:rsid w:val="008947BE"/>
    <w:rPr>
      <w:rFonts w:ascii="Courier New" w:hAnsi="Courier New" w:cs="Courier New"/>
      <w:b/>
      <w:sz w:val="24"/>
      <w:szCs w:val="24"/>
      <w:u w:val="single"/>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lang w:val="x-none" w:eastAsia="x-none"/>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 w:type="paragraph" w:styleId="ListParagraph">
    <w:name w:val="List Paragraph"/>
    <w:basedOn w:val="Normal"/>
    <w:uiPriority w:val="34"/>
    <w:qFormat/>
    <w:rsid w:val="0019341F"/>
    <w:pPr>
      <w:ind w:left="720"/>
      <w:contextualSpacing/>
    </w:pPr>
  </w:style>
  <w:style w:type="paragraph" w:styleId="Revision">
    <w:name w:val="Revision"/>
    <w:hidden/>
    <w:uiPriority w:val="99"/>
    <w:semiHidden/>
    <w:rsid w:val="001934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86"/>
    <w:rPr>
      <w:sz w:val="24"/>
      <w:szCs w:val="24"/>
    </w:rPr>
  </w:style>
  <w:style w:type="paragraph" w:styleId="Heading1">
    <w:name w:val="heading 1"/>
    <w:basedOn w:val="1"/>
    <w:next w:val="Normal"/>
    <w:qFormat/>
    <w:rsid w:val="007E7234"/>
    <w:pPr>
      <w:outlineLvl w:val="0"/>
    </w:pPr>
  </w:style>
  <w:style w:type="paragraph" w:styleId="Heading2">
    <w:name w:val="heading 2"/>
    <w:basedOn w:val="Normal"/>
    <w:next w:val="Normal"/>
    <w:link w:val="Heading2Char"/>
    <w:qFormat/>
    <w:rsid w:val="007E7234"/>
    <w:pPr>
      <w:ind w:firstLine="720"/>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1"/>
    <w:rsid w:val="0031346B"/>
    <w:pPr>
      <w:numPr>
        <w:numId w:val="1"/>
      </w:numPr>
      <w:jc w:val="center"/>
    </w:pPr>
    <w:rPr>
      <w:sz w:val="28"/>
    </w:rPr>
  </w:style>
  <w:style w:type="paragraph" w:customStyle="1" w:styleId="Level2-GHGPreamble">
    <w:name w:val="_Level 2-GHG Preamble"/>
    <w:link w:val="Level2-GHGPreambleCharChar"/>
    <w:autoRedefine/>
    <w:rsid w:val="008947BE"/>
    <w:pPr>
      <w:numPr>
        <w:ilvl w:val="1"/>
        <w:numId w:val="2"/>
      </w:numPr>
      <w:spacing w:after="100"/>
    </w:pPr>
    <w:rPr>
      <w:rFonts w:ascii="Courier New" w:hAnsi="Courier New" w:cs="Courier New"/>
      <w:b/>
      <w:sz w:val="24"/>
      <w:szCs w:val="24"/>
      <w:u w:val="single"/>
    </w:rPr>
  </w:style>
  <w:style w:type="paragraph" w:customStyle="1" w:styleId="Level3-GHGPreamble">
    <w:name w:val="_Level 3-GHG Preamble"/>
    <w:link w:val="Level3-GHGPreambleCharChar"/>
    <w:autoRedefine/>
    <w:rsid w:val="006203B7"/>
    <w:pPr>
      <w:numPr>
        <w:ilvl w:val="2"/>
        <w:numId w:val="2"/>
      </w:numPr>
      <w:spacing w:after="100"/>
    </w:pPr>
    <w:rPr>
      <w:rFonts w:ascii="Courier New" w:hAnsi="Courier New" w:cs="Courier New"/>
      <w:noProof/>
      <w:sz w:val="24"/>
      <w:szCs w:val="24"/>
      <w:u w:val="single"/>
    </w:rPr>
  </w:style>
  <w:style w:type="paragraph" w:customStyle="1" w:styleId="Level5-GHGPreamble">
    <w:name w:val="_Level 5-GHG Preamble"/>
    <w:rsid w:val="006203B7"/>
    <w:pPr>
      <w:numPr>
        <w:ilvl w:val="4"/>
        <w:numId w:val="2"/>
      </w:numPr>
    </w:pPr>
    <w:rPr>
      <w:rFonts w:ascii="Courier New" w:hAnsi="Courier New"/>
      <w:color w:val="000000"/>
      <w:sz w:val="24"/>
      <w:szCs w:val="24"/>
      <w:u w:val="single"/>
    </w:rPr>
  </w:style>
  <w:style w:type="paragraph" w:customStyle="1" w:styleId="Level4-GHGPreamble">
    <w:name w:val="_Level 4-GHG Preamble"/>
    <w:autoRedefine/>
    <w:rsid w:val="006203B7"/>
    <w:pPr>
      <w:numPr>
        <w:ilvl w:val="3"/>
        <w:numId w:val="2"/>
      </w:numPr>
      <w:spacing w:after="100"/>
    </w:pPr>
    <w:rPr>
      <w:rFonts w:ascii="Courier New" w:hAnsi="Courier New"/>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6203B7"/>
    <w:pPr>
      <w:ind w:left="360"/>
    </w:pPr>
  </w:style>
  <w:style w:type="character" w:customStyle="1" w:styleId="StyleGHGPreamble-level2CourierNewUnderlineChar">
    <w:name w:val="Style _GHG Preamble-level2 + Courier New Underline Char"/>
    <w:link w:val="StyleGHGPreamble-level2CourierNewUnderline"/>
    <w:semiHidden/>
    <w:rsid w:val="006203B7"/>
    <w:rPr>
      <w:rFonts w:ascii="Courier New" w:hAnsi="Courier New" w:cs="Courier New"/>
      <w:b/>
      <w:sz w:val="24"/>
      <w:szCs w:val="24"/>
      <w:u w:val="single"/>
    </w:rPr>
  </w:style>
  <w:style w:type="character" w:styleId="CommentReference">
    <w:name w:val="annotation reference"/>
    <w:uiPriority w:val="99"/>
    <w:rsid w:val="00501961"/>
    <w:rPr>
      <w:sz w:val="16"/>
      <w:szCs w:val="16"/>
    </w:rPr>
  </w:style>
  <w:style w:type="paragraph" w:styleId="CommentText">
    <w:name w:val="annotation text"/>
    <w:basedOn w:val="Normal"/>
    <w:link w:val="CommentTextChar"/>
    <w:uiPriority w:val="99"/>
    <w:rsid w:val="00501961"/>
    <w:rPr>
      <w:rFonts w:ascii="Courier New" w:hAnsi="Courier New"/>
      <w:sz w:val="20"/>
      <w:szCs w:val="20"/>
      <w:lang w:val="x-none" w:eastAsia="x-none"/>
    </w:rPr>
  </w:style>
  <w:style w:type="paragraph" w:styleId="BalloonText">
    <w:name w:val="Balloon Text"/>
    <w:basedOn w:val="Normal"/>
    <w:semiHidden/>
    <w:rsid w:val="00501961"/>
    <w:rPr>
      <w:rFonts w:ascii="Tahoma" w:hAnsi="Tahoma" w:cs="Tahoma"/>
      <w:sz w:val="16"/>
      <w:szCs w:val="16"/>
    </w:rPr>
  </w:style>
  <w:style w:type="paragraph" w:customStyle="1" w:styleId="Paragraph-Format-GHGPreamble">
    <w:name w:val="_Paragraph-Format-GHG Preamble"/>
    <w:link w:val="Paragraph-Format-GHGPreambleChar"/>
    <w:autoRedefine/>
    <w:rsid w:val="00CE2479"/>
    <w:pPr>
      <w:spacing w:after="100"/>
      <w:ind w:firstLine="720"/>
    </w:pPr>
    <w:rPr>
      <w:rFonts w:ascii="Courier New" w:hAnsi="Courier New" w:cs="Courier New"/>
      <w:sz w:val="24"/>
      <w:szCs w:val="24"/>
    </w:rPr>
  </w:style>
  <w:style w:type="character" w:customStyle="1" w:styleId="Paragraph-Format-GHGPreambleChar">
    <w:name w:val="_Paragraph-Format-GHG Preamble Char"/>
    <w:link w:val="Paragraph-Format-GHGPreamble"/>
    <w:rsid w:val="00CE2479"/>
    <w:rPr>
      <w:rFonts w:ascii="Courier New" w:hAnsi="Courier New" w:cs="Courier New"/>
      <w:sz w:val="24"/>
      <w:szCs w:val="24"/>
      <w:lang w:val="en-US" w:eastAsia="en-US" w:bidi="ar-SA"/>
    </w:rPr>
  </w:style>
  <w:style w:type="paragraph" w:customStyle="1" w:styleId="Bullet-GHGPreamble">
    <w:name w:val="_Bullet-GHG Preamble"/>
    <w:link w:val="Bullet-GHGPreambleCharChar"/>
    <w:rsid w:val="00787E91"/>
    <w:pPr>
      <w:numPr>
        <w:numId w:val="3"/>
      </w:numPr>
      <w:spacing w:after="100"/>
    </w:pPr>
    <w:rPr>
      <w:rFonts w:ascii="Courier New" w:hAnsi="Courier New"/>
      <w:sz w:val="24"/>
      <w:szCs w:val="24"/>
    </w:rPr>
  </w:style>
  <w:style w:type="character" w:customStyle="1" w:styleId="Bullet-GHGPreambleCharChar">
    <w:name w:val="_Bullet-GHG Preamble Char Char"/>
    <w:link w:val="Bullet-GHGPreamble"/>
    <w:rsid w:val="00787E91"/>
    <w:rPr>
      <w:rFonts w:ascii="Courier New" w:hAnsi="Courier New"/>
      <w:sz w:val="24"/>
      <w:szCs w:val="24"/>
    </w:rPr>
  </w:style>
  <w:style w:type="character" w:customStyle="1" w:styleId="Level3-GHGPreambleCharChar">
    <w:name w:val="_Level 3-GHG Preamble Char Char"/>
    <w:link w:val="Level3-GHGPreamble"/>
    <w:rsid w:val="00787E91"/>
    <w:rPr>
      <w:rFonts w:ascii="Courier New" w:hAnsi="Courier New" w:cs="Courier New"/>
      <w:noProof/>
      <w:sz w:val="24"/>
      <w:szCs w:val="24"/>
      <w:u w:val="single"/>
    </w:rPr>
  </w:style>
  <w:style w:type="character" w:styleId="Strong">
    <w:name w:val="Strong"/>
    <w:qFormat/>
    <w:rsid w:val="00787E91"/>
    <w:rPr>
      <w:b/>
      <w:bCs/>
    </w:rPr>
  </w:style>
  <w:style w:type="paragraph" w:styleId="FootnoteText">
    <w:name w:val="footnote text"/>
    <w:aliases w:val=" Char,Char, Char4,Char4,ALTS FOOTNOTE,fn,Footnote Text - Preamble,Footnote Text Char1,Footnote Text Char Char,Footnote Text Char1 Char Char,Footnote Text Char Char Char Char,Footnote Text Char Char1"/>
    <w:basedOn w:val="Normal"/>
    <w:link w:val="FootnoteTextChar"/>
    <w:semiHidden/>
    <w:rsid w:val="00787E91"/>
    <w:rPr>
      <w:rFonts w:ascii="Courier New" w:hAnsi="Courier New"/>
      <w:sz w:val="20"/>
      <w:szCs w:val="20"/>
      <w:lang w:val="x-none" w:eastAsia="x-none"/>
    </w:rPr>
  </w:style>
  <w:style w:type="character" w:styleId="FootnoteReference">
    <w:name w:val="footnote reference"/>
    <w:semiHidden/>
    <w:rsid w:val="00787E91"/>
    <w:rPr>
      <w:vertAlign w:val="superscript"/>
    </w:rPr>
  </w:style>
  <w:style w:type="character" w:styleId="Hyperlink">
    <w:name w:val="Hyperlink"/>
    <w:uiPriority w:val="99"/>
    <w:rsid w:val="007D5042"/>
    <w:rPr>
      <w:color w:val="0000FF"/>
      <w:u w:val="single"/>
    </w:rPr>
  </w:style>
  <w:style w:type="paragraph" w:styleId="TOC2">
    <w:name w:val="toc 2"/>
    <w:aliases w:val="TOC 2-GHG Preamble"/>
    <w:next w:val="Normal"/>
    <w:autoRedefine/>
    <w:uiPriority w:val="39"/>
    <w:rsid w:val="00E665E0"/>
    <w:pPr>
      <w:tabs>
        <w:tab w:val="right" w:leader="dot" w:pos="9350"/>
      </w:tabs>
      <w:ind w:left="900" w:hanging="360"/>
    </w:pPr>
    <w:rPr>
      <w:sz w:val="24"/>
      <w:szCs w:val="24"/>
    </w:rPr>
  </w:style>
  <w:style w:type="paragraph" w:styleId="CommentSubject">
    <w:name w:val="annotation subject"/>
    <w:basedOn w:val="CommentText"/>
    <w:next w:val="CommentText"/>
    <w:link w:val="CommentSubjectChar"/>
    <w:rsid w:val="00962C1A"/>
    <w:rPr>
      <w:rFonts w:ascii="Times New Roman" w:hAnsi="Times New Roman"/>
      <w:b/>
      <w:bCs/>
    </w:rPr>
  </w:style>
  <w:style w:type="character" w:customStyle="1" w:styleId="CommentTextChar">
    <w:name w:val="Comment Text Char"/>
    <w:link w:val="CommentText"/>
    <w:uiPriority w:val="99"/>
    <w:rsid w:val="00962C1A"/>
    <w:rPr>
      <w:rFonts w:ascii="Courier New" w:hAnsi="Courier New" w:cs="Courier New"/>
    </w:rPr>
  </w:style>
  <w:style w:type="character" w:customStyle="1" w:styleId="CommentSubjectChar">
    <w:name w:val="Comment Subject Char"/>
    <w:basedOn w:val="CommentTextChar"/>
    <w:link w:val="CommentSubject"/>
    <w:rsid w:val="00962C1A"/>
    <w:rPr>
      <w:rFonts w:ascii="Courier New" w:hAnsi="Courier New" w:cs="Courier New"/>
    </w:rPr>
  </w:style>
  <w:style w:type="paragraph" w:customStyle="1" w:styleId="LightList-Accent31">
    <w:name w:val="Light List - Accent 31"/>
    <w:hidden/>
    <w:uiPriority w:val="99"/>
    <w:semiHidden/>
    <w:rsid w:val="00962C1A"/>
    <w:rPr>
      <w:sz w:val="24"/>
      <w:szCs w:val="24"/>
    </w:rPr>
  </w:style>
  <w:style w:type="paragraph" w:styleId="Header">
    <w:name w:val="header"/>
    <w:basedOn w:val="Normal"/>
    <w:link w:val="HeaderChar"/>
    <w:uiPriority w:val="99"/>
    <w:rsid w:val="008D20EE"/>
    <w:pPr>
      <w:tabs>
        <w:tab w:val="center" w:pos="4680"/>
        <w:tab w:val="right" w:pos="9360"/>
      </w:tabs>
    </w:pPr>
    <w:rPr>
      <w:lang w:val="x-none" w:eastAsia="x-none"/>
    </w:rPr>
  </w:style>
  <w:style w:type="character" w:customStyle="1" w:styleId="HeaderChar">
    <w:name w:val="Header Char"/>
    <w:link w:val="Header"/>
    <w:uiPriority w:val="99"/>
    <w:rsid w:val="008D20EE"/>
    <w:rPr>
      <w:sz w:val="24"/>
      <w:szCs w:val="24"/>
    </w:rPr>
  </w:style>
  <w:style w:type="paragraph" w:styleId="Footer">
    <w:name w:val="footer"/>
    <w:basedOn w:val="Normal"/>
    <w:link w:val="FooterChar"/>
    <w:uiPriority w:val="99"/>
    <w:rsid w:val="008D20EE"/>
    <w:pPr>
      <w:tabs>
        <w:tab w:val="center" w:pos="4680"/>
        <w:tab w:val="right" w:pos="9360"/>
      </w:tabs>
    </w:pPr>
    <w:rPr>
      <w:lang w:val="x-none" w:eastAsia="x-none"/>
    </w:rPr>
  </w:style>
  <w:style w:type="character" w:customStyle="1" w:styleId="FooterChar">
    <w:name w:val="Footer Char"/>
    <w:link w:val="Footer"/>
    <w:uiPriority w:val="99"/>
    <w:rsid w:val="008D20EE"/>
    <w:rPr>
      <w:sz w:val="24"/>
      <w:szCs w:val="24"/>
    </w:rPr>
  </w:style>
  <w:style w:type="character" w:styleId="PageNumber">
    <w:name w:val="page number"/>
    <w:basedOn w:val="DefaultParagraphFont"/>
    <w:rsid w:val="008D20EE"/>
  </w:style>
  <w:style w:type="paragraph" w:styleId="TOC1">
    <w:name w:val="toc 1"/>
    <w:basedOn w:val="Normal"/>
    <w:next w:val="Normal"/>
    <w:autoRedefine/>
    <w:uiPriority w:val="39"/>
    <w:rsid w:val="00E665E0"/>
    <w:pPr>
      <w:tabs>
        <w:tab w:val="left" w:pos="540"/>
        <w:tab w:val="right" w:leader="dot" w:pos="9350"/>
      </w:tabs>
    </w:pPr>
  </w:style>
  <w:style w:type="paragraph" w:customStyle="1" w:styleId="GHGPreamble-level4">
    <w:name w:val="_GHG Preamble-level4"/>
    <w:semiHidden/>
    <w:rsid w:val="00287187"/>
    <w:pPr>
      <w:numPr>
        <w:ilvl w:val="5"/>
        <w:numId w:val="5"/>
      </w:numPr>
      <w:tabs>
        <w:tab w:val="num" w:pos="1440"/>
      </w:tabs>
      <w:ind w:left="1440" w:hanging="360"/>
    </w:pPr>
    <w:rPr>
      <w:color w:val="000000"/>
      <w:sz w:val="24"/>
      <w:szCs w:val="24"/>
    </w:rPr>
  </w:style>
  <w:style w:type="numbering" w:styleId="111111">
    <w:name w:val="Outline List 2"/>
    <w:basedOn w:val="NoList"/>
    <w:semiHidden/>
    <w:rsid w:val="00287187"/>
    <w:pPr>
      <w:numPr>
        <w:numId w:val="6"/>
      </w:numPr>
    </w:pPr>
  </w:style>
  <w:style w:type="paragraph" w:customStyle="1" w:styleId="GHGLevels">
    <w:name w:val="GHG Levels"/>
    <w:basedOn w:val="Normal"/>
    <w:link w:val="GHGLevelsCharChar"/>
    <w:rsid w:val="00556FDE"/>
    <w:pPr>
      <w:numPr>
        <w:numId w:val="7"/>
      </w:numPr>
      <w:spacing w:before="80" w:after="80"/>
    </w:pPr>
    <w:rPr>
      <w:bCs/>
    </w:rPr>
  </w:style>
  <w:style w:type="character" w:customStyle="1" w:styleId="GHGLevelsCharChar">
    <w:name w:val="GHG Levels Char Char"/>
    <w:link w:val="GHGLevels"/>
    <w:rsid w:val="00556FDE"/>
    <w:rPr>
      <w:bCs/>
      <w:sz w:val="24"/>
      <w:szCs w:val="24"/>
    </w:rPr>
  </w:style>
  <w:style w:type="table" w:styleId="TableGrid">
    <w:name w:val="Table Grid"/>
    <w:basedOn w:val="TableNormal"/>
    <w:uiPriority w:val="59"/>
    <w:rsid w:val="00241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semiHidden/>
    <w:rsid w:val="00EA52F2"/>
    <w:pPr>
      <w:spacing w:after="120"/>
    </w:pPr>
    <w:rPr>
      <w:rFonts w:ascii="Courier New" w:hAnsi="Courier New" w:cs="Courier New"/>
      <w:sz w:val="16"/>
      <w:szCs w:val="16"/>
    </w:rPr>
  </w:style>
  <w:style w:type="paragraph" w:customStyle="1" w:styleId="ExhibitTitle">
    <w:name w:val="Exhibit Title"/>
    <w:basedOn w:val="Normal"/>
    <w:link w:val="ExhibitTitleChar"/>
    <w:qFormat/>
    <w:rsid w:val="00AF7429"/>
    <w:pPr>
      <w:keepLines/>
      <w:autoSpaceDE w:val="0"/>
      <w:autoSpaceDN w:val="0"/>
      <w:adjustRightInd w:val="0"/>
      <w:jc w:val="both"/>
    </w:pPr>
    <w:rPr>
      <w:rFonts w:asciiTheme="majorBidi" w:hAnsiTheme="majorBidi" w:cstheme="majorBidi"/>
      <w:b/>
      <w:sz w:val="28"/>
      <w:szCs w:val="32"/>
    </w:rPr>
  </w:style>
  <w:style w:type="character" w:customStyle="1" w:styleId="ExhibitTitleChar">
    <w:name w:val="Exhibit Title Char"/>
    <w:link w:val="ExhibitTitle"/>
    <w:rsid w:val="00AF7429"/>
    <w:rPr>
      <w:rFonts w:asciiTheme="majorBidi" w:hAnsiTheme="majorBidi" w:cstheme="majorBidi"/>
      <w:b/>
      <w:sz w:val="28"/>
      <w:szCs w:val="32"/>
    </w:rPr>
  </w:style>
  <w:style w:type="paragraph" w:customStyle="1" w:styleId="GHGPARAGRAPH">
    <w:name w:val="GHG PARAGRAPH"/>
    <w:link w:val="GHGPARAGRAPHCharChar"/>
    <w:rsid w:val="007F2258"/>
    <w:pPr>
      <w:spacing w:before="80" w:after="80"/>
      <w:ind w:firstLine="720"/>
    </w:pPr>
    <w:rPr>
      <w:rFonts w:ascii="Courier New" w:hAnsi="Courier New" w:cs="Courier New"/>
      <w:bCs/>
      <w:noProof/>
      <w:sz w:val="24"/>
      <w:szCs w:val="24"/>
    </w:rPr>
  </w:style>
  <w:style w:type="character" w:customStyle="1" w:styleId="GHGPARAGRAPHCharChar">
    <w:name w:val="GHG PARAGRAPH Char Char"/>
    <w:link w:val="GHGPARAGRAPH"/>
    <w:rsid w:val="007F2258"/>
    <w:rPr>
      <w:rFonts w:ascii="Courier New" w:hAnsi="Courier New" w:cs="Courier New"/>
      <w:bCs/>
      <w:noProof/>
      <w:sz w:val="24"/>
      <w:szCs w:val="24"/>
      <w:lang w:val="en-US" w:eastAsia="en-US" w:bidi="ar-SA"/>
    </w:rPr>
  </w:style>
  <w:style w:type="character" w:customStyle="1" w:styleId="FootnoteTextChar">
    <w:name w:val="Footnote Text Char"/>
    <w:aliases w:val=" Char Char,Char Char, Char4 Char,Char4 Char,ALTS FOOTNOTE Char,fn Char,Footnote Text - Preamble Char,Footnote Text Char1 Char,Footnote Text Char Char Char,Footnote Text Char1 Char Char Char,Footnote Text Char Char Char Char Char"/>
    <w:link w:val="FootnoteText"/>
    <w:locked/>
    <w:rsid w:val="00452B05"/>
    <w:rPr>
      <w:rFonts w:ascii="Courier New" w:hAnsi="Courier New" w:cs="Courier New"/>
    </w:rPr>
  </w:style>
  <w:style w:type="paragraph" w:customStyle="1" w:styleId="BodyText1">
    <w:name w:val="Body Text1"/>
    <w:aliases w:val="bt,body tx,indent,flush,memo body text"/>
    <w:basedOn w:val="Normal"/>
    <w:link w:val="bodytextChar"/>
    <w:uiPriority w:val="99"/>
    <w:rsid w:val="00B85CA3"/>
    <w:pPr>
      <w:spacing w:after="240" w:line="360" w:lineRule="atLeast"/>
      <w:ind w:firstLine="720"/>
    </w:pPr>
    <w:rPr>
      <w:szCs w:val="20"/>
      <w:lang w:val="x-none" w:eastAsia="x-none"/>
    </w:rPr>
  </w:style>
  <w:style w:type="paragraph" w:customStyle="1" w:styleId="bullets-3rdlevel">
    <w:name w:val="bullets-3rd level"/>
    <w:uiPriority w:val="99"/>
    <w:rsid w:val="00B85CA3"/>
    <w:pPr>
      <w:numPr>
        <w:numId w:val="15"/>
      </w:numPr>
      <w:tabs>
        <w:tab w:val="clear" w:pos="2160"/>
      </w:tabs>
      <w:spacing w:after="120"/>
      <w:ind w:left="1800"/>
    </w:pPr>
    <w:rPr>
      <w:sz w:val="24"/>
    </w:rPr>
  </w:style>
  <w:style w:type="character" w:customStyle="1" w:styleId="bodytextChar">
    <w:name w:val="body text Char"/>
    <w:aliases w:val="bt Char,body tx Char,indent Char,flush Char"/>
    <w:link w:val="BodyText1"/>
    <w:uiPriority w:val="99"/>
    <w:rsid w:val="00B85CA3"/>
    <w:rPr>
      <w:sz w:val="24"/>
    </w:rPr>
  </w:style>
  <w:style w:type="character" w:styleId="FollowedHyperlink">
    <w:name w:val="FollowedHyperlink"/>
    <w:rsid w:val="00AF3922"/>
    <w:rPr>
      <w:color w:val="800080"/>
      <w:u w:val="single"/>
    </w:rPr>
  </w:style>
  <w:style w:type="paragraph" w:customStyle="1" w:styleId="GHGPARAGRAPH0">
    <w:name w:val="__GHG PARAGRAPH"/>
    <w:link w:val="GHGPARAGRAPHCharChar0"/>
    <w:rsid w:val="002000F5"/>
    <w:pPr>
      <w:spacing w:line="480" w:lineRule="auto"/>
      <w:ind w:firstLine="720"/>
    </w:pPr>
    <w:rPr>
      <w:rFonts w:ascii="Courier New" w:hAnsi="Courier New" w:cs="Courier New"/>
      <w:bCs/>
      <w:noProof/>
      <w:sz w:val="24"/>
      <w:szCs w:val="24"/>
    </w:rPr>
  </w:style>
  <w:style w:type="character" w:customStyle="1" w:styleId="GHGPARAGRAPHCharChar0">
    <w:name w:val="__GHG PARAGRAPH Char Char"/>
    <w:link w:val="GHGPARAGRAPH0"/>
    <w:rsid w:val="002000F5"/>
    <w:rPr>
      <w:rFonts w:ascii="Courier New" w:hAnsi="Courier New" w:cs="Courier New"/>
      <w:bCs/>
      <w:noProof/>
      <w:sz w:val="24"/>
      <w:szCs w:val="24"/>
      <w:lang w:val="en-US" w:eastAsia="en-US" w:bidi="ar-SA"/>
    </w:rPr>
  </w:style>
  <w:style w:type="character" w:customStyle="1" w:styleId="CommentTextChar1">
    <w:name w:val="Comment Text Char1"/>
    <w:uiPriority w:val="99"/>
    <w:rsid w:val="000750A5"/>
    <w:rPr>
      <w:rFonts w:ascii="Courier New" w:hAnsi="Courier New" w:cs="Courier New"/>
    </w:rPr>
  </w:style>
  <w:style w:type="paragraph" w:customStyle="1" w:styleId="LightGrid-Accent31">
    <w:name w:val="Light Grid - Accent 31"/>
    <w:basedOn w:val="Normal"/>
    <w:uiPriority w:val="34"/>
    <w:qFormat/>
    <w:rsid w:val="008800A7"/>
    <w:pPr>
      <w:ind w:left="720"/>
    </w:pPr>
  </w:style>
  <w:style w:type="paragraph" w:styleId="DocumentMap">
    <w:name w:val="Document Map"/>
    <w:basedOn w:val="Normal"/>
    <w:link w:val="DocumentMapChar"/>
    <w:rsid w:val="008905EE"/>
    <w:rPr>
      <w:rFonts w:ascii="Tahoma" w:hAnsi="Tahoma"/>
      <w:sz w:val="16"/>
      <w:szCs w:val="16"/>
      <w:lang w:val="x-none" w:eastAsia="x-none"/>
    </w:rPr>
  </w:style>
  <w:style w:type="character" w:customStyle="1" w:styleId="DocumentMapChar">
    <w:name w:val="Document Map Char"/>
    <w:link w:val="DocumentMap"/>
    <w:rsid w:val="008905EE"/>
    <w:rPr>
      <w:rFonts w:ascii="Tahoma" w:hAnsi="Tahoma" w:cs="Tahoma"/>
      <w:sz w:val="16"/>
      <w:szCs w:val="16"/>
    </w:rPr>
  </w:style>
  <w:style w:type="paragraph" w:customStyle="1" w:styleId="LightGrid-Accent311">
    <w:name w:val="Light Grid - Accent 311"/>
    <w:basedOn w:val="Normal"/>
    <w:uiPriority w:val="34"/>
    <w:qFormat/>
    <w:rsid w:val="00B368FA"/>
    <w:pPr>
      <w:ind w:left="720"/>
    </w:pPr>
  </w:style>
  <w:style w:type="character" w:customStyle="1" w:styleId="Level2-GHGPreambleCharChar">
    <w:name w:val="_Level 2-GHG Preamble Char Char"/>
    <w:link w:val="Level2-GHGPreamble"/>
    <w:rsid w:val="008947BE"/>
    <w:rPr>
      <w:rFonts w:ascii="Courier New" w:hAnsi="Courier New" w:cs="Courier New"/>
      <w:b/>
      <w:sz w:val="24"/>
      <w:szCs w:val="24"/>
      <w:u w:val="single"/>
    </w:rPr>
  </w:style>
  <w:style w:type="paragraph" w:customStyle="1" w:styleId="MediumGrid1-Accent21">
    <w:name w:val="Medium Grid 1 - Accent 21"/>
    <w:basedOn w:val="Normal"/>
    <w:uiPriority w:val="34"/>
    <w:qFormat/>
    <w:rsid w:val="00455E56"/>
    <w:pPr>
      <w:ind w:left="720"/>
    </w:pPr>
  </w:style>
  <w:style w:type="paragraph" w:customStyle="1" w:styleId="Default">
    <w:name w:val="Default"/>
    <w:rsid w:val="00F9330A"/>
    <w:pPr>
      <w:autoSpaceDE w:val="0"/>
      <w:autoSpaceDN w:val="0"/>
      <w:adjustRightInd w:val="0"/>
    </w:pPr>
    <w:rPr>
      <w:color w:val="000000"/>
      <w:sz w:val="24"/>
      <w:szCs w:val="24"/>
    </w:rPr>
  </w:style>
  <w:style w:type="paragraph" w:customStyle="1" w:styleId="CM5">
    <w:name w:val="CM5"/>
    <w:basedOn w:val="Default"/>
    <w:next w:val="Default"/>
    <w:uiPriority w:val="99"/>
    <w:rsid w:val="00F9330A"/>
    <w:rPr>
      <w:color w:val="auto"/>
    </w:rPr>
  </w:style>
  <w:style w:type="paragraph" w:styleId="NormalWeb">
    <w:name w:val="Normal (Web)"/>
    <w:basedOn w:val="Normal"/>
    <w:uiPriority w:val="99"/>
    <w:unhideWhenUsed/>
    <w:rsid w:val="00312236"/>
    <w:pPr>
      <w:spacing w:before="100" w:beforeAutospacing="1" w:after="100" w:afterAutospacing="1"/>
    </w:pPr>
  </w:style>
  <w:style w:type="paragraph" w:customStyle="1" w:styleId="CM65">
    <w:name w:val="CM65"/>
    <w:basedOn w:val="Default"/>
    <w:next w:val="Default"/>
    <w:uiPriority w:val="99"/>
    <w:rsid w:val="00A4002D"/>
    <w:rPr>
      <w:rFonts w:ascii="Candara" w:hAnsi="Candara"/>
      <w:color w:val="auto"/>
    </w:rPr>
  </w:style>
  <w:style w:type="paragraph" w:customStyle="1" w:styleId="CM63">
    <w:name w:val="CM63"/>
    <w:basedOn w:val="Default"/>
    <w:next w:val="Default"/>
    <w:uiPriority w:val="99"/>
    <w:rsid w:val="00A4002D"/>
    <w:rPr>
      <w:rFonts w:ascii="Candara" w:hAnsi="Candara"/>
      <w:color w:val="auto"/>
    </w:rPr>
  </w:style>
  <w:style w:type="paragraph" w:customStyle="1" w:styleId="MediumList2-Accent21">
    <w:name w:val="Medium List 2 - Accent 21"/>
    <w:hidden/>
    <w:uiPriority w:val="99"/>
    <w:semiHidden/>
    <w:rsid w:val="00E87D73"/>
    <w:rPr>
      <w:sz w:val="24"/>
      <w:szCs w:val="24"/>
    </w:rPr>
  </w:style>
  <w:style w:type="character" w:customStyle="1" w:styleId="Heading2Char">
    <w:name w:val="Heading 2 Char"/>
    <w:link w:val="Heading2"/>
    <w:rsid w:val="007E7234"/>
    <w:rPr>
      <w:b/>
      <w:sz w:val="24"/>
      <w:szCs w:val="24"/>
    </w:rPr>
  </w:style>
  <w:style w:type="paragraph" w:customStyle="1" w:styleId="1">
    <w:name w:val="1"/>
    <w:basedOn w:val="Normal"/>
    <w:link w:val="1Char"/>
    <w:qFormat/>
    <w:rsid w:val="007E7234"/>
    <w:rPr>
      <w:b/>
      <w:lang w:val="x-none" w:eastAsia="x-none"/>
    </w:rPr>
  </w:style>
  <w:style w:type="character" w:customStyle="1" w:styleId="1Char">
    <w:name w:val="1 Char"/>
    <w:link w:val="1"/>
    <w:rsid w:val="007E7234"/>
    <w:rPr>
      <w:b/>
      <w:sz w:val="24"/>
      <w:szCs w:val="24"/>
    </w:rPr>
  </w:style>
  <w:style w:type="character" w:styleId="Emphasis">
    <w:name w:val="Emphasis"/>
    <w:qFormat/>
    <w:rsid w:val="007E7234"/>
    <w:rPr>
      <w:i/>
      <w:iCs/>
    </w:rPr>
  </w:style>
  <w:style w:type="paragraph" w:customStyle="1" w:styleId="ColorfulShading-Accent11">
    <w:name w:val="Colorful Shading - Accent 11"/>
    <w:hidden/>
    <w:uiPriority w:val="99"/>
    <w:semiHidden/>
    <w:rsid w:val="00F34D43"/>
    <w:rPr>
      <w:sz w:val="24"/>
      <w:szCs w:val="24"/>
    </w:rPr>
  </w:style>
  <w:style w:type="paragraph" w:styleId="ListParagraph">
    <w:name w:val="List Paragraph"/>
    <w:basedOn w:val="Normal"/>
    <w:uiPriority w:val="34"/>
    <w:qFormat/>
    <w:rsid w:val="0019341F"/>
    <w:pPr>
      <w:ind w:left="720"/>
      <w:contextualSpacing/>
    </w:pPr>
  </w:style>
  <w:style w:type="paragraph" w:styleId="Revision">
    <w:name w:val="Revision"/>
    <w:hidden/>
    <w:uiPriority w:val="99"/>
    <w:semiHidden/>
    <w:rsid w:val="001934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565">
      <w:bodyDiv w:val="1"/>
      <w:marLeft w:val="0"/>
      <w:marRight w:val="0"/>
      <w:marTop w:val="0"/>
      <w:marBottom w:val="0"/>
      <w:divBdr>
        <w:top w:val="none" w:sz="0" w:space="0" w:color="auto"/>
        <w:left w:val="none" w:sz="0" w:space="0" w:color="auto"/>
        <w:bottom w:val="none" w:sz="0" w:space="0" w:color="auto"/>
        <w:right w:val="none" w:sz="0" w:space="0" w:color="auto"/>
      </w:divBdr>
    </w:div>
    <w:div w:id="3434799">
      <w:bodyDiv w:val="1"/>
      <w:marLeft w:val="0"/>
      <w:marRight w:val="0"/>
      <w:marTop w:val="0"/>
      <w:marBottom w:val="0"/>
      <w:divBdr>
        <w:top w:val="none" w:sz="0" w:space="0" w:color="auto"/>
        <w:left w:val="none" w:sz="0" w:space="0" w:color="auto"/>
        <w:bottom w:val="none" w:sz="0" w:space="0" w:color="auto"/>
        <w:right w:val="none" w:sz="0" w:space="0" w:color="auto"/>
      </w:divBdr>
    </w:div>
    <w:div w:id="4986076">
      <w:bodyDiv w:val="1"/>
      <w:marLeft w:val="0"/>
      <w:marRight w:val="0"/>
      <w:marTop w:val="0"/>
      <w:marBottom w:val="0"/>
      <w:divBdr>
        <w:top w:val="none" w:sz="0" w:space="0" w:color="auto"/>
        <w:left w:val="none" w:sz="0" w:space="0" w:color="auto"/>
        <w:bottom w:val="none" w:sz="0" w:space="0" w:color="auto"/>
        <w:right w:val="none" w:sz="0" w:space="0" w:color="auto"/>
      </w:divBdr>
    </w:div>
    <w:div w:id="5791406">
      <w:bodyDiv w:val="1"/>
      <w:marLeft w:val="0"/>
      <w:marRight w:val="0"/>
      <w:marTop w:val="0"/>
      <w:marBottom w:val="0"/>
      <w:divBdr>
        <w:top w:val="none" w:sz="0" w:space="0" w:color="auto"/>
        <w:left w:val="none" w:sz="0" w:space="0" w:color="auto"/>
        <w:bottom w:val="none" w:sz="0" w:space="0" w:color="auto"/>
        <w:right w:val="none" w:sz="0" w:space="0" w:color="auto"/>
      </w:divBdr>
    </w:div>
    <w:div w:id="5863288">
      <w:bodyDiv w:val="1"/>
      <w:marLeft w:val="0"/>
      <w:marRight w:val="0"/>
      <w:marTop w:val="0"/>
      <w:marBottom w:val="0"/>
      <w:divBdr>
        <w:top w:val="none" w:sz="0" w:space="0" w:color="auto"/>
        <w:left w:val="none" w:sz="0" w:space="0" w:color="auto"/>
        <w:bottom w:val="none" w:sz="0" w:space="0" w:color="auto"/>
        <w:right w:val="none" w:sz="0" w:space="0" w:color="auto"/>
      </w:divBdr>
    </w:div>
    <w:div w:id="5863914">
      <w:bodyDiv w:val="1"/>
      <w:marLeft w:val="0"/>
      <w:marRight w:val="0"/>
      <w:marTop w:val="0"/>
      <w:marBottom w:val="0"/>
      <w:divBdr>
        <w:top w:val="none" w:sz="0" w:space="0" w:color="auto"/>
        <w:left w:val="none" w:sz="0" w:space="0" w:color="auto"/>
        <w:bottom w:val="none" w:sz="0" w:space="0" w:color="auto"/>
        <w:right w:val="none" w:sz="0" w:space="0" w:color="auto"/>
      </w:divBdr>
    </w:div>
    <w:div w:id="12461748">
      <w:bodyDiv w:val="1"/>
      <w:marLeft w:val="0"/>
      <w:marRight w:val="0"/>
      <w:marTop w:val="0"/>
      <w:marBottom w:val="0"/>
      <w:divBdr>
        <w:top w:val="none" w:sz="0" w:space="0" w:color="auto"/>
        <w:left w:val="none" w:sz="0" w:space="0" w:color="auto"/>
        <w:bottom w:val="none" w:sz="0" w:space="0" w:color="auto"/>
        <w:right w:val="none" w:sz="0" w:space="0" w:color="auto"/>
      </w:divBdr>
    </w:div>
    <w:div w:id="12995167">
      <w:bodyDiv w:val="1"/>
      <w:marLeft w:val="0"/>
      <w:marRight w:val="0"/>
      <w:marTop w:val="0"/>
      <w:marBottom w:val="0"/>
      <w:divBdr>
        <w:top w:val="none" w:sz="0" w:space="0" w:color="auto"/>
        <w:left w:val="none" w:sz="0" w:space="0" w:color="auto"/>
        <w:bottom w:val="none" w:sz="0" w:space="0" w:color="auto"/>
        <w:right w:val="none" w:sz="0" w:space="0" w:color="auto"/>
      </w:divBdr>
    </w:div>
    <w:div w:id="18161614">
      <w:bodyDiv w:val="1"/>
      <w:marLeft w:val="0"/>
      <w:marRight w:val="0"/>
      <w:marTop w:val="0"/>
      <w:marBottom w:val="0"/>
      <w:divBdr>
        <w:top w:val="none" w:sz="0" w:space="0" w:color="auto"/>
        <w:left w:val="none" w:sz="0" w:space="0" w:color="auto"/>
        <w:bottom w:val="none" w:sz="0" w:space="0" w:color="auto"/>
        <w:right w:val="none" w:sz="0" w:space="0" w:color="auto"/>
      </w:divBdr>
    </w:div>
    <w:div w:id="25913335">
      <w:bodyDiv w:val="1"/>
      <w:marLeft w:val="0"/>
      <w:marRight w:val="0"/>
      <w:marTop w:val="0"/>
      <w:marBottom w:val="0"/>
      <w:divBdr>
        <w:top w:val="none" w:sz="0" w:space="0" w:color="auto"/>
        <w:left w:val="none" w:sz="0" w:space="0" w:color="auto"/>
        <w:bottom w:val="none" w:sz="0" w:space="0" w:color="auto"/>
        <w:right w:val="none" w:sz="0" w:space="0" w:color="auto"/>
      </w:divBdr>
    </w:div>
    <w:div w:id="39941035">
      <w:bodyDiv w:val="1"/>
      <w:marLeft w:val="0"/>
      <w:marRight w:val="0"/>
      <w:marTop w:val="0"/>
      <w:marBottom w:val="0"/>
      <w:divBdr>
        <w:top w:val="none" w:sz="0" w:space="0" w:color="auto"/>
        <w:left w:val="none" w:sz="0" w:space="0" w:color="auto"/>
        <w:bottom w:val="none" w:sz="0" w:space="0" w:color="auto"/>
        <w:right w:val="none" w:sz="0" w:space="0" w:color="auto"/>
      </w:divBdr>
    </w:div>
    <w:div w:id="51659367">
      <w:bodyDiv w:val="1"/>
      <w:marLeft w:val="0"/>
      <w:marRight w:val="0"/>
      <w:marTop w:val="0"/>
      <w:marBottom w:val="0"/>
      <w:divBdr>
        <w:top w:val="none" w:sz="0" w:space="0" w:color="auto"/>
        <w:left w:val="none" w:sz="0" w:space="0" w:color="auto"/>
        <w:bottom w:val="none" w:sz="0" w:space="0" w:color="auto"/>
        <w:right w:val="none" w:sz="0" w:space="0" w:color="auto"/>
      </w:divBdr>
    </w:div>
    <w:div w:id="56707058">
      <w:bodyDiv w:val="1"/>
      <w:marLeft w:val="0"/>
      <w:marRight w:val="0"/>
      <w:marTop w:val="0"/>
      <w:marBottom w:val="0"/>
      <w:divBdr>
        <w:top w:val="none" w:sz="0" w:space="0" w:color="auto"/>
        <w:left w:val="none" w:sz="0" w:space="0" w:color="auto"/>
        <w:bottom w:val="none" w:sz="0" w:space="0" w:color="auto"/>
        <w:right w:val="none" w:sz="0" w:space="0" w:color="auto"/>
      </w:divBdr>
    </w:div>
    <w:div w:id="59866675">
      <w:bodyDiv w:val="1"/>
      <w:marLeft w:val="0"/>
      <w:marRight w:val="0"/>
      <w:marTop w:val="0"/>
      <w:marBottom w:val="0"/>
      <w:divBdr>
        <w:top w:val="none" w:sz="0" w:space="0" w:color="auto"/>
        <w:left w:val="none" w:sz="0" w:space="0" w:color="auto"/>
        <w:bottom w:val="none" w:sz="0" w:space="0" w:color="auto"/>
        <w:right w:val="none" w:sz="0" w:space="0" w:color="auto"/>
      </w:divBdr>
    </w:div>
    <w:div w:id="62723975">
      <w:bodyDiv w:val="1"/>
      <w:marLeft w:val="0"/>
      <w:marRight w:val="0"/>
      <w:marTop w:val="0"/>
      <w:marBottom w:val="0"/>
      <w:divBdr>
        <w:top w:val="none" w:sz="0" w:space="0" w:color="auto"/>
        <w:left w:val="none" w:sz="0" w:space="0" w:color="auto"/>
        <w:bottom w:val="none" w:sz="0" w:space="0" w:color="auto"/>
        <w:right w:val="none" w:sz="0" w:space="0" w:color="auto"/>
      </w:divBdr>
    </w:div>
    <w:div w:id="63841742">
      <w:bodyDiv w:val="1"/>
      <w:marLeft w:val="0"/>
      <w:marRight w:val="0"/>
      <w:marTop w:val="0"/>
      <w:marBottom w:val="0"/>
      <w:divBdr>
        <w:top w:val="none" w:sz="0" w:space="0" w:color="auto"/>
        <w:left w:val="none" w:sz="0" w:space="0" w:color="auto"/>
        <w:bottom w:val="none" w:sz="0" w:space="0" w:color="auto"/>
        <w:right w:val="none" w:sz="0" w:space="0" w:color="auto"/>
      </w:divBdr>
    </w:div>
    <w:div w:id="67657020">
      <w:bodyDiv w:val="1"/>
      <w:marLeft w:val="0"/>
      <w:marRight w:val="0"/>
      <w:marTop w:val="0"/>
      <w:marBottom w:val="0"/>
      <w:divBdr>
        <w:top w:val="none" w:sz="0" w:space="0" w:color="auto"/>
        <w:left w:val="none" w:sz="0" w:space="0" w:color="auto"/>
        <w:bottom w:val="none" w:sz="0" w:space="0" w:color="auto"/>
        <w:right w:val="none" w:sz="0" w:space="0" w:color="auto"/>
      </w:divBdr>
    </w:div>
    <w:div w:id="68236782">
      <w:bodyDiv w:val="1"/>
      <w:marLeft w:val="0"/>
      <w:marRight w:val="0"/>
      <w:marTop w:val="0"/>
      <w:marBottom w:val="0"/>
      <w:divBdr>
        <w:top w:val="none" w:sz="0" w:space="0" w:color="auto"/>
        <w:left w:val="none" w:sz="0" w:space="0" w:color="auto"/>
        <w:bottom w:val="none" w:sz="0" w:space="0" w:color="auto"/>
        <w:right w:val="none" w:sz="0" w:space="0" w:color="auto"/>
      </w:divBdr>
    </w:div>
    <w:div w:id="69621621">
      <w:bodyDiv w:val="1"/>
      <w:marLeft w:val="0"/>
      <w:marRight w:val="0"/>
      <w:marTop w:val="0"/>
      <w:marBottom w:val="0"/>
      <w:divBdr>
        <w:top w:val="none" w:sz="0" w:space="0" w:color="auto"/>
        <w:left w:val="none" w:sz="0" w:space="0" w:color="auto"/>
        <w:bottom w:val="none" w:sz="0" w:space="0" w:color="auto"/>
        <w:right w:val="none" w:sz="0" w:space="0" w:color="auto"/>
      </w:divBdr>
    </w:div>
    <w:div w:id="76677849">
      <w:bodyDiv w:val="1"/>
      <w:marLeft w:val="0"/>
      <w:marRight w:val="0"/>
      <w:marTop w:val="0"/>
      <w:marBottom w:val="0"/>
      <w:divBdr>
        <w:top w:val="none" w:sz="0" w:space="0" w:color="auto"/>
        <w:left w:val="none" w:sz="0" w:space="0" w:color="auto"/>
        <w:bottom w:val="none" w:sz="0" w:space="0" w:color="auto"/>
        <w:right w:val="none" w:sz="0" w:space="0" w:color="auto"/>
      </w:divBdr>
    </w:div>
    <w:div w:id="80807584">
      <w:bodyDiv w:val="1"/>
      <w:marLeft w:val="0"/>
      <w:marRight w:val="0"/>
      <w:marTop w:val="0"/>
      <w:marBottom w:val="0"/>
      <w:divBdr>
        <w:top w:val="none" w:sz="0" w:space="0" w:color="auto"/>
        <w:left w:val="none" w:sz="0" w:space="0" w:color="auto"/>
        <w:bottom w:val="none" w:sz="0" w:space="0" w:color="auto"/>
        <w:right w:val="none" w:sz="0" w:space="0" w:color="auto"/>
      </w:divBdr>
    </w:div>
    <w:div w:id="81683114">
      <w:bodyDiv w:val="1"/>
      <w:marLeft w:val="0"/>
      <w:marRight w:val="0"/>
      <w:marTop w:val="0"/>
      <w:marBottom w:val="0"/>
      <w:divBdr>
        <w:top w:val="none" w:sz="0" w:space="0" w:color="auto"/>
        <w:left w:val="none" w:sz="0" w:space="0" w:color="auto"/>
        <w:bottom w:val="none" w:sz="0" w:space="0" w:color="auto"/>
        <w:right w:val="none" w:sz="0" w:space="0" w:color="auto"/>
      </w:divBdr>
    </w:div>
    <w:div w:id="94175796">
      <w:bodyDiv w:val="1"/>
      <w:marLeft w:val="0"/>
      <w:marRight w:val="0"/>
      <w:marTop w:val="0"/>
      <w:marBottom w:val="0"/>
      <w:divBdr>
        <w:top w:val="none" w:sz="0" w:space="0" w:color="auto"/>
        <w:left w:val="none" w:sz="0" w:space="0" w:color="auto"/>
        <w:bottom w:val="none" w:sz="0" w:space="0" w:color="auto"/>
        <w:right w:val="none" w:sz="0" w:space="0" w:color="auto"/>
      </w:divBdr>
    </w:div>
    <w:div w:id="107824837">
      <w:bodyDiv w:val="1"/>
      <w:marLeft w:val="0"/>
      <w:marRight w:val="0"/>
      <w:marTop w:val="0"/>
      <w:marBottom w:val="0"/>
      <w:divBdr>
        <w:top w:val="none" w:sz="0" w:space="0" w:color="auto"/>
        <w:left w:val="none" w:sz="0" w:space="0" w:color="auto"/>
        <w:bottom w:val="none" w:sz="0" w:space="0" w:color="auto"/>
        <w:right w:val="none" w:sz="0" w:space="0" w:color="auto"/>
      </w:divBdr>
    </w:div>
    <w:div w:id="118840255">
      <w:bodyDiv w:val="1"/>
      <w:marLeft w:val="0"/>
      <w:marRight w:val="0"/>
      <w:marTop w:val="0"/>
      <w:marBottom w:val="0"/>
      <w:divBdr>
        <w:top w:val="none" w:sz="0" w:space="0" w:color="auto"/>
        <w:left w:val="none" w:sz="0" w:space="0" w:color="auto"/>
        <w:bottom w:val="none" w:sz="0" w:space="0" w:color="auto"/>
        <w:right w:val="none" w:sz="0" w:space="0" w:color="auto"/>
      </w:divBdr>
    </w:div>
    <w:div w:id="125317425">
      <w:bodyDiv w:val="1"/>
      <w:marLeft w:val="0"/>
      <w:marRight w:val="0"/>
      <w:marTop w:val="0"/>
      <w:marBottom w:val="0"/>
      <w:divBdr>
        <w:top w:val="none" w:sz="0" w:space="0" w:color="auto"/>
        <w:left w:val="none" w:sz="0" w:space="0" w:color="auto"/>
        <w:bottom w:val="none" w:sz="0" w:space="0" w:color="auto"/>
        <w:right w:val="none" w:sz="0" w:space="0" w:color="auto"/>
      </w:divBdr>
    </w:div>
    <w:div w:id="127016276">
      <w:bodyDiv w:val="1"/>
      <w:marLeft w:val="0"/>
      <w:marRight w:val="0"/>
      <w:marTop w:val="0"/>
      <w:marBottom w:val="0"/>
      <w:divBdr>
        <w:top w:val="none" w:sz="0" w:space="0" w:color="auto"/>
        <w:left w:val="none" w:sz="0" w:space="0" w:color="auto"/>
        <w:bottom w:val="none" w:sz="0" w:space="0" w:color="auto"/>
        <w:right w:val="none" w:sz="0" w:space="0" w:color="auto"/>
      </w:divBdr>
    </w:div>
    <w:div w:id="131220713">
      <w:bodyDiv w:val="1"/>
      <w:marLeft w:val="0"/>
      <w:marRight w:val="0"/>
      <w:marTop w:val="0"/>
      <w:marBottom w:val="0"/>
      <w:divBdr>
        <w:top w:val="none" w:sz="0" w:space="0" w:color="auto"/>
        <w:left w:val="none" w:sz="0" w:space="0" w:color="auto"/>
        <w:bottom w:val="none" w:sz="0" w:space="0" w:color="auto"/>
        <w:right w:val="none" w:sz="0" w:space="0" w:color="auto"/>
      </w:divBdr>
    </w:div>
    <w:div w:id="133835786">
      <w:bodyDiv w:val="1"/>
      <w:marLeft w:val="0"/>
      <w:marRight w:val="0"/>
      <w:marTop w:val="0"/>
      <w:marBottom w:val="0"/>
      <w:divBdr>
        <w:top w:val="none" w:sz="0" w:space="0" w:color="auto"/>
        <w:left w:val="none" w:sz="0" w:space="0" w:color="auto"/>
        <w:bottom w:val="none" w:sz="0" w:space="0" w:color="auto"/>
        <w:right w:val="none" w:sz="0" w:space="0" w:color="auto"/>
      </w:divBdr>
    </w:div>
    <w:div w:id="134487876">
      <w:bodyDiv w:val="1"/>
      <w:marLeft w:val="0"/>
      <w:marRight w:val="0"/>
      <w:marTop w:val="0"/>
      <w:marBottom w:val="0"/>
      <w:divBdr>
        <w:top w:val="none" w:sz="0" w:space="0" w:color="auto"/>
        <w:left w:val="none" w:sz="0" w:space="0" w:color="auto"/>
        <w:bottom w:val="none" w:sz="0" w:space="0" w:color="auto"/>
        <w:right w:val="none" w:sz="0" w:space="0" w:color="auto"/>
      </w:divBdr>
    </w:div>
    <w:div w:id="159082057">
      <w:bodyDiv w:val="1"/>
      <w:marLeft w:val="0"/>
      <w:marRight w:val="0"/>
      <w:marTop w:val="0"/>
      <w:marBottom w:val="0"/>
      <w:divBdr>
        <w:top w:val="none" w:sz="0" w:space="0" w:color="auto"/>
        <w:left w:val="none" w:sz="0" w:space="0" w:color="auto"/>
        <w:bottom w:val="none" w:sz="0" w:space="0" w:color="auto"/>
        <w:right w:val="none" w:sz="0" w:space="0" w:color="auto"/>
      </w:divBdr>
    </w:div>
    <w:div w:id="167411230">
      <w:bodyDiv w:val="1"/>
      <w:marLeft w:val="0"/>
      <w:marRight w:val="0"/>
      <w:marTop w:val="0"/>
      <w:marBottom w:val="0"/>
      <w:divBdr>
        <w:top w:val="none" w:sz="0" w:space="0" w:color="auto"/>
        <w:left w:val="none" w:sz="0" w:space="0" w:color="auto"/>
        <w:bottom w:val="none" w:sz="0" w:space="0" w:color="auto"/>
        <w:right w:val="none" w:sz="0" w:space="0" w:color="auto"/>
      </w:divBdr>
    </w:div>
    <w:div w:id="179055013">
      <w:bodyDiv w:val="1"/>
      <w:marLeft w:val="0"/>
      <w:marRight w:val="0"/>
      <w:marTop w:val="0"/>
      <w:marBottom w:val="0"/>
      <w:divBdr>
        <w:top w:val="none" w:sz="0" w:space="0" w:color="auto"/>
        <w:left w:val="none" w:sz="0" w:space="0" w:color="auto"/>
        <w:bottom w:val="none" w:sz="0" w:space="0" w:color="auto"/>
        <w:right w:val="none" w:sz="0" w:space="0" w:color="auto"/>
      </w:divBdr>
    </w:div>
    <w:div w:id="188179310">
      <w:bodyDiv w:val="1"/>
      <w:marLeft w:val="0"/>
      <w:marRight w:val="0"/>
      <w:marTop w:val="0"/>
      <w:marBottom w:val="0"/>
      <w:divBdr>
        <w:top w:val="none" w:sz="0" w:space="0" w:color="auto"/>
        <w:left w:val="none" w:sz="0" w:space="0" w:color="auto"/>
        <w:bottom w:val="none" w:sz="0" w:space="0" w:color="auto"/>
        <w:right w:val="none" w:sz="0" w:space="0" w:color="auto"/>
      </w:divBdr>
    </w:div>
    <w:div w:id="190918493">
      <w:bodyDiv w:val="1"/>
      <w:marLeft w:val="0"/>
      <w:marRight w:val="0"/>
      <w:marTop w:val="0"/>
      <w:marBottom w:val="0"/>
      <w:divBdr>
        <w:top w:val="none" w:sz="0" w:space="0" w:color="auto"/>
        <w:left w:val="none" w:sz="0" w:space="0" w:color="auto"/>
        <w:bottom w:val="none" w:sz="0" w:space="0" w:color="auto"/>
        <w:right w:val="none" w:sz="0" w:space="0" w:color="auto"/>
      </w:divBdr>
    </w:div>
    <w:div w:id="214052231">
      <w:bodyDiv w:val="1"/>
      <w:marLeft w:val="0"/>
      <w:marRight w:val="0"/>
      <w:marTop w:val="0"/>
      <w:marBottom w:val="0"/>
      <w:divBdr>
        <w:top w:val="none" w:sz="0" w:space="0" w:color="auto"/>
        <w:left w:val="none" w:sz="0" w:space="0" w:color="auto"/>
        <w:bottom w:val="none" w:sz="0" w:space="0" w:color="auto"/>
        <w:right w:val="none" w:sz="0" w:space="0" w:color="auto"/>
      </w:divBdr>
    </w:div>
    <w:div w:id="219173897">
      <w:bodyDiv w:val="1"/>
      <w:marLeft w:val="0"/>
      <w:marRight w:val="0"/>
      <w:marTop w:val="0"/>
      <w:marBottom w:val="0"/>
      <w:divBdr>
        <w:top w:val="none" w:sz="0" w:space="0" w:color="auto"/>
        <w:left w:val="none" w:sz="0" w:space="0" w:color="auto"/>
        <w:bottom w:val="none" w:sz="0" w:space="0" w:color="auto"/>
        <w:right w:val="none" w:sz="0" w:space="0" w:color="auto"/>
      </w:divBdr>
    </w:div>
    <w:div w:id="223879966">
      <w:bodyDiv w:val="1"/>
      <w:marLeft w:val="0"/>
      <w:marRight w:val="0"/>
      <w:marTop w:val="0"/>
      <w:marBottom w:val="0"/>
      <w:divBdr>
        <w:top w:val="none" w:sz="0" w:space="0" w:color="auto"/>
        <w:left w:val="none" w:sz="0" w:space="0" w:color="auto"/>
        <w:bottom w:val="none" w:sz="0" w:space="0" w:color="auto"/>
        <w:right w:val="none" w:sz="0" w:space="0" w:color="auto"/>
      </w:divBdr>
    </w:div>
    <w:div w:id="247005270">
      <w:bodyDiv w:val="1"/>
      <w:marLeft w:val="0"/>
      <w:marRight w:val="0"/>
      <w:marTop w:val="0"/>
      <w:marBottom w:val="0"/>
      <w:divBdr>
        <w:top w:val="none" w:sz="0" w:space="0" w:color="auto"/>
        <w:left w:val="none" w:sz="0" w:space="0" w:color="auto"/>
        <w:bottom w:val="none" w:sz="0" w:space="0" w:color="auto"/>
        <w:right w:val="none" w:sz="0" w:space="0" w:color="auto"/>
      </w:divBdr>
    </w:div>
    <w:div w:id="256597176">
      <w:bodyDiv w:val="1"/>
      <w:marLeft w:val="0"/>
      <w:marRight w:val="0"/>
      <w:marTop w:val="0"/>
      <w:marBottom w:val="0"/>
      <w:divBdr>
        <w:top w:val="none" w:sz="0" w:space="0" w:color="auto"/>
        <w:left w:val="none" w:sz="0" w:space="0" w:color="auto"/>
        <w:bottom w:val="none" w:sz="0" w:space="0" w:color="auto"/>
        <w:right w:val="none" w:sz="0" w:space="0" w:color="auto"/>
      </w:divBdr>
    </w:div>
    <w:div w:id="264270522">
      <w:bodyDiv w:val="1"/>
      <w:marLeft w:val="0"/>
      <w:marRight w:val="0"/>
      <w:marTop w:val="0"/>
      <w:marBottom w:val="0"/>
      <w:divBdr>
        <w:top w:val="none" w:sz="0" w:space="0" w:color="auto"/>
        <w:left w:val="none" w:sz="0" w:space="0" w:color="auto"/>
        <w:bottom w:val="none" w:sz="0" w:space="0" w:color="auto"/>
        <w:right w:val="none" w:sz="0" w:space="0" w:color="auto"/>
      </w:divBdr>
    </w:div>
    <w:div w:id="267278124">
      <w:bodyDiv w:val="1"/>
      <w:marLeft w:val="0"/>
      <w:marRight w:val="0"/>
      <w:marTop w:val="0"/>
      <w:marBottom w:val="0"/>
      <w:divBdr>
        <w:top w:val="none" w:sz="0" w:space="0" w:color="auto"/>
        <w:left w:val="none" w:sz="0" w:space="0" w:color="auto"/>
        <w:bottom w:val="none" w:sz="0" w:space="0" w:color="auto"/>
        <w:right w:val="none" w:sz="0" w:space="0" w:color="auto"/>
      </w:divBdr>
    </w:div>
    <w:div w:id="279606586">
      <w:bodyDiv w:val="1"/>
      <w:marLeft w:val="0"/>
      <w:marRight w:val="0"/>
      <w:marTop w:val="0"/>
      <w:marBottom w:val="0"/>
      <w:divBdr>
        <w:top w:val="none" w:sz="0" w:space="0" w:color="auto"/>
        <w:left w:val="none" w:sz="0" w:space="0" w:color="auto"/>
        <w:bottom w:val="none" w:sz="0" w:space="0" w:color="auto"/>
        <w:right w:val="none" w:sz="0" w:space="0" w:color="auto"/>
      </w:divBdr>
    </w:div>
    <w:div w:id="284120104">
      <w:bodyDiv w:val="1"/>
      <w:marLeft w:val="0"/>
      <w:marRight w:val="0"/>
      <w:marTop w:val="0"/>
      <w:marBottom w:val="0"/>
      <w:divBdr>
        <w:top w:val="none" w:sz="0" w:space="0" w:color="auto"/>
        <w:left w:val="none" w:sz="0" w:space="0" w:color="auto"/>
        <w:bottom w:val="none" w:sz="0" w:space="0" w:color="auto"/>
        <w:right w:val="none" w:sz="0" w:space="0" w:color="auto"/>
      </w:divBdr>
    </w:div>
    <w:div w:id="305279491">
      <w:bodyDiv w:val="1"/>
      <w:marLeft w:val="0"/>
      <w:marRight w:val="0"/>
      <w:marTop w:val="0"/>
      <w:marBottom w:val="0"/>
      <w:divBdr>
        <w:top w:val="none" w:sz="0" w:space="0" w:color="auto"/>
        <w:left w:val="none" w:sz="0" w:space="0" w:color="auto"/>
        <w:bottom w:val="none" w:sz="0" w:space="0" w:color="auto"/>
        <w:right w:val="none" w:sz="0" w:space="0" w:color="auto"/>
      </w:divBdr>
    </w:div>
    <w:div w:id="307714537">
      <w:bodyDiv w:val="1"/>
      <w:marLeft w:val="0"/>
      <w:marRight w:val="0"/>
      <w:marTop w:val="0"/>
      <w:marBottom w:val="0"/>
      <w:divBdr>
        <w:top w:val="none" w:sz="0" w:space="0" w:color="auto"/>
        <w:left w:val="none" w:sz="0" w:space="0" w:color="auto"/>
        <w:bottom w:val="none" w:sz="0" w:space="0" w:color="auto"/>
        <w:right w:val="none" w:sz="0" w:space="0" w:color="auto"/>
      </w:divBdr>
    </w:div>
    <w:div w:id="307978220">
      <w:bodyDiv w:val="1"/>
      <w:marLeft w:val="0"/>
      <w:marRight w:val="0"/>
      <w:marTop w:val="0"/>
      <w:marBottom w:val="0"/>
      <w:divBdr>
        <w:top w:val="none" w:sz="0" w:space="0" w:color="auto"/>
        <w:left w:val="none" w:sz="0" w:space="0" w:color="auto"/>
        <w:bottom w:val="none" w:sz="0" w:space="0" w:color="auto"/>
        <w:right w:val="none" w:sz="0" w:space="0" w:color="auto"/>
      </w:divBdr>
    </w:div>
    <w:div w:id="322584708">
      <w:bodyDiv w:val="1"/>
      <w:marLeft w:val="0"/>
      <w:marRight w:val="0"/>
      <w:marTop w:val="0"/>
      <w:marBottom w:val="0"/>
      <w:divBdr>
        <w:top w:val="none" w:sz="0" w:space="0" w:color="auto"/>
        <w:left w:val="none" w:sz="0" w:space="0" w:color="auto"/>
        <w:bottom w:val="none" w:sz="0" w:space="0" w:color="auto"/>
        <w:right w:val="none" w:sz="0" w:space="0" w:color="auto"/>
      </w:divBdr>
    </w:div>
    <w:div w:id="331225046">
      <w:bodyDiv w:val="1"/>
      <w:marLeft w:val="0"/>
      <w:marRight w:val="0"/>
      <w:marTop w:val="0"/>
      <w:marBottom w:val="0"/>
      <w:divBdr>
        <w:top w:val="none" w:sz="0" w:space="0" w:color="auto"/>
        <w:left w:val="none" w:sz="0" w:space="0" w:color="auto"/>
        <w:bottom w:val="none" w:sz="0" w:space="0" w:color="auto"/>
        <w:right w:val="none" w:sz="0" w:space="0" w:color="auto"/>
      </w:divBdr>
    </w:div>
    <w:div w:id="339891167">
      <w:bodyDiv w:val="1"/>
      <w:marLeft w:val="0"/>
      <w:marRight w:val="0"/>
      <w:marTop w:val="0"/>
      <w:marBottom w:val="0"/>
      <w:divBdr>
        <w:top w:val="none" w:sz="0" w:space="0" w:color="auto"/>
        <w:left w:val="none" w:sz="0" w:space="0" w:color="auto"/>
        <w:bottom w:val="none" w:sz="0" w:space="0" w:color="auto"/>
        <w:right w:val="none" w:sz="0" w:space="0" w:color="auto"/>
      </w:divBdr>
    </w:div>
    <w:div w:id="342368275">
      <w:bodyDiv w:val="1"/>
      <w:marLeft w:val="0"/>
      <w:marRight w:val="0"/>
      <w:marTop w:val="0"/>
      <w:marBottom w:val="0"/>
      <w:divBdr>
        <w:top w:val="none" w:sz="0" w:space="0" w:color="auto"/>
        <w:left w:val="none" w:sz="0" w:space="0" w:color="auto"/>
        <w:bottom w:val="none" w:sz="0" w:space="0" w:color="auto"/>
        <w:right w:val="none" w:sz="0" w:space="0" w:color="auto"/>
      </w:divBdr>
    </w:div>
    <w:div w:id="355809236">
      <w:bodyDiv w:val="1"/>
      <w:marLeft w:val="0"/>
      <w:marRight w:val="0"/>
      <w:marTop w:val="0"/>
      <w:marBottom w:val="0"/>
      <w:divBdr>
        <w:top w:val="none" w:sz="0" w:space="0" w:color="auto"/>
        <w:left w:val="none" w:sz="0" w:space="0" w:color="auto"/>
        <w:bottom w:val="none" w:sz="0" w:space="0" w:color="auto"/>
        <w:right w:val="none" w:sz="0" w:space="0" w:color="auto"/>
      </w:divBdr>
    </w:div>
    <w:div w:id="383061509">
      <w:bodyDiv w:val="1"/>
      <w:marLeft w:val="0"/>
      <w:marRight w:val="0"/>
      <w:marTop w:val="0"/>
      <w:marBottom w:val="0"/>
      <w:divBdr>
        <w:top w:val="none" w:sz="0" w:space="0" w:color="auto"/>
        <w:left w:val="none" w:sz="0" w:space="0" w:color="auto"/>
        <w:bottom w:val="none" w:sz="0" w:space="0" w:color="auto"/>
        <w:right w:val="none" w:sz="0" w:space="0" w:color="auto"/>
      </w:divBdr>
    </w:div>
    <w:div w:id="389769325">
      <w:bodyDiv w:val="1"/>
      <w:marLeft w:val="0"/>
      <w:marRight w:val="0"/>
      <w:marTop w:val="0"/>
      <w:marBottom w:val="0"/>
      <w:divBdr>
        <w:top w:val="none" w:sz="0" w:space="0" w:color="auto"/>
        <w:left w:val="none" w:sz="0" w:space="0" w:color="auto"/>
        <w:bottom w:val="none" w:sz="0" w:space="0" w:color="auto"/>
        <w:right w:val="none" w:sz="0" w:space="0" w:color="auto"/>
      </w:divBdr>
    </w:div>
    <w:div w:id="417865721">
      <w:bodyDiv w:val="1"/>
      <w:marLeft w:val="0"/>
      <w:marRight w:val="0"/>
      <w:marTop w:val="0"/>
      <w:marBottom w:val="0"/>
      <w:divBdr>
        <w:top w:val="none" w:sz="0" w:space="0" w:color="auto"/>
        <w:left w:val="none" w:sz="0" w:space="0" w:color="auto"/>
        <w:bottom w:val="none" w:sz="0" w:space="0" w:color="auto"/>
        <w:right w:val="none" w:sz="0" w:space="0" w:color="auto"/>
      </w:divBdr>
    </w:div>
    <w:div w:id="422798880">
      <w:bodyDiv w:val="1"/>
      <w:marLeft w:val="0"/>
      <w:marRight w:val="5"/>
      <w:marTop w:val="0"/>
      <w:marBottom w:val="543"/>
      <w:divBdr>
        <w:top w:val="none" w:sz="0" w:space="0" w:color="auto"/>
        <w:left w:val="none" w:sz="0" w:space="0" w:color="auto"/>
        <w:bottom w:val="none" w:sz="0" w:space="0" w:color="auto"/>
        <w:right w:val="none" w:sz="0" w:space="0" w:color="auto"/>
      </w:divBdr>
      <w:divsChild>
        <w:div w:id="50925366">
          <w:marLeft w:val="2051"/>
          <w:marRight w:val="0"/>
          <w:marTop w:val="408"/>
          <w:marBottom w:val="272"/>
          <w:divBdr>
            <w:top w:val="none" w:sz="0" w:space="0" w:color="auto"/>
            <w:left w:val="none" w:sz="0" w:space="0" w:color="auto"/>
            <w:bottom w:val="none" w:sz="0" w:space="0" w:color="auto"/>
            <w:right w:val="none" w:sz="0" w:space="0" w:color="auto"/>
          </w:divBdr>
        </w:div>
      </w:divsChild>
    </w:div>
    <w:div w:id="426342283">
      <w:bodyDiv w:val="1"/>
      <w:marLeft w:val="0"/>
      <w:marRight w:val="0"/>
      <w:marTop w:val="0"/>
      <w:marBottom w:val="0"/>
      <w:divBdr>
        <w:top w:val="none" w:sz="0" w:space="0" w:color="auto"/>
        <w:left w:val="none" w:sz="0" w:space="0" w:color="auto"/>
        <w:bottom w:val="none" w:sz="0" w:space="0" w:color="auto"/>
        <w:right w:val="none" w:sz="0" w:space="0" w:color="auto"/>
      </w:divBdr>
    </w:div>
    <w:div w:id="432746852">
      <w:bodyDiv w:val="1"/>
      <w:marLeft w:val="0"/>
      <w:marRight w:val="0"/>
      <w:marTop w:val="0"/>
      <w:marBottom w:val="0"/>
      <w:divBdr>
        <w:top w:val="none" w:sz="0" w:space="0" w:color="auto"/>
        <w:left w:val="none" w:sz="0" w:space="0" w:color="auto"/>
        <w:bottom w:val="none" w:sz="0" w:space="0" w:color="auto"/>
        <w:right w:val="none" w:sz="0" w:space="0" w:color="auto"/>
      </w:divBdr>
    </w:div>
    <w:div w:id="435949002">
      <w:bodyDiv w:val="1"/>
      <w:marLeft w:val="0"/>
      <w:marRight w:val="0"/>
      <w:marTop w:val="0"/>
      <w:marBottom w:val="0"/>
      <w:divBdr>
        <w:top w:val="none" w:sz="0" w:space="0" w:color="auto"/>
        <w:left w:val="none" w:sz="0" w:space="0" w:color="auto"/>
        <w:bottom w:val="none" w:sz="0" w:space="0" w:color="auto"/>
        <w:right w:val="none" w:sz="0" w:space="0" w:color="auto"/>
      </w:divBdr>
    </w:div>
    <w:div w:id="448091735">
      <w:bodyDiv w:val="1"/>
      <w:marLeft w:val="0"/>
      <w:marRight w:val="0"/>
      <w:marTop w:val="0"/>
      <w:marBottom w:val="0"/>
      <w:divBdr>
        <w:top w:val="none" w:sz="0" w:space="0" w:color="auto"/>
        <w:left w:val="none" w:sz="0" w:space="0" w:color="auto"/>
        <w:bottom w:val="none" w:sz="0" w:space="0" w:color="auto"/>
        <w:right w:val="none" w:sz="0" w:space="0" w:color="auto"/>
      </w:divBdr>
    </w:div>
    <w:div w:id="448158559">
      <w:bodyDiv w:val="1"/>
      <w:marLeft w:val="0"/>
      <w:marRight w:val="5"/>
      <w:marTop w:val="0"/>
      <w:marBottom w:val="670"/>
      <w:divBdr>
        <w:top w:val="none" w:sz="0" w:space="0" w:color="auto"/>
        <w:left w:val="none" w:sz="0" w:space="0" w:color="auto"/>
        <w:bottom w:val="none" w:sz="0" w:space="0" w:color="auto"/>
        <w:right w:val="none" w:sz="0" w:space="0" w:color="auto"/>
      </w:divBdr>
      <w:divsChild>
        <w:div w:id="1121388145">
          <w:marLeft w:val="2528"/>
          <w:marRight w:val="0"/>
          <w:marTop w:val="502"/>
          <w:marBottom w:val="335"/>
          <w:divBdr>
            <w:top w:val="none" w:sz="0" w:space="0" w:color="auto"/>
            <w:left w:val="none" w:sz="0" w:space="0" w:color="auto"/>
            <w:bottom w:val="none" w:sz="0" w:space="0" w:color="auto"/>
            <w:right w:val="none" w:sz="0" w:space="0" w:color="auto"/>
          </w:divBdr>
        </w:div>
      </w:divsChild>
    </w:div>
    <w:div w:id="448283061">
      <w:bodyDiv w:val="1"/>
      <w:marLeft w:val="0"/>
      <w:marRight w:val="0"/>
      <w:marTop w:val="0"/>
      <w:marBottom w:val="0"/>
      <w:divBdr>
        <w:top w:val="none" w:sz="0" w:space="0" w:color="auto"/>
        <w:left w:val="none" w:sz="0" w:space="0" w:color="auto"/>
        <w:bottom w:val="none" w:sz="0" w:space="0" w:color="auto"/>
        <w:right w:val="none" w:sz="0" w:space="0" w:color="auto"/>
      </w:divBdr>
    </w:div>
    <w:div w:id="449014365">
      <w:bodyDiv w:val="1"/>
      <w:marLeft w:val="0"/>
      <w:marRight w:val="0"/>
      <w:marTop w:val="0"/>
      <w:marBottom w:val="0"/>
      <w:divBdr>
        <w:top w:val="none" w:sz="0" w:space="0" w:color="auto"/>
        <w:left w:val="none" w:sz="0" w:space="0" w:color="auto"/>
        <w:bottom w:val="none" w:sz="0" w:space="0" w:color="auto"/>
        <w:right w:val="none" w:sz="0" w:space="0" w:color="auto"/>
      </w:divBdr>
    </w:div>
    <w:div w:id="451630613">
      <w:bodyDiv w:val="1"/>
      <w:marLeft w:val="0"/>
      <w:marRight w:val="0"/>
      <w:marTop w:val="0"/>
      <w:marBottom w:val="0"/>
      <w:divBdr>
        <w:top w:val="none" w:sz="0" w:space="0" w:color="auto"/>
        <w:left w:val="none" w:sz="0" w:space="0" w:color="auto"/>
        <w:bottom w:val="none" w:sz="0" w:space="0" w:color="auto"/>
        <w:right w:val="none" w:sz="0" w:space="0" w:color="auto"/>
      </w:divBdr>
    </w:div>
    <w:div w:id="464126693">
      <w:bodyDiv w:val="1"/>
      <w:marLeft w:val="0"/>
      <w:marRight w:val="0"/>
      <w:marTop w:val="0"/>
      <w:marBottom w:val="0"/>
      <w:divBdr>
        <w:top w:val="none" w:sz="0" w:space="0" w:color="auto"/>
        <w:left w:val="none" w:sz="0" w:space="0" w:color="auto"/>
        <w:bottom w:val="none" w:sz="0" w:space="0" w:color="auto"/>
        <w:right w:val="none" w:sz="0" w:space="0" w:color="auto"/>
      </w:divBdr>
    </w:div>
    <w:div w:id="469053146">
      <w:bodyDiv w:val="1"/>
      <w:marLeft w:val="0"/>
      <w:marRight w:val="0"/>
      <w:marTop w:val="0"/>
      <w:marBottom w:val="0"/>
      <w:divBdr>
        <w:top w:val="none" w:sz="0" w:space="0" w:color="auto"/>
        <w:left w:val="none" w:sz="0" w:space="0" w:color="auto"/>
        <w:bottom w:val="none" w:sz="0" w:space="0" w:color="auto"/>
        <w:right w:val="none" w:sz="0" w:space="0" w:color="auto"/>
      </w:divBdr>
    </w:div>
    <w:div w:id="491915957">
      <w:bodyDiv w:val="1"/>
      <w:marLeft w:val="0"/>
      <w:marRight w:val="0"/>
      <w:marTop w:val="0"/>
      <w:marBottom w:val="0"/>
      <w:divBdr>
        <w:top w:val="none" w:sz="0" w:space="0" w:color="auto"/>
        <w:left w:val="none" w:sz="0" w:space="0" w:color="auto"/>
        <w:bottom w:val="none" w:sz="0" w:space="0" w:color="auto"/>
        <w:right w:val="none" w:sz="0" w:space="0" w:color="auto"/>
      </w:divBdr>
    </w:div>
    <w:div w:id="512500599">
      <w:bodyDiv w:val="1"/>
      <w:marLeft w:val="0"/>
      <w:marRight w:val="0"/>
      <w:marTop w:val="0"/>
      <w:marBottom w:val="0"/>
      <w:divBdr>
        <w:top w:val="none" w:sz="0" w:space="0" w:color="auto"/>
        <w:left w:val="none" w:sz="0" w:space="0" w:color="auto"/>
        <w:bottom w:val="none" w:sz="0" w:space="0" w:color="auto"/>
        <w:right w:val="none" w:sz="0" w:space="0" w:color="auto"/>
      </w:divBdr>
    </w:div>
    <w:div w:id="516700385">
      <w:bodyDiv w:val="1"/>
      <w:marLeft w:val="0"/>
      <w:marRight w:val="0"/>
      <w:marTop w:val="0"/>
      <w:marBottom w:val="0"/>
      <w:divBdr>
        <w:top w:val="none" w:sz="0" w:space="0" w:color="auto"/>
        <w:left w:val="none" w:sz="0" w:space="0" w:color="auto"/>
        <w:bottom w:val="none" w:sz="0" w:space="0" w:color="auto"/>
        <w:right w:val="none" w:sz="0" w:space="0" w:color="auto"/>
      </w:divBdr>
    </w:div>
    <w:div w:id="528493763">
      <w:bodyDiv w:val="1"/>
      <w:marLeft w:val="0"/>
      <w:marRight w:val="0"/>
      <w:marTop w:val="0"/>
      <w:marBottom w:val="0"/>
      <w:divBdr>
        <w:top w:val="none" w:sz="0" w:space="0" w:color="auto"/>
        <w:left w:val="none" w:sz="0" w:space="0" w:color="auto"/>
        <w:bottom w:val="none" w:sz="0" w:space="0" w:color="auto"/>
        <w:right w:val="none" w:sz="0" w:space="0" w:color="auto"/>
      </w:divBdr>
    </w:div>
    <w:div w:id="534778742">
      <w:bodyDiv w:val="1"/>
      <w:marLeft w:val="0"/>
      <w:marRight w:val="0"/>
      <w:marTop w:val="0"/>
      <w:marBottom w:val="0"/>
      <w:divBdr>
        <w:top w:val="none" w:sz="0" w:space="0" w:color="auto"/>
        <w:left w:val="none" w:sz="0" w:space="0" w:color="auto"/>
        <w:bottom w:val="none" w:sz="0" w:space="0" w:color="auto"/>
        <w:right w:val="none" w:sz="0" w:space="0" w:color="auto"/>
      </w:divBdr>
    </w:div>
    <w:div w:id="583534818">
      <w:bodyDiv w:val="1"/>
      <w:marLeft w:val="0"/>
      <w:marRight w:val="0"/>
      <w:marTop w:val="0"/>
      <w:marBottom w:val="0"/>
      <w:divBdr>
        <w:top w:val="none" w:sz="0" w:space="0" w:color="auto"/>
        <w:left w:val="none" w:sz="0" w:space="0" w:color="auto"/>
        <w:bottom w:val="none" w:sz="0" w:space="0" w:color="auto"/>
        <w:right w:val="none" w:sz="0" w:space="0" w:color="auto"/>
      </w:divBdr>
    </w:div>
    <w:div w:id="598291584">
      <w:bodyDiv w:val="1"/>
      <w:marLeft w:val="0"/>
      <w:marRight w:val="0"/>
      <w:marTop w:val="0"/>
      <w:marBottom w:val="0"/>
      <w:divBdr>
        <w:top w:val="none" w:sz="0" w:space="0" w:color="auto"/>
        <w:left w:val="none" w:sz="0" w:space="0" w:color="auto"/>
        <w:bottom w:val="none" w:sz="0" w:space="0" w:color="auto"/>
        <w:right w:val="none" w:sz="0" w:space="0" w:color="auto"/>
      </w:divBdr>
    </w:div>
    <w:div w:id="599066742">
      <w:bodyDiv w:val="1"/>
      <w:marLeft w:val="0"/>
      <w:marRight w:val="0"/>
      <w:marTop w:val="0"/>
      <w:marBottom w:val="0"/>
      <w:divBdr>
        <w:top w:val="none" w:sz="0" w:space="0" w:color="auto"/>
        <w:left w:val="none" w:sz="0" w:space="0" w:color="auto"/>
        <w:bottom w:val="none" w:sz="0" w:space="0" w:color="auto"/>
        <w:right w:val="none" w:sz="0" w:space="0" w:color="auto"/>
      </w:divBdr>
    </w:div>
    <w:div w:id="600604302">
      <w:bodyDiv w:val="1"/>
      <w:marLeft w:val="0"/>
      <w:marRight w:val="0"/>
      <w:marTop w:val="0"/>
      <w:marBottom w:val="0"/>
      <w:divBdr>
        <w:top w:val="none" w:sz="0" w:space="0" w:color="auto"/>
        <w:left w:val="none" w:sz="0" w:space="0" w:color="auto"/>
        <w:bottom w:val="none" w:sz="0" w:space="0" w:color="auto"/>
        <w:right w:val="none" w:sz="0" w:space="0" w:color="auto"/>
      </w:divBdr>
    </w:div>
    <w:div w:id="651642653">
      <w:bodyDiv w:val="1"/>
      <w:marLeft w:val="0"/>
      <w:marRight w:val="0"/>
      <w:marTop w:val="0"/>
      <w:marBottom w:val="0"/>
      <w:divBdr>
        <w:top w:val="none" w:sz="0" w:space="0" w:color="auto"/>
        <w:left w:val="none" w:sz="0" w:space="0" w:color="auto"/>
        <w:bottom w:val="none" w:sz="0" w:space="0" w:color="auto"/>
        <w:right w:val="none" w:sz="0" w:space="0" w:color="auto"/>
      </w:divBdr>
    </w:div>
    <w:div w:id="661616809">
      <w:bodyDiv w:val="1"/>
      <w:marLeft w:val="0"/>
      <w:marRight w:val="0"/>
      <w:marTop w:val="0"/>
      <w:marBottom w:val="0"/>
      <w:divBdr>
        <w:top w:val="none" w:sz="0" w:space="0" w:color="auto"/>
        <w:left w:val="none" w:sz="0" w:space="0" w:color="auto"/>
        <w:bottom w:val="none" w:sz="0" w:space="0" w:color="auto"/>
        <w:right w:val="none" w:sz="0" w:space="0" w:color="auto"/>
      </w:divBdr>
    </w:div>
    <w:div w:id="670329289">
      <w:bodyDiv w:val="1"/>
      <w:marLeft w:val="0"/>
      <w:marRight w:val="0"/>
      <w:marTop w:val="0"/>
      <w:marBottom w:val="0"/>
      <w:divBdr>
        <w:top w:val="none" w:sz="0" w:space="0" w:color="auto"/>
        <w:left w:val="none" w:sz="0" w:space="0" w:color="auto"/>
        <w:bottom w:val="none" w:sz="0" w:space="0" w:color="auto"/>
        <w:right w:val="none" w:sz="0" w:space="0" w:color="auto"/>
      </w:divBdr>
    </w:div>
    <w:div w:id="696200129">
      <w:bodyDiv w:val="1"/>
      <w:marLeft w:val="0"/>
      <w:marRight w:val="0"/>
      <w:marTop w:val="0"/>
      <w:marBottom w:val="0"/>
      <w:divBdr>
        <w:top w:val="none" w:sz="0" w:space="0" w:color="auto"/>
        <w:left w:val="none" w:sz="0" w:space="0" w:color="auto"/>
        <w:bottom w:val="none" w:sz="0" w:space="0" w:color="auto"/>
        <w:right w:val="none" w:sz="0" w:space="0" w:color="auto"/>
      </w:divBdr>
    </w:div>
    <w:div w:id="710769389">
      <w:bodyDiv w:val="1"/>
      <w:marLeft w:val="0"/>
      <w:marRight w:val="0"/>
      <w:marTop w:val="0"/>
      <w:marBottom w:val="0"/>
      <w:divBdr>
        <w:top w:val="none" w:sz="0" w:space="0" w:color="auto"/>
        <w:left w:val="none" w:sz="0" w:space="0" w:color="auto"/>
        <w:bottom w:val="none" w:sz="0" w:space="0" w:color="auto"/>
        <w:right w:val="none" w:sz="0" w:space="0" w:color="auto"/>
      </w:divBdr>
    </w:div>
    <w:div w:id="739714970">
      <w:bodyDiv w:val="1"/>
      <w:marLeft w:val="0"/>
      <w:marRight w:val="0"/>
      <w:marTop w:val="0"/>
      <w:marBottom w:val="0"/>
      <w:divBdr>
        <w:top w:val="none" w:sz="0" w:space="0" w:color="auto"/>
        <w:left w:val="none" w:sz="0" w:space="0" w:color="auto"/>
        <w:bottom w:val="none" w:sz="0" w:space="0" w:color="auto"/>
        <w:right w:val="none" w:sz="0" w:space="0" w:color="auto"/>
      </w:divBdr>
    </w:div>
    <w:div w:id="779446591">
      <w:bodyDiv w:val="1"/>
      <w:marLeft w:val="0"/>
      <w:marRight w:val="0"/>
      <w:marTop w:val="0"/>
      <w:marBottom w:val="0"/>
      <w:divBdr>
        <w:top w:val="none" w:sz="0" w:space="0" w:color="auto"/>
        <w:left w:val="none" w:sz="0" w:space="0" w:color="auto"/>
        <w:bottom w:val="none" w:sz="0" w:space="0" w:color="auto"/>
        <w:right w:val="none" w:sz="0" w:space="0" w:color="auto"/>
      </w:divBdr>
    </w:div>
    <w:div w:id="810563591">
      <w:bodyDiv w:val="1"/>
      <w:marLeft w:val="0"/>
      <w:marRight w:val="0"/>
      <w:marTop w:val="0"/>
      <w:marBottom w:val="0"/>
      <w:divBdr>
        <w:top w:val="none" w:sz="0" w:space="0" w:color="auto"/>
        <w:left w:val="none" w:sz="0" w:space="0" w:color="auto"/>
        <w:bottom w:val="none" w:sz="0" w:space="0" w:color="auto"/>
        <w:right w:val="none" w:sz="0" w:space="0" w:color="auto"/>
      </w:divBdr>
    </w:div>
    <w:div w:id="820732944">
      <w:bodyDiv w:val="1"/>
      <w:marLeft w:val="0"/>
      <w:marRight w:val="0"/>
      <w:marTop w:val="0"/>
      <w:marBottom w:val="0"/>
      <w:divBdr>
        <w:top w:val="none" w:sz="0" w:space="0" w:color="auto"/>
        <w:left w:val="none" w:sz="0" w:space="0" w:color="auto"/>
        <w:bottom w:val="none" w:sz="0" w:space="0" w:color="auto"/>
        <w:right w:val="none" w:sz="0" w:space="0" w:color="auto"/>
      </w:divBdr>
    </w:div>
    <w:div w:id="825047246">
      <w:bodyDiv w:val="1"/>
      <w:marLeft w:val="0"/>
      <w:marRight w:val="0"/>
      <w:marTop w:val="0"/>
      <w:marBottom w:val="0"/>
      <w:divBdr>
        <w:top w:val="none" w:sz="0" w:space="0" w:color="auto"/>
        <w:left w:val="none" w:sz="0" w:space="0" w:color="auto"/>
        <w:bottom w:val="none" w:sz="0" w:space="0" w:color="auto"/>
        <w:right w:val="none" w:sz="0" w:space="0" w:color="auto"/>
      </w:divBdr>
    </w:div>
    <w:div w:id="843858968">
      <w:bodyDiv w:val="1"/>
      <w:marLeft w:val="0"/>
      <w:marRight w:val="0"/>
      <w:marTop w:val="0"/>
      <w:marBottom w:val="0"/>
      <w:divBdr>
        <w:top w:val="none" w:sz="0" w:space="0" w:color="auto"/>
        <w:left w:val="none" w:sz="0" w:space="0" w:color="auto"/>
        <w:bottom w:val="none" w:sz="0" w:space="0" w:color="auto"/>
        <w:right w:val="none" w:sz="0" w:space="0" w:color="auto"/>
      </w:divBdr>
    </w:div>
    <w:div w:id="848910849">
      <w:bodyDiv w:val="1"/>
      <w:marLeft w:val="0"/>
      <w:marRight w:val="0"/>
      <w:marTop w:val="0"/>
      <w:marBottom w:val="0"/>
      <w:divBdr>
        <w:top w:val="none" w:sz="0" w:space="0" w:color="auto"/>
        <w:left w:val="none" w:sz="0" w:space="0" w:color="auto"/>
        <w:bottom w:val="none" w:sz="0" w:space="0" w:color="auto"/>
        <w:right w:val="none" w:sz="0" w:space="0" w:color="auto"/>
      </w:divBdr>
    </w:div>
    <w:div w:id="863398408">
      <w:bodyDiv w:val="1"/>
      <w:marLeft w:val="0"/>
      <w:marRight w:val="0"/>
      <w:marTop w:val="0"/>
      <w:marBottom w:val="0"/>
      <w:divBdr>
        <w:top w:val="none" w:sz="0" w:space="0" w:color="auto"/>
        <w:left w:val="none" w:sz="0" w:space="0" w:color="auto"/>
        <w:bottom w:val="none" w:sz="0" w:space="0" w:color="auto"/>
        <w:right w:val="none" w:sz="0" w:space="0" w:color="auto"/>
      </w:divBdr>
    </w:div>
    <w:div w:id="863787861">
      <w:bodyDiv w:val="1"/>
      <w:marLeft w:val="0"/>
      <w:marRight w:val="0"/>
      <w:marTop w:val="0"/>
      <w:marBottom w:val="0"/>
      <w:divBdr>
        <w:top w:val="none" w:sz="0" w:space="0" w:color="auto"/>
        <w:left w:val="none" w:sz="0" w:space="0" w:color="auto"/>
        <w:bottom w:val="none" w:sz="0" w:space="0" w:color="auto"/>
        <w:right w:val="none" w:sz="0" w:space="0" w:color="auto"/>
      </w:divBdr>
    </w:div>
    <w:div w:id="866793481">
      <w:bodyDiv w:val="1"/>
      <w:marLeft w:val="0"/>
      <w:marRight w:val="0"/>
      <w:marTop w:val="0"/>
      <w:marBottom w:val="0"/>
      <w:divBdr>
        <w:top w:val="none" w:sz="0" w:space="0" w:color="auto"/>
        <w:left w:val="none" w:sz="0" w:space="0" w:color="auto"/>
        <w:bottom w:val="none" w:sz="0" w:space="0" w:color="auto"/>
        <w:right w:val="none" w:sz="0" w:space="0" w:color="auto"/>
      </w:divBdr>
    </w:div>
    <w:div w:id="870728203">
      <w:bodyDiv w:val="1"/>
      <w:marLeft w:val="0"/>
      <w:marRight w:val="0"/>
      <w:marTop w:val="0"/>
      <w:marBottom w:val="0"/>
      <w:divBdr>
        <w:top w:val="none" w:sz="0" w:space="0" w:color="auto"/>
        <w:left w:val="none" w:sz="0" w:space="0" w:color="auto"/>
        <w:bottom w:val="none" w:sz="0" w:space="0" w:color="auto"/>
        <w:right w:val="none" w:sz="0" w:space="0" w:color="auto"/>
      </w:divBdr>
    </w:div>
    <w:div w:id="873149893">
      <w:bodyDiv w:val="1"/>
      <w:marLeft w:val="0"/>
      <w:marRight w:val="0"/>
      <w:marTop w:val="0"/>
      <w:marBottom w:val="0"/>
      <w:divBdr>
        <w:top w:val="none" w:sz="0" w:space="0" w:color="auto"/>
        <w:left w:val="none" w:sz="0" w:space="0" w:color="auto"/>
        <w:bottom w:val="none" w:sz="0" w:space="0" w:color="auto"/>
        <w:right w:val="none" w:sz="0" w:space="0" w:color="auto"/>
      </w:divBdr>
    </w:div>
    <w:div w:id="873346610">
      <w:bodyDiv w:val="1"/>
      <w:marLeft w:val="0"/>
      <w:marRight w:val="0"/>
      <w:marTop w:val="0"/>
      <w:marBottom w:val="0"/>
      <w:divBdr>
        <w:top w:val="none" w:sz="0" w:space="0" w:color="auto"/>
        <w:left w:val="none" w:sz="0" w:space="0" w:color="auto"/>
        <w:bottom w:val="none" w:sz="0" w:space="0" w:color="auto"/>
        <w:right w:val="none" w:sz="0" w:space="0" w:color="auto"/>
      </w:divBdr>
    </w:div>
    <w:div w:id="888882520">
      <w:bodyDiv w:val="1"/>
      <w:marLeft w:val="0"/>
      <w:marRight w:val="0"/>
      <w:marTop w:val="0"/>
      <w:marBottom w:val="0"/>
      <w:divBdr>
        <w:top w:val="none" w:sz="0" w:space="0" w:color="auto"/>
        <w:left w:val="none" w:sz="0" w:space="0" w:color="auto"/>
        <w:bottom w:val="none" w:sz="0" w:space="0" w:color="auto"/>
        <w:right w:val="none" w:sz="0" w:space="0" w:color="auto"/>
      </w:divBdr>
    </w:div>
    <w:div w:id="888956025">
      <w:bodyDiv w:val="1"/>
      <w:marLeft w:val="0"/>
      <w:marRight w:val="0"/>
      <w:marTop w:val="0"/>
      <w:marBottom w:val="0"/>
      <w:divBdr>
        <w:top w:val="none" w:sz="0" w:space="0" w:color="auto"/>
        <w:left w:val="none" w:sz="0" w:space="0" w:color="auto"/>
        <w:bottom w:val="none" w:sz="0" w:space="0" w:color="auto"/>
        <w:right w:val="none" w:sz="0" w:space="0" w:color="auto"/>
      </w:divBdr>
    </w:div>
    <w:div w:id="892932489">
      <w:bodyDiv w:val="1"/>
      <w:marLeft w:val="0"/>
      <w:marRight w:val="0"/>
      <w:marTop w:val="0"/>
      <w:marBottom w:val="0"/>
      <w:divBdr>
        <w:top w:val="none" w:sz="0" w:space="0" w:color="auto"/>
        <w:left w:val="none" w:sz="0" w:space="0" w:color="auto"/>
        <w:bottom w:val="none" w:sz="0" w:space="0" w:color="auto"/>
        <w:right w:val="none" w:sz="0" w:space="0" w:color="auto"/>
      </w:divBdr>
    </w:div>
    <w:div w:id="894776172">
      <w:bodyDiv w:val="1"/>
      <w:marLeft w:val="0"/>
      <w:marRight w:val="0"/>
      <w:marTop w:val="0"/>
      <w:marBottom w:val="0"/>
      <w:divBdr>
        <w:top w:val="none" w:sz="0" w:space="0" w:color="auto"/>
        <w:left w:val="none" w:sz="0" w:space="0" w:color="auto"/>
        <w:bottom w:val="none" w:sz="0" w:space="0" w:color="auto"/>
        <w:right w:val="none" w:sz="0" w:space="0" w:color="auto"/>
      </w:divBdr>
    </w:div>
    <w:div w:id="900672947">
      <w:bodyDiv w:val="1"/>
      <w:marLeft w:val="0"/>
      <w:marRight w:val="0"/>
      <w:marTop w:val="0"/>
      <w:marBottom w:val="0"/>
      <w:divBdr>
        <w:top w:val="none" w:sz="0" w:space="0" w:color="auto"/>
        <w:left w:val="none" w:sz="0" w:space="0" w:color="auto"/>
        <w:bottom w:val="none" w:sz="0" w:space="0" w:color="auto"/>
        <w:right w:val="none" w:sz="0" w:space="0" w:color="auto"/>
      </w:divBdr>
    </w:div>
    <w:div w:id="915625890">
      <w:bodyDiv w:val="1"/>
      <w:marLeft w:val="0"/>
      <w:marRight w:val="0"/>
      <w:marTop w:val="0"/>
      <w:marBottom w:val="0"/>
      <w:divBdr>
        <w:top w:val="none" w:sz="0" w:space="0" w:color="auto"/>
        <w:left w:val="none" w:sz="0" w:space="0" w:color="auto"/>
        <w:bottom w:val="none" w:sz="0" w:space="0" w:color="auto"/>
        <w:right w:val="none" w:sz="0" w:space="0" w:color="auto"/>
      </w:divBdr>
    </w:div>
    <w:div w:id="918250520">
      <w:bodyDiv w:val="1"/>
      <w:marLeft w:val="0"/>
      <w:marRight w:val="0"/>
      <w:marTop w:val="0"/>
      <w:marBottom w:val="0"/>
      <w:divBdr>
        <w:top w:val="none" w:sz="0" w:space="0" w:color="auto"/>
        <w:left w:val="none" w:sz="0" w:space="0" w:color="auto"/>
        <w:bottom w:val="none" w:sz="0" w:space="0" w:color="auto"/>
        <w:right w:val="none" w:sz="0" w:space="0" w:color="auto"/>
      </w:divBdr>
    </w:div>
    <w:div w:id="940261647">
      <w:bodyDiv w:val="1"/>
      <w:marLeft w:val="0"/>
      <w:marRight w:val="0"/>
      <w:marTop w:val="0"/>
      <w:marBottom w:val="0"/>
      <w:divBdr>
        <w:top w:val="none" w:sz="0" w:space="0" w:color="auto"/>
        <w:left w:val="none" w:sz="0" w:space="0" w:color="auto"/>
        <w:bottom w:val="none" w:sz="0" w:space="0" w:color="auto"/>
        <w:right w:val="none" w:sz="0" w:space="0" w:color="auto"/>
      </w:divBdr>
    </w:div>
    <w:div w:id="942226552">
      <w:bodyDiv w:val="1"/>
      <w:marLeft w:val="0"/>
      <w:marRight w:val="0"/>
      <w:marTop w:val="0"/>
      <w:marBottom w:val="0"/>
      <w:divBdr>
        <w:top w:val="none" w:sz="0" w:space="0" w:color="auto"/>
        <w:left w:val="none" w:sz="0" w:space="0" w:color="auto"/>
        <w:bottom w:val="none" w:sz="0" w:space="0" w:color="auto"/>
        <w:right w:val="none" w:sz="0" w:space="0" w:color="auto"/>
      </w:divBdr>
    </w:div>
    <w:div w:id="970130388">
      <w:bodyDiv w:val="1"/>
      <w:marLeft w:val="0"/>
      <w:marRight w:val="0"/>
      <w:marTop w:val="0"/>
      <w:marBottom w:val="0"/>
      <w:divBdr>
        <w:top w:val="none" w:sz="0" w:space="0" w:color="auto"/>
        <w:left w:val="none" w:sz="0" w:space="0" w:color="auto"/>
        <w:bottom w:val="none" w:sz="0" w:space="0" w:color="auto"/>
        <w:right w:val="none" w:sz="0" w:space="0" w:color="auto"/>
      </w:divBdr>
    </w:div>
    <w:div w:id="974409856">
      <w:bodyDiv w:val="1"/>
      <w:marLeft w:val="0"/>
      <w:marRight w:val="0"/>
      <w:marTop w:val="0"/>
      <w:marBottom w:val="0"/>
      <w:divBdr>
        <w:top w:val="none" w:sz="0" w:space="0" w:color="auto"/>
        <w:left w:val="none" w:sz="0" w:space="0" w:color="auto"/>
        <w:bottom w:val="none" w:sz="0" w:space="0" w:color="auto"/>
        <w:right w:val="none" w:sz="0" w:space="0" w:color="auto"/>
      </w:divBdr>
    </w:div>
    <w:div w:id="994526397">
      <w:bodyDiv w:val="1"/>
      <w:marLeft w:val="0"/>
      <w:marRight w:val="0"/>
      <w:marTop w:val="0"/>
      <w:marBottom w:val="0"/>
      <w:divBdr>
        <w:top w:val="none" w:sz="0" w:space="0" w:color="auto"/>
        <w:left w:val="none" w:sz="0" w:space="0" w:color="auto"/>
        <w:bottom w:val="none" w:sz="0" w:space="0" w:color="auto"/>
        <w:right w:val="none" w:sz="0" w:space="0" w:color="auto"/>
      </w:divBdr>
    </w:div>
    <w:div w:id="999503866">
      <w:bodyDiv w:val="1"/>
      <w:marLeft w:val="0"/>
      <w:marRight w:val="0"/>
      <w:marTop w:val="0"/>
      <w:marBottom w:val="0"/>
      <w:divBdr>
        <w:top w:val="none" w:sz="0" w:space="0" w:color="auto"/>
        <w:left w:val="none" w:sz="0" w:space="0" w:color="auto"/>
        <w:bottom w:val="none" w:sz="0" w:space="0" w:color="auto"/>
        <w:right w:val="none" w:sz="0" w:space="0" w:color="auto"/>
      </w:divBdr>
    </w:div>
    <w:div w:id="999848148">
      <w:bodyDiv w:val="1"/>
      <w:marLeft w:val="0"/>
      <w:marRight w:val="0"/>
      <w:marTop w:val="0"/>
      <w:marBottom w:val="0"/>
      <w:divBdr>
        <w:top w:val="none" w:sz="0" w:space="0" w:color="auto"/>
        <w:left w:val="none" w:sz="0" w:space="0" w:color="auto"/>
        <w:bottom w:val="none" w:sz="0" w:space="0" w:color="auto"/>
        <w:right w:val="none" w:sz="0" w:space="0" w:color="auto"/>
      </w:divBdr>
    </w:div>
    <w:div w:id="999965622">
      <w:bodyDiv w:val="1"/>
      <w:marLeft w:val="0"/>
      <w:marRight w:val="0"/>
      <w:marTop w:val="0"/>
      <w:marBottom w:val="0"/>
      <w:divBdr>
        <w:top w:val="none" w:sz="0" w:space="0" w:color="auto"/>
        <w:left w:val="none" w:sz="0" w:space="0" w:color="auto"/>
        <w:bottom w:val="none" w:sz="0" w:space="0" w:color="auto"/>
        <w:right w:val="none" w:sz="0" w:space="0" w:color="auto"/>
      </w:divBdr>
    </w:div>
    <w:div w:id="1011681500">
      <w:bodyDiv w:val="1"/>
      <w:marLeft w:val="0"/>
      <w:marRight w:val="0"/>
      <w:marTop w:val="0"/>
      <w:marBottom w:val="0"/>
      <w:divBdr>
        <w:top w:val="none" w:sz="0" w:space="0" w:color="auto"/>
        <w:left w:val="none" w:sz="0" w:space="0" w:color="auto"/>
        <w:bottom w:val="none" w:sz="0" w:space="0" w:color="auto"/>
        <w:right w:val="none" w:sz="0" w:space="0" w:color="auto"/>
      </w:divBdr>
    </w:div>
    <w:div w:id="1025520166">
      <w:bodyDiv w:val="1"/>
      <w:marLeft w:val="0"/>
      <w:marRight w:val="0"/>
      <w:marTop w:val="0"/>
      <w:marBottom w:val="0"/>
      <w:divBdr>
        <w:top w:val="none" w:sz="0" w:space="0" w:color="auto"/>
        <w:left w:val="none" w:sz="0" w:space="0" w:color="auto"/>
        <w:bottom w:val="none" w:sz="0" w:space="0" w:color="auto"/>
        <w:right w:val="none" w:sz="0" w:space="0" w:color="auto"/>
      </w:divBdr>
    </w:div>
    <w:div w:id="1027605403">
      <w:bodyDiv w:val="1"/>
      <w:marLeft w:val="0"/>
      <w:marRight w:val="0"/>
      <w:marTop w:val="0"/>
      <w:marBottom w:val="0"/>
      <w:divBdr>
        <w:top w:val="none" w:sz="0" w:space="0" w:color="auto"/>
        <w:left w:val="none" w:sz="0" w:space="0" w:color="auto"/>
        <w:bottom w:val="none" w:sz="0" w:space="0" w:color="auto"/>
        <w:right w:val="none" w:sz="0" w:space="0" w:color="auto"/>
      </w:divBdr>
    </w:div>
    <w:div w:id="1034379701">
      <w:bodyDiv w:val="1"/>
      <w:marLeft w:val="0"/>
      <w:marRight w:val="0"/>
      <w:marTop w:val="0"/>
      <w:marBottom w:val="0"/>
      <w:divBdr>
        <w:top w:val="none" w:sz="0" w:space="0" w:color="auto"/>
        <w:left w:val="none" w:sz="0" w:space="0" w:color="auto"/>
        <w:bottom w:val="none" w:sz="0" w:space="0" w:color="auto"/>
        <w:right w:val="none" w:sz="0" w:space="0" w:color="auto"/>
      </w:divBdr>
    </w:div>
    <w:div w:id="1037125132">
      <w:bodyDiv w:val="1"/>
      <w:marLeft w:val="0"/>
      <w:marRight w:val="0"/>
      <w:marTop w:val="0"/>
      <w:marBottom w:val="0"/>
      <w:divBdr>
        <w:top w:val="none" w:sz="0" w:space="0" w:color="auto"/>
        <w:left w:val="none" w:sz="0" w:space="0" w:color="auto"/>
        <w:bottom w:val="none" w:sz="0" w:space="0" w:color="auto"/>
        <w:right w:val="none" w:sz="0" w:space="0" w:color="auto"/>
      </w:divBdr>
    </w:div>
    <w:div w:id="1056590718">
      <w:bodyDiv w:val="1"/>
      <w:marLeft w:val="0"/>
      <w:marRight w:val="0"/>
      <w:marTop w:val="0"/>
      <w:marBottom w:val="0"/>
      <w:divBdr>
        <w:top w:val="none" w:sz="0" w:space="0" w:color="auto"/>
        <w:left w:val="none" w:sz="0" w:space="0" w:color="auto"/>
        <w:bottom w:val="none" w:sz="0" w:space="0" w:color="auto"/>
        <w:right w:val="none" w:sz="0" w:space="0" w:color="auto"/>
      </w:divBdr>
    </w:div>
    <w:div w:id="1064255705">
      <w:bodyDiv w:val="1"/>
      <w:marLeft w:val="0"/>
      <w:marRight w:val="5"/>
      <w:marTop w:val="0"/>
      <w:marBottom w:val="670"/>
      <w:divBdr>
        <w:top w:val="none" w:sz="0" w:space="0" w:color="auto"/>
        <w:left w:val="none" w:sz="0" w:space="0" w:color="auto"/>
        <w:bottom w:val="none" w:sz="0" w:space="0" w:color="auto"/>
        <w:right w:val="none" w:sz="0" w:space="0" w:color="auto"/>
      </w:divBdr>
      <w:divsChild>
        <w:div w:id="1859466142">
          <w:marLeft w:val="2528"/>
          <w:marRight w:val="0"/>
          <w:marTop w:val="502"/>
          <w:marBottom w:val="335"/>
          <w:divBdr>
            <w:top w:val="none" w:sz="0" w:space="0" w:color="auto"/>
            <w:left w:val="none" w:sz="0" w:space="0" w:color="auto"/>
            <w:bottom w:val="none" w:sz="0" w:space="0" w:color="auto"/>
            <w:right w:val="none" w:sz="0" w:space="0" w:color="auto"/>
          </w:divBdr>
        </w:div>
      </w:divsChild>
    </w:div>
    <w:div w:id="1072580010">
      <w:bodyDiv w:val="1"/>
      <w:marLeft w:val="0"/>
      <w:marRight w:val="0"/>
      <w:marTop w:val="0"/>
      <w:marBottom w:val="0"/>
      <w:divBdr>
        <w:top w:val="none" w:sz="0" w:space="0" w:color="auto"/>
        <w:left w:val="none" w:sz="0" w:space="0" w:color="auto"/>
        <w:bottom w:val="none" w:sz="0" w:space="0" w:color="auto"/>
        <w:right w:val="none" w:sz="0" w:space="0" w:color="auto"/>
      </w:divBdr>
    </w:div>
    <w:div w:id="1081828253">
      <w:bodyDiv w:val="1"/>
      <w:marLeft w:val="0"/>
      <w:marRight w:val="0"/>
      <w:marTop w:val="0"/>
      <w:marBottom w:val="0"/>
      <w:divBdr>
        <w:top w:val="none" w:sz="0" w:space="0" w:color="auto"/>
        <w:left w:val="none" w:sz="0" w:space="0" w:color="auto"/>
        <w:bottom w:val="none" w:sz="0" w:space="0" w:color="auto"/>
        <w:right w:val="none" w:sz="0" w:space="0" w:color="auto"/>
      </w:divBdr>
    </w:div>
    <w:div w:id="1085493904">
      <w:bodyDiv w:val="1"/>
      <w:marLeft w:val="0"/>
      <w:marRight w:val="0"/>
      <w:marTop w:val="0"/>
      <w:marBottom w:val="0"/>
      <w:divBdr>
        <w:top w:val="none" w:sz="0" w:space="0" w:color="auto"/>
        <w:left w:val="none" w:sz="0" w:space="0" w:color="auto"/>
        <w:bottom w:val="none" w:sz="0" w:space="0" w:color="auto"/>
        <w:right w:val="none" w:sz="0" w:space="0" w:color="auto"/>
      </w:divBdr>
    </w:div>
    <w:div w:id="1121650049">
      <w:bodyDiv w:val="1"/>
      <w:marLeft w:val="0"/>
      <w:marRight w:val="0"/>
      <w:marTop w:val="0"/>
      <w:marBottom w:val="0"/>
      <w:divBdr>
        <w:top w:val="none" w:sz="0" w:space="0" w:color="auto"/>
        <w:left w:val="none" w:sz="0" w:space="0" w:color="auto"/>
        <w:bottom w:val="none" w:sz="0" w:space="0" w:color="auto"/>
        <w:right w:val="none" w:sz="0" w:space="0" w:color="auto"/>
      </w:divBdr>
    </w:div>
    <w:div w:id="1123038473">
      <w:bodyDiv w:val="1"/>
      <w:marLeft w:val="0"/>
      <w:marRight w:val="0"/>
      <w:marTop w:val="0"/>
      <w:marBottom w:val="0"/>
      <w:divBdr>
        <w:top w:val="none" w:sz="0" w:space="0" w:color="auto"/>
        <w:left w:val="none" w:sz="0" w:space="0" w:color="auto"/>
        <w:bottom w:val="none" w:sz="0" w:space="0" w:color="auto"/>
        <w:right w:val="none" w:sz="0" w:space="0" w:color="auto"/>
      </w:divBdr>
    </w:div>
    <w:div w:id="1123421444">
      <w:bodyDiv w:val="1"/>
      <w:marLeft w:val="0"/>
      <w:marRight w:val="0"/>
      <w:marTop w:val="0"/>
      <w:marBottom w:val="0"/>
      <w:divBdr>
        <w:top w:val="none" w:sz="0" w:space="0" w:color="auto"/>
        <w:left w:val="none" w:sz="0" w:space="0" w:color="auto"/>
        <w:bottom w:val="none" w:sz="0" w:space="0" w:color="auto"/>
        <w:right w:val="none" w:sz="0" w:space="0" w:color="auto"/>
      </w:divBdr>
    </w:div>
    <w:div w:id="1135954684">
      <w:bodyDiv w:val="1"/>
      <w:marLeft w:val="0"/>
      <w:marRight w:val="0"/>
      <w:marTop w:val="0"/>
      <w:marBottom w:val="0"/>
      <w:divBdr>
        <w:top w:val="none" w:sz="0" w:space="0" w:color="auto"/>
        <w:left w:val="none" w:sz="0" w:space="0" w:color="auto"/>
        <w:bottom w:val="none" w:sz="0" w:space="0" w:color="auto"/>
        <w:right w:val="none" w:sz="0" w:space="0" w:color="auto"/>
      </w:divBdr>
    </w:div>
    <w:div w:id="1150246573">
      <w:bodyDiv w:val="1"/>
      <w:marLeft w:val="0"/>
      <w:marRight w:val="0"/>
      <w:marTop w:val="0"/>
      <w:marBottom w:val="0"/>
      <w:divBdr>
        <w:top w:val="none" w:sz="0" w:space="0" w:color="auto"/>
        <w:left w:val="none" w:sz="0" w:space="0" w:color="auto"/>
        <w:bottom w:val="none" w:sz="0" w:space="0" w:color="auto"/>
        <w:right w:val="none" w:sz="0" w:space="0" w:color="auto"/>
      </w:divBdr>
    </w:div>
    <w:div w:id="1153568229">
      <w:bodyDiv w:val="1"/>
      <w:marLeft w:val="0"/>
      <w:marRight w:val="0"/>
      <w:marTop w:val="0"/>
      <w:marBottom w:val="0"/>
      <w:divBdr>
        <w:top w:val="none" w:sz="0" w:space="0" w:color="auto"/>
        <w:left w:val="none" w:sz="0" w:space="0" w:color="auto"/>
        <w:bottom w:val="none" w:sz="0" w:space="0" w:color="auto"/>
        <w:right w:val="none" w:sz="0" w:space="0" w:color="auto"/>
      </w:divBdr>
    </w:div>
    <w:div w:id="1166821587">
      <w:bodyDiv w:val="1"/>
      <w:marLeft w:val="0"/>
      <w:marRight w:val="0"/>
      <w:marTop w:val="0"/>
      <w:marBottom w:val="0"/>
      <w:divBdr>
        <w:top w:val="none" w:sz="0" w:space="0" w:color="auto"/>
        <w:left w:val="none" w:sz="0" w:space="0" w:color="auto"/>
        <w:bottom w:val="none" w:sz="0" w:space="0" w:color="auto"/>
        <w:right w:val="none" w:sz="0" w:space="0" w:color="auto"/>
      </w:divBdr>
    </w:div>
    <w:div w:id="1177691930">
      <w:bodyDiv w:val="1"/>
      <w:marLeft w:val="0"/>
      <w:marRight w:val="0"/>
      <w:marTop w:val="0"/>
      <w:marBottom w:val="0"/>
      <w:divBdr>
        <w:top w:val="none" w:sz="0" w:space="0" w:color="auto"/>
        <w:left w:val="none" w:sz="0" w:space="0" w:color="auto"/>
        <w:bottom w:val="none" w:sz="0" w:space="0" w:color="auto"/>
        <w:right w:val="none" w:sz="0" w:space="0" w:color="auto"/>
      </w:divBdr>
    </w:div>
    <w:div w:id="1187408160">
      <w:bodyDiv w:val="1"/>
      <w:marLeft w:val="0"/>
      <w:marRight w:val="0"/>
      <w:marTop w:val="0"/>
      <w:marBottom w:val="0"/>
      <w:divBdr>
        <w:top w:val="none" w:sz="0" w:space="0" w:color="auto"/>
        <w:left w:val="none" w:sz="0" w:space="0" w:color="auto"/>
        <w:bottom w:val="none" w:sz="0" w:space="0" w:color="auto"/>
        <w:right w:val="none" w:sz="0" w:space="0" w:color="auto"/>
      </w:divBdr>
    </w:div>
    <w:div w:id="1197506494">
      <w:bodyDiv w:val="1"/>
      <w:marLeft w:val="0"/>
      <w:marRight w:val="0"/>
      <w:marTop w:val="0"/>
      <w:marBottom w:val="0"/>
      <w:divBdr>
        <w:top w:val="none" w:sz="0" w:space="0" w:color="auto"/>
        <w:left w:val="none" w:sz="0" w:space="0" w:color="auto"/>
        <w:bottom w:val="none" w:sz="0" w:space="0" w:color="auto"/>
        <w:right w:val="none" w:sz="0" w:space="0" w:color="auto"/>
      </w:divBdr>
    </w:div>
    <w:div w:id="1198272349">
      <w:bodyDiv w:val="1"/>
      <w:marLeft w:val="0"/>
      <w:marRight w:val="0"/>
      <w:marTop w:val="0"/>
      <w:marBottom w:val="0"/>
      <w:divBdr>
        <w:top w:val="none" w:sz="0" w:space="0" w:color="auto"/>
        <w:left w:val="none" w:sz="0" w:space="0" w:color="auto"/>
        <w:bottom w:val="none" w:sz="0" w:space="0" w:color="auto"/>
        <w:right w:val="none" w:sz="0" w:space="0" w:color="auto"/>
      </w:divBdr>
    </w:div>
    <w:div w:id="1208952484">
      <w:bodyDiv w:val="1"/>
      <w:marLeft w:val="0"/>
      <w:marRight w:val="0"/>
      <w:marTop w:val="0"/>
      <w:marBottom w:val="0"/>
      <w:divBdr>
        <w:top w:val="none" w:sz="0" w:space="0" w:color="auto"/>
        <w:left w:val="none" w:sz="0" w:space="0" w:color="auto"/>
        <w:bottom w:val="none" w:sz="0" w:space="0" w:color="auto"/>
        <w:right w:val="none" w:sz="0" w:space="0" w:color="auto"/>
      </w:divBdr>
    </w:div>
    <w:div w:id="1209296547">
      <w:bodyDiv w:val="1"/>
      <w:marLeft w:val="0"/>
      <w:marRight w:val="0"/>
      <w:marTop w:val="0"/>
      <w:marBottom w:val="0"/>
      <w:divBdr>
        <w:top w:val="none" w:sz="0" w:space="0" w:color="auto"/>
        <w:left w:val="none" w:sz="0" w:space="0" w:color="auto"/>
        <w:bottom w:val="none" w:sz="0" w:space="0" w:color="auto"/>
        <w:right w:val="none" w:sz="0" w:space="0" w:color="auto"/>
      </w:divBdr>
    </w:div>
    <w:div w:id="1211452897">
      <w:bodyDiv w:val="1"/>
      <w:marLeft w:val="0"/>
      <w:marRight w:val="0"/>
      <w:marTop w:val="0"/>
      <w:marBottom w:val="0"/>
      <w:divBdr>
        <w:top w:val="none" w:sz="0" w:space="0" w:color="auto"/>
        <w:left w:val="none" w:sz="0" w:space="0" w:color="auto"/>
        <w:bottom w:val="none" w:sz="0" w:space="0" w:color="auto"/>
        <w:right w:val="none" w:sz="0" w:space="0" w:color="auto"/>
      </w:divBdr>
    </w:div>
    <w:div w:id="1216506917">
      <w:bodyDiv w:val="1"/>
      <w:marLeft w:val="0"/>
      <w:marRight w:val="0"/>
      <w:marTop w:val="0"/>
      <w:marBottom w:val="0"/>
      <w:divBdr>
        <w:top w:val="none" w:sz="0" w:space="0" w:color="auto"/>
        <w:left w:val="none" w:sz="0" w:space="0" w:color="auto"/>
        <w:bottom w:val="none" w:sz="0" w:space="0" w:color="auto"/>
        <w:right w:val="none" w:sz="0" w:space="0" w:color="auto"/>
      </w:divBdr>
      <w:divsChild>
        <w:div w:id="1587232224">
          <w:marLeft w:val="0"/>
          <w:marRight w:val="0"/>
          <w:marTop w:val="0"/>
          <w:marBottom w:val="0"/>
          <w:divBdr>
            <w:top w:val="none" w:sz="0" w:space="0" w:color="auto"/>
            <w:left w:val="none" w:sz="0" w:space="0" w:color="auto"/>
            <w:bottom w:val="none" w:sz="0" w:space="0" w:color="auto"/>
            <w:right w:val="none" w:sz="0" w:space="0" w:color="auto"/>
          </w:divBdr>
          <w:divsChild>
            <w:div w:id="1617523142">
              <w:marLeft w:val="0"/>
              <w:marRight w:val="0"/>
              <w:marTop w:val="0"/>
              <w:marBottom w:val="0"/>
              <w:divBdr>
                <w:top w:val="none" w:sz="0" w:space="0" w:color="auto"/>
                <w:left w:val="none" w:sz="0" w:space="0" w:color="auto"/>
                <w:bottom w:val="none" w:sz="0" w:space="0" w:color="auto"/>
                <w:right w:val="none" w:sz="0" w:space="0" w:color="auto"/>
              </w:divBdr>
              <w:divsChild>
                <w:div w:id="295919245">
                  <w:marLeft w:val="0"/>
                  <w:marRight w:val="0"/>
                  <w:marTop w:val="0"/>
                  <w:marBottom w:val="0"/>
                  <w:divBdr>
                    <w:top w:val="none" w:sz="0" w:space="0" w:color="auto"/>
                    <w:left w:val="none" w:sz="0" w:space="0" w:color="auto"/>
                    <w:bottom w:val="none" w:sz="0" w:space="0" w:color="auto"/>
                    <w:right w:val="none" w:sz="0" w:space="0" w:color="auto"/>
                  </w:divBdr>
                  <w:divsChild>
                    <w:div w:id="1407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29942">
      <w:bodyDiv w:val="1"/>
      <w:marLeft w:val="0"/>
      <w:marRight w:val="0"/>
      <w:marTop w:val="0"/>
      <w:marBottom w:val="0"/>
      <w:divBdr>
        <w:top w:val="none" w:sz="0" w:space="0" w:color="auto"/>
        <w:left w:val="none" w:sz="0" w:space="0" w:color="auto"/>
        <w:bottom w:val="none" w:sz="0" w:space="0" w:color="auto"/>
        <w:right w:val="none" w:sz="0" w:space="0" w:color="auto"/>
      </w:divBdr>
    </w:div>
    <w:div w:id="1234311742">
      <w:bodyDiv w:val="1"/>
      <w:marLeft w:val="0"/>
      <w:marRight w:val="0"/>
      <w:marTop w:val="0"/>
      <w:marBottom w:val="0"/>
      <w:divBdr>
        <w:top w:val="none" w:sz="0" w:space="0" w:color="auto"/>
        <w:left w:val="none" w:sz="0" w:space="0" w:color="auto"/>
        <w:bottom w:val="none" w:sz="0" w:space="0" w:color="auto"/>
        <w:right w:val="none" w:sz="0" w:space="0" w:color="auto"/>
      </w:divBdr>
    </w:div>
    <w:div w:id="1251887489">
      <w:bodyDiv w:val="1"/>
      <w:marLeft w:val="0"/>
      <w:marRight w:val="0"/>
      <w:marTop w:val="0"/>
      <w:marBottom w:val="0"/>
      <w:divBdr>
        <w:top w:val="none" w:sz="0" w:space="0" w:color="auto"/>
        <w:left w:val="none" w:sz="0" w:space="0" w:color="auto"/>
        <w:bottom w:val="none" w:sz="0" w:space="0" w:color="auto"/>
        <w:right w:val="none" w:sz="0" w:space="0" w:color="auto"/>
      </w:divBdr>
    </w:div>
    <w:div w:id="1264337111">
      <w:bodyDiv w:val="1"/>
      <w:marLeft w:val="0"/>
      <w:marRight w:val="0"/>
      <w:marTop w:val="0"/>
      <w:marBottom w:val="0"/>
      <w:divBdr>
        <w:top w:val="none" w:sz="0" w:space="0" w:color="auto"/>
        <w:left w:val="none" w:sz="0" w:space="0" w:color="auto"/>
        <w:bottom w:val="none" w:sz="0" w:space="0" w:color="auto"/>
        <w:right w:val="none" w:sz="0" w:space="0" w:color="auto"/>
      </w:divBdr>
    </w:div>
    <w:div w:id="1275406396">
      <w:bodyDiv w:val="1"/>
      <w:marLeft w:val="0"/>
      <w:marRight w:val="0"/>
      <w:marTop w:val="0"/>
      <w:marBottom w:val="0"/>
      <w:divBdr>
        <w:top w:val="none" w:sz="0" w:space="0" w:color="auto"/>
        <w:left w:val="none" w:sz="0" w:space="0" w:color="auto"/>
        <w:bottom w:val="none" w:sz="0" w:space="0" w:color="auto"/>
        <w:right w:val="none" w:sz="0" w:space="0" w:color="auto"/>
      </w:divBdr>
    </w:div>
    <w:div w:id="1279726354">
      <w:bodyDiv w:val="1"/>
      <w:marLeft w:val="0"/>
      <w:marRight w:val="0"/>
      <w:marTop w:val="0"/>
      <w:marBottom w:val="0"/>
      <w:divBdr>
        <w:top w:val="none" w:sz="0" w:space="0" w:color="auto"/>
        <w:left w:val="none" w:sz="0" w:space="0" w:color="auto"/>
        <w:bottom w:val="none" w:sz="0" w:space="0" w:color="auto"/>
        <w:right w:val="none" w:sz="0" w:space="0" w:color="auto"/>
      </w:divBdr>
    </w:div>
    <w:div w:id="1281032512">
      <w:bodyDiv w:val="1"/>
      <w:marLeft w:val="0"/>
      <w:marRight w:val="0"/>
      <w:marTop w:val="0"/>
      <w:marBottom w:val="0"/>
      <w:divBdr>
        <w:top w:val="none" w:sz="0" w:space="0" w:color="auto"/>
        <w:left w:val="none" w:sz="0" w:space="0" w:color="auto"/>
        <w:bottom w:val="none" w:sz="0" w:space="0" w:color="auto"/>
        <w:right w:val="none" w:sz="0" w:space="0" w:color="auto"/>
      </w:divBdr>
    </w:div>
    <w:div w:id="1291745203">
      <w:bodyDiv w:val="1"/>
      <w:marLeft w:val="0"/>
      <w:marRight w:val="0"/>
      <w:marTop w:val="0"/>
      <w:marBottom w:val="0"/>
      <w:divBdr>
        <w:top w:val="none" w:sz="0" w:space="0" w:color="auto"/>
        <w:left w:val="none" w:sz="0" w:space="0" w:color="auto"/>
        <w:bottom w:val="none" w:sz="0" w:space="0" w:color="auto"/>
        <w:right w:val="none" w:sz="0" w:space="0" w:color="auto"/>
      </w:divBdr>
    </w:div>
    <w:div w:id="1298757397">
      <w:bodyDiv w:val="1"/>
      <w:marLeft w:val="0"/>
      <w:marRight w:val="0"/>
      <w:marTop w:val="0"/>
      <w:marBottom w:val="0"/>
      <w:divBdr>
        <w:top w:val="none" w:sz="0" w:space="0" w:color="auto"/>
        <w:left w:val="none" w:sz="0" w:space="0" w:color="auto"/>
        <w:bottom w:val="none" w:sz="0" w:space="0" w:color="auto"/>
        <w:right w:val="none" w:sz="0" w:space="0" w:color="auto"/>
      </w:divBdr>
    </w:div>
    <w:div w:id="1315646023">
      <w:bodyDiv w:val="1"/>
      <w:marLeft w:val="0"/>
      <w:marRight w:val="0"/>
      <w:marTop w:val="0"/>
      <w:marBottom w:val="0"/>
      <w:divBdr>
        <w:top w:val="none" w:sz="0" w:space="0" w:color="auto"/>
        <w:left w:val="none" w:sz="0" w:space="0" w:color="auto"/>
        <w:bottom w:val="none" w:sz="0" w:space="0" w:color="auto"/>
        <w:right w:val="none" w:sz="0" w:space="0" w:color="auto"/>
      </w:divBdr>
    </w:div>
    <w:div w:id="1324822711">
      <w:bodyDiv w:val="1"/>
      <w:marLeft w:val="0"/>
      <w:marRight w:val="0"/>
      <w:marTop w:val="0"/>
      <w:marBottom w:val="0"/>
      <w:divBdr>
        <w:top w:val="none" w:sz="0" w:space="0" w:color="auto"/>
        <w:left w:val="none" w:sz="0" w:space="0" w:color="auto"/>
        <w:bottom w:val="none" w:sz="0" w:space="0" w:color="auto"/>
        <w:right w:val="none" w:sz="0" w:space="0" w:color="auto"/>
      </w:divBdr>
    </w:div>
    <w:div w:id="1331300545">
      <w:bodyDiv w:val="1"/>
      <w:marLeft w:val="0"/>
      <w:marRight w:val="0"/>
      <w:marTop w:val="0"/>
      <w:marBottom w:val="0"/>
      <w:divBdr>
        <w:top w:val="none" w:sz="0" w:space="0" w:color="auto"/>
        <w:left w:val="none" w:sz="0" w:space="0" w:color="auto"/>
        <w:bottom w:val="none" w:sz="0" w:space="0" w:color="auto"/>
        <w:right w:val="none" w:sz="0" w:space="0" w:color="auto"/>
      </w:divBdr>
    </w:div>
    <w:div w:id="1331832117">
      <w:bodyDiv w:val="1"/>
      <w:marLeft w:val="0"/>
      <w:marRight w:val="0"/>
      <w:marTop w:val="0"/>
      <w:marBottom w:val="0"/>
      <w:divBdr>
        <w:top w:val="none" w:sz="0" w:space="0" w:color="auto"/>
        <w:left w:val="none" w:sz="0" w:space="0" w:color="auto"/>
        <w:bottom w:val="none" w:sz="0" w:space="0" w:color="auto"/>
        <w:right w:val="none" w:sz="0" w:space="0" w:color="auto"/>
      </w:divBdr>
    </w:div>
    <w:div w:id="1349718341">
      <w:bodyDiv w:val="1"/>
      <w:marLeft w:val="0"/>
      <w:marRight w:val="0"/>
      <w:marTop w:val="0"/>
      <w:marBottom w:val="0"/>
      <w:divBdr>
        <w:top w:val="none" w:sz="0" w:space="0" w:color="auto"/>
        <w:left w:val="none" w:sz="0" w:space="0" w:color="auto"/>
        <w:bottom w:val="none" w:sz="0" w:space="0" w:color="auto"/>
        <w:right w:val="none" w:sz="0" w:space="0" w:color="auto"/>
      </w:divBdr>
    </w:div>
    <w:div w:id="1360820407">
      <w:bodyDiv w:val="1"/>
      <w:marLeft w:val="0"/>
      <w:marRight w:val="0"/>
      <w:marTop w:val="0"/>
      <w:marBottom w:val="0"/>
      <w:divBdr>
        <w:top w:val="none" w:sz="0" w:space="0" w:color="auto"/>
        <w:left w:val="none" w:sz="0" w:space="0" w:color="auto"/>
        <w:bottom w:val="none" w:sz="0" w:space="0" w:color="auto"/>
        <w:right w:val="none" w:sz="0" w:space="0" w:color="auto"/>
      </w:divBdr>
    </w:div>
    <w:div w:id="1367221195">
      <w:bodyDiv w:val="1"/>
      <w:marLeft w:val="0"/>
      <w:marRight w:val="0"/>
      <w:marTop w:val="0"/>
      <w:marBottom w:val="0"/>
      <w:divBdr>
        <w:top w:val="none" w:sz="0" w:space="0" w:color="auto"/>
        <w:left w:val="none" w:sz="0" w:space="0" w:color="auto"/>
        <w:bottom w:val="none" w:sz="0" w:space="0" w:color="auto"/>
        <w:right w:val="none" w:sz="0" w:space="0" w:color="auto"/>
      </w:divBdr>
    </w:div>
    <w:div w:id="1368136895">
      <w:bodyDiv w:val="1"/>
      <w:marLeft w:val="0"/>
      <w:marRight w:val="0"/>
      <w:marTop w:val="0"/>
      <w:marBottom w:val="0"/>
      <w:divBdr>
        <w:top w:val="none" w:sz="0" w:space="0" w:color="auto"/>
        <w:left w:val="none" w:sz="0" w:space="0" w:color="auto"/>
        <w:bottom w:val="none" w:sz="0" w:space="0" w:color="auto"/>
        <w:right w:val="none" w:sz="0" w:space="0" w:color="auto"/>
      </w:divBdr>
    </w:div>
    <w:div w:id="1372993854">
      <w:bodyDiv w:val="1"/>
      <w:marLeft w:val="0"/>
      <w:marRight w:val="0"/>
      <w:marTop w:val="0"/>
      <w:marBottom w:val="0"/>
      <w:divBdr>
        <w:top w:val="none" w:sz="0" w:space="0" w:color="auto"/>
        <w:left w:val="none" w:sz="0" w:space="0" w:color="auto"/>
        <w:bottom w:val="none" w:sz="0" w:space="0" w:color="auto"/>
        <w:right w:val="none" w:sz="0" w:space="0" w:color="auto"/>
      </w:divBdr>
    </w:div>
    <w:div w:id="1375542643">
      <w:bodyDiv w:val="1"/>
      <w:marLeft w:val="0"/>
      <w:marRight w:val="0"/>
      <w:marTop w:val="0"/>
      <w:marBottom w:val="0"/>
      <w:divBdr>
        <w:top w:val="none" w:sz="0" w:space="0" w:color="auto"/>
        <w:left w:val="none" w:sz="0" w:space="0" w:color="auto"/>
        <w:bottom w:val="none" w:sz="0" w:space="0" w:color="auto"/>
        <w:right w:val="none" w:sz="0" w:space="0" w:color="auto"/>
      </w:divBdr>
    </w:div>
    <w:div w:id="1378582432">
      <w:bodyDiv w:val="1"/>
      <w:marLeft w:val="0"/>
      <w:marRight w:val="0"/>
      <w:marTop w:val="0"/>
      <w:marBottom w:val="0"/>
      <w:divBdr>
        <w:top w:val="none" w:sz="0" w:space="0" w:color="auto"/>
        <w:left w:val="none" w:sz="0" w:space="0" w:color="auto"/>
        <w:bottom w:val="none" w:sz="0" w:space="0" w:color="auto"/>
        <w:right w:val="none" w:sz="0" w:space="0" w:color="auto"/>
      </w:divBdr>
    </w:div>
    <w:div w:id="1384712490">
      <w:bodyDiv w:val="1"/>
      <w:marLeft w:val="0"/>
      <w:marRight w:val="0"/>
      <w:marTop w:val="0"/>
      <w:marBottom w:val="0"/>
      <w:divBdr>
        <w:top w:val="none" w:sz="0" w:space="0" w:color="auto"/>
        <w:left w:val="none" w:sz="0" w:space="0" w:color="auto"/>
        <w:bottom w:val="none" w:sz="0" w:space="0" w:color="auto"/>
        <w:right w:val="none" w:sz="0" w:space="0" w:color="auto"/>
      </w:divBdr>
    </w:div>
    <w:div w:id="1386679873">
      <w:bodyDiv w:val="1"/>
      <w:marLeft w:val="0"/>
      <w:marRight w:val="5"/>
      <w:marTop w:val="0"/>
      <w:marBottom w:val="670"/>
      <w:divBdr>
        <w:top w:val="none" w:sz="0" w:space="0" w:color="auto"/>
        <w:left w:val="none" w:sz="0" w:space="0" w:color="auto"/>
        <w:bottom w:val="none" w:sz="0" w:space="0" w:color="auto"/>
        <w:right w:val="none" w:sz="0" w:space="0" w:color="auto"/>
      </w:divBdr>
      <w:divsChild>
        <w:div w:id="1945458326">
          <w:marLeft w:val="2528"/>
          <w:marRight w:val="0"/>
          <w:marTop w:val="502"/>
          <w:marBottom w:val="335"/>
          <w:divBdr>
            <w:top w:val="none" w:sz="0" w:space="0" w:color="auto"/>
            <w:left w:val="none" w:sz="0" w:space="0" w:color="auto"/>
            <w:bottom w:val="none" w:sz="0" w:space="0" w:color="auto"/>
            <w:right w:val="none" w:sz="0" w:space="0" w:color="auto"/>
          </w:divBdr>
        </w:div>
      </w:divsChild>
    </w:div>
    <w:div w:id="1390038267">
      <w:bodyDiv w:val="1"/>
      <w:marLeft w:val="0"/>
      <w:marRight w:val="0"/>
      <w:marTop w:val="0"/>
      <w:marBottom w:val="0"/>
      <w:divBdr>
        <w:top w:val="none" w:sz="0" w:space="0" w:color="auto"/>
        <w:left w:val="none" w:sz="0" w:space="0" w:color="auto"/>
        <w:bottom w:val="none" w:sz="0" w:space="0" w:color="auto"/>
        <w:right w:val="none" w:sz="0" w:space="0" w:color="auto"/>
      </w:divBdr>
    </w:div>
    <w:div w:id="1409115957">
      <w:bodyDiv w:val="1"/>
      <w:marLeft w:val="0"/>
      <w:marRight w:val="0"/>
      <w:marTop w:val="0"/>
      <w:marBottom w:val="0"/>
      <w:divBdr>
        <w:top w:val="none" w:sz="0" w:space="0" w:color="auto"/>
        <w:left w:val="none" w:sz="0" w:space="0" w:color="auto"/>
        <w:bottom w:val="none" w:sz="0" w:space="0" w:color="auto"/>
        <w:right w:val="none" w:sz="0" w:space="0" w:color="auto"/>
      </w:divBdr>
    </w:div>
    <w:div w:id="1419789870">
      <w:bodyDiv w:val="1"/>
      <w:marLeft w:val="0"/>
      <w:marRight w:val="0"/>
      <w:marTop w:val="0"/>
      <w:marBottom w:val="0"/>
      <w:divBdr>
        <w:top w:val="none" w:sz="0" w:space="0" w:color="auto"/>
        <w:left w:val="none" w:sz="0" w:space="0" w:color="auto"/>
        <w:bottom w:val="none" w:sz="0" w:space="0" w:color="auto"/>
        <w:right w:val="none" w:sz="0" w:space="0" w:color="auto"/>
      </w:divBdr>
    </w:div>
    <w:div w:id="1424566635">
      <w:bodyDiv w:val="1"/>
      <w:marLeft w:val="0"/>
      <w:marRight w:val="0"/>
      <w:marTop w:val="0"/>
      <w:marBottom w:val="0"/>
      <w:divBdr>
        <w:top w:val="none" w:sz="0" w:space="0" w:color="auto"/>
        <w:left w:val="none" w:sz="0" w:space="0" w:color="auto"/>
        <w:bottom w:val="none" w:sz="0" w:space="0" w:color="auto"/>
        <w:right w:val="none" w:sz="0" w:space="0" w:color="auto"/>
      </w:divBdr>
    </w:div>
    <w:div w:id="1428766621">
      <w:bodyDiv w:val="1"/>
      <w:marLeft w:val="0"/>
      <w:marRight w:val="0"/>
      <w:marTop w:val="0"/>
      <w:marBottom w:val="0"/>
      <w:divBdr>
        <w:top w:val="none" w:sz="0" w:space="0" w:color="auto"/>
        <w:left w:val="none" w:sz="0" w:space="0" w:color="auto"/>
        <w:bottom w:val="none" w:sz="0" w:space="0" w:color="auto"/>
        <w:right w:val="none" w:sz="0" w:space="0" w:color="auto"/>
      </w:divBdr>
    </w:div>
    <w:div w:id="1437091406">
      <w:bodyDiv w:val="1"/>
      <w:marLeft w:val="0"/>
      <w:marRight w:val="0"/>
      <w:marTop w:val="0"/>
      <w:marBottom w:val="0"/>
      <w:divBdr>
        <w:top w:val="none" w:sz="0" w:space="0" w:color="auto"/>
        <w:left w:val="none" w:sz="0" w:space="0" w:color="auto"/>
        <w:bottom w:val="none" w:sz="0" w:space="0" w:color="auto"/>
        <w:right w:val="none" w:sz="0" w:space="0" w:color="auto"/>
      </w:divBdr>
    </w:div>
    <w:div w:id="1437751291">
      <w:bodyDiv w:val="1"/>
      <w:marLeft w:val="0"/>
      <w:marRight w:val="0"/>
      <w:marTop w:val="0"/>
      <w:marBottom w:val="0"/>
      <w:divBdr>
        <w:top w:val="none" w:sz="0" w:space="0" w:color="auto"/>
        <w:left w:val="none" w:sz="0" w:space="0" w:color="auto"/>
        <w:bottom w:val="none" w:sz="0" w:space="0" w:color="auto"/>
        <w:right w:val="none" w:sz="0" w:space="0" w:color="auto"/>
      </w:divBdr>
    </w:div>
    <w:div w:id="1439593832">
      <w:bodyDiv w:val="1"/>
      <w:marLeft w:val="0"/>
      <w:marRight w:val="0"/>
      <w:marTop w:val="0"/>
      <w:marBottom w:val="0"/>
      <w:divBdr>
        <w:top w:val="none" w:sz="0" w:space="0" w:color="auto"/>
        <w:left w:val="none" w:sz="0" w:space="0" w:color="auto"/>
        <w:bottom w:val="none" w:sz="0" w:space="0" w:color="auto"/>
        <w:right w:val="none" w:sz="0" w:space="0" w:color="auto"/>
      </w:divBdr>
    </w:div>
    <w:div w:id="1440834103">
      <w:bodyDiv w:val="1"/>
      <w:marLeft w:val="0"/>
      <w:marRight w:val="0"/>
      <w:marTop w:val="0"/>
      <w:marBottom w:val="0"/>
      <w:divBdr>
        <w:top w:val="none" w:sz="0" w:space="0" w:color="auto"/>
        <w:left w:val="none" w:sz="0" w:space="0" w:color="auto"/>
        <w:bottom w:val="none" w:sz="0" w:space="0" w:color="auto"/>
        <w:right w:val="none" w:sz="0" w:space="0" w:color="auto"/>
      </w:divBdr>
    </w:div>
    <w:div w:id="1461457501">
      <w:bodyDiv w:val="1"/>
      <w:marLeft w:val="0"/>
      <w:marRight w:val="0"/>
      <w:marTop w:val="0"/>
      <w:marBottom w:val="0"/>
      <w:divBdr>
        <w:top w:val="none" w:sz="0" w:space="0" w:color="auto"/>
        <w:left w:val="none" w:sz="0" w:space="0" w:color="auto"/>
        <w:bottom w:val="none" w:sz="0" w:space="0" w:color="auto"/>
        <w:right w:val="none" w:sz="0" w:space="0" w:color="auto"/>
      </w:divBdr>
    </w:div>
    <w:div w:id="1462573552">
      <w:bodyDiv w:val="1"/>
      <w:marLeft w:val="0"/>
      <w:marRight w:val="0"/>
      <w:marTop w:val="0"/>
      <w:marBottom w:val="0"/>
      <w:divBdr>
        <w:top w:val="none" w:sz="0" w:space="0" w:color="auto"/>
        <w:left w:val="none" w:sz="0" w:space="0" w:color="auto"/>
        <w:bottom w:val="none" w:sz="0" w:space="0" w:color="auto"/>
        <w:right w:val="none" w:sz="0" w:space="0" w:color="auto"/>
      </w:divBdr>
    </w:div>
    <w:div w:id="1464349293">
      <w:bodyDiv w:val="1"/>
      <w:marLeft w:val="0"/>
      <w:marRight w:val="0"/>
      <w:marTop w:val="0"/>
      <w:marBottom w:val="0"/>
      <w:divBdr>
        <w:top w:val="none" w:sz="0" w:space="0" w:color="auto"/>
        <w:left w:val="none" w:sz="0" w:space="0" w:color="auto"/>
        <w:bottom w:val="none" w:sz="0" w:space="0" w:color="auto"/>
        <w:right w:val="none" w:sz="0" w:space="0" w:color="auto"/>
      </w:divBdr>
    </w:div>
    <w:div w:id="1472751603">
      <w:bodyDiv w:val="1"/>
      <w:marLeft w:val="0"/>
      <w:marRight w:val="0"/>
      <w:marTop w:val="0"/>
      <w:marBottom w:val="0"/>
      <w:divBdr>
        <w:top w:val="none" w:sz="0" w:space="0" w:color="auto"/>
        <w:left w:val="none" w:sz="0" w:space="0" w:color="auto"/>
        <w:bottom w:val="none" w:sz="0" w:space="0" w:color="auto"/>
        <w:right w:val="none" w:sz="0" w:space="0" w:color="auto"/>
      </w:divBdr>
      <w:divsChild>
        <w:div w:id="131410469">
          <w:marLeft w:val="0"/>
          <w:marRight w:val="0"/>
          <w:marTop w:val="0"/>
          <w:marBottom w:val="0"/>
          <w:divBdr>
            <w:top w:val="none" w:sz="0" w:space="0" w:color="auto"/>
            <w:left w:val="none" w:sz="0" w:space="0" w:color="auto"/>
            <w:bottom w:val="none" w:sz="0" w:space="0" w:color="auto"/>
            <w:right w:val="none" w:sz="0" w:space="0" w:color="auto"/>
          </w:divBdr>
        </w:div>
      </w:divsChild>
    </w:div>
    <w:div w:id="1482849836">
      <w:bodyDiv w:val="1"/>
      <w:marLeft w:val="0"/>
      <w:marRight w:val="0"/>
      <w:marTop w:val="0"/>
      <w:marBottom w:val="0"/>
      <w:divBdr>
        <w:top w:val="none" w:sz="0" w:space="0" w:color="auto"/>
        <w:left w:val="none" w:sz="0" w:space="0" w:color="auto"/>
        <w:bottom w:val="none" w:sz="0" w:space="0" w:color="auto"/>
        <w:right w:val="none" w:sz="0" w:space="0" w:color="auto"/>
      </w:divBdr>
      <w:divsChild>
        <w:div w:id="844368782">
          <w:marLeft w:val="0"/>
          <w:marRight w:val="0"/>
          <w:marTop w:val="0"/>
          <w:marBottom w:val="0"/>
          <w:divBdr>
            <w:top w:val="none" w:sz="0" w:space="0" w:color="auto"/>
            <w:left w:val="none" w:sz="0" w:space="0" w:color="auto"/>
            <w:bottom w:val="none" w:sz="0" w:space="0" w:color="auto"/>
            <w:right w:val="none" w:sz="0" w:space="0" w:color="auto"/>
          </w:divBdr>
        </w:div>
      </w:divsChild>
    </w:div>
    <w:div w:id="1503472213">
      <w:bodyDiv w:val="1"/>
      <w:marLeft w:val="0"/>
      <w:marRight w:val="0"/>
      <w:marTop w:val="0"/>
      <w:marBottom w:val="0"/>
      <w:divBdr>
        <w:top w:val="none" w:sz="0" w:space="0" w:color="auto"/>
        <w:left w:val="none" w:sz="0" w:space="0" w:color="auto"/>
        <w:bottom w:val="none" w:sz="0" w:space="0" w:color="auto"/>
        <w:right w:val="none" w:sz="0" w:space="0" w:color="auto"/>
      </w:divBdr>
    </w:div>
    <w:div w:id="1506289122">
      <w:bodyDiv w:val="1"/>
      <w:marLeft w:val="0"/>
      <w:marRight w:val="0"/>
      <w:marTop w:val="0"/>
      <w:marBottom w:val="0"/>
      <w:divBdr>
        <w:top w:val="none" w:sz="0" w:space="0" w:color="auto"/>
        <w:left w:val="none" w:sz="0" w:space="0" w:color="auto"/>
        <w:bottom w:val="none" w:sz="0" w:space="0" w:color="auto"/>
        <w:right w:val="none" w:sz="0" w:space="0" w:color="auto"/>
      </w:divBdr>
    </w:div>
    <w:div w:id="1525825028">
      <w:bodyDiv w:val="1"/>
      <w:marLeft w:val="0"/>
      <w:marRight w:val="0"/>
      <w:marTop w:val="0"/>
      <w:marBottom w:val="0"/>
      <w:divBdr>
        <w:top w:val="none" w:sz="0" w:space="0" w:color="auto"/>
        <w:left w:val="none" w:sz="0" w:space="0" w:color="auto"/>
        <w:bottom w:val="none" w:sz="0" w:space="0" w:color="auto"/>
        <w:right w:val="none" w:sz="0" w:space="0" w:color="auto"/>
      </w:divBdr>
    </w:div>
    <w:div w:id="1526098410">
      <w:bodyDiv w:val="1"/>
      <w:marLeft w:val="0"/>
      <w:marRight w:val="0"/>
      <w:marTop w:val="0"/>
      <w:marBottom w:val="0"/>
      <w:divBdr>
        <w:top w:val="none" w:sz="0" w:space="0" w:color="auto"/>
        <w:left w:val="none" w:sz="0" w:space="0" w:color="auto"/>
        <w:bottom w:val="none" w:sz="0" w:space="0" w:color="auto"/>
        <w:right w:val="none" w:sz="0" w:space="0" w:color="auto"/>
      </w:divBdr>
    </w:div>
    <w:div w:id="1549102103">
      <w:bodyDiv w:val="1"/>
      <w:marLeft w:val="0"/>
      <w:marRight w:val="0"/>
      <w:marTop w:val="0"/>
      <w:marBottom w:val="0"/>
      <w:divBdr>
        <w:top w:val="none" w:sz="0" w:space="0" w:color="auto"/>
        <w:left w:val="none" w:sz="0" w:space="0" w:color="auto"/>
        <w:bottom w:val="none" w:sz="0" w:space="0" w:color="auto"/>
        <w:right w:val="none" w:sz="0" w:space="0" w:color="auto"/>
      </w:divBdr>
    </w:div>
    <w:div w:id="1561742997">
      <w:bodyDiv w:val="1"/>
      <w:marLeft w:val="0"/>
      <w:marRight w:val="0"/>
      <w:marTop w:val="0"/>
      <w:marBottom w:val="0"/>
      <w:divBdr>
        <w:top w:val="none" w:sz="0" w:space="0" w:color="auto"/>
        <w:left w:val="none" w:sz="0" w:space="0" w:color="auto"/>
        <w:bottom w:val="none" w:sz="0" w:space="0" w:color="auto"/>
        <w:right w:val="none" w:sz="0" w:space="0" w:color="auto"/>
      </w:divBdr>
    </w:div>
    <w:div w:id="1568106783">
      <w:bodyDiv w:val="1"/>
      <w:marLeft w:val="0"/>
      <w:marRight w:val="0"/>
      <w:marTop w:val="0"/>
      <w:marBottom w:val="0"/>
      <w:divBdr>
        <w:top w:val="none" w:sz="0" w:space="0" w:color="auto"/>
        <w:left w:val="none" w:sz="0" w:space="0" w:color="auto"/>
        <w:bottom w:val="none" w:sz="0" w:space="0" w:color="auto"/>
        <w:right w:val="none" w:sz="0" w:space="0" w:color="auto"/>
      </w:divBdr>
    </w:div>
    <w:div w:id="1569262097">
      <w:bodyDiv w:val="1"/>
      <w:marLeft w:val="0"/>
      <w:marRight w:val="0"/>
      <w:marTop w:val="0"/>
      <w:marBottom w:val="0"/>
      <w:divBdr>
        <w:top w:val="none" w:sz="0" w:space="0" w:color="auto"/>
        <w:left w:val="none" w:sz="0" w:space="0" w:color="auto"/>
        <w:bottom w:val="none" w:sz="0" w:space="0" w:color="auto"/>
        <w:right w:val="none" w:sz="0" w:space="0" w:color="auto"/>
      </w:divBdr>
    </w:div>
    <w:div w:id="1578326427">
      <w:bodyDiv w:val="1"/>
      <w:marLeft w:val="0"/>
      <w:marRight w:val="0"/>
      <w:marTop w:val="0"/>
      <w:marBottom w:val="0"/>
      <w:divBdr>
        <w:top w:val="none" w:sz="0" w:space="0" w:color="auto"/>
        <w:left w:val="none" w:sz="0" w:space="0" w:color="auto"/>
        <w:bottom w:val="none" w:sz="0" w:space="0" w:color="auto"/>
        <w:right w:val="none" w:sz="0" w:space="0" w:color="auto"/>
      </w:divBdr>
    </w:div>
    <w:div w:id="1579552831">
      <w:bodyDiv w:val="1"/>
      <w:marLeft w:val="0"/>
      <w:marRight w:val="0"/>
      <w:marTop w:val="0"/>
      <w:marBottom w:val="0"/>
      <w:divBdr>
        <w:top w:val="none" w:sz="0" w:space="0" w:color="auto"/>
        <w:left w:val="none" w:sz="0" w:space="0" w:color="auto"/>
        <w:bottom w:val="none" w:sz="0" w:space="0" w:color="auto"/>
        <w:right w:val="none" w:sz="0" w:space="0" w:color="auto"/>
      </w:divBdr>
    </w:div>
    <w:div w:id="1586574602">
      <w:bodyDiv w:val="1"/>
      <w:marLeft w:val="0"/>
      <w:marRight w:val="0"/>
      <w:marTop w:val="0"/>
      <w:marBottom w:val="0"/>
      <w:divBdr>
        <w:top w:val="none" w:sz="0" w:space="0" w:color="auto"/>
        <w:left w:val="none" w:sz="0" w:space="0" w:color="auto"/>
        <w:bottom w:val="none" w:sz="0" w:space="0" w:color="auto"/>
        <w:right w:val="none" w:sz="0" w:space="0" w:color="auto"/>
      </w:divBdr>
    </w:div>
    <w:div w:id="1588347711">
      <w:bodyDiv w:val="1"/>
      <w:marLeft w:val="0"/>
      <w:marRight w:val="0"/>
      <w:marTop w:val="0"/>
      <w:marBottom w:val="0"/>
      <w:divBdr>
        <w:top w:val="none" w:sz="0" w:space="0" w:color="auto"/>
        <w:left w:val="none" w:sz="0" w:space="0" w:color="auto"/>
        <w:bottom w:val="none" w:sz="0" w:space="0" w:color="auto"/>
        <w:right w:val="none" w:sz="0" w:space="0" w:color="auto"/>
      </w:divBdr>
    </w:div>
    <w:div w:id="1593314798">
      <w:bodyDiv w:val="1"/>
      <w:marLeft w:val="0"/>
      <w:marRight w:val="0"/>
      <w:marTop w:val="0"/>
      <w:marBottom w:val="0"/>
      <w:divBdr>
        <w:top w:val="none" w:sz="0" w:space="0" w:color="auto"/>
        <w:left w:val="none" w:sz="0" w:space="0" w:color="auto"/>
        <w:bottom w:val="none" w:sz="0" w:space="0" w:color="auto"/>
        <w:right w:val="none" w:sz="0" w:space="0" w:color="auto"/>
      </w:divBdr>
    </w:div>
    <w:div w:id="1595432075">
      <w:bodyDiv w:val="1"/>
      <w:marLeft w:val="0"/>
      <w:marRight w:val="0"/>
      <w:marTop w:val="0"/>
      <w:marBottom w:val="0"/>
      <w:divBdr>
        <w:top w:val="none" w:sz="0" w:space="0" w:color="auto"/>
        <w:left w:val="none" w:sz="0" w:space="0" w:color="auto"/>
        <w:bottom w:val="none" w:sz="0" w:space="0" w:color="auto"/>
        <w:right w:val="none" w:sz="0" w:space="0" w:color="auto"/>
      </w:divBdr>
    </w:div>
    <w:div w:id="1596593314">
      <w:bodyDiv w:val="1"/>
      <w:marLeft w:val="0"/>
      <w:marRight w:val="0"/>
      <w:marTop w:val="0"/>
      <w:marBottom w:val="0"/>
      <w:divBdr>
        <w:top w:val="none" w:sz="0" w:space="0" w:color="auto"/>
        <w:left w:val="none" w:sz="0" w:space="0" w:color="auto"/>
        <w:bottom w:val="none" w:sz="0" w:space="0" w:color="auto"/>
        <w:right w:val="none" w:sz="0" w:space="0" w:color="auto"/>
      </w:divBdr>
    </w:div>
    <w:div w:id="1635328429">
      <w:bodyDiv w:val="1"/>
      <w:marLeft w:val="0"/>
      <w:marRight w:val="5"/>
      <w:marTop w:val="0"/>
      <w:marBottom w:val="670"/>
      <w:divBdr>
        <w:top w:val="none" w:sz="0" w:space="0" w:color="auto"/>
        <w:left w:val="none" w:sz="0" w:space="0" w:color="auto"/>
        <w:bottom w:val="none" w:sz="0" w:space="0" w:color="auto"/>
        <w:right w:val="none" w:sz="0" w:space="0" w:color="auto"/>
      </w:divBdr>
      <w:divsChild>
        <w:div w:id="1142767406">
          <w:marLeft w:val="2528"/>
          <w:marRight w:val="0"/>
          <w:marTop w:val="502"/>
          <w:marBottom w:val="335"/>
          <w:divBdr>
            <w:top w:val="none" w:sz="0" w:space="0" w:color="auto"/>
            <w:left w:val="none" w:sz="0" w:space="0" w:color="auto"/>
            <w:bottom w:val="none" w:sz="0" w:space="0" w:color="auto"/>
            <w:right w:val="none" w:sz="0" w:space="0" w:color="auto"/>
          </w:divBdr>
        </w:div>
      </w:divsChild>
    </w:div>
    <w:div w:id="1640695021">
      <w:bodyDiv w:val="1"/>
      <w:marLeft w:val="0"/>
      <w:marRight w:val="0"/>
      <w:marTop w:val="0"/>
      <w:marBottom w:val="0"/>
      <w:divBdr>
        <w:top w:val="none" w:sz="0" w:space="0" w:color="auto"/>
        <w:left w:val="none" w:sz="0" w:space="0" w:color="auto"/>
        <w:bottom w:val="none" w:sz="0" w:space="0" w:color="auto"/>
        <w:right w:val="none" w:sz="0" w:space="0" w:color="auto"/>
      </w:divBdr>
    </w:div>
    <w:div w:id="1645693459">
      <w:bodyDiv w:val="1"/>
      <w:marLeft w:val="0"/>
      <w:marRight w:val="0"/>
      <w:marTop w:val="0"/>
      <w:marBottom w:val="0"/>
      <w:divBdr>
        <w:top w:val="none" w:sz="0" w:space="0" w:color="auto"/>
        <w:left w:val="none" w:sz="0" w:space="0" w:color="auto"/>
        <w:bottom w:val="none" w:sz="0" w:space="0" w:color="auto"/>
        <w:right w:val="none" w:sz="0" w:space="0" w:color="auto"/>
      </w:divBdr>
    </w:div>
    <w:div w:id="1653411361">
      <w:bodyDiv w:val="1"/>
      <w:marLeft w:val="0"/>
      <w:marRight w:val="0"/>
      <w:marTop w:val="0"/>
      <w:marBottom w:val="0"/>
      <w:divBdr>
        <w:top w:val="none" w:sz="0" w:space="0" w:color="auto"/>
        <w:left w:val="none" w:sz="0" w:space="0" w:color="auto"/>
        <w:bottom w:val="none" w:sz="0" w:space="0" w:color="auto"/>
        <w:right w:val="none" w:sz="0" w:space="0" w:color="auto"/>
      </w:divBdr>
    </w:div>
    <w:div w:id="1661689500">
      <w:bodyDiv w:val="1"/>
      <w:marLeft w:val="0"/>
      <w:marRight w:val="0"/>
      <w:marTop w:val="0"/>
      <w:marBottom w:val="0"/>
      <w:divBdr>
        <w:top w:val="none" w:sz="0" w:space="0" w:color="auto"/>
        <w:left w:val="none" w:sz="0" w:space="0" w:color="auto"/>
        <w:bottom w:val="none" w:sz="0" w:space="0" w:color="auto"/>
        <w:right w:val="none" w:sz="0" w:space="0" w:color="auto"/>
      </w:divBdr>
    </w:div>
    <w:div w:id="1663317825">
      <w:bodyDiv w:val="1"/>
      <w:marLeft w:val="0"/>
      <w:marRight w:val="0"/>
      <w:marTop w:val="0"/>
      <w:marBottom w:val="0"/>
      <w:divBdr>
        <w:top w:val="none" w:sz="0" w:space="0" w:color="auto"/>
        <w:left w:val="none" w:sz="0" w:space="0" w:color="auto"/>
        <w:bottom w:val="none" w:sz="0" w:space="0" w:color="auto"/>
        <w:right w:val="none" w:sz="0" w:space="0" w:color="auto"/>
      </w:divBdr>
    </w:div>
    <w:div w:id="1668358904">
      <w:bodyDiv w:val="1"/>
      <w:marLeft w:val="0"/>
      <w:marRight w:val="0"/>
      <w:marTop w:val="0"/>
      <w:marBottom w:val="0"/>
      <w:divBdr>
        <w:top w:val="none" w:sz="0" w:space="0" w:color="auto"/>
        <w:left w:val="none" w:sz="0" w:space="0" w:color="auto"/>
        <w:bottom w:val="none" w:sz="0" w:space="0" w:color="auto"/>
        <w:right w:val="none" w:sz="0" w:space="0" w:color="auto"/>
      </w:divBdr>
    </w:div>
    <w:div w:id="1681085950">
      <w:bodyDiv w:val="1"/>
      <w:marLeft w:val="0"/>
      <w:marRight w:val="0"/>
      <w:marTop w:val="0"/>
      <w:marBottom w:val="0"/>
      <w:divBdr>
        <w:top w:val="none" w:sz="0" w:space="0" w:color="auto"/>
        <w:left w:val="none" w:sz="0" w:space="0" w:color="auto"/>
        <w:bottom w:val="none" w:sz="0" w:space="0" w:color="auto"/>
        <w:right w:val="none" w:sz="0" w:space="0" w:color="auto"/>
      </w:divBdr>
    </w:div>
    <w:div w:id="1682048402">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98047758">
      <w:bodyDiv w:val="1"/>
      <w:marLeft w:val="0"/>
      <w:marRight w:val="0"/>
      <w:marTop w:val="0"/>
      <w:marBottom w:val="0"/>
      <w:divBdr>
        <w:top w:val="none" w:sz="0" w:space="0" w:color="auto"/>
        <w:left w:val="none" w:sz="0" w:space="0" w:color="auto"/>
        <w:bottom w:val="none" w:sz="0" w:space="0" w:color="auto"/>
        <w:right w:val="none" w:sz="0" w:space="0" w:color="auto"/>
      </w:divBdr>
    </w:div>
    <w:div w:id="1703942929">
      <w:bodyDiv w:val="1"/>
      <w:marLeft w:val="0"/>
      <w:marRight w:val="0"/>
      <w:marTop w:val="0"/>
      <w:marBottom w:val="0"/>
      <w:divBdr>
        <w:top w:val="none" w:sz="0" w:space="0" w:color="auto"/>
        <w:left w:val="none" w:sz="0" w:space="0" w:color="auto"/>
        <w:bottom w:val="none" w:sz="0" w:space="0" w:color="auto"/>
        <w:right w:val="none" w:sz="0" w:space="0" w:color="auto"/>
      </w:divBdr>
    </w:div>
    <w:div w:id="1715153371">
      <w:bodyDiv w:val="1"/>
      <w:marLeft w:val="0"/>
      <w:marRight w:val="0"/>
      <w:marTop w:val="0"/>
      <w:marBottom w:val="0"/>
      <w:divBdr>
        <w:top w:val="none" w:sz="0" w:space="0" w:color="auto"/>
        <w:left w:val="none" w:sz="0" w:space="0" w:color="auto"/>
        <w:bottom w:val="none" w:sz="0" w:space="0" w:color="auto"/>
        <w:right w:val="none" w:sz="0" w:space="0" w:color="auto"/>
      </w:divBdr>
    </w:div>
    <w:div w:id="1752893275">
      <w:bodyDiv w:val="1"/>
      <w:marLeft w:val="0"/>
      <w:marRight w:val="0"/>
      <w:marTop w:val="0"/>
      <w:marBottom w:val="0"/>
      <w:divBdr>
        <w:top w:val="none" w:sz="0" w:space="0" w:color="auto"/>
        <w:left w:val="none" w:sz="0" w:space="0" w:color="auto"/>
        <w:bottom w:val="none" w:sz="0" w:space="0" w:color="auto"/>
        <w:right w:val="none" w:sz="0" w:space="0" w:color="auto"/>
      </w:divBdr>
    </w:div>
    <w:div w:id="1759062501">
      <w:bodyDiv w:val="1"/>
      <w:marLeft w:val="0"/>
      <w:marRight w:val="0"/>
      <w:marTop w:val="0"/>
      <w:marBottom w:val="0"/>
      <w:divBdr>
        <w:top w:val="none" w:sz="0" w:space="0" w:color="auto"/>
        <w:left w:val="none" w:sz="0" w:space="0" w:color="auto"/>
        <w:bottom w:val="none" w:sz="0" w:space="0" w:color="auto"/>
        <w:right w:val="none" w:sz="0" w:space="0" w:color="auto"/>
      </w:divBdr>
    </w:div>
    <w:div w:id="1770852520">
      <w:bodyDiv w:val="1"/>
      <w:marLeft w:val="0"/>
      <w:marRight w:val="0"/>
      <w:marTop w:val="0"/>
      <w:marBottom w:val="0"/>
      <w:divBdr>
        <w:top w:val="none" w:sz="0" w:space="0" w:color="auto"/>
        <w:left w:val="none" w:sz="0" w:space="0" w:color="auto"/>
        <w:bottom w:val="none" w:sz="0" w:space="0" w:color="auto"/>
        <w:right w:val="none" w:sz="0" w:space="0" w:color="auto"/>
      </w:divBdr>
    </w:div>
    <w:div w:id="1772159828">
      <w:bodyDiv w:val="1"/>
      <w:marLeft w:val="0"/>
      <w:marRight w:val="0"/>
      <w:marTop w:val="0"/>
      <w:marBottom w:val="0"/>
      <w:divBdr>
        <w:top w:val="none" w:sz="0" w:space="0" w:color="auto"/>
        <w:left w:val="none" w:sz="0" w:space="0" w:color="auto"/>
        <w:bottom w:val="none" w:sz="0" w:space="0" w:color="auto"/>
        <w:right w:val="none" w:sz="0" w:space="0" w:color="auto"/>
      </w:divBdr>
    </w:div>
    <w:div w:id="1780224776">
      <w:bodyDiv w:val="1"/>
      <w:marLeft w:val="0"/>
      <w:marRight w:val="0"/>
      <w:marTop w:val="0"/>
      <w:marBottom w:val="0"/>
      <w:divBdr>
        <w:top w:val="none" w:sz="0" w:space="0" w:color="auto"/>
        <w:left w:val="none" w:sz="0" w:space="0" w:color="auto"/>
        <w:bottom w:val="none" w:sz="0" w:space="0" w:color="auto"/>
        <w:right w:val="none" w:sz="0" w:space="0" w:color="auto"/>
      </w:divBdr>
    </w:div>
    <w:div w:id="1783919352">
      <w:bodyDiv w:val="1"/>
      <w:marLeft w:val="0"/>
      <w:marRight w:val="0"/>
      <w:marTop w:val="0"/>
      <w:marBottom w:val="0"/>
      <w:divBdr>
        <w:top w:val="none" w:sz="0" w:space="0" w:color="auto"/>
        <w:left w:val="none" w:sz="0" w:space="0" w:color="auto"/>
        <w:bottom w:val="none" w:sz="0" w:space="0" w:color="auto"/>
        <w:right w:val="none" w:sz="0" w:space="0" w:color="auto"/>
      </w:divBdr>
    </w:div>
    <w:div w:id="1785029050">
      <w:bodyDiv w:val="1"/>
      <w:marLeft w:val="0"/>
      <w:marRight w:val="0"/>
      <w:marTop w:val="0"/>
      <w:marBottom w:val="0"/>
      <w:divBdr>
        <w:top w:val="none" w:sz="0" w:space="0" w:color="auto"/>
        <w:left w:val="none" w:sz="0" w:space="0" w:color="auto"/>
        <w:bottom w:val="none" w:sz="0" w:space="0" w:color="auto"/>
        <w:right w:val="none" w:sz="0" w:space="0" w:color="auto"/>
      </w:divBdr>
      <w:divsChild>
        <w:div w:id="215747698">
          <w:marLeft w:val="0"/>
          <w:marRight w:val="0"/>
          <w:marTop w:val="0"/>
          <w:marBottom w:val="0"/>
          <w:divBdr>
            <w:top w:val="none" w:sz="0" w:space="0" w:color="auto"/>
            <w:left w:val="none" w:sz="0" w:space="0" w:color="auto"/>
            <w:bottom w:val="none" w:sz="0" w:space="0" w:color="auto"/>
            <w:right w:val="none" w:sz="0" w:space="0" w:color="auto"/>
          </w:divBdr>
        </w:div>
      </w:divsChild>
    </w:div>
    <w:div w:id="1810636144">
      <w:bodyDiv w:val="1"/>
      <w:marLeft w:val="0"/>
      <w:marRight w:val="0"/>
      <w:marTop w:val="0"/>
      <w:marBottom w:val="0"/>
      <w:divBdr>
        <w:top w:val="none" w:sz="0" w:space="0" w:color="auto"/>
        <w:left w:val="none" w:sz="0" w:space="0" w:color="auto"/>
        <w:bottom w:val="none" w:sz="0" w:space="0" w:color="auto"/>
        <w:right w:val="none" w:sz="0" w:space="0" w:color="auto"/>
      </w:divBdr>
    </w:div>
    <w:div w:id="1843081387">
      <w:bodyDiv w:val="1"/>
      <w:marLeft w:val="0"/>
      <w:marRight w:val="0"/>
      <w:marTop w:val="0"/>
      <w:marBottom w:val="0"/>
      <w:divBdr>
        <w:top w:val="none" w:sz="0" w:space="0" w:color="auto"/>
        <w:left w:val="none" w:sz="0" w:space="0" w:color="auto"/>
        <w:bottom w:val="none" w:sz="0" w:space="0" w:color="auto"/>
        <w:right w:val="none" w:sz="0" w:space="0" w:color="auto"/>
      </w:divBdr>
    </w:div>
    <w:div w:id="1867063982">
      <w:bodyDiv w:val="1"/>
      <w:marLeft w:val="0"/>
      <w:marRight w:val="0"/>
      <w:marTop w:val="0"/>
      <w:marBottom w:val="0"/>
      <w:divBdr>
        <w:top w:val="none" w:sz="0" w:space="0" w:color="auto"/>
        <w:left w:val="none" w:sz="0" w:space="0" w:color="auto"/>
        <w:bottom w:val="none" w:sz="0" w:space="0" w:color="auto"/>
        <w:right w:val="none" w:sz="0" w:space="0" w:color="auto"/>
      </w:divBdr>
    </w:div>
    <w:div w:id="1873112622">
      <w:bodyDiv w:val="1"/>
      <w:marLeft w:val="0"/>
      <w:marRight w:val="0"/>
      <w:marTop w:val="0"/>
      <w:marBottom w:val="0"/>
      <w:divBdr>
        <w:top w:val="none" w:sz="0" w:space="0" w:color="auto"/>
        <w:left w:val="none" w:sz="0" w:space="0" w:color="auto"/>
        <w:bottom w:val="none" w:sz="0" w:space="0" w:color="auto"/>
        <w:right w:val="none" w:sz="0" w:space="0" w:color="auto"/>
      </w:divBdr>
    </w:div>
    <w:div w:id="1882017570">
      <w:bodyDiv w:val="1"/>
      <w:marLeft w:val="0"/>
      <w:marRight w:val="0"/>
      <w:marTop w:val="0"/>
      <w:marBottom w:val="0"/>
      <w:divBdr>
        <w:top w:val="none" w:sz="0" w:space="0" w:color="auto"/>
        <w:left w:val="none" w:sz="0" w:space="0" w:color="auto"/>
        <w:bottom w:val="none" w:sz="0" w:space="0" w:color="auto"/>
        <w:right w:val="none" w:sz="0" w:space="0" w:color="auto"/>
      </w:divBdr>
    </w:div>
    <w:div w:id="1889099324">
      <w:bodyDiv w:val="1"/>
      <w:marLeft w:val="0"/>
      <w:marRight w:val="0"/>
      <w:marTop w:val="0"/>
      <w:marBottom w:val="0"/>
      <w:divBdr>
        <w:top w:val="none" w:sz="0" w:space="0" w:color="auto"/>
        <w:left w:val="none" w:sz="0" w:space="0" w:color="auto"/>
        <w:bottom w:val="none" w:sz="0" w:space="0" w:color="auto"/>
        <w:right w:val="none" w:sz="0" w:space="0" w:color="auto"/>
      </w:divBdr>
    </w:div>
    <w:div w:id="1890727435">
      <w:bodyDiv w:val="1"/>
      <w:marLeft w:val="0"/>
      <w:marRight w:val="0"/>
      <w:marTop w:val="0"/>
      <w:marBottom w:val="0"/>
      <w:divBdr>
        <w:top w:val="none" w:sz="0" w:space="0" w:color="auto"/>
        <w:left w:val="none" w:sz="0" w:space="0" w:color="auto"/>
        <w:bottom w:val="none" w:sz="0" w:space="0" w:color="auto"/>
        <w:right w:val="none" w:sz="0" w:space="0" w:color="auto"/>
      </w:divBdr>
      <w:divsChild>
        <w:div w:id="1818643981">
          <w:marLeft w:val="0"/>
          <w:marRight w:val="0"/>
          <w:marTop w:val="0"/>
          <w:marBottom w:val="0"/>
          <w:divBdr>
            <w:top w:val="none" w:sz="0" w:space="0" w:color="auto"/>
            <w:left w:val="none" w:sz="0" w:space="0" w:color="auto"/>
            <w:bottom w:val="none" w:sz="0" w:space="0" w:color="auto"/>
            <w:right w:val="none" w:sz="0" w:space="0" w:color="auto"/>
          </w:divBdr>
        </w:div>
      </w:divsChild>
    </w:div>
    <w:div w:id="1894847767">
      <w:bodyDiv w:val="1"/>
      <w:marLeft w:val="0"/>
      <w:marRight w:val="0"/>
      <w:marTop w:val="0"/>
      <w:marBottom w:val="0"/>
      <w:divBdr>
        <w:top w:val="none" w:sz="0" w:space="0" w:color="auto"/>
        <w:left w:val="none" w:sz="0" w:space="0" w:color="auto"/>
        <w:bottom w:val="none" w:sz="0" w:space="0" w:color="auto"/>
        <w:right w:val="none" w:sz="0" w:space="0" w:color="auto"/>
      </w:divBdr>
    </w:div>
    <w:div w:id="1919292348">
      <w:bodyDiv w:val="1"/>
      <w:marLeft w:val="0"/>
      <w:marRight w:val="0"/>
      <w:marTop w:val="0"/>
      <w:marBottom w:val="0"/>
      <w:divBdr>
        <w:top w:val="none" w:sz="0" w:space="0" w:color="auto"/>
        <w:left w:val="none" w:sz="0" w:space="0" w:color="auto"/>
        <w:bottom w:val="none" w:sz="0" w:space="0" w:color="auto"/>
        <w:right w:val="none" w:sz="0" w:space="0" w:color="auto"/>
      </w:divBdr>
    </w:div>
    <w:div w:id="1925064396">
      <w:bodyDiv w:val="1"/>
      <w:marLeft w:val="0"/>
      <w:marRight w:val="0"/>
      <w:marTop w:val="0"/>
      <w:marBottom w:val="0"/>
      <w:divBdr>
        <w:top w:val="none" w:sz="0" w:space="0" w:color="auto"/>
        <w:left w:val="none" w:sz="0" w:space="0" w:color="auto"/>
        <w:bottom w:val="none" w:sz="0" w:space="0" w:color="auto"/>
        <w:right w:val="none" w:sz="0" w:space="0" w:color="auto"/>
      </w:divBdr>
    </w:div>
    <w:div w:id="1927883251">
      <w:bodyDiv w:val="1"/>
      <w:marLeft w:val="0"/>
      <w:marRight w:val="0"/>
      <w:marTop w:val="0"/>
      <w:marBottom w:val="0"/>
      <w:divBdr>
        <w:top w:val="none" w:sz="0" w:space="0" w:color="auto"/>
        <w:left w:val="none" w:sz="0" w:space="0" w:color="auto"/>
        <w:bottom w:val="none" w:sz="0" w:space="0" w:color="auto"/>
        <w:right w:val="none" w:sz="0" w:space="0" w:color="auto"/>
      </w:divBdr>
    </w:div>
    <w:div w:id="1956019346">
      <w:bodyDiv w:val="1"/>
      <w:marLeft w:val="0"/>
      <w:marRight w:val="0"/>
      <w:marTop w:val="0"/>
      <w:marBottom w:val="0"/>
      <w:divBdr>
        <w:top w:val="none" w:sz="0" w:space="0" w:color="auto"/>
        <w:left w:val="none" w:sz="0" w:space="0" w:color="auto"/>
        <w:bottom w:val="none" w:sz="0" w:space="0" w:color="auto"/>
        <w:right w:val="none" w:sz="0" w:space="0" w:color="auto"/>
      </w:divBdr>
    </w:div>
    <w:div w:id="1975982125">
      <w:bodyDiv w:val="1"/>
      <w:marLeft w:val="0"/>
      <w:marRight w:val="0"/>
      <w:marTop w:val="0"/>
      <w:marBottom w:val="0"/>
      <w:divBdr>
        <w:top w:val="none" w:sz="0" w:space="0" w:color="auto"/>
        <w:left w:val="none" w:sz="0" w:space="0" w:color="auto"/>
        <w:bottom w:val="none" w:sz="0" w:space="0" w:color="auto"/>
        <w:right w:val="none" w:sz="0" w:space="0" w:color="auto"/>
      </w:divBdr>
    </w:div>
    <w:div w:id="1984848239">
      <w:bodyDiv w:val="1"/>
      <w:marLeft w:val="0"/>
      <w:marRight w:val="0"/>
      <w:marTop w:val="0"/>
      <w:marBottom w:val="0"/>
      <w:divBdr>
        <w:top w:val="none" w:sz="0" w:space="0" w:color="auto"/>
        <w:left w:val="none" w:sz="0" w:space="0" w:color="auto"/>
        <w:bottom w:val="none" w:sz="0" w:space="0" w:color="auto"/>
        <w:right w:val="none" w:sz="0" w:space="0" w:color="auto"/>
      </w:divBdr>
    </w:div>
    <w:div w:id="1985115852">
      <w:bodyDiv w:val="1"/>
      <w:marLeft w:val="0"/>
      <w:marRight w:val="0"/>
      <w:marTop w:val="0"/>
      <w:marBottom w:val="0"/>
      <w:divBdr>
        <w:top w:val="none" w:sz="0" w:space="0" w:color="auto"/>
        <w:left w:val="none" w:sz="0" w:space="0" w:color="auto"/>
        <w:bottom w:val="none" w:sz="0" w:space="0" w:color="auto"/>
        <w:right w:val="none" w:sz="0" w:space="0" w:color="auto"/>
      </w:divBdr>
    </w:div>
    <w:div w:id="1992296502">
      <w:bodyDiv w:val="1"/>
      <w:marLeft w:val="0"/>
      <w:marRight w:val="0"/>
      <w:marTop w:val="0"/>
      <w:marBottom w:val="0"/>
      <w:divBdr>
        <w:top w:val="none" w:sz="0" w:space="0" w:color="auto"/>
        <w:left w:val="none" w:sz="0" w:space="0" w:color="auto"/>
        <w:bottom w:val="none" w:sz="0" w:space="0" w:color="auto"/>
        <w:right w:val="none" w:sz="0" w:space="0" w:color="auto"/>
      </w:divBdr>
    </w:div>
    <w:div w:id="2011252227">
      <w:bodyDiv w:val="1"/>
      <w:marLeft w:val="0"/>
      <w:marRight w:val="0"/>
      <w:marTop w:val="0"/>
      <w:marBottom w:val="0"/>
      <w:divBdr>
        <w:top w:val="none" w:sz="0" w:space="0" w:color="auto"/>
        <w:left w:val="none" w:sz="0" w:space="0" w:color="auto"/>
        <w:bottom w:val="none" w:sz="0" w:space="0" w:color="auto"/>
        <w:right w:val="none" w:sz="0" w:space="0" w:color="auto"/>
      </w:divBdr>
    </w:div>
    <w:div w:id="2015257698">
      <w:bodyDiv w:val="1"/>
      <w:marLeft w:val="0"/>
      <w:marRight w:val="0"/>
      <w:marTop w:val="0"/>
      <w:marBottom w:val="0"/>
      <w:divBdr>
        <w:top w:val="none" w:sz="0" w:space="0" w:color="auto"/>
        <w:left w:val="none" w:sz="0" w:space="0" w:color="auto"/>
        <w:bottom w:val="none" w:sz="0" w:space="0" w:color="auto"/>
        <w:right w:val="none" w:sz="0" w:space="0" w:color="auto"/>
      </w:divBdr>
    </w:div>
    <w:div w:id="2046439062">
      <w:bodyDiv w:val="1"/>
      <w:marLeft w:val="0"/>
      <w:marRight w:val="0"/>
      <w:marTop w:val="0"/>
      <w:marBottom w:val="0"/>
      <w:divBdr>
        <w:top w:val="none" w:sz="0" w:space="0" w:color="auto"/>
        <w:left w:val="none" w:sz="0" w:space="0" w:color="auto"/>
        <w:bottom w:val="none" w:sz="0" w:space="0" w:color="auto"/>
        <w:right w:val="none" w:sz="0" w:space="0" w:color="auto"/>
      </w:divBdr>
    </w:div>
    <w:div w:id="2052076706">
      <w:bodyDiv w:val="1"/>
      <w:marLeft w:val="0"/>
      <w:marRight w:val="0"/>
      <w:marTop w:val="0"/>
      <w:marBottom w:val="0"/>
      <w:divBdr>
        <w:top w:val="none" w:sz="0" w:space="0" w:color="auto"/>
        <w:left w:val="none" w:sz="0" w:space="0" w:color="auto"/>
        <w:bottom w:val="none" w:sz="0" w:space="0" w:color="auto"/>
        <w:right w:val="none" w:sz="0" w:space="0" w:color="auto"/>
      </w:divBdr>
    </w:div>
    <w:div w:id="2077048255">
      <w:bodyDiv w:val="1"/>
      <w:marLeft w:val="0"/>
      <w:marRight w:val="0"/>
      <w:marTop w:val="0"/>
      <w:marBottom w:val="0"/>
      <w:divBdr>
        <w:top w:val="none" w:sz="0" w:space="0" w:color="auto"/>
        <w:left w:val="none" w:sz="0" w:space="0" w:color="auto"/>
        <w:bottom w:val="none" w:sz="0" w:space="0" w:color="auto"/>
        <w:right w:val="none" w:sz="0" w:space="0" w:color="auto"/>
      </w:divBdr>
    </w:div>
    <w:div w:id="2091847590">
      <w:bodyDiv w:val="1"/>
      <w:marLeft w:val="0"/>
      <w:marRight w:val="0"/>
      <w:marTop w:val="0"/>
      <w:marBottom w:val="0"/>
      <w:divBdr>
        <w:top w:val="none" w:sz="0" w:space="0" w:color="auto"/>
        <w:left w:val="none" w:sz="0" w:space="0" w:color="auto"/>
        <w:bottom w:val="none" w:sz="0" w:space="0" w:color="auto"/>
        <w:right w:val="none" w:sz="0" w:space="0" w:color="auto"/>
      </w:divBdr>
    </w:div>
    <w:div w:id="2106420927">
      <w:bodyDiv w:val="1"/>
      <w:marLeft w:val="0"/>
      <w:marRight w:val="0"/>
      <w:marTop w:val="0"/>
      <w:marBottom w:val="0"/>
      <w:divBdr>
        <w:top w:val="none" w:sz="0" w:space="0" w:color="auto"/>
        <w:left w:val="none" w:sz="0" w:space="0" w:color="auto"/>
        <w:bottom w:val="none" w:sz="0" w:space="0" w:color="auto"/>
        <w:right w:val="none" w:sz="0" w:space="0" w:color="auto"/>
      </w:divBdr>
    </w:div>
    <w:div w:id="2115585518">
      <w:bodyDiv w:val="1"/>
      <w:marLeft w:val="0"/>
      <w:marRight w:val="0"/>
      <w:marTop w:val="0"/>
      <w:marBottom w:val="0"/>
      <w:divBdr>
        <w:top w:val="none" w:sz="0" w:space="0" w:color="auto"/>
        <w:left w:val="none" w:sz="0" w:space="0" w:color="auto"/>
        <w:bottom w:val="none" w:sz="0" w:space="0" w:color="auto"/>
        <w:right w:val="none" w:sz="0" w:space="0" w:color="auto"/>
      </w:divBdr>
    </w:div>
    <w:div w:id="2125610995">
      <w:bodyDiv w:val="1"/>
      <w:marLeft w:val="0"/>
      <w:marRight w:val="0"/>
      <w:marTop w:val="0"/>
      <w:marBottom w:val="0"/>
      <w:divBdr>
        <w:top w:val="none" w:sz="0" w:space="0" w:color="auto"/>
        <w:left w:val="none" w:sz="0" w:space="0" w:color="auto"/>
        <w:bottom w:val="none" w:sz="0" w:space="0" w:color="auto"/>
        <w:right w:val="none" w:sz="0" w:space="0" w:color="auto"/>
      </w:divBdr>
    </w:div>
    <w:div w:id="2128114287">
      <w:bodyDiv w:val="1"/>
      <w:marLeft w:val="0"/>
      <w:marRight w:val="0"/>
      <w:marTop w:val="0"/>
      <w:marBottom w:val="0"/>
      <w:divBdr>
        <w:top w:val="none" w:sz="0" w:space="0" w:color="auto"/>
        <w:left w:val="none" w:sz="0" w:space="0" w:color="auto"/>
        <w:bottom w:val="none" w:sz="0" w:space="0" w:color="auto"/>
        <w:right w:val="none" w:sz="0" w:space="0" w:color="auto"/>
      </w:divBdr>
    </w:div>
    <w:div w:id="2129543991">
      <w:bodyDiv w:val="1"/>
      <w:marLeft w:val="0"/>
      <w:marRight w:val="0"/>
      <w:marTop w:val="0"/>
      <w:marBottom w:val="0"/>
      <w:divBdr>
        <w:top w:val="none" w:sz="0" w:space="0" w:color="auto"/>
        <w:left w:val="none" w:sz="0" w:space="0" w:color="auto"/>
        <w:bottom w:val="none" w:sz="0" w:space="0" w:color="auto"/>
        <w:right w:val="none" w:sz="0" w:space="0" w:color="auto"/>
      </w:divBdr>
    </w:div>
    <w:div w:id="2130515792">
      <w:bodyDiv w:val="1"/>
      <w:marLeft w:val="0"/>
      <w:marRight w:val="0"/>
      <w:marTop w:val="0"/>
      <w:marBottom w:val="0"/>
      <w:divBdr>
        <w:top w:val="none" w:sz="0" w:space="0" w:color="auto"/>
        <w:left w:val="none" w:sz="0" w:space="0" w:color="auto"/>
        <w:bottom w:val="none" w:sz="0" w:space="0" w:color="auto"/>
        <w:right w:val="none" w:sz="0" w:space="0" w:color="auto"/>
      </w:divBdr>
    </w:div>
    <w:div w:id="2134443892">
      <w:bodyDiv w:val="1"/>
      <w:marLeft w:val="0"/>
      <w:marRight w:val="0"/>
      <w:marTop w:val="0"/>
      <w:marBottom w:val="0"/>
      <w:divBdr>
        <w:top w:val="none" w:sz="0" w:space="0" w:color="auto"/>
        <w:left w:val="none" w:sz="0" w:space="0" w:color="auto"/>
        <w:bottom w:val="none" w:sz="0" w:space="0" w:color="auto"/>
        <w:right w:val="none" w:sz="0" w:space="0" w:color="auto"/>
      </w:divBdr>
    </w:div>
    <w:div w:id="21471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pa.gov/enviro/"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hgdata.epa.gov/ghgp/mai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28" ma:contentTypeDescription="Create a new document." ma:contentTypeScope="" ma:versionID="c1978f7b572f27a915155af5319e19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bacc102681b41cb41919114111e7db5d"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2018-09-24T04:00:00+00:00</Document_x0020_Creation_x0020_Date>
    <EPA_x0020_Office xmlns="4ffa91fb-a0ff-4ac5-b2db-65c790d184a4">OAR-OAP-CCD-GGRPB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Schmeltz, Rachel</DisplayName>
        <AccountId>5940</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1966C-AEEB-4B68-B261-6B1D19F2F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689A1-907A-4FF6-8EC1-9720257E073A}">
  <ds:schemaRefs>
    <ds:schemaRef ds:uri="Microsoft.SharePoint.Taxonomy.ContentTypeSync"/>
  </ds:schemaRefs>
</ds:datastoreItem>
</file>

<file path=customXml/itemProps3.xml><?xml version="1.0" encoding="utf-8"?>
<ds:datastoreItem xmlns:ds="http://schemas.openxmlformats.org/officeDocument/2006/customXml" ds:itemID="{4BCD9044-14D8-46EA-A438-617B98CFF092}">
  <ds:schemaRefs>
    <ds:schemaRef ds:uri="http://schemas.microsoft.com/sharepoint/v3/contenttype/forms"/>
  </ds:schemaRefs>
</ds:datastoreItem>
</file>

<file path=customXml/itemProps4.xml><?xml version="1.0" encoding="utf-8"?>
<ds:datastoreItem xmlns:ds="http://schemas.openxmlformats.org/officeDocument/2006/customXml" ds:itemID="{6FE1BF44-D2B5-44D5-902B-9E656C702F4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C6DEBFFC-A6A5-4C96-AA7C-89E98E24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11427</Words>
  <Characters>65135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RTI International</Company>
  <LinksUpToDate>false</LinksUpToDate>
  <CharactersWithSpaces>76410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Master, Barbora</dc:creator>
  <cp:keywords/>
  <dc:description/>
  <cp:lastModifiedBy>SYSTEM</cp:lastModifiedBy>
  <cp:revision>2</cp:revision>
  <cp:lastPrinted>2019-09-16T16:22:00Z</cp:lastPrinted>
  <dcterms:created xsi:type="dcterms:W3CDTF">2019-09-20T10:07:00Z</dcterms:created>
  <dcterms:modified xsi:type="dcterms:W3CDTF">2019-09-20T10:07:00Z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AuthorIds_UIVersion_23040">
    <vt:lpwstr>10089</vt:lpwstr>
  </property>
</Properties>
</file>