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68C1C" w14:textId="6AAB1C88" w:rsidR="001B33C2" w:rsidRPr="007B7746" w:rsidRDefault="001B33C2" w:rsidP="00EC5271">
      <w:pPr>
        <w:numPr>
          <w:ilvl w:val="0"/>
          <w:numId w:val="5"/>
        </w:numPr>
        <w:spacing w:after="720" w:line="240" w:lineRule="auto"/>
        <w:contextualSpacing/>
        <w:jc w:val="both"/>
        <w:rPr>
          <w:rFonts w:ascii="Times New Roman" w:eastAsia="Times New Roman" w:hAnsi="Times New Roman" w:cs="Times New Roman"/>
          <w:sz w:val="24"/>
          <w:szCs w:val="24"/>
        </w:rPr>
      </w:pPr>
      <w:bookmarkStart w:id="0" w:name="_GoBack"/>
      <w:bookmarkEnd w:id="0"/>
      <w:r w:rsidRPr="007B7746">
        <w:rPr>
          <w:rFonts w:ascii="Times New Roman" w:eastAsia="Times New Roman" w:hAnsi="Times New Roman" w:cs="Times New Roman"/>
          <w:bCs/>
          <w:sz w:val="24"/>
          <w:szCs w:val="24"/>
        </w:rPr>
        <w:t>Explain the circumstances</w:t>
      </w:r>
      <w:r w:rsidRPr="007B7746">
        <w:rPr>
          <w:rFonts w:ascii="Times New Roman" w:eastAsia="Times New Roman" w:hAnsi="Times New Roman" w:cs="Times New Roman"/>
          <w:sz w:val="24"/>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7B7746">
        <w:rPr>
          <w:rFonts w:ascii="Times New Roman" w:eastAsia="Times New Roman" w:hAnsi="Times New Roman" w:cs="Times New Roman"/>
          <w:sz w:val="24"/>
          <w:szCs w:val="24"/>
          <w:vertAlign w:val="superscript"/>
        </w:rPr>
        <w:footnoteReference w:id="1"/>
      </w:r>
      <w:r w:rsidRPr="007B7746">
        <w:rPr>
          <w:rFonts w:ascii="Times New Roman" w:eastAsia="Times New Roman" w:hAnsi="Times New Roman" w:cs="Times New Roman"/>
          <w:sz w:val="24"/>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2909BA15" w14:textId="77777777" w:rsidR="00C452C9" w:rsidRPr="007B7746" w:rsidRDefault="00C452C9" w:rsidP="00EC5271">
      <w:pPr>
        <w:spacing w:after="720" w:line="240" w:lineRule="auto"/>
        <w:ind w:left="720" w:hanging="360"/>
        <w:contextualSpacing/>
        <w:jc w:val="both"/>
        <w:rPr>
          <w:rFonts w:ascii="Times New Roman" w:eastAsia="Times New Roman" w:hAnsi="Times New Roman" w:cs="Times New Roman"/>
          <w:sz w:val="24"/>
          <w:szCs w:val="24"/>
        </w:rPr>
      </w:pPr>
    </w:p>
    <w:p w14:paraId="75347C09" w14:textId="71EED23D" w:rsidR="00620632" w:rsidRPr="007B7746" w:rsidRDefault="00F23CED" w:rsidP="00620632">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This </w:t>
      </w:r>
      <w:r w:rsidR="00C33D89">
        <w:rPr>
          <w:rFonts w:ascii="Times New Roman" w:hAnsi="Times New Roman" w:cs="Times New Roman"/>
          <w:sz w:val="24"/>
          <w:szCs w:val="24"/>
        </w:rPr>
        <w:t>is a revision to the previous collection because t</w:t>
      </w:r>
      <w:r w:rsidR="00C33D89" w:rsidRPr="00C33D89">
        <w:rPr>
          <w:rFonts w:ascii="Times New Roman" w:hAnsi="Times New Roman" w:cs="Times New Roman"/>
          <w:sz w:val="24"/>
          <w:szCs w:val="24"/>
        </w:rPr>
        <w:t>here is an adjustment in the reporting burden calculation due to correcting the number of accrediting agencies required to submit data from 64 to 53</w:t>
      </w:r>
      <w:r w:rsidR="00C33D89">
        <w:rPr>
          <w:rFonts w:ascii="Times New Roman" w:hAnsi="Times New Roman" w:cs="Times New Roman"/>
          <w:sz w:val="24"/>
          <w:szCs w:val="24"/>
        </w:rPr>
        <w:t xml:space="preserve">.  </w:t>
      </w:r>
      <w:r w:rsidR="00CF0A04">
        <w:rPr>
          <w:rFonts w:ascii="Times New Roman" w:hAnsi="Times New Roman" w:cs="Times New Roman"/>
          <w:sz w:val="24"/>
          <w:szCs w:val="24"/>
        </w:rPr>
        <w:t>T</w:t>
      </w:r>
      <w:r w:rsidR="00620632" w:rsidRPr="007B7746">
        <w:rPr>
          <w:rFonts w:ascii="Times New Roman" w:hAnsi="Times New Roman" w:cs="Times New Roman"/>
          <w:sz w:val="24"/>
          <w:szCs w:val="24"/>
        </w:rPr>
        <w:t>he Secretary of Education is authorized by 34 CFR 602 to recognize accrediting agencies to ensure that these agencies are, for the purposes of the Higher Education Act of 1965, as amended (HEA), or for other Federal purposes, reliable authorities regarding the quality of education or training offered by the institutions or programs they accredit.  Federal regulations (</w:t>
      </w:r>
      <w:bookmarkStart w:id="1" w:name="_Hlk14950019"/>
      <w:r w:rsidR="00620632" w:rsidRPr="007B7746">
        <w:rPr>
          <w:rFonts w:ascii="Times New Roman" w:hAnsi="Times New Roman" w:cs="Times New Roman"/>
          <w:sz w:val="24"/>
          <w:szCs w:val="24"/>
        </w:rPr>
        <w:t>34 CFR 602.26</w:t>
      </w:r>
      <w:bookmarkEnd w:id="1"/>
      <w:r w:rsidR="00EF67E2">
        <w:rPr>
          <w:rFonts w:ascii="Times New Roman" w:hAnsi="Times New Roman" w:cs="Times New Roman"/>
          <w:sz w:val="24"/>
          <w:szCs w:val="24"/>
        </w:rPr>
        <w:t xml:space="preserve"> and</w:t>
      </w:r>
      <w:r w:rsidR="00755F46">
        <w:rPr>
          <w:rFonts w:ascii="Times New Roman" w:hAnsi="Times New Roman" w:cs="Times New Roman"/>
          <w:sz w:val="24"/>
          <w:szCs w:val="24"/>
        </w:rPr>
        <w:t xml:space="preserve"> 602.27</w:t>
      </w:r>
      <w:r w:rsidR="00620632" w:rsidRPr="007B7746">
        <w:rPr>
          <w:rFonts w:ascii="Times New Roman" w:hAnsi="Times New Roman" w:cs="Times New Roman"/>
          <w:sz w:val="24"/>
          <w:szCs w:val="24"/>
        </w:rPr>
        <w:t>) outline information that accrediting agencies must report to the Department of Education on a timely basis in order to support the Department’s oversight role, including information on accreditation actions taken with regard to institutions and programs.   This information collectio</w:t>
      </w:r>
      <w:r w:rsidR="00755F46">
        <w:rPr>
          <w:rFonts w:ascii="Times New Roman" w:hAnsi="Times New Roman" w:cs="Times New Roman"/>
          <w:sz w:val="24"/>
          <w:szCs w:val="24"/>
        </w:rPr>
        <w:t>n</w:t>
      </w:r>
      <w:r w:rsidR="00143A22">
        <w:rPr>
          <w:rFonts w:ascii="Times New Roman" w:hAnsi="Times New Roman" w:cs="Times New Roman"/>
          <w:sz w:val="24"/>
          <w:szCs w:val="24"/>
        </w:rPr>
        <w:t xml:space="preserve"> </w:t>
      </w:r>
      <w:r w:rsidR="00620632" w:rsidRPr="007B7746">
        <w:rPr>
          <w:rFonts w:ascii="Times New Roman" w:hAnsi="Times New Roman" w:cs="Times New Roman"/>
          <w:sz w:val="24"/>
          <w:szCs w:val="24"/>
        </w:rPr>
        <w:t>clarifies the categories of actions taken by accreditors, the reporting required or requested on those actions, and the format for submitting the information.</w:t>
      </w:r>
    </w:p>
    <w:p w14:paraId="79875F40" w14:textId="77777777" w:rsidR="004202B5" w:rsidRPr="007B7746" w:rsidRDefault="004202B5" w:rsidP="004202B5">
      <w:pPr>
        <w:spacing w:line="240" w:lineRule="auto"/>
        <w:ind w:left="720"/>
        <w:contextualSpacing/>
        <w:jc w:val="both"/>
        <w:rPr>
          <w:rFonts w:ascii="Times New Roman" w:hAnsi="Times New Roman" w:cs="Times New Roman"/>
          <w:sz w:val="24"/>
          <w:szCs w:val="24"/>
        </w:rPr>
      </w:pPr>
    </w:p>
    <w:p w14:paraId="595E0F5D" w14:textId="77777777" w:rsidR="000018E8" w:rsidRPr="007B7746" w:rsidRDefault="00EC5271" w:rsidP="004202B5">
      <w:pPr>
        <w:spacing w:line="240" w:lineRule="auto"/>
        <w:ind w:left="720"/>
        <w:contextualSpacing/>
        <w:jc w:val="both"/>
        <w:rPr>
          <w:rFonts w:ascii="Times New Roman" w:hAnsi="Times New Roman" w:cs="Times New Roman"/>
          <w:sz w:val="24"/>
          <w:szCs w:val="24"/>
        </w:rPr>
      </w:pPr>
      <w:r w:rsidRPr="007B7746">
        <w:rPr>
          <w:rFonts w:ascii="Times New Roman" w:hAnsi="Times New Roman" w:cs="Times New Roman"/>
          <w:sz w:val="24"/>
          <w:szCs w:val="24"/>
        </w:rPr>
        <w:t xml:space="preserve">20 U.S.C. 1099b </w:t>
      </w:r>
      <w:r w:rsidR="000018E8" w:rsidRPr="007B7746">
        <w:rPr>
          <w:rFonts w:ascii="Times New Roman" w:hAnsi="Times New Roman" w:cs="Times New Roman"/>
          <w:sz w:val="24"/>
          <w:szCs w:val="24"/>
        </w:rPr>
        <w:t>Criteria Required:</w:t>
      </w:r>
    </w:p>
    <w:p w14:paraId="08803908" w14:textId="77777777" w:rsidR="00EC5271" w:rsidRPr="007B7746" w:rsidRDefault="00EC5271" w:rsidP="00EC5271">
      <w:pPr>
        <w:spacing w:line="240" w:lineRule="auto"/>
        <w:ind w:left="720" w:hanging="360"/>
        <w:contextualSpacing/>
        <w:jc w:val="both"/>
        <w:rPr>
          <w:rFonts w:ascii="Times New Roman" w:hAnsi="Times New Roman" w:cs="Times New Roman"/>
          <w:sz w:val="24"/>
          <w:szCs w:val="24"/>
        </w:rPr>
      </w:pPr>
    </w:p>
    <w:p w14:paraId="3A189E01" w14:textId="77777777" w:rsidR="000018E8" w:rsidRPr="007B7746" w:rsidRDefault="000018E8" w:rsidP="00EC5271">
      <w:pPr>
        <w:spacing w:line="240" w:lineRule="auto"/>
        <w:ind w:left="720"/>
        <w:contextualSpacing/>
        <w:jc w:val="both"/>
        <w:rPr>
          <w:rFonts w:ascii="Times New Roman" w:hAnsi="Times New Roman" w:cs="Times New Roman"/>
          <w:sz w:val="24"/>
          <w:szCs w:val="24"/>
        </w:rPr>
      </w:pPr>
      <w:r w:rsidRPr="007B7746">
        <w:rPr>
          <w:rFonts w:ascii="Times New Roman" w:hAnsi="Times New Roman" w:cs="Times New Roman"/>
          <w:sz w:val="24"/>
          <w:szCs w:val="24"/>
        </w:rPr>
        <w:t>No accrediting agency or association may be determined by the Secretary to be a reliable authority as to the quality of education or training offered for the purposes of this chapter and part C of subchapter I of chapter 34 of title 42 or for other Federal purposes, unless the agency or association meets criteria established by the Secretary pursuant to this section. The Secretary shall, after notice and opportunity for a hearing, establish criteria for such determinations. Such criteria shall include an appropriate measure or measures of student achievement. Such criteria shall require that—</w:t>
      </w:r>
    </w:p>
    <w:p w14:paraId="5D726BBF" w14:textId="77777777" w:rsidR="000018E8" w:rsidRPr="007B7746" w:rsidRDefault="000018E8" w:rsidP="00EC5271">
      <w:pPr>
        <w:spacing w:line="240" w:lineRule="auto"/>
        <w:ind w:left="720"/>
        <w:contextualSpacing/>
        <w:jc w:val="both"/>
        <w:rPr>
          <w:rFonts w:ascii="Times New Roman" w:hAnsi="Times New Roman" w:cs="Times New Roman"/>
          <w:sz w:val="24"/>
          <w:szCs w:val="24"/>
        </w:rPr>
      </w:pPr>
      <w:r w:rsidRPr="007B7746">
        <w:rPr>
          <w:rFonts w:ascii="Times New Roman" w:hAnsi="Times New Roman" w:cs="Times New Roman"/>
          <w:sz w:val="24"/>
          <w:szCs w:val="24"/>
        </w:rPr>
        <w:t>(excerpted sections 7 &amp; 8)</w:t>
      </w:r>
    </w:p>
    <w:p w14:paraId="099C60FF" w14:textId="77777777" w:rsidR="00EC5271" w:rsidRPr="007B7746" w:rsidRDefault="00EC5271" w:rsidP="00EC5271">
      <w:pPr>
        <w:spacing w:line="240" w:lineRule="auto"/>
        <w:ind w:left="720" w:hanging="360"/>
        <w:contextualSpacing/>
        <w:jc w:val="both"/>
        <w:rPr>
          <w:rFonts w:ascii="Times New Roman" w:hAnsi="Times New Roman" w:cs="Times New Roman"/>
          <w:sz w:val="24"/>
          <w:szCs w:val="24"/>
        </w:rPr>
      </w:pPr>
    </w:p>
    <w:p w14:paraId="4F41CB9C" w14:textId="77777777" w:rsidR="000018E8" w:rsidRPr="007B7746" w:rsidRDefault="000018E8" w:rsidP="00143A22">
      <w:pPr>
        <w:spacing w:line="240" w:lineRule="auto"/>
        <w:ind w:left="1440"/>
        <w:contextualSpacing/>
        <w:jc w:val="both"/>
        <w:rPr>
          <w:rFonts w:ascii="Times New Roman" w:hAnsi="Times New Roman" w:cs="Times New Roman"/>
          <w:sz w:val="24"/>
          <w:szCs w:val="24"/>
        </w:rPr>
      </w:pPr>
      <w:r w:rsidRPr="007B7746">
        <w:rPr>
          <w:rFonts w:ascii="Times New Roman" w:hAnsi="Times New Roman" w:cs="Times New Roman"/>
          <w:sz w:val="24"/>
          <w:szCs w:val="24"/>
        </w:rPr>
        <w:t>(7) such agency or association shall notify the Secretary and the appropriate State licensing or authorizing agency within 30 days of the accreditation of an institution or any final denial, withdrawal, suspension, or termination of accreditation or placement on probation of an institution, together with any other adverse action taken with respect to an institution; and</w:t>
      </w:r>
    </w:p>
    <w:p w14:paraId="2A2D099F" w14:textId="77777777" w:rsidR="00EC5271" w:rsidRPr="007B7746" w:rsidRDefault="00EC5271" w:rsidP="00143A22">
      <w:pPr>
        <w:spacing w:line="240" w:lineRule="auto"/>
        <w:ind w:left="1440" w:hanging="360"/>
        <w:contextualSpacing/>
        <w:jc w:val="both"/>
        <w:rPr>
          <w:rFonts w:ascii="Times New Roman" w:hAnsi="Times New Roman" w:cs="Times New Roman"/>
          <w:sz w:val="24"/>
          <w:szCs w:val="24"/>
        </w:rPr>
      </w:pPr>
    </w:p>
    <w:p w14:paraId="1CD6EC76" w14:textId="77777777" w:rsidR="000018E8" w:rsidRPr="007B7746" w:rsidRDefault="000018E8" w:rsidP="00143A22">
      <w:pPr>
        <w:spacing w:line="240" w:lineRule="auto"/>
        <w:ind w:left="1440"/>
        <w:contextualSpacing/>
        <w:jc w:val="both"/>
        <w:rPr>
          <w:rFonts w:ascii="Times New Roman" w:hAnsi="Times New Roman" w:cs="Times New Roman"/>
          <w:sz w:val="24"/>
          <w:szCs w:val="24"/>
        </w:rPr>
      </w:pPr>
      <w:r w:rsidRPr="007B7746">
        <w:rPr>
          <w:rFonts w:ascii="Times New Roman" w:hAnsi="Times New Roman" w:cs="Times New Roman"/>
          <w:sz w:val="24"/>
          <w:szCs w:val="24"/>
        </w:rPr>
        <w:lastRenderedPageBreak/>
        <w:t>(8) such agency or association shall make available to the public, upon request, and to the Secretary, and the State licensing or authorizing agency a summary of any review resulting in a final accrediting decision involving denial, termination, or suspension of accreditation, together with the comments of the affected institution.</w:t>
      </w:r>
    </w:p>
    <w:p w14:paraId="7C3A1A38" w14:textId="77777777" w:rsidR="0040405E" w:rsidRPr="007B7746" w:rsidRDefault="0040405E" w:rsidP="00EC5271">
      <w:pPr>
        <w:spacing w:line="240" w:lineRule="auto"/>
        <w:ind w:left="720"/>
        <w:contextualSpacing/>
        <w:jc w:val="both"/>
        <w:rPr>
          <w:rFonts w:ascii="Times New Roman" w:hAnsi="Times New Roman" w:cs="Times New Roman"/>
          <w:sz w:val="24"/>
          <w:szCs w:val="24"/>
        </w:rPr>
      </w:pPr>
    </w:p>
    <w:p w14:paraId="5C0CCEC1" w14:textId="77777777" w:rsidR="00E42282" w:rsidRPr="007B7746" w:rsidRDefault="00E42282" w:rsidP="001B33C2">
      <w:pPr>
        <w:numPr>
          <w:ilvl w:val="0"/>
          <w:numId w:val="5"/>
        </w:num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Indicate how, by whom, and for what purpose the information is to be used.  Except for a new collection, indicate the actual use the agency has made of the information receiv</w:t>
      </w:r>
      <w:r w:rsidR="00C452C9" w:rsidRPr="007B7746">
        <w:rPr>
          <w:rFonts w:ascii="Times New Roman" w:eastAsia="Times New Roman" w:hAnsi="Times New Roman" w:cs="Times New Roman"/>
          <w:sz w:val="24"/>
          <w:szCs w:val="24"/>
        </w:rPr>
        <w:t>ed from the current collection.</w:t>
      </w:r>
    </w:p>
    <w:p w14:paraId="7264980E" w14:textId="77777777" w:rsidR="004202B5" w:rsidRPr="007B7746" w:rsidRDefault="004202B5"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26B4A14A" w14:textId="77777777" w:rsidR="00F133D0" w:rsidRDefault="00F133D0"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7A9C5C8F" w14:textId="22A50D88" w:rsidR="004202B5" w:rsidRPr="007B7746" w:rsidRDefault="00FD6725"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w:t>
      </w:r>
      <w:r w:rsidRPr="007B7746">
        <w:rPr>
          <w:rFonts w:ascii="Times New Roman" w:hAnsi="Times New Roman" w:cs="Times New Roman"/>
          <w:sz w:val="24"/>
          <w:szCs w:val="24"/>
        </w:rPr>
        <w:t>34 CFR 602.2</w:t>
      </w:r>
      <w:r w:rsidR="00755F46">
        <w:rPr>
          <w:rFonts w:ascii="Times New Roman" w:hAnsi="Times New Roman" w:cs="Times New Roman"/>
          <w:sz w:val="24"/>
          <w:szCs w:val="24"/>
        </w:rPr>
        <w:t>6</w:t>
      </w:r>
      <w:r w:rsidR="00EF67E2">
        <w:rPr>
          <w:rFonts w:ascii="Times New Roman" w:hAnsi="Times New Roman" w:cs="Times New Roman"/>
          <w:sz w:val="24"/>
          <w:szCs w:val="24"/>
        </w:rPr>
        <w:t xml:space="preserve"> and</w:t>
      </w:r>
      <w:r w:rsidR="00755F46">
        <w:rPr>
          <w:rFonts w:ascii="Times New Roman" w:hAnsi="Times New Roman" w:cs="Times New Roman"/>
          <w:sz w:val="24"/>
          <w:szCs w:val="24"/>
        </w:rPr>
        <w:t xml:space="preserve"> 602.27</w:t>
      </w:r>
      <w:r>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004202B5" w:rsidRPr="007B7746">
        <w:rPr>
          <w:rFonts w:ascii="Times New Roman" w:eastAsia="Times New Roman" w:hAnsi="Times New Roman" w:cs="Times New Roman"/>
          <w:sz w:val="24"/>
          <w:szCs w:val="24"/>
        </w:rPr>
        <w:t xml:space="preserve">nformation </w:t>
      </w:r>
      <w:r w:rsidR="00C845F2" w:rsidRPr="007B7746">
        <w:rPr>
          <w:rFonts w:ascii="Times New Roman" w:eastAsia="Times New Roman" w:hAnsi="Times New Roman" w:cs="Times New Roman"/>
          <w:sz w:val="24"/>
          <w:szCs w:val="24"/>
        </w:rPr>
        <w:t xml:space="preserve">that </w:t>
      </w:r>
      <w:r w:rsidR="004202B5" w:rsidRPr="007B7746">
        <w:rPr>
          <w:rFonts w:ascii="Times New Roman" w:eastAsia="Times New Roman" w:hAnsi="Times New Roman" w:cs="Times New Roman"/>
          <w:sz w:val="24"/>
          <w:szCs w:val="24"/>
        </w:rPr>
        <w:t xml:space="preserve">accrediting agencies </w:t>
      </w:r>
      <w:r w:rsidR="00C845F2" w:rsidRPr="007B7746">
        <w:rPr>
          <w:rFonts w:ascii="Times New Roman" w:eastAsia="Times New Roman" w:hAnsi="Times New Roman" w:cs="Times New Roman"/>
          <w:sz w:val="24"/>
          <w:szCs w:val="24"/>
        </w:rPr>
        <w:t>are required to</w:t>
      </w:r>
      <w:r w:rsidR="004202B5" w:rsidRPr="007B7746">
        <w:rPr>
          <w:rFonts w:ascii="Times New Roman" w:eastAsia="Times New Roman" w:hAnsi="Times New Roman" w:cs="Times New Roman"/>
          <w:sz w:val="24"/>
          <w:szCs w:val="24"/>
        </w:rPr>
        <w:t xml:space="preserve"> submit to </w:t>
      </w:r>
      <w:r>
        <w:rPr>
          <w:rFonts w:ascii="Times New Roman" w:eastAsia="Times New Roman" w:hAnsi="Times New Roman" w:cs="Times New Roman"/>
          <w:sz w:val="24"/>
          <w:szCs w:val="24"/>
        </w:rPr>
        <w:t>US</w:t>
      </w:r>
      <w:r w:rsidR="004202B5" w:rsidRPr="007B7746">
        <w:rPr>
          <w:rFonts w:ascii="Times New Roman" w:eastAsia="Times New Roman" w:hAnsi="Times New Roman" w:cs="Times New Roman"/>
          <w:sz w:val="24"/>
          <w:szCs w:val="24"/>
        </w:rPr>
        <w:t xml:space="preserve">ED </w:t>
      </w:r>
      <w:r w:rsidR="00C845F2" w:rsidRPr="007B7746">
        <w:rPr>
          <w:rFonts w:ascii="Times New Roman" w:eastAsia="Times New Roman" w:hAnsi="Times New Roman" w:cs="Times New Roman"/>
          <w:sz w:val="24"/>
          <w:szCs w:val="24"/>
        </w:rPr>
        <w:t>allows the Department</w:t>
      </w:r>
      <w:r w:rsidR="004202B5" w:rsidRPr="007B7746">
        <w:rPr>
          <w:rFonts w:ascii="Times New Roman" w:eastAsia="Times New Roman" w:hAnsi="Times New Roman" w:cs="Times New Roman"/>
          <w:sz w:val="24"/>
          <w:szCs w:val="24"/>
        </w:rPr>
        <w:t xml:space="preserve"> </w:t>
      </w:r>
      <w:r w:rsidR="00C845F2" w:rsidRPr="007B7746">
        <w:rPr>
          <w:rFonts w:ascii="Times New Roman" w:eastAsia="Times New Roman" w:hAnsi="Times New Roman" w:cs="Times New Roman"/>
          <w:sz w:val="24"/>
          <w:szCs w:val="24"/>
        </w:rPr>
        <w:t xml:space="preserve">to </w:t>
      </w:r>
      <w:r w:rsidR="004202B5" w:rsidRPr="007B7746">
        <w:rPr>
          <w:rFonts w:ascii="Times New Roman" w:eastAsia="Times New Roman" w:hAnsi="Times New Roman" w:cs="Times New Roman"/>
          <w:sz w:val="24"/>
          <w:szCs w:val="24"/>
        </w:rPr>
        <w:t>tak</w:t>
      </w:r>
      <w:r w:rsidR="00C845F2" w:rsidRPr="007B7746">
        <w:rPr>
          <w:rFonts w:ascii="Times New Roman" w:eastAsia="Times New Roman" w:hAnsi="Times New Roman" w:cs="Times New Roman"/>
          <w:sz w:val="24"/>
          <w:szCs w:val="24"/>
        </w:rPr>
        <w:t>e</w:t>
      </w:r>
      <w:r w:rsidR="004202B5" w:rsidRPr="007B7746">
        <w:rPr>
          <w:rFonts w:ascii="Times New Roman" w:eastAsia="Times New Roman" w:hAnsi="Times New Roman" w:cs="Times New Roman"/>
          <w:sz w:val="24"/>
          <w:szCs w:val="24"/>
        </w:rPr>
        <w:t xml:space="preserve"> action on deficiencies, and </w:t>
      </w:r>
      <w:r w:rsidR="00721A8F" w:rsidRPr="007B7746">
        <w:rPr>
          <w:rFonts w:ascii="Times New Roman" w:eastAsia="Times New Roman" w:hAnsi="Times New Roman" w:cs="Times New Roman"/>
          <w:sz w:val="24"/>
          <w:szCs w:val="24"/>
        </w:rPr>
        <w:t xml:space="preserve">to </w:t>
      </w:r>
      <w:r w:rsidR="004202B5" w:rsidRPr="007B7746">
        <w:rPr>
          <w:rFonts w:ascii="Times New Roman" w:eastAsia="Times New Roman" w:hAnsi="Times New Roman" w:cs="Times New Roman"/>
          <w:sz w:val="24"/>
          <w:szCs w:val="24"/>
        </w:rPr>
        <w:t>notify the Secretary of systemic non-complia</w:t>
      </w:r>
      <w:r w:rsidR="00E415FE" w:rsidRPr="007B7746">
        <w:rPr>
          <w:rFonts w:ascii="Times New Roman" w:eastAsia="Times New Roman" w:hAnsi="Times New Roman" w:cs="Times New Roman"/>
          <w:sz w:val="24"/>
          <w:szCs w:val="24"/>
        </w:rPr>
        <w:t xml:space="preserve">nce </w:t>
      </w:r>
      <w:r w:rsidR="00721A8F" w:rsidRPr="007B7746">
        <w:rPr>
          <w:rFonts w:ascii="Times New Roman" w:eastAsia="Times New Roman" w:hAnsi="Times New Roman" w:cs="Times New Roman"/>
          <w:sz w:val="24"/>
          <w:szCs w:val="24"/>
        </w:rPr>
        <w:t xml:space="preserve">by accredited institutions </w:t>
      </w:r>
      <w:r w:rsidR="00E415FE" w:rsidRPr="007B7746">
        <w:rPr>
          <w:rFonts w:ascii="Times New Roman" w:eastAsia="Times New Roman" w:hAnsi="Times New Roman" w:cs="Times New Roman"/>
          <w:sz w:val="24"/>
          <w:szCs w:val="24"/>
        </w:rPr>
        <w:t xml:space="preserve">with </w:t>
      </w:r>
      <w:r w:rsidR="00721A8F" w:rsidRPr="007B7746">
        <w:rPr>
          <w:rFonts w:ascii="Times New Roman" w:eastAsia="Times New Roman" w:hAnsi="Times New Roman" w:cs="Times New Roman"/>
          <w:sz w:val="24"/>
          <w:szCs w:val="24"/>
        </w:rPr>
        <w:t>regard to</w:t>
      </w:r>
      <w:r w:rsidR="00620632" w:rsidRPr="007B7746">
        <w:rPr>
          <w:rFonts w:ascii="Times New Roman" w:eastAsia="Times New Roman" w:hAnsi="Times New Roman" w:cs="Times New Roman"/>
          <w:sz w:val="24"/>
          <w:szCs w:val="24"/>
        </w:rPr>
        <w:t xml:space="preserve"> </w:t>
      </w:r>
      <w:r w:rsidR="00E415FE" w:rsidRPr="007B7746">
        <w:rPr>
          <w:rFonts w:ascii="Times New Roman" w:eastAsia="Times New Roman" w:hAnsi="Times New Roman" w:cs="Times New Roman"/>
          <w:sz w:val="24"/>
          <w:szCs w:val="24"/>
        </w:rPr>
        <w:t>the agency’s policies.</w:t>
      </w:r>
      <w:r w:rsidR="004202B5" w:rsidRPr="007B7746">
        <w:rPr>
          <w:rFonts w:ascii="Times New Roman" w:eastAsia="Times New Roman" w:hAnsi="Times New Roman" w:cs="Times New Roman"/>
          <w:sz w:val="24"/>
          <w:szCs w:val="24"/>
        </w:rPr>
        <w:t xml:space="preserve"> </w:t>
      </w:r>
    </w:p>
    <w:p w14:paraId="5B97E17E" w14:textId="77777777" w:rsidR="004202B5" w:rsidRPr="007B7746" w:rsidRDefault="004202B5"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6CB28F3D" w14:textId="24CCD977" w:rsidR="004202B5" w:rsidRPr="007B7746" w:rsidRDefault="00FD6725"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w:t>
      </w:r>
      <w:r w:rsidR="004202B5" w:rsidRPr="007B7746">
        <w:rPr>
          <w:rFonts w:ascii="Times New Roman" w:eastAsia="Times New Roman" w:hAnsi="Times New Roman" w:cs="Times New Roman"/>
          <w:sz w:val="24"/>
          <w:szCs w:val="24"/>
        </w:rPr>
        <w:t xml:space="preserve"> compliance with th</w:t>
      </w:r>
      <w:r w:rsidR="009C72F6">
        <w:rPr>
          <w:rFonts w:ascii="Times New Roman" w:eastAsia="Times New Roman" w:hAnsi="Times New Roman" w:cs="Times New Roman"/>
          <w:sz w:val="24"/>
          <w:szCs w:val="24"/>
        </w:rPr>
        <w:t>ese</w:t>
      </w:r>
      <w:r w:rsidR="004202B5" w:rsidRPr="007B7746">
        <w:rPr>
          <w:rFonts w:ascii="Times New Roman" w:eastAsia="Times New Roman" w:hAnsi="Times New Roman" w:cs="Times New Roman"/>
          <w:sz w:val="24"/>
          <w:szCs w:val="24"/>
        </w:rPr>
        <w:t xml:space="preserve"> regulation</w:t>
      </w:r>
      <w:r w:rsidR="009C72F6">
        <w:rPr>
          <w:rFonts w:ascii="Times New Roman" w:eastAsia="Times New Roman" w:hAnsi="Times New Roman" w:cs="Times New Roman"/>
          <w:sz w:val="24"/>
          <w:szCs w:val="24"/>
        </w:rPr>
        <w:t>s</w:t>
      </w:r>
      <w:r w:rsidR="004202B5" w:rsidRPr="007B7746">
        <w:rPr>
          <w:rFonts w:ascii="Times New Roman" w:eastAsia="Times New Roman" w:hAnsi="Times New Roman" w:cs="Times New Roman"/>
          <w:sz w:val="24"/>
          <w:szCs w:val="24"/>
        </w:rPr>
        <w:t xml:space="preserve">, the </w:t>
      </w:r>
      <w:r w:rsidR="00AB271E" w:rsidRPr="007B7746">
        <w:rPr>
          <w:rFonts w:ascii="Times New Roman" w:eastAsia="Times New Roman" w:hAnsi="Times New Roman" w:cs="Times New Roman"/>
          <w:sz w:val="24"/>
          <w:szCs w:val="24"/>
        </w:rPr>
        <w:t>Department reviews the agency’s</w:t>
      </w:r>
      <w:r w:rsidR="004202B5" w:rsidRPr="007B7746">
        <w:rPr>
          <w:rFonts w:ascii="Times New Roman" w:eastAsia="Times New Roman" w:hAnsi="Times New Roman" w:cs="Times New Roman"/>
          <w:sz w:val="24"/>
          <w:szCs w:val="24"/>
        </w:rPr>
        <w:t xml:space="preserve"> narrative describing how it complies with the criteria</w:t>
      </w:r>
      <w:r w:rsidR="00143A22">
        <w:rPr>
          <w:rFonts w:ascii="Times New Roman" w:eastAsia="Times New Roman" w:hAnsi="Times New Roman" w:cs="Times New Roman"/>
          <w:sz w:val="24"/>
          <w:szCs w:val="24"/>
        </w:rPr>
        <w:t xml:space="preserve"> </w:t>
      </w:r>
      <w:r w:rsidR="004202B5" w:rsidRPr="007B7746">
        <w:rPr>
          <w:rFonts w:ascii="Times New Roman" w:eastAsia="Times New Roman" w:hAnsi="Times New Roman" w:cs="Times New Roman"/>
          <w:sz w:val="24"/>
          <w:szCs w:val="24"/>
        </w:rPr>
        <w:t>and supporting documentation (such as guidance it provides to institutions, an institution’s self-study, and the agency’s report of its on</w:t>
      </w:r>
      <w:r w:rsidR="00046322" w:rsidRPr="007B7746">
        <w:rPr>
          <w:rFonts w:ascii="Times New Roman" w:eastAsia="Times New Roman" w:hAnsi="Times New Roman" w:cs="Times New Roman"/>
          <w:sz w:val="24"/>
          <w:szCs w:val="24"/>
        </w:rPr>
        <w:t>-</w:t>
      </w:r>
      <w:r w:rsidR="004202B5" w:rsidRPr="007B7746">
        <w:rPr>
          <w:rFonts w:ascii="Times New Roman" w:eastAsia="Times New Roman" w:hAnsi="Times New Roman" w:cs="Times New Roman"/>
          <w:sz w:val="24"/>
          <w:szCs w:val="24"/>
        </w:rPr>
        <w:t>site review).</w:t>
      </w:r>
    </w:p>
    <w:p w14:paraId="192E09A7" w14:textId="77777777" w:rsidR="004202B5" w:rsidRPr="007B7746" w:rsidRDefault="004202B5" w:rsidP="004202B5">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7983528F" w14:textId="6E42EC50" w:rsidR="009C72F6" w:rsidRPr="00143A22" w:rsidRDefault="009C72F6" w:rsidP="00143A22">
      <w:pPr>
        <w:tabs>
          <w:tab w:val="left" w:pos="-720"/>
        </w:tabs>
        <w:suppressAutoHyphens/>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currently uses data to demonstrate compliance with </w:t>
      </w:r>
      <w:r w:rsidRPr="00143A22">
        <w:rPr>
          <w:rFonts w:ascii="Times New Roman" w:eastAsia="Times New Roman" w:hAnsi="Times New Roman" w:cs="Times New Roman"/>
          <w:sz w:val="24"/>
          <w:szCs w:val="24"/>
        </w:rPr>
        <w:t>34 CFR 602 for accreditation agencies</w:t>
      </w:r>
      <w:r w:rsidR="00BC1AF1" w:rsidRPr="00143A22">
        <w:rPr>
          <w:rFonts w:ascii="Times New Roman" w:eastAsia="Times New Roman" w:hAnsi="Times New Roman" w:cs="Times New Roman"/>
          <w:sz w:val="24"/>
          <w:szCs w:val="24"/>
        </w:rPr>
        <w:t>.</w:t>
      </w:r>
    </w:p>
    <w:p w14:paraId="186E0350" w14:textId="77777777" w:rsidR="00E42282" w:rsidRPr="007B7746" w:rsidRDefault="00E42282" w:rsidP="001B33C2">
      <w:pPr>
        <w:numPr>
          <w:ilvl w:val="0"/>
          <w:numId w:val="5"/>
        </w:num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w:t>
      </w:r>
      <w:r w:rsidR="00C452C9" w:rsidRPr="007B7746">
        <w:rPr>
          <w:rFonts w:ascii="Times New Roman" w:eastAsia="Times New Roman" w:hAnsi="Times New Roman" w:cs="Times New Roman"/>
          <w:sz w:val="24"/>
          <w:szCs w:val="24"/>
        </w:rPr>
        <w:t>ng technology to reduce burden.</w:t>
      </w:r>
    </w:p>
    <w:p w14:paraId="4F81D819" w14:textId="77777777" w:rsidR="00C452C9" w:rsidRPr="007B7746" w:rsidRDefault="00C452C9" w:rsidP="00C452C9">
      <w:pPr>
        <w:tabs>
          <w:tab w:val="left" w:pos="-720"/>
        </w:tabs>
        <w:suppressAutoHyphens/>
        <w:spacing w:after="100" w:afterAutospacing="1" w:line="240" w:lineRule="auto"/>
        <w:contextualSpacing/>
        <w:jc w:val="both"/>
        <w:rPr>
          <w:rFonts w:ascii="Times New Roman" w:eastAsia="Times New Roman" w:hAnsi="Times New Roman" w:cs="Times New Roman"/>
          <w:sz w:val="24"/>
          <w:szCs w:val="24"/>
        </w:rPr>
      </w:pPr>
    </w:p>
    <w:p w14:paraId="434C0E39" w14:textId="7D1E00F0" w:rsidR="00B50026" w:rsidRPr="007B7746" w:rsidRDefault="00721A8F" w:rsidP="00B50026">
      <w:pPr>
        <w:tabs>
          <w:tab w:val="left" w:pos="-720"/>
        </w:tabs>
        <w:suppressAutoHyphens/>
        <w:spacing w:after="100" w:afterAutospacing="1" w:line="240" w:lineRule="auto"/>
        <w:ind w:left="720"/>
        <w:contextualSpacing/>
        <w:jc w:val="both"/>
        <w:rPr>
          <w:rFonts w:ascii="Times New Roman" w:hAnsi="Times New Roman" w:cs="Times New Roman"/>
          <w:sz w:val="24"/>
          <w:szCs w:val="24"/>
        </w:rPr>
      </w:pPr>
      <w:r w:rsidRPr="007B7746">
        <w:rPr>
          <w:rFonts w:ascii="Times New Roman" w:hAnsi="Times New Roman" w:cs="Times New Roman"/>
          <w:sz w:val="24"/>
          <w:szCs w:val="24"/>
        </w:rPr>
        <w:t xml:space="preserve">Notifications of accreditation actions as described above are submitted to the </w:t>
      </w:r>
      <w:r w:rsidR="00A018DA" w:rsidRPr="007B7746">
        <w:rPr>
          <w:rFonts w:ascii="Times New Roman" w:hAnsi="Times New Roman" w:cs="Times New Roman"/>
          <w:sz w:val="24"/>
          <w:szCs w:val="24"/>
        </w:rPr>
        <w:t xml:space="preserve">Department </w:t>
      </w:r>
      <w:r w:rsidRPr="007B7746">
        <w:rPr>
          <w:rFonts w:ascii="Times New Roman" w:hAnsi="Times New Roman" w:cs="Times New Roman"/>
          <w:sz w:val="24"/>
          <w:szCs w:val="24"/>
        </w:rPr>
        <w:t>by accrediting agencie</w:t>
      </w:r>
      <w:r w:rsidR="00143A22">
        <w:rPr>
          <w:rFonts w:ascii="Times New Roman" w:hAnsi="Times New Roman" w:cs="Times New Roman"/>
          <w:sz w:val="24"/>
          <w:szCs w:val="24"/>
        </w:rPr>
        <w:t xml:space="preserve">s via </w:t>
      </w:r>
      <w:r w:rsidR="00252207">
        <w:rPr>
          <w:rFonts w:ascii="Times New Roman" w:hAnsi="Times New Roman" w:cs="Times New Roman"/>
          <w:sz w:val="24"/>
          <w:szCs w:val="24"/>
        </w:rPr>
        <w:t>the Database of Accredited Postsecondary Institution and Programs (DAPIP), which is a web-based system</w:t>
      </w:r>
      <w:r w:rsidR="0092438E">
        <w:rPr>
          <w:rFonts w:ascii="Times New Roman" w:hAnsi="Times New Roman" w:cs="Times New Roman"/>
          <w:sz w:val="24"/>
          <w:szCs w:val="24"/>
        </w:rPr>
        <w:t xml:space="preserve">.  </w:t>
      </w:r>
      <w:r w:rsidR="00A018DA" w:rsidRPr="007B7746">
        <w:rPr>
          <w:rFonts w:ascii="Times New Roman" w:hAnsi="Times New Roman" w:cs="Times New Roman"/>
          <w:sz w:val="24"/>
          <w:szCs w:val="24"/>
        </w:rPr>
        <w:t xml:space="preserve">To comply with regulation 602.26 (b)(3)(d), Notification of accrediting decisions, agencies </w:t>
      </w:r>
      <w:r w:rsidR="00445E61">
        <w:rPr>
          <w:rFonts w:ascii="Times New Roman" w:hAnsi="Times New Roman" w:cs="Times New Roman"/>
          <w:sz w:val="24"/>
          <w:szCs w:val="24"/>
        </w:rPr>
        <w:t>also</w:t>
      </w:r>
      <w:r w:rsidR="00445E61" w:rsidRPr="007B7746">
        <w:rPr>
          <w:rFonts w:ascii="Times New Roman" w:hAnsi="Times New Roman" w:cs="Times New Roman"/>
          <w:sz w:val="24"/>
          <w:szCs w:val="24"/>
        </w:rPr>
        <w:t xml:space="preserve"> </w:t>
      </w:r>
      <w:r w:rsidR="00A018DA" w:rsidRPr="007B7746">
        <w:rPr>
          <w:rFonts w:ascii="Times New Roman" w:hAnsi="Times New Roman" w:cs="Times New Roman"/>
          <w:sz w:val="24"/>
          <w:szCs w:val="24"/>
        </w:rPr>
        <w:t>post this information on their websites</w:t>
      </w:r>
      <w:r w:rsidR="00CB227E" w:rsidRPr="007B7746">
        <w:rPr>
          <w:rFonts w:ascii="Times New Roman" w:hAnsi="Times New Roman" w:cs="Times New Roman"/>
          <w:sz w:val="24"/>
          <w:szCs w:val="24"/>
        </w:rPr>
        <w:t>.</w:t>
      </w:r>
    </w:p>
    <w:p w14:paraId="57CA8410" w14:textId="77777777" w:rsidR="00B50026" w:rsidRPr="007B7746" w:rsidRDefault="00B50026" w:rsidP="00B50026">
      <w:pPr>
        <w:tabs>
          <w:tab w:val="left" w:pos="-720"/>
          <w:tab w:val="left" w:pos="2642"/>
        </w:tabs>
        <w:suppressAutoHyphens/>
        <w:spacing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ab/>
      </w:r>
    </w:p>
    <w:p w14:paraId="0F392E1C" w14:textId="77777777" w:rsidR="00E42282" w:rsidRPr="007B7746" w:rsidRDefault="00E42282" w:rsidP="00C452C9">
      <w:pPr>
        <w:numPr>
          <w:ilvl w:val="0"/>
          <w:numId w:val="5"/>
        </w:numPr>
        <w:tabs>
          <w:tab w:val="left" w:pos="-720"/>
        </w:tabs>
        <w:suppressAutoHyphens/>
        <w:spacing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14:paraId="1FAAA8EA" w14:textId="77777777" w:rsidR="00E42282" w:rsidRPr="003118E5" w:rsidRDefault="00D1763B" w:rsidP="00C452C9">
      <w:pPr>
        <w:pStyle w:val="ListParagraph"/>
        <w:spacing w:after="100" w:afterAutospacing="1" w:line="240" w:lineRule="auto"/>
        <w:jc w:val="both"/>
        <w:rPr>
          <w:rFonts w:ascii="Times New Roman" w:hAnsi="Times New Roman" w:cs="Times New Roman"/>
          <w:sz w:val="24"/>
          <w:szCs w:val="24"/>
        </w:rPr>
      </w:pPr>
      <w:r w:rsidRPr="003118E5">
        <w:rPr>
          <w:rFonts w:ascii="Times New Roman" w:hAnsi="Times New Roman" w:cs="Times New Roman"/>
          <w:sz w:val="24"/>
          <w:szCs w:val="24"/>
        </w:rPr>
        <w:t>This information collection</w:t>
      </w:r>
      <w:r w:rsidR="00E42282" w:rsidRPr="003118E5">
        <w:rPr>
          <w:rFonts w:ascii="Times New Roman" w:hAnsi="Times New Roman" w:cs="Times New Roman"/>
          <w:sz w:val="24"/>
          <w:szCs w:val="24"/>
        </w:rPr>
        <w:t xml:space="preserve"> </w:t>
      </w:r>
      <w:r w:rsidRPr="003118E5">
        <w:rPr>
          <w:rFonts w:ascii="Times New Roman" w:hAnsi="Times New Roman" w:cs="Times New Roman"/>
          <w:sz w:val="24"/>
          <w:szCs w:val="24"/>
        </w:rPr>
        <w:t>will</w:t>
      </w:r>
      <w:r w:rsidR="00E42282" w:rsidRPr="003118E5">
        <w:rPr>
          <w:rFonts w:ascii="Times New Roman" w:hAnsi="Times New Roman" w:cs="Times New Roman"/>
          <w:sz w:val="24"/>
          <w:szCs w:val="24"/>
        </w:rPr>
        <w:t xml:space="preserve"> not duplicate any other information collection effort in the Department.  No other agenc</w:t>
      </w:r>
      <w:r w:rsidR="00116096" w:rsidRPr="003118E5">
        <w:rPr>
          <w:rFonts w:ascii="Times New Roman" w:hAnsi="Times New Roman" w:cs="Times New Roman"/>
          <w:sz w:val="24"/>
          <w:szCs w:val="24"/>
        </w:rPr>
        <w:t xml:space="preserve">ies </w:t>
      </w:r>
      <w:r w:rsidR="00EF7697" w:rsidRPr="003118E5">
        <w:rPr>
          <w:rFonts w:ascii="Times New Roman" w:hAnsi="Times New Roman" w:cs="Times New Roman"/>
          <w:sz w:val="24"/>
          <w:szCs w:val="24"/>
        </w:rPr>
        <w:t xml:space="preserve">or </w:t>
      </w:r>
      <w:r w:rsidR="00116096" w:rsidRPr="003118E5">
        <w:rPr>
          <w:rFonts w:ascii="Times New Roman" w:hAnsi="Times New Roman" w:cs="Times New Roman"/>
          <w:sz w:val="24"/>
          <w:szCs w:val="24"/>
        </w:rPr>
        <w:t>organizations</w:t>
      </w:r>
      <w:r w:rsidR="00EF7697" w:rsidRPr="003118E5">
        <w:rPr>
          <w:rFonts w:ascii="Times New Roman" w:hAnsi="Times New Roman" w:cs="Times New Roman"/>
          <w:sz w:val="24"/>
          <w:szCs w:val="24"/>
        </w:rPr>
        <w:t xml:space="preserve"> systematically report adverse actions related to accreditation </w:t>
      </w:r>
      <w:r w:rsidR="00E42282" w:rsidRPr="003118E5">
        <w:rPr>
          <w:rFonts w:ascii="Times New Roman" w:hAnsi="Times New Roman" w:cs="Times New Roman"/>
          <w:sz w:val="24"/>
          <w:szCs w:val="24"/>
        </w:rPr>
        <w:t xml:space="preserve">in the same broad manner for </w:t>
      </w:r>
      <w:r w:rsidR="00EF7697" w:rsidRPr="003118E5">
        <w:rPr>
          <w:rFonts w:ascii="Times New Roman" w:hAnsi="Times New Roman" w:cs="Times New Roman"/>
          <w:sz w:val="24"/>
          <w:szCs w:val="24"/>
        </w:rPr>
        <w:t>the Department</w:t>
      </w:r>
      <w:r w:rsidR="00E42282" w:rsidRPr="003118E5">
        <w:rPr>
          <w:rFonts w:ascii="Times New Roman" w:hAnsi="Times New Roman" w:cs="Times New Roman"/>
          <w:sz w:val="24"/>
          <w:szCs w:val="24"/>
        </w:rPr>
        <w:t xml:space="preserve">.  The information is not available in other forms or as the result of </w:t>
      </w:r>
      <w:r w:rsidR="00EE69DC" w:rsidRPr="003118E5">
        <w:rPr>
          <w:rFonts w:ascii="Times New Roman" w:hAnsi="Times New Roman" w:cs="Times New Roman"/>
          <w:sz w:val="24"/>
          <w:szCs w:val="24"/>
        </w:rPr>
        <w:t>other information collections.</w:t>
      </w:r>
    </w:p>
    <w:p w14:paraId="711ECA15" w14:textId="06080D07" w:rsidR="00E42282" w:rsidRDefault="00E42282" w:rsidP="00C452C9">
      <w:pPr>
        <w:numPr>
          <w:ilvl w:val="0"/>
          <w:numId w:val="5"/>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DE86F6D" w14:textId="1B615CA7" w:rsidR="00C80D35" w:rsidRDefault="00C80D35" w:rsidP="00C80D35">
      <w:pPr>
        <w:pStyle w:val="ListParagraph"/>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Accrediting agencies may qualify as small entities. This revised information collection seeks to reduce burden and technical challenges associated with the use of and old system which required agencies to post decision memorandums on their own websites. Further, the Department is no longer requiring agencies to submit URLs. Finally, the system permits agencies to apply a single action to multiple locations which further reduces burden. </w:t>
      </w:r>
    </w:p>
    <w:p w14:paraId="38CEC125" w14:textId="77777777" w:rsidR="00C80D35" w:rsidRPr="00C80D35" w:rsidRDefault="00C80D35" w:rsidP="00C80D35">
      <w:pPr>
        <w:pStyle w:val="ListParagraph"/>
        <w:spacing w:before="100" w:beforeAutospacing="1" w:after="100" w:afterAutospacing="1" w:line="240" w:lineRule="auto"/>
        <w:ind w:left="0"/>
        <w:jc w:val="both"/>
        <w:rPr>
          <w:rFonts w:ascii="Times New Roman" w:hAnsi="Times New Roman" w:cs="Times New Roman"/>
          <w:sz w:val="24"/>
          <w:szCs w:val="24"/>
        </w:rPr>
      </w:pPr>
    </w:p>
    <w:p w14:paraId="453B86DB" w14:textId="77777777" w:rsidR="00E42282" w:rsidRPr="00110A75" w:rsidRDefault="00E42282" w:rsidP="00C452C9">
      <w:pPr>
        <w:pStyle w:val="ListParagraph"/>
        <w:spacing w:before="100" w:beforeAutospacing="1" w:after="100" w:afterAutospacing="1" w:line="240" w:lineRule="auto"/>
        <w:jc w:val="both"/>
        <w:rPr>
          <w:rFonts w:ascii="Times New Roman" w:hAnsi="Times New Roman" w:cs="Times New Roman"/>
          <w:sz w:val="24"/>
          <w:szCs w:val="24"/>
        </w:rPr>
      </w:pPr>
      <w:r w:rsidRPr="00110A75">
        <w:rPr>
          <w:rFonts w:ascii="Times New Roman" w:hAnsi="Times New Roman" w:cs="Times New Roman"/>
          <w:sz w:val="24"/>
          <w:szCs w:val="24"/>
        </w:rPr>
        <w:t>Small businesses or other small entities are not part of the target population</w:t>
      </w:r>
      <w:r w:rsidR="00847289" w:rsidRPr="00110A75">
        <w:rPr>
          <w:rFonts w:ascii="Times New Roman" w:hAnsi="Times New Roman" w:cs="Times New Roman"/>
          <w:sz w:val="24"/>
          <w:szCs w:val="24"/>
        </w:rPr>
        <w:t xml:space="preserve"> of the information collection.</w:t>
      </w:r>
    </w:p>
    <w:p w14:paraId="17B169E2" w14:textId="77777777" w:rsidR="00E42282" w:rsidRPr="007B7746" w:rsidRDefault="00E42282" w:rsidP="00C452C9">
      <w:pPr>
        <w:numPr>
          <w:ilvl w:val="0"/>
          <w:numId w:val="5"/>
        </w:numPr>
        <w:tabs>
          <w:tab w:val="left" w:pos="-720"/>
        </w:tabs>
        <w:suppressAutoHyphens/>
        <w:spacing w:before="100" w:beforeAutospacing="1" w:after="100" w:afterAutospacing="1"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the consequences to Federal program or policy activities if the collection is not conducted or is conducted less frequently, as well as any technical or legal obstacles to reducing burden.</w:t>
      </w:r>
    </w:p>
    <w:p w14:paraId="0C37D347" w14:textId="77777777" w:rsidR="00B0239D" w:rsidRPr="007B7746" w:rsidRDefault="00B0239D" w:rsidP="00B0239D">
      <w:pPr>
        <w:tabs>
          <w:tab w:val="left" w:pos="-720"/>
        </w:tabs>
        <w:suppressAutoHyphens/>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14:paraId="54B10BE8" w14:textId="243C4586" w:rsidR="0034646C" w:rsidRPr="007B7746" w:rsidRDefault="00445E61" w:rsidP="001B33C2">
      <w:pPr>
        <w:tabs>
          <w:tab w:val="left" w:pos="-720"/>
        </w:tabs>
        <w:suppressAutoHyphens/>
        <w:spacing w:after="96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By failing to</w:t>
      </w:r>
      <w:r w:rsidRPr="007B7746">
        <w:rPr>
          <w:rFonts w:ascii="Times New Roman" w:hAnsi="Times New Roman" w:cs="Times New Roman"/>
          <w:sz w:val="24"/>
          <w:szCs w:val="24"/>
        </w:rPr>
        <w:t xml:space="preserve"> </w:t>
      </w:r>
      <w:r w:rsidR="00B0239D" w:rsidRPr="007B7746">
        <w:rPr>
          <w:rFonts w:ascii="Times New Roman" w:hAnsi="Times New Roman" w:cs="Times New Roman"/>
          <w:sz w:val="24"/>
          <w:szCs w:val="24"/>
        </w:rPr>
        <w:t>collect the information or collecting the information less frequently</w:t>
      </w:r>
      <w:r>
        <w:rPr>
          <w:rFonts w:ascii="Times New Roman" w:hAnsi="Times New Roman" w:cs="Times New Roman"/>
          <w:sz w:val="24"/>
          <w:szCs w:val="24"/>
        </w:rPr>
        <w:t xml:space="preserve">, </w:t>
      </w:r>
      <w:r w:rsidR="00B0239D" w:rsidRPr="007B7746">
        <w:rPr>
          <w:rFonts w:ascii="Times New Roman" w:hAnsi="Times New Roman" w:cs="Times New Roman"/>
          <w:sz w:val="24"/>
          <w:szCs w:val="24"/>
        </w:rPr>
        <w:t xml:space="preserve">the Secretary </w:t>
      </w:r>
      <w:r>
        <w:rPr>
          <w:rFonts w:ascii="Times New Roman" w:hAnsi="Times New Roman" w:cs="Times New Roman"/>
          <w:sz w:val="24"/>
          <w:szCs w:val="24"/>
        </w:rPr>
        <w:t xml:space="preserve">is </w:t>
      </w:r>
      <w:r w:rsidR="00EF67E2">
        <w:rPr>
          <w:rFonts w:ascii="Times New Roman" w:hAnsi="Times New Roman" w:cs="Times New Roman"/>
          <w:sz w:val="24"/>
          <w:szCs w:val="24"/>
        </w:rPr>
        <w:t>unable</w:t>
      </w:r>
      <w:r>
        <w:rPr>
          <w:rFonts w:ascii="Times New Roman" w:hAnsi="Times New Roman" w:cs="Times New Roman"/>
          <w:sz w:val="24"/>
          <w:szCs w:val="24"/>
        </w:rPr>
        <w:t xml:space="preserve"> </w:t>
      </w:r>
      <w:r w:rsidR="00B0239D" w:rsidRPr="007B7746">
        <w:rPr>
          <w:rFonts w:ascii="Times New Roman" w:hAnsi="Times New Roman" w:cs="Times New Roman"/>
          <w:sz w:val="24"/>
          <w:szCs w:val="24"/>
        </w:rPr>
        <w:t xml:space="preserve">to obtain the information needed to determine compliance with 34 CFR Part 602, </w:t>
      </w:r>
      <w:r w:rsidR="00EF67E2">
        <w:rPr>
          <w:rFonts w:ascii="Times New Roman" w:hAnsi="Times New Roman" w:cs="Times New Roman"/>
          <w:sz w:val="24"/>
          <w:szCs w:val="24"/>
        </w:rPr>
        <w:t>to</w:t>
      </w:r>
      <w:r>
        <w:rPr>
          <w:rFonts w:ascii="Times New Roman" w:hAnsi="Times New Roman" w:cs="Times New Roman"/>
          <w:sz w:val="24"/>
          <w:szCs w:val="24"/>
        </w:rPr>
        <w:t xml:space="preserve"> </w:t>
      </w:r>
      <w:r w:rsidRPr="007B7746">
        <w:rPr>
          <w:rFonts w:ascii="Times New Roman" w:hAnsi="Times New Roman" w:cs="Times New Roman"/>
          <w:sz w:val="24"/>
          <w:szCs w:val="24"/>
        </w:rPr>
        <w:t>ensure that the accrediting organization is a reliable authority regarding the quality of education offered at the institutions they accredit</w:t>
      </w:r>
      <w:r w:rsidR="00EF67E2">
        <w:rPr>
          <w:rFonts w:ascii="Times New Roman" w:hAnsi="Times New Roman" w:cs="Times New Roman"/>
          <w:sz w:val="24"/>
          <w:szCs w:val="24"/>
        </w:rPr>
        <w:t>. Ultimately, f</w:t>
      </w:r>
      <w:r>
        <w:rPr>
          <w:rFonts w:ascii="Times New Roman" w:hAnsi="Times New Roman" w:cs="Times New Roman"/>
          <w:sz w:val="24"/>
          <w:szCs w:val="24"/>
        </w:rPr>
        <w:t>ailure to collect this information would</w:t>
      </w:r>
      <w:r w:rsidR="00143A22">
        <w:rPr>
          <w:rFonts w:ascii="Times New Roman" w:hAnsi="Times New Roman" w:cs="Times New Roman"/>
          <w:sz w:val="24"/>
          <w:szCs w:val="24"/>
        </w:rPr>
        <w:t xml:space="preserve"> </w:t>
      </w:r>
      <w:r w:rsidR="004F00E0" w:rsidRPr="007B7746">
        <w:rPr>
          <w:rFonts w:ascii="Times New Roman" w:hAnsi="Times New Roman" w:cs="Times New Roman"/>
          <w:sz w:val="24"/>
          <w:szCs w:val="24"/>
        </w:rPr>
        <w:t>jeopardize students’</w:t>
      </w:r>
      <w:r w:rsidR="00B0239D" w:rsidRPr="007B7746">
        <w:rPr>
          <w:rFonts w:ascii="Times New Roman" w:hAnsi="Times New Roman" w:cs="Times New Roman"/>
          <w:sz w:val="24"/>
          <w:szCs w:val="24"/>
        </w:rPr>
        <w:t xml:space="preserve"> ability to receive Title IV Federal Student Aid</w:t>
      </w:r>
      <w:r w:rsidR="00EF67E2">
        <w:rPr>
          <w:rFonts w:ascii="Times New Roman" w:hAnsi="Times New Roman" w:cs="Times New Roman"/>
          <w:sz w:val="24"/>
          <w:szCs w:val="24"/>
        </w:rPr>
        <w:t xml:space="preserve"> and</w:t>
      </w:r>
      <w:r w:rsidR="00B0239D" w:rsidRPr="007B7746">
        <w:rPr>
          <w:rFonts w:ascii="Times New Roman" w:hAnsi="Times New Roman" w:cs="Times New Roman"/>
          <w:sz w:val="24"/>
          <w:szCs w:val="24"/>
        </w:rPr>
        <w:t xml:space="preserve"> participate in non-</w:t>
      </w:r>
      <w:r w:rsidR="00EF67E2">
        <w:rPr>
          <w:rFonts w:ascii="Times New Roman" w:hAnsi="Times New Roman" w:cs="Times New Roman"/>
          <w:sz w:val="24"/>
          <w:szCs w:val="24"/>
        </w:rPr>
        <w:t>HEA Federal</w:t>
      </w:r>
      <w:r w:rsidR="00B0239D" w:rsidRPr="007B7746">
        <w:rPr>
          <w:rFonts w:ascii="Times New Roman" w:hAnsi="Times New Roman" w:cs="Times New Roman"/>
          <w:sz w:val="24"/>
          <w:szCs w:val="24"/>
        </w:rPr>
        <w:t xml:space="preserve"> programs</w:t>
      </w:r>
      <w:r w:rsidR="00EF67E2">
        <w:rPr>
          <w:rFonts w:ascii="Times New Roman" w:hAnsi="Times New Roman" w:cs="Times New Roman"/>
          <w:sz w:val="24"/>
          <w:szCs w:val="24"/>
        </w:rPr>
        <w:t>.</w:t>
      </w:r>
      <w:r w:rsidR="00E415FE" w:rsidRPr="007B7746">
        <w:rPr>
          <w:rFonts w:ascii="Times New Roman" w:hAnsi="Times New Roman" w:cs="Times New Roman"/>
          <w:sz w:val="24"/>
          <w:szCs w:val="24"/>
        </w:rPr>
        <w:t xml:space="preserve"> </w:t>
      </w:r>
      <w:r w:rsidR="00B0239D" w:rsidRPr="007B7746">
        <w:rPr>
          <w:rFonts w:ascii="Times New Roman" w:hAnsi="Times New Roman" w:cs="Times New Roman"/>
          <w:sz w:val="24"/>
          <w:szCs w:val="24"/>
        </w:rPr>
        <w:t xml:space="preserve">The collection requirements and necessity to review accrediting agencies every </w:t>
      </w:r>
      <w:r w:rsidR="00EF67E2">
        <w:rPr>
          <w:rFonts w:ascii="Times New Roman" w:hAnsi="Times New Roman" w:cs="Times New Roman"/>
          <w:sz w:val="24"/>
          <w:szCs w:val="24"/>
        </w:rPr>
        <w:t>five</w:t>
      </w:r>
      <w:r w:rsidR="00B0239D" w:rsidRPr="007B7746">
        <w:rPr>
          <w:rFonts w:ascii="Times New Roman" w:hAnsi="Times New Roman" w:cs="Times New Roman"/>
          <w:sz w:val="24"/>
          <w:szCs w:val="24"/>
        </w:rPr>
        <w:t xml:space="preserve"> years are statutory. </w:t>
      </w:r>
    </w:p>
    <w:p w14:paraId="27229734" w14:textId="77777777" w:rsidR="00C0435E" w:rsidRPr="007B7746" w:rsidRDefault="00C0435E"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750F6A26" w14:textId="77777777" w:rsidR="00E42282" w:rsidRPr="007B7746" w:rsidRDefault="00E42282" w:rsidP="001B33C2">
      <w:pPr>
        <w:numPr>
          <w:ilvl w:val="0"/>
          <w:numId w:val="5"/>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Explain any special circumstances that would cause an information collection to be conducted in a manner:</w:t>
      </w:r>
    </w:p>
    <w:p w14:paraId="6B681FD9"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b/>
          <w:sz w:val="24"/>
          <w:szCs w:val="24"/>
        </w:rPr>
      </w:pPr>
    </w:p>
    <w:p w14:paraId="149AC557"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report information to the agency more often than quarterly;</w:t>
      </w:r>
    </w:p>
    <w:p w14:paraId="109157AD" w14:textId="77777777" w:rsidR="00E42282" w:rsidRPr="007B7746" w:rsidRDefault="00E42282" w:rsidP="001B33C2">
      <w:pPr>
        <w:numPr>
          <w:ilvl w:val="12"/>
          <w:numId w:val="0"/>
        </w:numPr>
        <w:tabs>
          <w:tab w:val="left" w:pos="-720"/>
        </w:tabs>
        <w:suppressAutoHyphens/>
        <w:spacing w:after="0" w:line="240" w:lineRule="auto"/>
        <w:ind w:left="340"/>
        <w:contextualSpacing/>
        <w:jc w:val="both"/>
        <w:rPr>
          <w:rFonts w:ascii="Times New Roman" w:eastAsia="Times New Roman" w:hAnsi="Times New Roman" w:cs="Times New Roman"/>
          <w:sz w:val="24"/>
          <w:szCs w:val="24"/>
        </w:rPr>
      </w:pPr>
    </w:p>
    <w:p w14:paraId="32DD3CC0"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prepare a written response to a collection of information in fewer than 30 days after receipt of it;</w:t>
      </w:r>
    </w:p>
    <w:p w14:paraId="6C704E5D" w14:textId="77777777"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2B7B43F7"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submit more than an original and two copies of any document;</w:t>
      </w:r>
    </w:p>
    <w:p w14:paraId="32EB3013" w14:textId="77777777"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03A01E79"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retain records, other than health, medical, government contract, grant-in-aid, or tax records for more than three years;</w:t>
      </w:r>
    </w:p>
    <w:p w14:paraId="30BDCC11" w14:textId="77777777"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7C4A8648"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in connection with a statistical survey, that is not designed to produce valid and reliable results than can be generalized to the universe of study;</w:t>
      </w:r>
    </w:p>
    <w:p w14:paraId="520E7DC1" w14:textId="77777777"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10FB29DC"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the use of a statistical data classification that has not been reviewed and approved by OMB;</w:t>
      </w:r>
    </w:p>
    <w:p w14:paraId="0E81A11C" w14:textId="77777777"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1E0E6DE4"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A9A7894" w14:textId="77777777" w:rsidR="00E42282" w:rsidRPr="007B7746" w:rsidRDefault="00E42282" w:rsidP="001B33C2">
      <w:pPr>
        <w:numPr>
          <w:ilvl w:val="12"/>
          <w:numId w:val="0"/>
        </w:num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03109AD0" w14:textId="77777777" w:rsidR="00E42282" w:rsidRPr="007B7746" w:rsidRDefault="00E42282" w:rsidP="001B33C2">
      <w:pPr>
        <w:numPr>
          <w:ilvl w:val="0"/>
          <w:numId w:val="4"/>
        </w:numPr>
        <w:tabs>
          <w:tab w:val="left" w:pos="-720"/>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2F0FD742" w14:textId="77777777" w:rsidR="0034646C" w:rsidRPr="007B7746" w:rsidRDefault="0034646C" w:rsidP="001B33C2">
      <w:pPr>
        <w:spacing w:line="240" w:lineRule="auto"/>
        <w:ind w:left="720"/>
        <w:contextualSpacing/>
        <w:jc w:val="both"/>
        <w:rPr>
          <w:rFonts w:ascii="Times New Roman" w:hAnsi="Times New Roman" w:cs="Times New Roman"/>
          <w:sz w:val="24"/>
          <w:szCs w:val="24"/>
        </w:rPr>
      </w:pPr>
    </w:p>
    <w:p w14:paraId="0DC1D394" w14:textId="77777777" w:rsidR="0034646C" w:rsidRPr="00827F40" w:rsidRDefault="0034646C" w:rsidP="001B33C2">
      <w:pPr>
        <w:spacing w:line="240" w:lineRule="auto"/>
        <w:ind w:left="720"/>
        <w:contextualSpacing/>
        <w:jc w:val="both"/>
        <w:rPr>
          <w:rFonts w:ascii="Times New Roman" w:hAnsi="Times New Roman" w:cs="Times New Roman"/>
          <w:sz w:val="24"/>
          <w:szCs w:val="24"/>
        </w:rPr>
      </w:pPr>
      <w:r w:rsidRPr="00827F40">
        <w:rPr>
          <w:rFonts w:ascii="Times New Roman" w:hAnsi="Times New Roman" w:cs="Times New Roman"/>
          <w:sz w:val="24"/>
          <w:szCs w:val="24"/>
        </w:rPr>
        <w:t>There are no special circumstances that would require this information collection to be conducted</w:t>
      </w:r>
      <w:r w:rsidR="00D81584" w:rsidRPr="00827F40">
        <w:rPr>
          <w:rFonts w:ascii="Times New Roman" w:hAnsi="Times New Roman" w:cs="Times New Roman"/>
          <w:sz w:val="24"/>
          <w:szCs w:val="24"/>
        </w:rPr>
        <w:t>.</w:t>
      </w:r>
    </w:p>
    <w:p w14:paraId="5FDE7BA7" w14:textId="77777777" w:rsidR="0034646C" w:rsidRPr="00827F40" w:rsidRDefault="0034646C" w:rsidP="001B33C2">
      <w:pPr>
        <w:tabs>
          <w:tab w:val="left" w:pos="-720"/>
        </w:tabs>
        <w:suppressAutoHyphens/>
        <w:spacing w:after="0" w:line="240" w:lineRule="auto"/>
        <w:ind w:left="1440"/>
        <w:contextualSpacing/>
        <w:jc w:val="both"/>
        <w:rPr>
          <w:rFonts w:ascii="Times New Roman" w:eastAsia="Times New Roman" w:hAnsi="Times New Roman" w:cs="Times New Roman"/>
          <w:sz w:val="24"/>
          <w:szCs w:val="24"/>
        </w:rPr>
      </w:pPr>
    </w:p>
    <w:p w14:paraId="753A99EB" w14:textId="77777777" w:rsidR="00E42282" w:rsidRPr="007B7746" w:rsidRDefault="00E42282" w:rsidP="001B33C2">
      <w:pPr>
        <w:numPr>
          <w:ilvl w:val="0"/>
          <w:numId w:val="6"/>
        </w:numPr>
        <w:tabs>
          <w:tab w:val="left" w:pos="-720"/>
          <w:tab w:val="left" w:pos="375"/>
        </w:tabs>
        <w:suppressAutoHyphens/>
        <w:spacing w:before="480"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42FCDEC"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b/>
          <w:sz w:val="24"/>
          <w:szCs w:val="24"/>
        </w:rPr>
      </w:pPr>
    </w:p>
    <w:p w14:paraId="18FBB2D3" w14:textId="77777777" w:rsidR="00E42282" w:rsidRPr="007B7746" w:rsidRDefault="00E42282" w:rsidP="001B33C2">
      <w:pPr>
        <w:tabs>
          <w:tab w:val="left" w:pos="-720"/>
        </w:tabs>
        <w:suppressAutoHyphens/>
        <w:spacing w:after="0" w:line="240" w:lineRule="auto"/>
        <w:ind w:left="72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B080533"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4DBC2003" w14:textId="12DBC164" w:rsidR="00E42282" w:rsidRDefault="00E42282"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396D2E0" w14:textId="1C24A209" w:rsidR="00CD3D70" w:rsidRDefault="00CD3D70"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55583117" w14:textId="17C84DC5" w:rsidR="00D6554B" w:rsidRPr="00E84231" w:rsidRDefault="00D6554B" w:rsidP="005E091F">
      <w:pPr>
        <w:spacing w:after="0" w:line="240" w:lineRule="auto"/>
        <w:ind w:left="720"/>
        <w:rPr>
          <w:rFonts w:ascii="Times New Roman" w:eastAsia="Calibri" w:hAnsi="Times New Roman" w:cs="Times New Roman"/>
          <w:sz w:val="24"/>
          <w:szCs w:val="24"/>
        </w:rPr>
      </w:pPr>
      <w:r w:rsidRPr="00E84231">
        <w:rPr>
          <w:rFonts w:ascii="Times New Roman" w:eastAsia="Calibri" w:hAnsi="Times New Roman" w:cs="Times New Roman"/>
          <w:sz w:val="24"/>
          <w:szCs w:val="24"/>
        </w:rPr>
        <w:t xml:space="preserve">On </w:t>
      </w:r>
      <w:r w:rsidRPr="00D6554B">
        <w:rPr>
          <w:rFonts w:ascii="Times New Roman" w:eastAsia="Calibri" w:hAnsi="Times New Roman" w:cs="Times New Roman"/>
          <w:sz w:val="24"/>
          <w:szCs w:val="24"/>
        </w:rPr>
        <w:t xml:space="preserve">September 26, </w:t>
      </w:r>
      <w:r w:rsidRPr="00E84231">
        <w:rPr>
          <w:rFonts w:ascii="Times New Roman" w:eastAsia="Calibri" w:hAnsi="Times New Roman" w:cs="Times New Roman"/>
          <w:sz w:val="24"/>
          <w:szCs w:val="24"/>
        </w:rPr>
        <w:t>2019</w:t>
      </w:r>
      <w:r w:rsidRPr="00D6554B">
        <w:rPr>
          <w:rFonts w:ascii="Times New Roman" w:eastAsia="Calibri" w:hAnsi="Times New Roman" w:cs="Times New Roman"/>
          <w:sz w:val="24"/>
          <w:szCs w:val="24"/>
        </w:rPr>
        <w:t>,</w:t>
      </w:r>
      <w:r w:rsidRPr="00E84231">
        <w:rPr>
          <w:rFonts w:ascii="Times New Roman" w:eastAsia="Calibri" w:hAnsi="Times New Roman" w:cs="Times New Roman"/>
          <w:sz w:val="24"/>
          <w:szCs w:val="24"/>
        </w:rPr>
        <w:t xml:space="preserve"> a Federal Register Notice was published (Vol. 84, No.</w:t>
      </w:r>
      <w:r w:rsidRPr="00D6554B">
        <w:rPr>
          <w:rFonts w:ascii="Times New Roman" w:eastAsia="Calibri" w:hAnsi="Times New Roman" w:cs="Times New Roman"/>
          <w:sz w:val="24"/>
          <w:szCs w:val="24"/>
        </w:rPr>
        <w:t>187</w:t>
      </w:r>
      <w:r w:rsidRPr="00E84231">
        <w:rPr>
          <w:rFonts w:ascii="Times New Roman" w:eastAsia="Calibri" w:hAnsi="Times New Roman" w:cs="Times New Roman"/>
          <w:sz w:val="24"/>
          <w:szCs w:val="24"/>
        </w:rPr>
        <w:t>, page</w:t>
      </w:r>
      <w:r w:rsidRPr="00D6554B">
        <w:rPr>
          <w:rFonts w:ascii="Times New Roman" w:eastAsia="Calibri" w:hAnsi="Times New Roman" w:cs="Times New Roman"/>
          <w:sz w:val="24"/>
          <w:szCs w:val="24"/>
        </w:rPr>
        <w:t xml:space="preserve"> 508210</w:t>
      </w:r>
      <w:r w:rsidRPr="00E84231">
        <w:rPr>
          <w:rFonts w:ascii="Times New Roman" w:eastAsia="Calibri" w:hAnsi="Times New Roman" w:cs="Times New Roman"/>
          <w:sz w:val="24"/>
          <w:szCs w:val="24"/>
        </w:rPr>
        <w:t>)</w:t>
      </w:r>
      <w:r w:rsidRPr="00D6554B">
        <w:rPr>
          <w:rFonts w:ascii="Times New Roman" w:eastAsia="Calibri" w:hAnsi="Times New Roman" w:cs="Times New Roman"/>
          <w:sz w:val="24"/>
          <w:szCs w:val="24"/>
        </w:rPr>
        <w:t>,</w:t>
      </w:r>
      <w:r w:rsidRPr="00E84231">
        <w:rPr>
          <w:rFonts w:ascii="Times New Roman" w:eastAsia="Calibri" w:hAnsi="Times New Roman" w:cs="Times New Roman"/>
          <w:sz w:val="24"/>
          <w:szCs w:val="24"/>
        </w:rPr>
        <w:t xml:space="preserve"> requesting a 60-day public comment period. </w:t>
      </w:r>
      <w:r w:rsidRPr="00D6554B">
        <w:rPr>
          <w:rFonts w:ascii="Times New Roman" w:eastAsia="Calibri" w:hAnsi="Times New Roman" w:cs="Times New Roman"/>
          <w:sz w:val="24"/>
          <w:szCs w:val="24"/>
        </w:rPr>
        <w:t xml:space="preserve"> </w:t>
      </w:r>
      <w:r w:rsidRPr="00E84231">
        <w:rPr>
          <w:rFonts w:ascii="Times New Roman" w:eastAsia="Calibri" w:hAnsi="Times New Roman" w:cs="Times New Roman"/>
          <w:sz w:val="24"/>
          <w:szCs w:val="24"/>
        </w:rPr>
        <w:t xml:space="preserve">Two comments </w:t>
      </w:r>
      <w:r w:rsidRPr="00D6554B">
        <w:rPr>
          <w:rFonts w:ascii="Times New Roman" w:eastAsia="Calibri" w:hAnsi="Times New Roman" w:cs="Times New Roman"/>
          <w:sz w:val="24"/>
          <w:szCs w:val="24"/>
        </w:rPr>
        <w:t xml:space="preserve">were </w:t>
      </w:r>
      <w:r w:rsidRPr="00E84231">
        <w:rPr>
          <w:rFonts w:ascii="Times New Roman" w:eastAsia="Calibri" w:hAnsi="Times New Roman" w:cs="Times New Roman"/>
          <w:sz w:val="24"/>
          <w:szCs w:val="24"/>
        </w:rPr>
        <w:t xml:space="preserve">received </w:t>
      </w:r>
      <w:r w:rsidRPr="00D6554B">
        <w:rPr>
          <w:rFonts w:ascii="Times New Roman" w:eastAsia="Calibri" w:hAnsi="Times New Roman" w:cs="Times New Roman"/>
          <w:sz w:val="24"/>
          <w:szCs w:val="24"/>
        </w:rPr>
        <w:t xml:space="preserve">during the comment period.  </w:t>
      </w:r>
      <w:r w:rsidRPr="00D6554B">
        <w:rPr>
          <w:rFonts w:ascii="Times New Roman" w:hAnsi="Times New Roman" w:cs="Times New Roman"/>
          <w:sz w:val="24"/>
          <w:szCs w:val="24"/>
        </w:rPr>
        <w:t>The comments are relevant; however, current regulations and the interpretation of the regulation</w:t>
      </w:r>
      <w:r w:rsidR="00314941">
        <w:rPr>
          <w:rFonts w:ascii="Times New Roman" w:hAnsi="Times New Roman" w:cs="Times New Roman"/>
          <w:sz w:val="24"/>
          <w:szCs w:val="24"/>
        </w:rPr>
        <w:t xml:space="preserve">s </w:t>
      </w:r>
      <w:r w:rsidRPr="00D6554B">
        <w:rPr>
          <w:rFonts w:ascii="Times New Roman" w:hAnsi="Times New Roman" w:cs="Times New Roman"/>
          <w:sz w:val="24"/>
          <w:szCs w:val="24"/>
        </w:rPr>
        <w:t>prevent the Department from adopting suggestions provided in the comment</w:t>
      </w:r>
      <w:r w:rsidR="00314941">
        <w:rPr>
          <w:rFonts w:ascii="Times New Roman" w:hAnsi="Times New Roman" w:cs="Times New Roman"/>
          <w:sz w:val="24"/>
          <w:szCs w:val="24"/>
        </w:rPr>
        <w:t>s</w:t>
      </w:r>
      <w:r w:rsidRPr="00D6554B">
        <w:rPr>
          <w:rFonts w:ascii="Times New Roman" w:hAnsi="Times New Roman" w:cs="Times New Roman"/>
          <w:sz w:val="24"/>
          <w:szCs w:val="24"/>
        </w:rPr>
        <w:t xml:space="preserve">. In addition, the burden hours are specifically related to entering information into the DAPIP system.  </w:t>
      </w:r>
      <w:r w:rsidRPr="00D6554B">
        <w:rPr>
          <w:rFonts w:ascii="Times New Roman" w:eastAsia="Calibri" w:hAnsi="Times New Roman" w:cs="Times New Roman"/>
          <w:sz w:val="24"/>
          <w:szCs w:val="24"/>
        </w:rPr>
        <w:t xml:space="preserve">There are no expected burden changes based on the two comments received. </w:t>
      </w:r>
    </w:p>
    <w:p w14:paraId="4468F1C3" w14:textId="77777777" w:rsidR="00CD3D70" w:rsidRPr="007B7746" w:rsidRDefault="00CD3D70"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4524EC8E" w14:textId="77777777" w:rsidR="00EC5271" w:rsidRPr="007B7746" w:rsidRDefault="00EC5271"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3493D8C8" w14:textId="4E623F13" w:rsidR="00EC5271" w:rsidRPr="004712A1" w:rsidRDefault="00B974BD" w:rsidP="001B33C2">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EC5271" w:rsidRPr="004712A1">
        <w:rPr>
          <w:rFonts w:ascii="Times New Roman" w:eastAsia="Times New Roman" w:hAnsi="Times New Roman" w:cs="Times New Roman"/>
          <w:sz w:val="24"/>
          <w:szCs w:val="24"/>
        </w:rPr>
        <w:t xml:space="preserve">Notice soliciting comments from parties outside the Department will be published </w:t>
      </w:r>
      <w:r w:rsidR="00721A8F" w:rsidRPr="004712A1">
        <w:rPr>
          <w:rFonts w:ascii="Times New Roman" w:eastAsia="Times New Roman" w:hAnsi="Times New Roman" w:cs="Times New Roman"/>
          <w:sz w:val="24"/>
          <w:szCs w:val="24"/>
        </w:rPr>
        <w:t xml:space="preserve">through </w:t>
      </w:r>
      <w:r w:rsidR="00110A75">
        <w:rPr>
          <w:rFonts w:ascii="Times New Roman" w:eastAsia="Times New Roman" w:hAnsi="Times New Roman" w:cs="Times New Roman"/>
          <w:sz w:val="24"/>
          <w:szCs w:val="24"/>
        </w:rPr>
        <w:t xml:space="preserve">a </w:t>
      </w:r>
      <w:r w:rsidR="001C0FBC" w:rsidRPr="004712A1">
        <w:rPr>
          <w:rFonts w:ascii="Times New Roman" w:eastAsia="Times New Roman" w:hAnsi="Times New Roman" w:cs="Times New Roman"/>
          <w:sz w:val="24"/>
          <w:szCs w:val="24"/>
        </w:rPr>
        <w:t>30-day</w:t>
      </w:r>
      <w:r w:rsidR="00EC5271" w:rsidRPr="004712A1">
        <w:rPr>
          <w:rFonts w:ascii="Times New Roman" w:eastAsia="Times New Roman" w:hAnsi="Times New Roman" w:cs="Times New Roman"/>
          <w:sz w:val="24"/>
          <w:szCs w:val="24"/>
        </w:rPr>
        <w:t xml:space="preserve"> Federal Register</w:t>
      </w:r>
      <w:r w:rsidR="00721A8F" w:rsidRPr="004712A1">
        <w:rPr>
          <w:rFonts w:ascii="Times New Roman" w:eastAsia="Times New Roman" w:hAnsi="Times New Roman" w:cs="Times New Roman"/>
          <w:sz w:val="24"/>
          <w:szCs w:val="24"/>
        </w:rPr>
        <w:t xml:space="preserve"> notice</w:t>
      </w:r>
      <w:r w:rsidR="005B198B" w:rsidRPr="004712A1">
        <w:rPr>
          <w:rFonts w:ascii="Times New Roman" w:eastAsia="Times New Roman" w:hAnsi="Times New Roman" w:cs="Times New Roman"/>
          <w:sz w:val="24"/>
          <w:szCs w:val="24"/>
        </w:rPr>
        <w:t>, with public comment</w:t>
      </w:r>
      <w:r w:rsidR="00DF4C74">
        <w:rPr>
          <w:rFonts w:ascii="Times New Roman" w:eastAsia="Times New Roman" w:hAnsi="Times New Roman" w:cs="Times New Roman"/>
          <w:sz w:val="24"/>
          <w:szCs w:val="24"/>
        </w:rPr>
        <w:t>s</w:t>
      </w:r>
      <w:r w:rsidR="005B198B" w:rsidRPr="004712A1">
        <w:rPr>
          <w:rFonts w:ascii="Times New Roman" w:eastAsia="Times New Roman" w:hAnsi="Times New Roman" w:cs="Times New Roman"/>
          <w:sz w:val="24"/>
          <w:szCs w:val="24"/>
        </w:rPr>
        <w:t xml:space="preserve"> considered in finalizing the information collection.</w:t>
      </w:r>
    </w:p>
    <w:p w14:paraId="26F0384A" w14:textId="77777777" w:rsidR="00C452C9" w:rsidRPr="007B7746" w:rsidRDefault="00C452C9" w:rsidP="00C452C9">
      <w:pPr>
        <w:tabs>
          <w:tab w:val="left" w:pos="-720"/>
        </w:tabs>
        <w:suppressAutoHyphens/>
        <w:spacing w:after="960" w:line="240" w:lineRule="auto"/>
        <w:contextualSpacing/>
        <w:jc w:val="both"/>
        <w:rPr>
          <w:rFonts w:ascii="Times New Roman" w:eastAsia="Times New Roman" w:hAnsi="Times New Roman" w:cs="Times New Roman"/>
          <w:sz w:val="24"/>
          <w:szCs w:val="24"/>
        </w:rPr>
      </w:pPr>
    </w:p>
    <w:p w14:paraId="68AC3B3C" w14:textId="77777777" w:rsidR="00E42282" w:rsidRPr="007B7746" w:rsidRDefault="00E42282" w:rsidP="001B33C2">
      <w:pPr>
        <w:numPr>
          <w:ilvl w:val="0"/>
          <w:numId w:val="6"/>
        </w:numPr>
        <w:tabs>
          <w:tab w:val="left" w:pos="-720"/>
        </w:tabs>
        <w:suppressAutoHyphens/>
        <w:spacing w:after="96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Explain any decision to provide any payment or gift to respondents, other than remuneration of contractors or grantees with meaningful justification.</w:t>
      </w:r>
    </w:p>
    <w:p w14:paraId="32694A29" w14:textId="77777777" w:rsidR="00C452C9" w:rsidRPr="007B7746" w:rsidRDefault="00D1763B" w:rsidP="00D1763B">
      <w:pPr>
        <w:tabs>
          <w:tab w:val="left" w:pos="-720"/>
          <w:tab w:val="left" w:pos="1252"/>
        </w:tabs>
        <w:suppressAutoHyphens/>
        <w:spacing w:after="960" w:line="240" w:lineRule="auto"/>
        <w:ind w:left="72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ab/>
      </w:r>
    </w:p>
    <w:p w14:paraId="0C4EC6D0" w14:textId="77777777" w:rsidR="009B7DDD" w:rsidRPr="00110A75" w:rsidRDefault="00D1763B" w:rsidP="009B7DDD">
      <w:pPr>
        <w:tabs>
          <w:tab w:val="left" w:pos="-720"/>
        </w:tabs>
        <w:suppressAutoHyphens/>
        <w:spacing w:after="960" w:line="240" w:lineRule="auto"/>
        <w:ind w:left="720"/>
        <w:contextualSpacing/>
        <w:jc w:val="both"/>
        <w:rPr>
          <w:rFonts w:ascii="Times New Roman" w:hAnsi="Times New Roman" w:cs="Times New Roman"/>
          <w:sz w:val="24"/>
          <w:szCs w:val="24"/>
        </w:rPr>
      </w:pPr>
      <w:r w:rsidRPr="00110A75">
        <w:rPr>
          <w:rFonts w:ascii="Times New Roman" w:hAnsi="Times New Roman" w:cs="Times New Roman"/>
          <w:sz w:val="24"/>
          <w:szCs w:val="24"/>
        </w:rPr>
        <w:t>N</w:t>
      </w:r>
      <w:r w:rsidR="009B7DDD" w:rsidRPr="00110A75">
        <w:rPr>
          <w:rFonts w:ascii="Times New Roman" w:hAnsi="Times New Roman" w:cs="Times New Roman"/>
          <w:sz w:val="24"/>
          <w:szCs w:val="24"/>
        </w:rPr>
        <w:t xml:space="preserve">o payments </w:t>
      </w:r>
      <w:r w:rsidRPr="00110A75">
        <w:rPr>
          <w:rFonts w:ascii="Times New Roman" w:hAnsi="Times New Roman" w:cs="Times New Roman"/>
          <w:sz w:val="24"/>
          <w:szCs w:val="24"/>
        </w:rPr>
        <w:t xml:space="preserve">will be </w:t>
      </w:r>
      <w:r w:rsidR="009B7DDD" w:rsidRPr="00110A75">
        <w:rPr>
          <w:rFonts w:ascii="Times New Roman" w:hAnsi="Times New Roman" w:cs="Times New Roman"/>
          <w:sz w:val="24"/>
          <w:szCs w:val="24"/>
        </w:rPr>
        <w:t>made to respondents.</w:t>
      </w:r>
    </w:p>
    <w:p w14:paraId="452DCAB7" w14:textId="77777777" w:rsidR="009B7DDD" w:rsidRPr="007B7746" w:rsidRDefault="009B7DDD" w:rsidP="009B7DDD">
      <w:pPr>
        <w:tabs>
          <w:tab w:val="left" w:pos="-720"/>
        </w:tabs>
        <w:suppressAutoHyphens/>
        <w:spacing w:after="960" w:line="240" w:lineRule="auto"/>
        <w:ind w:left="720"/>
        <w:contextualSpacing/>
        <w:jc w:val="both"/>
        <w:rPr>
          <w:rFonts w:ascii="Times New Roman" w:hAnsi="Times New Roman" w:cs="Times New Roman"/>
          <w:sz w:val="24"/>
          <w:szCs w:val="24"/>
        </w:rPr>
      </w:pPr>
    </w:p>
    <w:p w14:paraId="08C6AE51" w14:textId="77777777" w:rsidR="0034646C" w:rsidRPr="007B7746" w:rsidRDefault="00E42282" w:rsidP="001B33C2">
      <w:pPr>
        <w:numPr>
          <w:ilvl w:val="0"/>
          <w:numId w:val="6"/>
        </w:numPr>
        <w:tabs>
          <w:tab w:val="left" w:pos="-720"/>
        </w:tabs>
        <w:suppressAutoHyphens/>
        <w:spacing w:after="960" w:line="240" w:lineRule="auto"/>
        <w:contextualSpacing/>
        <w:jc w:val="both"/>
        <w:rPr>
          <w:rFonts w:ascii="Times New Roman" w:hAnsi="Times New Roman" w:cs="Times New Roman"/>
          <w:sz w:val="24"/>
          <w:szCs w:val="24"/>
        </w:rPr>
      </w:pPr>
      <w:r w:rsidRPr="007B7746">
        <w:rPr>
          <w:rFonts w:ascii="Times New Roman" w:eastAsia="Times New Roman" w:hAnsi="Times New Roman" w:cs="Times New Roman"/>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B7746">
        <w:rPr>
          <w:rFonts w:ascii="Times New Roman" w:eastAsia="Times New Roman" w:hAnsi="Times New Roman" w:cs="Times New Roman"/>
          <w:sz w:val="24"/>
          <w:szCs w:val="24"/>
          <w:vertAlign w:val="superscript"/>
        </w:rPr>
        <w:footnoteReference w:id="2"/>
      </w:r>
      <w:r w:rsidRPr="007B7746">
        <w:rPr>
          <w:rFonts w:ascii="Times New Roman" w:eastAsia="Times New Roman" w:hAnsi="Times New Roman" w:cs="Times New Roman"/>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491A191D" w14:textId="77777777" w:rsidR="007E2C3F" w:rsidRPr="007B7746" w:rsidRDefault="007E2C3F" w:rsidP="001B33C2">
      <w:pPr>
        <w:tabs>
          <w:tab w:val="left" w:pos="-720"/>
        </w:tabs>
        <w:suppressAutoHyphens/>
        <w:spacing w:after="960" w:line="240" w:lineRule="auto"/>
        <w:ind w:left="720"/>
        <w:contextualSpacing/>
        <w:jc w:val="both"/>
        <w:rPr>
          <w:rFonts w:ascii="Times New Roman" w:hAnsi="Times New Roman" w:cs="Times New Roman"/>
          <w:sz w:val="24"/>
          <w:szCs w:val="24"/>
        </w:rPr>
      </w:pPr>
    </w:p>
    <w:p w14:paraId="09425683" w14:textId="46891FE0" w:rsidR="0034646C" w:rsidRPr="007B7746" w:rsidRDefault="00445E61" w:rsidP="001B33C2">
      <w:pPr>
        <w:tabs>
          <w:tab w:val="left" w:pos="-720"/>
        </w:tabs>
        <w:suppressAutoHyphens/>
        <w:spacing w:after="96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Accreditation is a matter of public record in all states and jurisdictions. Therefore, </w:t>
      </w:r>
      <w:r w:rsidR="00EF67E2">
        <w:rPr>
          <w:rFonts w:ascii="Times New Roman" w:hAnsi="Times New Roman" w:cs="Times New Roman"/>
          <w:sz w:val="24"/>
          <w:szCs w:val="24"/>
        </w:rPr>
        <w:t xml:space="preserve">the information requested from accreditation agencies is required, not voluntary and is considered </w:t>
      </w:r>
      <w:r w:rsidR="0034646C" w:rsidRPr="007B7746">
        <w:rPr>
          <w:rFonts w:ascii="Times New Roman" w:hAnsi="Times New Roman" w:cs="Times New Roman"/>
          <w:sz w:val="24"/>
          <w:szCs w:val="24"/>
        </w:rPr>
        <w:t>public information</w:t>
      </w:r>
      <w:r w:rsidR="00E27B01">
        <w:rPr>
          <w:rFonts w:ascii="Times New Roman" w:hAnsi="Times New Roman" w:cs="Times New Roman"/>
          <w:sz w:val="24"/>
          <w:szCs w:val="24"/>
        </w:rPr>
        <w:t xml:space="preserve">. No PII is collected </w:t>
      </w:r>
      <w:r>
        <w:rPr>
          <w:rFonts w:ascii="Times New Roman" w:hAnsi="Times New Roman" w:cs="Times New Roman"/>
          <w:sz w:val="24"/>
          <w:szCs w:val="24"/>
        </w:rPr>
        <w:t xml:space="preserve">and the Department makes no pledge about the confidentiality of the data. </w:t>
      </w:r>
    </w:p>
    <w:p w14:paraId="50FDA56C" w14:textId="77777777" w:rsidR="00C452C9" w:rsidRPr="007B7746" w:rsidRDefault="00C452C9" w:rsidP="001B33C2">
      <w:pPr>
        <w:tabs>
          <w:tab w:val="left" w:pos="-720"/>
        </w:tabs>
        <w:suppressAutoHyphens/>
        <w:spacing w:after="960" w:line="240" w:lineRule="auto"/>
        <w:ind w:left="720"/>
        <w:contextualSpacing/>
        <w:jc w:val="both"/>
        <w:rPr>
          <w:rFonts w:ascii="Times New Roman" w:hAnsi="Times New Roman" w:cs="Times New Roman"/>
          <w:sz w:val="24"/>
          <w:szCs w:val="24"/>
        </w:rPr>
      </w:pPr>
    </w:p>
    <w:p w14:paraId="2DC0052A" w14:textId="77777777" w:rsidR="00E42282" w:rsidRPr="007B7746" w:rsidRDefault="00E42282" w:rsidP="001B33C2">
      <w:pPr>
        <w:numPr>
          <w:ilvl w:val="0"/>
          <w:numId w:val="6"/>
        </w:numPr>
        <w:tabs>
          <w:tab w:val="left" w:pos="-720"/>
        </w:tabs>
        <w:suppressAutoHyphens/>
        <w:spacing w:after="960" w:line="240" w:lineRule="auto"/>
        <w:ind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A92E96F" w14:textId="77777777" w:rsidR="009B7DDD" w:rsidRPr="00143A22" w:rsidRDefault="009B7DDD" w:rsidP="009B7DDD">
      <w:pPr>
        <w:tabs>
          <w:tab w:val="left" w:pos="-720"/>
        </w:tabs>
        <w:suppressAutoHyphens/>
        <w:spacing w:after="960" w:line="240" w:lineRule="auto"/>
        <w:contextualSpacing/>
        <w:jc w:val="both"/>
        <w:rPr>
          <w:rFonts w:ascii="Times New Roman" w:eastAsia="Times New Roman" w:hAnsi="Times New Roman" w:cs="Times New Roman"/>
          <w:b/>
          <w:bCs/>
          <w:sz w:val="24"/>
          <w:szCs w:val="24"/>
        </w:rPr>
      </w:pPr>
    </w:p>
    <w:p w14:paraId="3112249C" w14:textId="77777777" w:rsidR="009B7DDD" w:rsidRPr="00110A75" w:rsidRDefault="009B7DDD" w:rsidP="009B7DDD">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r w:rsidRPr="00110A75">
        <w:rPr>
          <w:rFonts w:ascii="Times New Roman" w:eastAsia="Times New Roman" w:hAnsi="Times New Roman" w:cs="Times New Roman"/>
          <w:sz w:val="24"/>
          <w:szCs w:val="24"/>
        </w:rPr>
        <w:t xml:space="preserve">Neither the data collection nor the information items in the </w:t>
      </w:r>
      <w:r w:rsidR="00EF7697" w:rsidRPr="00110A75">
        <w:rPr>
          <w:rFonts w:ascii="Times New Roman" w:eastAsia="Times New Roman" w:hAnsi="Times New Roman" w:cs="Times New Roman"/>
          <w:sz w:val="24"/>
          <w:szCs w:val="24"/>
        </w:rPr>
        <w:t>adverse action</w:t>
      </w:r>
      <w:r w:rsidRPr="00110A75">
        <w:rPr>
          <w:rFonts w:ascii="Times New Roman" w:eastAsia="Times New Roman" w:hAnsi="Times New Roman" w:cs="Times New Roman"/>
          <w:sz w:val="24"/>
          <w:szCs w:val="24"/>
        </w:rPr>
        <w:t xml:space="preserve"> reports include questions of sensitive nature.</w:t>
      </w:r>
    </w:p>
    <w:p w14:paraId="201353FC" w14:textId="77777777" w:rsidR="00C452C9" w:rsidRPr="007B7746" w:rsidRDefault="00C452C9" w:rsidP="00C452C9">
      <w:pPr>
        <w:tabs>
          <w:tab w:val="left" w:pos="-720"/>
        </w:tabs>
        <w:suppressAutoHyphens/>
        <w:spacing w:after="960" w:line="240" w:lineRule="auto"/>
        <w:ind w:left="720"/>
        <w:contextualSpacing/>
        <w:jc w:val="both"/>
        <w:rPr>
          <w:rFonts w:ascii="Times New Roman" w:eastAsia="Times New Roman" w:hAnsi="Times New Roman" w:cs="Times New Roman"/>
          <w:sz w:val="24"/>
          <w:szCs w:val="24"/>
        </w:rPr>
      </w:pPr>
    </w:p>
    <w:p w14:paraId="20899FD3" w14:textId="77777777" w:rsidR="00E42282" w:rsidRPr="007B7746" w:rsidRDefault="00E42282" w:rsidP="001B33C2">
      <w:pPr>
        <w:numPr>
          <w:ilvl w:val="0"/>
          <w:numId w:val="6"/>
        </w:numPr>
        <w:tabs>
          <w:tab w:val="left" w:pos="-720"/>
        </w:tabs>
        <w:suppressAutoHyphens/>
        <w:spacing w:after="0" w:line="240" w:lineRule="auto"/>
        <w:ind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estimates of the hour burden of the collection of information.  The statement should:</w:t>
      </w:r>
    </w:p>
    <w:p w14:paraId="5AC51ABF"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569FFAF6" w14:textId="77777777" w:rsidR="00E42282" w:rsidRPr="007B7746" w:rsidRDefault="00E42282" w:rsidP="001B33C2">
      <w:pPr>
        <w:numPr>
          <w:ilvl w:val="0"/>
          <w:numId w:val="3"/>
        </w:numPr>
        <w:tabs>
          <w:tab w:val="left" w:pos="-720"/>
          <w:tab w:val="left" w:pos="1247"/>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26B8695" w14:textId="77777777" w:rsidR="00E42282" w:rsidRPr="007B7746" w:rsidRDefault="00E42282" w:rsidP="001B33C2">
      <w:pPr>
        <w:tabs>
          <w:tab w:val="left" w:pos="-720"/>
          <w:tab w:val="left" w:pos="1247"/>
        </w:tabs>
        <w:suppressAutoHyphens/>
        <w:spacing w:after="0" w:line="240" w:lineRule="auto"/>
        <w:ind w:left="700"/>
        <w:contextualSpacing/>
        <w:jc w:val="both"/>
        <w:rPr>
          <w:rFonts w:ascii="Times New Roman" w:eastAsia="Times New Roman" w:hAnsi="Times New Roman" w:cs="Times New Roman"/>
          <w:sz w:val="24"/>
          <w:szCs w:val="24"/>
        </w:rPr>
      </w:pPr>
    </w:p>
    <w:p w14:paraId="0216EC75" w14:textId="77777777" w:rsidR="00E42282" w:rsidRPr="007B7746" w:rsidRDefault="00E42282" w:rsidP="001B33C2">
      <w:pPr>
        <w:numPr>
          <w:ilvl w:val="0"/>
          <w:numId w:val="3"/>
        </w:numPr>
        <w:tabs>
          <w:tab w:val="left" w:pos="-720"/>
          <w:tab w:val="left" w:pos="1247"/>
        </w:tabs>
        <w:suppressAutoHyphens/>
        <w:spacing w:after="0" w:line="240" w:lineRule="auto"/>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4479EE50" w14:textId="77777777" w:rsidR="00E42282" w:rsidRPr="007B7746" w:rsidRDefault="00E42282" w:rsidP="001B33C2">
      <w:pPr>
        <w:tabs>
          <w:tab w:val="left" w:pos="-720"/>
          <w:tab w:val="left" w:pos="1247"/>
        </w:tabs>
        <w:suppressAutoHyphens/>
        <w:spacing w:after="0" w:line="240" w:lineRule="auto"/>
        <w:ind w:left="700"/>
        <w:contextualSpacing/>
        <w:jc w:val="both"/>
        <w:rPr>
          <w:rFonts w:ascii="Times New Roman" w:eastAsia="Times New Roman" w:hAnsi="Times New Roman" w:cs="Times New Roman"/>
          <w:sz w:val="24"/>
          <w:szCs w:val="24"/>
        </w:rPr>
      </w:pPr>
    </w:p>
    <w:p w14:paraId="14B85A8B" w14:textId="77777777" w:rsidR="00E42282" w:rsidRPr="007B7746" w:rsidRDefault="00E42282" w:rsidP="001B33C2">
      <w:pPr>
        <w:numPr>
          <w:ilvl w:val="0"/>
          <w:numId w:val="3"/>
        </w:numPr>
        <w:tabs>
          <w:tab w:val="left" w:pos="-720"/>
          <w:tab w:val="left" w:pos="1247"/>
        </w:tabs>
        <w:suppressAutoHyphens/>
        <w:spacing w:after="960" w:line="240" w:lineRule="auto"/>
        <w:ind w:left="1166"/>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F764B0D" w14:textId="77777777" w:rsidR="00BE309C" w:rsidRDefault="00BE309C" w:rsidP="00BE309C">
      <w:pPr>
        <w:tabs>
          <w:tab w:val="left" w:pos="-720"/>
          <w:tab w:val="left" w:pos="1247"/>
        </w:tabs>
        <w:suppressAutoHyphens/>
        <w:spacing w:after="960" w:line="240" w:lineRule="auto"/>
        <w:ind w:left="1166"/>
        <w:contextualSpacing/>
        <w:jc w:val="both"/>
        <w:rPr>
          <w:rFonts w:ascii="Times New Roman" w:eastAsia="Times New Roman" w:hAnsi="Times New Roman" w:cs="Times New Roman"/>
          <w:sz w:val="24"/>
          <w:szCs w:val="24"/>
        </w:rPr>
      </w:pPr>
    </w:p>
    <w:p w14:paraId="782A39A4" w14:textId="3D51A553" w:rsidR="00A5726B" w:rsidRPr="0041194E" w:rsidRDefault="00A5726B" w:rsidP="0041194E">
      <w:pPr>
        <w:ind w:left="720"/>
        <w:jc w:val="both"/>
        <w:rPr>
          <w:rFonts w:ascii="Times New Roman" w:eastAsia="Calibri" w:hAnsi="Times New Roman" w:cs="Times New Roman"/>
          <w:sz w:val="24"/>
          <w:szCs w:val="24"/>
        </w:rPr>
      </w:pPr>
      <w:r w:rsidRPr="0041194E">
        <w:rPr>
          <w:rFonts w:ascii="Times New Roman" w:eastAsia="Calibri" w:hAnsi="Times New Roman" w:cs="Times New Roman"/>
          <w:sz w:val="24"/>
          <w:szCs w:val="24"/>
        </w:rPr>
        <w:t xml:space="preserve">Data collection and burden for this collection are related </w:t>
      </w:r>
      <w:r w:rsidRPr="00A5726B">
        <w:rPr>
          <w:rFonts w:ascii="Times New Roman" w:eastAsia="Calibri" w:hAnsi="Times New Roman" w:cs="Times New Roman"/>
          <w:sz w:val="24"/>
          <w:szCs w:val="24"/>
        </w:rPr>
        <w:t>to requirements from 34 CFR 602</w:t>
      </w:r>
      <w:r w:rsidRPr="0041194E">
        <w:rPr>
          <w:rFonts w:ascii="Times New Roman" w:eastAsia="Calibri" w:hAnsi="Times New Roman" w:cs="Times New Roman"/>
          <w:sz w:val="24"/>
          <w:szCs w:val="24"/>
        </w:rPr>
        <w:t xml:space="preserve">. This burden is primarily due to </w:t>
      </w:r>
      <w:r w:rsidR="004C5D6D">
        <w:rPr>
          <w:rFonts w:ascii="Times New Roman" w:eastAsia="Calibri" w:hAnsi="Times New Roman" w:cs="Times New Roman"/>
          <w:sz w:val="24"/>
          <w:szCs w:val="24"/>
        </w:rPr>
        <w:t xml:space="preserve">accreditation agencies being required to report information about </w:t>
      </w:r>
      <w:r w:rsidR="0041194E">
        <w:rPr>
          <w:rFonts w:ascii="Times New Roman" w:eastAsia="Calibri" w:hAnsi="Times New Roman" w:cs="Times New Roman"/>
          <w:sz w:val="24"/>
          <w:szCs w:val="24"/>
        </w:rPr>
        <w:t>institutions to the Department</w:t>
      </w:r>
      <w:r w:rsidRPr="0041194E">
        <w:rPr>
          <w:rFonts w:ascii="Times New Roman" w:eastAsia="Calibri" w:hAnsi="Times New Roman" w:cs="Times New Roman"/>
          <w:sz w:val="24"/>
          <w:szCs w:val="24"/>
        </w:rPr>
        <w:t>.</w:t>
      </w:r>
    </w:p>
    <w:p w14:paraId="06F2359A" w14:textId="77777777" w:rsidR="00A5726B" w:rsidRPr="006E4157" w:rsidRDefault="00A5726B" w:rsidP="0041194E">
      <w:pPr>
        <w:ind w:left="720"/>
        <w:jc w:val="both"/>
        <w:rPr>
          <w:rFonts w:ascii="Times New Roman" w:eastAsia="Calibri" w:hAnsi="Times New Roman" w:cs="Times New Roman"/>
          <w:bCs/>
          <w:sz w:val="24"/>
          <w:szCs w:val="24"/>
        </w:rPr>
      </w:pPr>
      <w:r w:rsidRPr="006E4157">
        <w:rPr>
          <w:rFonts w:ascii="Times New Roman" w:eastAsia="Calibri" w:hAnsi="Times New Roman" w:cs="Times New Roman"/>
          <w:bCs/>
          <w:sz w:val="24"/>
          <w:szCs w:val="24"/>
        </w:rPr>
        <w:t>The estimate of the burden on accrediting agencies to collect information for the section of the regulations is as follows:</w:t>
      </w:r>
    </w:p>
    <w:p w14:paraId="14FF1383" w14:textId="36A3A6AB" w:rsidR="00A5726B" w:rsidRPr="0041194E" w:rsidRDefault="00A5726B" w:rsidP="0041194E">
      <w:pPr>
        <w:ind w:left="720"/>
        <w:jc w:val="both"/>
        <w:rPr>
          <w:rFonts w:ascii="Times New Roman" w:eastAsia="Calibri" w:hAnsi="Times New Roman" w:cs="Times New Roman"/>
          <w:sz w:val="24"/>
          <w:szCs w:val="24"/>
        </w:rPr>
      </w:pPr>
      <w:r w:rsidRPr="0041194E">
        <w:rPr>
          <w:rFonts w:ascii="Times New Roman" w:eastAsia="Calibri" w:hAnsi="Times New Roman" w:cs="Times New Roman"/>
          <w:sz w:val="24"/>
          <w:szCs w:val="24"/>
        </w:rPr>
        <w:t xml:space="preserve">The number of accrediting agencies (not-for-profit associations) </w:t>
      </w:r>
      <w:r w:rsidR="00F133D0">
        <w:rPr>
          <w:rFonts w:ascii="Times New Roman" w:eastAsia="Calibri" w:hAnsi="Times New Roman" w:cs="Times New Roman"/>
          <w:sz w:val="24"/>
          <w:szCs w:val="24"/>
        </w:rPr>
        <w:t>required to</w:t>
      </w:r>
      <w:r w:rsidR="00F133D0" w:rsidRPr="0041194E">
        <w:rPr>
          <w:rFonts w:ascii="Times New Roman" w:eastAsia="Calibri" w:hAnsi="Times New Roman" w:cs="Times New Roman"/>
          <w:sz w:val="24"/>
          <w:szCs w:val="24"/>
        </w:rPr>
        <w:t xml:space="preserve"> </w:t>
      </w:r>
      <w:r w:rsidRPr="0041194E">
        <w:rPr>
          <w:rFonts w:ascii="Times New Roman" w:eastAsia="Calibri" w:hAnsi="Times New Roman" w:cs="Times New Roman"/>
          <w:sz w:val="24"/>
          <w:szCs w:val="24"/>
        </w:rPr>
        <w:t xml:space="preserve">respond to the information collection is </w:t>
      </w:r>
      <w:r w:rsidR="00EF67E2">
        <w:rPr>
          <w:rFonts w:ascii="Times New Roman" w:eastAsia="Calibri" w:hAnsi="Times New Roman" w:cs="Times New Roman"/>
          <w:sz w:val="24"/>
          <w:szCs w:val="24"/>
        </w:rPr>
        <w:t>5</w:t>
      </w:r>
      <w:r w:rsidR="00EE4085">
        <w:rPr>
          <w:rFonts w:ascii="Times New Roman" w:eastAsia="Calibri" w:hAnsi="Times New Roman" w:cs="Times New Roman"/>
          <w:sz w:val="24"/>
          <w:szCs w:val="24"/>
        </w:rPr>
        <w:t>3</w:t>
      </w:r>
      <w:r w:rsidRPr="0041194E">
        <w:rPr>
          <w:rFonts w:ascii="Times New Roman" w:eastAsia="Calibri" w:hAnsi="Times New Roman" w:cs="Times New Roman"/>
          <w:sz w:val="24"/>
          <w:szCs w:val="24"/>
        </w:rPr>
        <w:t xml:space="preserve">.  </w:t>
      </w:r>
    </w:p>
    <w:p w14:paraId="189C55C5" w14:textId="77777777" w:rsidR="00A5726B" w:rsidRPr="0041194E" w:rsidRDefault="00A5726B" w:rsidP="0041194E">
      <w:pPr>
        <w:ind w:left="720"/>
        <w:jc w:val="both"/>
        <w:rPr>
          <w:rFonts w:ascii="Times New Roman" w:eastAsia="Calibri" w:hAnsi="Times New Roman" w:cs="Times New Roman"/>
          <w:sz w:val="24"/>
          <w:szCs w:val="24"/>
        </w:rPr>
      </w:pPr>
      <w:r w:rsidRPr="0041194E">
        <w:rPr>
          <w:rFonts w:ascii="Times New Roman" w:eastAsia="Calibri" w:hAnsi="Times New Roman" w:cs="Times New Roman"/>
          <w:sz w:val="24"/>
          <w:szCs w:val="24"/>
        </w:rPr>
        <w:t xml:space="preserve">Burden for requiring </w:t>
      </w:r>
      <w:r w:rsidR="0041194E">
        <w:rPr>
          <w:rFonts w:ascii="Times New Roman" w:eastAsia="Calibri" w:hAnsi="Times New Roman" w:cs="Times New Roman"/>
          <w:sz w:val="24"/>
          <w:szCs w:val="24"/>
        </w:rPr>
        <w:t xml:space="preserve">accrediting </w:t>
      </w:r>
      <w:r w:rsidRPr="0041194E">
        <w:rPr>
          <w:rFonts w:ascii="Times New Roman" w:eastAsia="Calibri" w:hAnsi="Times New Roman" w:cs="Times New Roman"/>
          <w:sz w:val="24"/>
          <w:szCs w:val="24"/>
        </w:rPr>
        <w:t xml:space="preserve">agencies to report to the Department </w:t>
      </w:r>
    </w:p>
    <w:tbl>
      <w:tblPr>
        <w:tblStyle w:val="TableGrid"/>
        <w:tblW w:w="0" w:type="auto"/>
        <w:jc w:val="center"/>
        <w:tblLook w:val="04A0" w:firstRow="1" w:lastRow="0" w:firstColumn="1" w:lastColumn="0" w:noHBand="0" w:noVBand="1"/>
      </w:tblPr>
      <w:tblGrid>
        <w:gridCol w:w="3798"/>
        <w:gridCol w:w="2970"/>
      </w:tblGrid>
      <w:tr w:rsidR="00EE4085" w:rsidRPr="00326DE7" w14:paraId="5815B25C" w14:textId="77777777" w:rsidTr="00830A56">
        <w:trPr>
          <w:jc w:val="center"/>
        </w:trPr>
        <w:tc>
          <w:tcPr>
            <w:tcW w:w="6768" w:type="dxa"/>
            <w:gridSpan w:val="2"/>
            <w:shd w:val="clear" w:color="auto" w:fill="D9D9D9" w:themeFill="background1" w:themeFillShade="D9"/>
          </w:tcPr>
          <w:p w14:paraId="5EE025C4" w14:textId="77777777" w:rsidR="00EE4085" w:rsidRPr="00F64548" w:rsidRDefault="00EE4085" w:rsidP="00830A56">
            <w:pPr>
              <w:jc w:val="center"/>
              <w:rPr>
                <w:rFonts w:ascii="Times New Roman" w:hAnsi="Times New Roman" w:cs="Times New Roman"/>
                <w:b/>
                <w:sz w:val="24"/>
                <w:szCs w:val="24"/>
              </w:rPr>
            </w:pPr>
            <w:r>
              <w:rPr>
                <w:rFonts w:ascii="Times New Roman" w:hAnsi="Times New Roman" w:cs="Times New Roman"/>
                <w:b/>
                <w:sz w:val="24"/>
                <w:szCs w:val="24"/>
              </w:rPr>
              <w:t>Estimation of</w:t>
            </w:r>
            <w:r w:rsidRPr="00F64548">
              <w:rPr>
                <w:rFonts w:ascii="Times New Roman" w:hAnsi="Times New Roman" w:cs="Times New Roman"/>
                <w:b/>
                <w:sz w:val="24"/>
                <w:szCs w:val="24"/>
              </w:rPr>
              <w:t xml:space="preserve"> Agency Annual Burden</w:t>
            </w:r>
          </w:p>
        </w:tc>
      </w:tr>
      <w:tr w:rsidR="00EE4085" w:rsidRPr="00326DE7" w14:paraId="59CFE48A" w14:textId="77777777" w:rsidTr="00830A56">
        <w:trPr>
          <w:jc w:val="center"/>
        </w:trPr>
        <w:tc>
          <w:tcPr>
            <w:tcW w:w="3798" w:type="dxa"/>
          </w:tcPr>
          <w:p w14:paraId="700BF0A2" w14:textId="77777777" w:rsidR="00EE4085" w:rsidRPr="00F64548" w:rsidRDefault="00EE4085" w:rsidP="00830A56">
            <w:pPr>
              <w:rPr>
                <w:rFonts w:ascii="Times New Roman" w:hAnsi="Times New Roman" w:cs="Times New Roman"/>
                <w:sz w:val="24"/>
                <w:szCs w:val="24"/>
              </w:rPr>
            </w:pPr>
            <w:r w:rsidRPr="00F64548">
              <w:rPr>
                <w:rFonts w:ascii="Times New Roman" w:hAnsi="Times New Roman" w:cs="Times New Roman"/>
                <w:sz w:val="24"/>
                <w:szCs w:val="24"/>
              </w:rPr>
              <w:t xml:space="preserve">Number of </w:t>
            </w:r>
            <w:r>
              <w:rPr>
                <w:rFonts w:ascii="Times New Roman" w:hAnsi="Times New Roman" w:cs="Times New Roman"/>
                <w:sz w:val="24"/>
                <w:szCs w:val="24"/>
              </w:rPr>
              <w:t>A</w:t>
            </w:r>
            <w:r w:rsidRPr="00F64548">
              <w:rPr>
                <w:rFonts w:ascii="Times New Roman" w:hAnsi="Times New Roman" w:cs="Times New Roman"/>
                <w:sz w:val="24"/>
                <w:szCs w:val="24"/>
              </w:rPr>
              <w:t>gencies</w:t>
            </w:r>
          </w:p>
        </w:tc>
        <w:tc>
          <w:tcPr>
            <w:tcW w:w="2970" w:type="dxa"/>
          </w:tcPr>
          <w:p w14:paraId="151B77CE" w14:textId="37E52D90" w:rsidR="00EE4085" w:rsidRPr="00F64548" w:rsidRDefault="00EE4085" w:rsidP="00830A56">
            <w:pPr>
              <w:rPr>
                <w:rFonts w:ascii="Times New Roman" w:hAnsi="Times New Roman" w:cs="Times New Roman"/>
                <w:sz w:val="24"/>
                <w:szCs w:val="24"/>
              </w:rPr>
            </w:pPr>
            <w:r>
              <w:rPr>
                <w:rFonts w:ascii="Times New Roman" w:hAnsi="Times New Roman" w:cs="Times New Roman"/>
                <w:sz w:val="24"/>
                <w:szCs w:val="24"/>
              </w:rPr>
              <w:t>53</w:t>
            </w:r>
          </w:p>
        </w:tc>
      </w:tr>
      <w:tr w:rsidR="00EE4085" w:rsidRPr="00326DE7" w14:paraId="66FBDD05" w14:textId="77777777" w:rsidTr="00830A56">
        <w:trPr>
          <w:jc w:val="center"/>
        </w:trPr>
        <w:tc>
          <w:tcPr>
            <w:tcW w:w="3798" w:type="dxa"/>
          </w:tcPr>
          <w:p w14:paraId="177F5FA5" w14:textId="77777777" w:rsidR="00EE4085" w:rsidRPr="00F64548" w:rsidRDefault="00EE4085" w:rsidP="00830A56">
            <w:pPr>
              <w:rPr>
                <w:rFonts w:ascii="Times New Roman" w:hAnsi="Times New Roman" w:cs="Times New Roman"/>
                <w:sz w:val="24"/>
                <w:szCs w:val="24"/>
              </w:rPr>
            </w:pPr>
            <w:r w:rsidRPr="00F64548">
              <w:rPr>
                <w:rFonts w:ascii="Times New Roman" w:hAnsi="Times New Roman" w:cs="Times New Roman"/>
                <w:sz w:val="24"/>
                <w:szCs w:val="24"/>
              </w:rPr>
              <w:t>Complete Online Form(s)</w:t>
            </w:r>
          </w:p>
        </w:tc>
        <w:tc>
          <w:tcPr>
            <w:tcW w:w="2970" w:type="dxa"/>
          </w:tcPr>
          <w:p w14:paraId="0C850ACC" w14:textId="77777777" w:rsidR="00EE4085" w:rsidRPr="00F64548" w:rsidRDefault="00EE4085" w:rsidP="00830A56">
            <w:pPr>
              <w:rPr>
                <w:rFonts w:ascii="Times New Roman" w:hAnsi="Times New Roman" w:cs="Times New Roman"/>
                <w:sz w:val="24"/>
                <w:szCs w:val="24"/>
              </w:rPr>
            </w:pPr>
            <w:r w:rsidRPr="00F64548">
              <w:rPr>
                <w:rFonts w:ascii="Times New Roman" w:hAnsi="Times New Roman" w:cs="Times New Roman"/>
                <w:sz w:val="24"/>
                <w:szCs w:val="24"/>
              </w:rPr>
              <w:t>5 min./action</w:t>
            </w:r>
          </w:p>
        </w:tc>
      </w:tr>
      <w:tr w:rsidR="00EE4085" w:rsidRPr="00EF2385" w14:paraId="7516B01D" w14:textId="77777777" w:rsidTr="00830A56">
        <w:trPr>
          <w:jc w:val="center"/>
        </w:trPr>
        <w:tc>
          <w:tcPr>
            <w:tcW w:w="3798" w:type="dxa"/>
            <w:tcBorders>
              <w:bottom w:val="double" w:sz="4" w:space="0" w:color="auto"/>
            </w:tcBorders>
          </w:tcPr>
          <w:p w14:paraId="35531B22" w14:textId="77777777" w:rsidR="00EE4085" w:rsidRPr="00EF2385" w:rsidRDefault="00EE4085" w:rsidP="00830A56">
            <w:pPr>
              <w:rPr>
                <w:rFonts w:ascii="Times New Roman" w:hAnsi="Times New Roman" w:cs="Times New Roman"/>
                <w:sz w:val="24"/>
                <w:szCs w:val="24"/>
              </w:rPr>
            </w:pPr>
            <w:r w:rsidRPr="00EF2385">
              <w:rPr>
                <w:rFonts w:ascii="Times New Roman" w:hAnsi="Times New Roman" w:cs="Times New Roman"/>
                <w:sz w:val="24"/>
                <w:szCs w:val="24"/>
              </w:rPr>
              <w:t xml:space="preserve">Number of Actions </w:t>
            </w:r>
          </w:p>
        </w:tc>
        <w:tc>
          <w:tcPr>
            <w:tcW w:w="2970" w:type="dxa"/>
            <w:tcBorders>
              <w:bottom w:val="double" w:sz="4" w:space="0" w:color="auto"/>
            </w:tcBorders>
          </w:tcPr>
          <w:p w14:paraId="5044A910" w14:textId="719D17CA" w:rsidR="00EE4085" w:rsidRPr="00EF2385" w:rsidRDefault="00EE4085" w:rsidP="00830A56">
            <w:pPr>
              <w:rPr>
                <w:rFonts w:ascii="Times New Roman" w:hAnsi="Times New Roman" w:cs="Times New Roman"/>
                <w:sz w:val="24"/>
                <w:szCs w:val="24"/>
              </w:rPr>
            </w:pPr>
            <w:r>
              <w:rPr>
                <w:rFonts w:ascii="Times New Roman" w:hAnsi="Times New Roman" w:cs="Times New Roman"/>
                <w:sz w:val="24"/>
                <w:szCs w:val="24"/>
              </w:rPr>
              <w:t>6,654</w:t>
            </w:r>
          </w:p>
        </w:tc>
      </w:tr>
      <w:tr w:rsidR="00EE4085" w:rsidRPr="00C66961" w14:paraId="5284B9C2" w14:textId="77777777" w:rsidTr="00830A56">
        <w:trPr>
          <w:jc w:val="center"/>
        </w:trPr>
        <w:tc>
          <w:tcPr>
            <w:tcW w:w="3798" w:type="dxa"/>
            <w:tcBorders>
              <w:top w:val="double" w:sz="4" w:space="0" w:color="auto"/>
            </w:tcBorders>
          </w:tcPr>
          <w:p w14:paraId="026F388F" w14:textId="77777777" w:rsidR="00EE4085" w:rsidRPr="00EF2385" w:rsidRDefault="00EE4085" w:rsidP="00830A56">
            <w:pPr>
              <w:rPr>
                <w:rFonts w:ascii="Times New Roman" w:hAnsi="Times New Roman" w:cs="Times New Roman"/>
                <w:b/>
                <w:sz w:val="24"/>
                <w:szCs w:val="24"/>
              </w:rPr>
            </w:pPr>
            <w:r w:rsidRPr="00EF2385">
              <w:rPr>
                <w:rFonts w:ascii="Times New Roman" w:hAnsi="Times New Roman" w:cs="Times New Roman"/>
                <w:b/>
                <w:sz w:val="24"/>
                <w:szCs w:val="24"/>
              </w:rPr>
              <w:t>Annual burden hours</w:t>
            </w:r>
            <w:r w:rsidRPr="00C66961">
              <w:rPr>
                <w:rFonts w:ascii="Times New Roman" w:hAnsi="Times New Roman" w:cs="Times New Roman"/>
                <w:b/>
                <w:sz w:val="24"/>
                <w:szCs w:val="24"/>
                <w:vertAlign w:val="superscript"/>
              </w:rPr>
              <w:t xml:space="preserve">† </w:t>
            </w:r>
          </w:p>
        </w:tc>
        <w:tc>
          <w:tcPr>
            <w:tcW w:w="2970" w:type="dxa"/>
            <w:tcBorders>
              <w:top w:val="double" w:sz="4" w:space="0" w:color="auto"/>
            </w:tcBorders>
          </w:tcPr>
          <w:p w14:paraId="7FD96856" w14:textId="5CC5ADBC" w:rsidR="00EE4085" w:rsidRPr="00EF2385" w:rsidRDefault="00EE4085" w:rsidP="00830A56">
            <w:pPr>
              <w:tabs>
                <w:tab w:val="left" w:pos="3090"/>
              </w:tabs>
              <w:rPr>
                <w:rFonts w:ascii="Times New Roman" w:hAnsi="Times New Roman" w:cs="Times New Roman"/>
                <w:b/>
                <w:sz w:val="24"/>
                <w:szCs w:val="24"/>
              </w:rPr>
            </w:pPr>
            <w:r>
              <w:rPr>
                <w:rFonts w:ascii="Times New Roman" w:hAnsi="Times New Roman" w:cs="Times New Roman"/>
                <w:b/>
                <w:sz w:val="24"/>
                <w:szCs w:val="24"/>
              </w:rPr>
              <w:t>554.5</w:t>
            </w:r>
          </w:p>
        </w:tc>
      </w:tr>
      <w:tr w:rsidR="00EE4085" w:rsidRPr="00326DE7" w14:paraId="6252E1E1" w14:textId="77777777" w:rsidTr="00830A56">
        <w:trPr>
          <w:jc w:val="center"/>
        </w:trPr>
        <w:tc>
          <w:tcPr>
            <w:tcW w:w="3798" w:type="dxa"/>
          </w:tcPr>
          <w:p w14:paraId="48D72476" w14:textId="77777777" w:rsidR="00EE4085" w:rsidRPr="00EF2385" w:rsidRDefault="00EE4085" w:rsidP="00830A56">
            <w:pPr>
              <w:rPr>
                <w:rFonts w:ascii="Times New Roman" w:hAnsi="Times New Roman" w:cs="Times New Roman"/>
                <w:b/>
                <w:sz w:val="24"/>
                <w:szCs w:val="24"/>
              </w:rPr>
            </w:pPr>
            <w:r w:rsidRPr="00EF2385">
              <w:rPr>
                <w:rFonts w:ascii="Times New Roman" w:hAnsi="Times New Roman" w:cs="Times New Roman"/>
                <w:b/>
                <w:sz w:val="24"/>
                <w:szCs w:val="24"/>
              </w:rPr>
              <w:t>Annual burden hour per agency</w:t>
            </w:r>
          </w:p>
        </w:tc>
        <w:tc>
          <w:tcPr>
            <w:tcW w:w="2970" w:type="dxa"/>
          </w:tcPr>
          <w:p w14:paraId="009EACAC" w14:textId="42D6F84A" w:rsidR="00EE4085" w:rsidRPr="00EF2385" w:rsidRDefault="00EE4085" w:rsidP="00830A56">
            <w:pPr>
              <w:tabs>
                <w:tab w:val="left" w:pos="3090"/>
              </w:tabs>
              <w:rPr>
                <w:rFonts w:ascii="Times New Roman" w:hAnsi="Times New Roman" w:cs="Times New Roman"/>
                <w:b/>
                <w:sz w:val="24"/>
                <w:szCs w:val="24"/>
              </w:rPr>
            </w:pPr>
            <w:r>
              <w:rPr>
                <w:rFonts w:ascii="Times New Roman" w:hAnsi="Times New Roman" w:cs="Times New Roman"/>
                <w:b/>
                <w:sz w:val="24"/>
                <w:szCs w:val="24"/>
              </w:rPr>
              <w:t>10.5</w:t>
            </w:r>
          </w:p>
        </w:tc>
      </w:tr>
    </w:tbl>
    <w:p w14:paraId="3E2526C8" w14:textId="77777777" w:rsidR="00EE4085" w:rsidRDefault="00EE4085" w:rsidP="00EE4085">
      <w:pPr>
        <w:ind w:left="1080"/>
        <w:jc w:val="both"/>
        <w:rPr>
          <w:rFonts w:ascii="Times New Roman" w:eastAsia="Calibri" w:hAnsi="Times New Roman" w:cs="Times New Roman"/>
          <w:b/>
          <w:sz w:val="24"/>
          <w:szCs w:val="24"/>
        </w:rPr>
      </w:pPr>
    </w:p>
    <w:p w14:paraId="68CB0A6C" w14:textId="77777777" w:rsidR="00A5726B" w:rsidRPr="00110A75" w:rsidRDefault="00A5726B" w:rsidP="0041194E">
      <w:pPr>
        <w:ind w:firstLine="720"/>
        <w:jc w:val="both"/>
        <w:rPr>
          <w:rFonts w:ascii="Times New Roman" w:eastAsia="Calibri" w:hAnsi="Times New Roman" w:cs="Times New Roman"/>
          <w:bCs/>
          <w:sz w:val="24"/>
          <w:szCs w:val="24"/>
        </w:rPr>
      </w:pPr>
      <w:r w:rsidRPr="00110A75">
        <w:rPr>
          <w:rFonts w:ascii="Times New Roman" w:eastAsia="Calibri" w:hAnsi="Times New Roman" w:cs="Times New Roman"/>
          <w:bCs/>
          <w:sz w:val="24"/>
          <w:szCs w:val="24"/>
        </w:rPr>
        <w:t>The rationale used in determining the burden:</w:t>
      </w:r>
    </w:p>
    <w:p w14:paraId="505BC7C5" w14:textId="28451282" w:rsidR="00A5726B" w:rsidRPr="0041194E" w:rsidRDefault="00A5726B" w:rsidP="0041194E">
      <w:pPr>
        <w:ind w:left="720"/>
        <w:jc w:val="both"/>
        <w:rPr>
          <w:rFonts w:ascii="Times New Roman" w:eastAsia="Calibri" w:hAnsi="Times New Roman" w:cs="Times New Roman"/>
          <w:sz w:val="24"/>
          <w:szCs w:val="24"/>
        </w:rPr>
      </w:pPr>
      <w:r w:rsidRPr="0041194E">
        <w:rPr>
          <w:rFonts w:ascii="Times New Roman" w:eastAsia="Calibri" w:hAnsi="Times New Roman" w:cs="Times New Roman"/>
          <w:sz w:val="24"/>
          <w:szCs w:val="24"/>
        </w:rPr>
        <w:t xml:space="preserve">The estimate of the burden on agencies to </w:t>
      </w:r>
      <w:r w:rsidR="0077067F">
        <w:rPr>
          <w:rFonts w:ascii="Times New Roman" w:eastAsia="Calibri" w:hAnsi="Times New Roman" w:cs="Times New Roman"/>
          <w:sz w:val="24"/>
          <w:szCs w:val="24"/>
        </w:rPr>
        <w:t xml:space="preserve">report the required information was </w:t>
      </w:r>
      <w:r w:rsidRPr="0041194E">
        <w:rPr>
          <w:rFonts w:ascii="Times New Roman" w:eastAsia="Calibri" w:hAnsi="Times New Roman" w:cs="Times New Roman"/>
          <w:sz w:val="24"/>
          <w:szCs w:val="24"/>
        </w:rPr>
        <w:t>provided by a small sample of accrediting agencies and then applied to all accrediting agencies. The Department believes this estimate is reasonable.</w:t>
      </w:r>
    </w:p>
    <w:p w14:paraId="6C0BB80A" w14:textId="77777777" w:rsidR="00A5726B" w:rsidRPr="00110A75" w:rsidRDefault="00A5726B" w:rsidP="0041194E">
      <w:pPr>
        <w:ind w:firstLine="720"/>
        <w:jc w:val="both"/>
        <w:rPr>
          <w:rFonts w:ascii="Times New Roman" w:eastAsia="Calibri" w:hAnsi="Times New Roman" w:cs="Times New Roman"/>
          <w:bCs/>
          <w:sz w:val="24"/>
          <w:szCs w:val="24"/>
        </w:rPr>
      </w:pPr>
      <w:r w:rsidRPr="00110A75">
        <w:rPr>
          <w:rFonts w:ascii="Times New Roman" w:eastAsia="Calibri" w:hAnsi="Times New Roman" w:cs="Times New Roman"/>
          <w:bCs/>
          <w:sz w:val="24"/>
          <w:szCs w:val="24"/>
        </w:rPr>
        <w:t>The estimated costs to accrediting agencies and institutions:</w:t>
      </w:r>
    </w:p>
    <w:p w14:paraId="18A051EB" w14:textId="1CB7AC92" w:rsidR="00A5726B" w:rsidRPr="00A5726B" w:rsidRDefault="00A5726B" w:rsidP="00A5726B">
      <w:pPr>
        <w:tabs>
          <w:tab w:val="left" w:pos="-720"/>
          <w:tab w:val="left" w:pos="1247"/>
        </w:tabs>
        <w:suppressAutoHyphens/>
        <w:spacing w:after="960" w:line="240" w:lineRule="auto"/>
        <w:ind w:left="1166"/>
        <w:contextualSpacing/>
        <w:jc w:val="both"/>
        <w:rPr>
          <w:rFonts w:ascii="Times New Roman" w:eastAsia="Times New Roman" w:hAnsi="Times New Roman" w:cs="Times New Roman"/>
          <w:sz w:val="24"/>
          <w:szCs w:val="24"/>
        </w:rPr>
      </w:pPr>
      <w:r w:rsidRPr="0041194E">
        <w:rPr>
          <w:rFonts w:ascii="Times New Roman" w:eastAsia="Calibri" w:hAnsi="Times New Roman" w:cs="Times New Roman"/>
          <w:sz w:val="24"/>
          <w:szCs w:val="24"/>
        </w:rPr>
        <w:t xml:space="preserve">To estimate the cost to respondents, the Department used wage information from the Bureau of Labor Statistics. The </w:t>
      </w:r>
      <w:r w:rsidR="00B720E0">
        <w:rPr>
          <w:rFonts w:ascii="Times New Roman" w:eastAsia="Calibri" w:hAnsi="Times New Roman" w:cs="Times New Roman"/>
          <w:sz w:val="24"/>
          <w:szCs w:val="24"/>
        </w:rPr>
        <w:t>Bureau of Labor Statistics</w:t>
      </w:r>
      <w:r w:rsidR="00B720E0" w:rsidRPr="0041194E">
        <w:rPr>
          <w:rFonts w:ascii="Times New Roman" w:eastAsia="Calibri" w:hAnsi="Times New Roman" w:cs="Times New Roman"/>
          <w:sz w:val="24"/>
          <w:szCs w:val="24"/>
        </w:rPr>
        <w:t xml:space="preserve"> </w:t>
      </w:r>
      <w:r w:rsidR="00B720E0">
        <w:rPr>
          <w:rFonts w:ascii="Times New Roman" w:eastAsia="Calibri" w:hAnsi="Times New Roman" w:cs="Times New Roman"/>
          <w:sz w:val="24"/>
          <w:szCs w:val="24"/>
        </w:rPr>
        <w:t xml:space="preserve">(BLS) </w:t>
      </w:r>
      <w:r w:rsidR="0077067F">
        <w:rPr>
          <w:rFonts w:ascii="Times New Roman" w:eastAsia="Calibri" w:hAnsi="Times New Roman" w:cs="Times New Roman"/>
          <w:sz w:val="24"/>
          <w:szCs w:val="24"/>
        </w:rPr>
        <w:t>June 2019</w:t>
      </w:r>
      <w:r w:rsidRPr="0041194E">
        <w:rPr>
          <w:rFonts w:ascii="Times New Roman" w:eastAsia="Calibri" w:hAnsi="Times New Roman" w:cs="Times New Roman"/>
          <w:sz w:val="24"/>
          <w:szCs w:val="24"/>
        </w:rPr>
        <w:t xml:space="preserve"> total private education and health services average hourly earnings of $</w:t>
      </w:r>
      <w:r w:rsidR="0077067F">
        <w:rPr>
          <w:rFonts w:ascii="Times New Roman" w:eastAsia="Calibri" w:hAnsi="Times New Roman" w:cs="Times New Roman"/>
          <w:sz w:val="24"/>
          <w:szCs w:val="24"/>
        </w:rPr>
        <w:t>27.47</w:t>
      </w:r>
      <w:r w:rsidRPr="0041194E">
        <w:rPr>
          <w:rFonts w:ascii="Times New Roman" w:eastAsia="Calibri" w:hAnsi="Times New Roman" w:cs="Times New Roman"/>
          <w:sz w:val="24"/>
          <w:szCs w:val="24"/>
        </w:rPr>
        <w:t xml:space="preserve"> was used as the hourly rate to monetize the burden of these provisions.</w:t>
      </w:r>
    </w:p>
    <w:p w14:paraId="597368A1" w14:textId="77777777" w:rsidR="00A5726B" w:rsidRPr="007B7746" w:rsidRDefault="00A5726B" w:rsidP="00BE309C">
      <w:pPr>
        <w:tabs>
          <w:tab w:val="left" w:pos="-720"/>
          <w:tab w:val="left" w:pos="1247"/>
        </w:tabs>
        <w:suppressAutoHyphens/>
        <w:spacing w:after="960" w:line="240" w:lineRule="auto"/>
        <w:ind w:left="1166"/>
        <w:contextualSpacing/>
        <w:jc w:val="both"/>
        <w:rPr>
          <w:rFonts w:ascii="Times New Roman" w:eastAsia="Times New Roman" w:hAnsi="Times New Roman" w:cs="Times New Roman"/>
          <w:sz w:val="24"/>
          <w:szCs w:val="24"/>
        </w:rPr>
      </w:pPr>
    </w:p>
    <w:p w14:paraId="3B81D489" w14:textId="77777777" w:rsidR="0082385C" w:rsidRPr="007B7746" w:rsidRDefault="0082385C" w:rsidP="0082385C">
      <w:pPr>
        <w:tabs>
          <w:tab w:val="left" w:pos="-720"/>
        </w:tabs>
        <w:suppressAutoHyphens/>
        <w:spacing w:after="0" w:line="240" w:lineRule="auto"/>
        <w:contextualSpacing/>
        <w:jc w:val="both"/>
        <w:rPr>
          <w:rFonts w:ascii="Times New Roman" w:eastAsia="Times New Roman" w:hAnsi="Times New Roman" w:cs="Times New Roman"/>
          <w:sz w:val="24"/>
          <w:szCs w:val="24"/>
        </w:rPr>
      </w:pPr>
    </w:p>
    <w:tbl>
      <w:tblPr>
        <w:tblStyle w:val="TableGrid"/>
        <w:tblW w:w="0" w:type="auto"/>
        <w:tblInd w:w="1278" w:type="dxa"/>
        <w:tblLook w:val="04A0" w:firstRow="1" w:lastRow="0" w:firstColumn="1" w:lastColumn="0" w:noHBand="0" w:noVBand="1"/>
      </w:tblPr>
      <w:tblGrid>
        <w:gridCol w:w="3780"/>
        <w:gridCol w:w="3420"/>
      </w:tblGrid>
      <w:tr w:rsidR="0082385C" w:rsidRPr="007B7746" w14:paraId="28B0A843" w14:textId="77777777" w:rsidTr="005D0739">
        <w:tc>
          <w:tcPr>
            <w:tcW w:w="7200" w:type="dxa"/>
            <w:gridSpan w:val="2"/>
          </w:tcPr>
          <w:p w14:paraId="7EC362C2" w14:textId="77777777" w:rsidR="0082385C" w:rsidRPr="007B7746" w:rsidRDefault="0082385C" w:rsidP="00F630CC">
            <w:pPr>
              <w:tabs>
                <w:tab w:val="left" w:pos="-720"/>
              </w:tabs>
              <w:suppressAutoHyphens/>
              <w:spacing w:after="960"/>
              <w:contextualSpacing/>
              <w:jc w:val="center"/>
              <w:rPr>
                <w:rFonts w:ascii="Times New Roman" w:eastAsia="Times New Roman" w:hAnsi="Times New Roman" w:cs="Times New Roman"/>
                <w:b/>
                <w:sz w:val="24"/>
                <w:szCs w:val="24"/>
              </w:rPr>
            </w:pPr>
            <w:r w:rsidRPr="007B7746">
              <w:rPr>
                <w:rFonts w:ascii="Times New Roman" w:eastAsia="Times New Roman" w:hAnsi="Times New Roman" w:cs="Times New Roman"/>
                <w:b/>
                <w:sz w:val="24"/>
                <w:szCs w:val="24"/>
              </w:rPr>
              <w:t>Re</w:t>
            </w:r>
            <w:r w:rsidR="00F630CC">
              <w:rPr>
                <w:rFonts w:ascii="Times New Roman" w:eastAsia="Times New Roman" w:hAnsi="Times New Roman" w:cs="Times New Roman"/>
                <w:b/>
                <w:sz w:val="24"/>
                <w:szCs w:val="24"/>
              </w:rPr>
              <w:t>porting</w:t>
            </w:r>
            <w:r w:rsidRPr="007B7746">
              <w:rPr>
                <w:rFonts w:ascii="Times New Roman" w:eastAsia="Times New Roman" w:hAnsi="Times New Roman" w:cs="Times New Roman"/>
                <w:b/>
                <w:sz w:val="24"/>
                <w:szCs w:val="24"/>
              </w:rPr>
              <w:t xml:space="preserve"> Burden Calculation</w:t>
            </w:r>
          </w:p>
        </w:tc>
      </w:tr>
      <w:tr w:rsidR="0082385C" w:rsidRPr="005C3BA1" w14:paraId="615C0F09" w14:textId="77777777" w:rsidTr="005D0739">
        <w:tc>
          <w:tcPr>
            <w:tcW w:w="3780" w:type="dxa"/>
          </w:tcPr>
          <w:p w14:paraId="1C33C884" w14:textId="77777777" w:rsidR="0082385C" w:rsidRPr="005C3BA1" w:rsidRDefault="0082385C" w:rsidP="00425851">
            <w:pPr>
              <w:tabs>
                <w:tab w:val="left" w:pos="-720"/>
              </w:tabs>
              <w:suppressAutoHyphens/>
              <w:spacing w:after="9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Hourly Rate</w:t>
            </w:r>
          </w:p>
        </w:tc>
        <w:tc>
          <w:tcPr>
            <w:tcW w:w="3420" w:type="dxa"/>
          </w:tcPr>
          <w:p w14:paraId="09A02FF2" w14:textId="12506FD6" w:rsidR="0082385C" w:rsidRPr="005C3BA1" w:rsidRDefault="0082385C" w:rsidP="00425851">
            <w:pPr>
              <w:tabs>
                <w:tab w:val="left" w:pos="-720"/>
              </w:tabs>
              <w:suppressAutoHyphens/>
              <w:spacing w:after="960"/>
              <w:contextualSpacing/>
              <w:jc w:val="center"/>
              <w:rPr>
                <w:rFonts w:ascii="Times New Roman" w:eastAsia="Times New Roman" w:hAnsi="Times New Roman" w:cs="Times New Roman"/>
                <w:sz w:val="24"/>
                <w:szCs w:val="24"/>
              </w:rPr>
            </w:pPr>
            <w:r w:rsidRPr="005C3BA1">
              <w:rPr>
                <w:rFonts w:ascii="Times New Roman" w:eastAsia="Times New Roman" w:hAnsi="Times New Roman" w:cs="Times New Roman"/>
                <w:sz w:val="24"/>
                <w:szCs w:val="24"/>
                <w:vertAlign w:val="superscript"/>
              </w:rPr>
              <w:t>$</w:t>
            </w:r>
            <w:r w:rsidR="0077067F">
              <w:rPr>
                <w:rFonts w:ascii="Times New Roman" w:eastAsia="Times New Roman" w:hAnsi="Times New Roman" w:cs="Times New Roman"/>
                <w:sz w:val="24"/>
                <w:szCs w:val="24"/>
              </w:rPr>
              <w:t>27.47</w:t>
            </w:r>
          </w:p>
        </w:tc>
      </w:tr>
      <w:tr w:rsidR="0082385C" w:rsidRPr="005C3BA1" w14:paraId="31FEFC20" w14:textId="77777777" w:rsidTr="005D0739">
        <w:tc>
          <w:tcPr>
            <w:tcW w:w="3780" w:type="dxa"/>
          </w:tcPr>
          <w:p w14:paraId="23B9A7FC" w14:textId="77777777" w:rsidR="0082385C" w:rsidRPr="005C3BA1" w:rsidRDefault="0082385C" w:rsidP="00425851">
            <w:pPr>
              <w:tabs>
                <w:tab w:val="left" w:pos="-720"/>
              </w:tabs>
              <w:suppressAutoHyphens/>
              <w:spacing w:after="960"/>
              <w:contextualSpacing/>
              <w:jc w:val="both"/>
              <w:rPr>
                <w:rFonts w:ascii="Times New Roman" w:eastAsia="Times New Roman" w:hAnsi="Times New Roman" w:cs="Times New Roman"/>
                <w:sz w:val="24"/>
                <w:szCs w:val="24"/>
              </w:rPr>
            </w:pPr>
            <w:r w:rsidRPr="005C3BA1">
              <w:rPr>
                <w:rFonts w:ascii="Times New Roman" w:eastAsia="Times New Roman" w:hAnsi="Times New Roman" w:cs="Times New Roman"/>
                <w:sz w:val="24"/>
                <w:szCs w:val="24"/>
              </w:rPr>
              <w:t>Number of Actions</w:t>
            </w:r>
          </w:p>
        </w:tc>
        <w:tc>
          <w:tcPr>
            <w:tcW w:w="3420" w:type="dxa"/>
          </w:tcPr>
          <w:p w14:paraId="246E2E9D" w14:textId="05D5AA8C" w:rsidR="0082385C" w:rsidRPr="005C3BA1" w:rsidRDefault="00283566" w:rsidP="00425851">
            <w:pPr>
              <w:tabs>
                <w:tab w:val="left" w:pos="-720"/>
              </w:tabs>
              <w:suppressAutoHyphens/>
              <w:spacing w:after="9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6,654</w:t>
            </w:r>
          </w:p>
        </w:tc>
      </w:tr>
      <w:tr w:rsidR="0082385C" w:rsidRPr="005C3BA1" w14:paraId="5B3BD596" w14:textId="77777777" w:rsidTr="005D0739">
        <w:tc>
          <w:tcPr>
            <w:tcW w:w="3780" w:type="dxa"/>
            <w:tcBorders>
              <w:bottom w:val="double" w:sz="4" w:space="0" w:color="auto"/>
            </w:tcBorders>
          </w:tcPr>
          <w:p w14:paraId="1E1B2F38" w14:textId="77777777" w:rsidR="0082385C" w:rsidRPr="005C3BA1" w:rsidRDefault="0082385C" w:rsidP="00425851">
            <w:pPr>
              <w:tabs>
                <w:tab w:val="left" w:pos="-720"/>
              </w:tabs>
              <w:suppressAutoHyphens/>
              <w:spacing w:after="960"/>
              <w:contextualSpacing/>
              <w:jc w:val="both"/>
              <w:rPr>
                <w:rFonts w:ascii="Times New Roman" w:eastAsia="Times New Roman" w:hAnsi="Times New Roman" w:cs="Times New Roman"/>
                <w:sz w:val="24"/>
                <w:szCs w:val="24"/>
              </w:rPr>
            </w:pPr>
            <w:r w:rsidRPr="005C3BA1">
              <w:rPr>
                <w:rFonts w:ascii="Times New Roman" w:eastAsia="Times New Roman" w:hAnsi="Times New Roman" w:cs="Times New Roman"/>
                <w:sz w:val="24"/>
                <w:szCs w:val="24"/>
              </w:rPr>
              <w:t>Hours</w:t>
            </w:r>
          </w:p>
        </w:tc>
        <w:tc>
          <w:tcPr>
            <w:tcW w:w="3420" w:type="dxa"/>
            <w:tcBorders>
              <w:bottom w:val="double" w:sz="4" w:space="0" w:color="auto"/>
            </w:tcBorders>
          </w:tcPr>
          <w:p w14:paraId="13EF37C9" w14:textId="3DD65046" w:rsidR="0082385C" w:rsidRPr="005C3BA1" w:rsidRDefault="00283566" w:rsidP="00425851">
            <w:pPr>
              <w:tabs>
                <w:tab w:val="left" w:pos="-720"/>
                <w:tab w:val="center" w:pos="1602"/>
                <w:tab w:val="right" w:pos="3204"/>
              </w:tabs>
              <w:suppressAutoHyphens/>
              <w:spacing w:after="960"/>
              <w:contextualSpacing/>
              <w:jc w:val="center"/>
              <w:rPr>
                <w:rFonts w:ascii="Times New Roman" w:eastAsia="Times New Roman" w:hAnsi="Times New Roman" w:cs="Times New Roman"/>
                <w:sz w:val="24"/>
                <w:szCs w:val="24"/>
              </w:rPr>
            </w:pPr>
            <w:r w:rsidRPr="00283566">
              <w:rPr>
                <w:rFonts w:ascii="Times New Roman" w:eastAsia="Times New Roman" w:hAnsi="Times New Roman" w:cs="Times New Roman"/>
                <w:b/>
                <w:sz w:val="24"/>
                <w:szCs w:val="24"/>
              </w:rPr>
              <w:t>554.5</w:t>
            </w:r>
          </w:p>
        </w:tc>
      </w:tr>
      <w:tr w:rsidR="0082385C" w:rsidRPr="007B7746" w14:paraId="0EC24CFC" w14:textId="77777777" w:rsidTr="00283566">
        <w:tc>
          <w:tcPr>
            <w:tcW w:w="3780" w:type="dxa"/>
            <w:tcBorders>
              <w:top w:val="double" w:sz="4" w:space="0" w:color="auto"/>
              <w:bottom w:val="double" w:sz="4" w:space="0" w:color="auto"/>
            </w:tcBorders>
            <w:shd w:val="clear" w:color="auto" w:fill="auto"/>
          </w:tcPr>
          <w:p w14:paraId="217DC4D8" w14:textId="77777777" w:rsidR="0082385C" w:rsidRPr="007B7746" w:rsidRDefault="0082385C" w:rsidP="00425851">
            <w:pPr>
              <w:tabs>
                <w:tab w:val="left" w:pos="-720"/>
              </w:tabs>
              <w:suppressAutoHyphens/>
              <w:spacing w:after="960"/>
              <w:contextualSpacing/>
              <w:jc w:val="both"/>
              <w:rPr>
                <w:rFonts w:ascii="Times New Roman" w:eastAsia="Times New Roman" w:hAnsi="Times New Roman" w:cs="Times New Roman"/>
                <w:b/>
                <w:sz w:val="24"/>
                <w:szCs w:val="24"/>
              </w:rPr>
            </w:pPr>
            <w:r w:rsidRPr="007B7746">
              <w:rPr>
                <w:rFonts w:ascii="Times New Roman" w:eastAsia="Times New Roman" w:hAnsi="Times New Roman" w:cs="Times New Roman"/>
                <w:b/>
                <w:sz w:val="24"/>
                <w:szCs w:val="24"/>
              </w:rPr>
              <w:t>Annualized Burden</w:t>
            </w:r>
          </w:p>
        </w:tc>
        <w:tc>
          <w:tcPr>
            <w:tcW w:w="3420" w:type="dxa"/>
            <w:tcBorders>
              <w:top w:val="double" w:sz="4" w:space="0" w:color="auto"/>
              <w:bottom w:val="double" w:sz="4" w:space="0" w:color="auto"/>
            </w:tcBorders>
            <w:shd w:val="clear" w:color="auto" w:fill="auto"/>
          </w:tcPr>
          <w:p w14:paraId="70F554C7" w14:textId="0778029A" w:rsidR="0082385C" w:rsidRPr="007B7746" w:rsidRDefault="00283566" w:rsidP="00425851">
            <w:pPr>
              <w:tabs>
                <w:tab w:val="left" w:pos="-720"/>
              </w:tabs>
              <w:suppressAutoHyphens/>
              <w:spacing w:after="9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$15,232</w:t>
            </w:r>
          </w:p>
        </w:tc>
      </w:tr>
      <w:tr w:rsidR="00283566" w:rsidRPr="007B7746" w14:paraId="32AF5B50" w14:textId="77777777" w:rsidTr="005D0739">
        <w:tc>
          <w:tcPr>
            <w:tcW w:w="3780" w:type="dxa"/>
            <w:tcBorders>
              <w:top w:val="double" w:sz="4" w:space="0" w:color="auto"/>
            </w:tcBorders>
            <w:shd w:val="clear" w:color="auto" w:fill="auto"/>
          </w:tcPr>
          <w:p w14:paraId="157E29A8" w14:textId="2CCF984D" w:rsidR="00283566" w:rsidRPr="007B7746" w:rsidRDefault="00283566" w:rsidP="00425851">
            <w:pPr>
              <w:tabs>
                <w:tab w:val="left" w:pos="-720"/>
              </w:tabs>
              <w:suppressAutoHyphens/>
              <w:spacing w:after="9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per agency</w:t>
            </w:r>
          </w:p>
        </w:tc>
        <w:tc>
          <w:tcPr>
            <w:tcW w:w="3420" w:type="dxa"/>
            <w:tcBorders>
              <w:top w:val="double" w:sz="4" w:space="0" w:color="auto"/>
            </w:tcBorders>
            <w:shd w:val="clear" w:color="auto" w:fill="auto"/>
          </w:tcPr>
          <w:p w14:paraId="2410C702" w14:textId="22088279" w:rsidR="00283566" w:rsidRDefault="00283566" w:rsidP="00425851">
            <w:pPr>
              <w:tabs>
                <w:tab w:val="left" w:pos="-720"/>
              </w:tabs>
              <w:suppressAutoHyphens/>
              <w:spacing w:after="9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$287.40</w:t>
            </w:r>
          </w:p>
        </w:tc>
      </w:tr>
    </w:tbl>
    <w:p w14:paraId="4F10083B" w14:textId="77777777" w:rsidR="0082385C" w:rsidRPr="007B7746" w:rsidRDefault="0082385C" w:rsidP="0082385C">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3518B17A" w14:textId="29ABA3B3" w:rsidR="0082385C" w:rsidRPr="007B7746" w:rsidRDefault="0082385C" w:rsidP="005D0739">
      <w:pPr>
        <w:tabs>
          <w:tab w:val="left" w:pos="-720"/>
          <w:tab w:val="left" w:pos="1170"/>
          <w:tab w:val="left" w:pos="2610"/>
        </w:tabs>
        <w:suppressAutoHyphens/>
        <w:spacing w:after="960" w:line="240" w:lineRule="auto"/>
        <w:ind w:left="1170"/>
        <w:contextualSpacing/>
        <w:jc w:val="both"/>
        <w:rPr>
          <w:rFonts w:ascii="Times New Roman" w:eastAsia="Times New Roman" w:hAnsi="Times New Roman" w:cs="Times New Roman"/>
          <w:sz w:val="24"/>
          <w:szCs w:val="24"/>
        </w:rPr>
      </w:pPr>
      <w:r w:rsidRPr="00CD56BD">
        <w:rPr>
          <w:rFonts w:ascii="Times New Roman" w:eastAsia="Times New Roman" w:hAnsi="Times New Roman" w:cs="Times New Roman"/>
          <w:sz w:val="24"/>
          <w:szCs w:val="24"/>
        </w:rPr>
        <w:t>Annualized Burden</w:t>
      </w:r>
      <w:r w:rsidRPr="007B7746">
        <w:rPr>
          <w:rFonts w:ascii="Times New Roman" w:eastAsia="Times New Roman" w:hAnsi="Times New Roman" w:cs="Times New Roman"/>
          <w:sz w:val="24"/>
          <w:szCs w:val="24"/>
        </w:rPr>
        <w:t xml:space="preserve"> = </w:t>
      </w:r>
      <w:r w:rsidR="0077067F">
        <w:rPr>
          <w:rFonts w:ascii="Times New Roman" w:eastAsia="Times New Roman" w:hAnsi="Times New Roman" w:cs="Times New Roman"/>
          <w:sz w:val="24"/>
          <w:szCs w:val="24"/>
        </w:rPr>
        <w:t>Hours</w:t>
      </w:r>
      <w:r w:rsidRPr="007B7746">
        <w:rPr>
          <w:rFonts w:ascii="Times New Roman" w:eastAsia="Times New Roman" w:hAnsi="Times New Roman" w:cs="Times New Roman"/>
          <w:sz w:val="24"/>
          <w:szCs w:val="24"/>
        </w:rPr>
        <w:t xml:space="preserve"> × Hourly Rate</w:t>
      </w:r>
    </w:p>
    <w:p w14:paraId="0F5D5A55" w14:textId="77777777" w:rsidR="000D2592" w:rsidRPr="007B7746" w:rsidRDefault="000D2592" w:rsidP="00283566">
      <w:pPr>
        <w:tabs>
          <w:tab w:val="left" w:pos="-720"/>
          <w:tab w:val="left" w:pos="1247"/>
        </w:tabs>
        <w:suppressAutoHyphens/>
        <w:spacing w:after="960" w:line="240" w:lineRule="auto"/>
        <w:contextualSpacing/>
        <w:jc w:val="both"/>
        <w:rPr>
          <w:rFonts w:ascii="Times New Roman" w:eastAsia="Times New Roman" w:hAnsi="Times New Roman" w:cs="Times New Roman"/>
          <w:sz w:val="24"/>
          <w:szCs w:val="24"/>
        </w:rPr>
      </w:pPr>
    </w:p>
    <w:p w14:paraId="0B5F2D86" w14:textId="77777777" w:rsidR="00FB6976" w:rsidRPr="007B7746" w:rsidRDefault="000300AA" w:rsidP="000300AA">
      <w:pPr>
        <w:tabs>
          <w:tab w:val="left" w:pos="-720"/>
          <w:tab w:val="left" w:pos="1247"/>
          <w:tab w:val="left" w:pos="2742"/>
        </w:tabs>
        <w:suppressAutoHyphens/>
        <w:spacing w:after="960" w:line="240" w:lineRule="auto"/>
        <w:ind w:left="1166"/>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ab/>
      </w:r>
      <w:r w:rsidRPr="007B7746">
        <w:rPr>
          <w:rFonts w:ascii="Times New Roman" w:eastAsia="Times New Roman" w:hAnsi="Times New Roman" w:cs="Times New Roman"/>
          <w:sz w:val="24"/>
          <w:szCs w:val="24"/>
        </w:rPr>
        <w:tab/>
      </w:r>
    </w:p>
    <w:p w14:paraId="5D621B76" w14:textId="77777777" w:rsidR="00E42282" w:rsidRPr="007B7746" w:rsidRDefault="00E42282" w:rsidP="001B33C2">
      <w:pPr>
        <w:numPr>
          <w:ilvl w:val="0"/>
          <w:numId w:val="6"/>
        </w:numPr>
        <w:tabs>
          <w:tab w:val="left" w:pos="-720"/>
        </w:tabs>
        <w:suppressAutoHyphens/>
        <w:spacing w:after="0" w:line="240" w:lineRule="auto"/>
        <w:ind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Provide an estimate of the total annual cost burden to respondents or record keepers resulting from the collection of information.  (Do not include the cost of any hour burden shown in Items 12 and 14.)</w:t>
      </w:r>
    </w:p>
    <w:p w14:paraId="17C45709"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624BAD97"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0C4F51FA" w14:textId="77777777" w:rsidR="00E42282" w:rsidRPr="007B7746" w:rsidRDefault="00E42282" w:rsidP="001B33C2">
      <w:pPr>
        <w:numPr>
          <w:ilvl w:val="0"/>
          <w:numId w:val="2"/>
        </w:numPr>
        <w:tabs>
          <w:tab w:val="clear" w:pos="700"/>
          <w:tab w:val="left" w:pos="-720"/>
        </w:tabs>
        <w:suppressAutoHyphens/>
        <w:spacing w:after="0" w:line="240" w:lineRule="auto"/>
        <w:ind w:left="1350" w:hanging="45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A08884F" w14:textId="77777777" w:rsidR="00E42282" w:rsidRPr="007B7746" w:rsidRDefault="00E42282" w:rsidP="001B33C2">
      <w:pPr>
        <w:numPr>
          <w:ilvl w:val="12"/>
          <w:numId w:val="0"/>
        </w:numPr>
        <w:tabs>
          <w:tab w:val="left" w:pos="-720"/>
        </w:tabs>
        <w:suppressAutoHyphens/>
        <w:spacing w:after="0" w:line="240" w:lineRule="auto"/>
        <w:ind w:left="340"/>
        <w:contextualSpacing/>
        <w:jc w:val="both"/>
        <w:rPr>
          <w:rFonts w:ascii="Times New Roman" w:eastAsia="Times New Roman" w:hAnsi="Times New Roman" w:cs="Times New Roman"/>
          <w:sz w:val="24"/>
          <w:szCs w:val="24"/>
        </w:rPr>
      </w:pPr>
    </w:p>
    <w:p w14:paraId="14622A26" w14:textId="77777777" w:rsidR="00E42282" w:rsidRPr="007B7746" w:rsidRDefault="00E42282" w:rsidP="001B33C2">
      <w:pPr>
        <w:numPr>
          <w:ilvl w:val="0"/>
          <w:numId w:val="2"/>
        </w:numPr>
        <w:tabs>
          <w:tab w:val="clear" w:pos="700"/>
          <w:tab w:val="left" w:pos="-720"/>
          <w:tab w:val="left" w:pos="1247"/>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4F7B96B" w14:textId="77777777" w:rsidR="00E42282" w:rsidRPr="007B7746" w:rsidRDefault="00E42282" w:rsidP="001B33C2">
      <w:pPr>
        <w:tabs>
          <w:tab w:val="left" w:pos="-720"/>
          <w:tab w:val="left" w:pos="1247"/>
        </w:tabs>
        <w:suppressAutoHyphens/>
        <w:spacing w:after="0" w:line="240" w:lineRule="auto"/>
        <w:ind w:left="340"/>
        <w:contextualSpacing/>
        <w:jc w:val="both"/>
        <w:rPr>
          <w:rFonts w:ascii="Times New Roman" w:eastAsia="Times New Roman" w:hAnsi="Times New Roman" w:cs="Times New Roman"/>
          <w:sz w:val="24"/>
          <w:szCs w:val="24"/>
        </w:rPr>
      </w:pPr>
    </w:p>
    <w:p w14:paraId="7E90E787" w14:textId="77777777" w:rsidR="00E42282" w:rsidRPr="007B7746" w:rsidRDefault="00E42282" w:rsidP="001B33C2">
      <w:pPr>
        <w:numPr>
          <w:ilvl w:val="0"/>
          <w:numId w:val="2"/>
        </w:numPr>
        <w:tabs>
          <w:tab w:val="clear" w:pos="700"/>
          <w:tab w:val="left" w:pos="-720"/>
          <w:tab w:val="left" w:pos="1247"/>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180F25F3" w14:textId="77777777" w:rsidR="00E42282" w:rsidRPr="007B7746" w:rsidRDefault="00E42282"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182F9127" w14:textId="77777777" w:rsidR="00E42282" w:rsidRPr="007B7746" w:rsidRDefault="00E42282" w:rsidP="00323373">
      <w:pPr>
        <w:tabs>
          <w:tab w:val="left" w:pos="1260"/>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Total Annualized Capital/Startup Cost</w:t>
      </w:r>
      <w:r w:rsidRPr="007B7746">
        <w:rPr>
          <w:rFonts w:ascii="Times New Roman" w:eastAsia="Times New Roman" w:hAnsi="Times New Roman" w:cs="Times New Roman"/>
          <w:sz w:val="24"/>
          <w:szCs w:val="24"/>
        </w:rPr>
        <w:tab/>
        <w:t>:</w:t>
      </w:r>
      <w:r w:rsidR="001573F5" w:rsidRPr="007B7746">
        <w:rPr>
          <w:rFonts w:ascii="Times New Roman" w:eastAsia="Times New Roman" w:hAnsi="Times New Roman" w:cs="Times New Roman"/>
          <w:sz w:val="24"/>
          <w:szCs w:val="24"/>
        </w:rPr>
        <w:tab/>
        <w:t>0</w:t>
      </w:r>
    </w:p>
    <w:p w14:paraId="73E04FA5" w14:textId="77777777" w:rsidR="00E42282" w:rsidRPr="007B7746" w:rsidRDefault="00E42282" w:rsidP="00323373">
      <w:pPr>
        <w:tabs>
          <w:tab w:val="left" w:pos="1260"/>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Total Annual Costs (O&amp;M)</w:t>
      </w:r>
      <w:r w:rsidRPr="007B7746">
        <w:rPr>
          <w:rFonts w:ascii="Times New Roman" w:eastAsia="Times New Roman" w:hAnsi="Times New Roman" w:cs="Times New Roman"/>
          <w:sz w:val="24"/>
          <w:szCs w:val="24"/>
        </w:rPr>
        <w:tab/>
      </w:r>
      <w:r w:rsidRPr="007B7746">
        <w:rPr>
          <w:rFonts w:ascii="Times New Roman" w:eastAsia="Times New Roman" w:hAnsi="Times New Roman" w:cs="Times New Roman"/>
          <w:sz w:val="24"/>
          <w:szCs w:val="24"/>
        </w:rPr>
        <w:tab/>
        <w:t>:____________________</w:t>
      </w:r>
    </w:p>
    <w:p w14:paraId="7F5C5BE8" w14:textId="77777777" w:rsidR="00DF4D8C" w:rsidRPr="007B7746" w:rsidRDefault="00E42282" w:rsidP="00323373">
      <w:pPr>
        <w:tabs>
          <w:tab w:val="left" w:pos="1260"/>
        </w:tabs>
        <w:suppressAutoHyphens/>
        <w:spacing w:after="0" w:line="240" w:lineRule="auto"/>
        <w:ind w:left="126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Total Annualized Costs Requested</w:t>
      </w:r>
      <w:r w:rsidRPr="007B7746">
        <w:rPr>
          <w:rFonts w:ascii="Times New Roman" w:eastAsia="Times New Roman" w:hAnsi="Times New Roman" w:cs="Times New Roman"/>
          <w:sz w:val="24"/>
          <w:szCs w:val="24"/>
        </w:rPr>
        <w:tab/>
        <w:t>:</w:t>
      </w:r>
    </w:p>
    <w:p w14:paraId="153ED3F0" w14:textId="77777777" w:rsidR="00DF4D8C" w:rsidRPr="007B7746" w:rsidRDefault="00DF4D8C" w:rsidP="001B33C2">
      <w:pPr>
        <w:tabs>
          <w:tab w:val="left" w:pos="-720"/>
        </w:tabs>
        <w:suppressAutoHyphens/>
        <w:spacing w:after="0" w:line="240" w:lineRule="auto"/>
        <w:contextualSpacing/>
        <w:jc w:val="both"/>
        <w:rPr>
          <w:rFonts w:ascii="Times New Roman" w:eastAsia="Times New Roman" w:hAnsi="Times New Roman" w:cs="Times New Roman"/>
          <w:sz w:val="24"/>
          <w:szCs w:val="24"/>
        </w:rPr>
      </w:pPr>
    </w:p>
    <w:p w14:paraId="26554D05" w14:textId="77777777" w:rsidR="00165884" w:rsidRPr="00143A22" w:rsidRDefault="0082385C" w:rsidP="00B705E2">
      <w:pPr>
        <w:tabs>
          <w:tab w:val="left" w:pos="-720"/>
          <w:tab w:val="left" w:pos="1247"/>
        </w:tabs>
        <w:suppressAutoHyphens/>
        <w:spacing w:after="960" w:line="240" w:lineRule="auto"/>
        <w:ind w:left="1166"/>
        <w:contextualSpacing/>
        <w:jc w:val="both"/>
        <w:rPr>
          <w:rFonts w:ascii="Times New Roman" w:eastAsia="Times New Roman" w:hAnsi="Times New Roman" w:cs="Times New Roman"/>
          <w:b/>
          <w:bCs/>
          <w:sz w:val="24"/>
          <w:szCs w:val="24"/>
        </w:rPr>
      </w:pPr>
      <w:r w:rsidRPr="00143A22">
        <w:rPr>
          <w:rFonts w:ascii="Times New Roman" w:eastAsia="Times New Roman" w:hAnsi="Times New Roman" w:cs="Times New Roman"/>
          <w:b/>
          <w:bCs/>
          <w:sz w:val="24"/>
          <w:szCs w:val="24"/>
        </w:rPr>
        <w:t>There is no startup cost.</w:t>
      </w:r>
    </w:p>
    <w:p w14:paraId="31788073" w14:textId="77777777" w:rsidR="0082385C" w:rsidRPr="007B7746" w:rsidRDefault="000A7C2D" w:rsidP="00CA3873">
      <w:pPr>
        <w:tabs>
          <w:tab w:val="left" w:pos="-720"/>
          <w:tab w:val="left" w:pos="1247"/>
          <w:tab w:val="left" w:pos="6436"/>
        </w:tabs>
        <w:suppressAutoHyphens/>
        <w:spacing w:after="960" w:line="240" w:lineRule="auto"/>
        <w:ind w:left="116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6E48820" w14:textId="77777777" w:rsidR="00E42282" w:rsidRPr="005C3BA1" w:rsidRDefault="00E42282" w:rsidP="001B33C2">
      <w:pPr>
        <w:numPr>
          <w:ilvl w:val="0"/>
          <w:numId w:val="6"/>
        </w:numPr>
        <w:tabs>
          <w:tab w:val="left" w:pos="-720"/>
        </w:tabs>
        <w:suppressAutoHyphens/>
        <w:spacing w:after="960" w:line="240" w:lineRule="auto"/>
        <w:ind w:left="900" w:hanging="54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Provide estimates of annualized cost to the Federal government.  Also, provide a description of the method used to estimate cost, </w:t>
      </w:r>
      <w:r w:rsidRPr="005C3BA1">
        <w:rPr>
          <w:rFonts w:ascii="Times New Roman" w:eastAsia="Times New Roman" w:hAnsi="Times New Roman" w:cs="Times New Roman"/>
          <w:sz w:val="24"/>
          <w:szCs w:val="24"/>
        </w:rPr>
        <w:t>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847375A" w14:textId="77777777" w:rsidR="00E140AF" w:rsidRPr="005C3BA1" w:rsidRDefault="00E140AF" w:rsidP="00E140AF">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p>
    <w:p w14:paraId="1F2337C3" w14:textId="77777777" w:rsidR="00E140AF" w:rsidRPr="005C3BA1" w:rsidRDefault="00E140AF" w:rsidP="00E140AF">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p>
    <w:tbl>
      <w:tblPr>
        <w:tblStyle w:val="TableGrid"/>
        <w:tblW w:w="0" w:type="auto"/>
        <w:tblInd w:w="1008" w:type="dxa"/>
        <w:tblLook w:val="04A0" w:firstRow="1" w:lastRow="0" w:firstColumn="1" w:lastColumn="0" w:noHBand="0" w:noVBand="1"/>
      </w:tblPr>
      <w:tblGrid>
        <w:gridCol w:w="3780"/>
        <w:gridCol w:w="3420"/>
      </w:tblGrid>
      <w:tr w:rsidR="007B7746" w:rsidRPr="005C3BA1" w14:paraId="2F5A6C0E" w14:textId="77777777" w:rsidTr="008E76C8">
        <w:tc>
          <w:tcPr>
            <w:tcW w:w="7200" w:type="dxa"/>
            <w:gridSpan w:val="2"/>
          </w:tcPr>
          <w:p w14:paraId="251EF2EE" w14:textId="2B986347" w:rsidR="001F1F5B" w:rsidRPr="005C3BA1" w:rsidRDefault="002B5334" w:rsidP="001F1F5B">
            <w:pPr>
              <w:tabs>
                <w:tab w:val="left" w:pos="-720"/>
              </w:tabs>
              <w:suppressAutoHyphens/>
              <w:spacing w:after="9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Annualized Federal Burden</w:t>
            </w:r>
          </w:p>
        </w:tc>
      </w:tr>
      <w:tr w:rsidR="007B7746" w:rsidRPr="005C3BA1" w14:paraId="0BA32506" w14:textId="77777777" w:rsidTr="001F1F5B">
        <w:tc>
          <w:tcPr>
            <w:tcW w:w="3780" w:type="dxa"/>
            <w:shd w:val="clear" w:color="auto" w:fill="auto"/>
          </w:tcPr>
          <w:p w14:paraId="3AF01586" w14:textId="7ECE935E" w:rsidR="007361F8" w:rsidRPr="005C3BA1" w:rsidRDefault="00B61B62" w:rsidP="0051627D">
            <w:pPr>
              <w:tabs>
                <w:tab w:val="left" w:pos="-720"/>
              </w:tabs>
              <w:suppressAutoHyphens/>
              <w:spacing w:after="9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System Contract Cost </w:t>
            </w:r>
          </w:p>
        </w:tc>
        <w:tc>
          <w:tcPr>
            <w:tcW w:w="3420" w:type="dxa"/>
            <w:shd w:val="clear" w:color="auto" w:fill="auto"/>
          </w:tcPr>
          <w:p w14:paraId="2776979D" w14:textId="5190D58D" w:rsidR="007361F8" w:rsidRPr="005C3BA1" w:rsidRDefault="0087322A" w:rsidP="0051627D">
            <w:pPr>
              <w:tabs>
                <w:tab w:val="left" w:pos="-720"/>
              </w:tabs>
              <w:suppressAutoHyphens/>
              <w:spacing w:after="9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5334">
              <w:rPr>
                <w:rFonts w:ascii="Times New Roman" w:eastAsia="Times New Roman" w:hAnsi="Times New Roman" w:cs="Times New Roman"/>
                <w:sz w:val="24"/>
                <w:szCs w:val="24"/>
              </w:rPr>
              <w:t>$</w:t>
            </w:r>
            <w:r w:rsidR="00B61B62">
              <w:rPr>
                <w:rFonts w:ascii="Times New Roman" w:eastAsia="Times New Roman" w:hAnsi="Times New Roman" w:cs="Times New Roman"/>
                <w:sz w:val="24"/>
                <w:szCs w:val="24"/>
              </w:rPr>
              <w:t>387,300</w:t>
            </w:r>
          </w:p>
        </w:tc>
      </w:tr>
    </w:tbl>
    <w:p w14:paraId="2A3CA6B9" w14:textId="5EF55D22" w:rsidR="007361F8" w:rsidRPr="007B7746" w:rsidRDefault="007361F8" w:rsidP="00D9161E">
      <w:pPr>
        <w:tabs>
          <w:tab w:val="left" w:pos="-720"/>
        </w:tabs>
        <w:suppressAutoHyphens/>
        <w:spacing w:after="960" w:line="240" w:lineRule="auto"/>
        <w:contextualSpacing/>
        <w:jc w:val="both"/>
        <w:rPr>
          <w:rFonts w:ascii="Times New Roman" w:eastAsia="Times New Roman" w:hAnsi="Times New Roman" w:cs="Times New Roman"/>
          <w:sz w:val="24"/>
          <w:szCs w:val="24"/>
        </w:rPr>
      </w:pPr>
    </w:p>
    <w:p w14:paraId="73D4DB0D" w14:textId="77777777" w:rsidR="00232B62" w:rsidRPr="007B7746" w:rsidRDefault="00232B62" w:rsidP="00232B62">
      <w:pPr>
        <w:tabs>
          <w:tab w:val="left" w:pos="-720"/>
        </w:tabs>
        <w:suppressAutoHyphens/>
        <w:spacing w:after="960" w:line="240" w:lineRule="auto"/>
        <w:contextualSpacing/>
        <w:jc w:val="both"/>
        <w:rPr>
          <w:rFonts w:ascii="Times New Roman" w:eastAsia="Times New Roman" w:hAnsi="Times New Roman" w:cs="Times New Roman"/>
          <w:sz w:val="24"/>
          <w:szCs w:val="24"/>
        </w:rPr>
      </w:pPr>
    </w:p>
    <w:p w14:paraId="47E46561" w14:textId="77777777" w:rsidR="00232B62" w:rsidRPr="005C3BA1" w:rsidRDefault="00232B62" w:rsidP="00232B62">
      <w:pPr>
        <w:tabs>
          <w:tab w:val="left" w:pos="-720"/>
        </w:tabs>
        <w:suppressAutoHyphens/>
        <w:spacing w:after="960" w:line="240" w:lineRule="auto"/>
        <w:contextualSpacing/>
        <w:jc w:val="both"/>
        <w:rPr>
          <w:rFonts w:ascii="Times New Roman" w:eastAsia="Times New Roman" w:hAnsi="Times New Roman" w:cs="Times New Roman"/>
          <w:sz w:val="24"/>
          <w:szCs w:val="24"/>
        </w:rPr>
      </w:pPr>
    </w:p>
    <w:p w14:paraId="20120432" w14:textId="77777777" w:rsidR="00E42282" w:rsidRPr="005C3BA1" w:rsidRDefault="00E42282" w:rsidP="001B33C2">
      <w:pPr>
        <w:numPr>
          <w:ilvl w:val="0"/>
          <w:numId w:val="6"/>
        </w:numPr>
        <w:tabs>
          <w:tab w:val="left" w:pos="-720"/>
        </w:tabs>
        <w:suppressAutoHyphens/>
        <w:spacing w:after="960" w:line="240" w:lineRule="auto"/>
        <w:ind w:left="907" w:hanging="547"/>
        <w:contextualSpacing/>
        <w:jc w:val="both"/>
        <w:rPr>
          <w:rFonts w:ascii="Times New Roman" w:eastAsia="Times New Roman" w:hAnsi="Times New Roman" w:cs="Times New Roman"/>
          <w:sz w:val="24"/>
          <w:szCs w:val="24"/>
        </w:rPr>
      </w:pPr>
      <w:r w:rsidRPr="005C3BA1">
        <w:rPr>
          <w:rFonts w:ascii="Times New Roman" w:eastAsia="Times New Roman" w:hAnsi="Times New Roman" w:cs="Times New Roman"/>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E37B05A" w14:textId="77777777" w:rsidR="00E01C5B" w:rsidRPr="005C3BA1" w:rsidRDefault="00E01C5B" w:rsidP="00E01C5B">
      <w:pPr>
        <w:tabs>
          <w:tab w:val="left" w:pos="-720"/>
        </w:tabs>
        <w:suppressAutoHyphens/>
        <w:spacing w:after="960" w:line="240" w:lineRule="auto"/>
        <w:contextualSpacing/>
        <w:jc w:val="both"/>
        <w:rPr>
          <w:rFonts w:ascii="Times New Roman" w:eastAsia="Times New Roman" w:hAnsi="Times New Roman" w:cs="Times New Roman"/>
          <w:sz w:val="24"/>
          <w:szCs w:val="24"/>
        </w:rPr>
      </w:pPr>
    </w:p>
    <w:p w14:paraId="3D2D076F" w14:textId="77777777" w:rsidR="00BC0668" w:rsidRPr="0037682C" w:rsidRDefault="00BC0668" w:rsidP="00BC0668">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r w:rsidRPr="00BC0668">
        <w:rPr>
          <w:rFonts w:ascii="Times New Roman" w:eastAsia="Times New Roman" w:hAnsi="Times New Roman" w:cs="Times New Roman"/>
          <w:sz w:val="24"/>
          <w:szCs w:val="24"/>
        </w:rPr>
        <w:t xml:space="preserve">There </w:t>
      </w:r>
      <w:r w:rsidRPr="0037682C">
        <w:rPr>
          <w:rFonts w:ascii="Times New Roman" w:eastAsia="Times New Roman" w:hAnsi="Times New Roman" w:cs="Times New Roman"/>
          <w:sz w:val="24"/>
          <w:szCs w:val="24"/>
        </w:rPr>
        <w:t>is an adjustment in the reporting burden calculation due to a correction in the number of accrediting agencies required to submit data according to 34 CFR 602.</w:t>
      </w:r>
      <w:r w:rsidRPr="0037682C">
        <w:rPr>
          <w:rFonts w:ascii="Calibri" w:eastAsia="Calibri" w:hAnsi="Calibri" w:cs="Times New Roman"/>
        </w:rPr>
        <w:t xml:space="preserve"> </w:t>
      </w:r>
      <w:r w:rsidRPr="0037682C">
        <w:rPr>
          <w:rFonts w:ascii="Times New Roman" w:eastAsia="Times New Roman" w:hAnsi="Times New Roman" w:cs="Times New Roman"/>
          <w:sz w:val="24"/>
          <w:szCs w:val="24"/>
        </w:rPr>
        <w:t xml:space="preserve">In the previous burden calculation, the number of agencies used in the calculations was 64. However, that count of agencies was incorrect and included entities that were not required to submit the requested information and documentation in accordance with 34 Code of Federal Regulations (CFR) §602. Nine of the agencies included in that total were not required to submit the requested information as those agencies are not governed by 34 CFR § 602. Currently, there are 53 accrediting agencies that are required to submit the requested information in accordance with 34 CFR § 602. Therefore, the total number of accrediting agencies should reflect 53. </w:t>
      </w:r>
    </w:p>
    <w:p w14:paraId="038302AC" w14:textId="77777777" w:rsidR="00BC0668" w:rsidRPr="0037682C" w:rsidRDefault="00BC0668" w:rsidP="00BC0668">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r w:rsidRPr="0037682C">
        <w:rPr>
          <w:rFonts w:ascii="Times New Roman" w:eastAsia="Times New Roman" w:hAnsi="Times New Roman" w:cs="Times New Roman"/>
          <w:sz w:val="24"/>
          <w:szCs w:val="24"/>
        </w:rPr>
        <w:t xml:space="preserve"> </w:t>
      </w:r>
    </w:p>
    <w:p w14:paraId="0F51D9F9" w14:textId="1E70BA0C" w:rsidR="00BC0668" w:rsidRDefault="00BC0668" w:rsidP="00BC0668">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r w:rsidRPr="0037682C">
        <w:rPr>
          <w:rFonts w:ascii="Times New Roman" w:eastAsia="Times New Roman" w:hAnsi="Times New Roman" w:cs="Times New Roman"/>
          <w:sz w:val="24"/>
          <w:szCs w:val="24"/>
        </w:rPr>
        <w:t>There is an adjustment in agency burden hours calculated.  They were reduced from 2,689 to 555 hours</w:t>
      </w:r>
      <w:r>
        <w:rPr>
          <w:rFonts w:ascii="Times New Roman" w:eastAsia="Times New Roman" w:hAnsi="Times New Roman" w:cs="Times New Roman"/>
          <w:sz w:val="24"/>
          <w:szCs w:val="24"/>
        </w:rPr>
        <w:t xml:space="preserve">; </w:t>
      </w:r>
      <w:r w:rsidRPr="00467751">
        <w:rPr>
          <w:rFonts w:ascii="Times New Roman" w:eastAsia="Times New Roman" w:hAnsi="Times New Roman" w:cs="Times New Roman"/>
          <w:sz w:val="24"/>
          <w:szCs w:val="24"/>
        </w:rPr>
        <w:t xml:space="preserve">there is an adjustment change of eleven agencies required to report from 64 to 53 agencies and a decrease of </w:t>
      </w:r>
      <w:r w:rsidR="00E527AC">
        <w:rPr>
          <w:rFonts w:ascii="Times New Roman" w:eastAsia="Times New Roman" w:hAnsi="Times New Roman" w:cs="Times New Roman"/>
          <w:sz w:val="24"/>
          <w:szCs w:val="24"/>
        </w:rPr>
        <w:t>560</w:t>
      </w:r>
      <w:r w:rsidRPr="00467751">
        <w:rPr>
          <w:rFonts w:ascii="Times New Roman" w:eastAsia="Times New Roman" w:hAnsi="Times New Roman" w:cs="Times New Roman"/>
          <w:sz w:val="24"/>
          <w:szCs w:val="24"/>
        </w:rPr>
        <w:t xml:space="preserve"> burden hours, in addition, there is a program change decrease of 1,</w:t>
      </w:r>
      <w:r w:rsidR="00D41DFE">
        <w:rPr>
          <w:rFonts w:ascii="Times New Roman" w:eastAsia="Times New Roman" w:hAnsi="Times New Roman" w:cs="Times New Roman"/>
          <w:sz w:val="24"/>
          <w:szCs w:val="24"/>
        </w:rPr>
        <w:t>574</w:t>
      </w:r>
      <w:r w:rsidRPr="00467751">
        <w:rPr>
          <w:rFonts w:ascii="Times New Roman" w:eastAsia="Times New Roman" w:hAnsi="Times New Roman" w:cs="Times New Roman"/>
          <w:sz w:val="24"/>
          <w:szCs w:val="24"/>
        </w:rPr>
        <w:t xml:space="preserve"> burden hours resulting</w:t>
      </w:r>
      <w:r w:rsidRPr="003768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w:t>
      </w:r>
      <w:r w:rsidRPr="0037682C">
        <w:rPr>
          <w:rFonts w:ascii="Times New Roman" w:eastAsia="Times New Roman" w:hAnsi="Times New Roman" w:cs="Times New Roman"/>
          <w:sz w:val="24"/>
          <w:szCs w:val="24"/>
        </w:rPr>
        <w:t>improvements to the system, eliminating Federal staff burden and further reduced agency burden.</w:t>
      </w:r>
      <w:r w:rsidRPr="0037682C">
        <w:rPr>
          <w:rFonts w:ascii="Calibri" w:eastAsia="Calibri" w:hAnsi="Calibri" w:cs="Times New Roman"/>
        </w:rPr>
        <w:t xml:space="preserve"> </w:t>
      </w:r>
      <w:r w:rsidRPr="0037682C">
        <w:rPr>
          <w:rFonts w:ascii="Times New Roman" w:eastAsia="Calibri" w:hAnsi="Times New Roman" w:cs="Times New Roman"/>
          <w:sz w:val="24"/>
          <w:szCs w:val="24"/>
        </w:rPr>
        <w:t>Federal staff burden decreased because of system improvements that do not require inputs from federal staff. Agency burden was reduced because of changes in agency data input process.</w:t>
      </w:r>
      <w:r>
        <w:rPr>
          <w:rFonts w:ascii="Times New Roman" w:eastAsia="Calibri" w:hAnsi="Times New Roman" w:cs="Times New Roman"/>
          <w:sz w:val="24"/>
          <w:szCs w:val="24"/>
        </w:rPr>
        <w:t xml:space="preserve">  </w:t>
      </w:r>
      <w:r w:rsidRPr="0092438E">
        <w:rPr>
          <w:rFonts w:ascii="Times New Roman" w:eastAsia="Times New Roman" w:hAnsi="Times New Roman" w:cs="Times New Roman"/>
          <w:sz w:val="24"/>
          <w:szCs w:val="24"/>
        </w:rPr>
        <w:t>Also, from September 1, 2018 to August 31,</w:t>
      </w:r>
      <w:r>
        <w:rPr>
          <w:rFonts w:ascii="Times New Roman" w:eastAsia="Times New Roman" w:hAnsi="Times New Roman" w:cs="Times New Roman"/>
          <w:sz w:val="24"/>
          <w:szCs w:val="24"/>
        </w:rPr>
        <w:t xml:space="preserve"> </w:t>
      </w:r>
      <w:r w:rsidRPr="0092438E">
        <w:rPr>
          <w:rFonts w:ascii="Times New Roman" w:eastAsia="Times New Roman" w:hAnsi="Times New Roman" w:cs="Times New Roman"/>
          <w:sz w:val="24"/>
          <w:szCs w:val="24"/>
        </w:rPr>
        <w:t>2019 there were 6,654 actions submitted into the system. Federal government burden hours decreased from 670 to zero.</w:t>
      </w:r>
      <w:r>
        <w:rPr>
          <w:rFonts w:ascii="Times New Roman" w:eastAsia="Times New Roman" w:hAnsi="Times New Roman" w:cs="Times New Roman"/>
          <w:sz w:val="24"/>
          <w:szCs w:val="24"/>
        </w:rPr>
        <w:t xml:space="preserve"> </w:t>
      </w:r>
      <w:r w:rsidRPr="00843501">
        <w:rPr>
          <w:rFonts w:ascii="Times New Roman" w:eastAsia="Times New Roman" w:hAnsi="Times New Roman" w:cs="Times New Roman"/>
          <w:sz w:val="24"/>
          <w:szCs w:val="24"/>
        </w:rPr>
        <w:t xml:space="preserve"> </w:t>
      </w:r>
    </w:p>
    <w:p w14:paraId="540A2FB0" w14:textId="4A393277" w:rsidR="00BC0668" w:rsidRDefault="00BC0668" w:rsidP="00BC0668">
      <w:pPr>
        <w:tabs>
          <w:tab w:val="left" w:pos="-720"/>
        </w:tabs>
        <w:suppressAutoHyphens/>
        <w:spacing w:after="960" w:line="240" w:lineRule="auto"/>
        <w:ind w:left="900"/>
        <w:contextualSpacing/>
        <w:jc w:val="both"/>
        <w:rPr>
          <w:rFonts w:ascii="Times New Roman" w:eastAsia="Calibri" w:hAnsi="Times New Roman" w:cs="Times New Roman"/>
          <w:sz w:val="24"/>
          <w:szCs w:val="24"/>
        </w:rPr>
      </w:pPr>
    </w:p>
    <w:p w14:paraId="08063D40" w14:textId="5223D7A9" w:rsidR="001600DC" w:rsidRPr="007B7746" w:rsidRDefault="00843501" w:rsidP="001600DC">
      <w:pPr>
        <w:tabs>
          <w:tab w:val="left" w:pos="-720"/>
        </w:tabs>
        <w:suppressAutoHyphens/>
        <w:spacing w:after="960" w:line="240" w:lineRule="auto"/>
        <w:ind w:left="900"/>
        <w:contextualSpacing/>
        <w:jc w:val="both"/>
        <w:rPr>
          <w:rFonts w:ascii="Times New Roman" w:eastAsia="Times New Roman" w:hAnsi="Times New Roman" w:cs="Times New Roman"/>
          <w:sz w:val="24"/>
          <w:szCs w:val="24"/>
        </w:rPr>
      </w:pPr>
      <w:r w:rsidRPr="00843501">
        <w:rPr>
          <w:rFonts w:ascii="Times New Roman" w:eastAsia="Times New Roman" w:hAnsi="Times New Roman" w:cs="Times New Roman"/>
          <w:sz w:val="24"/>
          <w:szCs w:val="24"/>
        </w:rPr>
        <w:t xml:space="preserve">  </w:t>
      </w:r>
    </w:p>
    <w:p w14:paraId="72686DA7" w14:textId="77777777" w:rsidR="00E42282" w:rsidRPr="005C3BA1" w:rsidRDefault="00E42282" w:rsidP="001B33C2">
      <w:pPr>
        <w:numPr>
          <w:ilvl w:val="0"/>
          <w:numId w:val="6"/>
        </w:numPr>
        <w:tabs>
          <w:tab w:val="left" w:pos="-720"/>
        </w:tabs>
        <w:suppressAutoHyphens/>
        <w:spacing w:after="960" w:line="240" w:lineRule="auto"/>
        <w:ind w:left="806" w:hanging="446"/>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For collections of information whose results will be published, outline plans for tabulation and publication.  Address any complex analytical techniques that will be used.  Provide the time schedule for the entire project, including</w:t>
      </w:r>
      <w:r w:rsidRPr="005C3BA1">
        <w:rPr>
          <w:rFonts w:ascii="Times New Roman" w:eastAsia="Times New Roman" w:hAnsi="Times New Roman" w:cs="Times New Roman"/>
          <w:sz w:val="24"/>
          <w:szCs w:val="24"/>
        </w:rPr>
        <w:t xml:space="preserve"> beginning and ending dates of the collection of information, completion of report, publication dates, and other actions.</w:t>
      </w:r>
    </w:p>
    <w:p w14:paraId="2B43A2B8" w14:textId="77777777" w:rsidR="00AA3DC8" w:rsidRPr="005C3BA1" w:rsidRDefault="00AA3DC8" w:rsidP="002A2D88">
      <w:pPr>
        <w:tabs>
          <w:tab w:val="left" w:pos="-720"/>
        </w:tabs>
        <w:suppressAutoHyphens/>
        <w:spacing w:after="960" w:line="240" w:lineRule="auto"/>
        <w:ind w:left="810"/>
        <w:contextualSpacing/>
        <w:jc w:val="both"/>
        <w:rPr>
          <w:rFonts w:ascii="Times New Roman" w:eastAsia="Times New Roman" w:hAnsi="Times New Roman" w:cs="Times New Roman"/>
          <w:sz w:val="24"/>
          <w:szCs w:val="24"/>
        </w:rPr>
      </w:pPr>
    </w:p>
    <w:p w14:paraId="5CC63AD8" w14:textId="7C449842" w:rsidR="002A2D88" w:rsidRPr="007B7746" w:rsidRDefault="00F64ABF" w:rsidP="002A2D88">
      <w:pPr>
        <w:tabs>
          <w:tab w:val="left" w:pos="-720"/>
        </w:tabs>
        <w:suppressAutoHyphens/>
        <w:spacing w:after="960" w:line="240" w:lineRule="auto"/>
        <w:ind w:left="810"/>
        <w:contextualSpacing/>
        <w:jc w:val="both"/>
        <w:rPr>
          <w:rFonts w:ascii="Times New Roman" w:eastAsia="Times New Roman" w:hAnsi="Times New Roman" w:cs="Times New Roman"/>
          <w:sz w:val="24"/>
          <w:szCs w:val="24"/>
        </w:rPr>
      </w:pPr>
      <w:r w:rsidRPr="007B7746">
        <w:rPr>
          <w:rFonts w:ascii="Times New Roman" w:eastAsia="Times New Roman" w:hAnsi="Times New Roman" w:cs="Times New Roman"/>
          <w:sz w:val="24"/>
          <w:szCs w:val="24"/>
        </w:rPr>
        <w:t xml:space="preserve">The </w:t>
      </w:r>
      <w:r w:rsidR="003B0912">
        <w:rPr>
          <w:rFonts w:ascii="Times New Roman" w:eastAsia="Times New Roman" w:hAnsi="Times New Roman" w:cs="Times New Roman"/>
          <w:sz w:val="24"/>
          <w:szCs w:val="24"/>
        </w:rPr>
        <w:t>D</w:t>
      </w:r>
      <w:r w:rsidRPr="007B7746">
        <w:rPr>
          <w:rFonts w:ascii="Times New Roman" w:eastAsia="Times New Roman" w:hAnsi="Times New Roman" w:cs="Times New Roman"/>
          <w:sz w:val="24"/>
          <w:szCs w:val="24"/>
        </w:rPr>
        <w:t xml:space="preserve">epartment </w:t>
      </w:r>
      <w:r w:rsidR="003B0912">
        <w:rPr>
          <w:rFonts w:ascii="Times New Roman" w:eastAsia="Times New Roman" w:hAnsi="Times New Roman" w:cs="Times New Roman"/>
          <w:sz w:val="24"/>
          <w:szCs w:val="24"/>
        </w:rPr>
        <w:t>makes information</w:t>
      </w:r>
      <w:r w:rsidRPr="007B7746">
        <w:rPr>
          <w:rFonts w:ascii="Times New Roman" w:eastAsia="Times New Roman" w:hAnsi="Times New Roman" w:cs="Times New Roman"/>
          <w:sz w:val="24"/>
          <w:szCs w:val="24"/>
        </w:rPr>
        <w:t xml:space="preserve"> it collects from accrediting agencies</w:t>
      </w:r>
      <w:r w:rsidR="00620632" w:rsidRPr="007B7746">
        <w:rPr>
          <w:rFonts w:ascii="Times New Roman" w:eastAsia="Times New Roman" w:hAnsi="Times New Roman" w:cs="Times New Roman"/>
          <w:sz w:val="24"/>
          <w:szCs w:val="24"/>
        </w:rPr>
        <w:t xml:space="preserve"> </w:t>
      </w:r>
      <w:r w:rsidR="003963B7">
        <w:rPr>
          <w:rFonts w:ascii="Times New Roman" w:eastAsia="Times New Roman" w:hAnsi="Times New Roman" w:cs="Times New Roman"/>
          <w:sz w:val="24"/>
          <w:szCs w:val="24"/>
        </w:rPr>
        <w:t xml:space="preserve">available </w:t>
      </w:r>
      <w:r w:rsidR="0087322A">
        <w:rPr>
          <w:rFonts w:ascii="Times New Roman" w:eastAsia="Times New Roman" w:hAnsi="Times New Roman" w:cs="Times New Roman"/>
          <w:sz w:val="24"/>
          <w:szCs w:val="24"/>
        </w:rPr>
        <w:t xml:space="preserve">on </w:t>
      </w:r>
      <w:r w:rsidR="003B0912">
        <w:rPr>
          <w:rFonts w:ascii="Times New Roman" w:eastAsia="Times New Roman" w:hAnsi="Times New Roman" w:cs="Times New Roman"/>
          <w:sz w:val="24"/>
          <w:szCs w:val="24"/>
        </w:rPr>
        <w:t xml:space="preserve">DAPIP at </w:t>
      </w:r>
      <w:hyperlink r:id="rId12" w:anchor="/home" w:history="1">
        <w:r w:rsidR="003B3DD2" w:rsidRPr="00440E52">
          <w:rPr>
            <w:rStyle w:val="Hyperlink"/>
          </w:rPr>
          <w:t>https://ope.ed.gov/dapip/#/home</w:t>
        </w:r>
      </w:hyperlink>
      <w:r w:rsidR="003B0912">
        <w:rPr>
          <w:rFonts w:ascii="Times New Roman" w:eastAsia="Times New Roman" w:hAnsi="Times New Roman" w:cs="Times New Roman"/>
          <w:sz w:val="24"/>
          <w:szCs w:val="24"/>
        </w:rPr>
        <w:t xml:space="preserve"> </w:t>
      </w:r>
      <w:r w:rsidR="00364050">
        <w:rPr>
          <w:rFonts w:ascii="Times New Roman" w:eastAsia="Times New Roman" w:hAnsi="Times New Roman" w:cs="Times New Roman"/>
          <w:sz w:val="24"/>
          <w:szCs w:val="24"/>
        </w:rPr>
        <w:t xml:space="preserve">. </w:t>
      </w:r>
      <w:r w:rsidR="002A2D88" w:rsidRPr="007B7746">
        <w:rPr>
          <w:rFonts w:ascii="Times New Roman" w:eastAsia="Times New Roman" w:hAnsi="Times New Roman" w:cs="Times New Roman"/>
          <w:sz w:val="24"/>
          <w:szCs w:val="24"/>
        </w:rPr>
        <w:t xml:space="preserve">No additional tabulation or modifications </w:t>
      </w:r>
      <w:r w:rsidR="003B0912">
        <w:rPr>
          <w:rFonts w:ascii="Times New Roman" w:eastAsia="Times New Roman" w:hAnsi="Times New Roman" w:cs="Times New Roman"/>
          <w:sz w:val="24"/>
          <w:szCs w:val="24"/>
        </w:rPr>
        <w:t xml:space="preserve">are </w:t>
      </w:r>
      <w:r w:rsidR="002A2D88" w:rsidRPr="007B7746">
        <w:rPr>
          <w:rFonts w:ascii="Times New Roman" w:eastAsia="Times New Roman" w:hAnsi="Times New Roman" w:cs="Times New Roman"/>
          <w:sz w:val="24"/>
          <w:szCs w:val="24"/>
        </w:rPr>
        <w:t>applied. No complex analytical technique</w:t>
      </w:r>
      <w:r w:rsidRPr="007B7746">
        <w:rPr>
          <w:rFonts w:ascii="Times New Roman" w:eastAsia="Times New Roman" w:hAnsi="Times New Roman" w:cs="Times New Roman"/>
          <w:sz w:val="24"/>
          <w:szCs w:val="24"/>
        </w:rPr>
        <w:t xml:space="preserve">s </w:t>
      </w:r>
      <w:r w:rsidR="003B0912">
        <w:rPr>
          <w:rFonts w:ascii="Times New Roman" w:eastAsia="Times New Roman" w:hAnsi="Times New Roman" w:cs="Times New Roman"/>
          <w:sz w:val="24"/>
          <w:szCs w:val="24"/>
        </w:rPr>
        <w:t>are</w:t>
      </w:r>
      <w:r w:rsidRPr="007B7746">
        <w:rPr>
          <w:rFonts w:ascii="Times New Roman" w:eastAsia="Times New Roman" w:hAnsi="Times New Roman" w:cs="Times New Roman"/>
          <w:sz w:val="24"/>
          <w:szCs w:val="24"/>
        </w:rPr>
        <w:t xml:space="preserve"> used in this process.</w:t>
      </w:r>
    </w:p>
    <w:p w14:paraId="3BCC4DAE" w14:textId="77777777" w:rsidR="00AA3DC8" w:rsidRPr="007B7746" w:rsidRDefault="00AA3DC8" w:rsidP="00AA3DC8">
      <w:pPr>
        <w:tabs>
          <w:tab w:val="left" w:pos="-720"/>
        </w:tabs>
        <w:suppressAutoHyphens/>
        <w:spacing w:after="960" w:line="240" w:lineRule="auto"/>
        <w:ind w:left="810"/>
        <w:contextualSpacing/>
        <w:jc w:val="both"/>
        <w:rPr>
          <w:rFonts w:ascii="Times New Roman" w:eastAsia="Times New Roman" w:hAnsi="Times New Roman" w:cs="Times New Roman"/>
          <w:sz w:val="24"/>
          <w:szCs w:val="24"/>
        </w:rPr>
      </w:pPr>
    </w:p>
    <w:p w14:paraId="27CCE48E" w14:textId="77777777" w:rsidR="00EC5271" w:rsidRPr="007B7746" w:rsidRDefault="00EC5271" w:rsidP="00EC5271">
      <w:pPr>
        <w:tabs>
          <w:tab w:val="left" w:pos="-720"/>
        </w:tabs>
        <w:suppressAutoHyphens/>
        <w:spacing w:after="960" w:line="240" w:lineRule="auto"/>
        <w:ind w:left="806"/>
        <w:contextualSpacing/>
        <w:jc w:val="both"/>
        <w:rPr>
          <w:rFonts w:ascii="Times New Roman" w:eastAsia="Times New Roman" w:hAnsi="Times New Roman" w:cs="Times New Roman"/>
          <w:sz w:val="24"/>
          <w:szCs w:val="24"/>
        </w:rPr>
      </w:pPr>
    </w:p>
    <w:p w14:paraId="7A68D4FA" w14:textId="77777777" w:rsidR="001B33C2" w:rsidRPr="005C3BA1" w:rsidRDefault="00E42282" w:rsidP="001B33C2">
      <w:pPr>
        <w:numPr>
          <w:ilvl w:val="0"/>
          <w:numId w:val="6"/>
        </w:numPr>
        <w:tabs>
          <w:tab w:val="left" w:pos="-720"/>
        </w:tabs>
        <w:suppressAutoHyphens/>
        <w:spacing w:after="960" w:line="240" w:lineRule="auto"/>
        <w:ind w:left="907" w:hanging="547"/>
        <w:contextualSpacing/>
        <w:jc w:val="both"/>
        <w:rPr>
          <w:rFonts w:ascii="Times New Roman" w:hAnsi="Times New Roman" w:cs="Times New Roman"/>
          <w:sz w:val="24"/>
          <w:szCs w:val="24"/>
        </w:rPr>
      </w:pPr>
      <w:r w:rsidRPr="005C3BA1">
        <w:rPr>
          <w:rFonts w:ascii="Times New Roman" w:eastAsia="Times New Roman" w:hAnsi="Times New Roman" w:cs="Times New Roman"/>
          <w:sz w:val="24"/>
          <w:szCs w:val="24"/>
        </w:rPr>
        <w:t>If seeking approval to not display the expiration date for OMB approval of the information collection, explain the reasons that</w:t>
      </w:r>
      <w:r w:rsidR="001B33C2" w:rsidRPr="005C3BA1">
        <w:rPr>
          <w:rFonts w:ascii="Times New Roman" w:eastAsia="Times New Roman" w:hAnsi="Times New Roman" w:cs="Times New Roman"/>
          <w:sz w:val="24"/>
          <w:szCs w:val="24"/>
        </w:rPr>
        <w:t xml:space="preserve"> display would be inappropriate.</w:t>
      </w:r>
    </w:p>
    <w:p w14:paraId="22BF8045" w14:textId="77777777" w:rsidR="001B33C2" w:rsidRPr="007B7746" w:rsidRDefault="001B33C2" w:rsidP="001B33C2">
      <w:pPr>
        <w:tabs>
          <w:tab w:val="left" w:pos="-720"/>
        </w:tabs>
        <w:suppressAutoHyphens/>
        <w:spacing w:after="960" w:line="240" w:lineRule="auto"/>
        <w:ind w:left="907"/>
        <w:contextualSpacing/>
        <w:jc w:val="both"/>
        <w:rPr>
          <w:rFonts w:ascii="Times New Roman" w:hAnsi="Times New Roman" w:cs="Times New Roman"/>
          <w:sz w:val="24"/>
          <w:szCs w:val="24"/>
        </w:rPr>
      </w:pPr>
    </w:p>
    <w:p w14:paraId="27A89DE0" w14:textId="77777777" w:rsidR="00EE69DC" w:rsidRPr="00110A75" w:rsidRDefault="00EC7183" w:rsidP="001B33C2">
      <w:pPr>
        <w:tabs>
          <w:tab w:val="left" w:pos="-720"/>
        </w:tabs>
        <w:suppressAutoHyphens/>
        <w:spacing w:after="960" w:line="240" w:lineRule="auto"/>
        <w:ind w:left="907"/>
        <w:contextualSpacing/>
        <w:jc w:val="both"/>
        <w:rPr>
          <w:rFonts w:ascii="Times New Roman" w:hAnsi="Times New Roman" w:cs="Times New Roman"/>
          <w:sz w:val="24"/>
          <w:szCs w:val="24"/>
        </w:rPr>
      </w:pPr>
      <w:r w:rsidRPr="00110A75">
        <w:rPr>
          <w:rFonts w:ascii="Times New Roman" w:hAnsi="Times New Roman" w:cs="Times New Roman"/>
          <w:sz w:val="24"/>
          <w:szCs w:val="24"/>
        </w:rPr>
        <w:t xml:space="preserve">The </w:t>
      </w:r>
      <w:r w:rsidR="00EE69DC" w:rsidRPr="00110A75">
        <w:rPr>
          <w:rFonts w:ascii="Times New Roman" w:hAnsi="Times New Roman" w:cs="Times New Roman"/>
          <w:sz w:val="24"/>
          <w:szCs w:val="24"/>
        </w:rPr>
        <w:t>O</w:t>
      </w:r>
      <w:r w:rsidRPr="00110A75">
        <w:rPr>
          <w:rFonts w:ascii="Times New Roman" w:hAnsi="Times New Roman" w:cs="Times New Roman"/>
          <w:sz w:val="24"/>
          <w:szCs w:val="24"/>
        </w:rPr>
        <w:t xml:space="preserve">ffice of </w:t>
      </w:r>
      <w:r w:rsidR="00EE69DC" w:rsidRPr="00110A75">
        <w:rPr>
          <w:rFonts w:ascii="Times New Roman" w:hAnsi="Times New Roman" w:cs="Times New Roman"/>
          <w:sz w:val="24"/>
          <w:szCs w:val="24"/>
        </w:rPr>
        <w:t>P</w:t>
      </w:r>
      <w:r w:rsidRPr="00110A75">
        <w:rPr>
          <w:rFonts w:ascii="Times New Roman" w:hAnsi="Times New Roman" w:cs="Times New Roman"/>
          <w:sz w:val="24"/>
          <w:szCs w:val="24"/>
        </w:rPr>
        <w:t xml:space="preserve">ostsecondary </w:t>
      </w:r>
      <w:r w:rsidR="00EE69DC" w:rsidRPr="00110A75">
        <w:rPr>
          <w:rFonts w:ascii="Times New Roman" w:hAnsi="Times New Roman" w:cs="Times New Roman"/>
          <w:sz w:val="24"/>
          <w:szCs w:val="24"/>
        </w:rPr>
        <w:t>E</w:t>
      </w:r>
      <w:r w:rsidRPr="00110A75">
        <w:rPr>
          <w:rFonts w:ascii="Times New Roman" w:hAnsi="Times New Roman" w:cs="Times New Roman"/>
          <w:sz w:val="24"/>
          <w:szCs w:val="24"/>
        </w:rPr>
        <w:t>ducation</w:t>
      </w:r>
      <w:r w:rsidR="00EE69DC" w:rsidRPr="00110A75">
        <w:rPr>
          <w:rFonts w:ascii="Times New Roman" w:hAnsi="Times New Roman" w:cs="Times New Roman"/>
          <w:sz w:val="24"/>
          <w:szCs w:val="24"/>
        </w:rPr>
        <w:t xml:space="preserve"> </w:t>
      </w:r>
      <w:r w:rsidR="00364050" w:rsidRPr="00110A75">
        <w:rPr>
          <w:rFonts w:ascii="Times New Roman" w:hAnsi="Times New Roman" w:cs="Times New Roman"/>
          <w:sz w:val="24"/>
          <w:szCs w:val="24"/>
        </w:rPr>
        <w:t>is not seeking this approval</w:t>
      </w:r>
      <w:r w:rsidR="00EE69DC" w:rsidRPr="00110A75">
        <w:rPr>
          <w:rFonts w:ascii="Times New Roman" w:hAnsi="Times New Roman" w:cs="Times New Roman"/>
          <w:sz w:val="24"/>
          <w:szCs w:val="24"/>
        </w:rPr>
        <w:t>.</w:t>
      </w:r>
    </w:p>
    <w:p w14:paraId="0ABD66CE" w14:textId="77777777" w:rsidR="001B33C2" w:rsidRPr="007B7746" w:rsidRDefault="00364050" w:rsidP="00364050">
      <w:pPr>
        <w:tabs>
          <w:tab w:val="left" w:pos="-720"/>
          <w:tab w:val="left" w:pos="2404"/>
          <w:tab w:val="left" w:pos="3606"/>
        </w:tabs>
        <w:suppressAutoHyphens/>
        <w:spacing w:after="0" w:line="240" w:lineRule="auto"/>
        <w:ind w:left="9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F1DAACE" w14:textId="77777777" w:rsidR="00E42282" w:rsidRPr="005C3BA1" w:rsidRDefault="00E42282" w:rsidP="001B33C2">
      <w:pPr>
        <w:numPr>
          <w:ilvl w:val="0"/>
          <w:numId w:val="6"/>
        </w:numPr>
        <w:tabs>
          <w:tab w:val="left" w:pos="-720"/>
        </w:tabs>
        <w:suppressAutoHyphens/>
        <w:spacing w:after="0" w:line="240" w:lineRule="auto"/>
        <w:ind w:left="900" w:hanging="540"/>
        <w:contextualSpacing/>
        <w:jc w:val="both"/>
        <w:rPr>
          <w:rFonts w:ascii="Times New Roman" w:eastAsia="Times New Roman" w:hAnsi="Times New Roman" w:cs="Times New Roman"/>
          <w:sz w:val="24"/>
          <w:szCs w:val="24"/>
        </w:rPr>
      </w:pPr>
      <w:r w:rsidRPr="005C3BA1">
        <w:rPr>
          <w:rFonts w:ascii="Times New Roman" w:eastAsia="Times New Roman" w:hAnsi="Times New Roman" w:cs="Times New Roman"/>
          <w:sz w:val="24"/>
          <w:szCs w:val="24"/>
        </w:rPr>
        <w:t>Explain each exception to the certification statement identified in the Certification of Paperwork Reduction Act.</w:t>
      </w:r>
    </w:p>
    <w:p w14:paraId="502E5CA1" w14:textId="77777777" w:rsidR="00EE69DC" w:rsidRPr="007B7746" w:rsidRDefault="00EE69DC" w:rsidP="001B33C2">
      <w:pPr>
        <w:pStyle w:val="ListParagraph"/>
        <w:spacing w:line="240" w:lineRule="auto"/>
        <w:jc w:val="both"/>
        <w:rPr>
          <w:rFonts w:ascii="Times New Roman" w:hAnsi="Times New Roman" w:cs="Times New Roman"/>
          <w:sz w:val="24"/>
          <w:szCs w:val="24"/>
        </w:rPr>
      </w:pPr>
    </w:p>
    <w:p w14:paraId="201D1F92" w14:textId="77777777" w:rsidR="002D70AC" w:rsidRDefault="002D70AC" w:rsidP="00E84231">
      <w:pPr>
        <w:spacing w:after="0" w:line="240" w:lineRule="auto"/>
        <w:rPr>
          <w:rFonts w:ascii="Calibri" w:eastAsia="Calibri" w:hAnsi="Calibri" w:cs="Calibri"/>
        </w:rPr>
      </w:pPr>
    </w:p>
    <w:p w14:paraId="159C0C6D" w14:textId="77777777" w:rsidR="008309C9" w:rsidRPr="00E84231" w:rsidRDefault="008309C9" w:rsidP="00E84231">
      <w:pPr>
        <w:spacing w:after="0" w:line="240" w:lineRule="auto"/>
        <w:rPr>
          <w:rFonts w:ascii="Calibri" w:eastAsia="Calibri" w:hAnsi="Calibri" w:cs="Calibri"/>
        </w:rPr>
      </w:pPr>
    </w:p>
    <w:p w14:paraId="46ABB98D" w14:textId="56381E2A" w:rsidR="00E42282" w:rsidRPr="008A0CD5" w:rsidRDefault="00EE69DC" w:rsidP="00176C45">
      <w:pPr>
        <w:pStyle w:val="ListParagraph"/>
        <w:spacing w:line="240" w:lineRule="auto"/>
        <w:ind w:left="1620" w:firstLine="540"/>
        <w:jc w:val="both"/>
        <w:rPr>
          <w:sz w:val="24"/>
          <w:szCs w:val="24"/>
        </w:rPr>
      </w:pPr>
      <w:r w:rsidRPr="008A0CD5">
        <w:rPr>
          <w:rFonts w:ascii="Times New Roman" w:hAnsi="Times New Roman" w:cs="Times New Roman"/>
          <w:sz w:val="24"/>
          <w:szCs w:val="24"/>
        </w:rPr>
        <w:t>There are no exceptions to the statement.</w:t>
      </w:r>
    </w:p>
    <w:sectPr w:rsidR="00E42282" w:rsidRPr="008A0CD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9B0A0" w14:textId="77777777" w:rsidR="00E9199F" w:rsidRDefault="00E9199F" w:rsidP="00E42282">
      <w:pPr>
        <w:spacing w:after="0" w:line="240" w:lineRule="auto"/>
      </w:pPr>
      <w:r>
        <w:separator/>
      </w:r>
    </w:p>
  </w:endnote>
  <w:endnote w:type="continuationSeparator" w:id="0">
    <w:p w14:paraId="3728B1C4" w14:textId="77777777" w:rsidR="00E9199F" w:rsidRDefault="00E9199F" w:rsidP="00E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91406385"/>
      <w:docPartObj>
        <w:docPartGallery w:val="Page Numbers (Bottom of Page)"/>
        <w:docPartUnique/>
      </w:docPartObj>
    </w:sdtPr>
    <w:sdtEndPr>
      <w:rPr>
        <w:noProof/>
      </w:rPr>
    </w:sdtEndPr>
    <w:sdtContent>
      <w:p w14:paraId="305D8E93" w14:textId="77777777" w:rsidR="00E1657E" w:rsidRPr="005F3E16" w:rsidRDefault="00E1657E">
        <w:pPr>
          <w:pStyle w:val="Footer"/>
          <w:jc w:val="center"/>
          <w:rPr>
            <w:rFonts w:ascii="Times New Roman" w:hAnsi="Times New Roman" w:cs="Times New Roman"/>
          </w:rPr>
        </w:pPr>
        <w:r w:rsidRPr="005F3E16">
          <w:rPr>
            <w:rFonts w:ascii="Times New Roman" w:hAnsi="Times New Roman" w:cs="Times New Roman"/>
          </w:rPr>
          <w:fldChar w:fldCharType="begin"/>
        </w:r>
        <w:r w:rsidRPr="005F3E16">
          <w:rPr>
            <w:rFonts w:ascii="Times New Roman" w:hAnsi="Times New Roman" w:cs="Times New Roman"/>
          </w:rPr>
          <w:instrText xml:space="preserve"> PAGE   \* MERGEFORMAT </w:instrText>
        </w:r>
        <w:r w:rsidRPr="005F3E16">
          <w:rPr>
            <w:rFonts w:ascii="Times New Roman" w:hAnsi="Times New Roman" w:cs="Times New Roman"/>
          </w:rPr>
          <w:fldChar w:fldCharType="separate"/>
        </w:r>
        <w:r w:rsidR="0098721C">
          <w:rPr>
            <w:rFonts w:ascii="Times New Roman" w:hAnsi="Times New Roman" w:cs="Times New Roman"/>
            <w:noProof/>
          </w:rPr>
          <w:t>1</w:t>
        </w:r>
        <w:r w:rsidRPr="005F3E16">
          <w:rPr>
            <w:rFonts w:ascii="Times New Roman" w:hAnsi="Times New Roman" w:cs="Times New Roman"/>
            <w:noProof/>
          </w:rPr>
          <w:fldChar w:fldCharType="end"/>
        </w:r>
      </w:p>
    </w:sdtContent>
  </w:sdt>
  <w:p w14:paraId="10335DFE" w14:textId="77777777" w:rsidR="00E1657E" w:rsidRDefault="00E16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E5F32" w14:textId="77777777" w:rsidR="00E9199F" w:rsidRDefault="00E9199F" w:rsidP="00E42282">
      <w:pPr>
        <w:spacing w:after="0" w:line="240" w:lineRule="auto"/>
      </w:pPr>
      <w:r>
        <w:separator/>
      </w:r>
    </w:p>
  </w:footnote>
  <w:footnote w:type="continuationSeparator" w:id="0">
    <w:p w14:paraId="19066C06" w14:textId="77777777" w:rsidR="00E9199F" w:rsidRDefault="00E9199F" w:rsidP="00E42282">
      <w:pPr>
        <w:spacing w:after="0" w:line="240" w:lineRule="auto"/>
      </w:pPr>
      <w:r>
        <w:continuationSeparator/>
      </w:r>
    </w:p>
  </w:footnote>
  <w:footnote w:id="1">
    <w:p w14:paraId="34FB6B7B" w14:textId="77777777" w:rsidR="001B33C2" w:rsidRDefault="001B33C2" w:rsidP="001B33C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14:paraId="2C5716F7" w14:textId="77777777" w:rsidR="00E42282" w:rsidRDefault="00E42282" w:rsidP="00E4228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0C22" w14:textId="4BCC8357" w:rsidR="00CF0A04" w:rsidRDefault="00CF0A04" w:rsidP="00CF0A04">
    <w:pPr>
      <w:tabs>
        <w:tab w:val="left" w:pos="0"/>
        <w:tab w:val="left" w:pos="360"/>
        <w:tab w:val="right" w:pos="9000"/>
        <w:tab w:val="left" w:pos="9360"/>
      </w:tabs>
      <w:suppressAutoHyphens/>
      <w:spacing w:after="0" w:line="240" w:lineRule="auto"/>
      <w:rPr>
        <w:rFonts w:ascii="Times New Roman" w:eastAsia="Times New Roman" w:hAnsi="Times New Roman" w:cs="Times New Roman"/>
        <w:sz w:val="20"/>
        <w:szCs w:val="20"/>
      </w:rPr>
    </w:pPr>
    <w:r w:rsidRPr="00CF0A04">
      <w:rPr>
        <w:rFonts w:ascii="Times New Roman" w:eastAsia="Times New Roman" w:hAnsi="Times New Roman" w:cs="Times New Roman"/>
        <w:sz w:val="20"/>
        <w:szCs w:val="20"/>
      </w:rPr>
      <w:t xml:space="preserve">Tracking and OMB Number: </w:t>
    </w:r>
    <w:r w:rsidRPr="0040405E">
      <w:rPr>
        <w:rFonts w:ascii="Times New Roman" w:hAnsi="Times New Roman" w:cs="Times New Roman"/>
        <w:b/>
        <w:sz w:val="24"/>
        <w:szCs w:val="24"/>
      </w:rPr>
      <w:t>1840-</w:t>
    </w:r>
    <w:r w:rsidR="00FD6725">
      <w:rPr>
        <w:rFonts w:ascii="Times New Roman" w:hAnsi="Times New Roman" w:cs="Times New Roman"/>
        <w:b/>
        <w:sz w:val="24"/>
        <w:szCs w:val="24"/>
      </w:rPr>
      <w:t>0838</w:t>
    </w:r>
  </w:p>
  <w:p w14:paraId="68CA4FB0" w14:textId="77777777" w:rsidR="00CF0A04" w:rsidRPr="00CF0A04" w:rsidRDefault="00CF0A04" w:rsidP="00CF0A04">
    <w:pPr>
      <w:tabs>
        <w:tab w:val="left" w:pos="0"/>
        <w:tab w:val="left" w:pos="360"/>
        <w:tab w:val="right" w:pos="9000"/>
        <w:tab w:val="left" w:pos="9360"/>
      </w:tabs>
      <w:suppressAutoHyphens/>
      <w:spacing w:after="0" w:line="240" w:lineRule="auto"/>
      <w:rPr>
        <w:rFonts w:ascii="Times New Roman" w:eastAsia="Times New Roman" w:hAnsi="Times New Roman" w:cs="Times New Roman"/>
        <w:sz w:val="20"/>
        <w:szCs w:val="20"/>
      </w:rPr>
    </w:pPr>
    <w:r w:rsidRPr="00CF0A04">
      <w:rPr>
        <w:rFonts w:ascii="Times New Roman" w:eastAsia="Times New Roman" w:hAnsi="Times New Roman" w:cs="Times New Roman"/>
        <w:sz w:val="20"/>
        <w:szCs w:val="20"/>
      </w:rPr>
      <w:t xml:space="preserve">Revised: </w:t>
    </w:r>
  </w:p>
  <w:p w14:paraId="345FFCE3" w14:textId="77777777" w:rsidR="00CF0A04" w:rsidRDefault="00CF0A04" w:rsidP="00CF0A04">
    <w:pPr>
      <w:tabs>
        <w:tab w:val="left" w:pos="0"/>
        <w:tab w:val="left" w:pos="360"/>
        <w:tab w:val="right" w:pos="9000"/>
        <w:tab w:val="left" w:pos="9360"/>
      </w:tabs>
      <w:suppressAutoHyphens/>
      <w:spacing w:after="240" w:line="240" w:lineRule="auto"/>
      <w:rPr>
        <w:rFonts w:ascii="Times New Roman" w:eastAsia="Times New Roman" w:hAnsi="Times New Roman" w:cs="Times New Roman"/>
        <w:sz w:val="20"/>
        <w:szCs w:val="20"/>
      </w:rPr>
    </w:pPr>
    <w:r w:rsidRPr="00CF0A04">
      <w:rPr>
        <w:rFonts w:ascii="Times New Roman" w:eastAsia="Times New Roman" w:hAnsi="Times New Roman" w:cs="Times New Roman"/>
        <w:sz w:val="20"/>
        <w:szCs w:val="20"/>
      </w:rPr>
      <w:t xml:space="preserve">RIN Number: </w:t>
    </w:r>
  </w:p>
  <w:p w14:paraId="61756428" w14:textId="77777777" w:rsidR="00D317DC" w:rsidRPr="00D317DC" w:rsidRDefault="00D317DC" w:rsidP="00D317DC">
    <w:pPr>
      <w:tabs>
        <w:tab w:val="left" w:pos="0"/>
        <w:tab w:val="left" w:pos="360"/>
        <w:tab w:val="right" w:pos="9000"/>
        <w:tab w:val="left" w:pos="9360"/>
      </w:tabs>
      <w:suppressAutoHyphens/>
      <w:spacing w:after="240" w:line="240" w:lineRule="auto"/>
      <w:jc w:val="center"/>
      <w:rPr>
        <w:rFonts w:ascii="Times New Roman" w:eastAsia="Times New Roman" w:hAnsi="Times New Roman" w:cs="Times New Roman"/>
        <w:b/>
        <w:sz w:val="24"/>
        <w:szCs w:val="24"/>
      </w:rPr>
    </w:pPr>
    <w:r w:rsidRPr="00D317DC">
      <w:rPr>
        <w:rFonts w:ascii="Times New Roman" w:eastAsia="Times New Roman" w:hAnsi="Times New Roman" w:cs="Times New Roman"/>
        <w:b/>
        <w:sz w:val="24"/>
        <w:szCs w:val="24"/>
      </w:rPr>
      <w:t>Accrediting Agencies Reporting Activities for Institutions and Programs</w:t>
    </w:r>
  </w:p>
  <w:p w14:paraId="6F904E9C" w14:textId="77777777" w:rsidR="00DE2837" w:rsidRDefault="00DE2837" w:rsidP="0040405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4D352423"/>
    <w:multiLevelType w:val="hybridMultilevel"/>
    <w:tmpl w:val="387A1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0583EB6"/>
    <w:multiLevelType w:val="hybridMultilevel"/>
    <w:tmpl w:val="6A5CC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E8"/>
    <w:rsid w:val="000018E8"/>
    <w:rsid w:val="000300AA"/>
    <w:rsid w:val="0003586F"/>
    <w:rsid w:val="00046322"/>
    <w:rsid w:val="00052DF5"/>
    <w:rsid w:val="000531D1"/>
    <w:rsid w:val="00055AAD"/>
    <w:rsid w:val="00066A3A"/>
    <w:rsid w:val="000770FF"/>
    <w:rsid w:val="000A7C2D"/>
    <w:rsid w:val="000A7F9B"/>
    <w:rsid w:val="000B21E3"/>
    <w:rsid w:val="000C35CB"/>
    <w:rsid w:val="000D2592"/>
    <w:rsid w:val="000D5D9B"/>
    <w:rsid w:val="00110A75"/>
    <w:rsid w:val="00114C31"/>
    <w:rsid w:val="00116096"/>
    <w:rsid w:val="00122B00"/>
    <w:rsid w:val="001243F0"/>
    <w:rsid w:val="00130B01"/>
    <w:rsid w:val="00130D76"/>
    <w:rsid w:val="00143A22"/>
    <w:rsid w:val="001573F5"/>
    <w:rsid w:val="001600DC"/>
    <w:rsid w:val="00160927"/>
    <w:rsid w:val="00165884"/>
    <w:rsid w:val="0017686D"/>
    <w:rsid w:val="00176C45"/>
    <w:rsid w:val="0018100F"/>
    <w:rsid w:val="00181E95"/>
    <w:rsid w:val="001955C9"/>
    <w:rsid w:val="001A04E6"/>
    <w:rsid w:val="001A14BC"/>
    <w:rsid w:val="001A762C"/>
    <w:rsid w:val="001B2B82"/>
    <w:rsid w:val="001B33C2"/>
    <w:rsid w:val="001B472B"/>
    <w:rsid w:val="001C0FBC"/>
    <w:rsid w:val="001C3CE6"/>
    <w:rsid w:val="001D1EE1"/>
    <w:rsid w:val="001D439C"/>
    <w:rsid w:val="001E5D9A"/>
    <w:rsid w:val="001F0FEF"/>
    <w:rsid w:val="001F1F5B"/>
    <w:rsid w:val="00206A56"/>
    <w:rsid w:val="00213119"/>
    <w:rsid w:val="0022791C"/>
    <w:rsid w:val="00232B62"/>
    <w:rsid w:val="002371D5"/>
    <w:rsid w:val="00247768"/>
    <w:rsid w:val="00252207"/>
    <w:rsid w:val="002710B2"/>
    <w:rsid w:val="00283566"/>
    <w:rsid w:val="002A2D88"/>
    <w:rsid w:val="002B5334"/>
    <w:rsid w:val="002C0F57"/>
    <w:rsid w:val="002C77C3"/>
    <w:rsid w:val="002C797D"/>
    <w:rsid w:val="002D5205"/>
    <w:rsid w:val="002D70AC"/>
    <w:rsid w:val="002F1000"/>
    <w:rsid w:val="002F6FD7"/>
    <w:rsid w:val="002F7721"/>
    <w:rsid w:val="00300D3E"/>
    <w:rsid w:val="00306EA9"/>
    <w:rsid w:val="003118E5"/>
    <w:rsid w:val="00314941"/>
    <w:rsid w:val="00323373"/>
    <w:rsid w:val="003324D5"/>
    <w:rsid w:val="0034646C"/>
    <w:rsid w:val="0036204B"/>
    <w:rsid w:val="00364050"/>
    <w:rsid w:val="003811E7"/>
    <w:rsid w:val="00383F82"/>
    <w:rsid w:val="003853D0"/>
    <w:rsid w:val="0039029D"/>
    <w:rsid w:val="00393AE6"/>
    <w:rsid w:val="003963B7"/>
    <w:rsid w:val="00396839"/>
    <w:rsid w:val="003B0912"/>
    <w:rsid w:val="003B3DD2"/>
    <w:rsid w:val="003C38AA"/>
    <w:rsid w:val="003E27AA"/>
    <w:rsid w:val="0040405E"/>
    <w:rsid w:val="0041194E"/>
    <w:rsid w:val="00412231"/>
    <w:rsid w:val="004202B5"/>
    <w:rsid w:val="00445E61"/>
    <w:rsid w:val="00446EB1"/>
    <w:rsid w:val="004712A1"/>
    <w:rsid w:val="00474F67"/>
    <w:rsid w:val="00483BB1"/>
    <w:rsid w:val="00496D6A"/>
    <w:rsid w:val="004A6EC7"/>
    <w:rsid w:val="004B384D"/>
    <w:rsid w:val="004C5D6D"/>
    <w:rsid w:val="004D4F1F"/>
    <w:rsid w:val="004E163B"/>
    <w:rsid w:val="004E4EE1"/>
    <w:rsid w:val="004F00E0"/>
    <w:rsid w:val="005141EA"/>
    <w:rsid w:val="00514538"/>
    <w:rsid w:val="00556B9C"/>
    <w:rsid w:val="005847F7"/>
    <w:rsid w:val="00590439"/>
    <w:rsid w:val="00592DC0"/>
    <w:rsid w:val="005B198B"/>
    <w:rsid w:val="005B41D8"/>
    <w:rsid w:val="005C3BA1"/>
    <w:rsid w:val="005C5F7E"/>
    <w:rsid w:val="005D0739"/>
    <w:rsid w:val="005D090B"/>
    <w:rsid w:val="005D4AB5"/>
    <w:rsid w:val="005E091F"/>
    <w:rsid w:val="005E6791"/>
    <w:rsid w:val="005F3E16"/>
    <w:rsid w:val="00602E12"/>
    <w:rsid w:val="00620632"/>
    <w:rsid w:val="006367E1"/>
    <w:rsid w:val="00636B2B"/>
    <w:rsid w:val="0065449D"/>
    <w:rsid w:val="00661989"/>
    <w:rsid w:val="00662D86"/>
    <w:rsid w:val="00665B50"/>
    <w:rsid w:val="00667DED"/>
    <w:rsid w:val="00677896"/>
    <w:rsid w:val="006942AC"/>
    <w:rsid w:val="006A702B"/>
    <w:rsid w:val="006B6088"/>
    <w:rsid w:val="006B6706"/>
    <w:rsid w:val="006E4157"/>
    <w:rsid w:val="00706ACD"/>
    <w:rsid w:val="00711418"/>
    <w:rsid w:val="00716F2C"/>
    <w:rsid w:val="00721A8F"/>
    <w:rsid w:val="007361F8"/>
    <w:rsid w:val="007411BA"/>
    <w:rsid w:val="007443BA"/>
    <w:rsid w:val="0075456F"/>
    <w:rsid w:val="00755F46"/>
    <w:rsid w:val="00767629"/>
    <w:rsid w:val="0077067F"/>
    <w:rsid w:val="00772ABE"/>
    <w:rsid w:val="00774634"/>
    <w:rsid w:val="00785E85"/>
    <w:rsid w:val="007942DE"/>
    <w:rsid w:val="00795237"/>
    <w:rsid w:val="007A2B88"/>
    <w:rsid w:val="007A69B6"/>
    <w:rsid w:val="007B7746"/>
    <w:rsid w:val="007E2C3F"/>
    <w:rsid w:val="007E7929"/>
    <w:rsid w:val="007F4B19"/>
    <w:rsid w:val="007F4E67"/>
    <w:rsid w:val="0082385C"/>
    <w:rsid w:val="00827F40"/>
    <w:rsid w:val="008309C9"/>
    <w:rsid w:val="00837BFC"/>
    <w:rsid w:val="00837D02"/>
    <w:rsid w:val="00843501"/>
    <w:rsid w:val="00847289"/>
    <w:rsid w:val="0087322A"/>
    <w:rsid w:val="008959D7"/>
    <w:rsid w:val="008A0CD5"/>
    <w:rsid w:val="008A59E4"/>
    <w:rsid w:val="008C0476"/>
    <w:rsid w:val="008C204C"/>
    <w:rsid w:val="008C3207"/>
    <w:rsid w:val="00912303"/>
    <w:rsid w:val="009152C9"/>
    <w:rsid w:val="0092402A"/>
    <w:rsid w:val="0092438E"/>
    <w:rsid w:val="00925890"/>
    <w:rsid w:val="00967D5D"/>
    <w:rsid w:val="00975CDE"/>
    <w:rsid w:val="0098721C"/>
    <w:rsid w:val="009A32FE"/>
    <w:rsid w:val="009A3A69"/>
    <w:rsid w:val="009B7DDD"/>
    <w:rsid w:val="009C5901"/>
    <w:rsid w:val="009C72F6"/>
    <w:rsid w:val="009D0ED1"/>
    <w:rsid w:val="009E410A"/>
    <w:rsid w:val="00A018DA"/>
    <w:rsid w:val="00A34676"/>
    <w:rsid w:val="00A515A0"/>
    <w:rsid w:val="00A51611"/>
    <w:rsid w:val="00A56B75"/>
    <w:rsid w:val="00A5726B"/>
    <w:rsid w:val="00A77CF6"/>
    <w:rsid w:val="00A828CD"/>
    <w:rsid w:val="00A950F8"/>
    <w:rsid w:val="00A96D8F"/>
    <w:rsid w:val="00A9763C"/>
    <w:rsid w:val="00AA3DC8"/>
    <w:rsid w:val="00AB1C49"/>
    <w:rsid w:val="00AB271E"/>
    <w:rsid w:val="00AB2C3D"/>
    <w:rsid w:val="00AD1FAD"/>
    <w:rsid w:val="00AD2648"/>
    <w:rsid w:val="00AE3853"/>
    <w:rsid w:val="00B0239D"/>
    <w:rsid w:val="00B0535E"/>
    <w:rsid w:val="00B10C2F"/>
    <w:rsid w:val="00B23F0B"/>
    <w:rsid w:val="00B50026"/>
    <w:rsid w:val="00B5070A"/>
    <w:rsid w:val="00B61B62"/>
    <w:rsid w:val="00B705E2"/>
    <w:rsid w:val="00B720E0"/>
    <w:rsid w:val="00B72339"/>
    <w:rsid w:val="00B77B06"/>
    <w:rsid w:val="00B835A8"/>
    <w:rsid w:val="00B84A71"/>
    <w:rsid w:val="00B974BD"/>
    <w:rsid w:val="00BB4714"/>
    <w:rsid w:val="00BB7815"/>
    <w:rsid w:val="00BC0668"/>
    <w:rsid w:val="00BC1AF1"/>
    <w:rsid w:val="00BC566F"/>
    <w:rsid w:val="00BE0690"/>
    <w:rsid w:val="00BE309C"/>
    <w:rsid w:val="00BF31E5"/>
    <w:rsid w:val="00BF3356"/>
    <w:rsid w:val="00C0435E"/>
    <w:rsid w:val="00C226F3"/>
    <w:rsid w:val="00C33D89"/>
    <w:rsid w:val="00C4229F"/>
    <w:rsid w:val="00C452C9"/>
    <w:rsid w:val="00C513A4"/>
    <w:rsid w:val="00C54D40"/>
    <w:rsid w:val="00C6119A"/>
    <w:rsid w:val="00C612CE"/>
    <w:rsid w:val="00C72FA1"/>
    <w:rsid w:val="00C80D35"/>
    <w:rsid w:val="00C845F2"/>
    <w:rsid w:val="00CA3873"/>
    <w:rsid w:val="00CB227E"/>
    <w:rsid w:val="00CC6A89"/>
    <w:rsid w:val="00CD3D70"/>
    <w:rsid w:val="00CD56BD"/>
    <w:rsid w:val="00CF0A04"/>
    <w:rsid w:val="00CF43AF"/>
    <w:rsid w:val="00D026C7"/>
    <w:rsid w:val="00D0319E"/>
    <w:rsid w:val="00D0473F"/>
    <w:rsid w:val="00D1763B"/>
    <w:rsid w:val="00D23E06"/>
    <w:rsid w:val="00D317DC"/>
    <w:rsid w:val="00D41DFE"/>
    <w:rsid w:val="00D476B2"/>
    <w:rsid w:val="00D6554B"/>
    <w:rsid w:val="00D75867"/>
    <w:rsid w:val="00D75DC9"/>
    <w:rsid w:val="00D81540"/>
    <w:rsid w:val="00D81584"/>
    <w:rsid w:val="00D8182F"/>
    <w:rsid w:val="00D9161E"/>
    <w:rsid w:val="00D95FD0"/>
    <w:rsid w:val="00DA0342"/>
    <w:rsid w:val="00DA7A76"/>
    <w:rsid w:val="00DB0D17"/>
    <w:rsid w:val="00DE11A2"/>
    <w:rsid w:val="00DE144E"/>
    <w:rsid w:val="00DE2837"/>
    <w:rsid w:val="00DE56CE"/>
    <w:rsid w:val="00DF3F8E"/>
    <w:rsid w:val="00DF4C74"/>
    <w:rsid w:val="00DF4D8C"/>
    <w:rsid w:val="00E01C5B"/>
    <w:rsid w:val="00E140AF"/>
    <w:rsid w:val="00E1657E"/>
    <w:rsid w:val="00E24707"/>
    <w:rsid w:val="00E27B01"/>
    <w:rsid w:val="00E317CD"/>
    <w:rsid w:val="00E415FE"/>
    <w:rsid w:val="00E42282"/>
    <w:rsid w:val="00E4646F"/>
    <w:rsid w:val="00E527AC"/>
    <w:rsid w:val="00E66505"/>
    <w:rsid w:val="00E84231"/>
    <w:rsid w:val="00E846B2"/>
    <w:rsid w:val="00E85D8A"/>
    <w:rsid w:val="00E9199F"/>
    <w:rsid w:val="00EB2E17"/>
    <w:rsid w:val="00EC5271"/>
    <w:rsid w:val="00EC7183"/>
    <w:rsid w:val="00ED13FE"/>
    <w:rsid w:val="00EE2911"/>
    <w:rsid w:val="00EE4085"/>
    <w:rsid w:val="00EE69DC"/>
    <w:rsid w:val="00EF67E2"/>
    <w:rsid w:val="00EF7697"/>
    <w:rsid w:val="00F017C8"/>
    <w:rsid w:val="00F02DC4"/>
    <w:rsid w:val="00F1099D"/>
    <w:rsid w:val="00F133D0"/>
    <w:rsid w:val="00F23CED"/>
    <w:rsid w:val="00F3539D"/>
    <w:rsid w:val="00F630CC"/>
    <w:rsid w:val="00F64ABF"/>
    <w:rsid w:val="00F8047C"/>
    <w:rsid w:val="00F806A1"/>
    <w:rsid w:val="00F85648"/>
    <w:rsid w:val="00FB1A58"/>
    <w:rsid w:val="00FB6976"/>
    <w:rsid w:val="00FC76CA"/>
    <w:rsid w:val="00FD1F6B"/>
    <w:rsid w:val="00FD6725"/>
    <w:rsid w:val="00FF477A"/>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52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282"/>
    <w:rPr>
      <w:sz w:val="20"/>
      <w:szCs w:val="20"/>
    </w:rPr>
  </w:style>
  <w:style w:type="character" w:styleId="FootnoteReference">
    <w:name w:val="footnote reference"/>
    <w:uiPriority w:val="99"/>
    <w:semiHidden/>
    <w:rsid w:val="00E42282"/>
    <w:rPr>
      <w:rFonts w:ascii="Courier" w:hAnsi="Courier" w:cs="Times New Roman"/>
      <w:sz w:val="24"/>
      <w:vertAlign w:val="superscript"/>
      <w:lang w:val="en-US"/>
    </w:rPr>
  </w:style>
  <w:style w:type="paragraph" w:styleId="ListParagraph">
    <w:name w:val="List Paragraph"/>
    <w:basedOn w:val="Normal"/>
    <w:uiPriority w:val="34"/>
    <w:qFormat/>
    <w:rsid w:val="00E42282"/>
    <w:pPr>
      <w:ind w:left="720"/>
      <w:contextualSpacing/>
    </w:pPr>
  </w:style>
  <w:style w:type="character" w:styleId="CommentReference">
    <w:name w:val="annotation reference"/>
    <w:basedOn w:val="DefaultParagraphFont"/>
    <w:uiPriority w:val="99"/>
    <w:semiHidden/>
    <w:unhideWhenUsed/>
    <w:rsid w:val="001B33C2"/>
    <w:rPr>
      <w:sz w:val="16"/>
      <w:szCs w:val="16"/>
    </w:rPr>
  </w:style>
  <w:style w:type="paragraph" w:styleId="CommentText">
    <w:name w:val="annotation text"/>
    <w:basedOn w:val="Normal"/>
    <w:link w:val="CommentTextChar"/>
    <w:uiPriority w:val="99"/>
    <w:semiHidden/>
    <w:unhideWhenUsed/>
    <w:rsid w:val="001B33C2"/>
    <w:pPr>
      <w:spacing w:line="240" w:lineRule="auto"/>
    </w:pPr>
    <w:rPr>
      <w:sz w:val="20"/>
      <w:szCs w:val="20"/>
    </w:rPr>
  </w:style>
  <w:style w:type="character" w:customStyle="1" w:styleId="CommentTextChar">
    <w:name w:val="Comment Text Char"/>
    <w:basedOn w:val="DefaultParagraphFont"/>
    <w:link w:val="CommentText"/>
    <w:uiPriority w:val="99"/>
    <w:semiHidden/>
    <w:rsid w:val="001B33C2"/>
    <w:rPr>
      <w:sz w:val="20"/>
      <w:szCs w:val="20"/>
    </w:rPr>
  </w:style>
  <w:style w:type="paragraph" w:styleId="CommentSubject">
    <w:name w:val="annotation subject"/>
    <w:basedOn w:val="CommentText"/>
    <w:next w:val="CommentText"/>
    <w:link w:val="CommentSubjectChar"/>
    <w:uiPriority w:val="99"/>
    <w:semiHidden/>
    <w:unhideWhenUsed/>
    <w:rsid w:val="001B33C2"/>
    <w:rPr>
      <w:b/>
      <w:bCs/>
    </w:rPr>
  </w:style>
  <w:style w:type="character" w:customStyle="1" w:styleId="CommentSubjectChar">
    <w:name w:val="Comment Subject Char"/>
    <w:basedOn w:val="CommentTextChar"/>
    <w:link w:val="CommentSubject"/>
    <w:uiPriority w:val="99"/>
    <w:semiHidden/>
    <w:rsid w:val="001B33C2"/>
    <w:rPr>
      <w:b/>
      <w:bCs/>
      <w:sz w:val="20"/>
      <w:szCs w:val="20"/>
    </w:rPr>
  </w:style>
  <w:style w:type="paragraph" w:styleId="BalloonText">
    <w:name w:val="Balloon Text"/>
    <w:basedOn w:val="Normal"/>
    <w:link w:val="BalloonTextChar"/>
    <w:uiPriority w:val="99"/>
    <w:semiHidden/>
    <w:unhideWhenUsed/>
    <w:rsid w:val="001B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C2"/>
    <w:rPr>
      <w:rFonts w:ascii="Tahoma" w:hAnsi="Tahoma" w:cs="Tahoma"/>
      <w:sz w:val="16"/>
      <w:szCs w:val="16"/>
    </w:rPr>
  </w:style>
  <w:style w:type="character" w:styleId="Hyperlink">
    <w:name w:val="Hyperlink"/>
    <w:basedOn w:val="DefaultParagraphFont"/>
    <w:uiPriority w:val="99"/>
    <w:unhideWhenUsed/>
    <w:rsid w:val="00B50026"/>
    <w:rPr>
      <w:color w:val="0000FF"/>
      <w:u w:val="single"/>
    </w:rPr>
  </w:style>
  <w:style w:type="table" w:styleId="TableGrid">
    <w:name w:val="Table Grid"/>
    <w:basedOn w:val="TableNormal"/>
    <w:uiPriority w:val="59"/>
    <w:rsid w:val="00DE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37"/>
  </w:style>
  <w:style w:type="paragraph" w:styleId="Footer">
    <w:name w:val="footer"/>
    <w:basedOn w:val="Normal"/>
    <w:link w:val="FooterChar"/>
    <w:uiPriority w:val="99"/>
    <w:unhideWhenUsed/>
    <w:rsid w:val="00DE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37"/>
  </w:style>
  <w:style w:type="character" w:customStyle="1" w:styleId="UnresolvedMention1">
    <w:name w:val="Unresolved Mention1"/>
    <w:basedOn w:val="DefaultParagraphFont"/>
    <w:uiPriority w:val="99"/>
    <w:semiHidden/>
    <w:unhideWhenUsed/>
    <w:rsid w:val="002522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282"/>
    <w:rPr>
      <w:sz w:val="20"/>
      <w:szCs w:val="20"/>
    </w:rPr>
  </w:style>
  <w:style w:type="character" w:styleId="FootnoteReference">
    <w:name w:val="footnote reference"/>
    <w:uiPriority w:val="99"/>
    <w:semiHidden/>
    <w:rsid w:val="00E42282"/>
    <w:rPr>
      <w:rFonts w:ascii="Courier" w:hAnsi="Courier" w:cs="Times New Roman"/>
      <w:sz w:val="24"/>
      <w:vertAlign w:val="superscript"/>
      <w:lang w:val="en-US"/>
    </w:rPr>
  </w:style>
  <w:style w:type="paragraph" w:styleId="ListParagraph">
    <w:name w:val="List Paragraph"/>
    <w:basedOn w:val="Normal"/>
    <w:uiPriority w:val="34"/>
    <w:qFormat/>
    <w:rsid w:val="00E42282"/>
    <w:pPr>
      <w:ind w:left="720"/>
      <w:contextualSpacing/>
    </w:pPr>
  </w:style>
  <w:style w:type="character" w:styleId="CommentReference">
    <w:name w:val="annotation reference"/>
    <w:basedOn w:val="DefaultParagraphFont"/>
    <w:uiPriority w:val="99"/>
    <w:semiHidden/>
    <w:unhideWhenUsed/>
    <w:rsid w:val="001B33C2"/>
    <w:rPr>
      <w:sz w:val="16"/>
      <w:szCs w:val="16"/>
    </w:rPr>
  </w:style>
  <w:style w:type="paragraph" w:styleId="CommentText">
    <w:name w:val="annotation text"/>
    <w:basedOn w:val="Normal"/>
    <w:link w:val="CommentTextChar"/>
    <w:uiPriority w:val="99"/>
    <w:semiHidden/>
    <w:unhideWhenUsed/>
    <w:rsid w:val="001B33C2"/>
    <w:pPr>
      <w:spacing w:line="240" w:lineRule="auto"/>
    </w:pPr>
    <w:rPr>
      <w:sz w:val="20"/>
      <w:szCs w:val="20"/>
    </w:rPr>
  </w:style>
  <w:style w:type="character" w:customStyle="1" w:styleId="CommentTextChar">
    <w:name w:val="Comment Text Char"/>
    <w:basedOn w:val="DefaultParagraphFont"/>
    <w:link w:val="CommentText"/>
    <w:uiPriority w:val="99"/>
    <w:semiHidden/>
    <w:rsid w:val="001B33C2"/>
    <w:rPr>
      <w:sz w:val="20"/>
      <w:szCs w:val="20"/>
    </w:rPr>
  </w:style>
  <w:style w:type="paragraph" w:styleId="CommentSubject">
    <w:name w:val="annotation subject"/>
    <w:basedOn w:val="CommentText"/>
    <w:next w:val="CommentText"/>
    <w:link w:val="CommentSubjectChar"/>
    <w:uiPriority w:val="99"/>
    <w:semiHidden/>
    <w:unhideWhenUsed/>
    <w:rsid w:val="001B33C2"/>
    <w:rPr>
      <w:b/>
      <w:bCs/>
    </w:rPr>
  </w:style>
  <w:style w:type="character" w:customStyle="1" w:styleId="CommentSubjectChar">
    <w:name w:val="Comment Subject Char"/>
    <w:basedOn w:val="CommentTextChar"/>
    <w:link w:val="CommentSubject"/>
    <w:uiPriority w:val="99"/>
    <w:semiHidden/>
    <w:rsid w:val="001B33C2"/>
    <w:rPr>
      <w:b/>
      <w:bCs/>
      <w:sz w:val="20"/>
      <w:szCs w:val="20"/>
    </w:rPr>
  </w:style>
  <w:style w:type="paragraph" w:styleId="BalloonText">
    <w:name w:val="Balloon Text"/>
    <w:basedOn w:val="Normal"/>
    <w:link w:val="BalloonTextChar"/>
    <w:uiPriority w:val="99"/>
    <w:semiHidden/>
    <w:unhideWhenUsed/>
    <w:rsid w:val="001B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C2"/>
    <w:rPr>
      <w:rFonts w:ascii="Tahoma" w:hAnsi="Tahoma" w:cs="Tahoma"/>
      <w:sz w:val="16"/>
      <w:szCs w:val="16"/>
    </w:rPr>
  </w:style>
  <w:style w:type="character" w:styleId="Hyperlink">
    <w:name w:val="Hyperlink"/>
    <w:basedOn w:val="DefaultParagraphFont"/>
    <w:uiPriority w:val="99"/>
    <w:unhideWhenUsed/>
    <w:rsid w:val="00B50026"/>
    <w:rPr>
      <w:color w:val="0000FF"/>
      <w:u w:val="single"/>
    </w:rPr>
  </w:style>
  <w:style w:type="table" w:styleId="TableGrid">
    <w:name w:val="Table Grid"/>
    <w:basedOn w:val="TableNormal"/>
    <w:uiPriority w:val="59"/>
    <w:rsid w:val="00DE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37"/>
  </w:style>
  <w:style w:type="paragraph" w:styleId="Footer">
    <w:name w:val="footer"/>
    <w:basedOn w:val="Normal"/>
    <w:link w:val="FooterChar"/>
    <w:uiPriority w:val="99"/>
    <w:unhideWhenUsed/>
    <w:rsid w:val="00DE2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37"/>
  </w:style>
  <w:style w:type="character" w:customStyle="1" w:styleId="UnresolvedMention1">
    <w:name w:val="Unresolved Mention1"/>
    <w:basedOn w:val="DefaultParagraphFont"/>
    <w:uiPriority w:val="99"/>
    <w:semiHidden/>
    <w:unhideWhenUsed/>
    <w:rsid w:val="0025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26">
      <w:bodyDiv w:val="1"/>
      <w:marLeft w:val="0"/>
      <w:marRight w:val="0"/>
      <w:marTop w:val="0"/>
      <w:marBottom w:val="0"/>
      <w:divBdr>
        <w:top w:val="none" w:sz="0" w:space="0" w:color="auto"/>
        <w:left w:val="none" w:sz="0" w:space="0" w:color="auto"/>
        <w:bottom w:val="none" w:sz="0" w:space="0" w:color="auto"/>
        <w:right w:val="none" w:sz="0" w:space="0" w:color="auto"/>
      </w:divBdr>
    </w:div>
    <w:div w:id="116685482">
      <w:bodyDiv w:val="1"/>
      <w:marLeft w:val="0"/>
      <w:marRight w:val="0"/>
      <w:marTop w:val="0"/>
      <w:marBottom w:val="0"/>
      <w:divBdr>
        <w:top w:val="none" w:sz="0" w:space="0" w:color="auto"/>
        <w:left w:val="none" w:sz="0" w:space="0" w:color="auto"/>
        <w:bottom w:val="none" w:sz="0" w:space="0" w:color="auto"/>
        <w:right w:val="none" w:sz="0" w:space="0" w:color="auto"/>
      </w:divBdr>
    </w:div>
    <w:div w:id="1062369270">
      <w:bodyDiv w:val="1"/>
      <w:marLeft w:val="0"/>
      <w:marRight w:val="0"/>
      <w:marTop w:val="0"/>
      <w:marBottom w:val="0"/>
      <w:divBdr>
        <w:top w:val="none" w:sz="0" w:space="0" w:color="auto"/>
        <w:left w:val="none" w:sz="0" w:space="0" w:color="auto"/>
        <w:bottom w:val="none" w:sz="0" w:space="0" w:color="auto"/>
        <w:right w:val="none" w:sz="0" w:space="0" w:color="auto"/>
      </w:divBdr>
    </w:div>
    <w:div w:id="11372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ope.ed.gov/dap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bd8c29b24997f72530cde9ebb49289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5a8755b883bd930f5cee06e2c3f6b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18D2E-EBAD-4B8E-8074-5037D82EEC04}">
  <ds:schemaRefs>
    <ds:schemaRef ds:uri="http://purl.org/dc/elements/1.1/"/>
    <ds:schemaRef ds:uri="http://www.w3.org/XML/1998/namespace"/>
    <ds:schemaRef ds:uri="02e41e38-1731-4866-b09a-6257d8bc047f"/>
    <ds:schemaRef ds:uri="http://schemas.microsoft.com/office/2006/documentManagement/types"/>
    <ds:schemaRef ds:uri="f87c7b8b-c0e7-4b77-a067-2c707fd1239f"/>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BE93864-F9B9-43C5-98F1-6E4037CA2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1DEB4-6E07-4F2D-81AE-3391791DB67C}">
  <ds:schemaRefs>
    <ds:schemaRef ds:uri="http://schemas.microsoft.com/sharepoint/v3/contenttype/forms"/>
  </ds:schemaRefs>
</ds:datastoreItem>
</file>

<file path=customXml/itemProps4.xml><?xml version="1.0" encoding="utf-8"?>
<ds:datastoreItem xmlns:ds="http://schemas.openxmlformats.org/officeDocument/2006/customXml" ds:itemID="{7F54E3AA-BAA8-42F0-8F2E-CC4F896D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Settles, Justin</dc:creator>
  <cp:lastModifiedBy>SYSTEM</cp:lastModifiedBy>
  <cp:revision>2</cp:revision>
  <cp:lastPrinted>2016-03-14T13:52:00Z</cp:lastPrinted>
  <dcterms:created xsi:type="dcterms:W3CDTF">2019-11-26T21:09:00Z</dcterms:created>
  <dcterms:modified xsi:type="dcterms:W3CDTF">2019-11-26T21:09:00Z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