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A66" w:rsidR="009E3D48" w:rsidP="009E3D48" w:rsidRDefault="009E3D48">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pPr>
        <w:jc w:val="center"/>
        <w:rPr>
          <w:rFonts w:asciiTheme="minorHAnsi" w:hAnsiTheme="minorHAnsi"/>
          <w:b/>
          <w:bCs/>
          <w:sz w:val="22"/>
        </w:rPr>
      </w:pPr>
      <w:r w:rsidRPr="00F87A66">
        <w:rPr>
          <w:rFonts w:asciiTheme="minorHAnsi" w:hAnsiTheme="minorHAnsi"/>
          <w:b/>
          <w:bCs/>
          <w:sz w:val="22"/>
        </w:rPr>
        <w:t>Internal Revenue Service (IRS)</w:t>
      </w:r>
    </w:p>
    <w:p w:rsidR="0078039D" w:rsidP="009E3D48" w:rsidRDefault="0078039D">
      <w:pPr>
        <w:jc w:val="center"/>
        <w:rPr>
          <w:rFonts w:asciiTheme="minorHAnsi" w:hAnsiTheme="minorHAnsi"/>
          <w:b/>
          <w:bCs/>
          <w:sz w:val="22"/>
        </w:rPr>
      </w:pPr>
      <w:r w:rsidRPr="0078039D">
        <w:rPr>
          <w:rFonts w:asciiTheme="minorHAnsi" w:hAnsiTheme="minorHAnsi"/>
          <w:b/>
          <w:bCs/>
          <w:sz w:val="22"/>
        </w:rPr>
        <w:t>Original Issue Discount</w:t>
      </w:r>
    </w:p>
    <w:p w:rsidR="0078039D" w:rsidP="009E3D48" w:rsidRDefault="0078039D">
      <w:pPr>
        <w:jc w:val="center"/>
        <w:rPr>
          <w:rFonts w:asciiTheme="minorHAnsi" w:hAnsiTheme="minorHAnsi"/>
          <w:b/>
          <w:bCs/>
          <w:sz w:val="22"/>
        </w:rPr>
      </w:pPr>
      <w:r w:rsidRPr="0078039D">
        <w:rPr>
          <w:rFonts w:asciiTheme="minorHAnsi" w:hAnsiTheme="minorHAnsi"/>
          <w:b/>
          <w:bCs/>
          <w:sz w:val="22"/>
        </w:rPr>
        <w:t>Form 1099-OID</w:t>
      </w:r>
    </w:p>
    <w:p w:rsidRPr="00F87A66" w:rsidR="00F87A66" w:rsidP="009F1426" w:rsidRDefault="00F87A66">
      <w:pPr>
        <w:jc w:val="center"/>
        <w:rPr>
          <w:rFonts w:asciiTheme="minorHAnsi" w:hAnsiTheme="minorHAnsi"/>
          <w:b/>
          <w:bCs/>
          <w:sz w:val="22"/>
        </w:rPr>
      </w:pPr>
      <w:r>
        <w:rPr>
          <w:rFonts w:asciiTheme="minorHAnsi" w:hAnsiTheme="minorHAnsi"/>
          <w:b/>
          <w:bCs/>
          <w:sz w:val="22"/>
        </w:rPr>
        <w:t>OMB Control Number 1545-</w:t>
      </w:r>
      <w:r w:rsidR="0078039D">
        <w:rPr>
          <w:rFonts w:asciiTheme="minorHAnsi" w:hAnsiTheme="minorHAnsi"/>
          <w:b/>
          <w:bCs/>
          <w:sz w:val="22"/>
        </w:rPr>
        <w:t>0117</w:t>
      </w:r>
    </w:p>
    <w:p w:rsidRPr="00DC1585" w:rsidR="009E3D48" w:rsidP="009E3D48" w:rsidRDefault="009E3D48">
      <w:pPr>
        <w:rPr>
          <w:rFonts w:asciiTheme="minorHAnsi" w:hAnsiTheme="minorHAnsi"/>
          <w:b/>
          <w:bCs/>
          <w:sz w:val="22"/>
          <w:u w:val="single"/>
        </w:rPr>
      </w:pPr>
    </w:p>
    <w:p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F13210" w:rsidR="009F1426" w:rsidP="009F1426" w:rsidRDefault="0078039D">
      <w:pPr>
        <w:pStyle w:val="Default"/>
        <w:tabs>
          <w:tab w:val="left" w:pos="540"/>
          <w:tab w:val="left" w:pos="720"/>
        </w:tabs>
        <w:ind w:left="540"/>
        <w:rPr>
          <w:rFonts w:asciiTheme="minorHAnsi" w:hAnsiTheme="minorHAnsi"/>
          <w:sz w:val="22"/>
        </w:rPr>
      </w:pPr>
      <w:bookmarkStart w:name="_Hlk3889996" w:id="0"/>
      <w:bookmarkStart w:name="_Hlk22568177" w:id="1"/>
      <w:r w:rsidRPr="0078039D">
        <w:rPr>
          <w:rFonts w:asciiTheme="minorHAnsi" w:hAnsiTheme="minorHAnsi"/>
          <w:sz w:val="22"/>
        </w:rPr>
        <w:t>IRC section 6049 requires payers of original issue discount (OID) of $10 or more to file a return showing the OID for the calendar year for each payee.  Regulations sections 1.6049-4 and 1.6049-7 require that Form 1099 be used to report OID.</w:t>
      </w:r>
    </w:p>
    <w:p w:rsidR="00E37E63" w:rsidP="00745F68" w:rsidRDefault="00576A09">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sidR="00E37E63">
        <w:rPr>
          <w:rFonts w:asciiTheme="minorHAnsi" w:hAnsiTheme="minorHAnsi"/>
          <w:sz w:val="22"/>
        </w:rPr>
        <w:t xml:space="preserve"> </w:t>
      </w:r>
    </w:p>
    <w:bookmarkEnd w:id="1"/>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pPr>
        <w:tabs>
          <w:tab w:val="left" w:pos="540"/>
        </w:tabs>
        <w:ind w:left="540" w:hanging="540"/>
        <w:rPr>
          <w:rFonts w:asciiTheme="minorHAnsi" w:hAnsiTheme="minorHAnsi"/>
          <w:sz w:val="22"/>
        </w:rPr>
      </w:pPr>
    </w:p>
    <w:p w:rsidR="00E20185" w:rsidP="00E37E63" w:rsidRDefault="0078039D">
      <w:pPr>
        <w:widowControl w:val="0"/>
        <w:autoSpaceDE w:val="0"/>
        <w:autoSpaceDN w:val="0"/>
        <w:adjustRightInd w:val="0"/>
        <w:ind w:left="540"/>
        <w:rPr>
          <w:rFonts w:eastAsia="Times New Roman" w:cs="Times New Roman" w:asciiTheme="minorHAnsi" w:hAnsiTheme="minorHAnsi"/>
          <w:sz w:val="22"/>
        </w:rPr>
      </w:pPr>
      <w:r w:rsidRPr="0078039D">
        <w:rPr>
          <w:rFonts w:eastAsia="Times New Roman" w:cs="Times New Roman" w:asciiTheme="minorHAnsi" w:hAnsiTheme="minorHAnsi"/>
          <w:sz w:val="22"/>
        </w:rPr>
        <w:t>IRS uses the data to verify that recipients are correctly reporting original issue discount on their tax returns</w:t>
      </w:r>
      <w:r w:rsidRPr="001E06D5" w:rsidR="001E06D5">
        <w:rPr>
          <w:rFonts w:eastAsia="Times New Roman" w:cs="Times New Roman" w:asciiTheme="minorHAnsi" w:hAnsiTheme="minorHAnsi"/>
          <w:sz w:val="22"/>
        </w:rPr>
        <w:t>.</w:t>
      </w:r>
      <w:r w:rsidRPr="00F13210" w:rsidR="00F13210">
        <w:rPr>
          <w:rFonts w:eastAsia="Times New Roman" w:cs="Times New Roman" w:asciiTheme="minorHAnsi" w:hAnsiTheme="minorHAnsi"/>
          <w:sz w:val="22"/>
        </w:rPr>
        <w:t xml:space="preserve">                       </w:t>
      </w:r>
      <w:r w:rsidRPr="00182BE3" w:rsidR="00182BE3">
        <w:rPr>
          <w:rFonts w:eastAsia="Times New Roman" w:cs="Times New Roman" w:asciiTheme="minorHAnsi" w:hAnsiTheme="minorHAnsi"/>
          <w:sz w:val="22"/>
        </w:rPr>
        <w:t xml:space="preserve">  </w:t>
      </w:r>
    </w:p>
    <w:p w:rsidRPr="00E37E63" w:rsidR="00E37E63" w:rsidP="00E37E63" w:rsidRDefault="00E37E63">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Pr="00F87A66" w:rsidR="009E3D48" w:rsidP="009E3D48" w:rsidRDefault="009E3D48">
      <w:pPr>
        <w:tabs>
          <w:tab w:val="left" w:pos="540"/>
        </w:tabs>
        <w:ind w:left="540" w:hanging="540"/>
        <w:rPr>
          <w:rFonts w:asciiTheme="minorHAnsi" w:hAnsiTheme="minorHAnsi"/>
          <w:sz w:val="22"/>
        </w:rPr>
      </w:pPr>
    </w:p>
    <w:p w:rsidRPr="00801000" w:rsidR="00801000" w:rsidP="00801000" w:rsidRDefault="0078039D">
      <w:pPr>
        <w:ind w:left="540"/>
        <w:rPr>
          <w:rFonts w:asciiTheme="minorHAnsi" w:hAnsiTheme="minorHAnsi"/>
          <w:sz w:val="22"/>
        </w:rPr>
      </w:pPr>
      <w:r>
        <w:rPr>
          <w:rFonts w:asciiTheme="minorHAnsi" w:hAnsiTheme="minorHAnsi"/>
          <w:sz w:val="22"/>
        </w:rPr>
        <w:t>Form 1099-OID can be filed electronically.</w:t>
      </w:r>
    </w:p>
    <w:p w:rsidRPr="00F87A66" w:rsidR="00E20185" w:rsidP="00801000" w:rsidRDefault="00E20185">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Pr="00F87A66" w:rsidR="009E3D48" w:rsidP="009E3D48" w:rsidRDefault="009E3D48">
      <w:pPr>
        <w:tabs>
          <w:tab w:val="left" w:pos="540"/>
        </w:tabs>
        <w:ind w:left="540" w:hanging="540"/>
        <w:rPr>
          <w:rFonts w:asciiTheme="minorHAnsi" w:hAnsiTheme="minorHAnsi"/>
          <w:sz w:val="22"/>
        </w:rPr>
      </w:pPr>
    </w:p>
    <w:p w:rsidRPr="00F87A66" w:rsidR="001D050E"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 xml:space="preserve">The information obtained through this collection is unique and is not already available or use or adaption from another source.  </w:t>
      </w:r>
      <w:r w:rsidRPr="00F87A66" w:rsidR="00A24315">
        <w:rPr>
          <w:rFonts w:asciiTheme="minorHAnsi" w:hAnsiTheme="minorHAnsi"/>
          <w:sz w:val="22"/>
        </w:rPr>
        <w:t xml:space="preserve">  </w:t>
      </w:r>
    </w:p>
    <w:p w:rsidRPr="00F87A66" w:rsidR="009E3D48" w:rsidP="009E3D48" w:rsidRDefault="009E3D48">
      <w:pPr>
        <w:tabs>
          <w:tab w:val="left" w:pos="540"/>
        </w:tabs>
        <w:ind w:left="540" w:hanging="540"/>
        <w:rPr>
          <w:rFonts w:asciiTheme="minorHAnsi" w:hAnsiTheme="minorHAnsi"/>
          <w:sz w:val="22"/>
        </w:rPr>
      </w:pPr>
    </w:p>
    <w:p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P="0059761E" w:rsidRDefault="0059761E">
      <w:pPr>
        <w:tabs>
          <w:tab w:val="left" w:pos="540"/>
        </w:tabs>
        <w:rPr>
          <w:rFonts w:asciiTheme="minorHAnsi" w:hAnsiTheme="minorHAnsi"/>
          <w:b/>
          <w:sz w:val="22"/>
          <w:u w:val="single"/>
        </w:rPr>
      </w:pPr>
    </w:p>
    <w:p w:rsidRPr="0059761E" w:rsidR="0059761E" w:rsidP="0059761E" w:rsidRDefault="0059761E">
      <w:pPr>
        <w:tabs>
          <w:tab w:val="left" w:pos="540"/>
        </w:tabs>
        <w:rPr>
          <w:rFonts w:asciiTheme="minorHAnsi" w:hAnsiTheme="minorHAnsi"/>
          <w:sz w:val="22"/>
        </w:rPr>
      </w:pPr>
      <w:r w:rsidRPr="0059761E">
        <w:rPr>
          <w:rFonts w:asciiTheme="minorHAnsi" w:hAnsiTheme="minorHAnsi"/>
          <w:sz w:val="22"/>
        </w:rPr>
        <w:t xml:space="preserve">           </w:t>
      </w: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 xml:space="preserve"> </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pPr>
        <w:tabs>
          <w:tab w:val="left" w:pos="540"/>
        </w:tabs>
        <w:ind w:left="540" w:hanging="540"/>
        <w:rPr>
          <w:rFonts w:asciiTheme="minorHAnsi" w:hAnsiTheme="minorHAnsi"/>
          <w:sz w:val="22"/>
        </w:rPr>
      </w:pPr>
    </w:p>
    <w:p w:rsidR="00A24315"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Pr="001E06D5" w:rsidR="001E06D5">
        <w:rPr>
          <w:rFonts w:asciiTheme="minorHAnsi" w:hAnsiTheme="minorHAnsi"/>
          <w:sz w:val="22"/>
        </w:rPr>
        <w:t xml:space="preserve"> </w:t>
      </w:r>
      <w:r w:rsidRPr="00F86E0A" w:rsidR="00F86E0A">
        <w:rPr>
          <w:rFonts w:asciiTheme="minorHAnsi" w:hAnsiTheme="minorHAnsi"/>
          <w:sz w:val="22"/>
        </w:rPr>
        <w:t xml:space="preserve"> </w:t>
      </w:r>
      <w:r w:rsidRPr="0078039D" w:rsidR="0078039D">
        <w:rPr>
          <w:rFonts w:asciiTheme="minorHAnsi" w:hAnsiTheme="minorHAnsi"/>
          <w:sz w:val="22"/>
        </w:rPr>
        <w:t xml:space="preserve"> 6049 </w:t>
      </w:r>
      <w:r w:rsidRPr="00F87A66" w:rsidR="00A24315">
        <w:rPr>
          <w:rFonts w:asciiTheme="minorHAnsi" w:hAnsiTheme="minorHAnsi"/>
          <w:sz w:val="22"/>
        </w:rPr>
        <w:t xml:space="preserve">of the Treasury </w:t>
      </w:r>
      <w:r w:rsidRPr="006A7D3C" w:rsidR="00A24315">
        <w:rPr>
          <w:rFonts w:asciiTheme="minorHAnsi" w:hAnsiTheme="minorHAnsi"/>
          <w:sz w:val="22"/>
        </w:rPr>
        <w:t>Regulat</w:t>
      </w:r>
      <w:r w:rsidRPr="00F87A66" w:rsidR="00A24315">
        <w:rPr>
          <w:rFonts w:asciiTheme="minorHAnsi" w:hAnsiTheme="minorHAnsi"/>
          <w:sz w:val="22"/>
        </w:rPr>
        <w:t>ion</w:t>
      </w:r>
      <w:r w:rsidR="00745F68">
        <w:rPr>
          <w:rFonts w:asciiTheme="minorHAnsi" w:hAnsiTheme="minorHAnsi"/>
          <w:sz w:val="22"/>
        </w:rPr>
        <w:t>s</w:t>
      </w:r>
      <w:r w:rsidRPr="00F87A66" w:rsidR="00A24315">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pPr>
        <w:tabs>
          <w:tab w:val="left" w:pos="540"/>
        </w:tabs>
        <w:ind w:left="540" w:hanging="540"/>
        <w:rPr>
          <w:rFonts w:asciiTheme="minorHAnsi" w:hAnsiTheme="minorHAnsi"/>
          <w:sz w:val="22"/>
        </w:rPr>
      </w:pPr>
    </w:p>
    <w:p w:rsidRPr="00DC1585" w:rsidR="009E3D48" w:rsidP="00CB358B"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pPr>
        <w:tabs>
          <w:tab w:val="left" w:pos="540"/>
        </w:tabs>
        <w:ind w:left="540" w:hanging="540"/>
        <w:rPr>
          <w:rFonts w:asciiTheme="minorHAnsi" w:hAnsiTheme="minorHAnsi"/>
          <w:sz w:val="22"/>
        </w:rPr>
      </w:pPr>
    </w:p>
    <w:p w:rsidRPr="00F87A66" w:rsidR="009E3D48"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009E3D48" w:rsidP="009E3D48" w:rsidRDefault="009E3D48">
      <w:pPr>
        <w:tabs>
          <w:tab w:val="left" w:pos="540"/>
        </w:tabs>
        <w:ind w:left="540" w:hanging="540"/>
        <w:rPr>
          <w:rFonts w:asciiTheme="minorHAnsi" w:hAnsiTheme="minorHAnsi"/>
          <w:sz w:val="22"/>
        </w:rPr>
      </w:pPr>
    </w:p>
    <w:p w:rsidR="0078039D" w:rsidP="009E3D48" w:rsidRDefault="0078039D">
      <w:pPr>
        <w:tabs>
          <w:tab w:val="left" w:pos="540"/>
        </w:tabs>
        <w:ind w:left="540" w:hanging="540"/>
        <w:rPr>
          <w:rFonts w:asciiTheme="minorHAnsi" w:hAnsiTheme="minorHAnsi"/>
          <w:sz w:val="22"/>
        </w:rPr>
      </w:pPr>
    </w:p>
    <w:p w:rsidR="0078039D" w:rsidP="009E3D48" w:rsidRDefault="0078039D">
      <w:pPr>
        <w:tabs>
          <w:tab w:val="left" w:pos="540"/>
        </w:tabs>
        <w:ind w:left="540" w:hanging="540"/>
        <w:rPr>
          <w:rFonts w:asciiTheme="minorHAnsi" w:hAnsiTheme="minorHAnsi"/>
          <w:sz w:val="22"/>
        </w:rPr>
      </w:pPr>
    </w:p>
    <w:p w:rsidRPr="00F87A66" w:rsidR="0078039D" w:rsidP="009E3D48" w:rsidRDefault="0078039D">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lastRenderedPageBreak/>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pPr>
        <w:tabs>
          <w:tab w:val="left" w:pos="540"/>
        </w:tabs>
        <w:ind w:left="540" w:hanging="540"/>
        <w:rPr>
          <w:szCs w:val="24"/>
        </w:rPr>
      </w:pPr>
    </w:p>
    <w:p w:rsidR="00183523" w:rsidP="004606C9" w:rsidRDefault="009E3D48">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78039D">
        <w:rPr>
          <w:rFonts w:asciiTheme="minorHAnsi" w:hAnsiTheme="minorHAnsi"/>
          <w:sz w:val="22"/>
        </w:rPr>
        <w:t>September 27</w:t>
      </w:r>
      <w:r w:rsidR="00EF6EB3">
        <w:rPr>
          <w:rFonts w:asciiTheme="minorHAnsi" w:hAnsiTheme="minorHAnsi"/>
          <w:sz w:val="22"/>
        </w:rPr>
        <w:t xml:space="preserve">, </w:t>
      </w:r>
      <w:r w:rsidR="00132F0E">
        <w:rPr>
          <w:rFonts w:asciiTheme="minorHAnsi" w:hAnsiTheme="minorHAnsi"/>
          <w:sz w:val="22"/>
        </w:rPr>
        <w:t xml:space="preserve">2019 </w:t>
      </w:r>
      <w:r w:rsidRPr="00DD050B" w:rsidR="004606C9">
        <w:rPr>
          <w:rFonts w:asciiTheme="minorHAnsi" w:hAnsiTheme="minorHAnsi"/>
          <w:sz w:val="22"/>
        </w:rPr>
        <w:t>(8</w:t>
      </w:r>
      <w:r w:rsidRPr="00DD050B" w:rsidR="00DD050B">
        <w:rPr>
          <w:rFonts w:asciiTheme="minorHAnsi" w:hAnsiTheme="minorHAnsi"/>
          <w:sz w:val="22"/>
        </w:rPr>
        <w:t>4</w:t>
      </w:r>
      <w:r w:rsidRPr="00DD050B" w:rsidR="004606C9">
        <w:rPr>
          <w:rFonts w:asciiTheme="minorHAnsi" w:hAnsiTheme="minorHAnsi"/>
          <w:sz w:val="22"/>
        </w:rPr>
        <w:t xml:space="preserve"> FR</w:t>
      </w:r>
      <w:r w:rsidR="002051E1">
        <w:rPr>
          <w:rFonts w:asciiTheme="minorHAnsi" w:hAnsiTheme="minorHAnsi"/>
          <w:sz w:val="22"/>
        </w:rPr>
        <w:t xml:space="preserve"> </w:t>
      </w:r>
      <w:r w:rsidRPr="0078039D" w:rsidR="0078039D">
        <w:rPr>
          <w:rFonts w:asciiTheme="minorHAnsi" w:hAnsiTheme="minorHAnsi"/>
          <w:sz w:val="22"/>
        </w:rPr>
        <w:t>51226</w:t>
      </w:r>
      <w:r w:rsidR="00A163F1">
        <w:rPr>
          <w:rFonts w:asciiTheme="minorHAnsi" w:hAnsiTheme="minorHAnsi"/>
          <w:sz w:val="22"/>
        </w:rPr>
        <w:t>)</w:t>
      </w:r>
      <w:r w:rsidRPr="004606C9" w:rsidR="004606C9">
        <w:rPr>
          <w:rFonts w:asciiTheme="minorHAnsi" w:hAnsiTheme="minorHAnsi"/>
          <w:sz w:val="22"/>
        </w:rPr>
        <w:t>, we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pPr>
        <w:tabs>
          <w:tab w:val="left" w:pos="540"/>
        </w:tabs>
        <w:ind w:left="540" w:hanging="540"/>
        <w:rPr>
          <w:rFonts w:asciiTheme="minorHAnsi" w:hAnsiTheme="minorHAnsi"/>
          <w:sz w:val="22"/>
        </w:rPr>
      </w:pPr>
    </w:p>
    <w:p w:rsidRPr="00F87A66" w:rsidR="00A24315"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pPr>
        <w:tabs>
          <w:tab w:val="left" w:pos="540"/>
        </w:tabs>
        <w:ind w:left="540" w:hanging="540"/>
        <w:rPr>
          <w:rFonts w:asciiTheme="minorHAnsi" w:hAnsiTheme="minorHAnsi"/>
          <w:sz w:val="22"/>
        </w:rPr>
      </w:pPr>
    </w:p>
    <w:p w:rsidRPr="00F87A66" w:rsidR="009E3D48"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Pr="00DC1585" w:rsidR="00183523" w:rsidP="009E3D48" w:rsidRDefault="00183523">
      <w:pPr>
        <w:tabs>
          <w:tab w:val="left" w:pos="540"/>
        </w:tabs>
        <w:ind w:left="540" w:hanging="540"/>
        <w:rPr>
          <w:rFonts w:asciiTheme="minorHAnsi" w:hAnsiTheme="minorHAnsi"/>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Pr="00F87A66" w:rsidR="009E3D48" w:rsidP="009E3D48" w:rsidRDefault="009E3D48">
      <w:pPr>
        <w:tabs>
          <w:tab w:val="left" w:pos="540"/>
        </w:tabs>
        <w:ind w:left="540" w:hanging="540"/>
        <w:rPr>
          <w:rFonts w:asciiTheme="minorHAnsi" w:hAnsiTheme="minorHAnsi"/>
          <w:b/>
          <w:sz w:val="22"/>
        </w:rPr>
      </w:pPr>
    </w:p>
    <w:p w:rsidRPr="00961C6E" w:rsidR="00961C6E" w:rsidP="00CE18E1" w:rsidRDefault="00961C6E">
      <w:pPr>
        <w:ind w:left="540"/>
        <w:rPr>
          <w:rFonts w:asciiTheme="minorHAnsi" w:hAnsiTheme="minorHAnsi"/>
          <w:sz w:val="22"/>
        </w:rPr>
      </w:pPr>
      <w:r w:rsidRPr="00961C6E">
        <w:rPr>
          <w:rFonts w:asciiTheme="minorHAnsi" w:hAnsiTheme="minorHAnsi"/>
          <w:sz w:val="22"/>
        </w:rPr>
        <w:t>A privacy impact assessment (PIA) has been conducted for information collected under this request as part of the “</w:t>
      </w:r>
      <w:r w:rsidR="00CE18E1">
        <w:rPr>
          <w:rFonts w:asciiTheme="minorHAnsi" w:hAnsiTheme="minorHAnsi"/>
          <w:sz w:val="22"/>
        </w:rPr>
        <w:t>Individual</w:t>
      </w:r>
      <w:r w:rsidRPr="00961C6E">
        <w:rPr>
          <w:rFonts w:asciiTheme="minorHAnsi" w:hAnsiTheme="minorHAnsi"/>
          <w:sz w:val="22"/>
        </w:rPr>
        <w:t xml:space="preserve"> Master File (</w:t>
      </w:r>
      <w:r w:rsidR="00CE18E1">
        <w:rPr>
          <w:rFonts w:asciiTheme="minorHAnsi" w:hAnsiTheme="minorHAnsi"/>
          <w:sz w:val="22"/>
        </w:rPr>
        <w:t>I</w:t>
      </w:r>
      <w:r w:rsidRPr="00961C6E">
        <w:rPr>
          <w:rFonts w:asciiTheme="minorHAnsi" w:hAnsiTheme="minorHAnsi"/>
          <w:sz w:val="22"/>
        </w:rPr>
        <w:t>MF)” system and a Privacy Act System of Records notice (SORN) has been issued for this system under</w:t>
      </w:r>
      <w:r w:rsidR="005562A2">
        <w:rPr>
          <w:rFonts w:asciiTheme="minorHAnsi" w:hAnsiTheme="minorHAnsi"/>
          <w:sz w:val="22"/>
        </w:rPr>
        <w:t>;</w:t>
      </w:r>
      <w:r w:rsidRPr="00CE18E1" w:rsidR="00CE18E1">
        <w:t xml:space="preserve"> </w:t>
      </w:r>
      <w:r w:rsidRPr="00CE18E1" w:rsidR="00CE18E1">
        <w:rPr>
          <w:rFonts w:asciiTheme="minorHAnsi" w:hAnsiTheme="minorHAnsi"/>
          <w:sz w:val="22"/>
        </w:rPr>
        <w:t>Treas/IRS 24.030</w:t>
      </w:r>
      <w:r w:rsidR="00CE18E1">
        <w:rPr>
          <w:rFonts w:asciiTheme="minorHAnsi" w:hAnsiTheme="minorHAnsi"/>
          <w:sz w:val="22"/>
        </w:rPr>
        <w:t xml:space="preserve"> </w:t>
      </w:r>
      <w:r w:rsidRPr="00CE18E1" w:rsidR="00CE18E1">
        <w:rPr>
          <w:rFonts w:asciiTheme="minorHAnsi" w:hAnsiTheme="minorHAnsi"/>
          <w:sz w:val="22"/>
        </w:rPr>
        <w:t>Individual Master File</w:t>
      </w:r>
      <w:r w:rsidR="00CE18E1">
        <w:rPr>
          <w:rFonts w:asciiTheme="minorHAnsi" w:hAnsiTheme="minorHAnsi"/>
          <w:sz w:val="22"/>
        </w:rPr>
        <w:t>.</w:t>
      </w:r>
      <w:r w:rsidRPr="00961C6E">
        <w:rPr>
          <w:rFonts w:asciiTheme="minorHAnsi" w:hAnsiTheme="minorHAnsi"/>
          <w:sz w:val="22"/>
        </w:rPr>
        <w:t xml:space="preserve"> The Internal Revenue Service PIAs can be found at </w:t>
      </w:r>
    </w:p>
    <w:p w:rsidRPr="00961C6E" w:rsidR="00961C6E" w:rsidP="00961C6E" w:rsidRDefault="00D84B0C">
      <w:pPr>
        <w:ind w:left="540"/>
        <w:rPr>
          <w:rFonts w:asciiTheme="minorHAnsi" w:hAnsiTheme="minorHAnsi"/>
          <w:sz w:val="22"/>
        </w:rPr>
      </w:pPr>
      <w:hyperlink w:history="1" r:id="rId11">
        <w:r w:rsidRPr="00D96986" w:rsidR="003B2BD5">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Pr="00961C6E" w:rsidR="00961C6E" w:rsidP="00961C6E" w:rsidRDefault="00961C6E">
      <w:pPr>
        <w:ind w:left="540"/>
        <w:rPr>
          <w:rFonts w:asciiTheme="minorHAnsi" w:hAnsiTheme="minorHAnsi"/>
          <w:sz w:val="22"/>
        </w:rPr>
      </w:pPr>
    </w:p>
    <w:p w:rsidRPr="00961C6E" w:rsidR="00961C6E" w:rsidP="00961C6E" w:rsidRDefault="00961C6E">
      <w:pPr>
        <w:ind w:left="540"/>
        <w:rPr>
          <w:rFonts w:asciiTheme="minorHAnsi" w:hAnsiTheme="minorHAnsi"/>
          <w:sz w:val="22"/>
        </w:rPr>
      </w:pPr>
      <w:r w:rsidRPr="00312055">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61C6E" w:rsidR="00961C6E" w:rsidP="00961C6E" w:rsidRDefault="00961C6E">
      <w:pPr>
        <w:ind w:left="540"/>
        <w:rPr>
          <w:rFonts w:asciiTheme="minorHAnsi" w:hAnsiTheme="minorHAnsi"/>
          <w:sz w:val="22"/>
        </w:rPr>
      </w:pPr>
    </w:p>
    <w:p w:rsidRPr="00961C6E" w:rsidR="00961C6E" w:rsidP="00961C6E" w:rsidRDefault="00961C6E">
      <w:pPr>
        <w:ind w:left="540"/>
        <w:rPr>
          <w:rFonts w:asciiTheme="minorHAnsi" w:hAnsiTheme="minorHAnsi"/>
          <w:sz w:val="22"/>
        </w:rPr>
      </w:pPr>
      <w:r w:rsidRPr="00961C6E">
        <w:rPr>
          <w:rFonts w:asciiTheme="minorHAnsi" w:hAnsiTheme="minorHAnsi"/>
          <w:sz w:val="22"/>
        </w:rPr>
        <w:t>The Privacy Act statement associated with th</w:t>
      </w:r>
      <w:r w:rsidR="00E30E37">
        <w:rPr>
          <w:rFonts w:asciiTheme="minorHAnsi" w:hAnsiTheme="minorHAnsi"/>
          <w:sz w:val="22"/>
        </w:rPr>
        <w:t>is</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 is listed in the instructions.</w:t>
      </w:r>
    </w:p>
    <w:p w:rsidRPr="00617F74" w:rsidR="00617F74" w:rsidP="00617F74" w:rsidRDefault="00617F74">
      <w:pPr>
        <w:ind w:left="540"/>
        <w:rPr>
          <w:rFonts w:asciiTheme="minorHAnsi" w:hAnsiTheme="minorHAnsi"/>
          <w:sz w:val="22"/>
        </w:rPr>
      </w:pPr>
    </w:p>
    <w:p w:rsidRPr="00F86E0A" w:rsidR="00B860C5" w:rsidP="005078BE" w:rsidRDefault="009E3D48">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F86E0A" w:rsidP="00F86E0A" w:rsidRDefault="00F86E0A">
      <w:pPr>
        <w:tabs>
          <w:tab w:val="left" w:pos="540"/>
        </w:tabs>
        <w:rPr>
          <w:rFonts w:asciiTheme="minorHAnsi" w:hAnsiTheme="minorHAnsi"/>
          <w:sz w:val="22"/>
        </w:rPr>
      </w:pPr>
    </w:p>
    <w:p w:rsidRPr="00E30E37" w:rsidR="00E30E37" w:rsidP="00E30E37" w:rsidRDefault="00E30E37">
      <w:pPr>
        <w:tabs>
          <w:tab w:val="left" w:pos="540"/>
        </w:tabs>
        <w:ind w:left="540"/>
        <w:rPr>
          <w:rFonts w:asciiTheme="minorHAnsi" w:hAnsiTheme="minorHAnsi"/>
          <w:sz w:val="22"/>
        </w:rPr>
      </w:pPr>
      <w:r w:rsidRPr="00E30E37">
        <w:rPr>
          <w:rFonts w:asciiTheme="minorHAnsi" w:hAnsiTheme="minorHAnsi"/>
          <w:sz w:val="22"/>
        </w:rPr>
        <w:t>IRC section 6049 requires payers of original issue discount (OID) of $10 or more to file a return showing the OID for the calendar year for each payee.  Regulations sections 1.6049-4 and 1.6049-7 require that Form 1099 be used to report OID</w:t>
      </w:r>
      <w:r>
        <w:rPr>
          <w:rFonts w:asciiTheme="minorHAnsi" w:hAnsiTheme="minorHAnsi"/>
          <w:sz w:val="22"/>
        </w:rPr>
        <w:t>. The agency estimates that 5,950,000 responses will be received from 9,185 respondents, taking an estimated .23 hours to complete for 1,369,529 overall annual burden hours.</w:t>
      </w:r>
    </w:p>
    <w:p w:rsidRPr="00641BA3" w:rsidR="005734CC" w:rsidP="00641BA3" w:rsidRDefault="00E30E37">
      <w:pPr>
        <w:tabs>
          <w:tab w:val="left" w:pos="540"/>
        </w:tabs>
        <w:rPr>
          <w:rFonts w:asciiTheme="minorHAnsi" w:hAnsiTheme="minorHAnsi"/>
          <w:sz w:val="22"/>
        </w:rPr>
      </w:pPr>
      <w:r w:rsidRPr="00E30E37">
        <w:rPr>
          <w:rFonts w:asciiTheme="minorHAnsi" w:hAnsiTheme="minorHAnsi"/>
          <w:sz w:val="22"/>
        </w:rPr>
        <w:t xml:space="preserve">    </w:t>
      </w:r>
      <w:r w:rsidR="005734CC">
        <w:rPr>
          <w:rFonts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EE6B23" w:rsidR="00A648C2" w:rsidTr="00A648C2">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8208C7" w:rsidR="00A648C2" w:rsidRDefault="00B13D94">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t xml:space="preserve">Form </w:t>
            </w:r>
            <w:r>
              <w:rPr>
                <w:rFonts w:ascii="Arial Narrow" w:hAnsi="Arial Narrow" w:cs="Calibri"/>
                <w:color w:val="000000"/>
                <w:sz w:val="20"/>
                <w:szCs w:val="20"/>
              </w:rPr>
              <w:t>Number</w:t>
            </w:r>
          </w:p>
        </w:tc>
        <w:tc>
          <w:tcPr>
            <w:tcW w:w="3060" w:type="dxa"/>
            <w:tcBorders>
              <w:top w:val="single" w:color="auto" w:sz="8" w:space="0"/>
              <w:left w:val="nil"/>
              <w:bottom w:val="single" w:color="auto" w:sz="8" w:space="0"/>
              <w:right w:val="single" w:color="auto" w:sz="8" w:space="0"/>
            </w:tcBorders>
            <w:noWrap/>
            <w:vAlign w:val="center"/>
            <w:hideMark/>
          </w:tcPr>
          <w:p w:rsidRPr="008208C7" w:rsidR="00A648C2"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EE6B23" w:rsidR="00A648C2" w:rsidTr="00E37E63">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A648C2" w:rsidRDefault="00E93DD3">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1099-OID</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E93DD3">
            <w:pPr>
              <w:keepNext/>
              <w:keepLines/>
              <w:widowControl w:val="0"/>
              <w:autoSpaceDN w:val="0"/>
              <w:rPr>
                <w:rFonts w:ascii="Arial Narrow" w:hAnsi="Arial Narrow" w:cs="Calibri"/>
                <w:color w:val="000000"/>
                <w:sz w:val="20"/>
                <w:szCs w:val="20"/>
              </w:rPr>
            </w:pPr>
            <w:r w:rsidRPr="00E93DD3">
              <w:rPr>
                <w:rFonts w:ascii="Arial Narrow" w:hAnsi="Arial Narrow" w:cs="Calibri"/>
                <w:color w:val="000000"/>
                <w:sz w:val="20"/>
                <w:szCs w:val="20"/>
              </w:rPr>
              <w:t>Original Issue Discount</w:t>
            </w:r>
          </w:p>
        </w:tc>
        <w:tc>
          <w:tcPr>
            <w:tcW w:w="990" w:type="dxa"/>
            <w:tcBorders>
              <w:top w:val="single" w:color="auto" w:sz="8" w:space="0"/>
              <w:left w:val="nil"/>
              <w:bottom w:val="single" w:color="auto" w:sz="8" w:space="0"/>
              <w:right w:val="single" w:color="auto" w:sz="8" w:space="0"/>
            </w:tcBorders>
            <w:noWrap/>
            <w:vAlign w:val="center"/>
          </w:tcPr>
          <w:p w:rsidR="00A648C2"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5,950,000</w:t>
            </w:r>
          </w:p>
        </w:tc>
        <w:tc>
          <w:tcPr>
            <w:tcW w:w="1170" w:type="dxa"/>
            <w:tcBorders>
              <w:top w:val="single" w:color="auto" w:sz="8" w:space="0"/>
              <w:left w:val="nil"/>
              <w:bottom w:val="single" w:color="auto" w:sz="8" w:space="0"/>
              <w:right w:val="single" w:color="auto" w:sz="8" w:space="0"/>
            </w:tcBorders>
            <w:noWrap/>
            <w:vAlign w:val="center"/>
          </w:tcPr>
          <w:p w:rsidR="00A648C2" w:rsidRDefault="00910210">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5,950,000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.23 hours</w:t>
            </w:r>
          </w:p>
        </w:tc>
        <w:tc>
          <w:tcPr>
            <w:tcW w:w="1260" w:type="dxa"/>
            <w:tcBorders>
              <w:top w:val="single" w:color="auto" w:sz="8" w:space="0"/>
              <w:left w:val="nil"/>
              <w:bottom w:val="single" w:color="auto" w:sz="8" w:space="0"/>
              <w:right w:val="single" w:color="auto" w:sz="8" w:space="0"/>
            </w:tcBorders>
            <w:noWrap/>
            <w:vAlign w:val="center"/>
          </w:tcPr>
          <w:p w:rsidRPr="00E30E37" w:rsidR="00A648C2" w:rsidP="00F87A66" w:rsidRDefault="00E30E37">
            <w:pPr>
              <w:keepNext/>
              <w:keepLines/>
              <w:widowControl w:val="0"/>
              <w:autoSpaceDN w:val="0"/>
              <w:jc w:val="center"/>
              <w:rPr>
                <w:rFonts w:ascii="Arial Narrow" w:hAnsi="Arial Narrow" w:cs="Calibri"/>
                <w:color w:val="000000"/>
                <w:sz w:val="20"/>
                <w:szCs w:val="20"/>
              </w:rPr>
            </w:pPr>
            <w:r w:rsidRPr="00E30E37">
              <w:rPr>
                <w:rFonts w:ascii="Arial Narrow" w:hAnsi="Arial Narrow" w:cs="Calibri"/>
                <w:color w:val="000000"/>
                <w:sz w:val="20"/>
                <w:szCs w:val="20"/>
              </w:rPr>
              <w:t>1,369,529</w:t>
            </w:r>
          </w:p>
        </w:tc>
      </w:tr>
      <w:tr w:rsidRPr="00EE6B23" w:rsidR="00E823E6" w:rsidTr="006007BC">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E823E6"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E823E6" w:rsidP="005E6135" w:rsidRDefault="00E823E6">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641BA3" w:rsidR="00E823E6" w:rsidRDefault="00E30E3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5,950,000</w:t>
            </w:r>
          </w:p>
        </w:tc>
        <w:tc>
          <w:tcPr>
            <w:tcW w:w="1170" w:type="dxa"/>
            <w:tcBorders>
              <w:top w:val="single" w:color="auto" w:sz="8" w:space="0"/>
              <w:left w:val="nil"/>
              <w:bottom w:val="single" w:color="auto" w:sz="8" w:space="0"/>
              <w:right w:val="single" w:color="auto" w:sz="8" w:space="0"/>
            </w:tcBorders>
            <w:noWrap/>
            <w:vAlign w:val="center"/>
          </w:tcPr>
          <w:p w:rsidR="00E823E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E823E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5,950,000</w:t>
            </w:r>
          </w:p>
        </w:tc>
        <w:tc>
          <w:tcPr>
            <w:tcW w:w="990" w:type="dxa"/>
            <w:tcBorders>
              <w:top w:val="single" w:color="auto" w:sz="8" w:space="0"/>
              <w:left w:val="nil"/>
              <w:bottom w:val="single" w:color="auto" w:sz="8" w:space="0"/>
              <w:right w:val="single" w:color="auto" w:sz="8" w:space="0"/>
            </w:tcBorders>
            <w:noWrap/>
            <w:vAlign w:val="center"/>
          </w:tcPr>
          <w:p w:rsidR="00E823E6" w:rsidP="00F87A6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.23 hours</w:t>
            </w:r>
          </w:p>
        </w:tc>
        <w:tc>
          <w:tcPr>
            <w:tcW w:w="1260" w:type="dxa"/>
            <w:tcBorders>
              <w:top w:val="single" w:color="auto" w:sz="8" w:space="0"/>
              <w:left w:val="nil"/>
              <w:bottom w:val="single" w:color="auto" w:sz="8" w:space="0"/>
              <w:right w:val="single" w:color="auto" w:sz="8" w:space="0"/>
            </w:tcBorders>
            <w:noWrap/>
            <w:vAlign w:val="center"/>
          </w:tcPr>
          <w:p w:rsidRPr="00E30E37" w:rsidR="00E823E6" w:rsidP="00F87A6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1,369,529</w:t>
            </w:r>
          </w:p>
        </w:tc>
      </w:tr>
    </w:tbl>
    <w:p w:rsidR="00F86E0A" w:rsidP="006007BC" w:rsidRDefault="0047046A">
      <w:pPr>
        <w:autoSpaceDE w:val="0"/>
        <w:autoSpaceDN w:val="0"/>
        <w:adjustRightInd w:val="0"/>
        <w:ind w:left="540"/>
        <w:rPr>
          <w:szCs w:val="24"/>
        </w:rPr>
      </w:pPr>
      <w:r>
        <w:rPr>
          <w:rFonts w:cs="Times New Roman"/>
          <w:szCs w:val="24"/>
        </w:rPr>
        <w:tab/>
      </w:r>
    </w:p>
    <w:p w:rsidR="00EF6EB3" w:rsidP="006007BC" w:rsidRDefault="00EF6EB3">
      <w:pPr>
        <w:autoSpaceDE w:val="0"/>
        <w:autoSpaceDN w:val="0"/>
        <w:adjustRightInd w:val="0"/>
        <w:ind w:left="540"/>
        <w:rPr>
          <w:szCs w:val="24"/>
        </w:rPr>
      </w:pPr>
    </w:p>
    <w:p w:rsidR="00E30E37" w:rsidP="006007BC" w:rsidRDefault="00E30E37">
      <w:pPr>
        <w:autoSpaceDE w:val="0"/>
        <w:autoSpaceDN w:val="0"/>
        <w:adjustRightInd w:val="0"/>
        <w:ind w:left="540"/>
        <w:rPr>
          <w:szCs w:val="24"/>
        </w:rPr>
      </w:pPr>
    </w:p>
    <w:p w:rsidRPr="00DC1585" w:rsidR="00E30E37" w:rsidP="006007BC" w:rsidRDefault="00E30E37">
      <w:pPr>
        <w:autoSpaceDE w:val="0"/>
        <w:autoSpaceDN w:val="0"/>
        <w:adjustRightInd w:val="0"/>
        <w:ind w:left="540"/>
        <w:rPr>
          <w:szCs w:val="24"/>
        </w:rPr>
      </w:pPr>
    </w:p>
    <w:p w:rsidRPr="00DC1585" w:rsidR="009E3D48" w:rsidP="006007BC" w:rsidRDefault="009E3D48">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lastRenderedPageBreak/>
        <w:t xml:space="preserve">ESTIMATED TOTAL ANNUAL COST BURDEN TO RESPONDENTS </w:t>
      </w:r>
    </w:p>
    <w:p w:rsidRPr="00F87A66" w:rsidR="009E3D48" w:rsidP="009E3D48" w:rsidRDefault="009E3D48">
      <w:pPr>
        <w:tabs>
          <w:tab w:val="left" w:pos="540"/>
        </w:tabs>
        <w:ind w:left="540" w:hanging="540"/>
        <w:rPr>
          <w:rFonts w:asciiTheme="minorHAnsi" w:hAnsiTheme="minorHAnsi"/>
          <w:b/>
          <w:sz w:val="22"/>
        </w:rPr>
      </w:pPr>
    </w:p>
    <w:p w:rsidRPr="00F87A66" w:rsidR="00F46223"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2"/>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2"/>
    </w:p>
    <w:p w:rsidRPr="00DC1585" w:rsidR="009E3D48" w:rsidP="009E3D48" w:rsidRDefault="009E3D48">
      <w:pPr>
        <w:tabs>
          <w:tab w:val="left" w:pos="540"/>
        </w:tabs>
        <w:ind w:left="540" w:hanging="540"/>
        <w:rPr>
          <w:rFonts w:asciiTheme="minorHAnsi" w:hAnsiTheme="minorHAnsi"/>
          <w:b/>
          <w:sz w:val="22"/>
          <w:u w:val="single"/>
        </w:rPr>
      </w:pPr>
    </w:p>
    <w:p w:rsidRPr="00EF6FD5" w:rsidR="009E3D48" w:rsidP="005562A2" w:rsidRDefault="009E3D48">
      <w:pPr>
        <w:pStyle w:val="ListParagraph"/>
        <w:numPr>
          <w:ilvl w:val="0"/>
          <w:numId w:val="1"/>
        </w:numPr>
        <w:ind w:left="540" w:hanging="540"/>
        <w:rPr>
          <w:rFonts w:asciiTheme="minorHAnsi" w:hAnsiTheme="minorHAnsi"/>
          <w:b/>
          <w:sz w:val="22"/>
          <w:u w:val="single"/>
        </w:rPr>
      </w:pPr>
      <w:r w:rsidRPr="00EF6FD5">
        <w:rPr>
          <w:rFonts w:asciiTheme="minorHAnsi" w:hAnsiTheme="minorHAnsi"/>
          <w:b/>
          <w:sz w:val="22"/>
          <w:u w:val="single"/>
        </w:rPr>
        <w:t xml:space="preserve">ESTIMATED ANNUALIZED COST TO THE FEDERAL GOVERNMENT </w:t>
      </w:r>
    </w:p>
    <w:p w:rsidR="00D463E0" w:rsidP="005562A2" w:rsidRDefault="00D463E0">
      <w:pPr>
        <w:ind w:left="540" w:hanging="540"/>
        <w:rPr>
          <w:rFonts w:asciiTheme="minorHAnsi" w:hAnsiTheme="minorHAnsi"/>
          <w:b/>
          <w:sz w:val="22"/>
        </w:rPr>
      </w:pPr>
    </w:p>
    <w:p w:rsidR="00EF6FD5" w:rsidP="005562A2" w:rsidRDefault="00EF6FD5">
      <w:pPr>
        <w:ind w:left="540"/>
        <w:rPr>
          <w:rFonts w:ascii="Calibri" w:hAnsi="Calibri"/>
          <w:sz w:val="22"/>
        </w:rPr>
      </w:pPr>
      <w:r>
        <w:rPr>
          <w:rFonts w:ascii="Calibri" w:hAnsi="Calibr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F6FD5" w:rsidP="005562A2" w:rsidRDefault="00EF6FD5">
      <w:pPr>
        <w:ind w:left="540"/>
        <w:rPr>
          <w:rFonts w:ascii="Calibri" w:hAnsi="Calibri"/>
          <w:sz w:val="22"/>
        </w:rPr>
      </w:pPr>
    </w:p>
    <w:p w:rsidR="00EF6FD5" w:rsidP="005562A2" w:rsidRDefault="00EF6FD5">
      <w:pPr>
        <w:ind w:left="540"/>
        <w:rPr>
          <w:rFonts w:ascii="Calibri" w:hAnsi="Calibri"/>
          <w:sz w:val="22"/>
        </w:rPr>
      </w:pPr>
      <w:r>
        <w:rPr>
          <w:rFonts w:ascii="Calibri" w:hAnsi="Calibr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F6FD5" w:rsidP="005562A2" w:rsidRDefault="00EF6FD5">
      <w:pPr>
        <w:ind w:left="540"/>
        <w:rPr>
          <w:rFonts w:ascii="Calibri" w:hAnsi="Calibri"/>
          <w:sz w:val="22"/>
        </w:rPr>
      </w:pPr>
    </w:p>
    <w:p w:rsidR="00EF6FD5" w:rsidP="005562A2" w:rsidRDefault="00EF6FD5">
      <w:pPr>
        <w:ind w:left="540"/>
        <w:rPr>
          <w:rFonts w:ascii="Calibri" w:hAnsi="Calibri"/>
          <w:sz w:val="22"/>
        </w:rPr>
      </w:pPr>
      <w:r>
        <w:rPr>
          <w:rFonts w:ascii="Calibri" w:hAnsi="Calibri"/>
          <w:sz w:val="22"/>
        </w:rPr>
        <w:t>The government cost estimate for this collection is summarized in the table below.</w:t>
      </w:r>
    </w:p>
    <w:p w:rsidR="00EF6FD5" w:rsidP="00EF6FD5" w:rsidRDefault="00EF6FD5">
      <w:pPr>
        <w:ind w:left="720"/>
        <w:rPr>
          <w:rFonts w:ascii="Calibri" w:hAnsi="Calibr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EF6FD5" w:rsidTr="00EF6FD5">
        <w:tc>
          <w:tcPr>
            <w:tcW w:w="2358"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EF6FD5" w:rsidTr="00EF6FD5">
        <w:tc>
          <w:tcPr>
            <w:tcW w:w="2358"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numPr>
                <w:ilvl w:val="12"/>
                <w:numId w:val="0"/>
              </w:numPr>
              <w:rPr>
                <w:rFonts w:ascii="Arial Narrow" w:hAnsi="Arial Narrow"/>
                <w:sz w:val="18"/>
                <w:szCs w:val="18"/>
              </w:rPr>
            </w:pPr>
            <w:r>
              <w:rPr>
                <w:rFonts w:ascii="Arial Narrow" w:hAnsi="Arial Narrow"/>
                <w:sz w:val="18"/>
                <w:szCs w:val="18"/>
              </w:rPr>
              <w:t>Form 1099 OID</w:t>
            </w:r>
          </w:p>
        </w:tc>
        <w:tc>
          <w:tcPr>
            <w:tcW w:w="1980"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sz w:val="18"/>
                <w:szCs w:val="18"/>
              </w:rPr>
            </w:pPr>
            <w:r>
              <w:rPr>
                <w:rFonts w:ascii="Arial Narrow" w:hAnsi="Arial Narrow"/>
                <w:sz w:val="18"/>
                <w:szCs w:val="18"/>
              </w:rPr>
              <w:t xml:space="preserve"> $    65,524 </w:t>
            </w:r>
          </w:p>
        </w:tc>
        <w:tc>
          <w:tcPr>
            <w:tcW w:w="303"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EF6FD5" w:rsidRDefault="00EF6FD5">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EF6FD5" w:rsidRDefault="00EF6FD5">
            <w:pPr>
              <w:keepNext/>
              <w:keepLines/>
              <w:jc w:val="center"/>
              <w:rPr>
                <w:rFonts w:ascii="Arial Narrow" w:hAnsi="Arial Narrow"/>
                <w:sz w:val="18"/>
                <w:szCs w:val="18"/>
              </w:rPr>
            </w:pPr>
            <w:r>
              <w:rPr>
                <w:rFonts w:ascii="Arial Narrow" w:hAnsi="Arial Narrow"/>
                <w:sz w:val="18"/>
                <w:szCs w:val="18"/>
              </w:rPr>
              <w:t xml:space="preserve">$ </w:t>
            </w:r>
            <w:r w:rsidRPr="00EF6FD5">
              <w:rPr>
                <w:rFonts w:ascii="Arial Narrow" w:hAnsi="Arial Narrow"/>
                <w:sz w:val="18"/>
                <w:szCs w:val="18"/>
              </w:rPr>
              <w:t>6</w:t>
            </w:r>
            <w:r>
              <w:rPr>
                <w:rFonts w:ascii="Arial Narrow" w:hAnsi="Arial Narrow"/>
                <w:sz w:val="18"/>
                <w:szCs w:val="18"/>
              </w:rPr>
              <w:t>5</w:t>
            </w:r>
            <w:r w:rsidRPr="00EF6FD5">
              <w:rPr>
                <w:rFonts w:ascii="Arial Narrow" w:hAnsi="Arial Narrow"/>
                <w:sz w:val="18"/>
                <w:szCs w:val="18"/>
              </w:rPr>
              <w:t>,524</w:t>
            </w:r>
            <w:r>
              <w:rPr>
                <w:rFonts w:ascii="Arial Narrow" w:hAnsi="Arial Narrow"/>
                <w:sz w:val="18"/>
                <w:szCs w:val="18"/>
              </w:rPr>
              <w:t xml:space="preserve">     </w:t>
            </w:r>
          </w:p>
        </w:tc>
      </w:tr>
      <w:tr w:rsidR="00EF6FD5" w:rsidTr="00EF6FD5">
        <w:tc>
          <w:tcPr>
            <w:tcW w:w="2358" w:type="dxa"/>
            <w:tcBorders>
              <w:top w:val="single" w:color="auto" w:sz="4" w:space="0"/>
              <w:left w:val="single" w:color="auto" w:sz="4" w:space="0"/>
              <w:bottom w:val="single" w:color="auto" w:sz="4" w:space="0"/>
              <w:right w:val="single" w:color="auto" w:sz="4" w:space="0"/>
            </w:tcBorders>
            <w:hideMark/>
          </w:tcPr>
          <w:p w:rsidR="00EF6FD5" w:rsidRDefault="00EF6FD5">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EF6FD5" w:rsidP="00D84B0C" w:rsidRDefault="00EF6FD5">
            <w:pPr>
              <w:keepNext/>
              <w:keepLines/>
              <w:jc w:val="center"/>
              <w:rPr>
                <w:rFonts w:ascii="Arial Narrow" w:hAnsi="Arial Narrow"/>
                <w:b/>
                <w:sz w:val="18"/>
                <w:szCs w:val="18"/>
              </w:rPr>
            </w:pPr>
            <w:r>
              <w:rPr>
                <w:rFonts w:ascii="Arial Narrow" w:hAnsi="Arial Narrow"/>
                <w:b/>
                <w:sz w:val="18"/>
                <w:szCs w:val="18"/>
              </w:rPr>
              <w:t xml:space="preserve">$ </w:t>
            </w:r>
            <w:r w:rsidRPr="00EF6FD5">
              <w:rPr>
                <w:rFonts w:ascii="Arial Narrow" w:hAnsi="Arial Narrow"/>
                <w:b/>
                <w:sz w:val="18"/>
                <w:szCs w:val="18"/>
              </w:rPr>
              <w:t>6</w:t>
            </w:r>
            <w:r w:rsidR="00D84B0C">
              <w:rPr>
                <w:rFonts w:ascii="Arial Narrow" w:hAnsi="Arial Narrow"/>
                <w:b/>
                <w:sz w:val="18"/>
                <w:szCs w:val="18"/>
              </w:rPr>
              <w:t>5</w:t>
            </w:r>
            <w:r w:rsidRPr="00EF6FD5">
              <w:rPr>
                <w:rFonts w:ascii="Arial Narrow" w:hAnsi="Arial Narrow"/>
                <w:b/>
                <w:sz w:val="18"/>
                <w:szCs w:val="18"/>
              </w:rPr>
              <w:t>,524</w:t>
            </w:r>
          </w:p>
        </w:tc>
        <w:tc>
          <w:tcPr>
            <w:tcW w:w="303"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EF6FD5" w:rsidRDefault="00EF6FD5">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EF6FD5" w:rsidRDefault="00EF6FD5">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EF6FD5" w:rsidRDefault="00EF6FD5">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Pr>
                <w:rFonts w:ascii="Arial Narrow" w:hAnsi="Arial Narrow"/>
                <w:b/>
                <w:sz w:val="18"/>
                <w:szCs w:val="18"/>
              </w:rPr>
              <w:t xml:space="preserve"> 65,524</w:t>
            </w:r>
          </w:p>
        </w:tc>
      </w:tr>
      <w:tr w:rsidR="00EF6FD5" w:rsidTr="00EF6FD5">
        <w:tc>
          <w:tcPr>
            <w:tcW w:w="8355" w:type="dxa"/>
            <w:gridSpan w:val="6"/>
            <w:tcBorders>
              <w:top w:val="single" w:color="auto" w:sz="4" w:space="0"/>
              <w:left w:val="single" w:color="auto" w:sz="4" w:space="0"/>
              <w:bottom w:val="single" w:color="auto" w:sz="4" w:space="0"/>
              <w:right w:val="single" w:color="auto" w:sz="4" w:space="0"/>
            </w:tcBorders>
            <w:hideMark/>
          </w:tcPr>
          <w:p w:rsidR="00EF6FD5" w:rsidRDefault="00EF6FD5">
            <w:pPr>
              <w:keepNext/>
              <w:keepLines/>
              <w:rPr>
                <w:rFonts w:ascii="Arial Narrow" w:hAnsi="Arial Narrow"/>
                <w:sz w:val="18"/>
                <w:szCs w:val="18"/>
              </w:rPr>
            </w:pPr>
            <w:r>
              <w:rPr>
                <w:rFonts w:ascii="Arial Narrow" w:hAnsi="Arial Narrow"/>
                <w:sz w:val="18"/>
                <w:szCs w:val="18"/>
              </w:rPr>
              <w:t>Table costs are based on 2016 actuals obtained from IRS Chief Financial Office and Media and Publications</w:t>
            </w:r>
          </w:p>
        </w:tc>
      </w:tr>
      <w:tr w:rsidR="00EF6FD5" w:rsidTr="00EF6FD5">
        <w:tc>
          <w:tcPr>
            <w:tcW w:w="8355" w:type="dxa"/>
            <w:gridSpan w:val="6"/>
            <w:tcBorders>
              <w:top w:val="single" w:color="auto" w:sz="4" w:space="0"/>
              <w:left w:val="single" w:color="auto" w:sz="4" w:space="0"/>
              <w:bottom w:val="single" w:color="auto" w:sz="4" w:space="0"/>
              <w:right w:val="single" w:color="auto" w:sz="4" w:space="0"/>
            </w:tcBorders>
            <w:hideMark/>
          </w:tcPr>
          <w:p w:rsidR="00EF6FD5" w:rsidRDefault="00EF6FD5">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F240B3" w:rsidP="00EF6FD5" w:rsidRDefault="00EF6FD5">
      <w:pPr>
        <w:tabs>
          <w:tab w:val="left" w:pos="-1440"/>
        </w:tabs>
        <w:rPr>
          <w:rFonts w:asciiTheme="minorHAnsi" w:hAnsiTheme="minorHAnsi"/>
          <w:sz w:val="22"/>
        </w:rPr>
      </w:pPr>
      <w:r>
        <w:rPr>
          <w:rFonts w:ascii="Calibri" w:hAnsi="Calibri"/>
          <w:sz w:val="22"/>
        </w:rPr>
        <w:t xml:space="preserve"> </w:t>
      </w:r>
      <w:r w:rsidRPr="00F86E0A" w:rsidR="00F86E0A">
        <w:rPr>
          <w:rFonts w:asciiTheme="minorHAnsi" w:hAnsiTheme="minorHAnsi"/>
          <w:sz w:val="22"/>
        </w:rPr>
        <w:t xml:space="preserve">  </w:t>
      </w:r>
    </w:p>
    <w:p w:rsidRPr="00F86E0A" w:rsidR="00F86E0A" w:rsidP="00F240B3" w:rsidRDefault="00F86E0A">
      <w:pPr>
        <w:tabs>
          <w:tab w:val="left" w:pos="540"/>
        </w:tabs>
        <w:ind w:left="540" w:hanging="540"/>
        <w:rPr>
          <w:rFonts w:asciiTheme="minorHAnsi" w:hAnsiTheme="minorHAnsi"/>
          <w:sz w:val="22"/>
        </w:rPr>
      </w:pPr>
    </w:p>
    <w:p w:rsidRPr="00DC1585" w:rsidR="00DB3926" w:rsidP="009E3D48" w:rsidRDefault="009E3D48">
      <w:pPr>
        <w:pStyle w:val="ListParagraph"/>
        <w:numPr>
          <w:ilvl w:val="0"/>
          <w:numId w:val="1"/>
        </w:numPr>
        <w:tabs>
          <w:tab w:val="left" w:pos="540"/>
        </w:tabs>
        <w:ind w:left="540" w:hanging="540"/>
        <w:rPr>
          <w:rFonts w:asciiTheme="minorHAnsi" w:hAnsiTheme="minorHAnsi"/>
          <w:b/>
          <w:sz w:val="22"/>
          <w:u w:val="single"/>
        </w:rPr>
      </w:pPr>
      <w:r w:rsidRPr="00EF6FD5">
        <w:rPr>
          <w:rFonts w:asciiTheme="minorHAnsi" w:hAnsiTheme="minorHAnsi"/>
          <w:b/>
          <w:sz w:val="22"/>
          <w:u w:val="single"/>
        </w:rPr>
        <w:t>REASONS F</w:t>
      </w:r>
      <w:r w:rsidRPr="00DC1585">
        <w:rPr>
          <w:rFonts w:asciiTheme="minorHAnsi" w:hAnsiTheme="minorHAnsi"/>
          <w:b/>
          <w:sz w:val="22"/>
          <w:u w:val="single"/>
        </w:rPr>
        <w:t xml:space="preserve">OR CHANGE IN BURDEN </w:t>
      </w:r>
    </w:p>
    <w:p w:rsidRPr="00F87A66" w:rsidR="00DB3926" w:rsidP="00DB3926" w:rsidRDefault="00DB3926">
      <w:pPr>
        <w:pStyle w:val="ListParagraph"/>
        <w:tabs>
          <w:tab w:val="left" w:pos="540"/>
        </w:tabs>
        <w:ind w:left="540"/>
        <w:rPr>
          <w:rFonts w:asciiTheme="minorHAnsi" w:hAnsiTheme="minorHAnsi"/>
          <w:b/>
          <w:sz w:val="22"/>
        </w:rPr>
      </w:pPr>
    </w:p>
    <w:p w:rsidR="005317D0" w:rsidP="00F86E0A" w:rsidRDefault="00EF6FD5">
      <w:pPr>
        <w:tabs>
          <w:tab w:val="left" w:pos="540"/>
        </w:tabs>
        <w:ind w:left="540"/>
        <w:rPr>
          <w:rFonts w:asciiTheme="minorHAnsi" w:hAnsiTheme="minorHAnsi"/>
          <w:sz w:val="22"/>
        </w:rPr>
      </w:pPr>
      <w:r w:rsidRPr="00EF6FD5">
        <w:rPr>
          <w:rFonts w:asciiTheme="minorHAnsi" w:hAnsiTheme="minorHAnsi"/>
          <w:sz w:val="22"/>
        </w:rPr>
        <w:t>There are no changes being made to the form at this time. However, the agency is updating the estimated number of respondents based on the most recent filing data. Response estimates have increased by 3,984,000 (from 1,966,000 to 5,950,000), resulting in a</w:t>
      </w:r>
      <w:r w:rsidR="00D84B0C">
        <w:rPr>
          <w:rFonts w:asciiTheme="minorHAnsi" w:hAnsiTheme="minorHAnsi"/>
          <w:sz w:val="22"/>
        </w:rPr>
        <w:t>n</w:t>
      </w:r>
      <w:r w:rsidRPr="00EF6FD5">
        <w:rPr>
          <w:rFonts w:asciiTheme="minorHAnsi" w:hAnsiTheme="minorHAnsi"/>
          <w:sz w:val="22"/>
        </w:rPr>
        <w:t xml:space="preserve"> annual time burden increase of 917,009 </w:t>
      </w:r>
      <w:r w:rsidR="00D84B0C">
        <w:rPr>
          <w:rFonts w:asciiTheme="minorHAnsi" w:hAnsiTheme="minorHAnsi"/>
          <w:sz w:val="22"/>
        </w:rPr>
        <w:t xml:space="preserve">hours </w:t>
      </w:r>
      <w:bookmarkStart w:name="_GoBack" w:id="3"/>
      <w:bookmarkEnd w:id="3"/>
      <w:r w:rsidRPr="00EF6FD5">
        <w:rPr>
          <w:rFonts w:asciiTheme="minorHAnsi" w:hAnsiTheme="minorHAnsi"/>
          <w:sz w:val="22"/>
        </w:rPr>
        <w:t xml:space="preserve">(from 452,520 hours to 1,369,529 hours).    </w:t>
      </w:r>
    </w:p>
    <w:p w:rsidR="0084728B" w:rsidP="00DB3926" w:rsidRDefault="0084728B">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84728B" w:rsidR="0084728B" w:rsidTr="00D45E9D">
        <w:tc>
          <w:tcPr>
            <w:tcW w:w="801"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Previously Approved</w:t>
            </w:r>
          </w:p>
        </w:tc>
      </w:tr>
      <w:tr w:rsidRPr="0084728B" w:rsidR="0084728B" w:rsidTr="00C2679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F6FD5">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5,950,000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F6FD5">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3,984,000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F6FD5">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1,966,000</w:t>
            </w:r>
          </w:p>
        </w:tc>
      </w:tr>
      <w:tr w:rsidRPr="0084728B" w:rsidR="0084728B" w:rsidTr="00C2679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30E3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1,369,529</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30E3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917,009</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E30E3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452,520</w:t>
            </w:r>
          </w:p>
        </w:tc>
      </w:tr>
    </w:tbl>
    <w:p w:rsidR="0084728B" w:rsidP="00DB3926" w:rsidRDefault="0084728B">
      <w:pPr>
        <w:tabs>
          <w:tab w:val="left" w:pos="540"/>
        </w:tabs>
        <w:ind w:left="540" w:hanging="540"/>
        <w:rPr>
          <w:rFonts w:asciiTheme="minorHAnsi" w:hAnsiTheme="minorHAnsi"/>
          <w:sz w:val="22"/>
        </w:rPr>
      </w:pPr>
    </w:p>
    <w:p w:rsidR="00B13D94" w:rsidP="00DB3926" w:rsidRDefault="00B13D94">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pPr>
        <w:tabs>
          <w:tab w:val="left" w:pos="540"/>
        </w:tabs>
        <w:ind w:left="540" w:hanging="540"/>
        <w:rPr>
          <w:rFonts w:asciiTheme="minorHAnsi" w:hAnsiTheme="minorHAnsi"/>
          <w:sz w:val="22"/>
        </w:rPr>
      </w:pPr>
    </w:p>
    <w:p w:rsidRPr="00F87A66" w:rsidR="00E30E37" w:rsidP="0004104E" w:rsidRDefault="0004104E">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pPr>
        <w:tabs>
          <w:tab w:val="left" w:pos="540"/>
        </w:tabs>
        <w:ind w:left="540" w:hanging="540"/>
        <w:rPr>
          <w:rFonts w:asciiTheme="minorHAnsi" w:hAnsiTheme="minorHAnsi"/>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pPr>
        <w:tabs>
          <w:tab w:val="left" w:pos="540"/>
        </w:tabs>
        <w:ind w:left="540" w:hanging="540"/>
        <w:rPr>
          <w:rFonts w:asciiTheme="minorHAnsi" w:hAnsiTheme="minorHAnsi"/>
          <w:b/>
          <w:sz w:val="22"/>
        </w:rPr>
      </w:pPr>
    </w:p>
    <w:p w:rsidRPr="00F87A66" w:rsidR="0004104E" w:rsidP="004606C9" w:rsidRDefault="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pPr>
        <w:tabs>
          <w:tab w:val="left" w:pos="540"/>
        </w:tabs>
        <w:ind w:left="540" w:hanging="540"/>
        <w:rPr>
          <w:rFonts w:asciiTheme="minorHAnsi" w:hAnsiTheme="minorHAnsi"/>
          <w:b/>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pPr>
        <w:tabs>
          <w:tab w:val="left" w:pos="540"/>
        </w:tabs>
        <w:ind w:left="540" w:hanging="540"/>
        <w:rPr>
          <w:rFonts w:asciiTheme="minorHAnsi" w:hAnsiTheme="minorHAnsi"/>
          <w:sz w:val="22"/>
        </w:rPr>
      </w:pPr>
    </w:p>
    <w:p w:rsidRPr="00F87A66" w:rsidR="00A648C2" w:rsidP="00A648C2" w:rsidRDefault="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pPr>
        <w:tabs>
          <w:tab w:val="left" w:pos="540"/>
        </w:tabs>
        <w:ind w:left="540" w:hanging="540"/>
        <w:rPr>
          <w:rFonts w:asciiTheme="minorHAnsi" w:hAnsiTheme="minorHAnsi"/>
          <w:sz w:val="22"/>
        </w:rPr>
      </w:pPr>
    </w:p>
    <w:p w:rsidRPr="00F87A66" w:rsidR="0004104E" w:rsidP="0004104E" w:rsidRDefault="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CB358B" w:rsidP="0004104E" w:rsidRDefault="00CB358B">
      <w:pPr>
        <w:tabs>
          <w:tab w:val="left" w:pos="720"/>
        </w:tabs>
        <w:ind w:left="720" w:hanging="720"/>
        <w:rPr>
          <w:rFonts w:asciiTheme="minorHAnsi" w:hAnsiTheme="minorHAnsi"/>
          <w:sz w:val="22"/>
        </w:rPr>
      </w:pPr>
    </w:p>
    <w:p w:rsidRPr="00F87A66" w:rsidR="00D463E0" w:rsidP="0004104E" w:rsidRDefault="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D84B0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48"/>
    <w:rsid w:val="000104BB"/>
    <w:rsid w:val="000179E2"/>
    <w:rsid w:val="000279EB"/>
    <w:rsid w:val="000300B4"/>
    <w:rsid w:val="0004104E"/>
    <w:rsid w:val="000436BB"/>
    <w:rsid w:val="000720DB"/>
    <w:rsid w:val="0007317C"/>
    <w:rsid w:val="000841A5"/>
    <w:rsid w:val="00097F65"/>
    <w:rsid w:val="000D26FB"/>
    <w:rsid w:val="000E2178"/>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06D5"/>
    <w:rsid w:val="001E6DAA"/>
    <w:rsid w:val="001F656C"/>
    <w:rsid w:val="002051E1"/>
    <w:rsid w:val="00235AD5"/>
    <w:rsid w:val="002456AB"/>
    <w:rsid w:val="002600AF"/>
    <w:rsid w:val="002736EC"/>
    <w:rsid w:val="00277A26"/>
    <w:rsid w:val="002911BE"/>
    <w:rsid w:val="002A463C"/>
    <w:rsid w:val="002B7F5C"/>
    <w:rsid w:val="002C05CE"/>
    <w:rsid w:val="002C7C4B"/>
    <w:rsid w:val="002E0ED0"/>
    <w:rsid w:val="002E399E"/>
    <w:rsid w:val="00312055"/>
    <w:rsid w:val="00313D91"/>
    <w:rsid w:val="003178E8"/>
    <w:rsid w:val="00360C5C"/>
    <w:rsid w:val="003709BF"/>
    <w:rsid w:val="00377A8D"/>
    <w:rsid w:val="003965E9"/>
    <w:rsid w:val="003B2BD5"/>
    <w:rsid w:val="003F254D"/>
    <w:rsid w:val="003F6658"/>
    <w:rsid w:val="00453441"/>
    <w:rsid w:val="00455DF9"/>
    <w:rsid w:val="004606C9"/>
    <w:rsid w:val="0047046A"/>
    <w:rsid w:val="004966EF"/>
    <w:rsid w:val="004A6CD9"/>
    <w:rsid w:val="004C6454"/>
    <w:rsid w:val="004E6719"/>
    <w:rsid w:val="004E6B1C"/>
    <w:rsid w:val="005247E6"/>
    <w:rsid w:val="005317D0"/>
    <w:rsid w:val="00550E5B"/>
    <w:rsid w:val="005562A2"/>
    <w:rsid w:val="005734CC"/>
    <w:rsid w:val="00576A09"/>
    <w:rsid w:val="00583C88"/>
    <w:rsid w:val="0059761E"/>
    <w:rsid w:val="005B773F"/>
    <w:rsid w:val="005D75B6"/>
    <w:rsid w:val="005E6135"/>
    <w:rsid w:val="006007BC"/>
    <w:rsid w:val="006031DF"/>
    <w:rsid w:val="00617F74"/>
    <w:rsid w:val="00637C90"/>
    <w:rsid w:val="00641BA3"/>
    <w:rsid w:val="00651FD9"/>
    <w:rsid w:val="006546DD"/>
    <w:rsid w:val="00694B45"/>
    <w:rsid w:val="006A4019"/>
    <w:rsid w:val="006A7D3C"/>
    <w:rsid w:val="006B08BA"/>
    <w:rsid w:val="00700CA4"/>
    <w:rsid w:val="00716113"/>
    <w:rsid w:val="00732204"/>
    <w:rsid w:val="00736DBB"/>
    <w:rsid w:val="00745F68"/>
    <w:rsid w:val="00750E5E"/>
    <w:rsid w:val="00770EAA"/>
    <w:rsid w:val="0078039D"/>
    <w:rsid w:val="007C611A"/>
    <w:rsid w:val="00801000"/>
    <w:rsid w:val="0081459E"/>
    <w:rsid w:val="008208C7"/>
    <w:rsid w:val="0084728B"/>
    <w:rsid w:val="00867DE2"/>
    <w:rsid w:val="00895855"/>
    <w:rsid w:val="008A247E"/>
    <w:rsid w:val="008B7538"/>
    <w:rsid w:val="008C61F0"/>
    <w:rsid w:val="008F35C9"/>
    <w:rsid w:val="009015EE"/>
    <w:rsid w:val="009078DC"/>
    <w:rsid w:val="00910210"/>
    <w:rsid w:val="009302A1"/>
    <w:rsid w:val="00946CFC"/>
    <w:rsid w:val="00950A20"/>
    <w:rsid w:val="0096150B"/>
    <w:rsid w:val="00961C6E"/>
    <w:rsid w:val="00964FD7"/>
    <w:rsid w:val="00996DDD"/>
    <w:rsid w:val="009975B2"/>
    <w:rsid w:val="009A2892"/>
    <w:rsid w:val="009B164F"/>
    <w:rsid w:val="009D5890"/>
    <w:rsid w:val="009E3D48"/>
    <w:rsid w:val="009F1426"/>
    <w:rsid w:val="00A163F1"/>
    <w:rsid w:val="00A24149"/>
    <w:rsid w:val="00A24315"/>
    <w:rsid w:val="00A35947"/>
    <w:rsid w:val="00A633B2"/>
    <w:rsid w:val="00A648C2"/>
    <w:rsid w:val="00A751EF"/>
    <w:rsid w:val="00A873B0"/>
    <w:rsid w:val="00AA034F"/>
    <w:rsid w:val="00AC6E22"/>
    <w:rsid w:val="00AE0BE9"/>
    <w:rsid w:val="00B041DE"/>
    <w:rsid w:val="00B13D94"/>
    <w:rsid w:val="00B23E9D"/>
    <w:rsid w:val="00B248B3"/>
    <w:rsid w:val="00B70C5C"/>
    <w:rsid w:val="00B860C5"/>
    <w:rsid w:val="00BD1F42"/>
    <w:rsid w:val="00BE131C"/>
    <w:rsid w:val="00C14F69"/>
    <w:rsid w:val="00C25CB7"/>
    <w:rsid w:val="00C2679C"/>
    <w:rsid w:val="00C526C2"/>
    <w:rsid w:val="00C5319F"/>
    <w:rsid w:val="00CA65F8"/>
    <w:rsid w:val="00CB358B"/>
    <w:rsid w:val="00CE18E1"/>
    <w:rsid w:val="00CF61FE"/>
    <w:rsid w:val="00D01D12"/>
    <w:rsid w:val="00D01E6A"/>
    <w:rsid w:val="00D04DF8"/>
    <w:rsid w:val="00D07FD5"/>
    <w:rsid w:val="00D463E0"/>
    <w:rsid w:val="00D47DDC"/>
    <w:rsid w:val="00D84B0C"/>
    <w:rsid w:val="00D91961"/>
    <w:rsid w:val="00D92C35"/>
    <w:rsid w:val="00DB3926"/>
    <w:rsid w:val="00DC1585"/>
    <w:rsid w:val="00DD050B"/>
    <w:rsid w:val="00DF446C"/>
    <w:rsid w:val="00DF6A65"/>
    <w:rsid w:val="00E20185"/>
    <w:rsid w:val="00E26FB6"/>
    <w:rsid w:val="00E30E37"/>
    <w:rsid w:val="00E378C3"/>
    <w:rsid w:val="00E37E63"/>
    <w:rsid w:val="00E7194C"/>
    <w:rsid w:val="00E729D0"/>
    <w:rsid w:val="00E80358"/>
    <w:rsid w:val="00E823E6"/>
    <w:rsid w:val="00E92FE7"/>
    <w:rsid w:val="00E93DD3"/>
    <w:rsid w:val="00EB0140"/>
    <w:rsid w:val="00EB5D43"/>
    <w:rsid w:val="00EB6683"/>
    <w:rsid w:val="00EC0F2D"/>
    <w:rsid w:val="00ED3A16"/>
    <w:rsid w:val="00EE6B23"/>
    <w:rsid w:val="00EF6EB3"/>
    <w:rsid w:val="00EF6FD5"/>
    <w:rsid w:val="00F011BC"/>
    <w:rsid w:val="00F02F40"/>
    <w:rsid w:val="00F13210"/>
    <w:rsid w:val="00F240B3"/>
    <w:rsid w:val="00F46223"/>
    <w:rsid w:val="00F526E1"/>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B6AD"/>
  <w15:docId w15:val="{A4CC51F4-71DE-43DC-90CD-2031819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285">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352D55-12CA-49F0-B3C5-C97C08A3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Clark, Spencer</cp:lastModifiedBy>
  <cp:revision>2</cp:revision>
  <dcterms:created xsi:type="dcterms:W3CDTF">2020-01-30T17:13:00Z</dcterms:created>
  <dcterms:modified xsi:type="dcterms:W3CDTF">2020-01-30T17:13:00Z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