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E5B46" w14:textId="77777777" w:rsidR="00541D2A" w:rsidRPr="00691087" w:rsidRDefault="00336776" w:rsidP="00691087">
      <w:pPr>
        <w:spacing w:line="240" w:lineRule="auto"/>
        <w:ind w:left="1440" w:right="1440"/>
        <w:jc w:val="center"/>
        <w:rPr>
          <w:rFonts w:ascii="Times New Roman" w:hAnsi="Times New Roman" w:cs="Times New Roman"/>
          <w:b/>
          <w:sz w:val="24"/>
          <w:szCs w:val="24"/>
        </w:rPr>
      </w:pPr>
      <w:bookmarkStart w:id="0" w:name="_GoBack"/>
      <w:bookmarkEnd w:id="0"/>
      <w:r w:rsidRPr="00D67BE6">
        <w:rPr>
          <w:b/>
          <w:sz w:val="24"/>
          <w:szCs w:val="24"/>
        </w:rPr>
        <w:t>“</w:t>
      </w:r>
      <w:r w:rsidR="007902EF" w:rsidRPr="00691087">
        <w:rPr>
          <w:rFonts w:ascii="Times New Roman" w:hAnsi="Times New Roman" w:cs="Times New Roman"/>
          <w:b/>
          <w:sz w:val="24"/>
          <w:szCs w:val="24"/>
        </w:rPr>
        <w:t xml:space="preserve">Survey on the </w:t>
      </w:r>
      <w:r w:rsidR="00541D2A" w:rsidRPr="00691087">
        <w:rPr>
          <w:rFonts w:ascii="Times New Roman" w:hAnsi="Times New Roman" w:cs="Times New Roman"/>
          <w:b/>
          <w:sz w:val="24"/>
          <w:szCs w:val="24"/>
        </w:rPr>
        <w:t xml:space="preserve">Occurrence of Foodborne Illness Risk Factors in Selected </w:t>
      </w:r>
      <w:r w:rsidR="007902EF" w:rsidRPr="00691087">
        <w:rPr>
          <w:rFonts w:ascii="Times New Roman" w:hAnsi="Times New Roman" w:cs="Times New Roman"/>
          <w:b/>
          <w:sz w:val="24"/>
          <w:szCs w:val="24"/>
        </w:rPr>
        <w:t xml:space="preserve">Institutional </w:t>
      </w:r>
      <w:r w:rsidR="00AC7AB0" w:rsidRPr="00691087">
        <w:rPr>
          <w:rFonts w:ascii="Times New Roman" w:hAnsi="Times New Roman" w:cs="Times New Roman"/>
          <w:b/>
          <w:sz w:val="24"/>
          <w:szCs w:val="24"/>
        </w:rPr>
        <w:t>Foodservice and</w:t>
      </w:r>
      <w:r w:rsidR="00541D2A" w:rsidRPr="00691087">
        <w:rPr>
          <w:rFonts w:ascii="Times New Roman" w:hAnsi="Times New Roman" w:cs="Times New Roman"/>
          <w:b/>
          <w:sz w:val="24"/>
          <w:szCs w:val="24"/>
        </w:rPr>
        <w:t xml:space="preserve"> Retail Food Store</w:t>
      </w:r>
      <w:r w:rsidR="007902EF" w:rsidRPr="00691087">
        <w:rPr>
          <w:rFonts w:ascii="Times New Roman" w:hAnsi="Times New Roman" w:cs="Times New Roman"/>
          <w:b/>
          <w:sz w:val="24"/>
          <w:szCs w:val="24"/>
        </w:rPr>
        <w:t>s</w:t>
      </w:r>
      <w:r w:rsidR="00541D2A" w:rsidRPr="00691087">
        <w:rPr>
          <w:rFonts w:ascii="Times New Roman" w:hAnsi="Times New Roman" w:cs="Times New Roman"/>
          <w:b/>
          <w:sz w:val="24"/>
          <w:szCs w:val="24"/>
        </w:rPr>
        <w:t xml:space="preserve"> Facility Types</w:t>
      </w:r>
      <w:r w:rsidRPr="00691087">
        <w:rPr>
          <w:rFonts w:ascii="Times New Roman" w:hAnsi="Times New Roman" w:cs="Times New Roman"/>
          <w:b/>
          <w:sz w:val="24"/>
          <w:szCs w:val="24"/>
        </w:rPr>
        <w:t>”</w:t>
      </w:r>
    </w:p>
    <w:p w14:paraId="04406719" w14:textId="77777777" w:rsidR="00541D2A" w:rsidRPr="00691087" w:rsidRDefault="00336776" w:rsidP="00541D2A">
      <w:pPr>
        <w:jc w:val="center"/>
        <w:rPr>
          <w:rFonts w:ascii="Times New Roman" w:hAnsi="Times New Roman" w:cs="Times New Roman"/>
        </w:rPr>
      </w:pPr>
      <w:r w:rsidRPr="00691087">
        <w:rPr>
          <w:rFonts w:ascii="Times New Roman" w:hAnsi="Times New Roman" w:cs="Times New Roman"/>
          <w:b/>
          <w:sz w:val="24"/>
          <w:szCs w:val="24"/>
        </w:rPr>
        <w:t xml:space="preserve">(OMB Control Number </w:t>
      </w:r>
      <w:r w:rsidR="00541D2A" w:rsidRPr="00691087">
        <w:rPr>
          <w:rFonts w:ascii="Times New Roman" w:hAnsi="Times New Roman" w:cs="Times New Roman"/>
          <w:b/>
          <w:sz w:val="24"/>
          <w:szCs w:val="24"/>
        </w:rPr>
        <w:t>0910-0799</w:t>
      </w:r>
      <w:r w:rsidRPr="00691087">
        <w:rPr>
          <w:rFonts w:ascii="Times New Roman" w:hAnsi="Times New Roman" w:cs="Times New Roman"/>
          <w:b/>
          <w:sz w:val="24"/>
          <w:szCs w:val="24"/>
        </w:rPr>
        <w:t>)</w:t>
      </w:r>
      <w:r w:rsidR="00541D2A" w:rsidRPr="00691087">
        <w:rPr>
          <w:rFonts w:ascii="Times New Roman" w:hAnsi="Times New Roman" w:cs="Times New Roman"/>
        </w:rPr>
        <w:br/>
      </w:r>
    </w:p>
    <w:p w14:paraId="35BFD551" w14:textId="77777777" w:rsidR="00541D2A" w:rsidRPr="00691087" w:rsidRDefault="00336776" w:rsidP="00541D2A">
      <w:pPr>
        <w:rPr>
          <w:rFonts w:ascii="Times New Roman" w:hAnsi="Times New Roman" w:cs="Times New Roman"/>
          <w:b/>
          <w:sz w:val="24"/>
          <w:szCs w:val="24"/>
        </w:rPr>
      </w:pPr>
      <w:r w:rsidRPr="00691087">
        <w:rPr>
          <w:rFonts w:ascii="Times New Roman" w:hAnsi="Times New Roman" w:cs="Times New Roman"/>
          <w:b/>
          <w:sz w:val="24"/>
          <w:szCs w:val="24"/>
        </w:rPr>
        <w:t>CHANGE REQUEST (83-C)</w:t>
      </w:r>
    </w:p>
    <w:p w14:paraId="1B6756D9" w14:textId="640360C5" w:rsidR="00336776" w:rsidRPr="00691087" w:rsidRDefault="00336776" w:rsidP="00541D2A">
      <w:pPr>
        <w:rPr>
          <w:rFonts w:ascii="Times New Roman" w:hAnsi="Times New Roman" w:cs="Times New Roman"/>
          <w:b/>
          <w:sz w:val="24"/>
          <w:szCs w:val="24"/>
        </w:rPr>
      </w:pPr>
      <w:r w:rsidRPr="00691087">
        <w:rPr>
          <w:rFonts w:ascii="Times New Roman" w:hAnsi="Times New Roman" w:cs="Times New Roman"/>
          <w:b/>
          <w:sz w:val="24"/>
          <w:szCs w:val="24"/>
        </w:rPr>
        <w:t xml:space="preserve">Date: </w:t>
      </w:r>
      <w:r w:rsidR="0071386B">
        <w:rPr>
          <w:rFonts w:ascii="Times New Roman" w:hAnsi="Times New Roman" w:cs="Times New Roman"/>
          <w:b/>
          <w:sz w:val="24"/>
          <w:szCs w:val="24"/>
        </w:rPr>
        <w:t xml:space="preserve">September </w:t>
      </w:r>
      <w:r w:rsidR="009A0E6B">
        <w:rPr>
          <w:rFonts w:ascii="Times New Roman" w:hAnsi="Times New Roman" w:cs="Times New Roman"/>
          <w:b/>
          <w:sz w:val="24"/>
          <w:szCs w:val="24"/>
        </w:rPr>
        <w:t>12</w:t>
      </w:r>
      <w:r w:rsidR="007902EF" w:rsidRPr="00691087">
        <w:rPr>
          <w:rFonts w:ascii="Times New Roman" w:hAnsi="Times New Roman" w:cs="Times New Roman"/>
          <w:b/>
          <w:sz w:val="24"/>
          <w:szCs w:val="24"/>
        </w:rPr>
        <w:t xml:space="preserve">, </w:t>
      </w:r>
      <w:r w:rsidRPr="00691087">
        <w:rPr>
          <w:rFonts w:ascii="Times New Roman" w:hAnsi="Times New Roman" w:cs="Times New Roman"/>
          <w:b/>
          <w:sz w:val="24"/>
          <w:szCs w:val="24"/>
        </w:rPr>
        <w:t>2019</w:t>
      </w:r>
    </w:p>
    <w:p w14:paraId="667B952D" w14:textId="45786FAE" w:rsidR="00691087" w:rsidRDefault="00336776" w:rsidP="00336776">
      <w:pPr>
        <w:rPr>
          <w:rFonts w:ascii="Times New Roman" w:hAnsi="Times New Roman" w:cs="Times New Roman"/>
          <w:sz w:val="24"/>
          <w:szCs w:val="24"/>
        </w:rPr>
      </w:pPr>
      <w:r w:rsidRPr="00691087">
        <w:rPr>
          <w:rFonts w:ascii="Times New Roman" w:hAnsi="Times New Roman" w:cs="Times New Roman"/>
          <w:sz w:val="24"/>
          <w:szCs w:val="24"/>
        </w:rPr>
        <w:t xml:space="preserve">We received OMB approval for ICR [0910-0799] </w:t>
      </w:r>
      <w:r w:rsidR="007902EF" w:rsidRPr="00691087">
        <w:rPr>
          <w:rFonts w:ascii="Times New Roman" w:hAnsi="Times New Roman" w:cs="Times New Roman"/>
          <w:sz w:val="24"/>
          <w:szCs w:val="24"/>
        </w:rPr>
        <w:t>–</w:t>
      </w:r>
      <w:r w:rsidRPr="00FF6928">
        <w:rPr>
          <w:rFonts w:ascii="Times New Roman" w:hAnsi="Times New Roman" w:cs="Times New Roman"/>
          <w:sz w:val="24"/>
          <w:szCs w:val="24"/>
        </w:rPr>
        <w:t xml:space="preserve"> </w:t>
      </w:r>
      <w:r w:rsidR="007902EF" w:rsidRPr="00FF6928">
        <w:rPr>
          <w:rFonts w:ascii="Times New Roman" w:hAnsi="Times New Roman" w:cs="Times New Roman"/>
          <w:sz w:val="24"/>
          <w:szCs w:val="24"/>
        </w:rPr>
        <w:t>Survey on the</w:t>
      </w:r>
      <w:r w:rsidR="007902EF" w:rsidRPr="00691087">
        <w:rPr>
          <w:rFonts w:ascii="Times New Roman" w:hAnsi="Times New Roman" w:cs="Times New Roman"/>
          <w:b/>
          <w:sz w:val="24"/>
          <w:szCs w:val="24"/>
        </w:rPr>
        <w:t xml:space="preserve"> </w:t>
      </w:r>
      <w:r w:rsidRPr="00691087">
        <w:rPr>
          <w:rFonts w:ascii="Times New Roman" w:hAnsi="Times New Roman" w:cs="Times New Roman"/>
          <w:sz w:val="24"/>
          <w:szCs w:val="24"/>
        </w:rPr>
        <w:t xml:space="preserve">Occurrence of Foodborne Illness Risk Factors in Selected </w:t>
      </w:r>
      <w:r w:rsidR="007902EF" w:rsidRPr="00691087">
        <w:rPr>
          <w:rFonts w:ascii="Times New Roman" w:hAnsi="Times New Roman" w:cs="Times New Roman"/>
          <w:sz w:val="24"/>
          <w:szCs w:val="24"/>
        </w:rPr>
        <w:t xml:space="preserve">Institutional Foodservice </w:t>
      </w:r>
      <w:r w:rsidRPr="00691087">
        <w:rPr>
          <w:rFonts w:ascii="Times New Roman" w:hAnsi="Times New Roman" w:cs="Times New Roman"/>
          <w:sz w:val="24"/>
          <w:szCs w:val="24"/>
        </w:rPr>
        <w:t>and Retail Food Store</w:t>
      </w:r>
      <w:r w:rsidR="007902EF" w:rsidRPr="00691087">
        <w:rPr>
          <w:rFonts w:ascii="Times New Roman" w:hAnsi="Times New Roman" w:cs="Times New Roman"/>
          <w:sz w:val="24"/>
          <w:szCs w:val="24"/>
        </w:rPr>
        <w:t>s</w:t>
      </w:r>
      <w:r w:rsidRPr="00691087">
        <w:rPr>
          <w:rFonts w:ascii="Times New Roman" w:hAnsi="Times New Roman" w:cs="Times New Roman"/>
          <w:sz w:val="24"/>
          <w:szCs w:val="24"/>
        </w:rPr>
        <w:t xml:space="preserve"> Facility Types on 9/</w:t>
      </w:r>
      <w:r w:rsidR="00A71E1D" w:rsidRPr="00691087">
        <w:rPr>
          <w:rFonts w:ascii="Times New Roman" w:hAnsi="Times New Roman" w:cs="Times New Roman"/>
          <w:sz w:val="24"/>
          <w:szCs w:val="24"/>
        </w:rPr>
        <w:t>6</w:t>
      </w:r>
      <w:r w:rsidRPr="00691087">
        <w:rPr>
          <w:rFonts w:ascii="Times New Roman" w:hAnsi="Times New Roman" w:cs="Times New Roman"/>
          <w:sz w:val="24"/>
          <w:szCs w:val="24"/>
        </w:rPr>
        <w:t>/18</w:t>
      </w:r>
      <w:r w:rsidR="00F2104C">
        <w:rPr>
          <w:rFonts w:ascii="Times New Roman" w:hAnsi="Times New Roman" w:cs="Times New Roman"/>
          <w:sz w:val="24"/>
          <w:szCs w:val="24"/>
        </w:rPr>
        <w:t xml:space="preserve"> for a period of 3 years</w:t>
      </w:r>
      <w:r w:rsidRPr="00691087">
        <w:rPr>
          <w:rFonts w:ascii="Times New Roman" w:hAnsi="Times New Roman" w:cs="Times New Roman"/>
          <w:sz w:val="24"/>
          <w:szCs w:val="24"/>
        </w:rPr>
        <w:t>.</w:t>
      </w:r>
      <w:r w:rsidR="00F2104C">
        <w:rPr>
          <w:rFonts w:ascii="Times New Roman" w:hAnsi="Times New Roman" w:cs="Times New Roman"/>
          <w:sz w:val="24"/>
          <w:szCs w:val="24"/>
        </w:rPr>
        <w:t xml:space="preserve">  The new expiration date of this collection of information is September 30, 2021.</w:t>
      </w:r>
      <w:r w:rsidRPr="00FF6928">
        <w:rPr>
          <w:rFonts w:ascii="Times New Roman" w:hAnsi="Times New Roman" w:cs="Times New Roman"/>
          <w:sz w:val="24"/>
          <w:szCs w:val="24"/>
        </w:rPr>
        <w:t xml:space="preserve">  </w:t>
      </w:r>
      <w:bookmarkStart w:id="1" w:name="_Hlk14857996"/>
      <w:r w:rsidRPr="00691087">
        <w:rPr>
          <w:rFonts w:ascii="Times New Roman" w:hAnsi="Times New Roman" w:cs="Times New Roman"/>
          <w:sz w:val="24"/>
          <w:szCs w:val="24"/>
        </w:rPr>
        <w:t xml:space="preserve">This request proposes a change to the estimated burden to accommodate staffing/data collector shortages and a shift to focus only on a subset of the data to be collected.  </w:t>
      </w:r>
      <w:r w:rsidR="0071386B">
        <w:rPr>
          <w:rFonts w:ascii="Times New Roman" w:hAnsi="Times New Roman" w:cs="Times New Roman"/>
          <w:sz w:val="24"/>
          <w:szCs w:val="24"/>
        </w:rPr>
        <w:t>In this collection, d</w:t>
      </w:r>
      <w:r w:rsidRPr="00691087">
        <w:rPr>
          <w:rFonts w:ascii="Times New Roman" w:hAnsi="Times New Roman" w:cs="Times New Roman"/>
          <w:sz w:val="24"/>
          <w:szCs w:val="24"/>
        </w:rPr>
        <w:t xml:space="preserve">ata </w:t>
      </w:r>
      <w:r w:rsidR="0071386B">
        <w:rPr>
          <w:rFonts w:ascii="Times New Roman" w:hAnsi="Times New Roman" w:cs="Times New Roman"/>
          <w:sz w:val="24"/>
          <w:szCs w:val="24"/>
        </w:rPr>
        <w:t>was approved to be</w:t>
      </w:r>
      <w:r w:rsidRPr="00691087">
        <w:rPr>
          <w:rFonts w:ascii="Times New Roman" w:hAnsi="Times New Roman" w:cs="Times New Roman"/>
          <w:sz w:val="24"/>
          <w:szCs w:val="24"/>
        </w:rPr>
        <w:t xml:space="preserve"> collected in retail food stores (deli, seafood, and produce departments), healthcare facilities (hospitals and nursing homes), and schools.  Baseline data indicated similarities between these industry segments and reduced staffing has caused a reprioritization of workplan hours.  </w:t>
      </w:r>
      <w:r w:rsidR="0071386B">
        <w:rPr>
          <w:rFonts w:ascii="Times New Roman" w:hAnsi="Times New Roman" w:cs="Times New Roman"/>
          <w:sz w:val="24"/>
          <w:szCs w:val="24"/>
        </w:rPr>
        <w:t>FDA</w:t>
      </w:r>
      <w:r w:rsidRPr="00691087">
        <w:rPr>
          <w:rFonts w:ascii="Times New Roman" w:hAnsi="Times New Roman" w:cs="Times New Roman"/>
          <w:sz w:val="24"/>
          <w:szCs w:val="24"/>
        </w:rPr>
        <w:t xml:space="preserve"> has decided to focus solely on data collection in the deli departments of the retail food stores only</w:t>
      </w:r>
      <w:r w:rsidR="00691087">
        <w:rPr>
          <w:rFonts w:ascii="Times New Roman" w:hAnsi="Times New Roman" w:cs="Times New Roman"/>
          <w:sz w:val="24"/>
          <w:szCs w:val="24"/>
        </w:rPr>
        <w:t xml:space="preserve"> </w:t>
      </w:r>
      <w:r w:rsidRPr="00691087">
        <w:rPr>
          <w:rFonts w:ascii="Times New Roman" w:hAnsi="Times New Roman" w:cs="Times New Roman"/>
          <w:sz w:val="24"/>
          <w:szCs w:val="24"/>
        </w:rPr>
        <w:t xml:space="preserve">and cease collection in healthcare facilities and schools.  </w:t>
      </w:r>
      <w:r w:rsidR="00691087" w:rsidRPr="00691087">
        <w:rPr>
          <w:rFonts w:ascii="Times New Roman" w:hAnsi="Times New Roman" w:cs="Times New Roman"/>
          <w:sz w:val="24"/>
          <w:szCs w:val="24"/>
        </w:rPr>
        <w:t>Additionally, due to staffing issues we propose to expand the sampling data collection catchment areas for each data collector from 150 miles to 175 miles to bring the national percentage of establishments eligible to be sampled to 55%.</w:t>
      </w:r>
    </w:p>
    <w:p w14:paraId="2E16D117" w14:textId="0AEABF45" w:rsidR="00587219" w:rsidRDefault="00691087" w:rsidP="00336776">
      <w:pPr>
        <w:rPr>
          <w:rFonts w:ascii="Times New Roman" w:hAnsi="Times New Roman" w:cs="Times New Roman"/>
          <w:sz w:val="24"/>
          <w:szCs w:val="24"/>
        </w:rPr>
      </w:pPr>
      <w:r w:rsidRPr="003F58BD">
        <w:rPr>
          <w:rFonts w:ascii="Times New Roman" w:hAnsi="Times New Roman" w:cs="Times New Roman"/>
          <w:sz w:val="24"/>
          <w:szCs w:val="24"/>
        </w:rPr>
        <w:t>Th</w:t>
      </w:r>
      <w:r w:rsidR="008C24D7">
        <w:rPr>
          <w:rFonts w:ascii="Times New Roman" w:hAnsi="Times New Roman" w:cs="Times New Roman"/>
          <w:sz w:val="24"/>
          <w:szCs w:val="24"/>
        </w:rPr>
        <w:t xml:space="preserve">e </w:t>
      </w:r>
      <w:r w:rsidRPr="003F58BD">
        <w:rPr>
          <w:rFonts w:ascii="Times New Roman" w:hAnsi="Times New Roman" w:cs="Times New Roman"/>
          <w:sz w:val="24"/>
          <w:szCs w:val="24"/>
        </w:rPr>
        <w:t xml:space="preserve">decision </w:t>
      </w:r>
      <w:r w:rsidR="008C24D7">
        <w:rPr>
          <w:rFonts w:ascii="Times New Roman" w:hAnsi="Times New Roman" w:cs="Times New Roman"/>
          <w:sz w:val="24"/>
          <w:szCs w:val="24"/>
        </w:rPr>
        <w:t xml:space="preserve">to reduce burden by not collecting information from certain establishments </w:t>
      </w:r>
      <w:r w:rsidRPr="003F58BD">
        <w:rPr>
          <w:rFonts w:ascii="Times New Roman" w:hAnsi="Times New Roman" w:cs="Times New Roman"/>
          <w:sz w:val="24"/>
          <w:szCs w:val="24"/>
        </w:rPr>
        <w:t xml:space="preserve">was </w:t>
      </w:r>
      <w:r w:rsidR="00291C46" w:rsidRPr="003F58BD">
        <w:rPr>
          <w:rFonts w:ascii="Times New Roman" w:hAnsi="Times New Roman" w:cs="Times New Roman"/>
          <w:sz w:val="24"/>
          <w:szCs w:val="24"/>
        </w:rPr>
        <w:t xml:space="preserve">recommended by the </w:t>
      </w:r>
      <w:r w:rsidR="00F34AE4" w:rsidRPr="003F58BD">
        <w:rPr>
          <w:rFonts w:ascii="Times New Roman" w:hAnsi="Times New Roman" w:cs="Times New Roman"/>
          <w:sz w:val="24"/>
          <w:szCs w:val="24"/>
        </w:rPr>
        <w:t xml:space="preserve">National Retail Food </w:t>
      </w:r>
      <w:r w:rsidRPr="003F58BD">
        <w:rPr>
          <w:rFonts w:ascii="Times New Roman" w:hAnsi="Times New Roman" w:cs="Times New Roman"/>
          <w:sz w:val="24"/>
          <w:szCs w:val="24"/>
        </w:rPr>
        <w:t>Executive Leadership Alignment Team (ELAT), which includes</w:t>
      </w:r>
      <w:r w:rsidR="00F34AE4" w:rsidRPr="003F58BD">
        <w:rPr>
          <w:rFonts w:ascii="Times New Roman" w:hAnsi="Times New Roman" w:cs="Times New Roman"/>
          <w:sz w:val="24"/>
          <w:szCs w:val="24"/>
        </w:rPr>
        <w:t xml:space="preserve"> </w:t>
      </w:r>
      <w:r w:rsidRPr="003F58BD">
        <w:rPr>
          <w:rFonts w:ascii="Times New Roman" w:hAnsi="Times New Roman" w:cs="Times New Roman"/>
          <w:sz w:val="24"/>
          <w:szCs w:val="24"/>
        </w:rPr>
        <w:t>Glenda Lewis</w:t>
      </w:r>
      <w:r w:rsidR="00F34AE4" w:rsidRPr="003F58BD">
        <w:rPr>
          <w:rFonts w:ascii="Times New Roman" w:hAnsi="Times New Roman" w:cs="Times New Roman"/>
          <w:sz w:val="24"/>
          <w:szCs w:val="24"/>
        </w:rPr>
        <w:t xml:space="preserve"> (Director, CFSAN Retail Food Protection)</w:t>
      </w:r>
      <w:r w:rsidRPr="003F58BD">
        <w:rPr>
          <w:rFonts w:ascii="Times New Roman" w:hAnsi="Times New Roman" w:cs="Times New Roman"/>
          <w:sz w:val="24"/>
          <w:szCs w:val="24"/>
        </w:rPr>
        <w:t>, Laurie Farmer</w:t>
      </w:r>
      <w:r w:rsidR="00F34AE4" w:rsidRPr="003F58BD">
        <w:rPr>
          <w:rFonts w:ascii="Times New Roman" w:hAnsi="Times New Roman" w:cs="Times New Roman"/>
          <w:sz w:val="24"/>
          <w:szCs w:val="24"/>
        </w:rPr>
        <w:t xml:space="preserve"> (Director, ORA Office of State Cooperative Programs</w:t>
      </w:r>
      <w:r w:rsidR="00291C46" w:rsidRPr="003F58BD">
        <w:rPr>
          <w:rFonts w:ascii="Times New Roman" w:hAnsi="Times New Roman" w:cs="Times New Roman"/>
          <w:sz w:val="24"/>
          <w:szCs w:val="24"/>
        </w:rPr>
        <w:t xml:space="preserve"> (OSCP)</w:t>
      </w:r>
      <w:r w:rsidR="00F34AE4" w:rsidRPr="003F58BD">
        <w:rPr>
          <w:rFonts w:ascii="Times New Roman" w:hAnsi="Times New Roman" w:cs="Times New Roman"/>
          <w:sz w:val="24"/>
          <w:szCs w:val="24"/>
        </w:rPr>
        <w:t>)</w:t>
      </w:r>
      <w:r w:rsidRPr="003F58BD">
        <w:rPr>
          <w:rFonts w:ascii="Times New Roman" w:hAnsi="Times New Roman" w:cs="Times New Roman"/>
          <w:sz w:val="24"/>
          <w:szCs w:val="24"/>
        </w:rPr>
        <w:t>, Alan Tart</w:t>
      </w:r>
      <w:r w:rsidR="00F34AE4" w:rsidRPr="003F58BD">
        <w:rPr>
          <w:rFonts w:ascii="Times New Roman" w:hAnsi="Times New Roman" w:cs="Times New Roman"/>
          <w:sz w:val="24"/>
          <w:szCs w:val="24"/>
        </w:rPr>
        <w:t xml:space="preserve"> (Deputy Director, ORA Office of Partnerships)</w:t>
      </w:r>
      <w:r w:rsidRPr="003F58BD">
        <w:rPr>
          <w:rFonts w:ascii="Times New Roman" w:hAnsi="Times New Roman" w:cs="Times New Roman"/>
          <w:sz w:val="24"/>
          <w:szCs w:val="24"/>
        </w:rPr>
        <w:t>, and John Stoll</w:t>
      </w:r>
      <w:r w:rsidR="00F34AE4" w:rsidRPr="003F58BD">
        <w:rPr>
          <w:rFonts w:ascii="Times New Roman" w:hAnsi="Times New Roman" w:cs="Times New Roman"/>
          <w:sz w:val="24"/>
          <w:szCs w:val="24"/>
        </w:rPr>
        <w:t xml:space="preserve"> (Director Office of Training, Education and Development)</w:t>
      </w:r>
      <w:r w:rsidR="00291C46" w:rsidRPr="003F58BD">
        <w:rPr>
          <w:rFonts w:ascii="Times New Roman" w:hAnsi="Times New Roman" w:cs="Times New Roman"/>
          <w:sz w:val="24"/>
          <w:szCs w:val="24"/>
        </w:rPr>
        <w:t xml:space="preserve">, with </w:t>
      </w:r>
      <w:r w:rsidR="003F58BD" w:rsidRPr="003F58BD">
        <w:rPr>
          <w:rFonts w:ascii="Times New Roman" w:hAnsi="Times New Roman" w:cs="Times New Roman"/>
          <w:sz w:val="24"/>
          <w:szCs w:val="24"/>
        </w:rPr>
        <w:t xml:space="preserve">the </w:t>
      </w:r>
      <w:r w:rsidR="00291C46" w:rsidRPr="003F58BD">
        <w:rPr>
          <w:rFonts w:ascii="Times New Roman" w:hAnsi="Times New Roman" w:cs="Times New Roman"/>
          <w:sz w:val="24"/>
          <w:szCs w:val="24"/>
        </w:rPr>
        <w:t>final decision determined by Laurie Farmer, OSCP Director</w:t>
      </w:r>
      <w:r w:rsidRPr="003F58BD">
        <w:rPr>
          <w:rFonts w:ascii="Times New Roman" w:hAnsi="Times New Roman" w:cs="Times New Roman"/>
          <w:sz w:val="24"/>
          <w:szCs w:val="24"/>
        </w:rPr>
        <w:t xml:space="preserve">.  </w:t>
      </w:r>
      <w:r w:rsidR="004F2B6E" w:rsidRPr="003F58BD">
        <w:rPr>
          <w:rFonts w:ascii="Times New Roman" w:hAnsi="Times New Roman" w:cs="Times New Roman"/>
          <w:sz w:val="24"/>
          <w:szCs w:val="24"/>
        </w:rPr>
        <w:t>This decision will be reevaluated f</w:t>
      </w:r>
      <w:r w:rsidR="00F34AE4" w:rsidRPr="003F58BD">
        <w:rPr>
          <w:rFonts w:ascii="Times New Roman" w:hAnsi="Times New Roman" w:cs="Times New Roman"/>
          <w:sz w:val="24"/>
          <w:szCs w:val="24"/>
        </w:rPr>
        <w:t xml:space="preserve">or future data collections scheduled to occur in 2023, </w:t>
      </w:r>
      <w:r w:rsidR="004F2B6E" w:rsidRPr="003F58BD">
        <w:rPr>
          <w:rFonts w:ascii="Times New Roman" w:hAnsi="Times New Roman" w:cs="Times New Roman"/>
          <w:sz w:val="24"/>
          <w:szCs w:val="24"/>
        </w:rPr>
        <w:t>dependent on</w:t>
      </w:r>
      <w:r w:rsidRPr="003F58BD">
        <w:rPr>
          <w:rFonts w:ascii="Times New Roman" w:hAnsi="Times New Roman" w:cs="Times New Roman"/>
          <w:sz w:val="24"/>
          <w:szCs w:val="24"/>
        </w:rPr>
        <w:t xml:space="preserve"> staffing/resource shortages while also considering data supporting any changes.</w:t>
      </w:r>
      <w:r>
        <w:rPr>
          <w:rFonts w:ascii="Times New Roman" w:hAnsi="Times New Roman" w:cs="Times New Roman"/>
          <w:sz w:val="24"/>
          <w:szCs w:val="24"/>
        </w:rPr>
        <w:t xml:space="preserve">  </w:t>
      </w:r>
      <w:bookmarkEnd w:id="1"/>
    </w:p>
    <w:p w14:paraId="69029D6B" w14:textId="77777777" w:rsidR="004709B3" w:rsidRDefault="004709B3" w:rsidP="00336776">
      <w:pPr>
        <w:rPr>
          <w:rFonts w:ascii="Times New Roman" w:hAnsi="Times New Roman" w:cs="Times New Roman"/>
          <w:sz w:val="24"/>
          <w:szCs w:val="24"/>
        </w:rPr>
      </w:pPr>
    </w:p>
    <w:p w14:paraId="444A9E38" w14:textId="77777777" w:rsidR="004709B3" w:rsidRDefault="004709B3" w:rsidP="00336776">
      <w:pPr>
        <w:rPr>
          <w:rFonts w:ascii="Times New Roman" w:hAnsi="Times New Roman" w:cs="Times New Roman"/>
          <w:sz w:val="24"/>
          <w:szCs w:val="24"/>
        </w:rPr>
      </w:pPr>
    </w:p>
    <w:p w14:paraId="2DCE8CAF" w14:textId="77777777" w:rsidR="004709B3" w:rsidRDefault="004709B3" w:rsidP="00336776">
      <w:pPr>
        <w:rPr>
          <w:rFonts w:ascii="Times New Roman" w:hAnsi="Times New Roman" w:cs="Times New Roman"/>
          <w:sz w:val="24"/>
          <w:szCs w:val="24"/>
        </w:rPr>
      </w:pPr>
    </w:p>
    <w:p w14:paraId="29083C77" w14:textId="77777777" w:rsidR="004709B3" w:rsidRDefault="004709B3" w:rsidP="00336776">
      <w:pPr>
        <w:rPr>
          <w:rFonts w:ascii="Times New Roman" w:hAnsi="Times New Roman" w:cs="Times New Roman"/>
          <w:sz w:val="24"/>
          <w:szCs w:val="24"/>
        </w:rPr>
      </w:pPr>
    </w:p>
    <w:p w14:paraId="0E9CA522" w14:textId="77777777" w:rsidR="004709B3" w:rsidRDefault="004709B3" w:rsidP="00336776">
      <w:pPr>
        <w:rPr>
          <w:rFonts w:ascii="Times New Roman" w:hAnsi="Times New Roman" w:cs="Times New Roman"/>
          <w:sz w:val="24"/>
          <w:szCs w:val="24"/>
        </w:rPr>
      </w:pPr>
    </w:p>
    <w:p w14:paraId="512EC4AF" w14:textId="77777777" w:rsidR="004709B3" w:rsidRDefault="004709B3" w:rsidP="00336776">
      <w:pPr>
        <w:rPr>
          <w:rFonts w:ascii="Times New Roman" w:hAnsi="Times New Roman" w:cs="Times New Roman"/>
          <w:sz w:val="24"/>
          <w:szCs w:val="24"/>
        </w:rPr>
      </w:pPr>
    </w:p>
    <w:p w14:paraId="45EE3AC8" w14:textId="77777777" w:rsidR="004709B3" w:rsidRDefault="004709B3" w:rsidP="00336776">
      <w:pPr>
        <w:rPr>
          <w:rFonts w:ascii="Times New Roman" w:hAnsi="Times New Roman" w:cs="Times New Roman"/>
          <w:sz w:val="24"/>
          <w:szCs w:val="24"/>
        </w:rPr>
      </w:pPr>
    </w:p>
    <w:p w14:paraId="65A61790" w14:textId="77777777" w:rsidR="004709B3" w:rsidRDefault="004709B3" w:rsidP="00336776">
      <w:pPr>
        <w:rPr>
          <w:rFonts w:ascii="Times New Roman" w:hAnsi="Times New Roman" w:cs="Times New Roman"/>
          <w:sz w:val="24"/>
          <w:szCs w:val="24"/>
        </w:rPr>
      </w:pPr>
    </w:p>
    <w:p w14:paraId="6AB878EE" w14:textId="5F51F162" w:rsidR="0071386B" w:rsidRDefault="0071386B" w:rsidP="00336776">
      <w:pPr>
        <w:rPr>
          <w:rFonts w:ascii="Times New Roman" w:hAnsi="Times New Roman" w:cs="Times New Roman"/>
          <w:sz w:val="24"/>
          <w:szCs w:val="24"/>
        </w:rPr>
      </w:pPr>
      <w:r>
        <w:rPr>
          <w:rFonts w:ascii="Times New Roman" w:hAnsi="Times New Roman" w:cs="Times New Roman"/>
          <w:sz w:val="24"/>
          <w:szCs w:val="24"/>
        </w:rPr>
        <w:lastRenderedPageBreak/>
        <w:t>Table 1 shows the burden estimates that were approved by OMB on 9/6/18.</w:t>
      </w:r>
    </w:p>
    <w:tbl>
      <w:tblPr>
        <w:tblW w:w="5179"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239"/>
        <w:gridCol w:w="1161"/>
        <w:gridCol w:w="1061"/>
        <w:gridCol w:w="1239"/>
        <w:gridCol w:w="1161"/>
        <w:gridCol w:w="1061"/>
        <w:gridCol w:w="983"/>
        <w:gridCol w:w="916"/>
      </w:tblGrid>
      <w:tr w:rsidR="0071386B" w:rsidRPr="002003C0" w14:paraId="5755F2FA" w14:textId="77777777" w:rsidTr="006E072F">
        <w:trPr>
          <w:cantSplit/>
          <w:trHeight w:val="20"/>
          <w:tblHeader/>
        </w:trPr>
        <w:tc>
          <w:tcPr>
            <w:tcW w:w="5000" w:type="pct"/>
            <w:gridSpan w:val="9"/>
            <w:tcBorders>
              <w:top w:val="nil"/>
              <w:left w:val="nil"/>
              <w:right w:val="nil"/>
            </w:tcBorders>
          </w:tcPr>
          <w:p w14:paraId="0646707C" w14:textId="77777777" w:rsidR="0071386B" w:rsidRPr="002003C0" w:rsidRDefault="0071386B" w:rsidP="006E072F">
            <w:pPr>
              <w:keepNext/>
              <w:spacing w:after="0" w:line="240" w:lineRule="auto"/>
              <w:jc w:val="center"/>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 xml:space="preserve">Table </w:t>
            </w:r>
            <w:r>
              <w:rPr>
                <w:rFonts w:ascii="Times New Roman" w:eastAsia="Times New Roman" w:hAnsi="Times New Roman" w:cs="Times New Roman"/>
                <w:sz w:val="20"/>
                <w:szCs w:val="20"/>
              </w:rPr>
              <w:t>1</w:t>
            </w:r>
            <w:r w:rsidRPr="002003C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—Initial </w:t>
            </w:r>
            <w:r w:rsidRPr="002003C0">
              <w:rPr>
                <w:rFonts w:ascii="Times New Roman" w:eastAsia="Times New Roman" w:hAnsi="Times New Roman" w:cs="Times New Roman"/>
                <w:sz w:val="20"/>
                <w:szCs w:val="20"/>
              </w:rPr>
              <w:t>Estimated Annual Reporting Burden</w:t>
            </w:r>
          </w:p>
        </w:tc>
      </w:tr>
      <w:tr w:rsidR="0071386B" w:rsidRPr="002003C0" w14:paraId="4E85B158" w14:textId="77777777" w:rsidTr="006E072F">
        <w:trPr>
          <w:cantSplit/>
          <w:trHeight w:val="20"/>
        </w:trPr>
        <w:tc>
          <w:tcPr>
            <w:tcW w:w="586" w:type="pct"/>
            <w:shd w:val="clear" w:color="auto" w:fill="auto"/>
          </w:tcPr>
          <w:p w14:paraId="175747ED" w14:textId="77777777" w:rsidR="0071386B" w:rsidRPr="002003C0" w:rsidRDefault="0071386B" w:rsidP="006E072F">
            <w:pPr>
              <w:keepNext/>
              <w:spacing w:after="0" w:line="240" w:lineRule="auto"/>
              <w:jc w:val="center"/>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Activity</w:t>
            </w:r>
          </w:p>
        </w:tc>
        <w:tc>
          <w:tcPr>
            <w:tcW w:w="625" w:type="pct"/>
            <w:shd w:val="clear" w:color="auto" w:fill="auto"/>
          </w:tcPr>
          <w:p w14:paraId="0A6F002E" w14:textId="77777777" w:rsidR="0071386B" w:rsidRPr="002003C0" w:rsidRDefault="0071386B" w:rsidP="006E072F">
            <w:pPr>
              <w:keepNext/>
              <w:spacing w:after="0" w:line="240" w:lineRule="auto"/>
              <w:jc w:val="center"/>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No. of Respondents</w:t>
            </w:r>
          </w:p>
        </w:tc>
        <w:tc>
          <w:tcPr>
            <w:tcW w:w="614" w:type="pct"/>
            <w:shd w:val="clear" w:color="auto" w:fill="auto"/>
          </w:tcPr>
          <w:p w14:paraId="5F669736" w14:textId="77777777" w:rsidR="0071386B" w:rsidRPr="002003C0" w:rsidRDefault="0071386B" w:rsidP="006E072F">
            <w:pPr>
              <w:keepNext/>
              <w:spacing w:after="0" w:line="240" w:lineRule="auto"/>
              <w:jc w:val="center"/>
              <w:rPr>
                <w:rFonts w:ascii="Times New Roman" w:eastAsia="Times New Roman" w:hAnsi="Times New Roman" w:cs="Times New Roman"/>
                <w:sz w:val="20"/>
                <w:szCs w:val="20"/>
              </w:rPr>
            </w:pPr>
            <w:r w:rsidRPr="002003C0">
              <w:rPr>
                <w:rFonts w:ascii="Times New Roman" w:eastAsia="Times New Roman" w:hAnsi="Times New Roman" w:cs="Times New Roman"/>
                <w:bCs/>
                <w:sz w:val="20"/>
                <w:szCs w:val="20"/>
              </w:rPr>
              <w:t>No. of Responses per Respondent</w:t>
            </w:r>
          </w:p>
        </w:tc>
        <w:tc>
          <w:tcPr>
            <w:tcW w:w="544" w:type="pct"/>
            <w:shd w:val="clear" w:color="auto" w:fill="auto"/>
          </w:tcPr>
          <w:p w14:paraId="7DC3DCCA" w14:textId="77777777" w:rsidR="0071386B" w:rsidRPr="002003C0" w:rsidRDefault="0071386B" w:rsidP="006E072F">
            <w:pPr>
              <w:keepNext/>
              <w:spacing w:after="0" w:line="240" w:lineRule="auto"/>
              <w:jc w:val="center"/>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Total Annual Responses</w:t>
            </w:r>
          </w:p>
        </w:tc>
        <w:tc>
          <w:tcPr>
            <w:tcW w:w="636" w:type="pct"/>
          </w:tcPr>
          <w:p w14:paraId="5DFA19FB" w14:textId="77777777" w:rsidR="0071386B" w:rsidRPr="002003C0" w:rsidRDefault="0071386B" w:rsidP="006E072F">
            <w:pPr>
              <w:keepNext/>
              <w:spacing w:after="0" w:line="240" w:lineRule="auto"/>
              <w:jc w:val="center"/>
              <w:rPr>
                <w:rFonts w:ascii="Times New Roman" w:eastAsia="Times New Roman" w:hAnsi="Times New Roman" w:cs="Times New Roman"/>
                <w:bCs/>
                <w:sz w:val="20"/>
                <w:szCs w:val="20"/>
              </w:rPr>
            </w:pPr>
            <w:r w:rsidRPr="002003C0">
              <w:rPr>
                <w:rFonts w:ascii="Times New Roman" w:eastAsia="Times New Roman" w:hAnsi="Times New Roman" w:cs="Times New Roman"/>
                <w:sz w:val="20"/>
                <w:szCs w:val="20"/>
              </w:rPr>
              <w:t>No. of Non-Respondents</w:t>
            </w:r>
          </w:p>
        </w:tc>
        <w:tc>
          <w:tcPr>
            <w:tcW w:w="589" w:type="pct"/>
          </w:tcPr>
          <w:p w14:paraId="5EC3A1E6" w14:textId="77777777" w:rsidR="0071386B" w:rsidRPr="002003C0" w:rsidRDefault="0071386B" w:rsidP="006E072F">
            <w:pPr>
              <w:keepNext/>
              <w:spacing w:after="0" w:line="240" w:lineRule="auto"/>
              <w:jc w:val="center"/>
              <w:rPr>
                <w:rFonts w:ascii="Times New Roman" w:eastAsia="Times New Roman" w:hAnsi="Times New Roman" w:cs="Times New Roman"/>
                <w:bCs/>
                <w:sz w:val="20"/>
                <w:szCs w:val="20"/>
              </w:rPr>
            </w:pPr>
            <w:r w:rsidRPr="002003C0">
              <w:rPr>
                <w:rFonts w:ascii="Times New Roman" w:eastAsia="Times New Roman" w:hAnsi="Times New Roman" w:cs="Times New Roman"/>
                <w:sz w:val="20"/>
                <w:szCs w:val="20"/>
              </w:rPr>
              <w:t>No. of Responses per Non-Respondent</w:t>
            </w:r>
          </w:p>
        </w:tc>
        <w:tc>
          <w:tcPr>
            <w:tcW w:w="544" w:type="pct"/>
          </w:tcPr>
          <w:p w14:paraId="1226EE17" w14:textId="77777777" w:rsidR="0071386B" w:rsidRPr="002003C0" w:rsidRDefault="0071386B" w:rsidP="006E072F">
            <w:pPr>
              <w:keepNext/>
              <w:spacing w:after="0" w:line="240" w:lineRule="auto"/>
              <w:jc w:val="center"/>
              <w:rPr>
                <w:rFonts w:ascii="Times New Roman" w:eastAsia="Times New Roman" w:hAnsi="Times New Roman" w:cs="Times New Roman"/>
                <w:bCs/>
                <w:sz w:val="20"/>
                <w:szCs w:val="20"/>
              </w:rPr>
            </w:pPr>
            <w:r w:rsidRPr="002003C0">
              <w:rPr>
                <w:rFonts w:ascii="Times New Roman" w:eastAsia="Times New Roman" w:hAnsi="Times New Roman" w:cs="Times New Roman"/>
                <w:sz w:val="20"/>
                <w:szCs w:val="20"/>
              </w:rPr>
              <w:t>Total Annual Non-Responses</w:t>
            </w:r>
          </w:p>
        </w:tc>
        <w:tc>
          <w:tcPr>
            <w:tcW w:w="500" w:type="pct"/>
            <w:shd w:val="clear" w:color="auto" w:fill="auto"/>
          </w:tcPr>
          <w:p w14:paraId="7A88B3A8" w14:textId="77777777" w:rsidR="0071386B" w:rsidRPr="002003C0" w:rsidRDefault="0071386B" w:rsidP="006E072F">
            <w:pPr>
              <w:keepNext/>
              <w:spacing w:after="0" w:line="240" w:lineRule="auto"/>
              <w:jc w:val="center"/>
              <w:rPr>
                <w:rFonts w:ascii="Times New Roman" w:eastAsia="Times New Roman" w:hAnsi="Times New Roman" w:cs="Times New Roman"/>
                <w:sz w:val="20"/>
                <w:szCs w:val="20"/>
              </w:rPr>
            </w:pPr>
            <w:r w:rsidRPr="002003C0">
              <w:rPr>
                <w:rFonts w:ascii="Times New Roman" w:eastAsia="Times New Roman" w:hAnsi="Times New Roman" w:cs="Times New Roman"/>
                <w:bCs/>
                <w:sz w:val="20"/>
                <w:szCs w:val="20"/>
              </w:rPr>
              <w:t>Average Burden per Response</w:t>
            </w:r>
          </w:p>
        </w:tc>
        <w:tc>
          <w:tcPr>
            <w:tcW w:w="363" w:type="pct"/>
            <w:shd w:val="clear" w:color="auto" w:fill="auto"/>
          </w:tcPr>
          <w:p w14:paraId="696122EC" w14:textId="77777777" w:rsidR="0071386B" w:rsidRPr="002003C0" w:rsidRDefault="0071386B" w:rsidP="006E072F">
            <w:pPr>
              <w:keepNext/>
              <w:spacing w:after="0" w:line="240" w:lineRule="auto"/>
              <w:jc w:val="center"/>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Total Hours</w:t>
            </w:r>
          </w:p>
        </w:tc>
      </w:tr>
      <w:tr w:rsidR="0071386B" w:rsidRPr="002003C0" w14:paraId="192587D4" w14:textId="77777777" w:rsidTr="006E072F">
        <w:trPr>
          <w:cantSplit/>
          <w:trHeight w:val="20"/>
        </w:trPr>
        <w:tc>
          <w:tcPr>
            <w:tcW w:w="586" w:type="pct"/>
            <w:shd w:val="clear" w:color="auto" w:fill="auto"/>
          </w:tcPr>
          <w:p w14:paraId="79F14F3D" w14:textId="77777777" w:rsidR="0071386B" w:rsidRPr="002003C0" w:rsidRDefault="0071386B" w:rsidP="006E072F">
            <w:pPr>
              <w:keepNext/>
              <w:spacing w:after="0" w:line="240" w:lineRule="auto"/>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 xml:space="preserve">2019-2020 Data Collection (Healthcare Facilities)--Completion of Sections 1 and 3 </w:t>
            </w:r>
          </w:p>
        </w:tc>
        <w:tc>
          <w:tcPr>
            <w:tcW w:w="625" w:type="pct"/>
            <w:shd w:val="clear" w:color="auto" w:fill="auto"/>
          </w:tcPr>
          <w:p w14:paraId="3979C1EF" w14:textId="77777777" w:rsidR="0071386B" w:rsidRPr="002003C0" w:rsidRDefault="0071386B" w:rsidP="006E072F">
            <w:pPr>
              <w:keepNext/>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400</w:t>
            </w:r>
          </w:p>
        </w:tc>
        <w:tc>
          <w:tcPr>
            <w:tcW w:w="614" w:type="pct"/>
            <w:shd w:val="clear" w:color="auto" w:fill="auto"/>
          </w:tcPr>
          <w:p w14:paraId="0F11C186" w14:textId="77777777" w:rsidR="0071386B" w:rsidRPr="002003C0" w:rsidRDefault="0071386B" w:rsidP="006E072F">
            <w:pPr>
              <w:keepNext/>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 xml:space="preserve">1 </w:t>
            </w:r>
          </w:p>
        </w:tc>
        <w:tc>
          <w:tcPr>
            <w:tcW w:w="544" w:type="pct"/>
            <w:shd w:val="clear" w:color="auto" w:fill="auto"/>
          </w:tcPr>
          <w:p w14:paraId="3739E109" w14:textId="77777777" w:rsidR="0071386B" w:rsidRPr="002003C0" w:rsidRDefault="0071386B" w:rsidP="006E072F">
            <w:pPr>
              <w:keepNext/>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400</w:t>
            </w:r>
          </w:p>
        </w:tc>
        <w:tc>
          <w:tcPr>
            <w:tcW w:w="636" w:type="pct"/>
          </w:tcPr>
          <w:p w14:paraId="427AE851" w14:textId="77777777" w:rsidR="0071386B" w:rsidRPr="002003C0" w:rsidRDefault="0071386B" w:rsidP="006E072F">
            <w:pPr>
              <w:keepNext/>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89" w:type="pct"/>
          </w:tcPr>
          <w:p w14:paraId="002F414C" w14:textId="77777777" w:rsidR="0071386B" w:rsidRPr="002003C0" w:rsidRDefault="0071386B" w:rsidP="006E072F">
            <w:pPr>
              <w:keepNext/>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44" w:type="pct"/>
          </w:tcPr>
          <w:p w14:paraId="2FE8BA3B" w14:textId="77777777" w:rsidR="0071386B" w:rsidRPr="002003C0" w:rsidRDefault="0071386B" w:rsidP="006E072F">
            <w:pPr>
              <w:keepNext/>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00" w:type="pct"/>
            <w:shd w:val="clear" w:color="auto" w:fill="auto"/>
          </w:tcPr>
          <w:p w14:paraId="0E3D3710" w14:textId="77777777" w:rsidR="0071386B" w:rsidRPr="002003C0" w:rsidRDefault="0071386B" w:rsidP="006E072F">
            <w:pPr>
              <w:keepNext/>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2.5</w:t>
            </w:r>
          </w:p>
        </w:tc>
        <w:tc>
          <w:tcPr>
            <w:tcW w:w="363" w:type="pct"/>
            <w:shd w:val="clear" w:color="auto" w:fill="auto"/>
          </w:tcPr>
          <w:p w14:paraId="5D762991" w14:textId="77777777" w:rsidR="0071386B" w:rsidRPr="002003C0" w:rsidRDefault="0071386B" w:rsidP="006E072F">
            <w:pPr>
              <w:keepNext/>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1,000</w:t>
            </w:r>
          </w:p>
        </w:tc>
      </w:tr>
      <w:tr w:rsidR="0071386B" w:rsidRPr="002003C0" w14:paraId="7A45FD14" w14:textId="77777777" w:rsidTr="006E072F">
        <w:trPr>
          <w:cantSplit/>
          <w:trHeight w:val="20"/>
        </w:trPr>
        <w:tc>
          <w:tcPr>
            <w:tcW w:w="586" w:type="pct"/>
            <w:shd w:val="clear" w:color="auto" w:fill="auto"/>
          </w:tcPr>
          <w:p w14:paraId="4FD895EC" w14:textId="77777777" w:rsidR="0071386B" w:rsidRPr="002003C0" w:rsidRDefault="0071386B" w:rsidP="006E072F">
            <w:pPr>
              <w:spacing w:after="0" w:line="240" w:lineRule="auto"/>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2019-2020 Data Collection (Schools)--Completion of Sections 1 and 3</w:t>
            </w:r>
          </w:p>
        </w:tc>
        <w:tc>
          <w:tcPr>
            <w:tcW w:w="625" w:type="pct"/>
            <w:shd w:val="clear" w:color="auto" w:fill="auto"/>
          </w:tcPr>
          <w:p w14:paraId="42FC6AA2"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400</w:t>
            </w:r>
          </w:p>
        </w:tc>
        <w:tc>
          <w:tcPr>
            <w:tcW w:w="614" w:type="pct"/>
            <w:shd w:val="clear" w:color="auto" w:fill="auto"/>
          </w:tcPr>
          <w:p w14:paraId="689391E8"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1</w:t>
            </w:r>
          </w:p>
        </w:tc>
        <w:tc>
          <w:tcPr>
            <w:tcW w:w="544" w:type="pct"/>
            <w:shd w:val="clear" w:color="auto" w:fill="auto"/>
          </w:tcPr>
          <w:p w14:paraId="00514EF2"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400</w:t>
            </w:r>
          </w:p>
        </w:tc>
        <w:tc>
          <w:tcPr>
            <w:tcW w:w="636" w:type="pct"/>
          </w:tcPr>
          <w:p w14:paraId="4A4E4F56"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89" w:type="pct"/>
          </w:tcPr>
          <w:p w14:paraId="394683A4"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44" w:type="pct"/>
          </w:tcPr>
          <w:p w14:paraId="6134F3EE"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00" w:type="pct"/>
            <w:shd w:val="clear" w:color="auto" w:fill="auto"/>
          </w:tcPr>
          <w:p w14:paraId="477EEAFF"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2</w:t>
            </w:r>
          </w:p>
        </w:tc>
        <w:tc>
          <w:tcPr>
            <w:tcW w:w="363" w:type="pct"/>
            <w:shd w:val="clear" w:color="auto" w:fill="auto"/>
          </w:tcPr>
          <w:p w14:paraId="6B0A03F0"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800</w:t>
            </w:r>
          </w:p>
        </w:tc>
      </w:tr>
      <w:tr w:rsidR="0071386B" w:rsidRPr="002003C0" w14:paraId="436FB33B" w14:textId="77777777" w:rsidTr="006E072F">
        <w:trPr>
          <w:cantSplit/>
          <w:trHeight w:val="20"/>
        </w:trPr>
        <w:tc>
          <w:tcPr>
            <w:tcW w:w="586" w:type="pct"/>
            <w:shd w:val="clear" w:color="auto" w:fill="auto"/>
          </w:tcPr>
          <w:p w14:paraId="6A0AE1DF" w14:textId="77777777" w:rsidR="0071386B" w:rsidRPr="002003C0" w:rsidRDefault="0071386B" w:rsidP="006E072F">
            <w:pPr>
              <w:spacing w:after="0" w:line="240" w:lineRule="auto"/>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2019-2020 Data Collection (Retail Food Stores)--Completion of Sections 1 and 3</w:t>
            </w:r>
          </w:p>
        </w:tc>
        <w:tc>
          <w:tcPr>
            <w:tcW w:w="625" w:type="pct"/>
            <w:shd w:val="clear" w:color="auto" w:fill="auto"/>
          </w:tcPr>
          <w:p w14:paraId="3E8820B9"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400</w:t>
            </w:r>
          </w:p>
        </w:tc>
        <w:tc>
          <w:tcPr>
            <w:tcW w:w="614" w:type="pct"/>
            <w:shd w:val="clear" w:color="auto" w:fill="auto"/>
          </w:tcPr>
          <w:p w14:paraId="075C2497"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1</w:t>
            </w:r>
          </w:p>
        </w:tc>
        <w:tc>
          <w:tcPr>
            <w:tcW w:w="544" w:type="pct"/>
            <w:shd w:val="clear" w:color="auto" w:fill="auto"/>
          </w:tcPr>
          <w:p w14:paraId="74F45DFD"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400</w:t>
            </w:r>
          </w:p>
        </w:tc>
        <w:tc>
          <w:tcPr>
            <w:tcW w:w="636" w:type="pct"/>
          </w:tcPr>
          <w:p w14:paraId="5DC6A865"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89" w:type="pct"/>
          </w:tcPr>
          <w:p w14:paraId="293723B4"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44" w:type="pct"/>
          </w:tcPr>
          <w:p w14:paraId="43617147"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00" w:type="pct"/>
            <w:shd w:val="clear" w:color="auto" w:fill="auto"/>
          </w:tcPr>
          <w:p w14:paraId="0C43962D"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3</w:t>
            </w:r>
          </w:p>
        </w:tc>
        <w:tc>
          <w:tcPr>
            <w:tcW w:w="363" w:type="pct"/>
            <w:shd w:val="clear" w:color="auto" w:fill="auto"/>
          </w:tcPr>
          <w:p w14:paraId="17E4E69C"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1,200</w:t>
            </w:r>
          </w:p>
        </w:tc>
      </w:tr>
      <w:tr w:rsidR="0071386B" w:rsidRPr="002003C0" w14:paraId="2545212F" w14:textId="77777777" w:rsidTr="006E072F">
        <w:trPr>
          <w:cantSplit/>
          <w:trHeight w:val="20"/>
        </w:trPr>
        <w:tc>
          <w:tcPr>
            <w:tcW w:w="586" w:type="pct"/>
            <w:shd w:val="clear" w:color="auto" w:fill="auto"/>
          </w:tcPr>
          <w:p w14:paraId="2F3BBFFE" w14:textId="77777777" w:rsidR="0071386B" w:rsidRPr="002003C0" w:rsidRDefault="0071386B" w:rsidP="006E072F">
            <w:pPr>
              <w:spacing w:after="0" w:line="240" w:lineRule="auto"/>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2019-2020 Data Collection-Completion of Section 2--All Facility Types</w:t>
            </w:r>
          </w:p>
        </w:tc>
        <w:tc>
          <w:tcPr>
            <w:tcW w:w="625" w:type="pct"/>
            <w:shd w:val="clear" w:color="auto" w:fill="auto"/>
          </w:tcPr>
          <w:p w14:paraId="224139C8"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1,200</w:t>
            </w:r>
          </w:p>
        </w:tc>
        <w:tc>
          <w:tcPr>
            <w:tcW w:w="614" w:type="pct"/>
            <w:shd w:val="clear" w:color="auto" w:fill="auto"/>
          </w:tcPr>
          <w:p w14:paraId="3B528493"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1</w:t>
            </w:r>
          </w:p>
        </w:tc>
        <w:tc>
          <w:tcPr>
            <w:tcW w:w="544" w:type="pct"/>
            <w:shd w:val="clear" w:color="auto" w:fill="auto"/>
          </w:tcPr>
          <w:p w14:paraId="67B4C9DA"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1,200</w:t>
            </w:r>
          </w:p>
        </w:tc>
        <w:tc>
          <w:tcPr>
            <w:tcW w:w="636" w:type="pct"/>
          </w:tcPr>
          <w:p w14:paraId="1DB090DB"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89" w:type="pct"/>
          </w:tcPr>
          <w:p w14:paraId="19B1E12D"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44" w:type="pct"/>
          </w:tcPr>
          <w:p w14:paraId="581836FD"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00" w:type="pct"/>
            <w:shd w:val="clear" w:color="auto" w:fill="auto"/>
          </w:tcPr>
          <w:p w14:paraId="3402783B"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0.5</w:t>
            </w:r>
          </w:p>
          <w:p w14:paraId="5DCB2D9F"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(30 minutes)</w:t>
            </w:r>
          </w:p>
        </w:tc>
        <w:tc>
          <w:tcPr>
            <w:tcW w:w="363" w:type="pct"/>
            <w:shd w:val="clear" w:color="auto" w:fill="auto"/>
          </w:tcPr>
          <w:p w14:paraId="56A223D2"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600</w:t>
            </w:r>
          </w:p>
        </w:tc>
      </w:tr>
      <w:tr w:rsidR="0071386B" w:rsidRPr="002003C0" w14:paraId="715CD93C" w14:textId="77777777" w:rsidTr="006E072F">
        <w:trPr>
          <w:cantSplit/>
          <w:trHeight w:val="20"/>
        </w:trPr>
        <w:tc>
          <w:tcPr>
            <w:tcW w:w="586" w:type="pct"/>
            <w:shd w:val="clear" w:color="auto" w:fill="auto"/>
          </w:tcPr>
          <w:p w14:paraId="6816BF25" w14:textId="77777777" w:rsidR="0071386B" w:rsidRPr="002003C0" w:rsidRDefault="0071386B" w:rsidP="006E072F">
            <w:pPr>
              <w:spacing w:after="0" w:line="240" w:lineRule="auto"/>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2019-2020 Data Collection-Entry Refusals--All Facility Types</w:t>
            </w:r>
          </w:p>
        </w:tc>
        <w:tc>
          <w:tcPr>
            <w:tcW w:w="625" w:type="pct"/>
            <w:shd w:val="clear" w:color="auto" w:fill="auto"/>
          </w:tcPr>
          <w:p w14:paraId="4BAFDBB0"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614" w:type="pct"/>
            <w:shd w:val="clear" w:color="auto" w:fill="auto"/>
          </w:tcPr>
          <w:p w14:paraId="348BC255"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544" w:type="pct"/>
            <w:shd w:val="clear" w:color="auto" w:fill="auto"/>
          </w:tcPr>
          <w:p w14:paraId="70AB1716"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w:t>
            </w:r>
          </w:p>
        </w:tc>
        <w:tc>
          <w:tcPr>
            <w:tcW w:w="636" w:type="pct"/>
          </w:tcPr>
          <w:p w14:paraId="6EA18985"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24</w:t>
            </w:r>
          </w:p>
        </w:tc>
        <w:tc>
          <w:tcPr>
            <w:tcW w:w="589" w:type="pct"/>
          </w:tcPr>
          <w:p w14:paraId="4625AE20"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1</w:t>
            </w:r>
          </w:p>
        </w:tc>
        <w:tc>
          <w:tcPr>
            <w:tcW w:w="544" w:type="pct"/>
          </w:tcPr>
          <w:p w14:paraId="2E95D060"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24</w:t>
            </w:r>
          </w:p>
        </w:tc>
        <w:tc>
          <w:tcPr>
            <w:tcW w:w="500" w:type="pct"/>
            <w:shd w:val="clear" w:color="auto" w:fill="auto"/>
          </w:tcPr>
          <w:p w14:paraId="4467C90B"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0.08</w:t>
            </w:r>
          </w:p>
          <w:p w14:paraId="5C98807D"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(5 minutes)</w:t>
            </w:r>
          </w:p>
        </w:tc>
        <w:tc>
          <w:tcPr>
            <w:tcW w:w="363" w:type="pct"/>
            <w:shd w:val="clear" w:color="auto" w:fill="auto"/>
          </w:tcPr>
          <w:p w14:paraId="61861EEA" w14:textId="77777777" w:rsidR="0071386B" w:rsidRPr="002003C0" w:rsidRDefault="0071386B" w:rsidP="006E072F">
            <w:pPr>
              <w:spacing w:after="0" w:line="240" w:lineRule="auto"/>
              <w:jc w:val="right"/>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1.92</w:t>
            </w:r>
          </w:p>
        </w:tc>
      </w:tr>
      <w:tr w:rsidR="0071386B" w:rsidRPr="002003C0" w14:paraId="506AAE4A" w14:textId="77777777" w:rsidTr="006E072F">
        <w:trPr>
          <w:cantSplit/>
          <w:trHeight w:val="20"/>
        </w:trPr>
        <w:tc>
          <w:tcPr>
            <w:tcW w:w="4637" w:type="pct"/>
            <w:gridSpan w:val="8"/>
          </w:tcPr>
          <w:p w14:paraId="1206D806" w14:textId="77777777" w:rsidR="0071386B" w:rsidRPr="002003C0" w:rsidRDefault="0071386B" w:rsidP="006E072F">
            <w:pPr>
              <w:spacing w:after="0" w:line="240" w:lineRule="auto"/>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Total</w:t>
            </w:r>
          </w:p>
        </w:tc>
        <w:tc>
          <w:tcPr>
            <w:tcW w:w="363" w:type="pct"/>
            <w:shd w:val="clear" w:color="auto" w:fill="auto"/>
          </w:tcPr>
          <w:p w14:paraId="2B9A1029" w14:textId="77777777" w:rsidR="0071386B" w:rsidRPr="002003C0" w:rsidRDefault="0071386B" w:rsidP="006E072F">
            <w:pPr>
              <w:spacing w:after="0" w:line="240" w:lineRule="auto"/>
              <w:jc w:val="center"/>
              <w:rPr>
                <w:rFonts w:ascii="Times New Roman" w:eastAsia="Times New Roman" w:hAnsi="Times New Roman" w:cs="Times New Roman"/>
                <w:sz w:val="20"/>
                <w:szCs w:val="20"/>
              </w:rPr>
            </w:pPr>
            <w:r w:rsidRPr="002003C0">
              <w:rPr>
                <w:rFonts w:ascii="Times New Roman" w:eastAsia="Times New Roman" w:hAnsi="Times New Roman" w:cs="Times New Roman"/>
                <w:sz w:val="20"/>
                <w:szCs w:val="20"/>
              </w:rPr>
              <w:t>3,601.92</w:t>
            </w:r>
          </w:p>
        </w:tc>
      </w:tr>
    </w:tbl>
    <w:p w14:paraId="7861FFB1" w14:textId="77777777" w:rsidR="0071386B" w:rsidRPr="00691087" w:rsidRDefault="0071386B" w:rsidP="00336776">
      <w:pPr>
        <w:rPr>
          <w:rFonts w:ascii="Times New Roman" w:hAnsi="Times New Roman" w:cs="Times New Roman"/>
          <w:sz w:val="24"/>
          <w:szCs w:val="24"/>
        </w:rPr>
      </w:pPr>
    </w:p>
    <w:p w14:paraId="13FD95C4" w14:textId="77777777" w:rsidR="004709B3" w:rsidRDefault="004709B3" w:rsidP="00587219">
      <w:pPr>
        <w:spacing w:after="0" w:line="256" w:lineRule="auto"/>
        <w:rPr>
          <w:rFonts w:ascii="Times New Roman" w:hAnsi="Times New Roman" w:cs="Times New Roman"/>
          <w:sz w:val="24"/>
          <w:szCs w:val="24"/>
        </w:rPr>
      </w:pPr>
    </w:p>
    <w:p w14:paraId="4DB79A8D" w14:textId="77777777" w:rsidR="004709B3" w:rsidRDefault="004709B3" w:rsidP="00587219">
      <w:pPr>
        <w:spacing w:after="0" w:line="256" w:lineRule="auto"/>
        <w:rPr>
          <w:rFonts w:ascii="Times New Roman" w:hAnsi="Times New Roman" w:cs="Times New Roman"/>
          <w:sz w:val="24"/>
          <w:szCs w:val="24"/>
        </w:rPr>
      </w:pPr>
    </w:p>
    <w:p w14:paraId="7CED402B" w14:textId="77777777" w:rsidR="004709B3" w:rsidRDefault="004709B3" w:rsidP="00587219">
      <w:pPr>
        <w:spacing w:after="0" w:line="256" w:lineRule="auto"/>
        <w:rPr>
          <w:rFonts w:ascii="Times New Roman" w:hAnsi="Times New Roman" w:cs="Times New Roman"/>
          <w:sz w:val="24"/>
          <w:szCs w:val="24"/>
        </w:rPr>
      </w:pPr>
    </w:p>
    <w:p w14:paraId="531696FD" w14:textId="77777777" w:rsidR="004709B3" w:rsidRDefault="004709B3" w:rsidP="00587219">
      <w:pPr>
        <w:spacing w:after="0" w:line="256" w:lineRule="auto"/>
        <w:rPr>
          <w:rFonts w:ascii="Times New Roman" w:hAnsi="Times New Roman" w:cs="Times New Roman"/>
          <w:sz w:val="24"/>
          <w:szCs w:val="24"/>
        </w:rPr>
      </w:pPr>
    </w:p>
    <w:p w14:paraId="5770E6A8" w14:textId="77777777" w:rsidR="004709B3" w:rsidRDefault="004709B3" w:rsidP="00587219">
      <w:pPr>
        <w:spacing w:after="0" w:line="256" w:lineRule="auto"/>
        <w:rPr>
          <w:rFonts w:ascii="Times New Roman" w:hAnsi="Times New Roman" w:cs="Times New Roman"/>
          <w:sz w:val="24"/>
          <w:szCs w:val="24"/>
        </w:rPr>
      </w:pPr>
    </w:p>
    <w:p w14:paraId="3C602EDB" w14:textId="214D9A0B" w:rsidR="00587219" w:rsidRPr="00691087" w:rsidRDefault="00587219" w:rsidP="00587219">
      <w:pPr>
        <w:spacing w:after="0" w:line="256" w:lineRule="auto"/>
        <w:rPr>
          <w:rFonts w:ascii="Times New Roman" w:hAnsi="Times New Roman" w:cs="Times New Roman"/>
          <w:sz w:val="24"/>
          <w:szCs w:val="24"/>
        </w:rPr>
      </w:pPr>
      <w:r w:rsidRPr="00691087">
        <w:rPr>
          <w:rFonts w:ascii="Times New Roman" w:hAnsi="Times New Roman" w:cs="Times New Roman"/>
          <w:sz w:val="24"/>
          <w:szCs w:val="24"/>
        </w:rPr>
        <w:lastRenderedPageBreak/>
        <w:t xml:space="preserve">The proposed </w:t>
      </w:r>
      <w:r w:rsidR="00F2104C">
        <w:rPr>
          <w:rFonts w:ascii="Times New Roman" w:hAnsi="Times New Roman" w:cs="Times New Roman"/>
          <w:sz w:val="24"/>
          <w:szCs w:val="24"/>
        </w:rPr>
        <w:t xml:space="preserve">revisions to this collection of information are expected to </w:t>
      </w:r>
      <w:r w:rsidRPr="00691087">
        <w:rPr>
          <w:rFonts w:ascii="Times New Roman" w:hAnsi="Times New Roman" w:cs="Times New Roman"/>
          <w:sz w:val="24"/>
          <w:szCs w:val="24"/>
        </w:rPr>
        <w:t xml:space="preserve">decrease burden for </w:t>
      </w:r>
      <w:r w:rsidR="00F2104C">
        <w:rPr>
          <w:rFonts w:ascii="Times New Roman" w:hAnsi="Times New Roman" w:cs="Times New Roman"/>
          <w:sz w:val="24"/>
          <w:szCs w:val="24"/>
        </w:rPr>
        <w:t xml:space="preserve">its </w:t>
      </w:r>
      <w:r w:rsidR="00270AE0">
        <w:rPr>
          <w:rFonts w:ascii="Times New Roman" w:hAnsi="Times New Roman" w:cs="Times New Roman"/>
          <w:sz w:val="24"/>
          <w:szCs w:val="24"/>
        </w:rPr>
        <w:t xml:space="preserve">healthcare and school industry </w:t>
      </w:r>
      <w:r w:rsidR="00F2104C">
        <w:rPr>
          <w:rFonts w:ascii="Times New Roman" w:hAnsi="Times New Roman" w:cs="Times New Roman"/>
          <w:sz w:val="24"/>
          <w:szCs w:val="24"/>
        </w:rPr>
        <w:t>stakeholders</w:t>
      </w:r>
      <w:r w:rsidR="00270AE0">
        <w:rPr>
          <w:rFonts w:ascii="Times New Roman" w:hAnsi="Times New Roman" w:cs="Times New Roman"/>
          <w:sz w:val="24"/>
          <w:szCs w:val="24"/>
        </w:rPr>
        <w:t xml:space="preserve"> because </w:t>
      </w:r>
      <w:r w:rsidRPr="00691087">
        <w:rPr>
          <w:rFonts w:ascii="Times New Roman" w:hAnsi="Times New Roman" w:cs="Times New Roman"/>
          <w:sz w:val="24"/>
          <w:szCs w:val="24"/>
        </w:rPr>
        <w:t>their facility types will not be visited at all during this data collection period.   (</w:t>
      </w:r>
      <w:r w:rsidR="00F2104C">
        <w:rPr>
          <w:rFonts w:ascii="Times New Roman" w:hAnsi="Times New Roman" w:cs="Times New Roman"/>
          <w:sz w:val="24"/>
          <w:szCs w:val="24"/>
        </w:rPr>
        <w:t>S</w:t>
      </w:r>
      <w:r w:rsidRPr="00691087">
        <w:rPr>
          <w:rFonts w:ascii="Times New Roman" w:hAnsi="Times New Roman" w:cs="Times New Roman"/>
          <w:sz w:val="24"/>
          <w:szCs w:val="24"/>
        </w:rPr>
        <w:t>ee table</w:t>
      </w:r>
      <w:r w:rsidR="00336776" w:rsidRPr="00691087">
        <w:rPr>
          <w:rFonts w:ascii="Times New Roman" w:hAnsi="Times New Roman" w:cs="Times New Roman"/>
          <w:sz w:val="24"/>
          <w:szCs w:val="24"/>
        </w:rPr>
        <w:t xml:space="preserve"> </w:t>
      </w:r>
      <w:r w:rsidR="00270AE0">
        <w:rPr>
          <w:rFonts w:ascii="Times New Roman" w:hAnsi="Times New Roman" w:cs="Times New Roman"/>
          <w:sz w:val="24"/>
          <w:szCs w:val="24"/>
        </w:rPr>
        <w:t>2</w:t>
      </w:r>
      <w:r w:rsidR="00336776" w:rsidRPr="00691087">
        <w:rPr>
          <w:rFonts w:ascii="Times New Roman" w:hAnsi="Times New Roman" w:cs="Times New Roman"/>
          <w:sz w:val="24"/>
          <w:szCs w:val="24"/>
        </w:rPr>
        <w:t>,</w:t>
      </w:r>
      <w:r w:rsidRPr="00691087">
        <w:rPr>
          <w:rFonts w:ascii="Times New Roman" w:hAnsi="Times New Roman" w:cs="Times New Roman"/>
          <w:sz w:val="24"/>
          <w:szCs w:val="24"/>
        </w:rPr>
        <w:t xml:space="preserve"> below for details</w:t>
      </w:r>
      <w:r w:rsidR="00246B4C">
        <w:rPr>
          <w:rFonts w:ascii="Times New Roman" w:hAnsi="Times New Roman" w:cs="Times New Roman"/>
          <w:sz w:val="24"/>
          <w:szCs w:val="24"/>
        </w:rPr>
        <w:t>.</w:t>
      </w:r>
      <w:r w:rsidRPr="00691087">
        <w:rPr>
          <w:rFonts w:ascii="Times New Roman" w:hAnsi="Times New Roman" w:cs="Times New Roman"/>
          <w:sz w:val="24"/>
          <w:szCs w:val="24"/>
        </w:rPr>
        <w:t>)</w:t>
      </w:r>
    </w:p>
    <w:p w14:paraId="50F256AF" w14:textId="77777777" w:rsidR="00587219" w:rsidRPr="00691087" w:rsidRDefault="00587219" w:rsidP="00587219">
      <w:pPr>
        <w:spacing w:after="0" w:line="256" w:lineRule="auto"/>
        <w:rPr>
          <w:rFonts w:ascii="Times New Roman" w:hAnsi="Times New Roman" w:cs="Times New Roman"/>
          <w:sz w:val="24"/>
          <w:szCs w:val="24"/>
        </w:rPr>
      </w:pPr>
    </w:p>
    <w:p w14:paraId="7BF44A37" w14:textId="0ACDF39B" w:rsidR="00587219" w:rsidRPr="00691087" w:rsidRDefault="00587219" w:rsidP="00587219">
      <w:pPr>
        <w:spacing w:after="0" w:line="256" w:lineRule="auto"/>
        <w:rPr>
          <w:rFonts w:ascii="Times New Roman" w:hAnsi="Times New Roman" w:cs="Times New Roman"/>
          <w:sz w:val="24"/>
          <w:szCs w:val="24"/>
        </w:rPr>
      </w:pPr>
      <w:r w:rsidRPr="00691087">
        <w:rPr>
          <w:rFonts w:ascii="Times New Roman" w:hAnsi="Times New Roman" w:cs="Times New Roman"/>
          <w:sz w:val="24"/>
          <w:szCs w:val="24"/>
        </w:rPr>
        <w:t xml:space="preserve">The Retail Food Specialist data collectors </w:t>
      </w:r>
      <w:r w:rsidR="00F2104C">
        <w:rPr>
          <w:rFonts w:ascii="Times New Roman" w:hAnsi="Times New Roman" w:cs="Times New Roman"/>
          <w:sz w:val="24"/>
          <w:szCs w:val="24"/>
        </w:rPr>
        <w:t>are expected to</w:t>
      </w:r>
      <w:r w:rsidRPr="00691087">
        <w:rPr>
          <w:rFonts w:ascii="Times New Roman" w:hAnsi="Times New Roman" w:cs="Times New Roman"/>
          <w:sz w:val="24"/>
          <w:szCs w:val="24"/>
        </w:rPr>
        <w:t xml:space="preserve"> have an increased travel burden of up to 25 miles to visit each Retail Food Store </w:t>
      </w:r>
      <w:r w:rsidR="00AC7AB0" w:rsidRPr="00691087">
        <w:rPr>
          <w:rFonts w:ascii="Times New Roman" w:hAnsi="Times New Roman" w:cs="Times New Roman"/>
          <w:sz w:val="24"/>
          <w:szCs w:val="24"/>
        </w:rPr>
        <w:t>deli,</w:t>
      </w:r>
      <w:r w:rsidRPr="00691087">
        <w:rPr>
          <w:rFonts w:ascii="Times New Roman" w:hAnsi="Times New Roman" w:cs="Times New Roman"/>
          <w:sz w:val="24"/>
          <w:szCs w:val="24"/>
        </w:rPr>
        <w:t xml:space="preserve"> but this will be more than offset by the reduction of the healthcare and school facility types in addition to the removal of the produce and seafood markets within retail food stores.  The increased travel burden is necessary to bring the national percentage of establishments eligible to 55%.</w:t>
      </w:r>
    </w:p>
    <w:p w14:paraId="65D02D98" w14:textId="77777777" w:rsidR="00587219" w:rsidRPr="00691087" w:rsidRDefault="00587219" w:rsidP="00587219">
      <w:pPr>
        <w:spacing w:after="0" w:line="256" w:lineRule="auto"/>
        <w:rPr>
          <w:rFonts w:ascii="Times New Roman" w:hAnsi="Times New Roman" w:cs="Times New Roman"/>
          <w:sz w:val="24"/>
          <w:szCs w:val="24"/>
        </w:rPr>
      </w:pPr>
    </w:p>
    <w:p w14:paraId="7E7205BE" w14:textId="77777777" w:rsidR="00587219" w:rsidRPr="00691087" w:rsidRDefault="00587219" w:rsidP="00587219">
      <w:pPr>
        <w:spacing w:after="0" w:line="256" w:lineRule="auto"/>
        <w:rPr>
          <w:rFonts w:ascii="Times New Roman" w:hAnsi="Times New Roman" w:cs="Times New Roman"/>
          <w:sz w:val="24"/>
          <w:szCs w:val="24"/>
        </w:rPr>
      </w:pPr>
      <w:r w:rsidRPr="00691087">
        <w:rPr>
          <w:rFonts w:ascii="Times New Roman" w:hAnsi="Times New Roman" w:cs="Times New Roman"/>
          <w:sz w:val="24"/>
          <w:szCs w:val="24"/>
        </w:rPr>
        <w:t xml:space="preserve">These proposed changes will allow us to conduct the best quality study in the selected facility type with the resources and staffing that are currently available.  </w:t>
      </w:r>
    </w:p>
    <w:p w14:paraId="77534EF1" w14:textId="77777777" w:rsidR="00FF6928" w:rsidRDefault="00FF6928" w:rsidP="00587219">
      <w:pPr>
        <w:spacing w:after="0" w:line="256" w:lineRule="auto"/>
        <w:rPr>
          <w:sz w:val="24"/>
          <w:szCs w:val="24"/>
        </w:rPr>
      </w:pPr>
    </w:p>
    <w:tbl>
      <w:tblPr>
        <w:tblW w:w="533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8"/>
        <w:gridCol w:w="1189"/>
        <w:gridCol w:w="1085"/>
        <w:gridCol w:w="1268"/>
        <w:gridCol w:w="1189"/>
        <w:gridCol w:w="1085"/>
        <w:gridCol w:w="1005"/>
        <w:gridCol w:w="935"/>
      </w:tblGrid>
      <w:tr w:rsidR="00FF6928" w:rsidRPr="00FF6928" w14:paraId="2AA67558" w14:textId="77777777" w:rsidTr="00691087">
        <w:trPr>
          <w:cantSplit/>
          <w:trHeight w:val="20"/>
          <w:tblHeader/>
        </w:trPr>
        <w:tc>
          <w:tcPr>
            <w:tcW w:w="5000" w:type="pct"/>
            <w:gridSpan w:val="9"/>
            <w:tcBorders>
              <w:top w:val="nil"/>
              <w:left w:val="nil"/>
              <w:right w:val="nil"/>
            </w:tcBorders>
          </w:tcPr>
          <w:p w14:paraId="52087CBE" w14:textId="1189DB83" w:rsidR="00FF6928" w:rsidRPr="00691087" w:rsidRDefault="00FF6928" w:rsidP="00173B8B">
            <w:pPr>
              <w:keepNext/>
              <w:jc w:val="center"/>
              <w:rPr>
                <w:rFonts w:ascii="Times New Roman" w:hAnsi="Times New Roman" w:cs="Times New Roman"/>
                <w:sz w:val="20"/>
                <w:szCs w:val="20"/>
              </w:rPr>
            </w:pPr>
            <w:r w:rsidRPr="00691087">
              <w:rPr>
                <w:rFonts w:ascii="Times New Roman" w:hAnsi="Times New Roman" w:cs="Times New Roman"/>
                <w:sz w:val="20"/>
                <w:szCs w:val="20"/>
              </w:rPr>
              <w:t xml:space="preserve">Table </w:t>
            </w:r>
            <w:r w:rsidR="00270AE0">
              <w:rPr>
                <w:rFonts w:ascii="Times New Roman" w:hAnsi="Times New Roman" w:cs="Times New Roman"/>
                <w:sz w:val="20"/>
                <w:szCs w:val="20"/>
              </w:rPr>
              <w:t>2</w:t>
            </w:r>
            <w:r w:rsidRPr="00691087">
              <w:rPr>
                <w:rFonts w:ascii="Times New Roman" w:hAnsi="Times New Roman" w:cs="Times New Roman"/>
                <w:sz w:val="20"/>
                <w:szCs w:val="20"/>
              </w:rPr>
              <w:t>.</w:t>
            </w:r>
            <w:r w:rsidR="00270AE0">
              <w:rPr>
                <w:rFonts w:ascii="Times New Roman" w:hAnsi="Times New Roman" w:cs="Times New Roman"/>
                <w:sz w:val="20"/>
                <w:szCs w:val="20"/>
              </w:rPr>
              <w:t xml:space="preserve">—Revised </w:t>
            </w:r>
            <w:r w:rsidRPr="00691087">
              <w:rPr>
                <w:rFonts w:ascii="Times New Roman" w:hAnsi="Times New Roman" w:cs="Times New Roman"/>
                <w:sz w:val="20"/>
                <w:szCs w:val="20"/>
              </w:rPr>
              <w:t>Estimated Annual Reporting Burden</w:t>
            </w:r>
            <w:r w:rsidRPr="00691087">
              <w:rPr>
                <w:rFonts w:ascii="Times New Roman" w:hAnsi="Times New Roman" w:cs="Times New Roman"/>
                <w:sz w:val="20"/>
                <w:szCs w:val="20"/>
                <w:vertAlign w:val="superscript"/>
              </w:rPr>
              <w:t>1</w:t>
            </w:r>
          </w:p>
        </w:tc>
      </w:tr>
      <w:tr w:rsidR="002B4878" w:rsidRPr="00FF6928" w14:paraId="089C989B" w14:textId="77777777" w:rsidTr="002B4878">
        <w:trPr>
          <w:cantSplit/>
          <w:trHeight w:val="20"/>
        </w:trPr>
        <w:tc>
          <w:tcPr>
            <w:tcW w:w="582" w:type="pct"/>
            <w:shd w:val="clear" w:color="auto" w:fill="auto"/>
          </w:tcPr>
          <w:p w14:paraId="4EF06F29" w14:textId="77777777" w:rsidR="00FF6928" w:rsidRPr="00691087" w:rsidRDefault="00FF6928" w:rsidP="00173B8B">
            <w:pPr>
              <w:keepNext/>
              <w:jc w:val="center"/>
              <w:rPr>
                <w:rFonts w:ascii="Times New Roman" w:hAnsi="Times New Roman" w:cs="Times New Roman"/>
                <w:sz w:val="20"/>
                <w:szCs w:val="20"/>
              </w:rPr>
            </w:pPr>
            <w:r w:rsidRPr="00691087">
              <w:rPr>
                <w:rFonts w:ascii="Times New Roman" w:hAnsi="Times New Roman" w:cs="Times New Roman"/>
                <w:sz w:val="20"/>
                <w:szCs w:val="20"/>
              </w:rPr>
              <w:t>Activity</w:t>
            </w:r>
          </w:p>
        </w:tc>
        <w:tc>
          <w:tcPr>
            <w:tcW w:w="621" w:type="pct"/>
            <w:shd w:val="clear" w:color="auto" w:fill="auto"/>
          </w:tcPr>
          <w:p w14:paraId="78E54897" w14:textId="77777777" w:rsidR="00FF6928" w:rsidRPr="00691087" w:rsidRDefault="00FF6928" w:rsidP="00173B8B">
            <w:pPr>
              <w:keepNext/>
              <w:jc w:val="center"/>
              <w:rPr>
                <w:rFonts w:ascii="Times New Roman" w:hAnsi="Times New Roman" w:cs="Times New Roman"/>
                <w:sz w:val="20"/>
                <w:szCs w:val="20"/>
              </w:rPr>
            </w:pPr>
            <w:r w:rsidRPr="00691087">
              <w:rPr>
                <w:rFonts w:ascii="Times New Roman" w:hAnsi="Times New Roman" w:cs="Times New Roman"/>
                <w:sz w:val="20"/>
                <w:szCs w:val="20"/>
              </w:rPr>
              <w:t>No. of Respondents</w:t>
            </w:r>
          </w:p>
        </w:tc>
        <w:tc>
          <w:tcPr>
            <w:tcW w:w="582" w:type="pct"/>
            <w:shd w:val="clear" w:color="auto" w:fill="auto"/>
          </w:tcPr>
          <w:p w14:paraId="0F1EBAC0" w14:textId="77777777" w:rsidR="00FF6928" w:rsidRPr="00691087" w:rsidRDefault="00FF6928" w:rsidP="00173B8B">
            <w:pPr>
              <w:keepNext/>
              <w:jc w:val="center"/>
              <w:rPr>
                <w:rFonts w:ascii="Times New Roman" w:hAnsi="Times New Roman" w:cs="Times New Roman"/>
                <w:sz w:val="20"/>
                <w:szCs w:val="20"/>
              </w:rPr>
            </w:pPr>
            <w:r w:rsidRPr="00691087">
              <w:rPr>
                <w:rFonts w:ascii="Times New Roman" w:hAnsi="Times New Roman" w:cs="Times New Roman"/>
                <w:bCs/>
                <w:sz w:val="20"/>
                <w:szCs w:val="20"/>
              </w:rPr>
              <w:t>No. of Responses per Respondent</w:t>
            </w:r>
          </w:p>
        </w:tc>
        <w:tc>
          <w:tcPr>
            <w:tcW w:w="531" w:type="pct"/>
            <w:shd w:val="clear" w:color="auto" w:fill="auto"/>
          </w:tcPr>
          <w:p w14:paraId="28EF0ED3" w14:textId="77777777" w:rsidR="00FF6928" w:rsidRPr="00691087" w:rsidRDefault="00FF6928" w:rsidP="00173B8B">
            <w:pPr>
              <w:keepNext/>
              <w:jc w:val="center"/>
              <w:rPr>
                <w:rFonts w:ascii="Times New Roman" w:hAnsi="Times New Roman" w:cs="Times New Roman"/>
                <w:sz w:val="20"/>
                <w:szCs w:val="20"/>
              </w:rPr>
            </w:pPr>
            <w:r w:rsidRPr="00691087">
              <w:rPr>
                <w:rFonts w:ascii="Times New Roman" w:hAnsi="Times New Roman" w:cs="Times New Roman"/>
                <w:sz w:val="20"/>
                <w:szCs w:val="20"/>
              </w:rPr>
              <w:t>Total Annual Responses</w:t>
            </w:r>
          </w:p>
        </w:tc>
        <w:tc>
          <w:tcPr>
            <w:tcW w:w="621" w:type="pct"/>
          </w:tcPr>
          <w:p w14:paraId="76187B88" w14:textId="77777777" w:rsidR="00FF6928" w:rsidRPr="00691087" w:rsidRDefault="00FF6928" w:rsidP="00173B8B">
            <w:pPr>
              <w:keepNext/>
              <w:jc w:val="center"/>
              <w:rPr>
                <w:rFonts w:ascii="Times New Roman" w:hAnsi="Times New Roman" w:cs="Times New Roman"/>
                <w:bCs/>
                <w:sz w:val="20"/>
                <w:szCs w:val="20"/>
              </w:rPr>
            </w:pPr>
            <w:r w:rsidRPr="00691087">
              <w:rPr>
                <w:rFonts w:ascii="Times New Roman" w:hAnsi="Times New Roman" w:cs="Times New Roman"/>
                <w:sz w:val="20"/>
                <w:szCs w:val="20"/>
              </w:rPr>
              <w:t>No. of Non-Respondents</w:t>
            </w:r>
          </w:p>
        </w:tc>
        <w:tc>
          <w:tcPr>
            <w:tcW w:w="582" w:type="pct"/>
          </w:tcPr>
          <w:p w14:paraId="24480A2B" w14:textId="77777777" w:rsidR="00FF6928" w:rsidRPr="00691087" w:rsidRDefault="00FF6928" w:rsidP="00173B8B">
            <w:pPr>
              <w:keepNext/>
              <w:jc w:val="center"/>
              <w:rPr>
                <w:rFonts w:ascii="Times New Roman" w:hAnsi="Times New Roman" w:cs="Times New Roman"/>
                <w:bCs/>
                <w:sz w:val="20"/>
                <w:szCs w:val="20"/>
              </w:rPr>
            </w:pPr>
            <w:r w:rsidRPr="00691087">
              <w:rPr>
                <w:rFonts w:ascii="Times New Roman" w:hAnsi="Times New Roman" w:cs="Times New Roman"/>
                <w:sz w:val="20"/>
                <w:szCs w:val="20"/>
              </w:rPr>
              <w:t>No. of Responses per Non-Respondent</w:t>
            </w:r>
          </w:p>
        </w:tc>
        <w:tc>
          <w:tcPr>
            <w:tcW w:w="531" w:type="pct"/>
          </w:tcPr>
          <w:p w14:paraId="7ABACD8A" w14:textId="77777777" w:rsidR="00FF6928" w:rsidRPr="00691087" w:rsidRDefault="00FF6928" w:rsidP="00173B8B">
            <w:pPr>
              <w:keepNext/>
              <w:jc w:val="center"/>
              <w:rPr>
                <w:rFonts w:ascii="Times New Roman" w:hAnsi="Times New Roman" w:cs="Times New Roman"/>
                <w:bCs/>
                <w:sz w:val="20"/>
                <w:szCs w:val="20"/>
              </w:rPr>
            </w:pPr>
            <w:r w:rsidRPr="00691087">
              <w:rPr>
                <w:rFonts w:ascii="Times New Roman" w:hAnsi="Times New Roman" w:cs="Times New Roman"/>
                <w:sz w:val="20"/>
                <w:szCs w:val="20"/>
              </w:rPr>
              <w:t>Total Annual Non-Responses</w:t>
            </w:r>
          </w:p>
        </w:tc>
        <w:tc>
          <w:tcPr>
            <w:tcW w:w="492" w:type="pct"/>
            <w:shd w:val="clear" w:color="auto" w:fill="auto"/>
          </w:tcPr>
          <w:p w14:paraId="6B6C10A1" w14:textId="77777777" w:rsidR="00FF6928" w:rsidRPr="00691087" w:rsidRDefault="00FF6928" w:rsidP="00173B8B">
            <w:pPr>
              <w:keepNext/>
              <w:jc w:val="center"/>
              <w:rPr>
                <w:rFonts w:ascii="Times New Roman" w:hAnsi="Times New Roman" w:cs="Times New Roman"/>
                <w:sz w:val="20"/>
                <w:szCs w:val="20"/>
              </w:rPr>
            </w:pPr>
            <w:r w:rsidRPr="00691087">
              <w:rPr>
                <w:rFonts w:ascii="Times New Roman" w:hAnsi="Times New Roman" w:cs="Times New Roman"/>
                <w:bCs/>
                <w:sz w:val="20"/>
                <w:szCs w:val="20"/>
              </w:rPr>
              <w:t>Average Burden per Response</w:t>
            </w:r>
          </w:p>
        </w:tc>
        <w:tc>
          <w:tcPr>
            <w:tcW w:w="459" w:type="pct"/>
            <w:shd w:val="clear" w:color="auto" w:fill="auto"/>
          </w:tcPr>
          <w:p w14:paraId="2BC6E71A" w14:textId="77777777" w:rsidR="00FF6928" w:rsidRPr="00691087" w:rsidRDefault="00FF6928" w:rsidP="00173B8B">
            <w:pPr>
              <w:keepNext/>
              <w:jc w:val="center"/>
              <w:rPr>
                <w:rFonts w:ascii="Times New Roman" w:hAnsi="Times New Roman" w:cs="Times New Roman"/>
                <w:sz w:val="20"/>
                <w:szCs w:val="20"/>
              </w:rPr>
            </w:pPr>
            <w:r w:rsidRPr="00691087">
              <w:rPr>
                <w:rFonts w:ascii="Times New Roman" w:hAnsi="Times New Roman" w:cs="Times New Roman"/>
                <w:sz w:val="20"/>
                <w:szCs w:val="20"/>
              </w:rPr>
              <w:t>Total Hours</w:t>
            </w:r>
          </w:p>
        </w:tc>
      </w:tr>
      <w:tr w:rsidR="002B4878" w:rsidRPr="00FF6928" w14:paraId="7AE07724" w14:textId="77777777" w:rsidTr="002B4878">
        <w:trPr>
          <w:cantSplit/>
          <w:trHeight w:val="20"/>
        </w:trPr>
        <w:tc>
          <w:tcPr>
            <w:tcW w:w="582" w:type="pct"/>
            <w:shd w:val="clear" w:color="auto" w:fill="auto"/>
          </w:tcPr>
          <w:p w14:paraId="7A9722B6" w14:textId="77777777" w:rsidR="00FF6928" w:rsidRPr="00691087" w:rsidRDefault="00FF6928" w:rsidP="00173B8B">
            <w:pPr>
              <w:rPr>
                <w:rFonts w:ascii="Times New Roman" w:hAnsi="Times New Roman" w:cs="Times New Roman"/>
                <w:sz w:val="20"/>
                <w:szCs w:val="20"/>
              </w:rPr>
            </w:pPr>
          </w:p>
        </w:tc>
        <w:tc>
          <w:tcPr>
            <w:tcW w:w="621" w:type="pct"/>
            <w:shd w:val="clear" w:color="auto" w:fill="auto"/>
          </w:tcPr>
          <w:p w14:paraId="131B86FF" w14:textId="77777777" w:rsidR="00FF6928" w:rsidRPr="00691087" w:rsidRDefault="00FF6928" w:rsidP="00173B8B">
            <w:pPr>
              <w:jc w:val="right"/>
              <w:rPr>
                <w:rFonts w:ascii="Times New Roman" w:hAnsi="Times New Roman" w:cs="Times New Roman"/>
                <w:sz w:val="20"/>
                <w:szCs w:val="20"/>
              </w:rPr>
            </w:pPr>
          </w:p>
        </w:tc>
        <w:tc>
          <w:tcPr>
            <w:tcW w:w="582" w:type="pct"/>
            <w:shd w:val="clear" w:color="auto" w:fill="auto"/>
          </w:tcPr>
          <w:p w14:paraId="2216A740" w14:textId="77777777" w:rsidR="00FF6928" w:rsidRPr="00691087" w:rsidRDefault="00FF6928" w:rsidP="00173B8B">
            <w:pPr>
              <w:jc w:val="right"/>
              <w:rPr>
                <w:rFonts w:ascii="Times New Roman" w:hAnsi="Times New Roman" w:cs="Times New Roman"/>
                <w:sz w:val="20"/>
                <w:szCs w:val="20"/>
              </w:rPr>
            </w:pPr>
          </w:p>
        </w:tc>
        <w:tc>
          <w:tcPr>
            <w:tcW w:w="531" w:type="pct"/>
            <w:shd w:val="clear" w:color="auto" w:fill="auto"/>
          </w:tcPr>
          <w:p w14:paraId="5A1B0815" w14:textId="77777777" w:rsidR="00FF6928" w:rsidRPr="00691087" w:rsidRDefault="00FF6928" w:rsidP="00173B8B">
            <w:pPr>
              <w:jc w:val="right"/>
              <w:rPr>
                <w:rFonts w:ascii="Times New Roman" w:hAnsi="Times New Roman" w:cs="Times New Roman"/>
                <w:sz w:val="20"/>
                <w:szCs w:val="20"/>
              </w:rPr>
            </w:pPr>
          </w:p>
        </w:tc>
        <w:tc>
          <w:tcPr>
            <w:tcW w:w="621" w:type="pct"/>
          </w:tcPr>
          <w:p w14:paraId="5A11F28E" w14:textId="77777777" w:rsidR="00FF6928" w:rsidRPr="00691087" w:rsidRDefault="00FF6928" w:rsidP="00173B8B">
            <w:pPr>
              <w:jc w:val="right"/>
              <w:rPr>
                <w:rFonts w:ascii="Times New Roman" w:hAnsi="Times New Roman" w:cs="Times New Roman"/>
                <w:sz w:val="20"/>
                <w:szCs w:val="20"/>
              </w:rPr>
            </w:pPr>
          </w:p>
        </w:tc>
        <w:tc>
          <w:tcPr>
            <w:tcW w:w="582" w:type="pct"/>
          </w:tcPr>
          <w:p w14:paraId="7D93251F" w14:textId="77777777" w:rsidR="00FF6928" w:rsidRPr="00691087" w:rsidRDefault="00FF6928" w:rsidP="00173B8B">
            <w:pPr>
              <w:jc w:val="right"/>
              <w:rPr>
                <w:rFonts w:ascii="Times New Roman" w:hAnsi="Times New Roman" w:cs="Times New Roman"/>
                <w:sz w:val="20"/>
                <w:szCs w:val="20"/>
              </w:rPr>
            </w:pPr>
          </w:p>
        </w:tc>
        <w:tc>
          <w:tcPr>
            <w:tcW w:w="531" w:type="pct"/>
          </w:tcPr>
          <w:p w14:paraId="110419EA" w14:textId="77777777" w:rsidR="00FF6928" w:rsidRPr="00691087" w:rsidRDefault="00FF6928" w:rsidP="00173B8B">
            <w:pPr>
              <w:jc w:val="right"/>
              <w:rPr>
                <w:rFonts w:ascii="Times New Roman" w:hAnsi="Times New Roman" w:cs="Times New Roman"/>
                <w:sz w:val="20"/>
                <w:szCs w:val="20"/>
              </w:rPr>
            </w:pPr>
          </w:p>
        </w:tc>
        <w:tc>
          <w:tcPr>
            <w:tcW w:w="492" w:type="pct"/>
            <w:shd w:val="clear" w:color="auto" w:fill="auto"/>
          </w:tcPr>
          <w:p w14:paraId="6562DF07" w14:textId="77777777" w:rsidR="00FF6928" w:rsidRPr="00691087" w:rsidRDefault="00FF6928" w:rsidP="00173B8B">
            <w:pPr>
              <w:jc w:val="right"/>
              <w:rPr>
                <w:rFonts w:ascii="Times New Roman" w:hAnsi="Times New Roman" w:cs="Times New Roman"/>
                <w:sz w:val="20"/>
                <w:szCs w:val="20"/>
              </w:rPr>
            </w:pPr>
          </w:p>
        </w:tc>
        <w:tc>
          <w:tcPr>
            <w:tcW w:w="459" w:type="pct"/>
            <w:shd w:val="clear" w:color="auto" w:fill="auto"/>
          </w:tcPr>
          <w:p w14:paraId="1D12F227" w14:textId="77777777" w:rsidR="00FF6928" w:rsidRPr="00691087" w:rsidRDefault="00FF6928" w:rsidP="00173B8B">
            <w:pPr>
              <w:jc w:val="right"/>
              <w:rPr>
                <w:rFonts w:ascii="Times New Roman" w:hAnsi="Times New Roman" w:cs="Times New Roman"/>
                <w:sz w:val="20"/>
                <w:szCs w:val="20"/>
              </w:rPr>
            </w:pPr>
          </w:p>
        </w:tc>
      </w:tr>
      <w:tr w:rsidR="002B4878" w:rsidRPr="00FF6928" w14:paraId="63603A6F" w14:textId="77777777" w:rsidTr="002B4878">
        <w:trPr>
          <w:cantSplit/>
          <w:trHeight w:val="20"/>
        </w:trPr>
        <w:tc>
          <w:tcPr>
            <w:tcW w:w="582" w:type="pct"/>
            <w:shd w:val="clear" w:color="auto" w:fill="auto"/>
          </w:tcPr>
          <w:p w14:paraId="10478A08" w14:textId="77777777" w:rsidR="00FF6928" w:rsidRPr="00691087" w:rsidRDefault="00FF6928" w:rsidP="00173B8B">
            <w:pPr>
              <w:rPr>
                <w:rFonts w:ascii="Times New Roman" w:hAnsi="Times New Roman" w:cs="Times New Roman"/>
                <w:sz w:val="20"/>
                <w:szCs w:val="20"/>
              </w:rPr>
            </w:pPr>
            <w:r w:rsidRPr="00691087">
              <w:rPr>
                <w:rFonts w:ascii="Times New Roman" w:hAnsi="Times New Roman" w:cs="Times New Roman"/>
                <w:sz w:val="20"/>
                <w:szCs w:val="20"/>
              </w:rPr>
              <w:t>2019-2020 Data Collection (Retail Food Stores)</w:t>
            </w:r>
            <w:r w:rsidR="00691087">
              <w:rPr>
                <w:rFonts w:ascii="Times New Roman" w:hAnsi="Times New Roman" w:cs="Times New Roman"/>
                <w:sz w:val="20"/>
                <w:szCs w:val="20"/>
              </w:rPr>
              <w:t xml:space="preserve"> </w:t>
            </w:r>
            <w:r w:rsidRPr="00691087">
              <w:rPr>
                <w:rFonts w:ascii="Times New Roman" w:hAnsi="Times New Roman" w:cs="Times New Roman"/>
                <w:sz w:val="20"/>
                <w:szCs w:val="20"/>
              </w:rPr>
              <w:t>Completion of Sections 1 and 3</w:t>
            </w:r>
          </w:p>
        </w:tc>
        <w:tc>
          <w:tcPr>
            <w:tcW w:w="621" w:type="pct"/>
            <w:shd w:val="clear" w:color="auto" w:fill="auto"/>
          </w:tcPr>
          <w:p w14:paraId="23870264"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400</w:t>
            </w:r>
          </w:p>
        </w:tc>
        <w:tc>
          <w:tcPr>
            <w:tcW w:w="582" w:type="pct"/>
            <w:shd w:val="clear" w:color="auto" w:fill="auto"/>
          </w:tcPr>
          <w:p w14:paraId="0D73739F"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1</w:t>
            </w:r>
          </w:p>
        </w:tc>
        <w:tc>
          <w:tcPr>
            <w:tcW w:w="531" w:type="pct"/>
            <w:shd w:val="clear" w:color="auto" w:fill="auto"/>
          </w:tcPr>
          <w:p w14:paraId="21276491"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400</w:t>
            </w:r>
          </w:p>
        </w:tc>
        <w:tc>
          <w:tcPr>
            <w:tcW w:w="621" w:type="pct"/>
          </w:tcPr>
          <w:p w14:paraId="7F49E54A"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w:t>
            </w:r>
          </w:p>
        </w:tc>
        <w:tc>
          <w:tcPr>
            <w:tcW w:w="582" w:type="pct"/>
          </w:tcPr>
          <w:p w14:paraId="50EE472F"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w:t>
            </w:r>
          </w:p>
        </w:tc>
        <w:tc>
          <w:tcPr>
            <w:tcW w:w="531" w:type="pct"/>
          </w:tcPr>
          <w:p w14:paraId="602DC74A"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w:t>
            </w:r>
          </w:p>
        </w:tc>
        <w:tc>
          <w:tcPr>
            <w:tcW w:w="492" w:type="pct"/>
            <w:shd w:val="clear" w:color="auto" w:fill="auto"/>
          </w:tcPr>
          <w:p w14:paraId="57434D54"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3</w:t>
            </w:r>
          </w:p>
        </w:tc>
        <w:tc>
          <w:tcPr>
            <w:tcW w:w="459" w:type="pct"/>
            <w:shd w:val="clear" w:color="auto" w:fill="auto"/>
          </w:tcPr>
          <w:p w14:paraId="4BFA7B7D"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1,200</w:t>
            </w:r>
          </w:p>
        </w:tc>
      </w:tr>
      <w:tr w:rsidR="002B4878" w:rsidRPr="00FF6928" w14:paraId="118E0DE3" w14:textId="77777777" w:rsidTr="002B4878">
        <w:trPr>
          <w:cantSplit/>
          <w:trHeight w:val="20"/>
        </w:trPr>
        <w:tc>
          <w:tcPr>
            <w:tcW w:w="582" w:type="pct"/>
            <w:shd w:val="clear" w:color="auto" w:fill="auto"/>
          </w:tcPr>
          <w:p w14:paraId="7DAE8DDC" w14:textId="77777777" w:rsidR="00FF6928" w:rsidRPr="00691087" w:rsidRDefault="00FF6928" w:rsidP="00173B8B">
            <w:pPr>
              <w:rPr>
                <w:rFonts w:ascii="Times New Roman" w:hAnsi="Times New Roman" w:cs="Times New Roman"/>
                <w:sz w:val="20"/>
                <w:szCs w:val="20"/>
              </w:rPr>
            </w:pPr>
            <w:r w:rsidRPr="00691087">
              <w:rPr>
                <w:rFonts w:ascii="Times New Roman" w:hAnsi="Times New Roman" w:cs="Times New Roman"/>
                <w:sz w:val="20"/>
                <w:szCs w:val="20"/>
              </w:rPr>
              <w:t>2019-2020 Data Collection-Completion of Section 2--All Facility Types</w:t>
            </w:r>
          </w:p>
        </w:tc>
        <w:tc>
          <w:tcPr>
            <w:tcW w:w="621" w:type="pct"/>
            <w:shd w:val="clear" w:color="auto" w:fill="auto"/>
          </w:tcPr>
          <w:p w14:paraId="2C853373" w14:textId="77777777" w:rsidR="00FF6928" w:rsidRPr="00691087" w:rsidRDefault="00E72D25" w:rsidP="00173B8B">
            <w:pPr>
              <w:jc w:val="right"/>
              <w:rPr>
                <w:rFonts w:ascii="Times New Roman" w:hAnsi="Times New Roman" w:cs="Times New Roman"/>
                <w:sz w:val="20"/>
                <w:szCs w:val="20"/>
              </w:rPr>
            </w:pPr>
            <w:r>
              <w:rPr>
                <w:rFonts w:ascii="Times New Roman" w:hAnsi="Times New Roman" w:cs="Times New Roman"/>
                <w:sz w:val="20"/>
                <w:szCs w:val="20"/>
              </w:rPr>
              <w:t>400</w:t>
            </w:r>
          </w:p>
        </w:tc>
        <w:tc>
          <w:tcPr>
            <w:tcW w:w="582" w:type="pct"/>
            <w:shd w:val="clear" w:color="auto" w:fill="auto"/>
          </w:tcPr>
          <w:p w14:paraId="0D138671"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1</w:t>
            </w:r>
          </w:p>
        </w:tc>
        <w:tc>
          <w:tcPr>
            <w:tcW w:w="531" w:type="pct"/>
            <w:shd w:val="clear" w:color="auto" w:fill="auto"/>
          </w:tcPr>
          <w:p w14:paraId="4119515A" w14:textId="77777777" w:rsidR="00FF6928" w:rsidRPr="00691087" w:rsidRDefault="00E72D25" w:rsidP="00173B8B">
            <w:pPr>
              <w:jc w:val="right"/>
              <w:rPr>
                <w:rFonts w:ascii="Times New Roman" w:hAnsi="Times New Roman" w:cs="Times New Roman"/>
                <w:sz w:val="20"/>
                <w:szCs w:val="20"/>
              </w:rPr>
            </w:pPr>
            <w:r>
              <w:rPr>
                <w:rFonts w:ascii="Times New Roman" w:hAnsi="Times New Roman" w:cs="Times New Roman"/>
                <w:sz w:val="20"/>
                <w:szCs w:val="20"/>
              </w:rPr>
              <w:t>400</w:t>
            </w:r>
          </w:p>
        </w:tc>
        <w:tc>
          <w:tcPr>
            <w:tcW w:w="621" w:type="pct"/>
          </w:tcPr>
          <w:p w14:paraId="0352BB4C"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w:t>
            </w:r>
          </w:p>
        </w:tc>
        <w:tc>
          <w:tcPr>
            <w:tcW w:w="582" w:type="pct"/>
          </w:tcPr>
          <w:p w14:paraId="17E7FEAC"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w:t>
            </w:r>
          </w:p>
        </w:tc>
        <w:tc>
          <w:tcPr>
            <w:tcW w:w="531" w:type="pct"/>
          </w:tcPr>
          <w:p w14:paraId="3A21B878"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w:t>
            </w:r>
          </w:p>
        </w:tc>
        <w:tc>
          <w:tcPr>
            <w:tcW w:w="492" w:type="pct"/>
            <w:shd w:val="clear" w:color="auto" w:fill="auto"/>
          </w:tcPr>
          <w:p w14:paraId="3AAEB5FA"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0.5</w:t>
            </w:r>
          </w:p>
          <w:p w14:paraId="5B87FE40"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(30 minutes)</w:t>
            </w:r>
          </w:p>
        </w:tc>
        <w:tc>
          <w:tcPr>
            <w:tcW w:w="459" w:type="pct"/>
            <w:shd w:val="clear" w:color="auto" w:fill="auto"/>
          </w:tcPr>
          <w:p w14:paraId="0B31D391" w14:textId="77777777" w:rsidR="00FF6928" w:rsidRPr="00691087" w:rsidRDefault="00E72D25" w:rsidP="00173B8B">
            <w:pPr>
              <w:jc w:val="right"/>
              <w:rPr>
                <w:rFonts w:ascii="Times New Roman" w:hAnsi="Times New Roman" w:cs="Times New Roman"/>
                <w:sz w:val="20"/>
                <w:szCs w:val="20"/>
              </w:rPr>
            </w:pPr>
            <w:r>
              <w:rPr>
                <w:rFonts w:ascii="Times New Roman" w:hAnsi="Times New Roman" w:cs="Times New Roman"/>
                <w:sz w:val="20"/>
                <w:szCs w:val="20"/>
              </w:rPr>
              <w:t>200</w:t>
            </w:r>
          </w:p>
        </w:tc>
      </w:tr>
      <w:tr w:rsidR="002B4878" w:rsidRPr="00FF6928" w14:paraId="0AD38A33" w14:textId="77777777" w:rsidTr="002B4878">
        <w:trPr>
          <w:cantSplit/>
          <w:trHeight w:val="20"/>
        </w:trPr>
        <w:tc>
          <w:tcPr>
            <w:tcW w:w="582" w:type="pct"/>
            <w:shd w:val="clear" w:color="auto" w:fill="auto"/>
          </w:tcPr>
          <w:p w14:paraId="11B77763" w14:textId="77777777" w:rsidR="00FF6928" w:rsidRPr="00691087" w:rsidRDefault="00FF6928" w:rsidP="00173B8B">
            <w:pPr>
              <w:rPr>
                <w:rFonts w:ascii="Times New Roman" w:hAnsi="Times New Roman" w:cs="Times New Roman"/>
                <w:sz w:val="20"/>
                <w:szCs w:val="20"/>
              </w:rPr>
            </w:pPr>
            <w:r w:rsidRPr="00691087">
              <w:rPr>
                <w:rFonts w:ascii="Times New Roman" w:hAnsi="Times New Roman" w:cs="Times New Roman"/>
                <w:sz w:val="20"/>
                <w:szCs w:val="20"/>
              </w:rPr>
              <w:t>2019-2020 Data Collection-Entry Refusals--All Facility Types</w:t>
            </w:r>
          </w:p>
        </w:tc>
        <w:tc>
          <w:tcPr>
            <w:tcW w:w="621" w:type="pct"/>
            <w:shd w:val="clear" w:color="auto" w:fill="auto"/>
          </w:tcPr>
          <w:p w14:paraId="466BD41A"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w:t>
            </w:r>
          </w:p>
        </w:tc>
        <w:tc>
          <w:tcPr>
            <w:tcW w:w="582" w:type="pct"/>
            <w:shd w:val="clear" w:color="auto" w:fill="auto"/>
          </w:tcPr>
          <w:p w14:paraId="31B4B9B2"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w:t>
            </w:r>
          </w:p>
        </w:tc>
        <w:tc>
          <w:tcPr>
            <w:tcW w:w="531" w:type="pct"/>
            <w:shd w:val="clear" w:color="auto" w:fill="auto"/>
          </w:tcPr>
          <w:p w14:paraId="7D44A9BE"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w:t>
            </w:r>
          </w:p>
        </w:tc>
        <w:tc>
          <w:tcPr>
            <w:tcW w:w="621" w:type="pct"/>
          </w:tcPr>
          <w:p w14:paraId="4E30D42F" w14:textId="77777777" w:rsidR="00FF6928" w:rsidRPr="00691087" w:rsidRDefault="00E72D25" w:rsidP="00173B8B">
            <w:pPr>
              <w:jc w:val="right"/>
              <w:rPr>
                <w:rFonts w:ascii="Times New Roman" w:hAnsi="Times New Roman" w:cs="Times New Roman"/>
                <w:sz w:val="20"/>
                <w:szCs w:val="20"/>
              </w:rPr>
            </w:pPr>
            <w:r>
              <w:rPr>
                <w:rFonts w:ascii="Times New Roman" w:hAnsi="Times New Roman" w:cs="Times New Roman"/>
                <w:sz w:val="20"/>
                <w:szCs w:val="20"/>
              </w:rPr>
              <w:t>8</w:t>
            </w:r>
          </w:p>
        </w:tc>
        <w:tc>
          <w:tcPr>
            <w:tcW w:w="582" w:type="pct"/>
          </w:tcPr>
          <w:p w14:paraId="4248FA26"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1</w:t>
            </w:r>
          </w:p>
        </w:tc>
        <w:tc>
          <w:tcPr>
            <w:tcW w:w="531" w:type="pct"/>
          </w:tcPr>
          <w:p w14:paraId="04B14CF0" w14:textId="77777777" w:rsidR="00FF6928" w:rsidRPr="00691087" w:rsidRDefault="00E72D25" w:rsidP="00173B8B">
            <w:pPr>
              <w:jc w:val="right"/>
              <w:rPr>
                <w:rFonts w:ascii="Times New Roman" w:hAnsi="Times New Roman" w:cs="Times New Roman"/>
                <w:sz w:val="20"/>
                <w:szCs w:val="20"/>
              </w:rPr>
            </w:pPr>
            <w:r>
              <w:rPr>
                <w:rFonts w:ascii="Times New Roman" w:hAnsi="Times New Roman" w:cs="Times New Roman"/>
                <w:sz w:val="20"/>
                <w:szCs w:val="20"/>
              </w:rPr>
              <w:t>8</w:t>
            </w:r>
          </w:p>
        </w:tc>
        <w:tc>
          <w:tcPr>
            <w:tcW w:w="492" w:type="pct"/>
            <w:shd w:val="clear" w:color="auto" w:fill="auto"/>
          </w:tcPr>
          <w:p w14:paraId="20E15175"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0.08</w:t>
            </w:r>
          </w:p>
          <w:p w14:paraId="7EFEA6CE" w14:textId="77777777" w:rsidR="00FF6928" w:rsidRPr="00691087" w:rsidRDefault="00FF6928" w:rsidP="00173B8B">
            <w:pPr>
              <w:jc w:val="right"/>
              <w:rPr>
                <w:rFonts w:ascii="Times New Roman" w:hAnsi="Times New Roman" w:cs="Times New Roman"/>
                <w:sz w:val="20"/>
                <w:szCs w:val="20"/>
              </w:rPr>
            </w:pPr>
            <w:r w:rsidRPr="00691087">
              <w:rPr>
                <w:rFonts w:ascii="Times New Roman" w:hAnsi="Times New Roman" w:cs="Times New Roman"/>
                <w:sz w:val="20"/>
                <w:szCs w:val="20"/>
              </w:rPr>
              <w:t>(5 minutes)</w:t>
            </w:r>
          </w:p>
        </w:tc>
        <w:tc>
          <w:tcPr>
            <w:tcW w:w="459" w:type="pct"/>
            <w:shd w:val="clear" w:color="auto" w:fill="auto"/>
          </w:tcPr>
          <w:p w14:paraId="0A521A9C" w14:textId="77777777" w:rsidR="00FF6928" w:rsidRPr="00691087" w:rsidRDefault="008A1F18" w:rsidP="00173B8B">
            <w:pPr>
              <w:jc w:val="right"/>
              <w:rPr>
                <w:rFonts w:ascii="Times New Roman" w:hAnsi="Times New Roman" w:cs="Times New Roman"/>
                <w:sz w:val="20"/>
                <w:szCs w:val="20"/>
              </w:rPr>
            </w:pPr>
            <w:r>
              <w:rPr>
                <w:rFonts w:ascii="Times New Roman" w:hAnsi="Times New Roman" w:cs="Times New Roman"/>
                <w:sz w:val="20"/>
                <w:szCs w:val="20"/>
              </w:rPr>
              <w:t>.64</w:t>
            </w:r>
          </w:p>
        </w:tc>
      </w:tr>
      <w:tr w:rsidR="00FF6928" w:rsidRPr="00FF6928" w14:paraId="5887755E" w14:textId="77777777" w:rsidTr="00691087">
        <w:trPr>
          <w:cantSplit/>
          <w:trHeight w:val="20"/>
        </w:trPr>
        <w:tc>
          <w:tcPr>
            <w:tcW w:w="4541" w:type="pct"/>
            <w:gridSpan w:val="8"/>
          </w:tcPr>
          <w:p w14:paraId="70696A7E" w14:textId="77777777" w:rsidR="00FF6928" w:rsidRPr="00691087" w:rsidRDefault="00FF6928" w:rsidP="00173B8B">
            <w:pPr>
              <w:rPr>
                <w:rFonts w:ascii="Times New Roman" w:hAnsi="Times New Roman" w:cs="Times New Roman"/>
                <w:sz w:val="20"/>
                <w:szCs w:val="20"/>
              </w:rPr>
            </w:pPr>
            <w:r w:rsidRPr="00691087">
              <w:rPr>
                <w:rFonts w:ascii="Times New Roman" w:hAnsi="Times New Roman" w:cs="Times New Roman"/>
                <w:sz w:val="20"/>
                <w:szCs w:val="20"/>
              </w:rPr>
              <w:t>Total</w:t>
            </w:r>
          </w:p>
        </w:tc>
        <w:tc>
          <w:tcPr>
            <w:tcW w:w="459" w:type="pct"/>
            <w:shd w:val="clear" w:color="auto" w:fill="auto"/>
          </w:tcPr>
          <w:p w14:paraId="172744CF" w14:textId="77777777" w:rsidR="00FF6928" w:rsidRPr="00691087" w:rsidRDefault="00E72D25" w:rsidP="00173B8B">
            <w:pPr>
              <w:jc w:val="center"/>
              <w:rPr>
                <w:rFonts w:ascii="Times New Roman" w:hAnsi="Times New Roman" w:cs="Times New Roman"/>
                <w:sz w:val="20"/>
                <w:szCs w:val="20"/>
              </w:rPr>
            </w:pPr>
            <w:r>
              <w:rPr>
                <w:rFonts w:ascii="Times New Roman" w:hAnsi="Times New Roman" w:cs="Times New Roman"/>
                <w:sz w:val="20"/>
                <w:szCs w:val="20"/>
              </w:rPr>
              <w:t>1,400.64</w:t>
            </w:r>
          </w:p>
        </w:tc>
      </w:tr>
    </w:tbl>
    <w:p w14:paraId="762FD5AD" w14:textId="324FBDBF" w:rsidR="00E4265C" w:rsidRPr="00691087" w:rsidRDefault="00270AE0">
      <w:pPr>
        <w:rPr>
          <w:rFonts w:ascii="Times New Roman" w:hAnsi="Times New Roman" w:cs="Times New Roman"/>
          <w:sz w:val="24"/>
          <w:szCs w:val="24"/>
        </w:rPr>
      </w:pPr>
      <w:r>
        <w:rPr>
          <w:rFonts w:ascii="Times New Roman" w:hAnsi="Times New Roman" w:cs="Times New Roman"/>
          <w:sz w:val="24"/>
          <w:szCs w:val="24"/>
        </w:rPr>
        <w:t xml:space="preserve">A breakdown </w:t>
      </w:r>
      <w:r w:rsidR="009A3C3E" w:rsidRPr="00691087">
        <w:rPr>
          <w:rFonts w:ascii="Times New Roman" w:hAnsi="Times New Roman" w:cs="Times New Roman"/>
          <w:sz w:val="24"/>
          <w:szCs w:val="24"/>
        </w:rPr>
        <w:t xml:space="preserve">of </w:t>
      </w:r>
      <w:r w:rsidR="00D67BE6" w:rsidRPr="00691087">
        <w:rPr>
          <w:rFonts w:ascii="Times New Roman" w:hAnsi="Times New Roman" w:cs="Times New Roman"/>
          <w:sz w:val="24"/>
          <w:szCs w:val="24"/>
        </w:rPr>
        <w:t>c</w:t>
      </w:r>
      <w:r w:rsidR="000F40B2" w:rsidRPr="00691087">
        <w:rPr>
          <w:rFonts w:ascii="Times New Roman" w:hAnsi="Times New Roman" w:cs="Times New Roman"/>
          <w:sz w:val="24"/>
          <w:szCs w:val="24"/>
        </w:rPr>
        <w:t xml:space="preserve">hanges to industry burden: The proposed collection of Deli data only </w:t>
      </w:r>
      <w:r w:rsidR="00C70355">
        <w:rPr>
          <w:rFonts w:ascii="Times New Roman" w:hAnsi="Times New Roman" w:cs="Times New Roman"/>
          <w:sz w:val="24"/>
          <w:szCs w:val="24"/>
        </w:rPr>
        <w:t>is expected to</w:t>
      </w:r>
      <w:r w:rsidR="000F40B2" w:rsidRPr="00691087">
        <w:rPr>
          <w:rFonts w:ascii="Times New Roman" w:hAnsi="Times New Roman" w:cs="Times New Roman"/>
          <w:sz w:val="24"/>
          <w:szCs w:val="24"/>
        </w:rPr>
        <w:t xml:space="preserve"> result in an estimated </w:t>
      </w:r>
      <w:r w:rsidR="00C70355">
        <w:rPr>
          <w:rFonts w:ascii="Times New Roman" w:hAnsi="Times New Roman" w:cs="Times New Roman"/>
          <w:sz w:val="24"/>
          <w:szCs w:val="24"/>
        </w:rPr>
        <w:t xml:space="preserve">decrease of </w:t>
      </w:r>
      <w:r w:rsidR="000F40B2" w:rsidRPr="00691087">
        <w:rPr>
          <w:rFonts w:ascii="Times New Roman" w:hAnsi="Times New Roman" w:cs="Times New Roman"/>
          <w:sz w:val="24"/>
          <w:szCs w:val="24"/>
        </w:rPr>
        <w:t xml:space="preserve">-2201 hours for the industry.  </w:t>
      </w:r>
    </w:p>
    <w:p w14:paraId="242535C6" w14:textId="77777777" w:rsidR="000F40B2" w:rsidRPr="00691087" w:rsidRDefault="000F40B2" w:rsidP="000F40B2">
      <w:pPr>
        <w:pStyle w:val="ListParagraph"/>
        <w:numPr>
          <w:ilvl w:val="0"/>
          <w:numId w:val="1"/>
        </w:numPr>
        <w:rPr>
          <w:rFonts w:ascii="Times New Roman" w:hAnsi="Times New Roman" w:cs="Times New Roman"/>
          <w:sz w:val="24"/>
          <w:szCs w:val="24"/>
        </w:rPr>
      </w:pPr>
      <w:r w:rsidRPr="00691087">
        <w:rPr>
          <w:rFonts w:ascii="Times New Roman" w:hAnsi="Times New Roman" w:cs="Times New Roman"/>
          <w:sz w:val="24"/>
          <w:szCs w:val="24"/>
        </w:rPr>
        <w:t>Removing healthcare facilities:</w:t>
      </w:r>
      <w:r w:rsidR="00C70355">
        <w:rPr>
          <w:rFonts w:ascii="Times New Roman" w:hAnsi="Times New Roman" w:cs="Times New Roman"/>
          <w:sz w:val="24"/>
          <w:szCs w:val="24"/>
        </w:rPr>
        <w:t xml:space="preserve"> expected decrease of</w:t>
      </w:r>
      <w:r w:rsidRPr="00691087">
        <w:rPr>
          <w:rFonts w:ascii="Times New Roman" w:hAnsi="Times New Roman" w:cs="Times New Roman"/>
          <w:sz w:val="24"/>
          <w:szCs w:val="24"/>
        </w:rPr>
        <w:t xml:space="preserve"> -1000 hours (400 collections x 2.5</w:t>
      </w:r>
      <w:r w:rsidR="00C70355">
        <w:rPr>
          <w:rFonts w:ascii="Times New Roman" w:hAnsi="Times New Roman" w:cs="Times New Roman"/>
          <w:sz w:val="24"/>
          <w:szCs w:val="24"/>
        </w:rPr>
        <w:t xml:space="preserve"> </w:t>
      </w:r>
      <w:r w:rsidRPr="00691087">
        <w:rPr>
          <w:rFonts w:ascii="Times New Roman" w:hAnsi="Times New Roman" w:cs="Times New Roman"/>
          <w:sz w:val="24"/>
          <w:szCs w:val="24"/>
        </w:rPr>
        <w:t>h</w:t>
      </w:r>
      <w:r w:rsidR="009951E1">
        <w:rPr>
          <w:rFonts w:ascii="Times New Roman" w:hAnsi="Times New Roman" w:cs="Times New Roman"/>
          <w:sz w:val="24"/>
          <w:szCs w:val="24"/>
        </w:rPr>
        <w:t>ou</w:t>
      </w:r>
      <w:r w:rsidRPr="00691087">
        <w:rPr>
          <w:rFonts w:ascii="Times New Roman" w:hAnsi="Times New Roman" w:cs="Times New Roman"/>
          <w:sz w:val="24"/>
          <w:szCs w:val="24"/>
        </w:rPr>
        <w:t>rs per collection)</w:t>
      </w:r>
    </w:p>
    <w:p w14:paraId="428CC45F" w14:textId="77777777" w:rsidR="000F40B2" w:rsidRPr="00691087" w:rsidRDefault="000F40B2" w:rsidP="000F40B2">
      <w:pPr>
        <w:pStyle w:val="ListParagraph"/>
        <w:numPr>
          <w:ilvl w:val="0"/>
          <w:numId w:val="1"/>
        </w:numPr>
        <w:rPr>
          <w:rFonts w:ascii="Times New Roman" w:hAnsi="Times New Roman" w:cs="Times New Roman"/>
          <w:sz w:val="24"/>
          <w:szCs w:val="24"/>
        </w:rPr>
      </w:pPr>
      <w:r w:rsidRPr="00691087">
        <w:rPr>
          <w:rFonts w:ascii="Times New Roman" w:hAnsi="Times New Roman" w:cs="Times New Roman"/>
          <w:sz w:val="24"/>
          <w:szCs w:val="24"/>
        </w:rPr>
        <w:t xml:space="preserve">Removing schools: </w:t>
      </w:r>
      <w:r w:rsidR="00C70355">
        <w:rPr>
          <w:rFonts w:ascii="Times New Roman" w:hAnsi="Times New Roman" w:cs="Times New Roman"/>
          <w:sz w:val="24"/>
          <w:szCs w:val="24"/>
        </w:rPr>
        <w:t xml:space="preserve">expected decrease of </w:t>
      </w:r>
      <w:r w:rsidRPr="00691087">
        <w:rPr>
          <w:rFonts w:ascii="Times New Roman" w:hAnsi="Times New Roman" w:cs="Times New Roman"/>
          <w:sz w:val="24"/>
          <w:szCs w:val="24"/>
        </w:rPr>
        <w:t>-800 hours (400 collections x 2</w:t>
      </w:r>
      <w:r w:rsidR="00C70355">
        <w:rPr>
          <w:rFonts w:ascii="Times New Roman" w:hAnsi="Times New Roman" w:cs="Times New Roman"/>
          <w:sz w:val="24"/>
          <w:szCs w:val="24"/>
        </w:rPr>
        <w:t xml:space="preserve"> </w:t>
      </w:r>
      <w:r w:rsidRPr="00691087">
        <w:rPr>
          <w:rFonts w:ascii="Times New Roman" w:hAnsi="Times New Roman" w:cs="Times New Roman"/>
          <w:sz w:val="24"/>
          <w:szCs w:val="24"/>
        </w:rPr>
        <w:t>h</w:t>
      </w:r>
      <w:r w:rsidR="009951E1">
        <w:rPr>
          <w:rFonts w:ascii="Times New Roman" w:hAnsi="Times New Roman" w:cs="Times New Roman"/>
          <w:sz w:val="24"/>
          <w:szCs w:val="24"/>
        </w:rPr>
        <w:t>ou</w:t>
      </w:r>
      <w:r w:rsidRPr="00691087">
        <w:rPr>
          <w:rFonts w:ascii="Times New Roman" w:hAnsi="Times New Roman" w:cs="Times New Roman"/>
          <w:sz w:val="24"/>
          <w:szCs w:val="24"/>
        </w:rPr>
        <w:t>rs per collection)</w:t>
      </w:r>
    </w:p>
    <w:p w14:paraId="2D564961" w14:textId="77777777" w:rsidR="000F40B2" w:rsidRPr="00691087" w:rsidRDefault="000F40B2" w:rsidP="000F40B2">
      <w:pPr>
        <w:pStyle w:val="ListParagraph"/>
        <w:numPr>
          <w:ilvl w:val="0"/>
          <w:numId w:val="1"/>
        </w:numPr>
        <w:rPr>
          <w:rFonts w:ascii="Times New Roman" w:hAnsi="Times New Roman" w:cs="Times New Roman"/>
          <w:sz w:val="24"/>
          <w:szCs w:val="24"/>
        </w:rPr>
      </w:pPr>
      <w:r w:rsidRPr="00691087">
        <w:rPr>
          <w:rFonts w:ascii="Times New Roman" w:hAnsi="Times New Roman" w:cs="Times New Roman"/>
          <w:sz w:val="24"/>
          <w:szCs w:val="24"/>
        </w:rPr>
        <w:t>No change to industry burden for retail food stores completion of sections 1 and 3 (row 1 in the table above)</w:t>
      </w:r>
    </w:p>
    <w:p w14:paraId="6249D20C" w14:textId="77777777" w:rsidR="000F40B2" w:rsidRPr="00691087" w:rsidRDefault="000F40B2" w:rsidP="000F40B2">
      <w:pPr>
        <w:pStyle w:val="ListParagraph"/>
        <w:numPr>
          <w:ilvl w:val="0"/>
          <w:numId w:val="1"/>
        </w:numPr>
        <w:rPr>
          <w:rFonts w:ascii="Times New Roman" w:hAnsi="Times New Roman" w:cs="Times New Roman"/>
          <w:sz w:val="24"/>
          <w:szCs w:val="24"/>
        </w:rPr>
      </w:pPr>
      <w:r w:rsidRPr="00691087">
        <w:rPr>
          <w:rFonts w:ascii="Times New Roman" w:hAnsi="Times New Roman" w:cs="Times New Roman"/>
          <w:sz w:val="24"/>
          <w:szCs w:val="24"/>
        </w:rPr>
        <w:t>Removing schools and healthcare facilities also reduces the completion of section 2 for all facility types by 400 hours (-800 responses x .5</w:t>
      </w:r>
      <w:r w:rsidR="00C70355">
        <w:rPr>
          <w:rFonts w:ascii="Times New Roman" w:hAnsi="Times New Roman" w:cs="Times New Roman"/>
          <w:sz w:val="24"/>
          <w:szCs w:val="24"/>
        </w:rPr>
        <w:t xml:space="preserve"> </w:t>
      </w:r>
      <w:r w:rsidRPr="00691087">
        <w:rPr>
          <w:rFonts w:ascii="Times New Roman" w:hAnsi="Times New Roman" w:cs="Times New Roman"/>
          <w:sz w:val="24"/>
          <w:szCs w:val="24"/>
        </w:rPr>
        <w:t>h</w:t>
      </w:r>
      <w:r w:rsidR="009951E1">
        <w:rPr>
          <w:rFonts w:ascii="Times New Roman" w:hAnsi="Times New Roman" w:cs="Times New Roman"/>
          <w:sz w:val="24"/>
          <w:szCs w:val="24"/>
        </w:rPr>
        <w:t>ou</w:t>
      </w:r>
      <w:r w:rsidRPr="00691087">
        <w:rPr>
          <w:rFonts w:ascii="Times New Roman" w:hAnsi="Times New Roman" w:cs="Times New Roman"/>
          <w:sz w:val="24"/>
          <w:szCs w:val="24"/>
        </w:rPr>
        <w:t>r</w:t>
      </w:r>
      <w:r w:rsidR="009951E1">
        <w:rPr>
          <w:rFonts w:ascii="Times New Roman" w:hAnsi="Times New Roman" w:cs="Times New Roman"/>
          <w:sz w:val="24"/>
          <w:szCs w:val="24"/>
        </w:rPr>
        <w:t>s</w:t>
      </w:r>
      <w:r w:rsidRPr="00691087">
        <w:rPr>
          <w:rFonts w:ascii="Times New Roman" w:hAnsi="Times New Roman" w:cs="Times New Roman"/>
          <w:sz w:val="24"/>
          <w:szCs w:val="24"/>
        </w:rPr>
        <w:t xml:space="preserve"> per response)</w:t>
      </w:r>
    </w:p>
    <w:p w14:paraId="450BFEF6" w14:textId="77777777" w:rsidR="009C2E6A" w:rsidRPr="00691087" w:rsidRDefault="000F40B2" w:rsidP="002B4EAA">
      <w:pPr>
        <w:pStyle w:val="ListParagraph"/>
        <w:numPr>
          <w:ilvl w:val="0"/>
          <w:numId w:val="1"/>
        </w:numPr>
        <w:rPr>
          <w:rFonts w:ascii="Times New Roman" w:hAnsi="Times New Roman" w:cs="Times New Roman"/>
          <w:sz w:val="24"/>
          <w:szCs w:val="24"/>
        </w:rPr>
      </w:pPr>
      <w:r w:rsidRPr="00691087">
        <w:rPr>
          <w:rFonts w:ascii="Times New Roman" w:hAnsi="Times New Roman" w:cs="Times New Roman"/>
          <w:sz w:val="24"/>
          <w:szCs w:val="24"/>
        </w:rPr>
        <w:t xml:space="preserve">We would anticipate per our estimate of a </w:t>
      </w:r>
      <w:r w:rsidR="00C70355">
        <w:rPr>
          <w:rFonts w:ascii="Times New Roman" w:hAnsi="Times New Roman" w:cs="Times New Roman"/>
          <w:sz w:val="24"/>
          <w:szCs w:val="24"/>
        </w:rPr>
        <w:t>0</w:t>
      </w:r>
      <w:r w:rsidRPr="00691087">
        <w:rPr>
          <w:rFonts w:ascii="Times New Roman" w:hAnsi="Times New Roman" w:cs="Times New Roman"/>
          <w:sz w:val="24"/>
          <w:szCs w:val="24"/>
        </w:rPr>
        <w:t>.5% refusal rate that we would have a reduction in the refusals from 24 to 8 (</w:t>
      </w:r>
      <w:r w:rsidR="005925AA">
        <w:rPr>
          <w:rFonts w:ascii="Times New Roman" w:hAnsi="Times New Roman" w:cs="Times New Roman"/>
          <w:sz w:val="24"/>
          <w:szCs w:val="24"/>
        </w:rPr>
        <w:t xml:space="preserve">a decrease of </w:t>
      </w:r>
      <w:r w:rsidRPr="00691087">
        <w:rPr>
          <w:rFonts w:ascii="Times New Roman" w:hAnsi="Times New Roman" w:cs="Times New Roman"/>
          <w:sz w:val="24"/>
          <w:szCs w:val="24"/>
        </w:rPr>
        <w:t>-16 refusals) for a -1.2</w:t>
      </w:r>
      <w:r w:rsidR="009A3C3E" w:rsidRPr="00691087">
        <w:rPr>
          <w:rFonts w:ascii="Times New Roman" w:hAnsi="Times New Roman" w:cs="Times New Roman"/>
          <w:sz w:val="24"/>
          <w:szCs w:val="24"/>
        </w:rPr>
        <w:t>8</w:t>
      </w:r>
      <w:r w:rsidR="00C70355">
        <w:rPr>
          <w:rFonts w:ascii="Times New Roman" w:hAnsi="Times New Roman" w:cs="Times New Roman"/>
          <w:sz w:val="24"/>
          <w:szCs w:val="24"/>
        </w:rPr>
        <w:t xml:space="preserve"> </w:t>
      </w:r>
      <w:r w:rsidRPr="00691087">
        <w:rPr>
          <w:rFonts w:ascii="Times New Roman" w:hAnsi="Times New Roman" w:cs="Times New Roman"/>
          <w:sz w:val="24"/>
          <w:szCs w:val="24"/>
        </w:rPr>
        <w:t>h</w:t>
      </w:r>
      <w:r w:rsidR="009951E1">
        <w:rPr>
          <w:rFonts w:ascii="Times New Roman" w:hAnsi="Times New Roman" w:cs="Times New Roman"/>
          <w:sz w:val="24"/>
          <w:szCs w:val="24"/>
        </w:rPr>
        <w:t>ou</w:t>
      </w:r>
      <w:r w:rsidRPr="00691087">
        <w:rPr>
          <w:rFonts w:ascii="Times New Roman" w:hAnsi="Times New Roman" w:cs="Times New Roman"/>
          <w:sz w:val="24"/>
          <w:szCs w:val="24"/>
        </w:rPr>
        <w:t>r reduction due to refusals (8 refusals x 5 minutes per refusal)</w:t>
      </w:r>
    </w:p>
    <w:p w14:paraId="7840ECB8" w14:textId="50630E32" w:rsidR="00E4265C" w:rsidRDefault="00D67BE6">
      <w:r w:rsidRPr="00691087">
        <w:rPr>
          <w:rFonts w:ascii="Times New Roman" w:hAnsi="Times New Roman" w:cs="Times New Roman"/>
          <w:sz w:val="24"/>
          <w:szCs w:val="24"/>
        </w:rPr>
        <w:t xml:space="preserve">Additionally, we are attaching the data collection form for your reference.  While there </w:t>
      </w:r>
      <w:r w:rsidR="00270AE0">
        <w:rPr>
          <w:rFonts w:ascii="Times New Roman" w:hAnsi="Times New Roman" w:cs="Times New Roman"/>
          <w:sz w:val="24"/>
          <w:szCs w:val="24"/>
        </w:rPr>
        <w:t>have</w:t>
      </w:r>
      <w:r w:rsidR="00C70355">
        <w:rPr>
          <w:rFonts w:ascii="Times New Roman" w:hAnsi="Times New Roman" w:cs="Times New Roman"/>
          <w:sz w:val="24"/>
          <w:szCs w:val="24"/>
        </w:rPr>
        <w:t xml:space="preserve"> </w:t>
      </w:r>
      <w:r w:rsidR="00AC7AB0">
        <w:rPr>
          <w:rFonts w:ascii="Times New Roman" w:hAnsi="Times New Roman" w:cs="Times New Roman"/>
          <w:sz w:val="24"/>
          <w:szCs w:val="24"/>
        </w:rPr>
        <w:t xml:space="preserve">been </w:t>
      </w:r>
      <w:r w:rsidR="00AC7AB0" w:rsidRPr="00691087">
        <w:rPr>
          <w:rFonts w:ascii="Times New Roman" w:hAnsi="Times New Roman" w:cs="Times New Roman"/>
          <w:sz w:val="24"/>
          <w:szCs w:val="24"/>
        </w:rPr>
        <w:t>no</w:t>
      </w:r>
      <w:r w:rsidRPr="00691087">
        <w:rPr>
          <w:rFonts w:ascii="Times New Roman" w:hAnsi="Times New Roman" w:cs="Times New Roman"/>
          <w:sz w:val="24"/>
          <w:szCs w:val="24"/>
        </w:rPr>
        <w:t xml:space="preserve"> changes to the form </w:t>
      </w:r>
      <w:r w:rsidR="00270AE0">
        <w:rPr>
          <w:rFonts w:ascii="Times New Roman" w:hAnsi="Times New Roman" w:cs="Times New Roman"/>
          <w:sz w:val="24"/>
          <w:szCs w:val="24"/>
        </w:rPr>
        <w:t xml:space="preserve">for </w:t>
      </w:r>
      <w:r w:rsidRPr="00691087">
        <w:rPr>
          <w:rFonts w:ascii="Times New Roman" w:hAnsi="Times New Roman" w:cs="Times New Roman"/>
          <w:sz w:val="24"/>
          <w:szCs w:val="24"/>
        </w:rPr>
        <w:t>addition</w:t>
      </w:r>
      <w:r w:rsidR="00270AE0">
        <w:rPr>
          <w:rFonts w:ascii="Times New Roman" w:hAnsi="Times New Roman" w:cs="Times New Roman"/>
          <w:sz w:val="24"/>
          <w:szCs w:val="24"/>
        </w:rPr>
        <w:t>al</w:t>
      </w:r>
      <w:r w:rsidRPr="00691087">
        <w:rPr>
          <w:rFonts w:ascii="Times New Roman" w:hAnsi="Times New Roman" w:cs="Times New Roman"/>
          <w:sz w:val="24"/>
          <w:szCs w:val="24"/>
        </w:rPr>
        <w:t xml:space="preserve"> new material, the form was </w:t>
      </w:r>
      <w:r w:rsidR="00270AE0">
        <w:rPr>
          <w:rFonts w:ascii="Times New Roman" w:hAnsi="Times New Roman" w:cs="Times New Roman"/>
          <w:sz w:val="24"/>
          <w:szCs w:val="24"/>
        </w:rPr>
        <w:t>shortened</w:t>
      </w:r>
      <w:r w:rsidRPr="00691087">
        <w:rPr>
          <w:rFonts w:ascii="Times New Roman" w:hAnsi="Times New Roman" w:cs="Times New Roman"/>
          <w:sz w:val="24"/>
          <w:szCs w:val="24"/>
        </w:rPr>
        <w:t xml:space="preserve"> to include only collection</w:t>
      </w:r>
      <w:r w:rsidR="005925AA">
        <w:rPr>
          <w:rFonts w:ascii="Times New Roman" w:hAnsi="Times New Roman" w:cs="Times New Roman"/>
          <w:sz w:val="24"/>
          <w:szCs w:val="24"/>
        </w:rPr>
        <w:t>s</w:t>
      </w:r>
      <w:r w:rsidRPr="00691087">
        <w:rPr>
          <w:rFonts w:ascii="Times New Roman" w:hAnsi="Times New Roman" w:cs="Times New Roman"/>
          <w:sz w:val="24"/>
          <w:szCs w:val="24"/>
        </w:rPr>
        <w:t xml:space="preserve"> for retail food store deli departments.  The references/pages of the form </w:t>
      </w:r>
      <w:r w:rsidR="00C70355">
        <w:rPr>
          <w:rFonts w:ascii="Times New Roman" w:hAnsi="Times New Roman" w:cs="Times New Roman"/>
          <w:sz w:val="24"/>
          <w:szCs w:val="24"/>
        </w:rPr>
        <w:t xml:space="preserve">which were </w:t>
      </w:r>
      <w:r w:rsidRPr="00691087">
        <w:rPr>
          <w:rFonts w:ascii="Times New Roman" w:hAnsi="Times New Roman" w:cs="Times New Roman"/>
          <w:sz w:val="24"/>
          <w:szCs w:val="24"/>
        </w:rPr>
        <w:t>used to collect information for healthcare facilities and schools ha</w:t>
      </w:r>
      <w:r w:rsidR="00C70355">
        <w:rPr>
          <w:rFonts w:ascii="Times New Roman" w:hAnsi="Times New Roman" w:cs="Times New Roman"/>
          <w:sz w:val="24"/>
          <w:szCs w:val="24"/>
        </w:rPr>
        <w:t>ve</w:t>
      </w:r>
      <w:r w:rsidRPr="00691087">
        <w:rPr>
          <w:rFonts w:ascii="Times New Roman" w:hAnsi="Times New Roman" w:cs="Times New Roman"/>
          <w:sz w:val="24"/>
          <w:szCs w:val="24"/>
        </w:rPr>
        <w:t xml:space="preserve"> been removed.  The original submission </w:t>
      </w:r>
      <w:r w:rsidR="00C70355">
        <w:rPr>
          <w:rFonts w:ascii="Times New Roman" w:hAnsi="Times New Roman" w:cs="Times New Roman"/>
          <w:sz w:val="24"/>
          <w:szCs w:val="24"/>
        </w:rPr>
        <w:t xml:space="preserve">to OMB for this collection </w:t>
      </w:r>
      <w:r w:rsidRPr="00691087">
        <w:rPr>
          <w:rFonts w:ascii="Times New Roman" w:hAnsi="Times New Roman" w:cs="Times New Roman"/>
          <w:sz w:val="24"/>
          <w:szCs w:val="24"/>
        </w:rPr>
        <w:t xml:space="preserve">included a </w:t>
      </w:r>
      <w:r w:rsidR="00AC7AB0" w:rsidRPr="00691087">
        <w:rPr>
          <w:rFonts w:ascii="Times New Roman" w:hAnsi="Times New Roman" w:cs="Times New Roman"/>
          <w:sz w:val="24"/>
          <w:szCs w:val="24"/>
        </w:rPr>
        <w:t>29-page</w:t>
      </w:r>
      <w:r w:rsidRPr="00691087">
        <w:rPr>
          <w:rFonts w:ascii="Times New Roman" w:hAnsi="Times New Roman" w:cs="Times New Roman"/>
          <w:sz w:val="24"/>
          <w:szCs w:val="24"/>
        </w:rPr>
        <w:t xml:space="preserve"> data collection form </w:t>
      </w:r>
      <w:r w:rsidR="00270AE0">
        <w:rPr>
          <w:rFonts w:ascii="Times New Roman" w:hAnsi="Times New Roman" w:cs="Times New Roman"/>
          <w:sz w:val="24"/>
          <w:szCs w:val="24"/>
        </w:rPr>
        <w:t xml:space="preserve">for </w:t>
      </w:r>
      <w:r w:rsidRPr="00691087">
        <w:rPr>
          <w:rFonts w:ascii="Times New Roman" w:hAnsi="Times New Roman" w:cs="Times New Roman"/>
          <w:sz w:val="24"/>
          <w:szCs w:val="24"/>
        </w:rPr>
        <w:t>all facility types</w:t>
      </w:r>
      <w:r w:rsidR="00270AE0">
        <w:rPr>
          <w:rFonts w:ascii="Times New Roman" w:hAnsi="Times New Roman" w:cs="Times New Roman"/>
          <w:sz w:val="24"/>
          <w:szCs w:val="24"/>
        </w:rPr>
        <w:t xml:space="preserve"> and</w:t>
      </w:r>
      <w:r w:rsidRPr="00691087">
        <w:rPr>
          <w:rFonts w:ascii="Times New Roman" w:hAnsi="Times New Roman" w:cs="Times New Roman"/>
          <w:sz w:val="24"/>
          <w:szCs w:val="24"/>
        </w:rPr>
        <w:t xml:space="preserve"> </w:t>
      </w:r>
      <w:r w:rsidR="00270AE0">
        <w:rPr>
          <w:rFonts w:ascii="Times New Roman" w:hAnsi="Times New Roman" w:cs="Times New Roman"/>
          <w:sz w:val="24"/>
          <w:szCs w:val="24"/>
        </w:rPr>
        <w:t>t</w:t>
      </w:r>
      <w:r w:rsidRPr="00691087">
        <w:rPr>
          <w:rFonts w:ascii="Times New Roman" w:hAnsi="Times New Roman" w:cs="Times New Roman"/>
          <w:sz w:val="24"/>
          <w:szCs w:val="24"/>
        </w:rPr>
        <w:t xml:space="preserve">he revised form </w:t>
      </w:r>
      <w:r w:rsidR="00270AE0">
        <w:rPr>
          <w:rFonts w:ascii="Times New Roman" w:hAnsi="Times New Roman" w:cs="Times New Roman"/>
          <w:sz w:val="24"/>
          <w:szCs w:val="24"/>
        </w:rPr>
        <w:t>containing only</w:t>
      </w:r>
      <w:r w:rsidRPr="00691087">
        <w:rPr>
          <w:rFonts w:ascii="Times New Roman" w:hAnsi="Times New Roman" w:cs="Times New Roman"/>
          <w:sz w:val="24"/>
          <w:szCs w:val="24"/>
        </w:rPr>
        <w:t xml:space="preserve"> deli collection is 16 pages.</w:t>
      </w:r>
    </w:p>
    <w:sectPr w:rsidR="00E4265C" w:rsidSect="00FF6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64F1"/>
    <w:multiLevelType w:val="hybridMultilevel"/>
    <w:tmpl w:val="880A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696BFE"/>
    <w:multiLevelType w:val="hybridMultilevel"/>
    <w:tmpl w:val="7FDE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BF5372"/>
    <w:multiLevelType w:val="hybridMultilevel"/>
    <w:tmpl w:val="1A80D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CB76DC5"/>
    <w:multiLevelType w:val="hybridMultilevel"/>
    <w:tmpl w:val="CD8C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59124F"/>
    <w:multiLevelType w:val="hybridMultilevel"/>
    <w:tmpl w:val="3326B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B5F3BC7"/>
    <w:multiLevelType w:val="hybridMultilevel"/>
    <w:tmpl w:val="F10CF7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5C"/>
    <w:rsid w:val="000F40B2"/>
    <w:rsid w:val="00246B4C"/>
    <w:rsid w:val="00270AE0"/>
    <w:rsid w:val="00284E1A"/>
    <w:rsid w:val="00291C46"/>
    <w:rsid w:val="002B4878"/>
    <w:rsid w:val="00315954"/>
    <w:rsid w:val="00327942"/>
    <w:rsid w:val="00336776"/>
    <w:rsid w:val="0037616F"/>
    <w:rsid w:val="00380318"/>
    <w:rsid w:val="003F58BD"/>
    <w:rsid w:val="004709B3"/>
    <w:rsid w:val="004A2808"/>
    <w:rsid w:val="004F2B6E"/>
    <w:rsid w:val="00541D2A"/>
    <w:rsid w:val="00584ED9"/>
    <w:rsid w:val="00587219"/>
    <w:rsid w:val="005925AA"/>
    <w:rsid w:val="00691087"/>
    <w:rsid w:val="0071386B"/>
    <w:rsid w:val="007902EF"/>
    <w:rsid w:val="008A1F18"/>
    <w:rsid w:val="008C24D7"/>
    <w:rsid w:val="00900036"/>
    <w:rsid w:val="009019C2"/>
    <w:rsid w:val="0095222B"/>
    <w:rsid w:val="009951E1"/>
    <w:rsid w:val="009A0E6B"/>
    <w:rsid w:val="009A3C3E"/>
    <w:rsid w:val="009C2E6A"/>
    <w:rsid w:val="009D4060"/>
    <w:rsid w:val="00A36A03"/>
    <w:rsid w:val="00A71E1D"/>
    <w:rsid w:val="00AA4DB4"/>
    <w:rsid w:val="00AC7AB0"/>
    <w:rsid w:val="00AE5343"/>
    <w:rsid w:val="00BD22D0"/>
    <w:rsid w:val="00C70355"/>
    <w:rsid w:val="00D46D27"/>
    <w:rsid w:val="00D67BE6"/>
    <w:rsid w:val="00DA41E1"/>
    <w:rsid w:val="00E4265C"/>
    <w:rsid w:val="00E67F83"/>
    <w:rsid w:val="00E72D25"/>
    <w:rsid w:val="00F2104C"/>
    <w:rsid w:val="00F34AE4"/>
    <w:rsid w:val="00F6164D"/>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F40B2"/>
    <w:rPr>
      <w:sz w:val="16"/>
      <w:szCs w:val="16"/>
    </w:rPr>
  </w:style>
  <w:style w:type="paragraph" w:styleId="CommentText">
    <w:name w:val="annotation text"/>
    <w:basedOn w:val="Normal"/>
    <w:link w:val="CommentTextChar"/>
    <w:semiHidden/>
    <w:unhideWhenUsed/>
    <w:rsid w:val="000F40B2"/>
    <w:pPr>
      <w:spacing w:line="240" w:lineRule="auto"/>
    </w:pPr>
    <w:rPr>
      <w:sz w:val="20"/>
      <w:szCs w:val="20"/>
    </w:rPr>
  </w:style>
  <w:style w:type="character" w:customStyle="1" w:styleId="CommentTextChar">
    <w:name w:val="Comment Text Char"/>
    <w:basedOn w:val="DefaultParagraphFont"/>
    <w:link w:val="CommentText"/>
    <w:semiHidden/>
    <w:rsid w:val="000F40B2"/>
    <w:rPr>
      <w:sz w:val="20"/>
      <w:szCs w:val="20"/>
    </w:rPr>
  </w:style>
  <w:style w:type="paragraph" w:styleId="CommentSubject">
    <w:name w:val="annotation subject"/>
    <w:basedOn w:val="CommentText"/>
    <w:next w:val="CommentText"/>
    <w:link w:val="CommentSubjectChar"/>
    <w:uiPriority w:val="99"/>
    <w:semiHidden/>
    <w:unhideWhenUsed/>
    <w:rsid w:val="000F40B2"/>
    <w:rPr>
      <w:b/>
      <w:bCs/>
    </w:rPr>
  </w:style>
  <w:style w:type="character" w:customStyle="1" w:styleId="CommentSubjectChar">
    <w:name w:val="Comment Subject Char"/>
    <w:basedOn w:val="CommentTextChar"/>
    <w:link w:val="CommentSubject"/>
    <w:uiPriority w:val="99"/>
    <w:semiHidden/>
    <w:rsid w:val="000F40B2"/>
    <w:rPr>
      <w:b/>
      <w:bCs/>
      <w:sz w:val="20"/>
      <w:szCs w:val="20"/>
    </w:rPr>
  </w:style>
  <w:style w:type="paragraph" w:styleId="BalloonText">
    <w:name w:val="Balloon Text"/>
    <w:basedOn w:val="Normal"/>
    <w:link w:val="BalloonTextChar"/>
    <w:uiPriority w:val="99"/>
    <w:semiHidden/>
    <w:unhideWhenUsed/>
    <w:rsid w:val="000F4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0B2"/>
    <w:rPr>
      <w:rFonts w:ascii="Segoe UI" w:hAnsi="Segoe UI" w:cs="Segoe UI"/>
      <w:sz w:val="18"/>
      <w:szCs w:val="18"/>
    </w:rPr>
  </w:style>
  <w:style w:type="paragraph" w:styleId="ListParagraph">
    <w:name w:val="List Paragraph"/>
    <w:basedOn w:val="Normal"/>
    <w:uiPriority w:val="34"/>
    <w:qFormat/>
    <w:rsid w:val="000F40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F40B2"/>
    <w:rPr>
      <w:sz w:val="16"/>
      <w:szCs w:val="16"/>
    </w:rPr>
  </w:style>
  <w:style w:type="paragraph" w:styleId="CommentText">
    <w:name w:val="annotation text"/>
    <w:basedOn w:val="Normal"/>
    <w:link w:val="CommentTextChar"/>
    <w:semiHidden/>
    <w:unhideWhenUsed/>
    <w:rsid w:val="000F40B2"/>
    <w:pPr>
      <w:spacing w:line="240" w:lineRule="auto"/>
    </w:pPr>
    <w:rPr>
      <w:sz w:val="20"/>
      <w:szCs w:val="20"/>
    </w:rPr>
  </w:style>
  <w:style w:type="character" w:customStyle="1" w:styleId="CommentTextChar">
    <w:name w:val="Comment Text Char"/>
    <w:basedOn w:val="DefaultParagraphFont"/>
    <w:link w:val="CommentText"/>
    <w:semiHidden/>
    <w:rsid w:val="000F40B2"/>
    <w:rPr>
      <w:sz w:val="20"/>
      <w:szCs w:val="20"/>
    </w:rPr>
  </w:style>
  <w:style w:type="paragraph" w:styleId="CommentSubject">
    <w:name w:val="annotation subject"/>
    <w:basedOn w:val="CommentText"/>
    <w:next w:val="CommentText"/>
    <w:link w:val="CommentSubjectChar"/>
    <w:uiPriority w:val="99"/>
    <w:semiHidden/>
    <w:unhideWhenUsed/>
    <w:rsid w:val="000F40B2"/>
    <w:rPr>
      <w:b/>
      <w:bCs/>
    </w:rPr>
  </w:style>
  <w:style w:type="character" w:customStyle="1" w:styleId="CommentSubjectChar">
    <w:name w:val="Comment Subject Char"/>
    <w:basedOn w:val="CommentTextChar"/>
    <w:link w:val="CommentSubject"/>
    <w:uiPriority w:val="99"/>
    <w:semiHidden/>
    <w:rsid w:val="000F40B2"/>
    <w:rPr>
      <w:b/>
      <w:bCs/>
      <w:sz w:val="20"/>
      <w:szCs w:val="20"/>
    </w:rPr>
  </w:style>
  <w:style w:type="paragraph" w:styleId="BalloonText">
    <w:name w:val="Balloon Text"/>
    <w:basedOn w:val="Normal"/>
    <w:link w:val="BalloonTextChar"/>
    <w:uiPriority w:val="99"/>
    <w:semiHidden/>
    <w:unhideWhenUsed/>
    <w:rsid w:val="000F4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0B2"/>
    <w:rPr>
      <w:rFonts w:ascii="Segoe UI" w:hAnsi="Segoe UI" w:cs="Segoe UI"/>
      <w:sz w:val="18"/>
      <w:szCs w:val="18"/>
    </w:rPr>
  </w:style>
  <w:style w:type="paragraph" w:styleId="ListParagraph">
    <w:name w:val="List Paragraph"/>
    <w:basedOn w:val="Normal"/>
    <w:uiPriority w:val="34"/>
    <w:qFormat/>
    <w:rsid w:val="000F4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0955">
      <w:bodyDiv w:val="1"/>
      <w:marLeft w:val="0"/>
      <w:marRight w:val="0"/>
      <w:marTop w:val="0"/>
      <w:marBottom w:val="0"/>
      <w:divBdr>
        <w:top w:val="none" w:sz="0" w:space="0" w:color="auto"/>
        <w:left w:val="none" w:sz="0" w:space="0" w:color="auto"/>
        <w:bottom w:val="none" w:sz="0" w:space="0" w:color="auto"/>
        <w:right w:val="none" w:sz="0" w:space="0" w:color="auto"/>
      </w:divBdr>
    </w:div>
    <w:div w:id="12038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Jessica</dc:creator>
  <cp:keywords/>
  <dc:description/>
  <cp:lastModifiedBy>SYSTEM</cp:lastModifiedBy>
  <cp:revision>2</cp:revision>
  <dcterms:created xsi:type="dcterms:W3CDTF">2019-09-12T18:28:00Z</dcterms:created>
  <dcterms:modified xsi:type="dcterms:W3CDTF">2019-09-12T18:28:00Z</dcterms:modified>
</cp:coreProperties>
</file>