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56A3" w:rsidR="003E5DF9" w:rsidP="003E5DF9" w:rsidRDefault="00951BAF" w14:paraId="5147DD67" w14:textId="2FF3527C">
      <w:pPr>
        <w:rPr>
          <w:color w:val="000000"/>
          <w:sz w:val="24"/>
          <w:szCs w:val="24"/>
        </w:rPr>
      </w:pPr>
      <w:r w:rsidRPr="007156A3">
        <w:rPr>
          <w:b/>
          <w:color w:val="000000"/>
          <w:sz w:val="24"/>
          <w:szCs w:val="24"/>
        </w:rPr>
        <w:t>American Housing Survey (AH</w:t>
      </w:r>
      <w:r w:rsidRPr="007156A3" w:rsidR="00F572C0">
        <w:rPr>
          <w:b/>
          <w:color w:val="000000"/>
          <w:sz w:val="24"/>
          <w:szCs w:val="24"/>
        </w:rPr>
        <w:t>S) Cognitive Interviews</w:t>
      </w:r>
    </w:p>
    <w:p w:rsidRPr="007156A3" w:rsidR="003E5DF9" w:rsidP="003E5DF9" w:rsidRDefault="003E5DF9" w14:paraId="4D0592EE" w14:textId="2FA39C71">
      <w:pPr>
        <w:rPr>
          <w:sz w:val="24"/>
        </w:rPr>
      </w:pPr>
      <w:r w:rsidRPr="007156A3">
        <w:rPr>
          <w:b/>
          <w:color w:val="000000"/>
          <w:sz w:val="24"/>
          <w:szCs w:val="24"/>
        </w:rPr>
        <w:t>Request</w:t>
      </w:r>
      <w:r w:rsidRPr="007156A3">
        <w:rPr>
          <w:color w:val="000000"/>
          <w:sz w:val="24"/>
          <w:szCs w:val="24"/>
        </w:rPr>
        <w:t xml:space="preserve">: The Census Bureau plans to conduct additional research </w:t>
      </w:r>
      <w:r w:rsidRPr="007156A3" w:rsidR="003E3C21">
        <w:rPr>
          <w:color w:val="000000"/>
          <w:sz w:val="24"/>
          <w:szCs w:val="24"/>
        </w:rPr>
        <w:t xml:space="preserve">under the generic clearance for questionnaire pretesting research (OMB number 0607-0725). </w:t>
      </w:r>
      <w:r w:rsidRPr="007156A3">
        <w:rPr>
          <w:color w:val="000000"/>
          <w:sz w:val="24"/>
          <w:szCs w:val="24"/>
        </w:rPr>
        <w:t xml:space="preserve">We propose to conduct </w:t>
      </w:r>
      <w:r w:rsidRPr="007156A3" w:rsidR="00F572C0">
        <w:rPr>
          <w:color w:val="000000"/>
          <w:sz w:val="24"/>
          <w:szCs w:val="24"/>
        </w:rPr>
        <w:t xml:space="preserve">a cognitive </w:t>
      </w:r>
      <w:r w:rsidRPr="007156A3" w:rsidR="000543A1">
        <w:rPr>
          <w:color w:val="000000"/>
          <w:sz w:val="24"/>
          <w:szCs w:val="24"/>
        </w:rPr>
        <w:t xml:space="preserve">pretesting </w:t>
      </w:r>
      <w:r w:rsidRPr="007156A3" w:rsidR="00F572C0">
        <w:rPr>
          <w:color w:val="000000"/>
          <w:sz w:val="24"/>
          <w:szCs w:val="24"/>
        </w:rPr>
        <w:t>evaluation o</w:t>
      </w:r>
      <w:r w:rsidRPr="007156A3" w:rsidR="000543A1">
        <w:rPr>
          <w:color w:val="000000"/>
          <w:sz w:val="24"/>
          <w:szCs w:val="24"/>
        </w:rPr>
        <w:t>f</w:t>
      </w:r>
      <w:r w:rsidRPr="007156A3" w:rsidR="00951BAF">
        <w:rPr>
          <w:color w:val="000000"/>
          <w:sz w:val="24"/>
          <w:szCs w:val="24"/>
        </w:rPr>
        <w:t xml:space="preserve"> new and revised questions </w:t>
      </w:r>
      <w:r w:rsidRPr="007156A3" w:rsidR="00F572C0">
        <w:rPr>
          <w:color w:val="000000"/>
          <w:sz w:val="24"/>
          <w:szCs w:val="24"/>
        </w:rPr>
        <w:t>about</w:t>
      </w:r>
      <w:r w:rsidRPr="007156A3">
        <w:rPr>
          <w:color w:val="000000"/>
          <w:sz w:val="24"/>
          <w:szCs w:val="24"/>
        </w:rPr>
        <w:t xml:space="preserve"> </w:t>
      </w:r>
      <w:r w:rsidRPr="007156A3" w:rsidR="00951BAF">
        <w:rPr>
          <w:color w:val="000000"/>
          <w:sz w:val="24"/>
          <w:szCs w:val="24"/>
        </w:rPr>
        <w:t>a variety of topics in the American Housing Survey (AH</w:t>
      </w:r>
      <w:r w:rsidRPr="007156A3" w:rsidR="0099087D">
        <w:rPr>
          <w:color w:val="000000"/>
          <w:sz w:val="24"/>
          <w:szCs w:val="24"/>
        </w:rPr>
        <w:t>S</w:t>
      </w:r>
      <w:r w:rsidRPr="00D5610D" w:rsidR="0099087D">
        <w:rPr>
          <w:color w:val="000000"/>
          <w:sz w:val="24"/>
          <w:szCs w:val="24"/>
        </w:rPr>
        <w:t>)</w:t>
      </w:r>
      <w:r w:rsidRPr="00D5610D" w:rsidR="00D5610D">
        <w:rPr>
          <w:color w:val="000000"/>
          <w:sz w:val="24"/>
          <w:szCs w:val="24"/>
        </w:rPr>
        <w:t>,</w:t>
      </w:r>
      <w:r w:rsidRPr="00D5610D" w:rsidR="00D5610D">
        <w:rPr>
          <w:rFonts w:eastAsiaTheme="minorEastAsia"/>
          <w:sz w:val="24"/>
          <w:szCs w:val="24"/>
        </w:rPr>
        <w:t xml:space="preserve"> and supplemental pretesting research online using Qualtrics</w:t>
      </w:r>
      <w:r w:rsidRPr="00D5610D" w:rsidR="0099087D">
        <w:rPr>
          <w:color w:val="000000"/>
          <w:sz w:val="24"/>
          <w:szCs w:val="24"/>
        </w:rPr>
        <w:t xml:space="preserve">. </w:t>
      </w:r>
      <w:r w:rsidRPr="007156A3" w:rsidR="0099087D">
        <w:rPr>
          <w:color w:val="000000"/>
          <w:sz w:val="24"/>
          <w:szCs w:val="24"/>
        </w:rPr>
        <w:t xml:space="preserve">This evaluation will be </w:t>
      </w:r>
      <w:r w:rsidRPr="007156A3">
        <w:rPr>
          <w:color w:val="000000"/>
          <w:sz w:val="24"/>
          <w:szCs w:val="24"/>
        </w:rPr>
        <w:t>conducted</w:t>
      </w:r>
      <w:r w:rsidRPr="007156A3">
        <w:rPr>
          <w:sz w:val="24"/>
        </w:rPr>
        <w:t xml:space="preserve"> by staff in t</w:t>
      </w:r>
      <w:r w:rsidR="00B661F8">
        <w:rPr>
          <w:sz w:val="24"/>
        </w:rPr>
        <w:t>he Center for Behavioral Science Methods</w:t>
      </w:r>
      <w:r w:rsidRPr="007156A3">
        <w:rPr>
          <w:sz w:val="24"/>
        </w:rPr>
        <w:t xml:space="preserve"> (C</w:t>
      </w:r>
      <w:r w:rsidR="00B661F8">
        <w:rPr>
          <w:sz w:val="24"/>
        </w:rPr>
        <w:t>B</w:t>
      </w:r>
      <w:r w:rsidRPr="007156A3">
        <w:rPr>
          <w:sz w:val="24"/>
        </w:rPr>
        <w:t>SM).</w:t>
      </w:r>
    </w:p>
    <w:p w:rsidRPr="007156A3" w:rsidR="00561569" w:rsidP="00561569" w:rsidRDefault="00561569" w14:paraId="74F7EA22" w14:textId="74D8BE56">
      <w:pPr>
        <w:rPr>
          <w:sz w:val="24"/>
        </w:rPr>
      </w:pPr>
      <w:r w:rsidRPr="007156A3">
        <w:rPr>
          <w:b/>
          <w:sz w:val="24"/>
        </w:rPr>
        <w:t xml:space="preserve">Purpose: </w:t>
      </w:r>
      <w:r w:rsidRPr="007156A3">
        <w:rPr>
          <w:sz w:val="24"/>
        </w:rPr>
        <w:t xml:space="preserve">The purpose of this cognitive research is to test </w:t>
      </w:r>
      <w:r w:rsidR="007D0FBC">
        <w:rPr>
          <w:sz w:val="24"/>
        </w:rPr>
        <w:t>questions</w:t>
      </w:r>
      <w:r w:rsidRPr="007156A3" w:rsidR="007D0FBC">
        <w:rPr>
          <w:sz w:val="24"/>
        </w:rPr>
        <w:t xml:space="preserve"> </w:t>
      </w:r>
      <w:r w:rsidRPr="007156A3">
        <w:rPr>
          <w:sz w:val="24"/>
        </w:rPr>
        <w:t>added to or revised in the A</w:t>
      </w:r>
      <w:r w:rsidRPr="007156A3" w:rsidR="000174B0">
        <w:rPr>
          <w:sz w:val="24"/>
        </w:rPr>
        <w:t>HS</w:t>
      </w:r>
      <w:r w:rsidRPr="007156A3">
        <w:rPr>
          <w:sz w:val="24"/>
        </w:rPr>
        <w:t>.   The question changes were requested by the Department of Housing and</w:t>
      </w:r>
      <w:r w:rsidR="00DB0073">
        <w:rPr>
          <w:sz w:val="24"/>
        </w:rPr>
        <w:t xml:space="preserve"> Urban</w:t>
      </w:r>
      <w:r w:rsidRPr="007156A3">
        <w:rPr>
          <w:sz w:val="24"/>
        </w:rPr>
        <w:t xml:space="preserve"> Development</w:t>
      </w:r>
      <w:r w:rsidR="000B6D10">
        <w:rPr>
          <w:sz w:val="24"/>
        </w:rPr>
        <w:t xml:space="preserve"> </w:t>
      </w:r>
      <w:r w:rsidRPr="007156A3">
        <w:rPr>
          <w:sz w:val="24"/>
        </w:rPr>
        <w:t xml:space="preserve">to address known problems with the questions, to measure new concepts, and to update rotating modules that </w:t>
      </w:r>
      <w:r w:rsidRPr="007156A3" w:rsidR="000174B0">
        <w:rPr>
          <w:sz w:val="24"/>
        </w:rPr>
        <w:t xml:space="preserve">were not included </w:t>
      </w:r>
      <w:r w:rsidRPr="007156A3">
        <w:rPr>
          <w:sz w:val="24"/>
        </w:rPr>
        <w:t xml:space="preserve">in the last survey administration.  </w:t>
      </w:r>
      <w:r w:rsidRPr="007156A3" w:rsidR="007A3A89">
        <w:rPr>
          <w:sz w:val="24"/>
        </w:rPr>
        <w:t>T</w:t>
      </w:r>
      <w:r w:rsidRPr="007156A3">
        <w:rPr>
          <w:sz w:val="24"/>
        </w:rPr>
        <w:t xml:space="preserve">he following modules of the </w:t>
      </w:r>
      <w:r w:rsidRPr="007156A3" w:rsidR="007A3A89">
        <w:rPr>
          <w:sz w:val="24"/>
        </w:rPr>
        <w:t>AHS</w:t>
      </w:r>
      <w:r w:rsidRPr="007156A3" w:rsidR="004F690F">
        <w:rPr>
          <w:sz w:val="24"/>
        </w:rPr>
        <w:t xml:space="preserve"> are being tested:</w:t>
      </w:r>
    </w:p>
    <w:p w:rsidRPr="007156A3" w:rsidR="00561569" w:rsidP="00561569" w:rsidRDefault="007A686E" w14:paraId="65DE117C" w14:textId="2A4756FD">
      <w:pPr>
        <w:numPr>
          <w:ilvl w:val="0"/>
          <w:numId w:val="4"/>
        </w:numPr>
        <w:contextualSpacing/>
        <w:rPr>
          <w:i/>
          <w:sz w:val="24"/>
        </w:rPr>
      </w:pPr>
      <w:r>
        <w:rPr>
          <w:i/>
          <w:sz w:val="24"/>
        </w:rPr>
        <w:t>Mortgage</w:t>
      </w:r>
      <w:r w:rsidRPr="007156A3" w:rsidR="00561569">
        <w:rPr>
          <w:i/>
          <w:sz w:val="24"/>
        </w:rPr>
        <w:t xml:space="preserve"> </w:t>
      </w:r>
      <w:r w:rsidRPr="007156A3" w:rsidR="00561569">
        <w:rPr>
          <w:sz w:val="24"/>
        </w:rPr>
        <w:t>is an existing core module</w:t>
      </w:r>
      <w:r w:rsidR="00E163CB">
        <w:rPr>
          <w:sz w:val="24"/>
        </w:rPr>
        <w:t xml:space="preserve"> </w:t>
      </w:r>
      <w:r w:rsidR="00690F41">
        <w:rPr>
          <w:sz w:val="24"/>
        </w:rPr>
        <w:t xml:space="preserve">for homeowners </w:t>
      </w:r>
      <w:r w:rsidRPr="007156A3" w:rsidR="00561569">
        <w:rPr>
          <w:sz w:val="24"/>
        </w:rPr>
        <w:t>that contains ne</w:t>
      </w:r>
      <w:r>
        <w:rPr>
          <w:sz w:val="24"/>
        </w:rPr>
        <w:t>w and r</w:t>
      </w:r>
      <w:r w:rsidR="00690F41">
        <w:rPr>
          <w:sz w:val="24"/>
        </w:rPr>
        <w:t xml:space="preserve">evised questions </w:t>
      </w:r>
      <w:r>
        <w:rPr>
          <w:sz w:val="24"/>
        </w:rPr>
        <w:t>about mortgages and loans</w:t>
      </w:r>
      <w:r w:rsidRPr="007156A3" w:rsidR="00561569">
        <w:rPr>
          <w:sz w:val="24"/>
        </w:rPr>
        <w:t>.</w:t>
      </w:r>
    </w:p>
    <w:p w:rsidRPr="007156A3" w:rsidR="00561569" w:rsidP="00561569" w:rsidRDefault="007A686E" w14:paraId="1351BB0F" w14:textId="31806CD5">
      <w:pPr>
        <w:numPr>
          <w:ilvl w:val="0"/>
          <w:numId w:val="4"/>
        </w:numPr>
        <w:contextualSpacing/>
        <w:rPr>
          <w:i/>
          <w:sz w:val="24"/>
        </w:rPr>
      </w:pPr>
      <w:r>
        <w:rPr>
          <w:i/>
          <w:sz w:val="24"/>
        </w:rPr>
        <w:t>Recent Movers</w:t>
      </w:r>
      <w:r w:rsidRPr="007156A3" w:rsidR="00561569">
        <w:rPr>
          <w:i/>
          <w:sz w:val="24"/>
        </w:rPr>
        <w:t xml:space="preserve"> </w:t>
      </w:r>
      <w:r w:rsidRPr="007156A3" w:rsidR="00561569">
        <w:rPr>
          <w:sz w:val="24"/>
        </w:rPr>
        <w:t xml:space="preserve">is an existing core module </w:t>
      </w:r>
      <w:r w:rsidR="00690F41">
        <w:rPr>
          <w:sz w:val="24"/>
        </w:rPr>
        <w:t xml:space="preserve">for those who moved within the past two years </w:t>
      </w:r>
      <w:r w:rsidRPr="007156A3" w:rsidR="00561569">
        <w:rPr>
          <w:sz w:val="24"/>
        </w:rPr>
        <w:t>that cont</w:t>
      </w:r>
      <w:r>
        <w:rPr>
          <w:sz w:val="24"/>
        </w:rPr>
        <w:t xml:space="preserve">ains </w:t>
      </w:r>
      <w:r w:rsidR="00690F41">
        <w:rPr>
          <w:sz w:val="24"/>
        </w:rPr>
        <w:t xml:space="preserve">new </w:t>
      </w:r>
      <w:r w:rsidRPr="007156A3" w:rsidR="00561569">
        <w:rPr>
          <w:sz w:val="24"/>
        </w:rPr>
        <w:t>questions</w:t>
      </w:r>
      <w:r w:rsidR="00690F41">
        <w:rPr>
          <w:sz w:val="24"/>
        </w:rPr>
        <w:t xml:space="preserve"> about their most recent housing search</w:t>
      </w:r>
      <w:r w:rsidRPr="007156A3" w:rsidR="00561569">
        <w:rPr>
          <w:sz w:val="24"/>
        </w:rPr>
        <w:t xml:space="preserve">.  </w:t>
      </w:r>
    </w:p>
    <w:p w:rsidRPr="007156A3" w:rsidR="00561569" w:rsidP="00561569" w:rsidRDefault="00507EE0" w14:paraId="30C79B9F" w14:textId="03B5F22C">
      <w:pPr>
        <w:numPr>
          <w:ilvl w:val="0"/>
          <w:numId w:val="4"/>
        </w:numPr>
        <w:contextualSpacing/>
        <w:rPr>
          <w:sz w:val="24"/>
        </w:rPr>
      </w:pPr>
      <w:r>
        <w:rPr>
          <w:i/>
          <w:sz w:val="24"/>
        </w:rPr>
        <w:t>Wildfire Risk</w:t>
      </w:r>
      <w:r>
        <w:rPr>
          <w:sz w:val="24"/>
        </w:rPr>
        <w:t xml:space="preserve"> is a new topical</w:t>
      </w:r>
      <w:r w:rsidRPr="007156A3" w:rsidR="00561569">
        <w:rPr>
          <w:sz w:val="24"/>
        </w:rPr>
        <w:t xml:space="preserve"> module</w:t>
      </w:r>
      <w:r>
        <w:rPr>
          <w:sz w:val="24"/>
        </w:rPr>
        <w:t xml:space="preserve"> for single unit homes in wildland urban interface areas that contains questions about home structure, nearby vegetation, and how one would be alerted in case of a wildfire emergency</w:t>
      </w:r>
      <w:r w:rsidRPr="007156A3" w:rsidR="00561569">
        <w:rPr>
          <w:sz w:val="24"/>
        </w:rPr>
        <w:t>.</w:t>
      </w:r>
    </w:p>
    <w:p w:rsidRPr="007156A3" w:rsidR="00561569" w:rsidP="00964142" w:rsidRDefault="006D37EF" w14:paraId="74A9F362" w14:textId="2B85C331">
      <w:pPr>
        <w:numPr>
          <w:ilvl w:val="0"/>
          <w:numId w:val="4"/>
        </w:numPr>
        <w:spacing w:after="0"/>
        <w:contextualSpacing/>
        <w:rPr>
          <w:sz w:val="24"/>
        </w:rPr>
      </w:pPr>
      <w:r>
        <w:rPr>
          <w:i/>
          <w:sz w:val="24"/>
        </w:rPr>
        <w:t>Pets</w:t>
      </w:r>
      <w:r>
        <w:rPr>
          <w:sz w:val="24"/>
        </w:rPr>
        <w:t xml:space="preserve"> is a new topical</w:t>
      </w:r>
      <w:r w:rsidRPr="007156A3" w:rsidR="00561569">
        <w:rPr>
          <w:sz w:val="24"/>
        </w:rPr>
        <w:t xml:space="preserve"> </w:t>
      </w:r>
      <w:r>
        <w:rPr>
          <w:sz w:val="24"/>
        </w:rPr>
        <w:t xml:space="preserve">module that contains </w:t>
      </w:r>
      <w:r w:rsidRPr="007156A3" w:rsidR="00561569">
        <w:rPr>
          <w:sz w:val="24"/>
        </w:rPr>
        <w:t>question</w:t>
      </w:r>
      <w:r>
        <w:rPr>
          <w:sz w:val="24"/>
        </w:rPr>
        <w:t>s about the number and types of pets in the home</w:t>
      </w:r>
      <w:r w:rsidRPr="007156A3" w:rsidR="00561569">
        <w:rPr>
          <w:sz w:val="24"/>
        </w:rPr>
        <w:t xml:space="preserve">. </w:t>
      </w:r>
    </w:p>
    <w:p w:rsidRPr="007156A3" w:rsidR="003E5DF9" w:rsidP="006D37EF" w:rsidRDefault="003E5DF9" w14:paraId="73A178B6" w14:textId="2DCDB0BD">
      <w:pPr>
        <w:spacing w:after="0"/>
        <w:rPr>
          <w:sz w:val="24"/>
        </w:rPr>
      </w:pPr>
    </w:p>
    <w:p w:rsidRPr="007156A3" w:rsidR="006C0600" w:rsidP="006C0600" w:rsidRDefault="006C0600" w14:paraId="41BBB7E0" w14:textId="2EB08DA4">
      <w:pPr>
        <w:rPr>
          <w:sz w:val="24"/>
        </w:rPr>
      </w:pPr>
      <w:r w:rsidRPr="007156A3">
        <w:rPr>
          <w:sz w:val="24"/>
        </w:rPr>
        <w:t>The full text of the questions to be te</w:t>
      </w:r>
      <w:r w:rsidR="00FA4413">
        <w:rPr>
          <w:sz w:val="24"/>
        </w:rPr>
        <w:t>sted</w:t>
      </w:r>
      <w:r w:rsidR="005867AC">
        <w:rPr>
          <w:sz w:val="24"/>
        </w:rPr>
        <w:t xml:space="preserve"> for in-person</w:t>
      </w:r>
      <w:r w:rsidR="00A15C53">
        <w:rPr>
          <w:sz w:val="24"/>
        </w:rPr>
        <w:t xml:space="preserve"> interviews can be found in Enclosure 1, and the full text of the questions for online tes</w:t>
      </w:r>
      <w:r w:rsidR="008811B8">
        <w:rPr>
          <w:sz w:val="24"/>
        </w:rPr>
        <w:t xml:space="preserve">ting can be found in Enclosure </w:t>
      </w:r>
      <w:r w:rsidR="00153560">
        <w:rPr>
          <w:sz w:val="24"/>
        </w:rPr>
        <w:t>5</w:t>
      </w:r>
      <w:r w:rsidRPr="007156A3">
        <w:rPr>
          <w:sz w:val="24"/>
        </w:rPr>
        <w:t>.</w:t>
      </w:r>
      <w:r w:rsidR="00EB3436">
        <w:rPr>
          <w:sz w:val="24"/>
        </w:rPr>
        <w:t xml:space="preserve"> </w:t>
      </w:r>
    </w:p>
    <w:p w:rsidRPr="007156A3" w:rsidR="00F73E33" w:rsidP="009B017A" w:rsidRDefault="003E5DF9" w14:paraId="2ECB47B4" w14:textId="77777777">
      <w:pPr>
        <w:shd w:val="clear" w:color="auto" w:fill="FFFFFF"/>
        <w:rPr>
          <w:sz w:val="24"/>
          <w:szCs w:val="24"/>
        </w:rPr>
      </w:pPr>
      <w:r w:rsidRPr="007156A3">
        <w:rPr>
          <w:b/>
          <w:sz w:val="24"/>
          <w:szCs w:val="24"/>
        </w:rPr>
        <w:t>Population of Interest</w:t>
      </w:r>
      <w:r w:rsidRPr="007156A3">
        <w:rPr>
          <w:sz w:val="24"/>
          <w:szCs w:val="24"/>
        </w:rPr>
        <w:t xml:space="preserve">: </w:t>
      </w:r>
      <w:r w:rsidRPr="007156A3" w:rsidR="00951BAF">
        <w:rPr>
          <w:sz w:val="24"/>
          <w:szCs w:val="24"/>
        </w:rPr>
        <w:t>The AH</w:t>
      </w:r>
      <w:r w:rsidRPr="007156A3" w:rsidR="00BD2973">
        <w:rPr>
          <w:sz w:val="24"/>
          <w:szCs w:val="24"/>
        </w:rPr>
        <w:t>S samples households from the general U.S. population.</w:t>
      </w:r>
      <w:r w:rsidRPr="007156A3" w:rsidR="00EF6C27">
        <w:rPr>
          <w:sz w:val="24"/>
          <w:szCs w:val="24"/>
        </w:rPr>
        <w:t xml:space="preserve"> </w:t>
      </w:r>
      <w:r w:rsidRPr="007156A3">
        <w:rPr>
          <w:sz w:val="24"/>
          <w:szCs w:val="24"/>
        </w:rPr>
        <w:t>Th</w:t>
      </w:r>
      <w:r w:rsidRPr="007156A3" w:rsidR="00F73E33">
        <w:rPr>
          <w:sz w:val="24"/>
          <w:szCs w:val="24"/>
        </w:rPr>
        <w:t>ere are two types of respondents to the survey.</w:t>
      </w:r>
    </w:p>
    <w:p w:rsidRPr="007156A3" w:rsidR="00F73E33" w:rsidP="00F73E33" w:rsidRDefault="003E5DF9" w14:paraId="46AF2E84" w14:textId="77777777">
      <w:pPr>
        <w:pStyle w:val="ListParagraph"/>
        <w:numPr>
          <w:ilvl w:val="0"/>
          <w:numId w:val="3"/>
        </w:numPr>
        <w:autoSpaceDE/>
        <w:autoSpaceDN/>
        <w:adjustRightInd/>
        <w:spacing w:line="240" w:lineRule="atLeast"/>
        <w:rPr>
          <w:rFonts w:cs="Arial"/>
          <w:sz w:val="24"/>
          <w:szCs w:val="24"/>
          <w:lang w:val="en"/>
        </w:rPr>
      </w:pPr>
      <w:r w:rsidRPr="007156A3">
        <w:rPr>
          <w:sz w:val="24"/>
          <w:szCs w:val="24"/>
        </w:rPr>
        <w:t xml:space="preserve"> </w:t>
      </w:r>
      <w:r w:rsidRPr="007156A3" w:rsidR="00F73E33">
        <w:rPr>
          <w:rFonts w:cs="Arial"/>
          <w:sz w:val="24"/>
          <w:szCs w:val="24"/>
          <w:lang w:val="en"/>
        </w:rPr>
        <w:t xml:space="preserve">For Occupied Housing Units – A household respondent, who must be a knowledgeable household member 16 years of age or over, provides information on the unit, the household composition, and income. </w:t>
      </w:r>
    </w:p>
    <w:p w:rsidRPr="007156A3" w:rsidR="00F73E33" w:rsidP="00F73E33" w:rsidRDefault="00F73E33" w14:paraId="49985D56" w14:textId="6BEDC0ED">
      <w:pPr>
        <w:pStyle w:val="ListParagraph"/>
        <w:numPr>
          <w:ilvl w:val="0"/>
          <w:numId w:val="3"/>
        </w:numPr>
        <w:autoSpaceDE/>
        <w:autoSpaceDN/>
        <w:adjustRightInd/>
        <w:spacing w:line="240" w:lineRule="atLeast"/>
        <w:rPr>
          <w:rFonts w:cs="Arial"/>
          <w:sz w:val="24"/>
          <w:szCs w:val="24"/>
          <w:lang w:val="en"/>
        </w:rPr>
      </w:pPr>
      <w:r w:rsidRPr="007156A3">
        <w:rPr>
          <w:rFonts w:cs="Arial"/>
          <w:sz w:val="24"/>
          <w:szCs w:val="24"/>
          <w:lang w:val="en"/>
        </w:rPr>
        <w:t>For Vacant Housing Units – A landlord, owner, real estate agent, or knowledgeable neighbor can provide data on the unit.</w:t>
      </w:r>
    </w:p>
    <w:p w:rsidRPr="007156A3" w:rsidR="00F73E33" w:rsidP="00F73E33" w:rsidRDefault="00F73E33" w14:paraId="1B0F2488" w14:textId="651118D7">
      <w:pPr>
        <w:spacing w:after="0" w:line="240" w:lineRule="atLeast"/>
        <w:rPr>
          <w:rFonts w:cs="Arial"/>
          <w:sz w:val="24"/>
          <w:szCs w:val="24"/>
          <w:lang w:val="en"/>
        </w:rPr>
      </w:pPr>
    </w:p>
    <w:p w:rsidRPr="007156A3" w:rsidR="003E5DF9" w:rsidP="0032147E" w:rsidRDefault="00F73E33" w14:paraId="14A0D6E8" w14:textId="2846459B">
      <w:pPr>
        <w:spacing w:line="240" w:lineRule="atLeast"/>
        <w:rPr>
          <w:rFonts w:cs="Arial"/>
          <w:sz w:val="24"/>
          <w:szCs w:val="24"/>
          <w:lang w:val="en"/>
        </w:rPr>
      </w:pPr>
      <w:r w:rsidRPr="007156A3">
        <w:rPr>
          <w:rFonts w:cs="Arial"/>
          <w:sz w:val="24"/>
          <w:szCs w:val="24"/>
          <w:lang w:val="en"/>
        </w:rPr>
        <w:t>For our cognitive pretesting evaluation the respondents will be 18 years of age or over, and answering about the household in which they currently live (i.e. for Occupied Housing Units).</w:t>
      </w:r>
    </w:p>
    <w:p w:rsidRPr="007156A3" w:rsidR="003E5DF9" w:rsidP="003E5DF9" w:rsidRDefault="003E5DF9" w14:paraId="79612E43" w14:textId="0960051B">
      <w:pPr>
        <w:shd w:val="clear" w:color="auto" w:fill="FFFFFF"/>
        <w:rPr>
          <w:color w:val="000000"/>
          <w:sz w:val="24"/>
          <w:szCs w:val="24"/>
        </w:rPr>
      </w:pPr>
      <w:r w:rsidRPr="007156A3">
        <w:rPr>
          <w:b/>
          <w:color w:val="000000"/>
          <w:sz w:val="24"/>
          <w:szCs w:val="24"/>
        </w:rPr>
        <w:t>Timeline</w:t>
      </w:r>
      <w:r w:rsidR="006D37EF">
        <w:rPr>
          <w:color w:val="000000"/>
          <w:sz w:val="24"/>
          <w:szCs w:val="24"/>
        </w:rPr>
        <w:t xml:space="preserve">: </w:t>
      </w:r>
      <w:r w:rsidR="006A7E7F">
        <w:rPr>
          <w:color w:val="000000"/>
          <w:sz w:val="24"/>
          <w:szCs w:val="24"/>
        </w:rPr>
        <w:t>Cognitive interviews, whether in person or remote,</w:t>
      </w:r>
      <w:r w:rsidRPr="007156A3" w:rsidR="006D37EF">
        <w:rPr>
          <w:color w:val="000000"/>
          <w:sz w:val="24"/>
          <w:szCs w:val="24"/>
        </w:rPr>
        <w:t xml:space="preserve"> will be conducted</w:t>
      </w:r>
      <w:r w:rsidR="00D5610D">
        <w:rPr>
          <w:color w:val="000000"/>
          <w:sz w:val="24"/>
          <w:szCs w:val="24"/>
        </w:rPr>
        <w:t xml:space="preserve"> in o</w:t>
      </w:r>
      <w:r w:rsidR="00964142">
        <w:rPr>
          <w:color w:val="000000"/>
          <w:sz w:val="24"/>
          <w:szCs w:val="24"/>
        </w:rPr>
        <w:t xml:space="preserve">ne round between </w:t>
      </w:r>
      <w:r w:rsidR="009C7FEC">
        <w:rPr>
          <w:color w:val="000000"/>
          <w:sz w:val="24"/>
          <w:szCs w:val="24"/>
        </w:rPr>
        <w:t>July 2020 and August 2020</w:t>
      </w:r>
      <w:r w:rsidRPr="00D5610D" w:rsidR="006D37EF">
        <w:rPr>
          <w:color w:val="000000"/>
          <w:sz w:val="24"/>
          <w:szCs w:val="24"/>
        </w:rPr>
        <w:t xml:space="preserve">.  </w:t>
      </w:r>
      <w:r w:rsidRPr="00D5610D" w:rsidR="00D5610D">
        <w:rPr>
          <w:sz w:val="24"/>
          <w:szCs w:val="24"/>
        </w:rPr>
        <w:t xml:space="preserve">Online responses will also be collected through Qualtrics during this time period.  </w:t>
      </w:r>
      <w:r w:rsidR="006D37EF">
        <w:rPr>
          <w:color w:val="000000"/>
          <w:sz w:val="24"/>
          <w:szCs w:val="24"/>
        </w:rPr>
        <w:t>Results from testing will be used to inform recommendations for the final wording</w:t>
      </w:r>
      <w:r w:rsidRPr="007156A3" w:rsidR="006D37EF">
        <w:rPr>
          <w:color w:val="000000"/>
          <w:sz w:val="24"/>
          <w:szCs w:val="24"/>
        </w:rPr>
        <w:t xml:space="preserve"> of the questions.</w:t>
      </w:r>
    </w:p>
    <w:p w:rsidRPr="007156A3" w:rsidR="003E5DF9" w:rsidP="003E5DF9" w:rsidRDefault="003E5DF9" w14:paraId="2038B215" w14:textId="40353BBD">
      <w:pPr>
        <w:shd w:val="clear" w:color="auto" w:fill="FFFFFF"/>
        <w:rPr>
          <w:color w:val="000000"/>
          <w:sz w:val="24"/>
          <w:szCs w:val="24"/>
        </w:rPr>
      </w:pPr>
      <w:r w:rsidRPr="007156A3">
        <w:rPr>
          <w:b/>
          <w:color w:val="000000"/>
          <w:sz w:val="24"/>
          <w:szCs w:val="24"/>
        </w:rPr>
        <w:lastRenderedPageBreak/>
        <w:t>Language</w:t>
      </w:r>
      <w:r w:rsidRPr="007156A3">
        <w:rPr>
          <w:color w:val="000000"/>
          <w:sz w:val="24"/>
          <w:szCs w:val="24"/>
        </w:rPr>
        <w:t xml:space="preserve">: </w:t>
      </w:r>
      <w:r w:rsidRPr="007156A3" w:rsidR="00BA6FEB">
        <w:rPr>
          <w:color w:val="000000"/>
          <w:sz w:val="24"/>
          <w:szCs w:val="24"/>
        </w:rPr>
        <w:t>Testing</w:t>
      </w:r>
      <w:r w:rsidRPr="007156A3">
        <w:rPr>
          <w:color w:val="000000"/>
          <w:sz w:val="24"/>
          <w:szCs w:val="24"/>
        </w:rPr>
        <w:t xml:space="preserve"> will be conducted in English only</w:t>
      </w:r>
      <w:r w:rsidR="00FA4413">
        <w:rPr>
          <w:color w:val="000000"/>
          <w:sz w:val="24"/>
          <w:szCs w:val="24"/>
        </w:rPr>
        <w:t>, for both the in-person testing and online testing</w:t>
      </w:r>
      <w:r w:rsidRPr="007156A3">
        <w:rPr>
          <w:color w:val="000000"/>
          <w:sz w:val="24"/>
          <w:szCs w:val="24"/>
        </w:rPr>
        <w:t xml:space="preserve">.  </w:t>
      </w:r>
    </w:p>
    <w:p w:rsidRPr="007156A3" w:rsidR="001B0866" w:rsidP="003E5DF9" w:rsidRDefault="003E5DF9" w14:paraId="644AF2F6" w14:textId="3AAC635C">
      <w:pPr>
        <w:shd w:val="clear" w:color="auto" w:fill="FFFFFF"/>
        <w:rPr>
          <w:color w:val="000000"/>
          <w:sz w:val="24"/>
          <w:szCs w:val="24"/>
        </w:rPr>
      </w:pPr>
      <w:r w:rsidRPr="007156A3">
        <w:rPr>
          <w:b/>
          <w:color w:val="000000"/>
          <w:sz w:val="24"/>
          <w:szCs w:val="24"/>
        </w:rPr>
        <w:t>Method</w:t>
      </w:r>
      <w:r w:rsidRPr="007156A3">
        <w:rPr>
          <w:color w:val="000000"/>
          <w:sz w:val="24"/>
          <w:szCs w:val="24"/>
        </w:rPr>
        <w:t xml:space="preserve">: </w:t>
      </w:r>
      <w:r w:rsidR="008C2A39">
        <w:rPr>
          <w:color w:val="000000"/>
          <w:sz w:val="24"/>
          <w:szCs w:val="24"/>
        </w:rPr>
        <w:t>Staff from CBSM will conduct 1</w:t>
      </w:r>
      <w:r w:rsidRPr="007156A3" w:rsidR="008C2A39">
        <w:rPr>
          <w:color w:val="000000"/>
          <w:sz w:val="24"/>
          <w:szCs w:val="24"/>
        </w:rPr>
        <w:t>5</w:t>
      </w:r>
      <w:r w:rsidR="008C2A39">
        <w:rPr>
          <w:color w:val="000000"/>
          <w:sz w:val="24"/>
          <w:szCs w:val="24"/>
        </w:rPr>
        <w:t xml:space="preserve"> cognitive interviews</w:t>
      </w:r>
      <w:r w:rsidR="006A7E7F">
        <w:rPr>
          <w:color w:val="000000"/>
          <w:sz w:val="24"/>
          <w:szCs w:val="24"/>
        </w:rPr>
        <w:t>, either in person or remotely</w:t>
      </w:r>
      <w:r w:rsidR="008C2A39">
        <w:rPr>
          <w:color w:val="000000"/>
          <w:sz w:val="24"/>
          <w:szCs w:val="24"/>
        </w:rPr>
        <w:t xml:space="preserve">.  </w:t>
      </w:r>
      <w:r w:rsidR="007D0FBC">
        <w:rPr>
          <w:color w:val="000000"/>
          <w:sz w:val="24"/>
          <w:szCs w:val="24"/>
        </w:rPr>
        <w:t>T</w:t>
      </w:r>
      <w:r w:rsidR="008C2A39">
        <w:rPr>
          <w:color w:val="000000"/>
          <w:sz w:val="24"/>
          <w:szCs w:val="24"/>
        </w:rPr>
        <w:t xml:space="preserve">hese interviews </w:t>
      </w:r>
      <w:r w:rsidR="006A7E7F">
        <w:rPr>
          <w:color w:val="000000"/>
          <w:sz w:val="24"/>
          <w:szCs w:val="24"/>
        </w:rPr>
        <w:t>are</w:t>
      </w:r>
      <w:r w:rsidR="008C2A39">
        <w:rPr>
          <w:color w:val="000000"/>
          <w:sz w:val="24"/>
          <w:szCs w:val="24"/>
        </w:rPr>
        <w:t xml:space="preserve"> likely </w:t>
      </w:r>
      <w:r w:rsidR="006A7E7F">
        <w:rPr>
          <w:color w:val="000000"/>
          <w:sz w:val="24"/>
          <w:szCs w:val="24"/>
        </w:rPr>
        <w:t xml:space="preserve">to </w:t>
      </w:r>
      <w:r w:rsidR="008C2A39">
        <w:rPr>
          <w:color w:val="000000"/>
          <w:sz w:val="24"/>
          <w:szCs w:val="24"/>
        </w:rPr>
        <w:t>be conducted</w:t>
      </w:r>
      <w:r w:rsidR="00C11836">
        <w:rPr>
          <w:color w:val="000000"/>
          <w:sz w:val="24"/>
          <w:szCs w:val="24"/>
        </w:rPr>
        <w:t xml:space="preserve"> </w:t>
      </w:r>
      <w:r w:rsidR="007D0FBC">
        <w:rPr>
          <w:color w:val="000000"/>
          <w:sz w:val="24"/>
          <w:szCs w:val="24"/>
        </w:rPr>
        <w:t>remotely</w:t>
      </w:r>
      <w:r w:rsidR="008C2A39">
        <w:rPr>
          <w:color w:val="000000"/>
          <w:sz w:val="24"/>
          <w:szCs w:val="24"/>
        </w:rPr>
        <w:t xml:space="preserve"> by phone</w:t>
      </w:r>
      <w:r w:rsidR="006A7E7F">
        <w:rPr>
          <w:color w:val="000000"/>
          <w:sz w:val="24"/>
          <w:szCs w:val="24"/>
        </w:rPr>
        <w:t xml:space="preserve"> for a couple of reasons</w:t>
      </w:r>
      <w:r w:rsidR="009048F7">
        <w:rPr>
          <w:color w:val="000000"/>
          <w:sz w:val="24"/>
          <w:szCs w:val="24"/>
        </w:rPr>
        <w:t>, and will not include video conferencing software since we do not feel this is necessary</w:t>
      </w:r>
      <w:r w:rsidR="008C2A39">
        <w:rPr>
          <w:color w:val="000000"/>
          <w:sz w:val="24"/>
          <w:szCs w:val="24"/>
        </w:rPr>
        <w:t>.</w:t>
      </w:r>
      <w:r w:rsidR="000257A9">
        <w:rPr>
          <w:color w:val="000000"/>
          <w:sz w:val="24"/>
          <w:szCs w:val="24"/>
        </w:rPr>
        <w:t xml:space="preserve"> </w:t>
      </w:r>
      <w:r w:rsidR="00FB37E7">
        <w:rPr>
          <w:color w:val="000000"/>
          <w:sz w:val="24"/>
          <w:szCs w:val="24"/>
        </w:rPr>
        <w:t>In order to test the Wildfire Risk module with the target population, some i</w:t>
      </w:r>
      <w:r w:rsidR="000257A9">
        <w:rPr>
          <w:color w:val="000000"/>
          <w:sz w:val="24"/>
          <w:szCs w:val="24"/>
        </w:rPr>
        <w:t xml:space="preserve">nterviews </w:t>
      </w:r>
      <w:r w:rsidR="007D0FBC">
        <w:rPr>
          <w:color w:val="000000"/>
          <w:sz w:val="24"/>
          <w:szCs w:val="24"/>
        </w:rPr>
        <w:t xml:space="preserve">will </w:t>
      </w:r>
      <w:r w:rsidR="000257A9">
        <w:rPr>
          <w:color w:val="000000"/>
          <w:sz w:val="24"/>
          <w:szCs w:val="24"/>
        </w:rPr>
        <w:t>be conducted</w:t>
      </w:r>
      <w:r w:rsidR="00FB37E7">
        <w:rPr>
          <w:color w:val="000000"/>
          <w:sz w:val="24"/>
          <w:szCs w:val="24"/>
        </w:rPr>
        <w:t xml:space="preserve"> remotely</w:t>
      </w:r>
      <w:r w:rsidR="000257A9">
        <w:rPr>
          <w:color w:val="000000"/>
          <w:sz w:val="24"/>
          <w:szCs w:val="24"/>
        </w:rPr>
        <w:t xml:space="preserve"> with respondents from</w:t>
      </w:r>
      <w:r w:rsidR="007D0FBC">
        <w:rPr>
          <w:color w:val="000000"/>
          <w:sz w:val="24"/>
          <w:szCs w:val="24"/>
        </w:rPr>
        <w:t xml:space="preserve"> the</w:t>
      </w:r>
      <w:r w:rsidR="000257A9">
        <w:rPr>
          <w:color w:val="000000"/>
          <w:sz w:val="24"/>
          <w:szCs w:val="24"/>
        </w:rPr>
        <w:t xml:space="preserve"> San Francisco, CA, San Antonio, TX, and Birmingham, AL metropolitan areas.</w:t>
      </w:r>
      <w:r w:rsidR="008C2A39">
        <w:rPr>
          <w:color w:val="000000"/>
          <w:sz w:val="24"/>
          <w:szCs w:val="24"/>
        </w:rPr>
        <w:t xml:space="preserve">  </w:t>
      </w:r>
      <w:r w:rsidR="00FB37E7">
        <w:rPr>
          <w:color w:val="000000"/>
          <w:sz w:val="24"/>
          <w:szCs w:val="24"/>
        </w:rPr>
        <w:t xml:space="preserve">For the other modules, interviews will be conducted with respondents from these areas or the Washington, D.C. metropolitan area.  </w:t>
      </w:r>
      <w:r w:rsidR="006A7E7F">
        <w:rPr>
          <w:color w:val="000000"/>
          <w:sz w:val="24"/>
          <w:szCs w:val="24"/>
        </w:rPr>
        <w:t xml:space="preserve">Because of the ongoing coronavirus pandemic, the Census Bureau will evaluate Federal, state, and local guidance to determine whether it is safe and appropriate to conduct cognitive interviews in person or remotely. Some interviews </w:t>
      </w:r>
      <w:r w:rsidR="008C2A39">
        <w:rPr>
          <w:color w:val="000000"/>
          <w:sz w:val="24"/>
          <w:szCs w:val="24"/>
        </w:rPr>
        <w:t>may</w:t>
      </w:r>
      <w:r w:rsidR="006A7E7F">
        <w:rPr>
          <w:color w:val="000000"/>
          <w:sz w:val="24"/>
          <w:szCs w:val="24"/>
        </w:rPr>
        <w:t xml:space="preserve"> be</w:t>
      </w:r>
      <w:r w:rsidR="008C2A39">
        <w:rPr>
          <w:color w:val="000000"/>
          <w:sz w:val="24"/>
          <w:szCs w:val="24"/>
        </w:rPr>
        <w:t xml:space="preserve"> </w:t>
      </w:r>
      <w:r w:rsidR="00782326">
        <w:rPr>
          <w:color w:val="000000"/>
          <w:sz w:val="24"/>
          <w:szCs w:val="24"/>
        </w:rPr>
        <w:t>conduct</w:t>
      </w:r>
      <w:r w:rsidR="006A7E7F">
        <w:rPr>
          <w:color w:val="000000"/>
          <w:sz w:val="24"/>
          <w:szCs w:val="24"/>
        </w:rPr>
        <w:t>ed</w:t>
      </w:r>
      <w:r w:rsidR="007D0FBC">
        <w:rPr>
          <w:color w:val="000000"/>
          <w:sz w:val="24"/>
          <w:szCs w:val="24"/>
        </w:rPr>
        <w:t xml:space="preserve"> </w:t>
      </w:r>
      <w:r w:rsidR="006A7E7F">
        <w:rPr>
          <w:color w:val="000000"/>
          <w:sz w:val="24"/>
          <w:szCs w:val="24"/>
        </w:rPr>
        <w:t>in person (</w:t>
      </w:r>
      <w:r w:rsidR="00C11836">
        <w:rPr>
          <w:color w:val="000000"/>
          <w:sz w:val="24"/>
          <w:szCs w:val="24"/>
        </w:rPr>
        <w:t>face-to-face</w:t>
      </w:r>
      <w:r w:rsidR="006A7E7F">
        <w:rPr>
          <w:color w:val="000000"/>
          <w:sz w:val="24"/>
          <w:szCs w:val="24"/>
        </w:rPr>
        <w:t>)</w:t>
      </w:r>
      <w:r w:rsidR="00C11836">
        <w:rPr>
          <w:color w:val="000000"/>
          <w:sz w:val="24"/>
          <w:szCs w:val="24"/>
        </w:rPr>
        <w:t xml:space="preserve"> </w:t>
      </w:r>
      <w:r w:rsidRPr="007156A3" w:rsidR="001B0866">
        <w:rPr>
          <w:color w:val="000000"/>
          <w:sz w:val="24"/>
          <w:szCs w:val="24"/>
        </w:rPr>
        <w:t>in the Was</w:t>
      </w:r>
      <w:r w:rsidRPr="007156A3" w:rsidR="008E5EC9">
        <w:rPr>
          <w:color w:val="000000"/>
          <w:sz w:val="24"/>
          <w:szCs w:val="24"/>
        </w:rPr>
        <w:t>hington, D.C. metropolitan area, either at the Census Bureau Headquarters or at another location</w:t>
      </w:r>
      <w:r w:rsidR="00F722DA">
        <w:rPr>
          <w:color w:val="000000"/>
          <w:sz w:val="24"/>
          <w:szCs w:val="24"/>
        </w:rPr>
        <w:t xml:space="preserve"> that is more convenient for a respondent,</w:t>
      </w:r>
      <w:r w:rsidRPr="007156A3" w:rsidR="008E5EC9">
        <w:rPr>
          <w:color w:val="000000"/>
          <w:sz w:val="24"/>
          <w:szCs w:val="24"/>
        </w:rPr>
        <w:t xml:space="preserve"> such as a public library</w:t>
      </w:r>
      <w:r w:rsidR="006A7E7F">
        <w:rPr>
          <w:color w:val="000000"/>
          <w:sz w:val="24"/>
          <w:szCs w:val="24"/>
        </w:rPr>
        <w:t>, if appropriate</w:t>
      </w:r>
      <w:r w:rsidRPr="002B46A7" w:rsidR="008E5EC9">
        <w:rPr>
          <w:color w:val="000000"/>
          <w:sz w:val="24"/>
          <w:szCs w:val="24"/>
        </w:rPr>
        <w:t>.</w:t>
      </w:r>
      <w:r w:rsidR="006A7E7F">
        <w:rPr>
          <w:color w:val="000000"/>
          <w:sz w:val="24"/>
          <w:szCs w:val="24"/>
        </w:rPr>
        <w:t xml:space="preserve"> Otherwise, cognitive interviews will be done remotely with respondents recruited from the Washington, D.C. metropolitan area, or the other areas noted.</w:t>
      </w:r>
      <w:r w:rsidRPr="002B46A7" w:rsidR="008E5EC9">
        <w:rPr>
          <w:color w:val="000000"/>
          <w:sz w:val="24"/>
          <w:szCs w:val="24"/>
        </w:rPr>
        <w:t xml:space="preserve">  </w:t>
      </w:r>
      <w:r w:rsidRPr="002B46A7" w:rsidR="002B46A7">
        <w:rPr>
          <w:sz w:val="24"/>
          <w:szCs w:val="24"/>
        </w:rPr>
        <w:t xml:space="preserve">Researchers will conduct </w:t>
      </w:r>
      <w:r w:rsidRPr="002B46A7" w:rsidR="002B46A7">
        <w:rPr>
          <w:rFonts w:eastAsiaTheme="minorEastAsia"/>
          <w:sz w:val="24"/>
          <w:szCs w:val="24"/>
        </w:rPr>
        <w:t xml:space="preserve">supplemental pretesting research online </w:t>
      </w:r>
      <w:r w:rsidR="00EA3850">
        <w:rPr>
          <w:rFonts w:eastAsiaTheme="minorEastAsia"/>
          <w:sz w:val="24"/>
          <w:szCs w:val="24"/>
        </w:rPr>
        <w:t xml:space="preserve">with </w:t>
      </w:r>
      <w:r w:rsidR="00C35564">
        <w:rPr>
          <w:rFonts w:eastAsiaTheme="minorEastAsia"/>
          <w:sz w:val="24"/>
          <w:szCs w:val="24"/>
        </w:rPr>
        <w:t xml:space="preserve">150 </w:t>
      </w:r>
      <w:r w:rsidR="00EA3850">
        <w:rPr>
          <w:rFonts w:eastAsiaTheme="minorEastAsia"/>
          <w:sz w:val="24"/>
          <w:szCs w:val="24"/>
        </w:rPr>
        <w:t xml:space="preserve">respondents </w:t>
      </w:r>
      <w:r w:rsidRPr="002B46A7" w:rsidR="002B46A7">
        <w:rPr>
          <w:rFonts w:eastAsiaTheme="minorEastAsia"/>
          <w:sz w:val="24"/>
          <w:szCs w:val="24"/>
        </w:rPr>
        <w:t>using Qualtrics, which will occur</w:t>
      </w:r>
      <w:r w:rsidR="002B46A7">
        <w:rPr>
          <w:rFonts w:eastAsiaTheme="minorEastAsia"/>
          <w:sz w:val="24"/>
          <w:szCs w:val="24"/>
        </w:rPr>
        <w:t xml:space="preserve"> at the same time.</w:t>
      </w:r>
    </w:p>
    <w:p w:rsidRPr="007156A3" w:rsidR="0032147E" w:rsidP="0032147E" w:rsidRDefault="004F690F" w14:paraId="4123F455" w14:textId="470F71DC">
      <w:pPr>
        <w:shd w:val="clear" w:color="auto" w:fill="FFFFFF"/>
        <w:rPr>
          <w:color w:val="000000"/>
          <w:sz w:val="24"/>
          <w:szCs w:val="24"/>
        </w:rPr>
      </w:pPr>
      <w:r w:rsidRPr="007156A3">
        <w:rPr>
          <w:b/>
          <w:color w:val="000000"/>
          <w:sz w:val="24"/>
          <w:szCs w:val="24"/>
        </w:rPr>
        <w:t>Sample</w:t>
      </w:r>
      <w:r w:rsidRPr="007156A3">
        <w:rPr>
          <w:color w:val="000000"/>
          <w:sz w:val="24"/>
          <w:szCs w:val="24"/>
        </w:rPr>
        <w:t>:</w:t>
      </w:r>
      <w:r w:rsidRPr="007156A3" w:rsidR="0032147E">
        <w:rPr>
          <w:color w:val="000000"/>
          <w:sz w:val="24"/>
          <w:szCs w:val="24"/>
        </w:rPr>
        <w:t xml:space="preserve"> </w:t>
      </w:r>
      <w:r w:rsidR="00163360">
        <w:rPr>
          <w:color w:val="000000"/>
          <w:sz w:val="24"/>
          <w:szCs w:val="24"/>
        </w:rPr>
        <w:t xml:space="preserve">For </w:t>
      </w:r>
      <w:r w:rsidR="006A7E7F">
        <w:rPr>
          <w:color w:val="000000"/>
          <w:sz w:val="24"/>
          <w:szCs w:val="24"/>
        </w:rPr>
        <w:t>cognitive</w:t>
      </w:r>
      <w:r w:rsidR="00163360">
        <w:rPr>
          <w:color w:val="000000"/>
          <w:sz w:val="24"/>
          <w:szCs w:val="24"/>
        </w:rPr>
        <w:t xml:space="preserve"> interviews, o</w:t>
      </w:r>
      <w:r w:rsidRPr="007156A3" w:rsidR="0032147E">
        <w:rPr>
          <w:color w:val="000000"/>
          <w:sz w:val="24"/>
          <w:szCs w:val="24"/>
        </w:rPr>
        <w:t xml:space="preserve">ur recruiting efforts will target the following groups: </w:t>
      </w:r>
    </w:p>
    <w:p w:rsidR="0092027A" w:rsidP="00A010EA" w:rsidRDefault="00196A9F" w14:paraId="0BDAC5A6" w14:textId="31A724FB">
      <w:pPr>
        <w:numPr>
          <w:ilvl w:val="0"/>
          <w:numId w:val="5"/>
        </w:numPr>
        <w:shd w:val="clear" w:color="auto" w:fill="FFFFFF"/>
        <w:contextualSpacing/>
        <w:rPr>
          <w:color w:val="000000"/>
          <w:sz w:val="24"/>
          <w:szCs w:val="24"/>
        </w:rPr>
      </w:pPr>
      <w:r>
        <w:rPr>
          <w:color w:val="000000"/>
          <w:sz w:val="24"/>
          <w:szCs w:val="24"/>
        </w:rPr>
        <w:t>R</w:t>
      </w:r>
      <w:r w:rsidRPr="007156A3" w:rsidR="0032147E">
        <w:rPr>
          <w:color w:val="000000"/>
          <w:sz w:val="24"/>
          <w:szCs w:val="24"/>
        </w:rPr>
        <w:t>espondents who</w:t>
      </w:r>
      <w:r w:rsidR="0092027A">
        <w:rPr>
          <w:color w:val="000000"/>
          <w:sz w:val="24"/>
          <w:szCs w:val="24"/>
        </w:rPr>
        <w:t xml:space="preserve"> own a home with one or more mortgages, loans, or lines of credit</w:t>
      </w:r>
    </w:p>
    <w:p w:rsidRPr="00A010EA" w:rsidR="00AC1F77" w:rsidP="00A010EA" w:rsidRDefault="00AC1F77" w14:paraId="74428A7F" w14:textId="3449CCA5">
      <w:pPr>
        <w:numPr>
          <w:ilvl w:val="0"/>
          <w:numId w:val="5"/>
        </w:numPr>
        <w:shd w:val="clear" w:color="auto" w:fill="FFFFFF"/>
        <w:contextualSpacing/>
        <w:rPr>
          <w:color w:val="000000"/>
          <w:sz w:val="24"/>
          <w:szCs w:val="24"/>
        </w:rPr>
      </w:pPr>
      <w:r>
        <w:rPr>
          <w:color w:val="000000"/>
          <w:sz w:val="24"/>
          <w:szCs w:val="24"/>
        </w:rPr>
        <w:t>Respondents who live in a single-unit home in one of three metropolitan areas: San Francisco, CA; San Antonio, TX; or Birmingham, AL</w:t>
      </w:r>
    </w:p>
    <w:p w:rsidRPr="007156A3" w:rsidR="0032147E" w:rsidP="0032147E" w:rsidRDefault="00196A9F" w14:paraId="360D5C70" w14:textId="5A20F004">
      <w:pPr>
        <w:numPr>
          <w:ilvl w:val="0"/>
          <w:numId w:val="5"/>
        </w:numPr>
        <w:shd w:val="clear" w:color="auto" w:fill="FFFFFF"/>
        <w:contextualSpacing/>
        <w:rPr>
          <w:color w:val="000000"/>
          <w:sz w:val="24"/>
          <w:szCs w:val="24"/>
        </w:rPr>
      </w:pPr>
      <w:r>
        <w:rPr>
          <w:color w:val="000000"/>
          <w:sz w:val="24"/>
          <w:szCs w:val="24"/>
        </w:rPr>
        <w:t>R</w:t>
      </w:r>
      <w:r w:rsidR="0092027A">
        <w:rPr>
          <w:color w:val="000000"/>
          <w:sz w:val="24"/>
          <w:szCs w:val="24"/>
        </w:rPr>
        <w:t xml:space="preserve">espondents who </w:t>
      </w:r>
      <w:r w:rsidR="009D38B9">
        <w:rPr>
          <w:color w:val="000000"/>
          <w:sz w:val="24"/>
          <w:szCs w:val="24"/>
        </w:rPr>
        <w:t xml:space="preserve">rent a home and </w:t>
      </w:r>
      <w:r w:rsidR="0092027A">
        <w:rPr>
          <w:color w:val="000000"/>
          <w:sz w:val="24"/>
          <w:szCs w:val="24"/>
        </w:rPr>
        <w:t>moved with</w:t>
      </w:r>
      <w:r w:rsidRPr="007156A3" w:rsidR="0032147E">
        <w:rPr>
          <w:color w:val="000000"/>
          <w:sz w:val="24"/>
          <w:szCs w:val="24"/>
        </w:rPr>
        <w:t>in the past two years</w:t>
      </w:r>
    </w:p>
    <w:p w:rsidR="00FE7FA4" w:rsidP="00FE7FA4" w:rsidRDefault="00FE7FA4" w14:paraId="4F940BC7" w14:textId="77777777">
      <w:pPr>
        <w:shd w:val="clear" w:color="auto" w:fill="FFFFFF"/>
        <w:spacing w:after="0"/>
        <w:ind w:left="720"/>
        <w:rPr>
          <w:color w:val="000000"/>
          <w:sz w:val="24"/>
          <w:szCs w:val="24"/>
        </w:rPr>
      </w:pPr>
    </w:p>
    <w:p w:rsidR="0032147E" w:rsidP="0032147E" w:rsidRDefault="0032147E" w14:paraId="58D63E2C" w14:textId="7BA9CD21">
      <w:pPr>
        <w:shd w:val="clear" w:color="auto" w:fill="FFFFFF"/>
        <w:rPr>
          <w:color w:val="000000"/>
          <w:sz w:val="24"/>
        </w:rPr>
      </w:pPr>
      <w:r w:rsidRPr="007156A3">
        <w:rPr>
          <w:color w:val="000000"/>
          <w:sz w:val="24"/>
          <w:szCs w:val="24"/>
        </w:rPr>
        <w:t xml:space="preserve">In addition to these characteristics, </w:t>
      </w:r>
      <w:r w:rsidRPr="007156A3" w:rsidR="00E25453">
        <w:rPr>
          <w:color w:val="000000"/>
          <w:sz w:val="24"/>
        </w:rPr>
        <w:t>we will attempt to recruit respondents from diverse demographic groups including race/ethnicity, age, gender, and household size to the maximum extent possible.</w:t>
      </w:r>
      <w:r w:rsidR="00A46300">
        <w:rPr>
          <w:color w:val="000000"/>
          <w:sz w:val="24"/>
        </w:rPr>
        <w:t xml:space="preserve">  The </w:t>
      </w:r>
      <w:r w:rsidR="006A7E7F">
        <w:rPr>
          <w:color w:val="000000"/>
          <w:sz w:val="24"/>
        </w:rPr>
        <w:t>cognitive interviews</w:t>
      </w:r>
      <w:r w:rsidR="00A46300">
        <w:rPr>
          <w:color w:val="000000"/>
          <w:sz w:val="24"/>
        </w:rPr>
        <w:t xml:space="preserve"> will include questions from all four modules mentioned in the Purpose section.</w:t>
      </w:r>
      <w:r w:rsidRPr="007156A3" w:rsidR="00E25453">
        <w:rPr>
          <w:color w:val="000000"/>
          <w:sz w:val="24"/>
        </w:rPr>
        <w:t xml:space="preserve"> </w:t>
      </w:r>
    </w:p>
    <w:p w:rsidR="0090312D" w:rsidP="0032147E" w:rsidRDefault="0090312D" w14:paraId="1626C341" w14:textId="251C13C8">
      <w:pPr>
        <w:shd w:val="clear" w:color="auto" w:fill="FFFFFF"/>
        <w:rPr>
          <w:color w:val="000000"/>
          <w:sz w:val="24"/>
        </w:rPr>
      </w:pPr>
      <w:r>
        <w:rPr>
          <w:color w:val="000000"/>
          <w:sz w:val="24"/>
        </w:rPr>
        <w:t xml:space="preserve">For online testing, we will plan to </w:t>
      </w:r>
      <w:r w:rsidR="00C7073C">
        <w:rPr>
          <w:color w:val="000000"/>
          <w:sz w:val="24"/>
        </w:rPr>
        <w:t>target respondents who own a home with one or mortgages</w:t>
      </w:r>
      <w:r w:rsidR="00AC1F77">
        <w:rPr>
          <w:color w:val="000000"/>
          <w:sz w:val="24"/>
        </w:rPr>
        <w:t>,</w:t>
      </w:r>
      <w:r w:rsidR="00C7073C">
        <w:rPr>
          <w:color w:val="000000"/>
          <w:sz w:val="24"/>
        </w:rPr>
        <w:t xml:space="preserve"> or those who</w:t>
      </w:r>
      <w:r w:rsidR="00AC1F77">
        <w:rPr>
          <w:color w:val="000000"/>
          <w:sz w:val="24"/>
        </w:rPr>
        <w:t xml:space="preserve"> live in single unit homes in one of the three metropolitan areas intended for the Wildfire Risk module</w:t>
      </w:r>
      <w:r w:rsidR="00C7073C">
        <w:rPr>
          <w:color w:val="000000"/>
          <w:sz w:val="24"/>
        </w:rPr>
        <w:t xml:space="preserve">. </w:t>
      </w:r>
      <w:r w:rsidRPr="0090312D">
        <w:rPr>
          <w:color w:val="000000"/>
          <w:sz w:val="24"/>
        </w:rPr>
        <w:t xml:space="preserve">We will implement screening questions </w:t>
      </w:r>
      <w:r w:rsidR="00782326">
        <w:rPr>
          <w:color w:val="000000"/>
          <w:sz w:val="24"/>
        </w:rPr>
        <w:t xml:space="preserve">within the Qualtrics instrument </w:t>
      </w:r>
      <w:r w:rsidRPr="0090312D">
        <w:rPr>
          <w:color w:val="000000"/>
          <w:sz w:val="24"/>
        </w:rPr>
        <w:t xml:space="preserve">to target </w:t>
      </w:r>
      <w:r w:rsidR="00C7073C">
        <w:rPr>
          <w:color w:val="000000"/>
          <w:sz w:val="24"/>
        </w:rPr>
        <w:t>the groups aforementioned.</w:t>
      </w:r>
      <w:r w:rsidR="00AC1F77">
        <w:rPr>
          <w:color w:val="000000"/>
          <w:sz w:val="24"/>
        </w:rPr>
        <w:t xml:space="preserve">  The online testing will include questions from the Mortgage module and Wildfire Risk module; this will not include questions from the Recent Movers module or Pets module.</w:t>
      </w:r>
      <w:r w:rsidR="00C7073C">
        <w:rPr>
          <w:color w:val="000000"/>
          <w:sz w:val="24"/>
        </w:rPr>
        <w:t xml:space="preserve"> </w:t>
      </w:r>
    </w:p>
    <w:p w:rsidR="00317DED" w:rsidP="0090111D" w:rsidRDefault="004F690F" w14:paraId="715A73B3" w14:textId="2E8CA0BB">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Recruitment</w:t>
      </w:r>
      <w:r w:rsidRPr="007156A3">
        <w:rPr>
          <w:rFonts w:asciiTheme="minorHAnsi" w:hAnsiTheme="minorHAnsi"/>
          <w:color w:val="000000"/>
        </w:rPr>
        <w:t>:</w:t>
      </w:r>
      <w:r w:rsidRPr="007156A3" w:rsidR="0032147E">
        <w:rPr>
          <w:rFonts w:asciiTheme="minorHAnsi" w:hAnsiTheme="minorHAnsi"/>
          <w:color w:val="000000"/>
        </w:rPr>
        <w:t xml:space="preserve"> </w:t>
      </w:r>
      <w:r w:rsidR="00163360">
        <w:rPr>
          <w:rFonts w:asciiTheme="minorHAnsi" w:hAnsiTheme="minorHAnsi"/>
          <w:color w:val="000000"/>
        </w:rPr>
        <w:t xml:space="preserve">For </w:t>
      </w:r>
      <w:r w:rsidR="006A7E7F">
        <w:rPr>
          <w:rFonts w:asciiTheme="minorHAnsi" w:hAnsiTheme="minorHAnsi"/>
          <w:color w:val="000000"/>
        </w:rPr>
        <w:t>cognitive</w:t>
      </w:r>
      <w:r w:rsidR="00E96119">
        <w:rPr>
          <w:rFonts w:asciiTheme="minorHAnsi" w:hAnsiTheme="minorHAnsi"/>
          <w:color w:val="000000"/>
        </w:rPr>
        <w:t xml:space="preserve"> interviews, r</w:t>
      </w:r>
      <w:r w:rsidRPr="007156A3" w:rsidR="0032147E">
        <w:rPr>
          <w:rFonts w:asciiTheme="minorHAnsi" w:hAnsiTheme="minorHAnsi"/>
          <w:color w:val="000000"/>
        </w:rPr>
        <w:t>espondents will be recruited through C</w:t>
      </w:r>
      <w:r w:rsidR="00696B77">
        <w:rPr>
          <w:rFonts w:asciiTheme="minorHAnsi" w:hAnsiTheme="minorHAnsi"/>
          <w:color w:val="000000"/>
        </w:rPr>
        <w:t>B</w:t>
      </w:r>
      <w:r w:rsidRPr="007156A3" w:rsidR="0032147E">
        <w:rPr>
          <w:rFonts w:asciiTheme="minorHAnsi" w:hAnsiTheme="minorHAnsi"/>
          <w:color w:val="000000"/>
        </w:rPr>
        <w:t xml:space="preserve">SM’s recruitment database, an internal Census Bureau broadcast </w:t>
      </w:r>
      <w:r w:rsidR="00E96119">
        <w:rPr>
          <w:rFonts w:asciiTheme="minorHAnsi" w:hAnsiTheme="minorHAnsi"/>
          <w:color w:val="000000"/>
        </w:rPr>
        <w:t xml:space="preserve">email, </w:t>
      </w:r>
      <w:r w:rsidRPr="007156A3" w:rsidR="0032147E">
        <w:rPr>
          <w:rFonts w:asciiTheme="minorHAnsi" w:hAnsiTheme="minorHAnsi"/>
          <w:color w:val="000000"/>
        </w:rPr>
        <w:t>Craigslist.c</w:t>
      </w:r>
      <w:r w:rsidRPr="007156A3" w:rsidR="009309D1">
        <w:rPr>
          <w:rFonts w:asciiTheme="minorHAnsi" w:hAnsiTheme="minorHAnsi"/>
          <w:color w:val="000000"/>
        </w:rPr>
        <w:t>om, and via personal networks.</w:t>
      </w:r>
      <w:r w:rsidR="00E96119">
        <w:rPr>
          <w:rFonts w:asciiTheme="minorHAnsi" w:hAnsiTheme="minorHAnsi"/>
          <w:color w:val="000000"/>
        </w:rPr>
        <w:t xml:space="preserve">  </w:t>
      </w:r>
      <w:r w:rsidR="006A7E7F">
        <w:rPr>
          <w:rFonts w:asciiTheme="minorHAnsi" w:hAnsiTheme="minorHAnsi"/>
          <w:color w:val="000000"/>
        </w:rPr>
        <w:t>A</w:t>
      </w:r>
      <w:r w:rsidR="00E96119">
        <w:rPr>
          <w:rFonts w:asciiTheme="minorHAnsi" w:hAnsiTheme="minorHAnsi"/>
          <w:color w:val="000000"/>
        </w:rPr>
        <w:t>dditional recruitment may be attempted by posting flyers in local libraries or other public places</w:t>
      </w:r>
      <w:r w:rsidR="006A7E7F">
        <w:rPr>
          <w:rFonts w:asciiTheme="minorHAnsi" w:hAnsiTheme="minorHAnsi"/>
          <w:color w:val="000000"/>
        </w:rPr>
        <w:t xml:space="preserve"> depending </w:t>
      </w:r>
      <w:r w:rsidR="004B22C3">
        <w:rPr>
          <w:rFonts w:asciiTheme="minorHAnsi" w:hAnsiTheme="minorHAnsi"/>
          <w:color w:val="000000"/>
        </w:rPr>
        <w:t>on a review of the Federal, state, and local guidance because of the ongoing coronavirus pandemic</w:t>
      </w:r>
      <w:r w:rsidR="00E96119">
        <w:rPr>
          <w:rFonts w:asciiTheme="minorHAnsi" w:hAnsiTheme="minorHAnsi"/>
          <w:color w:val="000000"/>
        </w:rPr>
        <w:t xml:space="preserve">. </w:t>
      </w:r>
      <w:r w:rsidRPr="007156A3" w:rsidR="00E25453">
        <w:rPr>
          <w:rFonts w:asciiTheme="minorHAnsi" w:hAnsiTheme="minorHAnsi"/>
          <w:color w:val="000000"/>
        </w:rPr>
        <w:t xml:space="preserve">Respondents will be screened and selected based on the </w:t>
      </w:r>
      <w:r w:rsidRPr="007156A3" w:rsidR="00E25453">
        <w:rPr>
          <w:rFonts w:asciiTheme="minorHAnsi" w:hAnsiTheme="minorHAnsi"/>
          <w:color w:val="000000"/>
        </w:rPr>
        <w:lastRenderedPageBreak/>
        <w:t xml:space="preserve">survey-relevant characteristics of interest listed in the preceding section. </w:t>
      </w:r>
      <w:r w:rsidR="005C70B4">
        <w:rPr>
          <w:rFonts w:asciiTheme="minorHAnsi" w:hAnsiTheme="minorHAnsi"/>
          <w:color w:val="000000"/>
        </w:rPr>
        <w:t xml:space="preserve">Additional questions to be added to the universal </w:t>
      </w:r>
      <w:r w:rsidRPr="007156A3" w:rsidR="0032147E">
        <w:rPr>
          <w:rFonts w:asciiTheme="minorHAnsi" w:hAnsiTheme="minorHAnsi"/>
          <w:color w:val="000000"/>
        </w:rPr>
        <w:t>recruiting screener and a</w:t>
      </w:r>
      <w:r w:rsidR="00E97AAE">
        <w:rPr>
          <w:rFonts w:asciiTheme="minorHAnsi" w:hAnsiTheme="minorHAnsi"/>
          <w:color w:val="000000"/>
        </w:rPr>
        <w:t>ds are attached (see Enclosure 2 and Enclosures 3a-3</w:t>
      </w:r>
      <w:r w:rsidRPr="007156A3" w:rsidR="0032147E">
        <w:rPr>
          <w:rFonts w:asciiTheme="minorHAnsi" w:hAnsiTheme="minorHAnsi"/>
          <w:color w:val="000000"/>
        </w:rPr>
        <w:t xml:space="preserve">b).  </w:t>
      </w:r>
      <w:r w:rsidR="00007761">
        <w:rPr>
          <w:rFonts w:asciiTheme="minorHAnsi" w:hAnsiTheme="minorHAnsi"/>
          <w:color w:val="000000"/>
        </w:rPr>
        <w:t>Respondents will be screened</w:t>
      </w:r>
      <w:r w:rsidRPr="007156A3" w:rsidR="0090111D">
        <w:rPr>
          <w:rFonts w:asciiTheme="minorHAnsi" w:hAnsiTheme="minorHAnsi"/>
          <w:color w:val="000000"/>
        </w:rPr>
        <w:t xml:space="preserve"> by telephone and may receive an email reminder about the cognitive interview appointment after they agree to participate.</w:t>
      </w:r>
      <w:r w:rsidR="00DF4CF7">
        <w:rPr>
          <w:rFonts w:asciiTheme="minorHAnsi" w:hAnsiTheme="minorHAnsi"/>
          <w:color w:val="000000"/>
        </w:rPr>
        <w:t xml:space="preserve"> </w:t>
      </w:r>
    </w:p>
    <w:p w:rsidRPr="00AB7BE6" w:rsidR="003D0103" w:rsidP="00A46300" w:rsidRDefault="00A15C53" w14:paraId="50BD4B07" w14:textId="4F4E32ED">
      <w:pPr>
        <w:pStyle w:val="NormalWeb"/>
        <w:shd w:val="clear" w:color="auto" w:fill="FFFFFF"/>
        <w:spacing w:before="0" w:beforeAutospacing="0" w:after="240" w:afterAutospacing="0"/>
        <w:rPr>
          <w:color w:val="000000"/>
        </w:rPr>
      </w:pPr>
      <w:r>
        <w:rPr>
          <w:rFonts w:asciiTheme="minorHAnsi" w:hAnsiTheme="minorHAnsi"/>
          <w:color w:val="000000"/>
        </w:rPr>
        <w:t xml:space="preserve">For online testing, </w:t>
      </w:r>
      <w:r w:rsidR="00147EB6">
        <w:rPr>
          <w:rFonts w:asciiTheme="minorHAnsi" w:hAnsiTheme="minorHAnsi"/>
        </w:rPr>
        <w:t xml:space="preserve">Qualtrics will be choosing the sample from their panel and handling the recruitment. </w:t>
      </w:r>
      <w:r w:rsidR="00F85A0C">
        <w:rPr>
          <w:rFonts w:asciiTheme="minorHAnsi" w:hAnsiTheme="minorHAnsi"/>
        </w:rPr>
        <w:t xml:space="preserve"> </w:t>
      </w:r>
    </w:p>
    <w:p w:rsidR="00E25453" w:rsidP="005F631D" w:rsidRDefault="00E25453" w14:paraId="3C8781BB" w14:textId="041B8FE3">
      <w:pPr>
        <w:shd w:val="clear" w:color="auto" w:fill="FFFFFF"/>
        <w:rPr>
          <w:color w:val="000000"/>
          <w:sz w:val="24"/>
          <w:szCs w:val="24"/>
        </w:rPr>
      </w:pPr>
      <w:r w:rsidRPr="007156A3">
        <w:rPr>
          <w:b/>
          <w:color w:val="000000"/>
          <w:sz w:val="24"/>
          <w:szCs w:val="24"/>
        </w:rPr>
        <w:t>Protocol:</w:t>
      </w:r>
      <w:r w:rsidRPr="007156A3" w:rsidR="009309D1">
        <w:rPr>
          <w:color w:val="000000"/>
          <w:sz w:val="24"/>
          <w:szCs w:val="24"/>
        </w:rPr>
        <w:t xml:space="preserve"> </w:t>
      </w:r>
      <w:r w:rsidR="00163360">
        <w:rPr>
          <w:color w:val="000000"/>
          <w:sz w:val="24"/>
          <w:szCs w:val="24"/>
        </w:rPr>
        <w:t xml:space="preserve">For </w:t>
      </w:r>
      <w:r w:rsidR="004B22C3">
        <w:rPr>
          <w:color w:val="000000"/>
          <w:sz w:val="24"/>
          <w:szCs w:val="24"/>
        </w:rPr>
        <w:t>cognitive</w:t>
      </w:r>
      <w:r w:rsidR="00163360">
        <w:rPr>
          <w:color w:val="000000"/>
          <w:sz w:val="24"/>
          <w:szCs w:val="24"/>
        </w:rPr>
        <w:t xml:space="preserve"> interviews, we</w:t>
      </w:r>
      <w:r w:rsidRPr="007156A3" w:rsidR="005F631D">
        <w:rPr>
          <w:color w:val="000000"/>
          <w:sz w:val="24"/>
          <w:szCs w:val="24"/>
        </w:rPr>
        <w:t xml:space="preserve"> will use a “think</w:t>
      </w:r>
      <w:r w:rsidR="00233405">
        <w:rPr>
          <w:color w:val="000000"/>
          <w:sz w:val="24"/>
          <w:szCs w:val="24"/>
        </w:rPr>
        <w:t>-</w:t>
      </w:r>
      <w:r w:rsidRPr="007156A3" w:rsidR="005F631D">
        <w:rPr>
          <w:color w:val="000000"/>
          <w:sz w:val="24"/>
          <w:szCs w:val="24"/>
        </w:rPr>
        <w:t xml:space="preserve">aloud” approach in which respondents are instructed to speak their thoughts aloud as they receive, process, and respond to the survey questions.  </w:t>
      </w:r>
      <w:r w:rsidRPr="007156A3" w:rsidR="007A3A89">
        <w:rPr>
          <w:color w:val="000000"/>
          <w:sz w:val="24"/>
          <w:szCs w:val="24"/>
        </w:rPr>
        <w:t xml:space="preserve">As the AHS is an interviewer-administered survey, </w:t>
      </w:r>
      <w:r w:rsidRPr="007156A3" w:rsidR="005F631D">
        <w:rPr>
          <w:color w:val="000000"/>
          <w:sz w:val="24"/>
          <w:szCs w:val="24"/>
        </w:rPr>
        <w:t>C</w:t>
      </w:r>
      <w:r w:rsidR="00696B77">
        <w:rPr>
          <w:color w:val="000000"/>
          <w:sz w:val="24"/>
          <w:szCs w:val="24"/>
        </w:rPr>
        <w:t>B</w:t>
      </w:r>
      <w:r w:rsidRPr="007156A3" w:rsidR="005F631D">
        <w:rPr>
          <w:color w:val="000000"/>
          <w:sz w:val="24"/>
          <w:szCs w:val="24"/>
        </w:rPr>
        <w:t>SM researchers will administer the survey questions orally</w:t>
      </w:r>
      <w:r w:rsidR="00007761">
        <w:rPr>
          <w:color w:val="000000"/>
          <w:sz w:val="24"/>
          <w:szCs w:val="24"/>
        </w:rPr>
        <w:t xml:space="preserve"> with a respondent, but using a</w:t>
      </w:r>
      <w:r w:rsidR="008518D1">
        <w:rPr>
          <w:color w:val="000000"/>
          <w:sz w:val="24"/>
          <w:szCs w:val="24"/>
        </w:rPr>
        <w:t xml:space="preserve"> mocked-up</w:t>
      </w:r>
      <w:r w:rsidR="00007761">
        <w:rPr>
          <w:color w:val="000000"/>
          <w:sz w:val="24"/>
          <w:szCs w:val="24"/>
        </w:rPr>
        <w:t xml:space="preserve"> paper questionnaire rather than a CATI or CAPI instrument</w:t>
      </w:r>
      <w:r w:rsidRPr="007156A3" w:rsidR="005F631D">
        <w:rPr>
          <w:color w:val="000000"/>
          <w:sz w:val="24"/>
          <w:szCs w:val="24"/>
        </w:rPr>
        <w:t xml:space="preserve">. </w:t>
      </w:r>
      <w:r w:rsidRPr="007156A3" w:rsidR="00290935">
        <w:rPr>
          <w:color w:val="000000"/>
          <w:sz w:val="24"/>
          <w:szCs w:val="24"/>
        </w:rPr>
        <w:t>After</w:t>
      </w:r>
      <w:r w:rsidRPr="007156A3" w:rsidR="005F631D">
        <w:rPr>
          <w:color w:val="000000"/>
          <w:sz w:val="24"/>
          <w:szCs w:val="24"/>
        </w:rPr>
        <w:t xml:space="preserve"> respondents have given their response to each </w:t>
      </w:r>
      <w:r w:rsidRPr="007156A3" w:rsidR="00290935">
        <w:rPr>
          <w:color w:val="000000"/>
          <w:sz w:val="24"/>
          <w:szCs w:val="24"/>
        </w:rPr>
        <w:t xml:space="preserve">survey </w:t>
      </w:r>
      <w:r w:rsidRPr="007156A3" w:rsidR="005F631D">
        <w:rPr>
          <w:color w:val="000000"/>
          <w:sz w:val="24"/>
          <w:szCs w:val="24"/>
        </w:rPr>
        <w:t xml:space="preserve">question </w:t>
      </w:r>
      <w:r w:rsidRPr="007156A3" w:rsidR="00290935">
        <w:rPr>
          <w:color w:val="000000"/>
          <w:sz w:val="24"/>
          <w:szCs w:val="24"/>
        </w:rPr>
        <w:t xml:space="preserve">and finished thinking aloud about it, </w:t>
      </w:r>
      <w:r w:rsidRPr="007156A3" w:rsidR="007A3A89">
        <w:rPr>
          <w:color w:val="000000"/>
          <w:sz w:val="24"/>
          <w:szCs w:val="24"/>
        </w:rPr>
        <w:t>they</w:t>
      </w:r>
      <w:r w:rsidRPr="007156A3" w:rsidR="00290935">
        <w:rPr>
          <w:color w:val="000000"/>
          <w:sz w:val="24"/>
          <w:szCs w:val="24"/>
        </w:rPr>
        <w:t xml:space="preserve"> will </w:t>
      </w:r>
      <w:r w:rsidRPr="007156A3" w:rsidR="007A3A89">
        <w:rPr>
          <w:color w:val="000000"/>
          <w:sz w:val="24"/>
          <w:szCs w:val="24"/>
        </w:rPr>
        <w:t xml:space="preserve">be </w:t>
      </w:r>
      <w:r w:rsidRPr="007156A3" w:rsidR="005F631D">
        <w:rPr>
          <w:color w:val="000000"/>
          <w:sz w:val="24"/>
          <w:szCs w:val="24"/>
        </w:rPr>
        <w:t>ask</w:t>
      </w:r>
      <w:r w:rsidRPr="007156A3" w:rsidR="007A3A89">
        <w:rPr>
          <w:color w:val="000000"/>
          <w:sz w:val="24"/>
          <w:szCs w:val="24"/>
        </w:rPr>
        <w:t>ed</w:t>
      </w:r>
      <w:r w:rsidRPr="007156A3" w:rsidR="005F631D">
        <w:rPr>
          <w:color w:val="000000"/>
          <w:sz w:val="24"/>
          <w:szCs w:val="24"/>
        </w:rPr>
        <w:t xml:space="preserve"> probes </w:t>
      </w:r>
      <w:r w:rsidRPr="007156A3" w:rsidR="00290935">
        <w:rPr>
          <w:color w:val="000000"/>
          <w:sz w:val="24"/>
          <w:szCs w:val="24"/>
        </w:rPr>
        <w:t xml:space="preserve">intended to elicit more information about </w:t>
      </w:r>
      <w:r w:rsidRPr="007156A3" w:rsidR="007A3A89">
        <w:rPr>
          <w:color w:val="000000"/>
          <w:sz w:val="24"/>
          <w:szCs w:val="24"/>
        </w:rPr>
        <w:t>their</w:t>
      </w:r>
      <w:r w:rsidRPr="007156A3" w:rsidR="00290935">
        <w:rPr>
          <w:color w:val="000000"/>
          <w:sz w:val="24"/>
          <w:szCs w:val="24"/>
        </w:rPr>
        <w:t xml:space="preserve"> interpre</w:t>
      </w:r>
      <w:r w:rsidRPr="007156A3" w:rsidR="007A3A89">
        <w:rPr>
          <w:color w:val="000000"/>
          <w:sz w:val="24"/>
          <w:szCs w:val="24"/>
        </w:rPr>
        <w:t>tations of the survey questions and of spe</w:t>
      </w:r>
      <w:r w:rsidR="00007761">
        <w:rPr>
          <w:color w:val="000000"/>
          <w:sz w:val="24"/>
          <w:szCs w:val="24"/>
        </w:rPr>
        <w:t xml:space="preserve">cific terms, and </w:t>
      </w:r>
      <w:r w:rsidRPr="007156A3" w:rsidR="007A3A89">
        <w:rPr>
          <w:color w:val="000000"/>
          <w:sz w:val="24"/>
          <w:szCs w:val="24"/>
        </w:rPr>
        <w:t xml:space="preserve">the circumstances they were thinking about when answering the survey questions. Respondents will also be asked </w:t>
      </w:r>
      <w:r w:rsidRPr="007156A3" w:rsidR="00531FD8">
        <w:rPr>
          <w:color w:val="000000"/>
          <w:sz w:val="24"/>
          <w:szCs w:val="24"/>
        </w:rPr>
        <w:t>to describe how</w:t>
      </w:r>
      <w:r w:rsidRPr="007156A3" w:rsidR="007A3A89">
        <w:rPr>
          <w:color w:val="000000"/>
          <w:sz w:val="24"/>
          <w:szCs w:val="24"/>
        </w:rPr>
        <w:t xml:space="preserve"> easy or difficult the questions are to answer.</w:t>
      </w:r>
      <w:r w:rsidRPr="007156A3" w:rsidR="006C0600">
        <w:rPr>
          <w:color w:val="000000"/>
          <w:sz w:val="24"/>
          <w:szCs w:val="24"/>
        </w:rPr>
        <w:t xml:space="preserve"> The </w:t>
      </w:r>
      <w:r w:rsidR="00542A3E">
        <w:rPr>
          <w:color w:val="000000"/>
          <w:sz w:val="24"/>
          <w:szCs w:val="24"/>
        </w:rPr>
        <w:t xml:space="preserve">cognitive interview </w:t>
      </w:r>
      <w:r w:rsidRPr="007156A3" w:rsidR="006C0600">
        <w:rPr>
          <w:color w:val="000000"/>
          <w:sz w:val="24"/>
          <w:szCs w:val="24"/>
        </w:rPr>
        <w:t xml:space="preserve">protocol </w:t>
      </w:r>
      <w:r w:rsidR="00981957">
        <w:rPr>
          <w:color w:val="000000"/>
          <w:sz w:val="24"/>
          <w:szCs w:val="24"/>
        </w:rPr>
        <w:t>is included in</w:t>
      </w:r>
      <w:r w:rsidR="00542A3E">
        <w:rPr>
          <w:color w:val="000000"/>
          <w:sz w:val="24"/>
          <w:szCs w:val="24"/>
        </w:rPr>
        <w:t xml:space="preserve"> </w:t>
      </w:r>
      <w:r w:rsidRPr="007156A3" w:rsidR="006C0600">
        <w:rPr>
          <w:color w:val="000000"/>
          <w:sz w:val="24"/>
          <w:szCs w:val="24"/>
        </w:rPr>
        <w:t>Enclosure 1</w:t>
      </w:r>
      <w:r w:rsidR="00981957">
        <w:rPr>
          <w:color w:val="000000"/>
          <w:sz w:val="24"/>
          <w:szCs w:val="24"/>
        </w:rPr>
        <w:t>, as mentioned earlier</w:t>
      </w:r>
      <w:r w:rsidRPr="007156A3" w:rsidR="006C0600">
        <w:rPr>
          <w:color w:val="000000"/>
          <w:sz w:val="24"/>
          <w:szCs w:val="24"/>
        </w:rPr>
        <w:t>.</w:t>
      </w:r>
    </w:p>
    <w:p w:rsidRPr="007156A3" w:rsidR="00E24DE1" w:rsidP="005F631D" w:rsidRDefault="00163360" w14:paraId="50B8708D" w14:textId="108D0414">
      <w:pPr>
        <w:shd w:val="clear" w:color="auto" w:fill="FFFFFF"/>
        <w:rPr>
          <w:color w:val="000000"/>
          <w:sz w:val="24"/>
          <w:szCs w:val="24"/>
        </w:rPr>
      </w:pPr>
      <w:r>
        <w:rPr>
          <w:color w:val="000000"/>
          <w:sz w:val="24"/>
          <w:szCs w:val="24"/>
        </w:rPr>
        <w:t>For online testing,</w:t>
      </w:r>
      <w:r w:rsidR="00E30359">
        <w:rPr>
          <w:color w:val="000000"/>
          <w:sz w:val="24"/>
          <w:szCs w:val="24"/>
        </w:rPr>
        <w:t xml:space="preserve"> we will have respondents complete a</w:t>
      </w:r>
      <w:r w:rsidR="00637F53">
        <w:rPr>
          <w:color w:val="000000"/>
          <w:sz w:val="24"/>
          <w:szCs w:val="24"/>
        </w:rPr>
        <w:t xml:space="preserve"> </w:t>
      </w:r>
      <w:r w:rsidR="00806806">
        <w:rPr>
          <w:color w:val="000000"/>
          <w:sz w:val="24"/>
          <w:szCs w:val="24"/>
        </w:rPr>
        <w:t xml:space="preserve">self-administered </w:t>
      </w:r>
      <w:r w:rsidR="00F85A0C">
        <w:rPr>
          <w:color w:val="000000"/>
          <w:sz w:val="24"/>
          <w:szCs w:val="24"/>
        </w:rPr>
        <w:t>questionnaire</w:t>
      </w:r>
      <w:r w:rsidR="00637F53">
        <w:rPr>
          <w:color w:val="000000"/>
          <w:sz w:val="24"/>
          <w:szCs w:val="24"/>
        </w:rPr>
        <w:t xml:space="preserve"> </w:t>
      </w:r>
      <w:r w:rsidR="00E30359">
        <w:rPr>
          <w:color w:val="000000"/>
          <w:sz w:val="24"/>
          <w:szCs w:val="24"/>
        </w:rPr>
        <w:t>in Qualtrics</w:t>
      </w:r>
      <w:r w:rsidR="00AC7B68">
        <w:rPr>
          <w:color w:val="000000"/>
          <w:sz w:val="24"/>
          <w:szCs w:val="24"/>
        </w:rPr>
        <w:t xml:space="preserve"> that will include only a subset of questions</w:t>
      </w:r>
      <w:r w:rsidR="00683169">
        <w:rPr>
          <w:color w:val="000000"/>
          <w:sz w:val="24"/>
          <w:szCs w:val="24"/>
        </w:rPr>
        <w:t xml:space="preserve"> from the Mortgage module and Wildfire Risk module</w:t>
      </w:r>
      <w:r w:rsidR="00AC7B68">
        <w:rPr>
          <w:color w:val="000000"/>
          <w:sz w:val="24"/>
          <w:szCs w:val="24"/>
        </w:rPr>
        <w:t>.</w:t>
      </w:r>
      <w:r w:rsidR="00BB4D57">
        <w:rPr>
          <w:color w:val="000000"/>
          <w:sz w:val="24"/>
          <w:szCs w:val="24"/>
        </w:rPr>
        <w:t xml:space="preserve"> </w:t>
      </w:r>
      <w:r w:rsidR="00E30359">
        <w:rPr>
          <w:color w:val="000000"/>
          <w:sz w:val="24"/>
          <w:szCs w:val="24"/>
        </w:rPr>
        <w:t>Some survey questions will include follow-up questions intended to elicit more information about their interpretation</w:t>
      </w:r>
      <w:r w:rsidR="00BB4D57">
        <w:rPr>
          <w:color w:val="000000"/>
          <w:sz w:val="24"/>
          <w:szCs w:val="24"/>
        </w:rPr>
        <w:t>s of the survey questions and familiarity with</w:t>
      </w:r>
      <w:r w:rsidR="00E30359">
        <w:rPr>
          <w:color w:val="000000"/>
          <w:sz w:val="24"/>
          <w:szCs w:val="24"/>
        </w:rPr>
        <w:t xml:space="preserve"> specific terms, and the circumstances they were thinking about when a</w:t>
      </w:r>
      <w:r w:rsidR="00AC7B68">
        <w:rPr>
          <w:color w:val="000000"/>
          <w:sz w:val="24"/>
          <w:szCs w:val="24"/>
        </w:rPr>
        <w:t xml:space="preserve">nswering the survey questions. </w:t>
      </w:r>
      <w:r w:rsidRPr="000F3092" w:rsidR="001D3E72">
        <w:rPr>
          <w:sz w:val="24"/>
          <w:szCs w:val="24"/>
        </w:rPr>
        <w:t xml:space="preserve">We </w:t>
      </w:r>
      <w:r w:rsidR="001D3E72">
        <w:rPr>
          <w:sz w:val="24"/>
          <w:szCs w:val="24"/>
        </w:rPr>
        <w:t>will also be split ballot testing a commitment device prompt to</w:t>
      </w:r>
      <w:r w:rsidRPr="000F3092" w:rsidR="001D3E72">
        <w:rPr>
          <w:sz w:val="24"/>
          <w:szCs w:val="24"/>
        </w:rPr>
        <w:t xml:space="preserve"> examine whether </w:t>
      </w:r>
      <w:r w:rsidR="001D3E72">
        <w:rPr>
          <w:sz w:val="24"/>
          <w:szCs w:val="24"/>
        </w:rPr>
        <w:t>this</w:t>
      </w:r>
      <w:r w:rsidRPr="000F3092" w:rsidR="001D3E72">
        <w:rPr>
          <w:sz w:val="24"/>
          <w:szCs w:val="24"/>
        </w:rPr>
        <w:t xml:space="preserve"> </w:t>
      </w:r>
      <w:r w:rsidR="00171FEF">
        <w:rPr>
          <w:sz w:val="24"/>
          <w:szCs w:val="24"/>
        </w:rPr>
        <w:t>affects</w:t>
      </w:r>
      <w:r w:rsidRPr="000F3092" w:rsidR="001D3E72">
        <w:rPr>
          <w:sz w:val="24"/>
          <w:szCs w:val="24"/>
        </w:rPr>
        <w:t xml:space="preserve"> the number and quality of substantive responses to probing questions.</w:t>
      </w:r>
      <w:r w:rsidR="001D3E72">
        <w:rPr>
          <w:sz w:val="24"/>
          <w:szCs w:val="24"/>
        </w:rPr>
        <w:t xml:space="preserve"> </w:t>
      </w:r>
      <w:r w:rsidRPr="000F3092" w:rsidR="001D3E72">
        <w:rPr>
          <w:sz w:val="24"/>
          <w:szCs w:val="24"/>
        </w:rPr>
        <w:t xml:space="preserve">If having a prompt influences respondents to write more quality answers to probing questions, this </w:t>
      </w:r>
      <w:r w:rsidR="00171FEF">
        <w:rPr>
          <w:sz w:val="24"/>
          <w:szCs w:val="24"/>
        </w:rPr>
        <w:t xml:space="preserve">could </w:t>
      </w:r>
      <w:r w:rsidRPr="000F3092" w:rsidR="001D3E72">
        <w:rPr>
          <w:sz w:val="24"/>
          <w:szCs w:val="24"/>
        </w:rPr>
        <w:t xml:space="preserve">be beneficial to </w:t>
      </w:r>
      <w:r w:rsidR="00171FEF">
        <w:rPr>
          <w:sz w:val="24"/>
          <w:szCs w:val="24"/>
        </w:rPr>
        <w:t>embed in future web probing studies</w:t>
      </w:r>
      <w:r w:rsidRPr="000F3092" w:rsidR="001D3E72">
        <w:rPr>
          <w:sz w:val="24"/>
          <w:szCs w:val="24"/>
        </w:rPr>
        <w:t>.</w:t>
      </w:r>
      <w:r w:rsidR="001D3E72">
        <w:t xml:space="preserve">  </w:t>
      </w:r>
      <w:r w:rsidR="00E30359">
        <w:rPr>
          <w:color w:val="000000"/>
          <w:sz w:val="24"/>
          <w:szCs w:val="24"/>
        </w:rPr>
        <w:t xml:space="preserve">The Qualtrics survey questionnaire is included in Enclosure </w:t>
      </w:r>
      <w:r w:rsidR="005D381F">
        <w:rPr>
          <w:color w:val="000000"/>
          <w:sz w:val="24"/>
          <w:szCs w:val="24"/>
        </w:rPr>
        <w:t>5</w:t>
      </w:r>
      <w:r w:rsidR="00E30359">
        <w:rPr>
          <w:color w:val="000000"/>
          <w:sz w:val="24"/>
          <w:szCs w:val="24"/>
        </w:rPr>
        <w:t xml:space="preserve">, as mentioned earlier. </w:t>
      </w:r>
    </w:p>
    <w:p w:rsidRPr="007156A3" w:rsidR="003E5DF9" w:rsidP="005D381F" w:rsidRDefault="003E5DF9" w14:paraId="3B8EC403" w14:textId="3FF7372C">
      <w:pPr>
        <w:pStyle w:val="NormalWeb"/>
        <w:shd w:val="clear" w:color="auto" w:fill="FFFFFF"/>
        <w:spacing w:before="0" w:beforeAutospacing="0" w:after="0" w:afterAutospacing="0"/>
        <w:rPr>
          <w:rFonts w:asciiTheme="minorHAnsi" w:hAnsiTheme="minorHAnsi"/>
          <w:color w:val="000000"/>
        </w:rPr>
      </w:pPr>
      <w:r w:rsidRPr="007156A3">
        <w:rPr>
          <w:rFonts w:asciiTheme="minorHAnsi" w:hAnsiTheme="minorHAnsi"/>
          <w:b/>
          <w:color w:val="000000"/>
        </w:rPr>
        <w:t xml:space="preserve">Consent: </w:t>
      </w:r>
      <w:r w:rsidR="00163360">
        <w:rPr>
          <w:rFonts w:asciiTheme="minorHAnsi" w:hAnsiTheme="minorHAnsi"/>
          <w:color w:val="000000"/>
        </w:rPr>
        <w:t xml:space="preserve">For </w:t>
      </w:r>
      <w:r w:rsidR="003F0D21">
        <w:rPr>
          <w:rFonts w:asciiTheme="minorHAnsi" w:hAnsiTheme="minorHAnsi"/>
          <w:color w:val="000000"/>
        </w:rPr>
        <w:t>cognitive</w:t>
      </w:r>
      <w:r w:rsidR="00163360">
        <w:rPr>
          <w:rFonts w:asciiTheme="minorHAnsi" w:hAnsiTheme="minorHAnsi"/>
          <w:color w:val="000000"/>
        </w:rPr>
        <w:t xml:space="preserve"> interviews, w</w:t>
      </w:r>
      <w:r w:rsidRPr="007156A3" w:rsidR="00FD3871">
        <w:rPr>
          <w:rFonts w:asciiTheme="minorHAnsi" w:hAnsiTheme="minorHAnsi"/>
          <w:color w:val="000000"/>
        </w:rPr>
        <w:t>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w:t>
      </w:r>
      <w:r w:rsidRPr="007156A3" w:rsidR="00527F57">
        <w:rPr>
          <w:rFonts w:asciiTheme="minorHAnsi" w:hAnsiTheme="minorHAnsi"/>
          <w:color w:val="000000"/>
        </w:rPr>
        <w:t>-</w:t>
      </w:r>
      <w:r w:rsidRPr="007156A3" w:rsidR="00FD3871">
        <w:rPr>
          <w:rFonts w:asciiTheme="minorHAnsi" w:hAnsiTheme="minorHAnsi"/>
          <w:color w:val="000000"/>
        </w:rPr>
        <w:t>taped to facilitate analysis of the results.</w:t>
      </w:r>
      <w:r w:rsidR="002A7136">
        <w:rPr>
          <w:rFonts w:asciiTheme="minorHAnsi" w:hAnsiTheme="minorHAnsi"/>
          <w:color w:val="000000"/>
        </w:rPr>
        <w:t xml:space="preserve">  Respondents may sign a hardcopy form in person for in-person interviews; for remote interviews, they will be emailed a secure link to an electronic form in Qualtrics that allows for</w:t>
      </w:r>
      <w:r w:rsidR="00AF698F">
        <w:rPr>
          <w:rFonts w:asciiTheme="minorHAnsi" w:hAnsiTheme="minorHAnsi"/>
          <w:color w:val="000000"/>
        </w:rPr>
        <w:t xml:space="preserve"> signature (see Enclosure 4).</w:t>
      </w:r>
      <w:r w:rsidR="002A7136">
        <w:rPr>
          <w:rFonts w:asciiTheme="minorHAnsi" w:hAnsiTheme="minorHAnsi"/>
          <w:color w:val="000000"/>
        </w:rPr>
        <w:t xml:space="preserve"> </w:t>
      </w:r>
      <w:r w:rsidRPr="007156A3" w:rsidR="00FD3871">
        <w:rPr>
          <w:rFonts w:asciiTheme="minorHAnsi" w:hAnsiTheme="minorHAnsi"/>
          <w:color w:val="000000"/>
        </w:rPr>
        <w:t xml:space="preserve"> Participants</w:t>
      </w:r>
      <w:r w:rsidRPr="007156A3" w:rsidR="00527F57">
        <w:rPr>
          <w:rFonts w:asciiTheme="minorHAnsi" w:hAnsiTheme="minorHAnsi"/>
          <w:color w:val="000000"/>
        </w:rPr>
        <w:t xml:space="preserve"> who do not consent to be </w:t>
      </w:r>
      <w:r w:rsidRPr="007156A3" w:rsidR="00FD3871">
        <w:rPr>
          <w:rFonts w:asciiTheme="minorHAnsi" w:hAnsiTheme="minorHAnsi"/>
          <w:color w:val="000000"/>
        </w:rPr>
        <w:t xml:space="preserve">audio-taped will still be allowed to participate.  </w:t>
      </w:r>
    </w:p>
    <w:p w:rsidRPr="009D38B9" w:rsidR="001124E4" w:rsidP="009D38B9" w:rsidRDefault="003E5DF9" w14:paraId="4CAEE36E" w14:textId="048F0251">
      <w:pPr>
        <w:pStyle w:val="NormalWeb"/>
        <w:spacing w:before="0" w:after="160" w:line="259" w:lineRule="auto"/>
        <w:rPr>
          <w:color w:val="000000"/>
          <w:lang w:val="en"/>
        </w:rPr>
      </w:pPr>
      <w:r w:rsidRPr="007156A3">
        <w:rPr>
          <w:rFonts w:asciiTheme="minorHAnsi" w:hAnsiTheme="minorHAnsi"/>
          <w:b/>
          <w:color w:val="000000"/>
        </w:rPr>
        <w:t>Use of Incentive</w:t>
      </w:r>
      <w:r w:rsidRPr="007156A3">
        <w:rPr>
          <w:rFonts w:asciiTheme="minorHAnsi" w:hAnsiTheme="minorHAnsi"/>
          <w:color w:val="000000"/>
        </w:rPr>
        <w:t xml:space="preserve">: </w:t>
      </w:r>
      <w:r w:rsidR="00163360">
        <w:rPr>
          <w:rFonts w:asciiTheme="minorHAnsi" w:hAnsiTheme="minorHAnsi"/>
          <w:color w:val="000000"/>
        </w:rPr>
        <w:t xml:space="preserve">For </w:t>
      </w:r>
      <w:r w:rsidR="003F0D21">
        <w:rPr>
          <w:rFonts w:asciiTheme="minorHAnsi" w:hAnsiTheme="minorHAnsi"/>
          <w:color w:val="000000"/>
        </w:rPr>
        <w:t>cognitive</w:t>
      </w:r>
      <w:r w:rsidR="008811B8">
        <w:rPr>
          <w:rFonts w:asciiTheme="minorHAnsi" w:hAnsiTheme="minorHAnsi"/>
          <w:color w:val="000000"/>
        </w:rPr>
        <w:t xml:space="preserve"> interviews</w:t>
      </w:r>
      <w:r w:rsidR="00B57DE7">
        <w:rPr>
          <w:rFonts w:asciiTheme="minorHAnsi" w:hAnsiTheme="minorHAnsi"/>
          <w:color w:val="000000"/>
        </w:rPr>
        <w:t xml:space="preserve">, </w:t>
      </w:r>
      <w:r w:rsidRPr="009D38B9" w:rsidR="009D38B9">
        <w:rPr>
          <w:rFonts w:asciiTheme="minorHAnsi" w:hAnsiTheme="minorHAnsi" w:cstheme="minorHAnsi"/>
          <w:color w:val="000000"/>
          <w:lang w:val="en"/>
        </w:rPr>
        <w:t>each respondent will be offered $40 for participation in a sixty-minute interview</w:t>
      </w:r>
      <w:r w:rsidR="003F0D21">
        <w:rPr>
          <w:rFonts w:asciiTheme="minorHAnsi" w:hAnsiTheme="minorHAnsi" w:cstheme="minorHAnsi"/>
          <w:color w:val="000000"/>
          <w:lang w:val="en"/>
        </w:rPr>
        <w:t xml:space="preserve">. This incentive will be offered </w:t>
      </w:r>
      <w:r w:rsidR="009D38B9">
        <w:rPr>
          <w:rFonts w:asciiTheme="minorHAnsi" w:hAnsiTheme="minorHAnsi" w:cstheme="minorHAnsi"/>
          <w:color w:val="000000"/>
          <w:lang w:val="en"/>
        </w:rPr>
        <w:t>t</w:t>
      </w:r>
      <w:r w:rsidRPr="009D38B9" w:rsidR="009D38B9">
        <w:rPr>
          <w:rFonts w:asciiTheme="minorHAnsi" w:hAnsiTheme="minorHAnsi" w:cstheme="minorHAnsi"/>
          <w:color w:val="000000"/>
          <w:lang w:val="en"/>
        </w:rPr>
        <w:t xml:space="preserve">o </w:t>
      </w:r>
      <w:r w:rsidR="003F0D21">
        <w:rPr>
          <w:rFonts w:asciiTheme="minorHAnsi" w:hAnsiTheme="minorHAnsi" w:cstheme="minorHAnsi"/>
          <w:color w:val="000000"/>
          <w:lang w:val="en"/>
        </w:rPr>
        <w:t xml:space="preserve">help </w:t>
      </w:r>
      <w:r w:rsidRPr="009D38B9" w:rsidR="009D38B9">
        <w:rPr>
          <w:rFonts w:asciiTheme="minorHAnsi" w:hAnsiTheme="minorHAnsi" w:cstheme="minorHAnsi"/>
          <w:color w:val="000000"/>
          <w:lang w:val="en"/>
        </w:rPr>
        <w:t>ensure that we are able to recruit participants from all desired populations and to</w:t>
      </w:r>
      <w:r w:rsidR="00AF698F">
        <w:rPr>
          <w:rFonts w:asciiTheme="minorHAnsi" w:hAnsiTheme="minorHAnsi" w:cstheme="minorHAnsi"/>
          <w:color w:val="000000"/>
          <w:lang w:val="en"/>
        </w:rPr>
        <w:t xml:space="preserve"> offset the costs of participation in this research, such as childcare, phone use, travel, or parking.  </w:t>
      </w:r>
      <w:r w:rsidR="00207D6E">
        <w:rPr>
          <w:rFonts w:asciiTheme="minorHAnsi" w:hAnsiTheme="minorHAnsi" w:cstheme="minorHAnsi"/>
          <w:color w:val="000000"/>
          <w:lang w:val="en"/>
        </w:rPr>
        <w:t xml:space="preserve">For in-person interviews, the incentive will be given to the respondent in person after the interview.  For remote interviews, </w:t>
      </w:r>
      <w:r w:rsidR="00207D6E">
        <w:rPr>
          <w:rFonts w:asciiTheme="minorHAnsi" w:hAnsiTheme="minorHAnsi" w:cstheme="minorHAnsi"/>
          <w:color w:val="000000"/>
          <w:lang w:val="en"/>
        </w:rPr>
        <w:lastRenderedPageBreak/>
        <w:t>the incentive will be mailed to the respondent at their preferred address using Priority Mail.</w:t>
      </w:r>
      <w:r w:rsidRPr="009D38B9" w:rsidR="009D38B9">
        <w:rPr>
          <w:rFonts w:asciiTheme="minorHAnsi" w:hAnsiTheme="minorHAnsi" w:cstheme="minorHAnsi"/>
          <w:color w:val="000000"/>
          <w:lang w:val="en"/>
        </w:rPr>
        <w:t xml:space="preserve"> </w:t>
      </w:r>
      <w:bookmarkStart w:name="_GoBack" w:id="0"/>
      <w:bookmarkEnd w:id="0"/>
      <w:r w:rsidRPr="009D38B9" w:rsidR="009D38B9">
        <w:rPr>
          <w:color w:val="000000"/>
          <w:lang w:val="en"/>
        </w:rPr>
        <w:t xml:space="preserve"> </w:t>
      </w:r>
      <w:r w:rsidRPr="007156A3" w:rsidR="009309D1">
        <w:rPr>
          <w:rFonts w:asciiTheme="minorHAnsi" w:hAnsiTheme="minorHAnsi"/>
          <w:color w:val="000000"/>
        </w:rPr>
        <w:t>Fe</w:t>
      </w:r>
      <w:r w:rsidR="00007761">
        <w:rPr>
          <w:rFonts w:asciiTheme="minorHAnsi" w:hAnsiTheme="minorHAnsi"/>
          <w:color w:val="000000"/>
        </w:rPr>
        <w:t xml:space="preserve">deral employees </w:t>
      </w:r>
      <w:r w:rsidRPr="007156A3" w:rsidR="009309D1">
        <w:rPr>
          <w:rFonts w:asciiTheme="minorHAnsi" w:hAnsiTheme="minorHAnsi"/>
          <w:color w:val="000000"/>
        </w:rPr>
        <w:t>who participate in this research are not eligible to receive the cash incentive.</w:t>
      </w:r>
    </w:p>
    <w:p w:rsidRPr="007156A3" w:rsidR="00B57DE7" w:rsidP="006C0600" w:rsidRDefault="00B57DE7" w14:paraId="3FD12FCB" w14:textId="6557F9AF">
      <w:pPr>
        <w:pStyle w:val="NormalWeb"/>
        <w:shd w:val="clear" w:color="auto" w:fill="FFFFFF"/>
        <w:spacing w:before="0" w:beforeAutospacing="0" w:after="160" w:afterAutospacing="0" w:line="259" w:lineRule="auto"/>
        <w:rPr>
          <w:rFonts w:asciiTheme="minorHAnsi" w:hAnsiTheme="minorHAnsi"/>
          <w:color w:val="000000"/>
        </w:rPr>
      </w:pPr>
      <w:r>
        <w:rPr>
          <w:rFonts w:asciiTheme="minorHAnsi" w:hAnsiTheme="minorHAnsi"/>
        </w:rPr>
        <w:t xml:space="preserve">Respondents in the Qualtrics testing </w:t>
      </w:r>
      <w:r w:rsidRPr="0019113E">
        <w:rPr>
          <w:rFonts w:asciiTheme="minorHAnsi" w:hAnsiTheme="minorHAnsi"/>
        </w:rPr>
        <w:t xml:space="preserve">will </w:t>
      </w:r>
      <w:r>
        <w:rPr>
          <w:rFonts w:asciiTheme="minorHAnsi" w:hAnsiTheme="minorHAnsi"/>
        </w:rPr>
        <w:t>receive an incentive from</w:t>
      </w:r>
      <w:r w:rsidRPr="0019113E">
        <w:rPr>
          <w:rFonts w:asciiTheme="minorHAnsi" w:hAnsiTheme="minorHAnsi"/>
        </w:rPr>
        <w:t xml:space="preserve"> Qualtrics</w:t>
      </w:r>
      <w:r>
        <w:rPr>
          <w:rFonts w:asciiTheme="minorHAnsi" w:hAnsiTheme="minorHAnsi"/>
        </w:rPr>
        <w:t xml:space="preserve">. </w:t>
      </w:r>
      <w:r w:rsidRPr="0019113E">
        <w:rPr>
          <w:rFonts w:asciiTheme="minorHAnsi" w:hAnsiTheme="minorHAnsi"/>
        </w:rPr>
        <w:t xml:space="preserve">Per Qualtrics, the exact amount and form that each respondent receives can vary depending on the </w:t>
      </w:r>
      <w:r>
        <w:rPr>
          <w:rFonts w:asciiTheme="minorHAnsi" w:hAnsiTheme="minorHAnsi"/>
        </w:rPr>
        <w:t>participant</w:t>
      </w:r>
      <w:r w:rsidRPr="0019113E">
        <w:rPr>
          <w:rFonts w:asciiTheme="minorHAnsi" w:hAnsiTheme="minorHAnsi"/>
        </w:rPr>
        <w:t>’</w:t>
      </w:r>
      <w:r>
        <w:rPr>
          <w:rFonts w:asciiTheme="minorHAnsi" w:hAnsiTheme="minorHAnsi"/>
        </w:rPr>
        <w:t>s</w:t>
      </w:r>
      <w:r w:rsidRPr="0019113E">
        <w:rPr>
          <w:rFonts w:asciiTheme="minorHAnsi" w:hAnsiTheme="minorHAnsi"/>
        </w:rPr>
        <w:t xml:space="preserve"> profile, how they were recruited, and the form of incentives they have elected to receive (i.e. e-gift cards, points, cash, etc.). Generally speaking, respondents receive ~$1.00-$1.50 or a relatively equivalent value for completing a 15 to 20-minute consumer survey.</w:t>
      </w:r>
    </w:p>
    <w:p w:rsidRPr="007156A3" w:rsidR="003E5DF9" w:rsidP="006C0600" w:rsidRDefault="007156A3" w14:paraId="6C57D7E3" w14:textId="1CADB965">
      <w:pPr>
        <w:rPr>
          <w:color w:val="000000"/>
          <w:sz w:val="24"/>
          <w:szCs w:val="24"/>
        </w:rPr>
      </w:pPr>
      <w:r>
        <w:rPr>
          <w:sz w:val="24"/>
        </w:rPr>
        <w:t>The</w:t>
      </w:r>
      <w:r w:rsidRPr="007156A3" w:rsidR="003E5DF9">
        <w:rPr>
          <w:sz w:val="24"/>
        </w:rPr>
        <w:t xml:space="preserve"> materials to be used in </w:t>
      </w:r>
      <w:r>
        <w:rPr>
          <w:sz w:val="24"/>
        </w:rPr>
        <w:t>this</w:t>
      </w:r>
      <w:r w:rsidRPr="007156A3" w:rsidR="003E5DF9">
        <w:rPr>
          <w:sz w:val="24"/>
        </w:rPr>
        <w:t xml:space="preserve"> study</w:t>
      </w:r>
      <w:r>
        <w:rPr>
          <w:sz w:val="24"/>
        </w:rPr>
        <w:t xml:space="preserve"> are enclosed with this letter and include</w:t>
      </w:r>
      <w:r w:rsidRPr="007156A3" w:rsidR="003E5DF9">
        <w:rPr>
          <w:sz w:val="24"/>
        </w:rPr>
        <w:t xml:space="preserve">: </w:t>
      </w:r>
    </w:p>
    <w:p w:rsidRPr="007156A3" w:rsidR="00DF2168" w:rsidP="006C0600" w:rsidRDefault="006C0600" w14:paraId="6DAADA8A" w14:textId="38E0DBD1">
      <w:pPr>
        <w:shd w:val="clear" w:color="auto" w:fill="FFFFFF"/>
        <w:ind w:firstLine="360"/>
        <w:contextualSpacing/>
        <w:rPr>
          <w:rFonts w:cs="Arial"/>
          <w:color w:val="000000"/>
          <w:sz w:val="24"/>
          <w:szCs w:val="24"/>
        </w:rPr>
      </w:pPr>
      <w:r w:rsidRPr="007156A3">
        <w:rPr>
          <w:rFonts w:cs="Arial"/>
          <w:color w:val="000000"/>
          <w:sz w:val="24"/>
          <w:szCs w:val="24"/>
        </w:rPr>
        <w:t>Enclosure 1 – Cognitive Interview Protocol</w:t>
      </w:r>
    </w:p>
    <w:p w:rsidRPr="007156A3" w:rsidR="00DF2168" w:rsidP="006C0600" w:rsidRDefault="00981957" w14:paraId="24373CCA" w14:textId="04BB35CE">
      <w:pPr>
        <w:shd w:val="clear" w:color="auto" w:fill="FFFFFF"/>
        <w:ind w:left="360"/>
        <w:contextualSpacing/>
        <w:rPr>
          <w:rFonts w:cs="Arial"/>
          <w:color w:val="000000"/>
          <w:sz w:val="24"/>
          <w:szCs w:val="24"/>
        </w:rPr>
      </w:pPr>
      <w:r>
        <w:rPr>
          <w:rFonts w:cs="Arial"/>
          <w:color w:val="000000"/>
          <w:sz w:val="24"/>
          <w:szCs w:val="24"/>
        </w:rPr>
        <w:t>Enclosure 2 – Recruitment Screener</w:t>
      </w:r>
    </w:p>
    <w:p w:rsidR="00DF2168" w:rsidP="006C0600" w:rsidRDefault="006C0600" w14:paraId="6D1E93BB" w14:textId="020DC3F4">
      <w:pPr>
        <w:shd w:val="clear" w:color="auto" w:fill="FFFFFF"/>
        <w:ind w:left="360"/>
        <w:contextualSpacing/>
        <w:rPr>
          <w:rFonts w:cs="Arial"/>
          <w:color w:val="000000"/>
          <w:sz w:val="24"/>
          <w:szCs w:val="24"/>
        </w:rPr>
      </w:pPr>
      <w:r w:rsidRPr="007156A3">
        <w:rPr>
          <w:rFonts w:cs="Arial"/>
          <w:color w:val="000000"/>
          <w:sz w:val="24"/>
          <w:szCs w:val="24"/>
        </w:rPr>
        <w:t>En</w:t>
      </w:r>
      <w:r w:rsidR="00981957">
        <w:rPr>
          <w:rFonts w:cs="Arial"/>
          <w:color w:val="000000"/>
          <w:sz w:val="24"/>
          <w:szCs w:val="24"/>
        </w:rPr>
        <w:t xml:space="preserve">closures 3a-3b – Recruitment Advertisement Text </w:t>
      </w:r>
    </w:p>
    <w:p w:rsidR="00B57DE7" w:rsidP="006C0600" w:rsidRDefault="00B57DE7" w14:paraId="6523071C" w14:textId="431A42AA">
      <w:pPr>
        <w:shd w:val="clear" w:color="auto" w:fill="FFFFFF"/>
        <w:ind w:left="360"/>
        <w:contextualSpacing/>
        <w:rPr>
          <w:rFonts w:cs="Arial"/>
          <w:color w:val="000000"/>
          <w:sz w:val="24"/>
          <w:szCs w:val="24"/>
        </w:rPr>
      </w:pPr>
      <w:r>
        <w:rPr>
          <w:rFonts w:cs="Arial"/>
          <w:color w:val="000000"/>
          <w:sz w:val="24"/>
          <w:szCs w:val="24"/>
        </w:rPr>
        <w:t>Enclosure 4 – Consent Form</w:t>
      </w:r>
    </w:p>
    <w:p w:rsidRPr="007156A3" w:rsidR="00B57DE7" w:rsidP="00B57DE7" w:rsidRDefault="00B57DE7" w14:paraId="5119C565" w14:textId="6FDB1F33">
      <w:pPr>
        <w:shd w:val="clear" w:color="auto" w:fill="FFFFFF"/>
        <w:ind w:left="360"/>
        <w:rPr>
          <w:rFonts w:cs="Arial"/>
          <w:color w:val="000000"/>
          <w:sz w:val="24"/>
          <w:szCs w:val="24"/>
        </w:rPr>
      </w:pPr>
      <w:r>
        <w:rPr>
          <w:rFonts w:cs="Arial"/>
          <w:color w:val="000000"/>
          <w:sz w:val="24"/>
          <w:szCs w:val="24"/>
        </w:rPr>
        <w:t xml:space="preserve">Enclosure </w:t>
      </w:r>
      <w:r w:rsidR="002115CA">
        <w:rPr>
          <w:rFonts w:cs="Arial"/>
          <w:color w:val="000000"/>
          <w:sz w:val="24"/>
          <w:szCs w:val="24"/>
        </w:rPr>
        <w:t>5</w:t>
      </w:r>
      <w:r w:rsidRPr="007156A3" w:rsidR="006C0600">
        <w:rPr>
          <w:rFonts w:cs="Arial"/>
          <w:color w:val="000000"/>
          <w:sz w:val="24"/>
          <w:szCs w:val="24"/>
        </w:rPr>
        <w:t xml:space="preserve"> – </w:t>
      </w:r>
      <w:r>
        <w:rPr>
          <w:rFonts w:cs="Arial"/>
          <w:color w:val="000000"/>
          <w:sz w:val="24"/>
          <w:szCs w:val="24"/>
        </w:rPr>
        <w:t>Qualtrics Survey Questionnaire</w:t>
      </w:r>
    </w:p>
    <w:p w:rsidR="00EA3850" w:rsidP="00531FD8" w:rsidRDefault="003E5DF9" w14:paraId="4A1D6E40" w14:textId="0A590BF4">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b/>
          <w:color w:val="000000"/>
          <w:sz w:val="24"/>
          <w:szCs w:val="24"/>
        </w:rPr>
        <w:t>Length of interview</w:t>
      </w:r>
      <w:r w:rsidRPr="007156A3">
        <w:rPr>
          <w:color w:val="000000"/>
          <w:sz w:val="24"/>
          <w:szCs w:val="24"/>
        </w:rPr>
        <w:t xml:space="preserve">: </w:t>
      </w:r>
      <w:r w:rsidR="00EA3850">
        <w:rPr>
          <w:color w:val="000000"/>
          <w:sz w:val="24"/>
          <w:szCs w:val="24"/>
        </w:rPr>
        <w:t xml:space="preserve">For </w:t>
      </w:r>
      <w:r w:rsidR="003F0D21">
        <w:rPr>
          <w:color w:val="000000"/>
          <w:sz w:val="24"/>
          <w:szCs w:val="24"/>
        </w:rPr>
        <w:t>cognitive</w:t>
      </w:r>
      <w:r w:rsidR="00EA3850">
        <w:rPr>
          <w:color w:val="000000"/>
          <w:sz w:val="24"/>
          <w:szCs w:val="24"/>
        </w:rPr>
        <w:t xml:space="preserve"> interviews, w</w:t>
      </w:r>
      <w:r w:rsidRPr="007156A3" w:rsidR="00531FD8">
        <w:rPr>
          <w:color w:val="000000"/>
          <w:sz w:val="24"/>
          <w:szCs w:val="24"/>
        </w:rPr>
        <w:t>e estimate that each interview wil</w:t>
      </w:r>
      <w:r w:rsidR="00696B77">
        <w:rPr>
          <w:color w:val="000000"/>
          <w:sz w:val="24"/>
          <w:szCs w:val="24"/>
        </w:rPr>
        <w:t>l take approximately one hour (1</w:t>
      </w:r>
      <w:r w:rsidRPr="007156A3" w:rsidR="00531FD8">
        <w:rPr>
          <w:color w:val="000000"/>
          <w:sz w:val="24"/>
          <w:szCs w:val="24"/>
        </w:rPr>
        <w:t xml:space="preserve">5 hours total). The </w:t>
      </w:r>
      <w:r w:rsidR="00316BEF">
        <w:rPr>
          <w:color w:val="000000"/>
          <w:sz w:val="24"/>
          <w:szCs w:val="24"/>
        </w:rPr>
        <w:t xml:space="preserve">additional </w:t>
      </w:r>
      <w:r w:rsidRPr="007156A3" w:rsidR="00531FD8">
        <w:rPr>
          <w:color w:val="000000"/>
          <w:sz w:val="24"/>
          <w:szCs w:val="24"/>
        </w:rPr>
        <w:t>screening question</w:t>
      </w:r>
      <w:r w:rsidR="00316BEF">
        <w:rPr>
          <w:color w:val="000000"/>
          <w:sz w:val="24"/>
          <w:szCs w:val="24"/>
        </w:rPr>
        <w:t>s</w:t>
      </w:r>
      <w:r w:rsidRPr="007156A3" w:rsidR="00531FD8">
        <w:rPr>
          <w:color w:val="000000"/>
          <w:sz w:val="24"/>
          <w:szCs w:val="24"/>
        </w:rPr>
        <w:t xml:space="preserve"> will take approximately </w:t>
      </w:r>
      <w:r w:rsidR="00316BEF">
        <w:rPr>
          <w:color w:val="000000"/>
          <w:sz w:val="24"/>
          <w:szCs w:val="24"/>
        </w:rPr>
        <w:t>five</w:t>
      </w:r>
      <w:r w:rsidRPr="007156A3" w:rsidR="00316BEF">
        <w:rPr>
          <w:color w:val="000000"/>
          <w:sz w:val="24"/>
          <w:szCs w:val="24"/>
        </w:rPr>
        <w:t xml:space="preserve"> </w:t>
      </w:r>
      <w:r w:rsidRPr="007156A3" w:rsidR="00531FD8">
        <w:rPr>
          <w:color w:val="000000"/>
          <w:sz w:val="24"/>
          <w:szCs w:val="24"/>
        </w:rPr>
        <w:t>minutes per person. We estimate that we will screen 3 peopl</w:t>
      </w:r>
      <w:r w:rsidR="00696B77">
        <w:rPr>
          <w:color w:val="000000"/>
          <w:sz w:val="24"/>
          <w:szCs w:val="24"/>
        </w:rPr>
        <w:t>e for each successful recruit (</w:t>
      </w:r>
      <w:r w:rsidR="009D5D92">
        <w:rPr>
          <w:color w:val="000000"/>
          <w:sz w:val="24"/>
          <w:szCs w:val="24"/>
        </w:rPr>
        <w:t>3</w:t>
      </w:r>
      <w:r w:rsidRPr="007156A3" w:rsidR="00531FD8">
        <w:rPr>
          <w:color w:val="000000"/>
          <w:sz w:val="24"/>
          <w:szCs w:val="24"/>
        </w:rPr>
        <w:t>.</w:t>
      </w:r>
      <w:r w:rsidR="009D5D92">
        <w:rPr>
          <w:color w:val="000000"/>
          <w:sz w:val="24"/>
          <w:szCs w:val="24"/>
        </w:rPr>
        <w:t>7</w:t>
      </w:r>
      <w:r w:rsidRPr="007156A3" w:rsidR="00531FD8">
        <w:rPr>
          <w:color w:val="000000"/>
          <w:sz w:val="24"/>
          <w:szCs w:val="24"/>
        </w:rPr>
        <w:t xml:space="preserve">5 hours). </w:t>
      </w:r>
    </w:p>
    <w:p w:rsidRPr="00EA3850" w:rsidR="00EA3850" w:rsidP="00EA3850" w:rsidRDefault="00EA3850" w14:paraId="6FEE07B6" w14:textId="1DBEAFE8">
      <w:pPr>
        <w:rPr>
          <w:sz w:val="24"/>
          <w:szCs w:val="24"/>
        </w:rPr>
      </w:pPr>
      <w:r w:rsidRPr="00EA3850">
        <w:rPr>
          <w:sz w:val="24"/>
          <w:szCs w:val="24"/>
        </w:rPr>
        <w:t xml:space="preserve">The online testing instrument will be administered to </w:t>
      </w:r>
      <w:r w:rsidR="00425457">
        <w:rPr>
          <w:sz w:val="24"/>
          <w:szCs w:val="24"/>
        </w:rPr>
        <w:t>150</w:t>
      </w:r>
      <w:r w:rsidRPr="00EA3850">
        <w:rPr>
          <w:sz w:val="24"/>
          <w:szCs w:val="24"/>
        </w:rPr>
        <w:t xml:space="preserve"> respondents and will take approximately 15 minutes to complete</w:t>
      </w:r>
      <w:r w:rsidR="00414B9E">
        <w:rPr>
          <w:sz w:val="24"/>
          <w:szCs w:val="24"/>
        </w:rPr>
        <w:t>. This results in a burden of 37.5</w:t>
      </w:r>
      <w:r w:rsidRPr="00EA3850">
        <w:rPr>
          <w:sz w:val="24"/>
          <w:szCs w:val="24"/>
        </w:rPr>
        <w:t xml:space="preserve"> hours.</w:t>
      </w:r>
    </w:p>
    <w:p w:rsidRPr="007156A3" w:rsidR="006C5CAA" w:rsidP="00531FD8" w:rsidRDefault="00531FD8" w14:paraId="5EA7CC8D" w14:textId="47EC4FF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42A3E">
        <w:rPr>
          <w:b/>
          <w:color w:val="000000"/>
          <w:sz w:val="24"/>
          <w:szCs w:val="24"/>
        </w:rPr>
        <w:t>Thus, the total estimat</w:t>
      </w:r>
      <w:r w:rsidR="00EA3850">
        <w:rPr>
          <w:b/>
          <w:color w:val="000000"/>
          <w:sz w:val="24"/>
          <w:szCs w:val="24"/>
        </w:rPr>
        <w:t xml:space="preserve">ed burden for this research is </w:t>
      </w:r>
      <w:r w:rsidR="009D5D92">
        <w:rPr>
          <w:b/>
          <w:color w:val="000000"/>
          <w:sz w:val="24"/>
          <w:szCs w:val="24"/>
        </w:rPr>
        <w:t>56.25</w:t>
      </w:r>
      <w:r w:rsidR="00425457">
        <w:rPr>
          <w:b/>
          <w:color w:val="000000"/>
          <w:sz w:val="24"/>
          <w:szCs w:val="24"/>
        </w:rPr>
        <w:t xml:space="preserve"> </w:t>
      </w:r>
      <w:r w:rsidRPr="00542A3E">
        <w:rPr>
          <w:b/>
          <w:color w:val="000000"/>
          <w:sz w:val="24"/>
          <w:szCs w:val="24"/>
        </w:rPr>
        <w:t>hours.</w:t>
      </w:r>
    </w:p>
    <w:p w:rsidRPr="007156A3" w:rsidR="00AE04CB" w:rsidP="005B5ED1" w:rsidRDefault="00AE04CB" w14:paraId="7AB6451C" w14:textId="4966092F">
      <w:pPr>
        <w:pStyle w:val="Caption"/>
        <w:spacing w:after="0"/>
        <w:rPr>
          <w:rFonts w:asciiTheme="minorHAnsi" w:hAnsiTheme="minorHAnsi"/>
          <w:b w:val="0"/>
          <w:color w:val="auto"/>
          <w:szCs w:val="24"/>
        </w:rPr>
      </w:pPr>
      <w:r w:rsidRPr="007156A3">
        <w:rPr>
          <w:rFonts w:asciiTheme="minorHAnsi" w:hAnsiTheme="minorHAnsi"/>
          <w:color w:val="auto"/>
        </w:rPr>
        <w:t xml:space="preserve">Table </w:t>
      </w:r>
      <w:r w:rsidRPr="007156A3">
        <w:rPr>
          <w:rFonts w:asciiTheme="minorHAnsi" w:hAnsiTheme="minorHAnsi"/>
          <w:color w:val="auto"/>
        </w:rPr>
        <w:fldChar w:fldCharType="begin"/>
      </w:r>
      <w:r w:rsidRPr="007156A3">
        <w:rPr>
          <w:rFonts w:asciiTheme="minorHAnsi" w:hAnsiTheme="minorHAnsi"/>
          <w:color w:val="auto"/>
        </w:rPr>
        <w:instrText xml:space="preserve"> SEQ Table \* ARABIC </w:instrText>
      </w:r>
      <w:r w:rsidRPr="007156A3">
        <w:rPr>
          <w:rFonts w:asciiTheme="minorHAnsi" w:hAnsiTheme="minorHAnsi"/>
          <w:color w:val="auto"/>
        </w:rPr>
        <w:fldChar w:fldCharType="separate"/>
      </w:r>
      <w:r w:rsidRPr="007156A3" w:rsidR="006341CA">
        <w:rPr>
          <w:rFonts w:asciiTheme="minorHAnsi" w:hAnsiTheme="minorHAnsi"/>
          <w:noProof/>
          <w:color w:val="auto"/>
        </w:rPr>
        <w:t>1</w:t>
      </w:r>
      <w:r w:rsidRPr="007156A3">
        <w:rPr>
          <w:rFonts w:asciiTheme="minorHAnsi" w:hAnsiTheme="minorHAnsi"/>
          <w:color w:val="auto"/>
        </w:rPr>
        <w:fldChar w:fldCharType="end"/>
      </w:r>
      <w:r w:rsidRPr="007156A3">
        <w:rPr>
          <w:rFonts w:asciiTheme="minorHAnsi" w:hAnsiTheme="minorHAnsi"/>
          <w:color w:val="auto"/>
        </w:rPr>
        <w:t>. Estimated Burden</w:t>
      </w:r>
    </w:p>
    <w:tbl>
      <w:tblPr>
        <w:tblW w:w="9622"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1282"/>
      </w:tblGrid>
      <w:tr w:rsidRPr="007156A3" w:rsidR="00AE04CB" w:rsidTr="00531FD8" w14:paraId="19DC9DC1"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hideMark/>
          </w:tcPr>
          <w:p w:rsidRPr="007156A3" w:rsidR="00AE04CB" w:rsidP="00D95507" w:rsidRDefault="00531FD8" w14:paraId="3D8643AD" w14:textId="65EB8855">
            <w:pPr>
              <w:spacing w:before="100" w:beforeAutospacing="1" w:after="100" w:afterAutospacing="1"/>
              <w:jc w:val="center"/>
              <w:rPr>
                <w:color w:val="000000"/>
                <w:sz w:val="16"/>
                <w:szCs w:val="13"/>
              </w:rPr>
            </w:pPr>
            <w:r w:rsidRPr="007156A3">
              <w:rPr>
                <w:b/>
                <w:bCs/>
                <w:color w:val="000000"/>
                <w:sz w:val="16"/>
                <w:szCs w:val="13"/>
              </w:rPr>
              <w:t>Research Activity</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hideMark/>
          </w:tcPr>
          <w:p w:rsidRPr="007156A3" w:rsidR="00AE04CB" w:rsidP="00D95507" w:rsidRDefault="00AE04CB" w14:paraId="62DF0B1A" w14:textId="77777777">
            <w:pPr>
              <w:spacing w:before="100" w:beforeAutospacing="1" w:after="100" w:afterAutospacing="1"/>
              <w:jc w:val="center"/>
              <w:rPr>
                <w:color w:val="000000"/>
                <w:sz w:val="16"/>
                <w:szCs w:val="13"/>
              </w:rPr>
            </w:pPr>
            <w:r w:rsidRPr="007156A3">
              <w:rPr>
                <w:b/>
                <w:bCs/>
                <w:color w:val="000000"/>
                <w:sz w:val="16"/>
                <w:szCs w:val="13"/>
              </w:rPr>
              <w:t>No. of Respondents</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hideMark/>
          </w:tcPr>
          <w:p w:rsidRPr="007156A3" w:rsidR="00AE04CB" w:rsidP="00D95507" w:rsidRDefault="00AE04CB" w14:paraId="21B9DAAF" w14:textId="77777777">
            <w:pPr>
              <w:spacing w:before="100" w:beforeAutospacing="1" w:after="100" w:afterAutospacing="1"/>
              <w:jc w:val="center"/>
              <w:rPr>
                <w:color w:val="000000"/>
                <w:sz w:val="16"/>
                <w:szCs w:val="13"/>
              </w:rPr>
            </w:pPr>
            <w:r w:rsidRPr="007156A3">
              <w:rPr>
                <w:b/>
                <w:bCs/>
                <w:color w:val="000000"/>
                <w:sz w:val="16"/>
                <w:szCs w:val="13"/>
              </w:rPr>
              <w:t>Participation Time</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hideMark/>
          </w:tcPr>
          <w:p w:rsidRPr="007156A3" w:rsidR="00AE04CB" w:rsidP="00D95507" w:rsidRDefault="00AE04CB" w14:paraId="7207372D" w14:textId="77777777">
            <w:pPr>
              <w:spacing w:before="100" w:beforeAutospacing="1" w:after="100" w:afterAutospacing="1"/>
              <w:jc w:val="center"/>
              <w:rPr>
                <w:color w:val="000000"/>
                <w:sz w:val="16"/>
                <w:szCs w:val="13"/>
              </w:rPr>
            </w:pPr>
            <w:r w:rsidRPr="007156A3">
              <w:rPr>
                <w:b/>
                <w:bCs/>
                <w:color w:val="000000"/>
                <w:sz w:val="16"/>
                <w:szCs w:val="13"/>
              </w:rPr>
              <w:t>Burden</w:t>
            </w:r>
          </w:p>
        </w:tc>
      </w:tr>
      <w:tr w:rsidRPr="007156A3" w:rsidR="00AE04CB" w:rsidTr="00531FD8" w14:paraId="659D321E" w14:textId="77777777">
        <w:trPr>
          <w:trHeight w:val="402"/>
        </w:trPr>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AE04CB" w14:paraId="3F9CB7E0" w14:textId="77777777">
            <w:pPr>
              <w:spacing w:before="120" w:after="120"/>
              <w:rPr>
                <w:color w:val="000000"/>
                <w:sz w:val="16"/>
                <w:szCs w:val="12"/>
              </w:rPr>
            </w:pPr>
            <w:r w:rsidRPr="007156A3">
              <w:rPr>
                <w:color w:val="000000"/>
                <w:sz w:val="16"/>
                <w:szCs w:val="12"/>
              </w:rPr>
              <w:t>  Screening</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C11836" w14:paraId="7A46E024" w14:textId="4894986F">
            <w:pPr>
              <w:spacing w:before="120" w:after="120"/>
              <w:jc w:val="center"/>
              <w:rPr>
                <w:color w:val="000000"/>
                <w:sz w:val="16"/>
                <w:szCs w:val="12"/>
              </w:rPr>
            </w:pPr>
            <w:r>
              <w:rPr>
                <w:color w:val="000000"/>
                <w:sz w:val="16"/>
                <w:szCs w:val="12"/>
              </w:rPr>
              <w:t>45</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9D5D92" w14:paraId="0C11C822" w14:textId="0DD5C07C">
            <w:pPr>
              <w:spacing w:before="120" w:after="120"/>
              <w:jc w:val="center"/>
              <w:rPr>
                <w:color w:val="000000"/>
                <w:sz w:val="16"/>
                <w:szCs w:val="12"/>
              </w:rPr>
            </w:pPr>
            <w:r>
              <w:rPr>
                <w:color w:val="000000"/>
                <w:sz w:val="16"/>
                <w:szCs w:val="12"/>
              </w:rPr>
              <w:t>5</w:t>
            </w:r>
            <w:r w:rsidRPr="007156A3" w:rsidR="00AE04CB">
              <w:rPr>
                <w:color w:val="000000"/>
                <w:sz w:val="16"/>
                <w:szCs w:val="12"/>
              </w:rPr>
              <w:t xml:space="preserve"> minutes</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9D5D92" w14:paraId="213767FE" w14:textId="2779B889">
            <w:pPr>
              <w:spacing w:before="120" w:after="120"/>
              <w:jc w:val="center"/>
              <w:rPr>
                <w:color w:val="000000"/>
                <w:sz w:val="16"/>
                <w:szCs w:val="12"/>
              </w:rPr>
            </w:pPr>
            <w:r>
              <w:rPr>
                <w:color w:val="000000"/>
                <w:sz w:val="16"/>
                <w:szCs w:val="12"/>
              </w:rPr>
              <w:t>3</w:t>
            </w:r>
            <w:r w:rsidRPr="007156A3" w:rsidR="00DF2168">
              <w:rPr>
                <w:color w:val="000000"/>
                <w:sz w:val="16"/>
                <w:szCs w:val="12"/>
              </w:rPr>
              <w:t>.</w:t>
            </w:r>
            <w:r>
              <w:rPr>
                <w:color w:val="000000"/>
                <w:sz w:val="16"/>
                <w:szCs w:val="12"/>
              </w:rPr>
              <w:t>7</w:t>
            </w:r>
            <w:r w:rsidRPr="007156A3" w:rsidR="00DF2168">
              <w:rPr>
                <w:color w:val="000000"/>
                <w:sz w:val="16"/>
                <w:szCs w:val="12"/>
              </w:rPr>
              <w:t>5</w:t>
            </w:r>
            <w:r w:rsidRPr="007156A3" w:rsidR="00AE04CB">
              <w:rPr>
                <w:color w:val="000000"/>
                <w:sz w:val="16"/>
                <w:szCs w:val="12"/>
              </w:rPr>
              <w:t xml:space="preserve"> hours</w:t>
            </w:r>
          </w:p>
        </w:tc>
      </w:tr>
      <w:tr w:rsidRPr="007156A3" w:rsidR="00AE04CB" w:rsidTr="00531FD8" w14:paraId="1EAEFF8C"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531FD8" w:rsidRDefault="00AE04CB" w14:paraId="5A98A79A" w14:textId="15ADADCC">
            <w:pPr>
              <w:spacing w:before="120" w:after="120"/>
              <w:rPr>
                <w:color w:val="000000"/>
                <w:sz w:val="16"/>
                <w:szCs w:val="12"/>
              </w:rPr>
            </w:pPr>
            <w:r w:rsidRPr="007156A3">
              <w:rPr>
                <w:color w:val="000000"/>
                <w:sz w:val="16"/>
                <w:szCs w:val="12"/>
              </w:rPr>
              <w:t>  Cognitive Interviews</w:t>
            </w:r>
            <w:r w:rsidRPr="007156A3" w:rsidR="00A5361A">
              <w:rPr>
                <w:color w:val="000000"/>
                <w:sz w:val="16"/>
                <w:szCs w:val="12"/>
              </w:rPr>
              <w:t xml:space="preserve"> </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C11836" w14:paraId="2D629EB5" w14:textId="14D07168">
            <w:pPr>
              <w:spacing w:before="120" w:after="120"/>
              <w:jc w:val="center"/>
              <w:rPr>
                <w:color w:val="000000"/>
                <w:sz w:val="16"/>
                <w:szCs w:val="12"/>
              </w:rPr>
            </w:pPr>
            <w:r>
              <w:rPr>
                <w:color w:val="000000"/>
                <w:sz w:val="16"/>
                <w:szCs w:val="12"/>
              </w:rPr>
              <w:t>1</w:t>
            </w:r>
            <w:r w:rsidRPr="007156A3" w:rsidR="00531FD8">
              <w:rPr>
                <w:color w:val="000000"/>
                <w:sz w:val="16"/>
                <w:szCs w:val="12"/>
              </w:rPr>
              <w:t>5</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531FD8" w14:paraId="3B6F3E7A" w14:textId="23E87FE5">
            <w:pPr>
              <w:spacing w:before="120" w:after="120"/>
              <w:jc w:val="center"/>
              <w:rPr>
                <w:color w:val="000000"/>
                <w:sz w:val="16"/>
                <w:szCs w:val="12"/>
              </w:rPr>
            </w:pPr>
            <w:r w:rsidRPr="007156A3">
              <w:rPr>
                <w:color w:val="000000"/>
                <w:sz w:val="16"/>
                <w:szCs w:val="12"/>
              </w:rPr>
              <w:t>60</w:t>
            </w:r>
            <w:r w:rsidRPr="007156A3" w:rsidR="00AE04CB">
              <w:rPr>
                <w:color w:val="000000"/>
                <w:sz w:val="16"/>
                <w:szCs w:val="12"/>
              </w:rPr>
              <w:t xml:space="preserve"> minutes</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AE04CB" w:rsidP="009735A9" w:rsidRDefault="00C11836" w14:paraId="35BC950E" w14:textId="0D69DB64">
            <w:pPr>
              <w:spacing w:before="120" w:after="120"/>
              <w:jc w:val="center"/>
              <w:rPr>
                <w:color w:val="000000"/>
                <w:sz w:val="16"/>
                <w:szCs w:val="12"/>
              </w:rPr>
            </w:pPr>
            <w:r>
              <w:rPr>
                <w:color w:val="000000"/>
                <w:sz w:val="16"/>
                <w:szCs w:val="12"/>
              </w:rPr>
              <w:t>1</w:t>
            </w:r>
            <w:r w:rsidRPr="007156A3" w:rsidR="00531FD8">
              <w:rPr>
                <w:color w:val="000000"/>
                <w:sz w:val="16"/>
                <w:szCs w:val="12"/>
              </w:rPr>
              <w:t>5</w:t>
            </w:r>
            <w:r w:rsidRPr="007156A3" w:rsidR="00AE04CB">
              <w:rPr>
                <w:color w:val="000000"/>
                <w:sz w:val="16"/>
                <w:szCs w:val="12"/>
              </w:rPr>
              <w:t xml:space="preserve"> hours</w:t>
            </w:r>
          </w:p>
        </w:tc>
      </w:tr>
      <w:tr w:rsidRPr="007156A3" w:rsidR="005B5ED1" w:rsidTr="00531FD8" w14:paraId="0E926225"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7156A3" w:rsidR="005B5ED1" w:rsidP="00531FD8" w:rsidRDefault="005B5ED1" w14:paraId="4531358C" w14:textId="19F9A37B">
            <w:pPr>
              <w:spacing w:before="120" w:after="120"/>
              <w:rPr>
                <w:color w:val="000000"/>
                <w:sz w:val="16"/>
                <w:szCs w:val="12"/>
              </w:rPr>
            </w:pPr>
            <w:r>
              <w:rPr>
                <w:color w:val="000000"/>
                <w:sz w:val="16"/>
                <w:szCs w:val="12"/>
              </w:rPr>
              <w:t>Qualtrics</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005B5ED1" w:rsidP="009735A9" w:rsidRDefault="00425457" w14:paraId="0BE01C5F" w14:textId="13A7A7BE">
            <w:pPr>
              <w:spacing w:before="120" w:after="120"/>
              <w:jc w:val="center"/>
              <w:rPr>
                <w:color w:val="000000"/>
                <w:sz w:val="16"/>
                <w:szCs w:val="12"/>
              </w:rPr>
            </w:pPr>
            <w:r>
              <w:rPr>
                <w:color w:val="000000"/>
                <w:sz w:val="16"/>
                <w:szCs w:val="12"/>
              </w:rPr>
              <w:t>150</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7156A3" w:rsidR="005B5ED1" w:rsidP="009735A9" w:rsidRDefault="005B5ED1" w14:paraId="2FAD1A31" w14:textId="5A09ACCC">
            <w:pPr>
              <w:spacing w:before="120" w:after="120"/>
              <w:jc w:val="center"/>
              <w:rPr>
                <w:color w:val="000000"/>
                <w:sz w:val="16"/>
                <w:szCs w:val="12"/>
              </w:rPr>
            </w:pPr>
            <w:r>
              <w:rPr>
                <w:color w:val="000000"/>
                <w:sz w:val="16"/>
                <w:szCs w:val="12"/>
              </w:rPr>
              <w:t>15 minutes</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005B5ED1" w:rsidP="009735A9" w:rsidRDefault="00425457" w14:paraId="1ED28DB0" w14:textId="4B166595">
            <w:pPr>
              <w:spacing w:before="120" w:after="120"/>
              <w:jc w:val="center"/>
              <w:rPr>
                <w:color w:val="000000"/>
                <w:sz w:val="16"/>
                <w:szCs w:val="12"/>
              </w:rPr>
            </w:pPr>
            <w:r>
              <w:rPr>
                <w:color w:val="000000"/>
                <w:sz w:val="16"/>
                <w:szCs w:val="12"/>
              </w:rPr>
              <w:t>37.5</w:t>
            </w:r>
            <w:r w:rsidR="005B5ED1">
              <w:rPr>
                <w:color w:val="000000"/>
                <w:sz w:val="16"/>
                <w:szCs w:val="12"/>
              </w:rPr>
              <w:t xml:space="preserve"> hours</w:t>
            </w:r>
          </w:p>
        </w:tc>
      </w:tr>
      <w:tr w:rsidRPr="007156A3" w:rsidR="008F5AE6" w:rsidTr="00531FD8" w14:paraId="238273DE"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hideMark/>
          </w:tcPr>
          <w:p w:rsidRPr="007156A3" w:rsidR="008F5AE6" w:rsidP="00D95507" w:rsidRDefault="00531FD8" w14:paraId="3A8E5FF2" w14:textId="1877D890">
            <w:pPr>
              <w:spacing w:before="100" w:beforeAutospacing="1" w:after="100" w:afterAutospacing="1"/>
              <w:rPr>
                <w:color w:val="000000"/>
                <w:sz w:val="16"/>
                <w:szCs w:val="13"/>
              </w:rPr>
            </w:pPr>
            <w:r w:rsidRPr="007156A3">
              <w:rPr>
                <w:b/>
                <w:bCs/>
                <w:color w:val="000000"/>
                <w:sz w:val="16"/>
                <w:szCs w:val="13"/>
              </w:rPr>
              <w:t>Total</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8F5AE6" w:rsidP="008F5AE6" w:rsidRDefault="008F5AE6" w14:paraId="0303A8B3" w14:textId="77777777">
            <w:pPr>
              <w:spacing w:before="120" w:after="120"/>
              <w:jc w:val="center"/>
              <w:rPr>
                <w:color w:val="000000"/>
                <w:sz w:val="16"/>
                <w:szCs w:val="12"/>
              </w:rPr>
            </w:pP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8F5AE6" w:rsidP="008F5AE6" w:rsidRDefault="008F5AE6" w14:paraId="3E6B9014" w14:textId="77777777">
            <w:pPr>
              <w:spacing w:before="120" w:after="120"/>
              <w:jc w:val="center"/>
              <w:rPr>
                <w:color w:val="000000"/>
                <w:sz w:val="16"/>
                <w:szCs w:val="12"/>
              </w:rPr>
            </w:pP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7156A3" w:rsidR="008F5AE6" w:rsidP="00A65481" w:rsidRDefault="009D5D92" w14:paraId="3F8319D2" w14:textId="194A4DD4">
            <w:pPr>
              <w:spacing w:before="120" w:after="120"/>
              <w:jc w:val="center"/>
              <w:rPr>
                <w:color w:val="000000"/>
                <w:sz w:val="16"/>
                <w:szCs w:val="12"/>
              </w:rPr>
            </w:pPr>
            <w:r>
              <w:rPr>
                <w:color w:val="000000"/>
                <w:sz w:val="16"/>
                <w:szCs w:val="12"/>
              </w:rPr>
              <w:t>56.25</w:t>
            </w:r>
            <w:r w:rsidRPr="007156A3" w:rsidR="008F5AE6">
              <w:rPr>
                <w:color w:val="000000"/>
                <w:sz w:val="16"/>
                <w:szCs w:val="12"/>
              </w:rPr>
              <w:t xml:space="preserve"> hours</w:t>
            </w:r>
          </w:p>
        </w:tc>
      </w:tr>
    </w:tbl>
    <w:p w:rsidRPr="007156A3" w:rsidR="00AE04CB" w:rsidP="00AE04CB" w:rsidRDefault="00AE04CB" w14:paraId="5EA3D8AC" w14:textId="77777777">
      <w:pPr>
        <w:pStyle w:val="NoSpacing"/>
        <w:rPr>
          <w:rFonts w:asciiTheme="minorHAnsi" w:hAnsiTheme="minorHAnsi"/>
          <w:sz w:val="24"/>
          <w:szCs w:val="24"/>
        </w:rPr>
      </w:pPr>
    </w:p>
    <w:p w:rsidRPr="007156A3" w:rsidR="003E5DF9" w:rsidP="003E5DF9" w:rsidRDefault="003E5DF9" w14:paraId="2E539B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color w:val="000000"/>
          <w:sz w:val="24"/>
          <w:szCs w:val="24"/>
        </w:rPr>
        <w:t>The contact person for questions regarding data collection and statistical aspects of the design of this research is listed below:</w:t>
      </w:r>
    </w:p>
    <w:p w:rsidR="005B5ED1" w:rsidP="00A010EA" w:rsidRDefault="00527F57" w14:paraId="5A2621F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rPr>
          <w:color w:val="000000"/>
          <w:sz w:val="24"/>
          <w:szCs w:val="24"/>
        </w:rPr>
      </w:pPr>
      <w:r w:rsidRPr="007156A3">
        <w:rPr>
          <w:color w:val="000000"/>
          <w:sz w:val="24"/>
          <w:szCs w:val="24"/>
        </w:rPr>
        <w:t>Matt Virgile</w:t>
      </w:r>
      <w:r w:rsidRPr="007156A3" w:rsidR="009B017A">
        <w:rPr>
          <w:color w:val="000000"/>
          <w:sz w:val="24"/>
          <w:szCs w:val="24"/>
        </w:rPr>
        <w:br/>
      </w:r>
      <w:r w:rsidR="00696B77">
        <w:rPr>
          <w:color w:val="000000"/>
          <w:sz w:val="24"/>
          <w:szCs w:val="24"/>
        </w:rPr>
        <w:t>Center for Behavioral Science Methods</w:t>
      </w:r>
      <w:r w:rsidRPr="007156A3" w:rsidR="003E5DF9">
        <w:rPr>
          <w:color w:val="000000"/>
          <w:sz w:val="24"/>
          <w:szCs w:val="24"/>
        </w:rPr>
        <w:t xml:space="preserve"> </w:t>
      </w:r>
      <w:r w:rsidRPr="007156A3" w:rsidR="009B017A">
        <w:rPr>
          <w:color w:val="000000"/>
          <w:sz w:val="24"/>
          <w:szCs w:val="24"/>
        </w:rPr>
        <w:br/>
      </w:r>
      <w:r w:rsidRPr="007156A3" w:rsidR="003E5DF9">
        <w:rPr>
          <w:color w:val="000000"/>
          <w:sz w:val="24"/>
          <w:szCs w:val="24"/>
        </w:rPr>
        <w:t xml:space="preserve">U.S. Census Bureau </w:t>
      </w:r>
    </w:p>
    <w:p w:rsidRPr="007156A3" w:rsidR="003E5DF9" w:rsidP="00A010EA" w:rsidRDefault="005B5ED1" w14:paraId="5878799C" w14:textId="2EF7F29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rPr>
          <w:color w:val="000000"/>
          <w:sz w:val="24"/>
          <w:szCs w:val="24"/>
        </w:rPr>
      </w:pPr>
      <w:r>
        <w:rPr>
          <w:color w:val="000000"/>
          <w:sz w:val="24"/>
          <w:szCs w:val="24"/>
        </w:rPr>
        <w:lastRenderedPageBreak/>
        <w:t>Room 5K028F</w:t>
      </w:r>
      <w:r w:rsidRPr="007156A3" w:rsidR="009B017A">
        <w:rPr>
          <w:color w:val="000000"/>
          <w:sz w:val="24"/>
          <w:szCs w:val="24"/>
        </w:rPr>
        <w:br/>
      </w:r>
      <w:r w:rsidRPr="007156A3" w:rsidR="003E5DF9">
        <w:rPr>
          <w:color w:val="000000"/>
          <w:sz w:val="24"/>
          <w:szCs w:val="24"/>
        </w:rPr>
        <w:t>Washington, D.C. 20233</w:t>
      </w:r>
      <w:r w:rsidRPr="007156A3" w:rsidR="009B017A">
        <w:rPr>
          <w:color w:val="000000"/>
          <w:sz w:val="24"/>
          <w:szCs w:val="24"/>
        </w:rPr>
        <w:br/>
      </w:r>
      <w:r w:rsidRPr="007156A3" w:rsidR="00527F57">
        <w:rPr>
          <w:color w:val="000000"/>
          <w:sz w:val="24"/>
          <w:szCs w:val="24"/>
        </w:rPr>
        <w:t>(301) 763-4745</w:t>
      </w:r>
      <w:r w:rsidRPr="007156A3" w:rsidR="009B017A">
        <w:rPr>
          <w:color w:val="000000"/>
          <w:sz w:val="24"/>
          <w:szCs w:val="24"/>
        </w:rPr>
        <w:br/>
      </w:r>
      <w:hyperlink w:history="1" r:id="rId10">
        <w:r w:rsidRPr="007156A3" w:rsidR="00527F57">
          <w:rPr>
            <w:rStyle w:val="Hyperlink"/>
            <w:sz w:val="24"/>
            <w:szCs w:val="24"/>
          </w:rPr>
          <w:t>Matthew.Virgile@census.gov</w:t>
        </w:r>
      </w:hyperlink>
    </w:p>
    <w:p w:rsidRPr="007156A3" w:rsidR="009C22F6" w:rsidRDefault="009C22F6" w14:paraId="20DE43D2" w14:textId="77777777"/>
    <w:sectPr w:rsidRPr="007156A3" w:rsidR="009C22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1D274" w14:textId="77777777" w:rsidR="00A84996" w:rsidRDefault="00A84996">
      <w:pPr>
        <w:spacing w:after="0" w:line="240" w:lineRule="auto"/>
      </w:pPr>
      <w:r>
        <w:separator/>
      </w:r>
    </w:p>
  </w:endnote>
  <w:endnote w:type="continuationSeparator" w:id="0">
    <w:p w14:paraId="555E12AE" w14:textId="77777777" w:rsidR="00A84996" w:rsidRDefault="00A8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rFonts w:asciiTheme="minorHAnsi" w:hAnsiTheme="minorHAnsi"/>
        <w:noProof/>
      </w:rPr>
    </w:sdtEndPr>
    <w:sdtContent>
      <w:p w14:paraId="2DB46AC1" w14:textId="48E59B9C" w:rsidR="00090238" w:rsidRPr="00444E27" w:rsidRDefault="00090238">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3A1169">
          <w:rPr>
            <w:rFonts w:asciiTheme="minorHAnsi" w:hAnsiTheme="minorHAnsi"/>
            <w:noProof/>
          </w:rPr>
          <w:t>5</w:t>
        </w:r>
        <w:r w:rsidRPr="00444E27">
          <w:rPr>
            <w:rFonts w:asciiTheme="minorHAnsi" w:hAnsiTheme="minorHAnsi"/>
            <w:noProof/>
          </w:rPr>
          <w:fldChar w:fldCharType="end"/>
        </w:r>
      </w:p>
    </w:sdtContent>
  </w:sdt>
  <w:p w14:paraId="7D703E5C" w14:textId="77777777" w:rsidR="00090238" w:rsidRDefault="00090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EFF5" w14:textId="77777777" w:rsidR="00A84996" w:rsidRDefault="00A84996">
      <w:pPr>
        <w:spacing w:after="0" w:line="240" w:lineRule="auto"/>
      </w:pPr>
      <w:r>
        <w:separator/>
      </w:r>
    </w:p>
  </w:footnote>
  <w:footnote w:type="continuationSeparator" w:id="0">
    <w:p w14:paraId="6E64CF07" w14:textId="77777777" w:rsidR="00A84996" w:rsidRDefault="00A8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65915"/>
    <w:multiLevelType w:val="hybridMultilevel"/>
    <w:tmpl w:val="813C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83314"/>
    <w:multiLevelType w:val="hybridMultilevel"/>
    <w:tmpl w:val="235013A4"/>
    <w:lvl w:ilvl="0" w:tplc="BBEA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64EF2"/>
    <w:multiLevelType w:val="hybridMultilevel"/>
    <w:tmpl w:val="B16A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FA"/>
    <w:rsid w:val="00007761"/>
    <w:rsid w:val="000174B0"/>
    <w:rsid w:val="00020B24"/>
    <w:rsid w:val="000257A9"/>
    <w:rsid w:val="000543A1"/>
    <w:rsid w:val="00063B26"/>
    <w:rsid w:val="00072C20"/>
    <w:rsid w:val="000745B7"/>
    <w:rsid w:val="000768A7"/>
    <w:rsid w:val="00083567"/>
    <w:rsid w:val="00090238"/>
    <w:rsid w:val="000915D3"/>
    <w:rsid w:val="000A1316"/>
    <w:rsid w:val="000B6D10"/>
    <w:rsid w:val="000E7D19"/>
    <w:rsid w:val="000F76BD"/>
    <w:rsid w:val="001124E4"/>
    <w:rsid w:val="00112BF6"/>
    <w:rsid w:val="001136EF"/>
    <w:rsid w:val="00122621"/>
    <w:rsid w:val="00132D29"/>
    <w:rsid w:val="00147EB6"/>
    <w:rsid w:val="00153560"/>
    <w:rsid w:val="00163360"/>
    <w:rsid w:val="001675FD"/>
    <w:rsid w:val="00171FEF"/>
    <w:rsid w:val="00176316"/>
    <w:rsid w:val="0018013E"/>
    <w:rsid w:val="0019392B"/>
    <w:rsid w:val="00196A9F"/>
    <w:rsid w:val="00197848"/>
    <w:rsid w:val="001B0866"/>
    <w:rsid w:val="001B5A96"/>
    <w:rsid w:val="001D3E72"/>
    <w:rsid w:val="001E6854"/>
    <w:rsid w:val="00207D6E"/>
    <w:rsid w:val="002115CA"/>
    <w:rsid w:val="00233405"/>
    <w:rsid w:val="00257E44"/>
    <w:rsid w:val="0026140E"/>
    <w:rsid w:val="00261BC4"/>
    <w:rsid w:val="00263008"/>
    <w:rsid w:val="00274C40"/>
    <w:rsid w:val="00277750"/>
    <w:rsid w:val="00287AEB"/>
    <w:rsid w:val="00290935"/>
    <w:rsid w:val="002A7136"/>
    <w:rsid w:val="002B3975"/>
    <w:rsid w:val="002B46A7"/>
    <w:rsid w:val="00302F84"/>
    <w:rsid w:val="00303EDB"/>
    <w:rsid w:val="0030767C"/>
    <w:rsid w:val="00316BEF"/>
    <w:rsid w:val="00317DED"/>
    <w:rsid w:val="0032147E"/>
    <w:rsid w:val="00322FC0"/>
    <w:rsid w:val="003231B3"/>
    <w:rsid w:val="00325662"/>
    <w:rsid w:val="003265EF"/>
    <w:rsid w:val="00354911"/>
    <w:rsid w:val="00362F74"/>
    <w:rsid w:val="00376D86"/>
    <w:rsid w:val="003A1169"/>
    <w:rsid w:val="003C3D5C"/>
    <w:rsid w:val="003D0103"/>
    <w:rsid w:val="003E3C21"/>
    <w:rsid w:val="003E5DF9"/>
    <w:rsid w:val="003F0D21"/>
    <w:rsid w:val="004004B9"/>
    <w:rsid w:val="00403320"/>
    <w:rsid w:val="00414B9E"/>
    <w:rsid w:val="00425457"/>
    <w:rsid w:val="00440E3A"/>
    <w:rsid w:val="00445483"/>
    <w:rsid w:val="0045338F"/>
    <w:rsid w:val="0046226C"/>
    <w:rsid w:val="004630F1"/>
    <w:rsid w:val="004821C5"/>
    <w:rsid w:val="004A1C7B"/>
    <w:rsid w:val="004B22C3"/>
    <w:rsid w:val="004C42FA"/>
    <w:rsid w:val="004D1D76"/>
    <w:rsid w:val="004F690F"/>
    <w:rsid w:val="00507EE0"/>
    <w:rsid w:val="00510F11"/>
    <w:rsid w:val="00527F57"/>
    <w:rsid w:val="00531FD8"/>
    <w:rsid w:val="00542A3E"/>
    <w:rsid w:val="00556C4A"/>
    <w:rsid w:val="00561569"/>
    <w:rsid w:val="00585F1D"/>
    <w:rsid w:val="005867AC"/>
    <w:rsid w:val="005A74CD"/>
    <w:rsid w:val="005B5ED1"/>
    <w:rsid w:val="005C5783"/>
    <w:rsid w:val="005C70B4"/>
    <w:rsid w:val="005D381F"/>
    <w:rsid w:val="005F2DF5"/>
    <w:rsid w:val="005F32D5"/>
    <w:rsid w:val="005F631D"/>
    <w:rsid w:val="005F6B30"/>
    <w:rsid w:val="00610BAB"/>
    <w:rsid w:val="006341CA"/>
    <w:rsid w:val="00637F53"/>
    <w:rsid w:val="00653D37"/>
    <w:rsid w:val="00656B91"/>
    <w:rsid w:val="00657959"/>
    <w:rsid w:val="00676356"/>
    <w:rsid w:val="00680CC6"/>
    <w:rsid w:val="00683169"/>
    <w:rsid w:val="00690F41"/>
    <w:rsid w:val="00696B77"/>
    <w:rsid w:val="006A1606"/>
    <w:rsid w:val="006A7E7F"/>
    <w:rsid w:val="006C0600"/>
    <w:rsid w:val="006C5CAA"/>
    <w:rsid w:val="006D37EF"/>
    <w:rsid w:val="007156A3"/>
    <w:rsid w:val="007210A4"/>
    <w:rsid w:val="00722ED4"/>
    <w:rsid w:val="007244A3"/>
    <w:rsid w:val="007278FF"/>
    <w:rsid w:val="00732C0C"/>
    <w:rsid w:val="00742DDC"/>
    <w:rsid w:val="00757F1F"/>
    <w:rsid w:val="00782326"/>
    <w:rsid w:val="007834F5"/>
    <w:rsid w:val="00783C1B"/>
    <w:rsid w:val="00790E40"/>
    <w:rsid w:val="007977C1"/>
    <w:rsid w:val="007A0BAF"/>
    <w:rsid w:val="007A3A89"/>
    <w:rsid w:val="007A686E"/>
    <w:rsid w:val="007D0FBC"/>
    <w:rsid w:val="007D2BD9"/>
    <w:rsid w:val="00806806"/>
    <w:rsid w:val="00817BD7"/>
    <w:rsid w:val="00827D05"/>
    <w:rsid w:val="00832827"/>
    <w:rsid w:val="00832A02"/>
    <w:rsid w:val="0084374C"/>
    <w:rsid w:val="00845449"/>
    <w:rsid w:val="008518D1"/>
    <w:rsid w:val="008537A4"/>
    <w:rsid w:val="008811B8"/>
    <w:rsid w:val="00882603"/>
    <w:rsid w:val="0089734D"/>
    <w:rsid w:val="00897852"/>
    <w:rsid w:val="008B55C5"/>
    <w:rsid w:val="008C2A39"/>
    <w:rsid w:val="008D1858"/>
    <w:rsid w:val="008D34C6"/>
    <w:rsid w:val="008D6DD1"/>
    <w:rsid w:val="008E5EC9"/>
    <w:rsid w:val="008F5AE6"/>
    <w:rsid w:val="0090111D"/>
    <w:rsid w:val="0090312D"/>
    <w:rsid w:val="00903DE8"/>
    <w:rsid w:val="009048F7"/>
    <w:rsid w:val="0092027A"/>
    <w:rsid w:val="009217E4"/>
    <w:rsid w:val="009309D1"/>
    <w:rsid w:val="00931402"/>
    <w:rsid w:val="0094095E"/>
    <w:rsid w:val="00951BAF"/>
    <w:rsid w:val="00964142"/>
    <w:rsid w:val="0097303F"/>
    <w:rsid w:val="009735A9"/>
    <w:rsid w:val="00981957"/>
    <w:rsid w:val="0099087D"/>
    <w:rsid w:val="009B017A"/>
    <w:rsid w:val="009B5D95"/>
    <w:rsid w:val="009B7520"/>
    <w:rsid w:val="009C22F6"/>
    <w:rsid w:val="009C7E3B"/>
    <w:rsid w:val="009C7FEC"/>
    <w:rsid w:val="009D165E"/>
    <w:rsid w:val="009D38B9"/>
    <w:rsid w:val="009D4C5D"/>
    <w:rsid w:val="009D5D92"/>
    <w:rsid w:val="009E4912"/>
    <w:rsid w:val="00A010EA"/>
    <w:rsid w:val="00A11C5F"/>
    <w:rsid w:val="00A15C53"/>
    <w:rsid w:val="00A2266D"/>
    <w:rsid w:val="00A35D0C"/>
    <w:rsid w:val="00A42116"/>
    <w:rsid w:val="00A46300"/>
    <w:rsid w:val="00A463F8"/>
    <w:rsid w:val="00A5361A"/>
    <w:rsid w:val="00A54341"/>
    <w:rsid w:val="00A555D9"/>
    <w:rsid w:val="00A65481"/>
    <w:rsid w:val="00A84996"/>
    <w:rsid w:val="00AC1F77"/>
    <w:rsid w:val="00AC7B68"/>
    <w:rsid w:val="00AE04CB"/>
    <w:rsid w:val="00AF6238"/>
    <w:rsid w:val="00AF698F"/>
    <w:rsid w:val="00AF6A8F"/>
    <w:rsid w:val="00B037BD"/>
    <w:rsid w:val="00B04250"/>
    <w:rsid w:val="00B14F6F"/>
    <w:rsid w:val="00B3032F"/>
    <w:rsid w:val="00B43CF2"/>
    <w:rsid w:val="00B45115"/>
    <w:rsid w:val="00B52A51"/>
    <w:rsid w:val="00B57DE7"/>
    <w:rsid w:val="00B661F8"/>
    <w:rsid w:val="00B67790"/>
    <w:rsid w:val="00B90BEA"/>
    <w:rsid w:val="00B962D1"/>
    <w:rsid w:val="00BA6FEB"/>
    <w:rsid w:val="00BB4D57"/>
    <w:rsid w:val="00BD2973"/>
    <w:rsid w:val="00BE204D"/>
    <w:rsid w:val="00BE4DDC"/>
    <w:rsid w:val="00C1025A"/>
    <w:rsid w:val="00C11836"/>
    <w:rsid w:val="00C15A9F"/>
    <w:rsid w:val="00C35564"/>
    <w:rsid w:val="00C662C3"/>
    <w:rsid w:val="00C7073C"/>
    <w:rsid w:val="00C8027F"/>
    <w:rsid w:val="00CA36FD"/>
    <w:rsid w:val="00CA4AE8"/>
    <w:rsid w:val="00CC09FA"/>
    <w:rsid w:val="00CD14D1"/>
    <w:rsid w:val="00CD4AE7"/>
    <w:rsid w:val="00CE2E94"/>
    <w:rsid w:val="00CF7A9C"/>
    <w:rsid w:val="00D154CA"/>
    <w:rsid w:val="00D1719E"/>
    <w:rsid w:val="00D329C2"/>
    <w:rsid w:val="00D34AF1"/>
    <w:rsid w:val="00D4265E"/>
    <w:rsid w:val="00D45B79"/>
    <w:rsid w:val="00D5610D"/>
    <w:rsid w:val="00D647DB"/>
    <w:rsid w:val="00D76339"/>
    <w:rsid w:val="00D76E20"/>
    <w:rsid w:val="00D93F19"/>
    <w:rsid w:val="00D95507"/>
    <w:rsid w:val="00DA7050"/>
    <w:rsid w:val="00DB0073"/>
    <w:rsid w:val="00DC7EFB"/>
    <w:rsid w:val="00DF2168"/>
    <w:rsid w:val="00DF4CF7"/>
    <w:rsid w:val="00E04E61"/>
    <w:rsid w:val="00E163CB"/>
    <w:rsid w:val="00E2353D"/>
    <w:rsid w:val="00E24DE1"/>
    <w:rsid w:val="00E25453"/>
    <w:rsid w:val="00E30359"/>
    <w:rsid w:val="00E30C3A"/>
    <w:rsid w:val="00E33379"/>
    <w:rsid w:val="00E52B2E"/>
    <w:rsid w:val="00E5420F"/>
    <w:rsid w:val="00E56D5D"/>
    <w:rsid w:val="00E637DF"/>
    <w:rsid w:val="00E67B24"/>
    <w:rsid w:val="00E7313D"/>
    <w:rsid w:val="00E7512F"/>
    <w:rsid w:val="00E96119"/>
    <w:rsid w:val="00E97AAE"/>
    <w:rsid w:val="00EA3850"/>
    <w:rsid w:val="00EA7404"/>
    <w:rsid w:val="00EB3436"/>
    <w:rsid w:val="00EB3773"/>
    <w:rsid w:val="00EC24F0"/>
    <w:rsid w:val="00EC3F22"/>
    <w:rsid w:val="00EF6B31"/>
    <w:rsid w:val="00EF6BA3"/>
    <w:rsid w:val="00EF6C27"/>
    <w:rsid w:val="00F35925"/>
    <w:rsid w:val="00F401F0"/>
    <w:rsid w:val="00F42753"/>
    <w:rsid w:val="00F45700"/>
    <w:rsid w:val="00F572C0"/>
    <w:rsid w:val="00F722DA"/>
    <w:rsid w:val="00F728DC"/>
    <w:rsid w:val="00F73E33"/>
    <w:rsid w:val="00F85A0C"/>
    <w:rsid w:val="00FA4413"/>
    <w:rsid w:val="00FB1519"/>
    <w:rsid w:val="00FB2789"/>
    <w:rsid w:val="00FB37E7"/>
    <w:rsid w:val="00FD3871"/>
    <w:rsid w:val="00FE7CD2"/>
    <w:rsid w:val="00FE7FA4"/>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338E"/>
  <w15:chartTrackingRefBased/>
  <w15:docId w15:val="{2150FD8A-A1E7-4862-938A-E4C44557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semiHidden/>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semiHidden/>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tthew.Virgile@censu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BD15C-5ABB-441E-89E5-049EBA557A93}">
  <ds:schemaRefs>
    <ds:schemaRef ds:uri="http://schemas.microsoft.com/office/2006/metadata/properties"/>
    <ds:schemaRef ds:uri="http://schemas.microsoft.com/office/infopath/2007/PartnerControls"/>
    <ds:schemaRef ds:uri="04a8719c-f75d-4155-b3f5-a1998a95ac82"/>
    <ds:schemaRef ds:uri="http://schemas.microsoft.com/sharepoint/v3"/>
  </ds:schemaRefs>
</ds:datastoreItem>
</file>

<file path=customXml/itemProps3.xml><?xml version="1.0" encoding="utf-8"?>
<ds:datastoreItem xmlns:ds="http://schemas.openxmlformats.org/officeDocument/2006/customXml" ds:itemID="{A51C029B-87F6-41AB-AB6D-814877BDD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OMB_K</cp:lastModifiedBy>
  <cp:revision>3</cp:revision>
  <cp:lastPrinted>2017-07-25T14:47:00Z</cp:lastPrinted>
  <dcterms:created xsi:type="dcterms:W3CDTF">2020-07-29T16:49:00Z</dcterms:created>
  <dcterms:modified xsi:type="dcterms:W3CDTF">2020-07-30T15:39:00Z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