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17F399A" w14:textId="77777777" w:rsidR="0058435B" w:rsidRDefault="0058435B" w:rsidP="0058435B">
      <w:pPr>
        <w:jc w:val="center"/>
        <w:rPr>
          <w:rFonts w:ascii="Arial" w:hAnsi="Arial" w:cs="Arial"/>
          <w:sz w:val="22"/>
          <w:szCs w:val="22"/>
        </w:rPr>
      </w:pPr>
      <w:r w:rsidRPr="00A0219C">
        <w:rPr>
          <w:rFonts w:ascii="Arial" w:hAnsi="Arial" w:cs="Arial"/>
          <w:sz w:val="22"/>
          <w:szCs w:val="22"/>
        </w:rPr>
        <w:fldChar w:fldCharType="begin"/>
      </w:r>
      <w:r w:rsidRPr="00A0219C">
        <w:rPr>
          <w:rFonts w:ascii="Arial" w:hAnsi="Arial" w:cs="Arial"/>
          <w:sz w:val="22"/>
          <w:szCs w:val="22"/>
        </w:rPr>
        <w:instrText xml:space="preserve"> SEQ CHAPTER \h \r 1</w:instrText>
      </w:r>
      <w:r w:rsidRPr="00A0219C">
        <w:rPr>
          <w:rFonts w:ascii="Arial" w:hAnsi="Arial" w:cs="Arial"/>
          <w:sz w:val="22"/>
          <w:szCs w:val="22"/>
        </w:rPr>
        <w:fldChar w:fldCharType="end"/>
      </w:r>
      <w:r w:rsidRPr="00A0219C">
        <w:rPr>
          <w:rFonts w:ascii="Arial" w:hAnsi="Arial" w:cs="Arial"/>
          <w:sz w:val="22"/>
          <w:szCs w:val="22"/>
        </w:rPr>
        <w:t>SUPPORTING STATEMENT</w:t>
      </w:r>
      <w:r>
        <w:rPr>
          <w:rFonts w:ascii="Arial" w:hAnsi="Arial" w:cs="Arial"/>
          <w:sz w:val="22"/>
          <w:szCs w:val="22"/>
        </w:rPr>
        <w:t xml:space="preserve"> FOR</w:t>
      </w:r>
    </w:p>
    <w:p w14:paraId="58D18436" w14:textId="77777777" w:rsidR="0058435B" w:rsidRPr="00A0219C" w:rsidRDefault="0058435B" w:rsidP="0058435B">
      <w:pPr>
        <w:jc w:val="center"/>
        <w:rPr>
          <w:rFonts w:ascii="Arial" w:hAnsi="Arial" w:cs="Arial"/>
          <w:sz w:val="22"/>
          <w:szCs w:val="22"/>
        </w:rPr>
      </w:pPr>
    </w:p>
    <w:p w14:paraId="78C9FF74" w14:textId="77777777" w:rsidR="0058435B" w:rsidRDefault="0058435B" w:rsidP="0058435B">
      <w:pPr>
        <w:jc w:val="center"/>
        <w:rPr>
          <w:rFonts w:ascii="Arial" w:hAnsi="Arial" w:cs="Arial"/>
          <w:sz w:val="22"/>
          <w:szCs w:val="22"/>
        </w:rPr>
      </w:pPr>
      <w:r>
        <w:rPr>
          <w:rFonts w:ascii="Arial" w:hAnsi="Arial" w:cs="Arial"/>
          <w:sz w:val="22"/>
          <w:szCs w:val="22"/>
        </w:rPr>
        <w:t>INFORMATION COLLECTIONS CONTAINED IN</w:t>
      </w:r>
    </w:p>
    <w:p w14:paraId="7859FE4C" w14:textId="77777777" w:rsidR="0058435B" w:rsidRDefault="0058435B" w:rsidP="0058435B">
      <w:pPr>
        <w:jc w:val="center"/>
        <w:rPr>
          <w:rFonts w:ascii="Arial" w:hAnsi="Arial" w:cs="Arial"/>
          <w:sz w:val="22"/>
          <w:szCs w:val="22"/>
        </w:rPr>
      </w:pPr>
    </w:p>
    <w:p w14:paraId="2F7D9EE0" w14:textId="77777777" w:rsidR="0058435B" w:rsidRDefault="0058435B" w:rsidP="0058435B">
      <w:pPr>
        <w:jc w:val="center"/>
        <w:rPr>
          <w:rFonts w:ascii="Arial" w:hAnsi="Arial" w:cs="Arial"/>
          <w:sz w:val="22"/>
          <w:szCs w:val="22"/>
        </w:rPr>
      </w:pPr>
      <w:r>
        <w:rPr>
          <w:rFonts w:ascii="Arial" w:hAnsi="Arial" w:cs="Arial"/>
          <w:sz w:val="22"/>
          <w:szCs w:val="22"/>
        </w:rPr>
        <w:t>MITIGATION OF BEYOND-DESIGN-BASIS EVENTS</w:t>
      </w:r>
    </w:p>
    <w:p w14:paraId="0144B532" w14:textId="77777777" w:rsidR="0058435B" w:rsidRDefault="0058435B" w:rsidP="0058435B">
      <w:pPr>
        <w:jc w:val="center"/>
        <w:rPr>
          <w:rFonts w:ascii="Arial" w:hAnsi="Arial" w:cs="Arial"/>
          <w:sz w:val="22"/>
          <w:szCs w:val="22"/>
        </w:rPr>
      </w:pPr>
      <w:r>
        <w:rPr>
          <w:rFonts w:ascii="Arial" w:hAnsi="Arial" w:cs="Arial"/>
          <w:sz w:val="22"/>
          <w:szCs w:val="22"/>
        </w:rPr>
        <w:t>FINAL RULE</w:t>
      </w:r>
    </w:p>
    <w:p w14:paraId="43E7ED05" w14:textId="77777777" w:rsidR="0058435B" w:rsidRDefault="0058435B" w:rsidP="0058435B">
      <w:pPr>
        <w:jc w:val="center"/>
        <w:rPr>
          <w:rFonts w:ascii="Arial" w:hAnsi="Arial" w:cs="Arial"/>
          <w:sz w:val="22"/>
          <w:szCs w:val="22"/>
        </w:rPr>
      </w:pPr>
    </w:p>
    <w:p w14:paraId="337CB8F4" w14:textId="30422062" w:rsidR="0058435B" w:rsidRDefault="0058435B" w:rsidP="0058435B">
      <w:pPr>
        <w:jc w:val="center"/>
        <w:rPr>
          <w:rFonts w:ascii="Arial" w:hAnsi="Arial" w:cs="Arial"/>
          <w:sz w:val="22"/>
          <w:szCs w:val="22"/>
        </w:rPr>
      </w:pPr>
      <w:r w:rsidRPr="00A0219C">
        <w:rPr>
          <w:rFonts w:ascii="Arial" w:hAnsi="Arial" w:cs="Arial"/>
          <w:sz w:val="22"/>
          <w:szCs w:val="22"/>
        </w:rPr>
        <w:t>10 CFR PART</w:t>
      </w:r>
      <w:r>
        <w:rPr>
          <w:rFonts w:ascii="Arial" w:hAnsi="Arial" w:cs="Arial"/>
          <w:sz w:val="22"/>
          <w:szCs w:val="22"/>
        </w:rPr>
        <w:t xml:space="preserve"> 50</w:t>
      </w:r>
    </w:p>
    <w:p w14:paraId="52D0294E" w14:textId="77777777" w:rsidR="0058435B" w:rsidRDefault="0058435B" w:rsidP="0058435B">
      <w:pPr>
        <w:jc w:val="center"/>
        <w:rPr>
          <w:rFonts w:ascii="Arial" w:hAnsi="Arial" w:cs="Arial"/>
          <w:sz w:val="22"/>
          <w:szCs w:val="22"/>
        </w:rPr>
      </w:pPr>
    </w:p>
    <w:p w14:paraId="16CD65D0" w14:textId="77777777" w:rsidR="0058435B" w:rsidRDefault="0058435B" w:rsidP="0058435B">
      <w:pPr>
        <w:jc w:val="center"/>
        <w:rPr>
          <w:rFonts w:ascii="Arial" w:hAnsi="Arial" w:cs="Arial"/>
          <w:sz w:val="22"/>
          <w:szCs w:val="22"/>
        </w:rPr>
      </w:pPr>
      <w:r>
        <w:rPr>
          <w:rFonts w:ascii="Arial" w:hAnsi="Arial" w:cs="Arial"/>
          <w:sz w:val="22"/>
          <w:szCs w:val="22"/>
        </w:rPr>
        <w:t>(OMB CLEARANCE NO. 3150-0011)</w:t>
      </w:r>
    </w:p>
    <w:p w14:paraId="60C7932F" w14:textId="77777777" w:rsidR="0058435B" w:rsidRPr="00A0219C" w:rsidRDefault="0058435B" w:rsidP="0058435B">
      <w:pPr>
        <w:rPr>
          <w:rFonts w:ascii="Arial" w:hAnsi="Arial" w:cs="Arial"/>
          <w:sz w:val="22"/>
          <w:szCs w:val="22"/>
        </w:rPr>
      </w:pPr>
    </w:p>
    <w:p w14:paraId="63665BDF" w14:textId="77777777" w:rsidR="0058435B" w:rsidRPr="00F33852" w:rsidRDefault="0058435B" w:rsidP="0058435B">
      <w:pPr>
        <w:autoSpaceDE/>
        <w:autoSpaceDN/>
        <w:adjustRightInd/>
        <w:rPr>
          <w:rFonts w:ascii="Arial" w:eastAsiaTheme="minorHAnsi" w:hAnsi="Arial" w:cs="Arial"/>
          <w:sz w:val="22"/>
          <w:szCs w:val="22"/>
          <w:u w:val="single"/>
        </w:rPr>
      </w:pPr>
      <w:r w:rsidRPr="00F33852">
        <w:rPr>
          <w:rFonts w:ascii="Arial" w:eastAsiaTheme="minorHAnsi" w:hAnsi="Arial" w:cs="Arial"/>
          <w:sz w:val="22"/>
          <w:szCs w:val="22"/>
          <w:u w:val="single"/>
        </w:rPr>
        <w:t>DESCRIPTION OF THE INFORMATION COLLECTION</w:t>
      </w:r>
    </w:p>
    <w:p w14:paraId="68DF6622" w14:textId="77777777" w:rsidR="0058435B" w:rsidRPr="00A0219C" w:rsidRDefault="0058435B" w:rsidP="0058435B">
      <w:pPr>
        <w:rPr>
          <w:rFonts w:ascii="Arial" w:hAnsi="Arial" w:cs="Arial"/>
          <w:sz w:val="22"/>
          <w:szCs w:val="22"/>
        </w:rPr>
      </w:pPr>
    </w:p>
    <w:p w14:paraId="5D5E044F" w14:textId="6577062B" w:rsidR="0058435B" w:rsidRDefault="0058435B" w:rsidP="0058435B">
      <w:pPr>
        <w:rPr>
          <w:rFonts w:ascii="Arial" w:hAnsi="Arial" w:cs="Arial"/>
          <w:sz w:val="22"/>
          <w:szCs w:val="22"/>
        </w:rPr>
      </w:pPr>
      <w:r w:rsidRPr="003D1B93">
        <w:rPr>
          <w:rFonts w:ascii="Arial" w:hAnsi="Arial" w:cs="Arial"/>
          <w:sz w:val="22"/>
          <w:szCs w:val="22"/>
        </w:rPr>
        <w:t>The U.S. Nuclear Regulatory Commission (NRC) is amend</w:t>
      </w:r>
      <w:r>
        <w:rPr>
          <w:rFonts w:ascii="Arial" w:hAnsi="Arial" w:cs="Arial"/>
          <w:sz w:val="22"/>
          <w:szCs w:val="22"/>
        </w:rPr>
        <w:t>ing</w:t>
      </w:r>
      <w:r w:rsidRPr="003D1B93">
        <w:rPr>
          <w:rFonts w:ascii="Arial" w:hAnsi="Arial" w:cs="Arial"/>
          <w:sz w:val="22"/>
          <w:szCs w:val="22"/>
        </w:rPr>
        <w:t xml:space="preserve"> its regulations t</w:t>
      </w:r>
      <w:r>
        <w:rPr>
          <w:rFonts w:ascii="Arial" w:hAnsi="Arial" w:cs="Arial"/>
          <w:sz w:val="22"/>
          <w:szCs w:val="22"/>
        </w:rPr>
        <w:t>o</w:t>
      </w:r>
      <w:r w:rsidRPr="003D1B93">
        <w:rPr>
          <w:rFonts w:ascii="Arial" w:hAnsi="Arial" w:cs="Arial"/>
          <w:sz w:val="22"/>
          <w:szCs w:val="22"/>
        </w:rPr>
        <w:t xml:space="preserve"> establish regulatory requirements to mitigate beyond</w:t>
      </w:r>
      <w:r>
        <w:rPr>
          <w:rFonts w:ascii="Arial" w:hAnsi="Arial" w:cs="Arial"/>
          <w:sz w:val="22"/>
          <w:szCs w:val="22"/>
        </w:rPr>
        <w:t>-</w:t>
      </w:r>
      <w:r w:rsidRPr="003D1B93">
        <w:rPr>
          <w:rFonts w:ascii="Arial" w:hAnsi="Arial" w:cs="Arial"/>
          <w:sz w:val="22"/>
          <w:szCs w:val="22"/>
        </w:rPr>
        <w:t>design</w:t>
      </w:r>
      <w:r>
        <w:rPr>
          <w:rFonts w:ascii="Arial" w:hAnsi="Arial" w:cs="Arial"/>
          <w:sz w:val="22"/>
          <w:szCs w:val="22"/>
        </w:rPr>
        <w:t>-</w:t>
      </w:r>
      <w:r w:rsidRPr="003D1B93">
        <w:rPr>
          <w:rFonts w:ascii="Arial" w:hAnsi="Arial" w:cs="Arial"/>
          <w:sz w:val="22"/>
          <w:szCs w:val="22"/>
        </w:rPr>
        <w:t xml:space="preserve">basis events.  </w:t>
      </w:r>
      <w:r>
        <w:rPr>
          <w:rFonts w:ascii="Arial" w:hAnsi="Arial" w:cs="Arial"/>
          <w:sz w:val="22"/>
          <w:szCs w:val="22"/>
        </w:rPr>
        <w:t>The Mitigation of Beyond</w:t>
      </w:r>
      <w:r>
        <w:rPr>
          <w:rFonts w:ascii="Arial" w:hAnsi="Arial" w:cs="Arial"/>
          <w:sz w:val="22"/>
          <w:szCs w:val="22"/>
        </w:rPr>
        <w:noBreakHyphen/>
        <w:t xml:space="preserve">Design-Basis Events (MBDBE) </w:t>
      </w:r>
      <w:r w:rsidR="00E953D6">
        <w:rPr>
          <w:rFonts w:ascii="Arial" w:hAnsi="Arial" w:cs="Arial"/>
          <w:sz w:val="22"/>
          <w:szCs w:val="22"/>
        </w:rPr>
        <w:t xml:space="preserve">final </w:t>
      </w:r>
      <w:r>
        <w:rPr>
          <w:rFonts w:ascii="Arial" w:hAnsi="Arial" w:cs="Arial"/>
          <w:sz w:val="22"/>
          <w:szCs w:val="22"/>
        </w:rPr>
        <w:t>rule achieve</w:t>
      </w:r>
      <w:r w:rsidR="00ED7F85">
        <w:rPr>
          <w:rFonts w:ascii="Arial" w:hAnsi="Arial" w:cs="Arial"/>
          <w:sz w:val="22"/>
          <w:szCs w:val="22"/>
        </w:rPr>
        <w:t>s</w:t>
      </w:r>
      <w:r>
        <w:rPr>
          <w:rFonts w:ascii="Arial" w:hAnsi="Arial" w:cs="Arial"/>
          <w:sz w:val="22"/>
          <w:szCs w:val="22"/>
        </w:rPr>
        <w:t xml:space="preserve"> the following </w:t>
      </w:r>
      <w:r w:rsidRPr="00C361FC">
        <w:rPr>
          <w:rFonts w:ascii="Arial" w:hAnsi="Arial" w:cs="Arial"/>
          <w:sz w:val="22"/>
          <w:szCs w:val="22"/>
        </w:rPr>
        <w:t>regulatory objectives:</w:t>
      </w:r>
    </w:p>
    <w:p w14:paraId="7AD8425B" w14:textId="77777777" w:rsidR="0058435B" w:rsidRDefault="0058435B" w:rsidP="0058435B">
      <w:pPr>
        <w:rPr>
          <w:rFonts w:ascii="Arial" w:hAnsi="Arial" w:cs="Arial"/>
          <w:sz w:val="22"/>
          <w:szCs w:val="22"/>
        </w:rPr>
      </w:pPr>
    </w:p>
    <w:p w14:paraId="5576A055" w14:textId="77777777" w:rsidR="0058435B" w:rsidRDefault="0058435B" w:rsidP="0058435B">
      <w:pPr>
        <w:pStyle w:val="ListParagraph"/>
        <w:numPr>
          <w:ilvl w:val="0"/>
          <w:numId w:val="29"/>
        </w:numPr>
        <w:ind w:left="720" w:hanging="540"/>
        <w:rPr>
          <w:rFonts w:ascii="Arial" w:hAnsi="Arial" w:cs="Arial"/>
          <w:sz w:val="22"/>
          <w:szCs w:val="22"/>
        </w:rPr>
      </w:pPr>
      <w:r>
        <w:rPr>
          <w:rFonts w:ascii="Arial" w:hAnsi="Arial" w:cs="Arial"/>
          <w:sz w:val="22"/>
          <w:szCs w:val="22"/>
        </w:rPr>
        <w:t>Make the requirements of</w:t>
      </w:r>
      <w:r w:rsidRPr="00C361FC">
        <w:rPr>
          <w:rFonts w:ascii="Arial" w:hAnsi="Arial" w:cs="Arial"/>
          <w:sz w:val="22"/>
          <w:szCs w:val="22"/>
        </w:rPr>
        <w:t xml:space="preserve"> Order EA-12-049</w:t>
      </w:r>
      <w:r>
        <w:rPr>
          <w:rFonts w:ascii="Arial" w:hAnsi="Arial" w:cs="Arial"/>
          <w:sz w:val="22"/>
          <w:szCs w:val="22"/>
        </w:rPr>
        <w:t xml:space="preserve">, </w:t>
      </w:r>
      <w:r w:rsidRPr="00396A4B">
        <w:rPr>
          <w:rFonts w:ascii="Arial" w:hAnsi="Arial" w:cs="Arial"/>
          <w:i/>
          <w:sz w:val="22"/>
          <w:szCs w:val="22"/>
        </w:rPr>
        <w:t>Order Modifying Licenses with Regard to Requirements for Mitigation Strategies for Beyond-Design-Basis External Events</w:t>
      </w:r>
      <w:r>
        <w:rPr>
          <w:rFonts w:ascii="Arial" w:hAnsi="Arial" w:cs="Arial"/>
          <w:sz w:val="22"/>
          <w:szCs w:val="22"/>
        </w:rPr>
        <w:t>,</w:t>
      </w:r>
      <w:r>
        <w:rPr>
          <w:rStyle w:val="FootnoteReference"/>
          <w:rFonts w:ascii="Arial" w:hAnsi="Arial" w:cs="Arial"/>
          <w:sz w:val="22"/>
          <w:szCs w:val="22"/>
        </w:rPr>
        <w:footnoteReference w:id="2"/>
      </w:r>
      <w:r>
        <w:rPr>
          <w:rFonts w:ascii="Arial" w:hAnsi="Arial" w:cs="Arial"/>
          <w:sz w:val="22"/>
          <w:szCs w:val="22"/>
        </w:rPr>
        <w:t xml:space="preserve"> and Order EA-12-051, </w:t>
      </w:r>
      <w:r>
        <w:rPr>
          <w:rFonts w:ascii="Arial" w:hAnsi="Arial" w:cs="Arial"/>
          <w:i/>
          <w:sz w:val="22"/>
          <w:szCs w:val="22"/>
        </w:rPr>
        <w:t>Order Modifying Licenses with Regard to Reliable Spent Fuel Pool Instrumentation,</w:t>
      </w:r>
      <w:r>
        <w:rPr>
          <w:rStyle w:val="FootnoteReference"/>
          <w:rFonts w:ascii="Arial" w:hAnsi="Arial" w:cs="Arial"/>
          <w:i/>
          <w:sz w:val="22"/>
          <w:szCs w:val="22"/>
        </w:rPr>
        <w:footnoteReference w:id="3"/>
      </w:r>
      <w:r>
        <w:rPr>
          <w:rFonts w:ascii="Arial" w:hAnsi="Arial" w:cs="Arial"/>
          <w:i/>
          <w:sz w:val="22"/>
          <w:szCs w:val="22"/>
        </w:rPr>
        <w:t xml:space="preserve"> </w:t>
      </w:r>
      <w:r>
        <w:rPr>
          <w:rFonts w:ascii="Arial" w:hAnsi="Arial" w:cs="Arial"/>
          <w:sz w:val="22"/>
          <w:szCs w:val="22"/>
        </w:rPr>
        <w:t>generically applicable.</w:t>
      </w:r>
    </w:p>
    <w:p w14:paraId="42F1BFB6" w14:textId="77777777" w:rsidR="0058435B" w:rsidRPr="00A955AC" w:rsidRDefault="0058435B" w:rsidP="0058435B">
      <w:pPr>
        <w:pStyle w:val="ListParagraph"/>
        <w:ind w:hanging="540"/>
        <w:rPr>
          <w:rFonts w:ascii="Arial" w:hAnsi="Arial" w:cs="Arial"/>
          <w:sz w:val="22"/>
          <w:szCs w:val="22"/>
        </w:rPr>
      </w:pPr>
    </w:p>
    <w:p w14:paraId="4F5472FF" w14:textId="1EF25B4E" w:rsidR="0058435B" w:rsidRDefault="0058435B" w:rsidP="0058435B">
      <w:pPr>
        <w:pStyle w:val="ListParagraph"/>
        <w:numPr>
          <w:ilvl w:val="0"/>
          <w:numId w:val="29"/>
        </w:numPr>
        <w:ind w:left="720" w:hanging="540"/>
        <w:rPr>
          <w:rFonts w:ascii="Arial" w:hAnsi="Arial" w:cs="Arial"/>
          <w:sz w:val="22"/>
          <w:szCs w:val="22"/>
        </w:rPr>
      </w:pPr>
      <w:r>
        <w:rPr>
          <w:rFonts w:ascii="Arial" w:hAnsi="Arial" w:cs="Arial"/>
          <w:sz w:val="22"/>
          <w:szCs w:val="22"/>
        </w:rPr>
        <w:t xml:space="preserve">Establish </w:t>
      </w:r>
      <w:r w:rsidRPr="00B61ADA">
        <w:rPr>
          <w:rFonts w:ascii="Arial" w:hAnsi="Arial" w:cs="Arial"/>
          <w:sz w:val="22"/>
          <w:szCs w:val="22"/>
        </w:rPr>
        <w:t>regulatory requirements for documentation of changes.</w:t>
      </w:r>
    </w:p>
    <w:p w14:paraId="75CC7E38" w14:textId="77777777" w:rsidR="0058435B" w:rsidRPr="00AE4FDC" w:rsidRDefault="0058435B" w:rsidP="0058435B">
      <w:pPr>
        <w:ind w:left="720" w:hanging="540"/>
        <w:rPr>
          <w:rFonts w:ascii="Arial" w:hAnsi="Arial" w:cs="Arial"/>
          <w:sz w:val="22"/>
          <w:szCs w:val="22"/>
        </w:rPr>
      </w:pPr>
    </w:p>
    <w:p w14:paraId="41132587" w14:textId="033BC8AB" w:rsidR="0058435B" w:rsidRPr="00A955AC" w:rsidRDefault="0058435B" w:rsidP="0058435B">
      <w:pPr>
        <w:pStyle w:val="ListParagraph"/>
        <w:numPr>
          <w:ilvl w:val="0"/>
          <w:numId w:val="29"/>
        </w:numPr>
        <w:ind w:left="720" w:hanging="540"/>
        <w:rPr>
          <w:rFonts w:ascii="Arial" w:hAnsi="Arial" w:cs="Arial"/>
          <w:sz w:val="22"/>
          <w:szCs w:val="22"/>
        </w:rPr>
      </w:pPr>
      <w:r>
        <w:rPr>
          <w:rFonts w:ascii="Arial" w:hAnsi="Arial" w:cs="Arial"/>
          <w:sz w:val="22"/>
          <w:szCs w:val="22"/>
        </w:rPr>
        <w:t>A</w:t>
      </w:r>
      <w:r w:rsidRPr="00DE3CE2">
        <w:rPr>
          <w:rFonts w:ascii="Arial" w:hAnsi="Arial" w:cs="Arial"/>
          <w:sz w:val="22"/>
          <w:szCs w:val="22"/>
        </w:rPr>
        <w:t xml:space="preserve">ddress a number of petitions for rulemaking (PRMs) submitted </w:t>
      </w:r>
      <w:r w:rsidR="00ED7F85">
        <w:rPr>
          <w:rFonts w:ascii="Arial" w:hAnsi="Arial" w:cs="Arial"/>
          <w:sz w:val="22"/>
          <w:szCs w:val="22"/>
        </w:rPr>
        <w:t>following the</w:t>
      </w:r>
      <w:r w:rsidRPr="00DE3CE2">
        <w:rPr>
          <w:rFonts w:ascii="Arial" w:hAnsi="Arial" w:cs="Arial"/>
          <w:sz w:val="22"/>
          <w:szCs w:val="22"/>
        </w:rPr>
        <w:t xml:space="preserve"> March</w:t>
      </w:r>
      <w:r w:rsidR="001241A8">
        <w:rPr>
          <w:rFonts w:ascii="Arial" w:hAnsi="Arial" w:cs="Arial"/>
          <w:sz w:val="22"/>
          <w:szCs w:val="22"/>
        </w:rPr>
        <w:t> </w:t>
      </w:r>
      <w:r w:rsidRPr="00DE3CE2">
        <w:rPr>
          <w:rFonts w:ascii="Arial" w:hAnsi="Arial" w:cs="Arial"/>
          <w:sz w:val="22"/>
          <w:szCs w:val="22"/>
        </w:rPr>
        <w:t>2011 Fukushima Dai-ichi event</w:t>
      </w:r>
      <w:r>
        <w:rPr>
          <w:rFonts w:ascii="Arial" w:hAnsi="Arial" w:cs="Arial"/>
          <w:sz w:val="22"/>
          <w:szCs w:val="22"/>
        </w:rPr>
        <w:t>.</w:t>
      </w:r>
    </w:p>
    <w:p w14:paraId="16937733" w14:textId="77777777" w:rsidR="0058435B" w:rsidRPr="00D53EE4" w:rsidRDefault="0058435B" w:rsidP="0058435B">
      <w:pPr>
        <w:rPr>
          <w:rFonts w:ascii="Arial" w:hAnsi="Arial" w:cs="Arial"/>
          <w:sz w:val="22"/>
          <w:szCs w:val="22"/>
        </w:rPr>
      </w:pPr>
    </w:p>
    <w:p w14:paraId="32509A1F" w14:textId="395A63F1" w:rsidR="0058435B" w:rsidRDefault="0058435B" w:rsidP="0058435B">
      <w:pPr>
        <w:tabs>
          <w:tab w:val="left" w:pos="1980"/>
        </w:tabs>
        <w:rPr>
          <w:rFonts w:ascii="Arial" w:hAnsi="Arial" w:cs="Arial"/>
          <w:sz w:val="22"/>
          <w:szCs w:val="22"/>
        </w:rPr>
      </w:pPr>
      <w:r w:rsidRPr="00FB0B45">
        <w:rPr>
          <w:rFonts w:ascii="Arial" w:hAnsi="Arial" w:cs="Arial"/>
          <w:sz w:val="22"/>
          <w:szCs w:val="22"/>
        </w:rPr>
        <w:t>This analysis addresses th</w:t>
      </w:r>
      <w:r>
        <w:rPr>
          <w:rFonts w:ascii="Arial" w:hAnsi="Arial" w:cs="Arial"/>
          <w:sz w:val="22"/>
          <w:szCs w:val="22"/>
        </w:rPr>
        <w:t xml:space="preserve">e information collections associated with the MBDBE </w:t>
      </w:r>
      <w:r w:rsidRPr="00FB0B45">
        <w:rPr>
          <w:rFonts w:ascii="Arial" w:hAnsi="Arial" w:cs="Arial"/>
          <w:sz w:val="22"/>
          <w:szCs w:val="22"/>
        </w:rPr>
        <w:t xml:space="preserve">rule requirements that contain an incremental change in burden relative to existing rules, Orders, and industry initiatives.  </w:t>
      </w:r>
      <w:r w:rsidRPr="009B2D67">
        <w:rPr>
          <w:rFonts w:ascii="Arial" w:hAnsi="Arial" w:cs="Arial"/>
          <w:sz w:val="22"/>
          <w:szCs w:val="22"/>
        </w:rPr>
        <w:t xml:space="preserve">The </w:t>
      </w:r>
      <w:r>
        <w:rPr>
          <w:rFonts w:ascii="Arial" w:hAnsi="Arial" w:cs="Arial"/>
          <w:sz w:val="22"/>
          <w:szCs w:val="22"/>
        </w:rPr>
        <w:t>MBDBE</w:t>
      </w:r>
      <w:r w:rsidRPr="009B2D67">
        <w:rPr>
          <w:rFonts w:ascii="Arial" w:hAnsi="Arial" w:cs="Arial"/>
          <w:sz w:val="22"/>
          <w:szCs w:val="22"/>
        </w:rPr>
        <w:t xml:space="preserve"> rule encompasses provisions that </w:t>
      </w:r>
      <w:r>
        <w:rPr>
          <w:rFonts w:ascii="Arial" w:hAnsi="Arial" w:cs="Arial"/>
          <w:sz w:val="22"/>
          <w:szCs w:val="22"/>
        </w:rPr>
        <w:t xml:space="preserve">are currently being implemented by </w:t>
      </w:r>
      <w:r w:rsidRPr="009B2D67">
        <w:rPr>
          <w:rFonts w:ascii="Arial" w:hAnsi="Arial" w:cs="Arial"/>
          <w:sz w:val="22"/>
          <w:szCs w:val="22"/>
        </w:rPr>
        <w:t>Order EA-12-049</w:t>
      </w:r>
      <w:r w:rsidR="00350FFB">
        <w:rPr>
          <w:rFonts w:ascii="Arial" w:hAnsi="Arial" w:cs="Arial"/>
          <w:sz w:val="22"/>
          <w:szCs w:val="22"/>
        </w:rPr>
        <w:t xml:space="preserve"> and</w:t>
      </w:r>
      <w:r w:rsidRPr="009B2D67">
        <w:rPr>
          <w:rFonts w:ascii="Arial" w:hAnsi="Arial" w:cs="Arial"/>
          <w:sz w:val="22"/>
          <w:szCs w:val="22"/>
        </w:rPr>
        <w:t xml:space="preserve"> Order EA-12-051.  </w:t>
      </w:r>
      <w:r>
        <w:rPr>
          <w:rFonts w:ascii="Arial" w:hAnsi="Arial" w:cs="Arial"/>
          <w:sz w:val="22"/>
          <w:szCs w:val="22"/>
        </w:rPr>
        <w:t>The paperwork burden associated with the</w:t>
      </w:r>
      <w:r w:rsidRPr="009B2D67">
        <w:rPr>
          <w:rFonts w:ascii="Arial" w:hAnsi="Arial" w:cs="Arial"/>
          <w:sz w:val="22"/>
          <w:szCs w:val="22"/>
        </w:rPr>
        <w:t xml:space="preserve"> </w:t>
      </w:r>
      <w:r>
        <w:rPr>
          <w:rFonts w:ascii="Arial" w:hAnsi="Arial" w:cs="Arial"/>
          <w:sz w:val="22"/>
          <w:szCs w:val="22"/>
        </w:rPr>
        <w:t>MBDBE</w:t>
      </w:r>
      <w:r w:rsidRPr="009B2D67">
        <w:rPr>
          <w:rFonts w:ascii="Arial" w:hAnsi="Arial" w:cs="Arial"/>
          <w:sz w:val="22"/>
          <w:szCs w:val="22"/>
        </w:rPr>
        <w:t xml:space="preserve"> rule largely results from </w:t>
      </w:r>
      <w:r w:rsidR="00ED7163">
        <w:rPr>
          <w:rFonts w:ascii="Arial" w:hAnsi="Arial" w:cs="Arial"/>
          <w:sz w:val="22"/>
          <w:szCs w:val="22"/>
        </w:rPr>
        <w:t xml:space="preserve">the one-time </w:t>
      </w:r>
      <w:r w:rsidRPr="009B2D67">
        <w:rPr>
          <w:rFonts w:ascii="Arial" w:hAnsi="Arial" w:cs="Arial"/>
          <w:sz w:val="22"/>
          <w:szCs w:val="22"/>
        </w:rPr>
        <w:t xml:space="preserve">licensee’s review of the rule to confirm compliance with the </w:t>
      </w:r>
      <w:r>
        <w:rPr>
          <w:rFonts w:ascii="Arial" w:hAnsi="Arial" w:cs="Arial"/>
          <w:sz w:val="22"/>
          <w:szCs w:val="22"/>
        </w:rPr>
        <w:t xml:space="preserve">Order </w:t>
      </w:r>
      <w:r w:rsidRPr="009B2D67">
        <w:rPr>
          <w:rFonts w:ascii="Arial" w:hAnsi="Arial" w:cs="Arial"/>
          <w:sz w:val="22"/>
          <w:szCs w:val="22"/>
        </w:rPr>
        <w:t xml:space="preserve">requirements </w:t>
      </w:r>
      <w:r>
        <w:rPr>
          <w:rFonts w:ascii="Arial" w:hAnsi="Arial" w:cs="Arial"/>
          <w:sz w:val="22"/>
          <w:szCs w:val="22"/>
        </w:rPr>
        <w:t>(i.e., a comparison of the MBDBE rule requirements with the Orders and updates to procedures, programs, or plans)</w:t>
      </w:r>
      <w:r w:rsidRPr="009B2D67">
        <w:rPr>
          <w:rFonts w:ascii="Arial" w:hAnsi="Arial" w:cs="Arial"/>
          <w:sz w:val="22"/>
          <w:szCs w:val="22"/>
        </w:rPr>
        <w:t>.</w:t>
      </w:r>
    </w:p>
    <w:p w14:paraId="33BDA5E2" w14:textId="77777777" w:rsidR="0058435B" w:rsidRPr="00A134CA" w:rsidRDefault="0058435B" w:rsidP="0058435B">
      <w:pPr>
        <w:rPr>
          <w:rFonts w:ascii="Arial" w:hAnsi="Arial" w:cs="Arial"/>
          <w:sz w:val="22"/>
          <w:szCs w:val="22"/>
        </w:rPr>
      </w:pPr>
    </w:p>
    <w:p w14:paraId="0D91A5A6" w14:textId="77777777" w:rsidR="0058435B" w:rsidRPr="000133DE" w:rsidRDefault="0058435B" w:rsidP="0058435B">
      <w:pPr>
        <w:keepNext/>
        <w:rPr>
          <w:rFonts w:ascii="Arial" w:hAnsi="Arial" w:cs="Arial"/>
          <w:i/>
          <w:sz w:val="22"/>
          <w:szCs w:val="22"/>
        </w:rPr>
      </w:pPr>
      <w:r w:rsidRPr="000133DE">
        <w:rPr>
          <w:rFonts w:ascii="Arial" w:hAnsi="Arial" w:cs="Arial"/>
          <w:i/>
          <w:sz w:val="22"/>
          <w:szCs w:val="22"/>
        </w:rPr>
        <w:t>Affected Entities</w:t>
      </w:r>
    </w:p>
    <w:p w14:paraId="278C7CEA" w14:textId="77777777" w:rsidR="0058435B" w:rsidRDefault="0058435B" w:rsidP="0058435B">
      <w:pPr>
        <w:keepNext/>
        <w:rPr>
          <w:rFonts w:ascii="Arial" w:hAnsi="Arial" w:cs="Arial"/>
        </w:rPr>
      </w:pPr>
    </w:p>
    <w:p w14:paraId="53A0EBE8" w14:textId="458FC701" w:rsidR="0058435B" w:rsidRDefault="0058435B" w:rsidP="0058435B">
      <w:pPr>
        <w:rPr>
          <w:rFonts w:ascii="Arial" w:hAnsi="Arial" w:cs="Arial"/>
          <w:sz w:val="22"/>
          <w:szCs w:val="22"/>
        </w:rPr>
      </w:pPr>
      <w:r w:rsidRPr="00A83842">
        <w:rPr>
          <w:rFonts w:ascii="Arial" w:hAnsi="Arial" w:cs="Arial"/>
          <w:sz w:val="22"/>
          <w:szCs w:val="22"/>
        </w:rPr>
        <w:t xml:space="preserve">The </w:t>
      </w:r>
      <w:r>
        <w:rPr>
          <w:rFonts w:ascii="Arial" w:hAnsi="Arial" w:cs="Arial"/>
          <w:sz w:val="22"/>
          <w:szCs w:val="22"/>
        </w:rPr>
        <w:t>MBDBE</w:t>
      </w:r>
      <w:r w:rsidRPr="00A83842">
        <w:rPr>
          <w:rFonts w:ascii="Arial" w:hAnsi="Arial" w:cs="Arial"/>
          <w:sz w:val="22"/>
          <w:szCs w:val="22"/>
        </w:rPr>
        <w:t xml:space="preserve"> rule requirements impact nuclear power plants </w:t>
      </w:r>
      <w:r>
        <w:rPr>
          <w:rFonts w:ascii="Arial" w:hAnsi="Arial" w:cs="Arial"/>
          <w:sz w:val="22"/>
          <w:szCs w:val="22"/>
        </w:rPr>
        <w:t xml:space="preserve">(NPPs) </w:t>
      </w:r>
      <w:r w:rsidRPr="00A83842">
        <w:rPr>
          <w:rFonts w:ascii="Arial" w:hAnsi="Arial" w:cs="Arial"/>
          <w:sz w:val="22"/>
          <w:szCs w:val="22"/>
        </w:rPr>
        <w:t xml:space="preserve">at the site level.  Therefore, the incremental burdens </w:t>
      </w:r>
      <w:r>
        <w:rPr>
          <w:rFonts w:ascii="Arial" w:hAnsi="Arial" w:cs="Arial"/>
          <w:sz w:val="22"/>
          <w:szCs w:val="22"/>
        </w:rPr>
        <w:t xml:space="preserve">associated with the MBDBE rule </w:t>
      </w:r>
      <w:r w:rsidRPr="00A83842">
        <w:rPr>
          <w:rFonts w:ascii="Arial" w:hAnsi="Arial" w:cs="Arial"/>
          <w:sz w:val="22"/>
          <w:szCs w:val="22"/>
        </w:rPr>
        <w:t>are expressed</w:t>
      </w:r>
      <w:r>
        <w:rPr>
          <w:rFonts w:ascii="Arial" w:hAnsi="Arial" w:cs="Arial"/>
          <w:sz w:val="22"/>
          <w:szCs w:val="22"/>
        </w:rPr>
        <w:t xml:space="preserve"> in terms of NPP</w:t>
      </w:r>
      <w:r w:rsidRPr="00A83842">
        <w:rPr>
          <w:rFonts w:ascii="Arial" w:hAnsi="Arial" w:cs="Arial"/>
          <w:sz w:val="22"/>
          <w:szCs w:val="22"/>
        </w:rPr>
        <w:t xml:space="preserve"> sites.  </w:t>
      </w:r>
      <w:r>
        <w:rPr>
          <w:rFonts w:ascii="Arial" w:hAnsi="Arial" w:cs="Arial"/>
          <w:sz w:val="22"/>
          <w:szCs w:val="22"/>
        </w:rPr>
        <w:t xml:space="preserve">The NRC estimates the burdens incurred by 55 operating sites, based on the announced decommissioning intentions (i.e., Fort Calhoun </w:t>
      </w:r>
      <w:r w:rsidR="005C5F08">
        <w:rPr>
          <w:rFonts w:ascii="Arial" w:hAnsi="Arial" w:cs="Arial"/>
          <w:sz w:val="22"/>
          <w:szCs w:val="22"/>
        </w:rPr>
        <w:t>and Oyster Creek have</w:t>
      </w:r>
      <w:r>
        <w:rPr>
          <w:rFonts w:ascii="Arial" w:hAnsi="Arial" w:cs="Arial"/>
          <w:sz w:val="22"/>
          <w:szCs w:val="22"/>
        </w:rPr>
        <w:t xml:space="preserve"> entered decommissioning</w:t>
      </w:r>
      <w:r w:rsidR="00ED7F85">
        <w:rPr>
          <w:rFonts w:ascii="Arial" w:hAnsi="Arial" w:cs="Arial"/>
          <w:sz w:val="22"/>
          <w:szCs w:val="22"/>
        </w:rPr>
        <w:t>;</w:t>
      </w:r>
      <w:r>
        <w:rPr>
          <w:rFonts w:ascii="Arial" w:hAnsi="Arial" w:cs="Arial"/>
          <w:sz w:val="22"/>
          <w:szCs w:val="22"/>
        </w:rPr>
        <w:t xml:space="preserve"> Clinton, FitzPatrick, Pilgrim</w:t>
      </w:r>
      <w:r w:rsidR="005C5F08">
        <w:rPr>
          <w:rFonts w:ascii="Arial" w:hAnsi="Arial" w:cs="Arial"/>
          <w:sz w:val="22"/>
          <w:szCs w:val="22"/>
        </w:rPr>
        <w:t>,</w:t>
      </w:r>
      <w:r>
        <w:rPr>
          <w:rFonts w:ascii="Arial" w:hAnsi="Arial" w:cs="Arial"/>
          <w:sz w:val="22"/>
          <w:szCs w:val="22"/>
        </w:rPr>
        <w:t xml:space="preserve"> and Quad Cities have announced plans to decommission).  </w:t>
      </w:r>
      <w:r w:rsidR="00102F89">
        <w:rPr>
          <w:rFonts w:ascii="Arial" w:hAnsi="Arial" w:cs="Arial"/>
          <w:sz w:val="22"/>
          <w:szCs w:val="22"/>
        </w:rPr>
        <w:t xml:space="preserve">One </w:t>
      </w:r>
      <w:r w:rsidRPr="00A83842">
        <w:rPr>
          <w:rFonts w:ascii="Arial" w:hAnsi="Arial" w:cs="Arial"/>
          <w:sz w:val="22"/>
          <w:szCs w:val="22"/>
        </w:rPr>
        <w:t xml:space="preserve">of the operating sites (i.e., Vogtle) </w:t>
      </w:r>
      <w:r w:rsidR="00102F89">
        <w:rPr>
          <w:rFonts w:ascii="Arial" w:hAnsi="Arial" w:cs="Arial"/>
          <w:sz w:val="22"/>
          <w:szCs w:val="22"/>
        </w:rPr>
        <w:t>is</w:t>
      </w:r>
      <w:r w:rsidR="00102F89" w:rsidRPr="00A83842">
        <w:rPr>
          <w:rFonts w:ascii="Arial" w:hAnsi="Arial" w:cs="Arial"/>
          <w:sz w:val="22"/>
          <w:szCs w:val="22"/>
        </w:rPr>
        <w:t xml:space="preserve"> </w:t>
      </w:r>
      <w:r w:rsidRPr="00A83842">
        <w:rPr>
          <w:rFonts w:ascii="Arial" w:hAnsi="Arial" w:cs="Arial"/>
          <w:sz w:val="22"/>
          <w:szCs w:val="22"/>
        </w:rPr>
        <w:t xml:space="preserve">constructing new AP1000 reactor units.  Because </w:t>
      </w:r>
      <w:r>
        <w:rPr>
          <w:rFonts w:ascii="Arial" w:hAnsi="Arial" w:cs="Arial"/>
          <w:sz w:val="22"/>
          <w:szCs w:val="22"/>
        </w:rPr>
        <w:t>information collections</w:t>
      </w:r>
      <w:r w:rsidRPr="00A83842">
        <w:rPr>
          <w:rFonts w:ascii="Arial" w:hAnsi="Arial" w:cs="Arial"/>
          <w:sz w:val="22"/>
          <w:szCs w:val="22"/>
        </w:rPr>
        <w:t xml:space="preserve"> are estimated </w:t>
      </w:r>
      <w:r w:rsidR="00ED7F85">
        <w:rPr>
          <w:rFonts w:ascii="Arial" w:hAnsi="Arial" w:cs="Arial"/>
          <w:sz w:val="22"/>
          <w:szCs w:val="22"/>
        </w:rPr>
        <w:t>by</w:t>
      </w:r>
      <w:r w:rsidRPr="00A83842">
        <w:rPr>
          <w:rFonts w:ascii="Arial" w:hAnsi="Arial" w:cs="Arial"/>
          <w:sz w:val="22"/>
          <w:szCs w:val="22"/>
        </w:rPr>
        <w:t xml:space="preserve"> site, the new reactors are accounted for as part of the operating site on which they are </w:t>
      </w:r>
      <w:r>
        <w:rPr>
          <w:rFonts w:ascii="Arial" w:hAnsi="Arial" w:cs="Arial"/>
          <w:sz w:val="22"/>
          <w:szCs w:val="22"/>
        </w:rPr>
        <w:t>co-</w:t>
      </w:r>
      <w:r w:rsidRPr="00A83842">
        <w:rPr>
          <w:rFonts w:ascii="Arial" w:hAnsi="Arial" w:cs="Arial"/>
          <w:sz w:val="22"/>
          <w:szCs w:val="22"/>
        </w:rPr>
        <w:t>located.</w:t>
      </w:r>
    </w:p>
    <w:p w14:paraId="5F870762" w14:textId="77777777" w:rsidR="0058435B" w:rsidRDefault="0058435B" w:rsidP="0058435B">
      <w:pPr>
        <w:rPr>
          <w:rFonts w:ascii="Arial" w:hAnsi="Arial" w:cs="Arial"/>
          <w:sz w:val="22"/>
          <w:szCs w:val="22"/>
        </w:rPr>
      </w:pPr>
    </w:p>
    <w:p w14:paraId="5A332E37" w14:textId="77777777" w:rsidR="0058435B" w:rsidRPr="00A0219C" w:rsidRDefault="0058435B" w:rsidP="0058435B">
      <w:pPr>
        <w:keepNext/>
        <w:tabs>
          <w:tab w:val="left" w:pos="720"/>
        </w:tabs>
        <w:ind w:left="720" w:hanging="720"/>
        <w:rPr>
          <w:rFonts w:ascii="Arial" w:hAnsi="Arial" w:cs="Arial"/>
          <w:sz w:val="22"/>
          <w:szCs w:val="22"/>
        </w:rPr>
      </w:pPr>
      <w:r w:rsidRPr="00A0219C">
        <w:rPr>
          <w:rFonts w:ascii="Arial" w:hAnsi="Arial" w:cs="Arial"/>
          <w:sz w:val="22"/>
          <w:szCs w:val="22"/>
        </w:rPr>
        <w:lastRenderedPageBreak/>
        <w:t>A.</w:t>
      </w:r>
      <w:r w:rsidRPr="00A0219C">
        <w:rPr>
          <w:rFonts w:ascii="Arial" w:hAnsi="Arial" w:cs="Arial"/>
          <w:sz w:val="22"/>
          <w:szCs w:val="22"/>
        </w:rPr>
        <w:tab/>
      </w:r>
      <w:r w:rsidRPr="00F33852">
        <w:rPr>
          <w:rFonts w:ascii="Arial" w:hAnsi="Arial" w:cs="Arial"/>
          <w:sz w:val="22"/>
          <w:szCs w:val="22"/>
          <w:u w:val="single"/>
        </w:rPr>
        <w:t>JUSTIFICATION</w:t>
      </w:r>
    </w:p>
    <w:p w14:paraId="7880D83B" w14:textId="77777777" w:rsidR="0058435B" w:rsidRPr="00A0219C" w:rsidRDefault="0058435B" w:rsidP="0058435B">
      <w:pPr>
        <w:keepNext/>
        <w:rPr>
          <w:rFonts w:ascii="Arial" w:hAnsi="Arial" w:cs="Arial"/>
          <w:sz w:val="22"/>
          <w:szCs w:val="22"/>
        </w:rPr>
      </w:pPr>
    </w:p>
    <w:p w14:paraId="01F450FD" w14:textId="77777777" w:rsidR="0058435B" w:rsidRPr="00AB6EF4" w:rsidRDefault="0058435B" w:rsidP="0058435B">
      <w:pPr>
        <w:keepNext/>
        <w:tabs>
          <w:tab w:val="left" w:pos="1260"/>
        </w:tabs>
        <w:ind w:left="720" w:hanging="720"/>
        <w:rPr>
          <w:rFonts w:ascii="Arial" w:hAnsi="Arial" w:cs="Arial"/>
          <w:sz w:val="22"/>
          <w:szCs w:val="22"/>
        </w:rPr>
      </w:pPr>
      <w:r w:rsidRPr="00AB6EF4">
        <w:rPr>
          <w:rFonts w:ascii="Arial" w:hAnsi="Arial" w:cs="Arial"/>
          <w:sz w:val="22"/>
          <w:szCs w:val="22"/>
        </w:rPr>
        <w:t>1.</w:t>
      </w:r>
      <w:r w:rsidRPr="00AB6EF4">
        <w:rPr>
          <w:rFonts w:ascii="Arial" w:hAnsi="Arial" w:cs="Arial"/>
          <w:sz w:val="22"/>
          <w:szCs w:val="22"/>
        </w:rPr>
        <w:tab/>
      </w:r>
      <w:r w:rsidRPr="00AB6EF4">
        <w:rPr>
          <w:rFonts w:ascii="Arial" w:hAnsi="Arial" w:cs="Arial"/>
          <w:sz w:val="22"/>
          <w:szCs w:val="22"/>
          <w:u w:val="single"/>
        </w:rPr>
        <w:t>Need for and Practical Utility of the Information</w:t>
      </w:r>
    </w:p>
    <w:p w14:paraId="14D3AFA3" w14:textId="77777777" w:rsidR="0058435B" w:rsidRPr="00A0219C" w:rsidRDefault="0058435B" w:rsidP="0058435B">
      <w:pPr>
        <w:keepNext/>
        <w:rPr>
          <w:rFonts w:ascii="Arial" w:hAnsi="Arial" w:cs="Arial"/>
          <w:sz w:val="22"/>
          <w:szCs w:val="22"/>
        </w:rPr>
      </w:pPr>
    </w:p>
    <w:p w14:paraId="1805BCC3" w14:textId="628D62E5" w:rsidR="0058435B" w:rsidRDefault="0058435B" w:rsidP="0058435B">
      <w:pPr>
        <w:autoSpaceDE/>
        <w:autoSpaceDN/>
        <w:adjustRightInd/>
        <w:rPr>
          <w:rFonts w:ascii="Arial" w:hAnsi="Arial" w:cs="Arial"/>
          <w:sz w:val="22"/>
          <w:szCs w:val="22"/>
        </w:rPr>
      </w:pPr>
      <w:r w:rsidRPr="00537862">
        <w:rPr>
          <w:rFonts w:ascii="Arial" w:hAnsi="Arial" w:cs="Arial"/>
          <w:sz w:val="22"/>
          <w:szCs w:val="22"/>
        </w:rPr>
        <w:t xml:space="preserve">The NRC has developed </w:t>
      </w:r>
      <w:r>
        <w:rPr>
          <w:rFonts w:ascii="Arial" w:hAnsi="Arial" w:cs="Arial"/>
          <w:sz w:val="22"/>
          <w:szCs w:val="22"/>
        </w:rPr>
        <w:t>the</w:t>
      </w:r>
      <w:r w:rsidRPr="00537862">
        <w:rPr>
          <w:rFonts w:ascii="Arial" w:hAnsi="Arial" w:cs="Arial"/>
          <w:sz w:val="22"/>
          <w:szCs w:val="22"/>
        </w:rPr>
        <w:t xml:space="preserve"> </w:t>
      </w:r>
      <w:r>
        <w:rPr>
          <w:rFonts w:ascii="Arial" w:hAnsi="Arial" w:cs="Arial"/>
          <w:sz w:val="22"/>
          <w:szCs w:val="22"/>
        </w:rPr>
        <w:t>MBDBE</w:t>
      </w:r>
      <w:r w:rsidRPr="00537862">
        <w:rPr>
          <w:rFonts w:ascii="Arial" w:hAnsi="Arial" w:cs="Arial"/>
          <w:sz w:val="22"/>
          <w:szCs w:val="22"/>
        </w:rPr>
        <w:t xml:space="preserve"> rulemaking, in large measure, to make generically applicable the regulatory actions taken following the</w:t>
      </w:r>
      <w:r>
        <w:rPr>
          <w:rFonts w:ascii="Arial" w:hAnsi="Arial" w:cs="Arial"/>
          <w:sz w:val="22"/>
          <w:szCs w:val="22"/>
        </w:rPr>
        <w:t xml:space="preserve"> </w:t>
      </w:r>
      <w:r w:rsidRPr="00DD2125">
        <w:rPr>
          <w:rFonts w:ascii="Arial" w:hAnsi="Arial" w:cs="Arial"/>
          <w:sz w:val="22"/>
          <w:szCs w:val="22"/>
        </w:rPr>
        <w:t>events at the Fukushima Dai-ichi nuclear power plant resulting from the March 11, 2011</w:t>
      </w:r>
      <w:r w:rsidR="00CD6ED6">
        <w:rPr>
          <w:rFonts w:ascii="Arial" w:hAnsi="Arial" w:cs="Arial"/>
          <w:sz w:val="22"/>
          <w:szCs w:val="22"/>
        </w:rPr>
        <w:t>,</w:t>
      </w:r>
      <w:r w:rsidRPr="00DD2125">
        <w:rPr>
          <w:rFonts w:ascii="Arial" w:hAnsi="Arial" w:cs="Arial"/>
          <w:sz w:val="22"/>
          <w:szCs w:val="22"/>
        </w:rPr>
        <w:t xml:space="preserve"> </w:t>
      </w:r>
      <w:r w:rsidRPr="00DD2125">
        <w:rPr>
          <w:rFonts w:ascii="Arial" w:hAnsi="Arial"/>
          <w:sz w:val="22"/>
        </w:rPr>
        <w:t>Great Tōhoku Earthquake and subsequent tsunami</w:t>
      </w:r>
      <w:r w:rsidRPr="00537862">
        <w:rPr>
          <w:rFonts w:ascii="Arial" w:hAnsi="Arial" w:cs="Arial"/>
          <w:sz w:val="22"/>
          <w:szCs w:val="22"/>
        </w:rPr>
        <w:t xml:space="preserve">.  </w:t>
      </w:r>
      <w:r>
        <w:rPr>
          <w:rFonts w:ascii="Arial" w:hAnsi="Arial" w:cs="Arial"/>
          <w:sz w:val="22"/>
          <w:szCs w:val="22"/>
        </w:rPr>
        <w:t>C</w:t>
      </w:r>
      <w:r w:rsidRPr="00537862">
        <w:rPr>
          <w:rFonts w:ascii="Arial" w:hAnsi="Arial" w:cs="Arial"/>
          <w:sz w:val="22"/>
          <w:szCs w:val="22"/>
        </w:rPr>
        <w:t xml:space="preserve">urrent NRC regulations do not incorporate requirements to implement </w:t>
      </w:r>
      <w:r>
        <w:rPr>
          <w:rFonts w:ascii="Arial" w:hAnsi="Arial" w:cs="Arial"/>
          <w:sz w:val="22"/>
          <w:szCs w:val="22"/>
        </w:rPr>
        <w:t xml:space="preserve">strategies and guidelines for the mitigation of beyond-design-basis external events (referred to, in the nuclear industry, as the diverse and flexible coping strategies (FLEX)).  These strategies are implemented by FLEX support guidelines or FSGs, and </w:t>
      </w:r>
      <w:r w:rsidRPr="00537862">
        <w:rPr>
          <w:rFonts w:ascii="Arial" w:hAnsi="Arial" w:cs="Arial"/>
          <w:sz w:val="22"/>
          <w:szCs w:val="22"/>
        </w:rPr>
        <w:t xml:space="preserve">provide additional capability to </w:t>
      </w:r>
      <w:r>
        <w:rPr>
          <w:rFonts w:ascii="Arial" w:hAnsi="Arial" w:cs="Arial"/>
          <w:sz w:val="22"/>
          <w:szCs w:val="22"/>
        </w:rPr>
        <w:t>address the uncertainties associated with beyond-design-basis external events</w:t>
      </w:r>
      <w:r w:rsidRPr="00537862">
        <w:rPr>
          <w:rFonts w:ascii="Arial" w:hAnsi="Arial" w:cs="Arial"/>
          <w:sz w:val="22"/>
          <w:szCs w:val="22"/>
        </w:rPr>
        <w:t xml:space="preserve"> (e.g., events arising from severe natural phenomena).  </w:t>
      </w:r>
      <w:r>
        <w:rPr>
          <w:rFonts w:ascii="Arial" w:hAnsi="Arial" w:cs="Arial"/>
          <w:sz w:val="22"/>
          <w:szCs w:val="22"/>
        </w:rPr>
        <w:t xml:space="preserve">The MBDBE </w:t>
      </w:r>
      <w:r w:rsidRPr="00537862">
        <w:rPr>
          <w:rFonts w:ascii="Arial" w:hAnsi="Arial" w:cs="Arial"/>
          <w:sz w:val="22"/>
          <w:szCs w:val="22"/>
        </w:rPr>
        <w:t>rulemaking make</w:t>
      </w:r>
      <w:r>
        <w:rPr>
          <w:rFonts w:ascii="Arial" w:hAnsi="Arial" w:cs="Arial"/>
          <w:sz w:val="22"/>
          <w:szCs w:val="22"/>
        </w:rPr>
        <w:t>s</w:t>
      </w:r>
      <w:r w:rsidRPr="00537862">
        <w:rPr>
          <w:rFonts w:ascii="Arial" w:hAnsi="Arial" w:cs="Arial"/>
          <w:sz w:val="22"/>
          <w:szCs w:val="22"/>
        </w:rPr>
        <w:t xml:space="preserve"> generically applicable requirements similar to those imposed by Order EA-12-049</w:t>
      </w:r>
      <w:r w:rsidR="00102F89">
        <w:rPr>
          <w:rFonts w:ascii="Arial" w:hAnsi="Arial" w:cs="Arial"/>
          <w:sz w:val="22"/>
          <w:szCs w:val="22"/>
        </w:rPr>
        <w:t xml:space="preserve"> and</w:t>
      </w:r>
      <w:r w:rsidRPr="00537862">
        <w:rPr>
          <w:rFonts w:ascii="Arial" w:hAnsi="Arial" w:cs="Arial"/>
          <w:sz w:val="22"/>
          <w:szCs w:val="22"/>
        </w:rPr>
        <w:t xml:space="preserve"> Order EA 12-051</w:t>
      </w:r>
      <w:r>
        <w:rPr>
          <w:rFonts w:ascii="Arial" w:hAnsi="Arial" w:cs="Arial"/>
          <w:sz w:val="22"/>
          <w:szCs w:val="22"/>
        </w:rPr>
        <w:t>.</w:t>
      </w:r>
    </w:p>
    <w:p w14:paraId="2F274654" w14:textId="77777777" w:rsidR="0058435B" w:rsidRDefault="0058435B" w:rsidP="0058435B">
      <w:pPr>
        <w:autoSpaceDE/>
        <w:autoSpaceDN/>
        <w:adjustRightInd/>
        <w:rPr>
          <w:rFonts w:ascii="Arial" w:hAnsi="Arial" w:cs="Arial"/>
          <w:sz w:val="22"/>
          <w:szCs w:val="22"/>
        </w:rPr>
      </w:pPr>
    </w:p>
    <w:p w14:paraId="10C1D4EB" w14:textId="653946F3" w:rsidR="0058435B" w:rsidRDefault="0058435B" w:rsidP="0058435B">
      <w:pPr>
        <w:autoSpaceDE/>
        <w:autoSpaceDN/>
        <w:adjustRightInd/>
        <w:rPr>
          <w:rFonts w:ascii="Arial" w:hAnsi="Arial" w:cs="Arial"/>
          <w:sz w:val="22"/>
          <w:szCs w:val="22"/>
        </w:rPr>
      </w:pPr>
      <w:r>
        <w:rPr>
          <w:rFonts w:ascii="Arial" w:hAnsi="Arial" w:cs="Arial"/>
          <w:sz w:val="22"/>
          <w:szCs w:val="22"/>
        </w:rPr>
        <w:t xml:space="preserve">Operating </w:t>
      </w:r>
      <w:r w:rsidR="00ED7F85">
        <w:rPr>
          <w:rFonts w:ascii="Arial" w:hAnsi="Arial" w:cs="Arial"/>
          <w:sz w:val="22"/>
          <w:szCs w:val="22"/>
        </w:rPr>
        <w:t xml:space="preserve">power </w:t>
      </w:r>
      <w:r>
        <w:rPr>
          <w:rFonts w:ascii="Arial" w:hAnsi="Arial" w:cs="Arial"/>
          <w:sz w:val="22"/>
          <w:szCs w:val="22"/>
        </w:rPr>
        <w:t>reactor licensees and a number of combined license holder</w:t>
      </w:r>
      <w:r w:rsidR="00ED7F85">
        <w:rPr>
          <w:rFonts w:ascii="Arial" w:hAnsi="Arial" w:cs="Arial"/>
          <w:sz w:val="22"/>
          <w:szCs w:val="22"/>
        </w:rPr>
        <w:t>s</w:t>
      </w:r>
      <w:r>
        <w:rPr>
          <w:rFonts w:ascii="Arial" w:hAnsi="Arial" w:cs="Arial"/>
          <w:sz w:val="22"/>
          <w:szCs w:val="22"/>
        </w:rPr>
        <w:t xml:space="preserve"> currently are subject to the</w:t>
      </w:r>
      <w:r w:rsidR="00ED7F85">
        <w:rPr>
          <w:rFonts w:ascii="Arial" w:hAnsi="Arial" w:cs="Arial"/>
          <w:sz w:val="22"/>
          <w:szCs w:val="22"/>
        </w:rPr>
        <w:t>se</w:t>
      </w:r>
      <w:r>
        <w:rPr>
          <w:rFonts w:ascii="Arial" w:hAnsi="Arial" w:cs="Arial"/>
          <w:sz w:val="22"/>
          <w:szCs w:val="22"/>
        </w:rPr>
        <w:t xml:space="preserve"> Order requirements</w:t>
      </w:r>
      <w:r w:rsidR="00ED7F85">
        <w:rPr>
          <w:rFonts w:ascii="Arial" w:hAnsi="Arial" w:cs="Arial"/>
          <w:sz w:val="22"/>
          <w:szCs w:val="22"/>
        </w:rPr>
        <w:t xml:space="preserve"> and license conditions</w:t>
      </w:r>
      <w:r>
        <w:rPr>
          <w:rFonts w:ascii="Arial" w:hAnsi="Arial" w:cs="Arial"/>
          <w:sz w:val="22"/>
          <w:szCs w:val="22"/>
        </w:rPr>
        <w:t xml:space="preserve">.  Any future licensees would not be covered by the Order requirements.  </w:t>
      </w:r>
      <w:r w:rsidRPr="00FB0B45">
        <w:rPr>
          <w:rFonts w:ascii="Arial" w:hAnsi="Arial" w:cs="Arial"/>
          <w:sz w:val="22"/>
          <w:szCs w:val="22"/>
        </w:rPr>
        <w:t xml:space="preserve">In the absence of a rule, these requirements would need to be implemented for new reactor sites through additional Orders or license conditions (as was done for </w:t>
      </w:r>
      <w:r w:rsidR="00ED7F85" w:rsidRPr="00ED7F85">
        <w:rPr>
          <w:rFonts w:ascii="Arial" w:hAnsi="Arial" w:cs="Arial"/>
          <w:sz w:val="22"/>
          <w:szCs w:val="22"/>
        </w:rPr>
        <w:t>all combined licenses issued to date</w:t>
      </w:r>
      <w:r w:rsidRPr="00FB0B45">
        <w:rPr>
          <w:rFonts w:ascii="Arial" w:hAnsi="Arial" w:cs="Arial"/>
          <w:sz w:val="22"/>
          <w:szCs w:val="22"/>
        </w:rPr>
        <w:t>)</w:t>
      </w:r>
      <w:r>
        <w:rPr>
          <w:rFonts w:ascii="Arial" w:hAnsi="Arial" w:cs="Arial"/>
          <w:sz w:val="22"/>
          <w:szCs w:val="22"/>
        </w:rPr>
        <w:t>, which would impose additional costs on the NRC</w:t>
      </w:r>
      <w:r w:rsidRPr="00FB0B45">
        <w:rPr>
          <w:rFonts w:ascii="Arial" w:hAnsi="Arial" w:cs="Arial"/>
          <w:sz w:val="22"/>
          <w:szCs w:val="22"/>
        </w:rPr>
        <w:t>.</w:t>
      </w:r>
    </w:p>
    <w:p w14:paraId="7711EB06" w14:textId="77777777" w:rsidR="0058435B" w:rsidRDefault="0058435B" w:rsidP="0058435B">
      <w:pPr>
        <w:autoSpaceDE/>
        <w:autoSpaceDN/>
        <w:adjustRightInd/>
        <w:rPr>
          <w:rFonts w:ascii="Arial" w:hAnsi="Arial" w:cs="Arial"/>
          <w:sz w:val="22"/>
          <w:szCs w:val="22"/>
        </w:rPr>
      </w:pPr>
    </w:p>
    <w:p w14:paraId="0572331A" w14:textId="3A4A527A" w:rsidR="0058435B" w:rsidRDefault="0058435B" w:rsidP="0058435B">
      <w:pPr>
        <w:autoSpaceDE/>
        <w:autoSpaceDN/>
        <w:adjustRightInd/>
        <w:rPr>
          <w:rFonts w:ascii="Arial" w:hAnsi="Arial" w:cs="Arial"/>
          <w:sz w:val="22"/>
          <w:szCs w:val="22"/>
        </w:rPr>
      </w:pPr>
      <w:r>
        <w:rPr>
          <w:rFonts w:ascii="Arial" w:hAnsi="Arial" w:cs="Arial"/>
          <w:sz w:val="22"/>
          <w:szCs w:val="22"/>
        </w:rPr>
        <w:t>The MBDBE rulemaking, both the regulation and its supporting guidance, also enhances regulatory efficiency by reflecting stakeholder feedback provided in response to the proposed rule (</w:t>
      </w:r>
      <w:r w:rsidR="00350FFB">
        <w:rPr>
          <w:rFonts w:ascii="Arial" w:hAnsi="Arial" w:cs="Arial"/>
          <w:sz w:val="22"/>
          <w:szCs w:val="22"/>
        </w:rPr>
        <w:t xml:space="preserve">80 FR 70609, </w:t>
      </w:r>
      <w:r>
        <w:rPr>
          <w:rFonts w:ascii="Arial" w:hAnsi="Arial" w:cs="Arial"/>
          <w:sz w:val="22"/>
          <w:szCs w:val="22"/>
        </w:rPr>
        <w:t xml:space="preserve">November 13, 2015), </w:t>
      </w:r>
      <w:r w:rsidR="00ED7F85">
        <w:rPr>
          <w:rFonts w:ascii="Arial" w:hAnsi="Arial" w:cs="Arial"/>
          <w:sz w:val="22"/>
          <w:szCs w:val="22"/>
        </w:rPr>
        <w:t xml:space="preserve">and </w:t>
      </w:r>
      <w:r>
        <w:rPr>
          <w:rFonts w:ascii="Arial" w:hAnsi="Arial" w:cs="Arial"/>
          <w:sz w:val="22"/>
          <w:szCs w:val="22"/>
        </w:rPr>
        <w:t>lessons learned from the implementation of the Orders, including any challenges or unintended consequences associated with implementation.</w:t>
      </w:r>
    </w:p>
    <w:p w14:paraId="091F31E8" w14:textId="77777777" w:rsidR="0058435B" w:rsidRDefault="0058435B" w:rsidP="0058435B">
      <w:pPr>
        <w:autoSpaceDE/>
        <w:autoSpaceDN/>
        <w:adjustRightInd/>
        <w:rPr>
          <w:rFonts w:ascii="Arial" w:hAnsi="Arial" w:cs="Arial"/>
          <w:sz w:val="22"/>
          <w:szCs w:val="22"/>
        </w:rPr>
      </w:pPr>
    </w:p>
    <w:p w14:paraId="0CCA535F" w14:textId="256CC820" w:rsidR="0058435B" w:rsidRDefault="0058435B" w:rsidP="0058435B">
      <w:pPr>
        <w:rPr>
          <w:rFonts w:ascii="Arial" w:hAnsi="Arial" w:cs="Arial"/>
          <w:sz w:val="22"/>
          <w:szCs w:val="22"/>
        </w:rPr>
      </w:pPr>
      <w:r w:rsidRPr="00A0219C">
        <w:rPr>
          <w:rFonts w:ascii="Arial" w:hAnsi="Arial" w:cs="Arial"/>
          <w:sz w:val="22"/>
          <w:szCs w:val="22"/>
        </w:rPr>
        <w:t xml:space="preserve">The specific </w:t>
      </w:r>
      <w:r>
        <w:rPr>
          <w:rFonts w:ascii="Arial" w:hAnsi="Arial" w:cs="Arial"/>
          <w:sz w:val="22"/>
          <w:szCs w:val="22"/>
        </w:rPr>
        <w:t xml:space="preserve">information </w:t>
      </w:r>
      <w:bookmarkStart w:id="1" w:name="_Hlk7158031"/>
      <w:r>
        <w:rPr>
          <w:rFonts w:ascii="Arial" w:hAnsi="Arial" w:cs="Arial"/>
          <w:sz w:val="22"/>
          <w:szCs w:val="22"/>
        </w:rPr>
        <w:t>collections associated with</w:t>
      </w:r>
      <w:r w:rsidRPr="00A0219C">
        <w:rPr>
          <w:rFonts w:ascii="Arial" w:hAnsi="Arial" w:cs="Arial"/>
          <w:sz w:val="22"/>
          <w:szCs w:val="22"/>
        </w:rPr>
        <w:t xml:space="preserve"> the </w:t>
      </w:r>
      <w:r>
        <w:rPr>
          <w:rFonts w:ascii="Arial" w:hAnsi="Arial" w:cs="Arial"/>
          <w:sz w:val="22"/>
          <w:szCs w:val="22"/>
        </w:rPr>
        <w:t xml:space="preserve">MBDBE revisions and </w:t>
      </w:r>
      <w:r w:rsidRPr="00A0219C">
        <w:rPr>
          <w:rFonts w:ascii="Arial" w:hAnsi="Arial" w:cs="Arial"/>
          <w:sz w:val="22"/>
          <w:szCs w:val="22"/>
        </w:rPr>
        <w:t>amendments to Part</w:t>
      </w:r>
      <w:r w:rsidR="00B53107">
        <w:rPr>
          <w:rFonts w:ascii="Arial" w:hAnsi="Arial" w:cs="Arial"/>
          <w:sz w:val="22"/>
          <w:szCs w:val="22"/>
        </w:rPr>
        <w:t>s</w:t>
      </w:r>
      <w:r w:rsidRPr="00A0219C">
        <w:rPr>
          <w:rFonts w:ascii="Arial" w:hAnsi="Arial" w:cs="Arial"/>
          <w:sz w:val="22"/>
          <w:szCs w:val="22"/>
        </w:rPr>
        <w:t xml:space="preserve"> </w:t>
      </w:r>
      <w:r>
        <w:rPr>
          <w:rFonts w:ascii="Arial" w:hAnsi="Arial" w:cs="Arial"/>
          <w:sz w:val="22"/>
          <w:szCs w:val="22"/>
        </w:rPr>
        <w:t>50</w:t>
      </w:r>
      <w:r w:rsidR="00B53107">
        <w:rPr>
          <w:rFonts w:ascii="Arial" w:hAnsi="Arial" w:cs="Arial"/>
          <w:sz w:val="22"/>
          <w:szCs w:val="22"/>
        </w:rPr>
        <w:t xml:space="preserve"> and 52</w:t>
      </w:r>
      <w:bookmarkEnd w:id="1"/>
      <w:r w:rsidRPr="00A0219C">
        <w:rPr>
          <w:rFonts w:ascii="Arial" w:hAnsi="Arial" w:cs="Arial"/>
          <w:sz w:val="22"/>
          <w:szCs w:val="22"/>
        </w:rPr>
        <w:t xml:space="preserve"> </w:t>
      </w:r>
      <w:r>
        <w:rPr>
          <w:rFonts w:ascii="Arial" w:hAnsi="Arial" w:cs="Arial"/>
          <w:sz w:val="22"/>
          <w:szCs w:val="22"/>
        </w:rPr>
        <w:t>are identified below.</w:t>
      </w:r>
    </w:p>
    <w:p w14:paraId="48ED1EEE" w14:textId="77777777" w:rsidR="0058435B" w:rsidRDefault="0058435B" w:rsidP="0058435B">
      <w:pPr>
        <w:rPr>
          <w:rFonts w:ascii="Arial" w:hAnsi="Arial" w:cs="Arial"/>
          <w:sz w:val="22"/>
          <w:szCs w:val="22"/>
        </w:rPr>
      </w:pPr>
    </w:p>
    <w:p w14:paraId="4BC86BE0" w14:textId="028170BC" w:rsidR="0058435B" w:rsidRDefault="0058435B" w:rsidP="0058435B">
      <w:pPr>
        <w:rPr>
          <w:rFonts w:ascii="Arial" w:hAnsi="Arial" w:cs="Arial"/>
          <w:sz w:val="22"/>
          <w:szCs w:val="22"/>
        </w:rPr>
      </w:pPr>
      <w:r>
        <w:rPr>
          <w:rFonts w:ascii="Arial" w:hAnsi="Arial" w:cs="Arial"/>
          <w:sz w:val="22"/>
          <w:szCs w:val="22"/>
          <w:u w:val="single"/>
        </w:rPr>
        <w:t xml:space="preserve">Section </w:t>
      </w:r>
      <w:r w:rsidRPr="00A15E6C">
        <w:rPr>
          <w:rFonts w:ascii="Arial" w:hAnsi="Arial" w:cs="Arial"/>
          <w:sz w:val="22"/>
          <w:szCs w:val="22"/>
          <w:u w:val="single"/>
        </w:rPr>
        <w:t>50.34(i)</w:t>
      </w:r>
      <w:r>
        <w:rPr>
          <w:rFonts w:ascii="Arial" w:hAnsi="Arial" w:cs="Arial"/>
          <w:sz w:val="22"/>
          <w:szCs w:val="22"/>
        </w:rPr>
        <w:t xml:space="preserve"> requires applicants for power reactor operating licenses to include plans for implementing the requirements in </w:t>
      </w:r>
      <w:r w:rsidR="00B53107">
        <w:rPr>
          <w:rFonts w:ascii="Arial" w:hAnsi="Arial" w:cs="Arial"/>
          <w:sz w:val="22"/>
          <w:szCs w:val="22"/>
        </w:rPr>
        <w:t xml:space="preserve">10 CFR </w:t>
      </w:r>
      <w:r>
        <w:rPr>
          <w:rFonts w:ascii="Arial" w:hAnsi="Arial" w:cs="Arial"/>
          <w:sz w:val="22"/>
          <w:szCs w:val="22"/>
        </w:rPr>
        <w:t>50.155, “Mitigation of Beyond-Design-Basis Events,” including a schedule for achieving full compliance, a description of the integrated response capability, and the equipment and location of the equipment upon which the strategies rely.</w:t>
      </w:r>
      <w:r w:rsidR="0092442A">
        <w:rPr>
          <w:rFonts w:ascii="Arial" w:hAnsi="Arial" w:cs="Arial"/>
          <w:sz w:val="22"/>
          <w:szCs w:val="22"/>
        </w:rPr>
        <w:t xml:space="preserve">  These requirements were established under Order EA</w:t>
      </w:r>
      <w:r w:rsidR="0092442A">
        <w:rPr>
          <w:rFonts w:ascii="Arial" w:hAnsi="Arial" w:cs="Arial"/>
          <w:sz w:val="22"/>
          <w:szCs w:val="22"/>
        </w:rPr>
        <w:noBreakHyphen/>
        <w:t>12-049 and licensees have already completed this requirement.</w:t>
      </w:r>
    </w:p>
    <w:p w14:paraId="62DF3AED" w14:textId="77777777" w:rsidR="0058435B" w:rsidRDefault="0058435B" w:rsidP="0058435B">
      <w:pPr>
        <w:tabs>
          <w:tab w:val="left" w:pos="1980"/>
        </w:tabs>
        <w:rPr>
          <w:rFonts w:ascii="Arial" w:hAnsi="Arial" w:cs="Arial"/>
          <w:sz w:val="22"/>
          <w:szCs w:val="22"/>
          <w:u w:val="single"/>
        </w:rPr>
      </w:pPr>
    </w:p>
    <w:p w14:paraId="28E48C09" w14:textId="209F79EB" w:rsidR="0058435B" w:rsidRDefault="0058435B" w:rsidP="0058435B">
      <w:pPr>
        <w:tabs>
          <w:tab w:val="left" w:pos="1980"/>
        </w:tabs>
        <w:rPr>
          <w:rFonts w:ascii="Arial" w:hAnsi="Arial" w:cs="Arial"/>
          <w:sz w:val="22"/>
          <w:szCs w:val="22"/>
        </w:rPr>
      </w:pPr>
      <w:r w:rsidRPr="00F33852">
        <w:rPr>
          <w:rFonts w:ascii="Arial" w:hAnsi="Arial" w:cs="Arial"/>
          <w:sz w:val="22"/>
          <w:szCs w:val="22"/>
          <w:u w:val="single"/>
        </w:rPr>
        <w:t>Section 50.155</w:t>
      </w:r>
      <w:r>
        <w:rPr>
          <w:rFonts w:ascii="Arial" w:hAnsi="Arial" w:cs="Arial"/>
          <w:sz w:val="22"/>
          <w:szCs w:val="22"/>
        </w:rPr>
        <w:t xml:space="preserve"> </w:t>
      </w:r>
      <w:r w:rsidR="00E761D9">
        <w:rPr>
          <w:rFonts w:ascii="Arial" w:hAnsi="Arial" w:cs="Arial"/>
          <w:sz w:val="22"/>
          <w:szCs w:val="22"/>
        </w:rPr>
        <w:t xml:space="preserve">requires </w:t>
      </w:r>
      <w:r>
        <w:rPr>
          <w:rFonts w:ascii="Arial" w:hAnsi="Arial" w:cs="Arial"/>
          <w:sz w:val="22"/>
          <w:szCs w:val="22"/>
        </w:rPr>
        <w:t>licensees to review their previous compliance under Orders EA-12-049 and EA-12-051 against the MBDBE rule requirements to confirm their compliance with the MBDBE rule, as well as to make changes to procedures, program</w:t>
      </w:r>
      <w:r w:rsidR="00B53107">
        <w:rPr>
          <w:rFonts w:ascii="Arial" w:hAnsi="Arial" w:cs="Arial"/>
          <w:sz w:val="22"/>
          <w:szCs w:val="22"/>
        </w:rPr>
        <w:t>s</w:t>
      </w:r>
      <w:r>
        <w:rPr>
          <w:rFonts w:ascii="Arial" w:hAnsi="Arial" w:cs="Arial"/>
          <w:sz w:val="22"/>
          <w:szCs w:val="22"/>
        </w:rPr>
        <w:t xml:space="preserve">, and plans to reference the new MBDBE rule requirements (rather than the Order requirements).  Sites </w:t>
      </w:r>
      <w:r w:rsidR="00EE4C2B">
        <w:rPr>
          <w:rFonts w:ascii="Arial" w:hAnsi="Arial" w:cs="Arial"/>
          <w:sz w:val="22"/>
          <w:szCs w:val="22"/>
        </w:rPr>
        <w:t xml:space="preserve">will </w:t>
      </w:r>
      <w:r>
        <w:rPr>
          <w:rFonts w:ascii="Arial" w:hAnsi="Arial" w:cs="Arial"/>
          <w:sz w:val="22"/>
          <w:szCs w:val="22"/>
        </w:rPr>
        <w:t>incur a one</w:t>
      </w:r>
      <w:r>
        <w:rPr>
          <w:rFonts w:ascii="Arial" w:hAnsi="Arial" w:cs="Arial"/>
          <w:sz w:val="22"/>
          <w:szCs w:val="22"/>
        </w:rPr>
        <w:noBreakHyphen/>
        <w:t xml:space="preserve">time recordkeeping burden to review procedures, programs, and plans to confirm that they are consistent with the rule requirements.  The incremental one-time recordkeeping burden associated with this requirement is included in Table </w:t>
      </w:r>
      <w:r w:rsidR="001241A8">
        <w:rPr>
          <w:rFonts w:ascii="Arial" w:hAnsi="Arial" w:cs="Arial"/>
          <w:sz w:val="22"/>
          <w:szCs w:val="22"/>
        </w:rPr>
        <w:t>2</w:t>
      </w:r>
      <w:r>
        <w:rPr>
          <w:rFonts w:ascii="Arial" w:hAnsi="Arial" w:cs="Arial"/>
          <w:sz w:val="22"/>
          <w:szCs w:val="22"/>
        </w:rPr>
        <w:t>.</w:t>
      </w:r>
    </w:p>
    <w:p w14:paraId="62DD0B5C" w14:textId="77777777" w:rsidR="0058435B" w:rsidRDefault="0058435B" w:rsidP="0058435B">
      <w:pPr>
        <w:tabs>
          <w:tab w:val="left" w:pos="1980"/>
        </w:tabs>
        <w:rPr>
          <w:rFonts w:ascii="Arial" w:hAnsi="Arial" w:cs="Arial"/>
          <w:sz w:val="22"/>
          <w:szCs w:val="22"/>
        </w:rPr>
      </w:pPr>
    </w:p>
    <w:p w14:paraId="5509BD4F" w14:textId="1681D44C" w:rsidR="0058435B" w:rsidRDefault="0058435B" w:rsidP="0058435B">
      <w:pPr>
        <w:tabs>
          <w:tab w:val="left" w:pos="1980"/>
        </w:tabs>
        <w:rPr>
          <w:rFonts w:ascii="Arial" w:hAnsi="Arial" w:cs="Arial"/>
          <w:sz w:val="22"/>
          <w:szCs w:val="22"/>
        </w:rPr>
      </w:pPr>
      <w:r w:rsidRPr="00A15E6C">
        <w:rPr>
          <w:rFonts w:ascii="Arial" w:hAnsi="Arial" w:cs="Arial"/>
          <w:sz w:val="22"/>
          <w:szCs w:val="22"/>
          <w:u w:val="single"/>
        </w:rPr>
        <w:t>Section 50.155(b)(1)</w:t>
      </w:r>
      <w:r>
        <w:rPr>
          <w:rFonts w:ascii="Arial" w:hAnsi="Arial" w:cs="Arial"/>
          <w:sz w:val="22"/>
          <w:szCs w:val="22"/>
        </w:rPr>
        <w:t xml:space="preserve"> requires licensees to develop strategies and guidelines to mitigate beyond-design-basis external events from natural phenomena that are developed assuming a loss of all ac power concurrent with either a loss of normal access to the ultimate heat sink or loss of normal access to the normal heat sink.  These requirements were established under Order EA</w:t>
      </w:r>
      <w:r>
        <w:rPr>
          <w:rFonts w:ascii="Arial" w:hAnsi="Arial" w:cs="Arial"/>
          <w:sz w:val="22"/>
          <w:szCs w:val="22"/>
        </w:rPr>
        <w:noBreakHyphen/>
        <w:t>12-049 and licensees have already completed this requirement.</w:t>
      </w:r>
    </w:p>
    <w:p w14:paraId="71B06753" w14:textId="77777777" w:rsidR="0058435B" w:rsidRDefault="0058435B" w:rsidP="0058435B">
      <w:pPr>
        <w:tabs>
          <w:tab w:val="left" w:pos="1980"/>
        </w:tabs>
        <w:rPr>
          <w:rFonts w:ascii="Arial" w:hAnsi="Arial" w:cs="Arial"/>
          <w:sz w:val="22"/>
          <w:szCs w:val="22"/>
        </w:rPr>
      </w:pPr>
    </w:p>
    <w:p w14:paraId="78303058" w14:textId="1054F586" w:rsidR="0058435B" w:rsidRPr="0083583F" w:rsidRDefault="0058435B" w:rsidP="0058435B">
      <w:pPr>
        <w:tabs>
          <w:tab w:val="left" w:pos="1980"/>
        </w:tabs>
        <w:rPr>
          <w:rFonts w:ascii="Arial" w:hAnsi="Arial" w:cs="Arial"/>
          <w:sz w:val="22"/>
          <w:szCs w:val="22"/>
        </w:rPr>
      </w:pPr>
      <w:r w:rsidRPr="0083583F">
        <w:rPr>
          <w:rFonts w:ascii="Arial" w:hAnsi="Arial" w:cs="Arial"/>
          <w:sz w:val="22"/>
          <w:szCs w:val="22"/>
          <w:u w:val="single"/>
        </w:rPr>
        <w:lastRenderedPageBreak/>
        <w:t>Section 50.155(b)(</w:t>
      </w:r>
      <w:r w:rsidR="00102F89">
        <w:rPr>
          <w:rFonts w:ascii="Arial" w:hAnsi="Arial" w:cs="Arial"/>
          <w:sz w:val="22"/>
          <w:szCs w:val="22"/>
          <w:u w:val="single"/>
        </w:rPr>
        <w:t>2</w:t>
      </w:r>
      <w:r w:rsidRPr="0083583F">
        <w:rPr>
          <w:rFonts w:ascii="Arial" w:hAnsi="Arial" w:cs="Arial"/>
          <w:sz w:val="22"/>
          <w:szCs w:val="22"/>
          <w:u w:val="single"/>
        </w:rPr>
        <w:t>)</w:t>
      </w:r>
      <w:r w:rsidRPr="0083583F">
        <w:rPr>
          <w:rFonts w:ascii="Arial" w:hAnsi="Arial" w:cs="Arial"/>
          <w:sz w:val="22"/>
          <w:szCs w:val="22"/>
        </w:rPr>
        <w:t xml:space="preserve"> requires licensees to develop strategies and guidelines to maintain or restore core cooling, containment, and spent fuel pool cooling capabilities under the circumstances associated with loss of large areas of the plant impacted by the event, due to explosions or fire.  These requirements were established under Order </w:t>
      </w:r>
      <w:r>
        <w:rPr>
          <w:rFonts w:ascii="Arial" w:hAnsi="Arial" w:cs="Arial"/>
          <w:sz w:val="22"/>
          <w:szCs w:val="22"/>
        </w:rPr>
        <w:t>EA</w:t>
      </w:r>
      <w:r>
        <w:rPr>
          <w:rFonts w:ascii="Arial" w:hAnsi="Arial" w:cs="Arial"/>
          <w:sz w:val="22"/>
          <w:szCs w:val="22"/>
        </w:rPr>
        <w:noBreakHyphen/>
      </w:r>
      <w:r w:rsidR="00B53107">
        <w:rPr>
          <w:rFonts w:ascii="Arial" w:hAnsi="Arial" w:cs="Arial"/>
          <w:sz w:val="22"/>
          <w:szCs w:val="22"/>
        </w:rPr>
        <w:t>02-026</w:t>
      </w:r>
      <w:r w:rsidRPr="0083583F">
        <w:rPr>
          <w:rFonts w:ascii="Arial" w:hAnsi="Arial" w:cs="Arial"/>
          <w:sz w:val="22"/>
          <w:szCs w:val="22"/>
        </w:rPr>
        <w:t xml:space="preserve"> and licensees already </w:t>
      </w:r>
      <w:r w:rsidR="00CD6ED6">
        <w:rPr>
          <w:rFonts w:ascii="Arial" w:hAnsi="Arial" w:cs="Arial"/>
          <w:sz w:val="22"/>
          <w:szCs w:val="22"/>
        </w:rPr>
        <w:t>comply with</w:t>
      </w:r>
      <w:r w:rsidR="00CD6ED6" w:rsidRPr="0083583F">
        <w:rPr>
          <w:rFonts w:ascii="Arial" w:hAnsi="Arial" w:cs="Arial"/>
          <w:sz w:val="22"/>
          <w:szCs w:val="22"/>
        </w:rPr>
        <w:t xml:space="preserve"> </w:t>
      </w:r>
      <w:r w:rsidRPr="0083583F">
        <w:rPr>
          <w:rFonts w:ascii="Arial" w:hAnsi="Arial" w:cs="Arial"/>
          <w:sz w:val="22"/>
          <w:szCs w:val="22"/>
        </w:rPr>
        <w:t>this requirement.</w:t>
      </w:r>
    </w:p>
    <w:p w14:paraId="6BBB8E09" w14:textId="77777777" w:rsidR="0058435B" w:rsidRDefault="0058435B" w:rsidP="0058435B">
      <w:pPr>
        <w:tabs>
          <w:tab w:val="left" w:pos="1980"/>
        </w:tabs>
        <w:rPr>
          <w:rFonts w:ascii="Arial" w:hAnsi="Arial" w:cs="Arial"/>
          <w:sz w:val="22"/>
          <w:szCs w:val="22"/>
          <w:u w:val="single"/>
        </w:rPr>
      </w:pPr>
    </w:p>
    <w:p w14:paraId="1544E908" w14:textId="5DF1E0EB" w:rsidR="0058435B" w:rsidRPr="0083583F" w:rsidRDefault="0058435B" w:rsidP="0058435B">
      <w:pPr>
        <w:tabs>
          <w:tab w:val="left" w:pos="1980"/>
        </w:tabs>
        <w:rPr>
          <w:rFonts w:ascii="Arial" w:hAnsi="Arial" w:cs="Arial"/>
          <w:sz w:val="22"/>
          <w:szCs w:val="22"/>
        </w:rPr>
      </w:pPr>
      <w:r w:rsidRPr="0083583F">
        <w:rPr>
          <w:rFonts w:ascii="Arial" w:hAnsi="Arial" w:cs="Arial"/>
          <w:sz w:val="22"/>
          <w:szCs w:val="22"/>
          <w:u w:val="single"/>
        </w:rPr>
        <w:t>Section 50.155(</w:t>
      </w:r>
      <w:r w:rsidR="00AF377A">
        <w:rPr>
          <w:rFonts w:ascii="Arial" w:hAnsi="Arial" w:cs="Arial"/>
          <w:sz w:val="22"/>
          <w:szCs w:val="22"/>
          <w:u w:val="single"/>
        </w:rPr>
        <w:t>f</w:t>
      </w:r>
      <w:r w:rsidRPr="0083583F">
        <w:rPr>
          <w:rFonts w:ascii="Arial" w:hAnsi="Arial" w:cs="Arial"/>
          <w:sz w:val="22"/>
          <w:szCs w:val="22"/>
          <w:u w:val="single"/>
        </w:rPr>
        <w:t>)</w:t>
      </w:r>
      <w:r w:rsidRPr="0083583F">
        <w:rPr>
          <w:rFonts w:ascii="Arial" w:hAnsi="Arial" w:cs="Arial"/>
          <w:sz w:val="22"/>
          <w:szCs w:val="22"/>
        </w:rPr>
        <w:t xml:space="preserve"> requires licensees to maintain documentation of changes in the implementation of the requirements of section 50.155.</w:t>
      </w:r>
      <w:r>
        <w:rPr>
          <w:rFonts w:ascii="Arial" w:hAnsi="Arial" w:cs="Arial"/>
          <w:sz w:val="22"/>
          <w:szCs w:val="22"/>
        </w:rPr>
        <w:t xml:space="preserve">  </w:t>
      </w:r>
      <w:r w:rsidR="0092442A">
        <w:rPr>
          <w:rFonts w:ascii="Arial" w:hAnsi="Arial" w:cs="Arial"/>
          <w:sz w:val="22"/>
          <w:szCs w:val="22"/>
        </w:rPr>
        <w:t>These requirements were established under Order EA</w:t>
      </w:r>
      <w:r w:rsidR="0092442A">
        <w:rPr>
          <w:rFonts w:ascii="Arial" w:hAnsi="Arial" w:cs="Arial"/>
          <w:sz w:val="22"/>
          <w:szCs w:val="22"/>
        </w:rPr>
        <w:noBreakHyphen/>
        <w:t>12-049.</w:t>
      </w:r>
    </w:p>
    <w:p w14:paraId="0FAC91D4" w14:textId="77777777" w:rsidR="0058435B" w:rsidRPr="00ED2F43" w:rsidRDefault="0058435B" w:rsidP="0058435B">
      <w:pPr>
        <w:tabs>
          <w:tab w:val="left" w:pos="1980"/>
        </w:tabs>
        <w:rPr>
          <w:rFonts w:ascii="Arial" w:hAnsi="Arial" w:cs="Arial"/>
          <w:sz w:val="22"/>
          <w:szCs w:val="22"/>
          <w:u w:val="single"/>
        </w:rPr>
      </w:pPr>
    </w:p>
    <w:p w14:paraId="06D975F5" w14:textId="2D96E010" w:rsidR="0058435B" w:rsidRDefault="0058435B" w:rsidP="0058435B">
      <w:pPr>
        <w:tabs>
          <w:tab w:val="left" w:pos="1980"/>
        </w:tabs>
        <w:rPr>
          <w:rFonts w:ascii="Arial" w:hAnsi="Arial" w:cs="Arial"/>
          <w:sz w:val="22"/>
          <w:szCs w:val="22"/>
        </w:rPr>
      </w:pPr>
      <w:r w:rsidRPr="00404D08">
        <w:rPr>
          <w:rFonts w:ascii="Arial" w:hAnsi="Arial" w:cs="Arial"/>
          <w:sz w:val="22"/>
          <w:szCs w:val="22"/>
          <w:u w:val="single"/>
        </w:rPr>
        <w:t>Section 52.80</w:t>
      </w:r>
      <w:r>
        <w:rPr>
          <w:rFonts w:ascii="Arial" w:hAnsi="Arial" w:cs="Arial"/>
          <w:sz w:val="22"/>
          <w:szCs w:val="22"/>
          <w:u w:val="single"/>
        </w:rPr>
        <w:t>(d)</w:t>
      </w:r>
      <w:r>
        <w:rPr>
          <w:rFonts w:ascii="Arial" w:hAnsi="Arial" w:cs="Arial"/>
          <w:sz w:val="22"/>
          <w:szCs w:val="22"/>
        </w:rPr>
        <w:t xml:space="preserve"> requires applicants for power reactor</w:t>
      </w:r>
      <w:r w:rsidR="00C071EB">
        <w:rPr>
          <w:rFonts w:ascii="Arial" w:hAnsi="Arial" w:cs="Arial"/>
          <w:sz w:val="22"/>
          <w:szCs w:val="22"/>
        </w:rPr>
        <w:t xml:space="preserve"> combined</w:t>
      </w:r>
      <w:r>
        <w:rPr>
          <w:rFonts w:ascii="Arial" w:hAnsi="Arial" w:cs="Arial"/>
          <w:sz w:val="22"/>
          <w:szCs w:val="22"/>
        </w:rPr>
        <w:t xml:space="preserve"> licenses under Part 52 to include in their applications information on the plan for implementing the requirements of 10</w:t>
      </w:r>
      <w:r w:rsidR="00CD6ED6">
        <w:rPr>
          <w:rFonts w:ascii="Arial" w:hAnsi="Arial" w:cs="Arial"/>
          <w:sz w:val="22"/>
          <w:szCs w:val="22"/>
        </w:rPr>
        <w:t> </w:t>
      </w:r>
      <w:r>
        <w:rPr>
          <w:rFonts w:ascii="Arial" w:hAnsi="Arial" w:cs="Arial"/>
          <w:sz w:val="22"/>
          <w:szCs w:val="22"/>
        </w:rPr>
        <w:t>CFR 50.155(b)</w:t>
      </w:r>
      <w:r w:rsidR="00CD6ED6">
        <w:rPr>
          <w:rFonts w:ascii="Arial" w:hAnsi="Arial" w:cs="Arial"/>
          <w:sz w:val="22"/>
          <w:szCs w:val="22"/>
        </w:rPr>
        <w:t>,</w:t>
      </w:r>
      <w:r>
        <w:rPr>
          <w:rFonts w:ascii="Arial" w:hAnsi="Arial" w:cs="Arial"/>
          <w:sz w:val="22"/>
          <w:szCs w:val="22"/>
        </w:rPr>
        <w:t xml:space="preserve"> including a schedule for achieving compliance as well as a description of the integrated response capability required by </w:t>
      </w:r>
      <w:r w:rsidR="00B53107">
        <w:rPr>
          <w:rFonts w:ascii="Arial" w:hAnsi="Arial" w:cs="Arial"/>
          <w:sz w:val="22"/>
          <w:szCs w:val="22"/>
        </w:rPr>
        <w:t xml:space="preserve">10 CFR </w:t>
      </w:r>
      <w:r>
        <w:rPr>
          <w:rFonts w:ascii="Arial" w:hAnsi="Arial" w:cs="Arial"/>
          <w:sz w:val="22"/>
          <w:szCs w:val="22"/>
        </w:rPr>
        <w:t>50.155(b) and the requirement and planned locations of the equipment on which the strategies and guidelines will rely</w:t>
      </w:r>
      <w:r w:rsidR="00B53107">
        <w:rPr>
          <w:rFonts w:ascii="Arial" w:hAnsi="Arial" w:cs="Arial"/>
          <w:sz w:val="22"/>
          <w:szCs w:val="22"/>
        </w:rPr>
        <w:t>.  This is the same requirement</w:t>
      </w:r>
      <w:r>
        <w:rPr>
          <w:rFonts w:ascii="Arial" w:hAnsi="Arial" w:cs="Arial"/>
          <w:sz w:val="22"/>
          <w:szCs w:val="22"/>
        </w:rPr>
        <w:t xml:space="preserve"> as that contained in Section 50.34(i) for applicants for a new power reactor operating license under Part 50.  The NRC does not expect any new applicants under Part 50 for a</w:t>
      </w:r>
      <w:r w:rsidR="00B53107">
        <w:rPr>
          <w:rFonts w:ascii="Arial" w:hAnsi="Arial" w:cs="Arial"/>
          <w:sz w:val="22"/>
          <w:szCs w:val="22"/>
        </w:rPr>
        <w:t xml:space="preserve"> power reactor</w:t>
      </w:r>
      <w:r>
        <w:rPr>
          <w:rFonts w:ascii="Arial" w:hAnsi="Arial" w:cs="Arial"/>
          <w:sz w:val="22"/>
          <w:szCs w:val="22"/>
        </w:rPr>
        <w:t xml:space="preserve"> operating license or under Part 52 for a combined license for the next three years.</w:t>
      </w:r>
      <w:r w:rsidR="00C071EB">
        <w:rPr>
          <w:rFonts w:ascii="Arial" w:hAnsi="Arial" w:cs="Arial"/>
          <w:sz w:val="22"/>
          <w:szCs w:val="22"/>
        </w:rPr>
        <w:t xml:space="preserve">  A supporting statement has been submitted under 10 CFR Part 52 (3150-0151) to cover the requirement for</w:t>
      </w:r>
      <w:r w:rsidR="003838E9">
        <w:rPr>
          <w:rFonts w:ascii="Arial" w:hAnsi="Arial" w:cs="Arial"/>
          <w:sz w:val="22"/>
          <w:szCs w:val="22"/>
        </w:rPr>
        <w:t xml:space="preserve"> applicants for</w:t>
      </w:r>
      <w:r w:rsidR="00C071EB">
        <w:rPr>
          <w:rFonts w:ascii="Arial" w:hAnsi="Arial" w:cs="Arial"/>
          <w:sz w:val="22"/>
          <w:szCs w:val="22"/>
        </w:rPr>
        <w:t xml:space="preserve"> combined licenses to include plans for compliance with 50.155.</w:t>
      </w:r>
    </w:p>
    <w:p w14:paraId="101E9EFB" w14:textId="01C5BC82" w:rsidR="002B18F9" w:rsidRDefault="002B18F9" w:rsidP="0058435B">
      <w:pPr>
        <w:tabs>
          <w:tab w:val="left" w:pos="1980"/>
        </w:tabs>
        <w:rPr>
          <w:rFonts w:ascii="Arial" w:hAnsi="Arial" w:cs="Arial"/>
          <w:sz w:val="22"/>
          <w:szCs w:val="22"/>
        </w:rPr>
      </w:pPr>
    </w:p>
    <w:p w14:paraId="19DD78FB" w14:textId="607AB52F" w:rsidR="002B18F9" w:rsidRDefault="002B18F9" w:rsidP="0058435B">
      <w:pPr>
        <w:tabs>
          <w:tab w:val="left" w:pos="1980"/>
        </w:tabs>
        <w:rPr>
          <w:rFonts w:ascii="Arial" w:hAnsi="Arial" w:cs="Arial"/>
          <w:sz w:val="22"/>
          <w:szCs w:val="22"/>
        </w:rPr>
      </w:pPr>
      <w:bookmarkStart w:id="2" w:name="_Hlk7158182"/>
      <w:r>
        <w:rPr>
          <w:rFonts w:ascii="Arial" w:hAnsi="Arial" w:cs="Arial"/>
          <w:sz w:val="22"/>
          <w:szCs w:val="22"/>
        </w:rPr>
        <w:t xml:space="preserve">Additional </w:t>
      </w:r>
      <w:r w:rsidRPr="002B18F9">
        <w:rPr>
          <w:rFonts w:ascii="Arial" w:hAnsi="Arial" w:cs="Arial"/>
          <w:sz w:val="22"/>
          <w:szCs w:val="22"/>
        </w:rPr>
        <w:t>voluntary guidance for implementing the information collections associated with the MBDBE revisions and amendments to Parts 50 and 52</w:t>
      </w:r>
      <w:r>
        <w:rPr>
          <w:rFonts w:ascii="Arial" w:hAnsi="Arial" w:cs="Arial"/>
          <w:sz w:val="22"/>
          <w:szCs w:val="22"/>
        </w:rPr>
        <w:t xml:space="preserve"> can be found at </w:t>
      </w:r>
      <w:hyperlink r:id="rId9" w:history="1">
        <w:r w:rsidRPr="002B18F9">
          <w:rPr>
            <w:rFonts w:ascii="Arial" w:hAnsi="Arial" w:cs="Arial"/>
            <w:color w:val="0000FF"/>
            <w:sz w:val="22"/>
            <w:szCs w:val="22"/>
            <w:u w:val="single"/>
          </w:rPr>
          <w:t>https://www.nrc.gov/reading-rm/doc-collections/reg-guides/power-reactors/rg/</w:t>
        </w:r>
      </w:hyperlink>
      <w:r>
        <w:rPr>
          <w:rFonts w:ascii="Arial" w:hAnsi="Arial" w:cs="Arial"/>
          <w:sz w:val="22"/>
          <w:szCs w:val="22"/>
        </w:rPr>
        <w:t>.</w:t>
      </w:r>
    </w:p>
    <w:bookmarkEnd w:id="2"/>
    <w:p w14:paraId="5F8EE196" w14:textId="77777777" w:rsidR="0058435B" w:rsidRDefault="0058435B" w:rsidP="0058435B">
      <w:pPr>
        <w:tabs>
          <w:tab w:val="left" w:pos="1980"/>
        </w:tabs>
        <w:rPr>
          <w:rFonts w:ascii="Arial" w:hAnsi="Arial" w:cs="Arial"/>
          <w:sz w:val="22"/>
          <w:szCs w:val="22"/>
        </w:rPr>
      </w:pPr>
    </w:p>
    <w:p w14:paraId="0771306E" w14:textId="77777777" w:rsidR="0058435B" w:rsidRPr="00ED2F43" w:rsidRDefault="0058435B" w:rsidP="0058435B">
      <w:pPr>
        <w:keepNext/>
        <w:tabs>
          <w:tab w:val="left" w:pos="0"/>
          <w:tab w:val="left" w:pos="1260"/>
        </w:tabs>
        <w:ind w:left="720" w:hanging="720"/>
        <w:rPr>
          <w:rFonts w:ascii="Arial" w:hAnsi="Arial" w:cs="Arial"/>
          <w:sz w:val="22"/>
          <w:szCs w:val="22"/>
        </w:rPr>
      </w:pPr>
      <w:r w:rsidRPr="00ED2F43">
        <w:rPr>
          <w:rFonts w:ascii="Arial" w:hAnsi="Arial" w:cs="Arial"/>
          <w:sz w:val="22"/>
          <w:szCs w:val="22"/>
        </w:rPr>
        <w:t>2.</w:t>
      </w:r>
      <w:r w:rsidRPr="00ED2F43">
        <w:rPr>
          <w:rFonts w:ascii="Arial" w:hAnsi="Arial" w:cs="Arial"/>
          <w:sz w:val="22"/>
          <w:szCs w:val="22"/>
        </w:rPr>
        <w:tab/>
      </w:r>
      <w:r w:rsidRPr="00ED2F43">
        <w:rPr>
          <w:rFonts w:ascii="Arial" w:hAnsi="Arial" w:cs="Arial"/>
          <w:sz w:val="22"/>
          <w:szCs w:val="22"/>
          <w:u w:val="single"/>
        </w:rPr>
        <w:t>Agency Use of the Information</w:t>
      </w:r>
    </w:p>
    <w:p w14:paraId="1C5BA5E2" w14:textId="77777777" w:rsidR="0058435B" w:rsidRPr="00A0219C" w:rsidRDefault="0058435B" w:rsidP="0058435B">
      <w:pPr>
        <w:rPr>
          <w:rFonts w:ascii="Arial" w:hAnsi="Arial" w:cs="Arial"/>
          <w:sz w:val="22"/>
          <w:szCs w:val="22"/>
        </w:rPr>
      </w:pPr>
    </w:p>
    <w:p w14:paraId="02F7923E" w14:textId="48A26841" w:rsidR="0058435B" w:rsidRPr="00ED2F43" w:rsidRDefault="0058435B" w:rsidP="0058435B">
      <w:pPr>
        <w:rPr>
          <w:rFonts w:ascii="Arial" w:hAnsi="Arial" w:cs="Arial"/>
          <w:sz w:val="22"/>
          <w:szCs w:val="22"/>
        </w:rPr>
      </w:pPr>
      <w:r>
        <w:rPr>
          <w:rFonts w:ascii="Arial" w:hAnsi="Arial" w:cs="Arial"/>
          <w:sz w:val="22"/>
          <w:szCs w:val="22"/>
        </w:rPr>
        <w:t xml:space="preserve">The information identified will be used to determine licensee compliance with the requirements of the MBDBE rule and thus ensure that the power reactor licensees have developed </w:t>
      </w:r>
      <w:r w:rsidRPr="00953E0F">
        <w:rPr>
          <w:rFonts w:ascii="Arial" w:hAnsi="Arial" w:cs="Arial"/>
          <w:sz w:val="22"/>
          <w:szCs w:val="22"/>
        </w:rPr>
        <w:t>additional capability to respond to events exceed</w:t>
      </w:r>
      <w:r w:rsidR="00B53107">
        <w:rPr>
          <w:rFonts w:ascii="Arial" w:hAnsi="Arial" w:cs="Arial"/>
          <w:sz w:val="22"/>
          <w:szCs w:val="22"/>
        </w:rPr>
        <w:t>ing</w:t>
      </w:r>
      <w:r w:rsidRPr="00953E0F">
        <w:rPr>
          <w:rFonts w:ascii="Arial" w:hAnsi="Arial" w:cs="Arial"/>
          <w:sz w:val="22"/>
          <w:szCs w:val="22"/>
        </w:rPr>
        <w:t xml:space="preserve"> the external </w:t>
      </w:r>
      <w:r w:rsidR="00CD6ED6">
        <w:rPr>
          <w:rFonts w:ascii="Arial" w:hAnsi="Arial" w:cs="Arial"/>
          <w:sz w:val="22"/>
          <w:szCs w:val="22"/>
        </w:rPr>
        <w:t xml:space="preserve">events </w:t>
      </w:r>
      <w:r w:rsidRPr="00953E0F">
        <w:rPr>
          <w:rFonts w:ascii="Arial" w:hAnsi="Arial" w:cs="Arial"/>
          <w:sz w:val="22"/>
          <w:szCs w:val="22"/>
        </w:rPr>
        <w:t>design basis of the facility (e.g.,</w:t>
      </w:r>
      <w:r w:rsidR="001241A8">
        <w:rPr>
          <w:rFonts w:ascii="Arial" w:hAnsi="Arial" w:cs="Arial"/>
          <w:sz w:val="22"/>
          <w:szCs w:val="22"/>
        </w:rPr>
        <w:t> </w:t>
      </w:r>
      <w:r w:rsidRPr="00953E0F">
        <w:rPr>
          <w:rFonts w:ascii="Arial" w:hAnsi="Arial" w:cs="Arial"/>
          <w:sz w:val="22"/>
          <w:szCs w:val="22"/>
        </w:rPr>
        <w:t>events arising from severe natural phenomena)</w:t>
      </w:r>
      <w:r>
        <w:rPr>
          <w:rFonts w:ascii="Arial" w:hAnsi="Arial" w:cs="Arial"/>
          <w:sz w:val="22"/>
          <w:szCs w:val="22"/>
        </w:rPr>
        <w:t xml:space="preserve">.  </w:t>
      </w:r>
      <w:r w:rsidRPr="00ED2F43">
        <w:rPr>
          <w:rFonts w:ascii="Arial" w:hAnsi="Arial" w:cs="Arial"/>
          <w:sz w:val="22"/>
          <w:szCs w:val="22"/>
        </w:rPr>
        <w:t xml:space="preserve">If </w:t>
      </w:r>
      <w:r w:rsidR="00ED7F85">
        <w:rPr>
          <w:rFonts w:ascii="Arial" w:hAnsi="Arial" w:cs="Arial"/>
          <w:sz w:val="22"/>
          <w:szCs w:val="22"/>
        </w:rPr>
        <w:t xml:space="preserve">licensees are </w:t>
      </w:r>
      <w:r w:rsidRPr="00ED2F43">
        <w:rPr>
          <w:rFonts w:ascii="Arial" w:hAnsi="Arial" w:cs="Arial"/>
          <w:sz w:val="22"/>
          <w:szCs w:val="22"/>
        </w:rPr>
        <w:t xml:space="preserve">not in compliance, the information will allow NRC to assess how and when compliance </w:t>
      </w:r>
      <w:r w:rsidR="00ED7F85">
        <w:rPr>
          <w:rFonts w:ascii="Arial" w:hAnsi="Arial" w:cs="Arial"/>
          <w:sz w:val="22"/>
          <w:szCs w:val="22"/>
        </w:rPr>
        <w:t>with</w:t>
      </w:r>
      <w:r w:rsidRPr="00ED2F43">
        <w:rPr>
          <w:rFonts w:ascii="Arial" w:hAnsi="Arial" w:cs="Arial"/>
          <w:sz w:val="22"/>
          <w:szCs w:val="22"/>
        </w:rPr>
        <w:t xml:space="preserve"> the applicable requirements will be achieved.</w:t>
      </w:r>
    </w:p>
    <w:p w14:paraId="6EB1FE68" w14:textId="77777777" w:rsidR="0058435B" w:rsidRPr="00ED2F43" w:rsidRDefault="0058435B" w:rsidP="0058435B">
      <w:pPr>
        <w:rPr>
          <w:rFonts w:ascii="Arial" w:hAnsi="Arial" w:cs="Arial"/>
          <w:sz w:val="22"/>
          <w:szCs w:val="22"/>
        </w:rPr>
      </w:pPr>
    </w:p>
    <w:p w14:paraId="3D79CA3A" w14:textId="77777777" w:rsidR="0058435B" w:rsidRDefault="0058435B" w:rsidP="0058435B">
      <w:pPr>
        <w:pStyle w:val="Heading2OMB"/>
        <w:numPr>
          <w:ilvl w:val="0"/>
          <w:numId w:val="0"/>
        </w:numPr>
        <w:rPr>
          <w:u w:val="single"/>
        </w:rPr>
      </w:pPr>
      <w:r w:rsidRPr="00AB6EF4">
        <w:t xml:space="preserve">3. </w:t>
      </w:r>
      <w:r w:rsidRPr="00AB6EF4">
        <w:tab/>
      </w:r>
      <w:r w:rsidRPr="00AB6EF4">
        <w:rPr>
          <w:u w:val="single"/>
        </w:rPr>
        <w:t>Reduction of Burden through Information Technology</w:t>
      </w:r>
    </w:p>
    <w:p w14:paraId="044FF9F3" w14:textId="77777777" w:rsidR="0058435B" w:rsidRPr="001553FA" w:rsidRDefault="0058435B" w:rsidP="0058435B">
      <w:pPr>
        <w:pStyle w:val="Heading2OMB"/>
        <w:numPr>
          <w:ilvl w:val="0"/>
          <w:numId w:val="0"/>
        </w:numPr>
        <w:rPr>
          <w:u w:val="single"/>
        </w:rPr>
      </w:pPr>
    </w:p>
    <w:p w14:paraId="0B34A1D1" w14:textId="4C1B554D" w:rsidR="0058435B" w:rsidRPr="00ED2F43" w:rsidRDefault="0058435B" w:rsidP="0058435B">
      <w:pPr>
        <w:rPr>
          <w:rFonts w:ascii="Arial" w:hAnsi="Arial" w:cs="Arial"/>
          <w:sz w:val="22"/>
          <w:szCs w:val="22"/>
        </w:rPr>
      </w:pPr>
      <w:r w:rsidRPr="00A34260">
        <w:rPr>
          <w:rFonts w:ascii="Arial" w:hAnsi="Arial" w:cs="Arial"/>
          <w:sz w:val="22"/>
          <w:szCs w:val="22"/>
        </w:rPr>
        <w:t>There are no legal obstacles to reducing the burden associated with this information collection.  The NRC encourages respondents to use information technology when it would be beneficial to them.  The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w:t>
      </w:r>
      <w:r w:rsidR="00706E81">
        <w:rPr>
          <w:rFonts w:ascii="Arial" w:hAnsi="Arial" w:cs="Arial"/>
          <w:sz w:val="22"/>
          <w:szCs w:val="22"/>
        </w:rPr>
        <w:t xml:space="preserve">  </w:t>
      </w:r>
      <w:r w:rsidR="00706E81" w:rsidRPr="00E86B59">
        <w:rPr>
          <w:rFonts w:ascii="Arial" w:hAnsi="Arial" w:cs="Arial"/>
          <w:sz w:val="22"/>
          <w:szCs w:val="22"/>
        </w:rPr>
        <w:t xml:space="preserve">It is estimated </w:t>
      </w:r>
      <w:r w:rsidR="00706E81">
        <w:rPr>
          <w:rFonts w:ascii="Arial" w:hAnsi="Arial" w:cs="Arial"/>
          <w:sz w:val="22"/>
          <w:szCs w:val="22"/>
        </w:rPr>
        <w:t xml:space="preserve">the percentage of electronic submissions </w:t>
      </w:r>
      <w:r w:rsidR="00D9423E">
        <w:rPr>
          <w:rFonts w:ascii="Arial" w:hAnsi="Arial" w:cs="Arial"/>
          <w:sz w:val="22"/>
          <w:szCs w:val="22"/>
        </w:rPr>
        <w:t>for these requirements will be similar to the percentage for other Part 50 requirements (ap</w:t>
      </w:r>
      <w:r w:rsidR="00706E81" w:rsidRPr="00E86B59">
        <w:rPr>
          <w:rFonts w:ascii="Arial" w:hAnsi="Arial" w:cs="Arial"/>
          <w:sz w:val="22"/>
          <w:szCs w:val="22"/>
        </w:rPr>
        <w:t xml:space="preserve">proximately </w:t>
      </w:r>
      <w:r w:rsidR="00706E81" w:rsidRPr="00706024">
        <w:rPr>
          <w:rFonts w:ascii="Arial" w:hAnsi="Arial" w:cs="Arial"/>
          <w:sz w:val="22"/>
          <w:szCs w:val="22"/>
        </w:rPr>
        <w:t>54%</w:t>
      </w:r>
      <w:r w:rsidR="00706E81" w:rsidRPr="00E86B59">
        <w:rPr>
          <w:rFonts w:ascii="Arial" w:hAnsi="Arial" w:cs="Arial"/>
          <w:b/>
          <w:sz w:val="22"/>
          <w:szCs w:val="22"/>
        </w:rPr>
        <w:t xml:space="preserve"> </w:t>
      </w:r>
      <w:r w:rsidR="00706E81" w:rsidRPr="00E86B59">
        <w:rPr>
          <w:rFonts w:ascii="Arial" w:hAnsi="Arial" w:cs="Arial"/>
          <w:sz w:val="22"/>
          <w:szCs w:val="22"/>
        </w:rPr>
        <w:t>of the responses are filed electronically.</w:t>
      </w:r>
      <w:r w:rsidR="00D9423E">
        <w:rPr>
          <w:rFonts w:ascii="Arial" w:hAnsi="Arial" w:cs="Arial"/>
          <w:sz w:val="22"/>
          <w:szCs w:val="22"/>
        </w:rPr>
        <w:t>)</w:t>
      </w:r>
    </w:p>
    <w:p w14:paraId="7D308DCA" w14:textId="77777777" w:rsidR="0058435B" w:rsidRPr="00A34260" w:rsidRDefault="0058435B" w:rsidP="0058435B">
      <w:pPr>
        <w:rPr>
          <w:rFonts w:ascii="Arial" w:hAnsi="Arial" w:cs="Arial"/>
          <w:sz w:val="22"/>
          <w:szCs w:val="22"/>
        </w:rPr>
      </w:pPr>
    </w:p>
    <w:p w14:paraId="4ABC676F" w14:textId="77777777" w:rsidR="0058435B" w:rsidRPr="00A34260"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34260">
        <w:rPr>
          <w:rFonts w:ascii="Arial" w:hAnsi="Arial" w:cs="Arial"/>
          <w:sz w:val="22"/>
          <w:szCs w:val="22"/>
        </w:rPr>
        <w:t>4.</w:t>
      </w:r>
      <w:r w:rsidRPr="00A34260">
        <w:rPr>
          <w:rFonts w:ascii="Arial" w:hAnsi="Arial" w:cs="Arial"/>
          <w:sz w:val="22"/>
          <w:szCs w:val="22"/>
        </w:rPr>
        <w:tab/>
      </w:r>
      <w:r w:rsidRPr="00A34260">
        <w:rPr>
          <w:rFonts w:ascii="Arial" w:hAnsi="Arial" w:cs="Arial"/>
          <w:sz w:val="22"/>
          <w:szCs w:val="22"/>
          <w:u w:val="single"/>
        </w:rPr>
        <w:t>Effort to Identify Duplication and Use Similar Information</w:t>
      </w:r>
    </w:p>
    <w:p w14:paraId="38D8DA47" w14:textId="77777777" w:rsidR="0058435B" w:rsidRPr="00A34260"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23A9E2C" w14:textId="23E8C88A" w:rsidR="0058435B" w:rsidRPr="00A34260"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No sources of similar information are available.</w:t>
      </w:r>
    </w:p>
    <w:p w14:paraId="4DD2E9A8" w14:textId="77777777" w:rsidR="0058435B" w:rsidRPr="00A34260"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F5AAC9F" w14:textId="77777777" w:rsidR="0058435B" w:rsidRPr="00A34260"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34260">
        <w:rPr>
          <w:rFonts w:ascii="Arial" w:hAnsi="Arial" w:cs="Arial"/>
          <w:sz w:val="22"/>
          <w:szCs w:val="22"/>
        </w:rPr>
        <w:t>5.</w:t>
      </w:r>
      <w:r w:rsidRPr="00A34260">
        <w:rPr>
          <w:rFonts w:ascii="Arial" w:hAnsi="Arial" w:cs="Arial"/>
          <w:sz w:val="22"/>
          <w:szCs w:val="22"/>
        </w:rPr>
        <w:tab/>
      </w:r>
      <w:r w:rsidRPr="00A34260">
        <w:rPr>
          <w:rFonts w:ascii="Arial" w:hAnsi="Arial" w:cs="Arial"/>
          <w:sz w:val="22"/>
          <w:szCs w:val="22"/>
          <w:u w:val="single"/>
        </w:rPr>
        <w:t>Effort to Reduce Small Business Burden</w:t>
      </w:r>
    </w:p>
    <w:p w14:paraId="449D1A64" w14:textId="77777777" w:rsidR="0058435B" w:rsidRPr="00A34260"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A0A44DE" w14:textId="77777777" w:rsidR="0058435B" w:rsidRPr="00A0219C"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34260">
        <w:rPr>
          <w:rFonts w:ascii="Arial" w:hAnsi="Arial" w:cs="Arial"/>
          <w:sz w:val="22"/>
          <w:szCs w:val="22"/>
        </w:rPr>
        <w:t>The NRC has determined that the affected entities are not small entities or businesses as those terms are used in the Regulatory Flexibility Act.</w:t>
      </w:r>
    </w:p>
    <w:p w14:paraId="5700F0FB" w14:textId="77777777" w:rsidR="0058435B" w:rsidRPr="00A0219C"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A29C272" w14:textId="77777777" w:rsidR="0058435B" w:rsidRPr="00A0219C" w:rsidRDefault="0058435B" w:rsidP="0058435B">
      <w:pPr>
        <w:keepNext/>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A0219C">
        <w:rPr>
          <w:rFonts w:ascii="Arial" w:hAnsi="Arial" w:cs="Arial"/>
          <w:sz w:val="22"/>
          <w:szCs w:val="22"/>
        </w:rPr>
        <w:t>6.</w:t>
      </w:r>
      <w:r w:rsidRPr="00A0219C">
        <w:rPr>
          <w:rFonts w:ascii="Arial" w:hAnsi="Arial" w:cs="Arial"/>
          <w:sz w:val="22"/>
          <w:szCs w:val="22"/>
        </w:rPr>
        <w:tab/>
      </w:r>
      <w:r w:rsidRPr="00A0219C">
        <w:rPr>
          <w:rFonts w:ascii="Arial" w:hAnsi="Arial" w:cs="Arial"/>
          <w:sz w:val="22"/>
          <w:szCs w:val="22"/>
          <w:u w:val="single"/>
        </w:rPr>
        <w:t>Consequences to Federal Program or Policy Activities if the Collection Is Not Conducted or Is Conducted Less Frequently</w:t>
      </w:r>
    </w:p>
    <w:p w14:paraId="0F157386" w14:textId="77777777" w:rsidR="0058435B" w:rsidRPr="00A0219C" w:rsidRDefault="0058435B" w:rsidP="0058435B">
      <w:pPr>
        <w:keepNext/>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p>
    <w:p w14:paraId="44FD8291" w14:textId="2C70AF50" w:rsidR="0058435B" w:rsidRPr="00A0219C" w:rsidRDefault="0058435B" w:rsidP="0058435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 xml:space="preserve">If the information were not collected, or collected less frequently, the NRC </w:t>
      </w:r>
      <w:r>
        <w:rPr>
          <w:rFonts w:ascii="Arial" w:hAnsi="Arial" w:cs="Arial"/>
          <w:sz w:val="22"/>
          <w:szCs w:val="22"/>
        </w:rPr>
        <w:t>w</w:t>
      </w:r>
      <w:r w:rsidRPr="00A0219C">
        <w:rPr>
          <w:rFonts w:ascii="Arial" w:hAnsi="Arial" w:cs="Arial"/>
          <w:sz w:val="22"/>
          <w:szCs w:val="22"/>
        </w:rPr>
        <w:t xml:space="preserve">ould </w:t>
      </w:r>
      <w:r w:rsidR="00CD6ED6">
        <w:rPr>
          <w:rFonts w:ascii="Arial" w:hAnsi="Arial" w:cs="Arial"/>
          <w:sz w:val="22"/>
          <w:szCs w:val="22"/>
        </w:rPr>
        <w:t>not have an efficient means of confirming</w:t>
      </w:r>
      <w:r w:rsidRPr="00A0219C">
        <w:rPr>
          <w:rFonts w:ascii="Arial" w:hAnsi="Arial" w:cs="Arial"/>
          <w:sz w:val="22"/>
          <w:szCs w:val="22"/>
        </w:rPr>
        <w:t xml:space="preserve"> whether </w:t>
      </w:r>
      <w:r>
        <w:rPr>
          <w:rFonts w:ascii="Arial" w:hAnsi="Arial" w:cs="Arial"/>
          <w:sz w:val="22"/>
          <w:szCs w:val="22"/>
        </w:rPr>
        <w:t>licensees have improperly implemented and complied with the MBDBE rule</w:t>
      </w:r>
      <w:r w:rsidR="00CD6ED6">
        <w:rPr>
          <w:rFonts w:ascii="Arial" w:hAnsi="Arial" w:cs="Arial"/>
          <w:sz w:val="22"/>
          <w:szCs w:val="22"/>
        </w:rPr>
        <w:t>,</w:t>
      </w:r>
      <w:r>
        <w:rPr>
          <w:rFonts w:ascii="Arial" w:hAnsi="Arial" w:cs="Arial"/>
          <w:sz w:val="22"/>
          <w:szCs w:val="22"/>
        </w:rPr>
        <w:t xml:space="preserve"> including developed</w:t>
      </w:r>
      <w:r w:rsidRPr="003130CF">
        <w:rPr>
          <w:rFonts w:ascii="Arial" w:hAnsi="Arial" w:cs="Arial"/>
          <w:sz w:val="22"/>
          <w:szCs w:val="22"/>
        </w:rPr>
        <w:t xml:space="preserve"> training materials</w:t>
      </w:r>
      <w:r>
        <w:rPr>
          <w:rFonts w:ascii="Arial" w:hAnsi="Arial" w:cs="Arial"/>
          <w:sz w:val="22"/>
          <w:szCs w:val="22"/>
        </w:rPr>
        <w:t xml:space="preserve"> as well as </w:t>
      </w:r>
      <w:r w:rsidRPr="003130CF">
        <w:rPr>
          <w:rFonts w:ascii="Arial" w:hAnsi="Arial" w:cs="Arial"/>
          <w:sz w:val="22"/>
          <w:szCs w:val="22"/>
        </w:rPr>
        <w:t>document</w:t>
      </w:r>
      <w:r>
        <w:rPr>
          <w:rFonts w:ascii="Arial" w:hAnsi="Arial" w:cs="Arial"/>
          <w:sz w:val="22"/>
          <w:szCs w:val="22"/>
        </w:rPr>
        <w:t>ed training; or d</w:t>
      </w:r>
      <w:r w:rsidRPr="00566850">
        <w:rPr>
          <w:rFonts w:ascii="Arial" w:hAnsi="Arial" w:cs="Arial"/>
          <w:sz w:val="22"/>
          <w:szCs w:val="22"/>
        </w:rPr>
        <w:t>evelop</w:t>
      </w:r>
      <w:r>
        <w:rPr>
          <w:rFonts w:ascii="Arial" w:hAnsi="Arial" w:cs="Arial"/>
          <w:sz w:val="22"/>
          <w:szCs w:val="22"/>
        </w:rPr>
        <w:t>ed</w:t>
      </w:r>
      <w:r w:rsidRPr="00566850">
        <w:rPr>
          <w:rFonts w:ascii="Arial" w:hAnsi="Arial" w:cs="Arial"/>
          <w:sz w:val="22"/>
          <w:szCs w:val="22"/>
        </w:rPr>
        <w:t xml:space="preserve"> change control procedures</w:t>
      </w:r>
      <w:r>
        <w:rPr>
          <w:rFonts w:ascii="Arial" w:hAnsi="Arial" w:cs="Arial"/>
          <w:sz w:val="22"/>
          <w:szCs w:val="22"/>
        </w:rPr>
        <w:t>, programs, or plans.  Less frequent collection could adversely affect public health and safety.</w:t>
      </w:r>
    </w:p>
    <w:p w14:paraId="4C86D8EE" w14:textId="77777777" w:rsidR="0058435B" w:rsidRPr="00A0219C"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C3CFDA5" w14:textId="77777777" w:rsidR="0058435B" w:rsidRPr="00074E8E"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602757">
        <w:rPr>
          <w:rFonts w:ascii="Arial" w:hAnsi="Arial"/>
          <w:sz w:val="22"/>
        </w:rPr>
        <w:t>7.</w:t>
      </w:r>
      <w:r w:rsidRPr="00602757">
        <w:rPr>
          <w:rFonts w:ascii="Arial" w:hAnsi="Arial"/>
          <w:sz w:val="22"/>
        </w:rPr>
        <w:tab/>
      </w:r>
      <w:r w:rsidRPr="00602757">
        <w:rPr>
          <w:rFonts w:ascii="Arial" w:hAnsi="Arial"/>
          <w:sz w:val="22"/>
          <w:u w:val="single"/>
        </w:rPr>
        <w:t>Circumstances which Justify Variations from OMB Guidelines</w:t>
      </w:r>
    </w:p>
    <w:p w14:paraId="7ADBA550" w14:textId="77777777" w:rsidR="0058435B" w:rsidRPr="00074E8E" w:rsidRDefault="0058435B" w:rsidP="0058435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761F05D" w14:textId="77777777" w:rsidR="0058435B" w:rsidRDefault="0058435B" w:rsidP="0058435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D3500">
        <w:rPr>
          <w:rFonts w:ascii="Arial" w:hAnsi="Arial" w:cs="Arial"/>
          <w:sz w:val="22"/>
          <w:szCs w:val="22"/>
        </w:rPr>
        <w:t>This section identifies incremental recordkeeping and reporting burdens as a result of the rule that vary from OMB guidelines established in 5 CFR 1320.5(d)(2).</w:t>
      </w:r>
    </w:p>
    <w:p w14:paraId="634EF4D4" w14:textId="77777777" w:rsidR="0058435B" w:rsidRDefault="0058435B" w:rsidP="0058435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7134912" w14:textId="22034534" w:rsidR="0058435B" w:rsidRDefault="0058435B" w:rsidP="0058435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Operating reactors are required to comply with the information collections </w:t>
      </w:r>
      <w:r w:rsidRPr="003F69E4">
        <w:rPr>
          <w:rFonts w:ascii="Arial" w:hAnsi="Arial" w:cs="Arial"/>
          <w:sz w:val="22"/>
          <w:szCs w:val="22"/>
        </w:rPr>
        <w:t>until the Commission terminates the license, which is initially issued for 40 years</w:t>
      </w:r>
      <w:r>
        <w:rPr>
          <w:rFonts w:ascii="Arial" w:hAnsi="Arial" w:cs="Arial"/>
          <w:sz w:val="22"/>
          <w:szCs w:val="22"/>
        </w:rPr>
        <w:t xml:space="preserve"> and may be subsequently renewed for an additional 20 years.  Decommissioning reactors must comply with the information collection requirements until the spent fuel pools (SFPs) are empty of all irradiated fuel (or until an exemption is granted by the NRC).  These requirements </w:t>
      </w:r>
      <w:r w:rsidRPr="00CD3500">
        <w:rPr>
          <w:rFonts w:ascii="Arial" w:hAnsi="Arial" w:cs="Arial"/>
          <w:sz w:val="22"/>
          <w:szCs w:val="22"/>
        </w:rPr>
        <w:t xml:space="preserve">vary from </w:t>
      </w:r>
      <w:r>
        <w:rPr>
          <w:rFonts w:ascii="Arial" w:hAnsi="Arial" w:cs="Arial"/>
          <w:sz w:val="22"/>
          <w:szCs w:val="22"/>
        </w:rPr>
        <w:t>the OMB guidelines in 5 </w:t>
      </w:r>
      <w:r w:rsidRPr="00CD3500">
        <w:rPr>
          <w:rFonts w:ascii="Arial" w:hAnsi="Arial" w:cs="Arial"/>
          <w:sz w:val="22"/>
          <w:szCs w:val="22"/>
        </w:rPr>
        <w:t>CFR</w:t>
      </w:r>
      <w:r>
        <w:rPr>
          <w:rFonts w:ascii="Arial" w:hAnsi="Arial" w:cs="Arial"/>
          <w:sz w:val="22"/>
          <w:szCs w:val="22"/>
        </w:rPr>
        <w:t> </w:t>
      </w:r>
      <w:r w:rsidRPr="00CD3500">
        <w:rPr>
          <w:rFonts w:ascii="Arial" w:hAnsi="Arial" w:cs="Arial"/>
          <w:sz w:val="22"/>
          <w:szCs w:val="22"/>
        </w:rPr>
        <w:t>1320.5(d)(2)</w:t>
      </w:r>
      <w:r>
        <w:rPr>
          <w:rFonts w:ascii="Arial" w:hAnsi="Arial" w:cs="Arial"/>
          <w:sz w:val="22"/>
          <w:szCs w:val="22"/>
        </w:rPr>
        <w:t xml:space="preserve"> (iv)</w:t>
      </w:r>
      <w:r w:rsidRPr="00CD3500">
        <w:rPr>
          <w:rFonts w:ascii="Arial" w:hAnsi="Arial" w:cs="Arial"/>
          <w:sz w:val="22"/>
          <w:szCs w:val="22"/>
        </w:rPr>
        <w:t xml:space="preserve"> by requiring licensees and other entities to </w:t>
      </w:r>
      <w:r>
        <w:rPr>
          <w:rFonts w:ascii="Arial" w:hAnsi="Arial" w:cs="Arial"/>
          <w:sz w:val="22"/>
          <w:szCs w:val="22"/>
        </w:rPr>
        <w:t xml:space="preserve">retain records for more than </w:t>
      </w:r>
      <w:r w:rsidR="001F42EB">
        <w:rPr>
          <w:rFonts w:ascii="Arial" w:hAnsi="Arial" w:cs="Arial"/>
          <w:sz w:val="22"/>
          <w:szCs w:val="22"/>
        </w:rPr>
        <w:t>3 </w:t>
      </w:r>
      <w:r>
        <w:rPr>
          <w:rFonts w:ascii="Arial" w:hAnsi="Arial" w:cs="Arial"/>
          <w:sz w:val="22"/>
          <w:szCs w:val="22"/>
        </w:rPr>
        <w:t>year</w:t>
      </w:r>
      <w:r w:rsidR="005C2A4E">
        <w:rPr>
          <w:rFonts w:ascii="Arial" w:hAnsi="Arial" w:cs="Arial"/>
          <w:sz w:val="22"/>
          <w:szCs w:val="22"/>
        </w:rPr>
        <w:t>s</w:t>
      </w:r>
      <w:r>
        <w:rPr>
          <w:rFonts w:ascii="Arial" w:hAnsi="Arial" w:cs="Arial"/>
          <w:sz w:val="22"/>
          <w:szCs w:val="22"/>
        </w:rPr>
        <w:t xml:space="preserve">. </w:t>
      </w:r>
      <w:r w:rsidRPr="003F69E4">
        <w:rPr>
          <w:rFonts w:ascii="Arial" w:hAnsi="Arial" w:cs="Arial"/>
          <w:sz w:val="22"/>
          <w:szCs w:val="22"/>
        </w:rPr>
        <w:t xml:space="preserve"> </w:t>
      </w:r>
      <w:r>
        <w:rPr>
          <w:rFonts w:ascii="Arial" w:hAnsi="Arial" w:cs="Arial"/>
          <w:sz w:val="22"/>
          <w:szCs w:val="22"/>
        </w:rPr>
        <w:t>The specific provisions of the proposed rule that vary from OMB guidelines are Sections</w:t>
      </w:r>
      <w:r w:rsidRPr="00B85F06">
        <w:rPr>
          <w:rFonts w:ascii="Arial" w:hAnsi="Arial" w:cs="Arial"/>
          <w:sz w:val="22"/>
          <w:szCs w:val="22"/>
        </w:rPr>
        <w:t xml:space="preserve"> 50.</w:t>
      </w:r>
      <w:r>
        <w:rPr>
          <w:rFonts w:ascii="Arial" w:hAnsi="Arial" w:cs="Arial"/>
          <w:sz w:val="22"/>
          <w:szCs w:val="22"/>
        </w:rPr>
        <w:t>155</w:t>
      </w:r>
      <w:r w:rsidRPr="00B85F06">
        <w:rPr>
          <w:rFonts w:ascii="Arial" w:hAnsi="Arial" w:cs="Arial"/>
          <w:sz w:val="22"/>
          <w:szCs w:val="22"/>
        </w:rPr>
        <w:t>(a)(1)</w:t>
      </w:r>
      <w:r>
        <w:rPr>
          <w:rFonts w:ascii="Arial" w:hAnsi="Arial" w:cs="Arial"/>
          <w:sz w:val="22"/>
          <w:szCs w:val="22"/>
        </w:rPr>
        <w:t xml:space="preserve"> through</w:t>
      </w:r>
      <w:r w:rsidRPr="003F69E4">
        <w:rPr>
          <w:rFonts w:ascii="Arial" w:hAnsi="Arial" w:cs="Arial"/>
          <w:sz w:val="22"/>
          <w:szCs w:val="22"/>
        </w:rPr>
        <w:t xml:space="preserve"> (a)(</w:t>
      </w:r>
      <w:r>
        <w:rPr>
          <w:rFonts w:ascii="Arial" w:hAnsi="Arial" w:cs="Arial"/>
          <w:sz w:val="22"/>
          <w:szCs w:val="22"/>
        </w:rPr>
        <w:t>2</w:t>
      </w:r>
      <w:r w:rsidRPr="003F69E4">
        <w:rPr>
          <w:rFonts w:ascii="Arial" w:hAnsi="Arial" w:cs="Arial"/>
          <w:sz w:val="22"/>
          <w:szCs w:val="22"/>
        </w:rPr>
        <w:t>)</w:t>
      </w:r>
      <w:r>
        <w:rPr>
          <w:rFonts w:ascii="Arial" w:hAnsi="Arial" w:cs="Arial"/>
          <w:sz w:val="22"/>
          <w:szCs w:val="22"/>
        </w:rPr>
        <w:t>.</w:t>
      </w:r>
    </w:p>
    <w:p w14:paraId="69E7327F" w14:textId="77777777" w:rsidR="0058435B" w:rsidRDefault="0058435B" w:rsidP="0058435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5890EBF" w14:textId="77777777" w:rsidR="0058435B" w:rsidRDefault="0058435B" w:rsidP="0058435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Per Section</w:t>
      </w:r>
      <w:r w:rsidRPr="00B85F06">
        <w:rPr>
          <w:rFonts w:ascii="Arial" w:hAnsi="Arial" w:cs="Arial"/>
          <w:sz w:val="22"/>
          <w:szCs w:val="22"/>
        </w:rPr>
        <w:t xml:space="preserve"> 50.</w:t>
      </w:r>
      <w:r>
        <w:rPr>
          <w:rFonts w:ascii="Arial" w:hAnsi="Arial" w:cs="Arial"/>
          <w:sz w:val="22"/>
          <w:szCs w:val="22"/>
        </w:rPr>
        <w:t>155</w:t>
      </w:r>
      <w:r w:rsidRPr="00B85F06">
        <w:rPr>
          <w:rFonts w:ascii="Arial" w:hAnsi="Arial" w:cs="Arial"/>
          <w:sz w:val="22"/>
          <w:szCs w:val="22"/>
        </w:rPr>
        <w:t>(a)(1)</w:t>
      </w:r>
      <w:r>
        <w:rPr>
          <w:rFonts w:ascii="Arial" w:hAnsi="Arial" w:cs="Arial"/>
          <w:sz w:val="22"/>
          <w:szCs w:val="22"/>
        </w:rPr>
        <w:t>, the requirements in Section 50.155 apply throughout the life of each site’s operating license, until</w:t>
      </w:r>
      <w:r w:rsidRPr="00B85F06">
        <w:rPr>
          <w:rFonts w:ascii="Arial" w:hAnsi="Arial" w:cs="Arial"/>
          <w:sz w:val="22"/>
          <w:szCs w:val="22"/>
        </w:rPr>
        <w:t xml:space="preserve"> the </w:t>
      </w:r>
      <w:r>
        <w:rPr>
          <w:rFonts w:ascii="Arial" w:hAnsi="Arial" w:cs="Arial"/>
          <w:sz w:val="22"/>
          <w:szCs w:val="22"/>
        </w:rPr>
        <w:t>requirements are removed in accordance with the provisions in Section 50.155(a)(2) as discussed below.</w:t>
      </w:r>
    </w:p>
    <w:p w14:paraId="5607A2B5" w14:textId="77777777" w:rsidR="0058435B" w:rsidRDefault="0058435B" w:rsidP="0058435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DF9D41D" w14:textId="432CF903" w:rsidR="0058435B" w:rsidRDefault="0058435B" w:rsidP="0058435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F69E4">
        <w:rPr>
          <w:rFonts w:ascii="Arial" w:hAnsi="Arial" w:cs="Arial"/>
          <w:sz w:val="22"/>
          <w:szCs w:val="22"/>
        </w:rPr>
        <w:t>Section 50.</w:t>
      </w:r>
      <w:r>
        <w:rPr>
          <w:rFonts w:ascii="Arial" w:hAnsi="Arial" w:cs="Arial"/>
          <w:sz w:val="22"/>
          <w:szCs w:val="22"/>
        </w:rPr>
        <w:t>155</w:t>
      </w:r>
      <w:r w:rsidRPr="003F69E4">
        <w:rPr>
          <w:rFonts w:ascii="Arial" w:hAnsi="Arial" w:cs="Arial"/>
          <w:sz w:val="22"/>
          <w:szCs w:val="22"/>
        </w:rPr>
        <w:t>(a)(</w:t>
      </w:r>
      <w:r>
        <w:rPr>
          <w:rFonts w:ascii="Arial" w:hAnsi="Arial" w:cs="Arial"/>
          <w:sz w:val="22"/>
          <w:szCs w:val="22"/>
        </w:rPr>
        <w:t>2</w:t>
      </w:r>
      <w:r w:rsidRPr="003F69E4">
        <w:rPr>
          <w:rFonts w:ascii="Arial" w:hAnsi="Arial" w:cs="Arial"/>
          <w:sz w:val="22"/>
          <w:szCs w:val="22"/>
        </w:rPr>
        <w:t>) establish</w:t>
      </w:r>
      <w:r>
        <w:rPr>
          <w:rFonts w:ascii="Arial" w:hAnsi="Arial" w:cs="Arial"/>
          <w:sz w:val="22"/>
          <w:szCs w:val="22"/>
        </w:rPr>
        <w:t>es</w:t>
      </w:r>
      <w:r w:rsidRPr="003F69E4">
        <w:rPr>
          <w:rFonts w:ascii="Arial" w:hAnsi="Arial" w:cs="Arial"/>
          <w:sz w:val="22"/>
          <w:szCs w:val="22"/>
        </w:rPr>
        <w:t xml:space="preserve"> </w:t>
      </w:r>
      <w:r>
        <w:rPr>
          <w:rFonts w:ascii="Arial" w:hAnsi="Arial" w:cs="Arial"/>
          <w:sz w:val="22"/>
          <w:szCs w:val="22"/>
        </w:rPr>
        <w:t>when these</w:t>
      </w:r>
      <w:r w:rsidRPr="003F69E4">
        <w:rPr>
          <w:rFonts w:ascii="Arial" w:hAnsi="Arial" w:cs="Arial"/>
          <w:sz w:val="22"/>
          <w:szCs w:val="22"/>
        </w:rPr>
        <w:t xml:space="preserve"> requirement</w:t>
      </w:r>
      <w:r w:rsidR="00B53107">
        <w:rPr>
          <w:rFonts w:ascii="Arial" w:hAnsi="Arial" w:cs="Arial"/>
          <w:sz w:val="22"/>
          <w:szCs w:val="22"/>
        </w:rPr>
        <w:t>s</w:t>
      </w:r>
      <w:r w:rsidRPr="003F69E4">
        <w:rPr>
          <w:rFonts w:ascii="Arial" w:hAnsi="Arial" w:cs="Arial"/>
          <w:sz w:val="22"/>
          <w:szCs w:val="22"/>
        </w:rPr>
        <w:t xml:space="preserve"> </w:t>
      </w:r>
      <w:r>
        <w:rPr>
          <w:rFonts w:ascii="Arial" w:hAnsi="Arial" w:cs="Arial"/>
          <w:sz w:val="22"/>
          <w:szCs w:val="22"/>
        </w:rPr>
        <w:t xml:space="preserve">end </w:t>
      </w:r>
      <w:r w:rsidRPr="003F69E4">
        <w:rPr>
          <w:rFonts w:ascii="Arial" w:hAnsi="Arial" w:cs="Arial"/>
          <w:sz w:val="22"/>
          <w:szCs w:val="22"/>
        </w:rPr>
        <w:t>for licensees of decommissioning power reactors</w:t>
      </w:r>
      <w:r>
        <w:rPr>
          <w:rFonts w:ascii="Arial" w:hAnsi="Arial" w:cs="Arial"/>
          <w:sz w:val="22"/>
          <w:szCs w:val="22"/>
        </w:rPr>
        <w:t xml:space="preserve">.  This section allows licensees to </w:t>
      </w:r>
      <w:r w:rsidRPr="003F69E4">
        <w:rPr>
          <w:rFonts w:ascii="Arial" w:hAnsi="Arial" w:cs="Arial"/>
          <w:sz w:val="22"/>
          <w:szCs w:val="22"/>
        </w:rPr>
        <w:t xml:space="preserve">end compliance with the portions of this rule that apply to the reactor source term and associated fission product barriers when all fuel has been permanently removed from the reactor vessel and placed in the </w:t>
      </w:r>
      <w:r>
        <w:rPr>
          <w:rFonts w:ascii="Arial" w:hAnsi="Arial" w:cs="Arial"/>
          <w:sz w:val="22"/>
          <w:szCs w:val="22"/>
        </w:rPr>
        <w:t xml:space="preserve">SFP (i.e., no further requirement to comply with provisions that are associated with maintaining or restoring core cooling or primary containment functional capabilities).  This section </w:t>
      </w:r>
      <w:r w:rsidRPr="003F69E4">
        <w:rPr>
          <w:rFonts w:ascii="Arial" w:hAnsi="Arial" w:cs="Arial"/>
          <w:sz w:val="22"/>
          <w:szCs w:val="22"/>
        </w:rPr>
        <w:t>maintain</w:t>
      </w:r>
      <w:r>
        <w:rPr>
          <w:rFonts w:ascii="Arial" w:hAnsi="Arial" w:cs="Arial"/>
          <w:sz w:val="22"/>
          <w:szCs w:val="22"/>
        </w:rPr>
        <w:t>s</w:t>
      </w:r>
      <w:r w:rsidRPr="003F69E4">
        <w:rPr>
          <w:rFonts w:ascii="Arial" w:hAnsi="Arial" w:cs="Arial"/>
          <w:sz w:val="22"/>
          <w:szCs w:val="22"/>
        </w:rPr>
        <w:t xml:space="preserve"> </w:t>
      </w:r>
      <w:r>
        <w:rPr>
          <w:rFonts w:ascii="Arial" w:hAnsi="Arial" w:cs="Arial"/>
          <w:sz w:val="22"/>
          <w:szCs w:val="22"/>
        </w:rPr>
        <w:t xml:space="preserve">SFP cooling </w:t>
      </w:r>
      <w:r w:rsidRPr="003F69E4">
        <w:rPr>
          <w:rFonts w:ascii="Arial" w:hAnsi="Arial" w:cs="Arial"/>
          <w:sz w:val="22"/>
          <w:szCs w:val="22"/>
        </w:rPr>
        <w:t xml:space="preserve">for the </w:t>
      </w:r>
      <w:r>
        <w:rPr>
          <w:rFonts w:ascii="Arial" w:hAnsi="Arial" w:cs="Arial"/>
          <w:sz w:val="22"/>
          <w:szCs w:val="22"/>
        </w:rPr>
        <w:t>SFP</w:t>
      </w:r>
      <w:r w:rsidRPr="003F69E4">
        <w:rPr>
          <w:rFonts w:ascii="Arial" w:hAnsi="Arial" w:cs="Arial"/>
          <w:sz w:val="22"/>
          <w:szCs w:val="22"/>
        </w:rPr>
        <w:t xml:space="preserve"> source term.</w:t>
      </w:r>
      <w:r>
        <w:rPr>
          <w:rFonts w:ascii="Arial" w:hAnsi="Arial" w:cs="Arial"/>
          <w:sz w:val="22"/>
          <w:szCs w:val="22"/>
        </w:rPr>
        <w:t xml:space="preserve">  This section allows licensees to end compliance with all the provisions in this rule once the SFP is empty of irradiated fuel.</w:t>
      </w:r>
    </w:p>
    <w:p w14:paraId="744B5EFC" w14:textId="77777777" w:rsidR="0058435B" w:rsidRDefault="0058435B" w:rsidP="0058435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A87CC88" w14:textId="77777777" w:rsidR="0058435B" w:rsidRPr="00E81708" w:rsidRDefault="0058435B" w:rsidP="0058435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D3500">
        <w:rPr>
          <w:rFonts w:ascii="Arial" w:hAnsi="Arial" w:cs="Arial"/>
          <w:sz w:val="22"/>
          <w:szCs w:val="22"/>
        </w:rPr>
        <w:t xml:space="preserve">These variations from the OMB guidelines are justified because the information collections are needed </w:t>
      </w:r>
      <w:r>
        <w:rPr>
          <w:rFonts w:ascii="Arial" w:hAnsi="Arial" w:cs="Arial"/>
          <w:sz w:val="22"/>
          <w:szCs w:val="22"/>
        </w:rPr>
        <w:t>to ensure that the sites have the strategies and guidelines available to assist with the mitigation of beyond-design-basis events.</w:t>
      </w:r>
    </w:p>
    <w:p w14:paraId="16BE2EF0" w14:textId="77777777" w:rsidR="0058435B" w:rsidRPr="00A0219C"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91B6323" w14:textId="77777777" w:rsidR="0058435B" w:rsidRPr="00A0219C" w:rsidRDefault="0058435B" w:rsidP="0058435B">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8.</w:t>
      </w:r>
      <w:r w:rsidRPr="00A0219C">
        <w:rPr>
          <w:rFonts w:ascii="Arial" w:hAnsi="Arial" w:cs="Arial"/>
          <w:sz w:val="22"/>
          <w:szCs w:val="22"/>
        </w:rPr>
        <w:tab/>
      </w:r>
      <w:r w:rsidRPr="004D1D3F">
        <w:rPr>
          <w:rFonts w:ascii="Arial" w:hAnsi="Arial" w:cs="Arial"/>
          <w:sz w:val="22"/>
          <w:szCs w:val="22"/>
          <w:u w:val="single"/>
        </w:rPr>
        <w:t>Consultations Outside the NRC</w:t>
      </w:r>
    </w:p>
    <w:p w14:paraId="4AB70729" w14:textId="77777777" w:rsidR="0058435B" w:rsidRDefault="0058435B" w:rsidP="0058435B">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A9A9ABD" w14:textId="74155EE1" w:rsidR="0058435B" w:rsidRDefault="0058435B" w:rsidP="0058435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w:t>
      </w:r>
      <w:r w:rsidRPr="00A02ED0">
        <w:rPr>
          <w:rFonts w:ascii="Arial" w:hAnsi="Arial" w:cs="Arial"/>
          <w:sz w:val="22"/>
          <w:szCs w:val="22"/>
        </w:rPr>
        <w:t xml:space="preserve">information collection requirements </w:t>
      </w:r>
      <w:r>
        <w:rPr>
          <w:rFonts w:ascii="Arial" w:hAnsi="Arial" w:cs="Arial"/>
          <w:sz w:val="22"/>
          <w:szCs w:val="22"/>
        </w:rPr>
        <w:t>were</w:t>
      </w:r>
      <w:r w:rsidRPr="00A02ED0">
        <w:rPr>
          <w:rFonts w:ascii="Arial" w:hAnsi="Arial" w:cs="Arial"/>
          <w:sz w:val="22"/>
          <w:szCs w:val="22"/>
        </w:rPr>
        <w:t xml:space="preserve"> published </w:t>
      </w:r>
      <w:r>
        <w:rPr>
          <w:rFonts w:ascii="Arial" w:hAnsi="Arial" w:cs="Arial"/>
          <w:sz w:val="22"/>
          <w:szCs w:val="22"/>
        </w:rPr>
        <w:t xml:space="preserve">for public comment </w:t>
      </w:r>
      <w:r w:rsidRPr="00A02ED0">
        <w:rPr>
          <w:rFonts w:ascii="Arial" w:hAnsi="Arial" w:cs="Arial"/>
          <w:sz w:val="22"/>
          <w:szCs w:val="22"/>
        </w:rPr>
        <w:t xml:space="preserve">in the </w:t>
      </w:r>
      <w:r w:rsidRPr="00E73E4C">
        <w:rPr>
          <w:rFonts w:ascii="Arial" w:hAnsi="Arial" w:cs="Arial"/>
          <w:i/>
          <w:sz w:val="22"/>
          <w:szCs w:val="22"/>
        </w:rPr>
        <w:t xml:space="preserve">Federal Register </w:t>
      </w:r>
      <w:r w:rsidRPr="00E90D3B">
        <w:rPr>
          <w:rFonts w:ascii="Arial" w:hAnsi="Arial" w:cs="Arial"/>
          <w:sz w:val="22"/>
          <w:szCs w:val="22"/>
        </w:rPr>
        <w:t>on November 13, 2015 (80 FR 70609).</w:t>
      </w:r>
      <w:r>
        <w:rPr>
          <w:rFonts w:ascii="Arial" w:hAnsi="Arial" w:cs="Arial"/>
          <w:sz w:val="22"/>
          <w:szCs w:val="22"/>
        </w:rPr>
        <w:t xml:space="preserve">  No comments were received on the proposed information collections as a resu</w:t>
      </w:r>
      <w:r w:rsidR="0092442A">
        <w:rPr>
          <w:rFonts w:ascii="Arial" w:hAnsi="Arial" w:cs="Arial"/>
          <w:sz w:val="22"/>
          <w:szCs w:val="22"/>
        </w:rPr>
        <w:t>lt of public comment requests.</w:t>
      </w:r>
    </w:p>
    <w:p w14:paraId="482F459D" w14:textId="77777777" w:rsidR="0058435B" w:rsidRPr="003F396E" w:rsidRDefault="0058435B" w:rsidP="0058435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88E62AA" w14:textId="77777777" w:rsidR="0058435B" w:rsidRDefault="0058435B" w:rsidP="00C25DF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6E94">
        <w:rPr>
          <w:rFonts w:ascii="Arial" w:hAnsi="Arial" w:cs="Arial"/>
          <w:sz w:val="22"/>
          <w:szCs w:val="22"/>
        </w:rPr>
        <w:t>Th</w:t>
      </w:r>
      <w:r>
        <w:rPr>
          <w:rFonts w:ascii="Arial" w:hAnsi="Arial" w:cs="Arial"/>
          <w:sz w:val="22"/>
          <w:szCs w:val="22"/>
        </w:rPr>
        <w:t xml:space="preserve">e MBDBE </w:t>
      </w:r>
      <w:r w:rsidRPr="00636E94">
        <w:rPr>
          <w:rFonts w:ascii="Arial" w:hAnsi="Arial" w:cs="Arial"/>
          <w:sz w:val="22"/>
          <w:szCs w:val="22"/>
        </w:rPr>
        <w:t>rulemaking consolidates two previous rulemaking efforts: the Station Blackout Mitigation Strategies</w:t>
      </w:r>
      <w:r>
        <w:rPr>
          <w:rFonts w:ascii="Arial" w:hAnsi="Arial" w:cs="Arial"/>
          <w:sz w:val="22"/>
          <w:szCs w:val="22"/>
        </w:rPr>
        <w:t xml:space="preserve"> (SBOMS)</w:t>
      </w:r>
      <w:r w:rsidRPr="00636E94">
        <w:rPr>
          <w:rFonts w:ascii="Arial" w:hAnsi="Arial" w:cs="Arial"/>
          <w:sz w:val="22"/>
          <w:szCs w:val="22"/>
        </w:rPr>
        <w:t xml:space="preserve"> rulemaking and the Onsite Emergency Response Capabilities rulemaking.  Both regulatory efforts offered extensive external stakeholder involvement opportunities, including public meetings, Advance Notice</w:t>
      </w:r>
      <w:r>
        <w:rPr>
          <w:rFonts w:ascii="Arial" w:hAnsi="Arial" w:cs="Arial"/>
          <w:sz w:val="22"/>
          <w:szCs w:val="22"/>
        </w:rPr>
        <w:t>s</w:t>
      </w:r>
      <w:r w:rsidRPr="00636E94">
        <w:rPr>
          <w:rFonts w:ascii="Arial" w:hAnsi="Arial" w:cs="Arial"/>
          <w:sz w:val="22"/>
          <w:szCs w:val="22"/>
        </w:rPr>
        <w:t xml:space="preserve"> of Proposed Rulemaking </w:t>
      </w:r>
      <w:r>
        <w:rPr>
          <w:rFonts w:ascii="Arial" w:hAnsi="Arial" w:cs="Arial"/>
          <w:sz w:val="22"/>
          <w:szCs w:val="22"/>
        </w:rPr>
        <w:t xml:space="preserve">(ANPRs) </w:t>
      </w:r>
      <w:r w:rsidRPr="00636E94">
        <w:rPr>
          <w:rFonts w:ascii="Arial" w:hAnsi="Arial" w:cs="Arial"/>
          <w:sz w:val="22"/>
          <w:szCs w:val="22"/>
        </w:rPr>
        <w:t>issued for public comment, and draft regulatory basis documents issued for public comment.  The following were the major opportunities for stakeholder involvement:</w:t>
      </w:r>
    </w:p>
    <w:p w14:paraId="696BEA4C" w14:textId="77777777" w:rsidR="0058435B" w:rsidRPr="00636E94"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C085DF1" w14:textId="5F30E91A" w:rsidR="0058435B" w:rsidRPr="00636E94" w:rsidRDefault="0058435B" w:rsidP="0058435B">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36E94">
        <w:rPr>
          <w:rFonts w:ascii="Arial" w:hAnsi="Arial" w:cs="Arial"/>
          <w:sz w:val="22"/>
          <w:szCs w:val="22"/>
        </w:rPr>
        <w:t>Station Blackout ANPR (77 FR 16175</w:t>
      </w:r>
      <w:r w:rsidR="0092442A">
        <w:rPr>
          <w:rFonts w:ascii="Arial" w:hAnsi="Arial" w:cs="Arial"/>
          <w:sz w:val="22"/>
          <w:szCs w:val="22"/>
        </w:rPr>
        <w:t>, March 20, 2012)</w:t>
      </w:r>
    </w:p>
    <w:p w14:paraId="1808DBD1" w14:textId="202C1114" w:rsidR="0058435B" w:rsidRPr="00636E94" w:rsidRDefault="0058435B" w:rsidP="0058435B">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36E94">
        <w:rPr>
          <w:rFonts w:ascii="Arial" w:hAnsi="Arial" w:cs="Arial"/>
          <w:sz w:val="22"/>
          <w:szCs w:val="22"/>
        </w:rPr>
        <w:t>Onsite Emergency Response Capabilities ANPR (77 FR 23161</w:t>
      </w:r>
      <w:r w:rsidR="0092442A">
        <w:rPr>
          <w:rFonts w:ascii="Arial" w:hAnsi="Arial" w:cs="Arial"/>
          <w:sz w:val="22"/>
          <w:szCs w:val="22"/>
        </w:rPr>
        <w:t>, April 18, 2012)</w:t>
      </w:r>
    </w:p>
    <w:p w14:paraId="26E59EBE" w14:textId="5597E5E2" w:rsidR="0058435B" w:rsidRPr="00636E94" w:rsidRDefault="0058435B" w:rsidP="0058435B">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36E94">
        <w:rPr>
          <w:rFonts w:ascii="Arial" w:hAnsi="Arial" w:cs="Arial"/>
          <w:sz w:val="22"/>
          <w:szCs w:val="22"/>
        </w:rPr>
        <w:t>S</w:t>
      </w:r>
      <w:r>
        <w:rPr>
          <w:rFonts w:ascii="Arial" w:hAnsi="Arial" w:cs="Arial"/>
          <w:sz w:val="22"/>
          <w:szCs w:val="22"/>
        </w:rPr>
        <w:t>BOMS</w:t>
      </w:r>
      <w:r w:rsidRPr="00636E94">
        <w:rPr>
          <w:rFonts w:ascii="Arial" w:hAnsi="Arial" w:cs="Arial"/>
          <w:sz w:val="22"/>
          <w:szCs w:val="22"/>
        </w:rPr>
        <w:t xml:space="preserve"> draft regulatory basis and draft rule concepts (78 FR 21275</w:t>
      </w:r>
      <w:r w:rsidR="0092442A">
        <w:rPr>
          <w:rFonts w:ascii="Arial" w:hAnsi="Arial" w:cs="Arial"/>
          <w:sz w:val="22"/>
          <w:szCs w:val="22"/>
        </w:rPr>
        <w:t>,</w:t>
      </w:r>
      <w:r w:rsidRPr="00636E94">
        <w:rPr>
          <w:rFonts w:ascii="Arial" w:hAnsi="Arial" w:cs="Arial"/>
          <w:sz w:val="22"/>
          <w:szCs w:val="22"/>
        </w:rPr>
        <w:t xml:space="preserve"> April 10, 2013)</w:t>
      </w:r>
      <w:r w:rsidR="00B205F2">
        <w:rPr>
          <w:rStyle w:val="FootnoteReference"/>
          <w:rFonts w:ascii="Arial" w:hAnsi="Arial" w:cs="Arial"/>
          <w:sz w:val="22"/>
          <w:szCs w:val="22"/>
        </w:rPr>
        <w:footnoteReference w:id="4"/>
      </w:r>
    </w:p>
    <w:p w14:paraId="5207B33E" w14:textId="21926A17" w:rsidR="0058435B" w:rsidRPr="00636E94" w:rsidRDefault="0058435B" w:rsidP="0058435B">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36E94">
        <w:rPr>
          <w:rFonts w:ascii="Arial" w:hAnsi="Arial" w:cs="Arial"/>
          <w:sz w:val="22"/>
          <w:szCs w:val="22"/>
        </w:rPr>
        <w:t>Onsite Emergency Response Capabilities draft regulatory basis (78 FR 1154</w:t>
      </w:r>
      <w:r w:rsidR="0092442A">
        <w:rPr>
          <w:rFonts w:ascii="Arial" w:hAnsi="Arial" w:cs="Arial"/>
          <w:sz w:val="22"/>
          <w:szCs w:val="22"/>
        </w:rPr>
        <w:t>,</w:t>
      </w:r>
      <w:r w:rsidRPr="00636E94">
        <w:rPr>
          <w:rFonts w:ascii="Arial" w:hAnsi="Arial" w:cs="Arial"/>
          <w:sz w:val="22"/>
          <w:szCs w:val="22"/>
        </w:rPr>
        <w:t xml:space="preserve"> January</w:t>
      </w:r>
      <w:r>
        <w:rPr>
          <w:rFonts w:ascii="Arial" w:hAnsi="Arial" w:cs="Arial"/>
          <w:sz w:val="22"/>
          <w:szCs w:val="22"/>
        </w:rPr>
        <w:t> </w:t>
      </w:r>
      <w:r w:rsidRPr="00636E94">
        <w:rPr>
          <w:rFonts w:ascii="Arial" w:hAnsi="Arial" w:cs="Arial"/>
          <w:sz w:val="22"/>
          <w:szCs w:val="22"/>
        </w:rPr>
        <w:t>8,</w:t>
      </w:r>
      <w:r>
        <w:rPr>
          <w:rFonts w:ascii="Arial" w:hAnsi="Arial" w:cs="Arial"/>
          <w:sz w:val="22"/>
          <w:szCs w:val="22"/>
        </w:rPr>
        <w:t> </w:t>
      </w:r>
      <w:r w:rsidRPr="00636E94">
        <w:rPr>
          <w:rFonts w:ascii="Arial" w:hAnsi="Arial" w:cs="Arial"/>
          <w:sz w:val="22"/>
          <w:szCs w:val="22"/>
        </w:rPr>
        <w:t>2013)</w:t>
      </w:r>
      <w:r w:rsidR="00B205F2">
        <w:rPr>
          <w:rStyle w:val="FootnoteReference"/>
          <w:rFonts w:ascii="Arial" w:hAnsi="Arial" w:cs="Arial"/>
          <w:sz w:val="22"/>
          <w:szCs w:val="22"/>
        </w:rPr>
        <w:footnoteReference w:id="5"/>
      </w:r>
    </w:p>
    <w:p w14:paraId="0C7431A9" w14:textId="08FCBAF1" w:rsidR="0058435B" w:rsidRPr="00636E94" w:rsidRDefault="0058435B" w:rsidP="0058435B">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36E94">
        <w:rPr>
          <w:rFonts w:ascii="Arial" w:hAnsi="Arial" w:cs="Arial"/>
          <w:sz w:val="22"/>
          <w:szCs w:val="22"/>
        </w:rPr>
        <w:t>Preliminary proposed rule language for Onsite Emer</w:t>
      </w:r>
      <w:r>
        <w:rPr>
          <w:rFonts w:ascii="Arial" w:hAnsi="Arial" w:cs="Arial"/>
          <w:sz w:val="22"/>
          <w:szCs w:val="22"/>
        </w:rPr>
        <w:t>gency Response Capabilities (78 </w:t>
      </w:r>
      <w:r w:rsidRPr="00636E94">
        <w:rPr>
          <w:rFonts w:ascii="Arial" w:hAnsi="Arial" w:cs="Arial"/>
          <w:sz w:val="22"/>
          <w:szCs w:val="22"/>
        </w:rPr>
        <w:t>FR 68774</w:t>
      </w:r>
      <w:r w:rsidR="0092442A">
        <w:rPr>
          <w:rFonts w:ascii="Arial" w:hAnsi="Arial" w:cs="Arial"/>
          <w:sz w:val="22"/>
          <w:szCs w:val="22"/>
        </w:rPr>
        <w:t>,</w:t>
      </w:r>
      <w:r w:rsidRPr="00636E94">
        <w:rPr>
          <w:rFonts w:ascii="Arial" w:hAnsi="Arial" w:cs="Arial"/>
          <w:sz w:val="22"/>
          <w:szCs w:val="22"/>
        </w:rPr>
        <w:t xml:space="preserve"> November 15, 2013)</w:t>
      </w:r>
    </w:p>
    <w:p w14:paraId="60A1D598" w14:textId="77777777" w:rsidR="0058435B"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B8C00B6" w14:textId="77777777" w:rsidR="0058435B"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6E94">
        <w:rPr>
          <w:rFonts w:ascii="Arial" w:hAnsi="Arial" w:cs="Arial"/>
          <w:sz w:val="22"/>
          <w:szCs w:val="22"/>
        </w:rPr>
        <w:t xml:space="preserve">The public has had </w:t>
      </w:r>
      <w:r>
        <w:rPr>
          <w:rFonts w:ascii="Arial" w:hAnsi="Arial" w:cs="Arial"/>
          <w:sz w:val="22"/>
          <w:szCs w:val="22"/>
        </w:rPr>
        <w:t>additional</w:t>
      </w:r>
      <w:r w:rsidRPr="00636E94">
        <w:rPr>
          <w:rFonts w:ascii="Arial" w:hAnsi="Arial" w:cs="Arial"/>
          <w:sz w:val="22"/>
          <w:szCs w:val="22"/>
        </w:rPr>
        <w:t xml:space="preserve"> opportunities to engage in these regulatory efforts</w:t>
      </w:r>
      <w:r>
        <w:rPr>
          <w:rFonts w:ascii="Arial" w:hAnsi="Arial" w:cs="Arial"/>
          <w:sz w:val="22"/>
          <w:szCs w:val="22"/>
        </w:rPr>
        <w:t xml:space="preserve"> for the MBDBE rulemaking</w:t>
      </w:r>
      <w:r w:rsidRPr="00636E94">
        <w:rPr>
          <w:rFonts w:ascii="Arial" w:hAnsi="Arial" w:cs="Arial"/>
          <w:sz w:val="22"/>
          <w:szCs w:val="22"/>
        </w:rPr>
        <w:t>.  Most noteworthy were the following:</w:t>
      </w:r>
    </w:p>
    <w:p w14:paraId="05040D74" w14:textId="77777777" w:rsidR="0058435B" w:rsidRPr="00636E94"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784CB9F" w14:textId="7E495C9E" w:rsidR="0058435B" w:rsidRPr="0028068B" w:rsidRDefault="0058435B" w:rsidP="0058435B">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28068B">
        <w:rPr>
          <w:rFonts w:ascii="Arial" w:hAnsi="Arial" w:cs="Arial"/>
          <w:sz w:val="22"/>
          <w:szCs w:val="22"/>
        </w:rPr>
        <w:t>Consolidated rulemaking proof of concept language published on February 21, 2014 (</w:t>
      </w:r>
      <w:r w:rsidR="003C4A8D">
        <w:rPr>
          <w:rFonts w:ascii="Arial" w:hAnsi="Arial" w:cs="Arial"/>
          <w:sz w:val="22"/>
          <w:szCs w:val="22"/>
        </w:rPr>
        <w:t>ADAMS</w:t>
      </w:r>
      <w:r w:rsidRPr="0028068B">
        <w:rPr>
          <w:rFonts w:ascii="Arial" w:hAnsi="Arial" w:cs="Arial"/>
          <w:sz w:val="22"/>
          <w:szCs w:val="22"/>
        </w:rPr>
        <w:t xml:space="preserve"> Accession No.</w:t>
      </w:r>
      <w:r>
        <w:rPr>
          <w:rFonts w:ascii="Arial" w:hAnsi="Arial" w:cs="Arial"/>
          <w:sz w:val="22"/>
          <w:szCs w:val="22"/>
        </w:rPr>
        <w:t> </w:t>
      </w:r>
      <w:r w:rsidR="0092442A">
        <w:rPr>
          <w:rFonts w:ascii="Arial" w:hAnsi="Arial" w:cs="Arial"/>
          <w:sz w:val="22"/>
          <w:szCs w:val="22"/>
        </w:rPr>
        <w:t>ML14052A057)</w:t>
      </w:r>
    </w:p>
    <w:p w14:paraId="0C845A3F" w14:textId="252B0E3C" w:rsidR="0058435B" w:rsidRPr="00636E94" w:rsidRDefault="0058435B" w:rsidP="0058435B">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36E94">
        <w:rPr>
          <w:rFonts w:ascii="Arial" w:hAnsi="Arial" w:cs="Arial"/>
          <w:sz w:val="22"/>
          <w:szCs w:val="22"/>
        </w:rPr>
        <w:t xml:space="preserve">Preliminary proposed rule language for </w:t>
      </w:r>
      <w:r>
        <w:rPr>
          <w:rFonts w:ascii="Arial" w:hAnsi="Arial" w:cs="Arial"/>
          <w:sz w:val="22"/>
          <w:szCs w:val="22"/>
        </w:rPr>
        <w:t>consolidated</w:t>
      </w:r>
      <w:r w:rsidRPr="00636E94">
        <w:rPr>
          <w:rFonts w:ascii="Arial" w:hAnsi="Arial" w:cs="Arial"/>
          <w:sz w:val="22"/>
          <w:szCs w:val="22"/>
        </w:rPr>
        <w:t xml:space="preserve"> rulemaking published August</w:t>
      </w:r>
      <w:r>
        <w:rPr>
          <w:rFonts w:ascii="Arial" w:hAnsi="Arial" w:cs="Arial"/>
          <w:sz w:val="22"/>
          <w:szCs w:val="22"/>
        </w:rPr>
        <w:t> </w:t>
      </w:r>
      <w:r w:rsidRPr="00636E94">
        <w:rPr>
          <w:rFonts w:ascii="Arial" w:hAnsi="Arial" w:cs="Arial"/>
          <w:sz w:val="22"/>
          <w:szCs w:val="22"/>
        </w:rPr>
        <w:t>15,</w:t>
      </w:r>
      <w:r>
        <w:rPr>
          <w:rFonts w:ascii="Arial" w:hAnsi="Arial" w:cs="Arial"/>
          <w:sz w:val="22"/>
          <w:szCs w:val="22"/>
        </w:rPr>
        <w:t> </w:t>
      </w:r>
      <w:r w:rsidRPr="00636E94">
        <w:rPr>
          <w:rFonts w:ascii="Arial" w:hAnsi="Arial" w:cs="Arial"/>
          <w:sz w:val="22"/>
          <w:szCs w:val="22"/>
        </w:rPr>
        <w:t>2014</w:t>
      </w:r>
      <w:r>
        <w:rPr>
          <w:rFonts w:ascii="Arial" w:hAnsi="Arial" w:cs="Arial"/>
          <w:sz w:val="22"/>
          <w:szCs w:val="22"/>
        </w:rPr>
        <w:t xml:space="preserve"> (</w:t>
      </w:r>
      <w:r w:rsidRPr="002A492E">
        <w:rPr>
          <w:rFonts w:ascii="Arial" w:hAnsi="Arial" w:cs="Arial"/>
          <w:sz w:val="22"/>
          <w:szCs w:val="22"/>
        </w:rPr>
        <w:t xml:space="preserve">ADAMS Accession No. </w:t>
      </w:r>
      <w:r w:rsidRPr="00F37BAD">
        <w:rPr>
          <w:rFonts w:ascii="Arial" w:hAnsi="Arial" w:cs="Arial"/>
          <w:sz w:val="22"/>
          <w:szCs w:val="22"/>
        </w:rPr>
        <w:t>ML14218A253</w:t>
      </w:r>
      <w:r w:rsidR="0092442A">
        <w:rPr>
          <w:rFonts w:ascii="Arial" w:hAnsi="Arial" w:cs="Arial"/>
          <w:sz w:val="22"/>
          <w:szCs w:val="22"/>
        </w:rPr>
        <w:t>)</w:t>
      </w:r>
    </w:p>
    <w:p w14:paraId="4C86E14D" w14:textId="7FCDCE76" w:rsidR="0058435B" w:rsidRDefault="0058435B" w:rsidP="0058435B">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36E94">
        <w:rPr>
          <w:rFonts w:ascii="Arial" w:hAnsi="Arial" w:cs="Arial"/>
          <w:sz w:val="22"/>
          <w:szCs w:val="22"/>
        </w:rPr>
        <w:t xml:space="preserve">Preliminary proposed rule language for </w:t>
      </w:r>
      <w:r>
        <w:rPr>
          <w:rFonts w:ascii="Arial" w:hAnsi="Arial" w:cs="Arial"/>
          <w:sz w:val="22"/>
          <w:szCs w:val="22"/>
        </w:rPr>
        <w:t>consolidated</w:t>
      </w:r>
      <w:r w:rsidRPr="00636E94">
        <w:rPr>
          <w:rFonts w:ascii="Arial" w:hAnsi="Arial" w:cs="Arial"/>
          <w:sz w:val="22"/>
          <w:szCs w:val="22"/>
        </w:rPr>
        <w:t xml:space="preserve"> rulemaking published November</w:t>
      </w:r>
      <w:r>
        <w:rPr>
          <w:rFonts w:ascii="Arial" w:hAnsi="Arial" w:cs="Arial"/>
          <w:sz w:val="22"/>
          <w:szCs w:val="22"/>
        </w:rPr>
        <w:t> </w:t>
      </w:r>
      <w:r w:rsidRPr="00636E94">
        <w:rPr>
          <w:rFonts w:ascii="Arial" w:hAnsi="Arial" w:cs="Arial"/>
          <w:sz w:val="22"/>
          <w:szCs w:val="22"/>
        </w:rPr>
        <w:t>13, 2014</w:t>
      </w:r>
      <w:r>
        <w:rPr>
          <w:rFonts w:ascii="Arial" w:hAnsi="Arial" w:cs="Arial"/>
          <w:sz w:val="22"/>
          <w:szCs w:val="22"/>
        </w:rPr>
        <w:t xml:space="preserve"> (</w:t>
      </w:r>
      <w:r w:rsidRPr="002A492E">
        <w:rPr>
          <w:rFonts w:ascii="Arial" w:hAnsi="Arial" w:cs="Arial"/>
          <w:sz w:val="22"/>
          <w:szCs w:val="22"/>
        </w:rPr>
        <w:t xml:space="preserve">ADAMS Accession No. </w:t>
      </w:r>
      <w:r>
        <w:rPr>
          <w:rFonts w:ascii="Arial" w:hAnsi="Arial" w:cs="Arial"/>
          <w:sz w:val="22"/>
          <w:szCs w:val="22"/>
        </w:rPr>
        <w:t>ML14316A297),</w:t>
      </w:r>
      <w:r w:rsidRPr="00636E94">
        <w:rPr>
          <w:rFonts w:ascii="Arial" w:hAnsi="Arial" w:cs="Arial"/>
          <w:sz w:val="22"/>
          <w:szCs w:val="22"/>
        </w:rPr>
        <w:t xml:space="preserve"> and December 8, 2014</w:t>
      </w:r>
      <w:r>
        <w:rPr>
          <w:rFonts w:ascii="Arial" w:hAnsi="Arial" w:cs="Arial"/>
          <w:sz w:val="22"/>
          <w:szCs w:val="22"/>
        </w:rPr>
        <w:t xml:space="preserve"> (</w:t>
      </w:r>
      <w:r w:rsidRPr="002A492E">
        <w:rPr>
          <w:rFonts w:ascii="Arial" w:hAnsi="Arial" w:cs="Arial"/>
          <w:sz w:val="22"/>
          <w:szCs w:val="22"/>
        </w:rPr>
        <w:t xml:space="preserve">ADAMS Accession No. </w:t>
      </w:r>
      <w:r>
        <w:rPr>
          <w:rFonts w:ascii="Arial" w:hAnsi="Arial" w:cs="Arial"/>
          <w:sz w:val="22"/>
          <w:szCs w:val="22"/>
        </w:rPr>
        <w:t>ML14336A641),</w:t>
      </w:r>
      <w:r w:rsidRPr="00636E94">
        <w:rPr>
          <w:rFonts w:ascii="Arial" w:hAnsi="Arial" w:cs="Arial"/>
          <w:sz w:val="22"/>
          <w:szCs w:val="22"/>
        </w:rPr>
        <w:t xml:space="preserve"> to support public discussion with the </w:t>
      </w:r>
      <w:r>
        <w:rPr>
          <w:rFonts w:ascii="Arial" w:hAnsi="Arial" w:cs="Arial"/>
          <w:sz w:val="22"/>
          <w:szCs w:val="22"/>
        </w:rPr>
        <w:t>Advisory Committee on Reactor Safeguards (</w:t>
      </w:r>
      <w:r w:rsidRPr="00636E94">
        <w:rPr>
          <w:rFonts w:ascii="Arial" w:hAnsi="Arial" w:cs="Arial"/>
          <w:sz w:val="22"/>
          <w:szCs w:val="22"/>
        </w:rPr>
        <w:t>ACRS</w:t>
      </w:r>
      <w:r>
        <w:rPr>
          <w:rFonts w:ascii="Arial" w:hAnsi="Arial" w:cs="Arial"/>
          <w:sz w:val="22"/>
          <w:szCs w:val="22"/>
        </w:rPr>
        <w:t>)</w:t>
      </w:r>
    </w:p>
    <w:p w14:paraId="6D7E2C93" w14:textId="0026667E" w:rsidR="0058435B" w:rsidRDefault="0058435B" w:rsidP="0058435B">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 xml:space="preserve">Proposed MBDBE rulemaking issued for a 90-day public comment period on </w:t>
      </w:r>
      <w:r w:rsidR="0092442A">
        <w:rPr>
          <w:rFonts w:ascii="Arial" w:hAnsi="Arial" w:cs="Arial"/>
          <w:sz w:val="22"/>
          <w:szCs w:val="22"/>
        </w:rPr>
        <w:t>November 13, 2015 (80 FR 70609)</w:t>
      </w:r>
    </w:p>
    <w:p w14:paraId="1C80E8EF" w14:textId="371EC00E" w:rsidR="0058435B" w:rsidRDefault="0058435B" w:rsidP="0058435B">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Public meeting held on January 21, 2016</w:t>
      </w:r>
      <w:r w:rsidR="00310CFF">
        <w:rPr>
          <w:rFonts w:ascii="Arial" w:hAnsi="Arial" w:cs="Arial"/>
          <w:sz w:val="22"/>
          <w:szCs w:val="22"/>
        </w:rPr>
        <w:t>,</w:t>
      </w:r>
      <w:r>
        <w:rPr>
          <w:rFonts w:ascii="Arial" w:hAnsi="Arial" w:cs="Arial"/>
          <w:sz w:val="22"/>
          <w:szCs w:val="22"/>
        </w:rPr>
        <w:t xml:space="preserve"> to discuss the proposed rule with external stakeholders and thereby enable more informed feedback to b</w:t>
      </w:r>
      <w:r w:rsidR="0092442A">
        <w:rPr>
          <w:rFonts w:ascii="Arial" w:hAnsi="Arial" w:cs="Arial"/>
          <w:sz w:val="22"/>
          <w:szCs w:val="22"/>
        </w:rPr>
        <w:t>e provided on the proposed rule</w:t>
      </w:r>
    </w:p>
    <w:p w14:paraId="1874D119" w14:textId="5F6402D1" w:rsidR="0058435B" w:rsidRPr="00636E94" w:rsidRDefault="0058435B" w:rsidP="0058435B">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Public meeting held on November 10, 2016</w:t>
      </w:r>
      <w:r w:rsidR="00310CFF">
        <w:rPr>
          <w:rFonts w:ascii="Arial" w:hAnsi="Arial" w:cs="Arial"/>
          <w:sz w:val="22"/>
          <w:szCs w:val="22"/>
        </w:rPr>
        <w:t>,</w:t>
      </w:r>
      <w:r>
        <w:rPr>
          <w:rFonts w:ascii="Arial" w:hAnsi="Arial" w:cs="Arial"/>
          <w:sz w:val="22"/>
          <w:szCs w:val="22"/>
        </w:rPr>
        <w:t xml:space="preserve"> to discuss the implementation schedule for the MBDBE rule and obtain feedback concerning cumulative effects of regulation, which could then be used to make appropriate adjus</w:t>
      </w:r>
      <w:r w:rsidR="0092442A">
        <w:rPr>
          <w:rFonts w:ascii="Arial" w:hAnsi="Arial" w:cs="Arial"/>
          <w:sz w:val="22"/>
          <w:szCs w:val="22"/>
        </w:rPr>
        <w:t>tments to rule compliance dates</w:t>
      </w:r>
    </w:p>
    <w:p w14:paraId="54866F5E" w14:textId="77777777" w:rsidR="0058435B" w:rsidRPr="00A0219C"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46B4755" w14:textId="77777777" w:rsidR="0058435B" w:rsidRPr="00A0219C" w:rsidRDefault="0058435B" w:rsidP="0058435B">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9.</w:t>
      </w:r>
      <w:r w:rsidRPr="00A0219C">
        <w:rPr>
          <w:rFonts w:ascii="Arial" w:hAnsi="Arial" w:cs="Arial"/>
          <w:sz w:val="22"/>
          <w:szCs w:val="22"/>
        </w:rPr>
        <w:tab/>
      </w:r>
      <w:r w:rsidRPr="00A0219C">
        <w:rPr>
          <w:rFonts w:ascii="Arial" w:hAnsi="Arial" w:cs="Arial"/>
          <w:sz w:val="22"/>
          <w:szCs w:val="22"/>
          <w:u w:val="single"/>
        </w:rPr>
        <w:t>Payment or Gift to Respondents</w:t>
      </w:r>
    </w:p>
    <w:p w14:paraId="629C6E14" w14:textId="77777777" w:rsidR="0058435B" w:rsidRPr="00A0219C" w:rsidRDefault="0058435B" w:rsidP="0058435B">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637EC2E" w14:textId="77777777" w:rsidR="0058435B" w:rsidRPr="00A0219C" w:rsidRDefault="0058435B" w:rsidP="0058435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6569F">
        <w:rPr>
          <w:rFonts w:ascii="Arial" w:hAnsi="Arial" w:cs="Arial"/>
          <w:sz w:val="22"/>
          <w:szCs w:val="22"/>
        </w:rPr>
        <w:t>Not applicable.</w:t>
      </w:r>
    </w:p>
    <w:p w14:paraId="4A6C5E4D" w14:textId="77777777" w:rsidR="0058435B" w:rsidRPr="00A0219C"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ab/>
      </w:r>
    </w:p>
    <w:p w14:paraId="3A6A95A7" w14:textId="77777777" w:rsidR="0058435B" w:rsidRPr="00A0219C" w:rsidRDefault="0058435B" w:rsidP="0058435B">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10.</w:t>
      </w:r>
      <w:r w:rsidRPr="00A0219C">
        <w:rPr>
          <w:rFonts w:ascii="Arial" w:hAnsi="Arial" w:cs="Arial"/>
          <w:sz w:val="22"/>
          <w:szCs w:val="22"/>
        </w:rPr>
        <w:tab/>
      </w:r>
      <w:r w:rsidRPr="00A0219C">
        <w:rPr>
          <w:rFonts w:ascii="Arial" w:hAnsi="Arial" w:cs="Arial"/>
          <w:sz w:val="22"/>
          <w:szCs w:val="22"/>
          <w:u w:val="single"/>
        </w:rPr>
        <w:t>Confidentiality of Information</w:t>
      </w:r>
    </w:p>
    <w:p w14:paraId="25FBEDCE" w14:textId="77777777" w:rsidR="0058435B" w:rsidRPr="00A0219C" w:rsidRDefault="0058435B" w:rsidP="0058435B">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CDEABE9" w14:textId="77777777" w:rsidR="0058435B" w:rsidRPr="00A0219C" w:rsidRDefault="0058435B" w:rsidP="0058435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6569F">
        <w:rPr>
          <w:rFonts w:ascii="Arial" w:hAnsi="Arial" w:cs="Arial"/>
          <w:sz w:val="22"/>
          <w:szCs w:val="22"/>
        </w:rPr>
        <w:t xml:space="preserve">Confidential and proprietary information is protected in accordance with NRC regulations at </w:t>
      </w:r>
      <w:r>
        <w:rPr>
          <w:rFonts w:ascii="Arial" w:hAnsi="Arial" w:cs="Arial"/>
          <w:sz w:val="22"/>
          <w:szCs w:val="22"/>
        </w:rPr>
        <w:t>10 </w:t>
      </w:r>
      <w:r w:rsidRPr="0026569F">
        <w:rPr>
          <w:rFonts w:ascii="Arial" w:hAnsi="Arial" w:cs="Arial"/>
          <w:sz w:val="22"/>
          <w:szCs w:val="22"/>
        </w:rPr>
        <w:t>CFR 9.17(a) and 10 CFR 2.390(b).</w:t>
      </w:r>
    </w:p>
    <w:p w14:paraId="1575ECB4" w14:textId="77777777" w:rsidR="0058435B" w:rsidRPr="00A0219C"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8066DCF" w14:textId="77777777" w:rsidR="0058435B" w:rsidRPr="00A611F0" w:rsidRDefault="0058435B" w:rsidP="00C25DF2">
      <w:pPr>
        <w:keepNext/>
        <w:keepLines/>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A611F0">
        <w:rPr>
          <w:rFonts w:ascii="Arial" w:hAnsi="Arial"/>
          <w:sz w:val="22"/>
        </w:rPr>
        <w:t>11.</w:t>
      </w:r>
      <w:r w:rsidRPr="00A611F0">
        <w:rPr>
          <w:rFonts w:ascii="Arial" w:hAnsi="Arial"/>
          <w:sz w:val="22"/>
        </w:rPr>
        <w:tab/>
      </w:r>
      <w:r w:rsidRPr="00A611F0">
        <w:rPr>
          <w:rFonts w:ascii="Arial" w:hAnsi="Arial"/>
          <w:sz w:val="22"/>
          <w:u w:val="single"/>
        </w:rPr>
        <w:t>Justification for Sensitive Questions</w:t>
      </w:r>
    </w:p>
    <w:p w14:paraId="59AF95C9" w14:textId="77777777" w:rsidR="0058435B" w:rsidRPr="00A611F0" w:rsidRDefault="0058435B" w:rsidP="00C25DF2">
      <w:pPr>
        <w:keepNext/>
        <w:keepLines/>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01215F6" w14:textId="77777777" w:rsidR="0058435B" w:rsidRPr="00A0219C" w:rsidRDefault="0058435B" w:rsidP="00C25DF2">
      <w:pPr>
        <w:keepNext/>
        <w:keepLines/>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There are no sensitive questions included in these information collections</w:t>
      </w:r>
      <w:r w:rsidRPr="0026569F">
        <w:rPr>
          <w:rFonts w:ascii="Arial" w:hAnsi="Arial" w:cs="Arial"/>
          <w:sz w:val="22"/>
          <w:szCs w:val="22"/>
        </w:rPr>
        <w:t>.</w:t>
      </w:r>
    </w:p>
    <w:p w14:paraId="10E16552" w14:textId="77777777" w:rsidR="0058435B" w:rsidRPr="00A0219C" w:rsidRDefault="0058435B" w:rsidP="0058435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1F8C44B" w14:textId="77777777" w:rsidR="0058435B" w:rsidRPr="00A0219C" w:rsidRDefault="0058435B" w:rsidP="0058435B">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r w:rsidRPr="00A0219C">
        <w:rPr>
          <w:rFonts w:ascii="Arial" w:hAnsi="Arial" w:cs="Arial"/>
          <w:sz w:val="22"/>
          <w:szCs w:val="22"/>
        </w:rPr>
        <w:t>12.</w:t>
      </w:r>
      <w:r w:rsidRPr="00A0219C">
        <w:rPr>
          <w:rFonts w:ascii="Arial" w:hAnsi="Arial" w:cs="Arial"/>
          <w:sz w:val="22"/>
          <w:szCs w:val="22"/>
        </w:rPr>
        <w:tab/>
      </w:r>
      <w:r w:rsidRPr="007B7C2C">
        <w:rPr>
          <w:rFonts w:ascii="Arial" w:hAnsi="Arial" w:cs="Arial"/>
          <w:sz w:val="22"/>
          <w:szCs w:val="22"/>
          <w:u w:val="single"/>
        </w:rPr>
        <w:t>Estimate of Industry Burden and Cost</w:t>
      </w:r>
    </w:p>
    <w:p w14:paraId="2F8F525B" w14:textId="77777777" w:rsidR="0058435B" w:rsidRPr="00A0219C" w:rsidRDefault="0058435B" w:rsidP="0058435B">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14:paraId="2857301F" w14:textId="77777777" w:rsidR="0058435B"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During the clearance period, there are a total of 55 respondents to the information collection.  All of these respondents are nuclear power reactor licensees.  In the first three years after the effective date of the rule (the clearance period covered by this supporting statement):</w:t>
      </w:r>
    </w:p>
    <w:p w14:paraId="7FC9E406" w14:textId="77777777" w:rsidR="00B205F2" w:rsidRDefault="00B205F2"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3DDDE8B" w14:textId="740D8020" w:rsidR="0058435B" w:rsidRDefault="006A7727" w:rsidP="005C2A4E">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R</w:t>
      </w:r>
      <w:r w:rsidR="0058435B" w:rsidRPr="005C2A4E">
        <w:rPr>
          <w:rFonts w:ascii="Arial" w:hAnsi="Arial" w:cs="Arial"/>
          <w:sz w:val="22"/>
          <w:szCs w:val="22"/>
        </w:rPr>
        <w:t>espondents will review the rule requirements and update site procedures, programs, or plans</w:t>
      </w:r>
      <w:r>
        <w:rPr>
          <w:rFonts w:ascii="Arial" w:hAnsi="Arial" w:cs="Arial"/>
          <w:sz w:val="22"/>
          <w:szCs w:val="22"/>
        </w:rPr>
        <w:t xml:space="preserve"> and m</w:t>
      </w:r>
      <w:r w:rsidRPr="006A7727">
        <w:rPr>
          <w:rFonts w:ascii="Arial" w:hAnsi="Arial" w:cs="Arial"/>
          <w:sz w:val="22"/>
          <w:szCs w:val="22"/>
        </w:rPr>
        <w:t>aintain documentation of changes in the implementation of requirements</w:t>
      </w:r>
      <w:r>
        <w:rPr>
          <w:rFonts w:ascii="Arial" w:hAnsi="Arial" w:cs="Arial"/>
          <w:sz w:val="22"/>
          <w:szCs w:val="22"/>
        </w:rPr>
        <w:t>.</w:t>
      </w:r>
    </w:p>
    <w:p w14:paraId="22B6D59A" w14:textId="5B2D4A83" w:rsidR="006A7727" w:rsidRDefault="006A7727" w:rsidP="005C2A4E">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3906E0F" w14:textId="23EA884A" w:rsidR="006A7727" w:rsidRPr="00283524" w:rsidRDefault="006A7727" w:rsidP="005C2A4E">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NRC staff estimates that applicants for power reactor operating licensees would require </w:t>
      </w:r>
      <w:r w:rsidR="00E03E0B">
        <w:rPr>
          <w:rFonts w:ascii="Arial" w:hAnsi="Arial" w:cs="Arial"/>
          <w:sz w:val="22"/>
          <w:szCs w:val="22"/>
        </w:rPr>
        <w:t>300</w:t>
      </w:r>
      <w:r>
        <w:rPr>
          <w:rFonts w:ascii="Arial" w:hAnsi="Arial" w:cs="Arial"/>
          <w:sz w:val="22"/>
          <w:szCs w:val="22"/>
        </w:rPr>
        <w:t xml:space="preserve"> hours to include plans for implementing the requirements in 10 CFR 50.155; however, no applications are anticipated during the clearance period.</w:t>
      </w:r>
    </w:p>
    <w:p w14:paraId="2DDBFA4C" w14:textId="0624D1B4" w:rsidR="0058435B"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B1E0C60" w14:textId="4D64F365" w:rsidR="0058435B"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A45D9">
        <w:rPr>
          <w:rFonts w:ascii="Arial" w:hAnsi="Arial" w:cs="Arial"/>
          <w:sz w:val="22"/>
          <w:szCs w:val="22"/>
        </w:rPr>
        <w:t xml:space="preserve">The burden associated with the information collections is given in </w:t>
      </w:r>
      <w:r w:rsidR="006A7727">
        <w:rPr>
          <w:rFonts w:ascii="Arial" w:hAnsi="Arial" w:cs="Arial"/>
          <w:sz w:val="22"/>
          <w:szCs w:val="22"/>
        </w:rPr>
        <w:t>Tables 1-3</w:t>
      </w:r>
      <w:r w:rsidRPr="00AA45D9">
        <w:rPr>
          <w:rFonts w:ascii="Arial" w:hAnsi="Arial" w:cs="Arial"/>
          <w:sz w:val="22"/>
          <w:szCs w:val="22"/>
        </w:rPr>
        <w:t xml:space="preserve">.  The one-time costs are annualized in this analysis by dividing by the number of years covered by the clearance (3 years).  </w:t>
      </w:r>
      <w:r>
        <w:rPr>
          <w:rFonts w:ascii="Arial" w:hAnsi="Arial" w:cs="Arial"/>
          <w:sz w:val="22"/>
          <w:szCs w:val="22"/>
        </w:rPr>
        <w:t>T</w:t>
      </w:r>
      <w:r w:rsidRPr="00AA45D9">
        <w:rPr>
          <w:rFonts w:ascii="Arial" w:hAnsi="Arial" w:cs="Arial"/>
          <w:sz w:val="22"/>
          <w:szCs w:val="22"/>
        </w:rPr>
        <w:t>he annual fee rate of $</w:t>
      </w:r>
      <w:r>
        <w:rPr>
          <w:rFonts w:ascii="Arial" w:hAnsi="Arial" w:cs="Arial"/>
          <w:sz w:val="22"/>
          <w:szCs w:val="22"/>
        </w:rPr>
        <w:t>265</w:t>
      </w:r>
      <w:r w:rsidRPr="00AA45D9">
        <w:rPr>
          <w:rFonts w:ascii="Arial" w:hAnsi="Arial" w:cs="Arial"/>
          <w:sz w:val="22"/>
          <w:szCs w:val="22"/>
        </w:rPr>
        <w:t xml:space="preserve"> is used for all costs.  The total burden is </w:t>
      </w:r>
      <w:r w:rsidR="00894E85">
        <w:rPr>
          <w:rFonts w:ascii="Arial" w:hAnsi="Arial" w:cs="Arial"/>
          <w:sz w:val="22"/>
          <w:szCs w:val="22"/>
        </w:rPr>
        <w:t>22,825</w:t>
      </w:r>
      <w:r w:rsidRPr="00AA45D9">
        <w:rPr>
          <w:rFonts w:ascii="Arial" w:hAnsi="Arial" w:cs="Arial"/>
          <w:sz w:val="22"/>
          <w:szCs w:val="22"/>
        </w:rPr>
        <w:t xml:space="preserve"> hours at a cost of $</w:t>
      </w:r>
      <w:r w:rsidR="00894E85">
        <w:rPr>
          <w:rFonts w:ascii="Arial" w:hAnsi="Arial" w:cs="Arial"/>
          <w:sz w:val="22"/>
          <w:szCs w:val="22"/>
        </w:rPr>
        <w:t>6,048,625</w:t>
      </w:r>
      <w:r w:rsidRPr="00AA45D9">
        <w:rPr>
          <w:rFonts w:ascii="Arial" w:hAnsi="Arial" w:cs="Arial"/>
          <w:sz w:val="22"/>
          <w:szCs w:val="22"/>
        </w:rPr>
        <w:t xml:space="preserve"> (</w:t>
      </w:r>
      <w:r w:rsidR="00894E85">
        <w:rPr>
          <w:rFonts w:ascii="Arial" w:hAnsi="Arial" w:cs="Arial"/>
          <w:sz w:val="22"/>
          <w:szCs w:val="22"/>
        </w:rPr>
        <w:t>22,825</w:t>
      </w:r>
      <w:r w:rsidRPr="00AA45D9">
        <w:rPr>
          <w:rFonts w:ascii="Arial" w:hAnsi="Arial" w:cs="Arial"/>
          <w:sz w:val="22"/>
          <w:szCs w:val="22"/>
        </w:rPr>
        <w:t xml:space="preserve"> x $</w:t>
      </w:r>
      <w:r>
        <w:rPr>
          <w:rFonts w:ascii="Arial" w:hAnsi="Arial" w:cs="Arial"/>
          <w:sz w:val="22"/>
          <w:szCs w:val="22"/>
        </w:rPr>
        <w:t>265</w:t>
      </w:r>
      <w:r w:rsidRPr="00AA45D9">
        <w:rPr>
          <w:rFonts w:ascii="Arial" w:hAnsi="Arial" w:cs="Arial"/>
          <w:sz w:val="22"/>
          <w:szCs w:val="22"/>
        </w:rPr>
        <w:t>/h</w:t>
      </w:r>
      <w:r>
        <w:rPr>
          <w:rFonts w:ascii="Arial" w:hAnsi="Arial" w:cs="Arial"/>
          <w:sz w:val="22"/>
          <w:szCs w:val="22"/>
        </w:rPr>
        <w:t>ou</w:t>
      </w:r>
      <w:r w:rsidRPr="00AA45D9">
        <w:rPr>
          <w:rFonts w:ascii="Arial" w:hAnsi="Arial" w:cs="Arial"/>
          <w:sz w:val="22"/>
          <w:szCs w:val="22"/>
        </w:rPr>
        <w:t>r).</w:t>
      </w:r>
      <w:r>
        <w:rPr>
          <w:rFonts w:ascii="Arial" w:hAnsi="Arial" w:cs="Arial"/>
          <w:sz w:val="22"/>
          <w:szCs w:val="22"/>
        </w:rPr>
        <w:t xml:space="preserve">  Annual </w:t>
      </w:r>
      <w:r w:rsidR="00894E85">
        <w:rPr>
          <w:rFonts w:ascii="Arial" w:hAnsi="Arial" w:cs="Arial"/>
          <w:sz w:val="22"/>
          <w:szCs w:val="22"/>
        </w:rPr>
        <w:t xml:space="preserve">recordkeeping </w:t>
      </w:r>
      <w:r>
        <w:rPr>
          <w:rFonts w:ascii="Arial" w:hAnsi="Arial" w:cs="Arial"/>
          <w:sz w:val="22"/>
          <w:szCs w:val="22"/>
        </w:rPr>
        <w:t xml:space="preserve">burden begins the first year after the rule becomes effective with the </w:t>
      </w:r>
      <w:r w:rsidR="00894E85">
        <w:rPr>
          <w:rFonts w:ascii="Arial" w:hAnsi="Arial" w:cs="Arial"/>
          <w:sz w:val="22"/>
          <w:szCs w:val="22"/>
        </w:rPr>
        <w:t>licensees reviewing their previous compliance under Orders EA-12-049 and EA-12-051 against the MBDBE rule requirements to confirm their compliance with the MBDBE rule, as well as to make changes to procedures, programs, and plans to reference the new MBDBE rule requirements</w:t>
      </w:r>
      <w:r>
        <w:rPr>
          <w:rFonts w:ascii="Arial" w:hAnsi="Arial" w:cs="Arial"/>
          <w:sz w:val="22"/>
          <w:szCs w:val="22"/>
        </w:rPr>
        <w:t xml:space="preserve">.  The burden associated with this annualized recordkeeping is given in Table 2.  The total annual burden is estimated as </w:t>
      </w:r>
      <w:r w:rsidR="001241A8">
        <w:rPr>
          <w:rFonts w:ascii="Arial" w:hAnsi="Arial" w:cs="Arial"/>
          <w:sz w:val="22"/>
          <w:szCs w:val="22"/>
        </w:rPr>
        <w:t>22,825 </w:t>
      </w:r>
      <w:r>
        <w:rPr>
          <w:rFonts w:ascii="Arial" w:hAnsi="Arial" w:cs="Arial"/>
          <w:sz w:val="22"/>
          <w:szCs w:val="22"/>
        </w:rPr>
        <w:t xml:space="preserve">hours at a cost of </w:t>
      </w:r>
      <w:r w:rsidRPr="00544A9C">
        <w:rPr>
          <w:rFonts w:ascii="Arial" w:hAnsi="Arial" w:cs="Arial"/>
          <w:sz w:val="22"/>
          <w:szCs w:val="22"/>
        </w:rPr>
        <w:t>$</w:t>
      </w:r>
      <w:r w:rsidR="001241A8">
        <w:rPr>
          <w:rFonts w:ascii="Arial" w:hAnsi="Arial" w:cs="Arial"/>
          <w:sz w:val="22"/>
          <w:szCs w:val="22"/>
        </w:rPr>
        <w:t>6,048,625</w:t>
      </w:r>
      <w:r>
        <w:rPr>
          <w:rFonts w:ascii="Arial" w:hAnsi="Arial" w:cs="Arial"/>
          <w:sz w:val="22"/>
          <w:szCs w:val="22"/>
        </w:rPr>
        <w:t xml:space="preserve"> </w:t>
      </w:r>
      <w:r w:rsidR="001241A8" w:rsidRPr="00AA45D9">
        <w:rPr>
          <w:rFonts w:ascii="Arial" w:hAnsi="Arial" w:cs="Arial"/>
          <w:sz w:val="22"/>
          <w:szCs w:val="22"/>
        </w:rPr>
        <w:t>(</w:t>
      </w:r>
      <w:r w:rsidR="001241A8">
        <w:rPr>
          <w:rFonts w:ascii="Arial" w:hAnsi="Arial" w:cs="Arial"/>
          <w:sz w:val="22"/>
          <w:szCs w:val="22"/>
        </w:rPr>
        <w:t>22,825</w:t>
      </w:r>
      <w:r w:rsidR="001241A8" w:rsidRPr="00AA45D9">
        <w:rPr>
          <w:rFonts w:ascii="Arial" w:hAnsi="Arial" w:cs="Arial"/>
          <w:sz w:val="22"/>
          <w:szCs w:val="22"/>
        </w:rPr>
        <w:t xml:space="preserve"> x $</w:t>
      </w:r>
      <w:r w:rsidR="001241A8">
        <w:rPr>
          <w:rFonts w:ascii="Arial" w:hAnsi="Arial" w:cs="Arial"/>
          <w:sz w:val="22"/>
          <w:szCs w:val="22"/>
        </w:rPr>
        <w:t>265</w:t>
      </w:r>
      <w:r w:rsidR="001241A8" w:rsidRPr="00AA45D9">
        <w:rPr>
          <w:rFonts w:ascii="Arial" w:hAnsi="Arial" w:cs="Arial"/>
          <w:sz w:val="22"/>
          <w:szCs w:val="22"/>
        </w:rPr>
        <w:t>/h</w:t>
      </w:r>
      <w:r w:rsidR="001241A8">
        <w:rPr>
          <w:rFonts w:ascii="Arial" w:hAnsi="Arial" w:cs="Arial"/>
          <w:sz w:val="22"/>
          <w:szCs w:val="22"/>
        </w:rPr>
        <w:t>ou</w:t>
      </w:r>
      <w:r w:rsidR="001241A8" w:rsidRPr="00AA45D9">
        <w:rPr>
          <w:rFonts w:ascii="Arial" w:hAnsi="Arial" w:cs="Arial"/>
          <w:sz w:val="22"/>
          <w:szCs w:val="22"/>
        </w:rPr>
        <w:t>r)</w:t>
      </w:r>
      <w:r>
        <w:rPr>
          <w:rFonts w:ascii="Arial" w:hAnsi="Arial" w:cs="Arial"/>
          <w:sz w:val="22"/>
          <w:szCs w:val="22"/>
        </w:rPr>
        <w:t>.</w:t>
      </w:r>
    </w:p>
    <w:p w14:paraId="0268687C" w14:textId="77777777" w:rsidR="0058435B" w:rsidRPr="003A1296"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A7CFC37" w14:textId="77777777" w:rsidR="0058435B" w:rsidRPr="003A1296" w:rsidRDefault="0058435B" w:rsidP="0058435B">
      <w:pPr>
        <w:rPr>
          <w:rFonts w:ascii="Arial" w:hAnsi="Arial" w:cs="Arial"/>
          <w:sz w:val="22"/>
          <w:szCs w:val="22"/>
          <w:u w:val="single"/>
        </w:rPr>
      </w:pPr>
      <w:r>
        <w:rPr>
          <w:rFonts w:ascii="Arial" w:hAnsi="Arial" w:cs="Arial"/>
          <w:sz w:val="22"/>
          <w:szCs w:val="22"/>
        </w:rPr>
        <w:t>13.</w:t>
      </w:r>
      <w:r>
        <w:rPr>
          <w:rFonts w:ascii="Arial" w:hAnsi="Arial" w:cs="Arial"/>
          <w:sz w:val="22"/>
          <w:szCs w:val="22"/>
        </w:rPr>
        <w:tab/>
      </w:r>
      <w:r w:rsidRPr="003A1296">
        <w:rPr>
          <w:rFonts w:ascii="Arial" w:hAnsi="Arial" w:cs="Arial"/>
          <w:sz w:val="22"/>
          <w:szCs w:val="22"/>
          <w:u w:val="single"/>
        </w:rPr>
        <w:t>Estimate of Other Additional Cost</w:t>
      </w:r>
    </w:p>
    <w:p w14:paraId="27E4B967" w14:textId="77777777" w:rsidR="0058435B" w:rsidRPr="003A1296" w:rsidRDefault="0058435B" w:rsidP="0058435B">
      <w:pPr>
        <w:rPr>
          <w:rFonts w:ascii="Arial" w:hAnsi="Arial" w:cs="Arial"/>
          <w:sz w:val="22"/>
          <w:szCs w:val="22"/>
          <w:u w:val="single"/>
        </w:rPr>
      </w:pPr>
    </w:p>
    <w:p w14:paraId="0CA972B9" w14:textId="161BF6D0" w:rsidR="0058435B" w:rsidRPr="003A1296" w:rsidRDefault="0058435B" w:rsidP="0058435B">
      <w:pPr>
        <w:rPr>
          <w:rFonts w:ascii="Arial" w:hAnsi="Arial" w:cs="Arial"/>
          <w:sz w:val="22"/>
          <w:szCs w:val="22"/>
        </w:rPr>
      </w:pPr>
      <w:r>
        <w:rPr>
          <w:rFonts w:ascii="Arial" w:hAnsi="Arial" w:cs="Arial"/>
          <w:sz w:val="22"/>
          <w:szCs w:val="22"/>
        </w:rPr>
        <w:t xml:space="preserve">The </w:t>
      </w:r>
      <w:r w:rsidRPr="003A1296">
        <w:rPr>
          <w:rFonts w:ascii="Arial" w:hAnsi="Arial" w:cs="Arial"/>
          <w:sz w:val="22"/>
          <w:szCs w:val="22"/>
        </w:rPr>
        <w:t xml:space="preserve">NRC has determined that the records storage cost is roughly proportional to the recordkeeping burden cost.  Based on a typical clearance, the recordkeeping storage cost has been estimated to be equal to </w:t>
      </w:r>
      <w:r w:rsidR="001241A8">
        <w:rPr>
          <w:rFonts w:ascii="Arial" w:hAnsi="Arial" w:cs="Arial"/>
          <w:sz w:val="22"/>
          <w:szCs w:val="22"/>
        </w:rPr>
        <w:t>0</w:t>
      </w:r>
      <w:r w:rsidRPr="003A1296">
        <w:rPr>
          <w:rFonts w:ascii="Arial" w:hAnsi="Arial" w:cs="Arial"/>
          <w:sz w:val="22"/>
          <w:szCs w:val="22"/>
        </w:rPr>
        <w:t xml:space="preserve">.04 percent of the recordkeeping burden.  Therefore, the additional recordkeeping storage cost for 10 CFR Part </w:t>
      </w:r>
      <w:r>
        <w:rPr>
          <w:rFonts w:ascii="Arial" w:hAnsi="Arial" w:cs="Arial"/>
          <w:sz w:val="22"/>
          <w:szCs w:val="22"/>
        </w:rPr>
        <w:t xml:space="preserve">50 </w:t>
      </w:r>
      <w:r w:rsidRPr="003A1296">
        <w:rPr>
          <w:rFonts w:ascii="Arial" w:hAnsi="Arial" w:cs="Arial"/>
          <w:sz w:val="22"/>
          <w:szCs w:val="22"/>
        </w:rPr>
        <w:t>is estimated to be $</w:t>
      </w:r>
      <w:r w:rsidR="001241A8">
        <w:rPr>
          <w:rFonts w:ascii="Arial" w:hAnsi="Arial" w:cs="Arial"/>
          <w:sz w:val="22"/>
          <w:szCs w:val="22"/>
        </w:rPr>
        <w:t>2,419</w:t>
      </w:r>
      <w:r w:rsidRPr="003A1296">
        <w:rPr>
          <w:rFonts w:ascii="Arial" w:hAnsi="Arial" w:cs="Arial"/>
          <w:sz w:val="22"/>
          <w:szCs w:val="22"/>
        </w:rPr>
        <w:t xml:space="preserve"> (</w:t>
      </w:r>
      <w:r w:rsidR="001241A8">
        <w:rPr>
          <w:rFonts w:ascii="Arial" w:hAnsi="Arial" w:cs="Arial"/>
          <w:sz w:val="22"/>
          <w:szCs w:val="22"/>
        </w:rPr>
        <w:t>22,825</w:t>
      </w:r>
      <w:r w:rsidR="004E126F">
        <w:rPr>
          <w:rFonts w:ascii="Arial" w:hAnsi="Arial" w:cs="Arial"/>
          <w:sz w:val="22"/>
          <w:szCs w:val="22"/>
        </w:rPr>
        <w:t> </w:t>
      </w:r>
      <w:r w:rsidRPr="003A1296">
        <w:rPr>
          <w:rFonts w:ascii="Arial" w:hAnsi="Arial" w:cs="Arial"/>
          <w:sz w:val="22"/>
          <w:szCs w:val="22"/>
        </w:rPr>
        <w:t>recordkeeping hours x $</w:t>
      </w:r>
      <w:r>
        <w:rPr>
          <w:rFonts w:ascii="Arial" w:hAnsi="Arial" w:cs="Arial"/>
          <w:sz w:val="22"/>
          <w:szCs w:val="22"/>
        </w:rPr>
        <w:t>265/hour</w:t>
      </w:r>
      <w:r w:rsidRPr="003A1296">
        <w:rPr>
          <w:rFonts w:ascii="Arial" w:hAnsi="Arial" w:cs="Arial"/>
          <w:sz w:val="22"/>
          <w:szCs w:val="22"/>
        </w:rPr>
        <w:t xml:space="preserve"> x .0004)</w:t>
      </w:r>
      <w:r w:rsidR="00D959D9">
        <w:rPr>
          <w:rFonts w:ascii="Arial" w:hAnsi="Arial" w:cs="Arial"/>
          <w:sz w:val="22"/>
          <w:szCs w:val="22"/>
        </w:rPr>
        <w:t xml:space="preserve">, increasing </w:t>
      </w:r>
      <w:r w:rsidR="00727C9C">
        <w:rPr>
          <w:rFonts w:ascii="Arial" w:hAnsi="Arial" w:cs="Arial"/>
          <w:sz w:val="22"/>
          <w:szCs w:val="22"/>
        </w:rPr>
        <w:t>the total additional costs for Part</w:t>
      </w:r>
      <w:r w:rsidR="001F42EB">
        <w:rPr>
          <w:rFonts w:ascii="Arial" w:hAnsi="Arial" w:cs="Arial"/>
          <w:sz w:val="22"/>
          <w:szCs w:val="22"/>
        </w:rPr>
        <w:t> </w:t>
      </w:r>
      <w:r w:rsidR="00727C9C">
        <w:rPr>
          <w:rFonts w:ascii="Arial" w:hAnsi="Arial" w:cs="Arial"/>
          <w:sz w:val="22"/>
          <w:szCs w:val="22"/>
        </w:rPr>
        <w:t>50 from $269,617, to $272,036.</w:t>
      </w:r>
    </w:p>
    <w:p w14:paraId="5BA2CF90" w14:textId="77777777" w:rsidR="0058435B" w:rsidRPr="003A1296" w:rsidRDefault="0058435B" w:rsidP="0058435B">
      <w:pPr>
        <w:rPr>
          <w:rFonts w:ascii="Arial" w:hAnsi="Arial" w:cs="Arial"/>
          <w:sz w:val="22"/>
          <w:szCs w:val="22"/>
        </w:rPr>
      </w:pPr>
    </w:p>
    <w:p w14:paraId="1001B589" w14:textId="77777777" w:rsidR="0058435B" w:rsidRPr="003A1296" w:rsidRDefault="0058435B" w:rsidP="0058435B">
      <w:pPr>
        <w:rPr>
          <w:rFonts w:ascii="Arial" w:hAnsi="Arial" w:cs="Arial"/>
          <w:sz w:val="22"/>
          <w:szCs w:val="22"/>
          <w:u w:val="single"/>
        </w:rPr>
      </w:pPr>
      <w:r>
        <w:rPr>
          <w:rFonts w:ascii="Arial" w:hAnsi="Arial" w:cs="Arial"/>
          <w:sz w:val="22"/>
          <w:szCs w:val="22"/>
        </w:rPr>
        <w:t>14.</w:t>
      </w:r>
      <w:r>
        <w:rPr>
          <w:rFonts w:ascii="Arial" w:hAnsi="Arial" w:cs="Arial"/>
          <w:sz w:val="22"/>
          <w:szCs w:val="22"/>
        </w:rPr>
        <w:tab/>
      </w:r>
      <w:r w:rsidRPr="003A1296">
        <w:rPr>
          <w:rFonts w:ascii="Arial" w:hAnsi="Arial" w:cs="Arial"/>
          <w:sz w:val="22"/>
          <w:szCs w:val="22"/>
          <w:u w:val="single"/>
        </w:rPr>
        <w:t>Estimated Annualized Cost to the Federal Government</w:t>
      </w:r>
    </w:p>
    <w:p w14:paraId="2C9E03AA" w14:textId="77777777" w:rsidR="0058435B" w:rsidRPr="003A1296" w:rsidRDefault="0058435B" w:rsidP="0058435B">
      <w:pPr>
        <w:rPr>
          <w:rFonts w:ascii="Arial" w:hAnsi="Arial" w:cs="Arial"/>
          <w:sz w:val="22"/>
          <w:szCs w:val="22"/>
        </w:rPr>
      </w:pPr>
    </w:p>
    <w:p w14:paraId="44FF61C1" w14:textId="11F8AC9C" w:rsidR="0058435B" w:rsidRDefault="006A7727" w:rsidP="0058435B">
      <w:pPr>
        <w:rPr>
          <w:rFonts w:ascii="Arial" w:hAnsi="Arial" w:cs="Arial"/>
          <w:sz w:val="22"/>
          <w:szCs w:val="22"/>
        </w:rPr>
      </w:pPr>
      <w:r>
        <w:rPr>
          <w:rFonts w:ascii="Arial" w:hAnsi="Arial" w:cs="Arial"/>
          <w:sz w:val="22"/>
          <w:szCs w:val="22"/>
        </w:rPr>
        <w:t>The NRC staff does not anticipate any additional costs to the Federal Government based on the changes in this final</w:t>
      </w:r>
      <w:r w:rsidR="00283524">
        <w:rPr>
          <w:rFonts w:ascii="Arial" w:hAnsi="Arial" w:cs="Arial"/>
          <w:sz w:val="22"/>
          <w:szCs w:val="22"/>
        </w:rPr>
        <w:t xml:space="preserve"> rule</w:t>
      </w:r>
      <w:r>
        <w:rPr>
          <w:rFonts w:ascii="Arial" w:hAnsi="Arial" w:cs="Arial"/>
          <w:sz w:val="22"/>
          <w:szCs w:val="22"/>
        </w:rPr>
        <w:t xml:space="preserve">.  No </w:t>
      </w:r>
      <w:r w:rsidR="00B46091">
        <w:rPr>
          <w:rFonts w:ascii="Arial" w:hAnsi="Arial" w:cs="Arial"/>
          <w:sz w:val="22"/>
          <w:szCs w:val="22"/>
        </w:rPr>
        <w:t>power reactor operating licenses are anticipated and the remaining recordkeeping requirements do not require review by the NRC staff</w:t>
      </w:r>
      <w:r w:rsidR="0058435B">
        <w:rPr>
          <w:rFonts w:ascii="Arial" w:hAnsi="Arial" w:cs="Arial"/>
          <w:sz w:val="22"/>
          <w:szCs w:val="22"/>
        </w:rPr>
        <w:t>.</w:t>
      </w:r>
    </w:p>
    <w:p w14:paraId="14561084" w14:textId="77777777" w:rsidR="0058435B" w:rsidRPr="00BB1645" w:rsidRDefault="0058435B" w:rsidP="0058435B">
      <w:pPr>
        <w:rPr>
          <w:rFonts w:ascii="Arial" w:hAnsi="Arial" w:cs="Arial"/>
          <w:sz w:val="22"/>
          <w:szCs w:val="22"/>
        </w:rPr>
      </w:pPr>
    </w:p>
    <w:p w14:paraId="44C464E8" w14:textId="77777777" w:rsidR="0058435B" w:rsidRDefault="0058435B" w:rsidP="00350FFB">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15.</w:t>
      </w:r>
      <w:r>
        <w:rPr>
          <w:rFonts w:ascii="Arial" w:hAnsi="Arial" w:cs="Arial"/>
          <w:sz w:val="22"/>
          <w:szCs w:val="22"/>
        </w:rPr>
        <w:tab/>
      </w:r>
      <w:r w:rsidRPr="00BB1645">
        <w:rPr>
          <w:rFonts w:ascii="Arial" w:hAnsi="Arial" w:cs="Arial"/>
          <w:sz w:val="22"/>
          <w:szCs w:val="22"/>
          <w:u w:val="single"/>
        </w:rPr>
        <w:t>Reasons for Changes in Burden or Cost</w:t>
      </w:r>
    </w:p>
    <w:p w14:paraId="3D5FE0AA" w14:textId="77777777" w:rsidR="0058435B" w:rsidRDefault="0058435B" w:rsidP="001241A8">
      <w:pPr>
        <w:keepNext/>
        <w:rPr>
          <w:rFonts w:ascii="Arial" w:hAnsi="Arial" w:cs="Arial"/>
          <w:sz w:val="22"/>
          <w:szCs w:val="22"/>
        </w:rPr>
      </w:pPr>
    </w:p>
    <w:p w14:paraId="223A9F12" w14:textId="262E722D" w:rsidR="0058435B" w:rsidRDefault="0058435B" w:rsidP="0058435B">
      <w:pPr>
        <w:rPr>
          <w:rFonts w:ascii="Arial" w:hAnsi="Arial" w:cs="Arial"/>
          <w:sz w:val="22"/>
          <w:szCs w:val="22"/>
        </w:rPr>
      </w:pPr>
      <w:r w:rsidRPr="00A0219C">
        <w:rPr>
          <w:rFonts w:ascii="Arial" w:hAnsi="Arial" w:cs="Arial"/>
          <w:sz w:val="22"/>
          <w:szCs w:val="22"/>
        </w:rPr>
        <w:t xml:space="preserve">The estimated </w:t>
      </w:r>
      <w:r>
        <w:rPr>
          <w:rFonts w:ascii="Arial" w:hAnsi="Arial" w:cs="Arial"/>
          <w:sz w:val="22"/>
          <w:szCs w:val="22"/>
        </w:rPr>
        <w:t>burden for the information collections associated with the</w:t>
      </w:r>
      <w:r w:rsidRPr="00A0219C">
        <w:rPr>
          <w:rFonts w:ascii="Arial" w:hAnsi="Arial" w:cs="Arial"/>
          <w:sz w:val="22"/>
          <w:szCs w:val="22"/>
        </w:rPr>
        <w:t xml:space="preserve"> </w:t>
      </w:r>
      <w:r>
        <w:rPr>
          <w:rFonts w:ascii="Arial" w:hAnsi="Arial" w:cs="Arial"/>
          <w:sz w:val="22"/>
          <w:szCs w:val="22"/>
        </w:rPr>
        <w:t xml:space="preserve">MBDBE final </w:t>
      </w:r>
      <w:r w:rsidRPr="00A0219C">
        <w:rPr>
          <w:rFonts w:ascii="Arial" w:hAnsi="Arial" w:cs="Arial"/>
          <w:sz w:val="22"/>
          <w:szCs w:val="22"/>
        </w:rPr>
        <w:t xml:space="preserve">rule is </w:t>
      </w:r>
      <w:r w:rsidR="001241A8">
        <w:rPr>
          <w:rFonts w:ascii="Arial" w:hAnsi="Arial" w:cs="Arial"/>
          <w:sz w:val="22"/>
          <w:szCs w:val="22"/>
        </w:rPr>
        <w:t>22,825</w:t>
      </w:r>
      <w:r w:rsidRPr="0083365F">
        <w:rPr>
          <w:rFonts w:ascii="Arial" w:hAnsi="Arial" w:cs="Arial"/>
          <w:sz w:val="22"/>
          <w:szCs w:val="22"/>
        </w:rPr>
        <w:t xml:space="preserve"> </w:t>
      </w:r>
      <w:r w:rsidRPr="007B7C2C">
        <w:rPr>
          <w:rFonts w:ascii="Arial" w:hAnsi="Arial" w:cs="Arial"/>
          <w:sz w:val="22"/>
          <w:szCs w:val="22"/>
        </w:rPr>
        <w:t>hours</w:t>
      </w:r>
      <w:r w:rsidRPr="00A0219C">
        <w:rPr>
          <w:rFonts w:ascii="Arial" w:hAnsi="Arial" w:cs="Arial"/>
          <w:sz w:val="22"/>
          <w:szCs w:val="22"/>
        </w:rPr>
        <w:t>.  This estimate is composed of one-time</w:t>
      </w:r>
      <w:r>
        <w:rPr>
          <w:rFonts w:ascii="Arial" w:hAnsi="Arial" w:cs="Arial"/>
          <w:sz w:val="22"/>
          <w:szCs w:val="22"/>
        </w:rPr>
        <w:t xml:space="preserve"> and ongoing annual</w:t>
      </w:r>
      <w:r w:rsidRPr="00A0219C">
        <w:rPr>
          <w:rFonts w:ascii="Arial" w:hAnsi="Arial" w:cs="Arial"/>
          <w:sz w:val="22"/>
          <w:szCs w:val="22"/>
        </w:rPr>
        <w:t xml:space="preserve"> </w:t>
      </w:r>
      <w:r>
        <w:rPr>
          <w:rFonts w:ascii="Arial" w:hAnsi="Arial" w:cs="Arial"/>
          <w:sz w:val="22"/>
          <w:szCs w:val="22"/>
        </w:rPr>
        <w:t xml:space="preserve">reporting and recordkeeping </w:t>
      </w:r>
      <w:r w:rsidRPr="00A0219C">
        <w:rPr>
          <w:rFonts w:ascii="Arial" w:hAnsi="Arial" w:cs="Arial"/>
          <w:sz w:val="22"/>
          <w:szCs w:val="22"/>
        </w:rPr>
        <w:t>requ</w:t>
      </w:r>
      <w:r>
        <w:rPr>
          <w:rFonts w:ascii="Arial" w:hAnsi="Arial" w:cs="Arial"/>
          <w:sz w:val="22"/>
          <w:szCs w:val="22"/>
        </w:rPr>
        <w:t>irements.</w:t>
      </w:r>
      <w:r w:rsidR="005F0FB9">
        <w:rPr>
          <w:rFonts w:ascii="Arial" w:hAnsi="Arial" w:cs="Arial"/>
          <w:sz w:val="22"/>
          <w:szCs w:val="22"/>
        </w:rPr>
        <w:t xml:space="preserve">  This increases the burden for Part 50 information collections from 3,708,530</w:t>
      </w:r>
      <w:r w:rsidR="00E207EF">
        <w:rPr>
          <w:rFonts w:ascii="Arial" w:hAnsi="Arial" w:cs="Arial"/>
          <w:sz w:val="22"/>
          <w:szCs w:val="22"/>
        </w:rPr>
        <w:t xml:space="preserve"> hours</w:t>
      </w:r>
      <w:r w:rsidR="005F0FB9">
        <w:rPr>
          <w:rFonts w:ascii="Arial" w:hAnsi="Arial" w:cs="Arial"/>
          <w:sz w:val="22"/>
          <w:szCs w:val="22"/>
        </w:rPr>
        <w:t xml:space="preserve"> to </w:t>
      </w:r>
      <w:r w:rsidR="00E207EF">
        <w:rPr>
          <w:rFonts w:ascii="Arial" w:hAnsi="Arial" w:cs="Arial"/>
          <w:sz w:val="22"/>
          <w:szCs w:val="22"/>
        </w:rPr>
        <w:t>3,731,355 hours</w:t>
      </w:r>
      <w:r w:rsidR="005F0FB9">
        <w:rPr>
          <w:rFonts w:ascii="Arial" w:hAnsi="Arial" w:cs="Arial"/>
          <w:sz w:val="22"/>
          <w:szCs w:val="22"/>
        </w:rPr>
        <w:t xml:space="preserve">.  </w:t>
      </w:r>
      <w:r w:rsidR="00E207EF">
        <w:rPr>
          <w:rFonts w:ascii="Arial" w:hAnsi="Arial" w:cs="Arial"/>
          <w:sz w:val="22"/>
          <w:szCs w:val="22"/>
        </w:rPr>
        <w:t>There is no increase in the number of responses to the Part 50 information collection, as the 55 recordkeepers are already keeping other records under this collection.</w:t>
      </w:r>
    </w:p>
    <w:p w14:paraId="3DF529B1" w14:textId="77777777" w:rsidR="0058435B" w:rsidRDefault="0058435B" w:rsidP="0058435B">
      <w:pPr>
        <w:rPr>
          <w:rFonts w:ascii="Arial" w:hAnsi="Arial" w:cs="Arial"/>
          <w:sz w:val="22"/>
          <w:szCs w:val="22"/>
        </w:rPr>
      </w:pPr>
    </w:p>
    <w:p w14:paraId="014D2EF7" w14:textId="7A8729CA" w:rsidR="0058435B" w:rsidRPr="00A0219C" w:rsidRDefault="0058435B" w:rsidP="0058435B">
      <w:pPr>
        <w:rPr>
          <w:rFonts w:ascii="Arial" w:hAnsi="Arial" w:cs="Arial"/>
          <w:sz w:val="22"/>
          <w:szCs w:val="22"/>
        </w:rPr>
      </w:pPr>
      <w:r w:rsidRPr="00EA11A9">
        <w:rPr>
          <w:rFonts w:ascii="Arial" w:hAnsi="Arial" w:cs="Arial"/>
          <w:sz w:val="22"/>
          <w:szCs w:val="22"/>
        </w:rPr>
        <w:t xml:space="preserve">The </w:t>
      </w:r>
      <w:r>
        <w:rPr>
          <w:rFonts w:ascii="Arial" w:hAnsi="Arial" w:cs="Arial"/>
          <w:sz w:val="22"/>
          <w:szCs w:val="22"/>
        </w:rPr>
        <w:t xml:space="preserve">information collection requirements associated with the </w:t>
      </w:r>
      <w:r w:rsidRPr="00EA11A9">
        <w:rPr>
          <w:rFonts w:ascii="Arial" w:hAnsi="Arial" w:cs="Arial"/>
          <w:sz w:val="22"/>
          <w:szCs w:val="22"/>
        </w:rPr>
        <w:t xml:space="preserve">rule </w:t>
      </w:r>
      <w:r>
        <w:rPr>
          <w:rFonts w:ascii="Arial" w:hAnsi="Arial" w:cs="Arial"/>
          <w:sz w:val="22"/>
          <w:szCs w:val="22"/>
        </w:rPr>
        <w:t>include reviewing the rule provisions to ensure that current practices satisfy the requirements of the rule; m</w:t>
      </w:r>
      <w:r w:rsidRPr="00181473">
        <w:rPr>
          <w:rFonts w:ascii="Arial" w:hAnsi="Arial" w:cs="Arial"/>
          <w:sz w:val="22"/>
          <w:szCs w:val="22"/>
        </w:rPr>
        <w:t>aintain</w:t>
      </w:r>
      <w:r>
        <w:rPr>
          <w:rFonts w:ascii="Arial" w:hAnsi="Arial" w:cs="Arial"/>
          <w:sz w:val="22"/>
          <w:szCs w:val="22"/>
        </w:rPr>
        <w:t xml:space="preserve">ing records of </w:t>
      </w:r>
      <w:r w:rsidRPr="00181473">
        <w:rPr>
          <w:rFonts w:ascii="Arial" w:hAnsi="Arial" w:cs="Arial"/>
          <w:sz w:val="22"/>
          <w:szCs w:val="22"/>
        </w:rPr>
        <w:t>procedures, and program changes</w:t>
      </w:r>
      <w:r>
        <w:rPr>
          <w:rFonts w:ascii="Arial" w:hAnsi="Arial" w:cs="Arial"/>
          <w:sz w:val="22"/>
          <w:szCs w:val="22"/>
        </w:rPr>
        <w:t>.  The NRC anticipates that some changes may be needed to procedures, programs, or plans.</w:t>
      </w:r>
    </w:p>
    <w:p w14:paraId="090F6E09" w14:textId="77777777" w:rsidR="0058435B"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FFCFA81" w14:textId="77777777" w:rsidR="0058435B" w:rsidRDefault="0058435B" w:rsidP="0058435B">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16.  </w:t>
      </w:r>
      <w:r w:rsidRPr="00BB1645">
        <w:rPr>
          <w:rFonts w:ascii="Arial" w:hAnsi="Arial" w:cs="Arial"/>
          <w:sz w:val="22"/>
          <w:szCs w:val="22"/>
          <w:u w:val="single"/>
        </w:rPr>
        <w:t>Publication for Statistical Use</w:t>
      </w:r>
    </w:p>
    <w:p w14:paraId="172304CA" w14:textId="77777777" w:rsidR="0058435B" w:rsidRDefault="0058435B" w:rsidP="0058435B">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57B7404" w14:textId="77777777" w:rsidR="0058435B"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collected information is not published for statistical use.</w:t>
      </w:r>
    </w:p>
    <w:p w14:paraId="5C1E893E" w14:textId="77777777" w:rsidR="0058435B"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A83F222" w14:textId="77777777" w:rsidR="0058435B" w:rsidRDefault="0058435B" w:rsidP="0058435B">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17.  </w:t>
      </w:r>
      <w:r w:rsidRPr="00BB1645">
        <w:rPr>
          <w:rFonts w:ascii="Arial" w:hAnsi="Arial" w:cs="Arial"/>
          <w:sz w:val="22"/>
          <w:szCs w:val="22"/>
          <w:u w:val="single"/>
        </w:rPr>
        <w:t>Reason for Not Displaying the Expiration Date</w:t>
      </w:r>
    </w:p>
    <w:p w14:paraId="52ECB753" w14:textId="77777777" w:rsidR="0058435B" w:rsidRPr="00BB1645" w:rsidRDefault="0058435B" w:rsidP="0058435B">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E41D519" w14:textId="77777777" w:rsidR="0058435B" w:rsidRPr="00BB1645" w:rsidRDefault="0058435B" w:rsidP="0058435B">
      <w:pPr>
        <w:rPr>
          <w:rFonts w:ascii="Arial" w:hAnsi="Arial" w:cs="Arial"/>
          <w:sz w:val="22"/>
          <w:szCs w:val="22"/>
        </w:rPr>
      </w:pPr>
      <w:r w:rsidRPr="00BB1645">
        <w:rPr>
          <w:rFonts w:ascii="Arial" w:hAnsi="Arial" w:cs="Arial"/>
          <w:sz w:val="22"/>
          <w:szCs w:val="22"/>
        </w:rPr>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14:paraId="1E991A25" w14:textId="77777777" w:rsidR="0058435B" w:rsidRPr="00BB1645" w:rsidRDefault="0058435B" w:rsidP="0058435B">
      <w:pPr>
        <w:rPr>
          <w:rFonts w:ascii="Arial" w:hAnsi="Arial" w:cs="Arial"/>
          <w:sz w:val="22"/>
          <w:szCs w:val="22"/>
        </w:rPr>
      </w:pPr>
    </w:p>
    <w:p w14:paraId="728CACCB" w14:textId="77777777" w:rsidR="0058435B" w:rsidRDefault="0058435B" w:rsidP="0058435B">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18.  </w:t>
      </w:r>
      <w:r w:rsidRPr="00BB1645">
        <w:rPr>
          <w:rFonts w:ascii="Arial" w:hAnsi="Arial" w:cs="Arial"/>
          <w:sz w:val="22"/>
          <w:szCs w:val="22"/>
          <w:u w:val="single"/>
        </w:rPr>
        <w:t>Exceptions to the Certification Statement</w:t>
      </w:r>
    </w:p>
    <w:p w14:paraId="19CDE029" w14:textId="77777777" w:rsidR="0058435B" w:rsidRDefault="0058435B" w:rsidP="0058435B">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A1D347A" w14:textId="77777777" w:rsidR="0058435B"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None.</w:t>
      </w:r>
    </w:p>
    <w:p w14:paraId="1D72ECE9" w14:textId="77777777" w:rsidR="0058435B"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CF77026" w14:textId="77777777" w:rsidR="0058435B"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B.</w:t>
      </w:r>
      <w:r>
        <w:rPr>
          <w:rFonts w:ascii="Arial" w:hAnsi="Arial" w:cs="Arial"/>
          <w:sz w:val="22"/>
          <w:szCs w:val="22"/>
        </w:rPr>
        <w:tab/>
        <w:t>COLLECTION OF INFORMATION EMPLOYING STATISTICAL METHODS</w:t>
      </w:r>
    </w:p>
    <w:p w14:paraId="1B9642EA" w14:textId="77777777" w:rsidR="0058435B"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E91CE11" w14:textId="77777777" w:rsidR="0058435B"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Not applicable.</w:t>
      </w:r>
    </w:p>
    <w:p w14:paraId="6A9B51D1" w14:textId="77777777" w:rsidR="0058435B"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39EB1A4" w14:textId="77777777" w:rsidR="0058435B" w:rsidRPr="00BB1645"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A11BDF0" w14:textId="77777777" w:rsidR="0058435B" w:rsidRPr="00BB1645"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5B08676" w14:textId="77777777" w:rsidR="0058435B" w:rsidRPr="00BB1645" w:rsidRDefault="0058435B" w:rsidP="0058435B">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58435B" w:rsidRPr="00BB1645" w:rsidSect="00856405">
          <w:footerReference w:type="default" r:id="rId10"/>
          <w:pgSz w:w="12240" w:h="15840"/>
          <w:pgMar w:top="1440" w:right="1440" w:bottom="1440" w:left="1440" w:header="720" w:footer="720" w:gutter="0"/>
          <w:cols w:space="720"/>
          <w:docGrid w:linePitch="360"/>
        </w:sectPr>
      </w:pPr>
    </w:p>
    <w:p w14:paraId="10235AC0" w14:textId="77777777" w:rsidR="0058435B" w:rsidRPr="00F867B5" w:rsidRDefault="0058435B" w:rsidP="0058435B">
      <w:pPr>
        <w:keepNext/>
        <w:keepLines/>
        <w:rPr>
          <w:rFonts w:ascii="Arial" w:hAnsi="Arial" w:cs="Arial"/>
          <w:b/>
          <w:sz w:val="22"/>
          <w:szCs w:val="22"/>
        </w:rPr>
      </w:pPr>
      <w:r w:rsidRPr="00F867B5">
        <w:rPr>
          <w:rFonts w:ascii="Arial" w:hAnsi="Arial" w:cs="Arial"/>
          <w:b/>
          <w:sz w:val="22"/>
          <w:szCs w:val="22"/>
        </w:rPr>
        <w:t>Table 1</w:t>
      </w:r>
      <w:r>
        <w:rPr>
          <w:rFonts w:ascii="Arial" w:hAnsi="Arial" w:cs="Arial"/>
          <w:b/>
          <w:sz w:val="22"/>
          <w:szCs w:val="22"/>
        </w:rPr>
        <w:t>:  Annualized One-Time Reporting Burden</w:t>
      </w:r>
    </w:p>
    <w:tbl>
      <w:tblPr>
        <w:tblW w:w="13714" w:type="dxa"/>
        <w:tblLook w:val="04A0" w:firstRow="1" w:lastRow="0" w:firstColumn="1" w:lastColumn="0" w:noHBand="0" w:noVBand="1"/>
      </w:tblPr>
      <w:tblGrid>
        <w:gridCol w:w="6640"/>
        <w:gridCol w:w="1277"/>
        <w:gridCol w:w="1200"/>
        <w:gridCol w:w="1117"/>
        <w:gridCol w:w="1060"/>
        <w:gridCol w:w="1060"/>
        <w:gridCol w:w="1360"/>
      </w:tblGrid>
      <w:tr w:rsidR="0058435B" w:rsidRPr="006702FC" w14:paraId="00D1A904" w14:textId="77777777" w:rsidTr="00404D08">
        <w:trPr>
          <w:trHeight w:val="699"/>
        </w:trPr>
        <w:tc>
          <w:tcPr>
            <w:tcW w:w="6640" w:type="dxa"/>
            <w:tcBorders>
              <w:top w:val="single" w:sz="4" w:space="0" w:color="auto"/>
              <w:left w:val="single" w:sz="4" w:space="0" w:color="auto"/>
              <w:bottom w:val="single" w:sz="4" w:space="0" w:color="auto"/>
              <w:right w:val="nil"/>
            </w:tcBorders>
            <w:shd w:val="clear" w:color="000000" w:fill="FFFFFF"/>
            <w:vAlign w:val="bottom"/>
            <w:hideMark/>
          </w:tcPr>
          <w:p w14:paraId="375D3139" w14:textId="77777777" w:rsidR="0058435B" w:rsidRPr="006702FC" w:rsidRDefault="0058435B" w:rsidP="00404D08">
            <w:pPr>
              <w:autoSpaceDE/>
              <w:autoSpaceDN/>
              <w:adjustRightInd/>
              <w:rPr>
                <w:rFonts w:ascii="Arial" w:hAnsi="Arial" w:cs="Arial"/>
                <w:color w:val="000000"/>
                <w:sz w:val="18"/>
                <w:szCs w:val="18"/>
              </w:rPr>
            </w:pPr>
            <w:r w:rsidRPr="006702FC">
              <w:rPr>
                <w:rFonts w:ascii="Arial" w:hAnsi="Arial" w:cs="Arial"/>
                <w:color w:val="000000"/>
                <w:sz w:val="18"/>
                <w:szCs w:val="18"/>
              </w:rPr>
              <w:t>Information Collection Section</w:t>
            </w:r>
          </w:p>
        </w:tc>
        <w:tc>
          <w:tcPr>
            <w:tcW w:w="1277" w:type="dxa"/>
            <w:tcBorders>
              <w:top w:val="single" w:sz="4" w:space="0" w:color="auto"/>
              <w:left w:val="nil"/>
              <w:bottom w:val="single" w:sz="4" w:space="0" w:color="auto"/>
              <w:right w:val="nil"/>
            </w:tcBorders>
            <w:shd w:val="clear" w:color="000000" w:fill="FFFFFF"/>
            <w:vAlign w:val="bottom"/>
            <w:hideMark/>
          </w:tcPr>
          <w:p w14:paraId="0D361766" w14:textId="77777777" w:rsidR="0058435B" w:rsidRPr="006702FC" w:rsidRDefault="0058435B" w:rsidP="00404D08">
            <w:pPr>
              <w:autoSpaceDE/>
              <w:autoSpaceDN/>
              <w:adjustRightInd/>
              <w:rPr>
                <w:rFonts w:ascii="Arial" w:hAnsi="Arial" w:cs="Arial"/>
                <w:color w:val="000000"/>
                <w:sz w:val="18"/>
                <w:szCs w:val="18"/>
              </w:rPr>
            </w:pPr>
            <w:r w:rsidRPr="006702FC">
              <w:rPr>
                <w:rFonts w:ascii="Arial" w:hAnsi="Arial" w:cs="Arial"/>
                <w:color w:val="000000"/>
                <w:sz w:val="18"/>
                <w:szCs w:val="18"/>
              </w:rPr>
              <w:t>Number of Respondents</w:t>
            </w:r>
          </w:p>
        </w:tc>
        <w:tc>
          <w:tcPr>
            <w:tcW w:w="1200" w:type="dxa"/>
            <w:tcBorders>
              <w:top w:val="single" w:sz="4" w:space="0" w:color="auto"/>
              <w:left w:val="nil"/>
              <w:bottom w:val="single" w:sz="4" w:space="0" w:color="auto"/>
              <w:right w:val="nil"/>
            </w:tcBorders>
            <w:shd w:val="clear" w:color="000000" w:fill="FFFFFF"/>
            <w:vAlign w:val="bottom"/>
            <w:hideMark/>
          </w:tcPr>
          <w:p w14:paraId="6F2C66AA" w14:textId="77777777" w:rsidR="0058435B" w:rsidRPr="006702FC" w:rsidRDefault="0058435B" w:rsidP="00404D08">
            <w:pPr>
              <w:autoSpaceDE/>
              <w:autoSpaceDN/>
              <w:adjustRightInd/>
              <w:rPr>
                <w:rFonts w:ascii="Arial" w:hAnsi="Arial" w:cs="Arial"/>
                <w:color w:val="000000"/>
                <w:sz w:val="18"/>
                <w:szCs w:val="18"/>
              </w:rPr>
            </w:pPr>
            <w:r w:rsidRPr="006702FC">
              <w:rPr>
                <w:rFonts w:ascii="Arial" w:hAnsi="Arial" w:cs="Arial"/>
                <w:color w:val="000000"/>
                <w:sz w:val="18"/>
                <w:szCs w:val="18"/>
              </w:rPr>
              <w:t>Number of responses per respondent</w:t>
            </w:r>
          </w:p>
        </w:tc>
        <w:tc>
          <w:tcPr>
            <w:tcW w:w="1117" w:type="dxa"/>
            <w:tcBorders>
              <w:top w:val="single" w:sz="4" w:space="0" w:color="auto"/>
              <w:left w:val="nil"/>
              <w:bottom w:val="single" w:sz="4" w:space="0" w:color="auto"/>
              <w:right w:val="nil"/>
            </w:tcBorders>
            <w:shd w:val="clear" w:color="000000" w:fill="FFFFFF"/>
            <w:vAlign w:val="bottom"/>
            <w:hideMark/>
          </w:tcPr>
          <w:p w14:paraId="156B73F5" w14:textId="77777777" w:rsidR="0058435B" w:rsidRPr="006702FC" w:rsidRDefault="0058435B" w:rsidP="00404D08">
            <w:pPr>
              <w:autoSpaceDE/>
              <w:autoSpaceDN/>
              <w:adjustRightInd/>
              <w:rPr>
                <w:rFonts w:ascii="Arial" w:hAnsi="Arial" w:cs="Arial"/>
                <w:color w:val="000000"/>
                <w:sz w:val="18"/>
                <w:szCs w:val="18"/>
              </w:rPr>
            </w:pPr>
            <w:r w:rsidRPr="006702FC">
              <w:rPr>
                <w:rFonts w:ascii="Arial" w:hAnsi="Arial" w:cs="Arial"/>
                <w:color w:val="000000"/>
                <w:sz w:val="18"/>
                <w:szCs w:val="18"/>
              </w:rPr>
              <w:t>Number of Responses</w:t>
            </w:r>
          </w:p>
        </w:tc>
        <w:tc>
          <w:tcPr>
            <w:tcW w:w="1060" w:type="dxa"/>
            <w:tcBorders>
              <w:top w:val="single" w:sz="4" w:space="0" w:color="auto"/>
              <w:left w:val="nil"/>
              <w:bottom w:val="single" w:sz="4" w:space="0" w:color="auto"/>
              <w:right w:val="nil"/>
            </w:tcBorders>
            <w:shd w:val="clear" w:color="000000" w:fill="FFFFFF"/>
            <w:vAlign w:val="bottom"/>
            <w:hideMark/>
          </w:tcPr>
          <w:p w14:paraId="564C3C91" w14:textId="77777777" w:rsidR="0058435B" w:rsidRPr="006702FC" w:rsidRDefault="0058435B" w:rsidP="00404D08">
            <w:pPr>
              <w:autoSpaceDE/>
              <w:autoSpaceDN/>
              <w:adjustRightInd/>
              <w:rPr>
                <w:rFonts w:ascii="Arial" w:hAnsi="Arial" w:cs="Arial"/>
                <w:color w:val="000000"/>
                <w:sz w:val="18"/>
                <w:szCs w:val="18"/>
              </w:rPr>
            </w:pPr>
            <w:r w:rsidRPr="006702FC">
              <w:rPr>
                <w:rFonts w:ascii="Arial" w:hAnsi="Arial" w:cs="Arial"/>
                <w:color w:val="000000"/>
                <w:sz w:val="18"/>
                <w:szCs w:val="18"/>
              </w:rPr>
              <w:t>Burden Hours per Response</w:t>
            </w:r>
          </w:p>
        </w:tc>
        <w:tc>
          <w:tcPr>
            <w:tcW w:w="1060" w:type="dxa"/>
            <w:tcBorders>
              <w:top w:val="single" w:sz="4" w:space="0" w:color="auto"/>
              <w:left w:val="nil"/>
              <w:bottom w:val="single" w:sz="4" w:space="0" w:color="auto"/>
              <w:right w:val="nil"/>
            </w:tcBorders>
            <w:shd w:val="clear" w:color="000000" w:fill="FFFFFF"/>
            <w:vAlign w:val="bottom"/>
            <w:hideMark/>
          </w:tcPr>
          <w:p w14:paraId="45BC7A37" w14:textId="77777777" w:rsidR="0058435B" w:rsidRPr="006702FC" w:rsidRDefault="0058435B" w:rsidP="00404D08">
            <w:pPr>
              <w:autoSpaceDE/>
              <w:autoSpaceDN/>
              <w:adjustRightInd/>
              <w:rPr>
                <w:rFonts w:ascii="Arial" w:hAnsi="Arial" w:cs="Arial"/>
                <w:color w:val="000000"/>
                <w:sz w:val="18"/>
                <w:szCs w:val="18"/>
              </w:rPr>
            </w:pPr>
            <w:r w:rsidRPr="006702FC">
              <w:rPr>
                <w:rFonts w:ascii="Arial" w:hAnsi="Arial" w:cs="Arial"/>
                <w:color w:val="000000"/>
                <w:sz w:val="18"/>
                <w:szCs w:val="18"/>
              </w:rPr>
              <w:t>Total Annual Burden Hours</w:t>
            </w:r>
          </w:p>
        </w:tc>
        <w:tc>
          <w:tcPr>
            <w:tcW w:w="1360" w:type="dxa"/>
            <w:tcBorders>
              <w:top w:val="single" w:sz="4" w:space="0" w:color="auto"/>
              <w:left w:val="nil"/>
              <w:bottom w:val="single" w:sz="4" w:space="0" w:color="auto"/>
              <w:right w:val="single" w:sz="4" w:space="0" w:color="auto"/>
            </w:tcBorders>
            <w:shd w:val="clear" w:color="000000" w:fill="FFFFFF"/>
            <w:vAlign w:val="bottom"/>
            <w:hideMark/>
          </w:tcPr>
          <w:p w14:paraId="6AA96D44" w14:textId="77777777" w:rsidR="0058435B" w:rsidRPr="006702FC" w:rsidRDefault="0058435B" w:rsidP="00404D08">
            <w:pPr>
              <w:autoSpaceDE/>
              <w:autoSpaceDN/>
              <w:adjustRightInd/>
              <w:rPr>
                <w:rFonts w:ascii="Arial" w:hAnsi="Arial" w:cs="Arial"/>
                <w:color w:val="000000"/>
                <w:sz w:val="18"/>
                <w:szCs w:val="18"/>
              </w:rPr>
            </w:pPr>
            <w:r w:rsidRPr="006702FC">
              <w:rPr>
                <w:rFonts w:ascii="Arial" w:hAnsi="Arial" w:cs="Arial"/>
                <w:color w:val="000000"/>
                <w:sz w:val="18"/>
                <w:szCs w:val="18"/>
              </w:rPr>
              <w:t>Cost @ $265/hr</w:t>
            </w:r>
          </w:p>
        </w:tc>
      </w:tr>
      <w:tr w:rsidR="005F40E4" w:rsidRPr="006702FC" w14:paraId="042E42B7" w14:textId="77777777" w:rsidTr="006A7727">
        <w:trPr>
          <w:trHeight w:val="270"/>
        </w:trPr>
        <w:tc>
          <w:tcPr>
            <w:tcW w:w="6640" w:type="dxa"/>
            <w:tcBorders>
              <w:top w:val="nil"/>
              <w:left w:val="single" w:sz="4" w:space="0" w:color="auto"/>
              <w:bottom w:val="nil"/>
              <w:right w:val="nil"/>
            </w:tcBorders>
            <w:shd w:val="clear" w:color="000000" w:fill="FFFFFF"/>
            <w:vAlign w:val="center"/>
          </w:tcPr>
          <w:p w14:paraId="064DB3BB" w14:textId="4E4DF7B8" w:rsidR="005F40E4" w:rsidRPr="00350FFB" w:rsidRDefault="005F40E4" w:rsidP="005F40E4">
            <w:pPr>
              <w:autoSpaceDE/>
              <w:autoSpaceDN/>
              <w:adjustRightInd/>
              <w:rPr>
                <w:rFonts w:ascii="Arial" w:hAnsi="Arial" w:cs="Arial"/>
                <w:b/>
                <w:bCs/>
                <w:color w:val="000000"/>
                <w:sz w:val="18"/>
                <w:szCs w:val="18"/>
              </w:rPr>
            </w:pPr>
            <w:r w:rsidRPr="006702FC">
              <w:rPr>
                <w:rFonts w:ascii="Arial" w:hAnsi="Arial" w:cs="Arial"/>
                <w:b/>
                <w:bCs/>
                <w:color w:val="000000"/>
                <w:sz w:val="18"/>
                <w:szCs w:val="18"/>
                <w:u w:val="single"/>
              </w:rPr>
              <w:t>10 CFR 50.34(i)</w:t>
            </w:r>
          </w:p>
        </w:tc>
        <w:tc>
          <w:tcPr>
            <w:tcW w:w="1277" w:type="dxa"/>
            <w:tcBorders>
              <w:top w:val="nil"/>
              <w:left w:val="nil"/>
              <w:bottom w:val="nil"/>
              <w:right w:val="nil"/>
            </w:tcBorders>
            <w:shd w:val="clear" w:color="000000" w:fill="FFFFFF"/>
            <w:vAlign w:val="center"/>
          </w:tcPr>
          <w:p w14:paraId="6DF4C607" w14:textId="0B71AE58" w:rsidR="005F40E4" w:rsidRPr="006702FC" w:rsidRDefault="005F40E4" w:rsidP="005F40E4">
            <w:pPr>
              <w:autoSpaceDE/>
              <w:autoSpaceDN/>
              <w:adjustRightInd/>
              <w:jc w:val="center"/>
              <w:rPr>
                <w:rFonts w:ascii="Arial" w:hAnsi="Arial" w:cs="Arial"/>
                <w:color w:val="000000"/>
                <w:sz w:val="18"/>
                <w:szCs w:val="18"/>
              </w:rPr>
            </w:pPr>
          </w:p>
        </w:tc>
        <w:tc>
          <w:tcPr>
            <w:tcW w:w="1200" w:type="dxa"/>
            <w:tcBorders>
              <w:top w:val="nil"/>
              <w:left w:val="nil"/>
              <w:bottom w:val="nil"/>
              <w:right w:val="nil"/>
            </w:tcBorders>
            <w:shd w:val="clear" w:color="000000" w:fill="FFFFFF"/>
            <w:vAlign w:val="center"/>
          </w:tcPr>
          <w:p w14:paraId="625DEF9D" w14:textId="377E82EE" w:rsidR="005F40E4" w:rsidRPr="006702FC" w:rsidRDefault="005F40E4" w:rsidP="005F40E4">
            <w:pPr>
              <w:autoSpaceDE/>
              <w:autoSpaceDN/>
              <w:adjustRightInd/>
              <w:jc w:val="center"/>
              <w:rPr>
                <w:rFonts w:ascii="Arial" w:hAnsi="Arial" w:cs="Arial"/>
                <w:color w:val="000000"/>
                <w:sz w:val="18"/>
                <w:szCs w:val="18"/>
              </w:rPr>
            </w:pPr>
          </w:p>
        </w:tc>
        <w:tc>
          <w:tcPr>
            <w:tcW w:w="1117" w:type="dxa"/>
            <w:tcBorders>
              <w:top w:val="nil"/>
              <w:left w:val="nil"/>
              <w:bottom w:val="nil"/>
              <w:right w:val="nil"/>
            </w:tcBorders>
            <w:shd w:val="clear" w:color="000000" w:fill="FFFFFF"/>
            <w:vAlign w:val="center"/>
          </w:tcPr>
          <w:p w14:paraId="48BE385F" w14:textId="20ECCCEE" w:rsidR="005F40E4" w:rsidRPr="006702FC" w:rsidRDefault="005F40E4" w:rsidP="005F40E4">
            <w:pPr>
              <w:autoSpaceDE/>
              <w:autoSpaceDN/>
              <w:adjustRightInd/>
              <w:jc w:val="center"/>
              <w:rPr>
                <w:rFonts w:ascii="Arial" w:hAnsi="Arial" w:cs="Arial"/>
                <w:color w:val="000000"/>
                <w:sz w:val="18"/>
                <w:szCs w:val="18"/>
              </w:rPr>
            </w:pPr>
          </w:p>
        </w:tc>
        <w:tc>
          <w:tcPr>
            <w:tcW w:w="1060" w:type="dxa"/>
            <w:tcBorders>
              <w:top w:val="nil"/>
              <w:left w:val="nil"/>
              <w:bottom w:val="nil"/>
              <w:right w:val="nil"/>
            </w:tcBorders>
            <w:shd w:val="clear" w:color="000000" w:fill="FFFFFF"/>
            <w:vAlign w:val="center"/>
          </w:tcPr>
          <w:p w14:paraId="4485624A" w14:textId="310827D4" w:rsidR="005F40E4" w:rsidRPr="006702FC" w:rsidRDefault="005F40E4" w:rsidP="005F40E4">
            <w:pPr>
              <w:autoSpaceDE/>
              <w:autoSpaceDN/>
              <w:adjustRightInd/>
              <w:jc w:val="center"/>
              <w:rPr>
                <w:rFonts w:ascii="Arial" w:hAnsi="Arial" w:cs="Arial"/>
                <w:color w:val="000000"/>
                <w:sz w:val="18"/>
                <w:szCs w:val="18"/>
              </w:rPr>
            </w:pPr>
          </w:p>
        </w:tc>
        <w:tc>
          <w:tcPr>
            <w:tcW w:w="1060" w:type="dxa"/>
            <w:tcBorders>
              <w:top w:val="nil"/>
              <w:left w:val="nil"/>
              <w:bottom w:val="nil"/>
              <w:right w:val="nil"/>
            </w:tcBorders>
            <w:shd w:val="clear" w:color="000000" w:fill="FFFFFF"/>
            <w:vAlign w:val="center"/>
          </w:tcPr>
          <w:p w14:paraId="4C187930" w14:textId="28C53828" w:rsidR="005F40E4" w:rsidRPr="006702FC" w:rsidRDefault="005F40E4" w:rsidP="005F40E4">
            <w:pPr>
              <w:autoSpaceDE/>
              <w:autoSpaceDN/>
              <w:adjustRightInd/>
              <w:jc w:val="center"/>
              <w:rPr>
                <w:rFonts w:ascii="Arial" w:hAnsi="Arial" w:cs="Arial"/>
                <w:color w:val="000000"/>
                <w:sz w:val="18"/>
                <w:szCs w:val="18"/>
              </w:rPr>
            </w:pPr>
          </w:p>
        </w:tc>
        <w:tc>
          <w:tcPr>
            <w:tcW w:w="1360" w:type="dxa"/>
            <w:tcBorders>
              <w:top w:val="nil"/>
              <w:left w:val="nil"/>
              <w:bottom w:val="nil"/>
              <w:right w:val="single" w:sz="4" w:space="0" w:color="auto"/>
            </w:tcBorders>
            <w:shd w:val="clear" w:color="000000" w:fill="FFFFFF"/>
            <w:vAlign w:val="center"/>
          </w:tcPr>
          <w:p w14:paraId="61EE0B24" w14:textId="433D7BDA" w:rsidR="005F40E4" w:rsidRPr="006702FC" w:rsidRDefault="005F40E4" w:rsidP="005F40E4">
            <w:pPr>
              <w:autoSpaceDE/>
              <w:autoSpaceDN/>
              <w:adjustRightInd/>
              <w:jc w:val="right"/>
              <w:rPr>
                <w:rFonts w:ascii="Arial" w:hAnsi="Arial" w:cs="Arial"/>
                <w:color w:val="000000"/>
                <w:sz w:val="18"/>
                <w:szCs w:val="18"/>
              </w:rPr>
            </w:pPr>
          </w:p>
        </w:tc>
      </w:tr>
      <w:tr w:rsidR="008B2FFF" w:rsidRPr="006702FC" w14:paraId="6EB672EC" w14:textId="77777777" w:rsidTr="006A7727">
        <w:trPr>
          <w:trHeight w:val="270"/>
        </w:trPr>
        <w:tc>
          <w:tcPr>
            <w:tcW w:w="6640" w:type="dxa"/>
            <w:tcBorders>
              <w:top w:val="nil"/>
              <w:left w:val="single" w:sz="4" w:space="0" w:color="auto"/>
              <w:bottom w:val="nil"/>
              <w:right w:val="nil"/>
            </w:tcBorders>
            <w:shd w:val="clear" w:color="000000" w:fill="FFFFFF"/>
            <w:vAlign w:val="center"/>
          </w:tcPr>
          <w:p w14:paraId="7DC229C3" w14:textId="17381C86" w:rsidR="008B2FFF" w:rsidRPr="006702FC" w:rsidRDefault="008B2FFF" w:rsidP="008B2FFF">
            <w:pPr>
              <w:autoSpaceDE/>
              <w:autoSpaceDN/>
              <w:adjustRightInd/>
              <w:rPr>
                <w:rFonts w:ascii="Arial" w:hAnsi="Arial" w:cs="Arial"/>
                <w:color w:val="000000"/>
                <w:sz w:val="18"/>
                <w:szCs w:val="18"/>
              </w:rPr>
            </w:pPr>
            <w:r w:rsidRPr="006702FC">
              <w:rPr>
                <w:rFonts w:ascii="Arial" w:hAnsi="Arial" w:cs="Arial"/>
                <w:color w:val="000000"/>
                <w:sz w:val="18"/>
                <w:szCs w:val="18"/>
              </w:rPr>
              <w:t>Part 50 applicants provide plans for implementing rule requirements in application</w:t>
            </w:r>
          </w:p>
        </w:tc>
        <w:tc>
          <w:tcPr>
            <w:tcW w:w="1277" w:type="dxa"/>
            <w:tcBorders>
              <w:top w:val="nil"/>
              <w:left w:val="nil"/>
              <w:bottom w:val="nil"/>
              <w:right w:val="nil"/>
            </w:tcBorders>
            <w:shd w:val="clear" w:color="000000" w:fill="FFFFFF"/>
            <w:vAlign w:val="center"/>
          </w:tcPr>
          <w:p w14:paraId="1CC92264" w14:textId="25AA0338" w:rsidR="008B2FFF" w:rsidRPr="006702FC" w:rsidRDefault="008B2FFF" w:rsidP="008B2FFF">
            <w:pPr>
              <w:autoSpaceDE/>
              <w:autoSpaceDN/>
              <w:adjustRightInd/>
              <w:jc w:val="center"/>
              <w:rPr>
                <w:rFonts w:ascii="Arial" w:hAnsi="Arial" w:cs="Arial"/>
                <w:color w:val="000000"/>
                <w:sz w:val="18"/>
                <w:szCs w:val="18"/>
              </w:rPr>
            </w:pPr>
            <w:r>
              <w:rPr>
                <w:rFonts w:ascii="Arial" w:hAnsi="Arial" w:cs="Arial"/>
                <w:color w:val="000000"/>
                <w:sz w:val="18"/>
                <w:szCs w:val="18"/>
              </w:rPr>
              <w:t>0</w:t>
            </w:r>
          </w:p>
        </w:tc>
        <w:tc>
          <w:tcPr>
            <w:tcW w:w="1200" w:type="dxa"/>
            <w:tcBorders>
              <w:top w:val="nil"/>
              <w:left w:val="nil"/>
              <w:bottom w:val="nil"/>
              <w:right w:val="nil"/>
            </w:tcBorders>
            <w:shd w:val="clear" w:color="000000" w:fill="FFFFFF"/>
            <w:vAlign w:val="center"/>
          </w:tcPr>
          <w:p w14:paraId="6B39163D" w14:textId="064A4CDF" w:rsidR="008B2FFF" w:rsidRPr="006702FC" w:rsidRDefault="008B2FFF" w:rsidP="008B2FFF">
            <w:pPr>
              <w:autoSpaceDE/>
              <w:autoSpaceDN/>
              <w:adjustRightInd/>
              <w:jc w:val="center"/>
              <w:rPr>
                <w:rFonts w:ascii="Arial" w:hAnsi="Arial" w:cs="Arial"/>
                <w:color w:val="000000"/>
                <w:sz w:val="18"/>
                <w:szCs w:val="18"/>
              </w:rPr>
            </w:pPr>
            <w:r>
              <w:rPr>
                <w:rFonts w:ascii="Arial" w:hAnsi="Arial" w:cs="Arial"/>
                <w:color w:val="000000"/>
                <w:sz w:val="18"/>
                <w:szCs w:val="18"/>
              </w:rPr>
              <w:t>0</w:t>
            </w:r>
          </w:p>
        </w:tc>
        <w:tc>
          <w:tcPr>
            <w:tcW w:w="1117" w:type="dxa"/>
            <w:tcBorders>
              <w:top w:val="nil"/>
              <w:left w:val="nil"/>
              <w:bottom w:val="nil"/>
              <w:right w:val="nil"/>
            </w:tcBorders>
            <w:shd w:val="clear" w:color="000000" w:fill="FFFFFF"/>
            <w:vAlign w:val="center"/>
          </w:tcPr>
          <w:p w14:paraId="0817200B" w14:textId="6B73AC19" w:rsidR="008B2FFF" w:rsidRPr="006702FC" w:rsidRDefault="008B2FFF" w:rsidP="008B2FFF">
            <w:pPr>
              <w:autoSpaceDE/>
              <w:autoSpaceDN/>
              <w:adjustRightInd/>
              <w:jc w:val="center"/>
              <w:rPr>
                <w:rFonts w:ascii="Arial" w:hAnsi="Arial" w:cs="Arial"/>
                <w:color w:val="000000"/>
                <w:sz w:val="18"/>
                <w:szCs w:val="18"/>
              </w:rPr>
            </w:pPr>
            <w:r>
              <w:rPr>
                <w:rFonts w:ascii="Arial" w:hAnsi="Arial" w:cs="Arial"/>
                <w:color w:val="000000"/>
                <w:sz w:val="18"/>
                <w:szCs w:val="18"/>
              </w:rPr>
              <w:t>0</w:t>
            </w:r>
          </w:p>
        </w:tc>
        <w:tc>
          <w:tcPr>
            <w:tcW w:w="1060" w:type="dxa"/>
            <w:tcBorders>
              <w:top w:val="nil"/>
              <w:left w:val="nil"/>
              <w:bottom w:val="nil"/>
              <w:right w:val="nil"/>
            </w:tcBorders>
            <w:shd w:val="clear" w:color="000000" w:fill="FFFFFF"/>
            <w:vAlign w:val="center"/>
          </w:tcPr>
          <w:p w14:paraId="7A34FF76" w14:textId="4E367936" w:rsidR="008B2FFF" w:rsidRPr="006702FC" w:rsidRDefault="00C851C8" w:rsidP="008B2FFF">
            <w:pPr>
              <w:autoSpaceDE/>
              <w:autoSpaceDN/>
              <w:adjustRightInd/>
              <w:jc w:val="center"/>
              <w:rPr>
                <w:rFonts w:ascii="Arial" w:hAnsi="Arial" w:cs="Arial"/>
                <w:color w:val="000000"/>
                <w:sz w:val="18"/>
                <w:szCs w:val="18"/>
              </w:rPr>
            </w:pPr>
            <w:r>
              <w:rPr>
                <w:rFonts w:ascii="Arial" w:hAnsi="Arial" w:cs="Arial"/>
                <w:color w:val="000000"/>
                <w:sz w:val="18"/>
                <w:szCs w:val="18"/>
              </w:rPr>
              <w:t>3</w:t>
            </w:r>
            <w:r w:rsidR="008B2FFF">
              <w:rPr>
                <w:rFonts w:ascii="Arial" w:hAnsi="Arial" w:cs="Arial"/>
                <w:color w:val="000000"/>
                <w:sz w:val="18"/>
                <w:szCs w:val="18"/>
              </w:rPr>
              <w:t>00</w:t>
            </w:r>
          </w:p>
        </w:tc>
        <w:tc>
          <w:tcPr>
            <w:tcW w:w="1060" w:type="dxa"/>
            <w:tcBorders>
              <w:top w:val="nil"/>
              <w:left w:val="nil"/>
              <w:bottom w:val="nil"/>
              <w:right w:val="nil"/>
            </w:tcBorders>
            <w:shd w:val="clear" w:color="000000" w:fill="FFFFFF"/>
            <w:vAlign w:val="center"/>
          </w:tcPr>
          <w:p w14:paraId="5E395E48" w14:textId="03D3D72A" w:rsidR="008B2FFF" w:rsidRPr="006702FC" w:rsidRDefault="008B2FFF" w:rsidP="008B2FFF">
            <w:pPr>
              <w:autoSpaceDE/>
              <w:autoSpaceDN/>
              <w:adjustRightInd/>
              <w:jc w:val="center"/>
              <w:rPr>
                <w:rFonts w:ascii="Arial" w:hAnsi="Arial" w:cs="Arial"/>
                <w:color w:val="000000"/>
                <w:sz w:val="18"/>
                <w:szCs w:val="18"/>
              </w:rPr>
            </w:pPr>
            <w:r>
              <w:rPr>
                <w:rFonts w:ascii="Arial" w:hAnsi="Arial" w:cs="Arial"/>
                <w:color w:val="000000"/>
                <w:sz w:val="18"/>
                <w:szCs w:val="18"/>
              </w:rPr>
              <w:t>0</w:t>
            </w:r>
          </w:p>
        </w:tc>
        <w:tc>
          <w:tcPr>
            <w:tcW w:w="1360" w:type="dxa"/>
            <w:tcBorders>
              <w:top w:val="nil"/>
              <w:left w:val="nil"/>
              <w:bottom w:val="nil"/>
              <w:right w:val="single" w:sz="4" w:space="0" w:color="auto"/>
            </w:tcBorders>
            <w:shd w:val="clear" w:color="000000" w:fill="FFFFFF"/>
            <w:noWrap/>
            <w:vAlign w:val="center"/>
          </w:tcPr>
          <w:p w14:paraId="59E2D948" w14:textId="70F220D9" w:rsidR="008B2FFF" w:rsidRPr="006702FC" w:rsidRDefault="008B2FFF" w:rsidP="008B2FFF">
            <w:pPr>
              <w:autoSpaceDE/>
              <w:autoSpaceDN/>
              <w:adjustRightInd/>
              <w:jc w:val="right"/>
              <w:rPr>
                <w:rFonts w:ascii="Arial" w:hAnsi="Arial" w:cs="Arial"/>
                <w:color w:val="000000"/>
                <w:sz w:val="18"/>
                <w:szCs w:val="18"/>
              </w:rPr>
            </w:pPr>
            <w:r>
              <w:rPr>
                <w:rFonts w:ascii="Arial" w:hAnsi="Arial" w:cs="Arial"/>
                <w:color w:val="000000"/>
                <w:sz w:val="18"/>
                <w:szCs w:val="18"/>
              </w:rPr>
              <w:t>$0</w:t>
            </w:r>
          </w:p>
        </w:tc>
      </w:tr>
      <w:tr w:rsidR="008B2FFF" w:rsidRPr="006702FC" w14:paraId="7E508918" w14:textId="77777777" w:rsidTr="00350FFB">
        <w:trPr>
          <w:trHeight w:val="270"/>
        </w:trPr>
        <w:tc>
          <w:tcPr>
            <w:tcW w:w="6640" w:type="dxa"/>
            <w:tcBorders>
              <w:top w:val="nil"/>
              <w:left w:val="single" w:sz="4" w:space="0" w:color="auto"/>
              <w:bottom w:val="single" w:sz="4" w:space="0" w:color="auto"/>
              <w:right w:val="nil"/>
            </w:tcBorders>
            <w:shd w:val="clear" w:color="000000" w:fill="FFFFFF"/>
            <w:noWrap/>
            <w:vAlign w:val="center"/>
            <w:hideMark/>
          </w:tcPr>
          <w:p w14:paraId="63C4AA29" w14:textId="77777777" w:rsidR="008B2FFF" w:rsidRPr="006702FC" w:rsidRDefault="008B2FFF" w:rsidP="008B2FFF">
            <w:pPr>
              <w:autoSpaceDE/>
              <w:autoSpaceDN/>
              <w:adjustRightInd/>
              <w:rPr>
                <w:rFonts w:ascii="Arial" w:hAnsi="Arial" w:cs="Arial"/>
                <w:color w:val="000000"/>
                <w:sz w:val="18"/>
                <w:szCs w:val="18"/>
              </w:rPr>
            </w:pPr>
            <w:r w:rsidRPr="006702FC">
              <w:rPr>
                <w:rFonts w:ascii="Arial" w:hAnsi="Arial" w:cs="Arial"/>
                <w:color w:val="000000"/>
                <w:sz w:val="18"/>
                <w:szCs w:val="18"/>
              </w:rPr>
              <w:t>Totals:</w:t>
            </w:r>
          </w:p>
        </w:tc>
        <w:tc>
          <w:tcPr>
            <w:tcW w:w="1277" w:type="dxa"/>
            <w:tcBorders>
              <w:top w:val="single" w:sz="4" w:space="0" w:color="auto"/>
              <w:left w:val="nil"/>
              <w:bottom w:val="single" w:sz="4" w:space="0" w:color="auto"/>
              <w:right w:val="nil"/>
            </w:tcBorders>
            <w:shd w:val="clear" w:color="000000" w:fill="FFFFFF"/>
            <w:noWrap/>
            <w:vAlign w:val="center"/>
          </w:tcPr>
          <w:p w14:paraId="0AC0D74A" w14:textId="536AFC71" w:rsidR="008B2FFF" w:rsidRPr="006702FC" w:rsidRDefault="008B2FFF" w:rsidP="008B2FFF">
            <w:pPr>
              <w:autoSpaceDE/>
              <w:autoSpaceDN/>
              <w:adjustRightInd/>
              <w:jc w:val="center"/>
              <w:rPr>
                <w:rFonts w:ascii="Arial" w:hAnsi="Arial" w:cs="Arial"/>
                <w:color w:val="000000"/>
                <w:sz w:val="18"/>
                <w:szCs w:val="18"/>
              </w:rPr>
            </w:pPr>
            <w:r>
              <w:rPr>
                <w:rFonts w:ascii="Arial" w:hAnsi="Arial" w:cs="Arial"/>
                <w:color w:val="000000"/>
                <w:sz w:val="18"/>
                <w:szCs w:val="18"/>
              </w:rPr>
              <w:t>0</w:t>
            </w:r>
          </w:p>
        </w:tc>
        <w:tc>
          <w:tcPr>
            <w:tcW w:w="1200" w:type="dxa"/>
            <w:tcBorders>
              <w:top w:val="single" w:sz="4" w:space="0" w:color="auto"/>
              <w:left w:val="nil"/>
              <w:bottom w:val="single" w:sz="4" w:space="0" w:color="auto"/>
              <w:right w:val="nil"/>
            </w:tcBorders>
            <w:shd w:val="clear" w:color="000000" w:fill="FFFFFF"/>
            <w:noWrap/>
            <w:vAlign w:val="center"/>
          </w:tcPr>
          <w:p w14:paraId="230FF70B" w14:textId="4A635185" w:rsidR="008B2FFF" w:rsidRPr="006702FC" w:rsidRDefault="008B2FFF" w:rsidP="008B2FFF">
            <w:pPr>
              <w:autoSpaceDE/>
              <w:autoSpaceDN/>
              <w:adjustRightInd/>
              <w:jc w:val="center"/>
              <w:rPr>
                <w:rFonts w:ascii="Arial" w:hAnsi="Arial" w:cs="Arial"/>
                <w:color w:val="000000"/>
                <w:sz w:val="18"/>
                <w:szCs w:val="18"/>
              </w:rPr>
            </w:pPr>
            <w:r>
              <w:rPr>
                <w:rFonts w:ascii="Arial" w:hAnsi="Arial" w:cs="Arial"/>
                <w:color w:val="000000"/>
                <w:sz w:val="18"/>
                <w:szCs w:val="18"/>
              </w:rPr>
              <w:t>0</w:t>
            </w:r>
          </w:p>
        </w:tc>
        <w:tc>
          <w:tcPr>
            <w:tcW w:w="1117" w:type="dxa"/>
            <w:tcBorders>
              <w:top w:val="single" w:sz="4" w:space="0" w:color="auto"/>
              <w:left w:val="nil"/>
              <w:bottom w:val="single" w:sz="4" w:space="0" w:color="auto"/>
              <w:right w:val="nil"/>
            </w:tcBorders>
            <w:shd w:val="clear" w:color="000000" w:fill="FFFFFF"/>
            <w:noWrap/>
            <w:vAlign w:val="center"/>
          </w:tcPr>
          <w:p w14:paraId="36852D93" w14:textId="5F3B2651" w:rsidR="008B2FFF" w:rsidRPr="006702FC" w:rsidRDefault="008B2FFF" w:rsidP="008B2FFF">
            <w:pPr>
              <w:autoSpaceDE/>
              <w:autoSpaceDN/>
              <w:adjustRightInd/>
              <w:jc w:val="center"/>
              <w:rPr>
                <w:rFonts w:ascii="Arial" w:hAnsi="Arial" w:cs="Arial"/>
                <w:color w:val="000000"/>
                <w:sz w:val="18"/>
                <w:szCs w:val="18"/>
              </w:rPr>
            </w:pPr>
            <w:r>
              <w:rPr>
                <w:rFonts w:ascii="Arial" w:hAnsi="Arial" w:cs="Arial"/>
                <w:color w:val="000000"/>
                <w:sz w:val="18"/>
                <w:szCs w:val="18"/>
              </w:rPr>
              <w:t>0</w:t>
            </w:r>
          </w:p>
        </w:tc>
        <w:tc>
          <w:tcPr>
            <w:tcW w:w="1060" w:type="dxa"/>
            <w:tcBorders>
              <w:top w:val="single" w:sz="4" w:space="0" w:color="auto"/>
              <w:left w:val="nil"/>
              <w:bottom w:val="single" w:sz="4" w:space="0" w:color="auto"/>
              <w:right w:val="nil"/>
            </w:tcBorders>
            <w:shd w:val="clear" w:color="000000" w:fill="FFFFFF"/>
            <w:noWrap/>
            <w:vAlign w:val="center"/>
          </w:tcPr>
          <w:p w14:paraId="2E322C4E" w14:textId="778B064A" w:rsidR="008B2FFF" w:rsidRPr="006702FC" w:rsidRDefault="00C851C8" w:rsidP="008B2FFF">
            <w:pPr>
              <w:autoSpaceDE/>
              <w:autoSpaceDN/>
              <w:adjustRightInd/>
              <w:jc w:val="center"/>
              <w:rPr>
                <w:rFonts w:ascii="Arial" w:hAnsi="Arial" w:cs="Arial"/>
                <w:color w:val="000000"/>
                <w:sz w:val="18"/>
                <w:szCs w:val="18"/>
              </w:rPr>
            </w:pPr>
            <w:r>
              <w:rPr>
                <w:rFonts w:ascii="Arial" w:hAnsi="Arial" w:cs="Arial"/>
                <w:color w:val="000000"/>
                <w:sz w:val="18"/>
                <w:szCs w:val="18"/>
              </w:rPr>
              <w:t>3</w:t>
            </w:r>
            <w:r w:rsidR="008B2FFF">
              <w:rPr>
                <w:rFonts w:ascii="Arial" w:hAnsi="Arial" w:cs="Arial"/>
                <w:color w:val="000000"/>
                <w:sz w:val="18"/>
                <w:szCs w:val="18"/>
              </w:rPr>
              <w:t>00</w:t>
            </w:r>
          </w:p>
        </w:tc>
        <w:tc>
          <w:tcPr>
            <w:tcW w:w="1060" w:type="dxa"/>
            <w:tcBorders>
              <w:top w:val="single" w:sz="4" w:space="0" w:color="auto"/>
              <w:left w:val="nil"/>
              <w:bottom w:val="single" w:sz="4" w:space="0" w:color="auto"/>
              <w:right w:val="nil"/>
            </w:tcBorders>
            <w:shd w:val="clear" w:color="000000" w:fill="FFFFFF"/>
            <w:noWrap/>
            <w:vAlign w:val="center"/>
          </w:tcPr>
          <w:p w14:paraId="55DA8640" w14:textId="77F1EAED" w:rsidR="008B2FFF" w:rsidRPr="006702FC" w:rsidRDefault="008B2FFF" w:rsidP="008B2FFF">
            <w:pPr>
              <w:autoSpaceDE/>
              <w:autoSpaceDN/>
              <w:adjustRightInd/>
              <w:jc w:val="center"/>
              <w:rPr>
                <w:rFonts w:ascii="Arial" w:hAnsi="Arial" w:cs="Arial"/>
                <w:color w:val="000000"/>
                <w:sz w:val="18"/>
                <w:szCs w:val="18"/>
              </w:rPr>
            </w:pPr>
            <w:r>
              <w:rPr>
                <w:rFonts w:ascii="Arial" w:hAnsi="Arial" w:cs="Arial"/>
                <w:color w:val="000000"/>
                <w:sz w:val="18"/>
                <w:szCs w:val="18"/>
              </w:rPr>
              <w:t>0</w:t>
            </w:r>
          </w:p>
        </w:tc>
        <w:tc>
          <w:tcPr>
            <w:tcW w:w="1360" w:type="dxa"/>
            <w:tcBorders>
              <w:top w:val="single" w:sz="4" w:space="0" w:color="auto"/>
              <w:left w:val="nil"/>
              <w:bottom w:val="single" w:sz="4" w:space="0" w:color="auto"/>
              <w:right w:val="single" w:sz="4" w:space="0" w:color="auto"/>
            </w:tcBorders>
            <w:shd w:val="clear" w:color="000000" w:fill="FFFFFF"/>
            <w:noWrap/>
            <w:vAlign w:val="center"/>
          </w:tcPr>
          <w:p w14:paraId="3B5D1DE4" w14:textId="16CE7D50" w:rsidR="008B2FFF" w:rsidRPr="006702FC" w:rsidRDefault="008B2FFF" w:rsidP="008B2FFF">
            <w:pPr>
              <w:autoSpaceDE/>
              <w:autoSpaceDN/>
              <w:adjustRightInd/>
              <w:jc w:val="right"/>
              <w:rPr>
                <w:rFonts w:ascii="Arial" w:hAnsi="Arial" w:cs="Arial"/>
                <w:color w:val="000000"/>
                <w:sz w:val="18"/>
                <w:szCs w:val="18"/>
              </w:rPr>
            </w:pPr>
            <w:r>
              <w:rPr>
                <w:rFonts w:ascii="Arial" w:hAnsi="Arial" w:cs="Arial"/>
                <w:color w:val="000000"/>
                <w:sz w:val="18"/>
                <w:szCs w:val="18"/>
              </w:rPr>
              <w:t>$0</w:t>
            </w:r>
          </w:p>
        </w:tc>
      </w:tr>
    </w:tbl>
    <w:p w14:paraId="72A852AE" w14:textId="1BE6C6CC" w:rsidR="0058435B" w:rsidRPr="007A1F4C" w:rsidDel="001007B5" w:rsidRDefault="0058435B" w:rsidP="0058435B">
      <w:pPr>
        <w:rPr>
          <w:rFonts w:ascii="Arial" w:hAnsi="Arial" w:cs="Arial"/>
          <w:b/>
          <w:sz w:val="18"/>
          <w:szCs w:val="18"/>
        </w:rPr>
      </w:pPr>
      <w:r w:rsidRPr="007A1F4C">
        <w:rPr>
          <w:rFonts w:ascii="Arial" w:hAnsi="Arial" w:cs="Arial"/>
          <w:sz w:val="18"/>
          <w:szCs w:val="18"/>
        </w:rPr>
        <w:t xml:space="preserve">Note:  The burden hours per recordkeeper are based on the estimates used in the </w:t>
      </w:r>
      <w:r w:rsidR="00350FFB">
        <w:rPr>
          <w:rFonts w:ascii="Arial" w:hAnsi="Arial" w:cs="Arial"/>
          <w:sz w:val="18"/>
          <w:szCs w:val="18"/>
        </w:rPr>
        <w:t xml:space="preserve">addenda to the </w:t>
      </w:r>
      <w:r w:rsidRPr="007A1F4C">
        <w:rPr>
          <w:rFonts w:ascii="Arial" w:hAnsi="Arial" w:cs="Arial"/>
          <w:sz w:val="18"/>
          <w:szCs w:val="18"/>
        </w:rPr>
        <w:t>regulatory analysis for the rule.  The NRC burden hours in this supporting statement reflect the hours required for recordkeeping activities only, while the regulatory analysis includes hours for additional activities.</w:t>
      </w:r>
    </w:p>
    <w:p w14:paraId="3E78CBE1" w14:textId="77777777" w:rsidR="0058435B" w:rsidRDefault="0058435B" w:rsidP="00584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3B325B84" w14:textId="2025303A" w:rsidR="0058435B" w:rsidRDefault="0058435B" w:rsidP="00584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2"/>
          <w:szCs w:val="22"/>
        </w:rPr>
      </w:pPr>
      <w:r>
        <w:rPr>
          <w:rFonts w:ascii="Arial" w:hAnsi="Arial" w:cs="Arial"/>
          <w:b/>
          <w:sz w:val="22"/>
          <w:szCs w:val="22"/>
        </w:rPr>
        <w:t xml:space="preserve">Table 2: </w:t>
      </w:r>
      <w:r w:rsidR="005F40E4">
        <w:rPr>
          <w:rFonts w:ascii="Arial" w:hAnsi="Arial" w:cs="Arial"/>
          <w:b/>
          <w:sz w:val="22"/>
          <w:szCs w:val="22"/>
        </w:rPr>
        <w:t>One-Time</w:t>
      </w:r>
      <w:r w:rsidRPr="00C3307E">
        <w:rPr>
          <w:rFonts w:ascii="Arial" w:hAnsi="Arial" w:cs="Arial"/>
          <w:b/>
          <w:sz w:val="22"/>
          <w:szCs w:val="22"/>
        </w:rPr>
        <w:t xml:space="preserve"> Recordkeeping Burden</w:t>
      </w:r>
    </w:p>
    <w:tbl>
      <w:tblPr>
        <w:tblW w:w="13709" w:type="dxa"/>
        <w:tblLook w:val="04A0" w:firstRow="1" w:lastRow="0" w:firstColumn="1" w:lastColumn="0" w:noHBand="0" w:noVBand="1"/>
      </w:tblPr>
      <w:tblGrid>
        <w:gridCol w:w="7686"/>
        <w:gridCol w:w="1579"/>
        <w:gridCol w:w="1643"/>
        <w:gridCol w:w="1327"/>
        <w:gridCol w:w="1474"/>
      </w:tblGrid>
      <w:tr w:rsidR="00346ABF" w:rsidRPr="00B17F1E" w14:paraId="711B5FFC" w14:textId="77777777" w:rsidTr="00346ABF">
        <w:trPr>
          <w:trHeight w:val="699"/>
        </w:trPr>
        <w:tc>
          <w:tcPr>
            <w:tcW w:w="7686" w:type="dxa"/>
            <w:tcBorders>
              <w:top w:val="single" w:sz="4" w:space="0" w:color="auto"/>
              <w:left w:val="single" w:sz="4" w:space="0" w:color="auto"/>
              <w:bottom w:val="single" w:sz="4" w:space="0" w:color="auto"/>
              <w:right w:val="nil"/>
            </w:tcBorders>
            <w:shd w:val="clear" w:color="000000" w:fill="FFFFFF"/>
            <w:vAlign w:val="bottom"/>
            <w:hideMark/>
          </w:tcPr>
          <w:p w14:paraId="15EDBC8F" w14:textId="77777777" w:rsidR="00346ABF" w:rsidRPr="00B17F1E" w:rsidRDefault="00346ABF" w:rsidP="00404D08">
            <w:pPr>
              <w:autoSpaceDE/>
              <w:autoSpaceDN/>
              <w:adjustRightInd/>
              <w:rPr>
                <w:rFonts w:ascii="Arial" w:hAnsi="Arial" w:cs="Arial"/>
                <w:color w:val="000000"/>
                <w:sz w:val="18"/>
                <w:szCs w:val="18"/>
              </w:rPr>
            </w:pPr>
            <w:r w:rsidRPr="00B17F1E">
              <w:rPr>
                <w:rFonts w:ascii="Arial" w:hAnsi="Arial" w:cs="Arial"/>
                <w:color w:val="000000"/>
                <w:sz w:val="18"/>
                <w:szCs w:val="18"/>
              </w:rPr>
              <w:t>Information Collection Section</w:t>
            </w:r>
          </w:p>
        </w:tc>
        <w:tc>
          <w:tcPr>
            <w:tcW w:w="1579" w:type="dxa"/>
            <w:tcBorders>
              <w:top w:val="single" w:sz="4" w:space="0" w:color="auto"/>
              <w:left w:val="nil"/>
              <w:bottom w:val="single" w:sz="4" w:space="0" w:color="auto"/>
              <w:right w:val="nil"/>
            </w:tcBorders>
            <w:shd w:val="clear" w:color="000000" w:fill="FFFFFF"/>
            <w:vAlign w:val="bottom"/>
            <w:hideMark/>
          </w:tcPr>
          <w:p w14:paraId="5C67791D" w14:textId="6DDBFA57" w:rsidR="00346ABF" w:rsidRPr="00B17F1E" w:rsidRDefault="00346ABF" w:rsidP="00346ABF">
            <w:pPr>
              <w:autoSpaceDE/>
              <w:autoSpaceDN/>
              <w:adjustRightInd/>
              <w:rPr>
                <w:rFonts w:ascii="Arial" w:hAnsi="Arial" w:cs="Arial"/>
                <w:color w:val="000000"/>
                <w:sz w:val="18"/>
                <w:szCs w:val="18"/>
              </w:rPr>
            </w:pPr>
            <w:r w:rsidRPr="00B17F1E">
              <w:rPr>
                <w:rFonts w:ascii="Arial" w:hAnsi="Arial" w:cs="Arial"/>
                <w:color w:val="000000"/>
                <w:sz w:val="18"/>
                <w:szCs w:val="18"/>
              </w:rPr>
              <w:t xml:space="preserve">Number of </w:t>
            </w:r>
            <w:r>
              <w:rPr>
                <w:rFonts w:ascii="Arial" w:hAnsi="Arial" w:cs="Arial"/>
                <w:color w:val="000000"/>
                <w:sz w:val="18"/>
                <w:szCs w:val="18"/>
              </w:rPr>
              <w:t>Recordkeepers</w:t>
            </w:r>
          </w:p>
        </w:tc>
        <w:tc>
          <w:tcPr>
            <w:tcW w:w="1643" w:type="dxa"/>
            <w:tcBorders>
              <w:top w:val="single" w:sz="4" w:space="0" w:color="auto"/>
              <w:left w:val="nil"/>
              <w:bottom w:val="single" w:sz="4" w:space="0" w:color="auto"/>
              <w:right w:val="nil"/>
            </w:tcBorders>
            <w:shd w:val="clear" w:color="000000" w:fill="FFFFFF"/>
            <w:vAlign w:val="bottom"/>
            <w:hideMark/>
          </w:tcPr>
          <w:p w14:paraId="4107665C" w14:textId="5B59B061" w:rsidR="00346ABF" w:rsidRPr="00B17F1E" w:rsidRDefault="00346ABF" w:rsidP="00346ABF">
            <w:pPr>
              <w:autoSpaceDE/>
              <w:autoSpaceDN/>
              <w:adjustRightInd/>
              <w:rPr>
                <w:rFonts w:ascii="Arial" w:hAnsi="Arial" w:cs="Arial"/>
                <w:color w:val="000000"/>
                <w:sz w:val="18"/>
                <w:szCs w:val="18"/>
              </w:rPr>
            </w:pPr>
            <w:r w:rsidRPr="00B17F1E">
              <w:rPr>
                <w:rFonts w:ascii="Arial" w:hAnsi="Arial" w:cs="Arial"/>
                <w:color w:val="000000"/>
                <w:sz w:val="18"/>
                <w:szCs w:val="18"/>
              </w:rPr>
              <w:t xml:space="preserve">Burden Hours per </w:t>
            </w:r>
            <w:r>
              <w:rPr>
                <w:rFonts w:ascii="Arial" w:hAnsi="Arial" w:cs="Arial"/>
                <w:color w:val="000000"/>
                <w:sz w:val="18"/>
                <w:szCs w:val="18"/>
              </w:rPr>
              <w:t>Recordkeeper</w:t>
            </w:r>
          </w:p>
        </w:tc>
        <w:tc>
          <w:tcPr>
            <w:tcW w:w="1327" w:type="dxa"/>
            <w:tcBorders>
              <w:top w:val="single" w:sz="4" w:space="0" w:color="auto"/>
              <w:left w:val="nil"/>
              <w:bottom w:val="single" w:sz="4" w:space="0" w:color="auto"/>
              <w:right w:val="nil"/>
            </w:tcBorders>
            <w:shd w:val="clear" w:color="000000" w:fill="FFFFFF"/>
            <w:vAlign w:val="bottom"/>
            <w:hideMark/>
          </w:tcPr>
          <w:p w14:paraId="53EEBD40" w14:textId="77777777" w:rsidR="00346ABF" w:rsidRPr="00B17F1E" w:rsidRDefault="00346ABF" w:rsidP="00404D08">
            <w:pPr>
              <w:autoSpaceDE/>
              <w:autoSpaceDN/>
              <w:adjustRightInd/>
              <w:rPr>
                <w:rFonts w:ascii="Arial" w:hAnsi="Arial" w:cs="Arial"/>
                <w:color w:val="000000"/>
                <w:sz w:val="18"/>
                <w:szCs w:val="18"/>
              </w:rPr>
            </w:pPr>
            <w:r w:rsidRPr="00B17F1E">
              <w:rPr>
                <w:rFonts w:ascii="Arial" w:hAnsi="Arial" w:cs="Arial"/>
                <w:color w:val="000000"/>
                <w:sz w:val="18"/>
                <w:szCs w:val="18"/>
              </w:rPr>
              <w:t>Total Annual Burden Hours</w:t>
            </w:r>
          </w:p>
        </w:tc>
        <w:tc>
          <w:tcPr>
            <w:tcW w:w="1474" w:type="dxa"/>
            <w:tcBorders>
              <w:top w:val="single" w:sz="4" w:space="0" w:color="auto"/>
              <w:left w:val="nil"/>
              <w:bottom w:val="single" w:sz="4" w:space="0" w:color="auto"/>
              <w:right w:val="single" w:sz="4" w:space="0" w:color="auto"/>
            </w:tcBorders>
            <w:shd w:val="clear" w:color="000000" w:fill="FFFFFF"/>
            <w:vAlign w:val="bottom"/>
            <w:hideMark/>
          </w:tcPr>
          <w:p w14:paraId="08DF1453" w14:textId="77777777" w:rsidR="00346ABF" w:rsidRPr="00B17F1E" w:rsidRDefault="00346ABF" w:rsidP="00404D08">
            <w:pPr>
              <w:autoSpaceDE/>
              <w:autoSpaceDN/>
              <w:adjustRightInd/>
              <w:rPr>
                <w:rFonts w:ascii="Arial" w:hAnsi="Arial" w:cs="Arial"/>
                <w:color w:val="000000"/>
                <w:sz w:val="18"/>
                <w:szCs w:val="18"/>
              </w:rPr>
            </w:pPr>
            <w:r w:rsidRPr="00B17F1E">
              <w:rPr>
                <w:rFonts w:ascii="Arial" w:hAnsi="Arial" w:cs="Arial"/>
                <w:color w:val="000000"/>
                <w:sz w:val="18"/>
                <w:szCs w:val="18"/>
              </w:rPr>
              <w:t>Cost @ $265/hr</w:t>
            </w:r>
          </w:p>
        </w:tc>
      </w:tr>
      <w:tr w:rsidR="00346ABF" w:rsidRPr="00B17F1E" w14:paraId="00AC394E" w14:textId="77777777" w:rsidTr="00346ABF">
        <w:trPr>
          <w:trHeight w:val="270"/>
        </w:trPr>
        <w:tc>
          <w:tcPr>
            <w:tcW w:w="7686" w:type="dxa"/>
            <w:tcBorders>
              <w:top w:val="nil"/>
              <w:left w:val="single" w:sz="4" w:space="0" w:color="auto"/>
              <w:bottom w:val="nil"/>
              <w:right w:val="nil"/>
            </w:tcBorders>
            <w:shd w:val="clear" w:color="000000" w:fill="FFFFFF"/>
            <w:vAlign w:val="center"/>
          </w:tcPr>
          <w:p w14:paraId="423E2A5A" w14:textId="0E97EBD5" w:rsidR="00346ABF" w:rsidRPr="00350FFB" w:rsidRDefault="00346ABF" w:rsidP="00C27384">
            <w:pPr>
              <w:autoSpaceDE/>
              <w:autoSpaceDN/>
              <w:adjustRightInd/>
              <w:rPr>
                <w:rFonts w:ascii="Arial" w:hAnsi="Arial" w:cs="Arial"/>
                <w:b/>
                <w:bCs/>
                <w:color w:val="000000"/>
                <w:sz w:val="18"/>
                <w:szCs w:val="18"/>
              </w:rPr>
            </w:pPr>
            <w:r w:rsidRPr="00B17F1E">
              <w:rPr>
                <w:rFonts w:ascii="Arial" w:hAnsi="Arial" w:cs="Arial"/>
                <w:b/>
                <w:bCs/>
                <w:color w:val="000000"/>
                <w:sz w:val="18"/>
                <w:szCs w:val="18"/>
                <w:u w:val="single"/>
              </w:rPr>
              <w:t>10 CFR 50.155(a)(1)</w:t>
            </w:r>
          </w:p>
        </w:tc>
        <w:tc>
          <w:tcPr>
            <w:tcW w:w="1579" w:type="dxa"/>
            <w:tcBorders>
              <w:top w:val="nil"/>
              <w:left w:val="nil"/>
              <w:right w:val="nil"/>
            </w:tcBorders>
            <w:shd w:val="clear" w:color="000000" w:fill="FFFFFF"/>
            <w:vAlign w:val="center"/>
          </w:tcPr>
          <w:p w14:paraId="65EB966F" w14:textId="7F5286AB" w:rsidR="00346ABF" w:rsidRPr="00B17F1E" w:rsidRDefault="00346ABF" w:rsidP="00C27384">
            <w:pPr>
              <w:autoSpaceDE/>
              <w:autoSpaceDN/>
              <w:adjustRightInd/>
              <w:jc w:val="center"/>
              <w:rPr>
                <w:rFonts w:ascii="Arial" w:hAnsi="Arial" w:cs="Arial"/>
                <w:color w:val="000000"/>
                <w:sz w:val="18"/>
                <w:szCs w:val="18"/>
              </w:rPr>
            </w:pPr>
          </w:p>
        </w:tc>
        <w:tc>
          <w:tcPr>
            <w:tcW w:w="1643" w:type="dxa"/>
            <w:tcBorders>
              <w:top w:val="nil"/>
              <w:left w:val="nil"/>
              <w:right w:val="nil"/>
            </w:tcBorders>
            <w:shd w:val="clear" w:color="000000" w:fill="FFFFFF"/>
            <w:vAlign w:val="center"/>
          </w:tcPr>
          <w:p w14:paraId="2B84789A" w14:textId="4C32A500" w:rsidR="00346ABF" w:rsidRPr="00B17F1E" w:rsidRDefault="00346ABF" w:rsidP="00C27384">
            <w:pPr>
              <w:autoSpaceDE/>
              <w:autoSpaceDN/>
              <w:adjustRightInd/>
              <w:jc w:val="center"/>
              <w:rPr>
                <w:rFonts w:ascii="Arial" w:hAnsi="Arial" w:cs="Arial"/>
                <w:color w:val="000000"/>
                <w:sz w:val="18"/>
                <w:szCs w:val="18"/>
              </w:rPr>
            </w:pPr>
          </w:p>
        </w:tc>
        <w:tc>
          <w:tcPr>
            <w:tcW w:w="1327" w:type="dxa"/>
            <w:tcBorders>
              <w:top w:val="nil"/>
              <w:left w:val="nil"/>
              <w:right w:val="nil"/>
            </w:tcBorders>
            <w:shd w:val="clear" w:color="000000" w:fill="FFFFFF"/>
            <w:vAlign w:val="center"/>
          </w:tcPr>
          <w:p w14:paraId="14136737" w14:textId="4DF0BC27" w:rsidR="00346ABF" w:rsidRPr="00B17F1E" w:rsidRDefault="00346ABF" w:rsidP="00C27384">
            <w:pPr>
              <w:autoSpaceDE/>
              <w:autoSpaceDN/>
              <w:adjustRightInd/>
              <w:jc w:val="center"/>
              <w:rPr>
                <w:rFonts w:ascii="Arial" w:hAnsi="Arial" w:cs="Arial"/>
                <w:color w:val="000000"/>
                <w:sz w:val="18"/>
                <w:szCs w:val="18"/>
              </w:rPr>
            </w:pPr>
          </w:p>
        </w:tc>
        <w:tc>
          <w:tcPr>
            <w:tcW w:w="1474" w:type="dxa"/>
            <w:tcBorders>
              <w:top w:val="nil"/>
              <w:left w:val="nil"/>
              <w:right w:val="single" w:sz="4" w:space="0" w:color="auto"/>
            </w:tcBorders>
            <w:shd w:val="clear" w:color="000000" w:fill="FFFFFF"/>
            <w:vAlign w:val="center"/>
          </w:tcPr>
          <w:p w14:paraId="476B7675" w14:textId="276F0521" w:rsidR="00346ABF" w:rsidRPr="00B17F1E" w:rsidRDefault="00346ABF" w:rsidP="00C27384">
            <w:pPr>
              <w:autoSpaceDE/>
              <w:autoSpaceDN/>
              <w:adjustRightInd/>
              <w:jc w:val="right"/>
              <w:rPr>
                <w:rFonts w:ascii="Arial" w:hAnsi="Arial" w:cs="Arial"/>
                <w:color w:val="000000"/>
                <w:sz w:val="18"/>
                <w:szCs w:val="18"/>
              </w:rPr>
            </w:pPr>
          </w:p>
        </w:tc>
      </w:tr>
      <w:tr w:rsidR="00346ABF" w:rsidRPr="00B17F1E" w14:paraId="0A431776" w14:textId="77777777" w:rsidTr="00346ABF">
        <w:trPr>
          <w:trHeight w:val="270"/>
        </w:trPr>
        <w:tc>
          <w:tcPr>
            <w:tcW w:w="7686" w:type="dxa"/>
            <w:tcBorders>
              <w:top w:val="nil"/>
              <w:left w:val="single" w:sz="4" w:space="0" w:color="auto"/>
              <w:bottom w:val="nil"/>
              <w:right w:val="nil"/>
            </w:tcBorders>
            <w:shd w:val="clear" w:color="000000" w:fill="FFFFFF"/>
            <w:vAlign w:val="center"/>
          </w:tcPr>
          <w:p w14:paraId="6A1F0DCC" w14:textId="0FBF8827" w:rsidR="00346ABF" w:rsidRPr="00B17F1E" w:rsidRDefault="00346ABF" w:rsidP="00C27384">
            <w:pPr>
              <w:autoSpaceDE/>
              <w:autoSpaceDN/>
              <w:adjustRightInd/>
              <w:rPr>
                <w:rFonts w:ascii="Arial" w:hAnsi="Arial" w:cs="Arial"/>
                <w:color w:val="000000"/>
                <w:sz w:val="18"/>
                <w:szCs w:val="18"/>
              </w:rPr>
            </w:pPr>
            <w:r w:rsidRPr="00B17F1E">
              <w:rPr>
                <w:rFonts w:ascii="Arial" w:hAnsi="Arial" w:cs="Arial"/>
                <w:color w:val="000000"/>
                <w:sz w:val="18"/>
                <w:szCs w:val="18"/>
              </w:rPr>
              <w:t>Licensees review rule requirements and update procedures, programs, or plans</w:t>
            </w:r>
          </w:p>
        </w:tc>
        <w:tc>
          <w:tcPr>
            <w:tcW w:w="1579" w:type="dxa"/>
            <w:tcBorders>
              <w:top w:val="nil"/>
              <w:left w:val="nil"/>
              <w:bottom w:val="single" w:sz="4" w:space="0" w:color="auto"/>
              <w:right w:val="nil"/>
            </w:tcBorders>
            <w:shd w:val="clear" w:color="000000" w:fill="FFFFFF"/>
            <w:noWrap/>
            <w:vAlign w:val="center"/>
          </w:tcPr>
          <w:p w14:paraId="4461283F" w14:textId="41D6F465" w:rsidR="00346ABF" w:rsidRPr="00B17F1E" w:rsidRDefault="00346ABF" w:rsidP="00C27384">
            <w:pPr>
              <w:autoSpaceDE/>
              <w:autoSpaceDN/>
              <w:adjustRightInd/>
              <w:jc w:val="center"/>
              <w:rPr>
                <w:rFonts w:ascii="Arial" w:hAnsi="Arial" w:cs="Arial"/>
                <w:color w:val="000000"/>
                <w:sz w:val="18"/>
                <w:szCs w:val="18"/>
              </w:rPr>
            </w:pPr>
            <w:r>
              <w:rPr>
                <w:rFonts w:ascii="Arial" w:hAnsi="Arial" w:cs="Arial"/>
                <w:color w:val="000000"/>
                <w:sz w:val="18"/>
                <w:szCs w:val="18"/>
              </w:rPr>
              <w:t>55</w:t>
            </w:r>
          </w:p>
        </w:tc>
        <w:tc>
          <w:tcPr>
            <w:tcW w:w="1643" w:type="dxa"/>
            <w:tcBorders>
              <w:top w:val="nil"/>
              <w:left w:val="nil"/>
              <w:bottom w:val="single" w:sz="4" w:space="0" w:color="auto"/>
              <w:right w:val="nil"/>
            </w:tcBorders>
            <w:shd w:val="clear" w:color="000000" w:fill="FFFFFF"/>
            <w:noWrap/>
            <w:vAlign w:val="center"/>
          </w:tcPr>
          <w:p w14:paraId="626CDE8A" w14:textId="0702D31A" w:rsidR="00346ABF" w:rsidRPr="00B17F1E" w:rsidRDefault="00346ABF" w:rsidP="00C27384">
            <w:pPr>
              <w:autoSpaceDE/>
              <w:autoSpaceDN/>
              <w:adjustRightInd/>
              <w:jc w:val="center"/>
              <w:rPr>
                <w:rFonts w:ascii="Arial" w:hAnsi="Arial" w:cs="Arial"/>
                <w:color w:val="000000"/>
                <w:sz w:val="18"/>
                <w:szCs w:val="18"/>
              </w:rPr>
            </w:pPr>
            <w:r>
              <w:rPr>
                <w:rFonts w:ascii="Arial" w:hAnsi="Arial" w:cs="Arial"/>
                <w:color w:val="000000"/>
                <w:sz w:val="18"/>
                <w:szCs w:val="18"/>
              </w:rPr>
              <w:t>315</w:t>
            </w:r>
          </w:p>
        </w:tc>
        <w:tc>
          <w:tcPr>
            <w:tcW w:w="1327" w:type="dxa"/>
            <w:tcBorders>
              <w:top w:val="nil"/>
              <w:left w:val="nil"/>
              <w:bottom w:val="single" w:sz="4" w:space="0" w:color="auto"/>
              <w:right w:val="nil"/>
            </w:tcBorders>
            <w:shd w:val="clear" w:color="000000" w:fill="FFFFFF"/>
            <w:noWrap/>
            <w:vAlign w:val="center"/>
          </w:tcPr>
          <w:p w14:paraId="05A23159" w14:textId="3F3F8D67" w:rsidR="00346ABF" w:rsidRPr="00B17F1E" w:rsidRDefault="00E03E0B" w:rsidP="00C27384">
            <w:pPr>
              <w:autoSpaceDE/>
              <w:autoSpaceDN/>
              <w:adjustRightInd/>
              <w:jc w:val="center"/>
              <w:rPr>
                <w:rFonts w:ascii="Arial" w:hAnsi="Arial" w:cs="Arial"/>
                <w:color w:val="000000"/>
                <w:sz w:val="18"/>
                <w:szCs w:val="18"/>
              </w:rPr>
            </w:pPr>
            <w:r>
              <w:rPr>
                <w:rFonts w:ascii="Arial" w:hAnsi="Arial" w:cs="Arial"/>
                <w:color w:val="000000"/>
                <w:sz w:val="18"/>
                <w:szCs w:val="18"/>
              </w:rPr>
              <w:t>17,325</w:t>
            </w:r>
          </w:p>
        </w:tc>
        <w:tc>
          <w:tcPr>
            <w:tcW w:w="1474" w:type="dxa"/>
            <w:tcBorders>
              <w:top w:val="nil"/>
              <w:left w:val="nil"/>
              <w:bottom w:val="single" w:sz="4" w:space="0" w:color="auto"/>
              <w:right w:val="single" w:sz="4" w:space="0" w:color="auto"/>
            </w:tcBorders>
            <w:shd w:val="clear" w:color="000000" w:fill="FFFFFF"/>
            <w:noWrap/>
            <w:vAlign w:val="center"/>
          </w:tcPr>
          <w:p w14:paraId="3A4BD54F" w14:textId="6F07D581" w:rsidR="00346ABF" w:rsidRPr="00B17F1E" w:rsidRDefault="00346ABF" w:rsidP="00E03E0B">
            <w:pPr>
              <w:autoSpaceDE/>
              <w:autoSpaceDN/>
              <w:adjustRightInd/>
              <w:jc w:val="right"/>
              <w:rPr>
                <w:rFonts w:ascii="Arial" w:hAnsi="Arial" w:cs="Arial"/>
                <w:color w:val="000000"/>
                <w:sz w:val="18"/>
                <w:szCs w:val="18"/>
              </w:rPr>
            </w:pPr>
            <w:r>
              <w:rPr>
                <w:rFonts w:ascii="Arial" w:hAnsi="Arial" w:cs="Arial"/>
                <w:color w:val="000000"/>
                <w:sz w:val="18"/>
                <w:szCs w:val="18"/>
              </w:rPr>
              <w:t>$</w:t>
            </w:r>
            <w:r w:rsidR="00E03E0B">
              <w:rPr>
                <w:rFonts w:ascii="Arial" w:hAnsi="Arial" w:cs="Arial"/>
                <w:color w:val="000000"/>
                <w:sz w:val="18"/>
                <w:szCs w:val="18"/>
              </w:rPr>
              <w:t>4,591,125</w:t>
            </w:r>
          </w:p>
        </w:tc>
      </w:tr>
      <w:tr w:rsidR="00346ABF" w:rsidRPr="00B17F1E" w14:paraId="567ADF3E" w14:textId="77777777" w:rsidTr="00346ABF">
        <w:trPr>
          <w:trHeight w:val="270"/>
        </w:trPr>
        <w:tc>
          <w:tcPr>
            <w:tcW w:w="7686" w:type="dxa"/>
            <w:tcBorders>
              <w:top w:val="nil"/>
              <w:left w:val="single" w:sz="4" w:space="0" w:color="auto"/>
              <w:bottom w:val="single" w:sz="4" w:space="0" w:color="auto"/>
              <w:right w:val="nil"/>
            </w:tcBorders>
            <w:shd w:val="clear" w:color="000000" w:fill="FFFFFF"/>
            <w:noWrap/>
            <w:vAlign w:val="center"/>
            <w:hideMark/>
          </w:tcPr>
          <w:p w14:paraId="6B401193" w14:textId="77777777" w:rsidR="00346ABF" w:rsidRPr="00B17F1E" w:rsidRDefault="00346ABF" w:rsidP="00C27384">
            <w:pPr>
              <w:autoSpaceDE/>
              <w:autoSpaceDN/>
              <w:adjustRightInd/>
              <w:rPr>
                <w:rFonts w:ascii="Arial" w:hAnsi="Arial" w:cs="Arial"/>
                <w:color w:val="000000"/>
                <w:sz w:val="18"/>
                <w:szCs w:val="18"/>
              </w:rPr>
            </w:pPr>
            <w:r w:rsidRPr="00B17F1E">
              <w:rPr>
                <w:rFonts w:ascii="Arial" w:hAnsi="Arial" w:cs="Arial"/>
                <w:color w:val="000000"/>
                <w:sz w:val="18"/>
                <w:szCs w:val="18"/>
              </w:rPr>
              <w:t>Totals:</w:t>
            </w:r>
          </w:p>
        </w:tc>
        <w:tc>
          <w:tcPr>
            <w:tcW w:w="1579" w:type="dxa"/>
            <w:tcBorders>
              <w:top w:val="single" w:sz="4" w:space="0" w:color="auto"/>
              <w:left w:val="nil"/>
              <w:bottom w:val="single" w:sz="4" w:space="0" w:color="auto"/>
              <w:right w:val="nil"/>
            </w:tcBorders>
            <w:shd w:val="clear" w:color="000000" w:fill="FFFFFF"/>
            <w:noWrap/>
            <w:vAlign w:val="center"/>
            <w:hideMark/>
          </w:tcPr>
          <w:p w14:paraId="13EF367B" w14:textId="258CEC7F" w:rsidR="00346ABF" w:rsidRPr="00B17F1E" w:rsidRDefault="00346ABF" w:rsidP="00C27384">
            <w:pPr>
              <w:autoSpaceDE/>
              <w:autoSpaceDN/>
              <w:adjustRightInd/>
              <w:jc w:val="center"/>
              <w:rPr>
                <w:rFonts w:ascii="Arial" w:hAnsi="Arial" w:cs="Arial"/>
                <w:color w:val="000000"/>
                <w:sz w:val="18"/>
                <w:szCs w:val="18"/>
              </w:rPr>
            </w:pPr>
            <w:r>
              <w:rPr>
                <w:rFonts w:ascii="Arial" w:hAnsi="Arial" w:cs="Arial"/>
                <w:color w:val="000000"/>
                <w:sz w:val="18"/>
                <w:szCs w:val="18"/>
              </w:rPr>
              <w:t>55</w:t>
            </w:r>
          </w:p>
        </w:tc>
        <w:tc>
          <w:tcPr>
            <w:tcW w:w="1643" w:type="dxa"/>
            <w:tcBorders>
              <w:top w:val="single" w:sz="4" w:space="0" w:color="auto"/>
              <w:left w:val="nil"/>
              <w:bottom w:val="single" w:sz="4" w:space="0" w:color="auto"/>
              <w:right w:val="nil"/>
            </w:tcBorders>
            <w:shd w:val="clear" w:color="000000" w:fill="FFFFFF"/>
            <w:noWrap/>
            <w:vAlign w:val="center"/>
            <w:hideMark/>
          </w:tcPr>
          <w:p w14:paraId="0D272FB3" w14:textId="69F71BB7" w:rsidR="00346ABF" w:rsidRPr="00B17F1E" w:rsidRDefault="00346ABF" w:rsidP="00C27384">
            <w:pPr>
              <w:autoSpaceDE/>
              <w:autoSpaceDN/>
              <w:adjustRightInd/>
              <w:jc w:val="center"/>
              <w:rPr>
                <w:rFonts w:ascii="Arial" w:hAnsi="Arial" w:cs="Arial"/>
                <w:color w:val="000000"/>
                <w:sz w:val="18"/>
                <w:szCs w:val="18"/>
              </w:rPr>
            </w:pPr>
            <w:r>
              <w:rPr>
                <w:rFonts w:ascii="Arial" w:hAnsi="Arial" w:cs="Arial"/>
                <w:color w:val="000000"/>
                <w:sz w:val="18"/>
                <w:szCs w:val="18"/>
              </w:rPr>
              <w:t>315</w:t>
            </w:r>
          </w:p>
        </w:tc>
        <w:tc>
          <w:tcPr>
            <w:tcW w:w="1327" w:type="dxa"/>
            <w:tcBorders>
              <w:top w:val="single" w:sz="4" w:space="0" w:color="auto"/>
              <w:left w:val="nil"/>
              <w:bottom w:val="single" w:sz="4" w:space="0" w:color="auto"/>
              <w:right w:val="nil"/>
            </w:tcBorders>
            <w:shd w:val="clear" w:color="000000" w:fill="FFFFFF"/>
            <w:noWrap/>
            <w:vAlign w:val="center"/>
          </w:tcPr>
          <w:p w14:paraId="335DA677" w14:textId="54073C74" w:rsidR="00346ABF" w:rsidRPr="00B17F1E" w:rsidRDefault="00E03E0B" w:rsidP="00C27384">
            <w:pPr>
              <w:autoSpaceDE/>
              <w:autoSpaceDN/>
              <w:adjustRightInd/>
              <w:jc w:val="center"/>
              <w:rPr>
                <w:rFonts w:ascii="Arial" w:hAnsi="Arial" w:cs="Arial"/>
                <w:color w:val="000000"/>
                <w:sz w:val="18"/>
                <w:szCs w:val="18"/>
              </w:rPr>
            </w:pPr>
            <w:r>
              <w:rPr>
                <w:rFonts w:ascii="Arial" w:hAnsi="Arial" w:cs="Arial"/>
                <w:color w:val="000000"/>
                <w:sz w:val="18"/>
                <w:szCs w:val="18"/>
              </w:rPr>
              <w:t>17,325</w:t>
            </w:r>
          </w:p>
        </w:tc>
        <w:tc>
          <w:tcPr>
            <w:tcW w:w="1474" w:type="dxa"/>
            <w:tcBorders>
              <w:top w:val="single" w:sz="4" w:space="0" w:color="auto"/>
              <w:left w:val="nil"/>
              <w:bottom w:val="single" w:sz="4" w:space="0" w:color="auto"/>
              <w:right w:val="single" w:sz="4" w:space="0" w:color="auto"/>
            </w:tcBorders>
            <w:shd w:val="clear" w:color="000000" w:fill="FFFFFF"/>
            <w:noWrap/>
            <w:vAlign w:val="center"/>
          </w:tcPr>
          <w:p w14:paraId="2AC8052A" w14:textId="58164259" w:rsidR="00346ABF" w:rsidRPr="00B17F1E" w:rsidRDefault="00346ABF" w:rsidP="00E03E0B">
            <w:pPr>
              <w:autoSpaceDE/>
              <w:autoSpaceDN/>
              <w:adjustRightInd/>
              <w:jc w:val="right"/>
              <w:rPr>
                <w:rFonts w:ascii="Arial" w:hAnsi="Arial" w:cs="Arial"/>
                <w:color w:val="000000"/>
                <w:sz w:val="18"/>
                <w:szCs w:val="18"/>
              </w:rPr>
            </w:pPr>
            <w:r>
              <w:rPr>
                <w:rFonts w:ascii="Arial" w:hAnsi="Arial" w:cs="Arial"/>
                <w:color w:val="000000"/>
                <w:sz w:val="18"/>
                <w:szCs w:val="18"/>
              </w:rPr>
              <w:t>$</w:t>
            </w:r>
            <w:r w:rsidR="00E03E0B">
              <w:rPr>
                <w:rFonts w:ascii="Arial" w:hAnsi="Arial" w:cs="Arial"/>
                <w:color w:val="000000"/>
                <w:sz w:val="18"/>
                <w:szCs w:val="18"/>
              </w:rPr>
              <w:t>4,591,125</w:t>
            </w:r>
          </w:p>
        </w:tc>
      </w:tr>
    </w:tbl>
    <w:p w14:paraId="42D33633" w14:textId="7DA99032" w:rsidR="0058435B" w:rsidRDefault="0058435B" w:rsidP="00584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14:paraId="31464E28" w14:textId="29F152DC" w:rsidR="005F40E4" w:rsidRPr="00F867B5" w:rsidRDefault="005F40E4" w:rsidP="005F40E4">
      <w:pPr>
        <w:keepNext/>
        <w:keepLines/>
        <w:rPr>
          <w:rFonts w:ascii="Arial" w:hAnsi="Arial" w:cs="Arial"/>
          <w:b/>
          <w:sz w:val="22"/>
          <w:szCs w:val="22"/>
        </w:rPr>
      </w:pPr>
      <w:r>
        <w:rPr>
          <w:rFonts w:ascii="Arial" w:hAnsi="Arial" w:cs="Arial"/>
          <w:b/>
          <w:sz w:val="22"/>
          <w:szCs w:val="22"/>
        </w:rPr>
        <w:t>Table 3:  Annualized Recordkeeping Burden</w:t>
      </w:r>
    </w:p>
    <w:tbl>
      <w:tblPr>
        <w:tblW w:w="13709" w:type="dxa"/>
        <w:tblLook w:val="04A0" w:firstRow="1" w:lastRow="0" w:firstColumn="1" w:lastColumn="0" w:noHBand="0" w:noVBand="1"/>
      </w:tblPr>
      <w:tblGrid>
        <w:gridCol w:w="7876"/>
        <w:gridCol w:w="1437"/>
        <w:gridCol w:w="1662"/>
        <w:gridCol w:w="1350"/>
        <w:gridCol w:w="1384"/>
      </w:tblGrid>
      <w:tr w:rsidR="00346ABF" w:rsidRPr="006702FC" w14:paraId="062294F6" w14:textId="77777777" w:rsidTr="00346ABF">
        <w:trPr>
          <w:trHeight w:val="699"/>
        </w:trPr>
        <w:tc>
          <w:tcPr>
            <w:tcW w:w="7876" w:type="dxa"/>
            <w:tcBorders>
              <w:top w:val="single" w:sz="4" w:space="0" w:color="auto"/>
              <w:left w:val="single" w:sz="4" w:space="0" w:color="auto"/>
              <w:bottom w:val="single" w:sz="4" w:space="0" w:color="auto"/>
              <w:right w:val="nil"/>
            </w:tcBorders>
            <w:shd w:val="clear" w:color="000000" w:fill="FFFFFF"/>
            <w:vAlign w:val="bottom"/>
            <w:hideMark/>
          </w:tcPr>
          <w:p w14:paraId="713127EC" w14:textId="77777777" w:rsidR="00346ABF" w:rsidRPr="006702FC" w:rsidRDefault="00346ABF" w:rsidP="00C87E22">
            <w:pPr>
              <w:autoSpaceDE/>
              <w:autoSpaceDN/>
              <w:adjustRightInd/>
              <w:rPr>
                <w:rFonts w:ascii="Arial" w:hAnsi="Arial" w:cs="Arial"/>
                <w:color w:val="000000"/>
                <w:sz w:val="18"/>
                <w:szCs w:val="18"/>
              </w:rPr>
            </w:pPr>
            <w:r w:rsidRPr="006702FC">
              <w:rPr>
                <w:rFonts w:ascii="Arial" w:hAnsi="Arial" w:cs="Arial"/>
                <w:color w:val="000000"/>
                <w:sz w:val="18"/>
                <w:szCs w:val="18"/>
              </w:rPr>
              <w:t>Information Collection Section</w:t>
            </w:r>
          </w:p>
        </w:tc>
        <w:tc>
          <w:tcPr>
            <w:tcW w:w="1437" w:type="dxa"/>
            <w:tcBorders>
              <w:top w:val="single" w:sz="4" w:space="0" w:color="auto"/>
              <w:left w:val="nil"/>
              <w:bottom w:val="single" w:sz="4" w:space="0" w:color="auto"/>
              <w:right w:val="nil"/>
            </w:tcBorders>
            <w:shd w:val="clear" w:color="000000" w:fill="FFFFFF"/>
            <w:vAlign w:val="bottom"/>
            <w:hideMark/>
          </w:tcPr>
          <w:p w14:paraId="05D58F4F" w14:textId="5AD1695E" w:rsidR="00346ABF" w:rsidRPr="006702FC" w:rsidRDefault="00346ABF" w:rsidP="00346ABF">
            <w:pPr>
              <w:autoSpaceDE/>
              <w:autoSpaceDN/>
              <w:adjustRightInd/>
              <w:rPr>
                <w:rFonts w:ascii="Arial" w:hAnsi="Arial" w:cs="Arial"/>
                <w:color w:val="000000"/>
                <w:sz w:val="18"/>
                <w:szCs w:val="18"/>
              </w:rPr>
            </w:pPr>
            <w:r w:rsidRPr="006702FC">
              <w:rPr>
                <w:rFonts w:ascii="Arial" w:hAnsi="Arial" w:cs="Arial"/>
                <w:color w:val="000000"/>
                <w:sz w:val="18"/>
                <w:szCs w:val="18"/>
              </w:rPr>
              <w:t xml:space="preserve">Number of </w:t>
            </w:r>
            <w:r>
              <w:rPr>
                <w:rFonts w:ascii="Arial" w:hAnsi="Arial" w:cs="Arial"/>
                <w:color w:val="000000"/>
                <w:sz w:val="18"/>
                <w:szCs w:val="18"/>
              </w:rPr>
              <w:t>Recordkeepers</w:t>
            </w:r>
          </w:p>
        </w:tc>
        <w:tc>
          <w:tcPr>
            <w:tcW w:w="1662" w:type="dxa"/>
            <w:tcBorders>
              <w:top w:val="single" w:sz="4" w:space="0" w:color="auto"/>
              <w:left w:val="nil"/>
              <w:bottom w:val="single" w:sz="4" w:space="0" w:color="auto"/>
              <w:right w:val="nil"/>
            </w:tcBorders>
            <w:shd w:val="clear" w:color="000000" w:fill="FFFFFF"/>
            <w:vAlign w:val="bottom"/>
            <w:hideMark/>
          </w:tcPr>
          <w:p w14:paraId="7C7B09AB" w14:textId="7E9B3795" w:rsidR="00346ABF" w:rsidRPr="006702FC" w:rsidRDefault="00346ABF" w:rsidP="00346ABF">
            <w:pPr>
              <w:autoSpaceDE/>
              <w:autoSpaceDN/>
              <w:adjustRightInd/>
              <w:rPr>
                <w:rFonts w:ascii="Arial" w:hAnsi="Arial" w:cs="Arial"/>
                <w:color w:val="000000"/>
                <w:sz w:val="18"/>
                <w:szCs w:val="18"/>
              </w:rPr>
            </w:pPr>
            <w:r w:rsidRPr="006702FC">
              <w:rPr>
                <w:rFonts w:ascii="Arial" w:hAnsi="Arial" w:cs="Arial"/>
                <w:color w:val="000000"/>
                <w:sz w:val="18"/>
                <w:szCs w:val="18"/>
              </w:rPr>
              <w:t>Burden Hours per Re</w:t>
            </w:r>
            <w:r>
              <w:rPr>
                <w:rFonts w:ascii="Arial" w:hAnsi="Arial" w:cs="Arial"/>
                <w:color w:val="000000"/>
                <w:sz w:val="18"/>
                <w:szCs w:val="18"/>
              </w:rPr>
              <w:t>cordkeeper</w:t>
            </w:r>
          </w:p>
        </w:tc>
        <w:tc>
          <w:tcPr>
            <w:tcW w:w="1350" w:type="dxa"/>
            <w:tcBorders>
              <w:top w:val="single" w:sz="4" w:space="0" w:color="auto"/>
              <w:left w:val="nil"/>
              <w:bottom w:val="single" w:sz="4" w:space="0" w:color="auto"/>
              <w:right w:val="nil"/>
            </w:tcBorders>
            <w:shd w:val="clear" w:color="000000" w:fill="FFFFFF"/>
            <w:vAlign w:val="bottom"/>
            <w:hideMark/>
          </w:tcPr>
          <w:p w14:paraId="172EECBE" w14:textId="77777777" w:rsidR="00346ABF" w:rsidRPr="006702FC" w:rsidRDefault="00346ABF" w:rsidP="00C87E22">
            <w:pPr>
              <w:autoSpaceDE/>
              <w:autoSpaceDN/>
              <w:adjustRightInd/>
              <w:rPr>
                <w:rFonts w:ascii="Arial" w:hAnsi="Arial" w:cs="Arial"/>
                <w:color w:val="000000"/>
                <w:sz w:val="18"/>
                <w:szCs w:val="18"/>
              </w:rPr>
            </w:pPr>
            <w:r w:rsidRPr="006702FC">
              <w:rPr>
                <w:rFonts w:ascii="Arial" w:hAnsi="Arial" w:cs="Arial"/>
                <w:color w:val="000000"/>
                <w:sz w:val="18"/>
                <w:szCs w:val="18"/>
              </w:rPr>
              <w:t>Total Annual Burden Hours</w:t>
            </w:r>
          </w:p>
        </w:tc>
        <w:tc>
          <w:tcPr>
            <w:tcW w:w="1384" w:type="dxa"/>
            <w:tcBorders>
              <w:top w:val="single" w:sz="4" w:space="0" w:color="auto"/>
              <w:left w:val="nil"/>
              <w:bottom w:val="single" w:sz="4" w:space="0" w:color="auto"/>
              <w:right w:val="single" w:sz="4" w:space="0" w:color="auto"/>
            </w:tcBorders>
            <w:shd w:val="clear" w:color="000000" w:fill="FFFFFF"/>
            <w:vAlign w:val="bottom"/>
            <w:hideMark/>
          </w:tcPr>
          <w:p w14:paraId="7E3D062B" w14:textId="77777777" w:rsidR="00346ABF" w:rsidRPr="006702FC" w:rsidRDefault="00346ABF" w:rsidP="00C87E22">
            <w:pPr>
              <w:autoSpaceDE/>
              <w:autoSpaceDN/>
              <w:adjustRightInd/>
              <w:rPr>
                <w:rFonts w:ascii="Arial" w:hAnsi="Arial" w:cs="Arial"/>
                <w:color w:val="000000"/>
                <w:sz w:val="18"/>
                <w:szCs w:val="18"/>
              </w:rPr>
            </w:pPr>
            <w:r w:rsidRPr="006702FC">
              <w:rPr>
                <w:rFonts w:ascii="Arial" w:hAnsi="Arial" w:cs="Arial"/>
                <w:color w:val="000000"/>
                <w:sz w:val="18"/>
                <w:szCs w:val="18"/>
              </w:rPr>
              <w:t>Cost @ $265/hr</w:t>
            </w:r>
          </w:p>
        </w:tc>
      </w:tr>
      <w:tr w:rsidR="00346ABF" w:rsidRPr="006702FC" w14:paraId="7BC67F8A" w14:textId="77777777" w:rsidTr="00346ABF">
        <w:trPr>
          <w:trHeight w:val="270"/>
        </w:trPr>
        <w:tc>
          <w:tcPr>
            <w:tcW w:w="7876" w:type="dxa"/>
            <w:tcBorders>
              <w:top w:val="nil"/>
              <w:left w:val="single" w:sz="4" w:space="0" w:color="auto"/>
              <w:bottom w:val="nil"/>
              <w:right w:val="nil"/>
            </w:tcBorders>
            <w:shd w:val="clear" w:color="000000" w:fill="FFFFFF"/>
            <w:vAlign w:val="bottom"/>
          </w:tcPr>
          <w:p w14:paraId="77B96639" w14:textId="581347E6" w:rsidR="00346ABF" w:rsidRPr="00350FFB" w:rsidRDefault="00346ABF" w:rsidP="00C87E22">
            <w:pPr>
              <w:autoSpaceDE/>
              <w:autoSpaceDN/>
              <w:adjustRightInd/>
              <w:rPr>
                <w:rFonts w:ascii="Arial" w:hAnsi="Arial" w:cs="Arial"/>
                <w:b/>
                <w:bCs/>
                <w:color w:val="000000"/>
                <w:sz w:val="18"/>
                <w:szCs w:val="18"/>
              </w:rPr>
            </w:pPr>
            <w:r>
              <w:rPr>
                <w:rFonts w:ascii="Arial" w:hAnsi="Arial" w:cs="Arial"/>
                <w:b/>
                <w:bCs/>
                <w:color w:val="000000"/>
                <w:sz w:val="18"/>
                <w:szCs w:val="18"/>
                <w:u w:val="single"/>
              </w:rPr>
              <w:t>10 CFR 50.155(f)</w:t>
            </w:r>
          </w:p>
        </w:tc>
        <w:tc>
          <w:tcPr>
            <w:tcW w:w="1437" w:type="dxa"/>
            <w:tcBorders>
              <w:top w:val="nil"/>
              <w:left w:val="nil"/>
              <w:bottom w:val="nil"/>
              <w:right w:val="nil"/>
            </w:tcBorders>
            <w:shd w:val="clear" w:color="000000" w:fill="FFFFFF"/>
            <w:vAlign w:val="center"/>
          </w:tcPr>
          <w:p w14:paraId="1E939624" w14:textId="0F07840A" w:rsidR="00346ABF" w:rsidRPr="006702FC" w:rsidRDefault="00346ABF" w:rsidP="00C87E22">
            <w:pPr>
              <w:autoSpaceDE/>
              <w:autoSpaceDN/>
              <w:adjustRightInd/>
              <w:jc w:val="center"/>
              <w:rPr>
                <w:rFonts w:ascii="Arial" w:hAnsi="Arial" w:cs="Arial"/>
                <w:color w:val="000000"/>
                <w:sz w:val="18"/>
                <w:szCs w:val="18"/>
              </w:rPr>
            </w:pPr>
          </w:p>
        </w:tc>
        <w:tc>
          <w:tcPr>
            <w:tcW w:w="1662" w:type="dxa"/>
            <w:tcBorders>
              <w:top w:val="nil"/>
              <w:left w:val="nil"/>
              <w:bottom w:val="nil"/>
              <w:right w:val="nil"/>
            </w:tcBorders>
            <w:shd w:val="clear" w:color="000000" w:fill="FFFFFF"/>
            <w:vAlign w:val="center"/>
          </w:tcPr>
          <w:p w14:paraId="15157C6F" w14:textId="6F8BA086" w:rsidR="00346ABF" w:rsidRPr="006702FC" w:rsidRDefault="00346ABF" w:rsidP="00C87E22">
            <w:pPr>
              <w:autoSpaceDE/>
              <w:autoSpaceDN/>
              <w:adjustRightInd/>
              <w:jc w:val="center"/>
              <w:rPr>
                <w:rFonts w:ascii="Arial" w:hAnsi="Arial" w:cs="Arial"/>
                <w:color w:val="000000"/>
                <w:sz w:val="18"/>
                <w:szCs w:val="18"/>
              </w:rPr>
            </w:pPr>
          </w:p>
        </w:tc>
        <w:tc>
          <w:tcPr>
            <w:tcW w:w="1350" w:type="dxa"/>
            <w:tcBorders>
              <w:top w:val="nil"/>
              <w:left w:val="nil"/>
              <w:bottom w:val="nil"/>
              <w:right w:val="nil"/>
            </w:tcBorders>
            <w:shd w:val="clear" w:color="000000" w:fill="FFFFFF"/>
            <w:vAlign w:val="center"/>
          </w:tcPr>
          <w:p w14:paraId="745363AC" w14:textId="309F6FAA" w:rsidR="00346ABF" w:rsidRPr="006702FC" w:rsidRDefault="00346ABF" w:rsidP="00C87E22">
            <w:pPr>
              <w:autoSpaceDE/>
              <w:autoSpaceDN/>
              <w:adjustRightInd/>
              <w:jc w:val="center"/>
              <w:rPr>
                <w:rFonts w:ascii="Arial" w:hAnsi="Arial" w:cs="Arial"/>
                <w:color w:val="000000"/>
                <w:sz w:val="18"/>
                <w:szCs w:val="18"/>
              </w:rPr>
            </w:pPr>
          </w:p>
        </w:tc>
        <w:tc>
          <w:tcPr>
            <w:tcW w:w="1384" w:type="dxa"/>
            <w:tcBorders>
              <w:top w:val="nil"/>
              <w:left w:val="nil"/>
              <w:bottom w:val="nil"/>
              <w:right w:val="single" w:sz="4" w:space="0" w:color="auto"/>
            </w:tcBorders>
            <w:shd w:val="clear" w:color="000000" w:fill="FFFFFF"/>
            <w:vAlign w:val="center"/>
          </w:tcPr>
          <w:p w14:paraId="3E23BAEA" w14:textId="20A9E413" w:rsidR="00346ABF" w:rsidRPr="006702FC" w:rsidRDefault="00346ABF" w:rsidP="00C87E22">
            <w:pPr>
              <w:autoSpaceDE/>
              <w:autoSpaceDN/>
              <w:adjustRightInd/>
              <w:jc w:val="right"/>
              <w:rPr>
                <w:rFonts w:ascii="Arial" w:hAnsi="Arial" w:cs="Arial"/>
                <w:color w:val="000000"/>
                <w:sz w:val="18"/>
                <w:szCs w:val="18"/>
              </w:rPr>
            </w:pPr>
          </w:p>
        </w:tc>
      </w:tr>
      <w:tr w:rsidR="00346ABF" w:rsidRPr="006702FC" w14:paraId="5E22E0AA" w14:textId="77777777" w:rsidTr="00346ABF">
        <w:trPr>
          <w:trHeight w:val="270"/>
        </w:trPr>
        <w:tc>
          <w:tcPr>
            <w:tcW w:w="7876" w:type="dxa"/>
            <w:tcBorders>
              <w:top w:val="nil"/>
              <w:left w:val="single" w:sz="4" w:space="0" w:color="auto"/>
              <w:bottom w:val="nil"/>
              <w:right w:val="nil"/>
            </w:tcBorders>
            <w:shd w:val="clear" w:color="000000" w:fill="FFFFFF"/>
            <w:vAlign w:val="bottom"/>
          </w:tcPr>
          <w:p w14:paraId="0917DDDA" w14:textId="0EF5F854" w:rsidR="00346ABF" w:rsidRPr="006702FC" w:rsidRDefault="00346ABF" w:rsidP="008B2FFF">
            <w:pPr>
              <w:autoSpaceDE/>
              <w:autoSpaceDN/>
              <w:adjustRightInd/>
              <w:rPr>
                <w:rFonts w:ascii="Arial" w:hAnsi="Arial" w:cs="Arial"/>
                <w:color w:val="000000"/>
                <w:sz w:val="18"/>
                <w:szCs w:val="18"/>
              </w:rPr>
            </w:pPr>
            <w:bookmarkStart w:id="3" w:name="_Hlk536545376"/>
            <w:r>
              <w:rPr>
                <w:rFonts w:ascii="Arial" w:hAnsi="Arial" w:cs="Arial"/>
                <w:color w:val="000000"/>
                <w:sz w:val="18"/>
                <w:szCs w:val="18"/>
              </w:rPr>
              <w:t>Maintain documentation of changes in the implementation of requirements</w:t>
            </w:r>
          </w:p>
        </w:tc>
        <w:tc>
          <w:tcPr>
            <w:tcW w:w="1437" w:type="dxa"/>
            <w:tcBorders>
              <w:top w:val="nil"/>
              <w:left w:val="nil"/>
              <w:bottom w:val="nil"/>
              <w:right w:val="nil"/>
            </w:tcBorders>
            <w:shd w:val="clear" w:color="000000" w:fill="FFFFFF"/>
            <w:vAlign w:val="center"/>
          </w:tcPr>
          <w:p w14:paraId="73A6AC77" w14:textId="2150AD2E" w:rsidR="00346ABF" w:rsidRPr="006702FC" w:rsidRDefault="00346ABF" w:rsidP="008B2FFF">
            <w:pPr>
              <w:autoSpaceDE/>
              <w:autoSpaceDN/>
              <w:adjustRightInd/>
              <w:jc w:val="center"/>
              <w:rPr>
                <w:rFonts w:ascii="Arial" w:hAnsi="Arial" w:cs="Arial"/>
                <w:color w:val="000000"/>
                <w:sz w:val="18"/>
                <w:szCs w:val="18"/>
              </w:rPr>
            </w:pPr>
            <w:r>
              <w:rPr>
                <w:rFonts w:ascii="Arial" w:hAnsi="Arial" w:cs="Arial"/>
                <w:color w:val="000000"/>
                <w:sz w:val="18"/>
                <w:szCs w:val="18"/>
              </w:rPr>
              <w:t>55</w:t>
            </w:r>
          </w:p>
        </w:tc>
        <w:tc>
          <w:tcPr>
            <w:tcW w:w="1662" w:type="dxa"/>
            <w:tcBorders>
              <w:top w:val="nil"/>
              <w:left w:val="nil"/>
              <w:bottom w:val="nil"/>
              <w:right w:val="nil"/>
            </w:tcBorders>
            <w:shd w:val="clear" w:color="000000" w:fill="FFFFFF"/>
            <w:vAlign w:val="center"/>
          </w:tcPr>
          <w:p w14:paraId="614AAEAD" w14:textId="373CDFCE" w:rsidR="00346ABF" w:rsidRPr="006702FC" w:rsidRDefault="00346ABF" w:rsidP="008B2FFF">
            <w:pPr>
              <w:autoSpaceDE/>
              <w:autoSpaceDN/>
              <w:adjustRightInd/>
              <w:jc w:val="center"/>
              <w:rPr>
                <w:rFonts w:ascii="Arial" w:hAnsi="Arial" w:cs="Arial"/>
                <w:color w:val="000000"/>
                <w:sz w:val="18"/>
                <w:szCs w:val="18"/>
              </w:rPr>
            </w:pPr>
            <w:r>
              <w:rPr>
                <w:rFonts w:ascii="Arial" w:hAnsi="Arial" w:cs="Arial"/>
                <w:color w:val="000000"/>
                <w:sz w:val="18"/>
                <w:szCs w:val="18"/>
              </w:rPr>
              <w:t>100</w:t>
            </w:r>
          </w:p>
        </w:tc>
        <w:tc>
          <w:tcPr>
            <w:tcW w:w="1350" w:type="dxa"/>
            <w:tcBorders>
              <w:top w:val="nil"/>
              <w:left w:val="nil"/>
              <w:bottom w:val="nil"/>
              <w:right w:val="nil"/>
            </w:tcBorders>
            <w:shd w:val="clear" w:color="000000" w:fill="FFFFFF"/>
            <w:vAlign w:val="center"/>
          </w:tcPr>
          <w:p w14:paraId="091C1185" w14:textId="06D57D06" w:rsidR="00346ABF" w:rsidRPr="006702FC" w:rsidRDefault="00E03E0B" w:rsidP="008B2FFF">
            <w:pPr>
              <w:autoSpaceDE/>
              <w:autoSpaceDN/>
              <w:adjustRightInd/>
              <w:jc w:val="center"/>
              <w:rPr>
                <w:rFonts w:ascii="Arial" w:hAnsi="Arial" w:cs="Arial"/>
                <w:color w:val="000000"/>
                <w:sz w:val="18"/>
                <w:szCs w:val="18"/>
              </w:rPr>
            </w:pPr>
            <w:r>
              <w:rPr>
                <w:rFonts w:ascii="Arial" w:hAnsi="Arial" w:cs="Arial"/>
                <w:color w:val="000000"/>
                <w:sz w:val="18"/>
                <w:szCs w:val="18"/>
              </w:rPr>
              <w:t>5,500</w:t>
            </w:r>
          </w:p>
        </w:tc>
        <w:tc>
          <w:tcPr>
            <w:tcW w:w="1384" w:type="dxa"/>
            <w:tcBorders>
              <w:top w:val="nil"/>
              <w:left w:val="nil"/>
              <w:bottom w:val="nil"/>
              <w:right w:val="single" w:sz="4" w:space="0" w:color="auto"/>
            </w:tcBorders>
            <w:shd w:val="clear" w:color="000000" w:fill="FFFFFF"/>
            <w:noWrap/>
            <w:vAlign w:val="center"/>
          </w:tcPr>
          <w:p w14:paraId="14D8D9A9" w14:textId="58FA105D" w:rsidR="00346ABF" w:rsidRPr="006702FC" w:rsidRDefault="00346ABF" w:rsidP="00E03E0B">
            <w:pPr>
              <w:autoSpaceDE/>
              <w:autoSpaceDN/>
              <w:adjustRightInd/>
              <w:jc w:val="right"/>
              <w:rPr>
                <w:rFonts w:ascii="Arial" w:hAnsi="Arial" w:cs="Arial"/>
                <w:color w:val="000000"/>
                <w:sz w:val="18"/>
                <w:szCs w:val="18"/>
              </w:rPr>
            </w:pPr>
            <w:r>
              <w:rPr>
                <w:rFonts w:ascii="Arial" w:hAnsi="Arial" w:cs="Arial"/>
                <w:color w:val="000000"/>
                <w:sz w:val="18"/>
                <w:szCs w:val="18"/>
              </w:rPr>
              <w:t>$</w:t>
            </w:r>
            <w:r w:rsidR="00E03E0B">
              <w:rPr>
                <w:rFonts w:ascii="Arial" w:hAnsi="Arial" w:cs="Arial"/>
                <w:color w:val="000000"/>
                <w:sz w:val="18"/>
                <w:szCs w:val="18"/>
              </w:rPr>
              <w:t>1,457,500</w:t>
            </w:r>
          </w:p>
        </w:tc>
      </w:tr>
      <w:bookmarkEnd w:id="3"/>
      <w:tr w:rsidR="00346ABF" w:rsidRPr="006702FC" w14:paraId="6342C101" w14:textId="77777777" w:rsidTr="00346ABF">
        <w:trPr>
          <w:trHeight w:val="270"/>
        </w:trPr>
        <w:tc>
          <w:tcPr>
            <w:tcW w:w="7876" w:type="dxa"/>
            <w:tcBorders>
              <w:top w:val="nil"/>
              <w:left w:val="single" w:sz="4" w:space="0" w:color="auto"/>
              <w:bottom w:val="single" w:sz="4" w:space="0" w:color="auto"/>
              <w:right w:val="nil"/>
            </w:tcBorders>
            <w:shd w:val="clear" w:color="000000" w:fill="FFFFFF"/>
            <w:noWrap/>
            <w:vAlign w:val="center"/>
            <w:hideMark/>
          </w:tcPr>
          <w:p w14:paraId="7B11C367" w14:textId="77777777" w:rsidR="00346ABF" w:rsidRPr="006702FC" w:rsidRDefault="00346ABF" w:rsidP="008B2FFF">
            <w:pPr>
              <w:autoSpaceDE/>
              <w:autoSpaceDN/>
              <w:adjustRightInd/>
              <w:rPr>
                <w:rFonts w:ascii="Arial" w:hAnsi="Arial" w:cs="Arial"/>
                <w:color w:val="000000"/>
                <w:sz w:val="18"/>
                <w:szCs w:val="18"/>
              </w:rPr>
            </w:pPr>
            <w:r w:rsidRPr="006702FC">
              <w:rPr>
                <w:rFonts w:ascii="Arial" w:hAnsi="Arial" w:cs="Arial"/>
                <w:color w:val="000000"/>
                <w:sz w:val="18"/>
                <w:szCs w:val="18"/>
              </w:rPr>
              <w:t>Totals:</w:t>
            </w:r>
          </w:p>
        </w:tc>
        <w:tc>
          <w:tcPr>
            <w:tcW w:w="1437" w:type="dxa"/>
            <w:tcBorders>
              <w:top w:val="single" w:sz="4" w:space="0" w:color="auto"/>
              <w:left w:val="nil"/>
              <w:bottom w:val="single" w:sz="4" w:space="0" w:color="auto"/>
              <w:right w:val="nil"/>
            </w:tcBorders>
            <w:shd w:val="clear" w:color="000000" w:fill="FFFFFF"/>
            <w:noWrap/>
            <w:vAlign w:val="center"/>
          </w:tcPr>
          <w:p w14:paraId="73824AF7" w14:textId="58A33D9D" w:rsidR="00346ABF" w:rsidRPr="006702FC" w:rsidRDefault="00346ABF" w:rsidP="008B2FFF">
            <w:pPr>
              <w:autoSpaceDE/>
              <w:autoSpaceDN/>
              <w:adjustRightInd/>
              <w:jc w:val="center"/>
              <w:rPr>
                <w:rFonts w:ascii="Arial" w:hAnsi="Arial" w:cs="Arial"/>
                <w:color w:val="000000"/>
                <w:sz w:val="18"/>
                <w:szCs w:val="18"/>
              </w:rPr>
            </w:pPr>
            <w:r>
              <w:rPr>
                <w:rFonts w:ascii="Arial" w:hAnsi="Arial" w:cs="Arial"/>
                <w:color w:val="000000"/>
                <w:sz w:val="18"/>
                <w:szCs w:val="18"/>
              </w:rPr>
              <w:t>55</w:t>
            </w:r>
          </w:p>
        </w:tc>
        <w:tc>
          <w:tcPr>
            <w:tcW w:w="1662" w:type="dxa"/>
            <w:tcBorders>
              <w:top w:val="single" w:sz="4" w:space="0" w:color="auto"/>
              <w:left w:val="nil"/>
              <w:bottom w:val="single" w:sz="4" w:space="0" w:color="auto"/>
              <w:right w:val="nil"/>
            </w:tcBorders>
            <w:shd w:val="clear" w:color="000000" w:fill="FFFFFF"/>
            <w:noWrap/>
            <w:vAlign w:val="center"/>
          </w:tcPr>
          <w:p w14:paraId="35854A3A" w14:textId="7F06993C" w:rsidR="00346ABF" w:rsidRPr="006702FC" w:rsidRDefault="00E03E0B" w:rsidP="008B2FFF">
            <w:pPr>
              <w:autoSpaceDE/>
              <w:autoSpaceDN/>
              <w:adjustRightInd/>
              <w:jc w:val="center"/>
              <w:rPr>
                <w:rFonts w:ascii="Arial" w:hAnsi="Arial" w:cs="Arial"/>
                <w:color w:val="000000"/>
                <w:sz w:val="18"/>
                <w:szCs w:val="18"/>
              </w:rPr>
            </w:pPr>
            <w:r>
              <w:rPr>
                <w:rFonts w:ascii="Arial" w:hAnsi="Arial" w:cs="Arial"/>
                <w:color w:val="000000"/>
                <w:sz w:val="18"/>
                <w:szCs w:val="18"/>
              </w:rPr>
              <w:t>100</w:t>
            </w:r>
          </w:p>
        </w:tc>
        <w:tc>
          <w:tcPr>
            <w:tcW w:w="1350" w:type="dxa"/>
            <w:tcBorders>
              <w:top w:val="single" w:sz="4" w:space="0" w:color="auto"/>
              <w:left w:val="nil"/>
              <w:bottom w:val="single" w:sz="4" w:space="0" w:color="auto"/>
              <w:right w:val="nil"/>
            </w:tcBorders>
            <w:shd w:val="clear" w:color="000000" w:fill="FFFFFF"/>
            <w:noWrap/>
            <w:vAlign w:val="center"/>
          </w:tcPr>
          <w:p w14:paraId="557D7500" w14:textId="53B89828" w:rsidR="00346ABF" w:rsidRPr="006702FC" w:rsidRDefault="00E03E0B" w:rsidP="008B2FFF">
            <w:pPr>
              <w:autoSpaceDE/>
              <w:autoSpaceDN/>
              <w:adjustRightInd/>
              <w:jc w:val="center"/>
              <w:rPr>
                <w:rFonts w:ascii="Arial" w:hAnsi="Arial" w:cs="Arial"/>
                <w:color w:val="000000"/>
                <w:sz w:val="18"/>
                <w:szCs w:val="18"/>
              </w:rPr>
            </w:pPr>
            <w:r>
              <w:rPr>
                <w:rFonts w:ascii="Arial" w:hAnsi="Arial" w:cs="Arial"/>
                <w:color w:val="000000"/>
                <w:sz w:val="18"/>
                <w:szCs w:val="18"/>
              </w:rPr>
              <w:t>5,500</w:t>
            </w:r>
          </w:p>
        </w:tc>
        <w:tc>
          <w:tcPr>
            <w:tcW w:w="1384" w:type="dxa"/>
            <w:tcBorders>
              <w:top w:val="single" w:sz="4" w:space="0" w:color="auto"/>
              <w:left w:val="nil"/>
              <w:bottom w:val="single" w:sz="4" w:space="0" w:color="auto"/>
              <w:right w:val="single" w:sz="4" w:space="0" w:color="auto"/>
            </w:tcBorders>
            <w:shd w:val="clear" w:color="000000" w:fill="FFFFFF"/>
            <w:noWrap/>
            <w:vAlign w:val="center"/>
          </w:tcPr>
          <w:p w14:paraId="48FE6A59" w14:textId="321E0B6F" w:rsidR="00346ABF" w:rsidRPr="006702FC" w:rsidRDefault="00346ABF" w:rsidP="00E03E0B">
            <w:pPr>
              <w:autoSpaceDE/>
              <w:autoSpaceDN/>
              <w:adjustRightInd/>
              <w:jc w:val="right"/>
              <w:rPr>
                <w:rFonts w:ascii="Arial" w:hAnsi="Arial" w:cs="Arial"/>
                <w:color w:val="000000"/>
                <w:sz w:val="18"/>
                <w:szCs w:val="18"/>
              </w:rPr>
            </w:pPr>
            <w:r>
              <w:rPr>
                <w:rFonts w:ascii="Arial" w:hAnsi="Arial" w:cs="Arial"/>
                <w:color w:val="000000"/>
                <w:sz w:val="18"/>
                <w:szCs w:val="18"/>
              </w:rPr>
              <w:t>$</w:t>
            </w:r>
            <w:r w:rsidR="00E03E0B">
              <w:rPr>
                <w:rFonts w:ascii="Arial" w:hAnsi="Arial" w:cs="Arial"/>
                <w:color w:val="000000"/>
                <w:sz w:val="18"/>
                <w:szCs w:val="18"/>
              </w:rPr>
              <w:t>1,457,500</w:t>
            </w:r>
          </w:p>
        </w:tc>
      </w:tr>
    </w:tbl>
    <w:p w14:paraId="6D0DBCFB" w14:textId="4317DBE6" w:rsidR="005F40E4" w:rsidRDefault="005F40E4" w:rsidP="00584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14:paraId="055BE3FF" w14:textId="77777777" w:rsidR="005F40E4" w:rsidRDefault="005F40E4" w:rsidP="00584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bl>
      <w:tblPr>
        <w:tblW w:w="10530" w:type="dxa"/>
        <w:tblLook w:val="04A0" w:firstRow="1" w:lastRow="0" w:firstColumn="1" w:lastColumn="0" w:noHBand="0" w:noVBand="1"/>
      </w:tblPr>
      <w:tblGrid>
        <w:gridCol w:w="6640"/>
        <w:gridCol w:w="1100"/>
        <w:gridCol w:w="2790"/>
      </w:tblGrid>
      <w:tr w:rsidR="0058435B" w:rsidRPr="00C3307E" w14:paraId="290D71A7" w14:textId="77777777" w:rsidTr="005F0FB9">
        <w:trPr>
          <w:trHeight w:val="228"/>
        </w:trPr>
        <w:tc>
          <w:tcPr>
            <w:tcW w:w="6640" w:type="dxa"/>
            <w:tcBorders>
              <w:top w:val="nil"/>
              <w:left w:val="nil"/>
              <w:bottom w:val="nil"/>
              <w:right w:val="nil"/>
            </w:tcBorders>
            <w:shd w:val="clear" w:color="000000" w:fill="FFFFFF"/>
            <w:noWrap/>
            <w:vAlign w:val="bottom"/>
            <w:hideMark/>
          </w:tcPr>
          <w:p w14:paraId="3BD312DA" w14:textId="77777777" w:rsidR="0058435B" w:rsidRDefault="0058435B" w:rsidP="00404D08">
            <w:pPr>
              <w:autoSpaceDE/>
              <w:autoSpaceDN/>
              <w:adjustRightInd/>
              <w:jc w:val="right"/>
              <w:rPr>
                <w:rFonts w:ascii="Arial" w:hAnsi="Arial" w:cs="Arial"/>
                <w:color w:val="000000"/>
                <w:sz w:val="18"/>
                <w:szCs w:val="18"/>
              </w:rPr>
            </w:pPr>
          </w:p>
          <w:p w14:paraId="2B87043F" w14:textId="77777777" w:rsidR="0058435B" w:rsidRPr="00C3307E" w:rsidRDefault="0058435B" w:rsidP="00404D08">
            <w:pPr>
              <w:autoSpaceDE/>
              <w:autoSpaceDN/>
              <w:adjustRightInd/>
              <w:jc w:val="right"/>
              <w:rPr>
                <w:rFonts w:ascii="Arial" w:hAnsi="Arial" w:cs="Arial"/>
                <w:color w:val="000000"/>
                <w:sz w:val="18"/>
                <w:szCs w:val="18"/>
              </w:rPr>
            </w:pPr>
            <w:r w:rsidRPr="00C3307E">
              <w:rPr>
                <w:rFonts w:ascii="Arial" w:hAnsi="Arial" w:cs="Arial"/>
                <w:color w:val="000000"/>
                <w:sz w:val="18"/>
                <w:szCs w:val="18"/>
              </w:rPr>
              <w:t>Total Burden Hours:</w:t>
            </w:r>
          </w:p>
        </w:tc>
        <w:tc>
          <w:tcPr>
            <w:tcW w:w="1100" w:type="dxa"/>
            <w:tcBorders>
              <w:top w:val="nil"/>
              <w:left w:val="nil"/>
              <w:bottom w:val="nil"/>
              <w:right w:val="nil"/>
            </w:tcBorders>
            <w:shd w:val="clear" w:color="000000" w:fill="FFFFFF"/>
            <w:noWrap/>
            <w:vAlign w:val="bottom"/>
            <w:hideMark/>
          </w:tcPr>
          <w:p w14:paraId="75BAB090" w14:textId="77777777" w:rsidR="0058435B" w:rsidRPr="00C3307E" w:rsidRDefault="0058435B" w:rsidP="00404D08">
            <w:pPr>
              <w:autoSpaceDE/>
              <w:autoSpaceDN/>
              <w:adjustRightInd/>
              <w:rPr>
                <w:rFonts w:ascii="Arial" w:hAnsi="Arial" w:cs="Arial"/>
                <w:color w:val="000000"/>
                <w:sz w:val="18"/>
                <w:szCs w:val="18"/>
              </w:rPr>
            </w:pPr>
            <w:r w:rsidRPr="00C3307E">
              <w:rPr>
                <w:rFonts w:ascii="Arial" w:hAnsi="Arial" w:cs="Arial"/>
                <w:color w:val="000000"/>
                <w:sz w:val="18"/>
                <w:szCs w:val="18"/>
              </w:rPr>
              <w:t> </w:t>
            </w:r>
          </w:p>
        </w:tc>
        <w:tc>
          <w:tcPr>
            <w:tcW w:w="2790" w:type="dxa"/>
            <w:tcBorders>
              <w:top w:val="nil"/>
              <w:left w:val="nil"/>
              <w:bottom w:val="nil"/>
              <w:right w:val="nil"/>
            </w:tcBorders>
            <w:shd w:val="clear" w:color="000000" w:fill="FFFFFF"/>
            <w:noWrap/>
            <w:vAlign w:val="bottom"/>
          </w:tcPr>
          <w:p w14:paraId="16146FB0" w14:textId="473F0127" w:rsidR="0058435B" w:rsidRPr="00C3307E" w:rsidRDefault="00C27384" w:rsidP="00404D08">
            <w:pPr>
              <w:autoSpaceDE/>
              <w:autoSpaceDN/>
              <w:adjustRightInd/>
              <w:jc w:val="right"/>
              <w:rPr>
                <w:rFonts w:ascii="Arial" w:hAnsi="Arial" w:cs="Arial"/>
                <w:color w:val="000000"/>
                <w:sz w:val="18"/>
                <w:szCs w:val="18"/>
              </w:rPr>
            </w:pPr>
            <w:r>
              <w:rPr>
                <w:rFonts w:ascii="Arial" w:hAnsi="Arial" w:cs="Arial"/>
                <w:color w:val="000000"/>
                <w:sz w:val="18"/>
                <w:szCs w:val="18"/>
              </w:rPr>
              <w:t>22,825</w:t>
            </w:r>
          </w:p>
        </w:tc>
      </w:tr>
      <w:tr w:rsidR="0058435B" w:rsidRPr="00DC35BB" w14:paraId="5CF7C296" w14:textId="77777777" w:rsidTr="005F0FB9">
        <w:trPr>
          <w:trHeight w:val="228"/>
        </w:trPr>
        <w:tc>
          <w:tcPr>
            <w:tcW w:w="6640" w:type="dxa"/>
            <w:tcBorders>
              <w:top w:val="nil"/>
              <w:left w:val="nil"/>
              <w:bottom w:val="nil"/>
              <w:right w:val="nil"/>
            </w:tcBorders>
            <w:shd w:val="clear" w:color="000000" w:fill="FFFFFF"/>
            <w:noWrap/>
            <w:vAlign w:val="bottom"/>
            <w:hideMark/>
          </w:tcPr>
          <w:p w14:paraId="03CDEEC9" w14:textId="77777777" w:rsidR="0058435B" w:rsidRPr="00C3307E" w:rsidRDefault="0058435B" w:rsidP="00404D08">
            <w:pPr>
              <w:autoSpaceDE/>
              <w:autoSpaceDN/>
              <w:adjustRightInd/>
              <w:jc w:val="right"/>
              <w:rPr>
                <w:rFonts w:ascii="Arial" w:hAnsi="Arial" w:cs="Arial"/>
                <w:color w:val="000000"/>
                <w:sz w:val="18"/>
                <w:szCs w:val="18"/>
              </w:rPr>
            </w:pPr>
            <w:r w:rsidRPr="00C3307E">
              <w:rPr>
                <w:rFonts w:ascii="Arial" w:hAnsi="Arial" w:cs="Arial"/>
                <w:color w:val="000000"/>
                <w:sz w:val="18"/>
                <w:szCs w:val="18"/>
              </w:rPr>
              <w:t>Total Burden Hour Cost:</w:t>
            </w:r>
          </w:p>
        </w:tc>
        <w:tc>
          <w:tcPr>
            <w:tcW w:w="1100" w:type="dxa"/>
            <w:tcBorders>
              <w:top w:val="nil"/>
              <w:left w:val="nil"/>
              <w:bottom w:val="nil"/>
              <w:right w:val="nil"/>
            </w:tcBorders>
            <w:shd w:val="clear" w:color="000000" w:fill="FFFFFF"/>
            <w:noWrap/>
            <w:vAlign w:val="bottom"/>
            <w:hideMark/>
          </w:tcPr>
          <w:p w14:paraId="0E4E43B4" w14:textId="77777777" w:rsidR="0058435B" w:rsidRPr="00C3307E" w:rsidRDefault="0058435B" w:rsidP="00404D08">
            <w:pPr>
              <w:autoSpaceDE/>
              <w:autoSpaceDN/>
              <w:adjustRightInd/>
              <w:rPr>
                <w:rFonts w:ascii="Arial" w:hAnsi="Arial" w:cs="Arial"/>
                <w:color w:val="000000"/>
                <w:sz w:val="18"/>
                <w:szCs w:val="18"/>
              </w:rPr>
            </w:pPr>
            <w:r w:rsidRPr="00C3307E">
              <w:rPr>
                <w:rFonts w:ascii="Arial" w:hAnsi="Arial" w:cs="Arial"/>
                <w:color w:val="000000"/>
                <w:sz w:val="18"/>
                <w:szCs w:val="18"/>
              </w:rPr>
              <w:t> </w:t>
            </w:r>
          </w:p>
        </w:tc>
        <w:tc>
          <w:tcPr>
            <w:tcW w:w="2790" w:type="dxa"/>
            <w:tcBorders>
              <w:top w:val="nil"/>
              <w:left w:val="nil"/>
              <w:bottom w:val="nil"/>
              <w:right w:val="nil"/>
            </w:tcBorders>
            <w:shd w:val="clear" w:color="000000" w:fill="FFFFFF"/>
            <w:noWrap/>
            <w:vAlign w:val="bottom"/>
          </w:tcPr>
          <w:p w14:paraId="6B880A15" w14:textId="525AAA4D" w:rsidR="0058435B" w:rsidRPr="00E207EF" w:rsidRDefault="005F0FB9" w:rsidP="00404D08">
            <w:pPr>
              <w:autoSpaceDE/>
              <w:autoSpaceDN/>
              <w:adjustRightInd/>
              <w:jc w:val="right"/>
              <w:rPr>
                <w:rFonts w:ascii="Arial" w:hAnsi="Arial" w:cs="Arial"/>
                <w:color w:val="000000"/>
                <w:sz w:val="18"/>
                <w:szCs w:val="18"/>
              </w:rPr>
            </w:pPr>
            <w:r w:rsidRPr="00E207EF">
              <w:rPr>
                <w:rFonts w:ascii="Arial" w:hAnsi="Arial" w:cs="Arial"/>
                <w:color w:val="000000"/>
                <w:sz w:val="18"/>
                <w:szCs w:val="18"/>
              </w:rPr>
              <w:t>$6,0</w:t>
            </w:r>
            <w:r w:rsidR="00E207EF">
              <w:rPr>
                <w:rFonts w:ascii="Arial" w:hAnsi="Arial" w:cs="Arial"/>
                <w:color w:val="000000"/>
                <w:sz w:val="18"/>
                <w:szCs w:val="18"/>
              </w:rPr>
              <w:t>48,</w:t>
            </w:r>
            <w:r w:rsidRPr="00E207EF">
              <w:rPr>
                <w:rFonts w:ascii="Arial" w:hAnsi="Arial" w:cs="Arial"/>
                <w:color w:val="000000"/>
                <w:sz w:val="18"/>
                <w:szCs w:val="18"/>
              </w:rPr>
              <w:t xml:space="preserve">625 (22,825 x </w:t>
            </w:r>
            <w:r w:rsidR="00C27384" w:rsidRPr="00E207EF">
              <w:rPr>
                <w:rFonts w:ascii="Arial" w:hAnsi="Arial" w:cs="Arial"/>
                <w:color w:val="000000"/>
                <w:sz w:val="18"/>
                <w:szCs w:val="18"/>
              </w:rPr>
              <w:t>$265</w:t>
            </w:r>
            <w:r w:rsidRPr="00E207EF">
              <w:rPr>
                <w:rFonts w:ascii="Arial" w:hAnsi="Arial" w:cs="Arial"/>
                <w:color w:val="000000"/>
                <w:sz w:val="18"/>
                <w:szCs w:val="18"/>
              </w:rPr>
              <w:t>/hr)</w:t>
            </w:r>
          </w:p>
        </w:tc>
      </w:tr>
      <w:tr w:rsidR="0058435B" w:rsidRPr="00C3307E" w14:paraId="487692F7" w14:textId="77777777" w:rsidTr="005F0FB9">
        <w:trPr>
          <w:trHeight w:val="228"/>
        </w:trPr>
        <w:tc>
          <w:tcPr>
            <w:tcW w:w="6640" w:type="dxa"/>
            <w:tcBorders>
              <w:top w:val="nil"/>
              <w:left w:val="nil"/>
              <w:bottom w:val="nil"/>
              <w:right w:val="nil"/>
            </w:tcBorders>
            <w:shd w:val="clear" w:color="000000" w:fill="FFFFFF"/>
            <w:noWrap/>
            <w:vAlign w:val="bottom"/>
            <w:hideMark/>
          </w:tcPr>
          <w:p w14:paraId="27F0D12E" w14:textId="77777777" w:rsidR="0058435B" w:rsidRPr="00C3307E" w:rsidRDefault="0058435B" w:rsidP="00404D08">
            <w:pPr>
              <w:autoSpaceDE/>
              <w:autoSpaceDN/>
              <w:adjustRightInd/>
              <w:jc w:val="right"/>
              <w:rPr>
                <w:rFonts w:ascii="Arial" w:hAnsi="Arial" w:cs="Arial"/>
                <w:color w:val="000000"/>
                <w:sz w:val="18"/>
                <w:szCs w:val="18"/>
              </w:rPr>
            </w:pPr>
            <w:r w:rsidRPr="00C3307E">
              <w:rPr>
                <w:rFonts w:ascii="Arial" w:hAnsi="Arial" w:cs="Arial"/>
                <w:color w:val="000000"/>
                <w:sz w:val="18"/>
                <w:szCs w:val="18"/>
              </w:rPr>
              <w:t>Annual Respondents:</w:t>
            </w:r>
          </w:p>
        </w:tc>
        <w:tc>
          <w:tcPr>
            <w:tcW w:w="1100" w:type="dxa"/>
            <w:tcBorders>
              <w:top w:val="nil"/>
              <w:left w:val="nil"/>
              <w:bottom w:val="nil"/>
              <w:right w:val="nil"/>
            </w:tcBorders>
            <w:shd w:val="clear" w:color="000000" w:fill="FFFFFF"/>
            <w:noWrap/>
            <w:vAlign w:val="bottom"/>
            <w:hideMark/>
          </w:tcPr>
          <w:p w14:paraId="5C959FA3" w14:textId="77777777" w:rsidR="0058435B" w:rsidRPr="00C3307E" w:rsidRDefault="0058435B" w:rsidP="00404D08">
            <w:pPr>
              <w:autoSpaceDE/>
              <w:autoSpaceDN/>
              <w:adjustRightInd/>
              <w:rPr>
                <w:rFonts w:ascii="Arial" w:hAnsi="Arial" w:cs="Arial"/>
                <w:color w:val="000000"/>
                <w:sz w:val="18"/>
                <w:szCs w:val="18"/>
              </w:rPr>
            </w:pPr>
            <w:r w:rsidRPr="00C3307E">
              <w:rPr>
                <w:rFonts w:ascii="Arial" w:hAnsi="Arial" w:cs="Arial"/>
                <w:color w:val="000000"/>
                <w:sz w:val="18"/>
                <w:szCs w:val="18"/>
              </w:rPr>
              <w:t> </w:t>
            </w:r>
          </w:p>
        </w:tc>
        <w:tc>
          <w:tcPr>
            <w:tcW w:w="2790" w:type="dxa"/>
            <w:tcBorders>
              <w:top w:val="nil"/>
              <w:left w:val="nil"/>
              <w:bottom w:val="nil"/>
              <w:right w:val="nil"/>
            </w:tcBorders>
            <w:shd w:val="clear" w:color="000000" w:fill="FFFFFF"/>
            <w:noWrap/>
            <w:vAlign w:val="bottom"/>
          </w:tcPr>
          <w:p w14:paraId="731A0674" w14:textId="68258C2B" w:rsidR="0058435B" w:rsidRPr="00C3307E" w:rsidRDefault="00C27384" w:rsidP="00404D08">
            <w:pPr>
              <w:autoSpaceDE/>
              <w:autoSpaceDN/>
              <w:adjustRightInd/>
              <w:jc w:val="right"/>
              <w:rPr>
                <w:rFonts w:ascii="Arial" w:hAnsi="Arial" w:cs="Arial"/>
                <w:color w:val="000000"/>
                <w:sz w:val="18"/>
                <w:szCs w:val="18"/>
              </w:rPr>
            </w:pPr>
            <w:r>
              <w:rPr>
                <w:rFonts w:ascii="Arial" w:hAnsi="Arial" w:cs="Arial"/>
                <w:color w:val="000000"/>
                <w:sz w:val="18"/>
                <w:szCs w:val="18"/>
              </w:rPr>
              <w:t>55</w:t>
            </w:r>
          </w:p>
        </w:tc>
      </w:tr>
      <w:tr w:rsidR="0058435B" w:rsidRPr="00C3307E" w14:paraId="62C9A0DC" w14:textId="77777777" w:rsidTr="005F0FB9">
        <w:trPr>
          <w:trHeight w:val="228"/>
        </w:trPr>
        <w:tc>
          <w:tcPr>
            <w:tcW w:w="6640" w:type="dxa"/>
            <w:tcBorders>
              <w:top w:val="nil"/>
              <w:left w:val="nil"/>
              <w:bottom w:val="nil"/>
              <w:right w:val="nil"/>
            </w:tcBorders>
            <w:shd w:val="clear" w:color="000000" w:fill="FFFFFF"/>
            <w:noWrap/>
            <w:vAlign w:val="bottom"/>
            <w:hideMark/>
          </w:tcPr>
          <w:p w14:paraId="07F0ED45" w14:textId="77777777" w:rsidR="0058435B" w:rsidRPr="00C3307E" w:rsidRDefault="0058435B" w:rsidP="00404D08">
            <w:pPr>
              <w:autoSpaceDE/>
              <w:autoSpaceDN/>
              <w:adjustRightInd/>
              <w:jc w:val="right"/>
              <w:rPr>
                <w:rFonts w:ascii="Arial" w:hAnsi="Arial" w:cs="Arial"/>
                <w:color w:val="000000"/>
                <w:sz w:val="18"/>
                <w:szCs w:val="18"/>
              </w:rPr>
            </w:pPr>
            <w:r w:rsidRPr="00C3307E">
              <w:rPr>
                <w:rFonts w:ascii="Arial" w:hAnsi="Arial" w:cs="Arial"/>
                <w:color w:val="000000"/>
                <w:sz w:val="18"/>
                <w:szCs w:val="18"/>
              </w:rPr>
              <w:t>Responses:</w:t>
            </w:r>
          </w:p>
        </w:tc>
        <w:tc>
          <w:tcPr>
            <w:tcW w:w="1100" w:type="dxa"/>
            <w:tcBorders>
              <w:top w:val="nil"/>
              <w:left w:val="nil"/>
              <w:bottom w:val="nil"/>
              <w:right w:val="nil"/>
            </w:tcBorders>
            <w:shd w:val="clear" w:color="000000" w:fill="FFFFFF"/>
            <w:noWrap/>
            <w:vAlign w:val="bottom"/>
            <w:hideMark/>
          </w:tcPr>
          <w:p w14:paraId="40CB13E2" w14:textId="77777777" w:rsidR="0058435B" w:rsidRPr="00C3307E" w:rsidRDefault="0058435B" w:rsidP="00404D08">
            <w:pPr>
              <w:autoSpaceDE/>
              <w:autoSpaceDN/>
              <w:adjustRightInd/>
              <w:rPr>
                <w:rFonts w:ascii="Arial" w:hAnsi="Arial" w:cs="Arial"/>
                <w:color w:val="000000"/>
                <w:sz w:val="18"/>
                <w:szCs w:val="18"/>
              </w:rPr>
            </w:pPr>
            <w:r w:rsidRPr="00C3307E">
              <w:rPr>
                <w:rFonts w:ascii="Arial" w:hAnsi="Arial" w:cs="Arial"/>
                <w:color w:val="000000"/>
                <w:sz w:val="18"/>
                <w:szCs w:val="18"/>
              </w:rPr>
              <w:t> </w:t>
            </w:r>
          </w:p>
        </w:tc>
        <w:tc>
          <w:tcPr>
            <w:tcW w:w="2790" w:type="dxa"/>
            <w:tcBorders>
              <w:top w:val="nil"/>
              <w:left w:val="nil"/>
              <w:bottom w:val="nil"/>
              <w:right w:val="nil"/>
            </w:tcBorders>
            <w:shd w:val="clear" w:color="000000" w:fill="FFFFFF"/>
            <w:noWrap/>
            <w:vAlign w:val="bottom"/>
          </w:tcPr>
          <w:p w14:paraId="49C69832" w14:textId="7C3CE1A9" w:rsidR="0058435B" w:rsidRPr="00C3307E" w:rsidRDefault="005F0FB9" w:rsidP="00404D08">
            <w:pPr>
              <w:autoSpaceDE/>
              <w:autoSpaceDN/>
              <w:adjustRightInd/>
              <w:jc w:val="right"/>
              <w:rPr>
                <w:rFonts w:ascii="Arial" w:hAnsi="Arial" w:cs="Arial"/>
                <w:color w:val="000000"/>
                <w:sz w:val="18"/>
                <w:szCs w:val="18"/>
              </w:rPr>
            </w:pPr>
            <w:r>
              <w:rPr>
                <w:rFonts w:ascii="Arial" w:hAnsi="Arial" w:cs="Arial"/>
                <w:color w:val="000000"/>
                <w:sz w:val="18"/>
                <w:szCs w:val="18"/>
              </w:rPr>
              <w:t>55</w:t>
            </w:r>
          </w:p>
        </w:tc>
      </w:tr>
    </w:tbl>
    <w:p w14:paraId="17096C10" w14:textId="77777777" w:rsidR="0058435B" w:rsidRDefault="0058435B" w:rsidP="00584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4BD65047" w14:textId="2A9EAC15" w:rsidR="0058435B" w:rsidRDefault="0058435B" w:rsidP="00584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2A142A4D" w14:textId="77777777" w:rsidR="0058435B" w:rsidRDefault="0058435B" w:rsidP="00584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sectPr w:rsidR="0058435B" w:rsidSect="00D001B4">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2C3A6" w14:textId="77777777" w:rsidR="002D0B72" w:rsidRDefault="002D0B72">
      <w:r>
        <w:separator/>
      </w:r>
    </w:p>
    <w:p w14:paraId="0F887520" w14:textId="77777777" w:rsidR="002D0B72" w:rsidRDefault="002D0B72"/>
  </w:endnote>
  <w:endnote w:type="continuationSeparator" w:id="0">
    <w:p w14:paraId="43F320D1" w14:textId="77777777" w:rsidR="002D0B72" w:rsidRDefault="002D0B72">
      <w:r>
        <w:continuationSeparator/>
      </w:r>
    </w:p>
    <w:p w14:paraId="613ECD7D" w14:textId="77777777" w:rsidR="002D0B72" w:rsidRDefault="002D0B72"/>
  </w:endnote>
  <w:endnote w:type="continuationNotice" w:id="1">
    <w:p w14:paraId="51D98D76" w14:textId="77777777" w:rsidR="002D0B72" w:rsidRDefault="002D0B72"/>
    <w:p w14:paraId="2214D45E" w14:textId="77777777" w:rsidR="002D0B72" w:rsidRDefault="002D0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8D9E9" w14:textId="77777777" w:rsidR="0058435B" w:rsidRDefault="0058435B" w:rsidP="0028068B">
    <w:pPr>
      <w:jc w:val="center"/>
      <w:rPr>
        <w:rFonts w:ascii="Arial" w:hAnsi="Arial" w:cs="Arial"/>
        <w:noProof/>
      </w:rPr>
    </w:pPr>
    <w:r w:rsidRPr="0028068B">
      <w:rPr>
        <w:rFonts w:ascii="Arial" w:hAnsi="Arial" w:cs="Arial"/>
      </w:rPr>
      <w:fldChar w:fldCharType="begin"/>
    </w:r>
    <w:r w:rsidRPr="0028068B">
      <w:rPr>
        <w:rFonts w:ascii="Arial" w:hAnsi="Arial" w:cs="Arial"/>
      </w:rPr>
      <w:instrText xml:space="preserve"> PAGE   \* MERGEFORMAT </w:instrText>
    </w:r>
    <w:r w:rsidRPr="0028068B">
      <w:rPr>
        <w:rFonts w:ascii="Arial" w:hAnsi="Arial" w:cs="Arial"/>
      </w:rPr>
      <w:fldChar w:fldCharType="separate"/>
    </w:r>
    <w:r w:rsidR="004E019C">
      <w:rPr>
        <w:rFonts w:ascii="Arial" w:hAnsi="Arial" w:cs="Arial"/>
        <w:noProof/>
      </w:rPr>
      <w:t>1</w:t>
    </w:r>
    <w:r w:rsidRPr="0028068B">
      <w:rPr>
        <w:rFonts w:ascii="Arial" w:hAnsi="Arial" w:cs="Arial"/>
        <w:noProof/>
      </w:rPr>
      <w:fldChar w:fldCharType="end"/>
    </w:r>
  </w:p>
  <w:p w14:paraId="33ECABFE" w14:textId="77777777" w:rsidR="0058435B" w:rsidRPr="003C4B26" w:rsidRDefault="0058435B" w:rsidP="0028068B">
    <w:pP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1EF1A" w14:textId="6BCB51A4" w:rsidR="00DD3885" w:rsidRDefault="0028068B" w:rsidP="0028068B">
    <w:pPr>
      <w:jc w:val="center"/>
      <w:rPr>
        <w:rFonts w:ascii="Arial" w:hAnsi="Arial" w:cs="Arial"/>
        <w:noProof/>
      </w:rPr>
    </w:pPr>
    <w:r w:rsidRPr="0028068B">
      <w:rPr>
        <w:rFonts w:ascii="Arial" w:hAnsi="Arial" w:cs="Arial"/>
      </w:rPr>
      <w:fldChar w:fldCharType="begin"/>
    </w:r>
    <w:r w:rsidRPr="0028068B">
      <w:rPr>
        <w:rFonts w:ascii="Arial" w:hAnsi="Arial" w:cs="Arial"/>
      </w:rPr>
      <w:instrText xml:space="preserve"> PAGE   \* MERGEFORMAT </w:instrText>
    </w:r>
    <w:r w:rsidRPr="0028068B">
      <w:rPr>
        <w:rFonts w:ascii="Arial" w:hAnsi="Arial" w:cs="Arial"/>
      </w:rPr>
      <w:fldChar w:fldCharType="separate"/>
    </w:r>
    <w:r w:rsidR="004A362F">
      <w:rPr>
        <w:rFonts w:ascii="Arial" w:hAnsi="Arial" w:cs="Arial"/>
        <w:noProof/>
      </w:rPr>
      <w:t>8</w:t>
    </w:r>
    <w:r w:rsidRPr="0028068B">
      <w:rPr>
        <w:rFonts w:ascii="Arial" w:hAnsi="Arial" w:cs="Arial"/>
        <w:noProof/>
      </w:rPr>
      <w:fldChar w:fldCharType="end"/>
    </w:r>
  </w:p>
  <w:p w14:paraId="7207F29E" w14:textId="77777777" w:rsidR="0028068B" w:rsidRPr="003C4B26" w:rsidRDefault="0028068B" w:rsidP="0028068B">
    <w:pP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54490" w14:textId="77777777" w:rsidR="002D0B72" w:rsidRDefault="002D0B72">
      <w:r>
        <w:separator/>
      </w:r>
    </w:p>
    <w:p w14:paraId="2F241F02" w14:textId="77777777" w:rsidR="002D0B72" w:rsidRDefault="002D0B72"/>
  </w:footnote>
  <w:footnote w:type="continuationSeparator" w:id="0">
    <w:p w14:paraId="2CF5C917" w14:textId="77777777" w:rsidR="002D0B72" w:rsidRDefault="002D0B72">
      <w:r>
        <w:continuationSeparator/>
      </w:r>
    </w:p>
    <w:p w14:paraId="6C3035D8" w14:textId="77777777" w:rsidR="002D0B72" w:rsidRDefault="002D0B72"/>
  </w:footnote>
  <w:footnote w:type="continuationNotice" w:id="1">
    <w:p w14:paraId="479F3D1D" w14:textId="77777777" w:rsidR="002D0B72" w:rsidRDefault="002D0B72"/>
    <w:p w14:paraId="42F86770" w14:textId="77777777" w:rsidR="002D0B72" w:rsidRDefault="002D0B72"/>
  </w:footnote>
  <w:footnote w:id="2">
    <w:p w14:paraId="501321F7" w14:textId="47B60FAF" w:rsidR="0058435B" w:rsidRPr="00C25DF2" w:rsidRDefault="0058435B" w:rsidP="00310CFF">
      <w:pPr>
        <w:pStyle w:val="FootnoteText"/>
        <w:tabs>
          <w:tab w:val="clear" w:pos="0"/>
          <w:tab w:val="clear" w:pos="720"/>
          <w:tab w:val="left" w:pos="360"/>
        </w:tabs>
        <w:ind w:left="720" w:hanging="720"/>
        <w:rPr>
          <w:rFonts w:ascii="Arial" w:hAnsi="Arial" w:cs="Arial"/>
          <w:sz w:val="18"/>
          <w:szCs w:val="18"/>
        </w:rPr>
      </w:pPr>
      <w:r w:rsidRPr="00C25DF2">
        <w:rPr>
          <w:rStyle w:val="FootnoteReference"/>
          <w:rFonts w:ascii="Arial" w:hAnsi="Arial" w:cs="Arial"/>
          <w:sz w:val="18"/>
          <w:szCs w:val="18"/>
        </w:rPr>
        <w:footnoteRef/>
      </w:r>
      <w:r w:rsidRPr="00C25DF2">
        <w:rPr>
          <w:rFonts w:ascii="Arial" w:hAnsi="Arial" w:cs="Arial"/>
          <w:sz w:val="18"/>
          <w:szCs w:val="18"/>
        </w:rPr>
        <w:t xml:space="preserve"> </w:t>
      </w:r>
      <w:r w:rsidRPr="00C25DF2">
        <w:rPr>
          <w:rFonts w:ascii="Arial" w:hAnsi="Arial" w:cs="Arial"/>
          <w:sz w:val="18"/>
          <w:szCs w:val="18"/>
        </w:rPr>
        <w:tab/>
      </w:r>
      <w:r w:rsidR="00CD6ED6" w:rsidRPr="00C25DF2">
        <w:rPr>
          <w:rFonts w:ascii="Arial" w:hAnsi="Arial" w:cs="Arial"/>
          <w:sz w:val="18"/>
          <w:szCs w:val="18"/>
        </w:rPr>
        <w:t>Agencywide Documents Access and Management System (</w:t>
      </w:r>
      <w:r w:rsidRPr="00C25DF2">
        <w:rPr>
          <w:rFonts w:ascii="Arial" w:hAnsi="Arial" w:cs="Arial"/>
          <w:sz w:val="18"/>
          <w:szCs w:val="18"/>
        </w:rPr>
        <w:t>ADAMS</w:t>
      </w:r>
      <w:r w:rsidR="00CD6ED6" w:rsidRPr="00C25DF2">
        <w:rPr>
          <w:rFonts w:ascii="Arial" w:hAnsi="Arial" w:cs="Arial"/>
          <w:sz w:val="18"/>
          <w:szCs w:val="18"/>
        </w:rPr>
        <w:t>) Accession No</w:t>
      </w:r>
      <w:r w:rsidR="003F7D32" w:rsidRPr="00C25DF2">
        <w:rPr>
          <w:rFonts w:ascii="Arial" w:hAnsi="Arial" w:cs="Arial"/>
          <w:sz w:val="18"/>
          <w:szCs w:val="18"/>
        </w:rPr>
        <w:t>. </w:t>
      </w:r>
      <w:hyperlink r:id="rId1" w:history="1">
        <w:r w:rsidRPr="00C25DF2">
          <w:rPr>
            <w:rStyle w:val="Hyperlink"/>
            <w:rFonts w:ascii="Arial" w:hAnsi="Arial" w:cs="Arial"/>
            <w:sz w:val="18"/>
            <w:szCs w:val="18"/>
          </w:rPr>
          <w:t>ML12054A735</w:t>
        </w:r>
      </w:hyperlink>
    </w:p>
  </w:footnote>
  <w:footnote w:id="3">
    <w:p w14:paraId="090AD8ED" w14:textId="2E8481C5" w:rsidR="0058435B" w:rsidRPr="00C25DF2" w:rsidRDefault="0058435B" w:rsidP="00310CFF">
      <w:pPr>
        <w:pStyle w:val="FootnoteText"/>
        <w:tabs>
          <w:tab w:val="clear" w:pos="720"/>
          <w:tab w:val="left" w:pos="360"/>
        </w:tabs>
        <w:rPr>
          <w:rFonts w:ascii="Arial" w:hAnsi="Arial" w:cs="Arial"/>
          <w:sz w:val="18"/>
          <w:szCs w:val="18"/>
        </w:rPr>
      </w:pPr>
      <w:r w:rsidRPr="00C25DF2">
        <w:rPr>
          <w:rStyle w:val="FootnoteReference"/>
          <w:rFonts w:ascii="Arial" w:hAnsi="Arial" w:cs="Arial"/>
          <w:sz w:val="18"/>
          <w:szCs w:val="18"/>
        </w:rPr>
        <w:footnoteRef/>
      </w:r>
      <w:r w:rsidRPr="00C25DF2">
        <w:rPr>
          <w:rFonts w:ascii="Arial" w:hAnsi="Arial" w:cs="Arial"/>
          <w:sz w:val="18"/>
          <w:szCs w:val="18"/>
        </w:rPr>
        <w:t xml:space="preserve"> </w:t>
      </w:r>
      <w:r w:rsidRPr="00C25DF2">
        <w:rPr>
          <w:rFonts w:ascii="Arial" w:hAnsi="Arial" w:cs="Arial"/>
          <w:sz w:val="18"/>
          <w:szCs w:val="18"/>
        </w:rPr>
        <w:tab/>
        <w:t xml:space="preserve">ADAMS </w:t>
      </w:r>
      <w:r w:rsidR="00CD6ED6" w:rsidRPr="00C25DF2">
        <w:rPr>
          <w:rFonts w:ascii="Arial" w:hAnsi="Arial" w:cs="Arial"/>
          <w:sz w:val="18"/>
          <w:szCs w:val="18"/>
        </w:rPr>
        <w:t xml:space="preserve">Accession No. </w:t>
      </w:r>
      <w:hyperlink r:id="rId2" w:history="1">
        <w:r w:rsidRPr="00C25DF2">
          <w:rPr>
            <w:rStyle w:val="Hyperlink"/>
            <w:rFonts w:ascii="Arial" w:hAnsi="Arial" w:cs="Arial"/>
            <w:sz w:val="18"/>
            <w:szCs w:val="18"/>
          </w:rPr>
          <w:t>ML12056A044</w:t>
        </w:r>
      </w:hyperlink>
    </w:p>
  </w:footnote>
  <w:footnote w:id="4">
    <w:p w14:paraId="2F5E984E" w14:textId="6AF33C67" w:rsidR="00B205F2" w:rsidRPr="00C25DF2" w:rsidRDefault="00B205F2" w:rsidP="00310CFF">
      <w:pPr>
        <w:pStyle w:val="FootnoteText"/>
        <w:tabs>
          <w:tab w:val="clear" w:pos="720"/>
          <w:tab w:val="left" w:pos="360"/>
        </w:tabs>
        <w:rPr>
          <w:rFonts w:ascii="Arial" w:hAnsi="Arial" w:cs="Arial"/>
          <w:sz w:val="18"/>
          <w:szCs w:val="18"/>
        </w:rPr>
      </w:pPr>
      <w:r w:rsidRPr="00C25DF2">
        <w:rPr>
          <w:rStyle w:val="FootnoteReference"/>
          <w:rFonts w:ascii="Arial" w:hAnsi="Arial" w:cs="Arial"/>
          <w:sz w:val="18"/>
          <w:szCs w:val="18"/>
        </w:rPr>
        <w:footnoteRef/>
      </w:r>
      <w:r w:rsidRPr="00C25DF2">
        <w:rPr>
          <w:rFonts w:ascii="Arial" w:hAnsi="Arial" w:cs="Arial"/>
          <w:sz w:val="18"/>
          <w:szCs w:val="18"/>
        </w:rPr>
        <w:t xml:space="preserve"> </w:t>
      </w:r>
      <w:r>
        <w:rPr>
          <w:rFonts w:ascii="Arial" w:hAnsi="Arial" w:cs="Arial"/>
          <w:sz w:val="18"/>
          <w:szCs w:val="18"/>
        </w:rPr>
        <w:tab/>
      </w:r>
      <w:r w:rsidRPr="00C25DF2">
        <w:rPr>
          <w:rFonts w:ascii="Arial" w:hAnsi="Arial" w:cs="Arial"/>
          <w:sz w:val="18"/>
          <w:szCs w:val="18"/>
        </w:rPr>
        <w:t>The final regulatory basis was subsequently issued on July 23, 2013 (78 FR 44035).</w:t>
      </w:r>
    </w:p>
  </w:footnote>
  <w:footnote w:id="5">
    <w:p w14:paraId="607FA7A9" w14:textId="25337E2E" w:rsidR="00B205F2" w:rsidRPr="00C25DF2" w:rsidRDefault="00B205F2" w:rsidP="00310CFF">
      <w:pPr>
        <w:pStyle w:val="FootnoteText"/>
        <w:tabs>
          <w:tab w:val="clear" w:pos="0"/>
          <w:tab w:val="clear" w:pos="720"/>
          <w:tab w:val="left" w:pos="360"/>
        </w:tabs>
        <w:ind w:left="360" w:hanging="360"/>
        <w:rPr>
          <w:rFonts w:ascii="Arial" w:hAnsi="Arial" w:cs="Arial"/>
          <w:sz w:val="18"/>
          <w:szCs w:val="18"/>
        </w:rPr>
      </w:pPr>
      <w:r w:rsidRPr="00C25DF2">
        <w:rPr>
          <w:rStyle w:val="FootnoteReference"/>
          <w:rFonts w:ascii="Arial" w:hAnsi="Arial" w:cs="Arial"/>
          <w:sz w:val="18"/>
          <w:szCs w:val="18"/>
        </w:rPr>
        <w:footnoteRef/>
      </w:r>
      <w:r w:rsidRPr="00C25DF2">
        <w:rPr>
          <w:rFonts w:ascii="Arial" w:hAnsi="Arial" w:cs="Arial"/>
          <w:sz w:val="18"/>
          <w:szCs w:val="18"/>
        </w:rPr>
        <w:t xml:space="preserve"> </w:t>
      </w:r>
      <w:r>
        <w:rPr>
          <w:rFonts w:ascii="Arial" w:hAnsi="Arial" w:cs="Arial"/>
          <w:sz w:val="18"/>
          <w:szCs w:val="18"/>
        </w:rPr>
        <w:tab/>
      </w:r>
      <w:r w:rsidRPr="00C25DF2">
        <w:rPr>
          <w:rFonts w:ascii="Arial" w:hAnsi="Arial" w:cs="Arial"/>
          <w:sz w:val="18"/>
          <w:szCs w:val="18"/>
        </w:rPr>
        <w:t>The final Onsite Emergency Response Capabilities regulatory basis, with preliminary proposed rule language, was subsequently issued on October 25, 2013 (78 FR 63901).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03405011"/>
    <w:multiLevelType w:val="hybridMultilevel"/>
    <w:tmpl w:val="B96C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5337A"/>
    <w:multiLevelType w:val="hybridMultilevel"/>
    <w:tmpl w:val="D116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D0DCC"/>
    <w:multiLevelType w:val="hybridMultilevel"/>
    <w:tmpl w:val="11A0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BD4DEF"/>
    <w:multiLevelType w:val="hybridMultilevel"/>
    <w:tmpl w:val="03C89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2F3041C"/>
    <w:multiLevelType w:val="hybridMultilevel"/>
    <w:tmpl w:val="BDD41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4FF75A1"/>
    <w:multiLevelType w:val="hybridMultilevel"/>
    <w:tmpl w:val="F1C80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4907C4"/>
    <w:multiLevelType w:val="hybridMultilevel"/>
    <w:tmpl w:val="17BA95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B6BFF"/>
    <w:multiLevelType w:val="hybridMultilevel"/>
    <w:tmpl w:val="B456B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D8D4212"/>
    <w:multiLevelType w:val="hybridMultilevel"/>
    <w:tmpl w:val="FD28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BA1C2E"/>
    <w:multiLevelType w:val="hybridMultilevel"/>
    <w:tmpl w:val="E0F00E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1B06FC2"/>
    <w:multiLevelType w:val="hybridMultilevel"/>
    <w:tmpl w:val="81AC12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3267589"/>
    <w:multiLevelType w:val="hybridMultilevel"/>
    <w:tmpl w:val="9398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97577D"/>
    <w:multiLevelType w:val="hybridMultilevel"/>
    <w:tmpl w:val="5E7C2600"/>
    <w:lvl w:ilvl="0" w:tplc="477CF36A">
      <w:start w:val="1"/>
      <w:numFmt w:val="decimal"/>
      <w:lvlText w:val="(%1)"/>
      <w:lvlJc w:val="left"/>
      <w:pPr>
        <w:ind w:left="1080" w:hanging="360"/>
      </w:pPr>
      <w:rPr>
        <w:rFonts w:hint="default"/>
      </w:rPr>
    </w:lvl>
    <w:lvl w:ilvl="1" w:tplc="04090001">
      <w:start w:val="1"/>
      <w:numFmt w:val="bullet"/>
      <w:lvlText w:val=""/>
      <w:lvlJc w:val="left"/>
      <w:pPr>
        <w:ind w:left="2160" w:hanging="72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334544"/>
    <w:multiLevelType w:val="hybridMultilevel"/>
    <w:tmpl w:val="E5B8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B230A4"/>
    <w:multiLevelType w:val="hybridMultilevel"/>
    <w:tmpl w:val="A4BE9A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79621FE"/>
    <w:multiLevelType w:val="hybridMultilevel"/>
    <w:tmpl w:val="882C9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4A404B"/>
    <w:multiLevelType w:val="hybridMultilevel"/>
    <w:tmpl w:val="9040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5E31E9"/>
    <w:multiLevelType w:val="hybridMultilevel"/>
    <w:tmpl w:val="DBF4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C50B5B"/>
    <w:multiLevelType w:val="hybridMultilevel"/>
    <w:tmpl w:val="9D543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06B50C7"/>
    <w:multiLevelType w:val="hybridMultilevel"/>
    <w:tmpl w:val="5AC0DEFC"/>
    <w:lvl w:ilvl="0" w:tplc="477CF36A">
      <w:start w:val="1"/>
      <w:numFmt w:val="decimal"/>
      <w:lvlText w:val="(%1)"/>
      <w:lvlJc w:val="left"/>
      <w:pPr>
        <w:ind w:left="1080" w:hanging="360"/>
      </w:pPr>
      <w:rPr>
        <w:rFonts w:hint="default"/>
      </w:rPr>
    </w:lvl>
    <w:lvl w:ilvl="1" w:tplc="E342F55E">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164244D"/>
    <w:multiLevelType w:val="hybridMultilevel"/>
    <w:tmpl w:val="973EA3EA"/>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2">
    <w:nsid w:val="518C3027"/>
    <w:multiLevelType w:val="hybridMultilevel"/>
    <w:tmpl w:val="E3E0C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93C1A7B"/>
    <w:multiLevelType w:val="hybridMultilevel"/>
    <w:tmpl w:val="294CB9B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EDB4054"/>
    <w:multiLevelType w:val="hybridMultilevel"/>
    <w:tmpl w:val="5D5044F4"/>
    <w:lvl w:ilvl="0" w:tplc="2A2E8CDE">
      <w:start w:val="1"/>
      <w:numFmt w:val="decimal"/>
      <w:pStyle w:val="Heading2OMB"/>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5B5FF0"/>
    <w:multiLevelType w:val="hybridMultilevel"/>
    <w:tmpl w:val="62E68A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96C2B1F"/>
    <w:multiLevelType w:val="hybridMultilevel"/>
    <w:tmpl w:val="0B367A44"/>
    <w:lvl w:ilvl="0" w:tplc="E14A5BE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FA7362"/>
    <w:multiLevelType w:val="hybridMultilevel"/>
    <w:tmpl w:val="A02C2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DB63552"/>
    <w:multiLevelType w:val="hybridMultilevel"/>
    <w:tmpl w:val="5714FB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D57698"/>
    <w:multiLevelType w:val="hybridMultilevel"/>
    <w:tmpl w:val="D1E024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1C1549B"/>
    <w:multiLevelType w:val="hybridMultilevel"/>
    <w:tmpl w:val="105AC6D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1">
    <w:nsid w:val="779F5BFA"/>
    <w:multiLevelType w:val="hybridMultilevel"/>
    <w:tmpl w:val="96162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85607A"/>
    <w:multiLevelType w:val="hybridMultilevel"/>
    <w:tmpl w:val="EF42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8E1DD4"/>
    <w:multiLevelType w:val="hybridMultilevel"/>
    <w:tmpl w:val="F49E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E933082"/>
    <w:multiLevelType w:val="hybridMultilevel"/>
    <w:tmpl w:val="30B29C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EBC3E1E"/>
    <w:multiLevelType w:val="hybridMultilevel"/>
    <w:tmpl w:val="05E68A6C"/>
    <w:lvl w:ilvl="0" w:tplc="7B747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8"/>
  </w:num>
  <w:num w:numId="4">
    <w:abstractNumId w:val="24"/>
  </w:num>
  <w:num w:numId="5">
    <w:abstractNumId w:val="7"/>
  </w:num>
  <w:num w:numId="6">
    <w:abstractNumId w:val="21"/>
  </w:num>
  <w:num w:numId="7">
    <w:abstractNumId w:val="24"/>
  </w:num>
  <w:num w:numId="8">
    <w:abstractNumId w:val="5"/>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9"/>
  </w:num>
  <w:num w:numId="13">
    <w:abstractNumId w:val="11"/>
  </w:num>
  <w:num w:numId="14">
    <w:abstractNumId w:val="15"/>
  </w:num>
  <w:num w:numId="15">
    <w:abstractNumId w:val="25"/>
  </w:num>
  <w:num w:numId="16">
    <w:abstractNumId w:val="4"/>
  </w:num>
  <w:num w:numId="17">
    <w:abstractNumId w:val="33"/>
  </w:num>
  <w:num w:numId="18">
    <w:abstractNumId w:val="19"/>
  </w:num>
  <w:num w:numId="19">
    <w:abstractNumId w:val="22"/>
  </w:num>
  <w:num w:numId="20">
    <w:abstractNumId w:val="23"/>
  </w:num>
  <w:num w:numId="21">
    <w:abstractNumId w:val="1"/>
  </w:num>
  <w:num w:numId="22">
    <w:abstractNumId w:val="8"/>
  </w:num>
  <w:num w:numId="23">
    <w:abstractNumId w:val="30"/>
  </w:num>
  <w:num w:numId="24">
    <w:abstractNumId w:val="26"/>
  </w:num>
  <w:num w:numId="25">
    <w:abstractNumId w:val="34"/>
  </w:num>
  <w:num w:numId="26">
    <w:abstractNumId w:val="6"/>
  </w:num>
  <w:num w:numId="27">
    <w:abstractNumId w:val="35"/>
  </w:num>
  <w:num w:numId="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8"/>
  </w:num>
  <w:num w:numId="31">
    <w:abstractNumId w:val="3"/>
  </w:num>
  <w:num w:numId="32">
    <w:abstractNumId w:val="14"/>
  </w:num>
  <w:num w:numId="33">
    <w:abstractNumId w:val="13"/>
  </w:num>
  <w:num w:numId="34">
    <w:abstractNumId w:val="31"/>
  </w:num>
  <w:num w:numId="35">
    <w:abstractNumId w:val="27"/>
  </w:num>
  <w:num w:numId="36">
    <w:abstractNumId w:val="32"/>
  </w:num>
  <w:num w:numId="37">
    <w:abstractNumId w:val="2"/>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982"/>
    <w:rsid w:val="000009E7"/>
    <w:rsid w:val="00001939"/>
    <w:rsid w:val="00001AC8"/>
    <w:rsid w:val="0000222A"/>
    <w:rsid w:val="00005E6A"/>
    <w:rsid w:val="00006F9A"/>
    <w:rsid w:val="00011A14"/>
    <w:rsid w:val="00011DB4"/>
    <w:rsid w:val="00013333"/>
    <w:rsid w:val="000133DE"/>
    <w:rsid w:val="00014E31"/>
    <w:rsid w:val="000151C1"/>
    <w:rsid w:val="00015986"/>
    <w:rsid w:val="0001614F"/>
    <w:rsid w:val="00017219"/>
    <w:rsid w:val="00020B0F"/>
    <w:rsid w:val="00020D84"/>
    <w:rsid w:val="00022B42"/>
    <w:rsid w:val="00022DA6"/>
    <w:rsid w:val="000246A2"/>
    <w:rsid w:val="00024ACC"/>
    <w:rsid w:val="000252D5"/>
    <w:rsid w:val="00026354"/>
    <w:rsid w:val="0002702B"/>
    <w:rsid w:val="0002730F"/>
    <w:rsid w:val="000278E7"/>
    <w:rsid w:val="00030078"/>
    <w:rsid w:val="0003093E"/>
    <w:rsid w:val="00035615"/>
    <w:rsid w:val="0003598D"/>
    <w:rsid w:val="000404FA"/>
    <w:rsid w:val="00041582"/>
    <w:rsid w:val="000418E0"/>
    <w:rsid w:val="0004200F"/>
    <w:rsid w:val="00043311"/>
    <w:rsid w:val="00043611"/>
    <w:rsid w:val="00047EA9"/>
    <w:rsid w:val="00047F92"/>
    <w:rsid w:val="000508A9"/>
    <w:rsid w:val="00050D01"/>
    <w:rsid w:val="0005140B"/>
    <w:rsid w:val="00053DBA"/>
    <w:rsid w:val="000604B2"/>
    <w:rsid w:val="00061C4F"/>
    <w:rsid w:val="00062429"/>
    <w:rsid w:val="00064882"/>
    <w:rsid w:val="00065F82"/>
    <w:rsid w:val="00066E28"/>
    <w:rsid w:val="000701FC"/>
    <w:rsid w:val="00071439"/>
    <w:rsid w:val="00071AD0"/>
    <w:rsid w:val="00072AAE"/>
    <w:rsid w:val="00072E0C"/>
    <w:rsid w:val="00074C4D"/>
    <w:rsid w:val="00074E8E"/>
    <w:rsid w:val="0007522A"/>
    <w:rsid w:val="000771AD"/>
    <w:rsid w:val="00077418"/>
    <w:rsid w:val="00077B36"/>
    <w:rsid w:val="00080D3E"/>
    <w:rsid w:val="00081373"/>
    <w:rsid w:val="0008210C"/>
    <w:rsid w:val="000837E3"/>
    <w:rsid w:val="00084DFF"/>
    <w:rsid w:val="00086128"/>
    <w:rsid w:val="00087224"/>
    <w:rsid w:val="00087F0E"/>
    <w:rsid w:val="00092043"/>
    <w:rsid w:val="00092984"/>
    <w:rsid w:val="00092B98"/>
    <w:rsid w:val="00094596"/>
    <w:rsid w:val="00096964"/>
    <w:rsid w:val="00097009"/>
    <w:rsid w:val="00097744"/>
    <w:rsid w:val="000A084A"/>
    <w:rsid w:val="000A0C76"/>
    <w:rsid w:val="000A160C"/>
    <w:rsid w:val="000A3850"/>
    <w:rsid w:val="000A46E1"/>
    <w:rsid w:val="000A54AD"/>
    <w:rsid w:val="000B180F"/>
    <w:rsid w:val="000B227C"/>
    <w:rsid w:val="000B3E4C"/>
    <w:rsid w:val="000B48EF"/>
    <w:rsid w:val="000B7584"/>
    <w:rsid w:val="000B79C4"/>
    <w:rsid w:val="000C04D2"/>
    <w:rsid w:val="000C0905"/>
    <w:rsid w:val="000C1597"/>
    <w:rsid w:val="000C3787"/>
    <w:rsid w:val="000C5691"/>
    <w:rsid w:val="000C575A"/>
    <w:rsid w:val="000C7629"/>
    <w:rsid w:val="000D16DA"/>
    <w:rsid w:val="000D1B88"/>
    <w:rsid w:val="000D23A2"/>
    <w:rsid w:val="000D3674"/>
    <w:rsid w:val="000D44C7"/>
    <w:rsid w:val="000D7410"/>
    <w:rsid w:val="000D75E1"/>
    <w:rsid w:val="000E175E"/>
    <w:rsid w:val="000E2398"/>
    <w:rsid w:val="000E4064"/>
    <w:rsid w:val="000E4386"/>
    <w:rsid w:val="000E47BA"/>
    <w:rsid w:val="000E4A73"/>
    <w:rsid w:val="000E50AE"/>
    <w:rsid w:val="000E6AAE"/>
    <w:rsid w:val="000E770F"/>
    <w:rsid w:val="000F2431"/>
    <w:rsid w:val="000F3336"/>
    <w:rsid w:val="000F4F07"/>
    <w:rsid w:val="000F64C3"/>
    <w:rsid w:val="000F723C"/>
    <w:rsid w:val="001007B5"/>
    <w:rsid w:val="00101CC7"/>
    <w:rsid w:val="00102952"/>
    <w:rsid w:val="00102F89"/>
    <w:rsid w:val="00104B2A"/>
    <w:rsid w:val="00105754"/>
    <w:rsid w:val="00105ED4"/>
    <w:rsid w:val="00106417"/>
    <w:rsid w:val="001075A0"/>
    <w:rsid w:val="001109D0"/>
    <w:rsid w:val="00111731"/>
    <w:rsid w:val="00113F8D"/>
    <w:rsid w:val="001158BB"/>
    <w:rsid w:val="001165AC"/>
    <w:rsid w:val="00120248"/>
    <w:rsid w:val="001215FB"/>
    <w:rsid w:val="00122042"/>
    <w:rsid w:val="00122800"/>
    <w:rsid w:val="001241A8"/>
    <w:rsid w:val="00125DA4"/>
    <w:rsid w:val="00125F05"/>
    <w:rsid w:val="0012612D"/>
    <w:rsid w:val="00126CEE"/>
    <w:rsid w:val="00130C74"/>
    <w:rsid w:val="0013137D"/>
    <w:rsid w:val="00131D64"/>
    <w:rsid w:val="001327D8"/>
    <w:rsid w:val="0013313F"/>
    <w:rsid w:val="00133282"/>
    <w:rsid w:val="001359E7"/>
    <w:rsid w:val="0013640F"/>
    <w:rsid w:val="00136B33"/>
    <w:rsid w:val="001400FA"/>
    <w:rsid w:val="001413D4"/>
    <w:rsid w:val="00141AC6"/>
    <w:rsid w:val="00145FAF"/>
    <w:rsid w:val="00146916"/>
    <w:rsid w:val="00146CD6"/>
    <w:rsid w:val="0014788A"/>
    <w:rsid w:val="0015049C"/>
    <w:rsid w:val="001505C3"/>
    <w:rsid w:val="001518EE"/>
    <w:rsid w:val="001546F7"/>
    <w:rsid w:val="00154CAE"/>
    <w:rsid w:val="00154DFE"/>
    <w:rsid w:val="001553FA"/>
    <w:rsid w:val="0015577E"/>
    <w:rsid w:val="0015612A"/>
    <w:rsid w:val="001569EE"/>
    <w:rsid w:val="00157610"/>
    <w:rsid w:val="001613ED"/>
    <w:rsid w:val="00163575"/>
    <w:rsid w:val="001647FF"/>
    <w:rsid w:val="00165F89"/>
    <w:rsid w:val="00166603"/>
    <w:rsid w:val="00170022"/>
    <w:rsid w:val="00171D8A"/>
    <w:rsid w:val="00172460"/>
    <w:rsid w:val="00173A86"/>
    <w:rsid w:val="00173D4C"/>
    <w:rsid w:val="00176039"/>
    <w:rsid w:val="0017627C"/>
    <w:rsid w:val="001765D3"/>
    <w:rsid w:val="00176D9A"/>
    <w:rsid w:val="001775BA"/>
    <w:rsid w:val="001776EB"/>
    <w:rsid w:val="00180BDA"/>
    <w:rsid w:val="001810D5"/>
    <w:rsid w:val="00181EA4"/>
    <w:rsid w:val="00182163"/>
    <w:rsid w:val="00185541"/>
    <w:rsid w:val="00186A50"/>
    <w:rsid w:val="0018790B"/>
    <w:rsid w:val="00187935"/>
    <w:rsid w:val="0019234B"/>
    <w:rsid w:val="001927DC"/>
    <w:rsid w:val="0019307B"/>
    <w:rsid w:val="0019437F"/>
    <w:rsid w:val="0019718E"/>
    <w:rsid w:val="0019772C"/>
    <w:rsid w:val="001A1B68"/>
    <w:rsid w:val="001A57D9"/>
    <w:rsid w:val="001A64A8"/>
    <w:rsid w:val="001A6EA9"/>
    <w:rsid w:val="001B05E2"/>
    <w:rsid w:val="001C0B1D"/>
    <w:rsid w:val="001C0F50"/>
    <w:rsid w:val="001C179F"/>
    <w:rsid w:val="001C28D3"/>
    <w:rsid w:val="001C5536"/>
    <w:rsid w:val="001C6A34"/>
    <w:rsid w:val="001C6E16"/>
    <w:rsid w:val="001D1717"/>
    <w:rsid w:val="001D3AFE"/>
    <w:rsid w:val="001D55BB"/>
    <w:rsid w:val="001E04B8"/>
    <w:rsid w:val="001E13B7"/>
    <w:rsid w:val="001E168A"/>
    <w:rsid w:val="001E232B"/>
    <w:rsid w:val="001E2EFA"/>
    <w:rsid w:val="001E43FB"/>
    <w:rsid w:val="001E4FEA"/>
    <w:rsid w:val="001E6C3C"/>
    <w:rsid w:val="001E7C45"/>
    <w:rsid w:val="001F1BCA"/>
    <w:rsid w:val="001F42EB"/>
    <w:rsid w:val="001F5297"/>
    <w:rsid w:val="001F6651"/>
    <w:rsid w:val="001F67FD"/>
    <w:rsid w:val="00200111"/>
    <w:rsid w:val="00201497"/>
    <w:rsid w:val="00201F04"/>
    <w:rsid w:val="00202258"/>
    <w:rsid w:val="0020239B"/>
    <w:rsid w:val="002023A6"/>
    <w:rsid w:val="00204DCE"/>
    <w:rsid w:val="002063F5"/>
    <w:rsid w:val="00206EF9"/>
    <w:rsid w:val="002071CE"/>
    <w:rsid w:val="0020791D"/>
    <w:rsid w:val="00210631"/>
    <w:rsid w:val="00210C17"/>
    <w:rsid w:val="00211F28"/>
    <w:rsid w:val="00214CBC"/>
    <w:rsid w:val="0021634E"/>
    <w:rsid w:val="00216617"/>
    <w:rsid w:val="00217AEF"/>
    <w:rsid w:val="002201DA"/>
    <w:rsid w:val="00220C07"/>
    <w:rsid w:val="002216BB"/>
    <w:rsid w:val="00223FC1"/>
    <w:rsid w:val="00224C02"/>
    <w:rsid w:val="002262FC"/>
    <w:rsid w:val="002264CC"/>
    <w:rsid w:val="00226B1E"/>
    <w:rsid w:val="00227817"/>
    <w:rsid w:val="002312F5"/>
    <w:rsid w:val="002339C2"/>
    <w:rsid w:val="0024331D"/>
    <w:rsid w:val="00243447"/>
    <w:rsid w:val="00243B59"/>
    <w:rsid w:val="00244BD1"/>
    <w:rsid w:val="00244D54"/>
    <w:rsid w:val="0024538A"/>
    <w:rsid w:val="00247CA3"/>
    <w:rsid w:val="00250155"/>
    <w:rsid w:val="00251452"/>
    <w:rsid w:val="00254338"/>
    <w:rsid w:val="00254D73"/>
    <w:rsid w:val="00260DF1"/>
    <w:rsid w:val="002617A5"/>
    <w:rsid w:val="00261C19"/>
    <w:rsid w:val="00264039"/>
    <w:rsid w:val="00264B5E"/>
    <w:rsid w:val="00264DE4"/>
    <w:rsid w:val="0026569F"/>
    <w:rsid w:val="00267604"/>
    <w:rsid w:val="00272330"/>
    <w:rsid w:val="00273536"/>
    <w:rsid w:val="002745BC"/>
    <w:rsid w:val="002755FA"/>
    <w:rsid w:val="00275AF1"/>
    <w:rsid w:val="00275B3F"/>
    <w:rsid w:val="0027601D"/>
    <w:rsid w:val="002763A4"/>
    <w:rsid w:val="002779BA"/>
    <w:rsid w:val="0028068B"/>
    <w:rsid w:val="00282ED2"/>
    <w:rsid w:val="00283524"/>
    <w:rsid w:val="00283CF5"/>
    <w:rsid w:val="002852C3"/>
    <w:rsid w:val="00286783"/>
    <w:rsid w:val="00287537"/>
    <w:rsid w:val="0028759F"/>
    <w:rsid w:val="00290952"/>
    <w:rsid w:val="00290F55"/>
    <w:rsid w:val="002915AC"/>
    <w:rsid w:val="00295983"/>
    <w:rsid w:val="0029711B"/>
    <w:rsid w:val="00297F26"/>
    <w:rsid w:val="002A05C3"/>
    <w:rsid w:val="002A13A9"/>
    <w:rsid w:val="002A2806"/>
    <w:rsid w:val="002A38AD"/>
    <w:rsid w:val="002A48BB"/>
    <w:rsid w:val="002A492E"/>
    <w:rsid w:val="002A4F51"/>
    <w:rsid w:val="002A58CE"/>
    <w:rsid w:val="002A6993"/>
    <w:rsid w:val="002A7BD6"/>
    <w:rsid w:val="002B0FBA"/>
    <w:rsid w:val="002B18F9"/>
    <w:rsid w:val="002B200A"/>
    <w:rsid w:val="002B22A1"/>
    <w:rsid w:val="002B2D13"/>
    <w:rsid w:val="002B31B0"/>
    <w:rsid w:val="002B33E0"/>
    <w:rsid w:val="002B3707"/>
    <w:rsid w:val="002B3DF4"/>
    <w:rsid w:val="002B3F5A"/>
    <w:rsid w:val="002B64A9"/>
    <w:rsid w:val="002B68D1"/>
    <w:rsid w:val="002B6B63"/>
    <w:rsid w:val="002B719F"/>
    <w:rsid w:val="002B7648"/>
    <w:rsid w:val="002B788E"/>
    <w:rsid w:val="002B79A5"/>
    <w:rsid w:val="002C3B7C"/>
    <w:rsid w:val="002C7730"/>
    <w:rsid w:val="002D06C7"/>
    <w:rsid w:val="002D0B72"/>
    <w:rsid w:val="002D11C4"/>
    <w:rsid w:val="002D1418"/>
    <w:rsid w:val="002D1CE7"/>
    <w:rsid w:val="002D3225"/>
    <w:rsid w:val="002D3E76"/>
    <w:rsid w:val="002D5C05"/>
    <w:rsid w:val="002D5CB2"/>
    <w:rsid w:val="002D63FF"/>
    <w:rsid w:val="002D680C"/>
    <w:rsid w:val="002D6C3F"/>
    <w:rsid w:val="002D75C1"/>
    <w:rsid w:val="002E0936"/>
    <w:rsid w:val="002E0C4D"/>
    <w:rsid w:val="002E223F"/>
    <w:rsid w:val="002E41BF"/>
    <w:rsid w:val="002E54C9"/>
    <w:rsid w:val="002E5AA8"/>
    <w:rsid w:val="002F1C90"/>
    <w:rsid w:val="002F2332"/>
    <w:rsid w:val="002F32C8"/>
    <w:rsid w:val="002F7149"/>
    <w:rsid w:val="0030132B"/>
    <w:rsid w:val="00301936"/>
    <w:rsid w:val="00303365"/>
    <w:rsid w:val="0030364C"/>
    <w:rsid w:val="00304637"/>
    <w:rsid w:val="00305673"/>
    <w:rsid w:val="00306574"/>
    <w:rsid w:val="003073A8"/>
    <w:rsid w:val="00307B84"/>
    <w:rsid w:val="00310273"/>
    <w:rsid w:val="00310CFF"/>
    <w:rsid w:val="00312316"/>
    <w:rsid w:val="00312CF1"/>
    <w:rsid w:val="003130CF"/>
    <w:rsid w:val="00313213"/>
    <w:rsid w:val="00314547"/>
    <w:rsid w:val="00314725"/>
    <w:rsid w:val="003153C8"/>
    <w:rsid w:val="00315492"/>
    <w:rsid w:val="00317DFE"/>
    <w:rsid w:val="00323C22"/>
    <w:rsid w:val="00323FAA"/>
    <w:rsid w:val="00325298"/>
    <w:rsid w:val="0032688D"/>
    <w:rsid w:val="00326CBD"/>
    <w:rsid w:val="00327A05"/>
    <w:rsid w:val="00330477"/>
    <w:rsid w:val="00331686"/>
    <w:rsid w:val="00331C85"/>
    <w:rsid w:val="00331DB3"/>
    <w:rsid w:val="00332F65"/>
    <w:rsid w:val="00335DCB"/>
    <w:rsid w:val="00336AEB"/>
    <w:rsid w:val="00337A05"/>
    <w:rsid w:val="00340063"/>
    <w:rsid w:val="003405AC"/>
    <w:rsid w:val="00341A83"/>
    <w:rsid w:val="0034259B"/>
    <w:rsid w:val="00342F99"/>
    <w:rsid w:val="0034318C"/>
    <w:rsid w:val="00343F7F"/>
    <w:rsid w:val="0034527C"/>
    <w:rsid w:val="00345506"/>
    <w:rsid w:val="003456C6"/>
    <w:rsid w:val="00346ABF"/>
    <w:rsid w:val="003477D3"/>
    <w:rsid w:val="00350348"/>
    <w:rsid w:val="00350FFB"/>
    <w:rsid w:val="00351059"/>
    <w:rsid w:val="0035275F"/>
    <w:rsid w:val="00355038"/>
    <w:rsid w:val="003551C3"/>
    <w:rsid w:val="0035645E"/>
    <w:rsid w:val="00356C15"/>
    <w:rsid w:val="00356CBB"/>
    <w:rsid w:val="0035745B"/>
    <w:rsid w:val="00360278"/>
    <w:rsid w:val="0036033B"/>
    <w:rsid w:val="00360E91"/>
    <w:rsid w:val="0036126B"/>
    <w:rsid w:val="003620DC"/>
    <w:rsid w:val="00363776"/>
    <w:rsid w:val="0036430E"/>
    <w:rsid w:val="0036462A"/>
    <w:rsid w:val="0036620D"/>
    <w:rsid w:val="00366CBA"/>
    <w:rsid w:val="00370516"/>
    <w:rsid w:val="0037089E"/>
    <w:rsid w:val="00372F28"/>
    <w:rsid w:val="00373C9A"/>
    <w:rsid w:val="00374A0E"/>
    <w:rsid w:val="003757ED"/>
    <w:rsid w:val="00380253"/>
    <w:rsid w:val="0038259B"/>
    <w:rsid w:val="00382C94"/>
    <w:rsid w:val="003830EA"/>
    <w:rsid w:val="003838E9"/>
    <w:rsid w:val="00384C7C"/>
    <w:rsid w:val="00387398"/>
    <w:rsid w:val="0039019E"/>
    <w:rsid w:val="00390D87"/>
    <w:rsid w:val="00391107"/>
    <w:rsid w:val="00392A4B"/>
    <w:rsid w:val="003949EC"/>
    <w:rsid w:val="00396A4B"/>
    <w:rsid w:val="003972B7"/>
    <w:rsid w:val="00397353"/>
    <w:rsid w:val="003A0760"/>
    <w:rsid w:val="003A07AD"/>
    <w:rsid w:val="003A0F74"/>
    <w:rsid w:val="003A107A"/>
    <w:rsid w:val="003A1296"/>
    <w:rsid w:val="003A3464"/>
    <w:rsid w:val="003A384E"/>
    <w:rsid w:val="003A38DA"/>
    <w:rsid w:val="003A3AA9"/>
    <w:rsid w:val="003A3E99"/>
    <w:rsid w:val="003A4D15"/>
    <w:rsid w:val="003A4FC6"/>
    <w:rsid w:val="003A692D"/>
    <w:rsid w:val="003A6D5C"/>
    <w:rsid w:val="003B11F5"/>
    <w:rsid w:val="003B27FD"/>
    <w:rsid w:val="003B2FEB"/>
    <w:rsid w:val="003B5E64"/>
    <w:rsid w:val="003C0C1F"/>
    <w:rsid w:val="003C0D0D"/>
    <w:rsid w:val="003C0E8F"/>
    <w:rsid w:val="003C1866"/>
    <w:rsid w:val="003C1A72"/>
    <w:rsid w:val="003C2218"/>
    <w:rsid w:val="003C3307"/>
    <w:rsid w:val="003C3C8E"/>
    <w:rsid w:val="003C4A8D"/>
    <w:rsid w:val="003C4B26"/>
    <w:rsid w:val="003C5003"/>
    <w:rsid w:val="003C5757"/>
    <w:rsid w:val="003C6271"/>
    <w:rsid w:val="003D085C"/>
    <w:rsid w:val="003D0B4B"/>
    <w:rsid w:val="003D1A19"/>
    <w:rsid w:val="003D1B93"/>
    <w:rsid w:val="003D2267"/>
    <w:rsid w:val="003D2BEF"/>
    <w:rsid w:val="003D3211"/>
    <w:rsid w:val="003D3CF7"/>
    <w:rsid w:val="003D7DB6"/>
    <w:rsid w:val="003E1B89"/>
    <w:rsid w:val="003E1FA5"/>
    <w:rsid w:val="003E246E"/>
    <w:rsid w:val="003E2FB6"/>
    <w:rsid w:val="003E3475"/>
    <w:rsid w:val="003E49D6"/>
    <w:rsid w:val="003E534A"/>
    <w:rsid w:val="003E5392"/>
    <w:rsid w:val="003E554F"/>
    <w:rsid w:val="003F24C0"/>
    <w:rsid w:val="003F255A"/>
    <w:rsid w:val="003F3270"/>
    <w:rsid w:val="003F396E"/>
    <w:rsid w:val="003F69CE"/>
    <w:rsid w:val="003F69E4"/>
    <w:rsid w:val="003F786C"/>
    <w:rsid w:val="003F7D32"/>
    <w:rsid w:val="00400801"/>
    <w:rsid w:val="00400D4B"/>
    <w:rsid w:val="004038B4"/>
    <w:rsid w:val="00406BF8"/>
    <w:rsid w:val="00412D9E"/>
    <w:rsid w:val="00412E0D"/>
    <w:rsid w:val="00415C48"/>
    <w:rsid w:val="00422232"/>
    <w:rsid w:val="0042304F"/>
    <w:rsid w:val="00423D4A"/>
    <w:rsid w:val="0042639C"/>
    <w:rsid w:val="004263C6"/>
    <w:rsid w:val="004273F2"/>
    <w:rsid w:val="004301B7"/>
    <w:rsid w:val="00431D39"/>
    <w:rsid w:val="00433BA0"/>
    <w:rsid w:val="00434FFE"/>
    <w:rsid w:val="00435B51"/>
    <w:rsid w:val="00435C0D"/>
    <w:rsid w:val="004366EF"/>
    <w:rsid w:val="00436780"/>
    <w:rsid w:val="00436F04"/>
    <w:rsid w:val="00437C41"/>
    <w:rsid w:val="00440A4E"/>
    <w:rsid w:val="004413C9"/>
    <w:rsid w:val="00441887"/>
    <w:rsid w:val="00441A94"/>
    <w:rsid w:val="004429FE"/>
    <w:rsid w:val="00442D92"/>
    <w:rsid w:val="004443D8"/>
    <w:rsid w:val="0044498C"/>
    <w:rsid w:val="004451AD"/>
    <w:rsid w:val="004475AF"/>
    <w:rsid w:val="00447E03"/>
    <w:rsid w:val="00452522"/>
    <w:rsid w:val="00453C12"/>
    <w:rsid w:val="004545AE"/>
    <w:rsid w:val="00454B08"/>
    <w:rsid w:val="004608E7"/>
    <w:rsid w:val="00460DCF"/>
    <w:rsid w:val="00461ECF"/>
    <w:rsid w:val="00462F90"/>
    <w:rsid w:val="0047293D"/>
    <w:rsid w:val="004729F2"/>
    <w:rsid w:val="00473A10"/>
    <w:rsid w:val="00474106"/>
    <w:rsid w:val="00474C13"/>
    <w:rsid w:val="00475653"/>
    <w:rsid w:val="00476AAB"/>
    <w:rsid w:val="00480FD2"/>
    <w:rsid w:val="00481353"/>
    <w:rsid w:val="00481E4E"/>
    <w:rsid w:val="004827EE"/>
    <w:rsid w:val="00482980"/>
    <w:rsid w:val="004833EB"/>
    <w:rsid w:val="00483A98"/>
    <w:rsid w:val="00486C35"/>
    <w:rsid w:val="00486C89"/>
    <w:rsid w:val="00487977"/>
    <w:rsid w:val="00487D54"/>
    <w:rsid w:val="00490334"/>
    <w:rsid w:val="00490E2E"/>
    <w:rsid w:val="00490E85"/>
    <w:rsid w:val="00492672"/>
    <w:rsid w:val="004937CA"/>
    <w:rsid w:val="004938A5"/>
    <w:rsid w:val="004952A6"/>
    <w:rsid w:val="00495388"/>
    <w:rsid w:val="0049751F"/>
    <w:rsid w:val="004A0CEE"/>
    <w:rsid w:val="004A104F"/>
    <w:rsid w:val="004A34DF"/>
    <w:rsid w:val="004A362F"/>
    <w:rsid w:val="004A39D2"/>
    <w:rsid w:val="004A54B9"/>
    <w:rsid w:val="004A643A"/>
    <w:rsid w:val="004A6979"/>
    <w:rsid w:val="004B276A"/>
    <w:rsid w:val="004B38B6"/>
    <w:rsid w:val="004B5D30"/>
    <w:rsid w:val="004B5DA9"/>
    <w:rsid w:val="004B6AF6"/>
    <w:rsid w:val="004C13AE"/>
    <w:rsid w:val="004C1BBA"/>
    <w:rsid w:val="004C2557"/>
    <w:rsid w:val="004C333F"/>
    <w:rsid w:val="004C6869"/>
    <w:rsid w:val="004C7776"/>
    <w:rsid w:val="004D0DB4"/>
    <w:rsid w:val="004D187F"/>
    <w:rsid w:val="004D1D3F"/>
    <w:rsid w:val="004D21A3"/>
    <w:rsid w:val="004D2B56"/>
    <w:rsid w:val="004D34AC"/>
    <w:rsid w:val="004D3EC0"/>
    <w:rsid w:val="004D7534"/>
    <w:rsid w:val="004D7628"/>
    <w:rsid w:val="004E019C"/>
    <w:rsid w:val="004E0FB0"/>
    <w:rsid w:val="004E10B6"/>
    <w:rsid w:val="004E126F"/>
    <w:rsid w:val="004E1C21"/>
    <w:rsid w:val="004E2DF4"/>
    <w:rsid w:val="004E3984"/>
    <w:rsid w:val="004E39C4"/>
    <w:rsid w:val="004E3A8C"/>
    <w:rsid w:val="004E6E08"/>
    <w:rsid w:val="004E70CA"/>
    <w:rsid w:val="004E7380"/>
    <w:rsid w:val="004F01EA"/>
    <w:rsid w:val="004F0714"/>
    <w:rsid w:val="004F1216"/>
    <w:rsid w:val="004F4A52"/>
    <w:rsid w:val="004F4CA6"/>
    <w:rsid w:val="004F5901"/>
    <w:rsid w:val="004F74B9"/>
    <w:rsid w:val="00500E6C"/>
    <w:rsid w:val="0050309D"/>
    <w:rsid w:val="00503815"/>
    <w:rsid w:val="00504224"/>
    <w:rsid w:val="005056E1"/>
    <w:rsid w:val="0050596F"/>
    <w:rsid w:val="00506081"/>
    <w:rsid w:val="00511A06"/>
    <w:rsid w:val="0051269E"/>
    <w:rsid w:val="00512B71"/>
    <w:rsid w:val="00513881"/>
    <w:rsid w:val="00514058"/>
    <w:rsid w:val="00514865"/>
    <w:rsid w:val="00514C81"/>
    <w:rsid w:val="0052015F"/>
    <w:rsid w:val="0052066D"/>
    <w:rsid w:val="00520CD4"/>
    <w:rsid w:val="00523222"/>
    <w:rsid w:val="00523914"/>
    <w:rsid w:val="00523F59"/>
    <w:rsid w:val="005266ED"/>
    <w:rsid w:val="005275FF"/>
    <w:rsid w:val="00530AC9"/>
    <w:rsid w:val="00532628"/>
    <w:rsid w:val="00532CC7"/>
    <w:rsid w:val="00533835"/>
    <w:rsid w:val="005356E8"/>
    <w:rsid w:val="005359CA"/>
    <w:rsid w:val="00536E0E"/>
    <w:rsid w:val="00537862"/>
    <w:rsid w:val="00537D84"/>
    <w:rsid w:val="00540DEA"/>
    <w:rsid w:val="005419C7"/>
    <w:rsid w:val="00544A9C"/>
    <w:rsid w:val="005455AE"/>
    <w:rsid w:val="00545EE0"/>
    <w:rsid w:val="00547A6D"/>
    <w:rsid w:val="00550D48"/>
    <w:rsid w:val="005516EF"/>
    <w:rsid w:val="00552F90"/>
    <w:rsid w:val="00554672"/>
    <w:rsid w:val="00555500"/>
    <w:rsid w:val="00555ACA"/>
    <w:rsid w:val="00556F99"/>
    <w:rsid w:val="005600D7"/>
    <w:rsid w:val="00560A51"/>
    <w:rsid w:val="00560E0B"/>
    <w:rsid w:val="0056390A"/>
    <w:rsid w:val="005653B8"/>
    <w:rsid w:val="00566139"/>
    <w:rsid w:val="00566850"/>
    <w:rsid w:val="00566AA6"/>
    <w:rsid w:val="005671CA"/>
    <w:rsid w:val="005700A7"/>
    <w:rsid w:val="0057070A"/>
    <w:rsid w:val="00570C77"/>
    <w:rsid w:val="0057234C"/>
    <w:rsid w:val="0057350F"/>
    <w:rsid w:val="005767E8"/>
    <w:rsid w:val="00576DFA"/>
    <w:rsid w:val="00581C9B"/>
    <w:rsid w:val="00583F0B"/>
    <w:rsid w:val="0058435B"/>
    <w:rsid w:val="00586188"/>
    <w:rsid w:val="005862D3"/>
    <w:rsid w:val="0059001D"/>
    <w:rsid w:val="005908B1"/>
    <w:rsid w:val="00590A30"/>
    <w:rsid w:val="005931F3"/>
    <w:rsid w:val="00593638"/>
    <w:rsid w:val="00593A5F"/>
    <w:rsid w:val="005942C9"/>
    <w:rsid w:val="005942EF"/>
    <w:rsid w:val="00594C52"/>
    <w:rsid w:val="005953D8"/>
    <w:rsid w:val="00596F1B"/>
    <w:rsid w:val="005A10E4"/>
    <w:rsid w:val="005A2D87"/>
    <w:rsid w:val="005A3151"/>
    <w:rsid w:val="005A3F27"/>
    <w:rsid w:val="005A50F6"/>
    <w:rsid w:val="005A5B0F"/>
    <w:rsid w:val="005A656B"/>
    <w:rsid w:val="005A69C8"/>
    <w:rsid w:val="005A7264"/>
    <w:rsid w:val="005A72A8"/>
    <w:rsid w:val="005B0411"/>
    <w:rsid w:val="005B0B76"/>
    <w:rsid w:val="005B0BC0"/>
    <w:rsid w:val="005B2C23"/>
    <w:rsid w:val="005B3F1E"/>
    <w:rsid w:val="005B4364"/>
    <w:rsid w:val="005B6B96"/>
    <w:rsid w:val="005B71C8"/>
    <w:rsid w:val="005B7B4B"/>
    <w:rsid w:val="005C04B0"/>
    <w:rsid w:val="005C1F3D"/>
    <w:rsid w:val="005C2A4E"/>
    <w:rsid w:val="005C2A70"/>
    <w:rsid w:val="005C39EC"/>
    <w:rsid w:val="005C4026"/>
    <w:rsid w:val="005C5F08"/>
    <w:rsid w:val="005C6607"/>
    <w:rsid w:val="005C69A6"/>
    <w:rsid w:val="005C7335"/>
    <w:rsid w:val="005D0F44"/>
    <w:rsid w:val="005D1CD1"/>
    <w:rsid w:val="005D2982"/>
    <w:rsid w:val="005D2E18"/>
    <w:rsid w:val="005D2F28"/>
    <w:rsid w:val="005D32F8"/>
    <w:rsid w:val="005D557C"/>
    <w:rsid w:val="005D6021"/>
    <w:rsid w:val="005E046B"/>
    <w:rsid w:val="005E0F86"/>
    <w:rsid w:val="005E1159"/>
    <w:rsid w:val="005E39A5"/>
    <w:rsid w:val="005E3E2C"/>
    <w:rsid w:val="005E408C"/>
    <w:rsid w:val="005E4624"/>
    <w:rsid w:val="005E4705"/>
    <w:rsid w:val="005E6E4F"/>
    <w:rsid w:val="005E7071"/>
    <w:rsid w:val="005F0E29"/>
    <w:rsid w:val="005F0FB9"/>
    <w:rsid w:val="005F1DF6"/>
    <w:rsid w:val="005F40E4"/>
    <w:rsid w:val="005F4403"/>
    <w:rsid w:val="005F4BF6"/>
    <w:rsid w:val="005F5411"/>
    <w:rsid w:val="005F69F2"/>
    <w:rsid w:val="005F7D23"/>
    <w:rsid w:val="005F7DEF"/>
    <w:rsid w:val="00601358"/>
    <w:rsid w:val="0060240D"/>
    <w:rsid w:val="00602757"/>
    <w:rsid w:val="00603079"/>
    <w:rsid w:val="0060655E"/>
    <w:rsid w:val="00607CDF"/>
    <w:rsid w:val="00610787"/>
    <w:rsid w:val="00610E8C"/>
    <w:rsid w:val="00611B2F"/>
    <w:rsid w:val="006120F3"/>
    <w:rsid w:val="00612E93"/>
    <w:rsid w:val="00617C39"/>
    <w:rsid w:val="00620599"/>
    <w:rsid w:val="00621A36"/>
    <w:rsid w:val="00622EE9"/>
    <w:rsid w:val="00623DC6"/>
    <w:rsid w:val="0062474A"/>
    <w:rsid w:val="00624DC4"/>
    <w:rsid w:val="006260F6"/>
    <w:rsid w:val="006266BE"/>
    <w:rsid w:val="00631464"/>
    <w:rsid w:val="00632B8B"/>
    <w:rsid w:val="00634999"/>
    <w:rsid w:val="00635547"/>
    <w:rsid w:val="00635B9C"/>
    <w:rsid w:val="00636E94"/>
    <w:rsid w:val="0063787A"/>
    <w:rsid w:val="00637D29"/>
    <w:rsid w:val="006421B6"/>
    <w:rsid w:val="00643C81"/>
    <w:rsid w:val="00645E98"/>
    <w:rsid w:val="0064624C"/>
    <w:rsid w:val="006512C5"/>
    <w:rsid w:val="006534C3"/>
    <w:rsid w:val="0065525C"/>
    <w:rsid w:val="00655924"/>
    <w:rsid w:val="00655CE2"/>
    <w:rsid w:val="00656776"/>
    <w:rsid w:val="006603C9"/>
    <w:rsid w:val="0066054A"/>
    <w:rsid w:val="00661436"/>
    <w:rsid w:val="0066361E"/>
    <w:rsid w:val="0066387F"/>
    <w:rsid w:val="00664A46"/>
    <w:rsid w:val="00664B9F"/>
    <w:rsid w:val="00665929"/>
    <w:rsid w:val="00665AD6"/>
    <w:rsid w:val="00671506"/>
    <w:rsid w:val="00671D8D"/>
    <w:rsid w:val="00672552"/>
    <w:rsid w:val="00673D23"/>
    <w:rsid w:val="00673F84"/>
    <w:rsid w:val="00674912"/>
    <w:rsid w:val="006774F1"/>
    <w:rsid w:val="006775CF"/>
    <w:rsid w:val="006775D2"/>
    <w:rsid w:val="006777F6"/>
    <w:rsid w:val="0067799B"/>
    <w:rsid w:val="00677B37"/>
    <w:rsid w:val="00677B5B"/>
    <w:rsid w:val="0068082E"/>
    <w:rsid w:val="00684490"/>
    <w:rsid w:val="006848E6"/>
    <w:rsid w:val="006853DD"/>
    <w:rsid w:val="006854D5"/>
    <w:rsid w:val="00686323"/>
    <w:rsid w:val="006863AB"/>
    <w:rsid w:val="00690B2C"/>
    <w:rsid w:val="00692030"/>
    <w:rsid w:val="00692185"/>
    <w:rsid w:val="00694A54"/>
    <w:rsid w:val="0069539C"/>
    <w:rsid w:val="00695FCA"/>
    <w:rsid w:val="00696D6D"/>
    <w:rsid w:val="006971CA"/>
    <w:rsid w:val="0069792B"/>
    <w:rsid w:val="00697B41"/>
    <w:rsid w:val="00697D17"/>
    <w:rsid w:val="00697E03"/>
    <w:rsid w:val="006A09BE"/>
    <w:rsid w:val="006A2510"/>
    <w:rsid w:val="006A25C2"/>
    <w:rsid w:val="006A2D19"/>
    <w:rsid w:val="006A46ED"/>
    <w:rsid w:val="006A49E1"/>
    <w:rsid w:val="006A5001"/>
    <w:rsid w:val="006A5C96"/>
    <w:rsid w:val="006A7727"/>
    <w:rsid w:val="006B415D"/>
    <w:rsid w:val="006B5B8E"/>
    <w:rsid w:val="006B742B"/>
    <w:rsid w:val="006C1047"/>
    <w:rsid w:val="006C1481"/>
    <w:rsid w:val="006C1BE0"/>
    <w:rsid w:val="006C1C79"/>
    <w:rsid w:val="006C1F50"/>
    <w:rsid w:val="006C3FD3"/>
    <w:rsid w:val="006C67FB"/>
    <w:rsid w:val="006C7128"/>
    <w:rsid w:val="006D06EF"/>
    <w:rsid w:val="006D1BCE"/>
    <w:rsid w:val="006D2BE7"/>
    <w:rsid w:val="006D4F69"/>
    <w:rsid w:val="006E09D7"/>
    <w:rsid w:val="006E10F0"/>
    <w:rsid w:val="006E16EF"/>
    <w:rsid w:val="006E193C"/>
    <w:rsid w:val="006E2B3B"/>
    <w:rsid w:val="006E68DC"/>
    <w:rsid w:val="006F25A5"/>
    <w:rsid w:val="006F389A"/>
    <w:rsid w:val="006F42DA"/>
    <w:rsid w:val="006F44B5"/>
    <w:rsid w:val="006F4D30"/>
    <w:rsid w:val="006F73C0"/>
    <w:rsid w:val="006F7773"/>
    <w:rsid w:val="006F7F53"/>
    <w:rsid w:val="00700068"/>
    <w:rsid w:val="007004E6"/>
    <w:rsid w:val="00700C5D"/>
    <w:rsid w:val="00701D81"/>
    <w:rsid w:val="00701FA7"/>
    <w:rsid w:val="00703061"/>
    <w:rsid w:val="0070307D"/>
    <w:rsid w:val="007054A6"/>
    <w:rsid w:val="00705DA1"/>
    <w:rsid w:val="00706E81"/>
    <w:rsid w:val="00707270"/>
    <w:rsid w:val="00710003"/>
    <w:rsid w:val="00710774"/>
    <w:rsid w:val="007131CD"/>
    <w:rsid w:val="00717669"/>
    <w:rsid w:val="00720748"/>
    <w:rsid w:val="0072186F"/>
    <w:rsid w:val="00722BCE"/>
    <w:rsid w:val="007236F9"/>
    <w:rsid w:val="00724D67"/>
    <w:rsid w:val="00727C9C"/>
    <w:rsid w:val="007322D3"/>
    <w:rsid w:val="0073583C"/>
    <w:rsid w:val="00737C44"/>
    <w:rsid w:val="00740235"/>
    <w:rsid w:val="00741392"/>
    <w:rsid w:val="0074141E"/>
    <w:rsid w:val="00741488"/>
    <w:rsid w:val="007418A9"/>
    <w:rsid w:val="00743DA5"/>
    <w:rsid w:val="00747E3E"/>
    <w:rsid w:val="00747EE5"/>
    <w:rsid w:val="00750419"/>
    <w:rsid w:val="0075258D"/>
    <w:rsid w:val="007533FB"/>
    <w:rsid w:val="00753D9E"/>
    <w:rsid w:val="0075488A"/>
    <w:rsid w:val="00754D26"/>
    <w:rsid w:val="00755C0F"/>
    <w:rsid w:val="007576C4"/>
    <w:rsid w:val="00761821"/>
    <w:rsid w:val="00761B75"/>
    <w:rsid w:val="007623D2"/>
    <w:rsid w:val="00762E86"/>
    <w:rsid w:val="00764368"/>
    <w:rsid w:val="00764BF7"/>
    <w:rsid w:val="007665EE"/>
    <w:rsid w:val="00767076"/>
    <w:rsid w:val="00770032"/>
    <w:rsid w:val="00772B5A"/>
    <w:rsid w:val="00774E9F"/>
    <w:rsid w:val="007752E8"/>
    <w:rsid w:val="00775982"/>
    <w:rsid w:val="00776288"/>
    <w:rsid w:val="00776A89"/>
    <w:rsid w:val="007779FC"/>
    <w:rsid w:val="00780102"/>
    <w:rsid w:val="007824A1"/>
    <w:rsid w:val="007840F3"/>
    <w:rsid w:val="0078578A"/>
    <w:rsid w:val="0079042C"/>
    <w:rsid w:val="007907AA"/>
    <w:rsid w:val="00791983"/>
    <w:rsid w:val="00791D85"/>
    <w:rsid w:val="007927CC"/>
    <w:rsid w:val="00792A99"/>
    <w:rsid w:val="00794134"/>
    <w:rsid w:val="00794FA2"/>
    <w:rsid w:val="0079519E"/>
    <w:rsid w:val="007954AD"/>
    <w:rsid w:val="0079582E"/>
    <w:rsid w:val="007961FA"/>
    <w:rsid w:val="00797689"/>
    <w:rsid w:val="007977D9"/>
    <w:rsid w:val="007A003B"/>
    <w:rsid w:val="007A1340"/>
    <w:rsid w:val="007A3D96"/>
    <w:rsid w:val="007A49F4"/>
    <w:rsid w:val="007A50B6"/>
    <w:rsid w:val="007A572A"/>
    <w:rsid w:val="007A634A"/>
    <w:rsid w:val="007A6CD1"/>
    <w:rsid w:val="007A7599"/>
    <w:rsid w:val="007A75D0"/>
    <w:rsid w:val="007B001B"/>
    <w:rsid w:val="007B0BA7"/>
    <w:rsid w:val="007B64E8"/>
    <w:rsid w:val="007B6CCD"/>
    <w:rsid w:val="007B7C2C"/>
    <w:rsid w:val="007C100F"/>
    <w:rsid w:val="007C1726"/>
    <w:rsid w:val="007C2454"/>
    <w:rsid w:val="007C3B52"/>
    <w:rsid w:val="007C54C1"/>
    <w:rsid w:val="007C61B9"/>
    <w:rsid w:val="007C63F7"/>
    <w:rsid w:val="007D08B0"/>
    <w:rsid w:val="007D10C5"/>
    <w:rsid w:val="007D20D0"/>
    <w:rsid w:val="007D2FC0"/>
    <w:rsid w:val="007D33B2"/>
    <w:rsid w:val="007D6674"/>
    <w:rsid w:val="007E047B"/>
    <w:rsid w:val="007E051F"/>
    <w:rsid w:val="007E068C"/>
    <w:rsid w:val="007E0F95"/>
    <w:rsid w:val="007E2C2B"/>
    <w:rsid w:val="007E309B"/>
    <w:rsid w:val="007E39F9"/>
    <w:rsid w:val="007E5F53"/>
    <w:rsid w:val="007E75F3"/>
    <w:rsid w:val="007F145F"/>
    <w:rsid w:val="007F33A3"/>
    <w:rsid w:val="007F366E"/>
    <w:rsid w:val="007F4A1C"/>
    <w:rsid w:val="007F4F9F"/>
    <w:rsid w:val="007F5545"/>
    <w:rsid w:val="007F5727"/>
    <w:rsid w:val="007F6932"/>
    <w:rsid w:val="008005AF"/>
    <w:rsid w:val="00800B74"/>
    <w:rsid w:val="008028DE"/>
    <w:rsid w:val="00803AD1"/>
    <w:rsid w:val="00804556"/>
    <w:rsid w:val="00804B0E"/>
    <w:rsid w:val="00805996"/>
    <w:rsid w:val="00805A76"/>
    <w:rsid w:val="0080739D"/>
    <w:rsid w:val="0080742B"/>
    <w:rsid w:val="0080777E"/>
    <w:rsid w:val="00807DC7"/>
    <w:rsid w:val="00807FA4"/>
    <w:rsid w:val="008116B4"/>
    <w:rsid w:val="00811A84"/>
    <w:rsid w:val="00812011"/>
    <w:rsid w:val="00813043"/>
    <w:rsid w:val="0081305C"/>
    <w:rsid w:val="00813326"/>
    <w:rsid w:val="00813F53"/>
    <w:rsid w:val="008142C7"/>
    <w:rsid w:val="008159B5"/>
    <w:rsid w:val="008166EE"/>
    <w:rsid w:val="00816E58"/>
    <w:rsid w:val="008172FB"/>
    <w:rsid w:val="00817C5E"/>
    <w:rsid w:val="008221AA"/>
    <w:rsid w:val="0082340F"/>
    <w:rsid w:val="008266BB"/>
    <w:rsid w:val="008276DC"/>
    <w:rsid w:val="0083365F"/>
    <w:rsid w:val="0083583F"/>
    <w:rsid w:val="00835877"/>
    <w:rsid w:val="008363F6"/>
    <w:rsid w:val="008374F8"/>
    <w:rsid w:val="008406CE"/>
    <w:rsid w:val="00840D7F"/>
    <w:rsid w:val="008420F4"/>
    <w:rsid w:val="008428B7"/>
    <w:rsid w:val="008443BF"/>
    <w:rsid w:val="0084714F"/>
    <w:rsid w:val="008471B7"/>
    <w:rsid w:val="00847835"/>
    <w:rsid w:val="00847878"/>
    <w:rsid w:val="0085106D"/>
    <w:rsid w:val="00851DE8"/>
    <w:rsid w:val="00852EFC"/>
    <w:rsid w:val="0085396B"/>
    <w:rsid w:val="00853AC4"/>
    <w:rsid w:val="00853B10"/>
    <w:rsid w:val="00853C9A"/>
    <w:rsid w:val="00854E6C"/>
    <w:rsid w:val="00856405"/>
    <w:rsid w:val="00856617"/>
    <w:rsid w:val="0085778D"/>
    <w:rsid w:val="0085784C"/>
    <w:rsid w:val="00857F04"/>
    <w:rsid w:val="00862A6D"/>
    <w:rsid w:val="00863702"/>
    <w:rsid w:val="00870291"/>
    <w:rsid w:val="00872A56"/>
    <w:rsid w:val="0087403D"/>
    <w:rsid w:val="00874F7E"/>
    <w:rsid w:val="00875BB4"/>
    <w:rsid w:val="00876C64"/>
    <w:rsid w:val="0088008E"/>
    <w:rsid w:val="00880686"/>
    <w:rsid w:val="00880BBC"/>
    <w:rsid w:val="00885623"/>
    <w:rsid w:val="00886A45"/>
    <w:rsid w:val="00890789"/>
    <w:rsid w:val="008909A4"/>
    <w:rsid w:val="00890E8A"/>
    <w:rsid w:val="00891679"/>
    <w:rsid w:val="00892D4E"/>
    <w:rsid w:val="00893D9F"/>
    <w:rsid w:val="008940EB"/>
    <w:rsid w:val="008942AF"/>
    <w:rsid w:val="00894E85"/>
    <w:rsid w:val="008A2952"/>
    <w:rsid w:val="008A2F71"/>
    <w:rsid w:val="008A371D"/>
    <w:rsid w:val="008A4362"/>
    <w:rsid w:val="008A4553"/>
    <w:rsid w:val="008A777D"/>
    <w:rsid w:val="008B0CA9"/>
    <w:rsid w:val="008B1C91"/>
    <w:rsid w:val="008B1FD1"/>
    <w:rsid w:val="008B2FFF"/>
    <w:rsid w:val="008B3AEA"/>
    <w:rsid w:val="008B3F46"/>
    <w:rsid w:val="008B64F6"/>
    <w:rsid w:val="008C28F4"/>
    <w:rsid w:val="008C2980"/>
    <w:rsid w:val="008C2F8C"/>
    <w:rsid w:val="008C464F"/>
    <w:rsid w:val="008C49E1"/>
    <w:rsid w:val="008C4E08"/>
    <w:rsid w:val="008C756A"/>
    <w:rsid w:val="008D0D7A"/>
    <w:rsid w:val="008D124C"/>
    <w:rsid w:val="008D15E2"/>
    <w:rsid w:val="008D2753"/>
    <w:rsid w:val="008D298A"/>
    <w:rsid w:val="008D3097"/>
    <w:rsid w:val="008D31BA"/>
    <w:rsid w:val="008D32DD"/>
    <w:rsid w:val="008D73D0"/>
    <w:rsid w:val="008D7BCC"/>
    <w:rsid w:val="008E42A8"/>
    <w:rsid w:val="008E5CE0"/>
    <w:rsid w:val="008F0A11"/>
    <w:rsid w:val="008F0FF5"/>
    <w:rsid w:val="008F1F73"/>
    <w:rsid w:val="008F44BD"/>
    <w:rsid w:val="008F4CFA"/>
    <w:rsid w:val="008F6144"/>
    <w:rsid w:val="008F6CAC"/>
    <w:rsid w:val="00901932"/>
    <w:rsid w:val="009024B5"/>
    <w:rsid w:val="009072AF"/>
    <w:rsid w:val="00907AB0"/>
    <w:rsid w:val="0091066C"/>
    <w:rsid w:val="009121DB"/>
    <w:rsid w:val="00912940"/>
    <w:rsid w:val="00913F2F"/>
    <w:rsid w:val="009156CF"/>
    <w:rsid w:val="009167C4"/>
    <w:rsid w:val="00917648"/>
    <w:rsid w:val="0092442A"/>
    <w:rsid w:val="0092795F"/>
    <w:rsid w:val="009279F1"/>
    <w:rsid w:val="00930D7E"/>
    <w:rsid w:val="009310B8"/>
    <w:rsid w:val="00932D14"/>
    <w:rsid w:val="009370BA"/>
    <w:rsid w:val="00937F5D"/>
    <w:rsid w:val="00940BD5"/>
    <w:rsid w:val="00942FE8"/>
    <w:rsid w:val="00943924"/>
    <w:rsid w:val="00944126"/>
    <w:rsid w:val="00945255"/>
    <w:rsid w:val="009456F4"/>
    <w:rsid w:val="00945FCA"/>
    <w:rsid w:val="00946407"/>
    <w:rsid w:val="0094690A"/>
    <w:rsid w:val="00946D3F"/>
    <w:rsid w:val="00946EAB"/>
    <w:rsid w:val="0094779C"/>
    <w:rsid w:val="009477F2"/>
    <w:rsid w:val="0095001D"/>
    <w:rsid w:val="00950B45"/>
    <w:rsid w:val="00951BDF"/>
    <w:rsid w:val="00951BE4"/>
    <w:rsid w:val="00951DCD"/>
    <w:rsid w:val="00953E0F"/>
    <w:rsid w:val="00954803"/>
    <w:rsid w:val="00955FAF"/>
    <w:rsid w:val="00956BA4"/>
    <w:rsid w:val="009571D1"/>
    <w:rsid w:val="00957B29"/>
    <w:rsid w:val="00961EEC"/>
    <w:rsid w:val="009630C2"/>
    <w:rsid w:val="00963EFB"/>
    <w:rsid w:val="009657EE"/>
    <w:rsid w:val="00967FB1"/>
    <w:rsid w:val="00970606"/>
    <w:rsid w:val="00970C41"/>
    <w:rsid w:val="00971D82"/>
    <w:rsid w:val="0097234D"/>
    <w:rsid w:val="00973321"/>
    <w:rsid w:val="00973EF9"/>
    <w:rsid w:val="009742A0"/>
    <w:rsid w:val="00974DA2"/>
    <w:rsid w:val="00974FEC"/>
    <w:rsid w:val="00976AD6"/>
    <w:rsid w:val="00976B09"/>
    <w:rsid w:val="00976B8D"/>
    <w:rsid w:val="00976E5A"/>
    <w:rsid w:val="00977796"/>
    <w:rsid w:val="00980113"/>
    <w:rsid w:val="0098076F"/>
    <w:rsid w:val="009821EB"/>
    <w:rsid w:val="00982815"/>
    <w:rsid w:val="00983679"/>
    <w:rsid w:val="00986362"/>
    <w:rsid w:val="0098692B"/>
    <w:rsid w:val="0098722B"/>
    <w:rsid w:val="00990C11"/>
    <w:rsid w:val="00992B45"/>
    <w:rsid w:val="00993F85"/>
    <w:rsid w:val="00994253"/>
    <w:rsid w:val="00994C33"/>
    <w:rsid w:val="00996A1A"/>
    <w:rsid w:val="00996B15"/>
    <w:rsid w:val="00997D6E"/>
    <w:rsid w:val="009A12EF"/>
    <w:rsid w:val="009A1BF4"/>
    <w:rsid w:val="009A2064"/>
    <w:rsid w:val="009A230D"/>
    <w:rsid w:val="009A2D8A"/>
    <w:rsid w:val="009A3B7A"/>
    <w:rsid w:val="009A58AB"/>
    <w:rsid w:val="009A704F"/>
    <w:rsid w:val="009A7617"/>
    <w:rsid w:val="009A785D"/>
    <w:rsid w:val="009B06B2"/>
    <w:rsid w:val="009B2D67"/>
    <w:rsid w:val="009B68B7"/>
    <w:rsid w:val="009B7268"/>
    <w:rsid w:val="009C16AC"/>
    <w:rsid w:val="009C3EAC"/>
    <w:rsid w:val="009C466B"/>
    <w:rsid w:val="009C6BFD"/>
    <w:rsid w:val="009D0CA5"/>
    <w:rsid w:val="009D0EB7"/>
    <w:rsid w:val="009D528F"/>
    <w:rsid w:val="009D62A9"/>
    <w:rsid w:val="009D6823"/>
    <w:rsid w:val="009D6AAC"/>
    <w:rsid w:val="009D763A"/>
    <w:rsid w:val="009E178C"/>
    <w:rsid w:val="009E2B1C"/>
    <w:rsid w:val="009E395C"/>
    <w:rsid w:val="009E48F1"/>
    <w:rsid w:val="009E493C"/>
    <w:rsid w:val="009E551E"/>
    <w:rsid w:val="009E554A"/>
    <w:rsid w:val="009E5AB1"/>
    <w:rsid w:val="009E63DA"/>
    <w:rsid w:val="009F0A9C"/>
    <w:rsid w:val="009F187F"/>
    <w:rsid w:val="009F3397"/>
    <w:rsid w:val="009F37CF"/>
    <w:rsid w:val="009F4E5E"/>
    <w:rsid w:val="009F4FDE"/>
    <w:rsid w:val="009F57BF"/>
    <w:rsid w:val="009F7434"/>
    <w:rsid w:val="00A0219C"/>
    <w:rsid w:val="00A027D0"/>
    <w:rsid w:val="00A02ED0"/>
    <w:rsid w:val="00A03D75"/>
    <w:rsid w:val="00A0615F"/>
    <w:rsid w:val="00A07857"/>
    <w:rsid w:val="00A106CE"/>
    <w:rsid w:val="00A11495"/>
    <w:rsid w:val="00A134CA"/>
    <w:rsid w:val="00A137CA"/>
    <w:rsid w:val="00A1380D"/>
    <w:rsid w:val="00A13FD1"/>
    <w:rsid w:val="00A15493"/>
    <w:rsid w:val="00A16072"/>
    <w:rsid w:val="00A22C8C"/>
    <w:rsid w:val="00A23539"/>
    <w:rsid w:val="00A23C42"/>
    <w:rsid w:val="00A30545"/>
    <w:rsid w:val="00A30FDA"/>
    <w:rsid w:val="00A316E9"/>
    <w:rsid w:val="00A31D16"/>
    <w:rsid w:val="00A31F54"/>
    <w:rsid w:val="00A3205B"/>
    <w:rsid w:val="00A334DB"/>
    <w:rsid w:val="00A3385D"/>
    <w:rsid w:val="00A34260"/>
    <w:rsid w:val="00A34B3D"/>
    <w:rsid w:val="00A34CFE"/>
    <w:rsid w:val="00A359C8"/>
    <w:rsid w:val="00A374F5"/>
    <w:rsid w:val="00A376F2"/>
    <w:rsid w:val="00A40CB8"/>
    <w:rsid w:val="00A42ECA"/>
    <w:rsid w:val="00A44653"/>
    <w:rsid w:val="00A4505A"/>
    <w:rsid w:val="00A45287"/>
    <w:rsid w:val="00A47A28"/>
    <w:rsid w:val="00A513F9"/>
    <w:rsid w:val="00A51508"/>
    <w:rsid w:val="00A518D6"/>
    <w:rsid w:val="00A52C3C"/>
    <w:rsid w:val="00A530B7"/>
    <w:rsid w:val="00A530C4"/>
    <w:rsid w:val="00A541E1"/>
    <w:rsid w:val="00A5716A"/>
    <w:rsid w:val="00A60165"/>
    <w:rsid w:val="00A6052B"/>
    <w:rsid w:val="00A61025"/>
    <w:rsid w:val="00A611F0"/>
    <w:rsid w:val="00A61978"/>
    <w:rsid w:val="00A61982"/>
    <w:rsid w:val="00A629D3"/>
    <w:rsid w:val="00A62C37"/>
    <w:rsid w:val="00A64043"/>
    <w:rsid w:val="00A6419F"/>
    <w:rsid w:val="00A64AA4"/>
    <w:rsid w:val="00A658FF"/>
    <w:rsid w:val="00A6732A"/>
    <w:rsid w:val="00A710CA"/>
    <w:rsid w:val="00A71D70"/>
    <w:rsid w:val="00A731D4"/>
    <w:rsid w:val="00A731F6"/>
    <w:rsid w:val="00A758DE"/>
    <w:rsid w:val="00A816BD"/>
    <w:rsid w:val="00A830C7"/>
    <w:rsid w:val="00A83842"/>
    <w:rsid w:val="00A8430C"/>
    <w:rsid w:val="00A849E2"/>
    <w:rsid w:val="00A8522C"/>
    <w:rsid w:val="00A85349"/>
    <w:rsid w:val="00A90770"/>
    <w:rsid w:val="00A9153B"/>
    <w:rsid w:val="00A93396"/>
    <w:rsid w:val="00A94D3A"/>
    <w:rsid w:val="00A955AC"/>
    <w:rsid w:val="00A95772"/>
    <w:rsid w:val="00A95F14"/>
    <w:rsid w:val="00A96C02"/>
    <w:rsid w:val="00A97C8C"/>
    <w:rsid w:val="00AA45D9"/>
    <w:rsid w:val="00AA5338"/>
    <w:rsid w:val="00AA63E5"/>
    <w:rsid w:val="00AA7673"/>
    <w:rsid w:val="00AB09C0"/>
    <w:rsid w:val="00AB15E1"/>
    <w:rsid w:val="00AB33A7"/>
    <w:rsid w:val="00AB36C1"/>
    <w:rsid w:val="00AB4786"/>
    <w:rsid w:val="00AB5582"/>
    <w:rsid w:val="00AB56FD"/>
    <w:rsid w:val="00AB6EF4"/>
    <w:rsid w:val="00AB6F8C"/>
    <w:rsid w:val="00AB75FE"/>
    <w:rsid w:val="00AC07C0"/>
    <w:rsid w:val="00AC0ADE"/>
    <w:rsid w:val="00AC126B"/>
    <w:rsid w:val="00AC13CA"/>
    <w:rsid w:val="00AC2C51"/>
    <w:rsid w:val="00AC2DAE"/>
    <w:rsid w:val="00AC3243"/>
    <w:rsid w:val="00AC3590"/>
    <w:rsid w:val="00AC6375"/>
    <w:rsid w:val="00AC64C8"/>
    <w:rsid w:val="00AC685B"/>
    <w:rsid w:val="00AC7181"/>
    <w:rsid w:val="00AD0C29"/>
    <w:rsid w:val="00AD164E"/>
    <w:rsid w:val="00AD3CAE"/>
    <w:rsid w:val="00AD4504"/>
    <w:rsid w:val="00AD4F14"/>
    <w:rsid w:val="00AD5123"/>
    <w:rsid w:val="00AD52AA"/>
    <w:rsid w:val="00AD53E1"/>
    <w:rsid w:val="00AD66A5"/>
    <w:rsid w:val="00AD76EA"/>
    <w:rsid w:val="00AD7B71"/>
    <w:rsid w:val="00AE24FB"/>
    <w:rsid w:val="00AE2523"/>
    <w:rsid w:val="00AE275C"/>
    <w:rsid w:val="00AE2942"/>
    <w:rsid w:val="00AE4FDC"/>
    <w:rsid w:val="00AE553D"/>
    <w:rsid w:val="00AE66A3"/>
    <w:rsid w:val="00AF1948"/>
    <w:rsid w:val="00AF2DF8"/>
    <w:rsid w:val="00AF377A"/>
    <w:rsid w:val="00AF535B"/>
    <w:rsid w:val="00AF57E4"/>
    <w:rsid w:val="00AF5980"/>
    <w:rsid w:val="00AF727B"/>
    <w:rsid w:val="00AF7468"/>
    <w:rsid w:val="00B001B4"/>
    <w:rsid w:val="00B010F7"/>
    <w:rsid w:val="00B02D28"/>
    <w:rsid w:val="00B035C1"/>
    <w:rsid w:val="00B04B94"/>
    <w:rsid w:val="00B05580"/>
    <w:rsid w:val="00B05CD6"/>
    <w:rsid w:val="00B07781"/>
    <w:rsid w:val="00B07D3E"/>
    <w:rsid w:val="00B11AF3"/>
    <w:rsid w:val="00B1289F"/>
    <w:rsid w:val="00B13B94"/>
    <w:rsid w:val="00B14A19"/>
    <w:rsid w:val="00B16B7E"/>
    <w:rsid w:val="00B17252"/>
    <w:rsid w:val="00B17F1E"/>
    <w:rsid w:val="00B205F2"/>
    <w:rsid w:val="00B22E9D"/>
    <w:rsid w:val="00B23ABA"/>
    <w:rsid w:val="00B23DF1"/>
    <w:rsid w:val="00B24113"/>
    <w:rsid w:val="00B245B1"/>
    <w:rsid w:val="00B24F35"/>
    <w:rsid w:val="00B25CF0"/>
    <w:rsid w:val="00B26BD6"/>
    <w:rsid w:val="00B27E0E"/>
    <w:rsid w:val="00B3024D"/>
    <w:rsid w:val="00B3232C"/>
    <w:rsid w:val="00B3251E"/>
    <w:rsid w:val="00B32C29"/>
    <w:rsid w:val="00B350D8"/>
    <w:rsid w:val="00B401B9"/>
    <w:rsid w:val="00B418FE"/>
    <w:rsid w:val="00B41BDD"/>
    <w:rsid w:val="00B4584C"/>
    <w:rsid w:val="00B46091"/>
    <w:rsid w:val="00B46A00"/>
    <w:rsid w:val="00B505DC"/>
    <w:rsid w:val="00B51E57"/>
    <w:rsid w:val="00B525B9"/>
    <w:rsid w:val="00B53107"/>
    <w:rsid w:val="00B531EF"/>
    <w:rsid w:val="00B55291"/>
    <w:rsid w:val="00B55F32"/>
    <w:rsid w:val="00B56815"/>
    <w:rsid w:val="00B56F1A"/>
    <w:rsid w:val="00B57066"/>
    <w:rsid w:val="00B60B37"/>
    <w:rsid w:val="00B60B5E"/>
    <w:rsid w:val="00B61ADA"/>
    <w:rsid w:val="00B61D5F"/>
    <w:rsid w:val="00B61FA4"/>
    <w:rsid w:val="00B627D5"/>
    <w:rsid w:val="00B62C00"/>
    <w:rsid w:val="00B64E47"/>
    <w:rsid w:val="00B651B2"/>
    <w:rsid w:val="00B70304"/>
    <w:rsid w:val="00B72D87"/>
    <w:rsid w:val="00B7311E"/>
    <w:rsid w:val="00B73A03"/>
    <w:rsid w:val="00B7575B"/>
    <w:rsid w:val="00B761A6"/>
    <w:rsid w:val="00B80020"/>
    <w:rsid w:val="00B800A5"/>
    <w:rsid w:val="00B83096"/>
    <w:rsid w:val="00B85F06"/>
    <w:rsid w:val="00B875AE"/>
    <w:rsid w:val="00B910DB"/>
    <w:rsid w:val="00B91117"/>
    <w:rsid w:val="00B91E1C"/>
    <w:rsid w:val="00B9236B"/>
    <w:rsid w:val="00B93AA4"/>
    <w:rsid w:val="00B9604E"/>
    <w:rsid w:val="00B96456"/>
    <w:rsid w:val="00B96D5F"/>
    <w:rsid w:val="00BA03AD"/>
    <w:rsid w:val="00BA1195"/>
    <w:rsid w:val="00BA315A"/>
    <w:rsid w:val="00BA4B9B"/>
    <w:rsid w:val="00BA52ED"/>
    <w:rsid w:val="00BA5DA8"/>
    <w:rsid w:val="00BA621B"/>
    <w:rsid w:val="00BB00BD"/>
    <w:rsid w:val="00BB0687"/>
    <w:rsid w:val="00BB1645"/>
    <w:rsid w:val="00BB1969"/>
    <w:rsid w:val="00BB1BFD"/>
    <w:rsid w:val="00BB2B49"/>
    <w:rsid w:val="00BB3BB7"/>
    <w:rsid w:val="00BB58FE"/>
    <w:rsid w:val="00BB7688"/>
    <w:rsid w:val="00BB77B3"/>
    <w:rsid w:val="00BB7F6A"/>
    <w:rsid w:val="00BC1357"/>
    <w:rsid w:val="00BC159C"/>
    <w:rsid w:val="00BC2F6C"/>
    <w:rsid w:val="00BC32F2"/>
    <w:rsid w:val="00BC41EE"/>
    <w:rsid w:val="00BC553B"/>
    <w:rsid w:val="00BC59E5"/>
    <w:rsid w:val="00BC62D1"/>
    <w:rsid w:val="00BD134C"/>
    <w:rsid w:val="00BD2D9D"/>
    <w:rsid w:val="00BD35E6"/>
    <w:rsid w:val="00BD40E6"/>
    <w:rsid w:val="00BD440D"/>
    <w:rsid w:val="00BD58DF"/>
    <w:rsid w:val="00BD66E0"/>
    <w:rsid w:val="00BD6DCE"/>
    <w:rsid w:val="00BE09D1"/>
    <w:rsid w:val="00BE0AFD"/>
    <w:rsid w:val="00BE14B1"/>
    <w:rsid w:val="00BE174E"/>
    <w:rsid w:val="00BE32B8"/>
    <w:rsid w:val="00BE3CD6"/>
    <w:rsid w:val="00BE426B"/>
    <w:rsid w:val="00BE4B9E"/>
    <w:rsid w:val="00BF0840"/>
    <w:rsid w:val="00BF0FA7"/>
    <w:rsid w:val="00BF1585"/>
    <w:rsid w:val="00BF2644"/>
    <w:rsid w:val="00BF6D12"/>
    <w:rsid w:val="00BF70D3"/>
    <w:rsid w:val="00C00173"/>
    <w:rsid w:val="00C018AF"/>
    <w:rsid w:val="00C01B8A"/>
    <w:rsid w:val="00C021C5"/>
    <w:rsid w:val="00C0350E"/>
    <w:rsid w:val="00C03957"/>
    <w:rsid w:val="00C065AC"/>
    <w:rsid w:val="00C06804"/>
    <w:rsid w:val="00C071EB"/>
    <w:rsid w:val="00C07C26"/>
    <w:rsid w:val="00C1231C"/>
    <w:rsid w:val="00C14172"/>
    <w:rsid w:val="00C1445F"/>
    <w:rsid w:val="00C145B3"/>
    <w:rsid w:val="00C14E0D"/>
    <w:rsid w:val="00C154EE"/>
    <w:rsid w:val="00C15CEB"/>
    <w:rsid w:val="00C17337"/>
    <w:rsid w:val="00C22A23"/>
    <w:rsid w:val="00C238D4"/>
    <w:rsid w:val="00C2433D"/>
    <w:rsid w:val="00C25DF2"/>
    <w:rsid w:val="00C26698"/>
    <w:rsid w:val="00C26930"/>
    <w:rsid w:val="00C26F75"/>
    <w:rsid w:val="00C27384"/>
    <w:rsid w:val="00C31B49"/>
    <w:rsid w:val="00C3307E"/>
    <w:rsid w:val="00C33C90"/>
    <w:rsid w:val="00C33E79"/>
    <w:rsid w:val="00C33EDC"/>
    <w:rsid w:val="00C344DC"/>
    <w:rsid w:val="00C361FC"/>
    <w:rsid w:val="00C3630B"/>
    <w:rsid w:val="00C375D7"/>
    <w:rsid w:val="00C413EA"/>
    <w:rsid w:val="00C414E4"/>
    <w:rsid w:val="00C41AA7"/>
    <w:rsid w:val="00C4430A"/>
    <w:rsid w:val="00C44956"/>
    <w:rsid w:val="00C465B6"/>
    <w:rsid w:val="00C465DC"/>
    <w:rsid w:val="00C468E5"/>
    <w:rsid w:val="00C479DB"/>
    <w:rsid w:val="00C53DBE"/>
    <w:rsid w:val="00C53E98"/>
    <w:rsid w:val="00C542E2"/>
    <w:rsid w:val="00C56585"/>
    <w:rsid w:val="00C56ADE"/>
    <w:rsid w:val="00C5712E"/>
    <w:rsid w:val="00C57F5A"/>
    <w:rsid w:val="00C6075A"/>
    <w:rsid w:val="00C61601"/>
    <w:rsid w:val="00C62758"/>
    <w:rsid w:val="00C6389C"/>
    <w:rsid w:val="00C63F82"/>
    <w:rsid w:val="00C67565"/>
    <w:rsid w:val="00C67F67"/>
    <w:rsid w:val="00C70539"/>
    <w:rsid w:val="00C71200"/>
    <w:rsid w:val="00C71A79"/>
    <w:rsid w:val="00C72005"/>
    <w:rsid w:val="00C72525"/>
    <w:rsid w:val="00C7377D"/>
    <w:rsid w:val="00C816E1"/>
    <w:rsid w:val="00C81DEB"/>
    <w:rsid w:val="00C847C4"/>
    <w:rsid w:val="00C851C8"/>
    <w:rsid w:val="00C85E26"/>
    <w:rsid w:val="00C867A1"/>
    <w:rsid w:val="00C87D8C"/>
    <w:rsid w:val="00C90B1A"/>
    <w:rsid w:val="00C90E67"/>
    <w:rsid w:val="00C91158"/>
    <w:rsid w:val="00C9423D"/>
    <w:rsid w:val="00C950A4"/>
    <w:rsid w:val="00C96048"/>
    <w:rsid w:val="00C96371"/>
    <w:rsid w:val="00C97F5F"/>
    <w:rsid w:val="00CA049A"/>
    <w:rsid w:val="00CA43FA"/>
    <w:rsid w:val="00CA495B"/>
    <w:rsid w:val="00CA50B8"/>
    <w:rsid w:val="00CA541A"/>
    <w:rsid w:val="00CA5CE0"/>
    <w:rsid w:val="00CA5E9D"/>
    <w:rsid w:val="00CA6091"/>
    <w:rsid w:val="00CA60A4"/>
    <w:rsid w:val="00CB0F1A"/>
    <w:rsid w:val="00CB3213"/>
    <w:rsid w:val="00CC0624"/>
    <w:rsid w:val="00CC0A59"/>
    <w:rsid w:val="00CC1787"/>
    <w:rsid w:val="00CC1B12"/>
    <w:rsid w:val="00CC330A"/>
    <w:rsid w:val="00CC6492"/>
    <w:rsid w:val="00CD06B6"/>
    <w:rsid w:val="00CD1A7D"/>
    <w:rsid w:val="00CD3500"/>
    <w:rsid w:val="00CD3E75"/>
    <w:rsid w:val="00CD5271"/>
    <w:rsid w:val="00CD58D9"/>
    <w:rsid w:val="00CD6ED6"/>
    <w:rsid w:val="00CE0A9B"/>
    <w:rsid w:val="00CE0CCA"/>
    <w:rsid w:val="00CE1BC4"/>
    <w:rsid w:val="00CE26B9"/>
    <w:rsid w:val="00CE2946"/>
    <w:rsid w:val="00CE2A93"/>
    <w:rsid w:val="00CE3074"/>
    <w:rsid w:val="00CE3140"/>
    <w:rsid w:val="00CE5F00"/>
    <w:rsid w:val="00CE66C3"/>
    <w:rsid w:val="00CE737E"/>
    <w:rsid w:val="00CE7AC2"/>
    <w:rsid w:val="00CE7BE5"/>
    <w:rsid w:val="00CF0C7B"/>
    <w:rsid w:val="00CF1312"/>
    <w:rsid w:val="00CF3579"/>
    <w:rsid w:val="00CF4A44"/>
    <w:rsid w:val="00CF4C8C"/>
    <w:rsid w:val="00CF55B5"/>
    <w:rsid w:val="00D00023"/>
    <w:rsid w:val="00D001B4"/>
    <w:rsid w:val="00D0051D"/>
    <w:rsid w:val="00D0217F"/>
    <w:rsid w:val="00D02753"/>
    <w:rsid w:val="00D02C85"/>
    <w:rsid w:val="00D048A8"/>
    <w:rsid w:val="00D0766E"/>
    <w:rsid w:val="00D10DBB"/>
    <w:rsid w:val="00D113DB"/>
    <w:rsid w:val="00D11FE7"/>
    <w:rsid w:val="00D12A68"/>
    <w:rsid w:val="00D1352B"/>
    <w:rsid w:val="00D148BF"/>
    <w:rsid w:val="00D14A45"/>
    <w:rsid w:val="00D1719C"/>
    <w:rsid w:val="00D20D6A"/>
    <w:rsid w:val="00D21542"/>
    <w:rsid w:val="00D21FA9"/>
    <w:rsid w:val="00D222A1"/>
    <w:rsid w:val="00D22AB2"/>
    <w:rsid w:val="00D2359A"/>
    <w:rsid w:val="00D238E6"/>
    <w:rsid w:val="00D2467D"/>
    <w:rsid w:val="00D25908"/>
    <w:rsid w:val="00D259F9"/>
    <w:rsid w:val="00D26D28"/>
    <w:rsid w:val="00D27EF4"/>
    <w:rsid w:val="00D31828"/>
    <w:rsid w:val="00D320B6"/>
    <w:rsid w:val="00D32863"/>
    <w:rsid w:val="00D33D44"/>
    <w:rsid w:val="00D340E5"/>
    <w:rsid w:val="00D34487"/>
    <w:rsid w:val="00D34A85"/>
    <w:rsid w:val="00D34AA5"/>
    <w:rsid w:val="00D3646B"/>
    <w:rsid w:val="00D41E1D"/>
    <w:rsid w:val="00D43D6B"/>
    <w:rsid w:val="00D4601F"/>
    <w:rsid w:val="00D47568"/>
    <w:rsid w:val="00D5082D"/>
    <w:rsid w:val="00D53488"/>
    <w:rsid w:val="00D53892"/>
    <w:rsid w:val="00D53EE4"/>
    <w:rsid w:val="00D54018"/>
    <w:rsid w:val="00D5514A"/>
    <w:rsid w:val="00D55302"/>
    <w:rsid w:val="00D5545F"/>
    <w:rsid w:val="00D55EAE"/>
    <w:rsid w:val="00D55EE8"/>
    <w:rsid w:val="00D5682E"/>
    <w:rsid w:val="00D579F8"/>
    <w:rsid w:val="00D57B2E"/>
    <w:rsid w:val="00D63C45"/>
    <w:rsid w:val="00D6594C"/>
    <w:rsid w:val="00D65AB9"/>
    <w:rsid w:val="00D65D92"/>
    <w:rsid w:val="00D65DDC"/>
    <w:rsid w:val="00D66786"/>
    <w:rsid w:val="00D721A5"/>
    <w:rsid w:val="00D72D02"/>
    <w:rsid w:val="00D73F7F"/>
    <w:rsid w:val="00D74516"/>
    <w:rsid w:val="00D75556"/>
    <w:rsid w:val="00D75E28"/>
    <w:rsid w:val="00D75E8A"/>
    <w:rsid w:val="00D76E89"/>
    <w:rsid w:val="00D77FCA"/>
    <w:rsid w:val="00D82AEE"/>
    <w:rsid w:val="00D83573"/>
    <w:rsid w:val="00D838F7"/>
    <w:rsid w:val="00D845D5"/>
    <w:rsid w:val="00D8491C"/>
    <w:rsid w:val="00D85B3F"/>
    <w:rsid w:val="00D85CA7"/>
    <w:rsid w:val="00D86535"/>
    <w:rsid w:val="00D86843"/>
    <w:rsid w:val="00D86879"/>
    <w:rsid w:val="00D90BD4"/>
    <w:rsid w:val="00D91650"/>
    <w:rsid w:val="00D923FE"/>
    <w:rsid w:val="00D9423E"/>
    <w:rsid w:val="00D9503F"/>
    <w:rsid w:val="00D959D9"/>
    <w:rsid w:val="00D95D4D"/>
    <w:rsid w:val="00D966BA"/>
    <w:rsid w:val="00D9723D"/>
    <w:rsid w:val="00D977CC"/>
    <w:rsid w:val="00DA0348"/>
    <w:rsid w:val="00DA0800"/>
    <w:rsid w:val="00DA33D6"/>
    <w:rsid w:val="00DA3572"/>
    <w:rsid w:val="00DA4097"/>
    <w:rsid w:val="00DA6101"/>
    <w:rsid w:val="00DA675A"/>
    <w:rsid w:val="00DA7813"/>
    <w:rsid w:val="00DB165A"/>
    <w:rsid w:val="00DB3BE8"/>
    <w:rsid w:val="00DB3C02"/>
    <w:rsid w:val="00DC0AB4"/>
    <w:rsid w:val="00DC34F9"/>
    <w:rsid w:val="00DC35BB"/>
    <w:rsid w:val="00DC360C"/>
    <w:rsid w:val="00DC5AD6"/>
    <w:rsid w:val="00DD1151"/>
    <w:rsid w:val="00DD365F"/>
    <w:rsid w:val="00DD3885"/>
    <w:rsid w:val="00DD71B0"/>
    <w:rsid w:val="00DE06A4"/>
    <w:rsid w:val="00DE0D8E"/>
    <w:rsid w:val="00DE0EF0"/>
    <w:rsid w:val="00DE1023"/>
    <w:rsid w:val="00DE1111"/>
    <w:rsid w:val="00DE1CCA"/>
    <w:rsid w:val="00DE2039"/>
    <w:rsid w:val="00DE3CE2"/>
    <w:rsid w:val="00DE5A15"/>
    <w:rsid w:val="00DE7246"/>
    <w:rsid w:val="00DE7561"/>
    <w:rsid w:val="00DF05F0"/>
    <w:rsid w:val="00DF0CA2"/>
    <w:rsid w:val="00DF196D"/>
    <w:rsid w:val="00DF2EF0"/>
    <w:rsid w:val="00DF2FBB"/>
    <w:rsid w:val="00DF3D10"/>
    <w:rsid w:val="00DF54B2"/>
    <w:rsid w:val="00DF586A"/>
    <w:rsid w:val="00DF60F4"/>
    <w:rsid w:val="00DF6E88"/>
    <w:rsid w:val="00E001F1"/>
    <w:rsid w:val="00E016E7"/>
    <w:rsid w:val="00E03E0B"/>
    <w:rsid w:val="00E04322"/>
    <w:rsid w:val="00E04640"/>
    <w:rsid w:val="00E047C0"/>
    <w:rsid w:val="00E0543C"/>
    <w:rsid w:val="00E10180"/>
    <w:rsid w:val="00E110A4"/>
    <w:rsid w:val="00E124CB"/>
    <w:rsid w:val="00E12DBB"/>
    <w:rsid w:val="00E1379D"/>
    <w:rsid w:val="00E144EB"/>
    <w:rsid w:val="00E1597A"/>
    <w:rsid w:val="00E160B3"/>
    <w:rsid w:val="00E16358"/>
    <w:rsid w:val="00E207EF"/>
    <w:rsid w:val="00E21830"/>
    <w:rsid w:val="00E24AA6"/>
    <w:rsid w:val="00E24CEA"/>
    <w:rsid w:val="00E26014"/>
    <w:rsid w:val="00E26CEF"/>
    <w:rsid w:val="00E30147"/>
    <w:rsid w:val="00E326E8"/>
    <w:rsid w:val="00E333B1"/>
    <w:rsid w:val="00E3462D"/>
    <w:rsid w:val="00E34C8E"/>
    <w:rsid w:val="00E34F91"/>
    <w:rsid w:val="00E35320"/>
    <w:rsid w:val="00E3566F"/>
    <w:rsid w:val="00E356FF"/>
    <w:rsid w:val="00E37001"/>
    <w:rsid w:val="00E42228"/>
    <w:rsid w:val="00E42C73"/>
    <w:rsid w:val="00E44589"/>
    <w:rsid w:val="00E447A0"/>
    <w:rsid w:val="00E467B4"/>
    <w:rsid w:val="00E50E87"/>
    <w:rsid w:val="00E5239B"/>
    <w:rsid w:val="00E53B8A"/>
    <w:rsid w:val="00E54626"/>
    <w:rsid w:val="00E55B72"/>
    <w:rsid w:val="00E55B74"/>
    <w:rsid w:val="00E55E7F"/>
    <w:rsid w:val="00E56E08"/>
    <w:rsid w:val="00E578E4"/>
    <w:rsid w:val="00E61AA8"/>
    <w:rsid w:val="00E63AF0"/>
    <w:rsid w:val="00E65191"/>
    <w:rsid w:val="00E666E6"/>
    <w:rsid w:val="00E673BA"/>
    <w:rsid w:val="00E72B64"/>
    <w:rsid w:val="00E73E4C"/>
    <w:rsid w:val="00E75F91"/>
    <w:rsid w:val="00E761CA"/>
    <w:rsid w:val="00E761D9"/>
    <w:rsid w:val="00E7774A"/>
    <w:rsid w:val="00E779D6"/>
    <w:rsid w:val="00E80412"/>
    <w:rsid w:val="00E81708"/>
    <w:rsid w:val="00E81F85"/>
    <w:rsid w:val="00E81FE5"/>
    <w:rsid w:val="00E84144"/>
    <w:rsid w:val="00E854A7"/>
    <w:rsid w:val="00E863AB"/>
    <w:rsid w:val="00E867F2"/>
    <w:rsid w:val="00E872D6"/>
    <w:rsid w:val="00E87D9F"/>
    <w:rsid w:val="00E90D3B"/>
    <w:rsid w:val="00E94451"/>
    <w:rsid w:val="00E94C78"/>
    <w:rsid w:val="00E953D6"/>
    <w:rsid w:val="00EA07D8"/>
    <w:rsid w:val="00EA11A9"/>
    <w:rsid w:val="00EA1F59"/>
    <w:rsid w:val="00EA22C5"/>
    <w:rsid w:val="00EA4C4E"/>
    <w:rsid w:val="00EA5680"/>
    <w:rsid w:val="00EA6441"/>
    <w:rsid w:val="00EA6A81"/>
    <w:rsid w:val="00EB06D2"/>
    <w:rsid w:val="00EB07D2"/>
    <w:rsid w:val="00EB09C1"/>
    <w:rsid w:val="00EB1B82"/>
    <w:rsid w:val="00EB32D9"/>
    <w:rsid w:val="00EB3C79"/>
    <w:rsid w:val="00EB3CEC"/>
    <w:rsid w:val="00EB4407"/>
    <w:rsid w:val="00EB5AAE"/>
    <w:rsid w:val="00EB6385"/>
    <w:rsid w:val="00EB74CA"/>
    <w:rsid w:val="00EB7550"/>
    <w:rsid w:val="00EC053A"/>
    <w:rsid w:val="00EC1205"/>
    <w:rsid w:val="00EC1519"/>
    <w:rsid w:val="00EC1A75"/>
    <w:rsid w:val="00EC3977"/>
    <w:rsid w:val="00EC43E4"/>
    <w:rsid w:val="00EC6A24"/>
    <w:rsid w:val="00EC7630"/>
    <w:rsid w:val="00EC7FBC"/>
    <w:rsid w:val="00ED1DB8"/>
    <w:rsid w:val="00ED2823"/>
    <w:rsid w:val="00ED2CCA"/>
    <w:rsid w:val="00ED2F43"/>
    <w:rsid w:val="00ED3801"/>
    <w:rsid w:val="00ED4357"/>
    <w:rsid w:val="00ED4D04"/>
    <w:rsid w:val="00ED5DF7"/>
    <w:rsid w:val="00ED7163"/>
    <w:rsid w:val="00ED7366"/>
    <w:rsid w:val="00ED7F85"/>
    <w:rsid w:val="00EE0421"/>
    <w:rsid w:val="00EE0C66"/>
    <w:rsid w:val="00EE0CE1"/>
    <w:rsid w:val="00EE0F82"/>
    <w:rsid w:val="00EE1B3D"/>
    <w:rsid w:val="00EE29C7"/>
    <w:rsid w:val="00EE4C2B"/>
    <w:rsid w:val="00EE77CB"/>
    <w:rsid w:val="00EF0385"/>
    <w:rsid w:val="00EF2375"/>
    <w:rsid w:val="00EF270E"/>
    <w:rsid w:val="00EF2D10"/>
    <w:rsid w:val="00EF3AFC"/>
    <w:rsid w:val="00EF4F80"/>
    <w:rsid w:val="00EF5B5D"/>
    <w:rsid w:val="00EF6520"/>
    <w:rsid w:val="00EF659C"/>
    <w:rsid w:val="00EF7D9A"/>
    <w:rsid w:val="00F03DE4"/>
    <w:rsid w:val="00F05465"/>
    <w:rsid w:val="00F054B2"/>
    <w:rsid w:val="00F065BF"/>
    <w:rsid w:val="00F068C1"/>
    <w:rsid w:val="00F10285"/>
    <w:rsid w:val="00F11377"/>
    <w:rsid w:val="00F13327"/>
    <w:rsid w:val="00F13B66"/>
    <w:rsid w:val="00F13F61"/>
    <w:rsid w:val="00F16100"/>
    <w:rsid w:val="00F20E4E"/>
    <w:rsid w:val="00F20EBC"/>
    <w:rsid w:val="00F21C1D"/>
    <w:rsid w:val="00F2393B"/>
    <w:rsid w:val="00F2410F"/>
    <w:rsid w:val="00F241B9"/>
    <w:rsid w:val="00F273E4"/>
    <w:rsid w:val="00F275FB"/>
    <w:rsid w:val="00F3023D"/>
    <w:rsid w:val="00F30852"/>
    <w:rsid w:val="00F32294"/>
    <w:rsid w:val="00F32470"/>
    <w:rsid w:val="00F3308A"/>
    <w:rsid w:val="00F33852"/>
    <w:rsid w:val="00F37BAD"/>
    <w:rsid w:val="00F404B0"/>
    <w:rsid w:val="00F407FE"/>
    <w:rsid w:val="00F41630"/>
    <w:rsid w:val="00F41946"/>
    <w:rsid w:val="00F41C28"/>
    <w:rsid w:val="00F42889"/>
    <w:rsid w:val="00F431BD"/>
    <w:rsid w:val="00F44344"/>
    <w:rsid w:val="00F44C18"/>
    <w:rsid w:val="00F51C18"/>
    <w:rsid w:val="00F527D9"/>
    <w:rsid w:val="00F539C5"/>
    <w:rsid w:val="00F54A94"/>
    <w:rsid w:val="00F54C12"/>
    <w:rsid w:val="00F54C78"/>
    <w:rsid w:val="00F55043"/>
    <w:rsid w:val="00F55B53"/>
    <w:rsid w:val="00F55D67"/>
    <w:rsid w:val="00F5729D"/>
    <w:rsid w:val="00F574C2"/>
    <w:rsid w:val="00F6043B"/>
    <w:rsid w:val="00F61EC9"/>
    <w:rsid w:val="00F6421E"/>
    <w:rsid w:val="00F6426C"/>
    <w:rsid w:val="00F64609"/>
    <w:rsid w:val="00F65805"/>
    <w:rsid w:val="00F65B4C"/>
    <w:rsid w:val="00F67CBA"/>
    <w:rsid w:val="00F70BCF"/>
    <w:rsid w:val="00F70DD7"/>
    <w:rsid w:val="00F710BA"/>
    <w:rsid w:val="00F7394A"/>
    <w:rsid w:val="00F74425"/>
    <w:rsid w:val="00F755CD"/>
    <w:rsid w:val="00F75B57"/>
    <w:rsid w:val="00F7601A"/>
    <w:rsid w:val="00F760D8"/>
    <w:rsid w:val="00F82BA0"/>
    <w:rsid w:val="00F82EB1"/>
    <w:rsid w:val="00F832A5"/>
    <w:rsid w:val="00F836B6"/>
    <w:rsid w:val="00F84562"/>
    <w:rsid w:val="00F84D03"/>
    <w:rsid w:val="00F859B0"/>
    <w:rsid w:val="00F867B5"/>
    <w:rsid w:val="00F87318"/>
    <w:rsid w:val="00F8799D"/>
    <w:rsid w:val="00F9055E"/>
    <w:rsid w:val="00F92A9D"/>
    <w:rsid w:val="00F93796"/>
    <w:rsid w:val="00F93938"/>
    <w:rsid w:val="00F94FEA"/>
    <w:rsid w:val="00F96451"/>
    <w:rsid w:val="00F9691E"/>
    <w:rsid w:val="00F96C96"/>
    <w:rsid w:val="00F97C2E"/>
    <w:rsid w:val="00FA1F79"/>
    <w:rsid w:val="00FA333E"/>
    <w:rsid w:val="00FA55C2"/>
    <w:rsid w:val="00FA7623"/>
    <w:rsid w:val="00FB0998"/>
    <w:rsid w:val="00FB0B45"/>
    <w:rsid w:val="00FB1BAD"/>
    <w:rsid w:val="00FB2EED"/>
    <w:rsid w:val="00FB52E1"/>
    <w:rsid w:val="00FB660A"/>
    <w:rsid w:val="00FC0487"/>
    <w:rsid w:val="00FC0A0C"/>
    <w:rsid w:val="00FC1A49"/>
    <w:rsid w:val="00FC2AD3"/>
    <w:rsid w:val="00FC396D"/>
    <w:rsid w:val="00FC44F0"/>
    <w:rsid w:val="00FC4A95"/>
    <w:rsid w:val="00FC4CC0"/>
    <w:rsid w:val="00FC4E2D"/>
    <w:rsid w:val="00FC56D1"/>
    <w:rsid w:val="00FC63AD"/>
    <w:rsid w:val="00FC68B0"/>
    <w:rsid w:val="00FC7FD7"/>
    <w:rsid w:val="00FD18A2"/>
    <w:rsid w:val="00FD1CD0"/>
    <w:rsid w:val="00FD41C5"/>
    <w:rsid w:val="00FE0796"/>
    <w:rsid w:val="00FE0C39"/>
    <w:rsid w:val="00FE100C"/>
    <w:rsid w:val="00FE2BC6"/>
    <w:rsid w:val="00FE3A76"/>
    <w:rsid w:val="00FE3E8A"/>
    <w:rsid w:val="00FE4AF8"/>
    <w:rsid w:val="00FE70F3"/>
    <w:rsid w:val="00FF0219"/>
    <w:rsid w:val="00FF1A0A"/>
    <w:rsid w:val="00FF4133"/>
    <w:rsid w:val="00FF54E6"/>
    <w:rsid w:val="00FF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45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19C"/>
    <w:pPr>
      <w:autoSpaceDE w:val="0"/>
      <w:autoSpaceDN w:val="0"/>
      <w:adjustRightInd w:val="0"/>
    </w:pPr>
    <w:rPr>
      <w:rFonts w:ascii="Courier 10cpi" w:hAnsi="Courier 10cpi"/>
    </w:rPr>
  </w:style>
  <w:style w:type="paragraph" w:styleId="Heading1">
    <w:name w:val="heading 1"/>
    <w:basedOn w:val="Normal"/>
    <w:next w:val="Normal"/>
    <w:link w:val="Heading1Char"/>
    <w:qFormat/>
    <w:rsid w:val="00A02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021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021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21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021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021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021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219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A0219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0304"/>
    <w:rPr>
      <w:rFonts w:ascii="Tahoma" w:hAnsi="Tahoma" w:cs="Tahoma"/>
      <w:sz w:val="16"/>
      <w:szCs w:val="16"/>
    </w:rPr>
  </w:style>
  <w:style w:type="character" w:styleId="CommentReference">
    <w:name w:val="annotation reference"/>
    <w:basedOn w:val="DefaultParagraphFont"/>
    <w:uiPriority w:val="99"/>
    <w:rsid w:val="002B31B0"/>
    <w:rPr>
      <w:sz w:val="16"/>
      <w:szCs w:val="16"/>
    </w:rPr>
  </w:style>
  <w:style w:type="paragraph" w:styleId="CommentText">
    <w:name w:val="annotation text"/>
    <w:basedOn w:val="Normal"/>
    <w:link w:val="CommentTextChar"/>
    <w:uiPriority w:val="99"/>
    <w:rsid w:val="002B31B0"/>
  </w:style>
  <w:style w:type="paragraph" w:styleId="CommentSubject">
    <w:name w:val="annotation subject"/>
    <w:basedOn w:val="CommentText"/>
    <w:next w:val="CommentText"/>
    <w:semiHidden/>
    <w:rsid w:val="002B31B0"/>
    <w:rPr>
      <w:b/>
      <w:bCs/>
    </w:rPr>
  </w:style>
  <w:style w:type="paragraph" w:customStyle="1" w:styleId="Level1">
    <w:name w:val="Level 1"/>
    <w:basedOn w:val="Normal"/>
    <w:uiPriority w:val="99"/>
    <w:rsid w:val="00C56ADE"/>
    <w:pPr>
      <w:widowControl w:val="0"/>
      <w:autoSpaceDE/>
      <w:autoSpaceDN/>
      <w:adjustRightInd/>
    </w:pPr>
    <w:rPr>
      <w:rFonts w:ascii="Times New Roman" w:hAnsi="Times New Roman"/>
      <w:sz w:val="24"/>
    </w:rPr>
  </w:style>
  <w:style w:type="character" w:styleId="FootnoteReference">
    <w:name w:val="footnote reference"/>
    <w:basedOn w:val="DefaultParagraphFont"/>
    <w:rsid w:val="001007B5"/>
    <w:rPr>
      <w:vertAlign w:val="superscript"/>
    </w:rPr>
  </w:style>
  <w:style w:type="paragraph" w:styleId="FootnoteText">
    <w:name w:val="footnote text"/>
    <w:basedOn w:val="Normal"/>
    <w:link w:val="FootnoteTextChar"/>
    <w:uiPriority w:val="99"/>
    <w:semiHidden/>
    <w:rsid w:val="00C56AD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rFonts w:ascii="Times New Roman" w:hAnsi="Times New Roman"/>
      <w:sz w:val="24"/>
    </w:rPr>
  </w:style>
  <w:style w:type="paragraph" w:styleId="NormalWeb">
    <w:name w:val="Normal (Web)"/>
    <w:basedOn w:val="Normal"/>
    <w:rsid w:val="00D5514A"/>
    <w:pPr>
      <w:autoSpaceDE/>
      <w:autoSpaceDN/>
      <w:adjustRightInd/>
      <w:spacing w:before="100" w:beforeAutospacing="1" w:after="100" w:afterAutospacing="1"/>
    </w:pPr>
    <w:rPr>
      <w:rFonts w:ascii="Times New Roman" w:hAnsi="Times New Roman"/>
      <w:sz w:val="24"/>
      <w:szCs w:val="24"/>
    </w:rPr>
  </w:style>
  <w:style w:type="character" w:customStyle="1" w:styleId="CommentTextChar">
    <w:name w:val="Comment Text Char"/>
    <w:basedOn w:val="DefaultParagraphFont"/>
    <w:link w:val="CommentText"/>
    <w:uiPriority w:val="99"/>
    <w:rsid w:val="0050596F"/>
    <w:rPr>
      <w:rFonts w:ascii="Courier 10cpi" w:hAnsi="Courier 10cpi"/>
    </w:rPr>
  </w:style>
  <w:style w:type="paragraph" w:styleId="ListParagraph">
    <w:name w:val="List Paragraph"/>
    <w:basedOn w:val="Normal"/>
    <w:link w:val="ListParagraphChar"/>
    <w:uiPriority w:val="34"/>
    <w:qFormat/>
    <w:rsid w:val="00A0219C"/>
    <w:pPr>
      <w:ind w:left="720"/>
      <w:contextualSpacing/>
    </w:pPr>
  </w:style>
  <w:style w:type="paragraph" w:styleId="Header">
    <w:name w:val="header"/>
    <w:basedOn w:val="Normal"/>
    <w:link w:val="HeaderChar"/>
    <w:rsid w:val="003C4B26"/>
    <w:pPr>
      <w:tabs>
        <w:tab w:val="center" w:pos="4680"/>
        <w:tab w:val="right" w:pos="9360"/>
      </w:tabs>
    </w:pPr>
  </w:style>
  <w:style w:type="character" w:customStyle="1" w:styleId="HeaderChar">
    <w:name w:val="Header Char"/>
    <w:basedOn w:val="DefaultParagraphFont"/>
    <w:link w:val="Header"/>
    <w:rsid w:val="003C4B26"/>
    <w:rPr>
      <w:rFonts w:ascii="Courier 10cpi" w:hAnsi="Courier 10cpi"/>
    </w:rPr>
  </w:style>
  <w:style w:type="paragraph" w:styleId="Footer">
    <w:name w:val="footer"/>
    <w:basedOn w:val="Normal"/>
    <w:link w:val="FooterChar"/>
    <w:rsid w:val="003C4B26"/>
    <w:pPr>
      <w:tabs>
        <w:tab w:val="center" w:pos="4680"/>
        <w:tab w:val="right" w:pos="9360"/>
      </w:tabs>
    </w:pPr>
  </w:style>
  <w:style w:type="character" w:customStyle="1" w:styleId="FooterChar">
    <w:name w:val="Footer Char"/>
    <w:basedOn w:val="DefaultParagraphFont"/>
    <w:link w:val="Footer"/>
    <w:rsid w:val="003C4B26"/>
    <w:rPr>
      <w:rFonts w:ascii="Courier 10cpi" w:hAnsi="Courier 10cpi"/>
    </w:rPr>
  </w:style>
  <w:style w:type="paragraph" w:styleId="NoSpacing">
    <w:name w:val="No Spacing"/>
    <w:uiPriority w:val="1"/>
    <w:qFormat/>
    <w:rsid w:val="00A0219C"/>
    <w:pPr>
      <w:widowControl w:val="0"/>
      <w:autoSpaceDE w:val="0"/>
      <w:autoSpaceDN w:val="0"/>
      <w:adjustRightInd w:val="0"/>
    </w:pPr>
    <w:rPr>
      <w:rFonts w:eastAsiaTheme="minorEastAsia"/>
      <w:sz w:val="24"/>
      <w:szCs w:val="24"/>
    </w:rPr>
  </w:style>
  <w:style w:type="paragraph" w:customStyle="1" w:styleId="Title-OMB">
    <w:name w:val="Title-OMB"/>
    <w:basedOn w:val="Normal"/>
    <w:link w:val="Title-OMBChar"/>
    <w:rsid w:val="0079582E"/>
    <w:pPr>
      <w:jc w:val="center"/>
    </w:pPr>
    <w:rPr>
      <w:rFonts w:ascii="Arial" w:hAnsi="Arial"/>
      <w:sz w:val="22"/>
    </w:rPr>
  </w:style>
  <w:style w:type="paragraph" w:customStyle="1" w:styleId="Heading1omb">
    <w:name w:val="Heading1_omb"/>
    <w:basedOn w:val="Normal"/>
    <w:link w:val="Heading1ombChar"/>
    <w:rsid w:val="0079582E"/>
    <w:pPr>
      <w:tabs>
        <w:tab w:val="left" w:pos="720"/>
      </w:tabs>
      <w:ind w:left="720" w:hanging="720"/>
    </w:pPr>
    <w:rPr>
      <w:rFonts w:ascii="Arial" w:hAnsi="Arial" w:cs="Arial"/>
      <w:sz w:val="22"/>
      <w:szCs w:val="22"/>
    </w:rPr>
  </w:style>
  <w:style w:type="character" w:customStyle="1" w:styleId="Title-OMBChar">
    <w:name w:val="Title-OMB Char"/>
    <w:basedOn w:val="DefaultParagraphFont"/>
    <w:link w:val="Title-OMB"/>
    <w:rsid w:val="0079582E"/>
    <w:rPr>
      <w:rFonts w:ascii="Arial" w:hAnsi="Arial"/>
      <w:sz w:val="22"/>
    </w:rPr>
  </w:style>
  <w:style w:type="paragraph" w:customStyle="1" w:styleId="Heading2omb0">
    <w:name w:val="Heading2_omb"/>
    <w:basedOn w:val="Normal"/>
    <w:link w:val="Heading2ombChar"/>
    <w:rsid w:val="0079582E"/>
    <w:pPr>
      <w:tabs>
        <w:tab w:val="left" w:pos="720"/>
        <w:tab w:val="left" w:pos="1260"/>
      </w:tabs>
      <w:ind w:left="1440" w:hanging="1440"/>
    </w:pPr>
    <w:rPr>
      <w:rFonts w:ascii="Arial" w:hAnsi="Arial" w:cs="Arial"/>
      <w:sz w:val="22"/>
      <w:szCs w:val="22"/>
      <w:u w:val="single"/>
    </w:rPr>
  </w:style>
  <w:style w:type="character" w:customStyle="1" w:styleId="Heading1ombChar">
    <w:name w:val="Heading1_omb Char"/>
    <w:basedOn w:val="DefaultParagraphFont"/>
    <w:link w:val="Heading1omb"/>
    <w:rsid w:val="0079582E"/>
    <w:rPr>
      <w:rFonts w:ascii="Arial" w:hAnsi="Arial" w:cs="Arial"/>
      <w:sz w:val="22"/>
      <w:szCs w:val="22"/>
    </w:rPr>
  </w:style>
  <w:style w:type="paragraph" w:customStyle="1" w:styleId="Heading3omb">
    <w:name w:val="Heading3_omb"/>
    <w:basedOn w:val="Normal"/>
    <w:link w:val="Heading3ombChar"/>
    <w:rsid w:val="0079582E"/>
    <w:pPr>
      <w:tabs>
        <w:tab w:val="left" w:pos="720"/>
        <w:tab w:val="left" w:pos="1440"/>
      </w:tabs>
      <w:ind w:left="1440" w:hanging="1440"/>
    </w:pPr>
    <w:rPr>
      <w:rFonts w:ascii="Arial" w:hAnsi="Arial" w:cs="Arial"/>
      <w:sz w:val="22"/>
      <w:szCs w:val="22"/>
    </w:rPr>
  </w:style>
  <w:style w:type="character" w:customStyle="1" w:styleId="Heading2ombChar">
    <w:name w:val="Heading2_omb Char"/>
    <w:basedOn w:val="DefaultParagraphFont"/>
    <w:link w:val="Heading2omb0"/>
    <w:rsid w:val="0079582E"/>
    <w:rPr>
      <w:rFonts w:ascii="Arial" w:hAnsi="Arial" w:cs="Arial"/>
      <w:sz w:val="22"/>
      <w:szCs w:val="22"/>
      <w:u w:val="single"/>
    </w:rPr>
  </w:style>
  <w:style w:type="paragraph" w:customStyle="1" w:styleId="Heading2OMB">
    <w:name w:val="Heading2_OMB"/>
    <w:basedOn w:val="ListParagraph"/>
    <w:link w:val="Heading2OMBChar0"/>
    <w:qFormat/>
    <w:rsid w:val="00A0219C"/>
    <w:pPr>
      <w:numPr>
        <w:numId w:val="4"/>
      </w:numPr>
      <w:tabs>
        <w:tab w:val="left" w:pos="720"/>
        <w:tab w:val="left" w:pos="1260"/>
      </w:tabs>
    </w:pPr>
    <w:rPr>
      <w:rFonts w:ascii="Arial" w:hAnsi="Arial" w:cs="Arial"/>
      <w:sz w:val="22"/>
      <w:szCs w:val="22"/>
    </w:rPr>
  </w:style>
  <w:style w:type="character" w:customStyle="1" w:styleId="Heading3ombChar">
    <w:name w:val="Heading3_omb Char"/>
    <w:basedOn w:val="DefaultParagraphFont"/>
    <w:link w:val="Heading3omb"/>
    <w:rsid w:val="0079582E"/>
    <w:rPr>
      <w:rFonts w:ascii="Arial" w:hAnsi="Arial" w:cs="Arial"/>
      <w:sz w:val="22"/>
      <w:szCs w:val="22"/>
    </w:rPr>
  </w:style>
  <w:style w:type="character" w:customStyle="1" w:styleId="Heading1Char">
    <w:name w:val="Heading 1 Char"/>
    <w:basedOn w:val="DefaultParagraphFont"/>
    <w:link w:val="Heading1"/>
    <w:rsid w:val="00A0219C"/>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A0219C"/>
    <w:rPr>
      <w:rFonts w:ascii="Courier 10cpi" w:hAnsi="Courier 10cpi"/>
    </w:rPr>
  </w:style>
  <w:style w:type="character" w:customStyle="1" w:styleId="Heading2OMBChar0">
    <w:name w:val="Heading2_OMB Char"/>
    <w:basedOn w:val="ListParagraphChar"/>
    <w:link w:val="Heading2OMB"/>
    <w:rsid w:val="00A0219C"/>
    <w:rPr>
      <w:rFonts w:ascii="Arial" w:hAnsi="Arial" w:cs="Arial"/>
      <w:sz w:val="22"/>
      <w:szCs w:val="22"/>
    </w:rPr>
  </w:style>
  <w:style w:type="character" w:customStyle="1" w:styleId="Heading2Char">
    <w:name w:val="Heading 2 Char"/>
    <w:basedOn w:val="DefaultParagraphFont"/>
    <w:link w:val="Heading2"/>
    <w:semiHidden/>
    <w:rsid w:val="00A021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021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A021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A021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A021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A021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A021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0219C"/>
    <w:rPr>
      <w:rFonts w:asciiTheme="majorHAnsi" w:eastAsiaTheme="majorEastAsia" w:hAnsiTheme="majorHAnsi" w:cstheme="majorBidi"/>
      <w:i/>
      <w:iCs/>
      <w:color w:val="404040" w:themeColor="text1" w:themeTint="BF"/>
    </w:rPr>
  </w:style>
  <w:style w:type="paragraph" w:styleId="Caption">
    <w:name w:val="caption"/>
    <w:basedOn w:val="Normal"/>
    <w:next w:val="Normal"/>
    <w:semiHidden/>
    <w:unhideWhenUsed/>
    <w:qFormat/>
    <w:rsid w:val="00A0219C"/>
    <w:pPr>
      <w:spacing w:after="200"/>
    </w:pPr>
    <w:rPr>
      <w:b/>
      <w:bCs/>
      <w:color w:val="4F81BD" w:themeColor="accent1"/>
      <w:sz w:val="18"/>
      <w:szCs w:val="18"/>
    </w:rPr>
  </w:style>
  <w:style w:type="paragraph" w:styleId="Title">
    <w:name w:val="Title"/>
    <w:basedOn w:val="Normal"/>
    <w:next w:val="Normal"/>
    <w:link w:val="TitleChar"/>
    <w:qFormat/>
    <w:rsid w:val="00A021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021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A021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0219C"/>
    <w:rPr>
      <w:rFonts w:asciiTheme="majorHAnsi" w:eastAsiaTheme="majorEastAsia" w:hAnsiTheme="majorHAnsi" w:cstheme="majorBidi"/>
      <w:i/>
      <w:iCs/>
      <w:color w:val="4F81BD" w:themeColor="accent1"/>
      <w:spacing w:val="15"/>
      <w:sz w:val="24"/>
      <w:szCs w:val="24"/>
    </w:rPr>
  </w:style>
  <w:style w:type="character" w:styleId="Strong">
    <w:name w:val="Strong"/>
    <w:qFormat/>
    <w:rsid w:val="00A0219C"/>
    <w:rPr>
      <w:b/>
      <w:bCs/>
    </w:rPr>
  </w:style>
  <w:style w:type="character" w:styleId="Emphasis">
    <w:name w:val="Emphasis"/>
    <w:uiPriority w:val="20"/>
    <w:qFormat/>
    <w:rsid w:val="00A0219C"/>
    <w:rPr>
      <w:i/>
      <w:iCs/>
    </w:rPr>
  </w:style>
  <w:style w:type="paragraph" w:styleId="Quote">
    <w:name w:val="Quote"/>
    <w:basedOn w:val="Normal"/>
    <w:next w:val="Normal"/>
    <w:link w:val="QuoteChar"/>
    <w:uiPriority w:val="29"/>
    <w:qFormat/>
    <w:rsid w:val="00A0219C"/>
    <w:rPr>
      <w:i/>
      <w:iCs/>
      <w:color w:val="000000" w:themeColor="text1"/>
    </w:rPr>
  </w:style>
  <w:style w:type="character" w:customStyle="1" w:styleId="QuoteChar">
    <w:name w:val="Quote Char"/>
    <w:basedOn w:val="DefaultParagraphFont"/>
    <w:link w:val="Quote"/>
    <w:uiPriority w:val="29"/>
    <w:rsid w:val="00A0219C"/>
    <w:rPr>
      <w:rFonts w:ascii="Courier 10cpi" w:hAnsi="Courier 10cpi"/>
      <w:i/>
      <w:iCs/>
      <w:color w:val="000000" w:themeColor="text1"/>
    </w:rPr>
  </w:style>
  <w:style w:type="paragraph" w:styleId="IntenseQuote">
    <w:name w:val="Intense Quote"/>
    <w:basedOn w:val="Normal"/>
    <w:next w:val="Normal"/>
    <w:link w:val="IntenseQuoteChar"/>
    <w:uiPriority w:val="30"/>
    <w:qFormat/>
    <w:rsid w:val="00A021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19C"/>
    <w:rPr>
      <w:rFonts w:ascii="Courier 10cpi" w:hAnsi="Courier 10cpi"/>
      <w:b/>
      <w:bCs/>
      <w:i/>
      <w:iCs/>
      <w:color w:val="4F81BD" w:themeColor="accent1"/>
    </w:rPr>
  </w:style>
  <w:style w:type="character" w:styleId="SubtleEmphasis">
    <w:name w:val="Subtle Emphasis"/>
    <w:uiPriority w:val="19"/>
    <w:qFormat/>
    <w:rsid w:val="00A0219C"/>
    <w:rPr>
      <w:i/>
      <w:iCs/>
      <w:color w:val="808080" w:themeColor="text1" w:themeTint="7F"/>
    </w:rPr>
  </w:style>
  <w:style w:type="character" w:styleId="IntenseEmphasis">
    <w:name w:val="Intense Emphasis"/>
    <w:uiPriority w:val="21"/>
    <w:qFormat/>
    <w:rsid w:val="00A0219C"/>
    <w:rPr>
      <w:b/>
      <w:bCs/>
      <w:i/>
      <w:iCs/>
      <w:color w:val="4F81BD" w:themeColor="accent1"/>
    </w:rPr>
  </w:style>
  <w:style w:type="character" w:styleId="SubtleReference">
    <w:name w:val="Subtle Reference"/>
    <w:uiPriority w:val="31"/>
    <w:qFormat/>
    <w:rsid w:val="00A0219C"/>
    <w:rPr>
      <w:smallCaps/>
      <w:color w:val="C0504D" w:themeColor="accent2"/>
      <w:u w:val="single"/>
    </w:rPr>
  </w:style>
  <w:style w:type="character" w:styleId="IntenseReference">
    <w:name w:val="Intense Reference"/>
    <w:uiPriority w:val="32"/>
    <w:qFormat/>
    <w:rsid w:val="00A0219C"/>
    <w:rPr>
      <w:b/>
      <w:bCs/>
      <w:smallCaps/>
      <w:color w:val="C0504D" w:themeColor="accent2"/>
      <w:spacing w:val="5"/>
      <w:u w:val="single"/>
    </w:rPr>
  </w:style>
  <w:style w:type="character" w:styleId="BookTitle">
    <w:name w:val="Book Title"/>
    <w:uiPriority w:val="33"/>
    <w:qFormat/>
    <w:rsid w:val="00A0219C"/>
    <w:rPr>
      <w:b/>
      <w:bCs/>
      <w:smallCaps/>
      <w:spacing w:val="5"/>
    </w:rPr>
  </w:style>
  <w:style w:type="paragraph" w:styleId="TOCHeading">
    <w:name w:val="TOC Heading"/>
    <w:basedOn w:val="Heading1"/>
    <w:next w:val="Normal"/>
    <w:uiPriority w:val="39"/>
    <w:semiHidden/>
    <w:unhideWhenUsed/>
    <w:qFormat/>
    <w:rsid w:val="00A0219C"/>
    <w:pPr>
      <w:outlineLvl w:val="9"/>
    </w:pPr>
  </w:style>
  <w:style w:type="paragraph" w:styleId="Revision">
    <w:name w:val="Revision"/>
    <w:hidden/>
    <w:uiPriority w:val="99"/>
    <w:semiHidden/>
    <w:rsid w:val="00423D4A"/>
    <w:rPr>
      <w:rFonts w:ascii="Courier 10cpi" w:hAnsi="Courier 10cpi"/>
    </w:rPr>
  </w:style>
  <w:style w:type="character" w:customStyle="1" w:styleId="FootnoteTextChar">
    <w:name w:val="Footnote Text Char"/>
    <w:basedOn w:val="DefaultParagraphFont"/>
    <w:link w:val="FootnoteText"/>
    <w:uiPriority w:val="99"/>
    <w:semiHidden/>
    <w:rsid w:val="0062474A"/>
    <w:rPr>
      <w:sz w:val="24"/>
    </w:rPr>
  </w:style>
  <w:style w:type="character" w:customStyle="1" w:styleId="apple-converted-space">
    <w:name w:val="apple-converted-space"/>
    <w:basedOn w:val="DefaultParagraphFont"/>
    <w:rsid w:val="00F054B2"/>
  </w:style>
  <w:style w:type="character" w:styleId="Hyperlink">
    <w:name w:val="Hyperlink"/>
    <w:basedOn w:val="DefaultParagraphFont"/>
    <w:unhideWhenUsed/>
    <w:rsid w:val="004F1216"/>
    <w:rPr>
      <w:color w:val="0000FF" w:themeColor="hyperlink"/>
      <w:u w:val="single"/>
    </w:rPr>
  </w:style>
  <w:style w:type="character" w:styleId="FollowedHyperlink">
    <w:name w:val="FollowedHyperlink"/>
    <w:basedOn w:val="DefaultParagraphFont"/>
    <w:semiHidden/>
    <w:unhideWhenUsed/>
    <w:rsid w:val="005326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19C"/>
    <w:pPr>
      <w:autoSpaceDE w:val="0"/>
      <w:autoSpaceDN w:val="0"/>
      <w:adjustRightInd w:val="0"/>
    </w:pPr>
    <w:rPr>
      <w:rFonts w:ascii="Courier 10cpi" w:hAnsi="Courier 10cpi"/>
    </w:rPr>
  </w:style>
  <w:style w:type="paragraph" w:styleId="Heading1">
    <w:name w:val="heading 1"/>
    <w:basedOn w:val="Normal"/>
    <w:next w:val="Normal"/>
    <w:link w:val="Heading1Char"/>
    <w:qFormat/>
    <w:rsid w:val="00A02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021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021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21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021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021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021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219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A0219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0304"/>
    <w:rPr>
      <w:rFonts w:ascii="Tahoma" w:hAnsi="Tahoma" w:cs="Tahoma"/>
      <w:sz w:val="16"/>
      <w:szCs w:val="16"/>
    </w:rPr>
  </w:style>
  <w:style w:type="character" w:styleId="CommentReference">
    <w:name w:val="annotation reference"/>
    <w:basedOn w:val="DefaultParagraphFont"/>
    <w:uiPriority w:val="99"/>
    <w:rsid w:val="002B31B0"/>
    <w:rPr>
      <w:sz w:val="16"/>
      <w:szCs w:val="16"/>
    </w:rPr>
  </w:style>
  <w:style w:type="paragraph" w:styleId="CommentText">
    <w:name w:val="annotation text"/>
    <w:basedOn w:val="Normal"/>
    <w:link w:val="CommentTextChar"/>
    <w:uiPriority w:val="99"/>
    <w:rsid w:val="002B31B0"/>
  </w:style>
  <w:style w:type="paragraph" w:styleId="CommentSubject">
    <w:name w:val="annotation subject"/>
    <w:basedOn w:val="CommentText"/>
    <w:next w:val="CommentText"/>
    <w:semiHidden/>
    <w:rsid w:val="002B31B0"/>
    <w:rPr>
      <w:b/>
      <w:bCs/>
    </w:rPr>
  </w:style>
  <w:style w:type="paragraph" w:customStyle="1" w:styleId="Level1">
    <w:name w:val="Level 1"/>
    <w:basedOn w:val="Normal"/>
    <w:uiPriority w:val="99"/>
    <w:rsid w:val="00C56ADE"/>
    <w:pPr>
      <w:widowControl w:val="0"/>
      <w:autoSpaceDE/>
      <w:autoSpaceDN/>
      <w:adjustRightInd/>
    </w:pPr>
    <w:rPr>
      <w:rFonts w:ascii="Times New Roman" w:hAnsi="Times New Roman"/>
      <w:sz w:val="24"/>
    </w:rPr>
  </w:style>
  <w:style w:type="character" w:styleId="FootnoteReference">
    <w:name w:val="footnote reference"/>
    <w:basedOn w:val="DefaultParagraphFont"/>
    <w:rsid w:val="001007B5"/>
    <w:rPr>
      <w:vertAlign w:val="superscript"/>
    </w:rPr>
  </w:style>
  <w:style w:type="paragraph" w:styleId="FootnoteText">
    <w:name w:val="footnote text"/>
    <w:basedOn w:val="Normal"/>
    <w:link w:val="FootnoteTextChar"/>
    <w:uiPriority w:val="99"/>
    <w:semiHidden/>
    <w:rsid w:val="00C56AD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rFonts w:ascii="Times New Roman" w:hAnsi="Times New Roman"/>
      <w:sz w:val="24"/>
    </w:rPr>
  </w:style>
  <w:style w:type="paragraph" w:styleId="NormalWeb">
    <w:name w:val="Normal (Web)"/>
    <w:basedOn w:val="Normal"/>
    <w:rsid w:val="00D5514A"/>
    <w:pPr>
      <w:autoSpaceDE/>
      <w:autoSpaceDN/>
      <w:adjustRightInd/>
      <w:spacing w:before="100" w:beforeAutospacing="1" w:after="100" w:afterAutospacing="1"/>
    </w:pPr>
    <w:rPr>
      <w:rFonts w:ascii="Times New Roman" w:hAnsi="Times New Roman"/>
      <w:sz w:val="24"/>
      <w:szCs w:val="24"/>
    </w:rPr>
  </w:style>
  <w:style w:type="character" w:customStyle="1" w:styleId="CommentTextChar">
    <w:name w:val="Comment Text Char"/>
    <w:basedOn w:val="DefaultParagraphFont"/>
    <w:link w:val="CommentText"/>
    <w:uiPriority w:val="99"/>
    <w:rsid w:val="0050596F"/>
    <w:rPr>
      <w:rFonts w:ascii="Courier 10cpi" w:hAnsi="Courier 10cpi"/>
    </w:rPr>
  </w:style>
  <w:style w:type="paragraph" w:styleId="ListParagraph">
    <w:name w:val="List Paragraph"/>
    <w:basedOn w:val="Normal"/>
    <w:link w:val="ListParagraphChar"/>
    <w:uiPriority w:val="34"/>
    <w:qFormat/>
    <w:rsid w:val="00A0219C"/>
    <w:pPr>
      <w:ind w:left="720"/>
      <w:contextualSpacing/>
    </w:pPr>
  </w:style>
  <w:style w:type="paragraph" w:styleId="Header">
    <w:name w:val="header"/>
    <w:basedOn w:val="Normal"/>
    <w:link w:val="HeaderChar"/>
    <w:rsid w:val="003C4B26"/>
    <w:pPr>
      <w:tabs>
        <w:tab w:val="center" w:pos="4680"/>
        <w:tab w:val="right" w:pos="9360"/>
      </w:tabs>
    </w:pPr>
  </w:style>
  <w:style w:type="character" w:customStyle="1" w:styleId="HeaderChar">
    <w:name w:val="Header Char"/>
    <w:basedOn w:val="DefaultParagraphFont"/>
    <w:link w:val="Header"/>
    <w:rsid w:val="003C4B26"/>
    <w:rPr>
      <w:rFonts w:ascii="Courier 10cpi" w:hAnsi="Courier 10cpi"/>
    </w:rPr>
  </w:style>
  <w:style w:type="paragraph" w:styleId="Footer">
    <w:name w:val="footer"/>
    <w:basedOn w:val="Normal"/>
    <w:link w:val="FooterChar"/>
    <w:rsid w:val="003C4B26"/>
    <w:pPr>
      <w:tabs>
        <w:tab w:val="center" w:pos="4680"/>
        <w:tab w:val="right" w:pos="9360"/>
      </w:tabs>
    </w:pPr>
  </w:style>
  <w:style w:type="character" w:customStyle="1" w:styleId="FooterChar">
    <w:name w:val="Footer Char"/>
    <w:basedOn w:val="DefaultParagraphFont"/>
    <w:link w:val="Footer"/>
    <w:rsid w:val="003C4B26"/>
    <w:rPr>
      <w:rFonts w:ascii="Courier 10cpi" w:hAnsi="Courier 10cpi"/>
    </w:rPr>
  </w:style>
  <w:style w:type="paragraph" w:styleId="NoSpacing">
    <w:name w:val="No Spacing"/>
    <w:uiPriority w:val="1"/>
    <w:qFormat/>
    <w:rsid w:val="00A0219C"/>
    <w:pPr>
      <w:widowControl w:val="0"/>
      <w:autoSpaceDE w:val="0"/>
      <w:autoSpaceDN w:val="0"/>
      <w:adjustRightInd w:val="0"/>
    </w:pPr>
    <w:rPr>
      <w:rFonts w:eastAsiaTheme="minorEastAsia"/>
      <w:sz w:val="24"/>
      <w:szCs w:val="24"/>
    </w:rPr>
  </w:style>
  <w:style w:type="paragraph" w:customStyle="1" w:styleId="Title-OMB">
    <w:name w:val="Title-OMB"/>
    <w:basedOn w:val="Normal"/>
    <w:link w:val="Title-OMBChar"/>
    <w:rsid w:val="0079582E"/>
    <w:pPr>
      <w:jc w:val="center"/>
    </w:pPr>
    <w:rPr>
      <w:rFonts w:ascii="Arial" w:hAnsi="Arial"/>
      <w:sz w:val="22"/>
    </w:rPr>
  </w:style>
  <w:style w:type="paragraph" w:customStyle="1" w:styleId="Heading1omb">
    <w:name w:val="Heading1_omb"/>
    <w:basedOn w:val="Normal"/>
    <w:link w:val="Heading1ombChar"/>
    <w:rsid w:val="0079582E"/>
    <w:pPr>
      <w:tabs>
        <w:tab w:val="left" w:pos="720"/>
      </w:tabs>
      <w:ind w:left="720" w:hanging="720"/>
    </w:pPr>
    <w:rPr>
      <w:rFonts w:ascii="Arial" w:hAnsi="Arial" w:cs="Arial"/>
      <w:sz w:val="22"/>
      <w:szCs w:val="22"/>
    </w:rPr>
  </w:style>
  <w:style w:type="character" w:customStyle="1" w:styleId="Title-OMBChar">
    <w:name w:val="Title-OMB Char"/>
    <w:basedOn w:val="DefaultParagraphFont"/>
    <w:link w:val="Title-OMB"/>
    <w:rsid w:val="0079582E"/>
    <w:rPr>
      <w:rFonts w:ascii="Arial" w:hAnsi="Arial"/>
      <w:sz w:val="22"/>
    </w:rPr>
  </w:style>
  <w:style w:type="paragraph" w:customStyle="1" w:styleId="Heading2omb0">
    <w:name w:val="Heading2_omb"/>
    <w:basedOn w:val="Normal"/>
    <w:link w:val="Heading2ombChar"/>
    <w:rsid w:val="0079582E"/>
    <w:pPr>
      <w:tabs>
        <w:tab w:val="left" w:pos="720"/>
        <w:tab w:val="left" w:pos="1260"/>
      </w:tabs>
      <w:ind w:left="1440" w:hanging="1440"/>
    </w:pPr>
    <w:rPr>
      <w:rFonts w:ascii="Arial" w:hAnsi="Arial" w:cs="Arial"/>
      <w:sz w:val="22"/>
      <w:szCs w:val="22"/>
      <w:u w:val="single"/>
    </w:rPr>
  </w:style>
  <w:style w:type="character" w:customStyle="1" w:styleId="Heading1ombChar">
    <w:name w:val="Heading1_omb Char"/>
    <w:basedOn w:val="DefaultParagraphFont"/>
    <w:link w:val="Heading1omb"/>
    <w:rsid w:val="0079582E"/>
    <w:rPr>
      <w:rFonts w:ascii="Arial" w:hAnsi="Arial" w:cs="Arial"/>
      <w:sz w:val="22"/>
      <w:szCs w:val="22"/>
    </w:rPr>
  </w:style>
  <w:style w:type="paragraph" w:customStyle="1" w:styleId="Heading3omb">
    <w:name w:val="Heading3_omb"/>
    <w:basedOn w:val="Normal"/>
    <w:link w:val="Heading3ombChar"/>
    <w:rsid w:val="0079582E"/>
    <w:pPr>
      <w:tabs>
        <w:tab w:val="left" w:pos="720"/>
        <w:tab w:val="left" w:pos="1440"/>
      </w:tabs>
      <w:ind w:left="1440" w:hanging="1440"/>
    </w:pPr>
    <w:rPr>
      <w:rFonts w:ascii="Arial" w:hAnsi="Arial" w:cs="Arial"/>
      <w:sz w:val="22"/>
      <w:szCs w:val="22"/>
    </w:rPr>
  </w:style>
  <w:style w:type="character" w:customStyle="1" w:styleId="Heading2ombChar">
    <w:name w:val="Heading2_omb Char"/>
    <w:basedOn w:val="DefaultParagraphFont"/>
    <w:link w:val="Heading2omb0"/>
    <w:rsid w:val="0079582E"/>
    <w:rPr>
      <w:rFonts w:ascii="Arial" w:hAnsi="Arial" w:cs="Arial"/>
      <w:sz w:val="22"/>
      <w:szCs w:val="22"/>
      <w:u w:val="single"/>
    </w:rPr>
  </w:style>
  <w:style w:type="paragraph" w:customStyle="1" w:styleId="Heading2OMB">
    <w:name w:val="Heading2_OMB"/>
    <w:basedOn w:val="ListParagraph"/>
    <w:link w:val="Heading2OMBChar0"/>
    <w:qFormat/>
    <w:rsid w:val="00A0219C"/>
    <w:pPr>
      <w:numPr>
        <w:numId w:val="4"/>
      </w:numPr>
      <w:tabs>
        <w:tab w:val="left" w:pos="720"/>
        <w:tab w:val="left" w:pos="1260"/>
      </w:tabs>
    </w:pPr>
    <w:rPr>
      <w:rFonts w:ascii="Arial" w:hAnsi="Arial" w:cs="Arial"/>
      <w:sz w:val="22"/>
      <w:szCs w:val="22"/>
    </w:rPr>
  </w:style>
  <w:style w:type="character" w:customStyle="1" w:styleId="Heading3ombChar">
    <w:name w:val="Heading3_omb Char"/>
    <w:basedOn w:val="DefaultParagraphFont"/>
    <w:link w:val="Heading3omb"/>
    <w:rsid w:val="0079582E"/>
    <w:rPr>
      <w:rFonts w:ascii="Arial" w:hAnsi="Arial" w:cs="Arial"/>
      <w:sz w:val="22"/>
      <w:szCs w:val="22"/>
    </w:rPr>
  </w:style>
  <w:style w:type="character" w:customStyle="1" w:styleId="Heading1Char">
    <w:name w:val="Heading 1 Char"/>
    <w:basedOn w:val="DefaultParagraphFont"/>
    <w:link w:val="Heading1"/>
    <w:rsid w:val="00A0219C"/>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A0219C"/>
    <w:rPr>
      <w:rFonts w:ascii="Courier 10cpi" w:hAnsi="Courier 10cpi"/>
    </w:rPr>
  </w:style>
  <w:style w:type="character" w:customStyle="1" w:styleId="Heading2OMBChar0">
    <w:name w:val="Heading2_OMB Char"/>
    <w:basedOn w:val="ListParagraphChar"/>
    <w:link w:val="Heading2OMB"/>
    <w:rsid w:val="00A0219C"/>
    <w:rPr>
      <w:rFonts w:ascii="Arial" w:hAnsi="Arial" w:cs="Arial"/>
      <w:sz w:val="22"/>
      <w:szCs w:val="22"/>
    </w:rPr>
  </w:style>
  <w:style w:type="character" w:customStyle="1" w:styleId="Heading2Char">
    <w:name w:val="Heading 2 Char"/>
    <w:basedOn w:val="DefaultParagraphFont"/>
    <w:link w:val="Heading2"/>
    <w:semiHidden/>
    <w:rsid w:val="00A021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021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A021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A021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A021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A021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A021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0219C"/>
    <w:rPr>
      <w:rFonts w:asciiTheme="majorHAnsi" w:eastAsiaTheme="majorEastAsia" w:hAnsiTheme="majorHAnsi" w:cstheme="majorBidi"/>
      <w:i/>
      <w:iCs/>
      <w:color w:val="404040" w:themeColor="text1" w:themeTint="BF"/>
    </w:rPr>
  </w:style>
  <w:style w:type="paragraph" w:styleId="Caption">
    <w:name w:val="caption"/>
    <w:basedOn w:val="Normal"/>
    <w:next w:val="Normal"/>
    <w:semiHidden/>
    <w:unhideWhenUsed/>
    <w:qFormat/>
    <w:rsid w:val="00A0219C"/>
    <w:pPr>
      <w:spacing w:after="200"/>
    </w:pPr>
    <w:rPr>
      <w:b/>
      <w:bCs/>
      <w:color w:val="4F81BD" w:themeColor="accent1"/>
      <w:sz w:val="18"/>
      <w:szCs w:val="18"/>
    </w:rPr>
  </w:style>
  <w:style w:type="paragraph" w:styleId="Title">
    <w:name w:val="Title"/>
    <w:basedOn w:val="Normal"/>
    <w:next w:val="Normal"/>
    <w:link w:val="TitleChar"/>
    <w:qFormat/>
    <w:rsid w:val="00A021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021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A021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0219C"/>
    <w:rPr>
      <w:rFonts w:asciiTheme="majorHAnsi" w:eastAsiaTheme="majorEastAsia" w:hAnsiTheme="majorHAnsi" w:cstheme="majorBidi"/>
      <w:i/>
      <w:iCs/>
      <w:color w:val="4F81BD" w:themeColor="accent1"/>
      <w:spacing w:val="15"/>
      <w:sz w:val="24"/>
      <w:szCs w:val="24"/>
    </w:rPr>
  </w:style>
  <w:style w:type="character" w:styleId="Strong">
    <w:name w:val="Strong"/>
    <w:qFormat/>
    <w:rsid w:val="00A0219C"/>
    <w:rPr>
      <w:b/>
      <w:bCs/>
    </w:rPr>
  </w:style>
  <w:style w:type="character" w:styleId="Emphasis">
    <w:name w:val="Emphasis"/>
    <w:uiPriority w:val="20"/>
    <w:qFormat/>
    <w:rsid w:val="00A0219C"/>
    <w:rPr>
      <w:i/>
      <w:iCs/>
    </w:rPr>
  </w:style>
  <w:style w:type="paragraph" w:styleId="Quote">
    <w:name w:val="Quote"/>
    <w:basedOn w:val="Normal"/>
    <w:next w:val="Normal"/>
    <w:link w:val="QuoteChar"/>
    <w:uiPriority w:val="29"/>
    <w:qFormat/>
    <w:rsid w:val="00A0219C"/>
    <w:rPr>
      <w:i/>
      <w:iCs/>
      <w:color w:val="000000" w:themeColor="text1"/>
    </w:rPr>
  </w:style>
  <w:style w:type="character" w:customStyle="1" w:styleId="QuoteChar">
    <w:name w:val="Quote Char"/>
    <w:basedOn w:val="DefaultParagraphFont"/>
    <w:link w:val="Quote"/>
    <w:uiPriority w:val="29"/>
    <w:rsid w:val="00A0219C"/>
    <w:rPr>
      <w:rFonts w:ascii="Courier 10cpi" w:hAnsi="Courier 10cpi"/>
      <w:i/>
      <w:iCs/>
      <w:color w:val="000000" w:themeColor="text1"/>
    </w:rPr>
  </w:style>
  <w:style w:type="paragraph" w:styleId="IntenseQuote">
    <w:name w:val="Intense Quote"/>
    <w:basedOn w:val="Normal"/>
    <w:next w:val="Normal"/>
    <w:link w:val="IntenseQuoteChar"/>
    <w:uiPriority w:val="30"/>
    <w:qFormat/>
    <w:rsid w:val="00A021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19C"/>
    <w:rPr>
      <w:rFonts w:ascii="Courier 10cpi" w:hAnsi="Courier 10cpi"/>
      <w:b/>
      <w:bCs/>
      <w:i/>
      <w:iCs/>
      <w:color w:val="4F81BD" w:themeColor="accent1"/>
    </w:rPr>
  </w:style>
  <w:style w:type="character" w:styleId="SubtleEmphasis">
    <w:name w:val="Subtle Emphasis"/>
    <w:uiPriority w:val="19"/>
    <w:qFormat/>
    <w:rsid w:val="00A0219C"/>
    <w:rPr>
      <w:i/>
      <w:iCs/>
      <w:color w:val="808080" w:themeColor="text1" w:themeTint="7F"/>
    </w:rPr>
  </w:style>
  <w:style w:type="character" w:styleId="IntenseEmphasis">
    <w:name w:val="Intense Emphasis"/>
    <w:uiPriority w:val="21"/>
    <w:qFormat/>
    <w:rsid w:val="00A0219C"/>
    <w:rPr>
      <w:b/>
      <w:bCs/>
      <w:i/>
      <w:iCs/>
      <w:color w:val="4F81BD" w:themeColor="accent1"/>
    </w:rPr>
  </w:style>
  <w:style w:type="character" w:styleId="SubtleReference">
    <w:name w:val="Subtle Reference"/>
    <w:uiPriority w:val="31"/>
    <w:qFormat/>
    <w:rsid w:val="00A0219C"/>
    <w:rPr>
      <w:smallCaps/>
      <w:color w:val="C0504D" w:themeColor="accent2"/>
      <w:u w:val="single"/>
    </w:rPr>
  </w:style>
  <w:style w:type="character" w:styleId="IntenseReference">
    <w:name w:val="Intense Reference"/>
    <w:uiPriority w:val="32"/>
    <w:qFormat/>
    <w:rsid w:val="00A0219C"/>
    <w:rPr>
      <w:b/>
      <w:bCs/>
      <w:smallCaps/>
      <w:color w:val="C0504D" w:themeColor="accent2"/>
      <w:spacing w:val="5"/>
      <w:u w:val="single"/>
    </w:rPr>
  </w:style>
  <w:style w:type="character" w:styleId="BookTitle">
    <w:name w:val="Book Title"/>
    <w:uiPriority w:val="33"/>
    <w:qFormat/>
    <w:rsid w:val="00A0219C"/>
    <w:rPr>
      <w:b/>
      <w:bCs/>
      <w:smallCaps/>
      <w:spacing w:val="5"/>
    </w:rPr>
  </w:style>
  <w:style w:type="paragraph" w:styleId="TOCHeading">
    <w:name w:val="TOC Heading"/>
    <w:basedOn w:val="Heading1"/>
    <w:next w:val="Normal"/>
    <w:uiPriority w:val="39"/>
    <w:semiHidden/>
    <w:unhideWhenUsed/>
    <w:qFormat/>
    <w:rsid w:val="00A0219C"/>
    <w:pPr>
      <w:outlineLvl w:val="9"/>
    </w:pPr>
  </w:style>
  <w:style w:type="paragraph" w:styleId="Revision">
    <w:name w:val="Revision"/>
    <w:hidden/>
    <w:uiPriority w:val="99"/>
    <w:semiHidden/>
    <w:rsid w:val="00423D4A"/>
    <w:rPr>
      <w:rFonts w:ascii="Courier 10cpi" w:hAnsi="Courier 10cpi"/>
    </w:rPr>
  </w:style>
  <w:style w:type="character" w:customStyle="1" w:styleId="FootnoteTextChar">
    <w:name w:val="Footnote Text Char"/>
    <w:basedOn w:val="DefaultParagraphFont"/>
    <w:link w:val="FootnoteText"/>
    <w:uiPriority w:val="99"/>
    <w:semiHidden/>
    <w:rsid w:val="0062474A"/>
    <w:rPr>
      <w:sz w:val="24"/>
    </w:rPr>
  </w:style>
  <w:style w:type="character" w:customStyle="1" w:styleId="apple-converted-space">
    <w:name w:val="apple-converted-space"/>
    <w:basedOn w:val="DefaultParagraphFont"/>
    <w:rsid w:val="00F054B2"/>
  </w:style>
  <w:style w:type="character" w:styleId="Hyperlink">
    <w:name w:val="Hyperlink"/>
    <w:basedOn w:val="DefaultParagraphFont"/>
    <w:unhideWhenUsed/>
    <w:rsid w:val="004F1216"/>
    <w:rPr>
      <w:color w:val="0000FF" w:themeColor="hyperlink"/>
      <w:u w:val="single"/>
    </w:rPr>
  </w:style>
  <w:style w:type="character" w:styleId="FollowedHyperlink">
    <w:name w:val="FollowedHyperlink"/>
    <w:basedOn w:val="DefaultParagraphFont"/>
    <w:semiHidden/>
    <w:unhideWhenUsed/>
    <w:rsid w:val="005326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3215">
      <w:bodyDiv w:val="1"/>
      <w:marLeft w:val="0"/>
      <w:marRight w:val="0"/>
      <w:marTop w:val="0"/>
      <w:marBottom w:val="0"/>
      <w:divBdr>
        <w:top w:val="none" w:sz="0" w:space="0" w:color="auto"/>
        <w:left w:val="none" w:sz="0" w:space="0" w:color="auto"/>
        <w:bottom w:val="none" w:sz="0" w:space="0" w:color="auto"/>
        <w:right w:val="none" w:sz="0" w:space="0" w:color="auto"/>
      </w:divBdr>
    </w:div>
    <w:div w:id="127014164">
      <w:bodyDiv w:val="1"/>
      <w:marLeft w:val="0"/>
      <w:marRight w:val="0"/>
      <w:marTop w:val="0"/>
      <w:marBottom w:val="0"/>
      <w:divBdr>
        <w:top w:val="none" w:sz="0" w:space="0" w:color="auto"/>
        <w:left w:val="none" w:sz="0" w:space="0" w:color="auto"/>
        <w:bottom w:val="none" w:sz="0" w:space="0" w:color="auto"/>
        <w:right w:val="none" w:sz="0" w:space="0" w:color="auto"/>
      </w:divBdr>
    </w:div>
    <w:div w:id="129785786">
      <w:bodyDiv w:val="1"/>
      <w:marLeft w:val="0"/>
      <w:marRight w:val="0"/>
      <w:marTop w:val="0"/>
      <w:marBottom w:val="0"/>
      <w:divBdr>
        <w:top w:val="none" w:sz="0" w:space="0" w:color="auto"/>
        <w:left w:val="none" w:sz="0" w:space="0" w:color="auto"/>
        <w:bottom w:val="none" w:sz="0" w:space="0" w:color="auto"/>
        <w:right w:val="none" w:sz="0" w:space="0" w:color="auto"/>
      </w:divBdr>
    </w:div>
    <w:div w:id="144781581">
      <w:bodyDiv w:val="1"/>
      <w:marLeft w:val="0"/>
      <w:marRight w:val="0"/>
      <w:marTop w:val="0"/>
      <w:marBottom w:val="0"/>
      <w:divBdr>
        <w:top w:val="none" w:sz="0" w:space="0" w:color="auto"/>
        <w:left w:val="none" w:sz="0" w:space="0" w:color="auto"/>
        <w:bottom w:val="none" w:sz="0" w:space="0" w:color="auto"/>
        <w:right w:val="none" w:sz="0" w:space="0" w:color="auto"/>
      </w:divBdr>
      <w:divsChild>
        <w:div w:id="1300381270">
          <w:marLeft w:val="0"/>
          <w:marRight w:val="0"/>
          <w:marTop w:val="0"/>
          <w:marBottom w:val="0"/>
          <w:divBdr>
            <w:top w:val="none" w:sz="0" w:space="0" w:color="auto"/>
            <w:left w:val="none" w:sz="0" w:space="0" w:color="auto"/>
            <w:bottom w:val="none" w:sz="0" w:space="0" w:color="auto"/>
            <w:right w:val="none" w:sz="0" w:space="0" w:color="auto"/>
          </w:divBdr>
          <w:divsChild>
            <w:div w:id="471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6927">
      <w:bodyDiv w:val="1"/>
      <w:marLeft w:val="0"/>
      <w:marRight w:val="0"/>
      <w:marTop w:val="0"/>
      <w:marBottom w:val="0"/>
      <w:divBdr>
        <w:top w:val="none" w:sz="0" w:space="0" w:color="auto"/>
        <w:left w:val="none" w:sz="0" w:space="0" w:color="auto"/>
        <w:bottom w:val="none" w:sz="0" w:space="0" w:color="auto"/>
        <w:right w:val="none" w:sz="0" w:space="0" w:color="auto"/>
      </w:divBdr>
    </w:div>
    <w:div w:id="197940141">
      <w:bodyDiv w:val="1"/>
      <w:marLeft w:val="0"/>
      <w:marRight w:val="0"/>
      <w:marTop w:val="0"/>
      <w:marBottom w:val="0"/>
      <w:divBdr>
        <w:top w:val="none" w:sz="0" w:space="0" w:color="auto"/>
        <w:left w:val="none" w:sz="0" w:space="0" w:color="auto"/>
        <w:bottom w:val="none" w:sz="0" w:space="0" w:color="auto"/>
        <w:right w:val="none" w:sz="0" w:space="0" w:color="auto"/>
      </w:divBdr>
    </w:div>
    <w:div w:id="249697686">
      <w:bodyDiv w:val="1"/>
      <w:marLeft w:val="0"/>
      <w:marRight w:val="0"/>
      <w:marTop w:val="0"/>
      <w:marBottom w:val="0"/>
      <w:divBdr>
        <w:top w:val="none" w:sz="0" w:space="0" w:color="auto"/>
        <w:left w:val="none" w:sz="0" w:space="0" w:color="auto"/>
        <w:bottom w:val="none" w:sz="0" w:space="0" w:color="auto"/>
        <w:right w:val="none" w:sz="0" w:space="0" w:color="auto"/>
      </w:divBdr>
    </w:div>
    <w:div w:id="278143924">
      <w:bodyDiv w:val="1"/>
      <w:marLeft w:val="0"/>
      <w:marRight w:val="0"/>
      <w:marTop w:val="0"/>
      <w:marBottom w:val="0"/>
      <w:divBdr>
        <w:top w:val="none" w:sz="0" w:space="0" w:color="auto"/>
        <w:left w:val="none" w:sz="0" w:space="0" w:color="auto"/>
        <w:bottom w:val="none" w:sz="0" w:space="0" w:color="auto"/>
        <w:right w:val="none" w:sz="0" w:space="0" w:color="auto"/>
      </w:divBdr>
    </w:div>
    <w:div w:id="308638040">
      <w:bodyDiv w:val="1"/>
      <w:marLeft w:val="0"/>
      <w:marRight w:val="0"/>
      <w:marTop w:val="0"/>
      <w:marBottom w:val="0"/>
      <w:divBdr>
        <w:top w:val="none" w:sz="0" w:space="0" w:color="auto"/>
        <w:left w:val="none" w:sz="0" w:space="0" w:color="auto"/>
        <w:bottom w:val="none" w:sz="0" w:space="0" w:color="auto"/>
        <w:right w:val="none" w:sz="0" w:space="0" w:color="auto"/>
      </w:divBdr>
    </w:div>
    <w:div w:id="357391438">
      <w:bodyDiv w:val="1"/>
      <w:marLeft w:val="0"/>
      <w:marRight w:val="0"/>
      <w:marTop w:val="0"/>
      <w:marBottom w:val="0"/>
      <w:divBdr>
        <w:top w:val="none" w:sz="0" w:space="0" w:color="auto"/>
        <w:left w:val="none" w:sz="0" w:space="0" w:color="auto"/>
        <w:bottom w:val="none" w:sz="0" w:space="0" w:color="auto"/>
        <w:right w:val="none" w:sz="0" w:space="0" w:color="auto"/>
      </w:divBdr>
    </w:div>
    <w:div w:id="421074938">
      <w:bodyDiv w:val="1"/>
      <w:marLeft w:val="0"/>
      <w:marRight w:val="0"/>
      <w:marTop w:val="0"/>
      <w:marBottom w:val="0"/>
      <w:divBdr>
        <w:top w:val="none" w:sz="0" w:space="0" w:color="auto"/>
        <w:left w:val="none" w:sz="0" w:space="0" w:color="auto"/>
        <w:bottom w:val="none" w:sz="0" w:space="0" w:color="auto"/>
        <w:right w:val="none" w:sz="0" w:space="0" w:color="auto"/>
      </w:divBdr>
    </w:div>
    <w:div w:id="426771878">
      <w:bodyDiv w:val="1"/>
      <w:marLeft w:val="0"/>
      <w:marRight w:val="0"/>
      <w:marTop w:val="0"/>
      <w:marBottom w:val="0"/>
      <w:divBdr>
        <w:top w:val="none" w:sz="0" w:space="0" w:color="auto"/>
        <w:left w:val="none" w:sz="0" w:space="0" w:color="auto"/>
        <w:bottom w:val="none" w:sz="0" w:space="0" w:color="auto"/>
        <w:right w:val="none" w:sz="0" w:space="0" w:color="auto"/>
      </w:divBdr>
    </w:div>
    <w:div w:id="454518180">
      <w:bodyDiv w:val="1"/>
      <w:marLeft w:val="0"/>
      <w:marRight w:val="0"/>
      <w:marTop w:val="0"/>
      <w:marBottom w:val="0"/>
      <w:divBdr>
        <w:top w:val="none" w:sz="0" w:space="0" w:color="auto"/>
        <w:left w:val="none" w:sz="0" w:space="0" w:color="auto"/>
        <w:bottom w:val="none" w:sz="0" w:space="0" w:color="auto"/>
        <w:right w:val="none" w:sz="0" w:space="0" w:color="auto"/>
      </w:divBdr>
    </w:div>
    <w:div w:id="480120113">
      <w:bodyDiv w:val="1"/>
      <w:marLeft w:val="0"/>
      <w:marRight w:val="0"/>
      <w:marTop w:val="0"/>
      <w:marBottom w:val="0"/>
      <w:divBdr>
        <w:top w:val="none" w:sz="0" w:space="0" w:color="auto"/>
        <w:left w:val="none" w:sz="0" w:space="0" w:color="auto"/>
        <w:bottom w:val="none" w:sz="0" w:space="0" w:color="auto"/>
        <w:right w:val="none" w:sz="0" w:space="0" w:color="auto"/>
      </w:divBdr>
    </w:div>
    <w:div w:id="493491739">
      <w:bodyDiv w:val="1"/>
      <w:marLeft w:val="0"/>
      <w:marRight w:val="0"/>
      <w:marTop w:val="0"/>
      <w:marBottom w:val="0"/>
      <w:divBdr>
        <w:top w:val="none" w:sz="0" w:space="0" w:color="auto"/>
        <w:left w:val="none" w:sz="0" w:space="0" w:color="auto"/>
        <w:bottom w:val="none" w:sz="0" w:space="0" w:color="auto"/>
        <w:right w:val="none" w:sz="0" w:space="0" w:color="auto"/>
      </w:divBdr>
    </w:div>
    <w:div w:id="530804189">
      <w:bodyDiv w:val="1"/>
      <w:marLeft w:val="0"/>
      <w:marRight w:val="0"/>
      <w:marTop w:val="0"/>
      <w:marBottom w:val="0"/>
      <w:divBdr>
        <w:top w:val="none" w:sz="0" w:space="0" w:color="auto"/>
        <w:left w:val="none" w:sz="0" w:space="0" w:color="auto"/>
        <w:bottom w:val="none" w:sz="0" w:space="0" w:color="auto"/>
        <w:right w:val="none" w:sz="0" w:space="0" w:color="auto"/>
      </w:divBdr>
    </w:div>
    <w:div w:id="615211968">
      <w:bodyDiv w:val="1"/>
      <w:marLeft w:val="0"/>
      <w:marRight w:val="0"/>
      <w:marTop w:val="0"/>
      <w:marBottom w:val="0"/>
      <w:divBdr>
        <w:top w:val="none" w:sz="0" w:space="0" w:color="auto"/>
        <w:left w:val="none" w:sz="0" w:space="0" w:color="auto"/>
        <w:bottom w:val="none" w:sz="0" w:space="0" w:color="auto"/>
        <w:right w:val="none" w:sz="0" w:space="0" w:color="auto"/>
      </w:divBdr>
    </w:div>
    <w:div w:id="623393469">
      <w:bodyDiv w:val="1"/>
      <w:marLeft w:val="0"/>
      <w:marRight w:val="0"/>
      <w:marTop w:val="0"/>
      <w:marBottom w:val="0"/>
      <w:divBdr>
        <w:top w:val="none" w:sz="0" w:space="0" w:color="auto"/>
        <w:left w:val="none" w:sz="0" w:space="0" w:color="auto"/>
        <w:bottom w:val="none" w:sz="0" w:space="0" w:color="auto"/>
        <w:right w:val="none" w:sz="0" w:space="0" w:color="auto"/>
      </w:divBdr>
    </w:div>
    <w:div w:id="648675868">
      <w:bodyDiv w:val="1"/>
      <w:marLeft w:val="0"/>
      <w:marRight w:val="0"/>
      <w:marTop w:val="0"/>
      <w:marBottom w:val="0"/>
      <w:divBdr>
        <w:top w:val="none" w:sz="0" w:space="0" w:color="auto"/>
        <w:left w:val="none" w:sz="0" w:space="0" w:color="auto"/>
        <w:bottom w:val="none" w:sz="0" w:space="0" w:color="auto"/>
        <w:right w:val="none" w:sz="0" w:space="0" w:color="auto"/>
      </w:divBdr>
    </w:div>
    <w:div w:id="767701622">
      <w:bodyDiv w:val="1"/>
      <w:marLeft w:val="0"/>
      <w:marRight w:val="0"/>
      <w:marTop w:val="0"/>
      <w:marBottom w:val="0"/>
      <w:divBdr>
        <w:top w:val="none" w:sz="0" w:space="0" w:color="auto"/>
        <w:left w:val="none" w:sz="0" w:space="0" w:color="auto"/>
        <w:bottom w:val="none" w:sz="0" w:space="0" w:color="auto"/>
        <w:right w:val="none" w:sz="0" w:space="0" w:color="auto"/>
      </w:divBdr>
    </w:div>
    <w:div w:id="785348422">
      <w:bodyDiv w:val="1"/>
      <w:marLeft w:val="0"/>
      <w:marRight w:val="0"/>
      <w:marTop w:val="0"/>
      <w:marBottom w:val="0"/>
      <w:divBdr>
        <w:top w:val="none" w:sz="0" w:space="0" w:color="auto"/>
        <w:left w:val="none" w:sz="0" w:space="0" w:color="auto"/>
        <w:bottom w:val="none" w:sz="0" w:space="0" w:color="auto"/>
        <w:right w:val="none" w:sz="0" w:space="0" w:color="auto"/>
      </w:divBdr>
    </w:div>
    <w:div w:id="812335793">
      <w:bodyDiv w:val="1"/>
      <w:marLeft w:val="0"/>
      <w:marRight w:val="0"/>
      <w:marTop w:val="0"/>
      <w:marBottom w:val="0"/>
      <w:divBdr>
        <w:top w:val="none" w:sz="0" w:space="0" w:color="auto"/>
        <w:left w:val="none" w:sz="0" w:space="0" w:color="auto"/>
        <w:bottom w:val="none" w:sz="0" w:space="0" w:color="auto"/>
        <w:right w:val="none" w:sz="0" w:space="0" w:color="auto"/>
      </w:divBdr>
    </w:div>
    <w:div w:id="863131174">
      <w:bodyDiv w:val="1"/>
      <w:marLeft w:val="0"/>
      <w:marRight w:val="0"/>
      <w:marTop w:val="0"/>
      <w:marBottom w:val="0"/>
      <w:divBdr>
        <w:top w:val="none" w:sz="0" w:space="0" w:color="auto"/>
        <w:left w:val="none" w:sz="0" w:space="0" w:color="auto"/>
        <w:bottom w:val="none" w:sz="0" w:space="0" w:color="auto"/>
        <w:right w:val="none" w:sz="0" w:space="0" w:color="auto"/>
      </w:divBdr>
    </w:div>
    <w:div w:id="896164167">
      <w:bodyDiv w:val="1"/>
      <w:marLeft w:val="0"/>
      <w:marRight w:val="0"/>
      <w:marTop w:val="0"/>
      <w:marBottom w:val="0"/>
      <w:divBdr>
        <w:top w:val="none" w:sz="0" w:space="0" w:color="auto"/>
        <w:left w:val="none" w:sz="0" w:space="0" w:color="auto"/>
        <w:bottom w:val="none" w:sz="0" w:space="0" w:color="auto"/>
        <w:right w:val="none" w:sz="0" w:space="0" w:color="auto"/>
      </w:divBdr>
    </w:div>
    <w:div w:id="945504775">
      <w:bodyDiv w:val="1"/>
      <w:marLeft w:val="0"/>
      <w:marRight w:val="0"/>
      <w:marTop w:val="0"/>
      <w:marBottom w:val="0"/>
      <w:divBdr>
        <w:top w:val="none" w:sz="0" w:space="0" w:color="auto"/>
        <w:left w:val="none" w:sz="0" w:space="0" w:color="auto"/>
        <w:bottom w:val="none" w:sz="0" w:space="0" w:color="auto"/>
        <w:right w:val="none" w:sz="0" w:space="0" w:color="auto"/>
      </w:divBdr>
    </w:div>
    <w:div w:id="1010257283">
      <w:bodyDiv w:val="1"/>
      <w:marLeft w:val="0"/>
      <w:marRight w:val="0"/>
      <w:marTop w:val="0"/>
      <w:marBottom w:val="0"/>
      <w:divBdr>
        <w:top w:val="none" w:sz="0" w:space="0" w:color="auto"/>
        <w:left w:val="none" w:sz="0" w:space="0" w:color="auto"/>
        <w:bottom w:val="none" w:sz="0" w:space="0" w:color="auto"/>
        <w:right w:val="none" w:sz="0" w:space="0" w:color="auto"/>
      </w:divBdr>
    </w:div>
    <w:div w:id="1064260069">
      <w:bodyDiv w:val="1"/>
      <w:marLeft w:val="0"/>
      <w:marRight w:val="0"/>
      <w:marTop w:val="0"/>
      <w:marBottom w:val="0"/>
      <w:divBdr>
        <w:top w:val="none" w:sz="0" w:space="0" w:color="auto"/>
        <w:left w:val="none" w:sz="0" w:space="0" w:color="auto"/>
        <w:bottom w:val="none" w:sz="0" w:space="0" w:color="auto"/>
        <w:right w:val="none" w:sz="0" w:space="0" w:color="auto"/>
      </w:divBdr>
    </w:div>
    <w:div w:id="1090851629">
      <w:bodyDiv w:val="1"/>
      <w:marLeft w:val="0"/>
      <w:marRight w:val="0"/>
      <w:marTop w:val="0"/>
      <w:marBottom w:val="0"/>
      <w:divBdr>
        <w:top w:val="none" w:sz="0" w:space="0" w:color="auto"/>
        <w:left w:val="none" w:sz="0" w:space="0" w:color="auto"/>
        <w:bottom w:val="none" w:sz="0" w:space="0" w:color="auto"/>
        <w:right w:val="none" w:sz="0" w:space="0" w:color="auto"/>
      </w:divBdr>
    </w:div>
    <w:div w:id="1096175521">
      <w:bodyDiv w:val="1"/>
      <w:marLeft w:val="0"/>
      <w:marRight w:val="0"/>
      <w:marTop w:val="0"/>
      <w:marBottom w:val="0"/>
      <w:divBdr>
        <w:top w:val="none" w:sz="0" w:space="0" w:color="auto"/>
        <w:left w:val="none" w:sz="0" w:space="0" w:color="auto"/>
        <w:bottom w:val="none" w:sz="0" w:space="0" w:color="auto"/>
        <w:right w:val="none" w:sz="0" w:space="0" w:color="auto"/>
      </w:divBdr>
    </w:div>
    <w:div w:id="1105732540">
      <w:bodyDiv w:val="1"/>
      <w:marLeft w:val="0"/>
      <w:marRight w:val="0"/>
      <w:marTop w:val="0"/>
      <w:marBottom w:val="0"/>
      <w:divBdr>
        <w:top w:val="none" w:sz="0" w:space="0" w:color="auto"/>
        <w:left w:val="none" w:sz="0" w:space="0" w:color="auto"/>
        <w:bottom w:val="none" w:sz="0" w:space="0" w:color="auto"/>
        <w:right w:val="none" w:sz="0" w:space="0" w:color="auto"/>
      </w:divBdr>
    </w:div>
    <w:div w:id="1151020329">
      <w:bodyDiv w:val="1"/>
      <w:marLeft w:val="0"/>
      <w:marRight w:val="0"/>
      <w:marTop w:val="0"/>
      <w:marBottom w:val="0"/>
      <w:divBdr>
        <w:top w:val="none" w:sz="0" w:space="0" w:color="auto"/>
        <w:left w:val="none" w:sz="0" w:space="0" w:color="auto"/>
        <w:bottom w:val="none" w:sz="0" w:space="0" w:color="auto"/>
        <w:right w:val="none" w:sz="0" w:space="0" w:color="auto"/>
      </w:divBdr>
    </w:div>
    <w:div w:id="1163473470">
      <w:bodyDiv w:val="1"/>
      <w:marLeft w:val="0"/>
      <w:marRight w:val="0"/>
      <w:marTop w:val="0"/>
      <w:marBottom w:val="0"/>
      <w:divBdr>
        <w:top w:val="none" w:sz="0" w:space="0" w:color="auto"/>
        <w:left w:val="none" w:sz="0" w:space="0" w:color="auto"/>
        <w:bottom w:val="none" w:sz="0" w:space="0" w:color="auto"/>
        <w:right w:val="none" w:sz="0" w:space="0" w:color="auto"/>
      </w:divBdr>
    </w:div>
    <w:div w:id="1208955296">
      <w:bodyDiv w:val="1"/>
      <w:marLeft w:val="0"/>
      <w:marRight w:val="0"/>
      <w:marTop w:val="0"/>
      <w:marBottom w:val="0"/>
      <w:divBdr>
        <w:top w:val="none" w:sz="0" w:space="0" w:color="auto"/>
        <w:left w:val="none" w:sz="0" w:space="0" w:color="auto"/>
        <w:bottom w:val="none" w:sz="0" w:space="0" w:color="auto"/>
        <w:right w:val="none" w:sz="0" w:space="0" w:color="auto"/>
      </w:divBdr>
    </w:div>
    <w:div w:id="1225720801">
      <w:bodyDiv w:val="1"/>
      <w:marLeft w:val="0"/>
      <w:marRight w:val="0"/>
      <w:marTop w:val="0"/>
      <w:marBottom w:val="0"/>
      <w:divBdr>
        <w:top w:val="none" w:sz="0" w:space="0" w:color="auto"/>
        <w:left w:val="none" w:sz="0" w:space="0" w:color="auto"/>
        <w:bottom w:val="none" w:sz="0" w:space="0" w:color="auto"/>
        <w:right w:val="none" w:sz="0" w:space="0" w:color="auto"/>
      </w:divBdr>
    </w:div>
    <w:div w:id="1226179767">
      <w:bodyDiv w:val="1"/>
      <w:marLeft w:val="0"/>
      <w:marRight w:val="0"/>
      <w:marTop w:val="0"/>
      <w:marBottom w:val="0"/>
      <w:divBdr>
        <w:top w:val="none" w:sz="0" w:space="0" w:color="auto"/>
        <w:left w:val="none" w:sz="0" w:space="0" w:color="auto"/>
        <w:bottom w:val="none" w:sz="0" w:space="0" w:color="auto"/>
        <w:right w:val="none" w:sz="0" w:space="0" w:color="auto"/>
      </w:divBdr>
    </w:div>
    <w:div w:id="1251043313">
      <w:bodyDiv w:val="1"/>
      <w:marLeft w:val="0"/>
      <w:marRight w:val="0"/>
      <w:marTop w:val="0"/>
      <w:marBottom w:val="0"/>
      <w:divBdr>
        <w:top w:val="none" w:sz="0" w:space="0" w:color="auto"/>
        <w:left w:val="none" w:sz="0" w:space="0" w:color="auto"/>
        <w:bottom w:val="none" w:sz="0" w:space="0" w:color="auto"/>
        <w:right w:val="none" w:sz="0" w:space="0" w:color="auto"/>
      </w:divBdr>
    </w:div>
    <w:div w:id="1254242322">
      <w:bodyDiv w:val="1"/>
      <w:marLeft w:val="0"/>
      <w:marRight w:val="0"/>
      <w:marTop w:val="0"/>
      <w:marBottom w:val="0"/>
      <w:divBdr>
        <w:top w:val="none" w:sz="0" w:space="0" w:color="auto"/>
        <w:left w:val="none" w:sz="0" w:space="0" w:color="auto"/>
        <w:bottom w:val="none" w:sz="0" w:space="0" w:color="auto"/>
        <w:right w:val="none" w:sz="0" w:space="0" w:color="auto"/>
      </w:divBdr>
    </w:div>
    <w:div w:id="1300265526">
      <w:bodyDiv w:val="1"/>
      <w:marLeft w:val="0"/>
      <w:marRight w:val="0"/>
      <w:marTop w:val="0"/>
      <w:marBottom w:val="0"/>
      <w:divBdr>
        <w:top w:val="none" w:sz="0" w:space="0" w:color="auto"/>
        <w:left w:val="none" w:sz="0" w:space="0" w:color="auto"/>
        <w:bottom w:val="none" w:sz="0" w:space="0" w:color="auto"/>
        <w:right w:val="none" w:sz="0" w:space="0" w:color="auto"/>
      </w:divBdr>
    </w:div>
    <w:div w:id="1311637967">
      <w:bodyDiv w:val="1"/>
      <w:marLeft w:val="0"/>
      <w:marRight w:val="0"/>
      <w:marTop w:val="0"/>
      <w:marBottom w:val="0"/>
      <w:divBdr>
        <w:top w:val="none" w:sz="0" w:space="0" w:color="auto"/>
        <w:left w:val="none" w:sz="0" w:space="0" w:color="auto"/>
        <w:bottom w:val="none" w:sz="0" w:space="0" w:color="auto"/>
        <w:right w:val="none" w:sz="0" w:space="0" w:color="auto"/>
      </w:divBdr>
    </w:div>
    <w:div w:id="1323461844">
      <w:bodyDiv w:val="1"/>
      <w:marLeft w:val="0"/>
      <w:marRight w:val="0"/>
      <w:marTop w:val="0"/>
      <w:marBottom w:val="0"/>
      <w:divBdr>
        <w:top w:val="none" w:sz="0" w:space="0" w:color="auto"/>
        <w:left w:val="none" w:sz="0" w:space="0" w:color="auto"/>
        <w:bottom w:val="none" w:sz="0" w:space="0" w:color="auto"/>
        <w:right w:val="none" w:sz="0" w:space="0" w:color="auto"/>
      </w:divBdr>
    </w:div>
    <w:div w:id="1328557253">
      <w:bodyDiv w:val="1"/>
      <w:marLeft w:val="0"/>
      <w:marRight w:val="0"/>
      <w:marTop w:val="0"/>
      <w:marBottom w:val="0"/>
      <w:divBdr>
        <w:top w:val="none" w:sz="0" w:space="0" w:color="auto"/>
        <w:left w:val="none" w:sz="0" w:space="0" w:color="auto"/>
        <w:bottom w:val="none" w:sz="0" w:space="0" w:color="auto"/>
        <w:right w:val="none" w:sz="0" w:space="0" w:color="auto"/>
      </w:divBdr>
    </w:div>
    <w:div w:id="1345471328">
      <w:bodyDiv w:val="1"/>
      <w:marLeft w:val="0"/>
      <w:marRight w:val="0"/>
      <w:marTop w:val="0"/>
      <w:marBottom w:val="0"/>
      <w:divBdr>
        <w:top w:val="none" w:sz="0" w:space="0" w:color="auto"/>
        <w:left w:val="none" w:sz="0" w:space="0" w:color="auto"/>
        <w:bottom w:val="none" w:sz="0" w:space="0" w:color="auto"/>
        <w:right w:val="none" w:sz="0" w:space="0" w:color="auto"/>
      </w:divBdr>
    </w:div>
    <w:div w:id="1389112877">
      <w:bodyDiv w:val="1"/>
      <w:marLeft w:val="0"/>
      <w:marRight w:val="0"/>
      <w:marTop w:val="0"/>
      <w:marBottom w:val="0"/>
      <w:divBdr>
        <w:top w:val="none" w:sz="0" w:space="0" w:color="auto"/>
        <w:left w:val="none" w:sz="0" w:space="0" w:color="auto"/>
        <w:bottom w:val="none" w:sz="0" w:space="0" w:color="auto"/>
        <w:right w:val="none" w:sz="0" w:space="0" w:color="auto"/>
      </w:divBdr>
    </w:div>
    <w:div w:id="1410350323">
      <w:bodyDiv w:val="1"/>
      <w:marLeft w:val="0"/>
      <w:marRight w:val="0"/>
      <w:marTop w:val="0"/>
      <w:marBottom w:val="0"/>
      <w:divBdr>
        <w:top w:val="none" w:sz="0" w:space="0" w:color="auto"/>
        <w:left w:val="none" w:sz="0" w:space="0" w:color="auto"/>
        <w:bottom w:val="none" w:sz="0" w:space="0" w:color="auto"/>
        <w:right w:val="none" w:sz="0" w:space="0" w:color="auto"/>
      </w:divBdr>
    </w:div>
    <w:div w:id="1417165201">
      <w:bodyDiv w:val="1"/>
      <w:marLeft w:val="0"/>
      <w:marRight w:val="0"/>
      <w:marTop w:val="0"/>
      <w:marBottom w:val="0"/>
      <w:divBdr>
        <w:top w:val="none" w:sz="0" w:space="0" w:color="auto"/>
        <w:left w:val="none" w:sz="0" w:space="0" w:color="auto"/>
        <w:bottom w:val="none" w:sz="0" w:space="0" w:color="auto"/>
        <w:right w:val="none" w:sz="0" w:space="0" w:color="auto"/>
      </w:divBdr>
    </w:div>
    <w:div w:id="1421835335">
      <w:bodyDiv w:val="1"/>
      <w:marLeft w:val="0"/>
      <w:marRight w:val="0"/>
      <w:marTop w:val="0"/>
      <w:marBottom w:val="0"/>
      <w:divBdr>
        <w:top w:val="none" w:sz="0" w:space="0" w:color="auto"/>
        <w:left w:val="none" w:sz="0" w:space="0" w:color="auto"/>
        <w:bottom w:val="none" w:sz="0" w:space="0" w:color="auto"/>
        <w:right w:val="none" w:sz="0" w:space="0" w:color="auto"/>
      </w:divBdr>
    </w:div>
    <w:div w:id="1423188469">
      <w:bodyDiv w:val="1"/>
      <w:marLeft w:val="0"/>
      <w:marRight w:val="0"/>
      <w:marTop w:val="0"/>
      <w:marBottom w:val="0"/>
      <w:divBdr>
        <w:top w:val="none" w:sz="0" w:space="0" w:color="auto"/>
        <w:left w:val="none" w:sz="0" w:space="0" w:color="auto"/>
        <w:bottom w:val="none" w:sz="0" w:space="0" w:color="auto"/>
        <w:right w:val="none" w:sz="0" w:space="0" w:color="auto"/>
      </w:divBdr>
    </w:div>
    <w:div w:id="1437171303">
      <w:bodyDiv w:val="1"/>
      <w:marLeft w:val="0"/>
      <w:marRight w:val="0"/>
      <w:marTop w:val="0"/>
      <w:marBottom w:val="0"/>
      <w:divBdr>
        <w:top w:val="none" w:sz="0" w:space="0" w:color="auto"/>
        <w:left w:val="none" w:sz="0" w:space="0" w:color="auto"/>
        <w:bottom w:val="none" w:sz="0" w:space="0" w:color="auto"/>
        <w:right w:val="none" w:sz="0" w:space="0" w:color="auto"/>
      </w:divBdr>
    </w:div>
    <w:div w:id="1449813584">
      <w:bodyDiv w:val="1"/>
      <w:marLeft w:val="0"/>
      <w:marRight w:val="0"/>
      <w:marTop w:val="0"/>
      <w:marBottom w:val="0"/>
      <w:divBdr>
        <w:top w:val="none" w:sz="0" w:space="0" w:color="auto"/>
        <w:left w:val="none" w:sz="0" w:space="0" w:color="auto"/>
        <w:bottom w:val="none" w:sz="0" w:space="0" w:color="auto"/>
        <w:right w:val="none" w:sz="0" w:space="0" w:color="auto"/>
      </w:divBdr>
    </w:div>
    <w:div w:id="1475293655">
      <w:bodyDiv w:val="1"/>
      <w:marLeft w:val="0"/>
      <w:marRight w:val="0"/>
      <w:marTop w:val="0"/>
      <w:marBottom w:val="0"/>
      <w:divBdr>
        <w:top w:val="none" w:sz="0" w:space="0" w:color="auto"/>
        <w:left w:val="none" w:sz="0" w:space="0" w:color="auto"/>
        <w:bottom w:val="none" w:sz="0" w:space="0" w:color="auto"/>
        <w:right w:val="none" w:sz="0" w:space="0" w:color="auto"/>
      </w:divBdr>
    </w:div>
    <w:div w:id="1534223473">
      <w:bodyDiv w:val="1"/>
      <w:marLeft w:val="0"/>
      <w:marRight w:val="0"/>
      <w:marTop w:val="0"/>
      <w:marBottom w:val="0"/>
      <w:divBdr>
        <w:top w:val="none" w:sz="0" w:space="0" w:color="auto"/>
        <w:left w:val="none" w:sz="0" w:space="0" w:color="auto"/>
        <w:bottom w:val="none" w:sz="0" w:space="0" w:color="auto"/>
        <w:right w:val="none" w:sz="0" w:space="0" w:color="auto"/>
      </w:divBdr>
    </w:div>
    <w:div w:id="1535844552">
      <w:bodyDiv w:val="1"/>
      <w:marLeft w:val="0"/>
      <w:marRight w:val="0"/>
      <w:marTop w:val="0"/>
      <w:marBottom w:val="0"/>
      <w:divBdr>
        <w:top w:val="none" w:sz="0" w:space="0" w:color="auto"/>
        <w:left w:val="none" w:sz="0" w:space="0" w:color="auto"/>
        <w:bottom w:val="none" w:sz="0" w:space="0" w:color="auto"/>
        <w:right w:val="none" w:sz="0" w:space="0" w:color="auto"/>
      </w:divBdr>
    </w:div>
    <w:div w:id="1564410588">
      <w:bodyDiv w:val="1"/>
      <w:marLeft w:val="0"/>
      <w:marRight w:val="0"/>
      <w:marTop w:val="0"/>
      <w:marBottom w:val="0"/>
      <w:divBdr>
        <w:top w:val="none" w:sz="0" w:space="0" w:color="auto"/>
        <w:left w:val="none" w:sz="0" w:space="0" w:color="auto"/>
        <w:bottom w:val="none" w:sz="0" w:space="0" w:color="auto"/>
        <w:right w:val="none" w:sz="0" w:space="0" w:color="auto"/>
      </w:divBdr>
    </w:div>
    <w:div w:id="1608150650">
      <w:bodyDiv w:val="1"/>
      <w:marLeft w:val="0"/>
      <w:marRight w:val="0"/>
      <w:marTop w:val="0"/>
      <w:marBottom w:val="0"/>
      <w:divBdr>
        <w:top w:val="none" w:sz="0" w:space="0" w:color="auto"/>
        <w:left w:val="none" w:sz="0" w:space="0" w:color="auto"/>
        <w:bottom w:val="none" w:sz="0" w:space="0" w:color="auto"/>
        <w:right w:val="none" w:sz="0" w:space="0" w:color="auto"/>
      </w:divBdr>
    </w:div>
    <w:div w:id="1612857007">
      <w:bodyDiv w:val="1"/>
      <w:marLeft w:val="0"/>
      <w:marRight w:val="0"/>
      <w:marTop w:val="0"/>
      <w:marBottom w:val="0"/>
      <w:divBdr>
        <w:top w:val="none" w:sz="0" w:space="0" w:color="auto"/>
        <w:left w:val="none" w:sz="0" w:space="0" w:color="auto"/>
        <w:bottom w:val="none" w:sz="0" w:space="0" w:color="auto"/>
        <w:right w:val="none" w:sz="0" w:space="0" w:color="auto"/>
      </w:divBdr>
    </w:div>
    <w:div w:id="1647390454">
      <w:bodyDiv w:val="1"/>
      <w:marLeft w:val="0"/>
      <w:marRight w:val="0"/>
      <w:marTop w:val="0"/>
      <w:marBottom w:val="0"/>
      <w:divBdr>
        <w:top w:val="none" w:sz="0" w:space="0" w:color="auto"/>
        <w:left w:val="none" w:sz="0" w:space="0" w:color="auto"/>
        <w:bottom w:val="none" w:sz="0" w:space="0" w:color="auto"/>
        <w:right w:val="none" w:sz="0" w:space="0" w:color="auto"/>
      </w:divBdr>
    </w:div>
    <w:div w:id="1676181324">
      <w:bodyDiv w:val="1"/>
      <w:marLeft w:val="0"/>
      <w:marRight w:val="0"/>
      <w:marTop w:val="0"/>
      <w:marBottom w:val="0"/>
      <w:divBdr>
        <w:top w:val="none" w:sz="0" w:space="0" w:color="auto"/>
        <w:left w:val="none" w:sz="0" w:space="0" w:color="auto"/>
        <w:bottom w:val="none" w:sz="0" w:space="0" w:color="auto"/>
        <w:right w:val="none" w:sz="0" w:space="0" w:color="auto"/>
      </w:divBdr>
    </w:div>
    <w:div w:id="1762525232">
      <w:bodyDiv w:val="1"/>
      <w:marLeft w:val="0"/>
      <w:marRight w:val="0"/>
      <w:marTop w:val="0"/>
      <w:marBottom w:val="0"/>
      <w:divBdr>
        <w:top w:val="none" w:sz="0" w:space="0" w:color="auto"/>
        <w:left w:val="none" w:sz="0" w:space="0" w:color="auto"/>
        <w:bottom w:val="none" w:sz="0" w:space="0" w:color="auto"/>
        <w:right w:val="none" w:sz="0" w:space="0" w:color="auto"/>
      </w:divBdr>
    </w:div>
    <w:div w:id="1769276420">
      <w:bodyDiv w:val="1"/>
      <w:marLeft w:val="0"/>
      <w:marRight w:val="0"/>
      <w:marTop w:val="0"/>
      <w:marBottom w:val="0"/>
      <w:divBdr>
        <w:top w:val="none" w:sz="0" w:space="0" w:color="auto"/>
        <w:left w:val="none" w:sz="0" w:space="0" w:color="auto"/>
        <w:bottom w:val="none" w:sz="0" w:space="0" w:color="auto"/>
        <w:right w:val="none" w:sz="0" w:space="0" w:color="auto"/>
      </w:divBdr>
    </w:div>
    <w:div w:id="1834369194">
      <w:bodyDiv w:val="1"/>
      <w:marLeft w:val="0"/>
      <w:marRight w:val="0"/>
      <w:marTop w:val="0"/>
      <w:marBottom w:val="0"/>
      <w:divBdr>
        <w:top w:val="none" w:sz="0" w:space="0" w:color="auto"/>
        <w:left w:val="none" w:sz="0" w:space="0" w:color="auto"/>
        <w:bottom w:val="none" w:sz="0" w:space="0" w:color="auto"/>
        <w:right w:val="none" w:sz="0" w:space="0" w:color="auto"/>
      </w:divBdr>
    </w:div>
    <w:div w:id="1862738687">
      <w:bodyDiv w:val="1"/>
      <w:marLeft w:val="0"/>
      <w:marRight w:val="0"/>
      <w:marTop w:val="0"/>
      <w:marBottom w:val="0"/>
      <w:divBdr>
        <w:top w:val="none" w:sz="0" w:space="0" w:color="auto"/>
        <w:left w:val="none" w:sz="0" w:space="0" w:color="auto"/>
        <w:bottom w:val="none" w:sz="0" w:space="0" w:color="auto"/>
        <w:right w:val="none" w:sz="0" w:space="0" w:color="auto"/>
      </w:divBdr>
    </w:div>
    <w:div w:id="1917662864">
      <w:bodyDiv w:val="1"/>
      <w:marLeft w:val="0"/>
      <w:marRight w:val="0"/>
      <w:marTop w:val="0"/>
      <w:marBottom w:val="0"/>
      <w:divBdr>
        <w:top w:val="none" w:sz="0" w:space="0" w:color="auto"/>
        <w:left w:val="none" w:sz="0" w:space="0" w:color="auto"/>
        <w:bottom w:val="none" w:sz="0" w:space="0" w:color="auto"/>
        <w:right w:val="none" w:sz="0" w:space="0" w:color="auto"/>
      </w:divBdr>
    </w:div>
    <w:div w:id="1980529987">
      <w:bodyDiv w:val="1"/>
      <w:marLeft w:val="0"/>
      <w:marRight w:val="0"/>
      <w:marTop w:val="0"/>
      <w:marBottom w:val="0"/>
      <w:divBdr>
        <w:top w:val="none" w:sz="0" w:space="0" w:color="auto"/>
        <w:left w:val="none" w:sz="0" w:space="0" w:color="auto"/>
        <w:bottom w:val="none" w:sz="0" w:space="0" w:color="auto"/>
        <w:right w:val="none" w:sz="0" w:space="0" w:color="auto"/>
      </w:divBdr>
    </w:div>
    <w:div w:id="1989939065">
      <w:bodyDiv w:val="1"/>
      <w:marLeft w:val="0"/>
      <w:marRight w:val="0"/>
      <w:marTop w:val="0"/>
      <w:marBottom w:val="0"/>
      <w:divBdr>
        <w:top w:val="none" w:sz="0" w:space="0" w:color="auto"/>
        <w:left w:val="none" w:sz="0" w:space="0" w:color="auto"/>
        <w:bottom w:val="none" w:sz="0" w:space="0" w:color="auto"/>
        <w:right w:val="none" w:sz="0" w:space="0" w:color="auto"/>
      </w:divBdr>
    </w:div>
    <w:div w:id="2011443214">
      <w:bodyDiv w:val="1"/>
      <w:marLeft w:val="0"/>
      <w:marRight w:val="0"/>
      <w:marTop w:val="0"/>
      <w:marBottom w:val="0"/>
      <w:divBdr>
        <w:top w:val="none" w:sz="0" w:space="0" w:color="auto"/>
        <w:left w:val="none" w:sz="0" w:space="0" w:color="auto"/>
        <w:bottom w:val="none" w:sz="0" w:space="0" w:color="auto"/>
        <w:right w:val="none" w:sz="0" w:space="0" w:color="auto"/>
      </w:divBdr>
    </w:div>
    <w:div w:id="2056614715">
      <w:bodyDiv w:val="1"/>
      <w:marLeft w:val="0"/>
      <w:marRight w:val="0"/>
      <w:marTop w:val="0"/>
      <w:marBottom w:val="0"/>
      <w:divBdr>
        <w:top w:val="none" w:sz="0" w:space="0" w:color="auto"/>
        <w:left w:val="none" w:sz="0" w:space="0" w:color="auto"/>
        <w:bottom w:val="none" w:sz="0" w:space="0" w:color="auto"/>
        <w:right w:val="none" w:sz="0" w:space="0" w:color="auto"/>
      </w:divBdr>
    </w:div>
    <w:div w:id="2076319634">
      <w:bodyDiv w:val="1"/>
      <w:marLeft w:val="0"/>
      <w:marRight w:val="0"/>
      <w:marTop w:val="0"/>
      <w:marBottom w:val="0"/>
      <w:divBdr>
        <w:top w:val="none" w:sz="0" w:space="0" w:color="auto"/>
        <w:left w:val="none" w:sz="0" w:space="0" w:color="auto"/>
        <w:bottom w:val="none" w:sz="0" w:space="0" w:color="auto"/>
        <w:right w:val="none" w:sz="0" w:space="0" w:color="auto"/>
      </w:divBdr>
    </w:div>
    <w:div w:id="2120562562">
      <w:bodyDiv w:val="1"/>
      <w:marLeft w:val="0"/>
      <w:marRight w:val="0"/>
      <w:marTop w:val="0"/>
      <w:marBottom w:val="0"/>
      <w:divBdr>
        <w:top w:val="none" w:sz="0" w:space="0" w:color="auto"/>
        <w:left w:val="none" w:sz="0" w:space="0" w:color="auto"/>
        <w:bottom w:val="none" w:sz="0" w:space="0" w:color="auto"/>
        <w:right w:val="none" w:sz="0" w:space="0" w:color="auto"/>
      </w:divBdr>
    </w:div>
    <w:div w:id="2135172450">
      <w:bodyDiv w:val="1"/>
      <w:marLeft w:val="0"/>
      <w:marRight w:val="0"/>
      <w:marTop w:val="0"/>
      <w:marBottom w:val="0"/>
      <w:divBdr>
        <w:top w:val="none" w:sz="0" w:space="0" w:color="auto"/>
        <w:left w:val="none" w:sz="0" w:space="0" w:color="auto"/>
        <w:bottom w:val="none" w:sz="0" w:space="0" w:color="auto"/>
        <w:right w:val="none" w:sz="0" w:space="0" w:color="auto"/>
      </w:divBdr>
    </w:div>
    <w:div w:id="21438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nrc.gov/reading-rm/doc-collections/reg-guides/power-reactors/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damsxt.nrc.gov/WorkplaceXT/getContent?objectStoreName=Main.__.Library&amp;id=current&amp;vsId=%7b37A3CBEC-EC12-4403-9022-5B3FC5BE26CA%7d&amp;objectType=document" TargetMode="External"/><Relationship Id="rId1" Type="http://schemas.openxmlformats.org/officeDocument/2006/relationships/hyperlink" Target="https://adamsxt.nrc.gov/WorkplaceXT/getContent?objectStoreName=Main.__.Library&amp;id=current&amp;vsId=%7b3142A0FE-96DE-4A05-9052-47FC9683C36E%7d&amp;objectType=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BACDB-D9FB-4835-94B1-2E32FA1F3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2992</Words>
  <Characters>17059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2019-04-26T12:09:00Z</dcterms:created>
  <dcterms:modified xsi:type="dcterms:W3CDTF">2019-04-26T12:09:00Z</dcterms:modified>
</cp:coreProperties>
</file>