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2F4B98" w14:textId="705C4B28" w:rsidR="0005267F" w:rsidRDefault="0005267F" w:rsidP="00AD2394">
      <w:pPr>
        <w:jc w:val="center"/>
        <w:rPr>
          <w:b/>
          <w:szCs w:val="24"/>
        </w:rPr>
      </w:pPr>
      <w:bookmarkStart w:id="0" w:name="_GoBack"/>
      <w:bookmarkEnd w:id="0"/>
      <w:r>
        <w:rPr>
          <w:b/>
          <w:szCs w:val="24"/>
        </w:rPr>
        <w:t xml:space="preserve">Information Collection Request (ICR) </w:t>
      </w:r>
      <w:r w:rsidR="00EB6419" w:rsidRPr="0005267F">
        <w:rPr>
          <w:b/>
          <w:szCs w:val="24"/>
        </w:rPr>
        <w:t>Supporting Statement</w:t>
      </w:r>
    </w:p>
    <w:p w14:paraId="1FBC42C2" w14:textId="47863D4E" w:rsidR="0005267F" w:rsidRDefault="00F069AE" w:rsidP="00AD2394">
      <w:pPr>
        <w:jc w:val="center"/>
        <w:rPr>
          <w:b/>
          <w:szCs w:val="24"/>
        </w:rPr>
      </w:pPr>
      <w:r>
        <w:rPr>
          <w:b/>
          <w:szCs w:val="24"/>
        </w:rPr>
        <w:t>for</w:t>
      </w:r>
    </w:p>
    <w:p w14:paraId="34B62765" w14:textId="0B315A7E" w:rsidR="00EB6419" w:rsidRPr="0005267F" w:rsidRDefault="00F63141" w:rsidP="00AD2394">
      <w:pPr>
        <w:jc w:val="center"/>
        <w:rPr>
          <w:b/>
          <w:szCs w:val="24"/>
        </w:rPr>
      </w:pPr>
      <w:r w:rsidRPr="0005267F">
        <w:rPr>
          <w:b/>
          <w:szCs w:val="24"/>
        </w:rPr>
        <w:t xml:space="preserve"> Guidance for Applicants Requesting to Treat/Dispose of PCBs Using Incineration or an Alternative Method</w:t>
      </w:r>
    </w:p>
    <w:p w14:paraId="4B121A91" w14:textId="77777777" w:rsidR="00EB6419" w:rsidRDefault="00EB6419" w:rsidP="00EB6419"/>
    <w:p w14:paraId="10921474" w14:textId="77777777" w:rsidR="00AD2394" w:rsidRDefault="00AD2394" w:rsidP="00EB6419"/>
    <w:p w14:paraId="4F276F92" w14:textId="77777777" w:rsidR="00EB6419" w:rsidRPr="001B5109" w:rsidRDefault="00EB6419" w:rsidP="00EB6419">
      <w:pPr>
        <w:pStyle w:val="ListParagraph"/>
        <w:numPr>
          <w:ilvl w:val="0"/>
          <w:numId w:val="1"/>
        </w:numPr>
        <w:rPr>
          <w:b/>
        </w:rPr>
      </w:pPr>
      <w:r w:rsidRPr="001B5109">
        <w:rPr>
          <w:b/>
        </w:rPr>
        <w:t>IDENTIFICATION OF THE INFORMATION COLLECTION</w:t>
      </w:r>
    </w:p>
    <w:p w14:paraId="36F00E2E" w14:textId="77777777" w:rsidR="009E4693" w:rsidRDefault="009E4693" w:rsidP="001B5109">
      <w:pPr>
        <w:ind w:firstLine="720"/>
        <w:rPr>
          <w:b/>
        </w:rPr>
      </w:pPr>
    </w:p>
    <w:p w14:paraId="325CC1E5" w14:textId="77777777" w:rsidR="00EB6419" w:rsidRPr="001B5109" w:rsidRDefault="00EB6419" w:rsidP="001B5109">
      <w:pPr>
        <w:ind w:firstLine="720"/>
        <w:rPr>
          <w:b/>
        </w:rPr>
      </w:pPr>
      <w:r w:rsidRPr="001B5109">
        <w:rPr>
          <w:b/>
        </w:rPr>
        <w:t>1(a). Title and Number of the Information Collection</w:t>
      </w:r>
    </w:p>
    <w:p w14:paraId="2B873719" w14:textId="77777777" w:rsidR="00EB6419" w:rsidRDefault="00EB6419" w:rsidP="00EB6419"/>
    <w:p w14:paraId="3D5A2402" w14:textId="13D5C701" w:rsidR="00EB6419" w:rsidRDefault="00F63141" w:rsidP="00DD410D">
      <w:pPr>
        <w:ind w:left="720"/>
      </w:pPr>
      <w:r>
        <w:t>This ICR is entitled, “Guidance for Applicants Requesting to Treat/Dispose of PCBs Using Incineration or an Alternative Method (</w:t>
      </w:r>
      <w:r w:rsidR="0005267F">
        <w:t>New</w:t>
      </w:r>
      <w:r>
        <w:t xml:space="preserve">),” EPA ICR No. </w:t>
      </w:r>
      <w:r w:rsidR="00E80101">
        <w:t>2596.01</w:t>
      </w:r>
      <w:r>
        <w:t xml:space="preserve">, </w:t>
      </w:r>
      <w:r w:rsidR="00EB6419">
        <w:t>OMB Control No</w:t>
      </w:r>
      <w:r w:rsidR="005A1943">
        <w:t>.</w:t>
      </w:r>
      <w:r w:rsidR="00EB6419">
        <w:t xml:space="preserve"> </w:t>
      </w:r>
      <w:r w:rsidR="0058482D">
        <w:t>20</w:t>
      </w:r>
      <w:r w:rsidR="00812D98">
        <w:t>7</w:t>
      </w:r>
      <w:r w:rsidR="0058482D">
        <w:t>0-NEW</w:t>
      </w:r>
      <w:r>
        <w:t xml:space="preserve">. </w:t>
      </w:r>
    </w:p>
    <w:p w14:paraId="462429C8" w14:textId="77777777" w:rsidR="00EB6419" w:rsidRDefault="00EB6419" w:rsidP="00EB6419"/>
    <w:p w14:paraId="7463BB50" w14:textId="77777777" w:rsidR="00EB6419" w:rsidRPr="001B5109" w:rsidRDefault="00EB6419" w:rsidP="001B5109">
      <w:pPr>
        <w:ind w:left="720"/>
        <w:rPr>
          <w:b/>
        </w:rPr>
      </w:pPr>
      <w:r w:rsidRPr="001B5109">
        <w:rPr>
          <w:b/>
        </w:rPr>
        <w:t>1(b). Short Characterization</w:t>
      </w:r>
    </w:p>
    <w:p w14:paraId="3115EE37" w14:textId="77777777" w:rsidR="001B5109" w:rsidRDefault="001B5109" w:rsidP="00EB6419"/>
    <w:p w14:paraId="31607B17" w14:textId="440A0064" w:rsidR="00BC60D2" w:rsidRPr="008E792A" w:rsidRDefault="00E45558" w:rsidP="00AD2394">
      <w:pPr>
        <w:widowControl w:val="0"/>
        <w:autoSpaceDE w:val="0"/>
        <w:autoSpaceDN w:val="0"/>
        <w:adjustRightInd w:val="0"/>
        <w:spacing w:line="240" w:lineRule="auto"/>
        <w:ind w:left="720"/>
        <w:rPr>
          <w:rFonts w:eastAsia="Times New Roman" w:cs="Times New Roman"/>
          <w:szCs w:val="24"/>
        </w:rPr>
      </w:pPr>
      <w:r>
        <w:t xml:space="preserve">The Toxic Substances Control Act (TSCA) section 6(e), 15 USC 2605(e), directs the Environmental Protection Agency (EPA) to regulate the disposal of polychlorinated biphenyls (PCBs). Implementing regulations have been codified in </w:t>
      </w:r>
      <w:r w:rsidR="00BC60D2">
        <w:rPr>
          <w:rFonts w:eastAsia="Times New Roman" w:cs="Times New Roman"/>
          <w:szCs w:val="24"/>
        </w:rPr>
        <w:t xml:space="preserve">Part 761 in </w:t>
      </w:r>
      <w:r w:rsidR="00BC60D2" w:rsidRPr="008E792A">
        <w:rPr>
          <w:rFonts w:eastAsia="Times New Roman" w:cs="Times New Roman"/>
          <w:szCs w:val="24"/>
        </w:rPr>
        <w:t xml:space="preserve">Title 40 of the Code of Federal Regulations (40 </w:t>
      </w:r>
      <w:r w:rsidR="00BC60D2">
        <w:rPr>
          <w:rFonts w:eastAsia="Times New Roman" w:cs="Times New Roman"/>
          <w:szCs w:val="24"/>
        </w:rPr>
        <w:t xml:space="preserve">CFR part </w:t>
      </w:r>
      <w:r w:rsidR="00BC60D2" w:rsidRPr="008E792A">
        <w:rPr>
          <w:rFonts w:eastAsia="Times New Roman" w:cs="Times New Roman"/>
          <w:szCs w:val="24"/>
        </w:rPr>
        <w:t>761).</w:t>
      </w:r>
      <w:r w:rsidR="00BC60D2">
        <w:rPr>
          <w:rStyle w:val="FootnoteReference"/>
          <w:rFonts w:eastAsia="Times New Roman" w:cs="Times New Roman"/>
          <w:szCs w:val="24"/>
        </w:rPr>
        <w:footnoteReference w:id="1"/>
      </w:r>
      <w:r w:rsidR="00BC60D2" w:rsidRPr="008E792A">
        <w:rPr>
          <w:rFonts w:eastAsia="Times New Roman" w:cs="Times New Roman"/>
          <w:szCs w:val="24"/>
        </w:rPr>
        <w:t xml:space="preserve"> Under these rules, persons dispos</w:t>
      </w:r>
      <w:r w:rsidR="00BC60D2">
        <w:rPr>
          <w:rFonts w:eastAsia="Times New Roman" w:cs="Times New Roman"/>
          <w:szCs w:val="24"/>
        </w:rPr>
        <w:t>ing</w:t>
      </w:r>
      <w:r w:rsidR="00BC60D2" w:rsidRPr="008E792A">
        <w:rPr>
          <w:rFonts w:eastAsia="Times New Roman" w:cs="Times New Roman"/>
          <w:szCs w:val="24"/>
        </w:rPr>
        <w:t xml:space="preserve"> of regulated PCBs are required to use approved methods and</w:t>
      </w:r>
      <w:r w:rsidR="00BC60D2">
        <w:rPr>
          <w:rFonts w:eastAsia="Times New Roman" w:cs="Times New Roman"/>
          <w:szCs w:val="24"/>
        </w:rPr>
        <w:t>,</w:t>
      </w:r>
      <w:r w:rsidR="00BC60D2" w:rsidRPr="008E792A">
        <w:rPr>
          <w:rFonts w:eastAsia="Times New Roman" w:cs="Times New Roman"/>
          <w:szCs w:val="24"/>
        </w:rPr>
        <w:t xml:space="preserve"> in some cases</w:t>
      </w:r>
      <w:r w:rsidR="00BC60D2">
        <w:rPr>
          <w:rFonts w:eastAsia="Times New Roman" w:cs="Times New Roman"/>
          <w:szCs w:val="24"/>
        </w:rPr>
        <w:t>,</w:t>
      </w:r>
      <w:r w:rsidR="00BC60D2" w:rsidRPr="008E792A">
        <w:rPr>
          <w:rFonts w:eastAsia="Times New Roman" w:cs="Times New Roman"/>
          <w:szCs w:val="24"/>
        </w:rPr>
        <w:t xml:space="preserve"> obtain an approval.</w:t>
      </w:r>
      <w:r w:rsidR="00034824">
        <w:rPr>
          <w:rFonts w:eastAsia="Times New Roman" w:cs="Times New Roman"/>
          <w:szCs w:val="24"/>
        </w:rPr>
        <w:t xml:space="preserve"> </w:t>
      </w:r>
      <w:r w:rsidR="00166716">
        <w:rPr>
          <w:rFonts w:eastAsia="Times New Roman" w:cs="Times New Roman"/>
          <w:szCs w:val="24"/>
        </w:rPr>
        <w:t xml:space="preserve">Two of the approved methods to dispose of </w:t>
      </w:r>
      <w:r w:rsidR="00BC60D2" w:rsidRPr="008E792A">
        <w:rPr>
          <w:rFonts w:eastAsia="Times New Roman" w:cs="Times New Roman"/>
          <w:szCs w:val="24"/>
        </w:rPr>
        <w:t xml:space="preserve">PCB wastes </w:t>
      </w:r>
      <w:r w:rsidR="00166716">
        <w:rPr>
          <w:rFonts w:eastAsia="Times New Roman" w:cs="Times New Roman"/>
          <w:szCs w:val="24"/>
        </w:rPr>
        <w:t>includes</w:t>
      </w:r>
      <w:r w:rsidR="00BC60D2" w:rsidRPr="008E792A">
        <w:rPr>
          <w:rFonts w:eastAsia="Times New Roman" w:cs="Times New Roman"/>
          <w:szCs w:val="24"/>
        </w:rPr>
        <w:t xml:space="preserve"> incinerators</w:t>
      </w:r>
      <w:r w:rsidR="00264E6B">
        <w:rPr>
          <w:rFonts w:eastAsia="Times New Roman" w:cs="Times New Roman"/>
          <w:szCs w:val="24"/>
        </w:rPr>
        <w:t xml:space="preserve"> or </w:t>
      </w:r>
      <w:r w:rsidR="00264E6B">
        <w:t>high efficiency boilers</w:t>
      </w:r>
      <w:r w:rsidR="00BC60D2" w:rsidRPr="008E792A">
        <w:rPr>
          <w:rFonts w:eastAsia="Times New Roman" w:cs="Times New Roman"/>
          <w:szCs w:val="24"/>
        </w:rPr>
        <w:t xml:space="preserve"> that comply with</w:t>
      </w:r>
      <w:r w:rsidR="00CC23D0">
        <w:rPr>
          <w:rFonts w:eastAsia="Times New Roman" w:cs="Times New Roman"/>
          <w:szCs w:val="24"/>
        </w:rPr>
        <w:t xml:space="preserve"> requirements in</w:t>
      </w:r>
      <w:r w:rsidR="00BC60D2" w:rsidRPr="008E792A">
        <w:rPr>
          <w:rFonts w:eastAsia="Times New Roman" w:cs="Times New Roman"/>
          <w:szCs w:val="24"/>
        </w:rPr>
        <w:t xml:space="preserve"> §</w:t>
      </w:r>
      <w:r w:rsidR="00FD0044" w:rsidRPr="008E792A">
        <w:rPr>
          <w:rFonts w:eastAsia="Times New Roman" w:cs="Times New Roman"/>
          <w:szCs w:val="24"/>
        </w:rPr>
        <w:t>§</w:t>
      </w:r>
      <w:r w:rsidR="00BC60D2" w:rsidRPr="008E792A">
        <w:rPr>
          <w:rFonts w:eastAsia="Times New Roman" w:cs="Times New Roman"/>
          <w:szCs w:val="24"/>
        </w:rPr>
        <w:t>761.70</w:t>
      </w:r>
      <w:r w:rsidR="00264E6B">
        <w:rPr>
          <w:rFonts w:eastAsia="Times New Roman" w:cs="Times New Roman"/>
          <w:szCs w:val="24"/>
        </w:rPr>
        <w:t xml:space="preserve"> or </w:t>
      </w:r>
      <w:r w:rsidR="00264E6B" w:rsidRPr="008E792A">
        <w:rPr>
          <w:rFonts w:eastAsia="Times New Roman" w:cs="Times New Roman"/>
          <w:szCs w:val="24"/>
        </w:rPr>
        <w:t>761.7</w:t>
      </w:r>
      <w:r w:rsidR="00264E6B">
        <w:rPr>
          <w:rFonts w:eastAsia="Times New Roman" w:cs="Times New Roman"/>
          <w:szCs w:val="24"/>
        </w:rPr>
        <w:t>1</w:t>
      </w:r>
      <w:r w:rsidR="00166716">
        <w:rPr>
          <w:rFonts w:eastAsia="Times New Roman" w:cs="Times New Roman"/>
          <w:szCs w:val="24"/>
        </w:rPr>
        <w:t>, respectively</w:t>
      </w:r>
      <w:r w:rsidR="00264E6B">
        <w:rPr>
          <w:rFonts w:eastAsia="Times New Roman" w:cs="Times New Roman"/>
          <w:szCs w:val="24"/>
        </w:rPr>
        <w:t xml:space="preserve">. </w:t>
      </w:r>
      <w:r w:rsidR="00034824">
        <w:rPr>
          <w:rFonts w:eastAsia="Times New Roman" w:cs="Times New Roman"/>
          <w:szCs w:val="24"/>
        </w:rPr>
        <w:t>Section 761.70</w:t>
      </w:r>
      <w:r w:rsidR="00447BC5">
        <w:rPr>
          <w:rFonts w:eastAsia="Times New Roman" w:cs="Times New Roman"/>
          <w:szCs w:val="24"/>
        </w:rPr>
        <w:t>(d)</w:t>
      </w:r>
      <w:r w:rsidR="00034824">
        <w:rPr>
          <w:rFonts w:eastAsia="Times New Roman" w:cs="Times New Roman"/>
          <w:szCs w:val="24"/>
        </w:rPr>
        <w:t xml:space="preserve"> </w:t>
      </w:r>
      <w:r w:rsidR="00447BC5">
        <w:rPr>
          <w:rFonts w:eastAsia="Times New Roman" w:cs="Times New Roman"/>
          <w:szCs w:val="24"/>
        </w:rPr>
        <w:t>discusses</w:t>
      </w:r>
      <w:r w:rsidR="00034824">
        <w:rPr>
          <w:rFonts w:eastAsia="Times New Roman" w:cs="Times New Roman"/>
          <w:szCs w:val="24"/>
        </w:rPr>
        <w:t xml:space="preserve"> </w:t>
      </w:r>
      <w:r w:rsidR="00447BC5">
        <w:rPr>
          <w:rFonts w:eastAsia="Times New Roman" w:cs="Times New Roman"/>
          <w:szCs w:val="24"/>
        </w:rPr>
        <w:t xml:space="preserve">the approval process where an application and </w:t>
      </w:r>
      <w:r w:rsidR="00166716">
        <w:rPr>
          <w:rFonts w:eastAsia="Times New Roman" w:cs="Times New Roman"/>
          <w:szCs w:val="24"/>
        </w:rPr>
        <w:t xml:space="preserve">a </w:t>
      </w:r>
      <w:r w:rsidR="00447BC5">
        <w:rPr>
          <w:rFonts w:eastAsia="Times New Roman" w:cs="Times New Roman"/>
          <w:szCs w:val="24"/>
        </w:rPr>
        <w:t xml:space="preserve">demonstration test are required prior to destroying PCBs in an incinerator. </w:t>
      </w:r>
      <w:r w:rsidR="00264E6B">
        <w:rPr>
          <w:rFonts w:eastAsia="Times New Roman" w:cs="Times New Roman"/>
          <w:szCs w:val="24"/>
        </w:rPr>
        <w:t>U</w:t>
      </w:r>
      <w:r w:rsidR="00264E6B" w:rsidRPr="008E792A">
        <w:rPr>
          <w:rFonts w:eastAsia="Times New Roman" w:cs="Times New Roman"/>
          <w:szCs w:val="24"/>
        </w:rPr>
        <w:t xml:space="preserve">nder </w:t>
      </w:r>
      <w:r w:rsidR="008F00D9">
        <w:rPr>
          <w:rFonts w:eastAsia="Times New Roman" w:cs="Times New Roman"/>
          <w:szCs w:val="24"/>
        </w:rPr>
        <w:t>§7</w:t>
      </w:r>
      <w:r w:rsidR="00264E6B" w:rsidRPr="008E792A">
        <w:rPr>
          <w:rFonts w:eastAsia="Times New Roman" w:cs="Times New Roman"/>
          <w:szCs w:val="24"/>
        </w:rPr>
        <w:t>61.60(e)</w:t>
      </w:r>
      <w:r w:rsidR="00264E6B">
        <w:rPr>
          <w:rFonts w:eastAsia="Times New Roman" w:cs="Times New Roman"/>
          <w:szCs w:val="24"/>
        </w:rPr>
        <w:t>,</w:t>
      </w:r>
      <w:r w:rsidR="00264E6B" w:rsidRPr="008E792A">
        <w:rPr>
          <w:rFonts w:eastAsia="Times New Roman" w:cs="Times New Roman"/>
          <w:szCs w:val="24"/>
        </w:rPr>
        <w:t xml:space="preserve"> </w:t>
      </w:r>
      <w:r w:rsidR="00264E6B">
        <w:rPr>
          <w:rFonts w:eastAsia="Times New Roman" w:cs="Times New Roman"/>
          <w:szCs w:val="24"/>
        </w:rPr>
        <w:t>f</w:t>
      </w:r>
      <w:r w:rsidR="00BC60D2" w:rsidRPr="008E792A">
        <w:rPr>
          <w:rFonts w:eastAsia="Times New Roman" w:cs="Times New Roman"/>
          <w:szCs w:val="24"/>
        </w:rPr>
        <w:t xml:space="preserve">acilities </w:t>
      </w:r>
      <w:r w:rsidR="00264E6B">
        <w:rPr>
          <w:rFonts w:eastAsia="Times New Roman" w:cs="Times New Roman"/>
          <w:szCs w:val="24"/>
        </w:rPr>
        <w:t xml:space="preserve">may request </w:t>
      </w:r>
      <w:r w:rsidR="00BC60D2" w:rsidRPr="008E792A">
        <w:rPr>
          <w:rFonts w:eastAsia="Times New Roman" w:cs="Times New Roman"/>
          <w:szCs w:val="24"/>
        </w:rPr>
        <w:t>approv</w:t>
      </w:r>
      <w:r w:rsidR="00264E6B">
        <w:rPr>
          <w:rFonts w:eastAsia="Times New Roman" w:cs="Times New Roman"/>
          <w:szCs w:val="24"/>
        </w:rPr>
        <w:t>al</w:t>
      </w:r>
      <w:r w:rsidR="00BC60D2" w:rsidRPr="008E792A">
        <w:rPr>
          <w:rFonts w:eastAsia="Times New Roman" w:cs="Times New Roman"/>
          <w:szCs w:val="24"/>
        </w:rPr>
        <w:t xml:space="preserve"> </w:t>
      </w:r>
      <w:r w:rsidR="00264E6B">
        <w:rPr>
          <w:rFonts w:eastAsia="Times New Roman" w:cs="Times New Roman"/>
          <w:szCs w:val="24"/>
        </w:rPr>
        <w:t xml:space="preserve">of a method alternative to </w:t>
      </w:r>
      <w:r w:rsidR="00264E6B" w:rsidRPr="008E792A">
        <w:rPr>
          <w:rFonts w:eastAsia="Times New Roman" w:cs="Times New Roman"/>
          <w:szCs w:val="24"/>
        </w:rPr>
        <w:t>incinerators</w:t>
      </w:r>
      <w:r w:rsidR="00264E6B">
        <w:rPr>
          <w:rFonts w:eastAsia="Times New Roman" w:cs="Times New Roman"/>
          <w:szCs w:val="24"/>
        </w:rPr>
        <w:t xml:space="preserve"> or </w:t>
      </w:r>
      <w:r w:rsidR="00264E6B">
        <w:t>high efficiency boilers</w:t>
      </w:r>
      <w:r w:rsidR="00264E6B" w:rsidRPr="008E792A">
        <w:rPr>
          <w:rFonts w:eastAsia="Times New Roman" w:cs="Times New Roman"/>
          <w:szCs w:val="24"/>
        </w:rPr>
        <w:t xml:space="preserve"> </w:t>
      </w:r>
      <w:r w:rsidR="00264E6B">
        <w:rPr>
          <w:rFonts w:eastAsia="Times New Roman" w:cs="Times New Roman"/>
          <w:szCs w:val="24"/>
        </w:rPr>
        <w:t>if the method can</w:t>
      </w:r>
      <w:r w:rsidR="00BC60D2" w:rsidRPr="008E792A">
        <w:rPr>
          <w:rFonts w:eastAsia="Times New Roman" w:cs="Times New Roman"/>
          <w:szCs w:val="24"/>
        </w:rPr>
        <w:t xml:space="preserve"> </w:t>
      </w:r>
      <w:r w:rsidR="00BC60D2">
        <w:rPr>
          <w:rFonts w:eastAsia="Times New Roman" w:cs="Times New Roman"/>
          <w:szCs w:val="24"/>
        </w:rPr>
        <w:t>achiev</w:t>
      </w:r>
      <w:r w:rsidR="00264E6B">
        <w:rPr>
          <w:rFonts w:eastAsia="Times New Roman" w:cs="Times New Roman"/>
          <w:szCs w:val="24"/>
        </w:rPr>
        <w:t>e</w:t>
      </w:r>
      <w:r w:rsidR="00BC60D2">
        <w:rPr>
          <w:rFonts w:eastAsia="Times New Roman" w:cs="Times New Roman"/>
          <w:szCs w:val="24"/>
        </w:rPr>
        <w:t xml:space="preserve"> a level of performance equivalent to an incinerator approved under </w:t>
      </w:r>
      <w:r w:rsidR="00BC60D2" w:rsidRPr="008E792A">
        <w:rPr>
          <w:rFonts w:eastAsia="Times New Roman" w:cs="Times New Roman"/>
          <w:szCs w:val="24"/>
        </w:rPr>
        <w:t>§</w:t>
      </w:r>
      <w:r w:rsidR="00BC60D2">
        <w:rPr>
          <w:rFonts w:eastAsia="Times New Roman" w:cs="Times New Roman"/>
          <w:szCs w:val="24"/>
        </w:rPr>
        <w:t>761.70.</w:t>
      </w:r>
      <w:r w:rsidR="00BC60D2" w:rsidRPr="008E792A">
        <w:rPr>
          <w:rFonts w:eastAsia="Times New Roman" w:cs="Times New Roman"/>
          <w:szCs w:val="24"/>
        </w:rPr>
        <w:t xml:space="preserve"> </w:t>
      </w:r>
      <w:r w:rsidR="009B7D05">
        <w:rPr>
          <w:rFonts w:eastAsia="Times New Roman" w:cs="Times New Roman"/>
          <w:szCs w:val="24"/>
        </w:rPr>
        <w:t xml:space="preserve">As such, the approval process for </w:t>
      </w:r>
      <w:r w:rsidR="009B7D05" w:rsidRPr="008E792A">
        <w:rPr>
          <w:rFonts w:eastAsia="Times New Roman" w:cs="Times New Roman"/>
          <w:szCs w:val="24"/>
        </w:rPr>
        <w:t>§761.60(e)</w:t>
      </w:r>
      <w:r w:rsidR="009B7D05">
        <w:rPr>
          <w:rFonts w:eastAsia="Times New Roman" w:cs="Times New Roman"/>
          <w:szCs w:val="24"/>
        </w:rPr>
        <w:t xml:space="preserve"> is generally similar to the discussion presented in </w:t>
      </w:r>
      <w:r w:rsidR="009B7D05" w:rsidRPr="008E792A">
        <w:rPr>
          <w:rFonts w:eastAsia="Times New Roman" w:cs="Times New Roman"/>
          <w:szCs w:val="24"/>
        </w:rPr>
        <w:t>§761.</w:t>
      </w:r>
      <w:r w:rsidR="009B7D05">
        <w:rPr>
          <w:rFonts w:eastAsia="Times New Roman" w:cs="Times New Roman"/>
          <w:szCs w:val="24"/>
        </w:rPr>
        <w:t>7</w:t>
      </w:r>
      <w:r w:rsidR="009B7D05" w:rsidRPr="008E792A">
        <w:rPr>
          <w:rFonts w:eastAsia="Times New Roman" w:cs="Times New Roman"/>
          <w:szCs w:val="24"/>
        </w:rPr>
        <w:t>0(</w:t>
      </w:r>
      <w:r w:rsidR="009B7D05">
        <w:rPr>
          <w:rFonts w:eastAsia="Times New Roman" w:cs="Times New Roman"/>
          <w:szCs w:val="24"/>
        </w:rPr>
        <w:t>d</w:t>
      </w:r>
      <w:r w:rsidR="009B7D05" w:rsidRPr="008E792A">
        <w:rPr>
          <w:rFonts w:eastAsia="Times New Roman" w:cs="Times New Roman"/>
          <w:szCs w:val="24"/>
        </w:rPr>
        <w:t>)</w:t>
      </w:r>
      <w:r w:rsidR="009B7D05">
        <w:rPr>
          <w:rFonts w:eastAsia="Times New Roman" w:cs="Times New Roman"/>
          <w:szCs w:val="24"/>
        </w:rPr>
        <w:t>.</w:t>
      </w:r>
    </w:p>
    <w:p w14:paraId="5D5EE34A" w14:textId="77777777" w:rsidR="00BC60D2" w:rsidRPr="008E792A" w:rsidRDefault="00BC60D2" w:rsidP="00AD2394">
      <w:pPr>
        <w:widowControl w:val="0"/>
        <w:autoSpaceDE w:val="0"/>
        <w:autoSpaceDN w:val="0"/>
        <w:adjustRightInd w:val="0"/>
        <w:spacing w:line="240" w:lineRule="auto"/>
        <w:ind w:left="720"/>
        <w:rPr>
          <w:rFonts w:eastAsia="Times New Roman" w:cs="Times New Roman"/>
          <w:szCs w:val="24"/>
        </w:rPr>
      </w:pPr>
    </w:p>
    <w:p w14:paraId="1C428818" w14:textId="353BF692" w:rsidR="00BC60D2" w:rsidRDefault="00166716" w:rsidP="00AD2394">
      <w:pPr>
        <w:widowControl w:val="0"/>
        <w:autoSpaceDE w:val="0"/>
        <w:autoSpaceDN w:val="0"/>
        <w:adjustRightInd w:val="0"/>
        <w:spacing w:line="240" w:lineRule="auto"/>
        <w:ind w:left="720"/>
        <w:rPr>
          <w:rFonts w:eastAsia="Times New Roman" w:cs="Times New Roman"/>
          <w:szCs w:val="24"/>
        </w:rPr>
      </w:pPr>
      <w:bookmarkStart w:id="1" w:name="_Hlk2676104"/>
      <w:r>
        <w:rPr>
          <w:rFonts w:eastAsia="Times New Roman" w:cs="Times New Roman"/>
          <w:szCs w:val="24"/>
        </w:rPr>
        <w:t>G</w:t>
      </w:r>
      <w:r w:rsidR="00BC60D2" w:rsidRPr="008E792A">
        <w:rPr>
          <w:rFonts w:eastAsia="Times New Roman" w:cs="Times New Roman"/>
          <w:szCs w:val="24"/>
        </w:rPr>
        <w:t>uidance</w:t>
      </w:r>
      <w:r>
        <w:rPr>
          <w:rFonts w:eastAsia="Times New Roman" w:cs="Times New Roman"/>
          <w:szCs w:val="24"/>
        </w:rPr>
        <w:t xml:space="preserve"> documents</w:t>
      </w:r>
      <w:r w:rsidR="00034824">
        <w:rPr>
          <w:rFonts w:eastAsia="Times New Roman" w:cs="Times New Roman"/>
          <w:szCs w:val="24"/>
        </w:rPr>
        <w:t xml:space="preserve"> w</w:t>
      </w:r>
      <w:r>
        <w:rPr>
          <w:rFonts w:eastAsia="Times New Roman" w:cs="Times New Roman"/>
          <w:szCs w:val="24"/>
        </w:rPr>
        <w:t>ere developed in 1986</w:t>
      </w:r>
      <w:r w:rsidR="00034824">
        <w:rPr>
          <w:rFonts w:eastAsia="Times New Roman" w:cs="Times New Roman"/>
          <w:szCs w:val="24"/>
        </w:rPr>
        <w:t xml:space="preserve"> </w:t>
      </w:r>
      <w:r w:rsidR="00BC60D2" w:rsidRPr="008E792A">
        <w:rPr>
          <w:rFonts w:eastAsia="Times New Roman" w:cs="Times New Roman"/>
          <w:szCs w:val="24"/>
        </w:rPr>
        <w:t xml:space="preserve">for persons applying to EPA for approval to dispose of PCBs using </w:t>
      </w:r>
      <w:r w:rsidR="00CC23D0" w:rsidRPr="008E792A">
        <w:rPr>
          <w:rFonts w:eastAsia="Times New Roman" w:cs="Times New Roman"/>
          <w:szCs w:val="24"/>
        </w:rPr>
        <w:t>incineration (§761.70)</w:t>
      </w:r>
      <w:r w:rsidR="00CC23D0">
        <w:rPr>
          <w:rFonts w:eastAsia="Times New Roman" w:cs="Times New Roman"/>
          <w:szCs w:val="24"/>
        </w:rPr>
        <w:t xml:space="preserve"> or a method </w:t>
      </w:r>
      <w:r w:rsidR="00BC60D2" w:rsidRPr="008E792A">
        <w:rPr>
          <w:rFonts w:eastAsia="Times New Roman" w:cs="Times New Roman"/>
          <w:szCs w:val="24"/>
        </w:rPr>
        <w:t xml:space="preserve">alternative </w:t>
      </w:r>
      <w:r w:rsidR="00CC23D0">
        <w:rPr>
          <w:rFonts w:eastAsia="Times New Roman" w:cs="Times New Roman"/>
          <w:szCs w:val="24"/>
        </w:rPr>
        <w:t>to incineration</w:t>
      </w:r>
      <w:r w:rsidR="00BC60D2" w:rsidRPr="008E792A">
        <w:rPr>
          <w:rFonts w:eastAsia="Times New Roman" w:cs="Times New Roman"/>
          <w:szCs w:val="24"/>
        </w:rPr>
        <w:t xml:space="preserve"> (§761.60(e)</w:t>
      </w:r>
      <w:r w:rsidR="00CC23D0">
        <w:rPr>
          <w:rFonts w:eastAsia="Times New Roman" w:cs="Times New Roman"/>
          <w:szCs w:val="24"/>
        </w:rPr>
        <w:t>)</w:t>
      </w:r>
      <w:r w:rsidR="00BC60D2" w:rsidRPr="008E792A">
        <w:rPr>
          <w:rFonts w:eastAsia="Times New Roman" w:cs="Times New Roman"/>
          <w:szCs w:val="24"/>
        </w:rPr>
        <w:t>.</w:t>
      </w:r>
      <w:r>
        <w:rPr>
          <w:rFonts w:eastAsia="Times New Roman" w:cs="Times New Roman"/>
          <w:szCs w:val="24"/>
        </w:rPr>
        <w:t xml:space="preserve"> </w:t>
      </w:r>
      <w:r w:rsidR="00D6669C">
        <w:rPr>
          <w:rFonts w:eastAsia="Times New Roman" w:cs="Times New Roman"/>
          <w:szCs w:val="24"/>
        </w:rPr>
        <w:t>T</w:t>
      </w:r>
      <w:r>
        <w:rPr>
          <w:rFonts w:eastAsia="Times New Roman" w:cs="Times New Roman"/>
          <w:szCs w:val="24"/>
        </w:rPr>
        <w:t>he guidance</w:t>
      </w:r>
      <w:r w:rsidR="00D6669C">
        <w:rPr>
          <w:rFonts w:eastAsia="Times New Roman" w:cs="Times New Roman"/>
          <w:szCs w:val="24"/>
        </w:rPr>
        <w:t>s</w:t>
      </w:r>
      <w:r>
        <w:rPr>
          <w:rFonts w:eastAsia="Times New Roman" w:cs="Times New Roman"/>
          <w:szCs w:val="24"/>
        </w:rPr>
        <w:t xml:space="preserve"> are split into two </w:t>
      </w:r>
      <w:r w:rsidR="00D6669C">
        <w:rPr>
          <w:rFonts w:eastAsia="Times New Roman" w:cs="Times New Roman"/>
          <w:szCs w:val="24"/>
        </w:rPr>
        <w:t xml:space="preserve">document </w:t>
      </w:r>
      <w:r>
        <w:rPr>
          <w:rFonts w:eastAsia="Times New Roman" w:cs="Times New Roman"/>
          <w:szCs w:val="24"/>
        </w:rPr>
        <w:t xml:space="preserve">(thermal and </w:t>
      </w:r>
      <w:r w:rsidR="00A16F71">
        <w:rPr>
          <w:rFonts w:eastAsia="Times New Roman" w:cs="Times New Roman"/>
          <w:szCs w:val="24"/>
        </w:rPr>
        <w:t>non-thermal</w:t>
      </w:r>
      <w:r>
        <w:rPr>
          <w:rFonts w:eastAsia="Times New Roman" w:cs="Times New Roman"/>
          <w:szCs w:val="24"/>
        </w:rPr>
        <w:t xml:space="preserve">) and they </w:t>
      </w:r>
      <w:r w:rsidR="00BC60D2" w:rsidRPr="0012694D">
        <w:rPr>
          <w:rFonts w:eastAsia="Times New Roman" w:cs="Times New Roman"/>
          <w:szCs w:val="24"/>
        </w:rPr>
        <w:t xml:space="preserve">present and discuss the format, content, and </w:t>
      </w:r>
      <w:r w:rsidR="00BC60D2">
        <w:rPr>
          <w:rFonts w:eastAsia="Times New Roman" w:cs="Times New Roman"/>
          <w:szCs w:val="24"/>
        </w:rPr>
        <w:t xml:space="preserve">suggested </w:t>
      </w:r>
      <w:r w:rsidR="00BC60D2" w:rsidRPr="0012694D">
        <w:rPr>
          <w:rFonts w:eastAsia="Times New Roman" w:cs="Times New Roman"/>
          <w:szCs w:val="24"/>
        </w:rPr>
        <w:t xml:space="preserve">level of detail for approval applications, </w:t>
      </w:r>
      <w:r w:rsidR="00BC60D2" w:rsidRPr="008E792A">
        <w:rPr>
          <w:rFonts w:eastAsia="Times New Roman" w:cs="Times New Roman"/>
          <w:szCs w:val="24"/>
        </w:rPr>
        <w:t xml:space="preserve">test plans, and test reports. </w:t>
      </w:r>
      <w:r>
        <w:rPr>
          <w:rFonts w:eastAsia="Times New Roman" w:cs="Times New Roman"/>
          <w:szCs w:val="24"/>
        </w:rPr>
        <w:t xml:space="preserve">These guidance documents </w:t>
      </w:r>
      <w:r w:rsidR="00AE1ECB">
        <w:rPr>
          <w:rFonts w:eastAsia="Times New Roman" w:cs="Times New Roman"/>
          <w:szCs w:val="24"/>
        </w:rPr>
        <w:t xml:space="preserve">are being </w:t>
      </w:r>
      <w:r>
        <w:rPr>
          <w:rFonts w:eastAsia="Times New Roman" w:cs="Times New Roman"/>
          <w:szCs w:val="24"/>
        </w:rPr>
        <w:t xml:space="preserve">updated and combined into </w:t>
      </w:r>
      <w:r w:rsidR="004A0182">
        <w:rPr>
          <w:rFonts w:eastAsia="Times New Roman" w:cs="Times New Roman"/>
          <w:szCs w:val="24"/>
        </w:rPr>
        <w:t>a single</w:t>
      </w:r>
      <w:r>
        <w:rPr>
          <w:rFonts w:eastAsia="Times New Roman" w:cs="Times New Roman"/>
          <w:szCs w:val="24"/>
        </w:rPr>
        <w:t xml:space="preserve"> document. </w:t>
      </w:r>
    </w:p>
    <w:p w14:paraId="3F6BBE03" w14:textId="77777777" w:rsidR="00166716" w:rsidRDefault="00166716" w:rsidP="00AD2394">
      <w:pPr>
        <w:widowControl w:val="0"/>
        <w:autoSpaceDE w:val="0"/>
        <w:autoSpaceDN w:val="0"/>
        <w:adjustRightInd w:val="0"/>
        <w:spacing w:line="240" w:lineRule="auto"/>
        <w:ind w:left="720" w:firstLine="720"/>
        <w:rPr>
          <w:rFonts w:eastAsia="Times New Roman" w:cs="Times New Roman"/>
          <w:szCs w:val="24"/>
        </w:rPr>
      </w:pPr>
    </w:p>
    <w:p w14:paraId="236542E5" w14:textId="0961FA33" w:rsidR="009529D7" w:rsidRDefault="00166716" w:rsidP="00AD2394">
      <w:pPr>
        <w:widowControl w:val="0"/>
        <w:autoSpaceDE w:val="0"/>
        <w:autoSpaceDN w:val="0"/>
        <w:adjustRightInd w:val="0"/>
        <w:spacing w:line="240" w:lineRule="auto"/>
        <w:ind w:left="720"/>
        <w:rPr>
          <w:rFonts w:eastAsia="Times New Roman" w:cs="Times New Roman"/>
          <w:szCs w:val="24"/>
        </w:rPr>
      </w:pPr>
      <w:r>
        <w:rPr>
          <w:rFonts w:eastAsia="Times New Roman" w:cs="Times New Roman"/>
          <w:szCs w:val="24"/>
        </w:rPr>
        <w:t xml:space="preserve">This </w:t>
      </w:r>
      <w:r w:rsidR="00B15C8F">
        <w:rPr>
          <w:rFonts w:eastAsia="Times New Roman" w:cs="Times New Roman"/>
          <w:szCs w:val="24"/>
        </w:rPr>
        <w:t xml:space="preserve">ICR </w:t>
      </w:r>
      <w:r w:rsidR="00D9050D">
        <w:rPr>
          <w:rFonts w:eastAsia="Times New Roman" w:cs="Times New Roman"/>
          <w:szCs w:val="24"/>
        </w:rPr>
        <w:t xml:space="preserve">describes the </w:t>
      </w:r>
      <w:r w:rsidR="00D2034C">
        <w:rPr>
          <w:rFonts w:eastAsia="Times New Roman" w:cs="Times New Roman"/>
          <w:szCs w:val="24"/>
        </w:rPr>
        <w:t xml:space="preserve">guidance and estimates the annual hour and cost burden to respondents and EPA </w:t>
      </w:r>
      <w:r w:rsidR="00F225E8">
        <w:rPr>
          <w:rFonts w:eastAsia="Times New Roman" w:cs="Times New Roman"/>
          <w:szCs w:val="24"/>
        </w:rPr>
        <w:t xml:space="preserve">who choose to use </w:t>
      </w:r>
      <w:r w:rsidR="00D2034C">
        <w:rPr>
          <w:rFonts w:eastAsia="Times New Roman" w:cs="Times New Roman"/>
          <w:szCs w:val="24"/>
        </w:rPr>
        <w:t>the guidance</w:t>
      </w:r>
      <w:r w:rsidR="008A4D26">
        <w:rPr>
          <w:rFonts w:eastAsia="Times New Roman" w:cs="Times New Roman"/>
          <w:szCs w:val="24"/>
        </w:rPr>
        <w:t xml:space="preserve">. This includes burden associated with </w:t>
      </w:r>
      <w:r w:rsidR="00D2034C">
        <w:rPr>
          <w:rFonts w:eastAsia="Times New Roman" w:cs="Times New Roman"/>
          <w:szCs w:val="24"/>
        </w:rPr>
        <w:t>reading the document and using the table</w:t>
      </w:r>
      <w:r w:rsidR="008A4D26">
        <w:rPr>
          <w:rFonts w:eastAsia="Times New Roman" w:cs="Times New Roman"/>
          <w:szCs w:val="24"/>
        </w:rPr>
        <w:t>s.</w:t>
      </w:r>
      <w:r w:rsidR="00D2034C">
        <w:rPr>
          <w:rFonts w:eastAsia="Times New Roman" w:cs="Times New Roman"/>
          <w:szCs w:val="24"/>
        </w:rPr>
        <w:t xml:space="preserve">  </w:t>
      </w:r>
    </w:p>
    <w:p w14:paraId="7EC421CE" w14:textId="77777777" w:rsidR="009529D7" w:rsidRDefault="009529D7" w:rsidP="00AD2394">
      <w:pPr>
        <w:widowControl w:val="0"/>
        <w:autoSpaceDE w:val="0"/>
        <w:autoSpaceDN w:val="0"/>
        <w:adjustRightInd w:val="0"/>
        <w:spacing w:line="240" w:lineRule="auto"/>
        <w:ind w:left="720" w:firstLine="720"/>
        <w:rPr>
          <w:rFonts w:eastAsia="Times New Roman" w:cs="Times New Roman"/>
          <w:szCs w:val="24"/>
        </w:rPr>
      </w:pPr>
    </w:p>
    <w:p w14:paraId="63405388" w14:textId="2B2F90D4" w:rsidR="00054BCB" w:rsidRDefault="009529D7" w:rsidP="00AD2394">
      <w:pPr>
        <w:widowControl w:val="0"/>
        <w:autoSpaceDE w:val="0"/>
        <w:autoSpaceDN w:val="0"/>
        <w:adjustRightInd w:val="0"/>
        <w:spacing w:line="240" w:lineRule="auto"/>
        <w:ind w:left="720"/>
        <w:rPr>
          <w:rFonts w:eastAsia="Times New Roman" w:cs="Times New Roman"/>
          <w:szCs w:val="24"/>
        </w:rPr>
      </w:pPr>
      <w:r>
        <w:rPr>
          <w:rFonts w:eastAsia="Times New Roman" w:cs="Times New Roman"/>
          <w:szCs w:val="24"/>
        </w:rPr>
        <w:t xml:space="preserve">The </w:t>
      </w:r>
      <w:r w:rsidR="00236C69">
        <w:rPr>
          <w:rFonts w:eastAsia="Times New Roman" w:cs="Times New Roman"/>
          <w:szCs w:val="24"/>
        </w:rPr>
        <w:t xml:space="preserve">overall </w:t>
      </w:r>
      <w:r w:rsidR="009B7D05">
        <w:rPr>
          <w:rFonts w:eastAsia="Times New Roman" w:cs="Times New Roman"/>
          <w:szCs w:val="24"/>
        </w:rPr>
        <w:t xml:space="preserve">reporting and recordkeeping requirements </w:t>
      </w:r>
      <w:r w:rsidR="006655BD">
        <w:rPr>
          <w:rFonts w:eastAsia="Times New Roman" w:cs="Times New Roman"/>
          <w:szCs w:val="24"/>
        </w:rPr>
        <w:t>for obtaining a</w:t>
      </w:r>
      <w:r w:rsidR="00236C69">
        <w:rPr>
          <w:rFonts w:eastAsia="Times New Roman" w:cs="Times New Roman"/>
          <w:szCs w:val="24"/>
        </w:rPr>
        <w:t xml:space="preserve"> </w:t>
      </w:r>
      <w:r w:rsidR="00236C69" w:rsidRPr="008E792A">
        <w:rPr>
          <w:rFonts w:eastAsia="Times New Roman" w:cs="Times New Roman"/>
          <w:szCs w:val="24"/>
        </w:rPr>
        <w:t>§</w:t>
      </w:r>
      <w:r w:rsidR="008F00D9">
        <w:rPr>
          <w:rFonts w:eastAsia="Times New Roman" w:cs="Times New Roman"/>
          <w:szCs w:val="24"/>
        </w:rPr>
        <w:t>§7</w:t>
      </w:r>
      <w:r w:rsidR="00236C69">
        <w:rPr>
          <w:rFonts w:eastAsia="Times New Roman" w:cs="Times New Roman"/>
          <w:szCs w:val="24"/>
        </w:rPr>
        <w:t>61.60(e) and 761.7</w:t>
      </w:r>
      <w:r w:rsidR="006B16B7">
        <w:rPr>
          <w:rFonts w:eastAsia="Times New Roman" w:cs="Times New Roman"/>
          <w:szCs w:val="24"/>
        </w:rPr>
        <w:t>0</w:t>
      </w:r>
      <w:r w:rsidR="00236C69">
        <w:rPr>
          <w:rFonts w:eastAsia="Times New Roman" w:cs="Times New Roman"/>
          <w:szCs w:val="24"/>
        </w:rPr>
        <w:t xml:space="preserve"> approval is </w:t>
      </w:r>
      <w:r w:rsidR="008A4D26">
        <w:rPr>
          <w:rFonts w:eastAsia="Times New Roman" w:cs="Times New Roman"/>
          <w:szCs w:val="24"/>
        </w:rPr>
        <w:t xml:space="preserve">reported </w:t>
      </w:r>
      <w:r w:rsidR="00236C69">
        <w:rPr>
          <w:rFonts w:eastAsia="Times New Roman" w:cs="Times New Roman"/>
          <w:szCs w:val="24"/>
        </w:rPr>
        <w:t xml:space="preserve">in a </w:t>
      </w:r>
      <w:r w:rsidR="008A4D26">
        <w:rPr>
          <w:rFonts w:eastAsia="Times New Roman" w:cs="Times New Roman"/>
          <w:szCs w:val="24"/>
        </w:rPr>
        <w:t>separate</w:t>
      </w:r>
      <w:r w:rsidR="00236C69">
        <w:rPr>
          <w:rFonts w:eastAsia="Times New Roman" w:cs="Times New Roman"/>
          <w:szCs w:val="24"/>
        </w:rPr>
        <w:t xml:space="preserve"> ICR</w:t>
      </w:r>
      <w:r w:rsidR="00C563F7">
        <w:rPr>
          <w:rFonts w:eastAsia="Times New Roman" w:cs="Times New Roman"/>
          <w:szCs w:val="24"/>
        </w:rPr>
        <w:t>,</w:t>
      </w:r>
      <w:r w:rsidR="00236C69">
        <w:rPr>
          <w:rFonts w:eastAsia="Times New Roman" w:cs="Times New Roman"/>
          <w:szCs w:val="24"/>
        </w:rPr>
        <w:t xml:space="preserve"> </w:t>
      </w:r>
      <w:r w:rsidR="005A1943">
        <w:rPr>
          <w:rFonts w:eastAsia="Times New Roman" w:cs="Times New Roman"/>
          <w:szCs w:val="24"/>
        </w:rPr>
        <w:t>OMB Control No. 2070-0112 (</w:t>
      </w:r>
      <w:r w:rsidR="006F24A0">
        <w:rPr>
          <w:rFonts w:eastAsia="Times New Roman" w:cs="Times New Roman"/>
          <w:szCs w:val="24"/>
        </w:rPr>
        <w:t xml:space="preserve">EPA ICR </w:t>
      </w:r>
      <w:r w:rsidR="00C563F7">
        <w:rPr>
          <w:rFonts w:eastAsia="Times New Roman" w:cs="Times New Roman"/>
          <w:szCs w:val="24"/>
        </w:rPr>
        <w:t xml:space="preserve">No. </w:t>
      </w:r>
      <w:r w:rsidR="006F24A0">
        <w:rPr>
          <w:rFonts w:eastAsia="Times New Roman" w:cs="Times New Roman"/>
          <w:szCs w:val="24"/>
        </w:rPr>
        <w:t>1446.12</w:t>
      </w:r>
      <w:r w:rsidR="005A1943">
        <w:rPr>
          <w:rFonts w:eastAsia="Times New Roman" w:cs="Times New Roman"/>
          <w:szCs w:val="24"/>
        </w:rPr>
        <w:t>)</w:t>
      </w:r>
      <w:r w:rsidR="00236C69">
        <w:rPr>
          <w:rFonts w:eastAsia="Times New Roman" w:cs="Times New Roman"/>
          <w:szCs w:val="24"/>
        </w:rPr>
        <w:t xml:space="preserve">. </w:t>
      </w:r>
      <w:r w:rsidR="00ED4D2D">
        <w:rPr>
          <w:rFonts w:eastAsia="Times New Roman" w:cs="Times New Roman"/>
          <w:szCs w:val="24"/>
        </w:rPr>
        <w:t>Although this ICR (</w:t>
      </w:r>
      <w:r w:rsidR="00E80101">
        <w:rPr>
          <w:rFonts w:eastAsia="Times New Roman" w:cs="Times New Roman"/>
          <w:szCs w:val="24"/>
        </w:rPr>
        <w:t>2596.01</w:t>
      </w:r>
      <w:r w:rsidR="00ED4D2D">
        <w:rPr>
          <w:rFonts w:eastAsia="Times New Roman" w:cs="Times New Roman"/>
          <w:szCs w:val="24"/>
        </w:rPr>
        <w:t xml:space="preserve">) includes a burden increase in terms of reviewing and using the </w:t>
      </w:r>
      <w:r w:rsidR="00ED4D2D">
        <w:rPr>
          <w:rFonts w:eastAsia="Times New Roman" w:cs="Times New Roman"/>
          <w:szCs w:val="24"/>
        </w:rPr>
        <w:lastRenderedPageBreak/>
        <w:t xml:space="preserve">guidance document, </w:t>
      </w:r>
      <w:r w:rsidR="00DD410D">
        <w:rPr>
          <w:rFonts w:eastAsia="Times New Roman" w:cs="Times New Roman"/>
          <w:szCs w:val="24"/>
        </w:rPr>
        <w:t xml:space="preserve">EPA </w:t>
      </w:r>
      <w:r w:rsidR="00ED4D2D">
        <w:rPr>
          <w:rFonts w:eastAsia="Times New Roman" w:cs="Times New Roman"/>
          <w:szCs w:val="24"/>
        </w:rPr>
        <w:t xml:space="preserve">notes </w:t>
      </w:r>
      <w:r w:rsidR="00DD410D">
        <w:rPr>
          <w:rFonts w:eastAsia="Times New Roman" w:cs="Times New Roman"/>
          <w:szCs w:val="24"/>
        </w:rPr>
        <w:t>that the guidance</w:t>
      </w:r>
      <w:r w:rsidR="006655BD">
        <w:rPr>
          <w:rFonts w:eastAsia="Times New Roman" w:cs="Times New Roman"/>
          <w:szCs w:val="24"/>
        </w:rPr>
        <w:t xml:space="preserve"> </w:t>
      </w:r>
      <w:r w:rsidR="00DD410D">
        <w:rPr>
          <w:rFonts w:eastAsia="Times New Roman" w:cs="Times New Roman"/>
          <w:szCs w:val="24"/>
        </w:rPr>
        <w:t xml:space="preserve">will </w:t>
      </w:r>
      <w:r w:rsidR="00DD410D" w:rsidRPr="006A1D5F">
        <w:rPr>
          <w:rFonts w:eastAsia="Times New Roman" w:cs="Times New Roman"/>
          <w:i/>
          <w:szCs w:val="24"/>
        </w:rPr>
        <w:t>reduce</w:t>
      </w:r>
      <w:r w:rsidR="00DD410D">
        <w:rPr>
          <w:rFonts w:eastAsia="Times New Roman" w:cs="Times New Roman"/>
          <w:szCs w:val="24"/>
        </w:rPr>
        <w:t xml:space="preserve"> the overall burden </w:t>
      </w:r>
      <w:r w:rsidR="00ED4D2D">
        <w:rPr>
          <w:rFonts w:eastAsia="Times New Roman" w:cs="Times New Roman"/>
          <w:szCs w:val="24"/>
        </w:rPr>
        <w:t xml:space="preserve">in ICR </w:t>
      </w:r>
      <w:r w:rsidR="005A1943">
        <w:rPr>
          <w:rFonts w:eastAsia="Times New Roman" w:cs="Times New Roman"/>
          <w:szCs w:val="24"/>
        </w:rPr>
        <w:t xml:space="preserve">OMB Control No. 2070-0112 </w:t>
      </w:r>
      <w:r w:rsidR="00DD410D">
        <w:rPr>
          <w:rFonts w:eastAsia="Times New Roman" w:cs="Times New Roman"/>
          <w:szCs w:val="24"/>
        </w:rPr>
        <w:t xml:space="preserve">to respondents applying for </w:t>
      </w:r>
      <w:r w:rsidR="000960C3">
        <w:rPr>
          <w:rFonts w:eastAsia="Times New Roman" w:cs="Times New Roman"/>
          <w:szCs w:val="24"/>
        </w:rPr>
        <w:t xml:space="preserve">a PCB disposal approval under </w:t>
      </w:r>
      <w:r w:rsidR="000960C3" w:rsidRPr="008E792A">
        <w:rPr>
          <w:rFonts w:eastAsia="Times New Roman" w:cs="Times New Roman"/>
          <w:szCs w:val="24"/>
        </w:rPr>
        <w:t>§</w:t>
      </w:r>
      <w:r w:rsidR="008F00D9">
        <w:rPr>
          <w:rFonts w:eastAsia="Times New Roman" w:cs="Times New Roman"/>
          <w:szCs w:val="24"/>
        </w:rPr>
        <w:t>§7</w:t>
      </w:r>
      <w:r w:rsidR="000960C3">
        <w:rPr>
          <w:rFonts w:eastAsia="Times New Roman" w:cs="Times New Roman"/>
          <w:szCs w:val="24"/>
        </w:rPr>
        <w:t>61.60(e) and 761.70</w:t>
      </w:r>
      <w:r w:rsidR="00DD7FC1">
        <w:rPr>
          <w:rFonts w:eastAsia="Times New Roman" w:cs="Times New Roman"/>
          <w:szCs w:val="24"/>
        </w:rPr>
        <w:t xml:space="preserve"> through improved </w:t>
      </w:r>
      <w:r w:rsidR="00054BCB" w:rsidRPr="00054BCB">
        <w:rPr>
          <w:rFonts w:eastAsia="Times New Roman" w:cs="Times New Roman"/>
          <w:szCs w:val="24"/>
        </w:rPr>
        <w:t>clarif</w:t>
      </w:r>
      <w:r w:rsidR="00DD7FC1">
        <w:rPr>
          <w:rFonts w:eastAsia="Times New Roman" w:cs="Times New Roman"/>
          <w:szCs w:val="24"/>
        </w:rPr>
        <w:t>ication and streamlining</w:t>
      </w:r>
      <w:r w:rsidR="00054BCB" w:rsidRPr="00054BCB">
        <w:rPr>
          <w:rFonts w:eastAsia="Times New Roman" w:cs="Times New Roman"/>
          <w:szCs w:val="24"/>
        </w:rPr>
        <w:t xml:space="preserve"> </w:t>
      </w:r>
      <w:r w:rsidR="00DD7FC1">
        <w:rPr>
          <w:rFonts w:eastAsia="Times New Roman" w:cs="Times New Roman"/>
          <w:szCs w:val="24"/>
        </w:rPr>
        <w:t xml:space="preserve">of the </w:t>
      </w:r>
      <w:r w:rsidR="00054BCB" w:rsidRPr="00054BCB">
        <w:rPr>
          <w:rFonts w:eastAsia="Times New Roman" w:cs="Times New Roman"/>
          <w:szCs w:val="24"/>
        </w:rPr>
        <w:t>approval</w:t>
      </w:r>
      <w:r w:rsidR="00DD7FC1">
        <w:rPr>
          <w:rFonts w:eastAsia="Times New Roman" w:cs="Times New Roman"/>
          <w:szCs w:val="24"/>
        </w:rPr>
        <w:t xml:space="preserve"> process</w:t>
      </w:r>
      <w:r w:rsidR="00054BCB" w:rsidRPr="00054BCB">
        <w:rPr>
          <w:rFonts w:eastAsia="Times New Roman" w:cs="Times New Roman"/>
          <w:szCs w:val="24"/>
        </w:rPr>
        <w:t xml:space="preserve">. </w:t>
      </w:r>
    </w:p>
    <w:bookmarkEnd w:id="1"/>
    <w:p w14:paraId="64B99BE8" w14:textId="77777777" w:rsidR="00576ABF" w:rsidRDefault="00576ABF" w:rsidP="0008266A"/>
    <w:p w14:paraId="3F9EFF67" w14:textId="51CCD8A2" w:rsidR="0008266A" w:rsidRPr="0008266A" w:rsidRDefault="0008266A" w:rsidP="00704E3C">
      <w:pPr>
        <w:rPr>
          <w:b/>
        </w:rPr>
      </w:pPr>
      <w:r w:rsidRPr="0008266A">
        <w:rPr>
          <w:b/>
        </w:rPr>
        <w:t>2. NEED</w:t>
      </w:r>
      <w:r w:rsidR="00066D14">
        <w:rPr>
          <w:b/>
        </w:rPr>
        <w:t xml:space="preserve">, AUTHORITY, </w:t>
      </w:r>
      <w:r w:rsidRPr="0008266A">
        <w:rPr>
          <w:b/>
        </w:rPr>
        <w:t xml:space="preserve">AND USE </w:t>
      </w:r>
      <w:r w:rsidR="00066D14">
        <w:rPr>
          <w:b/>
        </w:rPr>
        <w:t xml:space="preserve">FOR </w:t>
      </w:r>
      <w:r w:rsidRPr="0008266A">
        <w:rPr>
          <w:b/>
        </w:rPr>
        <w:t>THE COLLECTION</w:t>
      </w:r>
    </w:p>
    <w:p w14:paraId="51B8F061" w14:textId="77777777" w:rsidR="0008266A" w:rsidRDefault="0008266A" w:rsidP="0008266A"/>
    <w:p w14:paraId="3EEA8A89" w14:textId="1B9918DA" w:rsidR="0008266A" w:rsidRPr="0008266A" w:rsidRDefault="0008266A" w:rsidP="0008266A">
      <w:pPr>
        <w:ind w:left="720"/>
        <w:rPr>
          <w:b/>
        </w:rPr>
      </w:pPr>
      <w:r w:rsidRPr="0008266A">
        <w:rPr>
          <w:b/>
        </w:rPr>
        <w:t xml:space="preserve">2(a). Need </w:t>
      </w:r>
      <w:r w:rsidR="00A76ADA">
        <w:rPr>
          <w:b/>
        </w:rPr>
        <w:t xml:space="preserve">and Authority </w:t>
      </w:r>
      <w:r w:rsidRPr="0008266A">
        <w:rPr>
          <w:b/>
        </w:rPr>
        <w:t>for the Collection</w:t>
      </w:r>
    </w:p>
    <w:p w14:paraId="46D186AE" w14:textId="77777777" w:rsidR="00AD05DC" w:rsidRDefault="00AD05DC" w:rsidP="00BC60D2">
      <w:pPr>
        <w:widowControl w:val="0"/>
        <w:autoSpaceDE w:val="0"/>
        <w:autoSpaceDN w:val="0"/>
        <w:adjustRightInd w:val="0"/>
        <w:spacing w:line="240" w:lineRule="auto"/>
        <w:rPr>
          <w:rFonts w:eastAsia="Times New Roman" w:cs="Times New Roman"/>
          <w:szCs w:val="24"/>
        </w:rPr>
      </w:pPr>
    </w:p>
    <w:p w14:paraId="5ED1B726" w14:textId="65892FB4" w:rsidR="00EA5299" w:rsidRDefault="00F73022" w:rsidP="006A1D5F">
      <w:pPr>
        <w:widowControl w:val="0"/>
        <w:autoSpaceDE w:val="0"/>
        <w:autoSpaceDN w:val="0"/>
        <w:adjustRightInd w:val="0"/>
        <w:spacing w:line="240" w:lineRule="auto"/>
        <w:ind w:left="720"/>
        <w:rPr>
          <w:rFonts w:eastAsia="Times New Roman" w:cs="Times New Roman"/>
          <w:szCs w:val="24"/>
        </w:rPr>
      </w:pPr>
      <w:r>
        <w:rPr>
          <w:rFonts w:eastAsia="Times New Roman" w:cs="Times New Roman"/>
          <w:szCs w:val="24"/>
        </w:rPr>
        <w:t xml:space="preserve">Section 6(e) of TSCA </w:t>
      </w:r>
      <w:r w:rsidR="00EA5299">
        <w:t xml:space="preserve">directs EPA to regulate the disposal of polychlorinated biphenyls (PCBs). Under EPA’s regulations, respondents can apply to the EPA to obtain approval to dispose of PCBs through incineration </w:t>
      </w:r>
      <w:r w:rsidR="00EA5299" w:rsidRPr="008E792A">
        <w:rPr>
          <w:rFonts w:eastAsia="Times New Roman" w:cs="Times New Roman"/>
          <w:szCs w:val="24"/>
        </w:rPr>
        <w:t>(</w:t>
      </w:r>
      <w:r w:rsidR="008F00D9">
        <w:rPr>
          <w:rFonts w:eastAsia="Times New Roman" w:cs="Times New Roman"/>
          <w:szCs w:val="24"/>
        </w:rPr>
        <w:t>§7</w:t>
      </w:r>
      <w:r w:rsidR="00EA5299" w:rsidRPr="008E792A">
        <w:rPr>
          <w:rFonts w:eastAsia="Times New Roman" w:cs="Times New Roman"/>
          <w:szCs w:val="24"/>
        </w:rPr>
        <w:t>61.70)</w:t>
      </w:r>
      <w:r w:rsidR="00EA5299">
        <w:rPr>
          <w:rFonts w:eastAsia="Times New Roman" w:cs="Times New Roman"/>
          <w:szCs w:val="24"/>
        </w:rPr>
        <w:t xml:space="preserve"> </w:t>
      </w:r>
      <w:r w:rsidR="00EA5299">
        <w:t xml:space="preserve">or a method alternative to incineration </w:t>
      </w:r>
      <w:r w:rsidR="00EA5299" w:rsidRPr="008E792A">
        <w:rPr>
          <w:rFonts w:eastAsia="Times New Roman" w:cs="Times New Roman"/>
          <w:szCs w:val="24"/>
        </w:rPr>
        <w:t>(</w:t>
      </w:r>
      <w:r w:rsidR="008F00D9">
        <w:rPr>
          <w:rFonts w:eastAsia="Times New Roman" w:cs="Times New Roman"/>
          <w:szCs w:val="24"/>
        </w:rPr>
        <w:t>§7</w:t>
      </w:r>
      <w:r w:rsidR="00EA5299" w:rsidRPr="008E792A">
        <w:rPr>
          <w:rFonts w:eastAsia="Times New Roman" w:cs="Times New Roman"/>
          <w:szCs w:val="24"/>
        </w:rPr>
        <w:t>61.</w:t>
      </w:r>
      <w:r w:rsidR="00EA5299">
        <w:rPr>
          <w:rFonts w:eastAsia="Times New Roman" w:cs="Times New Roman"/>
          <w:szCs w:val="24"/>
        </w:rPr>
        <w:t>60(e)</w:t>
      </w:r>
      <w:r w:rsidR="00EA5299" w:rsidRPr="008E792A">
        <w:rPr>
          <w:rFonts w:eastAsia="Times New Roman" w:cs="Times New Roman"/>
          <w:szCs w:val="24"/>
        </w:rPr>
        <w:t>)</w:t>
      </w:r>
      <w:r w:rsidR="00EA5299">
        <w:t>.</w:t>
      </w:r>
    </w:p>
    <w:p w14:paraId="2364E0EE" w14:textId="211C43A8" w:rsidR="00EA5299" w:rsidRDefault="00EA5299" w:rsidP="00A76ADA">
      <w:pPr>
        <w:widowControl w:val="0"/>
        <w:autoSpaceDE w:val="0"/>
        <w:autoSpaceDN w:val="0"/>
        <w:adjustRightInd w:val="0"/>
        <w:spacing w:line="240" w:lineRule="auto"/>
        <w:ind w:left="1440"/>
        <w:rPr>
          <w:rFonts w:eastAsia="Times New Roman" w:cs="Times New Roman"/>
          <w:szCs w:val="24"/>
        </w:rPr>
      </w:pPr>
    </w:p>
    <w:p w14:paraId="545C5447" w14:textId="38032F17" w:rsidR="00EA5299" w:rsidRPr="008E792A" w:rsidRDefault="006D02F4" w:rsidP="00EA5299">
      <w:pPr>
        <w:widowControl w:val="0"/>
        <w:autoSpaceDE w:val="0"/>
        <w:autoSpaceDN w:val="0"/>
        <w:adjustRightInd w:val="0"/>
        <w:spacing w:line="240" w:lineRule="auto"/>
        <w:ind w:left="720"/>
        <w:rPr>
          <w:rFonts w:eastAsia="Times New Roman" w:cs="Times New Roman"/>
          <w:szCs w:val="24"/>
        </w:rPr>
      </w:pPr>
      <w:r>
        <w:rPr>
          <w:rFonts w:eastAsia="Times New Roman" w:cs="Times New Roman"/>
          <w:szCs w:val="24"/>
        </w:rPr>
        <w:t xml:space="preserve">The </w:t>
      </w:r>
      <w:r w:rsidR="00A10A6A">
        <w:rPr>
          <w:rFonts w:eastAsia="Times New Roman" w:cs="Times New Roman"/>
          <w:szCs w:val="24"/>
        </w:rPr>
        <w:t>g</w:t>
      </w:r>
      <w:r>
        <w:rPr>
          <w:rFonts w:eastAsia="Times New Roman" w:cs="Times New Roman"/>
          <w:szCs w:val="24"/>
        </w:rPr>
        <w:t xml:space="preserve">uidance is intended to </w:t>
      </w:r>
      <w:r w:rsidR="00A10A6A">
        <w:rPr>
          <w:rFonts w:eastAsia="Times New Roman" w:cs="Times New Roman"/>
          <w:szCs w:val="24"/>
        </w:rPr>
        <w:t xml:space="preserve">help respondents in </w:t>
      </w:r>
      <w:r>
        <w:rPr>
          <w:rFonts w:eastAsia="Times New Roman" w:cs="Times New Roman"/>
          <w:szCs w:val="24"/>
        </w:rPr>
        <w:t xml:space="preserve">obtaining EPA approval for PCB disposal </w:t>
      </w:r>
      <w:r w:rsidR="00F50EE2">
        <w:rPr>
          <w:rFonts w:eastAsia="Times New Roman" w:cs="Times New Roman"/>
          <w:szCs w:val="24"/>
        </w:rPr>
        <w:t xml:space="preserve">using </w:t>
      </w:r>
      <w:r>
        <w:rPr>
          <w:rFonts w:eastAsia="Times New Roman" w:cs="Times New Roman"/>
          <w:szCs w:val="24"/>
        </w:rPr>
        <w:t>these methods.</w:t>
      </w:r>
      <w:r w:rsidR="00A10A6A" w:rsidRPr="00A10A6A">
        <w:rPr>
          <w:rFonts w:eastAsia="Times New Roman" w:cs="Times New Roman"/>
          <w:szCs w:val="24"/>
        </w:rPr>
        <w:t xml:space="preserve"> </w:t>
      </w:r>
      <w:r w:rsidR="00A10A6A">
        <w:rPr>
          <w:rFonts w:eastAsia="Times New Roman" w:cs="Times New Roman"/>
          <w:szCs w:val="24"/>
        </w:rPr>
        <w:t>This guidance benefits both applicants and EPA because it clarifies expectations and promotes consistency.</w:t>
      </w:r>
      <w:r w:rsidR="00D65F9E" w:rsidRPr="00D65F9E">
        <w:rPr>
          <w:rFonts w:eastAsia="Times New Roman" w:cs="Times New Roman"/>
          <w:szCs w:val="24"/>
        </w:rPr>
        <w:t xml:space="preserve"> </w:t>
      </w:r>
      <w:r w:rsidR="00D65F9E">
        <w:rPr>
          <w:rFonts w:eastAsia="Times New Roman" w:cs="Times New Roman"/>
          <w:szCs w:val="24"/>
        </w:rPr>
        <w:t>The new guidance document combines information from the 1986 guidance documents with current standard practices, policy, and regulation changes that have occurred since 1986. No new requirements or interpretations were created in this guidance. EPA believes that incorporating both 1986 guidance documents and current standard practices into one document will reduce the back-and-forth between the applicant and EPA and reduce the overall time spent on an application.</w:t>
      </w:r>
    </w:p>
    <w:p w14:paraId="2896A9F2" w14:textId="77777777" w:rsidR="00A76ADA" w:rsidRDefault="00A76ADA" w:rsidP="00EB6419"/>
    <w:p w14:paraId="37E3861C" w14:textId="77777777" w:rsidR="00CC23D0" w:rsidRPr="0008266A" w:rsidRDefault="00CC23D0" w:rsidP="00CC23D0">
      <w:pPr>
        <w:ind w:left="720"/>
        <w:rPr>
          <w:b/>
        </w:rPr>
      </w:pPr>
      <w:r w:rsidRPr="0008266A">
        <w:rPr>
          <w:b/>
        </w:rPr>
        <w:t>2(</w:t>
      </w:r>
      <w:r>
        <w:rPr>
          <w:b/>
        </w:rPr>
        <w:t>b</w:t>
      </w:r>
      <w:r w:rsidRPr="0008266A">
        <w:rPr>
          <w:b/>
        </w:rPr>
        <w:t xml:space="preserve">). </w:t>
      </w:r>
      <w:r>
        <w:rPr>
          <w:b/>
        </w:rPr>
        <w:t>Use of the Data</w:t>
      </w:r>
    </w:p>
    <w:p w14:paraId="2E9CC2EE" w14:textId="77777777" w:rsidR="00CC23D0" w:rsidRDefault="00CC23D0" w:rsidP="00EB6419"/>
    <w:p w14:paraId="7A32A99D" w14:textId="5E54567C" w:rsidR="0091262A" w:rsidRDefault="005B38A2" w:rsidP="0091262A">
      <w:pPr>
        <w:widowControl w:val="0"/>
        <w:autoSpaceDE w:val="0"/>
        <w:autoSpaceDN w:val="0"/>
        <w:adjustRightInd w:val="0"/>
        <w:spacing w:line="240" w:lineRule="auto"/>
        <w:ind w:left="720"/>
        <w:rPr>
          <w:rFonts w:eastAsia="Times New Roman" w:cs="Times New Roman"/>
          <w:szCs w:val="24"/>
        </w:rPr>
      </w:pPr>
      <w:r w:rsidRPr="006A1D5F">
        <w:rPr>
          <w:rFonts w:eastAsia="Times New Roman" w:cs="Times New Roman"/>
          <w:szCs w:val="24"/>
        </w:rPr>
        <w:t xml:space="preserve">Respondents </w:t>
      </w:r>
      <w:r w:rsidR="0091262A" w:rsidRPr="006A1D5F">
        <w:rPr>
          <w:rFonts w:eastAsia="Times New Roman" w:cs="Times New Roman"/>
          <w:szCs w:val="24"/>
        </w:rPr>
        <w:t xml:space="preserve">and EPA </w:t>
      </w:r>
      <w:r w:rsidRPr="006A1D5F">
        <w:rPr>
          <w:rFonts w:eastAsia="Times New Roman" w:cs="Times New Roman"/>
          <w:szCs w:val="24"/>
        </w:rPr>
        <w:t xml:space="preserve">will use the </w:t>
      </w:r>
      <w:r w:rsidR="00773885" w:rsidRPr="006A1D5F">
        <w:rPr>
          <w:rFonts w:eastAsia="Times New Roman" w:cs="Times New Roman"/>
          <w:szCs w:val="24"/>
        </w:rPr>
        <w:t xml:space="preserve">data </w:t>
      </w:r>
      <w:r w:rsidR="0091262A">
        <w:rPr>
          <w:rFonts w:eastAsia="Times New Roman" w:cs="Times New Roman"/>
          <w:szCs w:val="24"/>
        </w:rPr>
        <w:t>to:</w:t>
      </w:r>
    </w:p>
    <w:p w14:paraId="29CCA462" w14:textId="77777777" w:rsidR="0091262A" w:rsidRDefault="0091262A" w:rsidP="0091262A">
      <w:pPr>
        <w:widowControl w:val="0"/>
        <w:autoSpaceDE w:val="0"/>
        <w:autoSpaceDN w:val="0"/>
        <w:adjustRightInd w:val="0"/>
        <w:spacing w:line="240" w:lineRule="auto"/>
        <w:ind w:left="720"/>
        <w:rPr>
          <w:rFonts w:eastAsia="Times New Roman" w:cs="Times New Roman"/>
          <w:szCs w:val="24"/>
        </w:rPr>
      </w:pPr>
    </w:p>
    <w:p w14:paraId="12EFAAB4" w14:textId="77777777" w:rsidR="0091262A" w:rsidRPr="006A1D5F" w:rsidRDefault="0091262A" w:rsidP="0091262A">
      <w:pPr>
        <w:pStyle w:val="ListParagraph"/>
        <w:widowControl w:val="0"/>
        <w:numPr>
          <w:ilvl w:val="0"/>
          <w:numId w:val="6"/>
        </w:numPr>
        <w:autoSpaceDE w:val="0"/>
        <w:autoSpaceDN w:val="0"/>
        <w:adjustRightInd w:val="0"/>
        <w:spacing w:line="240" w:lineRule="auto"/>
        <w:ind w:left="1080"/>
        <w:rPr>
          <w:rFonts w:eastAsia="Times New Roman" w:cs="Times New Roman"/>
          <w:szCs w:val="24"/>
        </w:rPr>
      </w:pPr>
      <w:r w:rsidRPr="0091262A">
        <w:rPr>
          <w:rFonts w:eastAsia="Times New Roman" w:cs="Times New Roman"/>
          <w:szCs w:val="24"/>
        </w:rPr>
        <w:t xml:space="preserve">Develop </w:t>
      </w:r>
      <w:r w:rsidRPr="0091262A">
        <w:rPr>
          <w:szCs w:val="24"/>
        </w:rPr>
        <w:t>higher quality applications which will reduce revisions to address deficiencies during EPA review;</w:t>
      </w:r>
    </w:p>
    <w:p w14:paraId="72A7DFA4" w14:textId="77777777" w:rsidR="0091262A" w:rsidRPr="006A1D5F" w:rsidRDefault="0091262A" w:rsidP="0091262A">
      <w:pPr>
        <w:pStyle w:val="ListParagraph"/>
        <w:widowControl w:val="0"/>
        <w:numPr>
          <w:ilvl w:val="0"/>
          <w:numId w:val="6"/>
        </w:numPr>
        <w:autoSpaceDE w:val="0"/>
        <w:autoSpaceDN w:val="0"/>
        <w:adjustRightInd w:val="0"/>
        <w:spacing w:line="240" w:lineRule="auto"/>
        <w:ind w:left="1080"/>
        <w:rPr>
          <w:rFonts w:eastAsia="Times New Roman" w:cs="Times New Roman"/>
          <w:szCs w:val="24"/>
        </w:rPr>
      </w:pPr>
      <w:r w:rsidRPr="0091262A">
        <w:rPr>
          <w:szCs w:val="24"/>
        </w:rPr>
        <w:t>Reduce overall time to obtain an operating approval;</w:t>
      </w:r>
    </w:p>
    <w:p w14:paraId="5A295D18" w14:textId="2B91EA65" w:rsidR="0091262A" w:rsidRPr="006A1D5F" w:rsidRDefault="0091262A" w:rsidP="0091262A">
      <w:pPr>
        <w:pStyle w:val="ListParagraph"/>
        <w:widowControl w:val="0"/>
        <w:numPr>
          <w:ilvl w:val="0"/>
          <w:numId w:val="6"/>
        </w:numPr>
        <w:autoSpaceDE w:val="0"/>
        <w:autoSpaceDN w:val="0"/>
        <w:adjustRightInd w:val="0"/>
        <w:spacing w:line="240" w:lineRule="auto"/>
        <w:ind w:left="1080"/>
        <w:rPr>
          <w:rFonts w:eastAsia="Times New Roman" w:cs="Times New Roman"/>
          <w:szCs w:val="24"/>
        </w:rPr>
      </w:pPr>
      <w:r w:rsidRPr="0091262A">
        <w:rPr>
          <w:szCs w:val="24"/>
        </w:rPr>
        <w:t>Increase transparency and expectations by incorporating regulatory changes, guidance documents, and policy decisions since 1986; and</w:t>
      </w:r>
    </w:p>
    <w:p w14:paraId="17D9FADD" w14:textId="291CC83E" w:rsidR="0091262A" w:rsidRPr="006A1D5F" w:rsidRDefault="0091262A" w:rsidP="006A1D5F">
      <w:pPr>
        <w:pStyle w:val="ListParagraph"/>
        <w:widowControl w:val="0"/>
        <w:numPr>
          <w:ilvl w:val="0"/>
          <w:numId w:val="6"/>
        </w:numPr>
        <w:autoSpaceDE w:val="0"/>
        <w:autoSpaceDN w:val="0"/>
        <w:adjustRightInd w:val="0"/>
        <w:spacing w:line="240" w:lineRule="auto"/>
        <w:ind w:left="1080"/>
        <w:rPr>
          <w:rFonts w:eastAsia="Times New Roman" w:cs="Times New Roman"/>
          <w:szCs w:val="24"/>
        </w:rPr>
      </w:pPr>
      <w:r w:rsidRPr="0091262A">
        <w:rPr>
          <w:szCs w:val="24"/>
        </w:rPr>
        <w:t>Improve use of existing guidance (e.g., the document is now word searchable).</w:t>
      </w:r>
    </w:p>
    <w:p w14:paraId="2D817DCA" w14:textId="77777777" w:rsidR="00704E3C" w:rsidRDefault="00704E3C" w:rsidP="00EB6419"/>
    <w:p w14:paraId="5BC37D0E" w14:textId="77777777" w:rsidR="009E4693" w:rsidRPr="009E4693" w:rsidRDefault="009E4693" w:rsidP="00704E3C">
      <w:pPr>
        <w:rPr>
          <w:b/>
          <w:szCs w:val="28"/>
        </w:rPr>
      </w:pPr>
      <w:r w:rsidRPr="009E4693">
        <w:rPr>
          <w:b/>
          <w:szCs w:val="28"/>
        </w:rPr>
        <w:t>3.</w:t>
      </w:r>
      <w:r>
        <w:rPr>
          <w:b/>
          <w:szCs w:val="28"/>
        </w:rPr>
        <w:t xml:space="preserve"> </w:t>
      </w:r>
      <w:r w:rsidRPr="009E4693">
        <w:rPr>
          <w:b/>
          <w:szCs w:val="28"/>
        </w:rPr>
        <w:t xml:space="preserve">NONDUPLICATION, CONSULTATIONS, AND OTHER COLLECTION CRITERIA </w:t>
      </w:r>
    </w:p>
    <w:p w14:paraId="75A177A5" w14:textId="77777777" w:rsidR="009E4693" w:rsidRPr="00E17A70" w:rsidRDefault="009E4693" w:rsidP="009E4693">
      <w:pPr>
        <w:jc w:val="both"/>
        <w:rPr>
          <w:b/>
          <w:szCs w:val="28"/>
        </w:rPr>
      </w:pPr>
    </w:p>
    <w:p w14:paraId="4E77F4EB" w14:textId="77777777" w:rsidR="009E4693" w:rsidRPr="00E17A70" w:rsidRDefault="009E4693" w:rsidP="009E4693">
      <w:pPr>
        <w:ind w:firstLine="720"/>
        <w:jc w:val="both"/>
        <w:rPr>
          <w:b/>
        </w:rPr>
      </w:pPr>
      <w:r w:rsidRPr="00E17A70">
        <w:rPr>
          <w:b/>
        </w:rPr>
        <w:t>3(a)</w:t>
      </w:r>
      <w:r>
        <w:rPr>
          <w:b/>
        </w:rPr>
        <w:t xml:space="preserve">. </w:t>
      </w:r>
      <w:r w:rsidRPr="00E17A70">
        <w:rPr>
          <w:b/>
        </w:rPr>
        <w:t>Nonduplication</w:t>
      </w:r>
    </w:p>
    <w:p w14:paraId="6AFBBE80" w14:textId="77777777" w:rsidR="009E4693" w:rsidRPr="00E17A70" w:rsidRDefault="009E4693" w:rsidP="009E4693">
      <w:pPr>
        <w:ind w:firstLine="720"/>
        <w:jc w:val="both"/>
        <w:rPr>
          <w:b/>
          <w:szCs w:val="28"/>
        </w:rPr>
      </w:pPr>
    </w:p>
    <w:p w14:paraId="56C81A40" w14:textId="7D10184B" w:rsidR="009E4693" w:rsidRPr="008A1376" w:rsidRDefault="009E4693" w:rsidP="00AD2394">
      <w:pPr>
        <w:ind w:left="720"/>
      </w:pPr>
      <w:r w:rsidRPr="008A1376">
        <w:t xml:space="preserve">None of the information required by the </w:t>
      </w:r>
      <w:r w:rsidR="008A1376" w:rsidRPr="008A1376">
        <w:t>draft guidance</w:t>
      </w:r>
      <w:r w:rsidRPr="008A1376">
        <w:t xml:space="preserve"> would duplicate information required by existing TSCA regulations.</w:t>
      </w:r>
      <w:r w:rsidR="00423714">
        <w:t xml:space="preserve"> This draft guidance updates and replaces existing guidance published in 1986.</w:t>
      </w:r>
    </w:p>
    <w:p w14:paraId="55A3FCDD" w14:textId="77777777" w:rsidR="00AD05DC" w:rsidRDefault="00AD05DC" w:rsidP="00EB6419"/>
    <w:p w14:paraId="0F288E8B" w14:textId="77777777" w:rsidR="00AD05DC" w:rsidRPr="009E4693" w:rsidRDefault="009E4693" w:rsidP="00EB6419">
      <w:pPr>
        <w:rPr>
          <w:b/>
        </w:rPr>
      </w:pPr>
      <w:r w:rsidRPr="009E4693">
        <w:rPr>
          <w:b/>
        </w:rPr>
        <w:tab/>
        <w:t>3(b). Public Notice</w:t>
      </w:r>
    </w:p>
    <w:p w14:paraId="21F11F53" w14:textId="77777777" w:rsidR="009E4693" w:rsidRDefault="009E4693" w:rsidP="00EB6419"/>
    <w:p w14:paraId="3A4B68CD" w14:textId="49F850A7" w:rsidR="009E4693" w:rsidRDefault="009E4693" w:rsidP="00AD2394">
      <w:pPr>
        <w:ind w:left="720"/>
      </w:pPr>
      <w:r w:rsidRPr="00E17A70">
        <w:t xml:space="preserve">In compliance with the Paperwork Reduction Act of 1995, EPA </w:t>
      </w:r>
      <w:r w:rsidR="00CB5EBF">
        <w:t>submitted the first</w:t>
      </w:r>
      <w:r w:rsidR="005755B0">
        <w:t xml:space="preserve"> notice for this ICR on April 16, 2019 and opened a</w:t>
      </w:r>
      <w:r>
        <w:t xml:space="preserve"> 60-day </w:t>
      </w:r>
      <w:r w:rsidRPr="00E17A70">
        <w:t xml:space="preserve">public </w:t>
      </w:r>
      <w:r>
        <w:t>comment period</w:t>
      </w:r>
      <w:r w:rsidR="000D7AA7">
        <w:t>.</w:t>
      </w:r>
      <w:r w:rsidRPr="00E17A70">
        <w:t xml:space="preserve"> At the end of the comment period,</w:t>
      </w:r>
      <w:r>
        <w:t xml:space="preserve"> </w:t>
      </w:r>
      <w:r w:rsidR="00CB5EBF">
        <w:t xml:space="preserve">no comments were received. </w:t>
      </w:r>
      <w:r w:rsidR="005755B0">
        <w:t>A second notice will be submitted with a 60</w:t>
      </w:r>
      <w:r w:rsidR="00237DDF">
        <w:t>-</w:t>
      </w:r>
      <w:r w:rsidR="005755B0">
        <w:t xml:space="preserve">day comment </w:t>
      </w:r>
      <w:r w:rsidR="005755B0">
        <w:lastRenderedPageBreak/>
        <w:t xml:space="preserve">period. </w:t>
      </w:r>
      <w:r w:rsidRPr="00E17A70">
        <w:t>EPA will review public comments received in response to the notice and will address comments received, as appropriate.</w:t>
      </w:r>
    </w:p>
    <w:p w14:paraId="5EC512F9" w14:textId="04B06627" w:rsidR="006729AC" w:rsidRDefault="006729AC" w:rsidP="00AD2394">
      <w:pPr>
        <w:ind w:left="720"/>
      </w:pPr>
    </w:p>
    <w:p w14:paraId="7E4B8735" w14:textId="1C5A1A92" w:rsidR="006729AC" w:rsidRDefault="006729AC" w:rsidP="00AD2394">
      <w:pPr>
        <w:ind w:left="720"/>
      </w:pPr>
      <w:r>
        <w:t xml:space="preserve">In addition, EPA </w:t>
      </w:r>
      <w:r w:rsidR="000D7AA7">
        <w:t xml:space="preserve">released </w:t>
      </w:r>
      <w:r>
        <w:t xml:space="preserve">the draft guidance on December </w:t>
      </w:r>
      <w:r w:rsidR="006F24A0" w:rsidRPr="006F24A0">
        <w:t>13</w:t>
      </w:r>
      <w:r>
        <w:t xml:space="preserve">, 2018, for a 45-day public comment period. See Docket ID No.: </w:t>
      </w:r>
      <w:r w:rsidRPr="00EB6419">
        <w:t>EPA-HQ-OLEM-2018-0305</w:t>
      </w:r>
      <w:r w:rsidR="000D7AA7">
        <w:t>.</w:t>
      </w:r>
    </w:p>
    <w:p w14:paraId="7A005C68" w14:textId="77777777" w:rsidR="009E4693" w:rsidRDefault="009E4693" w:rsidP="00EB6419"/>
    <w:p w14:paraId="7AE5FD1C" w14:textId="77777777" w:rsidR="00AD05DC" w:rsidRPr="00C108A6" w:rsidRDefault="00C108A6" w:rsidP="00EB6419">
      <w:pPr>
        <w:rPr>
          <w:b/>
        </w:rPr>
      </w:pPr>
      <w:r w:rsidRPr="00C108A6">
        <w:rPr>
          <w:b/>
        </w:rPr>
        <w:tab/>
        <w:t>3(c). Consultations</w:t>
      </w:r>
    </w:p>
    <w:p w14:paraId="642C1AC6" w14:textId="77777777" w:rsidR="00AD05DC" w:rsidRDefault="00AD05DC" w:rsidP="00EB6419"/>
    <w:p w14:paraId="6764C777" w14:textId="77777777" w:rsidR="00072768" w:rsidRDefault="00072768" w:rsidP="00A81D73">
      <w:pPr>
        <w:ind w:left="720"/>
      </w:pPr>
      <w:r>
        <w:t>EPA contacted the following companies requesting their consultation on this burden estimate:</w:t>
      </w:r>
    </w:p>
    <w:tbl>
      <w:tblPr>
        <w:tblStyle w:val="TableGrid"/>
        <w:tblW w:w="0" w:type="auto"/>
        <w:tblInd w:w="720" w:type="dxa"/>
        <w:tblLook w:val="04A0" w:firstRow="1" w:lastRow="0" w:firstColumn="1" w:lastColumn="0" w:noHBand="0" w:noVBand="1"/>
      </w:tblPr>
      <w:tblGrid>
        <w:gridCol w:w="2245"/>
        <w:gridCol w:w="2700"/>
        <w:gridCol w:w="4405"/>
      </w:tblGrid>
      <w:tr w:rsidR="00BE7C6C" w14:paraId="3CA806AC" w14:textId="77777777" w:rsidTr="0073120E">
        <w:tc>
          <w:tcPr>
            <w:tcW w:w="2245" w:type="dxa"/>
            <w:shd w:val="clear" w:color="auto" w:fill="D9D9D9" w:themeFill="background1" w:themeFillShade="D9"/>
          </w:tcPr>
          <w:p w14:paraId="23FBEB0C" w14:textId="5CB9D698" w:rsidR="00BE7C6C" w:rsidRPr="0073120E" w:rsidRDefault="0073120E" w:rsidP="00A81D73">
            <w:pPr>
              <w:rPr>
                <w:b/>
              </w:rPr>
            </w:pPr>
            <w:r w:rsidRPr="0073120E">
              <w:rPr>
                <w:b/>
              </w:rPr>
              <w:t>Name</w:t>
            </w:r>
          </w:p>
        </w:tc>
        <w:tc>
          <w:tcPr>
            <w:tcW w:w="2700" w:type="dxa"/>
            <w:shd w:val="clear" w:color="auto" w:fill="D9D9D9" w:themeFill="background1" w:themeFillShade="D9"/>
          </w:tcPr>
          <w:p w14:paraId="1274ECB3" w14:textId="04E3CFAE" w:rsidR="00BE7C6C" w:rsidRPr="0073120E" w:rsidRDefault="0073120E" w:rsidP="00A81D73">
            <w:pPr>
              <w:rPr>
                <w:b/>
              </w:rPr>
            </w:pPr>
            <w:r w:rsidRPr="0073120E">
              <w:rPr>
                <w:b/>
              </w:rPr>
              <w:t>Company</w:t>
            </w:r>
          </w:p>
        </w:tc>
        <w:tc>
          <w:tcPr>
            <w:tcW w:w="4405" w:type="dxa"/>
            <w:shd w:val="clear" w:color="auto" w:fill="D9D9D9" w:themeFill="background1" w:themeFillShade="D9"/>
          </w:tcPr>
          <w:p w14:paraId="2AA9517E" w14:textId="1E89B9AB" w:rsidR="00BE7C6C" w:rsidRPr="0073120E" w:rsidRDefault="0073120E" w:rsidP="00A81D73">
            <w:pPr>
              <w:rPr>
                <w:b/>
              </w:rPr>
            </w:pPr>
            <w:r w:rsidRPr="0073120E">
              <w:rPr>
                <w:b/>
              </w:rPr>
              <w:t>Contact Information</w:t>
            </w:r>
          </w:p>
        </w:tc>
      </w:tr>
      <w:tr w:rsidR="00BE7C6C" w14:paraId="2D7787B8" w14:textId="77777777" w:rsidTr="0073120E">
        <w:tc>
          <w:tcPr>
            <w:tcW w:w="2245" w:type="dxa"/>
          </w:tcPr>
          <w:p w14:paraId="1514BB4B" w14:textId="7EE4EE6F" w:rsidR="00BE7C6C" w:rsidRDefault="00BE7C6C" w:rsidP="00A81D73">
            <w:r>
              <w:t>Ted</w:t>
            </w:r>
            <w:r w:rsidR="0073120E">
              <w:t xml:space="preserve"> Sinclair</w:t>
            </w:r>
          </w:p>
        </w:tc>
        <w:tc>
          <w:tcPr>
            <w:tcW w:w="2700" w:type="dxa"/>
          </w:tcPr>
          <w:p w14:paraId="5761F8AC" w14:textId="413D548E" w:rsidR="00BE7C6C" w:rsidRDefault="0073120E" w:rsidP="00A81D73">
            <w:r>
              <w:t>Crystal Clean</w:t>
            </w:r>
          </w:p>
        </w:tc>
        <w:tc>
          <w:tcPr>
            <w:tcW w:w="4405" w:type="dxa"/>
          </w:tcPr>
          <w:p w14:paraId="648DC2D0" w14:textId="7E19E702" w:rsidR="00BE7C6C" w:rsidRDefault="0073120E" w:rsidP="00A81D73">
            <w:r w:rsidRPr="0073120E">
              <w:t>Ted.Sinclair@Crystal-Clean.com</w:t>
            </w:r>
          </w:p>
        </w:tc>
      </w:tr>
      <w:tr w:rsidR="00BE7C6C" w14:paraId="7B4324BE" w14:textId="77777777" w:rsidTr="0073120E">
        <w:tc>
          <w:tcPr>
            <w:tcW w:w="2245" w:type="dxa"/>
          </w:tcPr>
          <w:p w14:paraId="5D9E75BC" w14:textId="6193FEBB" w:rsidR="00BE7C6C" w:rsidRDefault="0073120E" w:rsidP="00A81D73">
            <w:r>
              <w:t>Scott Miller</w:t>
            </w:r>
          </w:p>
        </w:tc>
        <w:tc>
          <w:tcPr>
            <w:tcW w:w="2700" w:type="dxa"/>
          </w:tcPr>
          <w:p w14:paraId="2317899C" w14:textId="5A5423DF" w:rsidR="00BE7C6C" w:rsidRDefault="0073120E" w:rsidP="00A81D73">
            <w:r>
              <w:t>Safety-Kleene</w:t>
            </w:r>
          </w:p>
        </w:tc>
        <w:tc>
          <w:tcPr>
            <w:tcW w:w="4405" w:type="dxa"/>
          </w:tcPr>
          <w:p w14:paraId="5906F71E" w14:textId="303FF6DA" w:rsidR="00BE7C6C" w:rsidRDefault="0073120E" w:rsidP="00A81D73">
            <w:r w:rsidRPr="0073120E">
              <w:t>Scott.Miller@safety-kleen.com</w:t>
            </w:r>
          </w:p>
        </w:tc>
      </w:tr>
      <w:tr w:rsidR="00BE7C6C" w14:paraId="1C0DD9A7" w14:textId="77777777" w:rsidTr="0073120E">
        <w:tc>
          <w:tcPr>
            <w:tcW w:w="2245" w:type="dxa"/>
          </w:tcPr>
          <w:p w14:paraId="59E58DF9" w14:textId="1F291A30" w:rsidR="00BE7C6C" w:rsidRDefault="0073120E" w:rsidP="00A81D73">
            <w:r>
              <w:t>L Butler</w:t>
            </w:r>
          </w:p>
        </w:tc>
        <w:tc>
          <w:tcPr>
            <w:tcW w:w="2700" w:type="dxa"/>
          </w:tcPr>
          <w:p w14:paraId="56847A86" w14:textId="1C133FAE" w:rsidR="00BE7C6C" w:rsidRDefault="0073120E" w:rsidP="00A81D73">
            <w:r>
              <w:t>Heartland Petroleum</w:t>
            </w:r>
          </w:p>
        </w:tc>
        <w:tc>
          <w:tcPr>
            <w:tcW w:w="4405" w:type="dxa"/>
          </w:tcPr>
          <w:p w14:paraId="335D4431" w14:textId="3D85AE99" w:rsidR="00BE7C6C" w:rsidRDefault="0073120E" w:rsidP="00A81D73">
            <w:r w:rsidRPr="0073120E">
              <w:t>LButler@heartland-petroleum.com</w:t>
            </w:r>
          </w:p>
        </w:tc>
      </w:tr>
      <w:tr w:rsidR="00BE7C6C" w14:paraId="610B2A8C" w14:textId="77777777" w:rsidTr="0073120E">
        <w:tc>
          <w:tcPr>
            <w:tcW w:w="2245" w:type="dxa"/>
          </w:tcPr>
          <w:p w14:paraId="5A63AAF1" w14:textId="5675EC63" w:rsidR="00BE7C6C" w:rsidRDefault="0073120E" w:rsidP="00A81D73">
            <w:r>
              <w:t>Tomey Tuttle</w:t>
            </w:r>
          </w:p>
        </w:tc>
        <w:tc>
          <w:tcPr>
            <w:tcW w:w="2700" w:type="dxa"/>
          </w:tcPr>
          <w:p w14:paraId="3CA1C022" w14:textId="6E5C7E9A" w:rsidR="00BE7C6C" w:rsidRDefault="0073120E" w:rsidP="00A81D73">
            <w:r>
              <w:t>FPL</w:t>
            </w:r>
          </w:p>
        </w:tc>
        <w:tc>
          <w:tcPr>
            <w:tcW w:w="4405" w:type="dxa"/>
          </w:tcPr>
          <w:p w14:paraId="2454B75D" w14:textId="79F6892C" w:rsidR="00BE7C6C" w:rsidRDefault="0073120E" w:rsidP="00A81D73">
            <w:r>
              <w:t>Tomey.Tuttle@fpl.com</w:t>
            </w:r>
          </w:p>
        </w:tc>
      </w:tr>
      <w:tr w:rsidR="00BE7C6C" w14:paraId="447EF0EA" w14:textId="77777777" w:rsidTr="0073120E">
        <w:tc>
          <w:tcPr>
            <w:tcW w:w="2245" w:type="dxa"/>
          </w:tcPr>
          <w:p w14:paraId="046C2CCE" w14:textId="26153308" w:rsidR="00BE7C6C" w:rsidRDefault="0073120E" w:rsidP="00A81D73">
            <w:r>
              <w:t>Mel</w:t>
            </w:r>
            <w:r w:rsidR="00D15DAA">
              <w:t>vin Keener</w:t>
            </w:r>
          </w:p>
        </w:tc>
        <w:tc>
          <w:tcPr>
            <w:tcW w:w="2700" w:type="dxa"/>
          </w:tcPr>
          <w:p w14:paraId="44FF9C8C" w14:textId="5084CE6F" w:rsidR="00BE7C6C" w:rsidRDefault="0073120E" w:rsidP="00A81D73">
            <w:r>
              <w:t>CRWI</w:t>
            </w:r>
          </w:p>
        </w:tc>
        <w:tc>
          <w:tcPr>
            <w:tcW w:w="4405" w:type="dxa"/>
          </w:tcPr>
          <w:p w14:paraId="1D258C2A" w14:textId="0BA60ECA" w:rsidR="00BE7C6C" w:rsidRDefault="0073120E" w:rsidP="00A81D73">
            <w:r>
              <w:t>Mel@cwri.org</w:t>
            </w:r>
          </w:p>
        </w:tc>
      </w:tr>
      <w:tr w:rsidR="00BE7C6C" w14:paraId="155F8B68" w14:textId="77777777" w:rsidTr="0073120E">
        <w:tc>
          <w:tcPr>
            <w:tcW w:w="2245" w:type="dxa"/>
          </w:tcPr>
          <w:p w14:paraId="54ED09B0" w14:textId="7A801777" w:rsidR="00BE7C6C" w:rsidRDefault="0073120E" w:rsidP="00A81D73">
            <w:r>
              <w:t>Jim Roewer</w:t>
            </w:r>
          </w:p>
        </w:tc>
        <w:tc>
          <w:tcPr>
            <w:tcW w:w="2700" w:type="dxa"/>
          </w:tcPr>
          <w:p w14:paraId="2499861F" w14:textId="3F58F1AF" w:rsidR="00BE7C6C" w:rsidRDefault="0073120E" w:rsidP="00A81D73">
            <w:r>
              <w:t>USWAG</w:t>
            </w:r>
          </w:p>
        </w:tc>
        <w:tc>
          <w:tcPr>
            <w:tcW w:w="4405" w:type="dxa"/>
          </w:tcPr>
          <w:p w14:paraId="30BB1D4B" w14:textId="3AABA265" w:rsidR="00BE7C6C" w:rsidRDefault="0073120E" w:rsidP="00A81D73">
            <w:r w:rsidRPr="0073120E">
              <w:t>jim.roewer@uswag.org</w:t>
            </w:r>
          </w:p>
        </w:tc>
      </w:tr>
      <w:tr w:rsidR="0073120E" w14:paraId="18938FF1" w14:textId="77777777" w:rsidTr="0073120E">
        <w:tc>
          <w:tcPr>
            <w:tcW w:w="2245" w:type="dxa"/>
          </w:tcPr>
          <w:p w14:paraId="5B92E2B5" w14:textId="2E39C1F0" w:rsidR="0073120E" w:rsidRDefault="0073120E" w:rsidP="00A81D73">
            <w:r>
              <w:t>Vanessa Caron</w:t>
            </w:r>
          </w:p>
        </w:tc>
        <w:tc>
          <w:tcPr>
            <w:tcW w:w="2700" w:type="dxa"/>
          </w:tcPr>
          <w:p w14:paraId="2D1015D8" w14:textId="0510AC5F" w:rsidR="0073120E" w:rsidRDefault="0073120E" w:rsidP="00A81D73">
            <w:r>
              <w:t>N</w:t>
            </w:r>
            <w:r w:rsidR="00D15DAA">
              <w:t>ortheast Utilities</w:t>
            </w:r>
          </w:p>
        </w:tc>
        <w:tc>
          <w:tcPr>
            <w:tcW w:w="4405" w:type="dxa"/>
          </w:tcPr>
          <w:p w14:paraId="5D22BC02" w14:textId="2ED0FC15" w:rsidR="0073120E" w:rsidRDefault="0073120E" w:rsidP="00A81D73">
            <w:r w:rsidRPr="0073120E">
              <w:t>vanessa.caron@nu.com</w:t>
            </w:r>
          </w:p>
        </w:tc>
      </w:tr>
      <w:tr w:rsidR="0073120E" w14:paraId="260CC867" w14:textId="77777777" w:rsidTr="0073120E">
        <w:tc>
          <w:tcPr>
            <w:tcW w:w="2245" w:type="dxa"/>
          </w:tcPr>
          <w:p w14:paraId="595843BB" w14:textId="558EB72A" w:rsidR="0073120E" w:rsidRDefault="00D74D05" w:rsidP="00A81D73">
            <w:r>
              <w:t>ECOS</w:t>
            </w:r>
          </w:p>
        </w:tc>
        <w:tc>
          <w:tcPr>
            <w:tcW w:w="2700" w:type="dxa"/>
          </w:tcPr>
          <w:p w14:paraId="2A2B3B0C" w14:textId="1B0C1481" w:rsidR="0073120E" w:rsidRDefault="00D74D05" w:rsidP="00A81D73">
            <w:r>
              <w:t>ECOS</w:t>
            </w:r>
          </w:p>
        </w:tc>
        <w:tc>
          <w:tcPr>
            <w:tcW w:w="4405" w:type="dxa"/>
          </w:tcPr>
          <w:p w14:paraId="57850B3B" w14:textId="6D919965" w:rsidR="0073120E" w:rsidRPr="0073120E" w:rsidRDefault="0073120E" w:rsidP="00A81D73">
            <w:r w:rsidRPr="0073120E">
              <w:t>ecos@</w:t>
            </w:r>
            <w:r w:rsidR="002E5F5D">
              <w:t>e</w:t>
            </w:r>
            <w:r w:rsidRPr="0073120E">
              <w:t>co</w:t>
            </w:r>
            <w:r w:rsidR="002E5F5D">
              <w:t>s</w:t>
            </w:r>
            <w:r w:rsidRPr="0073120E">
              <w:t>.org</w:t>
            </w:r>
          </w:p>
        </w:tc>
      </w:tr>
    </w:tbl>
    <w:p w14:paraId="1339FF32" w14:textId="77777777" w:rsidR="00072768" w:rsidRDefault="00072768" w:rsidP="00A81D73">
      <w:pPr>
        <w:ind w:left="720"/>
      </w:pPr>
    </w:p>
    <w:p w14:paraId="4A3287F7" w14:textId="2F1D1914" w:rsidR="00D24FB0" w:rsidRDefault="00735F3E" w:rsidP="00A81D73">
      <w:pPr>
        <w:ind w:left="720"/>
      </w:pPr>
      <w:r>
        <w:t>One response was received</w:t>
      </w:r>
      <w:r w:rsidR="00A81D73">
        <w:t xml:space="preserve">. </w:t>
      </w:r>
      <w:r>
        <w:t xml:space="preserve">They estimated that it would take 40 to 50 hours to read the guidance and 20 hours to read and use the checklists. They estimated a total </w:t>
      </w:r>
      <w:r w:rsidR="00CB5EBF">
        <w:t xml:space="preserve">burden </w:t>
      </w:r>
      <w:r>
        <w:t>of 60 to 70 hours.</w:t>
      </w:r>
      <w:r w:rsidR="00A81D73">
        <w:t xml:space="preserve"> EPA</w:t>
      </w:r>
      <w:r>
        <w:t>’s original estimate of 9.9 hours</w:t>
      </w:r>
      <w:r w:rsidR="00A81D73">
        <w:t xml:space="preserve"> relied on standard estimates </w:t>
      </w:r>
      <w:r w:rsidR="006815C1">
        <w:t>of reading speed by individuals</w:t>
      </w:r>
      <w:r w:rsidR="006F24A0">
        <w:rPr>
          <w:rFonts w:eastAsia="Times New Roman" w:cs="Times New Roman"/>
          <w:szCs w:val="24"/>
        </w:rPr>
        <w:t xml:space="preserve"> (Carver, 1990)</w:t>
      </w:r>
      <w:r w:rsidR="006815C1">
        <w:t>.</w:t>
      </w:r>
      <w:r w:rsidR="00E80101">
        <w:rPr>
          <w:rStyle w:val="FootnoteReference"/>
        </w:rPr>
        <w:footnoteReference w:id="2"/>
      </w:r>
      <w:r w:rsidR="00A81D73">
        <w:t xml:space="preserve"> </w:t>
      </w:r>
    </w:p>
    <w:p w14:paraId="671B7BFE" w14:textId="77777777" w:rsidR="00C108A6" w:rsidRDefault="00C108A6" w:rsidP="00EB6419"/>
    <w:p w14:paraId="2470ACBF" w14:textId="77777777" w:rsidR="00C108A6" w:rsidRPr="00C108A6" w:rsidRDefault="00C108A6" w:rsidP="00EB6419">
      <w:pPr>
        <w:rPr>
          <w:b/>
        </w:rPr>
      </w:pPr>
      <w:r w:rsidRPr="00C108A6">
        <w:rPr>
          <w:b/>
        </w:rPr>
        <w:tab/>
        <w:t>3(d). Effect of Less Frequent Collection</w:t>
      </w:r>
    </w:p>
    <w:p w14:paraId="119FDD54" w14:textId="77777777" w:rsidR="00C108A6" w:rsidRDefault="00C108A6" w:rsidP="00EB6419"/>
    <w:p w14:paraId="3CFA8CFF" w14:textId="3A74EB79" w:rsidR="009E4693" w:rsidRDefault="002E612D" w:rsidP="00AD2394">
      <w:pPr>
        <w:ind w:left="720"/>
      </w:pPr>
      <w:r w:rsidRPr="002E612D">
        <w:t xml:space="preserve">If these activities were conducted less frequently, </w:t>
      </w:r>
      <w:r w:rsidR="009529D7">
        <w:t xml:space="preserve">the universe of </w:t>
      </w:r>
      <w:r w:rsidR="009529D7" w:rsidRPr="009529D7">
        <w:t>§</w:t>
      </w:r>
      <w:r w:rsidR="008F00D9">
        <w:t>§7</w:t>
      </w:r>
      <w:r w:rsidR="009529D7" w:rsidRPr="009529D7">
        <w:t xml:space="preserve">61.60(e) and 761.70 applicants </w:t>
      </w:r>
      <w:r w:rsidR="006942DE">
        <w:t xml:space="preserve">would </w:t>
      </w:r>
      <w:r w:rsidR="006A723E">
        <w:t xml:space="preserve">not have access to tools to assist them with applying to EPA for approval to dispose of PCBs. </w:t>
      </w:r>
    </w:p>
    <w:p w14:paraId="72FFF64A" w14:textId="77777777" w:rsidR="00C108A6" w:rsidRDefault="00C108A6" w:rsidP="00EB6419"/>
    <w:p w14:paraId="6098650C" w14:textId="77777777" w:rsidR="00C108A6" w:rsidRPr="00C108A6" w:rsidRDefault="00C108A6" w:rsidP="00EB6419">
      <w:pPr>
        <w:rPr>
          <w:b/>
        </w:rPr>
      </w:pPr>
      <w:r w:rsidRPr="00C108A6">
        <w:rPr>
          <w:b/>
        </w:rPr>
        <w:tab/>
        <w:t>3(e). General Guidelines</w:t>
      </w:r>
    </w:p>
    <w:p w14:paraId="51697A6A" w14:textId="77777777" w:rsidR="00C108A6" w:rsidRDefault="00C108A6" w:rsidP="00EB6419"/>
    <w:p w14:paraId="568A146A" w14:textId="67DE7F3A" w:rsidR="00C108A6" w:rsidRDefault="00C108A6" w:rsidP="00AD2394">
      <w:pPr>
        <w:ind w:left="720"/>
      </w:pPr>
      <w:r w:rsidRPr="00C108A6">
        <w:t>This ICR adheres to the guidelines stated in the Paperwork Reduction Act of 1995</w:t>
      </w:r>
      <w:r w:rsidR="00A42354">
        <w:t xml:space="preserve"> and</w:t>
      </w:r>
      <w:r w:rsidRPr="00C108A6">
        <w:t xml:space="preserve"> OMB’s implementing regulations</w:t>
      </w:r>
      <w:r w:rsidR="00EC4660">
        <w:t>, EPA’s ICR Handbook, and other applicable OMB guidance.</w:t>
      </w:r>
    </w:p>
    <w:p w14:paraId="0A3E1388" w14:textId="77777777" w:rsidR="00C108A6" w:rsidRDefault="00C108A6" w:rsidP="00EB6419"/>
    <w:p w14:paraId="0A8006E6" w14:textId="77777777" w:rsidR="00C108A6" w:rsidRPr="00C108A6" w:rsidRDefault="00C108A6" w:rsidP="00EB6419">
      <w:pPr>
        <w:rPr>
          <w:b/>
        </w:rPr>
      </w:pPr>
      <w:r w:rsidRPr="00C108A6">
        <w:rPr>
          <w:b/>
        </w:rPr>
        <w:tab/>
        <w:t>3(f). Confidentiality</w:t>
      </w:r>
    </w:p>
    <w:p w14:paraId="6C956BC3" w14:textId="77777777" w:rsidR="00C108A6" w:rsidRDefault="00C108A6" w:rsidP="00EB6419"/>
    <w:p w14:paraId="3B53F93F" w14:textId="67145D74" w:rsidR="00C108A6" w:rsidRDefault="00A42354" w:rsidP="00AD2394">
      <w:pPr>
        <w:ind w:left="720"/>
      </w:pPr>
      <w:r w:rsidRPr="00A42354">
        <w:t xml:space="preserve">EPA handles claims of confidentiality pursuant to established </w:t>
      </w:r>
      <w:r w:rsidR="00C67162">
        <w:t>confidential business information (CBI)</w:t>
      </w:r>
      <w:r w:rsidRPr="00A42354">
        <w:t xml:space="preserve"> procedures, as found at section 14 of TSCA, 40 CFR 750.16 and 750.36, and the Agency’s TSCA CBI Manual. CBI is also protected under the Freedom of Information Act (5 USC 525). </w:t>
      </w:r>
      <w:r>
        <w:t>The guidance does not require any information to be submitted to EPA</w:t>
      </w:r>
      <w:r w:rsidR="00C67162">
        <w:t xml:space="preserve">. </w:t>
      </w:r>
    </w:p>
    <w:p w14:paraId="1F8DC4D3" w14:textId="77777777" w:rsidR="009E4693" w:rsidRDefault="009E4693" w:rsidP="00EB6419"/>
    <w:p w14:paraId="1CC48B73" w14:textId="77777777" w:rsidR="009E4693" w:rsidRPr="00C108A6" w:rsidRDefault="00C108A6" w:rsidP="00EB6419">
      <w:pPr>
        <w:rPr>
          <w:b/>
        </w:rPr>
      </w:pPr>
      <w:r w:rsidRPr="00C108A6">
        <w:rPr>
          <w:b/>
        </w:rPr>
        <w:tab/>
        <w:t>3(g). Sensitive Questions</w:t>
      </w:r>
    </w:p>
    <w:p w14:paraId="3B26887B" w14:textId="77777777" w:rsidR="00C108A6" w:rsidRDefault="00C108A6" w:rsidP="00EB6419"/>
    <w:p w14:paraId="722AE0A3" w14:textId="4E33D03B" w:rsidR="00C108A6" w:rsidRDefault="00C108A6" w:rsidP="00EB6419">
      <w:r>
        <w:tab/>
      </w:r>
      <w:r w:rsidR="00AE248B">
        <w:t xml:space="preserve">No questions of a sensitive nature are included in any of the information collection requirements. </w:t>
      </w:r>
    </w:p>
    <w:p w14:paraId="71F8D1D6" w14:textId="77777777" w:rsidR="00576ABF" w:rsidRDefault="00576ABF" w:rsidP="00EB6419"/>
    <w:p w14:paraId="7196EC0F" w14:textId="77777777" w:rsidR="00C108A6" w:rsidRPr="00C108A6" w:rsidRDefault="00C108A6" w:rsidP="00C108A6">
      <w:pPr>
        <w:rPr>
          <w:b/>
        </w:rPr>
      </w:pPr>
      <w:r>
        <w:rPr>
          <w:b/>
        </w:rPr>
        <w:t>4. THE RESPONDANTS AND THE INFORMATION REQUESTED</w:t>
      </w:r>
    </w:p>
    <w:p w14:paraId="45EAFC40" w14:textId="77777777" w:rsidR="00C108A6" w:rsidRDefault="00C108A6" w:rsidP="00EB6419"/>
    <w:p w14:paraId="62DC0661" w14:textId="77777777" w:rsidR="00C108A6" w:rsidRPr="00C108A6" w:rsidRDefault="00C108A6" w:rsidP="00EB6419">
      <w:pPr>
        <w:rPr>
          <w:b/>
        </w:rPr>
      </w:pPr>
      <w:r>
        <w:tab/>
      </w:r>
      <w:r>
        <w:rPr>
          <w:b/>
        </w:rPr>
        <w:t>4(a). Respondents and NAICS Codes</w:t>
      </w:r>
    </w:p>
    <w:p w14:paraId="2DED9CFE" w14:textId="77777777" w:rsidR="00C108A6" w:rsidRDefault="00C108A6" w:rsidP="00EB6419"/>
    <w:p w14:paraId="0FAC8961" w14:textId="77777777" w:rsidR="009B7D05" w:rsidRDefault="009B7D05" w:rsidP="00AD2394">
      <w:pPr>
        <w:ind w:left="720"/>
      </w:pPr>
      <w:r>
        <w:t>The following is a list of North American Industrial Classification System (NAICS) codes associated with the facilities most likely to be affected by the information collection requirements covered in this ICR.</w:t>
      </w:r>
    </w:p>
    <w:p w14:paraId="691EFE31" w14:textId="77777777" w:rsidR="009B7D05" w:rsidRDefault="009B7D05" w:rsidP="009B7D05"/>
    <w:tbl>
      <w:tblPr>
        <w:tblStyle w:val="TableGrid"/>
        <w:tblW w:w="0" w:type="auto"/>
        <w:tblLook w:val="04A0" w:firstRow="1" w:lastRow="0" w:firstColumn="1" w:lastColumn="0" w:noHBand="0" w:noVBand="1"/>
      </w:tblPr>
      <w:tblGrid>
        <w:gridCol w:w="3145"/>
        <w:gridCol w:w="6925"/>
      </w:tblGrid>
      <w:tr w:rsidR="003A4DBB" w14:paraId="7FF182A4" w14:textId="77777777" w:rsidTr="00ED779C">
        <w:trPr>
          <w:trHeight w:val="620"/>
        </w:trPr>
        <w:tc>
          <w:tcPr>
            <w:tcW w:w="3145" w:type="dxa"/>
            <w:vAlign w:val="center"/>
          </w:tcPr>
          <w:p w14:paraId="650A813B" w14:textId="77777777" w:rsidR="003A4DBB" w:rsidRPr="003A4DBB" w:rsidRDefault="003A4DBB" w:rsidP="00ED779C">
            <w:pPr>
              <w:keepNext/>
              <w:keepLines/>
              <w:jc w:val="center"/>
              <w:rPr>
                <w:b/>
              </w:rPr>
            </w:pPr>
            <w:r w:rsidRPr="003A4DBB">
              <w:rPr>
                <w:b/>
              </w:rPr>
              <w:t>NAICS</w:t>
            </w:r>
          </w:p>
        </w:tc>
        <w:tc>
          <w:tcPr>
            <w:tcW w:w="6925" w:type="dxa"/>
            <w:vAlign w:val="center"/>
          </w:tcPr>
          <w:p w14:paraId="5F0C8FB2" w14:textId="77777777" w:rsidR="003A4DBB" w:rsidRPr="003A4DBB" w:rsidRDefault="003A4DBB" w:rsidP="00ED779C">
            <w:pPr>
              <w:keepNext/>
              <w:keepLines/>
              <w:jc w:val="center"/>
              <w:rPr>
                <w:b/>
              </w:rPr>
            </w:pPr>
            <w:r w:rsidRPr="003A4DBB">
              <w:rPr>
                <w:b/>
              </w:rPr>
              <w:t>Facility Type</w:t>
            </w:r>
          </w:p>
        </w:tc>
      </w:tr>
      <w:tr w:rsidR="003A4DBB" w14:paraId="6DA4EAE6" w14:textId="77777777" w:rsidTr="003A4DBB">
        <w:tc>
          <w:tcPr>
            <w:tcW w:w="3145" w:type="dxa"/>
          </w:tcPr>
          <w:p w14:paraId="6F2DCBC1" w14:textId="77777777" w:rsidR="003A4DBB" w:rsidRDefault="003A4DBB" w:rsidP="00ED779C">
            <w:pPr>
              <w:keepNext/>
              <w:keepLines/>
              <w:jc w:val="center"/>
            </w:pPr>
            <w:r>
              <w:t>562</w:t>
            </w:r>
          </w:p>
        </w:tc>
        <w:tc>
          <w:tcPr>
            <w:tcW w:w="6925" w:type="dxa"/>
          </w:tcPr>
          <w:p w14:paraId="4AEEA6D2" w14:textId="77777777" w:rsidR="003A4DBB" w:rsidRDefault="003A4DBB" w:rsidP="00ED779C">
            <w:pPr>
              <w:keepNext/>
              <w:keepLines/>
            </w:pPr>
            <w:r w:rsidRPr="003A4DBB">
              <w:t>Waste Management and Remediation Services</w:t>
            </w:r>
            <w:r>
              <w:t xml:space="preserve">. E.g., </w:t>
            </w:r>
            <w:r w:rsidRPr="003A4DBB">
              <w:t xml:space="preserve">PCB waste handlers (e.g., storage facilities, incinerators), waste treatment and disposal, remediation services, </w:t>
            </w:r>
            <w:r w:rsidR="00835237">
              <w:t xml:space="preserve">and </w:t>
            </w:r>
            <w:r w:rsidRPr="003A4DBB">
              <w:t>material recovery facilities.</w:t>
            </w:r>
          </w:p>
          <w:p w14:paraId="40829BEF" w14:textId="77777777" w:rsidR="00ED779C" w:rsidRDefault="00ED779C" w:rsidP="00ED779C">
            <w:pPr>
              <w:keepNext/>
              <w:keepLines/>
            </w:pPr>
          </w:p>
        </w:tc>
      </w:tr>
      <w:tr w:rsidR="003A4DBB" w14:paraId="533B16A1" w14:textId="77777777" w:rsidTr="003A4DBB">
        <w:tc>
          <w:tcPr>
            <w:tcW w:w="3145" w:type="dxa"/>
          </w:tcPr>
          <w:p w14:paraId="6AD479E8" w14:textId="77777777" w:rsidR="003A4DBB" w:rsidRDefault="003A4DBB" w:rsidP="00ED779C">
            <w:pPr>
              <w:keepNext/>
              <w:keepLines/>
              <w:jc w:val="center"/>
            </w:pPr>
            <w:r>
              <w:t>54</w:t>
            </w:r>
          </w:p>
        </w:tc>
        <w:tc>
          <w:tcPr>
            <w:tcW w:w="6925" w:type="dxa"/>
          </w:tcPr>
          <w:p w14:paraId="745598F6" w14:textId="77777777" w:rsidR="003A4DBB" w:rsidRDefault="003A4DBB" w:rsidP="00ED779C">
            <w:pPr>
              <w:keepNext/>
              <w:keepLines/>
            </w:pPr>
            <w:r w:rsidRPr="003A4DBB">
              <w:t>Professional, Scientific, and Technical Services</w:t>
            </w:r>
            <w:r>
              <w:t>.</w:t>
            </w:r>
            <w:r w:rsidRPr="003A4DBB">
              <w:t xml:space="preserve"> </w:t>
            </w:r>
            <w:r>
              <w:t>E</w:t>
            </w:r>
            <w:r w:rsidRPr="003A4DBB">
              <w:t xml:space="preserve">.g., </w:t>
            </w:r>
            <w:r>
              <w:t>t</w:t>
            </w:r>
            <w:r w:rsidRPr="003A4DBB">
              <w:t>esting laboratories, environmental consulting.</w:t>
            </w:r>
          </w:p>
          <w:p w14:paraId="12DA13ED" w14:textId="77777777" w:rsidR="00ED779C" w:rsidRDefault="00ED779C" w:rsidP="00ED779C">
            <w:pPr>
              <w:keepNext/>
              <w:keepLines/>
            </w:pPr>
          </w:p>
        </w:tc>
      </w:tr>
    </w:tbl>
    <w:p w14:paraId="1CE00CC9" w14:textId="77777777" w:rsidR="009B7D05" w:rsidRDefault="009B7D05" w:rsidP="009B7D05"/>
    <w:p w14:paraId="5A573CE1" w14:textId="77777777" w:rsidR="00FA5DF5" w:rsidRDefault="00FA5DF5" w:rsidP="00EB6419"/>
    <w:p w14:paraId="5FC776FA" w14:textId="77777777" w:rsidR="00C108A6" w:rsidRPr="00C108A6" w:rsidRDefault="00C108A6" w:rsidP="00EB6419">
      <w:pPr>
        <w:rPr>
          <w:b/>
        </w:rPr>
      </w:pPr>
      <w:r>
        <w:tab/>
      </w:r>
      <w:r>
        <w:rPr>
          <w:b/>
        </w:rPr>
        <w:t>4(b). Information Requested</w:t>
      </w:r>
    </w:p>
    <w:p w14:paraId="022C3C9A" w14:textId="77777777" w:rsidR="00C108A6" w:rsidRDefault="00C108A6" w:rsidP="00EB6419"/>
    <w:p w14:paraId="761D8302" w14:textId="1D57F12B" w:rsidR="00C108A6" w:rsidRDefault="00830E5E" w:rsidP="00AD2394">
      <w:pPr>
        <w:ind w:left="720"/>
      </w:pPr>
      <w:r w:rsidRPr="00830E5E">
        <w:t xml:space="preserve">This section describes </w:t>
      </w:r>
      <w:r w:rsidR="00A36324">
        <w:t xml:space="preserve">the </w:t>
      </w:r>
      <w:r w:rsidR="00AC054E">
        <w:t xml:space="preserve">information collection requirements related to the </w:t>
      </w:r>
      <w:r w:rsidR="00A36324">
        <w:t>guidance</w:t>
      </w:r>
      <w:r w:rsidRPr="00830E5E">
        <w:t>.</w:t>
      </w:r>
      <w:r w:rsidR="00A36324">
        <w:t xml:space="preserve"> As discussed previously</w:t>
      </w:r>
      <w:r w:rsidR="0060687A">
        <w:t>, use of</w:t>
      </w:r>
      <w:r w:rsidR="00A36324">
        <w:t xml:space="preserve"> this guidance is </w:t>
      </w:r>
      <w:r w:rsidR="0060687A">
        <w:t xml:space="preserve">voluntary </w:t>
      </w:r>
      <w:r w:rsidR="00A36324">
        <w:t xml:space="preserve">and </w:t>
      </w:r>
      <w:r w:rsidR="00953FE7">
        <w:t xml:space="preserve">does not require any information </w:t>
      </w:r>
      <w:r w:rsidR="00A36324">
        <w:t xml:space="preserve">to be submitted to EPA. </w:t>
      </w:r>
    </w:p>
    <w:p w14:paraId="6537E43B" w14:textId="77777777" w:rsidR="00830E5E" w:rsidRDefault="00830E5E" w:rsidP="00EB6419"/>
    <w:p w14:paraId="46D372DA" w14:textId="343F2470" w:rsidR="00AC054E" w:rsidRDefault="00AC054E" w:rsidP="00AD2394">
      <w:pPr>
        <w:pStyle w:val="ListParagraph"/>
        <w:numPr>
          <w:ilvl w:val="0"/>
          <w:numId w:val="2"/>
        </w:numPr>
        <w:spacing w:line="240" w:lineRule="auto"/>
        <w:ind w:left="1872" w:hanging="432"/>
        <w:rPr>
          <w:b/>
        </w:rPr>
      </w:pPr>
      <w:r>
        <w:rPr>
          <w:b/>
        </w:rPr>
        <w:t>Reading the Guidance</w:t>
      </w:r>
    </w:p>
    <w:p w14:paraId="7565A19E" w14:textId="77C0D38E" w:rsidR="00AC054E" w:rsidRDefault="00AC054E" w:rsidP="00AC054E">
      <w:pPr>
        <w:pStyle w:val="ListParagraph"/>
        <w:spacing w:line="240" w:lineRule="auto"/>
        <w:ind w:left="1872"/>
        <w:rPr>
          <w:b/>
        </w:rPr>
      </w:pPr>
    </w:p>
    <w:p w14:paraId="3B80D790" w14:textId="4B8C5F86" w:rsidR="00AC054E" w:rsidRPr="006A1D5F" w:rsidRDefault="00AC054E" w:rsidP="006A1D5F">
      <w:pPr>
        <w:pStyle w:val="ListParagraph"/>
        <w:spacing w:line="240" w:lineRule="auto"/>
        <w:ind w:left="1440"/>
      </w:pPr>
      <w:r w:rsidRPr="006A1D5F">
        <w:t xml:space="preserve">An applicant may read the guidance </w:t>
      </w:r>
      <w:r w:rsidR="00A3159A">
        <w:t xml:space="preserve">before and during the process for applying to the EPA for approval to dispose of PCBs </w:t>
      </w:r>
      <w:r w:rsidR="000D106B">
        <w:t xml:space="preserve">through incineration or an alternative method. </w:t>
      </w:r>
    </w:p>
    <w:p w14:paraId="6C98F241" w14:textId="77777777" w:rsidR="00AC054E" w:rsidRDefault="00AC054E" w:rsidP="006A1D5F">
      <w:pPr>
        <w:pStyle w:val="ListParagraph"/>
        <w:spacing w:line="240" w:lineRule="auto"/>
        <w:ind w:left="1872"/>
        <w:rPr>
          <w:b/>
        </w:rPr>
      </w:pPr>
    </w:p>
    <w:p w14:paraId="2C3B899F" w14:textId="6AB542E0" w:rsidR="00704E3C" w:rsidRDefault="00704E3C" w:rsidP="00AD2394">
      <w:pPr>
        <w:pStyle w:val="ListParagraph"/>
        <w:numPr>
          <w:ilvl w:val="0"/>
          <w:numId w:val="2"/>
        </w:numPr>
        <w:spacing w:line="240" w:lineRule="auto"/>
        <w:ind w:left="1872" w:hanging="432"/>
        <w:rPr>
          <w:b/>
        </w:rPr>
      </w:pPr>
      <w:r>
        <w:rPr>
          <w:b/>
        </w:rPr>
        <w:t>Utilizing the Tables Provided in the Guidance</w:t>
      </w:r>
    </w:p>
    <w:p w14:paraId="031B589B" w14:textId="77777777" w:rsidR="00704E3C" w:rsidRDefault="00704E3C" w:rsidP="00AD2394">
      <w:pPr>
        <w:spacing w:line="240" w:lineRule="auto"/>
        <w:ind w:left="720"/>
        <w:rPr>
          <w:b/>
        </w:rPr>
      </w:pPr>
    </w:p>
    <w:p w14:paraId="4B22DC7E" w14:textId="0906B445" w:rsidR="004E0C30" w:rsidRDefault="004E0C30" w:rsidP="00AD2394">
      <w:pPr>
        <w:spacing w:line="240" w:lineRule="auto"/>
        <w:ind w:left="1440"/>
      </w:pPr>
      <w:r>
        <w:t>An</w:t>
      </w:r>
      <w:r w:rsidR="00704E3C">
        <w:t xml:space="preserve"> applicant </w:t>
      </w:r>
      <w:r>
        <w:t>may</w:t>
      </w:r>
      <w:r w:rsidR="00704E3C">
        <w:t xml:space="preserve"> </w:t>
      </w:r>
      <w:r w:rsidR="0066373A">
        <w:t xml:space="preserve">use </w:t>
      </w:r>
      <w:r w:rsidR="00704E3C">
        <w:t xml:space="preserve">the tables listed below </w:t>
      </w:r>
      <w:r>
        <w:t xml:space="preserve">for their own benefit </w:t>
      </w:r>
      <w:r w:rsidR="00704E3C">
        <w:t xml:space="preserve">to assist them in determining if they have all the appropriate information in their application, test plan, and/or test report. </w:t>
      </w:r>
      <w:r>
        <w:t>The research, analysis, and development of the information for the tables are not included in this information collection</w:t>
      </w:r>
      <w:r w:rsidR="000D106B">
        <w:t xml:space="preserve"> as they are reported within </w:t>
      </w:r>
      <w:r w:rsidR="00E75619">
        <w:t xml:space="preserve">a separate ICR, </w:t>
      </w:r>
      <w:r w:rsidR="005A1943">
        <w:t>OMB Control No. 2070-0112</w:t>
      </w:r>
      <w:r w:rsidRPr="00C563F7">
        <w:t>. The purpose</w:t>
      </w:r>
      <w:r>
        <w:t xml:space="preserve"> of these tables is </w:t>
      </w:r>
      <w:r w:rsidR="00237DDF">
        <w:t xml:space="preserve">to </w:t>
      </w:r>
      <w:r w:rsidR="00E75619">
        <w:t xml:space="preserve">assist </w:t>
      </w:r>
      <w:r>
        <w:t xml:space="preserve">the applicant </w:t>
      </w:r>
      <w:r w:rsidR="00E75619">
        <w:t xml:space="preserve">in confirming </w:t>
      </w:r>
      <w:r>
        <w:t xml:space="preserve">they </w:t>
      </w:r>
      <w:r w:rsidR="00036BB4">
        <w:t xml:space="preserve">have </w:t>
      </w:r>
      <w:r>
        <w:t xml:space="preserve">all the required information </w:t>
      </w:r>
      <w:r w:rsidR="00C452F8">
        <w:t xml:space="preserve">and to quickly identify whether </w:t>
      </w:r>
      <w:r>
        <w:t xml:space="preserve">certain components are missing. </w:t>
      </w:r>
    </w:p>
    <w:p w14:paraId="1371B1BC" w14:textId="77777777" w:rsidR="004E0C30" w:rsidRDefault="004E0C30" w:rsidP="00AD2394">
      <w:pPr>
        <w:spacing w:line="240" w:lineRule="auto"/>
        <w:ind w:left="1440"/>
      </w:pPr>
    </w:p>
    <w:p w14:paraId="0BBC2941" w14:textId="4DFBB2DC" w:rsidR="00704E3C" w:rsidRPr="00704E3C" w:rsidRDefault="00704E3C" w:rsidP="00AD2394">
      <w:pPr>
        <w:spacing w:line="240" w:lineRule="auto"/>
        <w:ind w:left="1440"/>
      </w:pPr>
      <w:r>
        <w:t xml:space="preserve">The tables depend on the type of technology the applicant is </w:t>
      </w:r>
      <w:r w:rsidR="00C452F8">
        <w:t xml:space="preserve">using </w:t>
      </w:r>
      <w:r>
        <w:t xml:space="preserve">so not all tables listed below are applicable to every applicant. </w:t>
      </w:r>
    </w:p>
    <w:p w14:paraId="4C875FAE" w14:textId="77777777" w:rsidR="00704E3C" w:rsidRPr="00704E3C" w:rsidRDefault="00704E3C" w:rsidP="00704E3C">
      <w:pPr>
        <w:spacing w:line="240" w:lineRule="auto"/>
        <w:rPr>
          <w:b/>
        </w:rPr>
      </w:pPr>
    </w:p>
    <w:p w14:paraId="006E717A" w14:textId="77777777" w:rsidR="00830E5E" w:rsidRPr="00704E3C" w:rsidRDefault="00830E5E" w:rsidP="00704E3C">
      <w:pPr>
        <w:pStyle w:val="ListParagraph"/>
        <w:numPr>
          <w:ilvl w:val="1"/>
          <w:numId w:val="2"/>
        </w:numPr>
        <w:spacing w:line="240" w:lineRule="auto"/>
      </w:pPr>
      <w:r w:rsidRPr="00704E3C">
        <w:t>Table B-1. Example Approval Application Checklist for Thermal and Non-Thermal Methods</w:t>
      </w:r>
    </w:p>
    <w:p w14:paraId="280411F0" w14:textId="77777777" w:rsidR="00830E5E" w:rsidRPr="00704E3C" w:rsidRDefault="00830E5E" w:rsidP="00704E3C">
      <w:pPr>
        <w:pStyle w:val="ListParagraph"/>
        <w:numPr>
          <w:ilvl w:val="1"/>
          <w:numId w:val="2"/>
        </w:numPr>
        <w:spacing w:line="240" w:lineRule="auto"/>
      </w:pPr>
      <w:r w:rsidRPr="00704E3C">
        <w:t>Table B-2. Example Checklist for a Test Plan</w:t>
      </w:r>
    </w:p>
    <w:p w14:paraId="3F30FC01" w14:textId="77777777" w:rsidR="00830E5E" w:rsidRPr="00704E3C" w:rsidRDefault="00830E5E" w:rsidP="00704E3C">
      <w:pPr>
        <w:pStyle w:val="ListParagraph"/>
        <w:numPr>
          <w:ilvl w:val="1"/>
          <w:numId w:val="2"/>
        </w:numPr>
        <w:spacing w:line="240" w:lineRule="auto"/>
      </w:pPr>
      <w:r w:rsidRPr="00704E3C">
        <w:t>Table B-3. Example Monitoring and Sampling Parameter Summary to be included in Test Plans for Incinerators or Alternative Thermal Destruction Processes</w:t>
      </w:r>
    </w:p>
    <w:p w14:paraId="55409335" w14:textId="77777777" w:rsidR="00830E5E" w:rsidRPr="00704E3C" w:rsidRDefault="00830E5E" w:rsidP="00704E3C">
      <w:pPr>
        <w:pStyle w:val="ListParagraph"/>
        <w:numPr>
          <w:ilvl w:val="1"/>
          <w:numId w:val="2"/>
        </w:numPr>
        <w:spacing w:line="240" w:lineRule="auto"/>
      </w:pPr>
      <w:r w:rsidRPr="00704E3C">
        <w:t>Table B-4. Example Monitoring and Sampling Parameter Supplement for an Alternative Non-Thermal Technology</w:t>
      </w:r>
    </w:p>
    <w:p w14:paraId="295C3C82" w14:textId="77777777" w:rsidR="00830E5E" w:rsidRPr="00704E3C" w:rsidRDefault="00704E3C" w:rsidP="00704E3C">
      <w:pPr>
        <w:pStyle w:val="ListParagraph"/>
        <w:numPr>
          <w:ilvl w:val="1"/>
          <w:numId w:val="2"/>
        </w:numPr>
        <w:spacing w:line="240" w:lineRule="auto"/>
      </w:pPr>
      <w:r w:rsidRPr="00704E3C">
        <w:t xml:space="preserve">The </w:t>
      </w:r>
      <w:r w:rsidR="00830E5E" w:rsidRPr="00704E3C">
        <w:t>Quality Assurance Project Plan (QAPP) Template</w:t>
      </w:r>
    </w:p>
    <w:p w14:paraId="528A226A" w14:textId="1F05ACF9" w:rsidR="00A36324" w:rsidRPr="00704E3C" w:rsidRDefault="00830E5E" w:rsidP="00704E3C">
      <w:pPr>
        <w:pStyle w:val="ListParagraph"/>
        <w:numPr>
          <w:ilvl w:val="1"/>
          <w:numId w:val="2"/>
        </w:numPr>
        <w:spacing w:line="240" w:lineRule="auto"/>
      </w:pPr>
      <w:r w:rsidRPr="00704E3C">
        <w:t>Table F-1. Example Checklist for Thermal Alternative Methods (e.g., Thermal Desorber) for Use During the Test</w:t>
      </w:r>
    </w:p>
    <w:p w14:paraId="18571886" w14:textId="37C982DB" w:rsidR="00830E5E" w:rsidRPr="00704E3C" w:rsidRDefault="00830E5E" w:rsidP="00704E3C">
      <w:pPr>
        <w:pStyle w:val="ListParagraph"/>
        <w:numPr>
          <w:ilvl w:val="1"/>
          <w:numId w:val="2"/>
        </w:numPr>
        <w:spacing w:line="240" w:lineRule="auto"/>
      </w:pPr>
      <w:r w:rsidRPr="00704E3C">
        <w:t>Table F-2: Example Checklist for Non-Thermal Alternative Methods (i.e., Chemical Dechlorination) for Use During the Test</w:t>
      </w:r>
    </w:p>
    <w:p w14:paraId="60548240" w14:textId="77777777" w:rsidR="00A36324" w:rsidRDefault="00A36324" w:rsidP="00A36324">
      <w:pPr>
        <w:pStyle w:val="ListParagraph"/>
      </w:pPr>
    </w:p>
    <w:p w14:paraId="2515CC95" w14:textId="77777777" w:rsidR="00C108A6" w:rsidRPr="00C108A6" w:rsidRDefault="00C108A6" w:rsidP="00DC3B7F">
      <w:pPr>
        <w:keepNext/>
        <w:keepLines/>
        <w:rPr>
          <w:b/>
        </w:rPr>
      </w:pPr>
      <w:r w:rsidRPr="00C108A6">
        <w:rPr>
          <w:b/>
        </w:rPr>
        <w:t xml:space="preserve">5. </w:t>
      </w:r>
      <w:r>
        <w:rPr>
          <w:b/>
        </w:rPr>
        <w:t>THE INFORMATION COLLECT</w:t>
      </w:r>
      <w:r w:rsidR="0055329A">
        <w:rPr>
          <w:b/>
        </w:rPr>
        <w:t>ED</w:t>
      </w:r>
      <w:r>
        <w:rPr>
          <w:b/>
        </w:rPr>
        <w:t xml:space="preserve"> – AGENCY ACTIVITIES, COLLECTION METHODOLOGY, AND INFORMATION MANAGEMENT</w:t>
      </w:r>
    </w:p>
    <w:p w14:paraId="50564938" w14:textId="77777777" w:rsidR="00C108A6" w:rsidRDefault="00C108A6" w:rsidP="00DC3B7F">
      <w:pPr>
        <w:keepNext/>
        <w:keepLines/>
      </w:pPr>
    </w:p>
    <w:p w14:paraId="1943C210" w14:textId="77777777" w:rsidR="00C108A6" w:rsidRPr="00576ABF" w:rsidRDefault="00C108A6" w:rsidP="00DC3B7F">
      <w:pPr>
        <w:keepNext/>
        <w:keepLines/>
        <w:rPr>
          <w:b/>
        </w:rPr>
      </w:pPr>
      <w:r w:rsidRPr="00576ABF">
        <w:rPr>
          <w:b/>
        </w:rPr>
        <w:tab/>
        <w:t>5(a). Agency Activities</w:t>
      </w:r>
    </w:p>
    <w:p w14:paraId="577895AF" w14:textId="77777777" w:rsidR="00C108A6" w:rsidRDefault="00C108A6" w:rsidP="00EB6419"/>
    <w:p w14:paraId="48134B6B" w14:textId="0C040153" w:rsidR="00C108A6" w:rsidRDefault="008A03B6" w:rsidP="008A03B6">
      <w:pPr>
        <w:ind w:left="720"/>
      </w:pPr>
      <w:r>
        <w:t xml:space="preserve">The guidance will likely reduce Agency burden and costs in reviewing PCB applications, which are activities reported in </w:t>
      </w:r>
      <w:r w:rsidR="005A1943">
        <w:t>OMB Control No. 2070-0112</w:t>
      </w:r>
      <w:r>
        <w:t xml:space="preserve">. </w:t>
      </w:r>
    </w:p>
    <w:p w14:paraId="2741107A" w14:textId="77777777" w:rsidR="00C108A6" w:rsidRDefault="00C108A6" w:rsidP="00EB6419"/>
    <w:p w14:paraId="0621F28A" w14:textId="77777777" w:rsidR="00C108A6" w:rsidRPr="00576ABF" w:rsidRDefault="00C108A6" w:rsidP="00EB6419">
      <w:pPr>
        <w:rPr>
          <w:b/>
        </w:rPr>
      </w:pPr>
      <w:r w:rsidRPr="00576ABF">
        <w:rPr>
          <w:b/>
        </w:rPr>
        <w:tab/>
        <w:t>5(b). Collection Methodology and Management</w:t>
      </w:r>
    </w:p>
    <w:p w14:paraId="5F623FEB" w14:textId="77777777" w:rsidR="00C108A6" w:rsidRDefault="00C108A6" w:rsidP="00EB6419"/>
    <w:p w14:paraId="573B0584" w14:textId="357A3488" w:rsidR="00C108A6" w:rsidRDefault="00665DEC" w:rsidP="00AD2394">
      <w:pPr>
        <w:ind w:left="720"/>
      </w:pPr>
      <w:r>
        <w:t xml:space="preserve">EPA does not intend to collect information in the guidance. </w:t>
      </w:r>
      <w:r w:rsidR="002944D0">
        <w:t>EPA will provide the guidance to applicants on its website.</w:t>
      </w:r>
    </w:p>
    <w:p w14:paraId="0E4F8F6B" w14:textId="77777777" w:rsidR="00C108A6" w:rsidRDefault="00C108A6" w:rsidP="00EB6419"/>
    <w:p w14:paraId="1D3DB605" w14:textId="77777777" w:rsidR="00C108A6" w:rsidRPr="00576ABF" w:rsidRDefault="00C108A6" w:rsidP="00EB6419">
      <w:pPr>
        <w:rPr>
          <w:b/>
        </w:rPr>
      </w:pPr>
      <w:r w:rsidRPr="00576ABF">
        <w:rPr>
          <w:b/>
        </w:rPr>
        <w:tab/>
        <w:t>5(c). Small Entity Flexibility</w:t>
      </w:r>
    </w:p>
    <w:p w14:paraId="637C8F7E" w14:textId="77777777" w:rsidR="00C108A6" w:rsidRDefault="00C108A6" w:rsidP="00EB6419"/>
    <w:p w14:paraId="3C99BF06" w14:textId="2C9F816C" w:rsidR="00486D6A" w:rsidRDefault="00486D6A" w:rsidP="00AD2394">
      <w:pPr>
        <w:ind w:left="720"/>
      </w:pPr>
      <w:r w:rsidRPr="00486D6A">
        <w:t xml:space="preserve">Small businesses </w:t>
      </w:r>
      <w:r w:rsidR="002759F6">
        <w:t xml:space="preserve">must comply with the </w:t>
      </w:r>
      <w:r w:rsidRPr="00486D6A">
        <w:t>PCB regulations under TSCA</w:t>
      </w:r>
      <w:r>
        <w:t xml:space="preserve">. </w:t>
      </w:r>
      <w:r w:rsidR="002759F6">
        <w:t xml:space="preserve">This </w:t>
      </w:r>
      <w:r>
        <w:t xml:space="preserve">guidance </w:t>
      </w:r>
      <w:r w:rsidR="002759F6">
        <w:t xml:space="preserve">is intended to </w:t>
      </w:r>
      <w:r>
        <w:t>clarify and streamline the process</w:t>
      </w:r>
      <w:r w:rsidR="002759F6">
        <w:t xml:space="preserve"> for obtaining EPA approval, which will </w:t>
      </w:r>
      <w:r w:rsidR="002944D0">
        <w:t>benefit all regulated entities, including small entities.</w:t>
      </w:r>
    </w:p>
    <w:p w14:paraId="71421262" w14:textId="77777777" w:rsidR="00C108A6" w:rsidRDefault="00C108A6" w:rsidP="00EB6419"/>
    <w:p w14:paraId="0EC82534" w14:textId="77777777" w:rsidR="00C108A6" w:rsidRPr="00576ABF" w:rsidRDefault="00C108A6" w:rsidP="00EB6419">
      <w:pPr>
        <w:rPr>
          <w:b/>
        </w:rPr>
      </w:pPr>
      <w:r w:rsidRPr="00576ABF">
        <w:rPr>
          <w:b/>
        </w:rPr>
        <w:tab/>
        <w:t>5(d). Collection Schedule</w:t>
      </w:r>
    </w:p>
    <w:p w14:paraId="2F47E913" w14:textId="77777777" w:rsidR="00C108A6" w:rsidRDefault="00C108A6" w:rsidP="00EB6419"/>
    <w:p w14:paraId="4F0F24DD" w14:textId="6D79E73D" w:rsidR="00C108A6" w:rsidRDefault="002944D0" w:rsidP="006A1D5F">
      <w:pPr>
        <w:ind w:left="720"/>
      </w:pPr>
      <w:r>
        <w:t xml:space="preserve">EPA does not intend to collect information in the guidance and, thus, </w:t>
      </w:r>
      <w:r w:rsidR="00593E52">
        <w:t>here is no required schedule for</w:t>
      </w:r>
      <w:r>
        <w:t xml:space="preserve"> collection</w:t>
      </w:r>
      <w:r w:rsidR="00593E52">
        <w:t xml:space="preserve">. </w:t>
      </w:r>
    </w:p>
    <w:p w14:paraId="1306077B" w14:textId="77777777" w:rsidR="00576ABF" w:rsidRDefault="00576ABF" w:rsidP="00EB6419"/>
    <w:p w14:paraId="6959C150" w14:textId="77777777" w:rsidR="00C108A6" w:rsidRDefault="002E612D" w:rsidP="00DC3B7F">
      <w:pPr>
        <w:keepNext/>
        <w:keepLines/>
      </w:pPr>
      <w:r>
        <w:rPr>
          <w:b/>
        </w:rPr>
        <w:t>6. ESTIMATING THE HOUR AND COST BURDEN OF THE COLLECTION</w:t>
      </w:r>
    </w:p>
    <w:p w14:paraId="335A0CC7" w14:textId="77777777" w:rsidR="002E612D" w:rsidRDefault="002E612D" w:rsidP="00DC3B7F">
      <w:pPr>
        <w:keepNext/>
        <w:keepLines/>
      </w:pPr>
    </w:p>
    <w:p w14:paraId="20A90BA8" w14:textId="77777777" w:rsidR="002E612D" w:rsidRDefault="002E612D" w:rsidP="00DC3B7F">
      <w:pPr>
        <w:keepNext/>
        <w:keepLines/>
      </w:pPr>
      <w:r>
        <w:tab/>
      </w:r>
      <w:r>
        <w:rPr>
          <w:b/>
        </w:rPr>
        <w:t>6(a). Estimating Respondent Burden</w:t>
      </w:r>
    </w:p>
    <w:p w14:paraId="1030EBF3" w14:textId="77777777" w:rsidR="002E612D" w:rsidRDefault="002E612D" w:rsidP="00EB6419"/>
    <w:p w14:paraId="3FD87A6E" w14:textId="77777777" w:rsidR="001A7A71" w:rsidRDefault="001A7A71" w:rsidP="005D4A22">
      <w:pPr>
        <w:ind w:left="720"/>
      </w:pPr>
      <w:r w:rsidRPr="001A7A71">
        <w:t xml:space="preserve">To </w:t>
      </w:r>
      <w:r w:rsidR="005D4A22">
        <w:t>develop</w:t>
      </w:r>
      <w:r w:rsidRPr="001A7A71">
        <w:t xml:space="preserve"> the respondent burden for this ICR, the hourly burdens and the total number of respondents for each requirement were reviewed using a number of data and information sources.</w:t>
      </w:r>
      <w:r w:rsidR="005D4A22" w:rsidRPr="005D4A22">
        <w:t xml:space="preserve"> </w:t>
      </w:r>
      <w:r w:rsidR="005D4A22">
        <w:t>The</w:t>
      </w:r>
      <w:r w:rsidR="005D4A22" w:rsidRPr="005D4A22">
        <w:t xml:space="preserve"> data sources include EPA’s Notification of PCB Activity Quarterly Reports, the PCB annual report, and the EPA PCB website, which contain data about entities that dispose PCB wastes. </w:t>
      </w:r>
    </w:p>
    <w:p w14:paraId="6EDDADCB" w14:textId="77777777" w:rsidR="005D4A22" w:rsidRDefault="005D4A22" w:rsidP="005D4A22">
      <w:pPr>
        <w:ind w:left="720"/>
      </w:pPr>
    </w:p>
    <w:p w14:paraId="49612ACC" w14:textId="624187AF" w:rsidR="005D4A22" w:rsidRDefault="005D4A22" w:rsidP="005D4A22">
      <w:pPr>
        <w:ind w:left="720"/>
      </w:pPr>
      <w:r>
        <w:t>H</w:t>
      </w:r>
      <w:r w:rsidRPr="005D4A22">
        <w:t>ourly wage rates were included for professional</w:t>
      </w:r>
      <w:r w:rsidR="00ED779C">
        <w:t>/</w:t>
      </w:r>
      <w:r w:rsidRPr="005D4A22">
        <w:t>technical (e.g., engineers) and clerical staff. Wages for these categories were taken from the Bureau of Labor Statistics (BLS) Employer Costs for Employee Compensation (ECEC) supplementary tables data for private manufacturing industry workers (BLS, 2018)</w:t>
      </w:r>
      <w:r w:rsidR="00113137">
        <w:t>.</w:t>
      </w:r>
      <w:r>
        <w:rPr>
          <w:rStyle w:val="FootnoteReference"/>
        </w:rPr>
        <w:footnoteReference w:id="3"/>
      </w:r>
      <w:r w:rsidR="00113137">
        <w:t xml:space="preserve"> </w:t>
      </w:r>
      <w:r w:rsidRPr="005D4A22">
        <w:t>The cost of fringe benefits such as paid leave and insurance, specific to each labor category, are taken from the same ECEC series. An additional loading factor of 17 percent is applied to wages to account for overhead. This approach is used for consistency with Office of Pollution Prevention and Toxics economic analyses (Rice, 2002).</w:t>
      </w:r>
      <w:r w:rsidR="00E80101">
        <w:rPr>
          <w:rStyle w:val="FootnoteReference"/>
        </w:rPr>
        <w:footnoteReference w:id="4"/>
      </w:r>
      <w:r w:rsidRPr="005D4A22">
        <w:t xml:space="preserve"> This overhead loading factor is added to the benefits loading factor, and the total is then applied to the base wage to derive the fully loaded wage. Fully loaded costs for managerial, profession/technical, and clerical labor are calculated as shown in Table 6-1.</w:t>
      </w:r>
    </w:p>
    <w:p w14:paraId="2FB3BD3C" w14:textId="77777777" w:rsidR="00ED779C" w:rsidRDefault="00ED779C" w:rsidP="005D4A22">
      <w:pPr>
        <w:ind w:left="720"/>
      </w:pPr>
    </w:p>
    <w:tbl>
      <w:tblPr>
        <w:tblW w:w="10278" w:type="dxa"/>
        <w:jc w:val="center"/>
        <w:tblBorders>
          <w:top w:val="nil"/>
          <w:left w:val="nil"/>
          <w:bottom w:val="nil"/>
          <w:right w:val="nil"/>
        </w:tblBorders>
        <w:tblLayout w:type="fixed"/>
        <w:tblLook w:val="0000" w:firstRow="0" w:lastRow="0" w:firstColumn="0" w:lastColumn="0" w:noHBand="0" w:noVBand="0"/>
      </w:tblPr>
      <w:tblGrid>
        <w:gridCol w:w="1278"/>
        <w:gridCol w:w="1350"/>
        <w:gridCol w:w="1128"/>
        <w:gridCol w:w="1252"/>
        <w:gridCol w:w="1252"/>
        <w:gridCol w:w="1252"/>
        <w:gridCol w:w="1252"/>
        <w:gridCol w:w="1514"/>
      </w:tblGrid>
      <w:tr w:rsidR="00A5535E" w:rsidRPr="00A5535E" w14:paraId="08AE62B7" w14:textId="77777777" w:rsidTr="006A1D5F">
        <w:trPr>
          <w:trHeight w:val="98"/>
          <w:jc w:val="center"/>
        </w:trPr>
        <w:tc>
          <w:tcPr>
            <w:tcW w:w="10278" w:type="dxa"/>
            <w:gridSpan w:val="8"/>
            <w:tcBorders>
              <w:bottom w:val="single" w:sz="4" w:space="0" w:color="auto"/>
            </w:tcBorders>
          </w:tcPr>
          <w:p w14:paraId="1D6F7A92" w14:textId="77777777" w:rsidR="00A5535E" w:rsidRDefault="00A5535E" w:rsidP="00A5535E">
            <w:pPr>
              <w:autoSpaceDE w:val="0"/>
              <w:autoSpaceDN w:val="0"/>
              <w:adjustRightInd w:val="0"/>
              <w:spacing w:line="240" w:lineRule="auto"/>
              <w:jc w:val="center"/>
              <w:rPr>
                <w:rFonts w:cs="Times New Roman"/>
                <w:b/>
                <w:bCs/>
                <w:color w:val="000000"/>
                <w:sz w:val="22"/>
              </w:rPr>
            </w:pPr>
            <w:r w:rsidRPr="00A5535E">
              <w:rPr>
                <w:rFonts w:cs="Times New Roman"/>
                <w:b/>
                <w:bCs/>
                <w:color w:val="000000"/>
                <w:sz w:val="22"/>
              </w:rPr>
              <w:t>TABLE 6-1: RESPONDENT WAGE RATES</w:t>
            </w:r>
          </w:p>
          <w:p w14:paraId="58BDE95C" w14:textId="77777777" w:rsidR="00A5535E" w:rsidRPr="00A5535E" w:rsidRDefault="00A5535E" w:rsidP="00A5535E">
            <w:pPr>
              <w:autoSpaceDE w:val="0"/>
              <w:autoSpaceDN w:val="0"/>
              <w:adjustRightInd w:val="0"/>
              <w:spacing w:line="240" w:lineRule="auto"/>
              <w:jc w:val="center"/>
              <w:rPr>
                <w:rFonts w:cs="Times New Roman"/>
                <w:color w:val="000000"/>
                <w:sz w:val="22"/>
              </w:rPr>
            </w:pPr>
          </w:p>
        </w:tc>
      </w:tr>
      <w:tr w:rsidR="00A5535E" w:rsidRPr="00A5535E" w14:paraId="77ED0DC1" w14:textId="77777777" w:rsidTr="006A1D5F">
        <w:trPr>
          <w:trHeight w:val="480"/>
          <w:jc w:val="center"/>
        </w:trPr>
        <w:tc>
          <w:tcPr>
            <w:tcW w:w="12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0DB65D" w14:textId="77777777" w:rsidR="00A5535E" w:rsidRPr="00A5535E" w:rsidRDefault="00A5535E" w:rsidP="00A5535E">
            <w:pPr>
              <w:autoSpaceDE w:val="0"/>
              <w:autoSpaceDN w:val="0"/>
              <w:adjustRightInd w:val="0"/>
              <w:spacing w:line="240" w:lineRule="auto"/>
              <w:jc w:val="center"/>
              <w:rPr>
                <w:rFonts w:cs="Times New Roman"/>
                <w:color w:val="000000"/>
                <w:sz w:val="22"/>
              </w:rPr>
            </w:pPr>
            <w:r w:rsidRPr="00A5535E">
              <w:rPr>
                <w:rFonts w:cs="Times New Roman"/>
                <w:b/>
                <w:bCs/>
                <w:color w:val="000000"/>
                <w:sz w:val="22"/>
              </w:rPr>
              <w:t>Labor Category</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19C3E3" w14:textId="77777777" w:rsidR="00A5535E" w:rsidRPr="00A5535E" w:rsidRDefault="00A5535E" w:rsidP="00A5535E">
            <w:pPr>
              <w:autoSpaceDE w:val="0"/>
              <w:autoSpaceDN w:val="0"/>
              <w:adjustRightInd w:val="0"/>
              <w:spacing w:line="240" w:lineRule="auto"/>
              <w:jc w:val="center"/>
              <w:rPr>
                <w:rFonts w:cs="Times New Roman"/>
                <w:color w:val="000000"/>
                <w:sz w:val="22"/>
              </w:rPr>
            </w:pPr>
            <w:r w:rsidRPr="00A5535E">
              <w:rPr>
                <w:rFonts w:cs="Times New Roman"/>
                <w:b/>
                <w:bCs/>
                <w:color w:val="000000"/>
                <w:sz w:val="22"/>
              </w:rPr>
              <w:t>BLS Series</w:t>
            </w:r>
          </w:p>
        </w:tc>
        <w:tc>
          <w:tcPr>
            <w:tcW w:w="11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97C947C" w14:textId="77777777" w:rsidR="00A5535E" w:rsidRPr="00A5535E" w:rsidRDefault="00A5535E" w:rsidP="00A5535E">
            <w:pPr>
              <w:autoSpaceDE w:val="0"/>
              <w:autoSpaceDN w:val="0"/>
              <w:adjustRightInd w:val="0"/>
              <w:spacing w:line="240" w:lineRule="auto"/>
              <w:jc w:val="center"/>
              <w:rPr>
                <w:rFonts w:cs="Times New Roman"/>
                <w:color w:val="000000"/>
                <w:sz w:val="22"/>
              </w:rPr>
            </w:pPr>
            <w:r w:rsidRPr="00A5535E">
              <w:rPr>
                <w:rFonts w:cs="Times New Roman"/>
                <w:b/>
                <w:bCs/>
                <w:color w:val="000000"/>
                <w:sz w:val="22"/>
              </w:rPr>
              <w:t>Wage</w:t>
            </w:r>
          </w:p>
          <w:p w14:paraId="6B593BA6" w14:textId="77777777" w:rsidR="00A5535E" w:rsidRPr="00A5535E" w:rsidRDefault="00A5535E" w:rsidP="00A5535E">
            <w:pPr>
              <w:autoSpaceDE w:val="0"/>
              <w:autoSpaceDN w:val="0"/>
              <w:adjustRightInd w:val="0"/>
              <w:spacing w:line="240" w:lineRule="auto"/>
              <w:jc w:val="center"/>
              <w:rPr>
                <w:rFonts w:cs="Times New Roman"/>
                <w:color w:val="000000"/>
                <w:sz w:val="22"/>
              </w:rPr>
            </w:pPr>
            <w:r w:rsidRPr="00A5535E">
              <w:rPr>
                <w:rFonts w:cs="Times New Roman"/>
                <w:color w:val="000000"/>
                <w:sz w:val="22"/>
              </w:rPr>
              <w:t>(a)</w:t>
            </w:r>
          </w:p>
        </w:tc>
        <w:tc>
          <w:tcPr>
            <w:tcW w:w="12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9525101" w14:textId="77777777" w:rsidR="00A5535E" w:rsidRPr="00A5535E" w:rsidRDefault="00A5535E" w:rsidP="00A5535E">
            <w:pPr>
              <w:autoSpaceDE w:val="0"/>
              <w:autoSpaceDN w:val="0"/>
              <w:adjustRightInd w:val="0"/>
              <w:spacing w:line="240" w:lineRule="auto"/>
              <w:jc w:val="center"/>
              <w:rPr>
                <w:rFonts w:cs="Times New Roman"/>
                <w:color w:val="000000"/>
                <w:sz w:val="22"/>
              </w:rPr>
            </w:pPr>
            <w:r w:rsidRPr="00A5535E">
              <w:rPr>
                <w:rFonts w:cs="Times New Roman"/>
                <w:b/>
                <w:bCs/>
                <w:color w:val="000000"/>
                <w:sz w:val="22"/>
              </w:rPr>
              <w:t>Fringe Benefit</w:t>
            </w:r>
          </w:p>
          <w:p w14:paraId="45FA7D63" w14:textId="77777777" w:rsidR="00A5535E" w:rsidRPr="00A5535E" w:rsidRDefault="00A5535E" w:rsidP="00A5535E">
            <w:pPr>
              <w:autoSpaceDE w:val="0"/>
              <w:autoSpaceDN w:val="0"/>
              <w:adjustRightInd w:val="0"/>
              <w:spacing w:line="240" w:lineRule="auto"/>
              <w:jc w:val="center"/>
              <w:rPr>
                <w:rFonts w:cs="Times New Roman"/>
                <w:color w:val="000000"/>
                <w:sz w:val="22"/>
              </w:rPr>
            </w:pPr>
            <w:r w:rsidRPr="00A5535E">
              <w:rPr>
                <w:rFonts w:cs="Times New Roman"/>
                <w:color w:val="000000"/>
                <w:sz w:val="22"/>
              </w:rPr>
              <w:t>(b)</w:t>
            </w:r>
          </w:p>
        </w:tc>
        <w:tc>
          <w:tcPr>
            <w:tcW w:w="12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A919A1" w14:textId="77777777" w:rsidR="00A5535E" w:rsidRPr="00A5535E" w:rsidRDefault="00A5535E" w:rsidP="00A5535E">
            <w:pPr>
              <w:autoSpaceDE w:val="0"/>
              <w:autoSpaceDN w:val="0"/>
              <w:adjustRightInd w:val="0"/>
              <w:spacing w:line="240" w:lineRule="auto"/>
              <w:jc w:val="center"/>
              <w:rPr>
                <w:rFonts w:cs="Times New Roman"/>
                <w:color w:val="000000"/>
                <w:sz w:val="22"/>
              </w:rPr>
            </w:pPr>
            <w:r w:rsidRPr="00A5535E">
              <w:rPr>
                <w:rFonts w:cs="Times New Roman"/>
                <w:b/>
                <w:bCs/>
                <w:color w:val="000000"/>
                <w:sz w:val="22"/>
              </w:rPr>
              <w:t>Fringes as % wage</w:t>
            </w:r>
          </w:p>
          <w:p w14:paraId="33490716" w14:textId="77777777" w:rsidR="00A5535E" w:rsidRPr="00A5535E" w:rsidRDefault="00A5535E" w:rsidP="00A5535E">
            <w:pPr>
              <w:autoSpaceDE w:val="0"/>
              <w:autoSpaceDN w:val="0"/>
              <w:adjustRightInd w:val="0"/>
              <w:spacing w:line="240" w:lineRule="auto"/>
              <w:jc w:val="center"/>
              <w:rPr>
                <w:rFonts w:cs="Times New Roman"/>
                <w:color w:val="000000"/>
                <w:sz w:val="22"/>
              </w:rPr>
            </w:pPr>
            <w:r w:rsidRPr="00A5535E">
              <w:rPr>
                <w:rFonts w:cs="Times New Roman"/>
                <w:color w:val="000000"/>
                <w:sz w:val="22"/>
              </w:rPr>
              <w:t>(c)=(b)/(a)</w:t>
            </w:r>
          </w:p>
        </w:tc>
        <w:tc>
          <w:tcPr>
            <w:tcW w:w="12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3A1A96B" w14:textId="77777777" w:rsidR="00A5535E" w:rsidRPr="00A5535E" w:rsidRDefault="00A5535E" w:rsidP="00A5535E">
            <w:pPr>
              <w:autoSpaceDE w:val="0"/>
              <w:autoSpaceDN w:val="0"/>
              <w:adjustRightInd w:val="0"/>
              <w:spacing w:line="240" w:lineRule="auto"/>
              <w:jc w:val="center"/>
              <w:rPr>
                <w:rFonts w:cs="Times New Roman"/>
                <w:color w:val="000000"/>
                <w:sz w:val="22"/>
              </w:rPr>
            </w:pPr>
            <w:r w:rsidRPr="00A5535E">
              <w:rPr>
                <w:rFonts w:cs="Times New Roman"/>
                <w:b/>
                <w:bCs/>
                <w:color w:val="000000"/>
                <w:sz w:val="22"/>
              </w:rPr>
              <w:t>Over-head % wage</w:t>
            </w:r>
          </w:p>
          <w:p w14:paraId="3BED19DB" w14:textId="77777777" w:rsidR="00A5535E" w:rsidRPr="00A5535E" w:rsidRDefault="00A5535E" w:rsidP="00A5535E">
            <w:pPr>
              <w:autoSpaceDE w:val="0"/>
              <w:autoSpaceDN w:val="0"/>
              <w:adjustRightInd w:val="0"/>
              <w:spacing w:line="240" w:lineRule="auto"/>
              <w:jc w:val="center"/>
              <w:rPr>
                <w:rFonts w:cs="Times New Roman"/>
                <w:color w:val="000000"/>
                <w:sz w:val="22"/>
              </w:rPr>
            </w:pPr>
            <w:r w:rsidRPr="00A5535E">
              <w:rPr>
                <w:rFonts w:cs="Times New Roman"/>
                <w:color w:val="000000"/>
                <w:sz w:val="22"/>
              </w:rPr>
              <w:t>(d)</w:t>
            </w:r>
          </w:p>
        </w:tc>
        <w:tc>
          <w:tcPr>
            <w:tcW w:w="12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205B1F1" w14:textId="77777777" w:rsidR="00A5535E" w:rsidRPr="00A5535E" w:rsidRDefault="00A5535E" w:rsidP="00A5535E">
            <w:pPr>
              <w:autoSpaceDE w:val="0"/>
              <w:autoSpaceDN w:val="0"/>
              <w:adjustRightInd w:val="0"/>
              <w:spacing w:line="240" w:lineRule="auto"/>
              <w:jc w:val="center"/>
              <w:rPr>
                <w:rFonts w:cs="Times New Roman"/>
                <w:color w:val="000000"/>
                <w:sz w:val="22"/>
              </w:rPr>
            </w:pPr>
            <w:r w:rsidRPr="00A5535E">
              <w:rPr>
                <w:rFonts w:cs="Times New Roman"/>
                <w:b/>
                <w:bCs/>
                <w:color w:val="000000"/>
                <w:sz w:val="22"/>
              </w:rPr>
              <w:t>Fringe + overhead factor*</w:t>
            </w:r>
          </w:p>
          <w:p w14:paraId="7F8813AF" w14:textId="77777777" w:rsidR="00A5535E" w:rsidRPr="00A5535E" w:rsidRDefault="00A5535E" w:rsidP="00A5535E">
            <w:pPr>
              <w:autoSpaceDE w:val="0"/>
              <w:autoSpaceDN w:val="0"/>
              <w:adjustRightInd w:val="0"/>
              <w:spacing w:line="240" w:lineRule="auto"/>
              <w:jc w:val="center"/>
              <w:rPr>
                <w:rFonts w:cs="Times New Roman"/>
                <w:color w:val="000000"/>
                <w:sz w:val="22"/>
              </w:rPr>
            </w:pPr>
            <w:r w:rsidRPr="00A5535E">
              <w:rPr>
                <w:rFonts w:cs="Times New Roman"/>
                <w:color w:val="000000"/>
                <w:sz w:val="22"/>
              </w:rPr>
              <w:t>(e)=(c)+(d)+1</w:t>
            </w:r>
          </w:p>
        </w:tc>
        <w:tc>
          <w:tcPr>
            <w:tcW w:w="15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681610" w14:textId="77777777" w:rsidR="00A5535E" w:rsidRPr="00A5535E" w:rsidRDefault="00A5535E" w:rsidP="00A5535E">
            <w:pPr>
              <w:autoSpaceDE w:val="0"/>
              <w:autoSpaceDN w:val="0"/>
              <w:adjustRightInd w:val="0"/>
              <w:spacing w:line="240" w:lineRule="auto"/>
              <w:jc w:val="center"/>
              <w:rPr>
                <w:rFonts w:cs="Times New Roman"/>
                <w:color w:val="000000"/>
                <w:sz w:val="22"/>
              </w:rPr>
            </w:pPr>
            <w:r w:rsidRPr="00A5535E">
              <w:rPr>
                <w:rFonts w:cs="Times New Roman"/>
                <w:b/>
                <w:bCs/>
                <w:color w:val="000000"/>
                <w:sz w:val="22"/>
              </w:rPr>
              <w:t>Loaded Wages</w:t>
            </w:r>
          </w:p>
          <w:p w14:paraId="0E233676" w14:textId="77777777" w:rsidR="00A5535E" w:rsidRPr="00A5535E" w:rsidRDefault="00A5535E" w:rsidP="00A5535E">
            <w:pPr>
              <w:autoSpaceDE w:val="0"/>
              <w:autoSpaceDN w:val="0"/>
              <w:adjustRightInd w:val="0"/>
              <w:spacing w:line="240" w:lineRule="auto"/>
              <w:jc w:val="center"/>
              <w:rPr>
                <w:rFonts w:cs="Times New Roman"/>
                <w:color w:val="000000"/>
                <w:sz w:val="22"/>
              </w:rPr>
            </w:pPr>
            <w:r w:rsidRPr="00A5535E">
              <w:rPr>
                <w:rFonts w:cs="Times New Roman"/>
                <w:color w:val="000000"/>
                <w:sz w:val="22"/>
              </w:rPr>
              <w:t>(f)=(a)* (e)</w:t>
            </w:r>
          </w:p>
        </w:tc>
      </w:tr>
      <w:tr w:rsidR="00A5535E" w:rsidRPr="00A5535E" w14:paraId="2EF1C791" w14:textId="77777777" w:rsidTr="006A1D5F">
        <w:trPr>
          <w:trHeight w:val="226"/>
          <w:jc w:val="center"/>
        </w:trPr>
        <w:tc>
          <w:tcPr>
            <w:tcW w:w="1278" w:type="dxa"/>
            <w:tcBorders>
              <w:top w:val="single" w:sz="4" w:space="0" w:color="auto"/>
              <w:left w:val="single" w:sz="4" w:space="0" w:color="auto"/>
              <w:bottom w:val="single" w:sz="4" w:space="0" w:color="auto"/>
              <w:right w:val="single" w:sz="4" w:space="0" w:color="auto"/>
            </w:tcBorders>
          </w:tcPr>
          <w:p w14:paraId="5C358A7D" w14:textId="77777777" w:rsidR="00A5535E" w:rsidRPr="00A5535E" w:rsidRDefault="00A5535E" w:rsidP="00A5535E">
            <w:pPr>
              <w:autoSpaceDE w:val="0"/>
              <w:autoSpaceDN w:val="0"/>
              <w:adjustRightInd w:val="0"/>
              <w:spacing w:line="240" w:lineRule="auto"/>
              <w:rPr>
                <w:rFonts w:cs="Times New Roman"/>
                <w:color w:val="000000"/>
                <w:sz w:val="20"/>
              </w:rPr>
            </w:pPr>
            <w:r w:rsidRPr="00A5535E">
              <w:rPr>
                <w:rFonts w:cs="Times New Roman"/>
                <w:color w:val="000000"/>
                <w:sz w:val="20"/>
              </w:rPr>
              <w:t xml:space="preserve">Professional/ </w:t>
            </w:r>
          </w:p>
          <w:p w14:paraId="0D0ED47A" w14:textId="77777777" w:rsidR="00A5535E" w:rsidRPr="00A5535E" w:rsidRDefault="00A5535E" w:rsidP="00A5535E">
            <w:pPr>
              <w:autoSpaceDE w:val="0"/>
              <w:autoSpaceDN w:val="0"/>
              <w:adjustRightInd w:val="0"/>
              <w:spacing w:line="240" w:lineRule="auto"/>
              <w:rPr>
                <w:rFonts w:cs="Times New Roman"/>
                <w:color w:val="000000"/>
                <w:sz w:val="20"/>
              </w:rPr>
            </w:pPr>
            <w:r w:rsidRPr="00A5535E">
              <w:rPr>
                <w:rFonts w:cs="Times New Roman"/>
                <w:color w:val="000000"/>
                <w:sz w:val="20"/>
              </w:rPr>
              <w:t xml:space="preserve">Technical </w:t>
            </w:r>
          </w:p>
        </w:tc>
        <w:tc>
          <w:tcPr>
            <w:tcW w:w="1350" w:type="dxa"/>
            <w:tcBorders>
              <w:top w:val="single" w:sz="4" w:space="0" w:color="auto"/>
              <w:left w:val="single" w:sz="4" w:space="0" w:color="auto"/>
              <w:bottom w:val="single" w:sz="4" w:space="0" w:color="auto"/>
              <w:right w:val="single" w:sz="4" w:space="0" w:color="auto"/>
            </w:tcBorders>
          </w:tcPr>
          <w:p w14:paraId="0CF9F17D" w14:textId="77777777" w:rsidR="00A5535E" w:rsidRPr="00A5535E" w:rsidRDefault="00A5535E" w:rsidP="00A5535E">
            <w:pPr>
              <w:autoSpaceDE w:val="0"/>
              <w:autoSpaceDN w:val="0"/>
              <w:adjustRightInd w:val="0"/>
              <w:spacing w:line="240" w:lineRule="auto"/>
              <w:rPr>
                <w:rFonts w:cs="Times New Roman"/>
                <w:color w:val="000000"/>
                <w:sz w:val="20"/>
              </w:rPr>
            </w:pPr>
            <w:r w:rsidRPr="00A5535E">
              <w:rPr>
                <w:rFonts w:cs="Times New Roman"/>
                <w:color w:val="000000"/>
                <w:sz w:val="20"/>
              </w:rPr>
              <w:t xml:space="preserve">Professional and related </w:t>
            </w:r>
          </w:p>
        </w:tc>
        <w:tc>
          <w:tcPr>
            <w:tcW w:w="1128" w:type="dxa"/>
            <w:tcBorders>
              <w:top w:val="single" w:sz="4" w:space="0" w:color="auto"/>
              <w:left w:val="single" w:sz="4" w:space="0" w:color="auto"/>
              <w:bottom w:val="single" w:sz="4" w:space="0" w:color="auto"/>
              <w:right w:val="single" w:sz="4" w:space="0" w:color="auto"/>
            </w:tcBorders>
          </w:tcPr>
          <w:p w14:paraId="6BB1FF7B" w14:textId="77777777" w:rsidR="00A5535E" w:rsidRPr="00A5535E" w:rsidRDefault="00A5535E" w:rsidP="00A5535E">
            <w:pPr>
              <w:autoSpaceDE w:val="0"/>
              <w:autoSpaceDN w:val="0"/>
              <w:adjustRightInd w:val="0"/>
              <w:spacing w:line="240" w:lineRule="auto"/>
              <w:rPr>
                <w:rFonts w:cs="Times New Roman"/>
                <w:color w:val="000000"/>
                <w:sz w:val="20"/>
              </w:rPr>
            </w:pPr>
            <w:r w:rsidRPr="00A5535E">
              <w:rPr>
                <w:rFonts w:cs="Times New Roman"/>
                <w:color w:val="000000"/>
                <w:sz w:val="20"/>
              </w:rPr>
              <w:t xml:space="preserve">$46.08 </w:t>
            </w:r>
          </w:p>
        </w:tc>
        <w:tc>
          <w:tcPr>
            <w:tcW w:w="1252" w:type="dxa"/>
            <w:tcBorders>
              <w:top w:val="single" w:sz="4" w:space="0" w:color="auto"/>
              <w:left w:val="single" w:sz="4" w:space="0" w:color="auto"/>
              <w:bottom w:val="single" w:sz="4" w:space="0" w:color="auto"/>
              <w:right w:val="single" w:sz="4" w:space="0" w:color="auto"/>
            </w:tcBorders>
          </w:tcPr>
          <w:p w14:paraId="26A2FEEE" w14:textId="77777777" w:rsidR="00A5535E" w:rsidRPr="00A5535E" w:rsidRDefault="00A5535E" w:rsidP="00A5535E">
            <w:pPr>
              <w:autoSpaceDE w:val="0"/>
              <w:autoSpaceDN w:val="0"/>
              <w:adjustRightInd w:val="0"/>
              <w:spacing w:line="240" w:lineRule="auto"/>
              <w:rPr>
                <w:rFonts w:cs="Times New Roman"/>
                <w:color w:val="000000"/>
                <w:sz w:val="20"/>
              </w:rPr>
            </w:pPr>
            <w:r w:rsidRPr="00A5535E">
              <w:rPr>
                <w:rFonts w:cs="Times New Roman"/>
                <w:color w:val="000000"/>
                <w:sz w:val="20"/>
              </w:rPr>
              <w:t xml:space="preserve">$24.63 </w:t>
            </w:r>
          </w:p>
        </w:tc>
        <w:tc>
          <w:tcPr>
            <w:tcW w:w="1252" w:type="dxa"/>
            <w:tcBorders>
              <w:top w:val="single" w:sz="4" w:space="0" w:color="auto"/>
              <w:left w:val="single" w:sz="4" w:space="0" w:color="auto"/>
              <w:bottom w:val="single" w:sz="4" w:space="0" w:color="auto"/>
              <w:right w:val="single" w:sz="4" w:space="0" w:color="auto"/>
            </w:tcBorders>
          </w:tcPr>
          <w:p w14:paraId="561AC401" w14:textId="77777777" w:rsidR="00A5535E" w:rsidRPr="00A5535E" w:rsidRDefault="00A5535E" w:rsidP="00A5535E">
            <w:pPr>
              <w:autoSpaceDE w:val="0"/>
              <w:autoSpaceDN w:val="0"/>
              <w:adjustRightInd w:val="0"/>
              <w:spacing w:line="240" w:lineRule="auto"/>
              <w:rPr>
                <w:rFonts w:cs="Times New Roman"/>
                <w:color w:val="000000"/>
                <w:sz w:val="20"/>
              </w:rPr>
            </w:pPr>
            <w:r w:rsidRPr="00A5535E">
              <w:rPr>
                <w:rFonts w:cs="Times New Roman"/>
                <w:color w:val="000000"/>
                <w:sz w:val="20"/>
              </w:rPr>
              <w:t xml:space="preserve">53% </w:t>
            </w:r>
          </w:p>
        </w:tc>
        <w:tc>
          <w:tcPr>
            <w:tcW w:w="1252" w:type="dxa"/>
            <w:tcBorders>
              <w:top w:val="single" w:sz="4" w:space="0" w:color="auto"/>
              <w:left w:val="single" w:sz="4" w:space="0" w:color="auto"/>
              <w:bottom w:val="single" w:sz="4" w:space="0" w:color="auto"/>
              <w:right w:val="single" w:sz="4" w:space="0" w:color="auto"/>
            </w:tcBorders>
          </w:tcPr>
          <w:p w14:paraId="5BDE4882" w14:textId="77777777" w:rsidR="00A5535E" w:rsidRPr="00A5535E" w:rsidRDefault="00A5535E" w:rsidP="00A5535E">
            <w:pPr>
              <w:autoSpaceDE w:val="0"/>
              <w:autoSpaceDN w:val="0"/>
              <w:adjustRightInd w:val="0"/>
              <w:spacing w:line="240" w:lineRule="auto"/>
              <w:rPr>
                <w:rFonts w:cs="Times New Roman"/>
                <w:color w:val="000000"/>
                <w:sz w:val="20"/>
              </w:rPr>
            </w:pPr>
            <w:r w:rsidRPr="00A5535E">
              <w:rPr>
                <w:rFonts w:cs="Times New Roman"/>
                <w:color w:val="000000"/>
                <w:sz w:val="20"/>
              </w:rPr>
              <w:t xml:space="preserve">17% </w:t>
            </w:r>
          </w:p>
        </w:tc>
        <w:tc>
          <w:tcPr>
            <w:tcW w:w="1252" w:type="dxa"/>
            <w:tcBorders>
              <w:top w:val="single" w:sz="4" w:space="0" w:color="auto"/>
              <w:left w:val="single" w:sz="4" w:space="0" w:color="auto"/>
              <w:bottom w:val="single" w:sz="4" w:space="0" w:color="auto"/>
              <w:right w:val="single" w:sz="4" w:space="0" w:color="auto"/>
            </w:tcBorders>
          </w:tcPr>
          <w:p w14:paraId="79907D83" w14:textId="77777777" w:rsidR="00A5535E" w:rsidRPr="00A5535E" w:rsidRDefault="00A5535E" w:rsidP="00A5535E">
            <w:pPr>
              <w:autoSpaceDE w:val="0"/>
              <w:autoSpaceDN w:val="0"/>
              <w:adjustRightInd w:val="0"/>
              <w:spacing w:line="240" w:lineRule="auto"/>
              <w:rPr>
                <w:rFonts w:cs="Times New Roman"/>
                <w:color w:val="000000"/>
                <w:sz w:val="20"/>
              </w:rPr>
            </w:pPr>
            <w:r w:rsidRPr="00A5535E">
              <w:rPr>
                <w:rFonts w:cs="Times New Roman"/>
                <w:color w:val="000000"/>
                <w:sz w:val="20"/>
              </w:rPr>
              <w:t xml:space="preserve">1.70 </w:t>
            </w:r>
          </w:p>
        </w:tc>
        <w:tc>
          <w:tcPr>
            <w:tcW w:w="1514" w:type="dxa"/>
            <w:tcBorders>
              <w:top w:val="single" w:sz="4" w:space="0" w:color="auto"/>
              <w:left w:val="single" w:sz="4" w:space="0" w:color="auto"/>
              <w:bottom w:val="single" w:sz="4" w:space="0" w:color="auto"/>
              <w:right w:val="single" w:sz="4" w:space="0" w:color="auto"/>
            </w:tcBorders>
          </w:tcPr>
          <w:p w14:paraId="372C0613" w14:textId="77777777" w:rsidR="00A5535E" w:rsidRPr="00A5535E" w:rsidRDefault="00A5535E" w:rsidP="00A5535E">
            <w:pPr>
              <w:autoSpaceDE w:val="0"/>
              <w:autoSpaceDN w:val="0"/>
              <w:adjustRightInd w:val="0"/>
              <w:spacing w:line="240" w:lineRule="auto"/>
              <w:rPr>
                <w:rFonts w:cs="Times New Roman"/>
                <w:color w:val="000000"/>
                <w:sz w:val="20"/>
              </w:rPr>
            </w:pPr>
            <w:r w:rsidRPr="00A5535E">
              <w:rPr>
                <w:rFonts w:cs="Times New Roman"/>
                <w:color w:val="000000"/>
                <w:sz w:val="20"/>
              </w:rPr>
              <w:t xml:space="preserve">$78.33 </w:t>
            </w:r>
          </w:p>
        </w:tc>
      </w:tr>
      <w:tr w:rsidR="00A5535E" w:rsidRPr="00A5535E" w14:paraId="1A1DEB9B" w14:textId="77777777" w:rsidTr="006A1D5F">
        <w:trPr>
          <w:trHeight w:val="353"/>
          <w:jc w:val="center"/>
        </w:trPr>
        <w:tc>
          <w:tcPr>
            <w:tcW w:w="1278" w:type="dxa"/>
            <w:tcBorders>
              <w:top w:val="single" w:sz="4" w:space="0" w:color="auto"/>
              <w:left w:val="single" w:sz="4" w:space="0" w:color="auto"/>
              <w:bottom w:val="single" w:sz="4" w:space="0" w:color="auto"/>
              <w:right w:val="single" w:sz="4" w:space="0" w:color="auto"/>
            </w:tcBorders>
          </w:tcPr>
          <w:p w14:paraId="0C81D627" w14:textId="77777777" w:rsidR="00A5535E" w:rsidRPr="00A5535E" w:rsidRDefault="00A5535E" w:rsidP="00A5535E">
            <w:pPr>
              <w:autoSpaceDE w:val="0"/>
              <w:autoSpaceDN w:val="0"/>
              <w:adjustRightInd w:val="0"/>
              <w:spacing w:line="240" w:lineRule="auto"/>
              <w:rPr>
                <w:rFonts w:cs="Times New Roman"/>
                <w:color w:val="000000"/>
                <w:sz w:val="20"/>
              </w:rPr>
            </w:pPr>
            <w:r w:rsidRPr="00A5535E">
              <w:rPr>
                <w:rFonts w:cs="Times New Roman"/>
                <w:color w:val="000000"/>
                <w:sz w:val="20"/>
              </w:rPr>
              <w:t xml:space="preserve">Clerical </w:t>
            </w:r>
          </w:p>
        </w:tc>
        <w:tc>
          <w:tcPr>
            <w:tcW w:w="1350" w:type="dxa"/>
            <w:tcBorders>
              <w:top w:val="single" w:sz="4" w:space="0" w:color="auto"/>
              <w:left w:val="single" w:sz="4" w:space="0" w:color="auto"/>
              <w:bottom w:val="single" w:sz="4" w:space="0" w:color="auto"/>
              <w:right w:val="single" w:sz="4" w:space="0" w:color="auto"/>
            </w:tcBorders>
          </w:tcPr>
          <w:p w14:paraId="6C014CCA" w14:textId="77777777" w:rsidR="00A5535E" w:rsidRPr="00A5535E" w:rsidRDefault="00A5535E" w:rsidP="00A5535E">
            <w:pPr>
              <w:autoSpaceDE w:val="0"/>
              <w:autoSpaceDN w:val="0"/>
              <w:adjustRightInd w:val="0"/>
              <w:spacing w:line="240" w:lineRule="auto"/>
              <w:rPr>
                <w:rFonts w:cs="Times New Roman"/>
                <w:color w:val="000000"/>
                <w:sz w:val="20"/>
              </w:rPr>
            </w:pPr>
            <w:r w:rsidRPr="00A5535E">
              <w:rPr>
                <w:rFonts w:cs="Times New Roman"/>
                <w:color w:val="000000"/>
                <w:sz w:val="20"/>
              </w:rPr>
              <w:t xml:space="preserve">Office and administrative support </w:t>
            </w:r>
          </w:p>
        </w:tc>
        <w:tc>
          <w:tcPr>
            <w:tcW w:w="1128" w:type="dxa"/>
            <w:tcBorders>
              <w:top w:val="single" w:sz="4" w:space="0" w:color="auto"/>
              <w:left w:val="single" w:sz="4" w:space="0" w:color="auto"/>
              <w:bottom w:val="single" w:sz="4" w:space="0" w:color="auto"/>
              <w:right w:val="single" w:sz="4" w:space="0" w:color="auto"/>
            </w:tcBorders>
          </w:tcPr>
          <w:p w14:paraId="08EBCB2F" w14:textId="77777777" w:rsidR="00A5535E" w:rsidRPr="00A5535E" w:rsidRDefault="00A5535E" w:rsidP="00A5535E">
            <w:pPr>
              <w:autoSpaceDE w:val="0"/>
              <w:autoSpaceDN w:val="0"/>
              <w:adjustRightInd w:val="0"/>
              <w:spacing w:line="240" w:lineRule="auto"/>
              <w:rPr>
                <w:rFonts w:cs="Times New Roman"/>
                <w:color w:val="000000"/>
                <w:sz w:val="20"/>
              </w:rPr>
            </w:pPr>
            <w:r w:rsidRPr="00A5535E">
              <w:rPr>
                <w:rFonts w:cs="Times New Roman"/>
                <w:color w:val="000000"/>
                <w:sz w:val="20"/>
              </w:rPr>
              <w:t xml:space="preserve">$22.48 </w:t>
            </w:r>
          </w:p>
        </w:tc>
        <w:tc>
          <w:tcPr>
            <w:tcW w:w="1252" w:type="dxa"/>
            <w:tcBorders>
              <w:top w:val="single" w:sz="4" w:space="0" w:color="auto"/>
              <w:left w:val="single" w:sz="4" w:space="0" w:color="auto"/>
              <w:bottom w:val="single" w:sz="4" w:space="0" w:color="auto"/>
              <w:right w:val="single" w:sz="4" w:space="0" w:color="auto"/>
            </w:tcBorders>
          </w:tcPr>
          <w:p w14:paraId="58DE8FD5" w14:textId="77777777" w:rsidR="00A5535E" w:rsidRPr="00A5535E" w:rsidRDefault="00A5535E" w:rsidP="00A5535E">
            <w:pPr>
              <w:autoSpaceDE w:val="0"/>
              <w:autoSpaceDN w:val="0"/>
              <w:adjustRightInd w:val="0"/>
              <w:spacing w:line="240" w:lineRule="auto"/>
              <w:rPr>
                <w:rFonts w:cs="Times New Roman"/>
                <w:color w:val="000000"/>
                <w:sz w:val="20"/>
              </w:rPr>
            </w:pPr>
            <w:r w:rsidRPr="00A5535E">
              <w:rPr>
                <w:rFonts w:cs="Times New Roman"/>
                <w:color w:val="000000"/>
                <w:sz w:val="20"/>
              </w:rPr>
              <w:t xml:space="preserve">$11.50 </w:t>
            </w:r>
          </w:p>
        </w:tc>
        <w:tc>
          <w:tcPr>
            <w:tcW w:w="1252" w:type="dxa"/>
            <w:tcBorders>
              <w:top w:val="single" w:sz="4" w:space="0" w:color="auto"/>
              <w:left w:val="single" w:sz="4" w:space="0" w:color="auto"/>
              <w:bottom w:val="single" w:sz="4" w:space="0" w:color="auto"/>
              <w:right w:val="single" w:sz="4" w:space="0" w:color="auto"/>
            </w:tcBorders>
          </w:tcPr>
          <w:p w14:paraId="6D40BC56" w14:textId="77777777" w:rsidR="00A5535E" w:rsidRPr="00A5535E" w:rsidRDefault="00A5535E" w:rsidP="00A5535E">
            <w:pPr>
              <w:autoSpaceDE w:val="0"/>
              <w:autoSpaceDN w:val="0"/>
              <w:adjustRightInd w:val="0"/>
              <w:spacing w:line="240" w:lineRule="auto"/>
              <w:rPr>
                <w:rFonts w:cs="Times New Roman"/>
                <w:color w:val="000000"/>
                <w:sz w:val="20"/>
              </w:rPr>
            </w:pPr>
            <w:r w:rsidRPr="00A5535E">
              <w:rPr>
                <w:rFonts w:cs="Times New Roman"/>
                <w:color w:val="000000"/>
                <w:sz w:val="20"/>
              </w:rPr>
              <w:t xml:space="preserve">51% </w:t>
            </w:r>
          </w:p>
        </w:tc>
        <w:tc>
          <w:tcPr>
            <w:tcW w:w="1252" w:type="dxa"/>
            <w:tcBorders>
              <w:top w:val="single" w:sz="4" w:space="0" w:color="auto"/>
              <w:left w:val="single" w:sz="4" w:space="0" w:color="auto"/>
              <w:bottom w:val="single" w:sz="4" w:space="0" w:color="auto"/>
              <w:right w:val="single" w:sz="4" w:space="0" w:color="auto"/>
            </w:tcBorders>
          </w:tcPr>
          <w:p w14:paraId="678626E7" w14:textId="77777777" w:rsidR="00A5535E" w:rsidRPr="00A5535E" w:rsidRDefault="00A5535E" w:rsidP="00A5535E">
            <w:pPr>
              <w:autoSpaceDE w:val="0"/>
              <w:autoSpaceDN w:val="0"/>
              <w:adjustRightInd w:val="0"/>
              <w:spacing w:line="240" w:lineRule="auto"/>
              <w:rPr>
                <w:rFonts w:cs="Times New Roman"/>
                <w:color w:val="000000"/>
                <w:sz w:val="20"/>
              </w:rPr>
            </w:pPr>
            <w:r w:rsidRPr="00A5535E">
              <w:rPr>
                <w:rFonts w:cs="Times New Roman"/>
                <w:color w:val="000000"/>
                <w:sz w:val="20"/>
              </w:rPr>
              <w:t xml:space="preserve">17% </w:t>
            </w:r>
          </w:p>
        </w:tc>
        <w:tc>
          <w:tcPr>
            <w:tcW w:w="1252" w:type="dxa"/>
            <w:tcBorders>
              <w:top w:val="single" w:sz="4" w:space="0" w:color="auto"/>
              <w:left w:val="single" w:sz="4" w:space="0" w:color="auto"/>
              <w:bottom w:val="single" w:sz="4" w:space="0" w:color="auto"/>
              <w:right w:val="single" w:sz="4" w:space="0" w:color="auto"/>
            </w:tcBorders>
          </w:tcPr>
          <w:p w14:paraId="208F48E8" w14:textId="77777777" w:rsidR="00A5535E" w:rsidRPr="00A5535E" w:rsidRDefault="00A5535E" w:rsidP="00A5535E">
            <w:pPr>
              <w:autoSpaceDE w:val="0"/>
              <w:autoSpaceDN w:val="0"/>
              <w:adjustRightInd w:val="0"/>
              <w:spacing w:line="240" w:lineRule="auto"/>
              <w:rPr>
                <w:rFonts w:cs="Times New Roman"/>
                <w:color w:val="000000"/>
                <w:sz w:val="20"/>
              </w:rPr>
            </w:pPr>
            <w:r w:rsidRPr="00A5535E">
              <w:rPr>
                <w:rFonts w:cs="Times New Roman"/>
                <w:color w:val="000000"/>
                <w:sz w:val="20"/>
              </w:rPr>
              <w:t xml:space="preserve">1.68 </w:t>
            </w:r>
          </w:p>
        </w:tc>
        <w:tc>
          <w:tcPr>
            <w:tcW w:w="1514" w:type="dxa"/>
            <w:tcBorders>
              <w:top w:val="single" w:sz="4" w:space="0" w:color="auto"/>
              <w:left w:val="single" w:sz="4" w:space="0" w:color="auto"/>
              <w:bottom w:val="single" w:sz="4" w:space="0" w:color="auto"/>
              <w:right w:val="single" w:sz="4" w:space="0" w:color="auto"/>
            </w:tcBorders>
          </w:tcPr>
          <w:p w14:paraId="33ECAFB8" w14:textId="77777777" w:rsidR="00A5535E" w:rsidRPr="00A5535E" w:rsidRDefault="00A5535E" w:rsidP="00A5535E">
            <w:pPr>
              <w:autoSpaceDE w:val="0"/>
              <w:autoSpaceDN w:val="0"/>
              <w:adjustRightInd w:val="0"/>
              <w:spacing w:line="240" w:lineRule="auto"/>
              <w:rPr>
                <w:rFonts w:cs="Times New Roman"/>
                <w:color w:val="000000"/>
                <w:sz w:val="20"/>
              </w:rPr>
            </w:pPr>
            <w:r w:rsidRPr="00A5535E">
              <w:rPr>
                <w:rFonts w:cs="Times New Roman"/>
                <w:color w:val="000000"/>
                <w:sz w:val="20"/>
              </w:rPr>
              <w:t xml:space="preserve">$37.76 </w:t>
            </w:r>
          </w:p>
        </w:tc>
      </w:tr>
    </w:tbl>
    <w:p w14:paraId="08E450E9" w14:textId="77777777" w:rsidR="00A5535E" w:rsidRDefault="00A5535E" w:rsidP="005D4A22">
      <w:pPr>
        <w:ind w:left="720"/>
      </w:pPr>
      <w:r>
        <w:rPr>
          <w:sz w:val="20"/>
          <w:szCs w:val="20"/>
        </w:rPr>
        <w:t>Methodology Source: Rice, 2002; Data Source: BLS, 2018.</w:t>
      </w:r>
    </w:p>
    <w:p w14:paraId="3A00A594" w14:textId="77777777" w:rsidR="001A7A71" w:rsidRDefault="001A7A71" w:rsidP="00EB6419"/>
    <w:p w14:paraId="63995967" w14:textId="1CC0415A" w:rsidR="005B6AB6" w:rsidRDefault="00AD2394" w:rsidP="006B16B7">
      <w:pPr>
        <w:ind w:left="720"/>
        <w:rPr>
          <w:rFonts w:eastAsia="Times New Roman" w:cs="Times New Roman"/>
          <w:szCs w:val="24"/>
        </w:rPr>
      </w:pPr>
      <w:r>
        <w:t xml:space="preserve">The respondent burden includes time to read the guidance and </w:t>
      </w:r>
      <w:r w:rsidR="005B6AB6">
        <w:t xml:space="preserve">use </w:t>
      </w:r>
      <w:r>
        <w:t>the tables in the guidance.</w:t>
      </w:r>
      <w:r w:rsidR="00D83DBA">
        <w:t xml:space="preserve"> </w:t>
      </w:r>
      <w:r w:rsidR="006B16B7">
        <w:t>According to EPA records</w:t>
      </w:r>
      <w:r w:rsidR="00D83DBA">
        <w:t xml:space="preserve"> </w:t>
      </w:r>
      <w:r w:rsidR="006B16B7">
        <w:t xml:space="preserve">there </w:t>
      </w:r>
      <w:r w:rsidR="00D83DBA">
        <w:t xml:space="preserve">were approximately </w:t>
      </w:r>
      <w:r w:rsidR="006B16B7">
        <w:t xml:space="preserve">eight facilities in FY2018 that received an approval </w:t>
      </w:r>
      <w:r w:rsidR="005B6AB6">
        <w:t xml:space="preserve">to dispose of PCBs using an </w:t>
      </w:r>
      <w:r w:rsidR="006B16B7">
        <w:t>alternative technology or an incinerator (</w:t>
      </w:r>
      <w:r w:rsidR="006B16B7" w:rsidRPr="008E792A">
        <w:rPr>
          <w:rFonts w:eastAsia="Times New Roman" w:cs="Times New Roman"/>
          <w:szCs w:val="24"/>
        </w:rPr>
        <w:t>§</w:t>
      </w:r>
      <w:r w:rsidR="008F00D9">
        <w:rPr>
          <w:rFonts w:eastAsia="Times New Roman" w:cs="Times New Roman"/>
          <w:szCs w:val="24"/>
        </w:rPr>
        <w:t>§7</w:t>
      </w:r>
      <w:r w:rsidR="006B16B7">
        <w:rPr>
          <w:rFonts w:eastAsia="Times New Roman" w:cs="Times New Roman"/>
          <w:szCs w:val="24"/>
        </w:rPr>
        <w:t xml:space="preserve">61.60(e) or 761.70). This includes facilities that applied for either </w:t>
      </w:r>
      <w:r w:rsidR="005B6AB6">
        <w:rPr>
          <w:rFonts w:eastAsia="Times New Roman" w:cs="Times New Roman"/>
          <w:szCs w:val="24"/>
        </w:rPr>
        <w:t xml:space="preserve">a </w:t>
      </w:r>
      <w:r w:rsidR="006B16B7">
        <w:rPr>
          <w:rFonts w:eastAsia="Times New Roman" w:cs="Times New Roman"/>
          <w:szCs w:val="24"/>
        </w:rPr>
        <w:t xml:space="preserve">new approval or a renewal of their current approval. Since this is new guidance we will assume all applicants will read the </w:t>
      </w:r>
      <w:r w:rsidR="00ED779C">
        <w:rPr>
          <w:rFonts w:eastAsia="Times New Roman" w:cs="Times New Roman"/>
          <w:szCs w:val="24"/>
        </w:rPr>
        <w:t xml:space="preserve">entire </w:t>
      </w:r>
      <w:r w:rsidR="006B16B7">
        <w:rPr>
          <w:rFonts w:eastAsia="Times New Roman" w:cs="Times New Roman"/>
          <w:szCs w:val="24"/>
        </w:rPr>
        <w:t xml:space="preserve">guidance </w:t>
      </w:r>
      <w:r w:rsidR="00A9215C">
        <w:rPr>
          <w:rFonts w:eastAsia="Times New Roman" w:cs="Times New Roman"/>
          <w:szCs w:val="24"/>
        </w:rPr>
        <w:t>but, in the future,</w:t>
      </w:r>
      <w:r w:rsidR="006B16B7">
        <w:rPr>
          <w:rFonts w:eastAsia="Times New Roman" w:cs="Times New Roman"/>
          <w:szCs w:val="24"/>
        </w:rPr>
        <w:t xml:space="preserve"> it is possible that those renewing their approval will not read the </w:t>
      </w:r>
      <w:r w:rsidR="00ED779C">
        <w:rPr>
          <w:rFonts w:eastAsia="Times New Roman" w:cs="Times New Roman"/>
          <w:szCs w:val="24"/>
        </w:rPr>
        <w:t xml:space="preserve">entire </w:t>
      </w:r>
      <w:r w:rsidR="006B16B7">
        <w:rPr>
          <w:rFonts w:eastAsia="Times New Roman" w:cs="Times New Roman"/>
          <w:szCs w:val="24"/>
        </w:rPr>
        <w:t xml:space="preserve">guidance document. </w:t>
      </w:r>
      <w:r w:rsidR="005B6AB6">
        <w:rPr>
          <w:rFonts w:eastAsia="Times New Roman" w:cs="Times New Roman"/>
          <w:szCs w:val="24"/>
        </w:rPr>
        <w:t xml:space="preserve">We are </w:t>
      </w:r>
      <w:r w:rsidR="000F3FED">
        <w:rPr>
          <w:rFonts w:eastAsia="Times New Roman" w:cs="Times New Roman"/>
          <w:szCs w:val="24"/>
        </w:rPr>
        <w:t>assum</w:t>
      </w:r>
      <w:r w:rsidR="005B6AB6">
        <w:rPr>
          <w:rFonts w:eastAsia="Times New Roman" w:cs="Times New Roman"/>
          <w:szCs w:val="24"/>
        </w:rPr>
        <w:t>ing</w:t>
      </w:r>
      <w:r w:rsidR="000F3FED">
        <w:rPr>
          <w:rFonts w:eastAsia="Times New Roman" w:cs="Times New Roman"/>
          <w:szCs w:val="24"/>
        </w:rPr>
        <w:t xml:space="preserve"> the universe is eight facilities</w:t>
      </w:r>
      <w:r w:rsidR="005B6AB6">
        <w:rPr>
          <w:rFonts w:eastAsia="Times New Roman" w:cs="Times New Roman"/>
          <w:szCs w:val="24"/>
        </w:rPr>
        <w:t xml:space="preserve"> per year</w:t>
      </w:r>
      <w:r w:rsidR="000F3FED">
        <w:rPr>
          <w:rFonts w:eastAsia="Times New Roman" w:cs="Times New Roman"/>
          <w:szCs w:val="24"/>
        </w:rPr>
        <w:t xml:space="preserve">. </w:t>
      </w:r>
    </w:p>
    <w:p w14:paraId="446163BE" w14:textId="77777777" w:rsidR="005B6AB6" w:rsidRDefault="005B6AB6" w:rsidP="006B16B7">
      <w:pPr>
        <w:ind w:left="720"/>
        <w:rPr>
          <w:rFonts w:eastAsia="Times New Roman" w:cs="Times New Roman"/>
          <w:szCs w:val="24"/>
        </w:rPr>
      </w:pPr>
    </w:p>
    <w:p w14:paraId="45DCFBAD" w14:textId="6E646355" w:rsidR="002E612D" w:rsidRDefault="00F92504" w:rsidP="006B16B7">
      <w:pPr>
        <w:ind w:left="720"/>
        <w:rPr>
          <w:rFonts w:eastAsia="Times New Roman" w:cs="Times New Roman"/>
          <w:szCs w:val="24"/>
        </w:rPr>
      </w:pPr>
      <w:r>
        <w:rPr>
          <w:rFonts w:eastAsia="Times New Roman" w:cs="Times New Roman"/>
          <w:szCs w:val="24"/>
        </w:rPr>
        <w:t xml:space="preserve">The guidance document is approximately </w:t>
      </w:r>
      <w:r w:rsidR="004066F5">
        <w:rPr>
          <w:rFonts w:eastAsia="Times New Roman" w:cs="Times New Roman"/>
          <w:szCs w:val="24"/>
        </w:rPr>
        <w:t>59</w:t>
      </w:r>
      <w:r>
        <w:rPr>
          <w:rFonts w:eastAsia="Times New Roman" w:cs="Times New Roman"/>
          <w:szCs w:val="24"/>
        </w:rPr>
        <w:t>,000 words and assuming an average person reads about 200 word per minute, i</w:t>
      </w:r>
      <w:r w:rsidR="0069172E">
        <w:rPr>
          <w:rFonts w:eastAsia="Times New Roman" w:cs="Times New Roman"/>
          <w:szCs w:val="24"/>
        </w:rPr>
        <w:t>t is estimated that</w:t>
      </w:r>
      <w:r w:rsidR="008575D1">
        <w:rPr>
          <w:rFonts w:eastAsia="Times New Roman" w:cs="Times New Roman"/>
          <w:szCs w:val="24"/>
        </w:rPr>
        <w:t xml:space="preserve"> an applicant </w:t>
      </w:r>
      <w:r w:rsidR="0069172E">
        <w:rPr>
          <w:rFonts w:eastAsia="Times New Roman" w:cs="Times New Roman"/>
          <w:szCs w:val="24"/>
        </w:rPr>
        <w:t xml:space="preserve">will take </w:t>
      </w:r>
      <w:r w:rsidR="008575D1">
        <w:rPr>
          <w:rFonts w:eastAsia="Times New Roman" w:cs="Times New Roman"/>
          <w:szCs w:val="24"/>
        </w:rPr>
        <w:t xml:space="preserve">about </w:t>
      </w:r>
      <w:r w:rsidR="004066F5">
        <w:rPr>
          <w:rFonts w:eastAsia="Times New Roman" w:cs="Times New Roman"/>
          <w:szCs w:val="24"/>
        </w:rPr>
        <w:t>4.9</w:t>
      </w:r>
      <w:r w:rsidR="008575D1">
        <w:rPr>
          <w:rFonts w:eastAsia="Times New Roman" w:cs="Times New Roman"/>
          <w:szCs w:val="24"/>
        </w:rPr>
        <w:t xml:space="preserve"> hours to read the entire guidance document</w:t>
      </w:r>
      <w:bookmarkStart w:id="2" w:name="_Hlk4392472"/>
      <w:r w:rsidR="008214D8">
        <w:rPr>
          <w:rFonts w:eastAsia="Times New Roman" w:cs="Times New Roman"/>
          <w:szCs w:val="24"/>
        </w:rPr>
        <w:t xml:space="preserve"> (Carver, 1990)</w:t>
      </w:r>
      <w:bookmarkEnd w:id="2"/>
      <w:r w:rsidR="008575D1">
        <w:rPr>
          <w:rFonts w:eastAsia="Times New Roman" w:cs="Times New Roman"/>
          <w:szCs w:val="24"/>
        </w:rPr>
        <w:t xml:space="preserve">. </w:t>
      </w:r>
    </w:p>
    <w:p w14:paraId="49AFFEAE" w14:textId="77777777" w:rsidR="00F10A62" w:rsidRDefault="00F10A62" w:rsidP="006B16B7">
      <w:pPr>
        <w:ind w:left="720"/>
        <w:rPr>
          <w:rFonts w:eastAsia="Times New Roman" w:cs="Times New Roman"/>
          <w:szCs w:val="24"/>
        </w:rPr>
      </w:pPr>
    </w:p>
    <w:p w14:paraId="7FCA2316" w14:textId="613E6699" w:rsidR="00F10A62" w:rsidRDefault="00F92504" w:rsidP="008D61EF">
      <w:pPr>
        <w:ind w:left="720"/>
        <w:rPr>
          <w:rFonts w:eastAsia="Times New Roman" w:cs="Times New Roman"/>
          <w:szCs w:val="24"/>
        </w:rPr>
      </w:pPr>
      <w:r>
        <w:rPr>
          <w:rFonts w:eastAsia="Times New Roman" w:cs="Times New Roman"/>
          <w:szCs w:val="24"/>
        </w:rPr>
        <w:t>T</w:t>
      </w:r>
      <w:r w:rsidRPr="0041370E">
        <w:rPr>
          <w:rFonts w:eastAsia="Times New Roman" w:cs="Times New Roman"/>
          <w:szCs w:val="24"/>
        </w:rPr>
        <w:t xml:space="preserve">he purpose of the tables </w:t>
      </w:r>
      <w:r>
        <w:rPr>
          <w:rFonts w:eastAsia="Times New Roman" w:cs="Times New Roman"/>
          <w:szCs w:val="24"/>
        </w:rPr>
        <w:t xml:space="preserve">in the guidance </w:t>
      </w:r>
      <w:r w:rsidRPr="0041370E">
        <w:rPr>
          <w:rFonts w:eastAsia="Times New Roman" w:cs="Times New Roman"/>
          <w:szCs w:val="24"/>
        </w:rPr>
        <w:t xml:space="preserve">is for the applicant to </w:t>
      </w:r>
      <w:r w:rsidR="005B6AB6">
        <w:rPr>
          <w:rFonts w:eastAsia="Times New Roman" w:cs="Times New Roman"/>
          <w:szCs w:val="24"/>
        </w:rPr>
        <w:t xml:space="preserve">use </w:t>
      </w:r>
      <w:r w:rsidRPr="0041370E">
        <w:rPr>
          <w:rFonts w:eastAsia="Times New Roman" w:cs="Times New Roman"/>
          <w:szCs w:val="24"/>
        </w:rPr>
        <w:t xml:space="preserve">the appropriate information into the tables to quickly determine if they have all the required information or if certain components are missing. </w:t>
      </w:r>
      <w:r w:rsidR="00590AF8">
        <w:rPr>
          <w:rFonts w:eastAsia="Times New Roman" w:cs="Times New Roman"/>
          <w:szCs w:val="24"/>
        </w:rPr>
        <w:t xml:space="preserve">In many instances it may only be a check mark indicating that appropriate information is in the corresponding document. </w:t>
      </w:r>
      <w:r>
        <w:rPr>
          <w:rFonts w:eastAsia="Times New Roman" w:cs="Times New Roman"/>
          <w:szCs w:val="24"/>
        </w:rPr>
        <w:t>The research and development of the information to include in the tables</w:t>
      </w:r>
      <w:r w:rsidR="005B6AB6">
        <w:rPr>
          <w:rFonts w:eastAsia="Times New Roman" w:cs="Times New Roman"/>
          <w:szCs w:val="24"/>
        </w:rPr>
        <w:t xml:space="preserve"> is reported separately under </w:t>
      </w:r>
      <w:r w:rsidR="005A1943">
        <w:rPr>
          <w:rFonts w:eastAsia="Times New Roman" w:cs="Times New Roman"/>
          <w:szCs w:val="24"/>
        </w:rPr>
        <w:t>OMB Control No. 2070-0112</w:t>
      </w:r>
      <w:r w:rsidRPr="00C563F7">
        <w:rPr>
          <w:rFonts w:eastAsia="Times New Roman" w:cs="Times New Roman"/>
          <w:szCs w:val="24"/>
        </w:rPr>
        <w:t>.</w:t>
      </w:r>
      <w:r w:rsidR="005B6AB6">
        <w:rPr>
          <w:rFonts w:eastAsia="Times New Roman" w:cs="Times New Roman"/>
          <w:szCs w:val="24"/>
        </w:rPr>
        <w:t xml:space="preserve"> </w:t>
      </w:r>
      <w:r>
        <w:rPr>
          <w:rFonts w:eastAsia="Times New Roman" w:cs="Times New Roman"/>
          <w:szCs w:val="24"/>
        </w:rPr>
        <w:t xml:space="preserve">Additionally, not all tables in the guidance are applicable to every scenario. After reviewing the </w:t>
      </w:r>
      <w:r w:rsidR="00590AF8">
        <w:rPr>
          <w:rFonts w:eastAsia="Times New Roman" w:cs="Times New Roman"/>
          <w:szCs w:val="24"/>
        </w:rPr>
        <w:t>tables,</w:t>
      </w:r>
      <w:r>
        <w:rPr>
          <w:rFonts w:eastAsia="Times New Roman" w:cs="Times New Roman"/>
          <w:szCs w:val="24"/>
        </w:rPr>
        <w:t xml:space="preserve"> it is estimated that an applicant will have to </w:t>
      </w:r>
      <w:r w:rsidR="0066373A">
        <w:rPr>
          <w:rFonts w:eastAsia="Times New Roman" w:cs="Times New Roman"/>
          <w:szCs w:val="24"/>
        </w:rPr>
        <w:t xml:space="preserve">review </w:t>
      </w:r>
      <w:r>
        <w:rPr>
          <w:rFonts w:eastAsia="Times New Roman" w:cs="Times New Roman"/>
          <w:szCs w:val="24"/>
        </w:rPr>
        <w:t xml:space="preserve">about 600 </w:t>
      </w:r>
      <w:r w:rsidR="00590AF8">
        <w:rPr>
          <w:rFonts w:eastAsia="Times New Roman" w:cs="Times New Roman"/>
          <w:szCs w:val="24"/>
        </w:rPr>
        <w:t xml:space="preserve">different </w:t>
      </w:r>
      <w:r>
        <w:rPr>
          <w:rFonts w:eastAsia="Times New Roman" w:cs="Times New Roman"/>
          <w:szCs w:val="24"/>
        </w:rPr>
        <w:t>element</w:t>
      </w:r>
      <w:r w:rsidR="00590AF8">
        <w:rPr>
          <w:rFonts w:eastAsia="Times New Roman" w:cs="Times New Roman"/>
          <w:szCs w:val="24"/>
        </w:rPr>
        <w:t>s</w:t>
      </w:r>
      <w:r>
        <w:rPr>
          <w:rFonts w:eastAsia="Times New Roman" w:cs="Times New Roman"/>
          <w:szCs w:val="24"/>
        </w:rPr>
        <w:t xml:space="preserve"> and each element is estimated to take 30 seconds. </w:t>
      </w:r>
      <w:r w:rsidR="008D61EF">
        <w:rPr>
          <w:rFonts w:eastAsia="Times New Roman" w:cs="Times New Roman"/>
          <w:szCs w:val="24"/>
        </w:rPr>
        <w:t xml:space="preserve">It is estimated that it will take an applicant 5 hours to </w:t>
      </w:r>
      <w:r w:rsidR="005B6AB6">
        <w:rPr>
          <w:rFonts w:eastAsia="Times New Roman" w:cs="Times New Roman"/>
          <w:szCs w:val="24"/>
        </w:rPr>
        <w:t xml:space="preserve">use </w:t>
      </w:r>
      <w:r w:rsidR="008D61EF">
        <w:rPr>
          <w:rFonts w:eastAsia="Times New Roman" w:cs="Times New Roman"/>
          <w:szCs w:val="24"/>
        </w:rPr>
        <w:t>the applicable tables</w:t>
      </w:r>
      <w:r w:rsidR="00590AF8">
        <w:rPr>
          <w:rFonts w:eastAsia="Times New Roman" w:cs="Times New Roman"/>
          <w:szCs w:val="24"/>
        </w:rPr>
        <w:t xml:space="preserve"> in the guidance</w:t>
      </w:r>
      <w:r w:rsidR="008D61EF">
        <w:rPr>
          <w:rFonts w:eastAsia="Times New Roman" w:cs="Times New Roman"/>
          <w:szCs w:val="24"/>
        </w:rPr>
        <w:t>.</w:t>
      </w:r>
      <w:r w:rsidR="005B6AB6">
        <w:rPr>
          <w:rFonts w:eastAsia="Times New Roman" w:cs="Times New Roman"/>
          <w:szCs w:val="24"/>
        </w:rPr>
        <w:t xml:space="preserve"> EPA notes that use of guidance is entirely voluntary on the part of the respondents.</w:t>
      </w:r>
    </w:p>
    <w:p w14:paraId="36315AE2" w14:textId="1E786CB7" w:rsidR="00D25EA4" w:rsidRDefault="00D25EA4" w:rsidP="008D61EF">
      <w:pPr>
        <w:ind w:left="720"/>
        <w:rPr>
          <w:rFonts w:eastAsia="Times New Roman" w:cs="Times New Roman"/>
          <w:szCs w:val="24"/>
        </w:rPr>
      </w:pPr>
    </w:p>
    <w:p w14:paraId="0CEF6F71" w14:textId="6D23BB1B" w:rsidR="00D25EA4" w:rsidRDefault="00D25EA4" w:rsidP="008D61EF">
      <w:pPr>
        <w:ind w:left="720"/>
        <w:rPr>
          <w:rFonts w:eastAsia="Times New Roman" w:cs="Times New Roman"/>
          <w:szCs w:val="24"/>
        </w:rPr>
      </w:pPr>
      <w:r>
        <w:rPr>
          <w:rFonts w:eastAsia="Times New Roman" w:cs="Times New Roman"/>
          <w:szCs w:val="24"/>
        </w:rPr>
        <w:t>When consulting a company that may use this guidance,</w:t>
      </w:r>
      <w:r w:rsidRPr="00D25EA4">
        <w:rPr>
          <w:rFonts w:eastAsia="Times New Roman" w:cs="Times New Roman"/>
          <w:szCs w:val="24"/>
        </w:rPr>
        <w:t xml:space="preserve"> </w:t>
      </w:r>
      <w:r>
        <w:rPr>
          <w:rFonts w:eastAsia="Times New Roman" w:cs="Times New Roman"/>
          <w:szCs w:val="24"/>
        </w:rPr>
        <w:t>t</w:t>
      </w:r>
      <w:r w:rsidRPr="00D25EA4">
        <w:rPr>
          <w:rFonts w:eastAsia="Times New Roman" w:cs="Times New Roman"/>
          <w:szCs w:val="24"/>
        </w:rPr>
        <w:t>hey estimated that it would take 40 to 50 hours to read the guidance and 20 hours to use the checklists. They estimated a total of 60 to 70 hours.</w:t>
      </w:r>
      <w:r w:rsidR="009301AC">
        <w:rPr>
          <w:rFonts w:eastAsia="Times New Roman" w:cs="Times New Roman"/>
          <w:szCs w:val="24"/>
        </w:rPr>
        <w:t xml:space="preserve"> Considering only one company responded, EPA believes it is appropriate to average EPA’s estimate with the information provided by the company. </w:t>
      </w:r>
      <w:r w:rsidR="002D3C15">
        <w:rPr>
          <w:rFonts w:eastAsia="Times New Roman" w:cs="Times New Roman"/>
          <w:szCs w:val="24"/>
        </w:rPr>
        <w:t>It is</w:t>
      </w:r>
      <w:r w:rsidR="009301AC">
        <w:rPr>
          <w:rFonts w:eastAsia="Times New Roman" w:cs="Times New Roman"/>
          <w:szCs w:val="24"/>
        </w:rPr>
        <w:t xml:space="preserve"> estimated </w:t>
      </w:r>
      <w:r w:rsidR="002D3C15">
        <w:rPr>
          <w:rFonts w:eastAsia="Times New Roman" w:cs="Times New Roman"/>
          <w:szCs w:val="24"/>
        </w:rPr>
        <w:t xml:space="preserve">that the </w:t>
      </w:r>
      <w:r w:rsidR="009301AC">
        <w:rPr>
          <w:rFonts w:eastAsia="Times New Roman" w:cs="Times New Roman"/>
          <w:szCs w:val="24"/>
        </w:rPr>
        <w:t xml:space="preserve">burden will be about </w:t>
      </w:r>
      <w:r w:rsidR="002D3C15">
        <w:rPr>
          <w:rFonts w:eastAsia="Times New Roman" w:cs="Times New Roman"/>
          <w:szCs w:val="24"/>
        </w:rPr>
        <w:t>27.5 hours to read the guidance and 12.5 hours to use the tables. A total burden of 40 hours</w:t>
      </w:r>
      <w:r w:rsidR="00910E83">
        <w:rPr>
          <w:rFonts w:eastAsia="Times New Roman" w:cs="Times New Roman"/>
          <w:szCs w:val="24"/>
        </w:rPr>
        <w:t xml:space="preserve"> per respondent</w:t>
      </w:r>
      <w:r w:rsidR="002D3C15">
        <w:rPr>
          <w:rFonts w:eastAsia="Times New Roman" w:cs="Times New Roman"/>
          <w:szCs w:val="24"/>
        </w:rPr>
        <w:t>.</w:t>
      </w:r>
    </w:p>
    <w:p w14:paraId="3E3D8789" w14:textId="77777777" w:rsidR="00590AF8" w:rsidRDefault="00590AF8" w:rsidP="008D61EF">
      <w:pPr>
        <w:ind w:left="720"/>
        <w:rPr>
          <w:rFonts w:eastAsia="Times New Roman" w:cs="Times New Roman"/>
          <w:szCs w:val="24"/>
        </w:rPr>
      </w:pPr>
    </w:p>
    <w:p w14:paraId="59856F9B" w14:textId="77777777" w:rsidR="002E612D" w:rsidRPr="002E612D" w:rsidRDefault="002E612D" w:rsidP="00EB6419">
      <w:pPr>
        <w:rPr>
          <w:b/>
        </w:rPr>
      </w:pPr>
      <w:r>
        <w:tab/>
      </w:r>
      <w:r>
        <w:rPr>
          <w:b/>
        </w:rPr>
        <w:t>6(b). Estimating Respondent Costs</w:t>
      </w:r>
    </w:p>
    <w:p w14:paraId="6F17692B" w14:textId="77777777" w:rsidR="00C108A6" w:rsidRDefault="00C108A6" w:rsidP="00EB6419"/>
    <w:p w14:paraId="702A8AFB" w14:textId="500F15E9" w:rsidR="00C108A6" w:rsidRDefault="004B0B61" w:rsidP="00024B8B">
      <w:pPr>
        <w:ind w:left="720"/>
      </w:pPr>
      <w:r>
        <w:t>Table 6-2 show</w:t>
      </w:r>
      <w:r w:rsidR="00DC3B7F">
        <w:t>s</w:t>
      </w:r>
      <w:r>
        <w:t xml:space="preserve"> the annual respondent hourly burden and cost estimates </w:t>
      </w:r>
      <w:r w:rsidR="004C0A94">
        <w:t xml:space="preserve">for applicants using the guidance document. </w:t>
      </w:r>
      <w:r w:rsidR="00187B81">
        <w:t>There are no capital costs to the respondent associated with this information collection.</w:t>
      </w:r>
      <w:r w:rsidR="00E80101">
        <w:rPr>
          <w:rStyle w:val="FootnoteReference"/>
        </w:rPr>
        <w:footnoteReference w:id="5"/>
      </w:r>
    </w:p>
    <w:p w14:paraId="2B22C2D6" w14:textId="77777777" w:rsidR="00173E7F" w:rsidRDefault="00173E7F" w:rsidP="00EB6419"/>
    <w:tbl>
      <w:tblPr>
        <w:tblW w:w="0" w:type="auto"/>
        <w:jc w:val="center"/>
        <w:tblBorders>
          <w:top w:val="nil"/>
          <w:left w:val="nil"/>
          <w:bottom w:val="nil"/>
          <w:right w:val="nil"/>
        </w:tblBorders>
        <w:tblLayout w:type="fixed"/>
        <w:tblLook w:val="0000" w:firstRow="0" w:lastRow="0" w:firstColumn="0" w:lastColumn="0" w:noHBand="0" w:noVBand="0"/>
      </w:tblPr>
      <w:tblGrid>
        <w:gridCol w:w="1368"/>
        <w:gridCol w:w="1260"/>
        <w:gridCol w:w="1170"/>
        <w:gridCol w:w="1210"/>
        <w:gridCol w:w="1400"/>
        <w:gridCol w:w="1170"/>
        <w:gridCol w:w="1170"/>
        <w:gridCol w:w="1271"/>
      </w:tblGrid>
      <w:tr w:rsidR="00DE6EDF" w:rsidRPr="00A5535E" w14:paraId="3BF623C1" w14:textId="77777777" w:rsidTr="006A1D5F">
        <w:trPr>
          <w:trHeight w:val="98"/>
          <w:jc w:val="center"/>
        </w:trPr>
        <w:tc>
          <w:tcPr>
            <w:tcW w:w="10019" w:type="dxa"/>
            <w:gridSpan w:val="8"/>
            <w:tcBorders>
              <w:bottom w:val="single" w:sz="4" w:space="0" w:color="auto"/>
            </w:tcBorders>
          </w:tcPr>
          <w:p w14:paraId="6F9944C3" w14:textId="77777777" w:rsidR="00DE6EDF" w:rsidRPr="004C0A94" w:rsidRDefault="00DE6EDF" w:rsidP="00CC0F12">
            <w:pPr>
              <w:keepNext/>
              <w:keepLines/>
              <w:autoSpaceDE w:val="0"/>
              <w:autoSpaceDN w:val="0"/>
              <w:adjustRightInd w:val="0"/>
              <w:spacing w:line="240" w:lineRule="auto"/>
              <w:jc w:val="center"/>
              <w:rPr>
                <w:rFonts w:cs="Times New Roman"/>
                <w:b/>
                <w:bCs/>
                <w:color w:val="000000"/>
                <w:sz w:val="22"/>
                <w:vertAlign w:val="superscript"/>
              </w:rPr>
            </w:pPr>
            <w:r w:rsidRPr="00A5535E">
              <w:rPr>
                <w:rFonts w:cs="Times New Roman"/>
                <w:b/>
                <w:bCs/>
                <w:color w:val="000000"/>
                <w:sz w:val="22"/>
              </w:rPr>
              <w:t>TABLE 6-</w:t>
            </w:r>
            <w:r>
              <w:rPr>
                <w:rFonts w:cs="Times New Roman"/>
                <w:b/>
                <w:bCs/>
                <w:color w:val="000000"/>
                <w:sz w:val="22"/>
              </w:rPr>
              <w:t>2</w:t>
            </w:r>
            <w:r w:rsidRPr="00A5535E">
              <w:rPr>
                <w:rFonts w:cs="Times New Roman"/>
                <w:b/>
                <w:bCs/>
                <w:color w:val="000000"/>
                <w:sz w:val="22"/>
              </w:rPr>
              <w:t xml:space="preserve">: </w:t>
            </w:r>
            <w:r>
              <w:rPr>
                <w:rFonts w:cs="Times New Roman"/>
                <w:b/>
                <w:bCs/>
                <w:color w:val="000000"/>
                <w:sz w:val="22"/>
              </w:rPr>
              <w:t>ANNUAL RESPONDENT HOURLY BURDEN AND COST ESTIMATE</w:t>
            </w:r>
            <w:r w:rsidR="009113A8">
              <w:rPr>
                <w:rFonts w:cs="Times New Roman"/>
                <w:b/>
                <w:bCs/>
                <w:color w:val="000000"/>
                <w:sz w:val="22"/>
              </w:rPr>
              <w:t xml:space="preserve"> IF USING THE GUIDANCE</w:t>
            </w:r>
            <w:r w:rsidR="004C0A94">
              <w:rPr>
                <w:rFonts w:cs="Times New Roman"/>
                <w:b/>
                <w:bCs/>
                <w:color w:val="000000"/>
                <w:sz w:val="22"/>
              </w:rPr>
              <w:t xml:space="preserve"> </w:t>
            </w:r>
            <w:r w:rsidR="004C0A94">
              <w:rPr>
                <w:rFonts w:cs="Times New Roman"/>
                <w:b/>
                <w:bCs/>
                <w:color w:val="000000"/>
                <w:sz w:val="22"/>
                <w:vertAlign w:val="superscript"/>
              </w:rPr>
              <w:t>[a]</w:t>
            </w:r>
          </w:p>
          <w:p w14:paraId="65EFCF72" w14:textId="77777777" w:rsidR="00DE6EDF" w:rsidRPr="00A5535E" w:rsidRDefault="00DE6EDF" w:rsidP="00CC0F12">
            <w:pPr>
              <w:keepNext/>
              <w:keepLines/>
              <w:autoSpaceDE w:val="0"/>
              <w:autoSpaceDN w:val="0"/>
              <w:adjustRightInd w:val="0"/>
              <w:spacing w:line="240" w:lineRule="auto"/>
              <w:jc w:val="center"/>
              <w:rPr>
                <w:rFonts w:cs="Times New Roman"/>
                <w:color w:val="000000"/>
                <w:sz w:val="22"/>
              </w:rPr>
            </w:pPr>
          </w:p>
        </w:tc>
      </w:tr>
      <w:tr w:rsidR="00DE6EDF" w:rsidRPr="00A5535E" w14:paraId="257BDD30" w14:textId="77777777" w:rsidTr="006A1D5F">
        <w:trPr>
          <w:trHeight w:val="480"/>
          <w:jc w:val="center"/>
        </w:trPr>
        <w:tc>
          <w:tcPr>
            <w:tcW w:w="13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CC666B2" w14:textId="77777777" w:rsidR="00DE6EDF" w:rsidRPr="00A5535E" w:rsidRDefault="00DE6EDF" w:rsidP="00CC0F12">
            <w:pPr>
              <w:keepNext/>
              <w:keepLines/>
              <w:autoSpaceDE w:val="0"/>
              <w:autoSpaceDN w:val="0"/>
              <w:adjustRightInd w:val="0"/>
              <w:spacing w:line="240" w:lineRule="auto"/>
              <w:jc w:val="center"/>
              <w:rPr>
                <w:rFonts w:cs="Times New Roman"/>
                <w:color w:val="000000"/>
                <w:sz w:val="22"/>
              </w:rPr>
            </w:pPr>
            <w:r w:rsidRPr="00A5535E">
              <w:rPr>
                <w:rFonts w:cs="Times New Roman"/>
                <w:b/>
                <w:bCs/>
                <w:color w:val="000000"/>
                <w:sz w:val="22"/>
              </w:rPr>
              <w:t>Category</w:t>
            </w: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25EB4BA" w14:textId="77777777" w:rsidR="00DE6EDF" w:rsidRDefault="00DE6EDF" w:rsidP="00CC0F12">
            <w:pPr>
              <w:keepNext/>
              <w:keepLines/>
              <w:autoSpaceDE w:val="0"/>
              <w:autoSpaceDN w:val="0"/>
              <w:adjustRightInd w:val="0"/>
              <w:spacing w:line="240" w:lineRule="auto"/>
              <w:jc w:val="center"/>
              <w:rPr>
                <w:rFonts w:cs="Times New Roman"/>
                <w:b/>
                <w:bCs/>
                <w:color w:val="000000"/>
                <w:sz w:val="22"/>
              </w:rPr>
            </w:pPr>
            <w:r>
              <w:rPr>
                <w:rFonts w:cs="Times New Roman"/>
                <w:b/>
                <w:bCs/>
                <w:color w:val="000000"/>
                <w:sz w:val="22"/>
              </w:rPr>
              <w:t>Tech</w:t>
            </w:r>
            <w:r w:rsidR="004066F5">
              <w:rPr>
                <w:rFonts w:cs="Times New Roman"/>
                <w:b/>
                <w:bCs/>
                <w:color w:val="000000"/>
                <w:sz w:val="22"/>
              </w:rPr>
              <w:t>nical</w:t>
            </w:r>
            <w:r>
              <w:rPr>
                <w:rFonts w:cs="Times New Roman"/>
                <w:b/>
                <w:bCs/>
                <w:color w:val="000000"/>
                <w:sz w:val="22"/>
              </w:rPr>
              <w:t xml:space="preserve"> @ $78.33</w:t>
            </w:r>
          </w:p>
          <w:p w14:paraId="5647F300" w14:textId="77777777" w:rsidR="00024B8B" w:rsidRDefault="00024B8B" w:rsidP="00CC0F12">
            <w:pPr>
              <w:keepNext/>
              <w:keepLines/>
              <w:autoSpaceDE w:val="0"/>
              <w:autoSpaceDN w:val="0"/>
              <w:adjustRightInd w:val="0"/>
              <w:spacing w:line="240" w:lineRule="auto"/>
              <w:jc w:val="center"/>
              <w:rPr>
                <w:rFonts w:cs="Times New Roman"/>
                <w:b/>
                <w:bCs/>
                <w:color w:val="000000"/>
                <w:sz w:val="22"/>
              </w:rPr>
            </w:pPr>
          </w:p>
          <w:p w14:paraId="21422004" w14:textId="77777777" w:rsidR="004C0A94" w:rsidRPr="004C0A94" w:rsidRDefault="004C0A94" w:rsidP="00CC0F12">
            <w:pPr>
              <w:keepNext/>
              <w:keepLines/>
              <w:autoSpaceDE w:val="0"/>
              <w:autoSpaceDN w:val="0"/>
              <w:adjustRightInd w:val="0"/>
              <w:spacing w:line="240" w:lineRule="auto"/>
              <w:jc w:val="center"/>
              <w:rPr>
                <w:rFonts w:cs="Times New Roman"/>
                <w:b/>
                <w:color w:val="000000"/>
                <w:sz w:val="22"/>
              </w:rPr>
            </w:pPr>
            <w:r w:rsidRPr="004C0A94">
              <w:rPr>
                <w:rFonts w:cs="Times New Roman"/>
                <w:b/>
                <w:color w:val="000000"/>
                <w:sz w:val="22"/>
              </w:rPr>
              <w:t>Hour</w:t>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0D30B34" w14:textId="77777777" w:rsidR="00DE6EDF" w:rsidRDefault="00DE6EDF" w:rsidP="00CC0F12">
            <w:pPr>
              <w:keepNext/>
              <w:keepLines/>
              <w:autoSpaceDE w:val="0"/>
              <w:autoSpaceDN w:val="0"/>
              <w:adjustRightInd w:val="0"/>
              <w:spacing w:line="240" w:lineRule="auto"/>
              <w:jc w:val="center"/>
              <w:rPr>
                <w:rFonts w:cs="Times New Roman"/>
                <w:b/>
                <w:bCs/>
                <w:color w:val="000000"/>
                <w:sz w:val="22"/>
              </w:rPr>
            </w:pPr>
            <w:r>
              <w:rPr>
                <w:rFonts w:cs="Times New Roman"/>
                <w:b/>
                <w:bCs/>
                <w:color w:val="000000"/>
                <w:sz w:val="22"/>
              </w:rPr>
              <w:t>Cler</w:t>
            </w:r>
            <w:r w:rsidR="004066F5">
              <w:rPr>
                <w:rFonts w:cs="Times New Roman"/>
                <w:b/>
                <w:bCs/>
                <w:color w:val="000000"/>
                <w:sz w:val="22"/>
              </w:rPr>
              <w:t>ical</w:t>
            </w:r>
            <w:r>
              <w:rPr>
                <w:rFonts w:cs="Times New Roman"/>
                <w:b/>
                <w:bCs/>
                <w:color w:val="000000"/>
                <w:sz w:val="22"/>
              </w:rPr>
              <w:t xml:space="preserve"> @ $37.76</w:t>
            </w:r>
          </w:p>
          <w:p w14:paraId="3B6183E3" w14:textId="77777777" w:rsidR="00024B8B" w:rsidRDefault="00024B8B" w:rsidP="00CC0F12">
            <w:pPr>
              <w:keepNext/>
              <w:keepLines/>
              <w:autoSpaceDE w:val="0"/>
              <w:autoSpaceDN w:val="0"/>
              <w:adjustRightInd w:val="0"/>
              <w:spacing w:line="240" w:lineRule="auto"/>
              <w:jc w:val="center"/>
              <w:rPr>
                <w:rFonts w:cs="Times New Roman"/>
                <w:b/>
                <w:bCs/>
                <w:color w:val="000000"/>
                <w:sz w:val="22"/>
              </w:rPr>
            </w:pPr>
          </w:p>
          <w:p w14:paraId="270D6592" w14:textId="77777777" w:rsidR="004C0A94" w:rsidRPr="00A5535E" w:rsidRDefault="004C0A94" w:rsidP="00CC0F12">
            <w:pPr>
              <w:keepNext/>
              <w:keepLines/>
              <w:autoSpaceDE w:val="0"/>
              <w:autoSpaceDN w:val="0"/>
              <w:adjustRightInd w:val="0"/>
              <w:spacing w:line="240" w:lineRule="auto"/>
              <w:jc w:val="center"/>
              <w:rPr>
                <w:rFonts w:cs="Times New Roman"/>
                <w:color w:val="000000"/>
                <w:sz w:val="22"/>
              </w:rPr>
            </w:pPr>
            <w:r w:rsidRPr="004C0A94">
              <w:rPr>
                <w:rFonts w:cs="Times New Roman"/>
                <w:b/>
                <w:color w:val="000000"/>
                <w:sz w:val="22"/>
              </w:rPr>
              <w:t>Hour</w:t>
            </w:r>
          </w:p>
        </w:tc>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FE69A1" w14:textId="77777777" w:rsidR="004C0A94" w:rsidRDefault="00DE6EDF" w:rsidP="00CC0F12">
            <w:pPr>
              <w:keepNext/>
              <w:keepLines/>
              <w:autoSpaceDE w:val="0"/>
              <w:autoSpaceDN w:val="0"/>
              <w:adjustRightInd w:val="0"/>
              <w:spacing w:line="240" w:lineRule="auto"/>
              <w:jc w:val="center"/>
              <w:rPr>
                <w:rFonts w:cs="Times New Roman"/>
                <w:b/>
                <w:bCs/>
                <w:color w:val="000000"/>
                <w:sz w:val="22"/>
              </w:rPr>
            </w:pPr>
            <w:r>
              <w:rPr>
                <w:rFonts w:cs="Times New Roman"/>
                <w:b/>
                <w:bCs/>
                <w:color w:val="000000"/>
                <w:sz w:val="22"/>
              </w:rPr>
              <w:t>H</w:t>
            </w:r>
            <w:r w:rsidR="004C0A94">
              <w:rPr>
                <w:rFonts w:cs="Times New Roman"/>
                <w:b/>
                <w:bCs/>
                <w:color w:val="000000"/>
                <w:sz w:val="22"/>
              </w:rPr>
              <w:t>ours</w:t>
            </w:r>
            <w:r>
              <w:rPr>
                <w:rFonts w:cs="Times New Roman"/>
                <w:b/>
                <w:bCs/>
                <w:color w:val="000000"/>
                <w:sz w:val="22"/>
              </w:rPr>
              <w:t>/</w:t>
            </w:r>
            <w:r w:rsidR="004C0A94">
              <w:rPr>
                <w:rFonts w:cs="Times New Roman"/>
                <w:b/>
                <w:bCs/>
                <w:color w:val="000000"/>
                <w:sz w:val="22"/>
              </w:rPr>
              <w:t xml:space="preserve"> </w:t>
            </w:r>
            <w:r>
              <w:rPr>
                <w:rFonts w:cs="Times New Roman"/>
                <w:b/>
                <w:bCs/>
                <w:color w:val="000000"/>
                <w:sz w:val="22"/>
              </w:rPr>
              <w:t xml:space="preserve">Resp./ </w:t>
            </w:r>
          </w:p>
          <w:p w14:paraId="06272C4B" w14:textId="77777777" w:rsidR="00DE6EDF" w:rsidRPr="00A5535E" w:rsidRDefault="00DE6EDF" w:rsidP="00CC0F12">
            <w:pPr>
              <w:keepNext/>
              <w:keepLines/>
              <w:autoSpaceDE w:val="0"/>
              <w:autoSpaceDN w:val="0"/>
              <w:adjustRightInd w:val="0"/>
              <w:spacing w:line="240" w:lineRule="auto"/>
              <w:jc w:val="center"/>
              <w:rPr>
                <w:rFonts w:cs="Times New Roman"/>
                <w:color w:val="000000"/>
                <w:sz w:val="22"/>
              </w:rPr>
            </w:pPr>
            <w:r>
              <w:rPr>
                <w:rFonts w:cs="Times New Roman"/>
                <w:b/>
                <w:bCs/>
                <w:color w:val="000000"/>
                <w:sz w:val="22"/>
              </w:rPr>
              <w:t>Year</w:t>
            </w:r>
            <w:r w:rsidR="004C0A94" w:rsidRPr="004C0A94">
              <w:rPr>
                <w:rFonts w:cs="Times New Roman"/>
                <w:bCs/>
                <w:color w:val="000000"/>
                <w:sz w:val="22"/>
                <w:vertAlign w:val="superscript"/>
              </w:rPr>
              <w:t>[</w:t>
            </w:r>
            <w:r w:rsidR="004C0A94">
              <w:rPr>
                <w:rFonts w:cs="Times New Roman"/>
                <w:bCs/>
                <w:color w:val="000000"/>
                <w:sz w:val="22"/>
                <w:vertAlign w:val="superscript"/>
              </w:rPr>
              <w:t>b</w:t>
            </w:r>
            <w:r w:rsidR="004C0A94" w:rsidRPr="004C0A94">
              <w:rPr>
                <w:rFonts w:cs="Times New Roman"/>
                <w:bCs/>
                <w:color w:val="000000"/>
                <w:sz w:val="22"/>
                <w:vertAlign w:val="superscript"/>
              </w:rPr>
              <w:t>]</w:t>
            </w:r>
          </w:p>
        </w:tc>
        <w:tc>
          <w:tcPr>
            <w:tcW w:w="14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DAF4D1" w14:textId="77777777" w:rsidR="004C0A94" w:rsidRDefault="00DE6EDF" w:rsidP="00CC0F12">
            <w:pPr>
              <w:keepNext/>
              <w:keepLines/>
              <w:autoSpaceDE w:val="0"/>
              <w:autoSpaceDN w:val="0"/>
              <w:adjustRightInd w:val="0"/>
              <w:spacing w:line="240" w:lineRule="auto"/>
              <w:jc w:val="center"/>
              <w:rPr>
                <w:rFonts w:cs="Times New Roman"/>
                <w:b/>
                <w:color w:val="000000"/>
                <w:sz w:val="22"/>
              </w:rPr>
            </w:pPr>
            <w:r w:rsidRPr="00DE6EDF">
              <w:rPr>
                <w:rFonts w:cs="Times New Roman"/>
                <w:b/>
                <w:color w:val="000000"/>
                <w:sz w:val="22"/>
              </w:rPr>
              <w:t>Labor Cost/ Resp.</w:t>
            </w:r>
            <w:r w:rsidR="004C0A94">
              <w:rPr>
                <w:rFonts w:cs="Times New Roman"/>
                <w:b/>
                <w:color w:val="000000"/>
                <w:sz w:val="22"/>
              </w:rPr>
              <w:t>/</w:t>
            </w:r>
          </w:p>
          <w:p w14:paraId="15EEB8EA" w14:textId="77777777" w:rsidR="00DE6EDF" w:rsidRPr="00A5535E" w:rsidRDefault="00DE6EDF" w:rsidP="00CC0F12">
            <w:pPr>
              <w:keepNext/>
              <w:keepLines/>
              <w:autoSpaceDE w:val="0"/>
              <w:autoSpaceDN w:val="0"/>
              <w:adjustRightInd w:val="0"/>
              <w:spacing w:line="240" w:lineRule="auto"/>
              <w:jc w:val="center"/>
              <w:rPr>
                <w:rFonts w:cs="Times New Roman"/>
                <w:b/>
                <w:color w:val="000000"/>
                <w:sz w:val="22"/>
              </w:rPr>
            </w:pPr>
            <w:r w:rsidRPr="00DE6EDF">
              <w:rPr>
                <w:rFonts w:cs="Times New Roman"/>
                <w:b/>
                <w:color w:val="000000"/>
                <w:sz w:val="22"/>
              </w:rPr>
              <w:t>Year</w:t>
            </w:r>
            <w:r w:rsidR="004C0A94" w:rsidRPr="004C0A94">
              <w:rPr>
                <w:rFonts w:cs="Times New Roman"/>
                <w:bCs/>
                <w:color w:val="000000"/>
                <w:sz w:val="22"/>
                <w:vertAlign w:val="superscript"/>
              </w:rPr>
              <w:t>[</w:t>
            </w:r>
            <w:r w:rsidR="004C0A94">
              <w:rPr>
                <w:rFonts w:cs="Times New Roman"/>
                <w:bCs/>
                <w:color w:val="000000"/>
                <w:sz w:val="22"/>
                <w:vertAlign w:val="superscript"/>
              </w:rPr>
              <w:t>c</w:t>
            </w:r>
            <w:r w:rsidR="004C0A94" w:rsidRPr="004C0A94">
              <w:rPr>
                <w:rFonts w:cs="Times New Roman"/>
                <w:bCs/>
                <w:color w:val="000000"/>
                <w:sz w:val="22"/>
                <w:vertAlign w:val="superscript"/>
              </w:rPr>
              <w:t>]</w:t>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238AB53" w14:textId="77777777" w:rsidR="004C0A94" w:rsidRDefault="00DE6EDF" w:rsidP="00CC0F12">
            <w:pPr>
              <w:keepNext/>
              <w:keepLines/>
              <w:autoSpaceDE w:val="0"/>
              <w:autoSpaceDN w:val="0"/>
              <w:adjustRightInd w:val="0"/>
              <w:spacing w:line="240" w:lineRule="auto"/>
              <w:jc w:val="center"/>
              <w:rPr>
                <w:rFonts w:cs="Times New Roman"/>
                <w:b/>
                <w:bCs/>
                <w:color w:val="000000"/>
                <w:sz w:val="22"/>
              </w:rPr>
            </w:pPr>
            <w:r>
              <w:rPr>
                <w:rFonts w:cs="Times New Roman"/>
                <w:b/>
                <w:bCs/>
                <w:color w:val="000000"/>
                <w:sz w:val="22"/>
              </w:rPr>
              <w:t>Total # of</w:t>
            </w:r>
          </w:p>
          <w:p w14:paraId="5311391D" w14:textId="77777777" w:rsidR="00DE6EDF" w:rsidRPr="00A5535E" w:rsidRDefault="00DE6EDF" w:rsidP="00CC0F12">
            <w:pPr>
              <w:keepNext/>
              <w:keepLines/>
              <w:autoSpaceDE w:val="0"/>
              <w:autoSpaceDN w:val="0"/>
              <w:adjustRightInd w:val="0"/>
              <w:spacing w:line="240" w:lineRule="auto"/>
              <w:jc w:val="center"/>
              <w:rPr>
                <w:rFonts w:cs="Times New Roman"/>
                <w:color w:val="000000"/>
                <w:sz w:val="22"/>
              </w:rPr>
            </w:pPr>
            <w:r>
              <w:rPr>
                <w:rFonts w:cs="Times New Roman"/>
                <w:b/>
                <w:bCs/>
                <w:color w:val="000000"/>
                <w:sz w:val="22"/>
              </w:rPr>
              <w:t>Resp.</w:t>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C8DC96" w14:textId="77777777" w:rsidR="004C0A94" w:rsidRDefault="00DE6EDF" w:rsidP="00CC0F12">
            <w:pPr>
              <w:keepNext/>
              <w:keepLines/>
              <w:autoSpaceDE w:val="0"/>
              <w:autoSpaceDN w:val="0"/>
              <w:adjustRightInd w:val="0"/>
              <w:spacing w:line="240" w:lineRule="auto"/>
              <w:jc w:val="center"/>
              <w:rPr>
                <w:rFonts w:cs="Times New Roman"/>
                <w:b/>
                <w:bCs/>
                <w:color w:val="000000"/>
                <w:sz w:val="22"/>
              </w:rPr>
            </w:pPr>
            <w:r>
              <w:rPr>
                <w:rFonts w:cs="Times New Roman"/>
                <w:b/>
                <w:bCs/>
                <w:color w:val="000000"/>
                <w:sz w:val="22"/>
              </w:rPr>
              <w:t xml:space="preserve">Total Hours/ </w:t>
            </w:r>
          </w:p>
          <w:p w14:paraId="72C3492C" w14:textId="77777777" w:rsidR="00DE6EDF" w:rsidRPr="00A5535E" w:rsidRDefault="00DE6EDF" w:rsidP="00CC0F12">
            <w:pPr>
              <w:keepNext/>
              <w:keepLines/>
              <w:autoSpaceDE w:val="0"/>
              <w:autoSpaceDN w:val="0"/>
              <w:adjustRightInd w:val="0"/>
              <w:spacing w:line="240" w:lineRule="auto"/>
              <w:jc w:val="center"/>
              <w:rPr>
                <w:rFonts w:cs="Times New Roman"/>
                <w:color w:val="000000"/>
                <w:sz w:val="22"/>
              </w:rPr>
            </w:pPr>
            <w:r>
              <w:rPr>
                <w:rFonts w:cs="Times New Roman"/>
                <w:b/>
                <w:bCs/>
                <w:color w:val="000000"/>
                <w:sz w:val="22"/>
              </w:rPr>
              <w:t>Year</w:t>
            </w:r>
            <w:r w:rsidR="004C0A94" w:rsidRPr="004C0A94">
              <w:rPr>
                <w:rFonts w:cs="Times New Roman"/>
                <w:bCs/>
                <w:color w:val="000000"/>
                <w:sz w:val="22"/>
                <w:vertAlign w:val="superscript"/>
              </w:rPr>
              <w:t>[</w:t>
            </w:r>
            <w:r w:rsidR="004C0A94">
              <w:rPr>
                <w:rFonts w:cs="Times New Roman"/>
                <w:bCs/>
                <w:color w:val="000000"/>
                <w:sz w:val="22"/>
                <w:vertAlign w:val="superscript"/>
              </w:rPr>
              <w:t>d</w:t>
            </w:r>
            <w:r w:rsidR="004C0A94" w:rsidRPr="004C0A94">
              <w:rPr>
                <w:rFonts w:cs="Times New Roman"/>
                <w:bCs/>
                <w:color w:val="000000"/>
                <w:sz w:val="22"/>
                <w:vertAlign w:val="superscript"/>
              </w:rPr>
              <w:t>]</w:t>
            </w:r>
          </w:p>
        </w:tc>
        <w:tc>
          <w:tcPr>
            <w:tcW w:w="1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8DAFF4A" w14:textId="77777777" w:rsidR="004C0A94" w:rsidRDefault="00DE6EDF" w:rsidP="00CC0F12">
            <w:pPr>
              <w:keepNext/>
              <w:keepLines/>
              <w:autoSpaceDE w:val="0"/>
              <w:autoSpaceDN w:val="0"/>
              <w:adjustRightInd w:val="0"/>
              <w:spacing w:line="240" w:lineRule="auto"/>
              <w:jc w:val="center"/>
              <w:rPr>
                <w:rFonts w:cs="Times New Roman"/>
                <w:b/>
                <w:bCs/>
                <w:color w:val="000000"/>
                <w:sz w:val="22"/>
              </w:rPr>
            </w:pPr>
            <w:r>
              <w:rPr>
                <w:rFonts w:cs="Times New Roman"/>
                <w:b/>
                <w:bCs/>
                <w:color w:val="000000"/>
                <w:sz w:val="22"/>
              </w:rPr>
              <w:t xml:space="preserve">Total Cost/ </w:t>
            </w:r>
          </w:p>
          <w:p w14:paraId="14809FB7" w14:textId="77777777" w:rsidR="00DE6EDF" w:rsidRPr="00A5535E" w:rsidRDefault="00DE6EDF" w:rsidP="00CC0F12">
            <w:pPr>
              <w:keepNext/>
              <w:keepLines/>
              <w:autoSpaceDE w:val="0"/>
              <w:autoSpaceDN w:val="0"/>
              <w:adjustRightInd w:val="0"/>
              <w:spacing w:line="240" w:lineRule="auto"/>
              <w:jc w:val="center"/>
              <w:rPr>
                <w:rFonts w:cs="Times New Roman"/>
                <w:color w:val="000000"/>
                <w:sz w:val="22"/>
              </w:rPr>
            </w:pPr>
            <w:r>
              <w:rPr>
                <w:rFonts w:cs="Times New Roman"/>
                <w:b/>
                <w:bCs/>
                <w:color w:val="000000"/>
                <w:sz w:val="22"/>
              </w:rPr>
              <w:t>Year</w:t>
            </w:r>
            <w:r w:rsidR="004C0A94" w:rsidRPr="004C0A94">
              <w:rPr>
                <w:rFonts w:cs="Times New Roman"/>
                <w:bCs/>
                <w:color w:val="000000"/>
                <w:sz w:val="22"/>
                <w:vertAlign w:val="superscript"/>
              </w:rPr>
              <w:t>[</w:t>
            </w:r>
            <w:r w:rsidR="004C0A94">
              <w:rPr>
                <w:rFonts w:cs="Times New Roman"/>
                <w:bCs/>
                <w:color w:val="000000"/>
                <w:sz w:val="22"/>
                <w:vertAlign w:val="superscript"/>
              </w:rPr>
              <w:t>d</w:t>
            </w:r>
            <w:r w:rsidR="004C0A94" w:rsidRPr="004C0A94">
              <w:rPr>
                <w:rFonts w:cs="Times New Roman"/>
                <w:bCs/>
                <w:color w:val="000000"/>
                <w:sz w:val="22"/>
                <w:vertAlign w:val="superscript"/>
              </w:rPr>
              <w:t>]</w:t>
            </w:r>
            <w:r w:rsidR="004F4536">
              <w:rPr>
                <w:rFonts w:cs="Times New Roman"/>
                <w:bCs/>
                <w:color w:val="000000"/>
                <w:sz w:val="22"/>
                <w:vertAlign w:val="superscript"/>
              </w:rPr>
              <w:t>,</w:t>
            </w:r>
            <w:r w:rsidR="004F4536" w:rsidRPr="004C0A94">
              <w:rPr>
                <w:rFonts w:cs="Times New Roman"/>
                <w:bCs/>
                <w:color w:val="000000"/>
                <w:sz w:val="22"/>
                <w:vertAlign w:val="superscript"/>
              </w:rPr>
              <w:t xml:space="preserve"> [</w:t>
            </w:r>
            <w:r w:rsidR="004F4536">
              <w:rPr>
                <w:rFonts w:cs="Times New Roman"/>
                <w:bCs/>
                <w:color w:val="000000"/>
                <w:sz w:val="22"/>
                <w:vertAlign w:val="superscript"/>
              </w:rPr>
              <w:t>e</w:t>
            </w:r>
            <w:r w:rsidR="004F4536" w:rsidRPr="004C0A94">
              <w:rPr>
                <w:rFonts w:cs="Times New Roman"/>
                <w:bCs/>
                <w:color w:val="000000"/>
                <w:sz w:val="22"/>
                <w:vertAlign w:val="superscript"/>
              </w:rPr>
              <w:t>]</w:t>
            </w:r>
          </w:p>
        </w:tc>
      </w:tr>
      <w:tr w:rsidR="00DE6EDF" w:rsidRPr="00A5535E" w14:paraId="46881DB3" w14:textId="77777777" w:rsidTr="006A1D5F">
        <w:trPr>
          <w:trHeight w:val="353"/>
          <w:jc w:val="center"/>
        </w:trPr>
        <w:tc>
          <w:tcPr>
            <w:tcW w:w="1368" w:type="dxa"/>
            <w:tcBorders>
              <w:top w:val="single" w:sz="4" w:space="0" w:color="auto"/>
              <w:left w:val="single" w:sz="4" w:space="0" w:color="auto"/>
              <w:bottom w:val="single" w:sz="4" w:space="0" w:color="auto"/>
              <w:right w:val="single" w:sz="4" w:space="0" w:color="auto"/>
            </w:tcBorders>
            <w:vAlign w:val="center"/>
          </w:tcPr>
          <w:p w14:paraId="1BE14CA3" w14:textId="77777777" w:rsidR="00DE6EDF" w:rsidRPr="00A5535E" w:rsidRDefault="00FB0201" w:rsidP="00CC0F12">
            <w:pPr>
              <w:keepNext/>
              <w:keepLines/>
              <w:autoSpaceDE w:val="0"/>
              <w:autoSpaceDN w:val="0"/>
              <w:adjustRightInd w:val="0"/>
              <w:spacing w:line="240" w:lineRule="auto"/>
              <w:rPr>
                <w:rFonts w:cs="Times New Roman"/>
                <w:color w:val="000000"/>
                <w:sz w:val="20"/>
              </w:rPr>
            </w:pPr>
            <w:r>
              <w:rPr>
                <w:rFonts w:cs="Times New Roman"/>
                <w:color w:val="000000"/>
                <w:sz w:val="20"/>
              </w:rPr>
              <w:t>Reading Guidance</w:t>
            </w:r>
          </w:p>
        </w:tc>
        <w:tc>
          <w:tcPr>
            <w:tcW w:w="1260" w:type="dxa"/>
            <w:tcBorders>
              <w:top w:val="single" w:sz="4" w:space="0" w:color="auto"/>
              <w:left w:val="single" w:sz="4" w:space="0" w:color="auto"/>
              <w:bottom w:val="single" w:sz="4" w:space="0" w:color="auto"/>
              <w:right w:val="single" w:sz="4" w:space="0" w:color="auto"/>
            </w:tcBorders>
            <w:vAlign w:val="center"/>
          </w:tcPr>
          <w:p w14:paraId="2D45C6A8" w14:textId="6E3262F8" w:rsidR="00DE6EDF" w:rsidRPr="00A5535E" w:rsidRDefault="009301AC" w:rsidP="00CC0F12">
            <w:pPr>
              <w:keepNext/>
              <w:keepLines/>
              <w:autoSpaceDE w:val="0"/>
              <w:autoSpaceDN w:val="0"/>
              <w:adjustRightInd w:val="0"/>
              <w:spacing w:line="240" w:lineRule="auto"/>
              <w:jc w:val="center"/>
              <w:rPr>
                <w:rFonts w:cs="Times New Roman"/>
                <w:color w:val="000000"/>
                <w:sz w:val="20"/>
              </w:rPr>
            </w:pPr>
            <w:r>
              <w:rPr>
                <w:rFonts w:cs="Times New Roman"/>
                <w:color w:val="000000"/>
                <w:sz w:val="20"/>
              </w:rPr>
              <w:t>27.5</w:t>
            </w:r>
          </w:p>
        </w:tc>
        <w:tc>
          <w:tcPr>
            <w:tcW w:w="1170" w:type="dxa"/>
            <w:tcBorders>
              <w:top w:val="single" w:sz="4" w:space="0" w:color="auto"/>
              <w:left w:val="single" w:sz="4" w:space="0" w:color="auto"/>
              <w:bottom w:val="single" w:sz="4" w:space="0" w:color="auto"/>
              <w:right w:val="single" w:sz="4" w:space="0" w:color="auto"/>
            </w:tcBorders>
            <w:vAlign w:val="center"/>
          </w:tcPr>
          <w:p w14:paraId="68E2F2C5" w14:textId="77777777" w:rsidR="00DE6EDF" w:rsidRPr="00A5535E" w:rsidRDefault="00DE6EDF" w:rsidP="00CC0F12">
            <w:pPr>
              <w:keepNext/>
              <w:keepLines/>
              <w:autoSpaceDE w:val="0"/>
              <w:autoSpaceDN w:val="0"/>
              <w:adjustRightInd w:val="0"/>
              <w:spacing w:line="240" w:lineRule="auto"/>
              <w:jc w:val="center"/>
              <w:rPr>
                <w:rFonts w:cs="Times New Roman"/>
                <w:color w:val="000000"/>
                <w:sz w:val="20"/>
              </w:rPr>
            </w:pPr>
          </w:p>
        </w:tc>
        <w:tc>
          <w:tcPr>
            <w:tcW w:w="1210" w:type="dxa"/>
            <w:tcBorders>
              <w:top w:val="single" w:sz="4" w:space="0" w:color="auto"/>
              <w:left w:val="single" w:sz="4" w:space="0" w:color="auto"/>
              <w:bottom w:val="single" w:sz="4" w:space="0" w:color="auto"/>
              <w:right w:val="single" w:sz="4" w:space="0" w:color="auto"/>
            </w:tcBorders>
            <w:vAlign w:val="center"/>
          </w:tcPr>
          <w:p w14:paraId="6588644D" w14:textId="6CC7A810" w:rsidR="00DE6EDF" w:rsidRPr="00A5535E" w:rsidRDefault="009301AC" w:rsidP="00CC0F12">
            <w:pPr>
              <w:keepNext/>
              <w:keepLines/>
              <w:autoSpaceDE w:val="0"/>
              <w:autoSpaceDN w:val="0"/>
              <w:adjustRightInd w:val="0"/>
              <w:spacing w:line="240" w:lineRule="auto"/>
              <w:jc w:val="center"/>
              <w:rPr>
                <w:rFonts w:cs="Times New Roman"/>
                <w:color w:val="000000"/>
                <w:sz w:val="20"/>
              </w:rPr>
            </w:pPr>
            <w:r>
              <w:rPr>
                <w:rFonts w:cs="Times New Roman"/>
                <w:color w:val="000000"/>
                <w:sz w:val="20"/>
              </w:rPr>
              <w:t>27.5</w:t>
            </w:r>
          </w:p>
        </w:tc>
        <w:tc>
          <w:tcPr>
            <w:tcW w:w="1400" w:type="dxa"/>
            <w:tcBorders>
              <w:top w:val="single" w:sz="4" w:space="0" w:color="auto"/>
              <w:left w:val="single" w:sz="4" w:space="0" w:color="auto"/>
              <w:bottom w:val="single" w:sz="4" w:space="0" w:color="auto"/>
              <w:right w:val="single" w:sz="4" w:space="0" w:color="auto"/>
            </w:tcBorders>
            <w:vAlign w:val="center"/>
          </w:tcPr>
          <w:p w14:paraId="3C7CDE07" w14:textId="746123F1" w:rsidR="009113A8" w:rsidRPr="00A5535E" w:rsidRDefault="009113A8" w:rsidP="00CC0F12">
            <w:pPr>
              <w:keepNext/>
              <w:keepLines/>
              <w:autoSpaceDE w:val="0"/>
              <w:autoSpaceDN w:val="0"/>
              <w:adjustRightInd w:val="0"/>
              <w:spacing w:line="240" w:lineRule="auto"/>
              <w:jc w:val="center"/>
              <w:rPr>
                <w:rFonts w:cs="Times New Roman"/>
                <w:color w:val="000000"/>
                <w:sz w:val="20"/>
              </w:rPr>
            </w:pPr>
            <w:r>
              <w:rPr>
                <w:rFonts w:cs="Times New Roman"/>
                <w:color w:val="000000"/>
                <w:sz w:val="20"/>
              </w:rPr>
              <w:t>$</w:t>
            </w:r>
            <w:r w:rsidR="001A6030">
              <w:rPr>
                <w:rFonts w:cs="Times New Roman"/>
                <w:color w:val="000000"/>
                <w:sz w:val="20"/>
              </w:rPr>
              <w:t xml:space="preserve"> </w:t>
            </w:r>
            <w:r w:rsidR="002D3C15">
              <w:rPr>
                <w:rFonts w:cs="Times New Roman"/>
                <w:color w:val="000000"/>
                <w:sz w:val="20"/>
              </w:rPr>
              <w:t>2,154</w:t>
            </w:r>
          </w:p>
        </w:tc>
        <w:tc>
          <w:tcPr>
            <w:tcW w:w="1170" w:type="dxa"/>
            <w:tcBorders>
              <w:top w:val="single" w:sz="4" w:space="0" w:color="auto"/>
              <w:left w:val="single" w:sz="4" w:space="0" w:color="auto"/>
              <w:bottom w:val="single" w:sz="4" w:space="0" w:color="auto"/>
              <w:right w:val="single" w:sz="4" w:space="0" w:color="auto"/>
            </w:tcBorders>
            <w:vAlign w:val="center"/>
          </w:tcPr>
          <w:p w14:paraId="1D5E7648" w14:textId="77777777" w:rsidR="00DE6EDF" w:rsidRPr="00A5535E" w:rsidRDefault="009113A8" w:rsidP="00CC0F12">
            <w:pPr>
              <w:keepNext/>
              <w:keepLines/>
              <w:autoSpaceDE w:val="0"/>
              <w:autoSpaceDN w:val="0"/>
              <w:adjustRightInd w:val="0"/>
              <w:spacing w:line="240" w:lineRule="auto"/>
              <w:jc w:val="center"/>
              <w:rPr>
                <w:rFonts w:cs="Times New Roman"/>
                <w:color w:val="000000"/>
                <w:sz w:val="20"/>
              </w:rPr>
            </w:pPr>
            <w:r>
              <w:rPr>
                <w:rFonts w:cs="Times New Roman"/>
                <w:color w:val="000000"/>
                <w:sz w:val="20"/>
              </w:rPr>
              <w:t>8</w:t>
            </w:r>
          </w:p>
        </w:tc>
        <w:tc>
          <w:tcPr>
            <w:tcW w:w="1170" w:type="dxa"/>
            <w:tcBorders>
              <w:top w:val="single" w:sz="4" w:space="0" w:color="auto"/>
              <w:left w:val="single" w:sz="4" w:space="0" w:color="auto"/>
              <w:bottom w:val="single" w:sz="4" w:space="0" w:color="auto"/>
              <w:right w:val="single" w:sz="4" w:space="0" w:color="auto"/>
            </w:tcBorders>
            <w:vAlign w:val="center"/>
          </w:tcPr>
          <w:p w14:paraId="4BEC636D" w14:textId="3520A040" w:rsidR="00DE6EDF" w:rsidRPr="00A5535E" w:rsidRDefault="002D3C15" w:rsidP="00CC0F12">
            <w:pPr>
              <w:keepNext/>
              <w:keepLines/>
              <w:autoSpaceDE w:val="0"/>
              <w:autoSpaceDN w:val="0"/>
              <w:adjustRightInd w:val="0"/>
              <w:spacing w:line="240" w:lineRule="auto"/>
              <w:jc w:val="center"/>
              <w:rPr>
                <w:rFonts w:cs="Times New Roman"/>
                <w:color w:val="000000"/>
                <w:sz w:val="20"/>
              </w:rPr>
            </w:pPr>
            <w:r>
              <w:rPr>
                <w:rFonts w:cs="Times New Roman"/>
                <w:color w:val="000000"/>
                <w:sz w:val="20"/>
              </w:rPr>
              <w:t>220</w:t>
            </w:r>
          </w:p>
        </w:tc>
        <w:tc>
          <w:tcPr>
            <w:tcW w:w="1271" w:type="dxa"/>
            <w:tcBorders>
              <w:top w:val="single" w:sz="4" w:space="0" w:color="auto"/>
              <w:left w:val="single" w:sz="4" w:space="0" w:color="auto"/>
              <w:bottom w:val="single" w:sz="4" w:space="0" w:color="auto"/>
              <w:right w:val="single" w:sz="4" w:space="0" w:color="auto"/>
            </w:tcBorders>
            <w:vAlign w:val="center"/>
          </w:tcPr>
          <w:p w14:paraId="46AF1A13" w14:textId="7CB96670" w:rsidR="00DE6EDF" w:rsidRPr="00A5535E" w:rsidRDefault="009113A8" w:rsidP="00CC0F12">
            <w:pPr>
              <w:keepNext/>
              <w:keepLines/>
              <w:autoSpaceDE w:val="0"/>
              <w:autoSpaceDN w:val="0"/>
              <w:adjustRightInd w:val="0"/>
              <w:spacing w:line="240" w:lineRule="auto"/>
              <w:jc w:val="center"/>
              <w:rPr>
                <w:rFonts w:cs="Times New Roman"/>
                <w:color w:val="000000"/>
                <w:sz w:val="20"/>
              </w:rPr>
            </w:pPr>
            <w:r>
              <w:rPr>
                <w:rFonts w:cs="Times New Roman"/>
                <w:color w:val="000000"/>
                <w:sz w:val="20"/>
              </w:rPr>
              <w:t>$</w:t>
            </w:r>
            <w:r w:rsidR="00DC3B7F">
              <w:rPr>
                <w:rFonts w:cs="Times New Roman"/>
                <w:color w:val="000000"/>
                <w:sz w:val="20"/>
              </w:rPr>
              <w:t xml:space="preserve"> </w:t>
            </w:r>
            <w:r w:rsidR="002D3C15">
              <w:rPr>
                <w:rFonts w:cs="Times New Roman"/>
                <w:color w:val="000000"/>
                <w:sz w:val="20"/>
              </w:rPr>
              <w:t>17,232</w:t>
            </w:r>
          </w:p>
        </w:tc>
      </w:tr>
      <w:tr w:rsidR="00FB0201" w:rsidRPr="00A5535E" w14:paraId="3575A0C9" w14:textId="77777777" w:rsidTr="006A1D5F">
        <w:trPr>
          <w:trHeight w:val="353"/>
          <w:jc w:val="center"/>
        </w:trPr>
        <w:tc>
          <w:tcPr>
            <w:tcW w:w="1368" w:type="dxa"/>
            <w:tcBorders>
              <w:top w:val="single" w:sz="4" w:space="0" w:color="auto"/>
              <w:left w:val="single" w:sz="4" w:space="0" w:color="auto"/>
              <w:bottom w:val="single" w:sz="4" w:space="0" w:color="auto"/>
              <w:right w:val="single" w:sz="4" w:space="0" w:color="auto"/>
            </w:tcBorders>
            <w:vAlign w:val="center"/>
          </w:tcPr>
          <w:p w14:paraId="6EE82AD9" w14:textId="77777777" w:rsidR="00FB0201" w:rsidRPr="00A5535E" w:rsidRDefault="00FB0201" w:rsidP="00CC0F12">
            <w:pPr>
              <w:keepNext/>
              <w:keepLines/>
              <w:autoSpaceDE w:val="0"/>
              <w:autoSpaceDN w:val="0"/>
              <w:adjustRightInd w:val="0"/>
              <w:spacing w:line="240" w:lineRule="auto"/>
              <w:rPr>
                <w:rFonts w:cs="Times New Roman"/>
                <w:color w:val="000000"/>
                <w:sz w:val="20"/>
              </w:rPr>
            </w:pPr>
            <w:r>
              <w:rPr>
                <w:rFonts w:cs="Times New Roman"/>
                <w:color w:val="000000"/>
                <w:sz w:val="20"/>
              </w:rPr>
              <w:t>Filling out Tables in Guidance</w:t>
            </w:r>
          </w:p>
        </w:tc>
        <w:tc>
          <w:tcPr>
            <w:tcW w:w="1260" w:type="dxa"/>
            <w:tcBorders>
              <w:top w:val="single" w:sz="4" w:space="0" w:color="auto"/>
              <w:left w:val="single" w:sz="4" w:space="0" w:color="auto"/>
              <w:bottom w:val="single" w:sz="4" w:space="0" w:color="auto"/>
              <w:right w:val="single" w:sz="4" w:space="0" w:color="auto"/>
            </w:tcBorders>
            <w:vAlign w:val="center"/>
          </w:tcPr>
          <w:p w14:paraId="5BC0CA54" w14:textId="58F67193" w:rsidR="00FB0201" w:rsidRPr="00A5535E" w:rsidRDefault="002D3C15" w:rsidP="00CC0F12">
            <w:pPr>
              <w:keepNext/>
              <w:keepLines/>
              <w:autoSpaceDE w:val="0"/>
              <w:autoSpaceDN w:val="0"/>
              <w:adjustRightInd w:val="0"/>
              <w:spacing w:line="240" w:lineRule="auto"/>
              <w:jc w:val="center"/>
              <w:rPr>
                <w:rFonts w:cs="Times New Roman"/>
                <w:color w:val="000000"/>
                <w:sz w:val="20"/>
              </w:rPr>
            </w:pPr>
            <w:r>
              <w:rPr>
                <w:rFonts w:cs="Times New Roman"/>
                <w:color w:val="000000"/>
                <w:sz w:val="20"/>
              </w:rPr>
              <w:t>12.5</w:t>
            </w:r>
          </w:p>
        </w:tc>
        <w:tc>
          <w:tcPr>
            <w:tcW w:w="1170" w:type="dxa"/>
            <w:tcBorders>
              <w:top w:val="single" w:sz="4" w:space="0" w:color="auto"/>
              <w:left w:val="single" w:sz="4" w:space="0" w:color="auto"/>
              <w:bottom w:val="single" w:sz="4" w:space="0" w:color="auto"/>
              <w:right w:val="single" w:sz="4" w:space="0" w:color="auto"/>
            </w:tcBorders>
            <w:vAlign w:val="center"/>
          </w:tcPr>
          <w:p w14:paraId="0E1EF054" w14:textId="77777777" w:rsidR="00FB0201" w:rsidRPr="00A5535E" w:rsidRDefault="00FB0201" w:rsidP="00CC0F12">
            <w:pPr>
              <w:keepNext/>
              <w:keepLines/>
              <w:autoSpaceDE w:val="0"/>
              <w:autoSpaceDN w:val="0"/>
              <w:adjustRightInd w:val="0"/>
              <w:spacing w:line="240" w:lineRule="auto"/>
              <w:jc w:val="center"/>
              <w:rPr>
                <w:rFonts w:cs="Times New Roman"/>
                <w:color w:val="000000"/>
                <w:sz w:val="20"/>
              </w:rPr>
            </w:pPr>
          </w:p>
        </w:tc>
        <w:tc>
          <w:tcPr>
            <w:tcW w:w="1210" w:type="dxa"/>
            <w:tcBorders>
              <w:top w:val="single" w:sz="4" w:space="0" w:color="auto"/>
              <w:left w:val="single" w:sz="4" w:space="0" w:color="auto"/>
              <w:bottom w:val="single" w:sz="4" w:space="0" w:color="auto"/>
              <w:right w:val="single" w:sz="4" w:space="0" w:color="auto"/>
            </w:tcBorders>
            <w:vAlign w:val="center"/>
          </w:tcPr>
          <w:p w14:paraId="53F68B00" w14:textId="45A07011" w:rsidR="00FB0201" w:rsidRPr="00A5535E" w:rsidRDefault="002D3C15" w:rsidP="00CC0F12">
            <w:pPr>
              <w:keepNext/>
              <w:keepLines/>
              <w:autoSpaceDE w:val="0"/>
              <w:autoSpaceDN w:val="0"/>
              <w:adjustRightInd w:val="0"/>
              <w:spacing w:line="240" w:lineRule="auto"/>
              <w:jc w:val="center"/>
              <w:rPr>
                <w:rFonts w:cs="Times New Roman"/>
                <w:color w:val="000000"/>
                <w:sz w:val="20"/>
              </w:rPr>
            </w:pPr>
            <w:r>
              <w:rPr>
                <w:rFonts w:cs="Times New Roman"/>
                <w:color w:val="000000"/>
                <w:sz w:val="20"/>
              </w:rPr>
              <w:t>12.5</w:t>
            </w:r>
          </w:p>
        </w:tc>
        <w:tc>
          <w:tcPr>
            <w:tcW w:w="1400" w:type="dxa"/>
            <w:tcBorders>
              <w:top w:val="single" w:sz="4" w:space="0" w:color="auto"/>
              <w:left w:val="single" w:sz="4" w:space="0" w:color="auto"/>
              <w:bottom w:val="single" w:sz="4" w:space="0" w:color="auto"/>
              <w:right w:val="single" w:sz="4" w:space="0" w:color="auto"/>
            </w:tcBorders>
            <w:vAlign w:val="center"/>
          </w:tcPr>
          <w:p w14:paraId="343F5997" w14:textId="0622AC94" w:rsidR="009113A8" w:rsidRPr="00A5535E" w:rsidRDefault="009113A8" w:rsidP="00CC0F12">
            <w:pPr>
              <w:keepNext/>
              <w:keepLines/>
              <w:autoSpaceDE w:val="0"/>
              <w:autoSpaceDN w:val="0"/>
              <w:adjustRightInd w:val="0"/>
              <w:spacing w:line="240" w:lineRule="auto"/>
              <w:jc w:val="center"/>
              <w:rPr>
                <w:rFonts w:cs="Times New Roman"/>
                <w:color w:val="000000"/>
                <w:sz w:val="20"/>
              </w:rPr>
            </w:pPr>
            <w:r>
              <w:rPr>
                <w:rFonts w:cs="Times New Roman"/>
                <w:color w:val="000000"/>
                <w:sz w:val="20"/>
              </w:rPr>
              <w:t>$</w:t>
            </w:r>
            <w:r w:rsidR="001A6030">
              <w:rPr>
                <w:rFonts w:cs="Times New Roman"/>
                <w:color w:val="000000"/>
                <w:sz w:val="20"/>
              </w:rPr>
              <w:t xml:space="preserve"> </w:t>
            </w:r>
            <w:r w:rsidR="002D3C15">
              <w:rPr>
                <w:rFonts w:cs="Times New Roman"/>
                <w:color w:val="000000"/>
                <w:sz w:val="20"/>
              </w:rPr>
              <w:t>979</w:t>
            </w:r>
          </w:p>
        </w:tc>
        <w:tc>
          <w:tcPr>
            <w:tcW w:w="1170" w:type="dxa"/>
            <w:tcBorders>
              <w:top w:val="single" w:sz="4" w:space="0" w:color="auto"/>
              <w:left w:val="single" w:sz="4" w:space="0" w:color="auto"/>
              <w:bottom w:val="single" w:sz="4" w:space="0" w:color="auto"/>
              <w:right w:val="single" w:sz="4" w:space="0" w:color="auto"/>
            </w:tcBorders>
            <w:vAlign w:val="center"/>
          </w:tcPr>
          <w:p w14:paraId="7D5CC07B" w14:textId="77777777" w:rsidR="00FB0201" w:rsidRPr="00A5535E" w:rsidRDefault="009113A8" w:rsidP="00CC0F12">
            <w:pPr>
              <w:keepNext/>
              <w:keepLines/>
              <w:autoSpaceDE w:val="0"/>
              <w:autoSpaceDN w:val="0"/>
              <w:adjustRightInd w:val="0"/>
              <w:spacing w:line="240" w:lineRule="auto"/>
              <w:jc w:val="center"/>
              <w:rPr>
                <w:rFonts w:cs="Times New Roman"/>
                <w:color w:val="000000"/>
                <w:sz w:val="20"/>
              </w:rPr>
            </w:pPr>
            <w:r>
              <w:rPr>
                <w:rFonts w:cs="Times New Roman"/>
                <w:color w:val="000000"/>
                <w:sz w:val="20"/>
              </w:rPr>
              <w:t>8</w:t>
            </w:r>
          </w:p>
        </w:tc>
        <w:tc>
          <w:tcPr>
            <w:tcW w:w="1170" w:type="dxa"/>
            <w:tcBorders>
              <w:top w:val="single" w:sz="4" w:space="0" w:color="auto"/>
              <w:left w:val="single" w:sz="4" w:space="0" w:color="auto"/>
              <w:bottom w:val="single" w:sz="4" w:space="0" w:color="auto"/>
              <w:right w:val="single" w:sz="4" w:space="0" w:color="auto"/>
            </w:tcBorders>
            <w:vAlign w:val="center"/>
          </w:tcPr>
          <w:p w14:paraId="6A512B96" w14:textId="079C5C81" w:rsidR="00FB0201" w:rsidRPr="00A5535E" w:rsidRDefault="002D3C15" w:rsidP="00CC0F12">
            <w:pPr>
              <w:keepNext/>
              <w:keepLines/>
              <w:autoSpaceDE w:val="0"/>
              <w:autoSpaceDN w:val="0"/>
              <w:adjustRightInd w:val="0"/>
              <w:spacing w:line="240" w:lineRule="auto"/>
              <w:jc w:val="center"/>
              <w:rPr>
                <w:rFonts w:cs="Times New Roman"/>
                <w:color w:val="000000"/>
                <w:sz w:val="20"/>
              </w:rPr>
            </w:pPr>
            <w:r>
              <w:rPr>
                <w:rFonts w:cs="Times New Roman"/>
                <w:color w:val="000000"/>
                <w:sz w:val="20"/>
              </w:rPr>
              <w:t>100</w:t>
            </w:r>
          </w:p>
        </w:tc>
        <w:tc>
          <w:tcPr>
            <w:tcW w:w="1271" w:type="dxa"/>
            <w:tcBorders>
              <w:top w:val="single" w:sz="4" w:space="0" w:color="auto"/>
              <w:left w:val="single" w:sz="4" w:space="0" w:color="auto"/>
              <w:bottom w:val="single" w:sz="4" w:space="0" w:color="auto"/>
              <w:right w:val="single" w:sz="4" w:space="0" w:color="auto"/>
            </w:tcBorders>
            <w:vAlign w:val="center"/>
          </w:tcPr>
          <w:p w14:paraId="470211E7" w14:textId="50364EEE" w:rsidR="009113A8" w:rsidRPr="00A5535E" w:rsidRDefault="009113A8" w:rsidP="00CC0F12">
            <w:pPr>
              <w:keepNext/>
              <w:keepLines/>
              <w:autoSpaceDE w:val="0"/>
              <w:autoSpaceDN w:val="0"/>
              <w:adjustRightInd w:val="0"/>
              <w:spacing w:line="240" w:lineRule="auto"/>
              <w:jc w:val="center"/>
              <w:rPr>
                <w:rFonts w:cs="Times New Roman"/>
                <w:color w:val="000000"/>
                <w:sz w:val="20"/>
              </w:rPr>
            </w:pPr>
            <w:r>
              <w:rPr>
                <w:rFonts w:cs="Times New Roman"/>
                <w:color w:val="000000"/>
                <w:sz w:val="20"/>
              </w:rPr>
              <w:t>$</w:t>
            </w:r>
            <w:r w:rsidR="00DC3B7F">
              <w:rPr>
                <w:rFonts w:cs="Times New Roman"/>
                <w:color w:val="000000"/>
                <w:sz w:val="20"/>
              </w:rPr>
              <w:t xml:space="preserve"> </w:t>
            </w:r>
            <w:r w:rsidR="002D3C15">
              <w:rPr>
                <w:rFonts w:cs="Times New Roman"/>
                <w:color w:val="000000"/>
                <w:sz w:val="20"/>
              </w:rPr>
              <w:t>7,833</w:t>
            </w:r>
          </w:p>
        </w:tc>
      </w:tr>
      <w:tr w:rsidR="00DC3B7F" w:rsidRPr="00A5535E" w14:paraId="1CB28D0F" w14:textId="77777777" w:rsidTr="006A1D5F">
        <w:trPr>
          <w:trHeight w:val="353"/>
          <w:jc w:val="center"/>
        </w:trPr>
        <w:tc>
          <w:tcPr>
            <w:tcW w:w="13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A61F00" w14:textId="76EEBB24" w:rsidR="00DC3B7F" w:rsidRPr="00CE6A37" w:rsidRDefault="00CE6A37" w:rsidP="00CC0F12">
            <w:pPr>
              <w:keepNext/>
              <w:keepLines/>
              <w:autoSpaceDE w:val="0"/>
              <w:autoSpaceDN w:val="0"/>
              <w:adjustRightInd w:val="0"/>
              <w:spacing w:line="240" w:lineRule="auto"/>
              <w:rPr>
                <w:rFonts w:cs="Times New Roman"/>
                <w:b/>
                <w:color w:val="000000"/>
                <w:sz w:val="20"/>
              </w:rPr>
            </w:pPr>
            <w:r w:rsidRPr="00CE6A37">
              <w:rPr>
                <w:rFonts w:cs="Times New Roman"/>
                <w:b/>
                <w:color w:val="000000"/>
                <w:sz w:val="20"/>
              </w:rPr>
              <w:t>Total</w:t>
            </w: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0036FE" w14:textId="77777777" w:rsidR="00DC3B7F" w:rsidRPr="00CE6A37" w:rsidRDefault="00DC3B7F" w:rsidP="00CC0F12">
            <w:pPr>
              <w:keepNext/>
              <w:keepLines/>
              <w:autoSpaceDE w:val="0"/>
              <w:autoSpaceDN w:val="0"/>
              <w:adjustRightInd w:val="0"/>
              <w:spacing w:line="240" w:lineRule="auto"/>
              <w:jc w:val="center"/>
              <w:rPr>
                <w:rFonts w:cs="Times New Roman"/>
                <w:b/>
                <w:color w:val="000000"/>
                <w:sz w:val="20"/>
              </w:rPr>
            </w:pP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4A68A4" w14:textId="77777777" w:rsidR="00DC3B7F" w:rsidRPr="00CE6A37" w:rsidRDefault="00DC3B7F" w:rsidP="00CC0F12">
            <w:pPr>
              <w:keepNext/>
              <w:keepLines/>
              <w:autoSpaceDE w:val="0"/>
              <w:autoSpaceDN w:val="0"/>
              <w:adjustRightInd w:val="0"/>
              <w:spacing w:line="240" w:lineRule="auto"/>
              <w:jc w:val="center"/>
              <w:rPr>
                <w:rFonts w:cs="Times New Roman"/>
                <w:b/>
                <w:color w:val="000000"/>
                <w:sz w:val="20"/>
              </w:rPr>
            </w:pPr>
          </w:p>
        </w:tc>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9D4886" w14:textId="2819043B" w:rsidR="00DC3B7F" w:rsidRPr="00CE6A37" w:rsidRDefault="002D3C15" w:rsidP="00CC0F12">
            <w:pPr>
              <w:keepNext/>
              <w:keepLines/>
              <w:autoSpaceDE w:val="0"/>
              <w:autoSpaceDN w:val="0"/>
              <w:adjustRightInd w:val="0"/>
              <w:spacing w:line="240" w:lineRule="auto"/>
              <w:jc w:val="center"/>
              <w:rPr>
                <w:rFonts w:cs="Times New Roman"/>
                <w:b/>
                <w:color w:val="000000"/>
                <w:sz w:val="20"/>
              </w:rPr>
            </w:pPr>
            <w:r>
              <w:rPr>
                <w:rFonts w:cs="Times New Roman"/>
                <w:b/>
                <w:color w:val="000000"/>
                <w:sz w:val="20"/>
              </w:rPr>
              <w:t>40</w:t>
            </w:r>
          </w:p>
        </w:tc>
        <w:tc>
          <w:tcPr>
            <w:tcW w:w="14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0F41AB8" w14:textId="4E7EDFEB" w:rsidR="00DC3B7F" w:rsidRPr="00CE6A37" w:rsidRDefault="00D6421E" w:rsidP="00CC0F12">
            <w:pPr>
              <w:keepNext/>
              <w:keepLines/>
              <w:autoSpaceDE w:val="0"/>
              <w:autoSpaceDN w:val="0"/>
              <w:adjustRightInd w:val="0"/>
              <w:spacing w:line="240" w:lineRule="auto"/>
              <w:jc w:val="center"/>
              <w:rPr>
                <w:rFonts w:cs="Times New Roman"/>
                <w:b/>
                <w:color w:val="000000"/>
                <w:sz w:val="20"/>
              </w:rPr>
            </w:pPr>
            <w:r w:rsidRPr="00CE6A37">
              <w:rPr>
                <w:rFonts w:cs="Times New Roman"/>
                <w:b/>
                <w:color w:val="000000"/>
                <w:sz w:val="20"/>
              </w:rPr>
              <w:t xml:space="preserve">$ </w:t>
            </w:r>
            <w:r w:rsidR="002D3C15">
              <w:rPr>
                <w:rFonts w:cs="Times New Roman"/>
                <w:b/>
                <w:color w:val="000000"/>
                <w:sz w:val="20"/>
              </w:rPr>
              <w:t>3,133</w:t>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FB1B6BF" w14:textId="77777777" w:rsidR="00DC3B7F" w:rsidRPr="00CE6A37" w:rsidRDefault="00DC3B7F" w:rsidP="00CC0F12">
            <w:pPr>
              <w:keepNext/>
              <w:keepLines/>
              <w:autoSpaceDE w:val="0"/>
              <w:autoSpaceDN w:val="0"/>
              <w:adjustRightInd w:val="0"/>
              <w:spacing w:line="240" w:lineRule="auto"/>
              <w:jc w:val="center"/>
              <w:rPr>
                <w:rFonts w:cs="Times New Roman"/>
                <w:b/>
                <w:color w:val="000000"/>
                <w:sz w:val="20"/>
              </w:rPr>
            </w:pP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BC962D" w14:textId="333A559D" w:rsidR="00DC3B7F" w:rsidRPr="00CE6A37" w:rsidRDefault="002D3C15" w:rsidP="00CC0F12">
            <w:pPr>
              <w:keepNext/>
              <w:keepLines/>
              <w:autoSpaceDE w:val="0"/>
              <w:autoSpaceDN w:val="0"/>
              <w:adjustRightInd w:val="0"/>
              <w:spacing w:line="240" w:lineRule="auto"/>
              <w:jc w:val="center"/>
              <w:rPr>
                <w:rFonts w:cs="Times New Roman"/>
                <w:b/>
                <w:color w:val="000000"/>
                <w:sz w:val="20"/>
              </w:rPr>
            </w:pPr>
            <w:r>
              <w:rPr>
                <w:rFonts w:cs="Times New Roman"/>
                <w:b/>
                <w:color w:val="000000"/>
                <w:sz w:val="20"/>
              </w:rPr>
              <w:t>320</w:t>
            </w:r>
          </w:p>
        </w:tc>
        <w:tc>
          <w:tcPr>
            <w:tcW w:w="1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0DA2B0F" w14:textId="4F1E15C7" w:rsidR="00DC3B7F" w:rsidRPr="00CE6A37" w:rsidRDefault="00DC3B7F" w:rsidP="00CC0F12">
            <w:pPr>
              <w:keepNext/>
              <w:keepLines/>
              <w:autoSpaceDE w:val="0"/>
              <w:autoSpaceDN w:val="0"/>
              <w:adjustRightInd w:val="0"/>
              <w:spacing w:line="240" w:lineRule="auto"/>
              <w:jc w:val="center"/>
              <w:rPr>
                <w:rFonts w:cs="Times New Roman"/>
                <w:b/>
                <w:color w:val="000000"/>
                <w:sz w:val="20"/>
              </w:rPr>
            </w:pPr>
            <w:r w:rsidRPr="00CE6A37">
              <w:rPr>
                <w:rFonts w:cs="Times New Roman"/>
                <w:b/>
                <w:color w:val="000000"/>
                <w:sz w:val="20"/>
              </w:rPr>
              <w:t xml:space="preserve">$ </w:t>
            </w:r>
            <w:r w:rsidR="002D3C15">
              <w:rPr>
                <w:rFonts w:cs="Times New Roman"/>
                <w:b/>
                <w:color w:val="000000"/>
                <w:sz w:val="20"/>
              </w:rPr>
              <w:t>25,065</w:t>
            </w:r>
          </w:p>
        </w:tc>
      </w:tr>
    </w:tbl>
    <w:p w14:paraId="2E29ADE8" w14:textId="77777777" w:rsidR="00DE6EDF" w:rsidRPr="009D24B5" w:rsidRDefault="004C0A94" w:rsidP="00CC0F12">
      <w:pPr>
        <w:keepNext/>
        <w:keepLines/>
        <w:rPr>
          <w:sz w:val="20"/>
          <w:szCs w:val="20"/>
        </w:rPr>
      </w:pPr>
      <w:r w:rsidRPr="009D24B5">
        <w:rPr>
          <w:rFonts w:cs="Times New Roman"/>
          <w:bCs/>
          <w:color w:val="000000"/>
          <w:sz w:val="20"/>
          <w:szCs w:val="20"/>
          <w:vertAlign w:val="superscript"/>
        </w:rPr>
        <w:t xml:space="preserve">[a] </w:t>
      </w:r>
      <w:r w:rsidRPr="009D24B5">
        <w:rPr>
          <w:rFonts w:cs="Times New Roman"/>
          <w:bCs/>
          <w:color w:val="000000"/>
          <w:sz w:val="20"/>
          <w:szCs w:val="20"/>
        </w:rPr>
        <w:t>Totals may not add due to rounding;</w:t>
      </w:r>
      <w:r w:rsidRPr="009D24B5">
        <w:rPr>
          <w:rFonts w:cs="Times New Roman"/>
          <w:bCs/>
          <w:color w:val="000000"/>
          <w:sz w:val="20"/>
          <w:szCs w:val="20"/>
          <w:vertAlign w:val="superscript"/>
        </w:rPr>
        <w:t xml:space="preserve"> [b]</w:t>
      </w:r>
      <w:r w:rsidRPr="009D24B5">
        <w:rPr>
          <w:rFonts w:cs="Times New Roman"/>
          <w:bCs/>
          <w:color w:val="000000"/>
          <w:sz w:val="20"/>
          <w:szCs w:val="20"/>
          <w:vertAlign w:val="subscript"/>
        </w:rPr>
        <w:t xml:space="preserve"> </w:t>
      </w:r>
      <w:r w:rsidRPr="009D24B5">
        <w:rPr>
          <w:rFonts w:cs="Times New Roman"/>
          <w:bCs/>
          <w:color w:val="000000"/>
          <w:sz w:val="20"/>
          <w:szCs w:val="20"/>
        </w:rPr>
        <w:t xml:space="preserve">Sum of staff hours; </w:t>
      </w:r>
      <w:r w:rsidRPr="009D24B5">
        <w:rPr>
          <w:rFonts w:cs="Times New Roman"/>
          <w:bCs/>
          <w:color w:val="000000"/>
          <w:sz w:val="20"/>
          <w:szCs w:val="20"/>
          <w:vertAlign w:val="superscript"/>
        </w:rPr>
        <w:t>[c]</w:t>
      </w:r>
      <w:r w:rsidRPr="009D24B5">
        <w:rPr>
          <w:rFonts w:cs="Times New Roman"/>
          <w:bCs/>
          <w:color w:val="000000"/>
          <w:sz w:val="20"/>
          <w:szCs w:val="20"/>
        </w:rPr>
        <w:t xml:space="preserve"> Sum of staff hours x labor rates; </w:t>
      </w:r>
      <w:r w:rsidRPr="009D24B5">
        <w:rPr>
          <w:rFonts w:cs="Times New Roman"/>
          <w:bCs/>
          <w:color w:val="000000"/>
          <w:sz w:val="20"/>
          <w:szCs w:val="20"/>
          <w:vertAlign w:val="superscript"/>
        </w:rPr>
        <w:t>[d]</w:t>
      </w:r>
      <w:r w:rsidRPr="009D24B5">
        <w:rPr>
          <w:rFonts w:cs="Times New Roman"/>
          <w:bCs/>
          <w:color w:val="000000"/>
          <w:sz w:val="20"/>
          <w:szCs w:val="20"/>
        </w:rPr>
        <w:t xml:space="preserve"> Hours/respondent/year x total number of respondents; </w:t>
      </w:r>
      <w:r w:rsidRPr="009D24B5">
        <w:rPr>
          <w:rFonts w:cs="Times New Roman"/>
          <w:bCs/>
          <w:color w:val="000000"/>
          <w:sz w:val="20"/>
          <w:szCs w:val="20"/>
          <w:vertAlign w:val="superscript"/>
        </w:rPr>
        <w:t xml:space="preserve">[e] </w:t>
      </w:r>
      <w:r w:rsidRPr="009D24B5">
        <w:rPr>
          <w:rFonts w:cs="Times New Roman"/>
          <w:bCs/>
          <w:color w:val="000000"/>
          <w:sz w:val="20"/>
          <w:szCs w:val="20"/>
        </w:rPr>
        <w:t>Labor</w:t>
      </w:r>
      <w:r w:rsidR="00CE29E8" w:rsidRPr="009D24B5">
        <w:rPr>
          <w:rFonts w:cs="Times New Roman"/>
          <w:bCs/>
          <w:color w:val="000000"/>
          <w:sz w:val="20"/>
          <w:szCs w:val="20"/>
        </w:rPr>
        <w:t xml:space="preserve"> cost</w:t>
      </w:r>
      <w:r w:rsidRPr="009D24B5">
        <w:rPr>
          <w:rFonts w:cs="Times New Roman"/>
          <w:bCs/>
          <w:color w:val="000000"/>
          <w:sz w:val="20"/>
          <w:szCs w:val="20"/>
        </w:rPr>
        <w:t>/respondent x total number of respondents</w:t>
      </w:r>
      <w:r w:rsidR="004F4536" w:rsidRPr="009D24B5">
        <w:rPr>
          <w:rFonts w:cs="Times New Roman"/>
          <w:bCs/>
          <w:color w:val="000000"/>
          <w:sz w:val="20"/>
          <w:szCs w:val="20"/>
        </w:rPr>
        <w:t xml:space="preserve">; </w:t>
      </w:r>
      <w:r w:rsidR="004F4536" w:rsidRPr="009D24B5">
        <w:rPr>
          <w:rFonts w:cs="Times New Roman"/>
          <w:bCs/>
          <w:color w:val="000000"/>
          <w:sz w:val="20"/>
          <w:szCs w:val="20"/>
          <w:vertAlign w:val="superscript"/>
        </w:rPr>
        <w:t>[e]</w:t>
      </w:r>
      <w:r w:rsidR="004F4536" w:rsidRPr="009D24B5">
        <w:rPr>
          <w:rFonts w:cs="Times New Roman"/>
          <w:bCs/>
          <w:color w:val="000000"/>
          <w:sz w:val="20"/>
          <w:szCs w:val="20"/>
        </w:rPr>
        <w:t xml:space="preserve"> </w:t>
      </w:r>
      <w:r w:rsidR="009D24B5" w:rsidRPr="009D24B5">
        <w:rPr>
          <w:rFonts w:cs="Times New Roman"/>
          <w:bCs/>
          <w:color w:val="000000"/>
          <w:sz w:val="20"/>
          <w:szCs w:val="20"/>
        </w:rPr>
        <w:t>Numbers in parenthesis represent a negative value.</w:t>
      </w:r>
    </w:p>
    <w:p w14:paraId="10015EC6" w14:textId="77777777" w:rsidR="009113A8" w:rsidRDefault="009113A8" w:rsidP="00EB6419"/>
    <w:p w14:paraId="1F9D7BF7" w14:textId="77777777" w:rsidR="002E612D" w:rsidRPr="00576ABF" w:rsidRDefault="002E612D" w:rsidP="00EB6419">
      <w:pPr>
        <w:rPr>
          <w:b/>
        </w:rPr>
      </w:pPr>
      <w:r w:rsidRPr="00576ABF">
        <w:rPr>
          <w:b/>
        </w:rPr>
        <w:tab/>
        <w:t>6(c). Estimating Agency Burden and Costs</w:t>
      </w:r>
    </w:p>
    <w:p w14:paraId="77A988BF" w14:textId="77777777" w:rsidR="002E612D" w:rsidRDefault="002E612D" w:rsidP="00EB6419"/>
    <w:p w14:paraId="1AEA2DA3" w14:textId="10B38BB8" w:rsidR="00DB3CAB" w:rsidRDefault="00DB3CAB" w:rsidP="00DC3B7F">
      <w:pPr>
        <w:ind w:left="720"/>
      </w:pPr>
      <w:r>
        <w:t xml:space="preserve">The guidance does not impact </w:t>
      </w:r>
      <w:r w:rsidR="00DC3B7F">
        <w:t>Agency hourly burden and cost estimates</w:t>
      </w:r>
      <w:r w:rsidR="008A03B6">
        <w:t>. H</w:t>
      </w:r>
      <w:r>
        <w:t xml:space="preserve">owever, the guidance will likely reduce Agency burden and costs </w:t>
      </w:r>
      <w:r w:rsidR="008A03B6">
        <w:t>in reviewing PCB applications</w:t>
      </w:r>
      <w:r>
        <w:t xml:space="preserve">, </w:t>
      </w:r>
      <w:r w:rsidR="008A03B6">
        <w:t xml:space="preserve">which are </w:t>
      </w:r>
      <w:r>
        <w:t xml:space="preserve">activities reported in </w:t>
      </w:r>
      <w:r w:rsidR="005A1943">
        <w:t>OMB Control No. 2070-0112</w:t>
      </w:r>
      <w:r w:rsidRPr="006F21D7">
        <w:t>.</w:t>
      </w:r>
      <w:r>
        <w:t xml:space="preserve"> </w:t>
      </w:r>
    </w:p>
    <w:p w14:paraId="69A23A8E" w14:textId="77777777" w:rsidR="00173E7F" w:rsidRDefault="00173E7F" w:rsidP="00EB6419"/>
    <w:p w14:paraId="0FAD5299" w14:textId="77777777" w:rsidR="002E612D" w:rsidRPr="00576ABF" w:rsidRDefault="002E612D" w:rsidP="00EB6419">
      <w:pPr>
        <w:rPr>
          <w:b/>
        </w:rPr>
      </w:pPr>
      <w:r w:rsidRPr="00576ABF">
        <w:rPr>
          <w:b/>
        </w:rPr>
        <w:tab/>
        <w:t>6(d). Estimating the Respondent Universe and Total Burden Costs</w:t>
      </w:r>
    </w:p>
    <w:p w14:paraId="07467879" w14:textId="77777777" w:rsidR="002E612D" w:rsidRDefault="002E612D" w:rsidP="00EB6419"/>
    <w:p w14:paraId="358878F9" w14:textId="5303DF05" w:rsidR="00DC3B7F" w:rsidRDefault="00DC3B7F" w:rsidP="00DC3B7F">
      <w:pPr>
        <w:ind w:left="720"/>
      </w:pPr>
      <w:r>
        <w:t xml:space="preserve">See </w:t>
      </w:r>
      <w:r w:rsidR="002900AC">
        <w:t>T</w:t>
      </w:r>
      <w:r>
        <w:t xml:space="preserve">able 6-2 for this information. The total </w:t>
      </w:r>
      <w:r w:rsidR="005B187E">
        <w:t xml:space="preserve">annual </w:t>
      </w:r>
      <w:r>
        <w:t xml:space="preserve">burden </w:t>
      </w:r>
      <w:r w:rsidR="001A6030">
        <w:t>on applicants using</w:t>
      </w:r>
      <w:r>
        <w:t xml:space="preserve"> the guidance</w:t>
      </w:r>
      <w:r w:rsidR="001A6030">
        <w:t xml:space="preserve"> will be </w:t>
      </w:r>
      <w:r w:rsidR="00CC0F12">
        <w:t>320</w:t>
      </w:r>
      <w:r w:rsidR="001A6030">
        <w:t xml:space="preserve"> hours and cost a total of $</w:t>
      </w:r>
      <w:r w:rsidR="00CC0F12">
        <w:t>25,065</w:t>
      </w:r>
      <w:r w:rsidR="001A6030">
        <w:t xml:space="preserve">. However, </w:t>
      </w:r>
      <w:r w:rsidR="005B187E">
        <w:t xml:space="preserve">use of the guidance in </w:t>
      </w:r>
      <w:r w:rsidR="001A6030">
        <w:t xml:space="preserve">streamlining the application process will reduce </w:t>
      </w:r>
      <w:r w:rsidR="00CE6A37">
        <w:t xml:space="preserve">the burden and cost </w:t>
      </w:r>
      <w:r w:rsidR="0083447D">
        <w:t xml:space="preserve">in </w:t>
      </w:r>
      <w:r w:rsidR="005A1943">
        <w:rPr>
          <w:rFonts w:eastAsia="Times New Roman" w:cs="Times New Roman"/>
          <w:szCs w:val="24"/>
        </w:rPr>
        <w:t>OMB Control No. 2070-0112</w:t>
      </w:r>
      <w:r w:rsidR="00CE6A37" w:rsidRPr="006F21D7">
        <w:t>.</w:t>
      </w:r>
    </w:p>
    <w:p w14:paraId="4F95B914" w14:textId="77777777" w:rsidR="00C108A6" w:rsidRDefault="00C108A6" w:rsidP="00EB6419"/>
    <w:p w14:paraId="3DEA1F30" w14:textId="77777777" w:rsidR="002E612D" w:rsidRPr="00576ABF" w:rsidRDefault="002E612D" w:rsidP="00EB6419">
      <w:pPr>
        <w:rPr>
          <w:b/>
        </w:rPr>
      </w:pPr>
      <w:r w:rsidRPr="00576ABF">
        <w:rPr>
          <w:b/>
        </w:rPr>
        <w:tab/>
        <w:t>6(e). Bottom Line Burden Hours and Costs</w:t>
      </w:r>
    </w:p>
    <w:p w14:paraId="59BB55FE" w14:textId="77777777" w:rsidR="002E612D" w:rsidRDefault="002E612D" w:rsidP="00EB6419"/>
    <w:p w14:paraId="02DEDE26" w14:textId="77777777" w:rsidR="001A6030" w:rsidRPr="00576ABF" w:rsidRDefault="001A6030" w:rsidP="00D125A9">
      <w:pPr>
        <w:ind w:left="720"/>
        <w:rPr>
          <w:b/>
        </w:rPr>
      </w:pPr>
      <w:r w:rsidRPr="00576ABF">
        <w:rPr>
          <w:b/>
        </w:rPr>
        <w:tab/>
        <w:t>6(e)</w:t>
      </w:r>
      <w:r>
        <w:rPr>
          <w:b/>
        </w:rPr>
        <w:t>(i)</w:t>
      </w:r>
      <w:r w:rsidRPr="00576ABF">
        <w:rPr>
          <w:b/>
        </w:rPr>
        <w:t xml:space="preserve">. </w:t>
      </w:r>
      <w:r>
        <w:rPr>
          <w:b/>
        </w:rPr>
        <w:t>Respondent Tally</w:t>
      </w:r>
    </w:p>
    <w:p w14:paraId="3AFD085C" w14:textId="77777777" w:rsidR="002E612D" w:rsidRDefault="002E612D" w:rsidP="00D125A9">
      <w:pPr>
        <w:ind w:left="720"/>
      </w:pPr>
    </w:p>
    <w:p w14:paraId="18367FE0" w14:textId="593C69EB" w:rsidR="001A6030" w:rsidRPr="001A6030" w:rsidRDefault="001A6030" w:rsidP="00D125A9">
      <w:pPr>
        <w:ind w:left="1440"/>
      </w:pPr>
      <w:r>
        <w:t xml:space="preserve">As indicated in Table 6-2, the </w:t>
      </w:r>
      <w:r w:rsidR="00AC6FC4">
        <w:t xml:space="preserve">total </w:t>
      </w:r>
      <w:r>
        <w:t xml:space="preserve">respondent annual burden is </w:t>
      </w:r>
      <w:r w:rsidR="00CC0F12">
        <w:t>320</w:t>
      </w:r>
      <w:r>
        <w:t xml:space="preserve"> hours and $</w:t>
      </w:r>
      <w:r w:rsidR="00CC0F12">
        <w:t>25,065</w:t>
      </w:r>
      <w:r>
        <w:t>.</w:t>
      </w:r>
    </w:p>
    <w:p w14:paraId="7DD485AB" w14:textId="77777777" w:rsidR="001A6030" w:rsidRDefault="001A6030" w:rsidP="00D125A9">
      <w:pPr>
        <w:ind w:left="720"/>
      </w:pPr>
    </w:p>
    <w:p w14:paraId="5D18F465" w14:textId="77777777" w:rsidR="001A6030" w:rsidRDefault="001A6030" w:rsidP="00D125A9">
      <w:pPr>
        <w:ind w:left="720"/>
        <w:rPr>
          <w:b/>
        </w:rPr>
      </w:pPr>
      <w:r w:rsidRPr="00576ABF">
        <w:rPr>
          <w:b/>
        </w:rPr>
        <w:tab/>
        <w:t>6(e)</w:t>
      </w:r>
      <w:r>
        <w:rPr>
          <w:b/>
        </w:rPr>
        <w:t>(ii)</w:t>
      </w:r>
      <w:r w:rsidRPr="00576ABF">
        <w:rPr>
          <w:b/>
        </w:rPr>
        <w:t xml:space="preserve">. </w:t>
      </w:r>
      <w:r>
        <w:rPr>
          <w:b/>
        </w:rPr>
        <w:t>Agency Tally</w:t>
      </w:r>
    </w:p>
    <w:p w14:paraId="2164A986" w14:textId="77777777" w:rsidR="001A6030" w:rsidRDefault="001A6030" w:rsidP="00D125A9">
      <w:pPr>
        <w:ind w:left="720"/>
      </w:pPr>
      <w:r>
        <w:tab/>
      </w:r>
    </w:p>
    <w:p w14:paraId="2DC8438F" w14:textId="568FA01A" w:rsidR="001A6030" w:rsidRPr="001A6030" w:rsidRDefault="0083447D" w:rsidP="00D125A9">
      <w:pPr>
        <w:ind w:left="1440"/>
      </w:pPr>
      <w:r>
        <w:t>This guidance does not affect A</w:t>
      </w:r>
      <w:r w:rsidR="001A6030">
        <w:t xml:space="preserve">gency annual burden </w:t>
      </w:r>
      <w:r w:rsidR="00CE6A37">
        <w:t>and cost</w:t>
      </w:r>
      <w:r>
        <w:t xml:space="preserve"> under this ICR. However, the guidance will likely reduce Agency burden and costs in reviewing PCB applications, which are activities reported in </w:t>
      </w:r>
      <w:r w:rsidR="005A1943">
        <w:t>OMB Control No. 2070-0112</w:t>
      </w:r>
      <w:r w:rsidRPr="006F21D7">
        <w:t>.</w:t>
      </w:r>
    </w:p>
    <w:p w14:paraId="76D4A288" w14:textId="77777777" w:rsidR="001A6030" w:rsidRDefault="001A6030" w:rsidP="00D125A9">
      <w:pPr>
        <w:ind w:left="720"/>
      </w:pPr>
    </w:p>
    <w:p w14:paraId="566C3696" w14:textId="77777777" w:rsidR="002900AC" w:rsidRDefault="002900AC" w:rsidP="00D125A9">
      <w:pPr>
        <w:ind w:left="720"/>
        <w:rPr>
          <w:b/>
        </w:rPr>
      </w:pPr>
      <w:r w:rsidRPr="00576ABF">
        <w:rPr>
          <w:b/>
        </w:rPr>
        <w:tab/>
        <w:t>6(e)</w:t>
      </w:r>
      <w:r>
        <w:rPr>
          <w:b/>
        </w:rPr>
        <w:t>(iii)</w:t>
      </w:r>
      <w:r w:rsidRPr="00576ABF">
        <w:rPr>
          <w:b/>
        </w:rPr>
        <w:t xml:space="preserve">. </w:t>
      </w:r>
      <w:r>
        <w:rPr>
          <w:b/>
        </w:rPr>
        <w:t>Variation in the Annual Bottom Line</w:t>
      </w:r>
    </w:p>
    <w:p w14:paraId="10770A03" w14:textId="77777777" w:rsidR="002900AC" w:rsidRDefault="002900AC" w:rsidP="00D125A9">
      <w:pPr>
        <w:ind w:left="720"/>
      </w:pPr>
      <w:r>
        <w:tab/>
      </w:r>
    </w:p>
    <w:p w14:paraId="41C7CFAF" w14:textId="77777777" w:rsidR="002900AC" w:rsidRPr="001A6030" w:rsidRDefault="002900AC" w:rsidP="00D125A9">
      <w:pPr>
        <w:ind w:left="1440"/>
      </w:pPr>
      <w:r>
        <w:t>There are no anticipated significant variations in the annual burden or cost for either the respondent</w:t>
      </w:r>
      <w:r w:rsidR="00D125A9">
        <w:t>s</w:t>
      </w:r>
      <w:r>
        <w:t xml:space="preserve"> or the federal government.</w:t>
      </w:r>
    </w:p>
    <w:p w14:paraId="29774810" w14:textId="77777777" w:rsidR="002900AC" w:rsidRDefault="002900AC" w:rsidP="00EB6419"/>
    <w:p w14:paraId="60145F55" w14:textId="77777777" w:rsidR="002E612D" w:rsidRPr="00576ABF" w:rsidRDefault="002E612D" w:rsidP="00EB6419">
      <w:pPr>
        <w:rPr>
          <w:b/>
        </w:rPr>
      </w:pPr>
      <w:r w:rsidRPr="00576ABF">
        <w:rPr>
          <w:b/>
        </w:rPr>
        <w:tab/>
        <w:t>6(f). Reasons for Change in Burden</w:t>
      </w:r>
    </w:p>
    <w:p w14:paraId="089A31B3" w14:textId="77777777" w:rsidR="002E612D" w:rsidRDefault="002E612D" w:rsidP="00EB6419"/>
    <w:p w14:paraId="7C1BF35A" w14:textId="5EEB09E7" w:rsidR="002E612D" w:rsidRDefault="0005267F" w:rsidP="0005267F">
      <w:pPr>
        <w:ind w:left="720"/>
        <w:rPr>
          <w:rFonts w:eastAsia="Times New Roman" w:cs="Times New Roman"/>
          <w:szCs w:val="24"/>
        </w:rPr>
      </w:pPr>
      <w:r w:rsidRPr="0005267F">
        <w:rPr>
          <w:rFonts w:eastAsia="Times New Roman" w:cs="Times New Roman"/>
          <w:szCs w:val="24"/>
        </w:rPr>
        <w:t xml:space="preserve">This </w:t>
      </w:r>
      <w:r>
        <w:rPr>
          <w:rFonts w:eastAsia="Times New Roman" w:cs="Times New Roman"/>
          <w:szCs w:val="24"/>
        </w:rPr>
        <w:t xml:space="preserve">new </w:t>
      </w:r>
      <w:r w:rsidRPr="0005267F">
        <w:rPr>
          <w:rFonts w:eastAsia="Times New Roman" w:cs="Times New Roman"/>
          <w:szCs w:val="24"/>
        </w:rPr>
        <w:t>ICR describes the guidance and estimates the annual hour and cost burden to respondents and EPA who choose to use the new Guidance for Applicants Requesting to Treat/Dispose of PCBs Using Incineration or an Alternative Method.  This guidance combines two existing guidance documents that were developed in 1986 for persons applying to EPA for approval to dispose of PCBs using incineration (761.70) or a method alternative to incineration (761.60(e)) and present and discuss the format, content, and suggested level of detail for approval applications, test plans, and test reports.</w:t>
      </w:r>
    </w:p>
    <w:p w14:paraId="7C5F1A92" w14:textId="77777777" w:rsidR="0005267F" w:rsidRDefault="0005267F" w:rsidP="00EB6419"/>
    <w:p w14:paraId="5753BD14" w14:textId="77777777" w:rsidR="002E612D" w:rsidRPr="00576ABF" w:rsidRDefault="002E612D" w:rsidP="00EB6419">
      <w:pPr>
        <w:rPr>
          <w:b/>
        </w:rPr>
      </w:pPr>
      <w:r w:rsidRPr="00576ABF">
        <w:rPr>
          <w:b/>
        </w:rPr>
        <w:tab/>
        <w:t>6(g). Burden Statement</w:t>
      </w:r>
    </w:p>
    <w:p w14:paraId="42898BFF" w14:textId="77777777" w:rsidR="002E612D" w:rsidRDefault="002E612D" w:rsidP="00EB6419"/>
    <w:p w14:paraId="31CC8669" w14:textId="4F8CF435" w:rsidR="009D24B5" w:rsidRDefault="009D24B5" w:rsidP="009D24B5">
      <w:pPr>
        <w:ind w:left="720"/>
      </w:pPr>
      <w:bookmarkStart w:id="3" w:name="_Hlk3878934"/>
      <w:bookmarkStart w:id="4" w:name="_Hlk2674013"/>
      <w:r>
        <w:t>The public burden for using this guidance when applying to treat/dispose of PCB waste using incineration or an alternative method, which is approved under OMB 20</w:t>
      </w:r>
      <w:r w:rsidR="00812D98">
        <w:t>7</w:t>
      </w:r>
      <w:r>
        <w:t xml:space="preserve">0-NEW, is estimated to average </w:t>
      </w:r>
      <w:r w:rsidR="00CC0F12">
        <w:t>40</w:t>
      </w:r>
      <w:r>
        <w:t xml:space="preserve"> hours per applicant. This average is the combination of reading this guidance (estimated to be </w:t>
      </w:r>
      <w:r w:rsidR="00CC0F12">
        <w:t>27.5</w:t>
      </w:r>
      <w:r>
        <w:t xml:space="preserve"> hours per applicant) and filling out the checklists in the appendices of this guidance (estimated to be </w:t>
      </w:r>
      <w:r w:rsidR="00CC0F12">
        <w:t>12.5</w:t>
      </w:r>
      <w:r>
        <w:t xml:space="preserve"> hours per applicant). </w:t>
      </w:r>
      <w:r w:rsidR="00CE6A37">
        <w:t>However, t</w:t>
      </w:r>
      <w:r>
        <w:t xml:space="preserve">he overall burden on those applying to treat/dispose of PCB waste using incineration or an alternative method is expected to be reduced </w:t>
      </w:r>
      <w:r w:rsidR="00CE6A37">
        <w:t xml:space="preserve">significantly </w:t>
      </w:r>
      <w:r>
        <w:t>because this guidance will streamline the approval process</w:t>
      </w:r>
      <w:r w:rsidR="00BC7085">
        <w:t>. T</w:t>
      </w:r>
      <w:r w:rsidR="00CE6A37">
        <w:t>his is captured in a separate ICR</w:t>
      </w:r>
      <w:r w:rsidR="00516305">
        <w:t xml:space="preserve">, </w:t>
      </w:r>
      <w:r w:rsidR="005A1943" w:rsidRPr="008A1376">
        <w:rPr>
          <w:rFonts w:eastAsia="Times New Roman" w:cs="Times New Roman"/>
          <w:szCs w:val="24"/>
        </w:rPr>
        <w:t>PCBs</w:t>
      </w:r>
      <w:r w:rsidR="005A1943">
        <w:rPr>
          <w:rFonts w:eastAsia="Times New Roman" w:cs="Times New Roman"/>
          <w:szCs w:val="24"/>
        </w:rPr>
        <w:t>:</w:t>
      </w:r>
      <w:r w:rsidR="005A1943" w:rsidRPr="008A1376">
        <w:rPr>
          <w:rFonts w:eastAsia="Times New Roman" w:cs="Times New Roman"/>
          <w:szCs w:val="24"/>
        </w:rPr>
        <w:t xml:space="preserve"> Consolidated Reporting and Recordkeeping Requirements</w:t>
      </w:r>
      <w:r w:rsidR="005A1943">
        <w:rPr>
          <w:rFonts w:eastAsia="Times New Roman" w:cs="Times New Roman"/>
          <w:szCs w:val="24"/>
        </w:rPr>
        <w:t xml:space="preserve"> found in docket </w:t>
      </w:r>
      <w:r w:rsidR="00BC7085">
        <w:t>(</w:t>
      </w:r>
      <w:r w:rsidR="005A1943">
        <w:t>OMB Control No. 2070-0112)</w:t>
      </w:r>
      <w:r>
        <w:t xml:space="preserve">. This document may be useful for those applying to treat/dispose of PCB waste using incineration or an alternative method under 40 CFR 761.70 or 40 CFR 761.60(e). </w:t>
      </w:r>
    </w:p>
    <w:bookmarkEnd w:id="3"/>
    <w:p w14:paraId="0E4D3CA5" w14:textId="77777777" w:rsidR="009D24B5" w:rsidRDefault="009D24B5" w:rsidP="009D24B5">
      <w:pPr>
        <w:ind w:left="720"/>
        <w:rPr>
          <w:szCs w:val="24"/>
        </w:rPr>
      </w:pPr>
    </w:p>
    <w:p w14:paraId="441C38E5" w14:textId="77777777" w:rsidR="009D24B5" w:rsidRDefault="009D24B5" w:rsidP="009D24B5">
      <w:pPr>
        <w:autoSpaceDE w:val="0"/>
        <w:autoSpaceDN w:val="0"/>
        <w:ind w:left="720"/>
      </w:pPr>
      <w:r>
        <w:t xml:space="preserve">An agency may not conduct or sponsor, and a person is not required to respond to, a collection of information unless it displays a currently valid OMB control number. </w:t>
      </w:r>
    </w:p>
    <w:p w14:paraId="09BF7074" w14:textId="77777777" w:rsidR="009D24B5" w:rsidRDefault="009D24B5" w:rsidP="009D24B5">
      <w:pPr>
        <w:autoSpaceDE w:val="0"/>
        <w:autoSpaceDN w:val="0"/>
        <w:ind w:left="720"/>
        <w:rPr>
          <w:sz w:val="22"/>
        </w:rPr>
      </w:pPr>
    </w:p>
    <w:p w14:paraId="1049BBA7" w14:textId="66223A8E" w:rsidR="009D24B5" w:rsidRDefault="009D24B5" w:rsidP="009D24B5">
      <w:pPr>
        <w:ind w:left="720"/>
        <w:rPr>
          <w:szCs w:val="24"/>
        </w:rPr>
      </w:pPr>
      <w:r>
        <w:t xml:space="preserve">Those treating/disposing of PCB waste using incineration or an alternative method may submit documentation in accordance with this guidance, or as specified in the corresponding regulation. </w:t>
      </w:r>
      <w:r w:rsidR="00D6421E" w:rsidRPr="00D6421E">
        <w:t xml:space="preserve">Comments may be submitted to EPA electronically through </w:t>
      </w:r>
      <w:hyperlink r:id="rId13" w:history="1">
        <w:r w:rsidR="00D6421E" w:rsidRPr="002234C8">
          <w:rPr>
            <w:rStyle w:val="Hyperlink"/>
          </w:rPr>
          <w:t>http://www.regulations.gov</w:t>
        </w:r>
      </w:hyperlink>
      <w:r w:rsidR="00D6421E">
        <w:t xml:space="preserve"> </w:t>
      </w:r>
      <w:r w:rsidR="00D6421E" w:rsidRPr="00D6421E">
        <w:t>or by mail to: EPA Docket Center, Environmental Protection Agency, Mail Code 28221T, 1200 Pennsylvania Ave., NW, Washington, DC 20460. You can also send comments to OMB, addressed to “OMB Desk Officer for EPA” and referencing OMB Control No. 20</w:t>
      </w:r>
      <w:r w:rsidR="00812D98">
        <w:t>7</w:t>
      </w:r>
      <w:r w:rsidR="00D6421E" w:rsidRPr="00D6421E">
        <w:t>0-</w:t>
      </w:r>
      <w:r w:rsidR="00D6421E">
        <w:t>NEW</w:t>
      </w:r>
      <w:r w:rsidR="00D6421E" w:rsidRPr="00D6421E">
        <w:t xml:space="preserve"> (EPA </w:t>
      </w:r>
      <w:r w:rsidR="00D6421E" w:rsidRPr="00D6421E">
        <w:rPr>
          <w:szCs w:val="24"/>
        </w:rPr>
        <w:t xml:space="preserve">ICR No. </w:t>
      </w:r>
      <w:r w:rsidR="00E80101">
        <w:rPr>
          <w:szCs w:val="24"/>
        </w:rPr>
        <w:t>2596.01</w:t>
      </w:r>
      <w:r w:rsidR="00D6421E" w:rsidRPr="00D6421E">
        <w:rPr>
          <w:szCs w:val="24"/>
        </w:rPr>
        <w:t>) via email to oira_submission@omb.eop.gov. Include docket ID No. EPA-HQ-OLEM-2018-0305 and OMB control number 20</w:t>
      </w:r>
      <w:r w:rsidR="00812D98">
        <w:rPr>
          <w:szCs w:val="24"/>
        </w:rPr>
        <w:t>7</w:t>
      </w:r>
      <w:r w:rsidR="00D6421E" w:rsidRPr="00D6421E">
        <w:rPr>
          <w:szCs w:val="24"/>
        </w:rPr>
        <w:t xml:space="preserve">0-NEW (EPA ICR No. </w:t>
      </w:r>
      <w:r w:rsidR="00E80101">
        <w:rPr>
          <w:szCs w:val="24"/>
        </w:rPr>
        <w:t>2596.01</w:t>
      </w:r>
      <w:r w:rsidR="00D6421E" w:rsidRPr="00D6421E">
        <w:rPr>
          <w:szCs w:val="24"/>
        </w:rPr>
        <w:t>) in any correspondence, but do not submit any other information (e.g., forms, reports, etc.) to these addresses.</w:t>
      </w:r>
    </w:p>
    <w:bookmarkEnd w:id="4"/>
    <w:p w14:paraId="77B0C144" w14:textId="77777777" w:rsidR="00D6421E" w:rsidRDefault="00D6421E" w:rsidP="009D24B5">
      <w:pPr>
        <w:ind w:left="720"/>
        <w:rPr>
          <w:szCs w:val="24"/>
        </w:rPr>
      </w:pPr>
    </w:p>
    <w:sectPr w:rsidR="00D6421E" w:rsidSect="00D11418">
      <w:footerReference w:type="default" r:id="rId14"/>
      <w:type w:val="continuous"/>
      <w:pgSz w:w="12240" w:h="15840"/>
      <w:pgMar w:top="1440" w:right="1080" w:bottom="1440" w:left="1080" w:header="475"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BBDF22" w14:textId="77777777" w:rsidR="00324621" w:rsidRDefault="00324621" w:rsidP="00BC60D2">
      <w:pPr>
        <w:spacing w:line="240" w:lineRule="auto"/>
      </w:pPr>
      <w:r>
        <w:separator/>
      </w:r>
    </w:p>
  </w:endnote>
  <w:endnote w:type="continuationSeparator" w:id="0">
    <w:p w14:paraId="59907725" w14:textId="77777777" w:rsidR="00324621" w:rsidRDefault="00324621" w:rsidP="00BC60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6732254"/>
      <w:docPartObj>
        <w:docPartGallery w:val="Page Numbers (Bottom of Page)"/>
        <w:docPartUnique/>
      </w:docPartObj>
    </w:sdtPr>
    <w:sdtEndPr/>
    <w:sdtContent>
      <w:sdt>
        <w:sdtPr>
          <w:id w:val="1728636285"/>
          <w:docPartObj>
            <w:docPartGallery w:val="Page Numbers (Top of Page)"/>
            <w:docPartUnique/>
          </w:docPartObj>
        </w:sdtPr>
        <w:sdtEndPr/>
        <w:sdtContent>
          <w:p w14:paraId="33532380" w14:textId="77777777" w:rsidR="001A6030" w:rsidRDefault="001A6030">
            <w:pPr>
              <w:pStyle w:val="Footer"/>
              <w:jc w:val="center"/>
            </w:pPr>
            <w:r w:rsidRPr="00D11418">
              <w:rPr>
                <w:sz w:val="22"/>
              </w:rPr>
              <w:t xml:space="preserve">Page </w:t>
            </w:r>
            <w:r w:rsidRPr="00D11418">
              <w:rPr>
                <w:bCs/>
                <w:sz w:val="22"/>
              </w:rPr>
              <w:fldChar w:fldCharType="begin"/>
            </w:r>
            <w:r w:rsidRPr="00D11418">
              <w:rPr>
                <w:bCs/>
                <w:sz w:val="22"/>
              </w:rPr>
              <w:instrText xml:space="preserve"> PAGE </w:instrText>
            </w:r>
            <w:r w:rsidRPr="00D11418">
              <w:rPr>
                <w:bCs/>
                <w:sz w:val="22"/>
              </w:rPr>
              <w:fldChar w:fldCharType="separate"/>
            </w:r>
            <w:r w:rsidR="00F82C1E">
              <w:rPr>
                <w:bCs/>
                <w:noProof/>
                <w:sz w:val="22"/>
              </w:rPr>
              <w:t>1</w:t>
            </w:r>
            <w:r w:rsidRPr="00D11418">
              <w:rPr>
                <w:bCs/>
                <w:sz w:val="22"/>
              </w:rPr>
              <w:fldChar w:fldCharType="end"/>
            </w:r>
            <w:r w:rsidRPr="00D11418">
              <w:rPr>
                <w:sz w:val="22"/>
              </w:rPr>
              <w:t xml:space="preserve"> of </w:t>
            </w:r>
            <w:r w:rsidRPr="00D11418">
              <w:rPr>
                <w:bCs/>
                <w:sz w:val="22"/>
              </w:rPr>
              <w:fldChar w:fldCharType="begin"/>
            </w:r>
            <w:r w:rsidRPr="00D11418">
              <w:rPr>
                <w:bCs/>
                <w:sz w:val="22"/>
              </w:rPr>
              <w:instrText xml:space="preserve"> NUMPAGES  </w:instrText>
            </w:r>
            <w:r w:rsidRPr="00D11418">
              <w:rPr>
                <w:bCs/>
                <w:sz w:val="22"/>
              </w:rPr>
              <w:fldChar w:fldCharType="separate"/>
            </w:r>
            <w:r w:rsidR="00F82C1E">
              <w:rPr>
                <w:bCs/>
                <w:noProof/>
                <w:sz w:val="22"/>
              </w:rPr>
              <w:t>3</w:t>
            </w:r>
            <w:r w:rsidRPr="00D11418">
              <w:rPr>
                <w:bCs/>
                <w:sz w:val="22"/>
              </w:rPr>
              <w:fldChar w:fldCharType="end"/>
            </w:r>
          </w:p>
        </w:sdtContent>
      </w:sdt>
    </w:sdtContent>
  </w:sdt>
  <w:p w14:paraId="1785BAEC" w14:textId="77777777" w:rsidR="001A6030" w:rsidRDefault="001A60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7ED48B" w14:textId="77777777" w:rsidR="00324621" w:rsidRDefault="00324621" w:rsidP="00BC60D2">
      <w:pPr>
        <w:spacing w:line="240" w:lineRule="auto"/>
      </w:pPr>
      <w:r>
        <w:separator/>
      </w:r>
    </w:p>
  </w:footnote>
  <w:footnote w:type="continuationSeparator" w:id="0">
    <w:p w14:paraId="36093885" w14:textId="77777777" w:rsidR="00324621" w:rsidRDefault="00324621" w:rsidP="00BC60D2">
      <w:pPr>
        <w:spacing w:line="240" w:lineRule="auto"/>
      </w:pPr>
      <w:r>
        <w:continuationSeparator/>
      </w:r>
    </w:p>
  </w:footnote>
  <w:footnote w:id="1">
    <w:p w14:paraId="4F647456" w14:textId="77777777" w:rsidR="001A6030" w:rsidRDefault="001A6030" w:rsidP="00BC60D2">
      <w:pPr>
        <w:pStyle w:val="FootnoteText"/>
      </w:pPr>
      <w:r>
        <w:rPr>
          <w:rStyle w:val="FootnoteReference"/>
        </w:rPr>
        <w:footnoteRef/>
      </w:r>
      <w:r>
        <w:t xml:space="preserve"> </w:t>
      </w:r>
      <w:r w:rsidRPr="008D5FC9">
        <w:t>U.S. Environmental Protection Agency, 1979. “Polych</w:t>
      </w:r>
      <w:r>
        <w:t>lorinated Biphenyls (PCBs) Manu</w:t>
      </w:r>
      <w:r w:rsidRPr="008D5FC9">
        <w:t>facturing, Processing, Distribution in Commerce, and Use Prohibitions,” Federal Register, Volume 44, pp. 31514-31568, May 31, 1979.</w:t>
      </w:r>
    </w:p>
  </w:footnote>
  <w:footnote w:id="2">
    <w:p w14:paraId="17E462D6" w14:textId="77777777" w:rsidR="00E80101" w:rsidRPr="00E80101" w:rsidRDefault="00E80101" w:rsidP="00E80101">
      <w:pPr>
        <w:ind w:left="720"/>
        <w:rPr>
          <w:sz w:val="18"/>
          <w:szCs w:val="18"/>
        </w:rPr>
      </w:pPr>
      <w:r>
        <w:rPr>
          <w:rStyle w:val="FootnoteReference"/>
        </w:rPr>
        <w:footnoteRef/>
      </w:r>
      <w:r>
        <w:t xml:space="preserve"> </w:t>
      </w:r>
      <w:r w:rsidRPr="00E80101">
        <w:rPr>
          <w:sz w:val="18"/>
          <w:szCs w:val="18"/>
        </w:rPr>
        <w:t>Carver, Ronald P. (1990). Reading rate: A Review of Research and Theory. Boston: Academic Press. October 1, 1990.</w:t>
      </w:r>
    </w:p>
    <w:p w14:paraId="1DDD72AD" w14:textId="3536FDCE" w:rsidR="00E80101" w:rsidRDefault="00E80101">
      <w:pPr>
        <w:pStyle w:val="FootnoteText"/>
      </w:pPr>
    </w:p>
  </w:footnote>
  <w:footnote w:id="3">
    <w:p w14:paraId="5BCFF152" w14:textId="77777777" w:rsidR="001A6030" w:rsidRDefault="001A6030">
      <w:pPr>
        <w:pStyle w:val="FootnoteText"/>
      </w:pPr>
      <w:r>
        <w:rPr>
          <w:rStyle w:val="FootnoteReference"/>
        </w:rPr>
        <w:footnoteRef/>
      </w:r>
      <w:r>
        <w:t xml:space="preserve"> </w:t>
      </w:r>
      <w:r w:rsidRPr="005D4A22">
        <w:t>The wage data for this ICR are taken from ECEC Supplementary Tables Historical Data Table 2, which presents wages for private manufacturing industry workers. https://www.bls.gov/web/ecec/ecsuptc.pdf</w:t>
      </w:r>
    </w:p>
  </w:footnote>
  <w:footnote w:id="4">
    <w:p w14:paraId="57432E74" w14:textId="77777777" w:rsidR="00E80101" w:rsidRPr="00E80101" w:rsidRDefault="00E80101" w:rsidP="00E80101">
      <w:pPr>
        <w:rPr>
          <w:sz w:val="18"/>
          <w:szCs w:val="18"/>
        </w:rPr>
      </w:pPr>
      <w:r>
        <w:rPr>
          <w:rStyle w:val="FootnoteReference"/>
        </w:rPr>
        <w:footnoteRef/>
      </w:r>
      <w:r>
        <w:t xml:space="preserve"> </w:t>
      </w:r>
      <w:r w:rsidRPr="00E80101">
        <w:rPr>
          <w:sz w:val="18"/>
          <w:szCs w:val="18"/>
        </w:rPr>
        <w:t>Rice, 2002. Cody Rice. Wage Rates for Economic Analysis of the Toxics Release Inventory Program. Washington, DC: U.S. EPA, Office of Pollution Prevention and Toxics, Economic and Policy Analysis Branch, June 10.</w:t>
      </w:r>
    </w:p>
    <w:p w14:paraId="06FF2DA1" w14:textId="6283A7E7" w:rsidR="00E80101" w:rsidRDefault="00E80101">
      <w:pPr>
        <w:pStyle w:val="FootnoteText"/>
      </w:pPr>
    </w:p>
  </w:footnote>
  <w:footnote w:id="5">
    <w:p w14:paraId="4E638038" w14:textId="77777777" w:rsidR="00E80101" w:rsidRPr="00E80101" w:rsidRDefault="00E80101" w:rsidP="00E80101">
      <w:pPr>
        <w:ind w:left="720"/>
        <w:rPr>
          <w:rFonts w:cs="Times New Roman"/>
          <w:color w:val="000000"/>
          <w:sz w:val="18"/>
          <w:szCs w:val="18"/>
        </w:rPr>
      </w:pPr>
      <w:r w:rsidRPr="00E80101">
        <w:rPr>
          <w:rStyle w:val="FootnoteReference"/>
          <w:sz w:val="18"/>
          <w:szCs w:val="18"/>
        </w:rPr>
        <w:footnoteRef/>
      </w:r>
      <w:r w:rsidRPr="00E80101">
        <w:rPr>
          <w:sz w:val="18"/>
          <w:szCs w:val="18"/>
        </w:rPr>
        <w:t xml:space="preserve"> </w:t>
      </w:r>
      <w:r w:rsidRPr="00E80101">
        <w:rPr>
          <w:rFonts w:cs="Times New Roman"/>
          <w:color w:val="000000"/>
          <w:sz w:val="18"/>
          <w:szCs w:val="18"/>
        </w:rPr>
        <w:t xml:space="preserve">BLS, 2018. </w:t>
      </w:r>
      <w:r w:rsidRPr="00E80101">
        <w:rPr>
          <w:rFonts w:cs="Times New Roman"/>
          <w:i/>
          <w:iCs/>
          <w:color w:val="000000"/>
          <w:sz w:val="18"/>
          <w:szCs w:val="18"/>
        </w:rPr>
        <w:t>Employer Costs for Employee Compensation Supplementary Tables, Historical Data December 2006 – March 2018: Supplemental Table 2.Private Manufacturing Industry Workers, by Occupational Group, March 2018</w:t>
      </w:r>
      <w:r w:rsidRPr="00E80101">
        <w:rPr>
          <w:rFonts w:cs="Times New Roman"/>
          <w:color w:val="000000"/>
          <w:sz w:val="18"/>
          <w:szCs w:val="18"/>
        </w:rPr>
        <w:t xml:space="preserve">. Bureau of Labor Statistics, U.S. Department of Labor: Washington, DC, June , 2018, </w:t>
      </w:r>
      <w:hyperlink r:id="rId1" w:history="1">
        <w:r w:rsidRPr="00E80101">
          <w:rPr>
            <w:rStyle w:val="Hyperlink"/>
            <w:rFonts w:cs="Times New Roman"/>
            <w:sz w:val="18"/>
            <w:szCs w:val="18"/>
          </w:rPr>
          <w:t>https://www.bls.gov/web/ecec/ecsuptc.pdf</w:t>
        </w:r>
      </w:hyperlink>
      <w:r w:rsidRPr="00E80101">
        <w:rPr>
          <w:rFonts w:cs="Times New Roman"/>
          <w:color w:val="000000"/>
          <w:sz w:val="18"/>
          <w:szCs w:val="18"/>
        </w:rPr>
        <w:t>.</w:t>
      </w:r>
    </w:p>
    <w:p w14:paraId="6DC87511" w14:textId="37D2D0A4" w:rsidR="00E80101" w:rsidRDefault="00E80101">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D296E"/>
    <w:multiLevelType w:val="hybridMultilevel"/>
    <w:tmpl w:val="4E44DB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B904D6"/>
    <w:multiLevelType w:val="hybridMultilevel"/>
    <w:tmpl w:val="550640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5206EE"/>
    <w:multiLevelType w:val="hybridMultilevel"/>
    <w:tmpl w:val="3664EC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02A67C9"/>
    <w:multiLevelType w:val="hybridMultilevel"/>
    <w:tmpl w:val="A2E232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2E5275C"/>
    <w:multiLevelType w:val="hybridMultilevel"/>
    <w:tmpl w:val="6C4867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3903697A"/>
    <w:multiLevelType w:val="hybridMultilevel"/>
    <w:tmpl w:val="779049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D9458C4"/>
    <w:multiLevelType w:val="hybridMultilevel"/>
    <w:tmpl w:val="6874C1AE"/>
    <w:lvl w:ilvl="0" w:tplc="F3EAF912">
      <w:start w:val="1"/>
      <w:numFmt w:val="decimal"/>
      <w:lvlText w:val="(%1)"/>
      <w:lvlJc w:val="left"/>
      <w:pPr>
        <w:ind w:left="1080" w:hanging="360"/>
      </w:pPr>
      <w:rPr>
        <w:rFonts w:hint="default"/>
      </w:rPr>
    </w:lvl>
    <w:lvl w:ilvl="1" w:tplc="50DA1BC6">
      <w:start w:val="1"/>
      <w:numFmt w:val="lowerRoman"/>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6"/>
  </w:num>
  <w:num w:numId="3">
    <w:abstractNumId w:val="5"/>
  </w:num>
  <w:num w:numId="4">
    <w:abstractNumId w:val="3"/>
  </w:num>
  <w:num w:numId="5">
    <w:abstractNumId w:val="2"/>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rawingGridVerticalSpacing w:val="163"/>
  <w:displayHorizontalDrawingGridEvery w:val="0"/>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6419"/>
    <w:rsid w:val="00024B8B"/>
    <w:rsid w:val="00034824"/>
    <w:rsid w:val="00036792"/>
    <w:rsid w:val="00036BB4"/>
    <w:rsid w:val="00036DAA"/>
    <w:rsid w:val="0005267F"/>
    <w:rsid w:val="00054BCB"/>
    <w:rsid w:val="00054C44"/>
    <w:rsid w:val="00066D14"/>
    <w:rsid w:val="00072768"/>
    <w:rsid w:val="0008266A"/>
    <w:rsid w:val="000960C3"/>
    <w:rsid w:val="000B5F6F"/>
    <w:rsid w:val="000C0738"/>
    <w:rsid w:val="000D106B"/>
    <w:rsid w:val="000D7AA7"/>
    <w:rsid w:val="000E39EF"/>
    <w:rsid w:val="000F016E"/>
    <w:rsid w:val="000F3FED"/>
    <w:rsid w:val="00113137"/>
    <w:rsid w:val="001162F2"/>
    <w:rsid w:val="00166716"/>
    <w:rsid w:val="00173E7F"/>
    <w:rsid w:val="00184C5C"/>
    <w:rsid w:val="00187B81"/>
    <w:rsid w:val="001A6030"/>
    <w:rsid w:val="001A7A71"/>
    <w:rsid w:val="001B1CBD"/>
    <w:rsid w:val="001B5109"/>
    <w:rsid w:val="002122CC"/>
    <w:rsid w:val="00236C69"/>
    <w:rsid w:val="00237DDF"/>
    <w:rsid w:val="00246C29"/>
    <w:rsid w:val="002642AF"/>
    <w:rsid w:val="00264682"/>
    <w:rsid w:val="00264E6B"/>
    <w:rsid w:val="002759F6"/>
    <w:rsid w:val="002900AC"/>
    <w:rsid w:val="002944D0"/>
    <w:rsid w:val="002D3C15"/>
    <w:rsid w:val="002E5F5D"/>
    <w:rsid w:val="002E612D"/>
    <w:rsid w:val="00324621"/>
    <w:rsid w:val="00383E8D"/>
    <w:rsid w:val="003A4DBB"/>
    <w:rsid w:val="00403A89"/>
    <w:rsid w:val="004066F5"/>
    <w:rsid w:val="0041370E"/>
    <w:rsid w:val="00423714"/>
    <w:rsid w:val="00447BC5"/>
    <w:rsid w:val="00473CC0"/>
    <w:rsid w:val="0048120C"/>
    <w:rsid w:val="00486D6A"/>
    <w:rsid w:val="004A0182"/>
    <w:rsid w:val="004B0B61"/>
    <w:rsid w:val="004C0A94"/>
    <w:rsid w:val="004D5F20"/>
    <w:rsid w:val="004E0C30"/>
    <w:rsid w:val="004E2E08"/>
    <w:rsid w:val="004F4536"/>
    <w:rsid w:val="00516305"/>
    <w:rsid w:val="00523F43"/>
    <w:rsid w:val="0055329A"/>
    <w:rsid w:val="00565786"/>
    <w:rsid w:val="005755B0"/>
    <w:rsid w:val="00576ABF"/>
    <w:rsid w:val="00577860"/>
    <w:rsid w:val="0058482D"/>
    <w:rsid w:val="00590AF8"/>
    <w:rsid w:val="00593E52"/>
    <w:rsid w:val="005A1943"/>
    <w:rsid w:val="005B187E"/>
    <w:rsid w:val="005B38A2"/>
    <w:rsid w:val="005B6AB6"/>
    <w:rsid w:val="005D4A22"/>
    <w:rsid w:val="005D56EE"/>
    <w:rsid w:val="005F260C"/>
    <w:rsid w:val="00600D08"/>
    <w:rsid w:val="0060687A"/>
    <w:rsid w:val="006322DF"/>
    <w:rsid w:val="006404EC"/>
    <w:rsid w:val="00647783"/>
    <w:rsid w:val="0066373A"/>
    <w:rsid w:val="006655BD"/>
    <w:rsid w:val="00665DEC"/>
    <w:rsid w:val="006729AC"/>
    <w:rsid w:val="006815C1"/>
    <w:rsid w:val="00686BCB"/>
    <w:rsid w:val="0069172E"/>
    <w:rsid w:val="006942DE"/>
    <w:rsid w:val="00695B5A"/>
    <w:rsid w:val="006A1D5F"/>
    <w:rsid w:val="006A723E"/>
    <w:rsid w:val="006B16B7"/>
    <w:rsid w:val="006D02F4"/>
    <w:rsid w:val="006F21D7"/>
    <w:rsid w:val="006F24A0"/>
    <w:rsid w:val="00704E3C"/>
    <w:rsid w:val="00706D1B"/>
    <w:rsid w:val="0073120E"/>
    <w:rsid w:val="00735F3E"/>
    <w:rsid w:val="00773885"/>
    <w:rsid w:val="007A46B6"/>
    <w:rsid w:val="007A5E2E"/>
    <w:rsid w:val="00812D98"/>
    <w:rsid w:val="0081469D"/>
    <w:rsid w:val="008214D8"/>
    <w:rsid w:val="00827747"/>
    <w:rsid w:val="00830E5E"/>
    <w:rsid w:val="0083447D"/>
    <w:rsid w:val="00835237"/>
    <w:rsid w:val="008575D1"/>
    <w:rsid w:val="00860957"/>
    <w:rsid w:val="0087654D"/>
    <w:rsid w:val="008A03B6"/>
    <w:rsid w:val="008A1376"/>
    <w:rsid w:val="008A4D26"/>
    <w:rsid w:val="008B6740"/>
    <w:rsid w:val="008C054E"/>
    <w:rsid w:val="008D41BA"/>
    <w:rsid w:val="008D61EF"/>
    <w:rsid w:val="008F00D9"/>
    <w:rsid w:val="008F7339"/>
    <w:rsid w:val="00907A02"/>
    <w:rsid w:val="00910E83"/>
    <w:rsid w:val="009113A8"/>
    <w:rsid w:val="0091262A"/>
    <w:rsid w:val="009301AC"/>
    <w:rsid w:val="009529D7"/>
    <w:rsid w:val="00953FE7"/>
    <w:rsid w:val="009600C8"/>
    <w:rsid w:val="00992863"/>
    <w:rsid w:val="009A2E95"/>
    <w:rsid w:val="009A5596"/>
    <w:rsid w:val="009B7D05"/>
    <w:rsid w:val="009C21F5"/>
    <w:rsid w:val="009D24B5"/>
    <w:rsid w:val="009E4693"/>
    <w:rsid w:val="00A1058F"/>
    <w:rsid w:val="00A10A6A"/>
    <w:rsid w:val="00A16F71"/>
    <w:rsid w:val="00A3159A"/>
    <w:rsid w:val="00A33DFD"/>
    <w:rsid w:val="00A36324"/>
    <w:rsid w:val="00A42354"/>
    <w:rsid w:val="00A5535E"/>
    <w:rsid w:val="00A76ADA"/>
    <w:rsid w:val="00A81D73"/>
    <w:rsid w:val="00A9215C"/>
    <w:rsid w:val="00AA3096"/>
    <w:rsid w:val="00AA7658"/>
    <w:rsid w:val="00AC054E"/>
    <w:rsid w:val="00AC6FC4"/>
    <w:rsid w:val="00AD05DC"/>
    <w:rsid w:val="00AD2394"/>
    <w:rsid w:val="00AE1ECB"/>
    <w:rsid w:val="00AE248B"/>
    <w:rsid w:val="00B036EB"/>
    <w:rsid w:val="00B11FCB"/>
    <w:rsid w:val="00B15C8F"/>
    <w:rsid w:val="00B20B9C"/>
    <w:rsid w:val="00B2184D"/>
    <w:rsid w:val="00B21A05"/>
    <w:rsid w:val="00B81168"/>
    <w:rsid w:val="00B92C8C"/>
    <w:rsid w:val="00BC60D2"/>
    <w:rsid w:val="00BC7085"/>
    <w:rsid w:val="00BE7C6C"/>
    <w:rsid w:val="00C108A6"/>
    <w:rsid w:val="00C452F8"/>
    <w:rsid w:val="00C563F7"/>
    <w:rsid w:val="00C57260"/>
    <w:rsid w:val="00C65627"/>
    <w:rsid w:val="00C67162"/>
    <w:rsid w:val="00C7166F"/>
    <w:rsid w:val="00C7452E"/>
    <w:rsid w:val="00C82677"/>
    <w:rsid w:val="00C9544C"/>
    <w:rsid w:val="00CB5EBF"/>
    <w:rsid w:val="00CC0F12"/>
    <w:rsid w:val="00CC23D0"/>
    <w:rsid w:val="00CE29E8"/>
    <w:rsid w:val="00CE6A37"/>
    <w:rsid w:val="00D11418"/>
    <w:rsid w:val="00D125A9"/>
    <w:rsid w:val="00D15DAA"/>
    <w:rsid w:val="00D2034C"/>
    <w:rsid w:val="00D24FB0"/>
    <w:rsid w:val="00D25EA4"/>
    <w:rsid w:val="00D63F6B"/>
    <w:rsid w:val="00D6421E"/>
    <w:rsid w:val="00D65F9E"/>
    <w:rsid w:val="00D6669C"/>
    <w:rsid w:val="00D74D05"/>
    <w:rsid w:val="00D8282E"/>
    <w:rsid w:val="00D83DBA"/>
    <w:rsid w:val="00D9050D"/>
    <w:rsid w:val="00DB3CAB"/>
    <w:rsid w:val="00DC3B7F"/>
    <w:rsid w:val="00DC5E7A"/>
    <w:rsid w:val="00DD410D"/>
    <w:rsid w:val="00DD7FC1"/>
    <w:rsid w:val="00DE6EDF"/>
    <w:rsid w:val="00E25421"/>
    <w:rsid w:val="00E31D4B"/>
    <w:rsid w:val="00E44115"/>
    <w:rsid w:val="00E45558"/>
    <w:rsid w:val="00E60637"/>
    <w:rsid w:val="00E75619"/>
    <w:rsid w:val="00E80101"/>
    <w:rsid w:val="00E90B6E"/>
    <w:rsid w:val="00E96A72"/>
    <w:rsid w:val="00EA5299"/>
    <w:rsid w:val="00EB36BF"/>
    <w:rsid w:val="00EB6419"/>
    <w:rsid w:val="00EC412C"/>
    <w:rsid w:val="00EC4660"/>
    <w:rsid w:val="00ED4D2D"/>
    <w:rsid w:val="00ED779C"/>
    <w:rsid w:val="00F031FB"/>
    <w:rsid w:val="00F069AE"/>
    <w:rsid w:val="00F10A62"/>
    <w:rsid w:val="00F11A27"/>
    <w:rsid w:val="00F225E8"/>
    <w:rsid w:val="00F50EE2"/>
    <w:rsid w:val="00F63141"/>
    <w:rsid w:val="00F63D42"/>
    <w:rsid w:val="00F64C11"/>
    <w:rsid w:val="00F73022"/>
    <w:rsid w:val="00F82C1E"/>
    <w:rsid w:val="00F9160D"/>
    <w:rsid w:val="00F92504"/>
    <w:rsid w:val="00FA5DF5"/>
    <w:rsid w:val="00FB0201"/>
    <w:rsid w:val="00FD0044"/>
    <w:rsid w:val="00FF5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28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16E"/>
    <w:pPr>
      <w:spacing w:after="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6419"/>
    <w:pPr>
      <w:ind w:left="720"/>
      <w:contextualSpacing/>
    </w:pPr>
  </w:style>
  <w:style w:type="paragraph" w:styleId="FootnoteText">
    <w:name w:val="footnote text"/>
    <w:basedOn w:val="Normal"/>
    <w:link w:val="FootnoteTextChar"/>
    <w:unhideWhenUsed/>
    <w:rsid w:val="00BC60D2"/>
    <w:pPr>
      <w:spacing w:line="240" w:lineRule="auto"/>
    </w:pPr>
    <w:rPr>
      <w:sz w:val="20"/>
      <w:szCs w:val="20"/>
    </w:rPr>
  </w:style>
  <w:style w:type="character" w:customStyle="1" w:styleId="FootnoteTextChar">
    <w:name w:val="Footnote Text Char"/>
    <w:basedOn w:val="DefaultParagraphFont"/>
    <w:link w:val="FootnoteText"/>
    <w:rsid w:val="00BC60D2"/>
    <w:rPr>
      <w:rFonts w:ascii="Times New Roman" w:hAnsi="Times New Roman"/>
      <w:sz w:val="20"/>
      <w:szCs w:val="20"/>
    </w:rPr>
  </w:style>
  <w:style w:type="character" w:styleId="FootnoteReference">
    <w:name w:val="footnote reference"/>
    <w:basedOn w:val="DefaultParagraphFont"/>
    <w:unhideWhenUsed/>
    <w:rsid w:val="00BC60D2"/>
    <w:rPr>
      <w:vertAlign w:val="superscript"/>
    </w:rPr>
  </w:style>
  <w:style w:type="character" w:styleId="Hyperlink">
    <w:name w:val="Hyperlink"/>
    <w:basedOn w:val="DefaultParagraphFont"/>
    <w:uiPriority w:val="99"/>
    <w:rsid w:val="00BC60D2"/>
    <w:rPr>
      <w:color w:val="0000FF"/>
      <w:u w:val="single"/>
    </w:rPr>
  </w:style>
  <w:style w:type="paragraph" w:styleId="Header">
    <w:name w:val="header"/>
    <w:basedOn w:val="Normal"/>
    <w:link w:val="HeaderChar"/>
    <w:uiPriority w:val="99"/>
    <w:unhideWhenUsed/>
    <w:rsid w:val="00D11418"/>
    <w:pPr>
      <w:tabs>
        <w:tab w:val="center" w:pos="4680"/>
        <w:tab w:val="right" w:pos="9360"/>
      </w:tabs>
      <w:spacing w:line="240" w:lineRule="auto"/>
    </w:pPr>
  </w:style>
  <w:style w:type="character" w:customStyle="1" w:styleId="HeaderChar">
    <w:name w:val="Header Char"/>
    <w:basedOn w:val="DefaultParagraphFont"/>
    <w:link w:val="Header"/>
    <w:uiPriority w:val="99"/>
    <w:rsid w:val="00D11418"/>
    <w:rPr>
      <w:rFonts w:ascii="Times New Roman" w:hAnsi="Times New Roman"/>
      <w:sz w:val="24"/>
    </w:rPr>
  </w:style>
  <w:style w:type="paragraph" w:styleId="Footer">
    <w:name w:val="footer"/>
    <w:basedOn w:val="Normal"/>
    <w:link w:val="FooterChar"/>
    <w:uiPriority w:val="99"/>
    <w:unhideWhenUsed/>
    <w:rsid w:val="00D11418"/>
    <w:pPr>
      <w:tabs>
        <w:tab w:val="center" w:pos="4680"/>
        <w:tab w:val="right" w:pos="9360"/>
      </w:tabs>
      <w:spacing w:line="240" w:lineRule="auto"/>
    </w:pPr>
  </w:style>
  <w:style w:type="character" w:customStyle="1" w:styleId="FooterChar">
    <w:name w:val="Footer Char"/>
    <w:basedOn w:val="DefaultParagraphFont"/>
    <w:link w:val="Footer"/>
    <w:uiPriority w:val="99"/>
    <w:rsid w:val="00D11418"/>
    <w:rPr>
      <w:rFonts w:ascii="Times New Roman" w:hAnsi="Times New Roman"/>
      <w:sz w:val="24"/>
    </w:rPr>
  </w:style>
  <w:style w:type="table" w:styleId="TableGrid">
    <w:name w:val="Table Grid"/>
    <w:basedOn w:val="TableNormal"/>
    <w:uiPriority w:val="39"/>
    <w:rsid w:val="003A4D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A4DB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4DBB"/>
    <w:rPr>
      <w:rFonts w:ascii="Segoe UI" w:hAnsi="Segoe UI" w:cs="Segoe UI"/>
      <w:sz w:val="18"/>
      <w:szCs w:val="18"/>
    </w:rPr>
  </w:style>
  <w:style w:type="paragraph" w:customStyle="1" w:styleId="Default">
    <w:name w:val="Default"/>
    <w:rsid w:val="00AD2394"/>
    <w:pPr>
      <w:widowControl w:val="0"/>
      <w:autoSpaceDE w:val="0"/>
      <w:autoSpaceDN w:val="0"/>
      <w:adjustRightInd w:val="0"/>
      <w:spacing w:after="0" w:line="240" w:lineRule="auto"/>
    </w:pPr>
    <w:rPr>
      <w:rFonts w:ascii="Times" w:eastAsia="Times New Roman" w:hAnsi="Times" w:cs="Times"/>
      <w:color w:val="000000"/>
      <w:sz w:val="24"/>
      <w:szCs w:val="24"/>
    </w:rPr>
  </w:style>
  <w:style w:type="character" w:customStyle="1" w:styleId="UnresolvedMention">
    <w:name w:val="Unresolved Mention"/>
    <w:basedOn w:val="DefaultParagraphFont"/>
    <w:uiPriority w:val="99"/>
    <w:semiHidden/>
    <w:unhideWhenUsed/>
    <w:rsid w:val="00D6421E"/>
    <w:rPr>
      <w:color w:val="605E5C"/>
      <w:shd w:val="clear" w:color="auto" w:fill="E1DFDD"/>
    </w:rPr>
  </w:style>
  <w:style w:type="character" w:styleId="CommentReference">
    <w:name w:val="annotation reference"/>
    <w:basedOn w:val="DefaultParagraphFont"/>
    <w:uiPriority w:val="99"/>
    <w:semiHidden/>
    <w:unhideWhenUsed/>
    <w:rsid w:val="00AA3096"/>
    <w:rPr>
      <w:sz w:val="16"/>
      <w:szCs w:val="16"/>
    </w:rPr>
  </w:style>
  <w:style w:type="paragraph" w:styleId="CommentText">
    <w:name w:val="annotation text"/>
    <w:basedOn w:val="Normal"/>
    <w:link w:val="CommentTextChar"/>
    <w:uiPriority w:val="99"/>
    <w:semiHidden/>
    <w:unhideWhenUsed/>
    <w:rsid w:val="00AA3096"/>
    <w:pPr>
      <w:spacing w:line="240" w:lineRule="auto"/>
    </w:pPr>
    <w:rPr>
      <w:sz w:val="20"/>
      <w:szCs w:val="20"/>
    </w:rPr>
  </w:style>
  <w:style w:type="character" w:customStyle="1" w:styleId="CommentTextChar">
    <w:name w:val="Comment Text Char"/>
    <w:basedOn w:val="DefaultParagraphFont"/>
    <w:link w:val="CommentText"/>
    <w:uiPriority w:val="99"/>
    <w:semiHidden/>
    <w:rsid w:val="00AA309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A3096"/>
    <w:rPr>
      <w:b/>
      <w:bCs/>
    </w:rPr>
  </w:style>
  <w:style w:type="character" w:customStyle="1" w:styleId="CommentSubjectChar">
    <w:name w:val="Comment Subject Char"/>
    <w:basedOn w:val="CommentTextChar"/>
    <w:link w:val="CommentSubject"/>
    <w:uiPriority w:val="99"/>
    <w:semiHidden/>
    <w:rsid w:val="00AA3096"/>
    <w:rPr>
      <w:rFonts w:ascii="Times New Roman" w:hAnsi="Times New Roman"/>
      <w:b/>
      <w:bCs/>
      <w:sz w:val="20"/>
      <w:szCs w:val="20"/>
    </w:rPr>
  </w:style>
  <w:style w:type="paragraph" w:styleId="Revision">
    <w:name w:val="Revision"/>
    <w:hidden/>
    <w:uiPriority w:val="99"/>
    <w:semiHidden/>
    <w:rsid w:val="00DD410D"/>
    <w:pPr>
      <w:spacing w:after="0" w:line="240" w:lineRule="auto"/>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16E"/>
    <w:pPr>
      <w:spacing w:after="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6419"/>
    <w:pPr>
      <w:ind w:left="720"/>
      <w:contextualSpacing/>
    </w:pPr>
  </w:style>
  <w:style w:type="paragraph" w:styleId="FootnoteText">
    <w:name w:val="footnote text"/>
    <w:basedOn w:val="Normal"/>
    <w:link w:val="FootnoteTextChar"/>
    <w:unhideWhenUsed/>
    <w:rsid w:val="00BC60D2"/>
    <w:pPr>
      <w:spacing w:line="240" w:lineRule="auto"/>
    </w:pPr>
    <w:rPr>
      <w:sz w:val="20"/>
      <w:szCs w:val="20"/>
    </w:rPr>
  </w:style>
  <w:style w:type="character" w:customStyle="1" w:styleId="FootnoteTextChar">
    <w:name w:val="Footnote Text Char"/>
    <w:basedOn w:val="DefaultParagraphFont"/>
    <w:link w:val="FootnoteText"/>
    <w:rsid w:val="00BC60D2"/>
    <w:rPr>
      <w:rFonts w:ascii="Times New Roman" w:hAnsi="Times New Roman"/>
      <w:sz w:val="20"/>
      <w:szCs w:val="20"/>
    </w:rPr>
  </w:style>
  <w:style w:type="character" w:styleId="FootnoteReference">
    <w:name w:val="footnote reference"/>
    <w:basedOn w:val="DefaultParagraphFont"/>
    <w:unhideWhenUsed/>
    <w:rsid w:val="00BC60D2"/>
    <w:rPr>
      <w:vertAlign w:val="superscript"/>
    </w:rPr>
  </w:style>
  <w:style w:type="character" w:styleId="Hyperlink">
    <w:name w:val="Hyperlink"/>
    <w:basedOn w:val="DefaultParagraphFont"/>
    <w:uiPriority w:val="99"/>
    <w:rsid w:val="00BC60D2"/>
    <w:rPr>
      <w:color w:val="0000FF"/>
      <w:u w:val="single"/>
    </w:rPr>
  </w:style>
  <w:style w:type="paragraph" w:styleId="Header">
    <w:name w:val="header"/>
    <w:basedOn w:val="Normal"/>
    <w:link w:val="HeaderChar"/>
    <w:uiPriority w:val="99"/>
    <w:unhideWhenUsed/>
    <w:rsid w:val="00D11418"/>
    <w:pPr>
      <w:tabs>
        <w:tab w:val="center" w:pos="4680"/>
        <w:tab w:val="right" w:pos="9360"/>
      </w:tabs>
      <w:spacing w:line="240" w:lineRule="auto"/>
    </w:pPr>
  </w:style>
  <w:style w:type="character" w:customStyle="1" w:styleId="HeaderChar">
    <w:name w:val="Header Char"/>
    <w:basedOn w:val="DefaultParagraphFont"/>
    <w:link w:val="Header"/>
    <w:uiPriority w:val="99"/>
    <w:rsid w:val="00D11418"/>
    <w:rPr>
      <w:rFonts w:ascii="Times New Roman" w:hAnsi="Times New Roman"/>
      <w:sz w:val="24"/>
    </w:rPr>
  </w:style>
  <w:style w:type="paragraph" w:styleId="Footer">
    <w:name w:val="footer"/>
    <w:basedOn w:val="Normal"/>
    <w:link w:val="FooterChar"/>
    <w:uiPriority w:val="99"/>
    <w:unhideWhenUsed/>
    <w:rsid w:val="00D11418"/>
    <w:pPr>
      <w:tabs>
        <w:tab w:val="center" w:pos="4680"/>
        <w:tab w:val="right" w:pos="9360"/>
      </w:tabs>
      <w:spacing w:line="240" w:lineRule="auto"/>
    </w:pPr>
  </w:style>
  <w:style w:type="character" w:customStyle="1" w:styleId="FooterChar">
    <w:name w:val="Footer Char"/>
    <w:basedOn w:val="DefaultParagraphFont"/>
    <w:link w:val="Footer"/>
    <w:uiPriority w:val="99"/>
    <w:rsid w:val="00D11418"/>
    <w:rPr>
      <w:rFonts w:ascii="Times New Roman" w:hAnsi="Times New Roman"/>
      <w:sz w:val="24"/>
    </w:rPr>
  </w:style>
  <w:style w:type="table" w:styleId="TableGrid">
    <w:name w:val="Table Grid"/>
    <w:basedOn w:val="TableNormal"/>
    <w:uiPriority w:val="39"/>
    <w:rsid w:val="003A4D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A4DB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4DBB"/>
    <w:rPr>
      <w:rFonts w:ascii="Segoe UI" w:hAnsi="Segoe UI" w:cs="Segoe UI"/>
      <w:sz w:val="18"/>
      <w:szCs w:val="18"/>
    </w:rPr>
  </w:style>
  <w:style w:type="paragraph" w:customStyle="1" w:styleId="Default">
    <w:name w:val="Default"/>
    <w:rsid w:val="00AD2394"/>
    <w:pPr>
      <w:widowControl w:val="0"/>
      <w:autoSpaceDE w:val="0"/>
      <w:autoSpaceDN w:val="0"/>
      <w:adjustRightInd w:val="0"/>
      <w:spacing w:after="0" w:line="240" w:lineRule="auto"/>
    </w:pPr>
    <w:rPr>
      <w:rFonts w:ascii="Times" w:eastAsia="Times New Roman" w:hAnsi="Times" w:cs="Times"/>
      <w:color w:val="000000"/>
      <w:sz w:val="24"/>
      <w:szCs w:val="24"/>
    </w:rPr>
  </w:style>
  <w:style w:type="character" w:customStyle="1" w:styleId="UnresolvedMention">
    <w:name w:val="Unresolved Mention"/>
    <w:basedOn w:val="DefaultParagraphFont"/>
    <w:uiPriority w:val="99"/>
    <w:semiHidden/>
    <w:unhideWhenUsed/>
    <w:rsid w:val="00D6421E"/>
    <w:rPr>
      <w:color w:val="605E5C"/>
      <w:shd w:val="clear" w:color="auto" w:fill="E1DFDD"/>
    </w:rPr>
  </w:style>
  <w:style w:type="character" w:styleId="CommentReference">
    <w:name w:val="annotation reference"/>
    <w:basedOn w:val="DefaultParagraphFont"/>
    <w:uiPriority w:val="99"/>
    <w:semiHidden/>
    <w:unhideWhenUsed/>
    <w:rsid w:val="00AA3096"/>
    <w:rPr>
      <w:sz w:val="16"/>
      <w:szCs w:val="16"/>
    </w:rPr>
  </w:style>
  <w:style w:type="paragraph" w:styleId="CommentText">
    <w:name w:val="annotation text"/>
    <w:basedOn w:val="Normal"/>
    <w:link w:val="CommentTextChar"/>
    <w:uiPriority w:val="99"/>
    <w:semiHidden/>
    <w:unhideWhenUsed/>
    <w:rsid w:val="00AA3096"/>
    <w:pPr>
      <w:spacing w:line="240" w:lineRule="auto"/>
    </w:pPr>
    <w:rPr>
      <w:sz w:val="20"/>
      <w:szCs w:val="20"/>
    </w:rPr>
  </w:style>
  <w:style w:type="character" w:customStyle="1" w:styleId="CommentTextChar">
    <w:name w:val="Comment Text Char"/>
    <w:basedOn w:val="DefaultParagraphFont"/>
    <w:link w:val="CommentText"/>
    <w:uiPriority w:val="99"/>
    <w:semiHidden/>
    <w:rsid w:val="00AA309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A3096"/>
    <w:rPr>
      <w:b/>
      <w:bCs/>
    </w:rPr>
  </w:style>
  <w:style w:type="character" w:customStyle="1" w:styleId="CommentSubjectChar">
    <w:name w:val="Comment Subject Char"/>
    <w:basedOn w:val="CommentTextChar"/>
    <w:link w:val="CommentSubject"/>
    <w:uiPriority w:val="99"/>
    <w:semiHidden/>
    <w:rsid w:val="00AA3096"/>
    <w:rPr>
      <w:rFonts w:ascii="Times New Roman" w:hAnsi="Times New Roman"/>
      <w:b/>
      <w:bCs/>
      <w:sz w:val="20"/>
      <w:szCs w:val="20"/>
    </w:rPr>
  </w:style>
  <w:style w:type="paragraph" w:styleId="Revision">
    <w:name w:val="Revision"/>
    <w:hidden/>
    <w:uiPriority w:val="99"/>
    <w:semiHidden/>
    <w:rsid w:val="00DD410D"/>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regulations.gov"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web/ecec/ecsupt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29f62856-1543-49d4-a736-4569d363f533"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AB680118028E204B87EA85D54089660C" ma:contentTypeVersion="8" ma:contentTypeDescription="Create a new document." ma:contentTypeScope="" ma:versionID="3c50927c3b7e33ec380c32407559b658">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b2653501-ac67-48fc-8306-1dc26326c664" xmlns:ns6="05e0b8d5-1c8e-46e9-9549-ad572b481801" xmlns:ns7="dad84fc8-9b8f-4e19-a23c-1d311386fd77" targetNamespace="http://schemas.microsoft.com/office/2006/metadata/properties" ma:root="true" ma:fieldsID="761052530f1df56073c608eb93a86ea6" ns1:_="" ns2:_="" ns3:_="" ns4:_="" ns5:_="" ns6:_="" ns7:_="">
    <xsd:import namespace="http://schemas.microsoft.com/sharepoint/v3"/>
    <xsd:import namespace="4ffa91fb-a0ff-4ac5-b2db-65c790d184a4"/>
    <xsd:import namespace="http://schemas.microsoft.com/sharepoint.v3"/>
    <xsd:import namespace="http://schemas.microsoft.com/sharepoint/v3/fields"/>
    <xsd:import namespace="b2653501-ac67-48fc-8306-1dc26326c664"/>
    <xsd:import namespace="05e0b8d5-1c8e-46e9-9549-ad572b481801"/>
    <xsd:import namespace="dad84fc8-9b8f-4e19-a23c-1d311386fd77"/>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e3f09c3df709400db2417a7161762d62" minOccurs="0"/>
                <xsd:element ref="ns6:MediaServiceMetadata" minOccurs="0"/>
                <xsd:element ref="ns6:MediaServiceFastMetadata" minOccurs="0"/>
                <xsd:element ref="ns7:SharedWithUsers" minOccurs="0"/>
                <xsd:element ref="ns7: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description="" ma:hidden="true" ma:list="{c0fba5b9-dd49-4073-a7da-25b05df9ea4d}" ma:internalName="TaxCatchAllLabel" ma:readOnly="true" ma:showField="CatchAllDataLabel" ma:web="b2653501-ac67-48fc-8306-1dc26326c664">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description="" ma:hidden="true" ma:list="{c0fba5b9-dd49-4073-a7da-25b05df9ea4d}" ma:internalName="TaxCatchAll" ma:showField="CatchAllData" ma:web="b2653501-ac67-48fc-8306-1dc26326c66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2653501-ac67-48fc-8306-1dc26326c664" elementFormDefault="qualified">
    <xsd:import namespace="http://schemas.microsoft.com/office/2006/documentManagement/types"/>
    <xsd:import namespace="http://schemas.microsoft.com/office/infopath/2007/PartnerControls"/>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e0b8d5-1c8e-46e9-9549-ad572b481801" elementFormDefault="qualified">
    <xsd:import namespace="http://schemas.microsoft.com/office/2006/documentManagement/types"/>
    <xsd:import namespace="http://schemas.microsoft.com/office/infopath/2007/PartnerControls"/>
    <xsd:element name="MediaServiceMetadata" ma:index="29" nillable="true" ma:displayName="MediaServiceMetadata" ma:description="" ma:hidden="true" ma:internalName="MediaServiceMetadata" ma:readOnly="true">
      <xsd:simpleType>
        <xsd:restriction base="dms:Note"/>
      </xsd:simpleType>
    </xsd:element>
    <xsd:element name="MediaServiceFastMetadata" ma:index="30"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d84fc8-9b8f-4e19-a23c-1d311386fd77" elementFormDefault="qualified">
    <xsd:import namespace="http://schemas.microsoft.com/office/2006/documentManagement/types"/>
    <xsd:import namespace="http://schemas.microsoft.com/office/infopath/2007/PartnerControls"/>
    <xsd:element name="SharedWithUsers" ma:index="3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2019-04-04T12:09:28+00:00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e3f09c3df709400db2417a7161762d62 xmlns="b2653501-ac67-48fc-8306-1dc26326c664">
      <Terms xmlns="http://schemas.microsoft.com/office/infopath/2007/PartnerControls"/>
    </e3f09c3df709400db2417a7161762d62>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54AD3A-ED94-4A30-BBEC-9325E5FA2956}">
  <ds:schemaRefs>
    <ds:schemaRef ds:uri="http://schemas.microsoft.com/sharepoint/v3/contenttype/forms"/>
  </ds:schemaRefs>
</ds:datastoreItem>
</file>

<file path=customXml/itemProps2.xml><?xml version="1.0" encoding="utf-8"?>
<ds:datastoreItem xmlns:ds="http://schemas.openxmlformats.org/officeDocument/2006/customXml" ds:itemID="{48A2BE53-873D-44AE-9BB3-64E6A61ADD44}">
  <ds:schemaRefs>
    <ds:schemaRef ds:uri="Microsoft.SharePoint.Taxonomy.ContentTypeSync"/>
  </ds:schemaRefs>
</ds:datastoreItem>
</file>

<file path=customXml/itemProps3.xml><?xml version="1.0" encoding="utf-8"?>
<ds:datastoreItem xmlns:ds="http://schemas.openxmlformats.org/officeDocument/2006/customXml" ds:itemID="{DA6E874A-C7D0-470E-BC1E-89485F825F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b2653501-ac67-48fc-8306-1dc26326c664"/>
    <ds:schemaRef ds:uri="05e0b8d5-1c8e-46e9-9549-ad572b481801"/>
    <ds:schemaRef ds:uri="dad84fc8-9b8f-4e19-a23c-1d311386fd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D726CC-14C7-45AF-B841-1CFC554C781F}">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 ds:uri="b2653501-ac67-48fc-8306-1dc26326c664"/>
  </ds:schemaRefs>
</ds:datastoreItem>
</file>

<file path=customXml/itemProps5.xml><?xml version="1.0" encoding="utf-8"?>
<ds:datastoreItem xmlns:ds="http://schemas.openxmlformats.org/officeDocument/2006/customXml" ds:itemID="{3E448EDE-E678-46E5-85FA-CFE5EB5C3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2853</Words>
  <Characters>16267</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Smeraldi, Josh</dc:creator>
  <cp:keywords/>
  <dc:description/>
  <cp:lastModifiedBy>SYSTEM</cp:lastModifiedBy>
  <cp:revision>2</cp:revision>
  <dcterms:created xsi:type="dcterms:W3CDTF">2019-08-28T18:20:00Z</dcterms:created>
  <dcterms:modified xsi:type="dcterms:W3CDTF">2019-08-28T18:20:00Z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0x010100AB680118028E204B87EA85D54089660C</vt:lpwstr>
  </property>
  <property fmtid="{D5CDD505-2E9C-101B-9397-08002B2CF9AE}" pid="3" name="TaxKeyword">
    <vt:lpwstr/>
  </property>
</Properties>
</file>