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25D6685"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D66940E" w14:textId="77777777" w:rsidR="0083558A" w:rsidRPr="00D026C5" w:rsidRDefault="0083558A" w:rsidP="0083558A">
      <w:r>
        <w:rPr>
          <w:b/>
        </w:rPr>
        <w:t>NESHAP for Stationary Combustion Turbines (40 CFR Part 63, Subpart YYYY)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C89581E" w14:textId="5F8A7B6A" w:rsidR="0083558A" w:rsidRPr="002B29A5" w:rsidRDefault="0083558A" w:rsidP="0083558A">
      <w:pPr>
        <w:rPr>
          <w:bCs/>
          <w:color w:val="000000"/>
        </w:rPr>
      </w:pPr>
      <w:r w:rsidRPr="00396A52">
        <w:rPr>
          <w:bCs/>
        </w:rPr>
        <w:t>NESHAP for Stationary Combustion Turbines (40 CFR Part 63, Subpart YYYY)</w:t>
      </w:r>
      <w:r w:rsidR="00026EED">
        <w:rPr>
          <w:bCs/>
        </w:rPr>
        <w:t xml:space="preserve"> </w:t>
      </w:r>
      <w:r>
        <w:rPr>
          <w:bCs/>
        </w:rPr>
        <w:t>(Renewal)</w:t>
      </w:r>
      <w:r w:rsidRPr="004C5E95">
        <w:rPr>
          <w:bCs/>
        </w:rPr>
        <w:t xml:space="preserve">, EPA ICR Number </w:t>
      </w:r>
      <w:r>
        <w:rPr>
          <w:bCs/>
        </w:rPr>
        <w:t>1967.</w:t>
      </w:r>
      <w:r w:rsidR="00961D90">
        <w:rPr>
          <w:bCs/>
        </w:rPr>
        <w:t>08</w:t>
      </w:r>
      <w:r w:rsidRPr="008F1930">
        <w:rPr>
          <w:bCs/>
        </w:rPr>
        <w:t xml:space="preserve">, </w:t>
      </w:r>
      <w:r w:rsidRPr="004C5E95">
        <w:rPr>
          <w:bCs/>
        </w:rPr>
        <w:t>OMB Control Number 2060-</w:t>
      </w:r>
      <w:r>
        <w:rPr>
          <w:bCs/>
        </w:rPr>
        <w:t>0540.</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56EC4DCB" w14:textId="4D13268E" w:rsidR="0083558A" w:rsidRPr="00961D90" w:rsidRDefault="0083558A" w:rsidP="00961D90">
      <w:pPr>
        <w:ind w:firstLine="720"/>
      </w:pPr>
      <w:r>
        <w:rPr>
          <w:color w:val="000000"/>
        </w:rPr>
        <w:t xml:space="preserve">The </w:t>
      </w:r>
      <w:r w:rsidRPr="008F1930">
        <w:t xml:space="preserve">National Emission Standards for Hazardous Air Pollutants (NESHAP) for </w:t>
      </w:r>
      <w:r w:rsidRPr="008C55E0">
        <w:rPr>
          <w:bCs/>
        </w:rPr>
        <w:t xml:space="preserve">Stationary Combustion Turbines </w:t>
      </w:r>
      <w:r w:rsidRPr="008F1930">
        <w:t xml:space="preserve">were proposed on </w:t>
      </w:r>
      <w:r w:rsidRPr="008C55E0">
        <w:t>January 14, 2003</w:t>
      </w:r>
      <w:r w:rsidR="0009342B">
        <w:t>;</w:t>
      </w:r>
      <w:r w:rsidRPr="008C55E0">
        <w:t xml:space="preserve"> promulgated on March 5, 2004</w:t>
      </w:r>
      <w:r w:rsidR="0009342B">
        <w:t>;</w:t>
      </w:r>
      <w:r w:rsidRPr="008C55E0">
        <w:t xml:space="preserve"> and amended </w:t>
      </w:r>
      <w:r w:rsidRPr="00C75AD3">
        <w:t xml:space="preserve">last </w:t>
      </w:r>
      <w:r w:rsidRPr="008C55E0">
        <w:t>on April 20, 2006.</w:t>
      </w:r>
      <w:r w:rsidRPr="008F1930" w:rsidDel="008C55E0">
        <w:t xml:space="preserve"> </w:t>
      </w:r>
      <w:r w:rsidRPr="008C55E0">
        <w:t xml:space="preserve">The regulations apply to sources that </w:t>
      </w:r>
      <w:r>
        <w:t xml:space="preserve">either </w:t>
      </w:r>
      <w:r w:rsidRPr="008C55E0">
        <w:t xml:space="preserve">commenced construction or reconstruction after January 14, 2003. On August 18, 2004, these standards </w:t>
      </w:r>
      <w:r w:rsidR="0065564A">
        <w:t xml:space="preserve">  </w:t>
      </w:r>
      <w:r w:rsidRPr="008C55E0">
        <w:t xml:space="preserve">were amended to stay the effectiveness for the two gas-fired stationary combustion turbine subcategories (i.e., lean pre-mix gas-fired turbines and diffusion flame gas-fired turbines). Under this stay, new sources in either subcategory that are </w:t>
      </w:r>
      <w:r w:rsidR="0065564A">
        <w:t xml:space="preserve">either </w:t>
      </w:r>
      <w:r w:rsidRPr="008C55E0">
        <w:t>constructed or reconstructed after January 14, 2003 are required to submit initial notification</w:t>
      </w:r>
      <w:r>
        <w:t xml:space="preserve"> </w:t>
      </w:r>
      <w:r w:rsidR="00722863">
        <w:t>report</w:t>
      </w:r>
      <w:r w:rsidR="00722863" w:rsidRPr="008C55E0">
        <w:t>s</w:t>
      </w:r>
      <w:r w:rsidR="0065564A">
        <w:t>,</w:t>
      </w:r>
      <w:r w:rsidR="00722863" w:rsidRPr="008C55E0">
        <w:t xml:space="preserve"> but</w:t>
      </w:r>
      <w:r w:rsidRPr="008C55E0">
        <w:t xml:space="preserve"> are </w:t>
      </w:r>
      <w:r w:rsidR="0065564A">
        <w:t xml:space="preserve">also </w:t>
      </w:r>
      <w:r w:rsidRPr="008C55E0">
        <w:t xml:space="preserve">relieved of the obligation to comply with other reporting or monitoring requirements until EPA makes a final decision. </w:t>
      </w:r>
      <w:r w:rsidR="00961D90">
        <w:t>Amendments to the NESHAP were proposed on April 12, 2019</w:t>
      </w:r>
      <w:r w:rsidR="0065564A">
        <w:t>,</w:t>
      </w:r>
      <w:r w:rsidR="00961D90">
        <w:t xml:space="preserve"> as a result of a residual risk and technology review (RTR) required under the Clean Air Act (CAA</w:t>
      </w:r>
      <w:r w:rsidR="0065564A">
        <w:t>;</w:t>
      </w:r>
      <w:r w:rsidR="00961D90">
        <w:t xml:space="preserve"> however, these amendments have not </w:t>
      </w:r>
      <w:r w:rsidR="005864DE">
        <w:t xml:space="preserve">been </w:t>
      </w:r>
      <w:r w:rsidR="00961D90">
        <w:t xml:space="preserve">finalized and no burden associated with the proposed amendments </w:t>
      </w:r>
      <w:r w:rsidR="005F1440">
        <w:t>is included</w:t>
      </w:r>
      <w:r w:rsidR="00961D90">
        <w:t xml:space="preserve"> in this ICR. </w:t>
      </w:r>
      <w:r w:rsidRPr="008F1930">
        <w:t>This information is being collected to assure compliance with 40 CFR Part 63, Subpart YYYY.</w:t>
      </w:r>
    </w:p>
    <w:p w14:paraId="43FDF7BE" w14:textId="77777777" w:rsidR="00CA4CD6" w:rsidRDefault="00CA4CD6">
      <w:pPr>
        <w:rPr>
          <w:color w:val="000000"/>
        </w:rPr>
      </w:pPr>
    </w:p>
    <w:p w14:paraId="0116004E" w14:textId="74ACAEE5" w:rsidR="00CA4CD6" w:rsidRDefault="00CA4CD6">
      <w:pPr>
        <w:ind w:firstLine="720"/>
        <w:rPr>
          <w:color w:val="000000"/>
        </w:rPr>
      </w:pPr>
      <w:r>
        <w:rPr>
          <w:color w:val="000000"/>
        </w:rPr>
        <w:t>In general, all</w:t>
      </w:r>
      <w:r w:rsidR="0083558A">
        <w:rPr>
          <w:color w:val="000000"/>
        </w:rPr>
        <w:t xml:space="preserve"> </w:t>
      </w:r>
      <w:r w:rsidRPr="0083558A">
        <w:t xml:space="preserve">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65564A">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83558A">
        <w:t>NESHAP</w:t>
      </w:r>
      <w:r>
        <w:rPr>
          <w:color w:val="000000"/>
        </w:rPr>
        <w:t>.</w:t>
      </w:r>
      <w:r w:rsidR="009C7E97">
        <w:rPr>
          <w:color w:val="000000"/>
        </w:rPr>
        <w:t xml:space="preserve"> </w:t>
      </w:r>
    </w:p>
    <w:p w14:paraId="4416605D" w14:textId="77777777" w:rsidR="00CA4CD6" w:rsidRDefault="00CA4CD6">
      <w:pPr>
        <w:rPr>
          <w:color w:val="000000"/>
        </w:rPr>
      </w:pPr>
    </w:p>
    <w:p w14:paraId="297BBA30" w14:textId="2B9E57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83558A">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65564A">
        <w:rPr>
          <w:color w:val="000000"/>
        </w:rPr>
        <w:t xml:space="preserve">    </w:t>
      </w:r>
      <w:r>
        <w:rPr>
          <w:color w:val="000000"/>
        </w:rPr>
        <w:t>I</w:t>
      </w:r>
      <w:r w:rsidR="0065564A">
        <w:rPr>
          <w:color w:val="000000"/>
        </w:rPr>
        <w:t>f</w:t>
      </w:r>
      <w:r>
        <w:rPr>
          <w:color w:val="000000"/>
        </w:rPr>
        <w:t xml:space="preserve"> the event that there is no such delegated authority, the reports are sent directly to the U</w:t>
      </w:r>
      <w:r w:rsidR="0065564A">
        <w:rPr>
          <w:color w:val="000000"/>
        </w:rPr>
        <w:t>.</w:t>
      </w:r>
      <w:r>
        <w:rPr>
          <w:color w:val="000000"/>
        </w:rPr>
        <w:t>S</w:t>
      </w:r>
      <w:r w:rsidR="0065564A">
        <w:rPr>
          <w:color w:val="000000"/>
        </w:rPr>
        <w:t>.</w:t>
      </w:r>
      <w:r>
        <w:rPr>
          <w:color w:val="000000"/>
        </w:rPr>
        <w:t xml:space="preserve"> Environmental Protection Agency</w:t>
      </w:r>
      <w:r w:rsidR="0065564A">
        <w:rPr>
          <w:color w:val="000000"/>
        </w:rPr>
        <w:t>’s</w:t>
      </w:r>
      <w:r>
        <w:rPr>
          <w:color w:val="000000"/>
        </w:rPr>
        <w:t xml:space="preserve"> (EPA) regional office</w:t>
      </w:r>
      <w:r w:rsidR="0065564A">
        <w:rPr>
          <w:color w:val="000000"/>
        </w:rPr>
        <w:t>s</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092A7E7" w:rsidR="003E47DB" w:rsidRDefault="0083558A">
      <w:pPr>
        <w:pBdr>
          <w:top w:val="single" w:sz="6" w:space="0" w:color="FFFFFF"/>
          <w:left w:val="single" w:sz="6" w:space="0" w:color="FFFFFF"/>
          <w:bottom w:val="single" w:sz="6" w:space="0" w:color="FFFFFF"/>
          <w:right w:val="single" w:sz="6" w:space="0" w:color="FFFFFF"/>
        </w:pBdr>
        <w:ind w:firstLine="720"/>
        <w:rPr>
          <w:color w:val="000000"/>
        </w:rPr>
      </w:pPr>
      <w:r w:rsidRPr="00FE36C2">
        <w:t>The “Affected Public” are owners or operators</w:t>
      </w:r>
      <w:r>
        <w:t xml:space="preserve"> of </w:t>
      </w:r>
      <w:r>
        <w:rPr>
          <w:bCs/>
        </w:rPr>
        <w:t>s</w:t>
      </w:r>
      <w:r w:rsidRPr="008C55E0">
        <w:rPr>
          <w:bCs/>
        </w:rPr>
        <w:t xml:space="preserve">tationary </w:t>
      </w:r>
      <w:r>
        <w:rPr>
          <w:bCs/>
        </w:rPr>
        <w:t>c</w:t>
      </w:r>
      <w:r w:rsidRPr="008C55E0">
        <w:rPr>
          <w:bCs/>
        </w:rPr>
        <w:t xml:space="preserve">ombustion </w:t>
      </w:r>
      <w:r>
        <w:rPr>
          <w:bCs/>
        </w:rPr>
        <w:t>t</w:t>
      </w:r>
      <w:r w:rsidRPr="008C55E0">
        <w:rPr>
          <w:bCs/>
        </w:rPr>
        <w:t>urbines</w:t>
      </w:r>
      <w:r>
        <w:rPr>
          <w:bCs/>
        </w:rPr>
        <w:t xml:space="preserve">. </w:t>
      </w:r>
      <w:r w:rsidRPr="00167160">
        <w:t xml:space="preserve">The </w:t>
      </w:r>
      <w:r>
        <w:t>“</w:t>
      </w:r>
      <w:r w:rsidRPr="00167160">
        <w:t>burden</w:t>
      </w:r>
      <w:r>
        <w:t>”</w:t>
      </w:r>
      <w:r w:rsidRPr="00167160">
        <w:t xml:space="preserve"> to the “Affected Public” may be found</w:t>
      </w:r>
      <w:r>
        <w:t xml:space="preserve"> </w:t>
      </w:r>
      <w:r w:rsidR="0065564A">
        <w:t xml:space="preserve">below, </w:t>
      </w:r>
      <w:r w:rsidR="00C73C98">
        <w:t>at the end of this document</w:t>
      </w:r>
      <w:r w:rsidR="0065564A">
        <w:t>,</w:t>
      </w:r>
      <w:r w:rsidRPr="00167160">
        <w:t xml:space="preserve"> in Table 1: Annual Respondent Burden and Cost –</w:t>
      </w:r>
      <w:r>
        <w:t xml:space="preserve"> </w:t>
      </w:r>
      <w:r w:rsidRPr="00396A52">
        <w:rPr>
          <w:bCs/>
        </w:rPr>
        <w:t>NESHAP for Stationary Combustion Turbines (40 CFR Part 63, Subpart YYYY)</w:t>
      </w:r>
      <w:r>
        <w:rPr>
          <w:bCs/>
        </w:rPr>
        <w:t xml:space="preserve"> (Renewal). </w:t>
      </w:r>
      <w:r w:rsidRPr="00253399">
        <w:t>There are approximately</w:t>
      </w:r>
      <w:r w:rsidRPr="00FA25F1">
        <w:t xml:space="preserve"> </w:t>
      </w:r>
      <w:r w:rsidR="005F1440">
        <w:t>114</w:t>
      </w:r>
      <w:r w:rsidR="005F1440" w:rsidRPr="00FA25F1">
        <w:t xml:space="preserve"> </w:t>
      </w:r>
      <w:r>
        <w:rPr>
          <w:bCs/>
        </w:rPr>
        <w:t>s</w:t>
      </w:r>
      <w:r w:rsidRPr="008C55E0">
        <w:rPr>
          <w:bCs/>
        </w:rPr>
        <w:t xml:space="preserve">tationary </w:t>
      </w:r>
      <w:r>
        <w:rPr>
          <w:bCs/>
        </w:rPr>
        <w:t>c</w:t>
      </w:r>
      <w:r w:rsidRPr="008C55E0">
        <w:rPr>
          <w:bCs/>
        </w:rPr>
        <w:t xml:space="preserve">ombustion </w:t>
      </w:r>
      <w:r>
        <w:rPr>
          <w:bCs/>
        </w:rPr>
        <w:lastRenderedPageBreak/>
        <w:t>t</w:t>
      </w:r>
      <w:r w:rsidRPr="008C55E0">
        <w:rPr>
          <w:bCs/>
        </w:rPr>
        <w:t>urbines</w:t>
      </w:r>
      <w:r>
        <w:rPr>
          <w:bCs/>
        </w:rPr>
        <w:t xml:space="preserve"> facilities. </w:t>
      </w:r>
      <w:r w:rsidR="003E47DB">
        <w:rPr>
          <w:color w:val="000000"/>
        </w:rPr>
        <w:t xml:space="preserve">None of the </w:t>
      </w:r>
      <w:r w:rsidR="005F1440">
        <w:rPr>
          <w:color w:val="000000"/>
        </w:rPr>
        <w:t>114</w:t>
      </w:r>
      <w:r w:rsidR="003E47DB">
        <w:rPr>
          <w:color w:val="000000"/>
        </w:rPr>
        <w:t xml:space="preserve"> facilities in the United States are owned by </w:t>
      </w:r>
      <w:r w:rsidR="0065564A">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65564A">
        <w:rPr>
          <w:color w:val="000000"/>
        </w:rPr>
        <w:t xml:space="preserve"> to EPA inquiries</w:t>
      </w:r>
      <w:r w:rsidR="003E47DB">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4AEE90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405D8">
        <w:rPr>
          <w:color w:val="000000"/>
        </w:rPr>
        <w:t>is</w:t>
      </w:r>
      <w:r>
        <w:rPr>
          <w:color w:val="000000"/>
        </w:rPr>
        <w:t xml:space="preserve"> an average of</w:t>
      </w:r>
      <w:r w:rsidR="001405D8">
        <w:rPr>
          <w:color w:val="000000"/>
        </w:rPr>
        <w:t xml:space="preserve"> one</w:t>
      </w:r>
      <w:r>
        <w:rPr>
          <w:color w:val="000000"/>
        </w:rPr>
        <w:t xml:space="preserve"> affected </w:t>
      </w:r>
      <w:r w:rsidR="005F1440">
        <w:rPr>
          <w:color w:val="000000"/>
        </w:rPr>
        <w:t xml:space="preserve">facility </w:t>
      </w:r>
      <w:r>
        <w:rPr>
          <w:color w:val="000000"/>
        </w:rPr>
        <w:t>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07989D" w14:textId="62CF44A8" w:rsidR="0083558A" w:rsidRPr="00FA25F1" w:rsidRDefault="00E41377" w:rsidP="00D07C01">
      <w:pPr>
        <w:pBdr>
          <w:top w:val="single" w:sz="6" w:space="0" w:color="FFFFFF"/>
          <w:left w:val="single" w:sz="6" w:space="0" w:color="FFFFFF"/>
          <w:bottom w:val="single" w:sz="6" w:space="0" w:color="FFFFFF"/>
          <w:right w:val="single" w:sz="6" w:space="0" w:color="FFFFFF"/>
        </w:pBdr>
        <w:ind w:firstLine="720"/>
      </w:pPr>
      <w:r w:rsidRPr="00E41377">
        <w:t xml:space="preserve">Over the next three years, approximately </w:t>
      </w:r>
      <w:r w:rsidR="00026EED">
        <w:t xml:space="preserve">122 respondents per year will be subject to these standards. This includes </w:t>
      </w:r>
      <w:r w:rsidRPr="00E41377">
        <w:t xml:space="preserve">114 </w:t>
      </w:r>
      <w:r w:rsidR="00026EED">
        <w:t xml:space="preserve">existing </w:t>
      </w:r>
      <w:r w:rsidRPr="00E41377">
        <w:t>respondents per year, including 109 facilities with gas-fired turbines, 3 facilities with landfill/digester gas-fired turbines, and 2 facilities with oil-fired stationary combustion turbines. In addition, approximately 8 facilities per year will become subject to these same standards, including 8 facilities with gas-fired turbines, 0 facilities with landfill/digester gas-fired turbines, and 0 facilities with oil-fired turbines. </w:t>
      </w:r>
      <w:r>
        <w:t>The number of respondents in this ICR is based on an inventory conducted as part of the RTR review and reflects a decrease in the number of facilities with oil</w:t>
      </w:r>
      <w:r w:rsidR="00C04823">
        <w:t>-</w:t>
      </w:r>
      <w:r>
        <w:t xml:space="preserve">fired stationary </w:t>
      </w:r>
      <w:r w:rsidRPr="00FA25F1">
        <w:t>combustion turbines.</w:t>
      </w:r>
    </w:p>
    <w:p w14:paraId="6A8A2DB8" w14:textId="77777777" w:rsidR="001405D8" w:rsidRPr="00FA25F1" w:rsidRDefault="001405D8" w:rsidP="0083558A">
      <w:pPr>
        <w:pBdr>
          <w:top w:val="single" w:sz="6" w:space="0" w:color="FFFFFF"/>
          <w:left w:val="single" w:sz="6" w:space="0" w:color="FFFFFF"/>
          <w:bottom w:val="single" w:sz="6" w:space="0" w:color="FFFFFF"/>
          <w:right w:val="single" w:sz="6" w:space="0" w:color="FFFFFF"/>
        </w:pBdr>
        <w:ind w:firstLine="720"/>
      </w:pPr>
    </w:p>
    <w:p w14:paraId="58E077B1" w14:textId="40895538" w:rsidR="00CA4CD6" w:rsidRPr="00FA25F1" w:rsidRDefault="00A10DBD" w:rsidP="0083558A">
      <w:pPr>
        <w:pBdr>
          <w:top w:val="single" w:sz="6" w:space="0" w:color="FFFFFF"/>
          <w:left w:val="single" w:sz="6" w:space="0" w:color="FFFFFF"/>
          <w:bottom w:val="single" w:sz="6" w:space="0" w:color="FFFFFF"/>
          <w:right w:val="single" w:sz="6" w:space="0" w:color="FFFFFF"/>
        </w:pBdr>
        <w:ind w:firstLine="720"/>
      </w:pPr>
      <w:r w:rsidRPr="00FA25F1">
        <w:t>The Office of Management and Budget (</w:t>
      </w:r>
      <w:r w:rsidR="00CA4CD6" w:rsidRPr="00FA25F1">
        <w:t>OMB</w:t>
      </w:r>
      <w:r w:rsidRPr="00FA25F1">
        <w:t>)</w:t>
      </w:r>
      <w:r w:rsidR="00CA4CD6" w:rsidRPr="00FA25F1">
        <w:t xml:space="preserve"> approved the currently active ICR without any </w:t>
      </w:r>
      <w:r w:rsidRPr="00FA25F1">
        <w:t>“</w:t>
      </w:r>
      <w:r w:rsidR="00CA4CD6" w:rsidRPr="00FA25F1">
        <w:t>Terms of Clearance</w:t>
      </w:r>
      <w:r w:rsidRPr="00FA25F1">
        <w:t>”</w:t>
      </w:r>
      <w:r w:rsidR="00CA4CD6" w:rsidRPr="00FA25F1">
        <w:t>.</w:t>
      </w:r>
    </w:p>
    <w:p w14:paraId="365C973F" w14:textId="77777777" w:rsidR="009D6567" w:rsidRPr="00FA25F1" w:rsidRDefault="009D6567">
      <w:pPr>
        <w:pBdr>
          <w:top w:val="single" w:sz="6" w:space="0" w:color="FFFFFF"/>
          <w:left w:val="single" w:sz="6" w:space="0" w:color="FFFFFF"/>
          <w:bottom w:val="single" w:sz="6" w:space="0" w:color="FFFFFF"/>
          <w:right w:val="single" w:sz="6" w:space="0" w:color="FFFFFF"/>
        </w:pBdr>
        <w:ind w:firstLine="720"/>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76901267" w:rsidR="00CA4CD6" w:rsidRPr="001405D8" w:rsidRDefault="00CA4CD6">
      <w:pPr>
        <w:pBdr>
          <w:top w:val="single" w:sz="6" w:space="0" w:color="FFFFFF"/>
          <w:left w:val="single" w:sz="6" w:space="0" w:color="FFFFFF"/>
          <w:bottom w:val="single" w:sz="6" w:space="0" w:color="FFFFFF"/>
          <w:right w:val="single" w:sz="6" w:space="0" w:color="FFFFFF"/>
        </w:pBdr>
        <w:ind w:firstLine="720"/>
      </w:pPr>
      <w:r w:rsidRPr="001405D8">
        <w:t>The EPA is charged under Section 112 of the Clean Air Act, as amended, to establish standards of performance for each category or subcategory of major sources and area sources of hazardous air pollutants.</w:t>
      </w:r>
      <w:r w:rsidR="009C7E97" w:rsidRPr="001405D8">
        <w:t xml:space="preserve"> </w:t>
      </w:r>
      <w:r w:rsidRPr="001405D8">
        <w:t>These standards are applicable to new or existing sources of hazardous air pollutants and shall require the maximum degree of emission reduction.</w:t>
      </w:r>
      <w:r w:rsidR="0083558A" w:rsidRPr="001405D8">
        <w:t xml:space="preserve"> </w:t>
      </w:r>
      <w:r w:rsidRPr="001405D8">
        <w:t xml:space="preserve">In addition, section 114(a) states that the Administrator may require any owner/operator subject to any requirement of this Act to: </w:t>
      </w:r>
    </w:p>
    <w:p w14:paraId="59768A81" w14:textId="77777777" w:rsidR="00CA4CD6" w:rsidRPr="001405D8" w:rsidRDefault="00CA4CD6">
      <w:pPr>
        <w:pBdr>
          <w:top w:val="single" w:sz="6" w:space="0" w:color="FFFFFF"/>
          <w:left w:val="single" w:sz="6" w:space="0" w:color="FFFFFF"/>
          <w:bottom w:val="single" w:sz="6" w:space="0" w:color="FFFFFF"/>
          <w:right w:val="single" w:sz="6" w:space="0" w:color="FFFFFF"/>
        </w:pBdr>
      </w:pPr>
    </w:p>
    <w:p w14:paraId="33AC57AC" w14:textId="45ECFC2D" w:rsidR="00CA4CD6" w:rsidRPr="001405D8" w:rsidRDefault="00CA4CD6">
      <w:pPr>
        <w:pBdr>
          <w:top w:val="single" w:sz="6" w:space="0" w:color="FFFFFF"/>
          <w:left w:val="single" w:sz="6" w:space="0" w:color="FFFFFF"/>
          <w:bottom w:val="single" w:sz="6" w:space="0" w:color="FFFFFF"/>
          <w:right w:val="single" w:sz="6" w:space="0" w:color="FFFFFF"/>
        </w:pBdr>
        <w:ind w:left="1440" w:right="1440"/>
      </w:pPr>
      <w:r w:rsidRPr="001405D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1405D8" w:rsidRDefault="00CA4CD6">
      <w:pPr>
        <w:pBdr>
          <w:top w:val="single" w:sz="6" w:space="0" w:color="FFFFFF"/>
          <w:left w:val="single" w:sz="6" w:space="0" w:color="FFFFFF"/>
          <w:bottom w:val="single" w:sz="6" w:space="0" w:color="FFFFFF"/>
          <w:right w:val="single" w:sz="6" w:space="0" w:color="FFFFFF"/>
        </w:pBdr>
      </w:pPr>
    </w:p>
    <w:p w14:paraId="1EAC9220" w14:textId="53686136" w:rsidR="00CA4CD6" w:rsidRDefault="00CA4CD6" w:rsidP="0083558A">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83558A" w:rsidRPr="008F1930">
        <w:t xml:space="preserve">hazardous air pollutants (HAP) </w:t>
      </w:r>
      <w:r w:rsidR="0083558A">
        <w:rPr>
          <w:color w:val="000000"/>
        </w:rPr>
        <w:t xml:space="preserve">emissions from stationary combustion turbines either cause or contribute to air pollution that may reasonably be </w:t>
      </w:r>
      <w:r w:rsidR="0083558A">
        <w:rPr>
          <w:color w:val="000000"/>
        </w:rPr>
        <w:lastRenderedPageBreak/>
        <w:t xml:space="preserve">anticipated to endanger public health and/or welfare. Therefore, the </w:t>
      </w:r>
      <w:r w:rsidR="0083558A" w:rsidRPr="008F1930">
        <w:t>NESHAP</w:t>
      </w:r>
      <w:r w:rsidR="0083558A">
        <w:rPr>
          <w:color w:val="000000"/>
        </w:rPr>
        <w:t xml:space="preserve"> were promulgated for this source category at 40 CFR Part 63,</w:t>
      </w:r>
      <w:r w:rsidR="0083558A">
        <w:rPr>
          <w:b/>
          <w:bCs/>
          <w:i/>
          <w:iCs/>
          <w:color w:val="000000"/>
        </w:rPr>
        <w:t xml:space="preserve"> </w:t>
      </w:r>
      <w:r w:rsidR="0083558A">
        <w:rPr>
          <w:color w:val="000000"/>
        </w:rPr>
        <w:t>Subpart YYYY.</w:t>
      </w:r>
    </w:p>
    <w:p w14:paraId="7731FDB9" w14:textId="77777777" w:rsidR="00CA4CD6" w:rsidRDefault="00CA4CD6" w:rsidP="0083558A">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890EA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w:t>
      </w:r>
      <w:r w:rsidR="00172AC3">
        <w:rPr>
          <w:color w:val="000000"/>
        </w:rPr>
        <w:t>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8689D91" w:rsidR="00CA4CD6" w:rsidRPr="00172AC3"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65564A">
        <w:rPr>
          <w:color w:val="000000"/>
        </w:rPr>
        <w:t>se</w:t>
      </w:r>
      <w:r>
        <w:rPr>
          <w:color w:val="000000"/>
        </w:rPr>
        <w:t xml:space="preserve"> emission standar</w:t>
      </w:r>
      <w:r w:rsidR="00172AC3">
        <w:rPr>
          <w:color w:val="000000"/>
        </w:rPr>
        <w:t>ds</w:t>
      </w:r>
      <w:r>
        <w:rPr>
          <w:color w:val="000000"/>
        </w:rPr>
        <w:t>. Continuous emission monitors are used to ensure compliance with the</w:t>
      </w:r>
      <w:r w:rsidR="0065564A">
        <w:rPr>
          <w:color w:val="000000"/>
        </w:rPr>
        <w:t>se</w:t>
      </w:r>
      <w:r>
        <w:rPr>
          <w:color w:val="000000"/>
        </w:rPr>
        <w:t xml:space="preserve"> standar</w:t>
      </w:r>
      <w:r w:rsidR="00172AC3">
        <w:rPr>
          <w:color w:val="000000"/>
        </w:rPr>
        <w:t>ds</w:t>
      </w:r>
      <w:r>
        <w:rPr>
          <w:color w:val="000000"/>
        </w:rPr>
        <w:t xml:space="preserve"> at all times. </w:t>
      </w:r>
      <w:r w:rsidRPr="00172AC3">
        <w:t>During the performance test a record of the operating parameters under which compliance was achieved may be recorded and used to determine compliance in place of a continuous emission monitor.</w:t>
      </w:r>
    </w:p>
    <w:p w14:paraId="5AE16A17" w14:textId="77777777" w:rsidR="00CA4CD6" w:rsidRPr="00172AC3" w:rsidRDefault="00CA4CD6">
      <w:pPr>
        <w:pBdr>
          <w:top w:val="single" w:sz="6" w:space="0" w:color="FFFFFF"/>
          <w:left w:val="single" w:sz="6" w:space="0" w:color="FFFFFF"/>
          <w:bottom w:val="single" w:sz="6" w:space="0" w:color="FFFFFF"/>
          <w:right w:val="single" w:sz="6" w:space="0" w:color="FFFFFF"/>
        </w:pBdr>
      </w:pPr>
    </w:p>
    <w:p w14:paraId="14AFE8F2" w14:textId="048FED05" w:rsidR="00CA4CD6" w:rsidRPr="00172AC3" w:rsidRDefault="00CA4CD6">
      <w:pPr>
        <w:pBdr>
          <w:top w:val="single" w:sz="6" w:space="0" w:color="FFFFFF"/>
          <w:left w:val="single" w:sz="6" w:space="0" w:color="FFFFFF"/>
          <w:bottom w:val="single" w:sz="6" w:space="0" w:color="FFFFFF"/>
          <w:right w:val="single" w:sz="6" w:space="0" w:color="FFFFFF"/>
        </w:pBdr>
        <w:ind w:firstLine="720"/>
      </w:pPr>
      <w:r w:rsidRPr="00172AC3">
        <w:t>The notifications required in the</w:t>
      </w:r>
      <w:r w:rsidR="0065564A">
        <w:t>se</w:t>
      </w:r>
      <w:r w:rsidRPr="00172AC3">
        <w:t xml:space="preserve"> standar</w:t>
      </w:r>
      <w:r w:rsidR="00172AC3" w:rsidRPr="00172AC3">
        <w:t>ds</w:t>
      </w:r>
      <w:r w:rsidRPr="00172AC3">
        <w:t xml:space="preserve"> are used to inform the Agency or </w:t>
      </w:r>
      <w:r w:rsidR="0065564A">
        <w:t xml:space="preserve">its </w:t>
      </w:r>
      <w:r w:rsidRPr="00172AC3">
        <w:t>delegated authority when a source becomes subject to the requirements of the regulations.</w:t>
      </w:r>
      <w:r w:rsidR="009C7E97" w:rsidRPr="00172AC3">
        <w:t xml:space="preserve"> </w:t>
      </w:r>
      <w:r w:rsidR="0065564A">
        <w:t xml:space="preserve">     </w:t>
      </w:r>
      <w:r w:rsidRPr="00172AC3">
        <w:t xml:space="preserve">The reviewing authority may then inspect the source to check if the pollution control devices </w:t>
      </w:r>
      <w:r w:rsidR="0065564A">
        <w:t xml:space="preserve">  </w:t>
      </w:r>
      <w:r w:rsidRPr="00172AC3">
        <w:t>are properly installed and operated</w:t>
      </w:r>
      <w:r w:rsidR="00172AC3" w:rsidRPr="00172AC3">
        <w:t xml:space="preserve">, </w:t>
      </w:r>
      <w:r w:rsidRPr="00172AC3">
        <w:t>leaks are being detected and repaired</w:t>
      </w:r>
      <w:r w:rsidR="00172AC3" w:rsidRPr="00172AC3">
        <w:t xml:space="preserve">, </w:t>
      </w:r>
      <w:r w:rsidRPr="00172AC3">
        <w:t>and</w:t>
      </w:r>
      <w:r w:rsidR="00B74663">
        <w:t xml:space="preserve"> that</w:t>
      </w:r>
      <w:r w:rsidRPr="00172AC3">
        <w:t xml:space="preserve"> the</w:t>
      </w:r>
      <w:r w:rsidR="0065564A">
        <w:t>se</w:t>
      </w:r>
      <w:r w:rsidRPr="00172AC3">
        <w:t xml:space="preserve"> standar</w:t>
      </w:r>
      <w:r w:rsidR="00172AC3" w:rsidRPr="00172AC3">
        <w:t>ds</w:t>
      </w:r>
      <w:r w:rsidRPr="00172AC3">
        <w:t xml:space="preserve"> </w:t>
      </w:r>
      <w:r w:rsidR="00172AC3" w:rsidRPr="00172AC3">
        <w:t>are</w:t>
      </w:r>
      <w:r w:rsidRPr="00172AC3">
        <w:t xml:space="preserve"> being met.</w:t>
      </w:r>
      <w:r w:rsidR="009C7E97" w:rsidRPr="00172AC3">
        <w:t xml:space="preserve"> </w:t>
      </w:r>
      <w:r w:rsidRPr="00172AC3">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01F18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172AC3">
        <w:t xml:space="preserve">required </w:t>
      </w:r>
      <w:r w:rsidR="00172AC3" w:rsidRPr="00172AC3">
        <w:t>annual or semiannual</w:t>
      </w:r>
      <w:r w:rsidRPr="00172AC3">
        <w:t xml:space="preserve">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B80CD6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5564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8AF331" w14:textId="77777777" w:rsidR="00172AC3" w:rsidRDefault="00CA4CD6" w:rsidP="00172AC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172AC3" w:rsidRPr="008F1930">
        <w:t>40 CFR Part 63, Subpart YYYY</w:t>
      </w:r>
      <w:r w:rsidR="00172AC3">
        <w:rPr>
          <w:color w:val="000000"/>
        </w:rPr>
        <w:t>.</w:t>
      </w:r>
    </w:p>
    <w:p w14:paraId="1E94F317" w14:textId="6F376E2F" w:rsidR="00CA4CD6" w:rsidRDefault="00CA4CD6" w:rsidP="00172AC3">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5754DA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5564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F1F4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65564A">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B2970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172AC3">
        <w:rPr>
          <w:i/>
          <w:color w:val="000000"/>
        </w:rPr>
        <w:t xml:space="preserve">Federal </w:t>
      </w:r>
      <w:r w:rsidRPr="005673D3">
        <w:rPr>
          <w:i/>
        </w:rPr>
        <w:t>Register</w:t>
      </w:r>
      <w:r w:rsidRPr="005673D3">
        <w:t xml:space="preserve"> (</w:t>
      </w:r>
      <w:r w:rsidR="00C5297B" w:rsidRPr="005673D3">
        <w:t>84</w:t>
      </w:r>
      <w:r w:rsidRPr="005673D3">
        <w:t xml:space="preserve"> </w:t>
      </w:r>
      <w:r w:rsidRPr="005673D3">
        <w:rPr>
          <w:u w:val="single"/>
        </w:rPr>
        <w:t>FR</w:t>
      </w:r>
      <w:r w:rsidRPr="005673D3">
        <w:t xml:space="preserve"> </w:t>
      </w:r>
      <w:r w:rsidR="00C5297B" w:rsidRPr="005673D3">
        <w:t>19777</w:t>
      </w:r>
      <w:r w:rsidRPr="005673D3">
        <w:t xml:space="preserve">) on </w:t>
      </w:r>
      <w:r w:rsidR="00C5297B" w:rsidRPr="005673D3">
        <w:t>May 6, 2019.</w:t>
      </w:r>
      <w:r w:rsidR="005673D3" w:rsidRPr="005673D3">
        <w:t xml:space="preserve"> </w:t>
      </w:r>
      <w:r w:rsidRPr="005673D3">
        <w:t xml:space="preserve">No comments were received on the burden published in the </w:t>
      </w:r>
      <w:r w:rsidRPr="005673D3">
        <w:rPr>
          <w:i/>
        </w:rPr>
        <w:t>Federal Register</w:t>
      </w:r>
      <w:r w:rsidR="00DC56DE" w:rsidRPr="005673D3">
        <w:rPr>
          <w:i/>
        </w:rPr>
        <w:t xml:space="preserve"> </w:t>
      </w:r>
      <w:r w:rsidR="00DC56DE" w:rsidRPr="005673D3">
        <w:t>for this renewal</w:t>
      </w:r>
      <w:r w:rsidRPr="005673D3">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Pr="00FA25F1" w:rsidRDefault="00123889" w:rsidP="00123889">
      <w:pPr>
        <w:pBdr>
          <w:top w:val="single" w:sz="6" w:space="0" w:color="FFFFFF"/>
          <w:left w:val="single" w:sz="6" w:space="0" w:color="FFFFFF"/>
          <w:bottom w:val="single" w:sz="6" w:space="0" w:color="FFFFFF"/>
          <w:right w:val="single" w:sz="6" w:space="0" w:color="FFFFFF"/>
        </w:pBdr>
        <w:ind w:firstLine="720"/>
      </w:pPr>
      <w:r>
        <w:rPr>
          <w:b/>
          <w:bCs/>
          <w:color w:val="000000"/>
        </w:rPr>
        <w:t>3(c)</w:t>
      </w:r>
      <w:r w:rsidR="009C7E97">
        <w:rPr>
          <w:b/>
          <w:bCs/>
          <w:color w:val="000000"/>
        </w:rPr>
        <w:t xml:space="preserve"> </w:t>
      </w:r>
      <w:r w:rsidRPr="00FA25F1">
        <w:rPr>
          <w:b/>
          <w:bCs/>
        </w:rPr>
        <w:t>Consultations</w:t>
      </w:r>
    </w:p>
    <w:p w14:paraId="0193644F" w14:textId="77777777" w:rsidR="00E53137" w:rsidRPr="00FA25F1" w:rsidRDefault="00E53137" w:rsidP="00D92F66">
      <w:pPr>
        <w:spacing w:line="244" w:lineRule="exact"/>
      </w:pPr>
    </w:p>
    <w:p w14:paraId="7E521393" w14:textId="22C2F19A" w:rsidR="00277F42" w:rsidRPr="00FA25F1" w:rsidRDefault="002B6993" w:rsidP="00CC5B39">
      <w:pPr>
        <w:ind w:firstLine="720"/>
        <w:rPr>
          <w:strike/>
          <w:sz w:val="22"/>
          <w:szCs w:val="22"/>
        </w:rPr>
      </w:pPr>
      <w:r w:rsidRPr="00FA25F1">
        <w:t>The Agency has consulted i</w:t>
      </w:r>
      <w:r w:rsidR="00E25DB6" w:rsidRPr="00FA25F1">
        <w:rPr>
          <w:bCs/>
        </w:rPr>
        <w:t xml:space="preserve">ndustry experts and internal data sources </w:t>
      </w:r>
      <w:r w:rsidRPr="00FA25F1">
        <w:rPr>
          <w:bCs/>
        </w:rPr>
        <w:t xml:space="preserve">to </w:t>
      </w:r>
      <w:r w:rsidR="00E25DB6" w:rsidRPr="00FA25F1">
        <w:rPr>
          <w:bCs/>
        </w:rPr>
        <w:t>project</w:t>
      </w:r>
      <w:r w:rsidRPr="00FA25F1">
        <w:rPr>
          <w:bCs/>
        </w:rPr>
        <w:t xml:space="preserve"> the number of affected facilities and </w:t>
      </w:r>
      <w:r w:rsidR="00E25DB6" w:rsidRPr="00FA25F1">
        <w:rPr>
          <w:bCs/>
        </w:rPr>
        <w:t>industry growth over the next three years.</w:t>
      </w:r>
      <w:r w:rsidR="009C7E97" w:rsidRPr="00FA25F1">
        <w:rPr>
          <w:b/>
          <w:bCs/>
        </w:rPr>
        <w:t xml:space="preserve"> </w:t>
      </w:r>
      <w:r w:rsidR="00277F42" w:rsidRPr="00FA25F1">
        <w:t xml:space="preserve">The primary source of information as reported by industry, in compliance with the recordkeeping and reporting provisions in the standard, </w:t>
      </w:r>
      <w:r w:rsidR="00CC5B39" w:rsidRPr="00FA25F1">
        <w:t>is the Integrated Compliance Information System (ICIS).</w:t>
      </w:r>
      <w:r w:rsidR="009C7E97" w:rsidRPr="00FA25F1">
        <w:t xml:space="preserve"> </w:t>
      </w:r>
      <w:r w:rsidR="00CC5B39" w:rsidRPr="00FA25F1">
        <w:t>ICIS is EPA’s database for the collection, maintenance, and retrieval of compliance data for industrial and government-owned facilities.</w:t>
      </w:r>
      <w:r w:rsidR="009C7E97" w:rsidRPr="00FA25F1">
        <w:rPr>
          <w:sz w:val="22"/>
          <w:szCs w:val="22"/>
        </w:rPr>
        <w:t xml:space="preserve"> </w:t>
      </w:r>
      <w:r w:rsidR="00277F42" w:rsidRPr="00FA25F1">
        <w:t xml:space="preserve">The growth rate for the industry is based on our consultations with the Agency’s internal industry experts. Approximately </w:t>
      </w:r>
      <w:r w:rsidR="00E41377" w:rsidRPr="00FA25F1">
        <w:t>122</w:t>
      </w:r>
      <w:r w:rsidR="00D07C01" w:rsidRPr="00FA25F1">
        <w:t xml:space="preserve"> </w:t>
      </w:r>
      <w:r w:rsidR="00277F42" w:rsidRPr="00FA25F1">
        <w:t>respondents will be subject to the</w:t>
      </w:r>
      <w:r w:rsidR="00E351DD">
        <w:t>se</w:t>
      </w:r>
      <w:r w:rsidR="00277F42" w:rsidRPr="00FA25F1">
        <w:t xml:space="preserve"> standard</w:t>
      </w:r>
      <w:r w:rsidR="00E351DD">
        <w:t>s</w:t>
      </w:r>
      <w:r w:rsidR="00277F42" w:rsidRPr="00FA25F1">
        <w:t xml:space="preserve"> over the </w:t>
      </w:r>
      <w:r w:rsidR="00647BBB" w:rsidRPr="00FA25F1">
        <w:t>three-year</w:t>
      </w:r>
      <w:r w:rsidR="00277F42" w:rsidRPr="00FA25F1">
        <w:t xml:space="preserve"> period covered by this ICR.</w:t>
      </w:r>
    </w:p>
    <w:p w14:paraId="2DC5F7D3" w14:textId="77777777" w:rsidR="00277F42" w:rsidRPr="00FA25F1" w:rsidRDefault="00277F42" w:rsidP="00277F42"/>
    <w:p w14:paraId="14A2FD1A" w14:textId="27866741" w:rsidR="001433D3" w:rsidRDefault="0029006A" w:rsidP="001433D3">
      <w:pPr>
        <w:ind w:firstLine="720"/>
        <w:rPr>
          <w:color w:val="000000"/>
        </w:rPr>
      </w:pPr>
      <w:r w:rsidRPr="005673D3">
        <w:t>I</w:t>
      </w:r>
      <w:r w:rsidR="00123889" w:rsidRPr="005673D3">
        <w:t>ndustry trade association(s) and other interested parties were provided an opportunity to comment on the burden associated with the</w:t>
      </w:r>
      <w:r w:rsidR="00E351DD">
        <w:t>se</w:t>
      </w:r>
      <w:r w:rsidR="00123889" w:rsidRPr="005673D3">
        <w:t xml:space="preserve"> standard</w:t>
      </w:r>
      <w:r w:rsidR="00E351DD">
        <w:t>s</w:t>
      </w:r>
      <w:r w:rsidR="00123889" w:rsidRPr="005673D3">
        <w:t xml:space="preserve"> as </w:t>
      </w:r>
      <w:r w:rsidR="00E351DD">
        <w:t xml:space="preserve">they were </w:t>
      </w:r>
      <w:r w:rsidR="00123889" w:rsidRPr="005673D3">
        <w:t>being developed and the</w:t>
      </w:r>
      <w:r w:rsidR="00E351DD">
        <w:t>se same</w:t>
      </w:r>
      <w:r w:rsidR="00123889" w:rsidRPr="005673D3">
        <w:t xml:space="preserve"> standard</w:t>
      </w:r>
      <w:r w:rsidR="00E351DD">
        <w:t>s</w:t>
      </w:r>
      <w:r w:rsidR="00123889" w:rsidRPr="005673D3">
        <w:t xml:space="preserve"> ha</w:t>
      </w:r>
      <w:r w:rsidR="00E351DD">
        <w:t>ve</w:t>
      </w:r>
      <w:r w:rsidR="00123889" w:rsidRPr="005673D3">
        <w:t xml:space="preserve"> been reviewed </w:t>
      </w:r>
      <w:r w:rsidR="00E351DD" w:rsidRPr="00E351DD">
        <w:t xml:space="preserve">previously </w:t>
      </w:r>
      <w:r w:rsidR="00123889" w:rsidRPr="005673D3">
        <w:t>to determine the minimum information needed for compliance purposes.</w:t>
      </w:r>
      <w:r w:rsidR="001433D3" w:rsidRPr="005673D3">
        <w:t xml:space="preserve"> </w:t>
      </w:r>
      <w:r w:rsidR="001433D3">
        <w:t xml:space="preserve">In developing this ICR, we contacted both </w:t>
      </w:r>
      <w:r w:rsidR="005673D3">
        <w:t xml:space="preserve">the Gas Turbine Association (GTA), at (510) 705-1885; and the </w:t>
      </w:r>
      <w:r w:rsidR="005673D3" w:rsidRPr="00396A52">
        <w:t>American Fuel &amp; Petrochemical Manufacturers</w:t>
      </w:r>
      <w:r w:rsidR="005673D3">
        <w:t>,</w:t>
      </w:r>
      <w:r w:rsidR="005673D3" w:rsidRPr="00396A52">
        <w:t xml:space="preserve"> at (202) </w:t>
      </w:r>
      <w:r w:rsidR="005673D3">
        <w:t>457-0480.</w:t>
      </w:r>
    </w:p>
    <w:p w14:paraId="1EC1123A" w14:textId="3C328A5D" w:rsidR="00123889" w:rsidRPr="005673D3" w:rsidRDefault="00123889" w:rsidP="00123889"/>
    <w:p w14:paraId="12978817" w14:textId="5521F764" w:rsidR="00CF2B37" w:rsidRPr="005673D3" w:rsidRDefault="00D42D52" w:rsidP="005673D3">
      <w:pPr>
        <w:widowControl/>
        <w:ind w:firstLine="720"/>
      </w:pPr>
      <w:r w:rsidRPr="005673D3">
        <w:rPr>
          <w:bCs/>
        </w:rPr>
        <w:t>It is our policy to respond after a thorough review of comments received since the last ICR renewal</w:t>
      </w:r>
      <w:r w:rsidR="00E351DD">
        <w:rPr>
          <w:bCs/>
        </w:rPr>
        <w:t>,</w:t>
      </w:r>
      <w:r w:rsidRPr="005673D3">
        <w:rPr>
          <w:bCs/>
        </w:rPr>
        <w:t xml:space="preserve"> as well as </w:t>
      </w:r>
      <w:r w:rsidR="00E351DD">
        <w:rPr>
          <w:bCs/>
        </w:rPr>
        <w:t xml:space="preserve">for </w:t>
      </w:r>
      <w:r w:rsidRPr="005673D3">
        <w:rPr>
          <w:bCs/>
        </w:rPr>
        <w:t xml:space="preserve">those submitted in response to the </w:t>
      </w:r>
      <w:r w:rsidR="005253D4" w:rsidRPr="005673D3">
        <w:rPr>
          <w:bCs/>
        </w:rPr>
        <w:t>f</w:t>
      </w:r>
      <w:r w:rsidRPr="005673D3">
        <w:rPr>
          <w:bCs/>
        </w:rPr>
        <w:t xml:space="preserve">irst </w:t>
      </w:r>
      <w:r w:rsidRPr="005673D3">
        <w:rPr>
          <w:bCs/>
          <w:i/>
        </w:rPr>
        <w:t>Federal Register</w:t>
      </w:r>
      <w:r w:rsidRPr="005673D3">
        <w:rPr>
          <w:bCs/>
        </w:rPr>
        <w:t xml:space="preserve"> </w:t>
      </w:r>
      <w:r w:rsidR="005253D4" w:rsidRPr="005673D3">
        <w:rPr>
          <w:bCs/>
        </w:rPr>
        <w:t>n</w:t>
      </w:r>
      <w:r w:rsidRPr="005673D3">
        <w:rPr>
          <w:bCs/>
        </w:rPr>
        <w:t>otice.</w:t>
      </w:r>
      <w:r w:rsidR="009C7E97" w:rsidRPr="005673D3">
        <w:rPr>
          <w:bCs/>
        </w:rPr>
        <w:t xml:space="preserve"> </w:t>
      </w:r>
      <w:r w:rsidR="0029006A" w:rsidRPr="005673D3">
        <w:t>In this case, no comments were received.</w:t>
      </w:r>
      <w:r w:rsidR="009C7E97" w:rsidRPr="005673D3">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A33E5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05D1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3F67F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C4337">
        <w:rPr>
          <w:color w:val="000000"/>
        </w:rPr>
        <w:t>-</w:t>
      </w:r>
      <w:r>
        <w:rPr>
          <w:color w:val="000000"/>
        </w:rPr>
        <w:t>frequent information collection would decrease the margin of assurance that facilities are continuing to meet the</w:t>
      </w:r>
      <w:r w:rsidR="009C433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89E7C18" w:rsidR="00CA4CD6" w:rsidRPr="005673D3" w:rsidRDefault="00CA4CD6" w:rsidP="005673D3">
      <w:pPr>
        <w:pBdr>
          <w:top w:val="single" w:sz="6" w:space="0" w:color="FFFFFF"/>
          <w:left w:val="single" w:sz="6" w:space="0" w:color="FFFFFF"/>
          <w:bottom w:val="single" w:sz="6" w:space="0" w:color="FFFFFF"/>
          <w:right w:val="single" w:sz="6" w:space="0" w:color="FFFFFF"/>
        </w:pBdr>
        <w:ind w:firstLine="720"/>
        <w:rPr>
          <w:color w:val="000000"/>
        </w:rPr>
      </w:pPr>
      <w:r w:rsidRPr="005673D3">
        <w:rPr>
          <w:color w:val="000000"/>
        </w:rPr>
        <w:t>These standards require the respondents to maintain all records, including reports and notifications for at least five years.</w:t>
      </w:r>
      <w:r w:rsidR="009C7E97" w:rsidRPr="005673D3">
        <w:rPr>
          <w:color w:val="000000"/>
        </w:rPr>
        <w:t xml:space="preserve"> </w:t>
      </w:r>
      <w:r w:rsidRPr="005673D3">
        <w:rPr>
          <w:color w:val="000000"/>
        </w:rPr>
        <w:t>This is consistent with the General Provisions as applied to the</w:t>
      </w:r>
      <w:r w:rsidR="009C4337">
        <w:rPr>
          <w:color w:val="000000"/>
        </w:rPr>
        <w:t>se</w:t>
      </w:r>
      <w:r w:rsidRPr="005673D3">
        <w:rPr>
          <w:color w:val="000000"/>
        </w:rPr>
        <w:t xml:space="preserve"> standards.</w:t>
      </w:r>
      <w:r w:rsidR="009C7E97" w:rsidRPr="005673D3">
        <w:rPr>
          <w:color w:val="000000"/>
        </w:rPr>
        <w:t xml:space="preserve"> </w:t>
      </w:r>
      <w:r w:rsidRPr="005673D3">
        <w:rPr>
          <w:color w:val="000000"/>
        </w:rPr>
        <w:t xml:space="preserve">EPA believes that the </w:t>
      </w:r>
      <w:r w:rsidR="0062215C" w:rsidRPr="005673D3">
        <w:rPr>
          <w:color w:val="000000"/>
        </w:rPr>
        <w:t>five-year</w:t>
      </w:r>
      <w:r w:rsidRPr="005673D3">
        <w:rPr>
          <w:color w:val="000000"/>
        </w:rPr>
        <w:t xml:space="preserve"> records retention requirement is consistent </w:t>
      </w:r>
      <w:r w:rsidR="004A084D" w:rsidRPr="005673D3">
        <w:rPr>
          <w:color w:val="000000"/>
        </w:rPr>
        <w:t xml:space="preserve">with </w:t>
      </w:r>
      <w:r w:rsidRPr="005673D3">
        <w:rPr>
          <w:color w:val="000000"/>
        </w:rPr>
        <w:t>the Part 70 permit program and the five</w:t>
      </w:r>
      <w:r w:rsidR="0062215C" w:rsidRPr="005673D3">
        <w:rPr>
          <w:color w:val="000000"/>
        </w:rPr>
        <w:t>-</w:t>
      </w:r>
      <w:r w:rsidRPr="005673D3">
        <w:rPr>
          <w:color w:val="000000"/>
        </w:rPr>
        <w:t>year statute of limitations on which the permit program is based.</w:t>
      </w:r>
      <w:r w:rsidR="009C7E97" w:rsidRPr="005673D3">
        <w:rPr>
          <w:color w:val="000000"/>
        </w:rPr>
        <w:t xml:space="preserve"> </w:t>
      </w:r>
      <w:r w:rsidR="005F42F8" w:rsidRPr="005673D3">
        <w:rPr>
          <w:color w:val="000000"/>
        </w:rPr>
        <w:t>T</w:t>
      </w:r>
      <w:r w:rsidRPr="005673D3">
        <w:rPr>
          <w:color w:val="000000"/>
        </w:rPr>
        <w:t>he retention of records for five years allow</w:t>
      </w:r>
      <w:r w:rsidR="005F42F8" w:rsidRPr="005673D3">
        <w:rPr>
          <w:color w:val="000000"/>
        </w:rPr>
        <w:t>s</w:t>
      </w:r>
      <w:r w:rsidRPr="005673D3">
        <w:rPr>
          <w:color w:val="000000"/>
        </w:rPr>
        <w:t xml:space="preserve"> EPA to establish the compliance history of a source</w:t>
      </w:r>
      <w:r w:rsidR="005F42F8" w:rsidRPr="005673D3">
        <w:rPr>
          <w:color w:val="000000"/>
        </w:rPr>
        <w:t xml:space="preserve">, </w:t>
      </w:r>
      <w:r w:rsidRPr="005673D3">
        <w:rPr>
          <w:color w:val="000000"/>
        </w:rPr>
        <w:t xml:space="preserve">any pattern of </w:t>
      </w:r>
      <w:r w:rsidR="005F42F8" w:rsidRPr="005673D3">
        <w:rPr>
          <w:color w:val="000000"/>
        </w:rPr>
        <w:t>non-</w:t>
      </w:r>
      <w:r w:rsidRPr="005673D3">
        <w:rPr>
          <w:color w:val="000000"/>
        </w:rPr>
        <w:t>compliance</w:t>
      </w:r>
      <w:r w:rsidR="005F42F8" w:rsidRPr="005673D3">
        <w:rPr>
          <w:color w:val="000000"/>
        </w:rPr>
        <w:t xml:space="preserve"> and to determine the appropriate level of enforcement action.</w:t>
      </w:r>
      <w:r w:rsidR="009C7E97" w:rsidRPr="005673D3">
        <w:rPr>
          <w:color w:val="000000"/>
        </w:rPr>
        <w:t xml:space="preserve"> </w:t>
      </w:r>
      <w:r w:rsidRPr="005673D3">
        <w:rPr>
          <w:color w:val="000000"/>
        </w:rPr>
        <w:t>EPA has found that the most flagrant violators have violations extending beyond five years.</w:t>
      </w:r>
      <w:r w:rsidR="009C7E97" w:rsidRPr="005673D3">
        <w:rPr>
          <w:color w:val="000000"/>
        </w:rPr>
        <w:t xml:space="preserve"> </w:t>
      </w:r>
      <w:r w:rsidR="005F42F8" w:rsidRPr="005673D3">
        <w:rPr>
          <w:color w:val="000000"/>
        </w:rPr>
        <w:t xml:space="preserve">In addition, </w:t>
      </w:r>
      <w:r w:rsidRPr="005673D3">
        <w:rPr>
          <w:color w:val="000000"/>
        </w:rPr>
        <w:t xml:space="preserve">EPA would be prevented from pursuing the violators due to the destruction or nonexistence of </w:t>
      </w:r>
      <w:r w:rsidR="005F42F8" w:rsidRPr="005673D3">
        <w:rPr>
          <w:color w:val="000000"/>
        </w:rPr>
        <w:t xml:space="preserve">essential </w:t>
      </w:r>
      <w:r w:rsidRPr="005673D3">
        <w:rPr>
          <w:color w:val="000000"/>
        </w:rPr>
        <w:t>records</w:t>
      </w:r>
      <w:r w:rsidR="005F42F8" w:rsidRPr="005673D3">
        <w:rPr>
          <w:color w:val="000000"/>
        </w:rPr>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27A12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C4337">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EB09C8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9C4337">
        <w:rPr>
          <w:color w:val="000000"/>
        </w:rPr>
        <w:t>se</w:t>
      </w:r>
      <w:r>
        <w:rPr>
          <w:color w:val="000000"/>
        </w:rPr>
        <w:t xml:space="preserve"> standard</w:t>
      </w:r>
      <w:r w:rsidR="009C433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14F5D8" w14:textId="02940A45" w:rsidR="005673D3" w:rsidRPr="003F1AFC" w:rsidRDefault="005673D3" w:rsidP="005673D3">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 owners and operators of stationary combustion sources. The United States Standard Industrial Classification (SIC) code for the respondents affected by the standards and corresponding North American Industry Classification System (NAICS) codes are listed in the table below</w:t>
      </w:r>
      <w:r w:rsidR="009C4337">
        <w:rPr>
          <w:color w:val="000000"/>
        </w:rPr>
        <w:t>:</w:t>
      </w:r>
      <w:r>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739"/>
        <w:gridCol w:w="2191"/>
        <w:gridCol w:w="2430"/>
      </w:tblGrid>
      <w:tr w:rsidR="00CA4CD6" w14:paraId="4654FAA0" w14:textId="77777777" w:rsidTr="005673D3">
        <w:tc>
          <w:tcPr>
            <w:tcW w:w="473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4F952E26"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5673D3">
              <w:rPr>
                <w:b/>
              </w:rPr>
              <w:t>(40 CFR Part 63, Subpart YYYY)</w:t>
            </w:r>
          </w:p>
        </w:tc>
        <w:tc>
          <w:tcPr>
            <w:tcW w:w="2191"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5673D3" w14:paraId="43A768BC" w14:textId="77777777" w:rsidTr="005673D3">
        <w:tc>
          <w:tcPr>
            <w:tcW w:w="4739" w:type="dxa"/>
            <w:tcBorders>
              <w:top w:val="single" w:sz="7" w:space="0" w:color="000000"/>
              <w:left w:val="single" w:sz="7" w:space="0" w:color="000000"/>
              <w:bottom w:val="single" w:sz="6" w:space="0" w:color="FFFFFF"/>
              <w:right w:val="single" w:sz="6" w:space="0" w:color="FFFFFF"/>
            </w:tcBorders>
          </w:tcPr>
          <w:p w14:paraId="404551C7" w14:textId="77777777" w:rsidR="005673D3" w:rsidRDefault="005673D3" w:rsidP="005673D3">
            <w:pPr>
              <w:spacing w:line="120" w:lineRule="exact"/>
              <w:rPr>
                <w:b/>
                <w:bCs/>
              </w:rPr>
            </w:pPr>
          </w:p>
          <w:p w14:paraId="69D88A48" w14:textId="3E5F0FB1"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Utilities</w:t>
            </w:r>
          </w:p>
        </w:tc>
        <w:tc>
          <w:tcPr>
            <w:tcW w:w="2191" w:type="dxa"/>
            <w:tcBorders>
              <w:top w:val="single" w:sz="7" w:space="0" w:color="000000"/>
              <w:left w:val="single" w:sz="7" w:space="0" w:color="000000"/>
              <w:bottom w:val="single" w:sz="6" w:space="0" w:color="FFFFFF"/>
              <w:right w:val="single" w:sz="6" w:space="0" w:color="FFFFFF"/>
            </w:tcBorders>
          </w:tcPr>
          <w:p w14:paraId="5FE9CF51" w14:textId="77777777" w:rsidR="005673D3" w:rsidRDefault="005673D3" w:rsidP="005673D3">
            <w:pPr>
              <w:spacing w:line="120" w:lineRule="exact"/>
              <w:jc w:val="center"/>
            </w:pPr>
          </w:p>
          <w:p w14:paraId="65180B57" w14:textId="27C34459"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49</w:t>
            </w:r>
          </w:p>
        </w:tc>
        <w:tc>
          <w:tcPr>
            <w:tcW w:w="2430" w:type="dxa"/>
            <w:tcBorders>
              <w:top w:val="single" w:sz="7" w:space="0" w:color="000000"/>
              <w:left w:val="single" w:sz="7" w:space="0" w:color="000000"/>
              <w:bottom w:val="single" w:sz="6" w:space="0" w:color="FFFFFF"/>
              <w:right w:val="single" w:sz="7" w:space="0" w:color="000000"/>
            </w:tcBorders>
          </w:tcPr>
          <w:p w14:paraId="0921CFB8" w14:textId="77777777" w:rsidR="005673D3" w:rsidRDefault="005673D3" w:rsidP="005673D3">
            <w:pPr>
              <w:spacing w:line="120" w:lineRule="exact"/>
              <w:jc w:val="center"/>
            </w:pPr>
          </w:p>
          <w:p w14:paraId="2270277B" w14:textId="712A80F6"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221</w:t>
            </w:r>
          </w:p>
        </w:tc>
      </w:tr>
      <w:tr w:rsidR="005673D3" w14:paraId="1381BC79" w14:textId="77777777" w:rsidTr="005673D3">
        <w:tc>
          <w:tcPr>
            <w:tcW w:w="4739" w:type="dxa"/>
            <w:tcBorders>
              <w:top w:val="single" w:sz="7" w:space="0" w:color="000000"/>
              <w:left w:val="single" w:sz="7" w:space="0" w:color="000000"/>
              <w:bottom w:val="single" w:sz="6" w:space="0" w:color="FFFFFF"/>
              <w:right w:val="single" w:sz="6" w:space="0" w:color="FFFFFF"/>
            </w:tcBorders>
          </w:tcPr>
          <w:p w14:paraId="19FB891B" w14:textId="77777777" w:rsidR="005673D3" w:rsidRDefault="005673D3" w:rsidP="005673D3">
            <w:pPr>
              <w:spacing w:line="120" w:lineRule="exact"/>
            </w:pPr>
          </w:p>
          <w:p w14:paraId="5BF69ED4" w14:textId="61C79EE2" w:rsidR="005673D3" w:rsidRDefault="005673D3" w:rsidP="005673D3">
            <w:pPr>
              <w:tabs>
                <w:tab w:val="left" w:pos="3045"/>
              </w:tabs>
              <w:rPr>
                <w:color w:val="000000"/>
              </w:rPr>
            </w:pPr>
            <w:r>
              <w:t>Pipeline Transportation</w:t>
            </w:r>
          </w:p>
        </w:tc>
        <w:tc>
          <w:tcPr>
            <w:tcW w:w="2191" w:type="dxa"/>
            <w:tcBorders>
              <w:top w:val="single" w:sz="7" w:space="0" w:color="000000"/>
              <w:left w:val="single" w:sz="7" w:space="0" w:color="000000"/>
              <w:bottom w:val="single" w:sz="6" w:space="0" w:color="FFFFFF"/>
              <w:right w:val="single" w:sz="6" w:space="0" w:color="FFFFFF"/>
            </w:tcBorders>
          </w:tcPr>
          <w:p w14:paraId="42272848" w14:textId="77777777" w:rsidR="005673D3" w:rsidRDefault="005673D3" w:rsidP="005673D3">
            <w:pPr>
              <w:spacing w:line="120" w:lineRule="exact"/>
              <w:jc w:val="center"/>
            </w:pPr>
          </w:p>
          <w:p w14:paraId="44CB63F6" w14:textId="7341265F"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46</w:t>
            </w:r>
          </w:p>
        </w:tc>
        <w:tc>
          <w:tcPr>
            <w:tcW w:w="2430" w:type="dxa"/>
            <w:tcBorders>
              <w:top w:val="single" w:sz="7" w:space="0" w:color="000000"/>
              <w:left w:val="single" w:sz="7" w:space="0" w:color="000000"/>
              <w:bottom w:val="single" w:sz="6" w:space="0" w:color="FFFFFF"/>
              <w:right w:val="single" w:sz="7" w:space="0" w:color="000000"/>
            </w:tcBorders>
          </w:tcPr>
          <w:p w14:paraId="256A1103" w14:textId="77777777" w:rsidR="005673D3" w:rsidRDefault="005673D3" w:rsidP="005673D3">
            <w:pPr>
              <w:spacing w:line="120" w:lineRule="exact"/>
              <w:jc w:val="center"/>
            </w:pPr>
          </w:p>
          <w:p w14:paraId="65FC1A16" w14:textId="711B555C"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486</w:t>
            </w:r>
          </w:p>
        </w:tc>
      </w:tr>
      <w:tr w:rsidR="005673D3" w14:paraId="671F5B03" w14:textId="77777777" w:rsidTr="005673D3">
        <w:tc>
          <w:tcPr>
            <w:tcW w:w="4739" w:type="dxa"/>
            <w:tcBorders>
              <w:top w:val="single" w:sz="7" w:space="0" w:color="000000"/>
              <w:left w:val="single" w:sz="7" w:space="0" w:color="000000"/>
              <w:bottom w:val="single" w:sz="6" w:space="0" w:color="FFFFFF"/>
              <w:right w:val="single" w:sz="6" w:space="0" w:color="FFFFFF"/>
            </w:tcBorders>
          </w:tcPr>
          <w:p w14:paraId="40A6B03E" w14:textId="77777777" w:rsidR="005673D3" w:rsidRDefault="005673D3" w:rsidP="005673D3">
            <w:pPr>
              <w:spacing w:line="120" w:lineRule="exact"/>
            </w:pPr>
          </w:p>
          <w:p w14:paraId="691848A5" w14:textId="55C4243F"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Oil and Gas Extraction</w:t>
            </w:r>
          </w:p>
        </w:tc>
        <w:tc>
          <w:tcPr>
            <w:tcW w:w="2191" w:type="dxa"/>
            <w:tcBorders>
              <w:top w:val="single" w:sz="7" w:space="0" w:color="000000"/>
              <w:left w:val="single" w:sz="7" w:space="0" w:color="000000"/>
              <w:bottom w:val="single" w:sz="6" w:space="0" w:color="FFFFFF"/>
              <w:right w:val="single" w:sz="6" w:space="0" w:color="FFFFFF"/>
            </w:tcBorders>
          </w:tcPr>
          <w:p w14:paraId="60AF6A0A" w14:textId="77777777" w:rsidR="005673D3" w:rsidRDefault="005673D3" w:rsidP="005673D3">
            <w:pPr>
              <w:spacing w:line="120" w:lineRule="exact"/>
              <w:jc w:val="center"/>
            </w:pPr>
          </w:p>
          <w:p w14:paraId="379919C6" w14:textId="4483E3B7"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13</w:t>
            </w:r>
          </w:p>
        </w:tc>
        <w:tc>
          <w:tcPr>
            <w:tcW w:w="2430" w:type="dxa"/>
            <w:tcBorders>
              <w:top w:val="single" w:sz="7" w:space="0" w:color="000000"/>
              <w:left w:val="single" w:sz="7" w:space="0" w:color="000000"/>
              <w:bottom w:val="single" w:sz="6" w:space="0" w:color="FFFFFF"/>
              <w:right w:val="single" w:sz="7" w:space="0" w:color="000000"/>
            </w:tcBorders>
          </w:tcPr>
          <w:p w14:paraId="12C3B468" w14:textId="77777777" w:rsidR="005673D3" w:rsidRDefault="005673D3" w:rsidP="005673D3">
            <w:pPr>
              <w:spacing w:line="120" w:lineRule="exact"/>
              <w:jc w:val="center"/>
            </w:pPr>
          </w:p>
          <w:p w14:paraId="1DBC97FC" w14:textId="78ECB3D9"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211</w:t>
            </w:r>
          </w:p>
        </w:tc>
      </w:tr>
      <w:tr w:rsidR="005673D3" w14:paraId="222AD0AC" w14:textId="77777777" w:rsidTr="005673D3">
        <w:tc>
          <w:tcPr>
            <w:tcW w:w="4739" w:type="dxa"/>
            <w:tcBorders>
              <w:top w:val="single" w:sz="7" w:space="0" w:color="000000"/>
              <w:left w:val="single" w:sz="7" w:space="0" w:color="000000"/>
              <w:bottom w:val="single" w:sz="6" w:space="0" w:color="FFFFFF"/>
              <w:right w:val="single" w:sz="6" w:space="0" w:color="FFFFFF"/>
            </w:tcBorders>
          </w:tcPr>
          <w:p w14:paraId="2BBC8345" w14:textId="77777777" w:rsidR="005673D3" w:rsidRDefault="005673D3" w:rsidP="005673D3">
            <w:pPr>
              <w:spacing w:line="120" w:lineRule="exact"/>
            </w:pPr>
          </w:p>
          <w:p w14:paraId="6E760476" w14:textId="7A04B638"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Chemical Manufacturing</w:t>
            </w:r>
          </w:p>
        </w:tc>
        <w:tc>
          <w:tcPr>
            <w:tcW w:w="2191" w:type="dxa"/>
            <w:tcBorders>
              <w:top w:val="single" w:sz="7" w:space="0" w:color="000000"/>
              <w:left w:val="single" w:sz="7" w:space="0" w:color="000000"/>
              <w:bottom w:val="single" w:sz="6" w:space="0" w:color="FFFFFF"/>
              <w:right w:val="single" w:sz="6" w:space="0" w:color="FFFFFF"/>
            </w:tcBorders>
          </w:tcPr>
          <w:p w14:paraId="21CF7F7A" w14:textId="77777777" w:rsidR="005673D3" w:rsidRDefault="005673D3" w:rsidP="005673D3">
            <w:pPr>
              <w:spacing w:line="120" w:lineRule="exact"/>
              <w:jc w:val="center"/>
            </w:pPr>
          </w:p>
          <w:p w14:paraId="5A0BA3E0" w14:textId="305A2BFC"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28</w:t>
            </w:r>
          </w:p>
        </w:tc>
        <w:tc>
          <w:tcPr>
            <w:tcW w:w="2430" w:type="dxa"/>
            <w:tcBorders>
              <w:top w:val="single" w:sz="7" w:space="0" w:color="000000"/>
              <w:left w:val="single" w:sz="7" w:space="0" w:color="000000"/>
              <w:bottom w:val="single" w:sz="6" w:space="0" w:color="FFFFFF"/>
              <w:right w:val="single" w:sz="7" w:space="0" w:color="000000"/>
            </w:tcBorders>
          </w:tcPr>
          <w:p w14:paraId="0E563306" w14:textId="77777777" w:rsidR="005673D3" w:rsidRDefault="005673D3" w:rsidP="005673D3">
            <w:pPr>
              <w:spacing w:line="120" w:lineRule="exact"/>
              <w:jc w:val="center"/>
            </w:pPr>
          </w:p>
          <w:p w14:paraId="475EFD5E" w14:textId="1BF023CE"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325</w:t>
            </w:r>
          </w:p>
        </w:tc>
      </w:tr>
      <w:tr w:rsidR="005673D3" w14:paraId="581E12B2" w14:textId="77777777" w:rsidTr="005673D3">
        <w:tc>
          <w:tcPr>
            <w:tcW w:w="4739" w:type="dxa"/>
            <w:tcBorders>
              <w:top w:val="single" w:sz="7" w:space="0" w:color="000000"/>
              <w:left w:val="single" w:sz="7" w:space="0" w:color="000000"/>
              <w:bottom w:val="single" w:sz="7" w:space="0" w:color="000000"/>
              <w:right w:val="single" w:sz="6" w:space="0" w:color="FFFFFF"/>
            </w:tcBorders>
          </w:tcPr>
          <w:p w14:paraId="669A5945" w14:textId="77777777" w:rsidR="005673D3" w:rsidRDefault="005673D3" w:rsidP="005673D3">
            <w:pPr>
              <w:spacing w:line="120" w:lineRule="exact"/>
            </w:pPr>
          </w:p>
          <w:p w14:paraId="50E6CAA7" w14:textId="4A5F9830"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Petroleum and Coal Products Manufacturing</w:t>
            </w:r>
          </w:p>
        </w:tc>
        <w:tc>
          <w:tcPr>
            <w:tcW w:w="2191" w:type="dxa"/>
            <w:tcBorders>
              <w:top w:val="single" w:sz="7" w:space="0" w:color="000000"/>
              <w:left w:val="single" w:sz="7" w:space="0" w:color="000000"/>
              <w:bottom w:val="single" w:sz="7" w:space="0" w:color="000000"/>
              <w:right w:val="single" w:sz="6" w:space="0" w:color="FFFFFF"/>
            </w:tcBorders>
          </w:tcPr>
          <w:p w14:paraId="505E4766" w14:textId="77777777" w:rsidR="005673D3" w:rsidRDefault="005673D3" w:rsidP="005673D3">
            <w:pPr>
              <w:spacing w:line="120" w:lineRule="exact"/>
              <w:jc w:val="center"/>
            </w:pPr>
          </w:p>
          <w:p w14:paraId="38FFDE4A" w14:textId="4BE5E55A"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29</w:t>
            </w:r>
          </w:p>
        </w:tc>
        <w:tc>
          <w:tcPr>
            <w:tcW w:w="2430" w:type="dxa"/>
            <w:tcBorders>
              <w:top w:val="single" w:sz="7" w:space="0" w:color="000000"/>
              <w:left w:val="single" w:sz="7" w:space="0" w:color="000000"/>
              <w:bottom w:val="single" w:sz="7" w:space="0" w:color="000000"/>
              <w:right w:val="single" w:sz="7" w:space="0" w:color="000000"/>
            </w:tcBorders>
          </w:tcPr>
          <w:p w14:paraId="4D9C8A9B" w14:textId="77777777" w:rsidR="005673D3" w:rsidRDefault="005673D3" w:rsidP="005673D3">
            <w:pPr>
              <w:spacing w:line="120" w:lineRule="exact"/>
              <w:jc w:val="center"/>
            </w:pPr>
          </w:p>
          <w:p w14:paraId="4BC177CF" w14:textId="097E3F25" w:rsidR="005673D3" w:rsidRDefault="005673D3" w:rsidP="005673D3">
            <w:pPr>
              <w:pBdr>
                <w:top w:val="single" w:sz="6" w:space="0" w:color="FFFFFF"/>
                <w:left w:val="single" w:sz="6" w:space="0" w:color="FFFFFF"/>
                <w:bottom w:val="single" w:sz="6" w:space="0" w:color="FFFFFF"/>
                <w:right w:val="single" w:sz="6" w:space="0" w:color="FFFFFF"/>
              </w:pBdr>
              <w:rPr>
                <w:color w:val="000000"/>
              </w:rPr>
            </w:pPr>
            <w:r>
              <w:t>324</w:t>
            </w:r>
          </w:p>
        </w:tc>
      </w:tr>
    </w:tbl>
    <w:p w14:paraId="3E22D9ED" w14:textId="4B4911F5"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6C59674B" w:rsidR="00CA4CD6" w:rsidRPr="00995872" w:rsidRDefault="00CA4CD6" w:rsidP="004C3ABA">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 xml:space="preserve">Information </w:t>
      </w:r>
      <w:r w:rsidRPr="00995872">
        <w:rPr>
          <w:b/>
          <w:bCs/>
        </w:rPr>
        <w:t>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C9F039" w14:textId="55E16370" w:rsidR="004C3ABA" w:rsidRPr="00FA25F1" w:rsidRDefault="00817E8B" w:rsidP="004C3ABA">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4C3ABA">
        <w:t>NESHAP for Stationary Combustion Turbines (40 CFR Part 63, Subpart YYYY</w:t>
      </w:r>
      <w:r w:rsidR="004C3ABA" w:rsidRPr="00FA25F1">
        <w:t>). Note that due to an on-going stay of standards for gas-fired subcategories, respondents in the lean premix and diffusion flame gas-fired stationary combustion turbine subcategories are only required to comply with the initial notification requirements shown below. These subcategories do not need to comply with the reporting or monitoring requirements until EPA takes final action.</w:t>
      </w:r>
    </w:p>
    <w:p w14:paraId="64F6F189" w14:textId="77777777" w:rsidR="00CA4CD6" w:rsidRPr="00FA25F1"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FA25F1" w:rsidRDefault="00CA4CD6">
      <w:pPr>
        <w:pBdr>
          <w:top w:val="single" w:sz="6" w:space="0" w:color="FFFFFF"/>
          <w:left w:val="single" w:sz="6" w:space="0" w:color="FFFFFF"/>
          <w:bottom w:val="single" w:sz="6" w:space="0" w:color="FFFFFF"/>
          <w:right w:val="single" w:sz="6" w:space="0" w:color="FFFFFF"/>
        </w:pBdr>
        <w:ind w:firstLine="720"/>
      </w:pPr>
      <w:r w:rsidRPr="00FA25F1">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51"/>
        <w:gridCol w:w="3510"/>
      </w:tblGrid>
      <w:tr w:rsidR="00A73600" w:rsidRPr="00CF2B37" w14:paraId="57118738" w14:textId="77777777" w:rsidTr="00995872">
        <w:trPr>
          <w:tblHeader/>
          <w:jc w:val="center"/>
        </w:trPr>
        <w:tc>
          <w:tcPr>
            <w:tcW w:w="9361" w:type="dxa"/>
            <w:gridSpan w:val="2"/>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4C3ABA" w14:paraId="13CDB3A0" w14:textId="77777777" w:rsidTr="00995872">
        <w:tblPrEx>
          <w:tblLook w:val="04A0" w:firstRow="1" w:lastRow="0" w:firstColumn="1" w:lastColumn="0" w:noHBand="0" w:noVBand="1"/>
        </w:tblPrEx>
        <w:trPr>
          <w:jc w:val="center"/>
        </w:trPr>
        <w:tc>
          <w:tcPr>
            <w:tcW w:w="9361" w:type="dxa"/>
            <w:gridSpan w:val="2"/>
          </w:tcPr>
          <w:p w14:paraId="1118F331" w14:textId="77777777" w:rsidR="004C3ABA" w:rsidRDefault="004C3ABA" w:rsidP="00133215">
            <w:pPr>
              <w:keepNext/>
              <w:keepLines/>
              <w:spacing w:line="120" w:lineRule="exact"/>
            </w:pPr>
          </w:p>
          <w:p w14:paraId="05366BAE"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rPr>
                <w:b/>
                <w:i/>
              </w:rPr>
            </w:pPr>
            <w:r>
              <w:rPr>
                <w:b/>
                <w:i/>
              </w:rPr>
              <w:t>Gas-Fired Stationary Combustion Turbine Subcategories</w:t>
            </w:r>
          </w:p>
        </w:tc>
      </w:tr>
      <w:tr w:rsidR="004C3ABA" w14:paraId="67BEDE04" w14:textId="77777777" w:rsidTr="00995872">
        <w:tblPrEx>
          <w:tblLook w:val="04A0" w:firstRow="1" w:lastRow="0" w:firstColumn="1" w:lastColumn="0" w:noHBand="0" w:noVBand="1"/>
        </w:tblPrEx>
        <w:trPr>
          <w:trHeight w:val="316"/>
          <w:jc w:val="center"/>
        </w:trPr>
        <w:tc>
          <w:tcPr>
            <w:tcW w:w="5851" w:type="dxa"/>
          </w:tcPr>
          <w:p w14:paraId="5570CA8E" w14:textId="77777777" w:rsidR="004C3ABA" w:rsidRDefault="004C3ABA" w:rsidP="00133215">
            <w:pPr>
              <w:keepNext/>
              <w:keepLines/>
              <w:spacing w:line="120" w:lineRule="exact"/>
              <w:ind w:left="150"/>
            </w:pPr>
          </w:p>
          <w:p w14:paraId="631783B9"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ind w:left="150"/>
            </w:pPr>
            <w:r>
              <w:t>Initial notification</w:t>
            </w:r>
          </w:p>
        </w:tc>
        <w:tc>
          <w:tcPr>
            <w:tcW w:w="3510" w:type="dxa"/>
            <w:hideMark/>
          </w:tcPr>
          <w:p w14:paraId="18253DC1" w14:textId="65026B86"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pPr>
            <w:r>
              <w:t>§§63.6095(d), 63.6145(b-c), 63.9(b)</w:t>
            </w:r>
          </w:p>
        </w:tc>
      </w:tr>
      <w:tr w:rsidR="004C3ABA" w14:paraId="730AD329" w14:textId="77777777" w:rsidTr="00995872">
        <w:tblPrEx>
          <w:tblLook w:val="04A0" w:firstRow="1" w:lastRow="0" w:firstColumn="1" w:lastColumn="0" w:noHBand="0" w:noVBand="1"/>
        </w:tblPrEx>
        <w:trPr>
          <w:jc w:val="center"/>
        </w:trPr>
        <w:tc>
          <w:tcPr>
            <w:tcW w:w="9361" w:type="dxa"/>
            <w:gridSpan w:val="2"/>
            <w:hideMark/>
          </w:tcPr>
          <w:p w14:paraId="2058358B"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rPr>
                <w:b/>
                <w:i/>
              </w:rPr>
            </w:pPr>
            <w:r>
              <w:rPr>
                <w:b/>
                <w:i/>
              </w:rPr>
              <w:t>Landfill/Digester Gas-Fired Stationary Combustion Turbine Subcategory</w:t>
            </w:r>
          </w:p>
        </w:tc>
      </w:tr>
      <w:tr w:rsidR="004C3ABA" w14:paraId="389DDA72" w14:textId="77777777" w:rsidTr="00995872">
        <w:tblPrEx>
          <w:tblLook w:val="04A0" w:firstRow="1" w:lastRow="0" w:firstColumn="1" w:lastColumn="0" w:noHBand="0" w:noVBand="1"/>
        </w:tblPrEx>
        <w:trPr>
          <w:trHeight w:val="235"/>
          <w:jc w:val="center"/>
        </w:trPr>
        <w:tc>
          <w:tcPr>
            <w:tcW w:w="5851" w:type="dxa"/>
          </w:tcPr>
          <w:p w14:paraId="0153B88B" w14:textId="77777777" w:rsidR="004C3ABA" w:rsidRDefault="004C3ABA" w:rsidP="00133215">
            <w:pPr>
              <w:keepNext/>
              <w:keepLines/>
              <w:spacing w:line="120" w:lineRule="exact"/>
              <w:ind w:left="150"/>
            </w:pPr>
          </w:p>
          <w:p w14:paraId="03DB6EA9"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ind w:left="150"/>
            </w:pPr>
            <w:r>
              <w:t>Initial notification</w:t>
            </w:r>
          </w:p>
        </w:tc>
        <w:tc>
          <w:tcPr>
            <w:tcW w:w="3510" w:type="dxa"/>
            <w:hideMark/>
          </w:tcPr>
          <w:p w14:paraId="14310BC9" w14:textId="480AE512"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pPr>
            <w:r>
              <w:t>§§63.6090(b), 63.6145(d)</w:t>
            </w:r>
          </w:p>
        </w:tc>
      </w:tr>
      <w:tr w:rsidR="004C3ABA" w14:paraId="456A54E2" w14:textId="77777777" w:rsidTr="00995872">
        <w:tblPrEx>
          <w:tblLook w:val="04A0" w:firstRow="1" w:lastRow="0" w:firstColumn="1" w:lastColumn="0" w:noHBand="0" w:noVBand="1"/>
        </w:tblPrEx>
        <w:trPr>
          <w:jc w:val="center"/>
        </w:trPr>
        <w:tc>
          <w:tcPr>
            <w:tcW w:w="9361" w:type="dxa"/>
            <w:gridSpan w:val="2"/>
          </w:tcPr>
          <w:p w14:paraId="1AD2195F" w14:textId="77777777" w:rsidR="004C3ABA" w:rsidRDefault="004C3ABA" w:rsidP="00133215">
            <w:pPr>
              <w:keepNext/>
              <w:keepLines/>
              <w:spacing w:line="120" w:lineRule="exact"/>
            </w:pPr>
          </w:p>
          <w:p w14:paraId="092401EB"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rPr>
                <w:b/>
                <w:i/>
              </w:rPr>
            </w:pPr>
            <w:r>
              <w:rPr>
                <w:b/>
                <w:i/>
              </w:rPr>
              <w:t>Oil-Fired Stationary Combustion Turbine Subcategories</w:t>
            </w:r>
          </w:p>
        </w:tc>
      </w:tr>
      <w:tr w:rsidR="004C3ABA" w14:paraId="4FF3A810" w14:textId="77777777" w:rsidTr="00995872">
        <w:tblPrEx>
          <w:tblLook w:val="04A0" w:firstRow="1" w:lastRow="0" w:firstColumn="1" w:lastColumn="0" w:noHBand="0" w:noVBand="1"/>
        </w:tblPrEx>
        <w:trPr>
          <w:jc w:val="center"/>
        </w:trPr>
        <w:tc>
          <w:tcPr>
            <w:tcW w:w="5851" w:type="dxa"/>
          </w:tcPr>
          <w:p w14:paraId="1B474B01" w14:textId="77777777" w:rsidR="004C3ABA" w:rsidRDefault="004C3ABA" w:rsidP="00133215">
            <w:pPr>
              <w:keepNext/>
              <w:keepLines/>
              <w:spacing w:line="120" w:lineRule="exact"/>
              <w:ind w:left="150"/>
            </w:pPr>
          </w:p>
          <w:p w14:paraId="1915243B"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ind w:left="150"/>
            </w:pPr>
            <w:r>
              <w:t>Initial notification</w:t>
            </w:r>
          </w:p>
        </w:tc>
        <w:tc>
          <w:tcPr>
            <w:tcW w:w="3510" w:type="dxa"/>
            <w:vAlign w:val="center"/>
            <w:hideMark/>
          </w:tcPr>
          <w:p w14:paraId="5B1BAE1E" w14:textId="37B7666D"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pPr>
            <w:r>
              <w:t>§§63.6145, 63.9(b)</w:t>
            </w:r>
          </w:p>
        </w:tc>
      </w:tr>
      <w:tr w:rsidR="004C3ABA" w14:paraId="13163CB9" w14:textId="77777777" w:rsidTr="00995872">
        <w:tblPrEx>
          <w:tblLook w:val="04A0" w:firstRow="1" w:lastRow="0" w:firstColumn="1" w:lastColumn="0" w:noHBand="0" w:noVBand="1"/>
        </w:tblPrEx>
        <w:trPr>
          <w:jc w:val="center"/>
        </w:trPr>
        <w:tc>
          <w:tcPr>
            <w:tcW w:w="5851" w:type="dxa"/>
          </w:tcPr>
          <w:p w14:paraId="51834E9E" w14:textId="77777777" w:rsidR="004C3ABA" w:rsidRDefault="004C3ABA" w:rsidP="00133215">
            <w:pPr>
              <w:keepNext/>
              <w:keepLines/>
              <w:spacing w:line="120" w:lineRule="exact"/>
              <w:ind w:left="150"/>
            </w:pPr>
          </w:p>
          <w:p w14:paraId="356BF750"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ind w:left="150"/>
            </w:pPr>
            <w:r>
              <w:t>Notification of construction/reconstruction</w:t>
            </w:r>
          </w:p>
        </w:tc>
        <w:tc>
          <w:tcPr>
            <w:tcW w:w="3510" w:type="dxa"/>
            <w:hideMark/>
          </w:tcPr>
          <w:p w14:paraId="09FB91D5" w14:textId="061924BB"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pPr>
            <w:r>
              <w:t>§§63.6095(d), 63.6145, 63.5, 63.9(b)(5)(i)</w:t>
            </w:r>
          </w:p>
        </w:tc>
      </w:tr>
      <w:tr w:rsidR="004C3ABA" w14:paraId="640368F4" w14:textId="77777777" w:rsidTr="00995872">
        <w:tblPrEx>
          <w:tblLook w:val="04A0" w:firstRow="1" w:lastRow="0" w:firstColumn="1" w:lastColumn="0" w:noHBand="0" w:noVBand="1"/>
        </w:tblPrEx>
        <w:trPr>
          <w:jc w:val="center"/>
        </w:trPr>
        <w:tc>
          <w:tcPr>
            <w:tcW w:w="5851" w:type="dxa"/>
          </w:tcPr>
          <w:p w14:paraId="57243C5A" w14:textId="77777777" w:rsidR="004C3ABA" w:rsidRDefault="004C3ABA" w:rsidP="00133215">
            <w:pPr>
              <w:keepNext/>
              <w:keepLines/>
              <w:spacing w:line="120" w:lineRule="exact"/>
              <w:ind w:left="150"/>
            </w:pPr>
          </w:p>
          <w:p w14:paraId="242C3CE9"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ind w:left="150"/>
            </w:pPr>
            <w:r>
              <w:t>Notification of actual startup date</w:t>
            </w:r>
          </w:p>
        </w:tc>
        <w:tc>
          <w:tcPr>
            <w:tcW w:w="3510" w:type="dxa"/>
            <w:hideMark/>
          </w:tcPr>
          <w:p w14:paraId="502985EB" w14:textId="37FA1A7A"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pPr>
            <w:r>
              <w:t>§§63.6095(d), 63.6145, 63.9(b)(5)(ii)</w:t>
            </w:r>
          </w:p>
        </w:tc>
      </w:tr>
      <w:tr w:rsidR="004C3ABA" w14:paraId="498E5856" w14:textId="77777777" w:rsidTr="00995872">
        <w:tblPrEx>
          <w:tblLook w:val="04A0" w:firstRow="1" w:lastRow="0" w:firstColumn="1" w:lastColumn="0" w:noHBand="0" w:noVBand="1"/>
        </w:tblPrEx>
        <w:trPr>
          <w:jc w:val="center"/>
        </w:trPr>
        <w:tc>
          <w:tcPr>
            <w:tcW w:w="5851" w:type="dxa"/>
          </w:tcPr>
          <w:p w14:paraId="71DE37A6" w14:textId="77777777" w:rsidR="004C3ABA" w:rsidRDefault="004C3ABA" w:rsidP="00133215">
            <w:pPr>
              <w:keepNext/>
              <w:keepLines/>
              <w:spacing w:line="120" w:lineRule="exact"/>
              <w:ind w:left="150"/>
            </w:pPr>
          </w:p>
          <w:p w14:paraId="7509C16E"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ind w:left="150"/>
            </w:pPr>
            <w:r>
              <w:t>Notification of performance test</w:t>
            </w:r>
          </w:p>
        </w:tc>
        <w:tc>
          <w:tcPr>
            <w:tcW w:w="3510" w:type="dxa"/>
          </w:tcPr>
          <w:p w14:paraId="124E88FB" w14:textId="77777777" w:rsidR="004C3ABA" w:rsidRDefault="004C3ABA" w:rsidP="00133215">
            <w:pPr>
              <w:keepNext/>
              <w:keepLines/>
              <w:spacing w:line="120" w:lineRule="exact"/>
            </w:pPr>
          </w:p>
          <w:p w14:paraId="69E9CDF0" w14:textId="0F10A7D5"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pPr>
            <w:r>
              <w:t>§§63.7(b)(1), 63.7(c), 63.9(e), 63.6145(e)</w:t>
            </w:r>
          </w:p>
        </w:tc>
      </w:tr>
      <w:tr w:rsidR="004C3ABA" w14:paraId="10818C9E" w14:textId="77777777" w:rsidTr="00995872">
        <w:tblPrEx>
          <w:tblLook w:val="04A0" w:firstRow="1" w:lastRow="0" w:firstColumn="1" w:lastColumn="0" w:noHBand="0" w:noVBand="1"/>
        </w:tblPrEx>
        <w:trPr>
          <w:jc w:val="center"/>
        </w:trPr>
        <w:tc>
          <w:tcPr>
            <w:tcW w:w="5851" w:type="dxa"/>
          </w:tcPr>
          <w:p w14:paraId="74DFC783" w14:textId="77777777" w:rsidR="004C3ABA" w:rsidRDefault="004C3ABA" w:rsidP="00133215">
            <w:pPr>
              <w:keepNext/>
              <w:keepLines/>
              <w:spacing w:line="120" w:lineRule="exact"/>
              <w:ind w:left="150"/>
            </w:pPr>
          </w:p>
          <w:p w14:paraId="47F5D87D"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ind w:left="150"/>
            </w:pPr>
            <w:r>
              <w:t>Notification of CMS performance evaluation</w:t>
            </w:r>
          </w:p>
        </w:tc>
        <w:tc>
          <w:tcPr>
            <w:tcW w:w="3510" w:type="dxa"/>
          </w:tcPr>
          <w:p w14:paraId="3D7EFC77" w14:textId="77777777" w:rsidR="004C3ABA" w:rsidRDefault="004C3ABA" w:rsidP="00133215">
            <w:pPr>
              <w:keepNext/>
              <w:keepLines/>
              <w:spacing w:line="120" w:lineRule="exact"/>
            </w:pPr>
          </w:p>
          <w:p w14:paraId="4BA83EE4" w14:textId="5593816F"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pPr>
            <w:r>
              <w:t>§§63.8(e), 63.9(g)(1), 63.6145(a)</w:t>
            </w:r>
          </w:p>
        </w:tc>
      </w:tr>
      <w:tr w:rsidR="004C3ABA" w14:paraId="4CC174A0" w14:textId="77777777" w:rsidTr="00995872">
        <w:tblPrEx>
          <w:tblLook w:val="04A0" w:firstRow="1" w:lastRow="0" w:firstColumn="1" w:lastColumn="0" w:noHBand="0" w:noVBand="1"/>
        </w:tblPrEx>
        <w:trPr>
          <w:jc w:val="center"/>
        </w:trPr>
        <w:tc>
          <w:tcPr>
            <w:tcW w:w="5851" w:type="dxa"/>
          </w:tcPr>
          <w:p w14:paraId="54FC506E" w14:textId="77777777" w:rsidR="004C3ABA" w:rsidRDefault="004C3ABA" w:rsidP="00133215">
            <w:pPr>
              <w:keepNext/>
              <w:keepLines/>
              <w:spacing w:line="120" w:lineRule="exact"/>
              <w:ind w:left="150"/>
            </w:pPr>
          </w:p>
          <w:p w14:paraId="6EA66D4A" w14:textId="77777777"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ind w:left="150"/>
            </w:pPr>
            <w:r>
              <w:t>Notification of compliance status</w:t>
            </w:r>
          </w:p>
        </w:tc>
        <w:tc>
          <w:tcPr>
            <w:tcW w:w="3510" w:type="dxa"/>
          </w:tcPr>
          <w:p w14:paraId="01BBAE37" w14:textId="77777777" w:rsidR="004C3ABA" w:rsidRDefault="004C3ABA" w:rsidP="00133215">
            <w:pPr>
              <w:keepNext/>
              <w:keepLines/>
              <w:spacing w:line="120" w:lineRule="exact"/>
            </w:pPr>
          </w:p>
          <w:p w14:paraId="1817310D" w14:textId="29DFC1B6" w:rsidR="004C3ABA" w:rsidRDefault="004C3ABA" w:rsidP="00133215">
            <w:pPr>
              <w:keepNext/>
              <w:keepLines/>
              <w:pBdr>
                <w:top w:val="single" w:sz="6" w:space="0" w:color="FFFFFF"/>
                <w:left w:val="single" w:sz="6" w:space="0" w:color="FFFFFF"/>
                <w:bottom w:val="single" w:sz="6" w:space="0" w:color="FFFFFF"/>
                <w:right w:val="single" w:sz="6" w:space="0" w:color="FFFFFF"/>
              </w:pBdr>
              <w:spacing w:after="58"/>
            </w:pPr>
            <w:r>
              <w:t>§§63.9(h), 63.7, 63.8(e), 63.10(d)(2), 63.10(e)(2), 63.6145(a), 63.6145(f)</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291"/>
        <w:gridCol w:w="2070"/>
      </w:tblGrid>
      <w:tr w:rsidR="00A73600" w:rsidRPr="00CF2B37" w14:paraId="47D81F2C" w14:textId="77777777" w:rsidTr="00995872">
        <w:trPr>
          <w:tblHeader/>
          <w:jc w:val="center"/>
        </w:trPr>
        <w:tc>
          <w:tcPr>
            <w:tcW w:w="9361" w:type="dxa"/>
            <w:gridSpan w:val="2"/>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4C3ABA" w14:paraId="3D09EAB9" w14:textId="77777777" w:rsidTr="00995872">
        <w:tblPrEx>
          <w:tblLook w:val="04A0" w:firstRow="1" w:lastRow="0" w:firstColumn="1" w:lastColumn="0" w:noHBand="0" w:noVBand="1"/>
        </w:tblPrEx>
        <w:trPr>
          <w:jc w:val="center"/>
        </w:trPr>
        <w:tc>
          <w:tcPr>
            <w:tcW w:w="9361" w:type="dxa"/>
            <w:gridSpan w:val="2"/>
          </w:tcPr>
          <w:p w14:paraId="26002396" w14:textId="77777777" w:rsidR="004C3ABA" w:rsidRDefault="004C3ABA" w:rsidP="00133215">
            <w:pPr>
              <w:spacing w:line="120" w:lineRule="exact"/>
            </w:pPr>
          </w:p>
          <w:p w14:paraId="6E61E7E3"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rPr>
                <w:b/>
                <w:i/>
              </w:rPr>
            </w:pPr>
            <w:r>
              <w:rPr>
                <w:b/>
                <w:i/>
              </w:rPr>
              <w:t>Gas-Fired Stationary Combustion Turbine Subcategories</w:t>
            </w:r>
          </w:p>
        </w:tc>
      </w:tr>
      <w:tr w:rsidR="004C3ABA" w14:paraId="6D273E72" w14:textId="77777777" w:rsidTr="00995872">
        <w:tblPrEx>
          <w:tblLook w:val="04A0" w:firstRow="1" w:lastRow="0" w:firstColumn="1" w:lastColumn="0" w:noHBand="0" w:noVBand="1"/>
        </w:tblPrEx>
        <w:trPr>
          <w:jc w:val="center"/>
        </w:trPr>
        <w:tc>
          <w:tcPr>
            <w:tcW w:w="9361" w:type="dxa"/>
            <w:gridSpan w:val="2"/>
          </w:tcPr>
          <w:p w14:paraId="407E8D67" w14:textId="77777777" w:rsidR="004C3ABA" w:rsidRDefault="004C3ABA" w:rsidP="00133215">
            <w:pPr>
              <w:spacing w:line="120" w:lineRule="exact"/>
            </w:pPr>
          </w:p>
          <w:p w14:paraId="52038C39"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ind w:left="150"/>
            </w:pPr>
            <w:r>
              <w:t>No reporting requirements due to on-going stay for this subcategory.</w:t>
            </w:r>
          </w:p>
        </w:tc>
      </w:tr>
      <w:tr w:rsidR="004C3ABA" w14:paraId="096FD867" w14:textId="77777777" w:rsidTr="00995872">
        <w:tblPrEx>
          <w:tblLook w:val="04A0" w:firstRow="1" w:lastRow="0" w:firstColumn="1" w:lastColumn="0" w:noHBand="0" w:noVBand="1"/>
        </w:tblPrEx>
        <w:trPr>
          <w:jc w:val="center"/>
        </w:trPr>
        <w:tc>
          <w:tcPr>
            <w:tcW w:w="9361" w:type="dxa"/>
            <w:gridSpan w:val="2"/>
          </w:tcPr>
          <w:p w14:paraId="15939028" w14:textId="77777777" w:rsidR="004C3ABA" w:rsidRDefault="004C3ABA" w:rsidP="00133215">
            <w:pPr>
              <w:spacing w:line="120" w:lineRule="exact"/>
            </w:pPr>
          </w:p>
          <w:p w14:paraId="590E0201"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rPr>
                <w:b/>
                <w:i/>
              </w:rPr>
            </w:pPr>
            <w:r>
              <w:rPr>
                <w:b/>
                <w:i/>
              </w:rPr>
              <w:t>Landfill/Digester Gas-Fired Stationary Combustion Turbine Subcategory</w:t>
            </w:r>
          </w:p>
        </w:tc>
      </w:tr>
      <w:tr w:rsidR="004C3ABA" w14:paraId="62DCDA70" w14:textId="77777777" w:rsidTr="00995872">
        <w:tblPrEx>
          <w:tblLook w:val="04A0" w:firstRow="1" w:lastRow="0" w:firstColumn="1" w:lastColumn="0" w:noHBand="0" w:noVBand="1"/>
        </w:tblPrEx>
        <w:trPr>
          <w:jc w:val="center"/>
        </w:trPr>
        <w:tc>
          <w:tcPr>
            <w:tcW w:w="7291" w:type="dxa"/>
          </w:tcPr>
          <w:p w14:paraId="22CD9A72" w14:textId="77777777" w:rsidR="004C3ABA" w:rsidRDefault="004C3ABA" w:rsidP="00133215">
            <w:pPr>
              <w:keepNext/>
              <w:spacing w:line="120" w:lineRule="exact"/>
              <w:ind w:left="150"/>
            </w:pPr>
          </w:p>
          <w:p w14:paraId="44AAD5A4" w14:textId="77777777" w:rsidR="004C3ABA" w:rsidRDefault="004C3ABA" w:rsidP="00133215">
            <w:pPr>
              <w:keepNext/>
              <w:pBdr>
                <w:top w:val="single" w:sz="6" w:space="0" w:color="FFFFFF"/>
                <w:left w:val="single" w:sz="6" w:space="0" w:color="FFFFFF"/>
                <w:bottom w:val="single" w:sz="6" w:space="0" w:color="FFFFFF"/>
                <w:right w:val="single" w:sz="6" w:space="0" w:color="FFFFFF"/>
              </w:pBdr>
              <w:spacing w:after="58"/>
              <w:ind w:left="150"/>
            </w:pPr>
            <w:r>
              <w:t>Annual compliance report</w:t>
            </w:r>
          </w:p>
        </w:tc>
        <w:tc>
          <w:tcPr>
            <w:tcW w:w="2070" w:type="dxa"/>
          </w:tcPr>
          <w:p w14:paraId="68D2C054" w14:textId="77777777" w:rsidR="004C3ABA" w:rsidRDefault="004C3ABA" w:rsidP="00133215">
            <w:pPr>
              <w:keepNext/>
              <w:spacing w:line="120" w:lineRule="exact"/>
            </w:pPr>
          </w:p>
          <w:p w14:paraId="782948DA" w14:textId="795490AE" w:rsidR="004C3ABA" w:rsidRDefault="004C3ABA" w:rsidP="00133215">
            <w:pPr>
              <w:keepNext/>
              <w:pBdr>
                <w:top w:val="single" w:sz="6" w:space="0" w:color="FFFFFF"/>
                <w:left w:val="single" w:sz="6" w:space="0" w:color="FFFFFF"/>
                <w:bottom w:val="single" w:sz="6" w:space="0" w:color="FFFFFF"/>
                <w:right w:val="single" w:sz="6" w:space="0" w:color="FFFFFF"/>
              </w:pBdr>
              <w:spacing w:after="58"/>
            </w:pPr>
            <w:r>
              <w:t>§§63.6090(b)(2), 63.6150(c)</w:t>
            </w:r>
          </w:p>
        </w:tc>
      </w:tr>
      <w:tr w:rsidR="004C3ABA" w14:paraId="7302E98A" w14:textId="77777777" w:rsidTr="00995872">
        <w:tblPrEx>
          <w:tblLook w:val="04A0" w:firstRow="1" w:lastRow="0" w:firstColumn="1" w:lastColumn="0" w:noHBand="0" w:noVBand="1"/>
        </w:tblPrEx>
        <w:trPr>
          <w:jc w:val="center"/>
        </w:trPr>
        <w:tc>
          <w:tcPr>
            <w:tcW w:w="9361" w:type="dxa"/>
            <w:gridSpan w:val="2"/>
          </w:tcPr>
          <w:p w14:paraId="4DB4F5A5" w14:textId="77777777" w:rsidR="004C3ABA" w:rsidRDefault="004C3ABA" w:rsidP="00133215">
            <w:pPr>
              <w:spacing w:line="120" w:lineRule="exact"/>
            </w:pPr>
          </w:p>
          <w:p w14:paraId="3240978E"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rPr>
                <w:b/>
                <w:i/>
              </w:rPr>
            </w:pPr>
            <w:r>
              <w:rPr>
                <w:b/>
                <w:i/>
              </w:rPr>
              <w:t>Oil-Fired Stationary Combustion Turbine Subcategories</w:t>
            </w:r>
          </w:p>
        </w:tc>
      </w:tr>
      <w:tr w:rsidR="004C3ABA" w14:paraId="098475E7" w14:textId="77777777" w:rsidTr="00995872">
        <w:tblPrEx>
          <w:tblLook w:val="04A0" w:firstRow="1" w:lastRow="0" w:firstColumn="1" w:lastColumn="0" w:noHBand="0" w:noVBand="1"/>
        </w:tblPrEx>
        <w:trPr>
          <w:jc w:val="center"/>
        </w:trPr>
        <w:tc>
          <w:tcPr>
            <w:tcW w:w="7291" w:type="dxa"/>
          </w:tcPr>
          <w:p w14:paraId="51C653DC" w14:textId="77777777" w:rsidR="004C3ABA" w:rsidRDefault="004C3ABA" w:rsidP="00133215">
            <w:pPr>
              <w:spacing w:line="120" w:lineRule="exact"/>
              <w:ind w:left="150"/>
            </w:pPr>
          </w:p>
          <w:p w14:paraId="408BFB29"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ind w:left="150"/>
            </w:pPr>
            <w:r>
              <w:t>Excess emissions and parameter exceedance reports</w:t>
            </w:r>
          </w:p>
        </w:tc>
        <w:tc>
          <w:tcPr>
            <w:tcW w:w="2070" w:type="dxa"/>
          </w:tcPr>
          <w:p w14:paraId="552F1E5F" w14:textId="77777777" w:rsidR="004C3ABA" w:rsidRDefault="004C3ABA" w:rsidP="00133215">
            <w:pPr>
              <w:spacing w:line="120" w:lineRule="exact"/>
            </w:pPr>
          </w:p>
          <w:p w14:paraId="0BAD117C" w14:textId="37AD0459" w:rsidR="004C3ABA" w:rsidRDefault="004C3ABA" w:rsidP="00133215">
            <w:pPr>
              <w:pBdr>
                <w:top w:val="single" w:sz="6" w:space="0" w:color="FFFFFF"/>
                <w:left w:val="single" w:sz="6" w:space="0" w:color="FFFFFF"/>
                <w:bottom w:val="single" w:sz="6" w:space="0" w:color="FFFFFF"/>
                <w:right w:val="single" w:sz="6" w:space="0" w:color="FFFFFF"/>
              </w:pBdr>
              <w:spacing w:after="58"/>
            </w:pPr>
            <w:r>
              <w:t>§63.10(e)(3)</w:t>
            </w:r>
          </w:p>
        </w:tc>
      </w:tr>
      <w:tr w:rsidR="004C3ABA" w14:paraId="445E7897" w14:textId="77777777" w:rsidTr="00995872">
        <w:tblPrEx>
          <w:tblLook w:val="04A0" w:firstRow="1" w:lastRow="0" w:firstColumn="1" w:lastColumn="0" w:noHBand="0" w:noVBand="1"/>
        </w:tblPrEx>
        <w:trPr>
          <w:jc w:val="center"/>
        </w:trPr>
        <w:tc>
          <w:tcPr>
            <w:tcW w:w="7291" w:type="dxa"/>
          </w:tcPr>
          <w:p w14:paraId="39ABC6B5" w14:textId="77777777" w:rsidR="004C3ABA" w:rsidRDefault="004C3ABA" w:rsidP="00133215">
            <w:pPr>
              <w:spacing w:line="120" w:lineRule="exact"/>
              <w:ind w:left="150"/>
            </w:pPr>
          </w:p>
          <w:p w14:paraId="0DF2D28B"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ind w:left="150"/>
            </w:pPr>
            <w:r>
              <w:t>Semiannual compliance reports</w:t>
            </w:r>
          </w:p>
        </w:tc>
        <w:tc>
          <w:tcPr>
            <w:tcW w:w="2070" w:type="dxa"/>
          </w:tcPr>
          <w:p w14:paraId="3783C83B" w14:textId="77777777" w:rsidR="004C3ABA" w:rsidRDefault="004C3ABA" w:rsidP="00133215">
            <w:pPr>
              <w:spacing w:line="120" w:lineRule="exact"/>
            </w:pPr>
          </w:p>
          <w:p w14:paraId="55A55FF1" w14:textId="038C9544" w:rsidR="004C3ABA" w:rsidRDefault="004C3ABA" w:rsidP="00133215">
            <w:pPr>
              <w:pBdr>
                <w:top w:val="single" w:sz="6" w:space="0" w:color="FFFFFF"/>
                <w:left w:val="single" w:sz="6" w:space="0" w:color="FFFFFF"/>
                <w:bottom w:val="single" w:sz="6" w:space="0" w:color="FFFFFF"/>
                <w:right w:val="single" w:sz="6" w:space="0" w:color="FFFFFF"/>
              </w:pBdr>
              <w:spacing w:after="58"/>
            </w:pPr>
            <w:r>
              <w:t>§63.6150(a)</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111"/>
        <w:gridCol w:w="2250"/>
      </w:tblGrid>
      <w:tr w:rsidR="00A73600" w:rsidRPr="00CF2B37" w14:paraId="1F0D0E86" w14:textId="77777777" w:rsidTr="00995872">
        <w:trPr>
          <w:tblHeader/>
          <w:jc w:val="center"/>
        </w:trPr>
        <w:tc>
          <w:tcPr>
            <w:tcW w:w="9361" w:type="dxa"/>
            <w:gridSpan w:val="2"/>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C3ABA" w14:paraId="65D377B6" w14:textId="77777777" w:rsidTr="00995872">
        <w:tblPrEx>
          <w:tblLook w:val="04A0" w:firstRow="1" w:lastRow="0" w:firstColumn="1" w:lastColumn="0" w:noHBand="0" w:noVBand="1"/>
        </w:tblPrEx>
        <w:trPr>
          <w:jc w:val="center"/>
        </w:trPr>
        <w:tc>
          <w:tcPr>
            <w:tcW w:w="9361" w:type="dxa"/>
            <w:gridSpan w:val="2"/>
          </w:tcPr>
          <w:p w14:paraId="4DC3049E" w14:textId="77777777" w:rsidR="004C3ABA" w:rsidRDefault="004C3ABA" w:rsidP="00133215">
            <w:pPr>
              <w:spacing w:line="120" w:lineRule="exact"/>
            </w:pPr>
          </w:p>
          <w:p w14:paraId="4D94F04C"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rPr>
                <w:b/>
                <w:i/>
              </w:rPr>
            </w:pPr>
            <w:r>
              <w:rPr>
                <w:b/>
                <w:i/>
              </w:rPr>
              <w:t>All Subcategories</w:t>
            </w:r>
          </w:p>
        </w:tc>
      </w:tr>
      <w:tr w:rsidR="004C3ABA" w14:paraId="18E95E70" w14:textId="77777777" w:rsidTr="00995872">
        <w:tblPrEx>
          <w:tblLook w:val="04A0" w:firstRow="1" w:lastRow="0" w:firstColumn="1" w:lastColumn="0" w:noHBand="0" w:noVBand="1"/>
        </w:tblPrEx>
        <w:trPr>
          <w:jc w:val="center"/>
        </w:trPr>
        <w:tc>
          <w:tcPr>
            <w:tcW w:w="7111" w:type="dxa"/>
          </w:tcPr>
          <w:p w14:paraId="7CA474BA" w14:textId="77777777" w:rsidR="004C3ABA" w:rsidRDefault="004C3ABA" w:rsidP="00133215">
            <w:pPr>
              <w:spacing w:line="120" w:lineRule="exact"/>
              <w:ind w:left="150"/>
            </w:pPr>
          </w:p>
          <w:p w14:paraId="4C1F0E30"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ind w:left="150"/>
            </w:pPr>
            <w:r>
              <w:t>Maintain records of monitoring data</w:t>
            </w:r>
          </w:p>
        </w:tc>
        <w:tc>
          <w:tcPr>
            <w:tcW w:w="2250" w:type="dxa"/>
          </w:tcPr>
          <w:p w14:paraId="5E7022C6" w14:textId="77777777" w:rsidR="004C3ABA" w:rsidRDefault="004C3ABA" w:rsidP="00133215">
            <w:pPr>
              <w:spacing w:line="120" w:lineRule="exact"/>
            </w:pPr>
          </w:p>
          <w:p w14:paraId="0EF2EFE2" w14:textId="148D9F2F" w:rsidR="004C3ABA" w:rsidRDefault="004C3ABA" w:rsidP="00133215">
            <w:pPr>
              <w:pBdr>
                <w:top w:val="single" w:sz="6" w:space="0" w:color="FFFFFF"/>
                <w:left w:val="single" w:sz="6" w:space="0" w:color="FFFFFF"/>
                <w:bottom w:val="single" w:sz="6" w:space="0" w:color="FFFFFF"/>
                <w:right w:val="single" w:sz="6" w:space="0" w:color="FFFFFF"/>
              </w:pBdr>
              <w:spacing w:after="58"/>
            </w:pPr>
            <w:r>
              <w:t>§§63.7(g), 63.6155</w:t>
            </w:r>
          </w:p>
        </w:tc>
      </w:tr>
      <w:tr w:rsidR="004C3ABA" w14:paraId="132153C5" w14:textId="77777777" w:rsidTr="00995872">
        <w:tblPrEx>
          <w:tblLook w:val="04A0" w:firstRow="1" w:lastRow="0" w:firstColumn="1" w:lastColumn="0" w:noHBand="0" w:noVBand="1"/>
        </w:tblPrEx>
        <w:trPr>
          <w:jc w:val="center"/>
        </w:trPr>
        <w:tc>
          <w:tcPr>
            <w:tcW w:w="7111" w:type="dxa"/>
          </w:tcPr>
          <w:p w14:paraId="4BD89E0B" w14:textId="77777777" w:rsidR="004C3ABA" w:rsidRDefault="004C3ABA" w:rsidP="00133215">
            <w:pPr>
              <w:spacing w:line="120" w:lineRule="exact"/>
              <w:ind w:left="150"/>
            </w:pPr>
          </w:p>
          <w:p w14:paraId="5033DE0B" w14:textId="77777777" w:rsidR="004C3ABA" w:rsidRDefault="004C3ABA" w:rsidP="00133215">
            <w:pPr>
              <w:pBdr>
                <w:top w:val="single" w:sz="6" w:space="0" w:color="FFFFFF"/>
                <w:left w:val="single" w:sz="6" w:space="0" w:color="FFFFFF"/>
                <w:bottom w:val="single" w:sz="6" w:space="0" w:color="FFFFFF"/>
                <w:right w:val="single" w:sz="6" w:space="0" w:color="FFFFFF"/>
              </w:pBdr>
              <w:spacing w:after="58"/>
              <w:ind w:left="150"/>
            </w:pPr>
            <w:r>
              <w:t>Maintain records for five years</w:t>
            </w:r>
          </w:p>
        </w:tc>
        <w:tc>
          <w:tcPr>
            <w:tcW w:w="2250" w:type="dxa"/>
          </w:tcPr>
          <w:p w14:paraId="70DA21DC" w14:textId="77777777" w:rsidR="004C3ABA" w:rsidRDefault="004C3ABA" w:rsidP="00133215">
            <w:pPr>
              <w:spacing w:line="120" w:lineRule="exact"/>
            </w:pPr>
          </w:p>
          <w:p w14:paraId="7B51FB44" w14:textId="30ACA031" w:rsidR="004C3ABA" w:rsidRDefault="004C3ABA" w:rsidP="00133215">
            <w:pPr>
              <w:pBdr>
                <w:top w:val="single" w:sz="6" w:space="0" w:color="FFFFFF"/>
                <w:left w:val="single" w:sz="6" w:space="0" w:color="FFFFFF"/>
                <w:bottom w:val="single" w:sz="6" w:space="0" w:color="FFFFFF"/>
                <w:right w:val="single" w:sz="6" w:space="0" w:color="FFFFFF"/>
              </w:pBdr>
              <w:spacing w:after="58"/>
            </w:pPr>
            <w:r>
              <w:t>§§63.10(b), 63.6160(b)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BF0E39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0" w:type="auto"/>
        <w:tblLook w:val="04A0" w:firstRow="1" w:lastRow="0" w:firstColumn="1" w:lastColumn="0" w:noHBand="0" w:noVBand="1"/>
      </w:tblPr>
      <w:tblGrid>
        <w:gridCol w:w="9350"/>
      </w:tblGrid>
      <w:tr w:rsidR="00B04A5C" w14:paraId="089FFB13" w14:textId="77777777" w:rsidTr="00B04A5C">
        <w:trPr>
          <w:cantSplit/>
          <w:trHeight w:val="521"/>
          <w:tblHeader/>
        </w:trPr>
        <w:tc>
          <w:tcPr>
            <w:tcW w:w="9350" w:type="dxa"/>
            <w:vAlign w:val="center"/>
          </w:tcPr>
          <w:p w14:paraId="79854473" w14:textId="2A8CF86F" w:rsidR="00B04A5C" w:rsidRDefault="00B04A5C" w:rsidP="00B04A5C">
            <w:pPr>
              <w:jc w:val="center"/>
              <w:outlineLvl w:val="0"/>
              <w:rPr>
                <w:b/>
                <w:bCs/>
                <w:color w:val="000000"/>
              </w:rPr>
            </w:pPr>
            <w:r w:rsidRPr="00B04A5C">
              <w:rPr>
                <w:b/>
                <w:bCs/>
                <w:color w:val="000000"/>
              </w:rPr>
              <w:t>Respondent Activities</w:t>
            </w:r>
          </w:p>
        </w:tc>
      </w:tr>
      <w:tr w:rsidR="00B04A5C" w14:paraId="63915FA3" w14:textId="77777777" w:rsidTr="00B04A5C">
        <w:trPr>
          <w:trHeight w:val="432"/>
        </w:trPr>
        <w:tc>
          <w:tcPr>
            <w:tcW w:w="9350" w:type="dxa"/>
            <w:vAlign w:val="center"/>
          </w:tcPr>
          <w:p w14:paraId="7C6FAEC9" w14:textId="6B5FB05A" w:rsidR="00B04A5C" w:rsidRPr="00B04A5C" w:rsidRDefault="00B04A5C" w:rsidP="00B04A5C">
            <w:pPr>
              <w:outlineLvl w:val="0"/>
              <w:rPr>
                <w:color w:val="000000"/>
              </w:rPr>
            </w:pPr>
            <w:r w:rsidRPr="00B04A5C">
              <w:rPr>
                <w:color w:val="000000"/>
              </w:rPr>
              <w:t>Familiarization with the regulatory requirements.</w:t>
            </w:r>
          </w:p>
        </w:tc>
      </w:tr>
      <w:tr w:rsidR="00B04A5C" w14:paraId="61A3CA2B" w14:textId="77777777" w:rsidTr="00B04A5C">
        <w:trPr>
          <w:trHeight w:val="719"/>
        </w:trPr>
        <w:tc>
          <w:tcPr>
            <w:tcW w:w="9350" w:type="dxa"/>
            <w:vAlign w:val="center"/>
          </w:tcPr>
          <w:p w14:paraId="5B0ECB8D" w14:textId="4B188267" w:rsidR="00B04A5C" w:rsidRPr="00B04A5C" w:rsidRDefault="00B04A5C" w:rsidP="00B04A5C">
            <w:pPr>
              <w:outlineLvl w:val="0"/>
              <w:rPr>
                <w:color w:val="000000"/>
              </w:rPr>
            </w:pPr>
            <w:r w:rsidRPr="00B04A5C">
              <w:rPr>
                <w:color w:val="000000"/>
              </w:rPr>
              <w:t xml:space="preserve">Install, calibrate, maintain, and operate </w:t>
            </w:r>
            <w:r w:rsidR="004C3ABA">
              <w:t>the catalyst inlet temperature monitor.</w:t>
            </w:r>
          </w:p>
        </w:tc>
      </w:tr>
      <w:tr w:rsidR="00B04A5C" w14:paraId="1ED261EE" w14:textId="77777777" w:rsidTr="00B04A5C">
        <w:trPr>
          <w:trHeight w:val="701"/>
        </w:trPr>
        <w:tc>
          <w:tcPr>
            <w:tcW w:w="9350" w:type="dxa"/>
            <w:vAlign w:val="center"/>
          </w:tcPr>
          <w:p w14:paraId="638FCDAD" w14:textId="10A3F071" w:rsidR="00B04A5C" w:rsidRPr="00B04A5C" w:rsidRDefault="00B04A5C" w:rsidP="00B04A5C">
            <w:pPr>
              <w:outlineLvl w:val="0"/>
              <w:rPr>
                <w:color w:val="000000"/>
              </w:rPr>
            </w:pPr>
            <w:r w:rsidRPr="00B04A5C">
              <w:rPr>
                <w:color w:val="000000"/>
              </w:rPr>
              <w:t xml:space="preserve">Perform initial performance test, Reference Method </w:t>
            </w:r>
            <w:r w:rsidR="004C3ABA">
              <w:rPr>
                <w:color w:val="000000"/>
              </w:rPr>
              <w:t>320</w:t>
            </w:r>
            <w:r w:rsidRPr="00B04A5C">
              <w:rPr>
                <w:color w:val="FF0000"/>
              </w:rPr>
              <w:t xml:space="preserve"> </w:t>
            </w:r>
            <w:r w:rsidRPr="00B04A5C">
              <w:rPr>
                <w:color w:val="000000"/>
              </w:rPr>
              <w:t>test, and repeat performance tests if necessary.</w:t>
            </w:r>
          </w:p>
        </w:tc>
      </w:tr>
      <w:tr w:rsidR="00B04A5C" w14:paraId="11F08619" w14:textId="77777777" w:rsidTr="00B04A5C">
        <w:trPr>
          <w:trHeight w:val="432"/>
        </w:trPr>
        <w:tc>
          <w:tcPr>
            <w:tcW w:w="9350" w:type="dxa"/>
            <w:vAlign w:val="center"/>
          </w:tcPr>
          <w:p w14:paraId="0803B983" w14:textId="6816C899" w:rsidR="00B04A5C" w:rsidRPr="00B04A5C" w:rsidRDefault="00B04A5C" w:rsidP="00B04A5C">
            <w:pPr>
              <w:outlineLvl w:val="0"/>
              <w:rPr>
                <w:color w:val="000000"/>
              </w:rPr>
            </w:pPr>
            <w:r w:rsidRPr="00B04A5C">
              <w:rPr>
                <w:color w:val="000000"/>
              </w:rPr>
              <w:t>Write the notifications and reports listed above.</w:t>
            </w:r>
          </w:p>
        </w:tc>
      </w:tr>
      <w:tr w:rsidR="00B04A5C" w14:paraId="04BA9505" w14:textId="77777777" w:rsidTr="00B04A5C">
        <w:trPr>
          <w:trHeight w:val="432"/>
        </w:trPr>
        <w:tc>
          <w:tcPr>
            <w:tcW w:w="9350" w:type="dxa"/>
            <w:vAlign w:val="center"/>
          </w:tcPr>
          <w:p w14:paraId="535526B3" w14:textId="777EB84D" w:rsidR="00B04A5C" w:rsidRPr="00B04A5C" w:rsidRDefault="00B04A5C" w:rsidP="00B04A5C">
            <w:pPr>
              <w:outlineLvl w:val="0"/>
              <w:rPr>
                <w:color w:val="000000"/>
              </w:rPr>
            </w:pPr>
            <w:r w:rsidRPr="00B04A5C">
              <w:rPr>
                <w:color w:val="000000"/>
              </w:rPr>
              <w:t>Enter information required to be recorded above.</w:t>
            </w:r>
          </w:p>
        </w:tc>
      </w:tr>
      <w:tr w:rsidR="00B04A5C" w14:paraId="1A8581C8" w14:textId="77777777" w:rsidTr="00B04A5C">
        <w:trPr>
          <w:trHeight w:val="692"/>
        </w:trPr>
        <w:tc>
          <w:tcPr>
            <w:tcW w:w="9350" w:type="dxa"/>
            <w:vAlign w:val="center"/>
          </w:tcPr>
          <w:p w14:paraId="2E7D5DD5" w14:textId="62190166" w:rsidR="00B04A5C" w:rsidRPr="00B04A5C" w:rsidRDefault="00B04A5C" w:rsidP="00B04A5C">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B04A5C" w14:paraId="6690C108" w14:textId="77777777" w:rsidTr="00B04A5C">
        <w:trPr>
          <w:trHeight w:val="764"/>
        </w:trPr>
        <w:tc>
          <w:tcPr>
            <w:tcW w:w="9350" w:type="dxa"/>
            <w:vAlign w:val="center"/>
          </w:tcPr>
          <w:p w14:paraId="74CFE4FD" w14:textId="745796D2" w:rsidR="00B04A5C" w:rsidRPr="00B04A5C" w:rsidRDefault="00B04A5C" w:rsidP="00B04A5C">
            <w:pPr>
              <w:outlineLvl w:val="0"/>
              <w:rPr>
                <w:color w:val="000000"/>
              </w:rPr>
            </w:pPr>
            <w:r w:rsidRPr="00B04A5C">
              <w:rPr>
                <w:color w:val="000000"/>
              </w:rPr>
              <w:t>Develop, acquire, install, and utilize technology and systems for processing and maintaining information.</w:t>
            </w:r>
          </w:p>
        </w:tc>
      </w:tr>
      <w:tr w:rsidR="00B04A5C" w14:paraId="569BA5DB" w14:textId="77777777" w:rsidTr="00B04A5C">
        <w:trPr>
          <w:trHeight w:val="728"/>
        </w:trPr>
        <w:tc>
          <w:tcPr>
            <w:tcW w:w="9350" w:type="dxa"/>
            <w:vAlign w:val="center"/>
          </w:tcPr>
          <w:p w14:paraId="6F381C1E" w14:textId="5F41DE4A" w:rsidR="00B04A5C" w:rsidRPr="00B04A5C" w:rsidRDefault="00B04A5C" w:rsidP="00B04A5C">
            <w:pPr>
              <w:outlineLvl w:val="0"/>
              <w:rPr>
                <w:color w:val="000000"/>
              </w:rPr>
            </w:pPr>
            <w:r w:rsidRPr="00B04A5C">
              <w:rPr>
                <w:color w:val="000000"/>
              </w:rPr>
              <w:t>Develop, acquire, install, and utilize technology and systems for disclosing and providing information.</w:t>
            </w:r>
          </w:p>
        </w:tc>
      </w:tr>
      <w:tr w:rsidR="00B04A5C" w14:paraId="10954706" w14:textId="77777777" w:rsidTr="00B04A5C">
        <w:trPr>
          <w:trHeight w:val="432"/>
        </w:trPr>
        <w:tc>
          <w:tcPr>
            <w:tcW w:w="9350" w:type="dxa"/>
            <w:vAlign w:val="center"/>
          </w:tcPr>
          <w:p w14:paraId="04F39B31" w14:textId="1BB2ADD0" w:rsidR="00B04A5C" w:rsidRPr="00B04A5C" w:rsidRDefault="00B04A5C" w:rsidP="00B04A5C">
            <w:pPr>
              <w:outlineLvl w:val="0"/>
              <w:rPr>
                <w:color w:val="000000"/>
              </w:rPr>
            </w:pPr>
            <w:r w:rsidRPr="00B04A5C">
              <w:rPr>
                <w:color w:val="000000"/>
              </w:rPr>
              <w:t>Train personnel to be able to respond to a collection of information.</w:t>
            </w:r>
          </w:p>
        </w:tc>
      </w:tr>
      <w:tr w:rsidR="00B04A5C" w14:paraId="28078BB9" w14:textId="77777777" w:rsidTr="00B04A5C">
        <w:trPr>
          <w:trHeight w:val="432"/>
        </w:trPr>
        <w:tc>
          <w:tcPr>
            <w:tcW w:w="9350" w:type="dxa"/>
            <w:vAlign w:val="center"/>
          </w:tcPr>
          <w:p w14:paraId="49D268B4" w14:textId="68D823FC" w:rsidR="00B04A5C" w:rsidRPr="00B04A5C" w:rsidRDefault="00B04A5C" w:rsidP="00B04A5C">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4CCAB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45AA9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C4337">
        <w:rPr>
          <w:color w:val="000000"/>
        </w:rPr>
        <w:t>:</w:t>
      </w:r>
    </w:p>
    <w:p w14:paraId="1039A63D" w14:textId="0EAB1947" w:rsidR="00B04A5C" w:rsidRDefault="00B04A5C" w:rsidP="00B04A5C">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B04A5C" w14:paraId="5A7E1BE3" w14:textId="77777777" w:rsidTr="00E835B0">
        <w:trPr>
          <w:trHeight w:val="432"/>
        </w:trPr>
        <w:tc>
          <w:tcPr>
            <w:tcW w:w="9350" w:type="dxa"/>
            <w:vAlign w:val="center"/>
          </w:tcPr>
          <w:p w14:paraId="4348CA1A" w14:textId="6EA83A83" w:rsidR="00B04A5C" w:rsidRPr="00E835B0" w:rsidRDefault="00B04A5C" w:rsidP="00E835B0">
            <w:pPr>
              <w:jc w:val="center"/>
              <w:rPr>
                <w:b/>
                <w:bCs/>
                <w:color w:val="000000"/>
              </w:rPr>
            </w:pPr>
            <w:r>
              <w:rPr>
                <w:b/>
                <w:bCs/>
                <w:color w:val="000000"/>
              </w:rPr>
              <w:t>Agency Activities</w:t>
            </w:r>
          </w:p>
        </w:tc>
      </w:tr>
      <w:tr w:rsidR="00B04A5C" w14:paraId="091547BB" w14:textId="77777777" w:rsidTr="00E835B0">
        <w:trPr>
          <w:trHeight w:val="701"/>
        </w:trPr>
        <w:tc>
          <w:tcPr>
            <w:tcW w:w="9350" w:type="dxa"/>
            <w:vAlign w:val="center"/>
          </w:tcPr>
          <w:p w14:paraId="12595B6E" w14:textId="44FB1ABE" w:rsidR="00B04A5C" w:rsidRDefault="00E835B0" w:rsidP="00B04A5C">
            <w:pPr>
              <w:rPr>
                <w:color w:val="000000"/>
              </w:rPr>
            </w:pPr>
            <w:r w:rsidRPr="00E835B0">
              <w:rPr>
                <w:color w:val="000000"/>
              </w:rPr>
              <w:t>Review notifications and reports, including performance test reports, and excess emissions reports, required to be submitted by industry.</w:t>
            </w:r>
          </w:p>
        </w:tc>
      </w:tr>
      <w:tr w:rsidR="00B04A5C" w14:paraId="56468D41" w14:textId="77777777" w:rsidTr="00E835B0">
        <w:trPr>
          <w:trHeight w:val="432"/>
        </w:trPr>
        <w:tc>
          <w:tcPr>
            <w:tcW w:w="9350" w:type="dxa"/>
            <w:vAlign w:val="center"/>
          </w:tcPr>
          <w:p w14:paraId="106D9053" w14:textId="1B932D64" w:rsidR="00B04A5C" w:rsidRDefault="00E835B0" w:rsidP="00B04A5C">
            <w:pPr>
              <w:rPr>
                <w:color w:val="000000"/>
              </w:rPr>
            </w:pPr>
            <w:r w:rsidRPr="00E835B0">
              <w:rPr>
                <w:color w:val="000000"/>
              </w:rPr>
              <w:t>Audit facility records.</w:t>
            </w:r>
          </w:p>
        </w:tc>
      </w:tr>
      <w:tr w:rsidR="00B04A5C" w14:paraId="52B3A9E4" w14:textId="77777777" w:rsidTr="00E835B0">
        <w:trPr>
          <w:trHeight w:val="692"/>
        </w:trPr>
        <w:tc>
          <w:tcPr>
            <w:tcW w:w="9350" w:type="dxa"/>
            <w:vAlign w:val="center"/>
          </w:tcPr>
          <w:p w14:paraId="6BA5CCEE" w14:textId="1048CBAC" w:rsidR="00B04A5C" w:rsidRDefault="00E835B0" w:rsidP="00B04A5C">
            <w:pPr>
              <w:rPr>
                <w:color w:val="000000"/>
              </w:rPr>
            </w:pPr>
            <w:r w:rsidRPr="00E835B0">
              <w:rPr>
                <w:color w:val="000000"/>
              </w:rPr>
              <w:t>Input, analyze, and maintain data in the 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521679B" w:rsidR="00CA4CD6" w:rsidRPr="00FC0A2B" w:rsidRDefault="00CA4CD6">
      <w:pPr>
        <w:pBdr>
          <w:top w:val="single" w:sz="6" w:space="0" w:color="FFFFFF"/>
          <w:left w:val="single" w:sz="6" w:space="0" w:color="FFFFFF"/>
          <w:bottom w:val="single" w:sz="6" w:space="0" w:color="FFFFFF"/>
          <w:right w:val="single" w:sz="6" w:space="0" w:color="FFFFFF"/>
        </w:pBdr>
        <w:ind w:firstLine="720"/>
      </w:pPr>
      <w:r w:rsidRPr="00FC0A2B">
        <w:t xml:space="preserve">Following notification of startup, the reviewing authority </w:t>
      </w:r>
      <w:r w:rsidR="002B29A7" w:rsidRPr="00FC0A2B">
        <w:t xml:space="preserve">could </w:t>
      </w:r>
      <w:r w:rsidRPr="00FC0A2B">
        <w:t>inspect the source to determine whether the pollution control devices are properly installed and operated.</w:t>
      </w:r>
      <w:r w:rsidR="00FC0A2B" w:rsidRPr="00FC0A2B">
        <w:t xml:space="preserve"> </w:t>
      </w:r>
      <w:r w:rsidRPr="00FC0A2B">
        <w:t>Performance test reports are used by the Agency to discern a source</w:t>
      </w:r>
      <w:r w:rsidR="004C701D" w:rsidRPr="00FC0A2B">
        <w:t>’</w:t>
      </w:r>
      <w:r w:rsidRPr="00FC0A2B">
        <w:t>s initial capability to comply with the emission standard</w:t>
      </w:r>
      <w:r w:rsidR="009C4337">
        <w:t>s</w:t>
      </w:r>
      <w:r w:rsidR="00FC0A2B" w:rsidRPr="00FC0A2B">
        <w:t xml:space="preserve"> and </w:t>
      </w:r>
      <w:r w:rsidRPr="00FC0A2B">
        <w:t>note the operating conditions under which compliance was achieved.</w:t>
      </w:r>
      <w:r w:rsidR="00FC0A2B" w:rsidRPr="00FC0A2B">
        <w:t xml:space="preserve"> </w:t>
      </w:r>
      <w:r w:rsidRPr="00FC0A2B">
        <w:t>Data and records maintained by the respondents are tabulated and published for use in compliance and enforcement programs.</w:t>
      </w:r>
      <w:r w:rsidR="009C7E97" w:rsidRPr="00FC0A2B">
        <w:t xml:space="preserve"> </w:t>
      </w:r>
      <w:r w:rsidRPr="00FC0A2B">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4E2EBE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9C4337">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771ED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FC0A2B">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2B2250F" w14:textId="0D905C9A" w:rsidR="00FC0A2B" w:rsidRPr="00995872" w:rsidRDefault="009C4337" w:rsidP="00FC0A2B">
      <w:pPr>
        <w:pBdr>
          <w:top w:val="single" w:sz="6" w:space="0" w:color="FFFFFF"/>
          <w:left w:val="single" w:sz="6" w:space="0" w:color="FFFFFF"/>
          <w:bottom w:val="single" w:sz="6" w:space="0" w:color="FFFFFF"/>
          <w:right w:val="single" w:sz="6" w:space="0" w:color="FFFFFF"/>
        </w:pBdr>
        <w:ind w:firstLine="720"/>
      </w:pPr>
      <w:r>
        <w:t>The</w:t>
      </w:r>
      <w:r w:rsidR="00FC0A2B">
        <w:t xml:space="preserve"> majority of the respondents are large entities (i.e., large businesses).  However, the impact on small entities (i.e., small businesses) was taken into consideration during the development of the regulation. During rule development, EPA conducted a regulatory impact analysis and concluded that the rule does not have a significant economic impact on small entities. Furthermore, EPA determined that any potential impacts are further reduced by the rule’s exclusion of turbines with capacities below 1.0 </w:t>
      </w:r>
      <w:r w:rsidR="00FC0A2B" w:rsidRPr="00995872">
        <w:t>megawatt.</w:t>
      </w:r>
    </w:p>
    <w:p w14:paraId="15694245" w14:textId="77777777" w:rsidR="00CA4CD6" w:rsidRPr="00995872" w:rsidRDefault="00CA4CD6">
      <w:pPr>
        <w:pBdr>
          <w:top w:val="single" w:sz="6" w:space="0" w:color="FFFFFF"/>
          <w:left w:val="single" w:sz="6" w:space="0" w:color="FFFFFF"/>
          <w:bottom w:val="single" w:sz="6" w:space="0" w:color="FFFFFF"/>
          <w:right w:val="single" w:sz="6" w:space="0" w:color="FFFFFF"/>
        </w:pBdr>
      </w:pPr>
    </w:p>
    <w:p w14:paraId="7CFBFD16" w14:textId="77777777" w:rsidR="00FC0A2B" w:rsidRDefault="00FC0A2B" w:rsidP="00FC0A2B">
      <w:pPr>
        <w:pBdr>
          <w:top w:val="single" w:sz="6" w:space="0" w:color="FFFFFF"/>
          <w:left w:val="single" w:sz="6" w:space="0" w:color="FFFFFF"/>
          <w:bottom w:val="single" w:sz="6" w:space="0" w:color="FFFFFF"/>
          <w:right w:val="single" w:sz="6" w:space="0" w:color="FFFFFF"/>
        </w:pBdr>
        <w:ind w:firstLine="720"/>
      </w:pPr>
      <w:r w:rsidRPr="00995872">
        <w:t xml:space="preserve">Due to technical considerations, which involve the process </w:t>
      </w:r>
      <w:r>
        <w:t>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C4C83E" w14:textId="61C01F51" w:rsidR="00CA4CD6" w:rsidRDefault="00CA4CD6" w:rsidP="00FC0A2B">
      <w:pPr>
        <w:pBdr>
          <w:top w:val="single" w:sz="6" w:space="0" w:color="FFFFFF"/>
          <w:left w:val="single" w:sz="6" w:space="0" w:color="FFFFFF"/>
          <w:bottom w:val="single" w:sz="6" w:space="0" w:color="FFFFFF"/>
          <w:right w:val="single" w:sz="6" w:space="0" w:color="FFFFFF"/>
        </w:pBdr>
        <w:ind w:firstLine="720"/>
      </w:pPr>
      <w:r>
        <w:rPr>
          <w:color w:val="000000"/>
        </w:rPr>
        <w:t>The specific frequency for each information collection activity within this request is shown</w:t>
      </w:r>
      <w:r w:rsidR="009C4337">
        <w:rPr>
          <w:color w:val="000000"/>
        </w:rPr>
        <w:t xml:space="preserve"> below,</w:t>
      </w:r>
      <w:r>
        <w:rPr>
          <w:color w:val="000000"/>
        </w:rPr>
        <w:t xml:space="preserve"> </w:t>
      </w:r>
      <w:r w:rsidR="0095132C">
        <w:rPr>
          <w:color w:val="000000"/>
        </w:rPr>
        <w:t>at the end of this document</w:t>
      </w:r>
      <w:r w:rsidR="009C4337">
        <w:rPr>
          <w:color w:val="000000"/>
        </w:rPr>
        <w:t>,</w:t>
      </w:r>
      <w:r w:rsidR="0095132C">
        <w:rPr>
          <w:color w:val="000000"/>
        </w:rPr>
        <w:t xml:space="preserve">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FC0A2B">
        <w:t>NESHAP for Stationary Combustion Turbines (40 CFR Part 63, Subpart YYYY) (Renewal).</w:t>
      </w:r>
    </w:p>
    <w:p w14:paraId="0A53FAFB" w14:textId="77777777" w:rsidR="00FC0A2B" w:rsidRDefault="00FC0A2B" w:rsidP="00FC0A2B">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63D261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w:t>
      </w:r>
      <w:r w:rsidR="00FC0A2B">
        <w:rPr>
          <w:color w:val="000000"/>
        </w:rPr>
        <w:t>t</w:t>
      </w:r>
      <w:r>
        <w:rPr>
          <w:color w:val="000000"/>
        </w:rPr>
        <w:t xml:space="preserve"> included in this ICR.</w:t>
      </w:r>
      <w:r w:rsidR="009C7E97">
        <w:rPr>
          <w:color w:val="000000"/>
        </w:rPr>
        <w:t xml:space="preserve"> </w:t>
      </w:r>
      <w:r>
        <w:rPr>
          <w:color w:val="000000"/>
        </w:rPr>
        <w:t xml:space="preserve">The individual burdens are expressed under standardized headings believed to be consistent with the concept of </w:t>
      </w:r>
      <w:r w:rsidR="009C4337">
        <w:rPr>
          <w:color w:val="000000"/>
        </w:rPr>
        <w:t>‘B</w:t>
      </w:r>
      <w:r>
        <w:rPr>
          <w:color w:val="000000"/>
        </w:rPr>
        <w:t>urden</w:t>
      </w:r>
      <w:r w:rsidR="009C4337">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2EC4ED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C4337">
        <w:rPr>
          <w:color w:val="000000"/>
        </w:rPr>
        <w:t>either</w:t>
      </w:r>
      <w:r>
        <w:rPr>
          <w:color w:val="000000"/>
        </w:rPr>
        <w:t xml:space="preserve"> conduct </w:t>
      </w:r>
      <w:r w:rsidR="009C433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E2A508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C4337">
        <w:rPr>
          <w:color w:val="000000"/>
        </w:rPr>
        <w:t>-</w:t>
      </w:r>
      <w:r>
        <w:rPr>
          <w:color w:val="000000"/>
        </w:rPr>
        <w:t>keeping and reporting requirement</w:t>
      </w:r>
      <w:r w:rsidR="004C701D">
        <w:rPr>
          <w:color w:val="000000"/>
        </w:rPr>
        <w:t xml:space="preserve">s is estimated to be </w:t>
      </w:r>
      <w:r w:rsidR="009D414B" w:rsidRPr="000C43F4">
        <w:t>1,430</w:t>
      </w:r>
      <w:r w:rsidR="004C701D">
        <w:rPr>
          <w:color w:val="000000"/>
        </w:rPr>
        <w:t xml:space="preserve"> </w:t>
      </w:r>
      <w:r w:rsidR="009C4337">
        <w:rPr>
          <w:color w:val="000000"/>
        </w:rPr>
        <w:t xml:space="preserve">hours </w:t>
      </w:r>
      <w:r w:rsidR="004C701D">
        <w:rPr>
          <w:color w:val="000000"/>
        </w:rPr>
        <w:t>(</w:t>
      </w:r>
      <w:r>
        <w:rPr>
          <w:color w:val="000000"/>
        </w:rPr>
        <w:t>Total Labor Hours from Table 1</w:t>
      </w:r>
      <w:r w:rsidR="009C4337">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FC0A2B">
        <w:t xml:space="preserve">NESHAP </w:t>
      </w:r>
      <w:r>
        <w:rPr>
          <w:color w:val="000000"/>
        </w:rPr>
        <w:t>program, the previously</w:t>
      </w:r>
      <w:r w:rsidR="009C433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E4B139A" w:rsidR="002712EB" w:rsidRPr="00995872" w:rsidRDefault="002712EB" w:rsidP="007025D8">
      <w:pPr>
        <w:pBdr>
          <w:top w:val="single" w:sz="6" w:space="0" w:color="FFFFFF"/>
          <w:left w:val="single" w:sz="6" w:space="0" w:color="FFFFFF"/>
          <w:bottom w:val="single" w:sz="6" w:space="0" w:color="FFFFFF"/>
          <w:right w:val="single" w:sz="6" w:space="0" w:color="FFFFFF"/>
        </w:pBdr>
        <w:ind w:firstLine="720"/>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for the benefit packages available to those </w:t>
      </w:r>
      <w:r w:rsidRPr="00995872">
        <w:t>employed by private industry.</w:t>
      </w:r>
    </w:p>
    <w:p w14:paraId="4D7765A8" w14:textId="77777777" w:rsidR="00CA4CD6" w:rsidRPr="00995872"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995872">
        <w:rPr>
          <w:b/>
          <w:bCs/>
        </w:rPr>
        <w:t>(ii)</w:t>
      </w:r>
      <w:r w:rsidR="009C7E97" w:rsidRPr="00995872">
        <w:rPr>
          <w:b/>
          <w:bCs/>
        </w:rPr>
        <w:t xml:space="preserve"> </w:t>
      </w:r>
      <w:r w:rsidRPr="00995872">
        <w:rPr>
          <w:b/>
          <w:bCs/>
        </w:rPr>
        <w:t xml:space="preserve">Estimating Capital/Startup </w:t>
      </w:r>
      <w:r>
        <w:rPr>
          <w:b/>
          <w:bCs/>
          <w:color w:val="000000"/>
        </w:rPr>
        <w:t>and Operation and Maintenance Costs</w:t>
      </w:r>
    </w:p>
    <w:p w14:paraId="3D2D564D" w14:textId="77777777" w:rsidR="00FC0A2B" w:rsidRPr="00FC0A2B" w:rsidRDefault="00FC0A2B">
      <w:pPr>
        <w:pBdr>
          <w:top w:val="single" w:sz="6" w:space="0" w:color="FFFFFF"/>
          <w:left w:val="single" w:sz="6" w:space="0" w:color="FFFFFF"/>
          <w:bottom w:val="single" w:sz="6" w:space="0" w:color="FFFFFF"/>
          <w:right w:val="single" w:sz="6" w:space="0" w:color="FFFFFF"/>
        </w:pBdr>
        <w:ind w:firstLine="720"/>
      </w:pPr>
    </w:p>
    <w:p w14:paraId="728A7CA7" w14:textId="744D8CB1" w:rsidR="00CA4CD6" w:rsidRPr="00FC0A2B" w:rsidRDefault="00CA4CD6">
      <w:pPr>
        <w:pBdr>
          <w:top w:val="single" w:sz="6" w:space="0" w:color="FFFFFF"/>
          <w:left w:val="single" w:sz="6" w:space="0" w:color="FFFFFF"/>
          <w:bottom w:val="single" w:sz="6" w:space="0" w:color="FFFFFF"/>
          <w:right w:val="single" w:sz="6" w:space="0" w:color="FFFFFF"/>
        </w:pBdr>
        <w:ind w:firstLine="720"/>
      </w:pPr>
      <w:r w:rsidRPr="00FC0A2B">
        <w:t>The type of industry costs associated with the information collection activities in the subject standard</w:t>
      </w:r>
      <w:r w:rsidR="00FC0A2B" w:rsidRPr="00FC0A2B">
        <w:t>s</w:t>
      </w:r>
      <w:r w:rsidRPr="00FC0A2B">
        <w:t xml:space="preserve"> are both labor costs which are addressed elsewhere in this ICR and the costs associated with continuous monitoring.</w:t>
      </w:r>
      <w:r w:rsidR="009C7E97" w:rsidRPr="00FC0A2B">
        <w:t xml:space="preserve"> </w:t>
      </w:r>
      <w:r w:rsidRPr="00FC0A2B">
        <w:t xml:space="preserve">The capital/startup costs are </w:t>
      </w:r>
      <w:r w:rsidR="001414C4" w:rsidRPr="00FC0A2B">
        <w:t>one-time</w:t>
      </w:r>
      <w:r w:rsidRPr="00FC0A2B">
        <w:t xml:space="preserve"> costs when a facility becomes subject to the regulation.</w:t>
      </w:r>
      <w:r w:rsidR="009C7E97" w:rsidRPr="00FC0A2B">
        <w:t xml:space="preserve"> </w:t>
      </w:r>
      <w:r w:rsidRPr="00FC0A2B">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32FB5507" w:rsidR="00CA4CD6" w:rsidRPr="00995872" w:rsidRDefault="003F1AFC" w:rsidP="00FC0A2B">
      <w:pPr>
        <w:pBdr>
          <w:top w:val="single" w:sz="6" w:space="0" w:color="FFFFFF"/>
          <w:left w:val="single" w:sz="6" w:space="0" w:color="FFFFFF"/>
          <w:bottom w:val="single" w:sz="6" w:space="0" w:color="FFFFFF"/>
          <w:right w:val="single" w:sz="6" w:space="0" w:color="FFFFFF"/>
        </w:pBdr>
        <w:tabs>
          <w:tab w:val="left" w:pos="2055"/>
        </w:tabs>
      </w:pPr>
      <w:r w:rsidRPr="003F1AFC">
        <w:rPr>
          <w:color w:val="FF0000"/>
        </w:rPr>
        <w:tab/>
      </w: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20"/>
        <w:gridCol w:w="1290"/>
        <w:gridCol w:w="1350"/>
        <w:gridCol w:w="1440"/>
        <w:gridCol w:w="1350"/>
        <w:gridCol w:w="1260"/>
        <w:gridCol w:w="1350"/>
      </w:tblGrid>
      <w:tr w:rsidR="00A73600" w14:paraId="36F2DCEA" w14:textId="77777777" w:rsidTr="000C43F4">
        <w:trPr>
          <w:tblHeader/>
        </w:trPr>
        <w:tc>
          <w:tcPr>
            <w:tcW w:w="9360" w:type="dxa"/>
            <w:gridSpan w:val="7"/>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C43F4">
        <w:tc>
          <w:tcPr>
            <w:tcW w:w="1320" w:type="dxa"/>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90" w:type="dxa"/>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4C73FAF3"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r w:rsidR="00FC0A2B" w:rsidRPr="00FC0A2B">
              <w:rPr>
                <w:color w:val="000000"/>
                <w:sz w:val="20"/>
                <w:szCs w:val="20"/>
                <w:vertAlign w:val="superscript"/>
              </w:rPr>
              <w:t>a</w:t>
            </w:r>
          </w:p>
        </w:tc>
        <w:tc>
          <w:tcPr>
            <w:tcW w:w="1350" w:type="dxa"/>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968464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New Respondents</w:t>
            </w:r>
            <w:r w:rsidR="00FC0A2B" w:rsidRPr="00FC0A2B">
              <w:rPr>
                <w:color w:val="000000"/>
                <w:sz w:val="20"/>
                <w:szCs w:val="20"/>
                <w:vertAlign w:val="superscript"/>
              </w:rPr>
              <w:t>b</w:t>
            </w:r>
          </w:p>
        </w:tc>
        <w:tc>
          <w:tcPr>
            <w:tcW w:w="1440" w:type="dxa"/>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305D896F"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r w:rsidR="00FC0A2B" w:rsidRPr="00FC0A2B">
              <w:rPr>
                <w:color w:val="000000"/>
                <w:sz w:val="20"/>
                <w:szCs w:val="20"/>
                <w:vertAlign w:val="superscript"/>
              </w:rPr>
              <w:t>c</w:t>
            </w:r>
          </w:p>
        </w:tc>
        <w:tc>
          <w:tcPr>
            <w:tcW w:w="1260" w:type="dxa"/>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FC0A2B" w14:paraId="4AA20F59" w14:textId="77777777" w:rsidTr="000C43F4">
        <w:tc>
          <w:tcPr>
            <w:tcW w:w="1320" w:type="dxa"/>
            <w:vAlign w:val="center"/>
          </w:tcPr>
          <w:p w14:paraId="2113507C" w14:textId="45145022" w:rsidR="00FC0A2B" w:rsidRDefault="00FC0A2B" w:rsidP="00FC0A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Catalyst inlet temperature</w:t>
            </w:r>
          </w:p>
        </w:tc>
        <w:tc>
          <w:tcPr>
            <w:tcW w:w="1290" w:type="dxa"/>
            <w:vAlign w:val="center"/>
          </w:tcPr>
          <w:p w14:paraId="061FAA92" w14:textId="1D4CB9E1" w:rsidR="00FC0A2B" w:rsidRDefault="00FC0A2B" w:rsidP="00FC0A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r w:rsidR="000C43F4">
              <w:rPr>
                <w:color w:val="000000"/>
                <w:sz w:val="20"/>
                <w:szCs w:val="20"/>
              </w:rPr>
              <w:t>4</w:t>
            </w:r>
            <w:r>
              <w:rPr>
                <w:color w:val="000000"/>
                <w:sz w:val="20"/>
                <w:szCs w:val="20"/>
              </w:rPr>
              <w:t>9</w:t>
            </w:r>
            <w:r w:rsidR="000C43F4">
              <w:rPr>
                <w:color w:val="000000"/>
                <w:sz w:val="20"/>
                <w:szCs w:val="20"/>
              </w:rPr>
              <w:t>6</w:t>
            </w:r>
            <w:r>
              <w:rPr>
                <w:color w:val="000000"/>
                <w:sz w:val="20"/>
                <w:szCs w:val="20"/>
              </w:rPr>
              <w:t xml:space="preserve"> </w:t>
            </w:r>
          </w:p>
        </w:tc>
        <w:tc>
          <w:tcPr>
            <w:tcW w:w="1350" w:type="dxa"/>
            <w:vAlign w:val="center"/>
          </w:tcPr>
          <w:p w14:paraId="1B77751D" w14:textId="12CA4876" w:rsidR="00FC0A2B" w:rsidRDefault="00602CD6" w:rsidP="00FC0A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vAlign w:val="center"/>
          </w:tcPr>
          <w:p w14:paraId="07F59DF4" w14:textId="4552B240" w:rsidR="00FC0A2B" w:rsidRDefault="00FC0A2B" w:rsidP="00FC0A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602CD6">
              <w:rPr>
                <w:color w:val="000000"/>
                <w:sz w:val="20"/>
                <w:szCs w:val="20"/>
              </w:rPr>
              <w:t>0</w:t>
            </w:r>
          </w:p>
        </w:tc>
        <w:tc>
          <w:tcPr>
            <w:tcW w:w="1350" w:type="dxa"/>
            <w:vAlign w:val="center"/>
          </w:tcPr>
          <w:p w14:paraId="014C668B" w14:textId="61BCDF83" w:rsidR="00FC0A2B" w:rsidRDefault="00FC0A2B" w:rsidP="00FC0A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vAlign w:val="center"/>
          </w:tcPr>
          <w:p w14:paraId="7704BF82" w14:textId="318DDE09" w:rsidR="00FC0A2B" w:rsidRDefault="00602CD6" w:rsidP="00FC0A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w:t>
            </w:r>
          </w:p>
        </w:tc>
        <w:tc>
          <w:tcPr>
            <w:tcW w:w="1350" w:type="dxa"/>
            <w:vAlign w:val="center"/>
          </w:tcPr>
          <w:p w14:paraId="38C7234D" w14:textId="5C725612" w:rsidR="00FC0A2B" w:rsidRDefault="00FC0A2B" w:rsidP="00FC0A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r>
    </w:tbl>
    <w:p w14:paraId="01B1561B" w14:textId="43819136" w:rsidR="00CA4CD6" w:rsidRDefault="00CA4CD6" w:rsidP="00FC0A2B">
      <w:pPr>
        <w:pBdr>
          <w:top w:val="single" w:sz="6" w:space="0" w:color="FFFFFF"/>
          <w:left w:val="single" w:sz="6" w:space="0" w:color="FFFFFF"/>
          <w:bottom w:val="single" w:sz="6" w:space="0" w:color="FFFFFF"/>
          <w:right w:val="single" w:sz="6" w:space="0" w:color="FFFFFF"/>
        </w:pBdr>
        <w:ind w:left="180" w:hanging="180"/>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tbl>
      <w:tblPr>
        <w:tblW w:w="9720" w:type="dxa"/>
        <w:tblInd w:w="-180" w:type="dxa"/>
        <w:tblLook w:val="04A0" w:firstRow="1" w:lastRow="0" w:firstColumn="1" w:lastColumn="0" w:noHBand="0" w:noVBand="1"/>
      </w:tblPr>
      <w:tblGrid>
        <w:gridCol w:w="9720"/>
      </w:tblGrid>
      <w:tr w:rsidR="00FC0A2B" w:rsidRPr="00BA59B1" w14:paraId="7B09DEBB" w14:textId="77777777" w:rsidTr="00133215">
        <w:trPr>
          <w:trHeight w:val="315"/>
        </w:trPr>
        <w:tc>
          <w:tcPr>
            <w:tcW w:w="9720" w:type="dxa"/>
            <w:tcBorders>
              <w:top w:val="nil"/>
              <w:left w:val="nil"/>
              <w:bottom w:val="nil"/>
              <w:right w:val="nil"/>
            </w:tcBorders>
            <w:shd w:val="clear" w:color="auto" w:fill="auto"/>
            <w:noWrap/>
            <w:vAlign w:val="center"/>
            <w:hideMark/>
          </w:tcPr>
          <w:p w14:paraId="648FC873" w14:textId="01B599DC" w:rsidR="00FC0A2B" w:rsidRPr="00BA59B1" w:rsidRDefault="00FC0A2B" w:rsidP="00FC0A2B">
            <w:pPr>
              <w:widowControl/>
              <w:autoSpaceDE/>
              <w:autoSpaceDN/>
              <w:adjustRightInd/>
              <w:ind w:left="255"/>
              <w:rPr>
                <w:color w:val="000000"/>
                <w:sz w:val="20"/>
                <w:szCs w:val="20"/>
              </w:rPr>
            </w:pPr>
            <w:r w:rsidRPr="00BA59B1">
              <w:rPr>
                <w:color w:val="000000"/>
                <w:sz w:val="20"/>
                <w:szCs w:val="20"/>
                <w:vertAlign w:val="superscript"/>
              </w:rPr>
              <w:t>a</w:t>
            </w:r>
            <w:r w:rsidRPr="00BA59B1">
              <w:rPr>
                <w:color w:val="000000"/>
                <w:sz w:val="20"/>
                <w:szCs w:val="20"/>
              </w:rPr>
              <w:t xml:space="preserve">  </w:t>
            </w:r>
            <w:r w:rsidR="009D414B" w:rsidRPr="009D414B">
              <w:rPr>
                <w:color w:val="000000"/>
                <w:sz w:val="20"/>
                <w:szCs w:val="20"/>
              </w:rPr>
              <w:t xml:space="preserve">We estimate a total capital startup cost of $4,496 per respondent, which comprises a purchase cost of $500 and an installation cost of $3,996. The installation cost assumes 30 technical, 1.5 managerial, and 3 clerical hours at a labor rate of $120.27, $141.06, and $58.67, respectively. </w:t>
            </w:r>
            <w:r w:rsidRPr="00BA59B1">
              <w:rPr>
                <w:color w:val="000000"/>
                <w:sz w:val="20"/>
                <w:szCs w:val="20"/>
              </w:rPr>
              <w:t>As described previously, these rates are based on figures from the United States Department of Labor and have been increased by 110 percent to account for private industry benefit packages.</w:t>
            </w:r>
          </w:p>
        </w:tc>
      </w:tr>
      <w:tr w:rsidR="00FC0A2B" w:rsidRPr="00BA59B1" w14:paraId="15ECE79B" w14:textId="77777777" w:rsidTr="00133215">
        <w:trPr>
          <w:trHeight w:val="315"/>
        </w:trPr>
        <w:tc>
          <w:tcPr>
            <w:tcW w:w="9720" w:type="dxa"/>
            <w:tcBorders>
              <w:top w:val="nil"/>
              <w:left w:val="nil"/>
              <w:bottom w:val="nil"/>
              <w:right w:val="nil"/>
            </w:tcBorders>
            <w:shd w:val="clear" w:color="auto" w:fill="auto"/>
            <w:noWrap/>
            <w:vAlign w:val="center"/>
            <w:hideMark/>
          </w:tcPr>
          <w:p w14:paraId="44B2AEE9" w14:textId="77777777" w:rsidR="00FC0A2B" w:rsidRPr="00BA59B1" w:rsidRDefault="00FC0A2B" w:rsidP="00FC0A2B">
            <w:pPr>
              <w:widowControl/>
              <w:autoSpaceDE/>
              <w:autoSpaceDN/>
              <w:adjustRightInd/>
              <w:ind w:left="255"/>
              <w:rPr>
                <w:color w:val="000000"/>
                <w:sz w:val="20"/>
                <w:szCs w:val="20"/>
              </w:rPr>
            </w:pPr>
            <w:r w:rsidRPr="00BA59B1">
              <w:rPr>
                <w:color w:val="000000"/>
                <w:sz w:val="20"/>
                <w:szCs w:val="20"/>
                <w:vertAlign w:val="superscript"/>
              </w:rPr>
              <w:t>b</w:t>
            </w:r>
            <w:r w:rsidRPr="00BA59B1">
              <w:rPr>
                <w:color w:val="000000"/>
                <w:sz w:val="20"/>
                <w:szCs w:val="20"/>
              </w:rPr>
              <w:t xml:space="preserve">  At present, only oil-fired subcategories are required to install, operate, and maintain continuous monitoring devices.  </w:t>
            </w:r>
          </w:p>
        </w:tc>
      </w:tr>
      <w:tr w:rsidR="00FC0A2B" w:rsidRPr="00BA59B1" w14:paraId="430687C9" w14:textId="77777777" w:rsidTr="00133215">
        <w:trPr>
          <w:trHeight w:val="315"/>
        </w:trPr>
        <w:tc>
          <w:tcPr>
            <w:tcW w:w="9720" w:type="dxa"/>
            <w:tcBorders>
              <w:top w:val="nil"/>
              <w:left w:val="nil"/>
              <w:bottom w:val="nil"/>
              <w:right w:val="nil"/>
            </w:tcBorders>
            <w:shd w:val="clear" w:color="auto" w:fill="auto"/>
            <w:noWrap/>
            <w:vAlign w:val="center"/>
            <w:hideMark/>
          </w:tcPr>
          <w:p w14:paraId="3C7DD94F" w14:textId="77777777" w:rsidR="00FC0A2B" w:rsidRPr="00BA59B1" w:rsidRDefault="00FC0A2B" w:rsidP="00FC0A2B">
            <w:pPr>
              <w:widowControl/>
              <w:autoSpaceDE/>
              <w:autoSpaceDN/>
              <w:adjustRightInd/>
              <w:ind w:left="255"/>
              <w:rPr>
                <w:color w:val="000000"/>
                <w:sz w:val="20"/>
                <w:szCs w:val="20"/>
              </w:rPr>
            </w:pPr>
            <w:r w:rsidRPr="00BA59B1">
              <w:rPr>
                <w:color w:val="000000"/>
                <w:sz w:val="20"/>
                <w:szCs w:val="20"/>
                <w:vertAlign w:val="superscript"/>
              </w:rPr>
              <w:t>c</w:t>
            </w:r>
            <w:r w:rsidRPr="00BA59B1">
              <w:rPr>
                <w:color w:val="000000"/>
                <w:sz w:val="20"/>
                <w:szCs w:val="20"/>
              </w:rPr>
              <w:t xml:space="preserve">  No annual O&amp;M costs are shown because we expect the catalyst inlet temperature monitor to be maintenance-free.</w:t>
            </w:r>
          </w:p>
        </w:tc>
      </w:tr>
    </w:tbl>
    <w:p w14:paraId="5CAC99A9" w14:textId="77777777" w:rsidR="00FC0A2B" w:rsidRDefault="00FC0A2B">
      <w:pPr>
        <w:pBdr>
          <w:top w:val="single" w:sz="6" w:space="0" w:color="FFFFFF"/>
          <w:left w:val="single" w:sz="6" w:space="0" w:color="FFFFFF"/>
          <w:bottom w:val="single" w:sz="6" w:space="0" w:color="FFFFFF"/>
          <w:right w:val="single" w:sz="6" w:space="0" w:color="FFFFFF"/>
        </w:pBdr>
        <w:rPr>
          <w:sz w:val="20"/>
          <w:szCs w:val="20"/>
        </w:rPr>
      </w:pPr>
    </w:p>
    <w:p w14:paraId="0B40F409" w14:textId="2EDC42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FC0A2B">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Pr="00FC0A2B" w:rsidRDefault="00CA4CD6">
      <w:pPr>
        <w:pBdr>
          <w:top w:val="single" w:sz="6" w:space="0" w:color="FFFFFF"/>
          <w:left w:val="single" w:sz="6" w:space="0" w:color="FFFFFF"/>
          <w:bottom w:val="single" w:sz="6" w:space="0" w:color="FFFFFF"/>
          <w:right w:val="single" w:sz="6" w:space="0" w:color="FFFFFF"/>
        </w:pBdr>
      </w:pPr>
    </w:p>
    <w:p w14:paraId="5A5951B0" w14:textId="5DAE04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C0A2B">
        <w:t>The total operation and maintenance (</w:t>
      </w:r>
      <w:r w:rsidR="003F1AFC" w:rsidRPr="00FC0A2B">
        <w:t>O&amp;M) costs for this ICR are $</w:t>
      </w:r>
      <w:r w:rsidR="00FC0A2B" w:rsidRPr="00FC0A2B">
        <w:t>0</w:t>
      </w:r>
      <w:r w:rsidRPr="00FC0A2B">
        <w:t>.</w:t>
      </w:r>
      <w:r w:rsidR="009C7E97" w:rsidRPr="00FC0A2B">
        <w:t xml:space="preserve"> </w:t>
      </w:r>
      <w:r w:rsidR="00507EC5" w:rsidRPr="00FC0A2B">
        <w:t xml:space="preserve">This is the </w:t>
      </w:r>
      <w:r w:rsidR="00507EC5">
        <w:rPr>
          <w:color w:val="000000"/>
        </w:rPr>
        <w:t xml:space="preserve">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52EFD71B" w:rsidR="00CA4CD6" w:rsidRPr="00602CD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cost for capital/startup and operation and maintenance costs to industry over the next three years of the ICR is estimated to </w:t>
      </w:r>
      <w:r w:rsidRPr="00602CD6">
        <w:t>be $</w:t>
      </w:r>
      <w:r w:rsidR="00FC0A2B" w:rsidRPr="00602CD6">
        <w:t>0</w:t>
      </w:r>
      <w:r w:rsidRPr="00602CD6">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86008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9C433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61C16E6" w:rsidR="00CA4CD6" w:rsidRPr="007025D8" w:rsidRDefault="00CA4CD6">
      <w:pPr>
        <w:pBdr>
          <w:top w:val="single" w:sz="6" w:space="0" w:color="FFFFFF"/>
          <w:left w:val="single" w:sz="6" w:space="0" w:color="FFFFFF"/>
          <w:bottom w:val="single" w:sz="6" w:space="0" w:color="FFFFFF"/>
          <w:right w:val="single" w:sz="6" w:space="0" w:color="FFFFFF"/>
        </w:pBdr>
        <w:ind w:firstLine="720"/>
      </w:pPr>
      <w:r w:rsidRPr="007025D8">
        <w:t>The average annual Agency cost during the three years of the ICR is estimated to be $</w:t>
      </w:r>
      <w:r w:rsidR="005864DE" w:rsidRPr="007025D8">
        <w:t>3,990</w:t>
      </w:r>
      <w:r w:rsidRPr="007025D8">
        <w:t>.</w:t>
      </w:r>
      <w:r w:rsidR="009C7E97" w:rsidRPr="007025D8">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F3BAA2" w14:textId="7599F882" w:rsidR="00133215" w:rsidRDefault="00CA4CD6" w:rsidP="000C43F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Pr="00133215">
        <w:rPr>
          <w:color w:val="000000"/>
        </w:rPr>
        <w:t>)</w:t>
      </w:r>
      <w:r w:rsidR="007A458D" w:rsidRPr="00133215">
        <w:rPr>
          <w:color w:val="000000"/>
        </w:rPr>
        <w:t>,</w:t>
      </w:r>
      <w:r w:rsidRPr="00133215">
        <w:rPr>
          <w:color w:val="000000"/>
        </w:rPr>
        <w:t xml:space="preserve"> </w:t>
      </w:r>
      <w:r w:rsidR="00991AF7" w:rsidRPr="00133215">
        <w:rPr>
          <w:color w:val="000000"/>
        </w:rPr>
        <w:t>2019</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C4337">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bookmarkStart w:id="1" w:name="_Hlk5350075"/>
      <w:r w:rsidR="009C4337">
        <w:rPr>
          <w:color w:val="000000"/>
        </w:rPr>
        <w:t xml:space="preserve">below, </w:t>
      </w:r>
      <w:r w:rsidR="0095132C">
        <w:rPr>
          <w:color w:val="000000"/>
        </w:rPr>
        <w:t>at the end of this document</w:t>
      </w:r>
      <w:r w:rsidR="009C4337">
        <w:rPr>
          <w:color w:val="000000"/>
        </w:rPr>
        <w:t>,</w:t>
      </w:r>
      <w:r w:rsidR="0095132C">
        <w:rPr>
          <w:color w:val="000000"/>
        </w:rPr>
        <w:t xml:space="preserve"> </w:t>
      </w:r>
      <w:bookmarkEnd w:id="1"/>
      <w:r w:rsidR="007A458D">
        <w:rPr>
          <w:color w:val="000000"/>
        </w:rPr>
        <w:t xml:space="preserve">in </w:t>
      </w:r>
      <w:r>
        <w:rPr>
          <w:color w:val="000000"/>
        </w:rPr>
        <w:t xml:space="preserve">Table 2: </w:t>
      </w:r>
      <w:r w:rsidR="00CF2B37" w:rsidRPr="00CF2B37">
        <w:t>Average Annual EPA Burden and Cost –</w:t>
      </w:r>
      <w:r w:rsidR="00144F35">
        <w:rPr>
          <w:color w:val="000000"/>
        </w:rPr>
        <w:t xml:space="preserve"> </w:t>
      </w:r>
      <w:r w:rsidR="00133215">
        <w:t>NESHAP for Stationary Combustion Turbines (40 CFR Part 63, Subpart YYYY) (Renewal).</w:t>
      </w:r>
      <w:r w:rsidR="00133215" w:rsidDel="00BA59B1">
        <w:rPr>
          <w:color w:val="FF0000"/>
        </w:rPr>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40C91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372DE" w:rsidRPr="007025D8">
        <w:t>11</w:t>
      </w:r>
      <w:r w:rsidR="005864DE" w:rsidRPr="007025D8">
        <w:t>4</w:t>
      </w:r>
      <w:r>
        <w:rPr>
          <w:color w:val="000000"/>
        </w:rPr>
        <w:t xml:space="preserve"> existing respondents will be subject to the</w:t>
      </w:r>
      <w:r w:rsidR="009C4337">
        <w:rPr>
          <w:color w:val="000000"/>
        </w:rPr>
        <w:t>se</w:t>
      </w:r>
      <w:r>
        <w:rPr>
          <w:color w:val="000000"/>
        </w:rPr>
        <w:t xml:space="preserve"> standard</w:t>
      </w:r>
      <w:r w:rsidR="009C4337">
        <w:rPr>
          <w:color w:val="000000"/>
        </w:rPr>
        <w:t>s</w:t>
      </w:r>
      <w:r>
        <w:rPr>
          <w:color w:val="000000"/>
        </w:rPr>
        <w:t>.</w:t>
      </w:r>
      <w:r w:rsidR="009C7E97">
        <w:rPr>
          <w:color w:val="000000"/>
        </w:rPr>
        <w:t xml:space="preserve"> </w:t>
      </w:r>
      <w:r>
        <w:rPr>
          <w:color w:val="000000"/>
        </w:rPr>
        <w:t xml:space="preserve">It is estimated that an additional </w:t>
      </w:r>
      <w:r w:rsidR="005864DE" w:rsidRPr="007025D8">
        <w:t xml:space="preserve">8 </w:t>
      </w:r>
      <w:r>
        <w:rPr>
          <w:color w:val="000000"/>
        </w:rPr>
        <w:t>respondents per year will become subject</w:t>
      </w:r>
      <w:r w:rsidR="009C433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133215" w:rsidRPr="007025D8">
        <w:t>1</w:t>
      </w:r>
      <w:r w:rsidR="00B372DE" w:rsidRPr="007025D8">
        <w:t>22</w:t>
      </w:r>
      <w:r w:rsidR="00B372DE">
        <w:rPr>
          <w:color w:val="FF0000"/>
        </w:rPr>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E525D1" w14:textId="30A411D6" w:rsidR="00133215" w:rsidRDefault="00CA4CD6" w:rsidP="0013321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tbl>
      <w:tblPr>
        <w:tblW w:w="95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
        <w:gridCol w:w="1019"/>
        <w:gridCol w:w="1597"/>
        <w:gridCol w:w="1282"/>
        <w:gridCol w:w="2070"/>
        <w:gridCol w:w="1800"/>
        <w:gridCol w:w="1592"/>
        <w:gridCol w:w="118"/>
      </w:tblGrid>
      <w:tr w:rsidR="00133215" w14:paraId="62F17D06" w14:textId="77777777" w:rsidTr="000C43F4">
        <w:trPr>
          <w:tblHeader/>
        </w:trPr>
        <w:tc>
          <w:tcPr>
            <w:tcW w:w="9568" w:type="dxa"/>
            <w:gridSpan w:val="8"/>
          </w:tcPr>
          <w:p w14:paraId="6BF9E381" w14:textId="77777777" w:rsidR="00133215" w:rsidRDefault="00133215" w:rsidP="00133215">
            <w:pPr>
              <w:keepNext/>
              <w:keepLines/>
              <w:spacing w:line="120" w:lineRule="exact"/>
              <w:rPr>
                <w:color w:val="000000"/>
              </w:rPr>
            </w:pPr>
          </w:p>
          <w:p w14:paraId="6C99CA44"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133215" w14:paraId="44EC7AEF" w14:textId="77777777" w:rsidTr="000C43F4">
        <w:tc>
          <w:tcPr>
            <w:tcW w:w="1109" w:type="dxa"/>
            <w:gridSpan w:val="2"/>
          </w:tcPr>
          <w:p w14:paraId="655645CA" w14:textId="77777777" w:rsidR="00133215" w:rsidRDefault="00133215" w:rsidP="00133215">
            <w:pPr>
              <w:keepNext/>
              <w:keepLines/>
              <w:spacing w:line="120" w:lineRule="exact"/>
              <w:rPr>
                <w:b/>
                <w:bCs/>
                <w:color w:val="000000"/>
              </w:rPr>
            </w:pPr>
          </w:p>
          <w:p w14:paraId="39C044D4"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Pr>
          <w:p w14:paraId="201D48D1" w14:textId="77777777" w:rsidR="00133215" w:rsidRDefault="00133215" w:rsidP="00133215">
            <w:pPr>
              <w:keepNext/>
              <w:keepLines/>
              <w:spacing w:line="120" w:lineRule="exact"/>
              <w:rPr>
                <w:color w:val="000000"/>
                <w:sz w:val="18"/>
                <w:szCs w:val="18"/>
              </w:rPr>
            </w:pPr>
          </w:p>
          <w:p w14:paraId="1E7F3E90"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8FDC7A" w14:textId="77777777" w:rsidR="00133215" w:rsidRDefault="00133215" w:rsidP="00133215">
            <w:pPr>
              <w:keepNext/>
              <w:keepLines/>
              <w:spacing w:line="120" w:lineRule="exact"/>
              <w:rPr>
                <w:color w:val="000000"/>
                <w:sz w:val="18"/>
                <w:szCs w:val="18"/>
              </w:rPr>
            </w:pPr>
          </w:p>
          <w:p w14:paraId="3409F6B5"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3"/>
          </w:tcPr>
          <w:p w14:paraId="7D4A550B" w14:textId="77777777" w:rsidR="00133215" w:rsidRDefault="00133215" w:rsidP="00133215">
            <w:pPr>
              <w:keepNext/>
              <w:keepLines/>
              <w:spacing w:line="120" w:lineRule="exact"/>
              <w:rPr>
                <w:color w:val="000000"/>
                <w:sz w:val="18"/>
                <w:szCs w:val="18"/>
              </w:rPr>
            </w:pPr>
          </w:p>
          <w:p w14:paraId="27AD784A"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133215" w14:paraId="1C1A7362" w14:textId="77777777" w:rsidTr="000C43F4">
        <w:tc>
          <w:tcPr>
            <w:tcW w:w="1109" w:type="dxa"/>
            <w:gridSpan w:val="2"/>
          </w:tcPr>
          <w:p w14:paraId="3F350AAD" w14:textId="77777777" w:rsidR="00133215" w:rsidRDefault="00133215" w:rsidP="00133215">
            <w:pPr>
              <w:keepNext/>
              <w:keepLines/>
              <w:spacing w:line="120" w:lineRule="exact"/>
              <w:rPr>
                <w:color w:val="000000"/>
                <w:sz w:val="18"/>
                <w:szCs w:val="18"/>
              </w:rPr>
            </w:pPr>
          </w:p>
          <w:p w14:paraId="70E75F3E"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773DC9E7"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187790D7" w14:textId="77777777" w:rsidR="00133215" w:rsidRDefault="00133215" w:rsidP="00133215">
            <w:pPr>
              <w:keepNext/>
              <w:keepLines/>
              <w:spacing w:line="120" w:lineRule="exact"/>
              <w:rPr>
                <w:color w:val="000000"/>
                <w:sz w:val="20"/>
                <w:szCs w:val="20"/>
              </w:rPr>
            </w:pPr>
          </w:p>
          <w:p w14:paraId="3DFC4D90"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33875C4"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a</w:t>
            </w:r>
          </w:p>
        </w:tc>
        <w:tc>
          <w:tcPr>
            <w:tcW w:w="1282" w:type="dxa"/>
          </w:tcPr>
          <w:p w14:paraId="780A9B9E" w14:textId="77777777" w:rsidR="00133215" w:rsidRDefault="00133215" w:rsidP="00133215">
            <w:pPr>
              <w:keepNext/>
              <w:keepLines/>
              <w:spacing w:line="120" w:lineRule="exact"/>
              <w:rPr>
                <w:color w:val="000000"/>
                <w:sz w:val="20"/>
                <w:szCs w:val="20"/>
              </w:rPr>
            </w:pPr>
          </w:p>
          <w:p w14:paraId="4A00FE2D"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323CEE7"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Pr>
          <w:p w14:paraId="2FC5437E" w14:textId="77777777" w:rsidR="00133215" w:rsidRDefault="00133215" w:rsidP="00133215">
            <w:pPr>
              <w:keepNext/>
              <w:keepLines/>
              <w:spacing w:line="120" w:lineRule="exact"/>
              <w:rPr>
                <w:color w:val="000000"/>
                <w:sz w:val="20"/>
                <w:szCs w:val="20"/>
              </w:rPr>
            </w:pPr>
          </w:p>
          <w:p w14:paraId="3DBB0EDE"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4C36292C"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Existing Respondents that keep records but do not submit reports </w:t>
            </w:r>
            <w:r w:rsidRPr="008F1930">
              <w:rPr>
                <w:color w:val="000000"/>
                <w:sz w:val="20"/>
                <w:szCs w:val="20"/>
                <w:vertAlign w:val="superscript"/>
              </w:rPr>
              <w:t>b</w:t>
            </w:r>
          </w:p>
        </w:tc>
        <w:tc>
          <w:tcPr>
            <w:tcW w:w="1800" w:type="dxa"/>
          </w:tcPr>
          <w:p w14:paraId="54D6649C" w14:textId="77777777" w:rsidR="00133215" w:rsidRDefault="00133215" w:rsidP="00133215">
            <w:pPr>
              <w:keepNext/>
              <w:keepLines/>
              <w:spacing w:line="120" w:lineRule="exact"/>
              <w:rPr>
                <w:color w:val="000000"/>
                <w:sz w:val="20"/>
                <w:szCs w:val="20"/>
              </w:rPr>
            </w:pPr>
          </w:p>
          <w:p w14:paraId="3FDE9687"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9419B6C"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gridSpan w:val="2"/>
          </w:tcPr>
          <w:p w14:paraId="44F46B08" w14:textId="77777777" w:rsidR="00133215" w:rsidRDefault="00133215" w:rsidP="00133215">
            <w:pPr>
              <w:keepNext/>
              <w:keepLines/>
              <w:spacing w:line="120" w:lineRule="exact"/>
              <w:rPr>
                <w:color w:val="000000"/>
                <w:sz w:val="20"/>
                <w:szCs w:val="20"/>
              </w:rPr>
            </w:pPr>
          </w:p>
          <w:p w14:paraId="6FBAE1DA"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F776121"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51D60F6C"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33215" w14:paraId="6D7F0379" w14:textId="77777777" w:rsidTr="000C43F4">
        <w:tc>
          <w:tcPr>
            <w:tcW w:w="9568" w:type="dxa"/>
            <w:gridSpan w:val="8"/>
            <w:vAlign w:val="center"/>
          </w:tcPr>
          <w:p w14:paraId="3DC94594"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i/>
                <w:iCs/>
                <w:color w:val="000000"/>
                <w:sz w:val="20"/>
                <w:szCs w:val="20"/>
              </w:rPr>
              <w:t>Gas-Fired Stationary Combustion Turbine Subcategories</w:t>
            </w:r>
          </w:p>
        </w:tc>
      </w:tr>
      <w:tr w:rsidR="00133215" w14:paraId="7F308ACD" w14:textId="77777777" w:rsidTr="000C43F4">
        <w:tc>
          <w:tcPr>
            <w:tcW w:w="1109" w:type="dxa"/>
            <w:gridSpan w:val="2"/>
            <w:vAlign w:val="center"/>
          </w:tcPr>
          <w:p w14:paraId="3CB52873"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597" w:type="dxa"/>
            <w:vAlign w:val="center"/>
          </w:tcPr>
          <w:p w14:paraId="0CDDA869" w14:textId="3CE4D063" w:rsidR="00133215" w:rsidRDefault="00602CD6"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c>
          <w:tcPr>
            <w:tcW w:w="1282" w:type="dxa"/>
            <w:vAlign w:val="center"/>
          </w:tcPr>
          <w:p w14:paraId="2E927573"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3B0842F" w14:textId="161281A0"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101</w:t>
            </w:r>
          </w:p>
        </w:tc>
        <w:tc>
          <w:tcPr>
            <w:tcW w:w="1800" w:type="dxa"/>
            <w:vAlign w:val="center"/>
          </w:tcPr>
          <w:p w14:paraId="65CBDCE2"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58E5B3D3" w14:textId="3651F2DF"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109</w:t>
            </w:r>
          </w:p>
        </w:tc>
      </w:tr>
      <w:tr w:rsidR="00133215" w14:paraId="3BE7C70A" w14:textId="77777777" w:rsidTr="000C43F4">
        <w:tc>
          <w:tcPr>
            <w:tcW w:w="1109" w:type="dxa"/>
            <w:gridSpan w:val="2"/>
            <w:vAlign w:val="center"/>
          </w:tcPr>
          <w:p w14:paraId="0449E2EC"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597" w:type="dxa"/>
            <w:vAlign w:val="center"/>
          </w:tcPr>
          <w:p w14:paraId="2193225F" w14:textId="7A1B99A8" w:rsidR="00133215" w:rsidRDefault="00602CD6"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c>
          <w:tcPr>
            <w:tcW w:w="1282" w:type="dxa"/>
            <w:vAlign w:val="center"/>
          </w:tcPr>
          <w:p w14:paraId="249A578D"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01D892C" w14:textId="0892A523"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109</w:t>
            </w:r>
          </w:p>
        </w:tc>
        <w:tc>
          <w:tcPr>
            <w:tcW w:w="1800" w:type="dxa"/>
            <w:vAlign w:val="center"/>
          </w:tcPr>
          <w:p w14:paraId="18244BBB"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437A0A3E" w14:textId="60C73288"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117</w:t>
            </w:r>
          </w:p>
        </w:tc>
      </w:tr>
      <w:tr w:rsidR="00133215" w14:paraId="01373A59" w14:textId="77777777" w:rsidTr="000C43F4">
        <w:tc>
          <w:tcPr>
            <w:tcW w:w="1109" w:type="dxa"/>
            <w:gridSpan w:val="2"/>
            <w:vAlign w:val="center"/>
          </w:tcPr>
          <w:p w14:paraId="45CB8E4B"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597" w:type="dxa"/>
            <w:vAlign w:val="center"/>
          </w:tcPr>
          <w:p w14:paraId="2D1EADE9" w14:textId="0767FEF6" w:rsidR="00133215" w:rsidRDefault="00602CD6"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c>
          <w:tcPr>
            <w:tcW w:w="1282" w:type="dxa"/>
            <w:vAlign w:val="center"/>
          </w:tcPr>
          <w:p w14:paraId="0D02953F"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37243DF2" w14:textId="373E8A15"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117</w:t>
            </w:r>
          </w:p>
        </w:tc>
        <w:tc>
          <w:tcPr>
            <w:tcW w:w="1800" w:type="dxa"/>
            <w:vAlign w:val="center"/>
          </w:tcPr>
          <w:p w14:paraId="04693F44"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54ACB8B7" w14:textId="2CC317B1"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125</w:t>
            </w:r>
          </w:p>
        </w:tc>
      </w:tr>
      <w:tr w:rsidR="00133215" w14:paraId="5FD850D4" w14:textId="77777777" w:rsidTr="000C43F4">
        <w:tc>
          <w:tcPr>
            <w:tcW w:w="1109" w:type="dxa"/>
            <w:gridSpan w:val="2"/>
            <w:vAlign w:val="center"/>
          </w:tcPr>
          <w:p w14:paraId="3EC61118"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Average</w:t>
            </w:r>
          </w:p>
        </w:tc>
        <w:tc>
          <w:tcPr>
            <w:tcW w:w="1597" w:type="dxa"/>
            <w:vAlign w:val="center"/>
          </w:tcPr>
          <w:p w14:paraId="4F8A985D" w14:textId="712B0918" w:rsidR="00133215" w:rsidRDefault="00602CD6"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8</w:t>
            </w:r>
          </w:p>
        </w:tc>
        <w:tc>
          <w:tcPr>
            <w:tcW w:w="1282" w:type="dxa"/>
            <w:vAlign w:val="center"/>
          </w:tcPr>
          <w:p w14:paraId="13041A81"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2070" w:type="dxa"/>
            <w:vAlign w:val="center"/>
          </w:tcPr>
          <w:p w14:paraId="1F797DDD" w14:textId="75E2E4F2"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109</w:t>
            </w:r>
          </w:p>
        </w:tc>
        <w:tc>
          <w:tcPr>
            <w:tcW w:w="1800" w:type="dxa"/>
            <w:vAlign w:val="center"/>
          </w:tcPr>
          <w:p w14:paraId="12DE4734"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710" w:type="dxa"/>
            <w:gridSpan w:val="2"/>
            <w:vAlign w:val="center"/>
          </w:tcPr>
          <w:p w14:paraId="745E470A" w14:textId="097B4509"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117</w:t>
            </w:r>
          </w:p>
        </w:tc>
      </w:tr>
      <w:tr w:rsidR="00133215" w14:paraId="3F954405" w14:textId="77777777" w:rsidTr="000C43F4">
        <w:tc>
          <w:tcPr>
            <w:tcW w:w="9568" w:type="dxa"/>
            <w:gridSpan w:val="8"/>
            <w:vAlign w:val="center"/>
          </w:tcPr>
          <w:p w14:paraId="08A1BB26"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i/>
                <w:iCs/>
                <w:color w:val="000000"/>
                <w:sz w:val="20"/>
                <w:szCs w:val="20"/>
              </w:rPr>
              <w:t>Landfill/Digester Gas-Fired Stationary Combustion Turbine Subcategory</w:t>
            </w:r>
          </w:p>
        </w:tc>
      </w:tr>
      <w:tr w:rsidR="00133215" w14:paraId="31EB9ADF" w14:textId="77777777" w:rsidTr="000C43F4">
        <w:tc>
          <w:tcPr>
            <w:tcW w:w="1109" w:type="dxa"/>
            <w:gridSpan w:val="2"/>
            <w:vAlign w:val="center"/>
          </w:tcPr>
          <w:p w14:paraId="5C5F5BE4"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597" w:type="dxa"/>
            <w:vAlign w:val="center"/>
          </w:tcPr>
          <w:p w14:paraId="51551F21" w14:textId="7284088A"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vAlign w:val="center"/>
          </w:tcPr>
          <w:p w14:paraId="49982501" w14:textId="06FA8DDA"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2070" w:type="dxa"/>
            <w:vAlign w:val="center"/>
          </w:tcPr>
          <w:p w14:paraId="6CD08668"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vAlign w:val="center"/>
          </w:tcPr>
          <w:p w14:paraId="16C124F7"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0AB3E1D7" w14:textId="4754F789"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r>
      <w:tr w:rsidR="00133215" w14:paraId="2A965FB4" w14:textId="77777777" w:rsidTr="000C43F4">
        <w:tc>
          <w:tcPr>
            <w:tcW w:w="1109" w:type="dxa"/>
            <w:gridSpan w:val="2"/>
            <w:vAlign w:val="center"/>
          </w:tcPr>
          <w:p w14:paraId="36A12578"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597" w:type="dxa"/>
            <w:vAlign w:val="center"/>
          </w:tcPr>
          <w:p w14:paraId="5F2738DF" w14:textId="51D8F1B2"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vAlign w:val="center"/>
          </w:tcPr>
          <w:p w14:paraId="7EBD9967" w14:textId="5BF7AF38"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2070" w:type="dxa"/>
            <w:vAlign w:val="center"/>
          </w:tcPr>
          <w:p w14:paraId="4AB2EED1"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vAlign w:val="center"/>
          </w:tcPr>
          <w:p w14:paraId="4D809F11"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5A633288" w14:textId="488BE6B4"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r>
      <w:tr w:rsidR="00133215" w14:paraId="457CF044" w14:textId="77777777" w:rsidTr="000C43F4">
        <w:tc>
          <w:tcPr>
            <w:tcW w:w="1109" w:type="dxa"/>
            <w:gridSpan w:val="2"/>
            <w:vAlign w:val="center"/>
          </w:tcPr>
          <w:p w14:paraId="65E23D20"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597" w:type="dxa"/>
            <w:vAlign w:val="center"/>
          </w:tcPr>
          <w:p w14:paraId="334FF26E" w14:textId="132EE734"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vAlign w:val="center"/>
          </w:tcPr>
          <w:p w14:paraId="1D143ED4" w14:textId="0023F88C"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2070" w:type="dxa"/>
            <w:vAlign w:val="center"/>
          </w:tcPr>
          <w:p w14:paraId="2CBB0ED4"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vAlign w:val="center"/>
          </w:tcPr>
          <w:p w14:paraId="1F349D41"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40818FF8" w14:textId="1704092A"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r>
      <w:tr w:rsidR="00133215" w14:paraId="437111DB" w14:textId="77777777" w:rsidTr="000C43F4">
        <w:tc>
          <w:tcPr>
            <w:tcW w:w="1109" w:type="dxa"/>
            <w:gridSpan w:val="2"/>
            <w:vAlign w:val="center"/>
          </w:tcPr>
          <w:p w14:paraId="651A2C01"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Average</w:t>
            </w:r>
          </w:p>
        </w:tc>
        <w:tc>
          <w:tcPr>
            <w:tcW w:w="1597" w:type="dxa"/>
            <w:vAlign w:val="center"/>
          </w:tcPr>
          <w:p w14:paraId="38171142" w14:textId="0409BF0F"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282" w:type="dxa"/>
            <w:vAlign w:val="center"/>
          </w:tcPr>
          <w:p w14:paraId="67FDE438" w14:textId="26211E35"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3</w:t>
            </w:r>
          </w:p>
        </w:tc>
        <w:tc>
          <w:tcPr>
            <w:tcW w:w="2070" w:type="dxa"/>
            <w:vAlign w:val="center"/>
          </w:tcPr>
          <w:p w14:paraId="122930FB"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800" w:type="dxa"/>
            <w:vAlign w:val="center"/>
          </w:tcPr>
          <w:p w14:paraId="5148D198"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710" w:type="dxa"/>
            <w:gridSpan w:val="2"/>
            <w:vAlign w:val="center"/>
          </w:tcPr>
          <w:p w14:paraId="719D87D6" w14:textId="5796B267"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3</w:t>
            </w:r>
          </w:p>
        </w:tc>
      </w:tr>
      <w:tr w:rsidR="00133215" w14:paraId="5DDE98EF" w14:textId="77777777" w:rsidTr="000C43F4">
        <w:tc>
          <w:tcPr>
            <w:tcW w:w="9568" w:type="dxa"/>
            <w:gridSpan w:val="8"/>
            <w:vAlign w:val="center"/>
          </w:tcPr>
          <w:p w14:paraId="63C6D4CD"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i/>
                <w:iCs/>
                <w:color w:val="000000"/>
                <w:sz w:val="20"/>
                <w:szCs w:val="20"/>
              </w:rPr>
              <w:t>Oil-Fired Stationary Combustion Turbine Subcategories</w:t>
            </w:r>
          </w:p>
        </w:tc>
      </w:tr>
      <w:tr w:rsidR="00133215" w14:paraId="78B9D646" w14:textId="77777777" w:rsidTr="000C43F4">
        <w:tc>
          <w:tcPr>
            <w:tcW w:w="1109" w:type="dxa"/>
            <w:gridSpan w:val="2"/>
            <w:vAlign w:val="center"/>
          </w:tcPr>
          <w:p w14:paraId="3F9DE835"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597" w:type="dxa"/>
            <w:vAlign w:val="center"/>
          </w:tcPr>
          <w:p w14:paraId="27E21BDD" w14:textId="6FCFB610"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vAlign w:val="center"/>
          </w:tcPr>
          <w:p w14:paraId="2853A243" w14:textId="6CE8603F"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2070" w:type="dxa"/>
            <w:vAlign w:val="center"/>
          </w:tcPr>
          <w:p w14:paraId="2B84A7ED"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vAlign w:val="center"/>
          </w:tcPr>
          <w:p w14:paraId="1B2B02CC"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5C16FB76" w14:textId="0960DA67"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133215" w14:paraId="086BA296" w14:textId="77777777" w:rsidTr="000C43F4">
        <w:tc>
          <w:tcPr>
            <w:tcW w:w="1109" w:type="dxa"/>
            <w:gridSpan w:val="2"/>
            <w:vAlign w:val="center"/>
          </w:tcPr>
          <w:p w14:paraId="0C5E37AA"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597" w:type="dxa"/>
            <w:vAlign w:val="center"/>
          </w:tcPr>
          <w:p w14:paraId="158A2E88" w14:textId="7AD7637E"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vAlign w:val="center"/>
          </w:tcPr>
          <w:p w14:paraId="7127CC9A" w14:textId="38840BD6"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2070" w:type="dxa"/>
            <w:vAlign w:val="center"/>
          </w:tcPr>
          <w:p w14:paraId="1EE12ECD"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vAlign w:val="center"/>
          </w:tcPr>
          <w:p w14:paraId="3FCD35E1"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3E98D68D" w14:textId="48157B1D"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133215" w14:paraId="6A83A6C9" w14:textId="77777777" w:rsidTr="000C43F4">
        <w:tc>
          <w:tcPr>
            <w:tcW w:w="1109" w:type="dxa"/>
            <w:gridSpan w:val="2"/>
            <w:vAlign w:val="center"/>
          </w:tcPr>
          <w:p w14:paraId="24491349"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597" w:type="dxa"/>
            <w:vAlign w:val="center"/>
          </w:tcPr>
          <w:p w14:paraId="2275933D" w14:textId="105D596E"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vAlign w:val="center"/>
          </w:tcPr>
          <w:p w14:paraId="139E5C16" w14:textId="009E6B5E"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2070" w:type="dxa"/>
            <w:vAlign w:val="center"/>
          </w:tcPr>
          <w:p w14:paraId="3D3F7210"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vAlign w:val="center"/>
          </w:tcPr>
          <w:p w14:paraId="4607A0E3"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vAlign w:val="center"/>
          </w:tcPr>
          <w:p w14:paraId="2DB3EC79" w14:textId="66C7EA48"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133215" w14:paraId="3F8FDF99" w14:textId="77777777" w:rsidTr="000C43F4">
        <w:tc>
          <w:tcPr>
            <w:tcW w:w="1109" w:type="dxa"/>
            <w:gridSpan w:val="2"/>
            <w:vAlign w:val="center"/>
          </w:tcPr>
          <w:p w14:paraId="57A25C23"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Average</w:t>
            </w:r>
          </w:p>
        </w:tc>
        <w:tc>
          <w:tcPr>
            <w:tcW w:w="1597" w:type="dxa"/>
            <w:vAlign w:val="center"/>
          </w:tcPr>
          <w:p w14:paraId="0AB592DE" w14:textId="1DC03B28"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282" w:type="dxa"/>
            <w:vAlign w:val="center"/>
          </w:tcPr>
          <w:p w14:paraId="72D0148E" w14:textId="7FBF9D11"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2</w:t>
            </w:r>
          </w:p>
        </w:tc>
        <w:tc>
          <w:tcPr>
            <w:tcW w:w="2070" w:type="dxa"/>
            <w:vAlign w:val="center"/>
          </w:tcPr>
          <w:p w14:paraId="33B1777C"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800" w:type="dxa"/>
            <w:vAlign w:val="center"/>
          </w:tcPr>
          <w:p w14:paraId="3A41991A"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710" w:type="dxa"/>
            <w:gridSpan w:val="2"/>
            <w:vAlign w:val="center"/>
          </w:tcPr>
          <w:p w14:paraId="019B581C" w14:textId="77E73DC0" w:rsidR="00133215" w:rsidRPr="00B372DE" w:rsidRDefault="006A7B17" w:rsidP="00133215">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372DE">
              <w:rPr>
                <w:b/>
                <w:bCs/>
                <w:sz w:val="20"/>
                <w:szCs w:val="20"/>
              </w:rPr>
              <w:t>2</w:t>
            </w:r>
          </w:p>
        </w:tc>
      </w:tr>
      <w:tr w:rsidR="00133215" w14:paraId="43D922B6" w14:textId="77777777" w:rsidTr="000C43F4">
        <w:tc>
          <w:tcPr>
            <w:tcW w:w="1109" w:type="dxa"/>
            <w:gridSpan w:val="2"/>
            <w:vAlign w:val="center"/>
          </w:tcPr>
          <w:p w14:paraId="0D81B79E"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w:t>
            </w:r>
          </w:p>
        </w:tc>
        <w:tc>
          <w:tcPr>
            <w:tcW w:w="1597" w:type="dxa"/>
            <w:vAlign w:val="center"/>
          </w:tcPr>
          <w:p w14:paraId="446DEED5" w14:textId="044DF511"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8</w:t>
            </w:r>
          </w:p>
        </w:tc>
        <w:tc>
          <w:tcPr>
            <w:tcW w:w="1282" w:type="dxa"/>
            <w:vAlign w:val="center"/>
          </w:tcPr>
          <w:p w14:paraId="48703154" w14:textId="1C678160"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5</w:t>
            </w:r>
          </w:p>
        </w:tc>
        <w:tc>
          <w:tcPr>
            <w:tcW w:w="2070" w:type="dxa"/>
            <w:vAlign w:val="center"/>
          </w:tcPr>
          <w:p w14:paraId="13213617" w14:textId="7955100A" w:rsidR="00133215" w:rsidRDefault="006A7B17"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109</w:t>
            </w:r>
          </w:p>
        </w:tc>
        <w:tc>
          <w:tcPr>
            <w:tcW w:w="1800" w:type="dxa"/>
            <w:vAlign w:val="center"/>
          </w:tcPr>
          <w:p w14:paraId="7C24CA46" w14:textId="77777777" w:rsidR="00133215" w:rsidRDefault="00133215" w:rsidP="001332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710" w:type="dxa"/>
            <w:gridSpan w:val="2"/>
            <w:vAlign w:val="center"/>
          </w:tcPr>
          <w:p w14:paraId="2A70C8EE" w14:textId="5D9C908F" w:rsidR="00133215" w:rsidRPr="00B372DE" w:rsidRDefault="00133215" w:rsidP="00133215">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372DE">
              <w:rPr>
                <w:b/>
                <w:bCs/>
                <w:sz w:val="20"/>
                <w:szCs w:val="20"/>
              </w:rPr>
              <w:t>1</w:t>
            </w:r>
            <w:r w:rsidR="006A7B17" w:rsidRPr="00B372DE">
              <w:rPr>
                <w:b/>
                <w:bCs/>
                <w:sz w:val="20"/>
                <w:szCs w:val="20"/>
              </w:rPr>
              <w:t>22</w:t>
            </w:r>
          </w:p>
        </w:tc>
      </w:tr>
      <w:tr w:rsidR="00133215" w:rsidRPr="005E0CBB" w14:paraId="5C4B3C53" w14:textId="77777777" w:rsidTr="000C43F4">
        <w:tblPrEx>
          <w:tblCellMar>
            <w:left w:w="108" w:type="dxa"/>
            <w:right w:w="108" w:type="dxa"/>
          </w:tblCellMar>
          <w:tblLook w:val="04A0" w:firstRow="1" w:lastRow="0" w:firstColumn="1" w:lastColumn="0" w:noHBand="0" w:noVBand="1"/>
        </w:tblPrEx>
        <w:trPr>
          <w:gridBefore w:val="1"/>
          <w:gridAfter w:val="1"/>
          <w:wBefore w:w="90" w:type="dxa"/>
          <w:wAfter w:w="118" w:type="dxa"/>
          <w:trHeight w:val="375"/>
        </w:trPr>
        <w:tc>
          <w:tcPr>
            <w:tcW w:w="9360" w:type="dxa"/>
            <w:gridSpan w:val="6"/>
            <w:tcBorders>
              <w:top w:val="nil"/>
              <w:left w:val="nil"/>
              <w:bottom w:val="nil"/>
              <w:right w:val="nil"/>
            </w:tcBorders>
            <w:shd w:val="clear" w:color="auto" w:fill="auto"/>
            <w:noWrap/>
            <w:vAlign w:val="center"/>
            <w:hideMark/>
          </w:tcPr>
          <w:p w14:paraId="7C156832" w14:textId="77777777" w:rsidR="00133215" w:rsidRPr="005E0CBB" w:rsidRDefault="00133215" w:rsidP="00133215">
            <w:pPr>
              <w:keepNext/>
              <w:keepLines/>
              <w:widowControl/>
              <w:autoSpaceDE/>
              <w:autoSpaceDN/>
              <w:adjustRightInd/>
              <w:rPr>
                <w:color w:val="000000"/>
              </w:rPr>
            </w:pPr>
            <w:r w:rsidRPr="005E0CBB">
              <w:rPr>
                <w:color w:val="000000"/>
                <w:vertAlign w:val="superscript"/>
              </w:rPr>
              <w:t>a</w:t>
            </w:r>
            <w:r w:rsidRPr="005E0CBB">
              <w:rPr>
                <w:color w:val="000000"/>
              </w:rPr>
              <w:t xml:space="preserve"> </w:t>
            </w:r>
            <w:r w:rsidRPr="005E0CBB">
              <w:rPr>
                <w:color w:val="000000"/>
                <w:sz w:val="20"/>
                <w:szCs w:val="20"/>
              </w:rPr>
              <w:t>New respondents include sources with affected facilities constructed or reconstructed after January 14, 2003.</w:t>
            </w:r>
          </w:p>
        </w:tc>
      </w:tr>
      <w:tr w:rsidR="00133215" w:rsidRPr="005E0CBB" w14:paraId="7D2BA532" w14:textId="77777777" w:rsidTr="000C43F4">
        <w:tblPrEx>
          <w:tblCellMar>
            <w:left w:w="108" w:type="dxa"/>
            <w:right w:w="108" w:type="dxa"/>
          </w:tblCellMar>
          <w:tblLook w:val="04A0" w:firstRow="1" w:lastRow="0" w:firstColumn="1" w:lastColumn="0" w:noHBand="0" w:noVBand="1"/>
        </w:tblPrEx>
        <w:trPr>
          <w:gridBefore w:val="1"/>
          <w:gridAfter w:val="1"/>
          <w:wBefore w:w="90" w:type="dxa"/>
          <w:wAfter w:w="118" w:type="dxa"/>
          <w:trHeight w:val="315"/>
        </w:trPr>
        <w:tc>
          <w:tcPr>
            <w:tcW w:w="9360" w:type="dxa"/>
            <w:gridSpan w:val="6"/>
            <w:tcBorders>
              <w:top w:val="nil"/>
              <w:left w:val="nil"/>
              <w:bottom w:val="nil"/>
              <w:right w:val="nil"/>
            </w:tcBorders>
            <w:shd w:val="clear" w:color="auto" w:fill="auto"/>
            <w:noWrap/>
            <w:vAlign w:val="center"/>
            <w:hideMark/>
          </w:tcPr>
          <w:p w14:paraId="4D562739" w14:textId="77777777" w:rsidR="00133215" w:rsidRPr="005E0CBB" w:rsidRDefault="00133215" w:rsidP="00133215">
            <w:pPr>
              <w:keepNext/>
              <w:keepLines/>
              <w:widowControl/>
              <w:autoSpaceDE/>
              <w:autoSpaceDN/>
              <w:adjustRightInd/>
              <w:rPr>
                <w:color w:val="000000"/>
                <w:sz w:val="20"/>
                <w:szCs w:val="20"/>
              </w:rPr>
            </w:pPr>
            <w:r w:rsidRPr="005E0CBB">
              <w:rPr>
                <w:color w:val="000000"/>
                <w:sz w:val="20"/>
                <w:szCs w:val="20"/>
                <w:vertAlign w:val="superscript"/>
              </w:rPr>
              <w:t>b</w:t>
            </w:r>
            <w:r w:rsidRPr="005E0CBB">
              <w:rPr>
                <w:color w:val="000000"/>
              </w:rPr>
              <w:t xml:space="preserve"> </w:t>
            </w:r>
            <w:r w:rsidRPr="005E0CBB">
              <w:rPr>
                <w:color w:val="000000"/>
                <w:sz w:val="20"/>
                <w:szCs w:val="20"/>
              </w:rPr>
              <w:t>Due to the ongoing stay of the NESHAP, existing gas-fired sources that have previously submitted initial notifications are not subject to any additional monitoring or reporting requirements. For this reason, we have accounted for them in Column C.</w:t>
            </w:r>
          </w:p>
        </w:tc>
      </w:tr>
    </w:tbl>
    <w:p w14:paraId="316ADF00" w14:textId="77777777" w:rsidR="00133215" w:rsidRDefault="00133215">
      <w:pPr>
        <w:pBdr>
          <w:top w:val="single" w:sz="6" w:space="0" w:color="FFFFFF"/>
          <w:left w:val="single" w:sz="6" w:space="0" w:color="FFFFFF"/>
          <w:bottom w:val="single" w:sz="6" w:space="0" w:color="FFFFFF"/>
          <w:right w:val="single" w:sz="6" w:space="0" w:color="FFFFFF"/>
        </w:pBdr>
        <w:ind w:firstLine="5760"/>
        <w:rPr>
          <w:color w:val="000000"/>
        </w:rPr>
      </w:pPr>
    </w:p>
    <w:p w14:paraId="20B94E50" w14:textId="3C0712C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133215" w:rsidRPr="007025D8">
        <w:t>1</w:t>
      </w:r>
      <w:r w:rsidR="006A7B17" w:rsidRPr="007025D8">
        <w:t>22</w:t>
      </w:r>
      <w:r w:rsidR="00507EC5">
        <w:rPr>
          <w:color w:val="000000"/>
        </w:rPr>
        <w:t xml:space="preserve">. </w:t>
      </w:r>
    </w:p>
    <w:p w14:paraId="6343745F" w14:textId="77777777" w:rsidR="00CA4CD6" w:rsidRDefault="00CA4CD6" w:rsidP="00DB22A5">
      <w:pPr>
        <w:pBdr>
          <w:top w:val="single" w:sz="6" w:space="0" w:color="FFFFFF"/>
          <w:left w:val="single" w:sz="6" w:space="0" w:color="FFFFFF"/>
          <w:bottom w:val="single" w:sz="6" w:space="0" w:color="FFFFFF"/>
          <w:right w:val="single" w:sz="6" w:space="0" w:color="FFFFFF"/>
        </w:pBdr>
        <w:rPr>
          <w:color w:val="000000"/>
        </w:rPr>
      </w:pPr>
    </w:p>
    <w:p w14:paraId="15A4F12A" w14:textId="7FDA3738" w:rsidR="004B163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w:t>
      </w:r>
      <w:r w:rsidRPr="00B372DE">
        <w:t xml:space="preserve">number of annual responses per year is calculated using the following table: </w:t>
      </w:r>
    </w:p>
    <w:p w14:paraId="5898A14B" w14:textId="77777777" w:rsidR="004B1634" w:rsidRPr="00B372DE" w:rsidRDefault="004B1634">
      <w:pPr>
        <w:pBdr>
          <w:top w:val="single" w:sz="6" w:space="0" w:color="FFFFFF"/>
          <w:left w:val="single" w:sz="6" w:space="0" w:color="FFFFFF"/>
          <w:bottom w:val="single" w:sz="6" w:space="0" w:color="FFFFFF"/>
          <w:right w:val="single" w:sz="6" w:space="0" w:color="FFFFFF"/>
        </w:pBdr>
        <w:ind w:firstLine="720"/>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DB22A5" w14:paraId="26AF28DB" w14:textId="77777777" w:rsidTr="001405D8">
        <w:trPr>
          <w:tblHeader/>
        </w:trPr>
        <w:tc>
          <w:tcPr>
            <w:tcW w:w="9180" w:type="dxa"/>
            <w:gridSpan w:val="5"/>
          </w:tcPr>
          <w:p w14:paraId="5E55FBDE" w14:textId="77777777" w:rsidR="00DB22A5" w:rsidRDefault="00DB22A5" w:rsidP="001405D8">
            <w:pPr>
              <w:spacing w:line="120" w:lineRule="exact"/>
              <w:rPr>
                <w:color w:val="000000"/>
              </w:rPr>
            </w:pPr>
          </w:p>
          <w:p w14:paraId="23AC5E6C" w14:textId="77777777" w:rsidR="00DB22A5" w:rsidRDefault="00DB22A5" w:rsidP="001405D8">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DB22A5" w14:paraId="17AF1FA5" w14:textId="77777777" w:rsidTr="001405D8">
        <w:tc>
          <w:tcPr>
            <w:tcW w:w="2700" w:type="dxa"/>
          </w:tcPr>
          <w:p w14:paraId="28BF284F" w14:textId="77777777" w:rsidR="00DB22A5" w:rsidRDefault="00DB22A5" w:rsidP="001405D8">
            <w:pPr>
              <w:spacing w:line="120" w:lineRule="exact"/>
              <w:jc w:val="center"/>
              <w:rPr>
                <w:b/>
                <w:bCs/>
                <w:color w:val="000000"/>
                <w:sz w:val="18"/>
                <w:szCs w:val="18"/>
              </w:rPr>
            </w:pPr>
          </w:p>
          <w:p w14:paraId="487A34DE"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134AFE25"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F048E95" w14:textId="77777777" w:rsidR="00DB22A5" w:rsidRDefault="00DB22A5" w:rsidP="001405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CDECC5D" w14:textId="77777777" w:rsidR="00DB22A5" w:rsidRDefault="00DB22A5" w:rsidP="001405D8">
            <w:pPr>
              <w:spacing w:line="120" w:lineRule="exact"/>
              <w:jc w:val="center"/>
              <w:rPr>
                <w:color w:val="000000"/>
                <w:sz w:val="18"/>
                <w:szCs w:val="18"/>
              </w:rPr>
            </w:pPr>
          </w:p>
          <w:p w14:paraId="7A52C447"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5440D659"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66BE63A" w14:textId="77777777" w:rsidR="00DB22A5" w:rsidRDefault="00DB22A5" w:rsidP="001405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046C2D5E" w14:textId="77777777" w:rsidR="00DB22A5" w:rsidRDefault="00DB22A5" w:rsidP="001405D8">
            <w:pPr>
              <w:spacing w:line="120" w:lineRule="exact"/>
              <w:jc w:val="center"/>
              <w:rPr>
                <w:color w:val="000000"/>
                <w:sz w:val="18"/>
                <w:szCs w:val="18"/>
              </w:rPr>
            </w:pPr>
          </w:p>
          <w:p w14:paraId="45153103"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59060CF7"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82C4781" w14:textId="77777777" w:rsidR="00DB22A5" w:rsidRDefault="00DB22A5" w:rsidP="001405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5C00FA8" w14:textId="77777777" w:rsidR="00DB22A5" w:rsidRDefault="00DB22A5" w:rsidP="001405D8">
            <w:pPr>
              <w:spacing w:line="120" w:lineRule="exact"/>
              <w:jc w:val="center"/>
              <w:rPr>
                <w:color w:val="000000"/>
                <w:sz w:val="18"/>
                <w:szCs w:val="18"/>
              </w:rPr>
            </w:pPr>
          </w:p>
          <w:p w14:paraId="24257A2C"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4CCCB12A" w14:textId="77777777" w:rsidR="00DB22A5" w:rsidRDefault="00DB22A5" w:rsidP="001405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3B58786" w14:textId="77777777" w:rsidR="00DB22A5" w:rsidRDefault="00DB22A5" w:rsidP="001405D8">
            <w:pPr>
              <w:spacing w:line="120" w:lineRule="exact"/>
              <w:jc w:val="center"/>
              <w:rPr>
                <w:color w:val="000000"/>
                <w:sz w:val="18"/>
                <w:szCs w:val="18"/>
              </w:rPr>
            </w:pPr>
          </w:p>
          <w:p w14:paraId="461D15C4"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64D8E43B"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FB89814" w14:textId="77777777" w:rsidR="00DB22A5" w:rsidRDefault="00DB22A5" w:rsidP="001405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B22A5" w14:paraId="096E08BC" w14:textId="77777777" w:rsidTr="001405D8">
        <w:trPr>
          <w:trHeight w:val="366"/>
        </w:trPr>
        <w:tc>
          <w:tcPr>
            <w:tcW w:w="9180" w:type="dxa"/>
            <w:gridSpan w:val="5"/>
            <w:vAlign w:val="center"/>
          </w:tcPr>
          <w:p w14:paraId="345DB178" w14:textId="77777777" w:rsidR="00DB22A5" w:rsidRPr="008F1930" w:rsidRDefault="00DB22A5" w:rsidP="001405D8">
            <w:pPr>
              <w:widowControl/>
              <w:autoSpaceDE/>
              <w:autoSpaceDN/>
              <w:adjustRightInd/>
              <w:rPr>
                <w:b/>
                <w:bCs/>
                <w:i/>
                <w:iCs/>
                <w:color w:val="000000"/>
                <w:sz w:val="20"/>
                <w:szCs w:val="20"/>
              </w:rPr>
            </w:pPr>
            <w:r>
              <w:rPr>
                <w:b/>
                <w:bCs/>
                <w:i/>
                <w:iCs/>
                <w:color w:val="000000"/>
                <w:sz w:val="20"/>
                <w:szCs w:val="20"/>
              </w:rPr>
              <w:t>Gas-Fired Stationary Combustion Turbine Subcategories</w:t>
            </w:r>
          </w:p>
        </w:tc>
      </w:tr>
      <w:tr w:rsidR="00DB22A5" w14:paraId="026C201C" w14:textId="77777777" w:rsidTr="001405D8">
        <w:trPr>
          <w:trHeight w:val="366"/>
        </w:trPr>
        <w:tc>
          <w:tcPr>
            <w:tcW w:w="2700" w:type="dxa"/>
            <w:vAlign w:val="center"/>
          </w:tcPr>
          <w:p w14:paraId="5D51DA5A"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2832A888" w14:textId="075BBB88"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1260" w:type="dxa"/>
            <w:vAlign w:val="center"/>
          </w:tcPr>
          <w:p w14:paraId="3A782A38"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EF884C1"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F09B4DC" w14:textId="64C9C090"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DB22A5" w14:paraId="65D83D1C" w14:textId="77777777" w:rsidTr="001405D8">
        <w:trPr>
          <w:trHeight w:val="366"/>
        </w:trPr>
        <w:tc>
          <w:tcPr>
            <w:tcW w:w="2700" w:type="dxa"/>
            <w:vAlign w:val="center"/>
          </w:tcPr>
          <w:p w14:paraId="091890E4"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b/>
                <w:bCs/>
                <w:color w:val="000000"/>
                <w:sz w:val="18"/>
                <w:szCs w:val="18"/>
              </w:rPr>
              <w:t>Subtotal</w:t>
            </w:r>
          </w:p>
        </w:tc>
        <w:tc>
          <w:tcPr>
            <w:tcW w:w="1260" w:type="dxa"/>
            <w:vAlign w:val="center"/>
          </w:tcPr>
          <w:p w14:paraId="0E7B2F95"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26DD2CCE"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0E0CA295"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2070" w:type="dxa"/>
            <w:vAlign w:val="center"/>
          </w:tcPr>
          <w:p w14:paraId="15C5F1C1" w14:textId="6CD8E8BF"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8</w:t>
            </w:r>
          </w:p>
        </w:tc>
      </w:tr>
      <w:tr w:rsidR="00DB22A5" w14:paraId="18CA3F5D" w14:textId="77777777" w:rsidTr="001405D8">
        <w:trPr>
          <w:trHeight w:val="366"/>
        </w:trPr>
        <w:tc>
          <w:tcPr>
            <w:tcW w:w="9180" w:type="dxa"/>
            <w:gridSpan w:val="5"/>
            <w:vAlign w:val="center"/>
          </w:tcPr>
          <w:p w14:paraId="33AD4203" w14:textId="77777777" w:rsidR="00DB22A5" w:rsidRPr="008F1930" w:rsidRDefault="00DB22A5" w:rsidP="001405D8">
            <w:pPr>
              <w:widowControl/>
              <w:autoSpaceDE/>
              <w:autoSpaceDN/>
              <w:adjustRightInd/>
              <w:rPr>
                <w:b/>
                <w:bCs/>
                <w:i/>
                <w:iCs/>
                <w:color w:val="000000"/>
                <w:sz w:val="20"/>
                <w:szCs w:val="20"/>
              </w:rPr>
            </w:pPr>
            <w:r>
              <w:rPr>
                <w:b/>
                <w:bCs/>
                <w:i/>
                <w:iCs/>
                <w:color w:val="000000"/>
                <w:sz w:val="20"/>
                <w:szCs w:val="20"/>
              </w:rPr>
              <w:t>Landfill/Digester Gas-Fired Stationary Combustion Turbine Subcategory</w:t>
            </w:r>
          </w:p>
        </w:tc>
      </w:tr>
      <w:tr w:rsidR="00DB22A5" w14:paraId="63AB85E3" w14:textId="77777777" w:rsidTr="001405D8">
        <w:trPr>
          <w:trHeight w:val="366"/>
        </w:trPr>
        <w:tc>
          <w:tcPr>
            <w:tcW w:w="2700" w:type="dxa"/>
            <w:vAlign w:val="center"/>
          </w:tcPr>
          <w:p w14:paraId="21ED9732"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32CE2CC9" w14:textId="540010D0"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A98E9C5"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74D00BC"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2201CA" w14:textId="76C81324"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B22A5" w14:paraId="37924DBD" w14:textId="77777777" w:rsidTr="001405D8">
        <w:trPr>
          <w:trHeight w:val="366"/>
        </w:trPr>
        <w:tc>
          <w:tcPr>
            <w:tcW w:w="2700" w:type="dxa"/>
            <w:vAlign w:val="center"/>
          </w:tcPr>
          <w:p w14:paraId="463C37B2"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Annual compliance report </w:t>
            </w:r>
            <w:r>
              <w:rPr>
                <w:color w:val="000000"/>
                <w:sz w:val="18"/>
                <w:szCs w:val="18"/>
                <w:vertAlign w:val="superscript"/>
              </w:rPr>
              <w:t>b</w:t>
            </w:r>
          </w:p>
        </w:tc>
        <w:tc>
          <w:tcPr>
            <w:tcW w:w="1260" w:type="dxa"/>
            <w:vAlign w:val="center"/>
          </w:tcPr>
          <w:p w14:paraId="0F318687" w14:textId="51D9983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14:paraId="7A029ADE"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FC2ED5"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59D88B4" w14:textId="661BE844"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DB22A5" w14:paraId="4324A968" w14:textId="77777777" w:rsidTr="001405D8">
        <w:trPr>
          <w:trHeight w:val="366"/>
        </w:trPr>
        <w:tc>
          <w:tcPr>
            <w:tcW w:w="2700" w:type="dxa"/>
            <w:vAlign w:val="center"/>
          </w:tcPr>
          <w:p w14:paraId="02BD1851"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b/>
                <w:bCs/>
                <w:color w:val="000000"/>
                <w:sz w:val="18"/>
                <w:szCs w:val="18"/>
              </w:rPr>
              <w:t>Subtotal</w:t>
            </w:r>
          </w:p>
        </w:tc>
        <w:tc>
          <w:tcPr>
            <w:tcW w:w="1260" w:type="dxa"/>
            <w:vAlign w:val="center"/>
          </w:tcPr>
          <w:p w14:paraId="2B5A87EF"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4B1DB19E"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4D33EA6A"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2070" w:type="dxa"/>
            <w:vAlign w:val="center"/>
          </w:tcPr>
          <w:p w14:paraId="5BB4D38D" w14:textId="71C6E372"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3</w:t>
            </w:r>
          </w:p>
        </w:tc>
      </w:tr>
      <w:tr w:rsidR="00DB22A5" w14:paraId="0A2224BA" w14:textId="77777777" w:rsidTr="001405D8">
        <w:trPr>
          <w:trHeight w:val="366"/>
        </w:trPr>
        <w:tc>
          <w:tcPr>
            <w:tcW w:w="9180" w:type="dxa"/>
            <w:gridSpan w:val="5"/>
            <w:vAlign w:val="center"/>
          </w:tcPr>
          <w:p w14:paraId="7083C4CF"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b/>
                <w:bCs/>
                <w:i/>
                <w:iCs/>
                <w:color w:val="000000"/>
                <w:sz w:val="20"/>
                <w:szCs w:val="20"/>
              </w:rPr>
              <w:t>Oil-Fired Stationary Combustion Turbine Subcategories</w:t>
            </w:r>
          </w:p>
        </w:tc>
      </w:tr>
      <w:tr w:rsidR="00DB22A5" w14:paraId="77CAE3E0" w14:textId="77777777" w:rsidTr="001405D8">
        <w:trPr>
          <w:trHeight w:val="366"/>
        </w:trPr>
        <w:tc>
          <w:tcPr>
            <w:tcW w:w="2700" w:type="dxa"/>
            <w:vAlign w:val="center"/>
          </w:tcPr>
          <w:p w14:paraId="5AE799DB"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02065FCC" w14:textId="210C1197"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995C48A" w14:textId="1A9E2204"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11A1BB27"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495898F" w14:textId="64831C8D"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B22A5" w14:paraId="73BB93A3" w14:textId="77777777" w:rsidTr="001405D8">
        <w:trPr>
          <w:trHeight w:val="366"/>
        </w:trPr>
        <w:tc>
          <w:tcPr>
            <w:tcW w:w="2700" w:type="dxa"/>
            <w:vAlign w:val="center"/>
          </w:tcPr>
          <w:p w14:paraId="3D94F9AB"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w:t>
            </w:r>
          </w:p>
        </w:tc>
        <w:tc>
          <w:tcPr>
            <w:tcW w:w="1260" w:type="dxa"/>
            <w:vAlign w:val="center"/>
          </w:tcPr>
          <w:p w14:paraId="173AE12D" w14:textId="62853824"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8DD3CD6" w14:textId="704FB36D"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A73AE23"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2EC7118" w14:textId="7ED976E9"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B22A5" w14:paraId="361E4116" w14:textId="77777777" w:rsidTr="001405D8">
        <w:trPr>
          <w:trHeight w:val="366"/>
        </w:trPr>
        <w:tc>
          <w:tcPr>
            <w:tcW w:w="2700" w:type="dxa"/>
            <w:vAlign w:val="center"/>
          </w:tcPr>
          <w:p w14:paraId="7E1BC008"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09A301CC" w14:textId="63A4C3C6"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D88B192" w14:textId="5F93F404"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10110C4D"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911ACC7" w14:textId="6924C41B"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B22A5" w14:paraId="01088701" w14:textId="77777777" w:rsidTr="001405D8">
        <w:trPr>
          <w:trHeight w:val="366"/>
        </w:trPr>
        <w:tc>
          <w:tcPr>
            <w:tcW w:w="2700" w:type="dxa"/>
            <w:vAlign w:val="center"/>
          </w:tcPr>
          <w:p w14:paraId="41B3A6F5"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2418E729" w14:textId="467C5588"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A68E7C8" w14:textId="44F8D4C4"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5590E655"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2E11C54" w14:textId="0328076C"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B22A5" w14:paraId="767D4022" w14:textId="77777777" w:rsidTr="001405D8">
        <w:trPr>
          <w:trHeight w:val="366"/>
        </w:trPr>
        <w:tc>
          <w:tcPr>
            <w:tcW w:w="2700" w:type="dxa"/>
            <w:vAlign w:val="center"/>
          </w:tcPr>
          <w:p w14:paraId="3F2FE597"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CMS performance evaluation</w:t>
            </w:r>
          </w:p>
        </w:tc>
        <w:tc>
          <w:tcPr>
            <w:tcW w:w="1260" w:type="dxa"/>
            <w:vAlign w:val="center"/>
          </w:tcPr>
          <w:p w14:paraId="2B879C7D" w14:textId="0CC7BCDB"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C8B230E" w14:textId="44CF0B67"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50CC9A0A"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43E5630" w14:textId="5F76D7DC"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B22A5" w14:paraId="07984D57" w14:textId="77777777" w:rsidTr="001405D8">
        <w:trPr>
          <w:trHeight w:val="366"/>
        </w:trPr>
        <w:tc>
          <w:tcPr>
            <w:tcW w:w="2700" w:type="dxa"/>
            <w:vAlign w:val="center"/>
          </w:tcPr>
          <w:p w14:paraId="3E124A3E"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5EB709F5" w14:textId="7DC344A1"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F05E940" w14:textId="3D5503FC"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10D20FA6"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5AF0D26" w14:textId="4DF4F9B6"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B22A5" w14:paraId="0FE42E8F" w14:textId="77777777" w:rsidTr="001405D8">
        <w:trPr>
          <w:trHeight w:val="366"/>
        </w:trPr>
        <w:tc>
          <w:tcPr>
            <w:tcW w:w="2700" w:type="dxa"/>
            <w:vAlign w:val="center"/>
          </w:tcPr>
          <w:p w14:paraId="78DBB09C"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Semiannual compliance report </w:t>
            </w:r>
            <w:r>
              <w:rPr>
                <w:color w:val="000000"/>
                <w:sz w:val="18"/>
                <w:szCs w:val="18"/>
                <w:vertAlign w:val="superscript"/>
              </w:rPr>
              <w:t>c</w:t>
            </w:r>
          </w:p>
        </w:tc>
        <w:tc>
          <w:tcPr>
            <w:tcW w:w="1260" w:type="dxa"/>
            <w:vAlign w:val="center"/>
          </w:tcPr>
          <w:p w14:paraId="1F133EBE" w14:textId="437E98EB"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405AD26B"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77473313"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17F68CD" w14:textId="6DC767B1"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DB22A5" w14:paraId="61D1CB3F" w14:textId="77777777" w:rsidTr="001405D8">
        <w:trPr>
          <w:trHeight w:val="366"/>
        </w:trPr>
        <w:tc>
          <w:tcPr>
            <w:tcW w:w="2700" w:type="dxa"/>
            <w:vAlign w:val="center"/>
          </w:tcPr>
          <w:p w14:paraId="3FDACC43"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b/>
                <w:bCs/>
                <w:color w:val="000000"/>
                <w:sz w:val="18"/>
                <w:szCs w:val="18"/>
              </w:rPr>
              <w:t>Subtotal</w:t>
            </w:r>
          </w:p>
        </w:tc>
        <w:tc>
          <w:tcPr>
            <w:tcW w:w="1260" w:type="dxa"/>
            <w:vAlign w:val="center"/>
          </w:tcPr>
          <w:p w14:paraId="47DB010A"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37C3C4EF"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6C66D8AB"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2070" w:type="dxa"/>
            <w:vAlign w:val="center"/>
          </w:tcPr>
          <w:p w14:paraId="4092FBC7" w14:textId="59D1431A" w:rsidR="00DB22A5" w:rsidRDefault="006A7B17"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4</w:t>
            </w:r>
          </w:p>
        </w:tc>
      </w:tr>
      <w:tr w:rsidR="00DB22A5" w14:paraId="3ED7EDD2" w14:textId="77777777" w:rsidTr="001405D8">
        <w:trPr>
          <w:trHeight w:val="366"/>
        </w:trPr>
        <w:tc>
          <w:tcPr>
            <w:tcW w:w="2700" w:type="dxa"/>
            <w:vAlign w:val="center"/>
          </w:tcPr>
          <w:p w14:paraId="486F1471" w14:textId="77777777" w:rsidR="00DB22A5" w:rsidRDefault="00DB22A5" w:rsidP="001405D8">
            <w:pPr>
              <w:pBdr>
                <w:top w:val="single" w:sz="6" w:space="0" w:color="FFFFFF"/>
                <w:left w:val="single" w:sz="6" w:space="0" w:color="FFFFFF"/>
                <w:bottom w:val="single" w:sz="6" w:space="0" w:color="FFFFFF"/>
                <w:right w:val="single" w:sz="6" w:space="0" w:color="FFFFFF"/>
              </w:pBdr>
              <w:rPr>
                <w:color w:val="000000"/>
                <w:sz w:val="18"/>
                <w:szCs w:val="18"/>
              </w:rPr>
            </w:pPr>
            <w:r>
              <w:rPr>
                <w:b/>
                <w:bCs/>
                <w:color w:val="000000"/>
                <w:sz w:val="18"/>
                <w:szCs w:val="18"/>
              </w:rPr>
              <w:t>TOTAL</w:t>
            </w:r>
          </w:p>
        </w:tc>
        <w:tc>
          <w:tcPr>
            <w:tcW w:w="1260" w:type="dxa"/>
            <w:vAlign w:val="center"/>
          </w:tcPr>
          <w:p w14:paraId="687003BF"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2C4CA847"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13E0893B" w14:textId="77777777" w:rsidR="00DB22A5" w:rsidRDefault="00DB22A5" w:rsidP="001405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2070" w:type="dxa"/>
            <w:vAlign w:val="center"/>
          </w:tcPr>
          <w:p w14:paraId="27FD6351" w14:textId="1F8CD5E9" w:rsidR="00DB22A5" w:rsidRDefault="006A7B17" w:rsidP="001405D8">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18"/>
                <w:szCs w:val="18"/>
              </w:rPr>
              <w:t>15</w:t>
            </w:r>
          </w:p>
        </w:tc>
      </w:tr>
    </w:tbl>
    <w:p w14:paraId="7CCB717E" w14:textId="77777777" w:rsidR="00DB22A5" w:rsidRPr="008F1930" w:rsidRDefault="00DB22A5" w:rsidP="00DB22A5">
      <w:pPr>
        <w:pBdr>
          <w:top w:val="single" w:sz="6" w:space="0" w:color="FFFFFF"/>
          <w:left w:val="single" w:sz="6" w:space="0" w:color="FFFFFF"/>
          <w:bottom w:val="single" w:sz="6" w:space="0" w:color="FFFFFF"/>
          <w:right w:val="single" w:sz="6" w:space="0" w:color="FFFFFF"/>
        </w:pBdr>
        <w:ind w:left="360" w:hanging="180"/>
        <w:rPr>
          <w:color w:val="000000"/>
          <w:sz w:val="20"/>
          <w:szCs w:val="20"/>
        </w:rPr>
      </w:pPr>
      <w:r w:rsidRPr="008F1930">
        <w:rPr>
          <w:color w:val="000000"/>
          <w:sz w:val="20"/>
          <w:szCs w:val="20"/>
          <w:vertAlign w:val="superscript"/>
        </w:rPr>
        <w:t>a</w:t>
      </w:r>
      <w:r w:rsidRPr="008F1930">
        <w:rPr>
          <w:color w:val="000000"/>
          <w:sz w:val="20"/>
          <w:szCs w:val="20"/>
        </w:rPr>
        <w:t xml:space="preserve"> Due to the ongoing stay, existing gas-fired sources that have previously submitted initial notifications are not subject to any additional monitoring or reporting requirements. </w:t>
      </w:r>
    </w:p>
    <w:p w14:paraId="23CDF7AB" w14:textId="77777777" w:rsidR="00DB22A5" w:rsidRPr="008F1930" w:rsidRDefault="00DB22A5" w:rsidP="00DB22A5">
      <w:pPr>
        <w:pBdr>
          <w:top w:val="single" w:sz="6" w:space="0" w:color="FFFFFF"/>
          <w:left w:val="single" w:sz="6" w:space="0" w:color="FFFFFF"/>
          <w:bottom w:val="single" w:sz="6" w:space="0" w:color="FFFFFF"/>
          <w:right w:val="single" w:sz="6" w:space="0" w:color="FFFFFF"/>
        </w:pBdr>
        <w:ind w:left="360" w:hanging="180"/>
        <w:rPr>
          <w:color w:val="000000"/>
          <w:sz w:val="20"/>
          <w:szCs w:val="20"/>
        </w:rPr>
      </w:pPr>
      <w:r w:rsidRPr="008F1930">
        <w:rPr>
          <w:color w:val="000000"/>
          <w:sz w:val="20"/>
          <w:szCs w:val="20"/>
          <w:vertAlign w:val="superscript"/>
        </w:rPr>
        <w:t>b</w:t>
      </w:r>
      <w:r w:rsidRPr="008F1930">
        <w:rPr>
          <w:color w:val="000000"/>
          <w:sz w:val="20"/>
          <w:szCs w:val="20"/>
        </w:rPr>
        <w:t xml:space="preserve"> This activity applies to new and existing landfill/digester gas-fired sources. </w:t>
      </w:r>
    </w:p>
    <w:p w14:paraId="2FA32F91" w14:textId="77777777" w:rsidR="00DB22A5" w:rsidRPr="008F1930" w:rsidRDefault="00DB22A5" w:rsidP="00DB22A5">
      <w:pPr>
        <w:pBdr>
          <w:top w:val="single" w:sz="6" w:space="0" w:color="FFFFFF"/>
          <w:left w:val="single" w:sz="6" w:space="0" w:color="FFFFFF"/>
          <w:bottom w:val="single" w:sz="6" w:space="0" w:color="FFFFFF"/>
          <w:right w:val="single" w:sz="6" w:space="0" w:color="FFFFFF"/>
        </w:pBdr>
        <w:ind w:left="360" w:hanging="180"/>
        <w:rPr>
          <w:color w:val="000000"/>
          <w:sz w:val="20"/>
          <w:szCs w:val="20"/>
        </w:rPr>
      </w:pPr>
      <w:r w:rsidRPr="008F1930">
        <w:rPr>
          <w:color w:val="000000"/>
          <w:sz w:val="20"/>
          <w:szCs w:val="20"/>
          <w:vertAlign w:val="superscript"/>
        </w:rPr>
        <w:t>c</w:t>
      </w:r>
      <w:r w:rsidRPr="008F1930">
        <w:rPr>
          <w:color w:val="000000"/>
          <w:sz w:val="20"/>
          <w:szCs w:val="20"/>
        </w:rPr>
        <w:t xml:space="preserve"> This activity applies to new and existing oil-fired sources. </w:t>
      </w:r>
    </w:p>
    <w:p w14:paraId="76852088" w14:textId="6C3E01FB" w:rsidR="00DB22A5" w:rsidRPr="00B372DE" w:rsidRDefault="00DB22A5">
      <w:pPr>
        <w:pBdr>
          <w:top w:val="single" w:sz="6" w:space="0" w:color="FFFFFF"/>
          <w:left w:val="single" w:sz="6" w:space="0" w:color="FFFFFF"/>
          <w:bottom w:val="single" w:sz="6" w:space="0" w:color="FFFFFF"/>
          <w:right w:val="single" w:sz="6" w:space="0" w:color="FFFFFF"/>
        </w:pBdr>
        <w:ind w:firstLine="720"/>
      </w:pPr>
    </w:p>
    <w:p w14:paraId="402C5CA5" w14:textId="7D2E5D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B22A5">
        <w:t>The number of Total Annual Responses is</w:t>
      </w:r>
      <w:r w:rsidR="00DB22A5" w:rsidRPr="00DB22A5">
        <w:t xml:space="preserve"> </w:t>
      </w:r>
      <w:r w:rsidR="006A7B17" w:rsidRPr="007025D8">
        <w:t>15</w:t>
      </w:r>
      <w:r w:rsidR="00DB22A5">
        <w:rPr>
          <w:color w:val="FF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DC35F97" w:rsidR="00CA4CD6" w:rsidRPr="00DB22A5" w:rsidRDefault="00CA4CD6" w:rsidP="00DB22A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A7B17" w:rsidRPr="007025D8">
        <w:t>$</w:t>
      </w:r>
      <w:r w:rsidR="005864DE">
        <w:t>166</w:t>
      </w:r>
      <w:r w:rsidR="006A7B17" w:rsidRPr="007025D8">
        <w:t>,000</w:t>
      </w:r>
      <w:r>
        <w:rPr>
          <w:color w:val="000000"/>
        </w:rPr>
        <w:t>.</w:t>
      </w:r>
      <w:r w:rsidR="009C4337">
        <w:rPr>
          <w:color w:val="000000"/>
        </w:rPr>
        <w:t>00 (rounded).</w:t>
      </w:r>
      <w:r w:rsidR="009C7E97">
        <w:rPr>
          <w:color w:val="000000"/>
        </w:rPr>
        <w:t xml:space="preserve"> </w:t>
      </w:r>
      <w:r>
        <w:rPr>
          <w:color w:val="000000"/>
        </w:rPr>
        <w:t>Details regarding these estimates may be found</w:t>
      </w:r>
      <w:r w:rsidR="009C4337">
        <w:rPr>
          <w:color w:val="000000"/>
        </w:rPr>
        <w:t xml:space="preserve"> below,</w:t>
      </w:r>
      <w:r>
        <w:rPr>
          <w:color w:val="000000"/>
        </w:rPr>
        <w:t xml:space="preserve"> </w:t>
      </w:r>
      <w:r w:rsidR="004D2B64">
        <w:rPr>
          <w:color w:val="000000"/>
        </w:rPr>
        <w:t>at the end of this document</w:t>
      </w:r>
      <w:r w:rsidR="009C4337">
        <w:rPr>
          <w:color w:val="000000"/>
        </w:rPr>
        <w: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DB22A5">
        <w:t>NESHAP for Stationary Combustion Turbines (40 CFR Part 63, Subpart YYYY) (Renewal).</w:t>
      </w:r>
    </w:p>
    <w:p w14:paraId="15E0BE64" w14:textId="77777777" w:rsidR="00CA4CD6" w:rsidRPr="00B372DE"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8CDF0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w:t>
      </w:r>
      <w:r w:rsidR="00B74663">
        <w:rPr>
          <w:color w:val="000000"/>
        </w:rPr>
        <w:t xml:space="preserve">     </w:t>
      </w:r>
      <w:r>
        <w:rPr>
          <w:color w:val="000000"/>
        </w:rPr>
        <w:t>the Agency are shown</w:t>
      </w:r>
      <w:r w:rsidR="009C4337">
        <w:rPr>
          <w:color w:val="000000"/>
        </w:rPr>
        <w:t xml:space="preserve"> below</w:t>
      </w:r>
      <w:r>
        <w:rPr>
          <w:color w:val="000000"/>
        </w:rPr>
        <w:t xml:space="preserve"> 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F946B" w14:textId="77777777" w:rsidR="009C4337" w:rsidRDefault="009C433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EA1F8E0" w14:textId="77777777" w:rsidR="009C4337" w:rsidRDefault="009C433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0A4822" w14:textId="389D891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1486DBC" w:rsidR="00144F35" w:rsidRDefault="00CA4CD6" w:rsidP="00DB22A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5864DE">
        <w:rPr>
          <w:color w:val="000000"/>
        </w:rPr>
        <w:t xml:space="preserve"> 1,430</w:t>
      </w:r>
      <w:r w:rsidR="009C4337">
        <w:rPr>
          <w:color w:val="000000"/>
        </w:rPr>
        <w:t xml:space="preserve"> hours</w:t>
      </w:r>
      <w:r>
        <w:rPr>
          <w:color w:val="000000"/>
        </w:rPr>
        <w:t>.</w:t>
      </w:r>
      <w:r w:rsidR="009C7E97">
        <w:rPr>
          <w:color w:val="000000"/>
        </w:rPr>
        <w:t xml:space="preserve"> </w:t>
      </w:r>
      <w:r>
        <w:rPr>
          <w:color w:val="000000"/>
        </w:rPr>
        <w:t>Details regarding these estimates may be found</w:t>
      </w:r>
      <w:r w:rsidR="009C4337">
        <w:rPr>
          <w:color w:val="000000"/>
        </w:rPr>
        <w:t xml:space="preserve"> below</w:t>
      </w:r>
      <w:r>
        <w:rPr>
          <w:color w:val="000000"/>
        </w:rPr>
        <w:t xml:space="preserve"> in Table 1</w:t>
      </w:r>
      <w:r w:rsidR="00B63934">
        <w:rPr>
          <w:color w:val="000000"/>
        </w:rPr>
        <w:t xml:space="preserve">: </w:t>
      </w:r>
      <w:r>
        <w:rPr>
          <w:color w:val="000000"/>
        </w:rPr>
        <w:t>Annual Respondent Burden and Cost</w:t>
      </w:r>
      <w:r w:rsidR="00CF2B37">
        <w:rPr>
          <w:color w:val="000000"/>
        </w:rPr>
        <w:t xml:space="preserve"> – </w:t>
      </w:r>
      <w:r w:rsidR="00DB22A5">
        <w:t>NESHAP for Stationary Combustion Turbines (40 CFR Part 63, Subpart YYYY) (Renewal)</w:t>
      </w:r>
      <w:r w:rsidR="00DB22A5">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172AC3">
        <w:t>We assume that burdens for managerial tasks take 5% of the time required for technical tasks because the typical tasks for managers are to review and approve reports.</w:t>
      </w:r>
      <w:r w:rsidR="009C7E97" w:rsidRPr="00172AC3">
        <w:t xml:space="preserve"> </w:t>
      </w:r>
      <w:r w:rsidRPr="00172AC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1855EB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33CE2">
        <w:rPr>
          <w:color w:val="000000"/>
        </w:rPr>
        <w:t>9</w:t>
      </w:r>
      <w:r w:rsidR="005864DE">
        <w:rPr>
          <w:color w:val="000000"/>
        </w:rPr>
        <w:t>5</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A0274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5864DE">
        <w:rPr>
          <w:color w:val="000000"/>
        </w:rPr>
        <w:t xml:space="preserve"> $0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Pr="007025D8"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(ii) The </w:t>
      </w:r>
      <w:r w:rsidRPr="007025D8">
        <w:rPr>
          <w:b/>
          <w:bCs/>
        </w:rPr>
        <w:t>Agency Tally</w:t>
      </w:r>
    </w:p>
    <w:p w14:paraId="046A0083" w14:textId="77777777" w:rsidR="00CA4CD6" w:rsidRPr="007025D8" w:rsidRDefault="00CA4CD6">
      <w:pPr>
        <w:pBdr>
          <w:top w:val="single" w:sz="6" w:space="0" w:color="FFFFFF"/>
          <w:left w:val="single" w:sz="6" w:space="0" w:color="FFFFFF"/>
          <w:bottom w:val="single" w:sz="6" w:space="0" w:color="FFFFFF"/>
          <w:right w:val="single" w:sz="6" w:space="0" w:color="FFFFFF"/>
        </w:pBdr>
      </w:pPr>
    </w:p>
    <w:p w14:paraId="1933914A" w14:textId="37846113" w:rsidR="00DB22A5" w:rsidRPr="007025D8" w:rsidRDefault="00CA4CD6" w:rsidP="00DB22A5">
      <w:pPr>
        <w:pBdr>
          <w:top w:val="single" w:sz="6" w:space="0" w:color="FFFFFF"/>
          <w:left w:val="single" w:sz="6" w:space="0" w:color="FFFFFF"/>
          <w:bottom w:val="single" w:sz="6" w:space="0" w:color="FFFFFF"/>
          <w:right w:val="single" w:sz="6" w:space="0" w:color="FFFFFF"/>
        </w:pBdr>
        <w:ind w:firstLine="720"/>
      </w:pPr>
      <w:r w:rsidRPr="007025D8">
        <w:t xml:space="preserve">The average annual Agency burden and cost over next three years is estimated to be </w:t>
      </w:r>
      <w:r w:rsidR="006A7B17" w:rsidRPr="007025D8">
        <w:t>83</w:t>
      </w:r>
      <w:r w:rsidRPr="007025D8">
        <w:t xml:space="preserve"> labor hours at a cost of </w:t>
      </w:r>
      <w:r w:rsidR="005864DE" w:rsidRPr="007025D8">
        <w:t>$3,990</w:t>
      </w:r>
      <w:r w:rsidR="00C33CE2">
        <w:t>;</w:t>
      </w:r>
      <w:r w:rsidR="009C7E97" w:rsidRPr="007025D8">
        <w:t xml:space="preserve"> </w:t>
      </w:r>
      <w:r w:rsidR="00C33CE2">
        <w:t>s</w:t>
      </w:r>
      <w:r w:rsidR="00144F35" w:rsidRPr="007025D8">
        <w:t xml:space="preserve">ee </w:t>
      </w:r>
      <w:r w:rsidR="00C33CE2">
        <w:t xml:space="preserve">below in </w:t>
      </w:r>
      <w:r w:rsidR="00144F35" w:rsidRPr="007025D8">
        <w:t xml:space="preserve">Table 2: </w:t>
      </w:r>
      <w:r w:rsidR="00CF2B37" w:rsidRPr="007025D8">
        <w:t>Average Annual EPA Burden and Cost –</w:t>
      </w:r>
      <w:r w:rsidR="00144F35" w:rsidRPr="007025D8">
        <w:t xml:space="preserve"> </w:t>
      </w:r>
      <w:r w:rsidR="00DB22A5" w:rsidRPr="007025D8">
        <w:t xml:space="preserve">NESHAP for Stationary Combustion Turbines (40 CFR Part 63, Subpart YYYY) (Renewal). </w:t>
      </w:r>
    </w:p>
    <w:p w14:paraId="47DC86B1" w14:textId="77777777" w:rsidR="0049327D" w:rsidRPr="007025D8"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372DE" w:rsidRDefault="0049327D" w:rsidP="00144F35">
      <w:pPr>
        <w:pBdr>
          <w:top w:val="single" w:sz="6" w:space="0" w:color="FFFFFF"/>
          <w:left w:val="single" w:sz="6" w:space="0" w:color="FFFFFF"/>
          <w:bottom w:val="single" w:sz="6" w:space="0" w:color="FFFFFF"/>
          <w:right w:val="single" w:sz="6" w:space="0" w:color="FFFFFF"/>
        </w:pBdr>
        <w:ind w:firstLine="720"/>
      </w:pPr>
      <w:r w:rsidRPr="00172AC3">
        <w:t>We assume that burdens for managerial tasks take 5% of the time required for technical tasks because the typical tasks for managers are to review and approve reports.</w:t>
      </w:r>
      <w:r w:rsidR="009C7E97" w:rsidRPr="00172AC3">
        <w:t xml:space="preserve"> </w:t>
      </w:r>
      <w:r w:rsidRPr="00172AC3">
        <w:t xml:space="preserve">Clerical burdens are assumed to take 10% of the time required for technical tasks because the typical duties of clerical staff are to proofread </w:t>
      </w:r>
      <w:r w:rsidRPr="00B372DE">
        <w:t>the reports, make copies and maintain records.</w:t>
      </w:r>
    </w:p>
    <w:p w14:paraId="7BFC7AF7" w14:textId="77777777" w:rsidR="00CA4CD6" w:rsidRPr="00B372DE"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B372DE" w:rsidRDefault="00CA4CD6">
      <w:pPr>
        <w:pBdr>
          <w:top w:val="single" w:sz="6" w:space="0" w:color="FFFFFF"/>
          <w:left w:val="single" w:sz="6" w:space="0" w:color="FFFFFF"/>
          <w:bottom w:val="single" w:sz="6" w:space="0" w:color="FFFFFF"/>
          <w:right w:val="single" w:sz="6" w:space="0" w:color="FFFFFF"/>
        </w:pBdr>
        <w:ind w:firstLine="720"/>
      </w:pPr>
      <w:r w:rsidRPr="00B372DE">
        <w:rPr>
          <w:b/>
          <w:bCs/>
        </w:rPr>
        <w:t>6(f)</w:t>
      </w:r>
      <w:r w:rsidR="009C7E97" w:rsidRPr="00B372DE">
        <w:rPr>
          <w:b/>
          <w:bCs/>
        </w:rPr>
        <w:t xml:space="preserve"> </w:t>
      </w:r>
      <w:r w:rsidRPr="00B372DE">
        <w:rPr>
          <w:b/>
          <w:bCs/>
        </w:rPr>
        <w:t>Reasons for Change in Burden</w:t>
      </w:r>
    </w:p>
    <w:p w14:paraId="2CC29317" w14:textId="77777777" w:rsidR="00CA4CD6" w:rsidRPr="00B372DE" w:rsidRDefault="00CA4CD6">
      <w:pPr>
        <w:pBdr>
          <w:top w:val="single" w:sz="6" w:space="0" w:color="FFFFFF"/>
          <w:left w:val="single" w:sz="6" w:space="0" w:color="FFFFFF"/>
          <w:bottom w:val="single" w:sz="6" w:space="0" w:color="FFFFFF"/>
          <w:right w:val="single" w:sz="6" w:space="0" w:color="FFFFFF"/>
        </w:pBdr>
      </w:pPr>
    </w:p>
    <w:p w14:paraId="3F91B585" w14:textId="6C8CE6F9" w:rsidR="00CA4CD6" w:rsidRPr="00B372DE" w:rsidRDefault="00CA4CD6">
      <w:pPr>
        <w:pBdr>
          <w:top w:val="single" w:sz="6" w:space="0" w:color="FFFFFF"/>
          <w:left w:val="single" w:sz="6" w:space="0" w:color="FFFFFF"/>
          <w:bottom w:val="single" w:sz="6" w:space="0" w:color="FFFFFF"/>
          <w:right w:val="single" w:sz="6" w:space="0" w:color="FFFFFF"/>
        </w:pBdr>
        <w:ind w:firstLine="720"/>
      </w:pPr>
      <w:r w:rsidRPr="00B372DE">
        <w:t>The decrease in burden from the most recently</w:t>
      </w:r>
      <w:r w:rsidR="00C33CE2">
        <w:t>-</w:t>
      </w:r>
      <w:r w:rsidRPr="00B372DE">
        <w:t>approved ICR is due to an adjustment.</w:t>
      </w:r>
      <w:r w:rsidR="009C7E97" w:rsidRPr="00B372DE">
        <w:t xml:space="preserve"> </w:t>
      </w:r>
    </w:p>
    <w:p w14:paraId="23C42165" w14:textId="4FA33DE0" w:rsidR="00CA4CD6" w:rsidRDefault="006A7B17">
      <w:pPr>
        <w:pBdr>
          <w:top w:val="single" w:sz="6" w:space="0" w:color="FFFFFF"/>
          <w:left w:val="single" w:sz="6" w:space="0" w:color="FFFFFF"/>
          <w:bottom w:val="single" w:sz="6" w:space="0" w:color="FFFFFF"/>
          <w:right w:val="single" w:sz="6" w:space="0" w:color="FFFFFF"/>
        </w:pBdr>
      </w:pPr>
      <w:r w:rsidRPr="00B372DE">
        <w:t>The number of respondents in this ICR is based on an inventory conducted as part of the R</w:t>
      </w:r>
      <w:r w:rsidR="00CD0564">
        <w:t xml:space="preserve">isk and </w:t>
      </w:r>
      <w:r w:rsidRPr="00B372DE">
        <w:t>T</w:t>
      </w:r>
      <w:r w:rsidR="00CD0564">
        <w:t xml:space="preserve">echnology </w:t>
      </w:r>
      <w:r w:rsidRPr="00B372DE">
        <w:t xml:space="preserve">Review </w:t>
      </w:r>
      <w:r w:rsidR="00CD0564">
        <w:t>for this source category. The inventory</w:t>
      </w:r>
      <w:r w:rsidRPr="00B372DE">
        <w:t xml:space="preserve"> reflects a</w:t>
      </w:r>
      <w:r w:rsidR="005864DE">
        <w:t>n increase in the number of facilities with gas-fired stationary combustion turbines and a</w:t>
      </w:r>
      <w:r w:rsidRPr="00B372DE">
        <w:t xml:space="preserve"> decrease in the number of facilities with </w:t>
      </w:r>
      <w:r w:rsidR="005864DE">
        <w:t xml:space="preserve">landfill or digester gas-fired and </w:t>
      </w:r>
      <w:r w:rsidRPr="00B372DE">
        <w:t>oil</w:t>
      </w:r>
      <w:r w:rsidR="005864DE">
        <w:t>-</w:t>
      </w:r>
      <w:r w:rsidRPr="00B372DE">
        <w:t>fired stationary combustion turbines.</w:t>
      </w:r>
      <w:r w:rsidR="005864DE">
        <w:t xml:space="preserve"> The decrease in burden, capital, and operation and maintenance costs reflects industry trends towards gas-fired turbines. </w:t>
      </w:r>
      <w:r w:rsidR="00CD0564">
        <w:t>Turbines included in the two gas-fired subcategories</w:t>
      </w:r>
      <w:r w:rsidR="005864DE">
        <w:t xml:space="preserve"> </w:t>
      </w:r>
      <w:r w:rsidR="005864DE" w:rsidRPr="008C55E0">
        <w:t>that are constructed or reconstructed after January 14, 2003 are required to submit initial notification</w:t>
      </w:r>
      <w:r w:rsidR="005864DE">
        <w:t xml:space="preserve"> report</w:t>
      </w:r>
      <w:r w:rsidR="005864DE" w:rsidRPr="008C55E0">
        <w:t xml:space="preserve">s, but are </w:t>
      </w:r>
      <w:r w:rsidR="00CD0564">
        <w:t>currently not required</w:t>
      </w:r>
      <w:r w:rsidR="005864DE" w:rsidRPr="008C55E0">
        <w:t xml:space="preserve"> to comply with other reporting or monitoring requirements until EPA makes a final decision</w:t>
      </w:r>
      <w:r w:rsidR="00CD0564">
        <w:t xml:space="preserve"> on the rule.</w:t>
      </w:r>
    </w:p>
    <w:p w14:paraId="4489A9B8" w14:textId="77777777" w:rsidR="000C43F4" w:rsidRDefault="000C43F4">
      <w:pPr>
        <w:pBdr>
          <w:top w:val="single" w:sz="6" w:space="0" w:color="FFFFFF"/>
          <w:left w:val="single" w:sz="6" w:space="0" w:color="FFFFFF"/>
          <w:bottom w:val="single" w:sz="6" w:space="0" w:color="FFFFFF"/>
          <w:right w:val="single" w:sz="6" w:space="0" w:color="FFFFFF"/>
        </w:pBdr>
        <w:rPr>
          <w:color w:val="000000"/>
        </w:rPr>
      </w:pPr>
    </w:p>
    <w:p w14:paraId="5A690886" w14:textId="77777777" w:rsidR="00C33CE2" w:rsidRDefault="00C33CE2">
      <w:pPr>
        <w:pBdr>
          <w:top w:val="single" w:sz="6" w:space="0" w:color="FFFFFF"/>
          <w:left w:val="single" w:sz="6" w:space="0" w:color="FFFFFF"/>
          <w:bottom w:val="single" w:sz="6" w:space="0" w:color="FFFFFF"/>
          <w:right w:val="single" w:sz="6" w:space="0" w:color="FFFFFF"/>
        </w:pBdr>
        <w:ind w:firstLine="720"/>
        <w:rPr>
          <w:b/>
          <w:bCs/>
          <w:color w:val="000000"/>
        </w:rPr>
      </w:pPr>
    </w:p>
    <w:p w14:paraId="5A0C6F81" w14:textId="77777777" w:rsidR="00C33CE2" w:rsidRDefault="00C33CE2">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0A78DE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485CC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B372DE">
        <w:t xml:space="preserve">average </w:t>
      </w:r>
      <w:r w:rsidR="00C33CE2">
        <w:t>9</w:t>
      </w:r>
      <w:r w:rsidR="00CD0564">
        <w:t>5</w:t>
      </w:r>
      <w:r w:rsidR="00CD0564" w:rsidRPr="00B372DE">
        <w:t xml:space="preserve"> </w:t>
      </w:r>
      <w:r w:rsidRPr="00B372DE">
        <w:t xml:space="preserve">hours </w:t>
      </w:r>
      <w:r>
        <w:rPr>
          <w:color w:val="000000"/>
        </w:rPr>
        <w:t>per response.</w:t>
      </w:r>
      <w:r w:rsidR="009C7E97">
        <w:rPr>
          <w:color w:val="000000"/>
        </w:rPr>
        <w:t xml:space="preserve"> </w:t>
      </w:r>
      <w:r w:rsidR="00C33CE2">
        <w:rPr>
          <w:color w:val="000000"/>
        </w:rPr>
        <w:t>‘</w:t>
      </w:r>
      <w:r>
        <w:rPr>
          <w:color w:val="000000"/>
        </w:rPr>
        <w:t>Burden</w:t>
      </w:r>
      <w:r w:rsidR="00C33CE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C0FA9EC"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33CE2">
        <w:rPr>
          <w:color w:val="000000"/>
        </w:rPr>
        <w:t>either</w:t>
      </w:r>
      <w:r>
        <w:rPr>
          <w:color w:val="000000"/>
        </w:rPr>
        <w:t xml:space="preserve"> conduct </w:t>
      </w:r>
      <w:r w:rsidR="00C33CE2">
        <w:rPr>
          <w:color w:val="000000"/>
        </w:rPr>
        <w:t>n</w:t>
      </w:r>
      <w:r>
        <w:rPr>
          <w:color w:val="000000"/>
        </w:rPr>
        <w:t xml:space="preserve">or sponsor, and a person is not required to respond to, </w:t>
      </w:r>
      <w:r w:rsidR="00C33CE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788274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B22A5">
        <w:t>EPA-HQ-OECA-2012-0687.</w:t>
      </w:r>
      <w:r w:rsidR="009C7E97">
        <w:rPr>
          <w:color w:val="FF0000"/>
        </w:rPr>
        <w:t xml:space="preserve"> </w:t>
      </w:r>
      <w:r w:rsidR="00354C15" w:rsidRPr="00354C15">
        <w:t xml:space="preserve">An electronic version of the public docket is available at </w:t>
      </w:r>
      <w:hyperlink r:id="rId9" w:history="1">
        <w:r w:rsidR="00377D7F" w:rsidRPr="00F60160">
          <w:rPr>
            <w:rStyle w:val="Hyperlink"/>
            <w:color w:val="auto"/>
          </w:rPr>
          <w:t>http://www.regulations.gov/</w:t>
        </w:r>
      </w:hyperlink>
      <w:r w:rsidR="00C33CE2">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33CE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33CE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DB22A5">
        <w:t>EPA-HQ-OECA-2012-0687</w:t>
      </w:r>
      <w:r w:rsidR="00CA4CD6">
        <w:t xml:space="preserve">and OMB Control </w:t>
      </w:r>
      <w:r w:rsidR="00CA4CD6" w:rsidRPr="00DB22A5">
        <w:t xml:space="preserve">Number </w:t>
      </w:r>
      <w:r w:rsidR="00DB22A5" w:rsidRPr="00DB22A5">
        <w:t>2060-0540</w:t>
      </w:r>
      <w:r w:rsidR="00CA4CD6" w:rsidRPr="00DB22A5">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438D2CF0" w14:textId="77777777" w:rsidR="00DB22A5" w:rsidRDefault="00144F35" w:rsidP="00DB22A5">
      <w:pPr>
        <w:jc w:val="center"/>
        <w:rPr>
          <w:b/>
          <w:bCs/>
        </w:rPr>
      </w:pPr>
      <w:r w:rsidRPr="00C4183F">
        <w:rPr>
          <w:b/>
          <w:bCs/>
          <w:color w:val="000000"/>
        </w:rPr>
        <w:t>Table 1: Annual Respondent Burden and Cost</w:t>
      </w:r>
      <w:r>
        <w:rPr>
          <w:b/>
          <w:bCs/>
          <w:color w:val="000000"/>
        </w:rPr>
        <w:t xml:space="preserve"> – </w:t>
      </w:r>
      <w:r w:rsidR="00DB22A5">
        <w:rPr>
          <w:b/>
          <w:bCs/>
        </w:rPr>
        <w:t>NESHAP for Stationary Combustion Turbines (40 CFR Part 63, Subpart</w:t>
      </w:r>
    </w:p>
    <w:p w14:paraId="1A01CCCE" w14:textId="77777777" w:rsidR="00DB22A5" w:rsidRDefault="00DB22A5" w:rsidP="00DB22A5">
      <w:pPr>
        <w:rPr>
          <w:b/>
          <w:bCs/>
        </w:rPr>
      </w:pPr>
      <w:r>
        <w:rPr>
          <w:b/>
          <w:bCs/>
        </w:rPr>
        <w:t xml:space="preserve">      YYYY) (Renewal)</w:t>
      </w:r>
    </w:p>
    <w:p w14:paraId="6CB24DB0" w14:textId="0A4B1CC1" w:rsidR="00144F35" w:rsidRDefault="00144F35" w:rsidP="00DB22A5">
      <w:pPr>
        <w:outlineLvl w:val="0"/>
        <w:rPr>
          <w:b/>
          <w:bCs/>
          <w:color w:val="000000"/>
        </w:rPr>
      </w:pPr>
    </w:p>
    <w:tbl>
      <w:tblPr>
        <w:tblW w:w="13040" w:type="dxa"/>
        <w:tblLook w:val="04A0" w:firstRow="1" w:lastRow="0" w:firstColumn="1" w:lastColumn="0" w:noHBand="0" w:noVBand="1"/>
      </w:tblPr>
      <w:tblGrid>
        <w:gridCol w:w="3452"/>
        <w:gridCol w:w="1196"/>
        <w:gridCol w:w="1276"/>
        <w:gridCol w:w="1178"/>
        <w:gridCol w:w="1263"/>
        <w:gridCol w:w="1170"/>
        <w:gridCol w:w="1260"/>
        <w:gridCol w:w="900"/>
        <w:gridCol w:w="1345"/>
      </w:tblGrid>
      <w:tr w:rsidR="00B24987" w:rsidRPr="00B24987" w14:paraId="3E415693" w14:textId="77777777" w:rsidTr="000C3790">
        <w:trPr>
          <w:trHeight w:val="1440"/>
        </w:trPr>
        <w:tc>
          <w:tcPr>
            <w:tcW w:w="3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07ACA"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Burden item</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1C435919"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(A) Person hours per occurrence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BDD305"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(B) No. of occurrences per respondent per year</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335556D6"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(C) Person hours per respondent per year (AxB)</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BF1186C"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 xml:space="preserve">(D) Respondents per year </w:t>
            </w:r>
            <w:r w:rsidRPr="00B24987">
              <w:rPr>
                <w:b/>
                <w:bCs/>
                <w:color w:val="000000"/>
                <w:sz w:val="18"/>
                <w:szCs w:val="18"/>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B42C86B"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(E) Technical person- hours per year (CxD)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C0F7AF9"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(F) Management person hours per year (Ex0.05)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8ED94F3"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(G) Clerical person hours per year (Ex0.1)</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D77F6BC" w14:textId="77777777" w:rsidR="00B24987" w:rsidRPr="00B24987" w:rsidRDefault="00B24987" w:rsidP="00B24987">
            <w:pPr>
              <w:widowControl/>
              <w:autoSpaceDE/>
              <w:autoSpaceDN/>
              <w:adjustRightInd/>
              <w:jc w:val="center"/>
              <w:rPr>
                <w:b/>
                <w:bCs/>
                <w:color w:val="000000"/>
                <w:sz w:val="18"/>
                <w:szCs w:val="18"/>
              </w:rPr>
            </w:pPr>
            <w:r w:rsidRPr="00B24987">
              <w:rPr>
                <w:b/>
                <w:bCs/>
                <w:color w:val="000000"/>
                <w:sz w:val="18"/>
                <w:szCs w:val="18"/>
              </w:rPr>
              <w:t>(H) Total Cost Per year</w:t>
            </w:r>
            <w:r w:rsidRPr="00B24987">
              <w:rPr>
                <w:b/>
                <w:bCs/>
                <w:color w:val="000000"/>
                <w:sz w:val="18"/>
                <w:szCs w:val="18"/>
                <w:vertAlign w:val="superscript"/>
              </w:rPr>
              <w:t xml:space="preserve"> b</w:t>
            </w:r>
          </w:p>
        </w:tc>
      </w:tr>
      <w:tr w:rsidR="00B24987" w:rsidRPr="00B24987" w14:paraId="04188284"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6BA31BCB"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1. Applications</w:t>
            </w:r>
          </w:p>
        </w:tc>
        <w:tc>
          <w:tcPr>
            <w:tcW w:w="1196" w:type="dxa"/>
            <w:tcBorders>
              <w:top w:val="nil"/>
              <w:left w:val="nil"/>
              <w:bottom w:val="single" w:sz="4" w:space="0" w:color="auto"/>
              <w:right w:val="single" w:sz="4" w:space="0" w:color="auto"/>
            </w:tcBorders>
            <w:shd w:val="clear" w:color="auto" w:fill="auto"/>
            <w:noWrap/>
            <w:vAlign w:val="center"/>
            <w:hideMark/>
          </w:tcPr>
          <w:p w14:paraId="6B6E2524"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N/A</w:t>
            </w:r>
          </w:p>
        </w:tc>
        <w:tc>
          <w:tcPr>
            <w:tcW w:w="1276" w:type="dxa"/>
            <w:tcBorders>
              <w:top w:val="nil"/>
              <w:left w:val="nil"/>
              <w:bottom w:val="single" w:sz="4" w:space="0" w:color="auto"/>
              <w:right w:val="single" w:sz="4" w:space="0" w:color="auto"/>
            </w:tcBorders>
            <w:shd w:val="clear" w:color="auto" w:fill="auto"/>
            <w:noWrap/>
            <w:vAlign w:val="bottom"/>
            <w:hideMark/>
          </w:tcPr>
          <w:p w14:paraId="7B93D394"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7128DE8E"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47EEEF4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5EAD8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34882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D585E7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122DDA3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1ECECDBA"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3B53A6F8"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2. Survey and Studies</w:t>
            </w:r>
          </w:p>
        </w:tc>
        <w:tc>
          <w:tcPr>
            <w:tcW w:w="1196" w:type="dxa"/>
            <w:tcBorders>
              <w:top w:val="nil"/>
              <w:left w:val="nil"/>
              <w:bottom w:val="single" w:sz="4" w:space="0" w:color="auto"/>
              <w:right w:val="single" w:sz="4" w:space="0" w:color="auto"/>
            </w:tcBorders>
            <w:shd w:val="clear" w:color="auto" w:fill="auto"/>
            <w:noWrap/>
            <w:vAlign w:val="center"/>
            <w:hideMark/>
          </w:tcPr>
          <w:p w14:paraId="13394799"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N/A</w:t>
            </w:r>
          </w:p>
        </w:tc>
        <w:tc>
          <w:tcPr>
            <w:tcW w:w="1276" w:type="dxa"/>
            <w:tcBorders>
              <w:top w:val="nil"/>
              <w:left w:val="nil"/>
              <w:bottom w:val="single" w:sz="4" w:space="0" w:color="auto"/>
              <w:right w:val="single" w:sz="4" w:space="0" w:color="auto"/>
            </w:tcBorders>
            <w:shd w:val="clear" w:color="auto" w:fill="auto"/>
            <w:noWrap/>
            <w:vAlign w:val="bottom"/>
            <w:hideMark/>
          </w:tcPr>
          <w:p w14:paraId="177C615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19AF3F9E"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7328514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CC342E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EA424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4AFC833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5442B962"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26DFE4C5"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7EB72C56"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3. Reporting Requirements</w:t>
            </w:r>
          </w:p>
        </w:tc>
        <w:tc>
          <w:tcPr>
            <w:tcW w:w="1196" w:type="dxa"/>
            <w:tcBorders>
              <w:top w:val="nil"/>
              <w:left w:val="nil"/>
              <w:bottom w:val="single" w:sz="4" w:space="0" w:color="auto"/>
              <w:right w:val="single" w:sz="4" w:space="0" w:color="auto"/>
            </w:tcBorders>
            <w:shd w:val="clear" w:color="auto" w:fill="auto"/>
            <w:noWrap/>
            <w:vAlign w:val="bottom"/>
            <w:hideMark/>
          </w:tcPr>
          <w:p w14:paraId="542CE24A"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F2253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5C8BBF1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782EFA6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D49E0FE"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6494F82"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57C02E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1187EEC6"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4E012A99"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76580DF0"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A. Familiarization with the regulatory requirements </w:t>
            </w:r>
            <w:r w:rsidRPr="00B24987">
              <w:rPr>
                <w:color w:val="000000"/>
                <w:sz w:val="20"/>
                <w:szCs w:val="20"/>
                <w:vertAlign w:val="superscript"/>
              </w:rPr>
              <w:t>c</w:t>
            </w:r>
          </w:p>
        </w:tc>
        <w:tc>
          <w:tcPr>
            <w:tcW w:w="1196" w:type="dxa"/>
            <w:tcBorders>
              <w:top w:val="nil"/>
              <w:left w:val="nil"/>
              <w:bottom w:val="single" w:sz="4" w:space="0" w:color="auto"/>
              <w:right w:val="single" w:sz="4" w:space="0" w:color="auto"/>
            </w:tcBorders>
            <w:shd w:val="clear" w:color="auto" w:fill="auto"/>
            <w:noWrap/>
            <w:vAlign w:val="center"/>
            <w:hideMark/>
          </w:tcPr>
          <w:p w14:paraId="2B1BAF1E"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14:paraId="6019E059"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5BC096FD"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4</w:t>
            </w:r>
          </w:p>
        </w:tc>
        <w:tc>
          <w:tcPr>
            <w:tcW w:w="1263" w:type="dxa"/>
            <w:tcBorders>
              <w:top w:val="nil"/>
              <w:left w:val="nil"/>
              <w:bottom w:val="single" w:sz="4" w:space="0" w:color="auto"/>
              <w:right w:val="single" w:sz="4" w:space="0" w:color="auto"/>
            </w:tcBorders>
            <w:shd w:val="clear" w:color="auto" w:fill="auto"/>
            <w:noWrap/>
            <w:vAlign w:val="center"/>
            <w:hideMark/>
          </w:tcPr>
          <w:p w14:paraId="066D4DE4" w14:textId="77777777" w:rsidR="00B24987" w:rsidRPr="00B24987" w:rsidRDefault="00B24987" w:rsidP="00B24987">
            <w:pPr>
              <w:widowControl/>
              <w:autoSpaceDE/>
              <w:autoSpaceDN/>
              <w:adjustRightInd/>
              <w:jc w:val="center"/>
              <w:rPr>
                <w:sz w:val="20"/>
                <w:szCs w:val="20"/>
              </w:rPr>
            </w:pPr>
            <w:r w:rsidRPr="00B24987">
              <w:rPr>
                <w:sz w:val="20"/>
                <w:szCs w:val="20"/>
              </w:rPr>
              <w:t>122</w:t>
            </w:r>
          </w:p>
        </w:tc>
        <w:tc>
          <w:tcPr>
            <w:tcW w:w="1170" w:type="dxa"/>
            <w:tcBorders>
              <w:top w:val="nil"/>
              <w:left w:val="nil"/>
              <w:bottom w:val="single" w:sz="4" w:space="0" w:color="auto"/>
              <w:right w:val="single" w:sz="4" w:space="0" w:color="auto"/>
            </w:tcBorders>
            <w:shd w:val="clear" w:color="auto" w:fill="auto"/>
            <w:noWrap/>
            <w:vAlign w:val="center"/>
            <w:hideMark/>
          </w:tcPr>
          <w:p w14:paraId="2A51DF79"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488</w:t>
            </w:r>
          </w:p>
        </w:tc>
        <w:tc>
          <w:tcPr>
            <w:tcW w:w="1260" w:type="dxa"/>
            <w:tcBorders>
              <w:top w:val="nil"/>
              <w:left w:val="nil"/>
              <w:bottom w:val="single" w:sz="4" w:space="0" w:color="auto"/>
              <w:right w:val="single" w:sz="4" w:space="0" w:color="auto"/>
            </w:tcBorders>
            <w:shd w:val="clear" w:color="auto" w:fill="auto"/>
            <w:noWrap/>
            <w:vAlign w:val="center"/>
            <w:hideMark/>
          </w:tcPr>
          <w:p w14:paraId="21F6EEE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24.4</w:t>
            </w:r>
          </w:p>
        </w:tc>
        <w:tc>
          <w:tcPr>
            <w:tcW w:w="900" w:type="dxa"/>
            <w:tcBorders>
              <w:top w:val="nil"/>
              <w:left w:val="nil"/>
              <w:bottom w:val="single" w:sz="4" w:space="0" w:color="auto"/>
              <w:right w:val="single" w:sz="4" w:space="0" w:color="auto"/>
            </w:tcBorders>
            <w:shd w:val="clear" w:color="auto" w:fill="auto"/>
            <w:noWrap/>
            <w:vAlign w:val="center"/>
            <w:hideMark/>
          </w:tcPr>
          <w:p w14:paraId="19384533"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48.8</w:t>
            </w:r>
          </w:p>
        </w:tc>
        <w:tc>
          <w:tcPr>
            <w:tcW w:w="1345" w:type="dxa"/>
            <w:tcBorders>
              <w:top w:val="nil"/>
              <w:left w:val="nil"/>
              <w:bottom w:val="single" w:sz="4" w:space="0" w:color="auto"/>
              <w:right w:val="single" w:sz="4" w:space="0" w:color="auto"/>
            </w:tcBorders>
            <w:shd w:val="clear" w:color="auto" w:fill="auto"/>
            <w:noWrap/>
            <w:vAlign w:val="center"/>
            <w:hideMark/>
          </w:tcPr>
          <w:p w14:paraId="1EC3863A"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$64,996.72 </w:t>
            </w:r>
          </w:p>
        </w:tc>
      </w:tr>
      <w:tr w:rsidR="00B24987" w:rsidRPr="00B24987" w14:paraId="1E31653B"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1DCC0D0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B. Required Activities</w:t>
            </w:r>
          </w:p>
        </w:tc>
        <w:tc>
          <w:tcPr>
            <w:tcW w:w="1196" w:type="dxa"/>
            <w:tcBorders>
              <w:top w:val="nil"/>
              <w:left w:val="nil"/>
              <w:bottom w:val="single" w:sz="4" w:space="0" w:color="auto"/>
              <w:right w:val="single" w:sz="4" w:space="0" w:color="auto"/>
            </w:tcBorders>
            <w:shd w:val="clear" w:color="auto" w:fill="auto"/>
            <w:noWrap/>
            <w:vAlign w:val="bottom"/>
            <w:hideMark/>
          </w:tcPr>
          <w:p w14:paraId="381C3FB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C4896D"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44D8D47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4D5AD59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0C08980"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567BB34"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785B39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F46E7A4"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41A293C6"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68055C6D"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Initial CMS performance evaluation </w:t>
            </w:r>
            <w:r w:rsidRPr="00B24987">
              <w:rPr>
                <w:color w:val="000000"/>
                <w:sz w:val="20"/>
                <w:szCs w:val="20"/>
                <w:vertAlign w:val="superscript"/>
              </w:rPr>
              <w:t>d</w:t>
            </w:r>
          </w:p>
        </w:tc>
        <w:tc>
          <w:tcPr>
            <w:tcW w:w="1196" w:type="dxa"/>
            <w:tcBorders>
              <w:top w:val="nil"/>
              <w:left w:val="nil"/>
              <w:bottom w:val="single" w:sz="4" w:space="0" w:color="auto"/>
              <w:right w:val="single" w:sz="4" w:space="0" w:color="auto"/>
            </w:tcBorders>
            <w:shd w:val="clear" w:color="auto" w:fill="auto"/>
            <w:noWrap/>
            <w:vAlign w:val="center"/>
            <w:hideMark/>
          </w:tcPr>
          <w:p w14:paraId="30B7B33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hideMark/>
          </w:tcPr>
          <w:p w14:paraId="1262205E"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5980672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12</w:t>
            </w:r>
          </w:p>
        </w:tc>
        <w:tc>
          <w:tcPr>
            <w:tcW w:w="1263" w:type="dxa"/>
            <w:tcBorders>
              <w:top w:val="nil"/>
              <w:left w:val="nil"/>
              <w:bottom w:val="single" w:sz="4" w:space="0" w:color="auto"/>
              <w:right w:val="single" w:sz="4" w:space="0" w:color="auto"/>
            </w:tcBorders>
            <w:shd w:val="clear" w:color="auto" w:fill="auto"/>
            <w:noWrap/>
            <w:vAlign w:val="center"/>
            <w:hideMark/>
          </w:tcPr>
          <w:p w14:paraId="2E02151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0EEF51C"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A3DF50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05EE272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1C609E38"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$0 </w:t>
            </w:r>
          </w:p>
        </w:tc>
      </w:tr>
      <w:tr w:rsidR="00B24987" w:rsidRPr="00B24987" w14:paraId="3CCCF223"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150BED12"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Performance test </w:t>
            </w:r>
            <w:r w:rsidRPr="00B24987">
              <w:rPr>
                <w:color w:val="000000"/>
                <w:sz w:val="20"/>
                <w:szCs w:val="20"/>
                <w:vertAlign w:val="superscript"/>
              </w:rPr>
              <w:t>e</w:t>
            </w:r>
          </w:p>
        </w:tc>
        <w:tc>
          <w:tcPr>
            <w:tcW w:w="1196" w:type="dxa"/>
            <w:tcBorders>
              <w:top w:val="nil"/>
              <w:left w:val="nil"/>
              <w:bottom w:val="single" w:sz="4" w:space="0" w:color="auto"/>
              <w:right w:val="single" w:sz="4" w:space="0" w:color="auto"/>
            </w:tcBorders>
            <w:shd w:val="clear" w:color="auto" w:fill="auto"/>
            <w:noWrap/>
            <w:vAlign w:val="center"/>
            <w:hideMark/>
          </w:tcPr>
          <w:p w14:paraId="059292B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hideMark/>
          </w:tcPr>
          <w:p w14:paraId="63138C1C"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7FF3044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12</w:t>
            </w:r>
          </w:p>
        </w:tc>
        <w:tc>
          <w:tcPr>
            <w:tcW w:w="1263" w:type="dxa"/>
            <w:tcBorders>
              <w:top w:val="nil"/>
              <w:left w:val="nil"/>
              <w:bottom w:val="single" w:sz="4" w:space="0" w:color="auto"/>
              <w:right w:val="single" w:sz="4" w:space="0" w:color="auto"/>
            </w:tcBorders>
            <w:shd w:val="clear" w:color="auto" w:fill="auto"/>
            <w:noWrap/>
            <w:vAlign w:val="center"/>
            <w:hideMark/>
          </w:tcPr>
          <w:p w14:paraId="28F73C0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FC5DF1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50C17F9"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4C00822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4A8DCBB6"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$0 </w:t>
            </w:r>
          </w:p>
        </w:tc>
      </w:tr>
      <w:tr w:rsidR="00B24987" w:rsidRPr="00B24987" w14:paraId="7C1E4DE5"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1D720D92"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C. Create Information</w:t>
            </w:r>
          </w:p>
        </w:tc>
        <w:tc>
          <w:tcPr>
            <w:tcW w:w="1196" w:type="dxa"/>
            <w:tcBorders>
              <w:top w:val="nil"/>
              <w:left w:val="nil"/>
              <w:bottom w:val="single" w:sz="4" w:space="0" w:color="auto"/>
              <w:right w:val="single" w:sz="4" w:space="0" w:color="auto"/>
            </w:tcBorders>
            <w:shd w:val="clear" w:color="auto" w:fill="auto"/>
            <w:noWrap/>
            <w:vAlign w:val="center"/>
            <w:hideMark/>
          </w:tcPr>
          <w:p w14:paraId="3B7F603F"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See 3B</w:t>
            </w:r>
          </w:p>
        </w:tc>
        <w:tc>
          <w:tcPr>
            <w:tcW w:w="1276" w:type="dxa"/>
            <w:tcBorders>
              <w:top w:val="nil"/>
              <w:left w:val="nil"/>
              <w:bottom w:val="single" w:sz="4" w:space="0" w:color="auto"/>
              <w:right w:val="single" w:sz="4" w:space="0" w:color="auto"/>
            </w:tcBorders>
            <w:shd w:val="clear" w:color="auto" w:fill="auto"/>
            <w:noWrap/>
            <w:vAlign w:val="bottom"/>
            <w:hideMark/>
          </w:tcPr>
          <w:p w14:paraId="209C324C"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2342462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408B31D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70505B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6B8FED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21480C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79C240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6578A6E4"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319F3CFC"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D. Gather Existing Information</w:t>
            </w:r>
          </w:p>
        </w:tc>
        <w:tc>
          <w:tcPr>
            <w:tcW w:w="1196" w:type="dxa"/>
            <w:tcBorders>
              <w:top w:val="nil"/>
              <w:left w:val="nil"/>
              <w:bottom w:val="single" w:sz="4" w:space="0" w:color="auto"/>
              <w:right w:val="single" w:sz="4" w:space="0" w:color="auto"/>
            </w:tcBorders>
            <w:shd w:val="clear" w:color="auto" w:fill="auto"/>
            <w:noWrap/>
            <w:vAlign w:val="center"/>
            <w:hideMark/>
          </w:tcPr>
          <w:p w14:paraId="44F34D83"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See 3B</w:t>
            </w:r>
          </w:p>
        </w:tc>
        <w:tc>
          <w:tcPr>
            <w:tcW w:w="1276" w:type="dxa"/>
            <w:tcBorders>
              <w:top w:val="nil"/>
              <w:left w:val="nil"/>
              <w:bottom w:val="single" w:sz="4" w:space="0" w:color="auto"/>
              <w:right w:val="single" w:sz="4" w:space="0" w:color="auto"/>
            </w:tcBorders>
            <w:shd w:val="clear" w:color="auto" w:fill="auto"/>
            <w:noWrap/>
            <w:vAlign w:val="bottom"/>
            <w:hideMark/>
          </w:tcPr>
          <w:p w14:paraId="44F17CB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7F4B8346"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0EF8171C"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E9B384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CA007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77808974"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1926182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5BF52F9C"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60A7712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E. Write Report</w:t>
            </w:r>
          </w:p>
        </w:tc>
        <w:tc>
          <w:tcPr>
            <w:tcW w:w="1196" w:type="dxa"/>
            <w:tcBorders>
              <w:top w:val="nil"/>
              <w:left w:val="nil"/>
              <w:bottom w:val="single" w:sz="4" w:space="0" w:color="auto"/>
              <w:right w:val="single" w:sz="4" w:space="0" w:color="auto"/>
            </w:tcBorders>
            <w:shd w:val="clear" w:color="auto" w:fill="auto"/>
            <w:noWrap/>
            <w:vAlign w:val="bottom"/>
            <w:hideMark/>
          </w:tcPr>
          <w:p w14:paraId="12AD272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C40DA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574BF37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17C8007D"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EC7703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42989CE"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7898A622"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132A61C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26E85385"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68304F3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Initial notification </w:t>
            </w:r>
            <w:r w:rsidRPr="00B24987">
              <w:rPr>
                <w:color w:val="000000"/>
                <w:sz w:val="20"/>
                <w:szCs w:val="20"/>
                <w:vertAlign w:val="superscript"/>
              </w:rPr>
              <w:t>f</w:t>
            </w:r>
          </w:p>
        </w:tc>
        <w:tc>
          <w:tcPr>
            <w:tcW w:w="1196" w:type="dxa"/>
            <w:tcBorders>
              <w:top w:val="nil"/>
              <w:left w:val="nil"/>
              <w:bottom w:val="single" w:sz="4" w:space="0" w:color="auto"/>
              <w:right w:val="single" w:sz="4" w:space="0" w:color="auto"/>
            </w:tcBorders>
            <w:shd w:val="clear" w:color="auto" w:fill="auto"/>
            <w:noWrap/>
            <w:vAlign w:val="center"/>
            <w:hideMark/>
          </w:tcPr>
          <w:p w14:paraId="205C894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190BA33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6E814BD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center"/>
            <w:hideMark/>
          </w:tcPr>
          <w:p w14:paraId="7146A52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14:paraId="3E39EE4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4F770D6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0.8</w:t>
            </w:r>
          </w:p>
        </w:tc>
        <w:tc>
          <w:tcPr>
            <w:tcW w:w="900" w:type="dxa"/>
            <w:tcBorders>
              <w:top w:val="nil"/>
              <w:left w:val="nil"/>
              <w:bottom w:val="single" w:sz="4" w:space="0" w:color="auto"/>
              <w:right w:val="single" w:sz="4" w:space="0" w:color="auto"/>
            </w:tcBorders>
            <w:shd w:val="clear" w:color="auto" w:fill="auto"/>
            <w:noWrap/>
            <w:vAlign w:val="center"/>
            <w:hideMark/>
          </w:tcPr>
          <w:p w14:paraId="254A330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1.6</w:t>
            </w:r>
          </w:p>
        </w:tc>
        <w:tc>
          <w:tcPr>
            <w:tcW w:w="1345" w:type="dxa"/>
            <w:tcBorders>
              <w:top w:val="nil"/>
              <w:left w:val="nil"/>
              <w:bottom w:val="single" w:sz="4" w:space="0" w:color="auto"/>
              <w:right w:val="single" w:sz="4" w:space="0" w:color="auto"/>
            </w:tcBorders>
            <w:shd w:val="clear" w:color="auto" w:fill="auto"/>
            <w:noWrap/>
            <w:vAlign w:val="center"/>
            <w:hideMark/>
          </w:tcPr>
          <w:p w14:paraId="2A94BB75"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$2,131.04 </w:t>
            </w:r>
          </w:p>
        </w:tc>
      </w:tr>
      <w:tr w:rsidR="00B24987" w:rsidRPr="00B24987" w14:paraId="7C34509B"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39D8CAE4"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Notification of construction/reconstruction </w:t>
            </w:r>
            <w:r w:rsidRPr="00B24987">
              <w:rPr>
                <w:color w:val="000000"/>
                <w:sz w:val="20"/>
                <w:szCs w:val="20"/>
                <w:vertAlign w:val="superscript"/>
              </w:rPr>
              <w:t>g</w:t>
            </w:r>
          </w:p>
        </w:tc>
        <w:tc>
          <w:tcPr>
            <w:tcW w:w="1196" w:type="dxa"/>
            <w:tcBorders>
              <w:top w:val="nil"/>
              <w:left w:val="nil"/>
              <w:bottom w:val="single" w:sz="4" w:space="0" w:color="auto"/>
              <w:right w:val="single" w:sz="4" w:space="0" w:color="auto"/>
            </w:tcBorders>
            <w:shd w:val="clear" w:color="auto" w:fill="auto"/>
            <w:noWrap/>
            <w:vAlign w:val="center"/>
            <w:hideMark/>
          </w:tcPr>
          <w:p w14:paraId="4CEC61CC"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2370A834"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33F1853E"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center"/>
            <w:hideMark/>
          </w:tcPr>
          <w:p w14:paraId="539177C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EAC3E5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0DF986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1CE634E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4688766F"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$0 </w:t>
            </w:r>
          </w:p>
        </w:tc>
      </w:tr>
      <w:tr w:rsidR="00B24987" w:rsidRPr="00B24987" w14:paraId="01B11678"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7E054F6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Notification of actual startup </w:t>
            </w:r>
            <w:r w:rsidRPr="00B24987">
              <w:rPr>
                <w:color w:val="000000"/>
                <w:sz w:val="20"/>
                <w:szCs w:val="20"/>
                <w:vertAlign w:val="superscript"/>
              </w:rPr>
              <w:t>g</w:t>
            </w:r>
          </w:p>
        </w:tc>
        <w:tc>
          <w:tcPr>
            <w:tcW w:w="1196" w:type="dxa"/>
            <w:tcBorders>
              <w:top w:val="nil"/>
              <w:left w:val="nil"/>
              <w:bottom w:val="single" w:sz="4" w:space="0" w:color="auto"/>
              <w:right w:val="single" w:sz="4" w:space="0" w:color="auto"/>
            </w:tcBorders>
            <w:shd w:val="clear" w:color="auto" w:fill="auto"/>
            <w:noWrap/>
            <w:vAlign w:val="center"/>
            <w:hideMark/>
          </w:tcPr>
          <w:p w14:paraId="2CC32CDB"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569CA7B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52DA4535"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center"/>
            <w:hideMark/>
          </w:tcPr>
          <w:p w14:paraId="1A9DF18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8477167"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7D66073"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663EE20F"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157341D4"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$0 </w:t>
            </w:r>
          </w:p>
        </w:tc>
      </w:tr>
      <w:tr w:rsidR="00B24987" w:rsidRPr="00B24987" w14:paraId="3B075311"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01B7B2C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Notification of performance test </w:t>
            </w:r>
            <w:r w:rsidRPr="00B24987">
              <w:rPr>
                <w:color w:val="000000"/>
                <w:sz w:val="20"/>
                <w:szCs w:val="20"/>
                <w:vertAlign w:val="superscript"/>
              </w:rPr>
              <w:t>g</w:t>
            </w:r>
          </w:p>
        </w:tc>
        <w:tc>
          <w:tcPr>
            <w:tcW w:w="1196" w:type="dxa"/>
            <w:tcBorders>
              <w:top w:val="nil"/>
              <w:left w:val="nil"/>
              <w:bottom w:val="single" w:sz="4" w:space="0" w:color="auto"/>
              <w:right w:val="single" w:sz="4" w:space="0" w:color="auto"/>
            </w:tcBorders>
            <w:shd w:val="clear" w:color="auto" w:fill="auto"/>
            <w:noWrap/>
            <w:vAlign w:val="center"/>
            <w:hideMark/>
          </w:tcPr>
          <w:p w14:paraId="7F51D36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012740B3"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59E9C6CD"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center"/>
            <w:hideMark/>
          </w:tcPr>
          <w:p w14:paraId="787C9404"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E47582F"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20EF14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424BAB8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6BFF4502"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$0 </w:t>
            </w:r>
          </w:p>
        </w:tc>
      </w:tr>
      <w:tr w:rsidR="00B24987" w:rsidRPr="00B24987" w14:paraId="0BC3EA84"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230A780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Notification of CMS performance evaluation </w:t>
            </w:r>
            <w:r w:rsidRPr="00B24987">
              <w:rPr>
                <w:color w:val="000000"/>
                <w:sz w:val="20"/>
                <w:szCs w:val="20"/>
                <w:vertAlign w:val="superscript"/>
              </w:rPr>
              <w:t>g</w:t>
            </w:r>
          </w:p>
        </w:tc>
        <w:tc>
          <w:tcPr>
            <w:tcW w:w="1196" w:type="dxa"/>
            <w:tcBorders>
              <w:top w:val="nil"/>
              <w:left w:val="nil"/>
              <w:bottom w:val="single" w:sz="4" w:space="0" w:color="auto"/>
              <w:right w:val="single" w:sz="4" w:space="0" w:color="auto"/>
            </w:tcBorders>
            <w:shd w:val="clear" w:color="auto" w:fill="auto"/>
            <w:noWrap/>
            <w:vAlign w:val="center"/>
            <w:hideMark/>
          </w:tcPr>
          <w:p w14:paraId="63ABC85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503167A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126163E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center"/>
            <w:hideMark/>
          </w:tcPr>
          <w:p w14:paraId="3D427BA5"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A8E43E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ECFE26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082CD845"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3B717C8C"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$0 </w:t>
            </w:r>
          </w:p>
        </w:tc>
      </w:tr>
      <w:tr w:rsidR="00B24987" w:rsidRPr="00B24987" w14:paraId="0CD2E910"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760893C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Notification of compliance status </w:t>
            </w:r>
            <w:r w:rsidRPr="00B24987">
              <w:rPr>
                <w:color w:val="000000"/>
                <w:sz w:val="20"/>
                <w:szCs w:val="20"/>
                <w:vertAlign w:val="superscript"/>
              </w:rPr>
              <w:t>g</w:t>
            </w:r>
          </w:p>
        </w:tc>
        <w:tc>
          <w:tcPr>
            <w:tcW w:w="1196" w:type="dxa"/>
            <w:tcBorders>
              <w:top w:val="nil"/>
              <w:left w:val="nil"/>
              <w:bottom w:val="single" w:sz="4" w:space="0" w:color="auto"/>
              <w:right w:val="single" w:sz="4" w:space="0" w:color="auto"/>
            </w:tcBorders>
            <w:shd w:val="clear" w:color="auto" w:fill="auto"/>
            <w:noWrap/>
            <w:vAlign w:val="center"/>
            <w:hideMark/>
          </w:tcPr>
          <w:p w14:paraId="4219501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602281A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26D4FB2D"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center"/>
            <w:hideMark/>
          </w:tcPr>
          <w:p w14:paraId="53B4AB7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522BDF5"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0DE5604"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5C96B483"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1C97F65C"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$0 </w:t>
            </w:r>
          </w:p>
        </w:tc>
      </w:tr>
      <w:tr w:rsidR="00B24987" w:rsidRPr="00B24987" w14:paraId="18601B56"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1243C2C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Annual compliance report </w:t>
            </w:r>
            <w:r w:rsidRPr="00B24987">
              <w:rPr>
                <w:color w:val="000000"/>
                <w:sz w:val="20"/>
                <w:szCs w:val="20"/>
                <w:vertAlign w:val="superscript"/>
              </w:rPr>
              <w:t>h</w:t>
            </w:r>
          </w:p>
        </w:tc>
        <w:tc>
          <w:tcPr>
            <w:tcW w:w="1196" w:type="dxa"/>
            <w:tcBorders>
              <w:top w:val="nil"/>
              <w:left w:val="nil"/>
              <w:bottom w:val="single" w:sz="4" w:space="0" w:color="auto"/>
              <w:right w:val="single" w:sz="4" w:space="0" w:color="auto"/>
            </w:tcBorders>
            <w:shd w:val="clear" w:color="auto" w:fill="auto"/>
            <w:noWrap/>
            <w:vAlign w:val="center"/>
            <w:hideMark/>
          </w:tcPr>
          <w:p w14:paraId="4C9466CB"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14:paraId="7438686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330A8F3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8</w:t>
            </w:r>
          </w:p>
        </w:tc>
        <w:tc>
          <w:tcPr>
            <w:tcW w:w="1263" w:type="dxa"/>
            <w:tcBorders>
              <w:top w:val="nil"/>
              <w:left w:val="nil"/>
              <w:bottom w:val="single" w:sz="4" w:space="0" w:color="auto"/>
              <w:right w:val="single" w:sz="4" w:space="0" w:color="auto"/>
            </w:tcBorders>
            <w:shd w:val="clear" w:color="auto" w:fill="auto"/>
            <w:noWrap/>
            <w:vAlign w:val="center"/>
            <w:hideMark/>
          </w:tcPr>
          <w:p w14:paraId="3724E94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1E1525E7"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2C5BC6BE"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1.2</w:t>
            </w:r>
          </w:p>
        </w:tc>
        <w:tc>
          <w:tcPr>
            <w:tcW w:w="900" w:type="dxa"/>
            <w:tcBorders>
              <w:top w:val="nil"/>
              <w:left w:val="nil"/>
              <w:bottom w:val="single" w:sz="4" w:space="0" w:color="auto"/>
              <w:right w:val="single" w:sz="4" w:space="0" w:color="auto"/>
            </w:tcBorders>
            <w:shd w:val="clear" w:color="auto" w:fill="auto"/>
            <w:noWrap/>
            <w:vAlign w:val="center"/>
            <w:hideMark/>
          </w:tcPr>
          <w:p w14:paraId="57E426DC"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2.4</w:t>
            </w:r>
          </w:p>
        </w:tc>
        <w:tc>
          <w:tcPr>
            <w:tcW w:w="1345" w:type="dxa"/>
            <w:tcBorders>
              <w:top w:val="nil"/>
              <w:left w:val="nil"/>
              <w:bottom w:val="single" w:sz="4" w:space="0" w:color="auto"/>
              <w:right w:val="single" w:sz="4" w:space="0" w:color="auto"/>
            </w:tcBorders>
            <w:shd w:val="clear" w:color="auto" w:fill="auto"/>
            <w:noWrap/>
            <w:vAlign w:val="center"/>
            <w:hideMark/>
          </w:tcPr>
          <w:p w14:paraId="66B3BCD5"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$3,196.56 </w:t>
            </w:r>
          </w:p>
        </w:tc>
      </w:tr>
      <w:tr w:rsidR="000C3790" w:rsidRPr="00B24987" w14:paraId="3D3175C5"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3A05718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Semiannual compliance reports </w:t>
            </w:r>
            <w:r w:rsidRPr="00B24987">
              <w:rPr>
                <w:color w:val="000000"/>
                <w:sz w:val="20"/>
                <w:szCs w:val="20"/>
                <w:vertAlign w:val="superscript"/>
              </w:rPr>
              <w:t>i</w:t>
            </w:r>
          </w:p>
        </w:tc>
        <w:tc>
          <w:tcPr>
            <w:tcW w:w="1196" w:type="dxa"/>
            <w:tcBorders>
              <w:top w:val="nil"/>
              <w:left w:val="nil"/>
              <w:bottom w:val="single" w:sz="4" w:space="0" w:color="auto"/>
              <w:right w:val="single" w:sz="4" w:space="0" w:color="auto"/>
            </w:tcBorders>
            <w:shd w:val="clear" w:color="auto" w:fill="auto"/>
            <w:noWrap/>
            <w:vAlign w:val="center"/>
            <w:hideMark/>
          </w:tcPr>
          <w:p w14:paraId="7DE24114"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14:paraId="6BE79D1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178" w:type="dxa"/>
            <w:tcBorders>
              <w:top w:val="nil"/>
              <w:left w:val="nil"/>
              <w:bottom w:val="single" w:sz="4" w:space="0" w:color="auto"/>
              <w:right w:val="single" w:sz="4" w:space="0" w:color="auto"/>
            </w:tcBorders>
            <w:shd w:val="clear" w:color="auto" w:fill="auto"/>
            <w:noWrap/>
            <w:vAlign w:val="center"/>
            <w:hideMark/>
          </w:tcPr>
          <w:p w14:paraId="2F81784F"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16</w:t>
            </w:r>
          </w:p>
        </w:tc>
        <w:tc>
          <w:tcPr>
            <w:tcW w:w="1263" w:type="dxa"/>
            <w:tcBorders>
              <w:top w:val="nil"/>
              <w:left w:val="nil"/>
              <w:bottom w:val="single" w:sz="4" w:space="0" w:color="auto"/>
              <w:right w:val="single" w:sz="4" w:space="0" w:color="auto"/>
            </w:tcBorders>
            <w:shd w:val="clear" w:color="auto" w:fill="auto"/>
            <w:noWrap/>
            <w:vAlign w:val="center"/>
            <w:hideMark/>
          </w:tcPr>
          <w:p w14:paraId="14F12E2B"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0384D555"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19F8C9B7"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1.6</w:t>
            </w:r>
          </w:p>
        </w:tc>
        <w:tc>
          <w:tcPr>
            <w:tcW w:w="900" w:type="dxa"/>
            <w:tcBorders>
              <w:top w:val="nil"/>
              <w:left w:val="nil"/>
              <w:bottom w:val="single" w:sz="4" w:space="0" w:color="auto"/>
              <w:right w:val="single" w:sz="4" w:space="0" w:color="auto"/>
            </w:tcBorders>
            <w:shd w:val="clear" w:color="auto" w:fill="auto"/>
            <w:noWrap/>
            <w:vAlign w:val="center"/>
            <w:hideMark/>
          </w:tcPr>
          <w:p w14:paraId="785F2EEB"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3.2</w:t>
            </w:r>
          </w:p>
        </w:tc>
        <w:tc>
          <w:tcPr>
            <w:tcW w:w="1345" w:type="dxa"/>
            <w:tcBorders>
              <w:top w:val="nil"/>
              <w:left w:val="nil"/>
              <w:bottom w:val="single" w:sz="4" w:space="0" w:color="auto"/>
              <w:right w:val="single" w:sz="4" w:space="0" w:color="auto"/>
            </w:tcBorders>
            <w:shd w:val="clear" w:color="auto" w:fill="auto"/>
            <w:noWrap/>
            <w:vAlign w:val="center"/>
            <w:hideMark/>
          </w:tcPr>
          <w:p w14:paraId="7697EB79"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$4,262.08 </w:t>
            </w:r>
          </w:p>
        </w:tc>
      </w:tr>
      <w:tr w:rsidR="000C3790" w:rsidRPr="00B24987" w14:paraId="614FD2DC" w14:textId="77777777" w:rsidTr="000C3790">
        <w:trPr>
          <w:trHeight w:val="300"/>
        </w:trPr>
        <w:tc>
          <w:tcPr>
            <w:tcW w:w="3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FE74D" w14:textId="77777777" w:rsidR="00B24987" w:rsidRPr="00B24987" w:rsidRDefault="00B24987" w:rsidP="00B24987">
            <w:pPr>
              <w:widowControl/>
              <w:autoSpaceDE/>
              <w:autoSpaceDN/>
              <w:adjustRightInd/>
              <w:rPr>
                <w:b/>
                <w:bCs/>
                <w:i/>
                <w:iCs/>
                <w:color w:val="000000"/>
                <w:sz w:val="20"/>
                <w:szCs w:val="20"/>
              </w:rPr>
            </w:pPr>
            <w:r w:rsidRPr="00B24987">
              <w:rPr>
                <w:b/>
                <w:bCs/>
                <w:i/>
                <w:iCs/>
                <w:color w:val="000000"/>
                <w:sz w:val="20"/>
                <w:szCs w:val="20"/>
              </w:rPr>
              <w:t xml:space="preserve">  Subtotal for Reporting Requirements</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14:paraId="1ED93B8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ECE947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622B04A"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1BD1C18E"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FB20AD" w14:textId="77777777" w:rsidR="00B24987" w:rsidRPr="00B24987" w:rsidRDefault="00B24987" w:rsidP="00B24987">
            <w:pPr>
              <w:widowControl/>
              <w:autoSpaceDE/>
              <w:autoSpaceDN/>
              <w:adjustRightInd/>
              <w:jc w:val="center"/>
              <w:rPr>
                <w:b/>
                <w:bCs/>
                <w:color w:val="000000"/>
                <w:sz w:val="20"/>
                <w:szCs w:val="20"/>
              </w:rPr>
            </w:pPr>
            <w:r w:rsidRPr="00B24987">
              <w:rPr>
                <w:b/>
                <w:bCs/>
                <w:color w:val="000000"/>
                <w:sz w:val="20"/>
                <w:szCs w:val="20"/>
              </w:rPr>
              <w:t>644</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3521809D" w14:textId="77777777" w:rsidR="00B24987" w:rsidRPr="00B24987" w:rsidRDefault="00B24987" w:rsidP="00B24987">
            <w:pPr>
              <w:widowControl/>
              <w:autoSpaceDE/>
              <w:autoSpaceDN/>
              <w:adjustRightInd/>
              <w:jc w:val="right"/>
              <w:rPr>
                <w:b/>
                <w:bCs/>
                <w:color w:val="000000"/>
                <w:sz w:val="20"/>
                <w:szCs w:val="20"/>
              </w:rPr>
            </w:pPr>
            <w:r w:rsidRPr="00B24987">
              <w:rPr>
                <w:b/>
                <w:bCs/>
                <w:color w:val="000000"/>
                <w:sz w:val="20"/>
                <w:szCs w:val="20"/>
              </w:rPr>
              <w:t xml:space="preserve">$74,586.40 </w:t>
            </w:r>
          </w:p>
        </w:tc>
      </w:tr>
      <w:tr w:rsidR="00B24987" w:rsidRPr="00B24987" w14:paraId="103B0CBC"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4E593B3B"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4. Recordkeeping Requirements</w:t>
            </w:r>
          </w:p>
        </w:tc>
        <w:tc>
          <w:tcPr>
            <w:tcW w:w="1196" w:type="dxa"/>
            <w:tcBorders>
              <w:top w:val="nil"/>
              <w:left w:val="nil"/>
              <w:bottom w:val="single" w:sz="4" w:space="0" w:color="auto"/>
              <w:right w:val="single" w:sz="4" w:space="0" w:color="auto"/>
            </w:tcBorders>
            <w:shd w:val="clear" w:color="auto" w:fill="auto"/>
            <w:noWrap/>
            <w:vAlign w:val="bottom"/>
            <w:hideMark/>
          </w:tcPr>
          <w:p w14:paraId="50422332"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4D0A10"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6A87B39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7300C4D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F8DA13C"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6F6F4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90E14ED"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7C4578D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7CBDA920"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4464366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A. Familiarization with the regulatory requirements</w:t>
            </w:r>
          </w:p>
        </w:tc>
        <w:tc>
          <w:tcPr>
            <w:tcW w:w="1196" w:type="dxa"/>
            <w:tcBorders>
              <w:top w:val="nil"/>
              <w:left w:val="nil"/>
              <w:bottom w:val="single" w:sz="4" w:space="0" w:color="auto"/>
              <w:right w:val="single" w:sz="4" w:space="0" w:color="auto"/>
            </w:tcBorders>
            <w:shd w:val="clear" w:color="auto" w:fill="auto"/>
            <w:noWrap/>
            <w:vAlign w:val="center"/>
            <w:hideMark/>
          </w:tcPr>
          <w:p w14:paraId="5386F5E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See 3A</w:t>
            </w:r>
          </w:p>
        </w:tc>
        <w:tc>
          <w:tcPr>
            <w:tcW w:w="1276" w:type="dxa"/>
            <w:tcBorders>
              <w:top w:val="nil"/>
              <w:left w:val="nil"/>
              <w:bottom w:val="single" w:sz="4" w:space="0" w:color="auto"/>
              <w:right w:val="single" w:sz="4" w:space="0" w:color="auto"/>
            </w:tcBorders>
            <w:shd w:val="clear" w:color="auto" w:fill="auto"/>
            <w:noWrap/>
            <w:vAlign w:val="bottom"/>
            <w:hideMark/>
          </w:tcPr>
          <w:p w14:paraId="7B94E134"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199087D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58B932C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3DDE20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35B37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1328C2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6B38CA8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427C39AE"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130E30F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B. Plan Activities</w:t>
            </w:r>
          </w:p>
        </w:tc>
        <w:tc>
          <w:tcPr>
            <w:tcW w:w="1196" w:type="dxa"/>
            <w:tcBorders>
              <w:top w:val="nil"/>
              <w:left w:val="nil"/>
              <w:bottom w:val="single" w:sz="4" w:space="0" w:color="auto"/>
              <w:right w:val="single" w:sz="4" w:space="0" w:color="auto"/>
            </w:tcBorders>
            <w:shd w:val="clear" w:color="auto" w:fill="auto"/>
            <w:noWrap/>
            <w:vAlign w:val="center"/>
            <w:hideMark/>
          </w:tcPr>
          <w:p w14:paraId="2279C68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See 3B</w:t>
            </w:r>
          </w:p>
        </w:tc>
        <w:tc>
          <w:tcPr>
            <w:tcW w:w="1276" w:type="dxa"/>
            <w:tcBorders>
              <w:top w:val="nil"/>
              <w:left w:val="nil"/>
              <w:bottom w:val="single" w:sz="4" w:space="0" w:color="auto"/>
              <w:right w:val="single" w:sz="4" w:space="0" w:color="auto"/>
            </w:tcBorders>
            <w:shd w:val="clear" w:color="auto" w:fill="auto"/>
            <w:noWrap/>
            <w:vAlign w:val="bottom"/>
            <w:hideMark/>
          </w:tcPr>
          <w:p w14:paraId="34C11AF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6F34DA0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599D76B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8E0369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9B8FE8"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6EC889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0B4072AE"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1C5C0BC3"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32BD921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C. Implement Activities</w:t>
            </w:r>
          </w:p>
        </w:tc>
        <w:tc>
          <w:tcPr>
            <w:tcW w:w="1196" w:type="dxa"/>
            <w:tcBorders>
              <w:top w:val="nil"/>
              <w:left w:val="nil"/>
              <w:bottom w:val="single" w:sz="4" w:space="0" w:color="auto"/>
              <w:right w:val="single" w:sz="4" w:space="0" w:color="auto"/>
            </w:tcBorders>
            <w:shd w:val="clear" w:color="auto" w:fill="auto"/>
            <w:noWrap/>
            <w:vAlign w:val="center"/>
            <w:hideMark/>
          </w:tcPr>
          <w:p w14:paraId="2D9A59F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See 3B</w:t>
            </w:r>
          </w:p>
        </w:tc>
        <w:tc>
          <w:tcPr>
            <w:tcW w:w="1276" w:type="dxa"/>
            <w:tcBorders>
              <w:top w:val="nil"/>
              <w:left w:val="nil"/>
              <w:bottom w:val="single" w:sz="4" w:space="0" w:color="auto"/>
              <w:right w:val="single" w:sz="4" w:space="0" w:color="auto"/>
            </w:tcBorders>
            <w:shd w:val="clear" w:color="auto" w:fill="auto"/>
            <w:noWrap/>
            <w:vAlign w:val="bottom"/>
            <w:hideMark/>
          </w:tcPr>
          <w:p w14:paraId="1579475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68B3D2AA"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55A5A4B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EACDBF8"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7F8A9D"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2FF59ADA"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7C4273A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67A663D9"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123C0AF0"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D. Time to Enter Information</w:t>
            </w:r>
          </w:p>
        </w:tc>
        <w:tc>
          <w:tcPr>
            <w:tcW w:w="1196" w:type="dxa"/>
            <w:tcBorders>
              <w:top w:val="nil"/>
              <w:left w:val="nil"/>
              <w:bottom w:val="single" w:sz="4" w:space="0" w:color="auto"/>
              <w:right w:val="single" w:sz="4" w:space="0" w:color="auto"/>
            </w:tcBorders>
            <w:shd w:val="clear" w:color="auto" w:fill="auto"/>
            <w:noWrap/>
            <w:vAlign w:val="bottom"/>
            <w:hideMark/>
          </w:tcPr>
          <w:p w14:paraId="247C5D86"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1CAA5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30BF51C0"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36B0088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A44958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289456"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33CF879A"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B91E90D"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5241FFDC"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75516AA6"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xml:space="preserve">Records of operating parameters </w:t>
            </w:r>
            <w:r w:rsidRPr="00B24987">
              <w:rPr>
                <w:color w:val="000000"/>
                <w:sz w:val="20"/>
                <w:szCs w:val="20"/>
                <w:vertAlign w:val="superscript"/>
              </w:rPr>
              <w:t>j</w:t>
            </w:r>
          </w:p>
        </w:tc>
        <w:tc>
          <w:tcPr>
            <w:tcW w:w="1196" w:type="dxa"/>
            <w:tcBorders>
              <w:top w:val="nil"/>
              <w:left w:val="nil"/>
              <w:bottom w:val="single" w:sz="4" w:space="0" w:color="auto"/>
              <w:right w:val="single" w:sz="4" w:space="0" w:color="auto"/>
            </w:tcBorders>
            <w:shd w:val="clear" w:color="auto" w:fill="auto"/>
            <w:noWrap/>
            <w:vAlign w:val="center"/>
            <w:hideMark/>
          </w:tcPr>
          <w:p w14:paraId="4F7554F2"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center"/>
            <w:hideMark/>
          </w:tcPr>
          <w:p w14:paraId="63489E74"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12</w:t>
            </w:r>
          </w:p>
        </w:tc>
        <w:tc>
          <w:tcPr>
            <w:tcW w:w="1178" w:type="dxa"/>
            <w:tcBorders>
              <w:top w:val="nil"/>
              <w:left w:val="nil"/>
              <w:bottom w:val="single" w:sz="4" w:space="0" w:color="auto"/>
              <w:right w:val="single" w:sz="4" w:space="0" w:color="auto"/>
            </w:tcBorders>
            <w:shd w:val="clear" w:color="auto" w:fill="auto"/>
            <w:noWrap/>
            <w:vAlign w:val="center"/>
            <w:hideMark/>
          </w:tcPr>
          <w:p w14:paraId="73F3C079"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6</w:t>
            </w:r>
          </w:p>
        </w:tc>
        <w:tc>
          <w:tcPr>
            <w:tcW w:w="1263" w:type="dxa"/>
            <w:tcBorders>
              <w:top w:val="nil"/>
              <w:left w:val="nil"/>
              <w:bottom w:val="single" w:sz="4" w:space="0" w:color="auto"/>
              <w:right w:val="single" w:sz="4" w:space="0" w:color="auto"/>
            </w:tcBorders>
            <w:shd w:val="clear" w:color="auto" w:fill="auto"/>
            <w:noWrap/>
            <w:vAlign w:val="center"/>
            <w:hideMark/>
          </w:tcPr>
          <w:p w14:paraId="692BD738"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114</w:t>
            </w:r>
          </w:p>
        </w:tc>
        <w:tc>
          <w:tcPr>
            <w:tcW w:w="1170" w:type="dxa"/>
            <w:tcBorders>
              <w:top w:val="nil"/>
              <w:left w:val="nil"/>
              <w:bottom w:val="single" w:sz="4" w:space="0" w:color="auto"/>
              <w:right w:val="single" w:sz="4" w:space="0" w:color="auto"/>
            </w:tcBorders>
            <w:shd w:val="clear" w:color="auto" w:fill="auto"/>
            <w:noWrap/>
            <w:vAlign w:val="center"/>
            <w:hideMark/>
          </w:tcPr>
          <w:p w14:paraId="51EC6386"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684</w:t>
            </w:r>
          </w:p>
        </w:tc>
        <w:tc>
          <w:tcPr>
            <w:tcW w:w="1260" w:type="dxa"/>
            <w:tcBorders>
              <w:top w:val="nil"/>
              <w:left w:val="nil"/>
              <w:bottom w:val="single" w:sz="4" w:space="0" w:color="auto"/>
              <w:right w:val="single" w:sz="4" w:space="0" w:color="auto"/>
            </w:tcBorders>
            <w:shd w:val="clear" w:color="auto" w:fill="auto"/>
            <w:noWrap/>
            <w:vAlign w:val="center"/>
            <w:hideMark/>
          </w:tcPr>
          <w:p w14:paraId="74B2DFE5"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34.2</w:t>
            </w:r>
          </w:p>
        </w:tc>
        <w:tc>
          <w:tcPr>
            <w:tcW w:w="900" w:type="dxa"/>
            <w:tcBorders>
              <w:top w:val="nil"/>
              <w:left w:val="nil"/>
              <w:bottom w:val="single" w:sz="4" w:space="0" w:color="auto"/>
              <w:right w:val="single" w:sz="4" w:space="0" w:color="auto"/>
            </w:tcBorders>
            <w:shd w:val="clear" w:color="auto" w:fill="auto"/>
            <w:noWrap/>
            <w:vAlign w:val="center"/>
            <w:hideMark/>
          </w:tcPr>
          <w:p w14:paraId="0D445AB1"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68.4</w:t>
            </w:r>
          </w:p>
        </w:tc>
        <w:tc>
          <w:tcPr>
            <w:tcW w:w="1345" w:type="dxa"/>
            <w:tcBorders>
              <w:top w:val="nil"/>
              <w:left w:val="nil"/>
              <w:bottom w:val="single" w:sz="4" w:space="0" w:color="auto"/>
              <w:right w:val="single" w:sz="4" w:space="0" w:color="auto"/>
            </w:tcBorders>
            <w:shd w:val="clear" w:color="auto" w:fill="auto"/>
            <w:noWrap/>
            <w:vAlign w:val="center"/>
            <w:hideMark/>
          </w:tcPr>
          <w:p w14:paraId="1257ED94" w14:textId="77777777" w:rsidR="00B24987" w:rsidRPr="00B24987" w:rsidRDefault="00B24987" w:rsidP="00B24987">
            <w:pPr>
              <w:widowControl/>
              <w:autoSpaceDE/>
              <w:autoSpaceDN/>
              <w:adjustRightInd/>
              <w:jc w:val="right"/>
              <w:rPr>
                <w:color w:val="000000"/>
                <w:sz w:val="20"/>
                <w:szCs w:val="20"/>
              </w:rPr>
            </w:pPr>
            <w:r w:rsidRPr="00B24987">
              <w:rPr>
                <w:color w:val="000000"/>
                <w:sz w:val="20"/>
                <w:szCs w:val="20"/>
              </w:rPr>
              <w:t xml:space="preserve">$91,101.96 </w:t>
            </w:r>
          </w:p>
        </w:tc>
      </w:tr>
      <w:tr w:rsidR="00B24987" w:rsidRPr="00B24987" w14:paraId="6228BDEA"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4901847F"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F. Train Personnel</w:t>
            </w:r>
          </w:p>
        </w:tc>
        <w:tc>
          <w:tcPr>
            <w:tcW w:w="1196" w:type="dxa"/>
            <w:tcBorders>
              <w:top w:val="nil"/>
              <w:left w:val="nil"/>
              <w:bottom w:val="single" w:sz="4" w:space="0" w:color="auto"/>
              <w:right w:val="single" w:sz="4" w:space="0" w:color="auto"/>
            </w:tcBorders>
            <w:shd w:val="clear" w:color="auto" w:fill="auto"/>
            <w:noWrap/>
            <w:vAlign w:val="center"/>
            <w:hideMark/>
          </w:tcPr>
          <w:p w14:paraId="5A44D35A"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N/A</w:t>
            </w:r>
          </w:p>
        </w:tc>
        <w:tc>
          <w:tcPr>
            <w:tcW w:w="1276" w:type="dxa"/>
            <w:tcBorders>
              <w:top w:val="nil"/>
              <w:left w:val="nil"/>
              <w:bottom w:val="single" w:sz="4" w:space="0" w:color="auto"/>
              <w:right w:val="single" w:sz="4" w:space="0" w:color="auto"/>
            </w:tcBorders>
            <w:shd w:val="clear" w:color="auto" w:fill="auto"/>
            <w:noWrap/>
            <w:vAlign w:val="bottom"/>
            <w:hideMark/>
          </w:tcPr>
          <w:p w14:paraId="1D6D0E0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7BBFA5FD"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024FC264"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8E123F6"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2D5F9A"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7B94925"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4A38051B"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B24987" w:rsidRPr="00B24987" w14:paraId="3BBA8085"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500AA36E"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G. Audits</w:t>
            </w:r>
          </w:p>
        </w:tc>
        <w:tc>
          <w:tcPr>
            <w:tcW w:w="1196" w:type="dxa"/>
            <w:tcBorders>
              <w:top w:val="nil"/>
              <w:left w:val="nil"/>
              <w:bottom w:val="single" w:sz="4" w:space="0" w:color="auto"/>
              <w:right w:val="single" w:sz="4" w:space="0" w:color="auto"/>
            </w:tcBorders>
            <w:shd w:val="clear" w:color="auto" w:fill="auto"/>
            <w:noWrap/>
            <w:vAlign w:val="center"/>
            <w:hideMark/>
          </w:tcPr>
          <w:p w14:paraId="432CA29B" w14:textId="77777777" w:rsidR="00B24987" w:rsidRPr="00B24987" w:rsidRDefault="00B24987" w:rsidP="00B24987">
            <w:pPr>
              <w:widowControl/>
              <w:autoSpaceDE/>
              <w:autoSpaceDN/>
              <w:adjustRightInd/>
              <w:jc w:val="center"/>
              <w:rPr>
                <w:color w:val="000000"/>
                <w:sz w:val="20"/>
                <w:szCs w:val="20"/>
              </w:rPr>
            </w:pPr>
            <w:r w:rsidRPr="00B24987">
              <w:rPr>
                <w:color w:val="000000"/>
                <w:sz w:val="20"/>
                <w:szCs w:val="20"/>
              </w:rPr>
              <w:t>N/A</w:t>
            </w:r>
          </w:p>
        </w:tc>
        <w:tc>
          <w:tcPr>
            <w:tcW w:w="1276" w:type="dxa"/>
            <w:tcBorders>
              <w:top w:val="nil"/>
              <w:left w:val="nil"/>
              <w:bottom w:val="single" w:sz="4" w:space="0" w:color="auto"/>
              <w:right w:val="single" w:sz="4" w:space="0" w:color="auto"/>
            </w:tcBorders>
            <w:shd w:val="clear" w:color="auto" w:fill="auto"/>
            <w:noWrap/>
            <w:vAlign w:val="bottom"/>
            <w:hideMark/>
          </w:tcPr>
          <w:p w14:paraId="2266E08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5FBFD103"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5CC24E9C"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54E8D71"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94E890"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8AAC536"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2A5C8DD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r>
      <w:tr w:rsidR="000C3790" w:rsidRPr="00B24987" w14:paraId="1507E812" w14:textId="77777777" w:rsidTr="000C3790">
        <w:trPr>
          <w:trHeight w:val="300"/>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7CE13B1D" w14:textId="77777777" w:rsidR="00B24987" w:rsidRPr="00B24987" w:rsidRDefault="00B24987" w:rsidP="00B24987">
            <w:pPr>
              <w:widowControl/>
              <w:autoSpaceDE/>
              <w:autoSpaceDN/>
              <w:adjustRightInd/>
              <w:rPr>
                <w:b/>
                <w:bCs/>
                <w:i/>
                <w:iCs/>
                <w:color w:val="000000"/>
                <w:sz w:val="20"/>
                <w:szCs w:val="20"/>
              </w:rPr>
            </w:pPr>
            <w:r w:rsidRPr="00B24987">
              <w:rPr>
                <w:b/>
                <w:bCs/>
                <w:i/>
                <w:iCs/>
                <w:color w:val="000000"/>
                <w:sz w:val="20"/>
                <w:szCs w:val="20"/>
              </w:rPr>
              <w:t>Subtotal for Recordkeeping Requirements</w:t>
            </w:r>
          </w:p>
        </w:tc>
        <w:tc>
          <w:tcPr>
            <w:tcW w:w="1196" w:type="dxa"/>
            <w:tcBorders>
              <w:top w:val="nil"/>
              <w:left w:val="nil"/>
              <w:bottom w:val="single" w:sz="4" w:space="0" w:color="auto"/>
              <w:right w:val="single" w:sz="4" w:space="0" w:color="auto"/>
            </w:tcBorders>
            <w:shd w:val="clear" w:color="auto" w:fill="auto"/>
            <w:noWrap/>
            <w:vAlign w:val="bottom"/>
            <w:hideMark/>
          </w:tcPr>
          <w:p w14:paraId="67A5CEB4"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F7C34E"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bottom"/>
            <w:hideMark/>
          </w:tcPr>
          <w:p w14:paraId="620C6119"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0FF5ED27" w14:textId="77777777" w:rsidR="00B24987" w:rsidRPr="00B24987" w:rsidRDefault="00B24987" w:rsidP="00B24987">
            <w:pPr>
              <w:widowControl/>
              <w:autoSpaceDE/>
              <w:autoSpaceDN/>
              <w:adjustRightInd/>
              <w:rPr>
                <w:color w:val="000000"/>
                <w:sz w:val="20"/>
                <w:szCs w:val="20"/>
              </w:rPr>
            </w:pPr>
            <w:r w:rsidRPr="00B24987">
              <w:rPr>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97A850" w14:textId="77777777" w:rsidR="00B24987" w:rsidRPr="00B24987" w:rsidRDefault="00B24987" w:rsidP="00B24987">
            <w:pPr>
              <w:widowControl/>
              <w:autoSpaceDE/>
              <w:autoSpaceDN/>
              <w:adjustRightInd/>
              <w:jc w:val="center"/>
              <w:rPr>
                <w:b/>
                <w:bCs/>
                <w:color w:val="000000"/>
                <w:sz w:val="20"/>
                <w:szCs w:val="20"/>
              </w:rPr>
            </w:pPr>
            <w:r w:rsidRPr="00B24987">
              <w:rPr>
                <w:b/>
                <w:bCs/>
                <w:color w:val="000000"/>
                <w:sz w:val="20"/>
                <w:szCs w:val="20"/>
              </w:rPr>
              <w:t>787</w:t>
            </w:r>
          </w:p>
        </w:tc>
        <w:tc>
          <w:tcPr>
            <w:tcW w:w="1345" w:type="dxa"/>
            <w:tcBorders>
              <w:top w:val="nil"/>
              <w:left w:val="nil"/>
              <w:bottom w:val="single" w:sz="4" w:space="0" w:color="auto"/>
              <w:right w:val="single" w:sz="4" w:space="0" w:color="auto"/>
            </w:tcBorders>
            <w:shd w:val="clear" w:color="auto" w:fill="auto"/>
            <w:noWrap/>
            <w:vAlign w:val="center"/>
            <w:hideMark/>
          </w:tcPr>
          <w:p w14:paraId="1D20F947" w14:textId="77777777" w:rsidR="00B24987" w:rsidRPr="00B24987" w:rsidRDefault="00B24987" w:rsidP="00B24987">
            <w:pPr>
              <w:widowControl/>
              <w:autoSpaceDE/>
              <w:autoSpaceDN/>
              <w:adjustRightInd/>
              <w:jc w:val="right"/>
              <w:rPr>
                <w:b/>
                <w:bCs/>
                <w:color w:val="000000"/>
                <w:sz w:val="20"/>
                <w:szCs w:val="20"/>
              </w:rPr>
            </w:pPr>
            <w:r w:rsidRPr="00B24987">
              <w:rPr>
                <w:b/>
                <w:bCs/>
                <w:color w:val="000000"/>
                <w:sz w:val="20"/>
                <w:szCs w:val="20"/>
              </w:rPr>
              <w:t xml:space="preserve">$91,102 </w:t>
            </w:r>
          </w:p>
        </w:tc>
      </w:tr>
      <w:tr w:rsidR="000C3790" w:rsidRPr="00B24987" w14:paraId="69EA7AD0"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noWrap/>
            <w:vAlign w:val="center"/>
            <w:hideMark/>
          </w:tcPr>
          <w:p w14:paraId="6B5EB4C2"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 xml:space="preserve">TOTAN ANNUAL BURDEN AND COST (rounded) </w:t>
            </w:r>
            <w:r w:rsidRPr="00B24987">
              <w:rPr>
                <w:b/>
                <w:bCs/>
                <w:color w:val="000000"/>
                <w:sz w:val="20"/>
                <w:szCs w:val="20"/>
                <w:vertAlign w:val="superscript"/>
              </w:rPr>
              <w:t>k</w:t>
            </w:r>
          </w:p>
        </w:tc>
        <w:tc>
          <w:tcPr>
            <w:tcW w:w="1196" w:type="dxa"/>
            <w:tcBorders>
              <w:top w:val="nil"/>
              <w:left w:val="nil"/>
              <w:bottom w:val="single" w:sz="4" w:space="0" w:color="auto"/>
              <w:right w:val="single" w:sz="4" w:space="0" w:color="auto"/>
            </w:tcBorders>
            <w:shd w:val="clear" w:color="auto" w:fill="auto"/>
            <w:noWrap/>
            <w:vAlign w:val="center"/>
            <w:hideMark/>
          </w:tcPr>
          <w:p w14:paraId="2B49557D"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615C2D"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 </w:t>
            </w:r>
          </w:p>
        </w:tc>
        <w:tc>
          <w:tcPr>
            <w:tcW w:w="1178" w:type="dxa"/>
            <w:tcBorders>
              <w:top w:val="nil"/>
              <w:left w:val="nil"/>
              <w:bottom w:val="single" w:sz="4" w:space="0" w:color="auto"/>
              <w:right w:val="single" w:sz="4" w:space="0" w:color="auto"/>
            </w:tcBorders>
            <w:shd w:val="clear" w:color="auto" w:fill="auto"/>
            <w:noWrap/>
            <w:vAlign w:val="center"/>
            <w:hideMark/>
          </w:tcPr>
          <w:p w14:paraId="2D19F3EE"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hideMark/>
          </w:tcPr>
          <w:p w14:paraId="57AFB32C"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79844B" w14:textId="77777777" w:rsidR="00B24987" w:rsidRPr="00B24987" w:rsidRDefault="00B24987" w:rsidP="00B24987">
            <w:pPr>
              <w:widowControl/>
              <w:autoSpaceDE/>
              <w:autoSpaceDN/>
              <w:adjustRightInd/>
              <w:jc w:val="center"/>
              <w:rPr>
                <w:b/>
                <w:bCs/>
                <w:color w:val="000000"/>
                <w:sz w:val="20"/>
                <w:szCs w:val="20"/>
              </w:rPr>
            </w:pPr>
            <w:r w:rsidRPr="00B24987">
              <w:rPr>
                <w:b/>
                <w:bCs/>
                <w:color w:val="000000"/>
                <w:sz w:val="20"/>
                <w:szCs w:val="20"/>
              </w:rPr>
              <w:t>1,430</w:t>
            </w:r>
          </w:p>
        </w:tc>
        <w:tc>
          <w:tcPr>
            <w:tcW w:w="1345" w:type="dxa"/>
            <w:tcBorders>
              <w:top w:val="nil"/>
              <w:left w:val="nil"/>
              <w:bottom w:val="single" w:sz="4" w:space="0" w:color="auto"/>
              <w:right w:val="single" w:sz="4" w:space="0" w:color="auto"/>
            </w:tcBorders>
            <w:shd w:val="clear" w:color="auto" w:fill="auto"/>
            <w:noWrap/>
            <w:vAlign w:val="center"/>
            <w:hideMark/>
          </w:tcPr>
          <w:p w14:paraId="72D4D489" w14:textId="77777777" w:rsidR="00B24987" w:rsidRPr="00B24987" w:rsidRDefault="00B24987" w:rsidP="00B24987">
            <w:pPr>
              <w:widowControl/>
              <w:autoSpaceDE/>
              <w:autoSpaceDN/>
              <w:adjustRightInd/>
              <w:jc w:val="right"/>
              <w:rPr>
                <w:b/>
                <w:bCs/>
                <w:color w:val="000000"/>
                <w:sz w:val="20"/>
                <w:szCs w:val="20"/>
              </w:rPr>
            </w:pPr>
            <w:r w:rsidRPr="00B24987">
              <w:rPr>
                <w:b/>
                <w:bCs/>
                <w:color w:val="000000"/>
                <w:sz w:val="20"/>
                <w:szCs w:val="20"/>
              </w:rPr>
              <w:t xml:space="preserve">$166,000 </w:t>
            </w:r>
          </w:p>
        </w:tc>
      </w:tr>
      <w:tr w:rsidR="00B24987" w:rsidRPr="00B24987" w14:paraId="42550983"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vAlign w:val="center"/>
            <w:hideMark/>
          </w:tcPr>
          <w:p w14:paraId="63765EE4"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 xml:space="preserve">Capital and O&amp;M Cost (see Section 6(b)(iii)): </w:t>
            </w:r>
            <w:r w:rsidRPr="00B24987">
              <w:rPr>
                <w:b/>
                <w:bCs/>
                <w:color w:val="000000"/>
                <w:sz w:val="20"/>
                <w:szCs w:val="20"/>
                <w:vertAlign w:val="superscript"/>
              </w:rPr>
              <w:t>k</w:t>
            </w:r>
          </w:p>
        </w:tc>
        <w:tc>
          <w:tcPr>
            <w:tcW w:w="1196" w:type="dxa"/>
            <w:tcBorders>
              <w:top w:val="nil"/>
              <w:left w:val="nil"/>
              <w:bottom w:val="single" w:sz="4" w:space="0" w:color="auto"/>
              <w:right w:val="single" w:sz="4" w:space="0" w:color="auto"/>
            </w:tcBorders>
            <w:shd w:val="clear" w:color="auto" w:fill="auto"/>
            <w:noWrap/>
            <w:vAlign w:val="bottom"/>
            <w:hideMark/>
          </w:tcPr>
          <w:p w14:paraId="4F234F28"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A094D0"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379BCE3"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bottom"/>
            <w:hideMark/>
          </w:tcPr>
          <w:p w14:paraId="50503BB0"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10EA601"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0350C1"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3DAE2B"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center"/>
            <w:hideMark/>
          </w:tcPr>
          <w:p w14:paraId="354F67FC" w14:textId="77777777" w:rsidR="00B24987" w:rsidRPr="00B24987" w:rsidRDefault="00B24987" w:rsidP="00B24987">
            <w:pPr>
              <w:widowControl/>
              <w:autoSpaceDE/>
              <w:autoSpaceDN/>
              <w:adjustRightInd/>
              <w:jc w:val="right"/>
              <w:rPr>
                <w:b/>
                <w:bCs/>
                <w:color w:val="000000"/>
                <w:sz w:val="20"/>
                <w:szCs w:val="20"/>
              </w:rPr>
            </w:pPr>
            <w:r w:rsidRPr="00B24987">
              <w:rPr>
                <w:b/>
                <w:bCs/>
                <w:color w:val="000000"/>
                <w:sz w:val="20"/>
                <w:szCs w:val="20"/>
              </w:rPr>
              <w:t xml:space="preserve">$0 </w:t>
            </w:r>
          </w:p>
        </w:tc>
      </w:tr>
      <w:tr w:rsidR="00B24987" w:rsidRPr="00B24987" w14:paraId="5449AB46" w14:textId="77777777" w:rsidTr="000C3790">
        <w:trPr>
          <w:trHeight w:val="315"/>
        </w:trPr>
        <w:tc>
          <w:tcPr>
            <w:tcW w:w="3452" w:type="dxa"/>
            <w:tcBorders>
              <w:top w:val="nil"/>
              <w:left w:val="single" w:sz="4" w:space="0" w:color="auto"/>
              <w:bottom w:val="single" w:sz="4" w:space="0" w:color="auto"/>
              <w:right w:val="single" w:sz="4" w:space="0" w:color="auto"/>
            </w:tcBorders>
            <w:shd w:val="clear" w:color="auto" w:fill="auto"/>
            <w:vAlign w:val="center"/>
            <w:hideMark/>
          </w:tcPr>
          <w:p w14:paraId="535AADB2" w14:textId="77777777" w:rsidR="00B24987" w:rsidRPr="00B24987" w:rsidRDefault="00B24987" w:rsidP="00B24987">
            <w:pPr>
              <w:widowControl/>
              <w:autoSpaceDE/>
              <w:autoSpaceDN/>
              <w:adjustRightInd/>
              <w:rPr>
                <w:b/>
                <w:bCs/>
                <w:color w:val="000000"/>
                <w:sz w:val="20"/>
                <w:szCs w:val="20"/>
              </w:rPr>
            </w:pPr>
            <w:r w:rsidRPr="00B24987">
              <w:rPr>
                <w:b/>
                <w:bCs/>
                <w:color w:val="000000"/>
                <w:sz w:val="20"/>
                <w:szCs w:val="20"/>
              </w:rPr>
              <w:t xml:space="preserve">TOTAL COST: </w:t>
            </w:r>
            <w:r w:rsidRPr="00B24987">
              <w:rPr>
                <w:b/>
                <w:bCs/>
                <w:color w:val="000000"/>
                <w:sz w:val="20"/>
                <w:szCs w:val="20"/>
                <w:vertAlign w:val="superscript"/>
              </w:rPr>
              <w:t>k</w:t>
            </w:r>
          </w:p>
        </w:tc>
        <w:tc>
          <w:tcPr>
            <w:tcW w:w="1196" w:type="dxa"/>
            <w:tcBorders>
              <w:top w:val="nil"/>
              <w:left w:val="nil"/>
              <w:bottom w:val="single" w:sz="4" w:space="0" w:color="auto"/>
              <w:right w:val="single" w:sz="4" w:space="0" w:color="auto"/>
            </w:tcBorders>
            <w:shd w:val="clear" w:color="auto" w:fill="auto"/>
            <w:noWrap/>
            <w:vAlign w:val="bottom"/>
            <w:hideMark/>
          </w:tcPr>
          <w:p w14:paraId="58C66DF7"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757093"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76C9B0E"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bottom"/>
            <w:hideMark/>
          </w:tcPr>
          <w:p w14:paraId="4C855841"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2978C3B"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7AEB8C5F"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7509A7" w14:textId="77777777" w:rsidR="00B24987" w:rsidRPr="00B24987" w:rsidRDefault="00B24987" w:rsidP="00B24987">
            <w:pPr>
              <w:widowControl/>
              <w:autoSpaceDE/>
              <w:autoSpaceDN/>
              <w:adjustRightInd/>
              <w:rPr>
                <w:rFonts w:ascii="Calibri" w:hAnsi="Calibri" w:cs="Calibri"/>
                <w:color w:val="000000"/>
                <w:sz w:val="22"/>
                <w:szCs w:val="22"/>
              </w:rPr>
            </w:pPr>
            <w:r w:rsidRPr="00B24987">
              <w:rPr>
                <w:rFonts w:ascii="Calibri" w:hAnsi="Calibri" w:cs="Calibri"/>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center"/>
            <w:hideMark/>
          </w:tcPr>
          <w:p w14:paraId="5A00304C" w14:textId="77777777" w:rsidR="00B24987" w:rsidRPr="00B24987" w:rsidRDefault="00B24987" w:rsidP="00B24987">
            <w:pPr>
              <w:widowControl/>
              <w:autoSpaceDE/>
              <w:autoSpaceDN/>
              <w:adjustRightInd/>
              <w:jc w:val="right"/>
              <w:rPr>
                <w:b/>
                <w:bCs/>
                <w:color w:val="000000"/>
                <w:sz w:val="20"/>
                <w:szCs w:val="20"/>
              </w:rPr>
            </w:pPr>
            <w:r w:rsidRPr="00B24987">
              <w:rPr>
                <w:b/>
                <w:bCs/>
                <w:color w:val="000000"/>
                <w:sz w:val="20"/>
                <w:szCs w:val="20"/>
              </w:rPr>
              <w:t xml:space="preserve">$166,000 </w:t>
            </w:r>
          </w:p>
        </w:tc>
      </w:tr>
    </w:tbl>
    <w:p w14:paraId="7E9AD7B9" w14:textId="0CD8AC22" w:rsidR="00B24987" w:rsidRDefault="00B24987" w:rsidP="00DB22A5">
      <w:pPr>
        <w:outlineLvl w:val="0"/>
        <w:rPr>
          <w:b/>
          <w:bCs/>
          <w:color w:val="000000"/>
        </w:rPr>
      </w:pPr>
    </w:p>
    <w:p w14:paraId="3DD153DB" w14:textId="77777777" w:rsidR="000C3790" w:rsidRPr="000C3790" w:rsidRDefault="000C3790" w:rsidP="000C3790">
      <w:pPr>
        <w:outlineLvl w:val="0"/>
        <w:rPr>
          <w:color w:val="000000"/>
          <w:sz w:val="20"/>
          <w:szCs w:val="20"/>
        </w:rPr>
      </w:pPr>
      <w:r w:rsidRPr="000C3790">
        <w:rPr>
          <w:color w:val="000000"/>
          <w:sz w:val="20"/>
          <w:szCs w:val="20"/>
        </w:rPr>
        <w:t>Assumptions:</w:t>
      </w:r>
    </w:p>
    <w:p w14:paraId="228ABBEC" w14:textId="77777777" w:rsidR="000C3790" w:rsidRPr="000C3790" w:rsidRDefault="000C3790" w:rsidP="000C3790">
      <w:pPr>
        <w:outlineLvl w:val="0"/>
        <w:rPr>
          <w:color w:val="000000"/>
          <w:sz w:val="20"/>
          <w:szCs w:val="20"/>
        </w:rPr>
      </w:pPr>
      <w:r w:rsidRPr="000C3790">
        <w:rPr>
          <w:color w:val="000000"/>
          <w:sz w:val="20"/>
          <w:szCs w:val="20"/>
        </w:rPr>
        <w:t>a.  We estimate 8 new sources, comprising 8 gas-fired, and 0 landfill/digester gas-fired or oil-fired stationary combustion turbines, will become subject to the rule over the three-year period of this ICR. We also estimate 114 existing sources are subject, comprising 109 facilities with gas-fired turbines, 3 facilities with landfill/digester gas-fired turbines, and 2 facilities with oil-fired stationary combustion turbines.  Note that due to the ongoing stay, existing gas-fired sources that have previously submitted initial notifications are not subject to any additional monitoring or reporting requirements.</w:t>
      </w:r>
    </w:p>
    <w:p w14:paraId="3F580B86" w14:textId="77777777" w:rsidR="000C3790" w:rsidRPr="000C3790" w:rsidRDefault="000C3790" w:rsidP="000C3790">
      <w:pPr>
        <w:outlineLvl w:val="0"/>
        <w:rPr>
          <w:color w:val="000000"/>
          <w:sz w:val="20"/>
          <w:szCs w:val="20"/>
        </w:rPr>
      </w:pPr>
      <w:r w:rsidRPr="000C3790">
        <w:rPr>
          <w:color w:val="000000"/>
          <w:sz w:val="20"/>
          <w:szCs w:val="20"/>
        </w:rPr>
        <w:t>b.  This ICR uses the following labor rates: $120.27 for technical, $141.06 for managerial, and $58.67 for clerical labor from the United States Department of Labor, Bureau of Labor Statistics.</w:t>
      </w:r>
    </w:p>
    <w:p w14:paraId="2FBEF5C3" w14:textId="77777777" w:rsidR="000C3790" w:rsidRPr="000C3790" w:rsidRDefault="000C3790" w:rsidP="000C3790">
      <w:pPr>
        <w:outlineLvl w:val="0"/>
        <w:rPr>
          <w:color w:val="000000"/>
          <w:sz w:val="20"/>
          <w:szCs w:val="20"/>
        </w:rPr>
      </w:pPr>
      <w:r w:rsidRPr="000C3790">
        <w:rPr>
          <w:color w:val="000000"/>
          <w:sz w:val="20"/>
          <w:szCs w:val="20"/>
        </w:rPr>
        <w:t>c.  We assume four hours are required to read instructions.  This activity applies to existing and new sources in all subcategories.</w:t>
      </w:r>
    </w:p>
    <w:p w14:paraId="4BE70AC3" w14:textId="77777777" w:rsidR="000C3790" w:rsidRPr="000C3790" w:rsidRDefault="000C3790" w:rsidP="000C3790">
      <w:pPr>
        <w:outlineLvl w:val="0"/>
        <w:rPr>
          <w:color w:val="000000"/>
          <w:sz w:val="20"/>
          <w:szCs w:val="20"/>
        </w:rPr>
      </w:pPr>
      <w:r w:rsidRPr="000C3790">
        <w:rPr>
          <w:color w:val="000000"/>
          <w:sz w:val="20"/>
          <w:szCs w:val="20"/>
        </w:rPr>
        <w:t>d.  We assume 12 hours are required to complete the CMS performance evaluation.  This activity only applies to new sources in the oil-fired turbine subcategories.</w:t>
      </w:r>
    </w:p>
    <w:p w14:paraId="7994BB45" w14:textId="77777777" w:rsidR="000C3790" w:rsidRPr="000C3790" w:rsidRDefault="000C3790" w:rsidP="000C3790">
      <w:pPr>
        <w:outlineLvl w:val="0"/>
        <w:rPr>
          <w:color w:val="000000"/>
          <w:sz w:val="20"/>
          <w:szCs w:val="20"/>
        </w:rPr>
      </w:pPr>
      <w:r w:rsidRPr="000C3790">
        <w:rPr>
          <w:color w:val="000000"/>
          <w:sz w:val="20"/>
          <w:szCs w:val="20"/>
        </w:rPr>
        <w:t>e.  We assume 12 hours are required to complete the performance test.  This activity only applies to new sources in the oil-fired turbine subcategories.</w:t>
      </w:r>
    </w:p>
    <w:p w14:paraId="59E13D80" w14:textId="77777777" w:rsidR="000C3790" w:rsidRPr="000C3790" w:rsidRDefault="000C3790" w:rsidP="000C3790">
      <w:pPr>
        <w:outlineLvl w:val="0"/>
        <w:rPr>
          <w:color w:val="000000"/>
          <w:sz w:val="20"/>
          <w:szCs w:val="20"/>
        </w:rPr>
      </w:pPr>
      <w:r w:rsidRPr="000C3790">
        <w:rPr>
          <w:color w:val="000000"/>
          <w:sz w:val="20"/>
          <w:szCs w:val="20"/>
        </w:rPr>
        <w:t>f.  We assume two hours are required to prepare each notification.  This activity applies to new sources in all subcategories.</w:t>
      </w:r>
    </w:p>
    <w:p w14:paraId="31014605" w14:textId="77777777" w:rsidR="000C3790" w:rsidRPr="000C3790" w:rsidRDefault="000C3790" w:rsidP="000C3790">
      <w:pPr>
        <w:outlineLvl w:val="0"/>
        <w:rPr>
          <w:color w:val="000000"/>
          <w:sz w:val="20"/>
          <w:szCs w:val="20"/>
        </w:rPr>
      </w:pPr>
      <w:r w:rsidRPr="000C3790">
        <w:rPr>
          <w:color w:val="000000"/>
          <w:sz w:val="20"/>
          <w:szCs w:val="20"/>
        </w:rPr>
        <w:t>g.  We assume two hours are required to prepare each notification.  These activities only apply to new sources in the oil-fired turbine subcategories.</w:t>
      </w:r>
    </w:p>
    <w:p w14:paraId="18E80496" w14:textId="77777777" w:rsidR="000C3790" w:rsidRPr="000C3790" w:rsidRDefault="000C3790" w:rsidP="000C3790">
      <w:pPr>
        <w:outlineLvl w:val="0"/>
        <w:rPr>
          <w:color w:val="000000"/>
          <w:sz w:val="20"/>
          <w:szCs w:val="20"/>
        </w:rPr>
      </w:pPr>
      <w:r w:rsidRPr="000C3790">
        <w:rPr>
          <w:color w:val="000000"/>
          <w:sz w:val="20"/>
          <w:szCs w:val="20"/>
        </w:rPr>
        <w:t>h.  We assume eight hours are required to prepare annual compliance reports.  This activity only applies to existing sources in the landfill/digester gas-fired turbine subcategory. (3 existing sources)</w:t>
      </w:r>
    </w:p>
    <w:p w14:paraId="1804AF02" w14:textId="77777777" w:rsidR="000C3790" w:rsidRPr="000C3790" w:rsidRDefault="000C3790" w:rsidP="000C3790">
      <w:pPr>
        <w:outlineLvl w:val="0"/>
        <w:rPr>
          <w:color w:val="000000"/>
          <w:sz w:val="20"/>
          <w:szCs w:val="20"/>
        </w:rPr>
      </w:pPr>
      <w:r w:rsidRPr="000C3790">
        <w:rPr>
          <w:color w:val="000000"/>
          <w:sz w:val="20"/>
          <w:szCs w:val="20"/>
        </w:rPr>
        <w:t>i.  We assume eight hours are required to prepare semiannual compliance reports.  This activity only applies to existing sources in the oil-fired turbine subcategories. (2 existing sources)</w:t>
      </w:r>
    </w:p>
    <w:p w14:paraId="06BAA244" w14:textId="77777777" w:rsidR="000C3790" w:rsidRPr="000C3790" w:rsidRDefault="000C3790" w:rsidP="000C3790">
      <w:pPr>
        <w:outlineLvl w:val="0"/>
        <w:rPr>
          <w:color w:val="000000"/>
          <w:sz w:val="20"/>
          <w:szCs w:val="20"/>
        </w:rPr>
      </w:pPr>
      <w:r w:rsidRPr="000C3790">
        <w:rPr>
          <w:color w:val="000000"/>
          <w:sz w:val="20"/>
          <w:szCs w:val="20"/>
        </w:rPr>
        <w:t>j.  We assume one half-hour is required to record operating parameters.  This activity applies to existing sources in all subcategories.</w:t>
      </w:r>
    </w:p>
    <w:p w14:paraId="6F503C83" w14:textId="40EFC991" w:rsidR="000C3790" w:rsidRPr="000C3790" w:rsidRDefault="000C3790" w:rsidP="000C3790">
      <w:pPr>
        <w:outlineLvl w:val="0"/>
        <w:rPr>
          <w:color w:val="000000"/>
          <w:sz w:val="20"/>
          <w:szCs w:val="20"/>
        </w:rPr>
      </w:pPr>
      <w:r w:rsidRPr="000C3790">
        <w:rPr>
          <w:color w:val="000000"/>
          <w:sz w:val="20"/>
          <w:szCs w:val="20"/>
        </w:rPr>
        <w:t>k.  Totals have been rounded to 3 significant figures. Figures may not add exactly due to rounding.</w:t>
      </w:r>
    </w:p>
    <w:p w14:paraId="26E4E3B9" w14:textId="77777777" w:rsidR="00B24987" w:rsidRDefault="00B24987" w:rsidP="00DB22A5">
      <w:pPr>
        <w:outlineLvl w:val="0"/>
        <w:rPr>
          <w:b/>
          <w:bCs/>
          <w:color w:val="000000"/>
        </w:rPr>
      </w:pPr>
    </w:p>
    <w:p w14:paraId="662B2D7F" w14:textId="77777777" w:rsidR="00DB22A5" w:rsidRDefault="00DB22A5">
      <w:pPr>
        <w:widowControl/>
        <w:autoSpaceDE/>
        <w:autoSpaceDN/>
        <w:adjustRightInd/>
        <w:rPr>
          <w:b/>
          <w:bCs/>
          <w:color w:val="000000"/>
        </w:rPr>
      </w:pPr>
      <w:r>
        <w:rPr>
          <w:b/>
          <w:bCs/>
          <w:color w:val="000000"/>
        </w:rPr>
        <w:br w:type="page"/>
      </w:r>
    </w:p>
    <w:p w14:paraId="2B40D333" w14:textId="77777777" w:rsidR="00DB22A5" w:rsidRDefault="00144F35" w:rsidP="00DB22A5">
      <w:pPr>
        <w:jc w:val="center"/>
        <w:rPr>
          <w:b/>
          <w:bCs/>
        </w:rPr>
      </w:pPr>
      <w:r w:rsidRPr="00C4183F">
        <w:rPr>
          <w:b/>
          <w:bCs/>
          <w:color w:val="000000"/>
        </w:rPr>
        <w:t>Table 2:</w:t>
      </w:r>
      <w:r>
        <w:rPr>
          <w:b/>
          <w:bCs/>
          <w:color w:val="000000"/>
        </w:rPr>
        <w:t xml:space="preserve"> Average Annual EPA Burden and Cost – </w:t>
      </w:r>
      <w:r w:rsidR="00DB22A5">
        <w:rPr>
          <w:b/>
          <w:bCs/>
        </w:rPr>
        <w:t>NESHAP for Stationary Combustion Turbines (40 CFR Part 63, Subpart</w:t>
      </w:r>
    </w:p>
    <w:p w14:paraId="70F322AB" w14:textId="77777777" w:rsidR="00DB22A5" w:rsidRDefault="00DB22A5" w:rsidP="00DB22A5">
      <w:pPr>
        <w:rPr>
          <w:b/>
          <w:bCs/>
        </w:rPr>
      </w:pPr>
      <w:r>
        <w:rPr>
          <w:b/>
          <w:bCs/>
        </w:rPr>
        <w:t xml:space="preserve">      YYYY) (Renewal)</w:t>
      </w:r>
    </w:p>
    <w:p w14:paraId="5EDF628F" w14:textId="64D3C531" w:rsidR="00144F35" w:rsidRDefault="00144F35" w:rsidP="00504745">
      <w:pPr>
        <w:outlineLvl w:val="0"/>
        <w:rPr>
          <w:b/>
          <w:bCs/>
          <w:color w:val="000000"/>
        </w:rPr>
      </w:pPr>
    </w:p>
    <w:tbl>
      <w:tblPr>
        <w:tblW w:w="12020" w:type="dxa"/>
        <w:tblLook w:val="04A0" w:firstRow="1" w:lastRow="0" w:firstColumn="1" w:lastColumn="0" w:noHBand="0" w:noVBand="1"/>
      </w:tblPr>
      <w:tblGrid>
        <w:gridCol w:w="4618"/>
        <w:gridCol w:w="1160"/>
        <w:gridCol w:w="1238"/>
        <w:gridCol w:w="839"/>
        <w:gridCol w:w="839"/>
        <w:gridCol w:w="1050"/>
        <w:gridCol w:w="1205"/>
        <w:gridCol w:w="933"/>
        <w:gridCol w:w="1016"/>
      </w:tblGrid>
      <w:tr w:rsidR="000C3790" w:rsidRPr="000C3790" w14:paraId="2CB12926" w14:textId="77777777" w:rsidTr="000C3790">
        <w:trPr>
          <w:trHeight w:val="1275"/>
        </w:trPr>
        <w:tc>
          <w:tcPr>
            <w:tcW w:w="4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F2219"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Activity</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15BBF7F2"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(A) EPA Hours per occurrence</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6723B0E4"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(B) Number of occurrences per Year</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5F45FA96"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(C) EPA Hours per Year (AxB)</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1AAB2B94"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 xml:space="preserve">(D) Plants per Year </w:t>
            </w:r>
            <w:r w:rsidRPr="000C3790">
              <w:rPr>
                <w:b/>
                <w:bCs/>
                <w:color w:val="000000"/>
                <w:sz w:val="20"/>
                <w:szCs w:val="20"/>
                <w:vertAlign w:val="superscript"/>
              </w:rPr>
              <w:t>a</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3B39380"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(E) Technical Hours per Year (CxD)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0B2E5AF6"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(F) Managerial Hours per Year (Ex0.05)</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0C645175"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(G) Clerical Hours per Year (Ex0.10)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F95B0EB"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 xml:space="preserve">(H) Total cost per year, $ </w:t>
            </w:r>
            <w:r w:rsidRPr="000C3790">
              <w:rPr>
                <w:b/>
                <w:bCs/>
                <w:color w:val="000000"/>
                <w:sz w:val="20"/>
                <w:szCs w:val="20"/>
                <w:vertAlign w:val="superscript"/>
              </w:rPr>
              <w:t>b</w:t>
            </w:r>
          </w:p>
        </w:tc>
      </w:tr>
      <w:tr w:rsidR="000C3790" w:rsidRPr="000C3790" w14:paraId="2F4883E8"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2384615C" w14:textId="77777777" w:rsidR="000C3790" w:rsidRPr="000C3790" w:rsidRDefault="000C3790" w:rsidP="000C3790">
            <w:pPr>
              <w:widowControl/>
              <w:autoSpaceDE/>
              <w:autoSpaceDN/>
              <w:adjustRightInd/>
              <w:rPr>
                <w:color w:val="000000"/>
                <w:sz w:val="20"/>
                <w:szCs w:val="20"/>
              </w:rPr>
            </w:pPr>
            <w:r w:rsidRPr="000C3790">
              <w:rPr>
                <w:color w:val="000000"/>
                <w:sz w:val="20"/>
                <w:szCs w:val="20"/>
              </w:rPr>
              <w:t xml:space="preserve">Initial notification </w:t>
            </w:r>
            <w:r w:rsidRPr="000C3790">
              <w:rPr>
                <w:color w:val="000000"/>
                <w:sz w:val="20"/>
                <w:szCs w:val="20"/>
                <w:vertAlign w:val="superscript"/>
              </w:rPr>
              <w:t>c</w:t>
            </w:r>
          </w:p>
        </w:tc>
        <w:tc>
          <w:tcPr>
            <w:tcW w:w="959" w:type="dxa"/>
            <w:tcBorders>
              <w:top w:val="nil"/>
              <w:left w:val="nil"/>
              <w:bottom w:val="single" w:sz="4" w:space="0" w:color="auto"/>
              <w:right w:val="single" w:sz="4" w:space="0" w:color="auto"/>
            </w:tcBorders>
            <w:shd w:val="clear" w:color="auto" w:fill="auto"/>
            <w:noWrap/>
            <w:vAlign w:val="center"/>
            <w:hideMark/>
          </w:tcPr>
          <w:p w14:paraId="2897D5FF"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63F96DBA"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w:t>
            </w:r>
          </w:p>
        </w:tc>
        <w:tc>
          <w:tcPr>
            <w:tcW w:w="839" w:type="dxa"/>
            <w:tcBorders>
              <w:top w:val="nil"/>
              <w:left w:val="nil"/>
              <w:bottom w:val="single" w:sz="4" w:space="0" w:color="auto"/>
              <w:right w:val="single" w:sz="4" w:space="0" w:color="auto"/>
            </w:tcBorders>
            <w:shd w:val="clear" w:color="auto" w:fill="auto"/>
            <w:noWrap/>
            <w:vAlign w:val="center"/>
            <w:hideMark/>
          </w:tcPr>
          <w:p w14:paraId="72F36D75"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14:paraId="7FBB0920"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8</w:t>
            </w:r>
          </w:p>
        </w:tc>
        <w:tc>
          <w:tcPr>
            <w:tcW w:w="926" w:type="dxa"/>
            <w:tcBorders>
              <w:top w:val="nil"/>
              <w:left w:val="nil"/>
              <w:bottom w:val="single" w:sz="4" w:space="0" w:color="auto"/>
              <w:right w:val="single" w:sz="4" w:space="0" w:color="auto"/>
            </w:tcBorders>
            <w:shd w:val="clear" w:color="auto" w:fill="auto"/>
            <w:noWrap/>
            <w:vAlign w:val="center"/>
            <w:hideMark/>
          </w:tcPr>
          <w:p w14:paraId="455A18EB"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16</w:t>
            </w:r>
          </w:p>
        </w:tc>
        <w:tc>
          <w:tcPr>
            <w:tcW w:w="999" w:type="dxa"/>
            <w:tcBorders>
              <w:top w:val="nil"/>
              <w:left w:val="nil"/>
              <w:bottom w:val="single" w:sz="4" w:space="0" w:color="auto"/>
              <w:right w:val="single" w:sz="4" w:space="0" w:color="auto"/>
            </w:tcBorders>
            <w:shd w:val="clear" w:color="auto" w:fill="auto"/>
            <w:noWrap/>
            <w:vAlign w:val="center"/>
            <w:hideMark/>
          </w:tcPr>
          <w:p w14:paraId="2C7AD8CC"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0.8</w:t>
            </w:r>
          </w:p>
        </w:tc>
        <w:tc>
          <w:tcPr>
            <w:tcW w:w="892" w:type="dxa"/>
            <w:tcBorders>
              <w:top w:val="nil"/>
              <w:left w:val="nil"/>
              <w:bottom w:val="single" w:sz="4" w:space="0" w:color="auto"/>
              <w:right w:val="single" w:sz="4" w:space="0" w:color="auto"/>
            </w:tcBorders>
            <w:shd w:val="clear" w:color="auto" w:fill="auto"/>
            <w:noWrap/>
            <w:vAlign w:val="center"/>
            <w:hideMark/>
          </w:tcPr>
          <w:p w14:paraId="7FDBD363"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1.6</w:t>
            </w:r>
          </w:p>
        </w:tc>
        <w:tc>
          <w:tcPr>
            <w:tcW w:w="916" w:type="dxa"/>
            <w:tcBorders>
              <w:top w:val="nil"/>
              <w:left w:val="nil"/>
              <w:bottom w:val="single" w:sz="4" w:space="0" w:color="auto"/>
              <w:right w:val="single" w:sz="4" w:space="0" w:color="auto"/>
            </w:tcBorders>
            <w:shd w:val="clear" w:color="auto" w:fill="auto"/>
            <w:noWrap/>
            <w:vAlign w:val="center"/>
            <w:hideMark/>
          </w:tcPr>
          <w:p w14:paraId="2F496F88" w14:textId="77777777" w:rsidR="000C3790" w:rsidRPr="000C3790" w:rsidRDefault="000C3790" w:rsidP="000C3790">
            <w:pPr>
              <w:widowControl/>
              <w:autoSpaceDE/>
              <w:autoSpaceDN/>
              <w:adjustRightInd/>
              <w:jc w:val="right"/>
              <w:rPr>
                <w:color w:val="000000"/>
                <w:sz w:val="20"/>
                <w:szCs w:val="20"/>
              </w:rPr>
            </w:pPr>
            <w:r w:rsidRPr="000C3790">
              <w:rPr>
                <w:color w:val="000000"/>
                <w:sz w:val="20"/>
                <w:szCs w:val="20"/>
              </w:rPr>
              <w:t xml:space="preserve">$887.14 </w:t>
            </w:r>
          </w:p>
        </w:tc>
      </w:tr>
      <w:tr w:rsidR="000C3790" w:rsidRPr="000C3790" w14:paraId="734EF523"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0BF92A69" w14:textId="77777777" w:rsidR="000C3790" w:rsidRPr="000C3790" w:rsidRDefault="000C3790" w:rsidP="000C3790">
            <w:pPr>
              <w:widowControl/>
              <w:autoSpaceDE/>
              <w:autoSpaceDN/>
              <w:adjustRightInd/>
              <w:rPr>
                <w:color w:val="000000"/>
                <w:sz w:val="20"/>
                <w:szCs w:val="20"/>
              </w:rPr>
            </w:pPr>
            <w:r w:rsidRPr="000C3790">
              <w:rPr>
                <w:color w:val="000000"/>
                <w:sz w:val="20"/>
                <w:szCs w:val="20"/>
              </w:rPr>
              <w:t xml:space="preserve">Notification of construction/reconstruction </w:t>
            </w:r>
            <w:r w:rsidRPr="000C3790">
              <w:rPr>
                <w:color w:val="000000"/>
                <w:sz w:val="20"/>
                <w:szCs w:val="20"/>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70DCAA6D"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5C82FED9"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w:t>
            </w:r>
          </w:p>
        </w:tc>
        <w:tc>
          <w:tcPr>
            <w:tcW w:w="839" w:type="dxa"/>
            <w:tcBorders>
              <w:top w:val="nil"/>
              <w:left w:val="nil"/>
              <w:bottom w:val="single" w:sz="4" w:space="0" w:color="auto"/>
              <w:right w:val="single" w:sz="4" w:space="0" w:color="auto"/>
            </w:tcBorders>
            <w:shd w:val="clear" w:color="auto" w:fill="auto"/>
            <w:noWrap/>
            <w:vAlign w:val="center"/>
            <w:hideMark/>
          </w:tcPr>
          <w:p w14:paraId="2877B05D"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14:paraId="12B597FC"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5B945ADD"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656EB297"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892" w:type="dxa"/>
            <w:tcBorders>
              <w:top w:val="nil"/>
              <w:left w:val="nil"/>
              <w:bottom w:val="single" w:sz="4" w:space="0" w:color="auto"/>
              <w:right w:val="single" w:sz="4" w:space="0" w:color="auto"/>
            </w:tcBorders>
            <w:shd w:val="clear" w:color="auto" w:fill="auto"/>
            <w:noWrap/>
            <w:vAlign w:val="center"/>
            <w:hideMark/>
          </w:tcPr>
          <w:p w14:paraId="62C630AE"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68467DA4" w14:textId="77777777" w:rsidR="000C3790" w:rsidRPr="000C3790" w:rsidRDefault="000C3790" w:rsidP="000C3790">
            <w:pPr>
              <w:widowControl/>
              <w:autoSpaceDE/>
              <w:autoSpaceDN/>
              <w:adjustRightInd/>
              <w:jc w:val="right"/>
              <w:rPr>
                <w:color w:val="000000"/>
                <w:sz w:val="20"/>
                <w:szCs w:val="20"/>
              </w:rPr>
            </w:pPr>
            <w:r w:rsidRPr="000C3790">
              <w:rPr>
                <w:color w:val="000000"/>
                <w:sz w:val="20"/>
                <w:szCs w:val="20"/>
              </w:rPr>
              <w:t xml:space="preserve">$0 </w:t>
            </w:r>
          </w:p>
        </w:tc>
      </w:tr>
      <w:tr w:rsidR="000C3790" w:rsidRPr="000C3790" w14:paraId="12455A3F"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371F2385" w14:textId="77777777" w:rsidR="000C3790" w:rsidRPr="000C3790" w:rsidRDefault="000C3790" w:rsidP="000C3790">
            <w:pPr>
              <w:widowControl/>
              <w:autoSpaceDE/>
              <w:autoSpaceDN/>
              <w:adjustRightInd/>
              <w:rPr>
                <w:color w:val="000000"/>
                <w:sz w:val="20"/>
                <w:szCs w:val="20"/>
              </w:rPr>
            </w:pPr>
            <w:r w:rsidRPr="000C3790">
              <w:rPr>
                <w:color w:val="000000"/>
                <w:sz w:val="20"/>
                <w:szCs w:val="20"/>
              </w:rPr>
              <w:t xml:space="preserve">Notification of actual startup </w:t>
            </w:r>
            <w:r w:rsidRPr="000C3790">
              <w:rPr>
                <w:color w:val="000000"/>
                <w:sz w:val="20"/>
                <w:szCs w:val="20"/>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40A27D0F"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34A476D3"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w:t>
            </w:r>
          </w:p>
        </w:tc>
        <w:tc>
          <w:tcPr>
            <w:tcW w:w="839" w:type="dxa"/>
            <w:tcBorders>
              <w:top w:val="nil"/>
              <w:left w:val="nil"/>
              <w:bottom w:val="single" w:sz="4" w:space="0" w:color="auto"/>
              <w:right w:val="single" w:sz="4" w:space="0" w:color="auto"/>
            </w:tcBorders>
            <w:shd w:val="clear" w:color="auto" w:fill="auto"/>
            <w:noWrap/>
            <w:vAlign w:val="center"/>
            <w:hideMark/>
          </w:tcPr>
          <w:p w14:paraId="246F5658"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14:paraId="5E5031B4"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458FA806"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332DBBA8"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892" w:type="dxa"/>
            <w:tcBorders>
              <w:top w:val="nil"/>
              <w:left w:val="nil"/>
              <w:bottom w:val="single" w:sz="4" w:space="0" w:color="auto"/>
              <w:right w:val="single" w:sz="4" w:space="0" w:color="auto"/>
            </w:tcBorders>
            <w:shd w:val="clear" w:color="auto" w:fill="auto"/>
            <w:noWrap/>
            <w:vAlign w:val="center"/>
            <w:hideMark/>
          </w:tcPr>
          <w:p w14:paraId="7C84EED3"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12CB09D8" w14:textId="77777777" w:rsidR="000C3790" w:rsidRPr="000C3790" w:rsidRDefault="000C3790" w:rsidP="000C3790">
            <w:pPr>
              <w:widowControl/>
              <w:autoSpaceDE/>
              <w:autoSpaceDN/>
              <w:adjustRightInd/>
              <w:jc w:val="right"/>
              <w:rPr>
                <w:color w:val="000000"/>
                <w:sz w:val="20"/>
                <w:szCs w:val="20"/>
              </w:rPr>
            </w:pPr>
            <w:r w:rsidRPr="000C3790">
              <w:rPr>
                <w:color w:val="000000"/>
                <w:sz w:val="20"/>
                <w:szCs w:val="20"/>
              </w:rPr>
              <w:t xml:space="preserve">$0 </w:t>
            </w:r>
          </w:p>
        </w:tc>
      </w:tr>
      <w:tr w:rsidR="000C3790" w:rsidRPr="000C3790" w14:paraId="3DCBA32A"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09A3CDE6" w14:textId="77777777" w:rsidR="000C3790" w:rsidRPr="000C3790" w:rsidRDefault="000C3790" w:rsidP="000C3790">
            <w:pPr>
              <w:widowControl/>
              <w:autoSpaceDE/>
              <w:autoSpaceDN/>
              <w:adjustRightInd/>
              <w:rPr>
                <w:color w:val="000000"/>
                <w:sz w:val="20"/>
                <w:szCs w:val="20"/>
              </w:rPr>
            </w:pPr>
            <w:r w:rsidRPr="000C3790">
              <w:rPr>
                <w:color w:val="000000"/>
                <w:sz w:val="20"/>
                <w:szCs w:val="20"/>
              </w:rPr>
              <w:t xml:space="preserve">Notification of performance test </w:t>
            </w:r>
            <w:r w:rsidRPr="000C3790">
              <w:rPr>
                <w:color w:val="000000"/>
                <w:sz w:val="20"/>
                <w:szCs w:val="20"/>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6C1EAE12"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7008C73F"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w:t>
            </w:r>
          </w:p>
        </w:tc>
        <w:tc>
          <w:tcPr>
            <w:tcW w:w="839" w:type="dxa"/>
            <w:tcBorders>
              <w:top w:val="nil"/>
              <w:left w:val="nil"/>
              <w:bottom w:val="single" w:sz="4" w:space="0" w:color="auto"/>
              <w:right w:val="single" w:sz="4" w:space="0" w:color="auto"/>
            </w:tcBorders>
            <w:shd w:val="clear" w:color="auto" w:fill="auto"/>
            <w:noWrap/>
            <w:vAlign w:val="center"/>
            <w:hideMark/>
          </w:tcPr>
          <w:p w14:paraId="1BD0AC82"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14:paraId="2F76AB01"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768B0C8B"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4F6D1FC4"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892" w:type="dxa"/>
            <w:tcBorders>
              <w:top w:val="nil"/>
              <w:left w:val="nil"/>
              <w:bottom w:val="single" w:sz="4" w:space="0" w:color="auto"/>
              <w:right w:val="single" w:sz="4" w:space="0" w:color="auto"/>
            </w:tcBorders>
            <w:shd w:val="clear" w:color="auto" w:fill="auto"/>
            <w:noWrap/>
            <w:vAlign w:val="center"/>
            <w:hideMark/>
          </w:tcPr>
          <w:p w14:paraId="28687201"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49EA54FF" w14:textId="77777777" w:rsidR="000C3790" w:rsidRPr="000C3790" w:rsidRDefault="000C3790" w:rsidP="000C3790">
            <w:pPr>
              <w:widowControl/>
              <w:autoSpaceDE/>
              <w:autoSpaceDN/>
              <w:adjustRightInd/>
              <w:jc w:val="right"/>
              <w:rPr>
                <w:color w:val="000000"/>
                <w:sz w:val="20"/>
                <w:szCs w:val="20"/>
              </w:rPr>
            </w:pPr>
            <w:r w:rsidRPr="000C3790">
              <w:rPr>
                <w:color w:val="000000"/>
                <w:sz w:val="20"/>
                <w:szCs w:val="20"/>
              </w:rPr>
              <w:t xml:space="preserve">$0 </w:t>
            </w:r>
          </w:p>
        </w:tc>
      </w:tr>
      <w:tr w:rsidR="000C3790" w:rsidRPr="000C3790" w14:paraId="54D603F3"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483F44A5" w14:textId="77777777" w:rsidR="000C3790" w:rsidRPr="000C3790" w:rsidRDefault="000C3790" w:rsidP="000C3790">
            <w:pPr>
              <w:widowControl/>
              <w:autoSpaceDE/>
              <w:autoSpaceDN/>
              <w:adjustRightInd/>
              <w:rPr>
                <w:color w:val="000000"/>
                <w:sz w:val="20"/>
                <w:szCs w:val="20"/>
              </w:rPr>
            </w:pPr>
            <w:r w:rsidRPr="000C3790">
              <w:rPr>
                <w:color w:val="000000"/>
                <w:sz w:val="20"/>
                <w:szCs w:val="20"/>
              </w:rPr>
              <w:t xml:space="preserve">Notification of CMS performance evaluation </w:t>
            </w:r>
            <w:r w:rsidRPr="000C3790">
              <w:rPr>
                <w:color w:val="000000"/>
                <w:sz w:val="20"/>
                <w:szCs w:val="20"/>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3E39453C"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3621D9BA"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w:t>
            </w:r>
          </w:p>
        </w:tc>
        <w:tc>
          <w:tcPr>
            <w:tcW w:w="839" w:type="dxa"/>
            <w:tcBorders>
              <w:top w:val="nil"/>
              <w:left w:val="nil"/>
              <w:bottom w:val="single" w:sz="4" w:space="0" w:color="auto"/>
              <w:right w:val="single" w:sz="4" w:space="0" w:color="auto"/>
            </w:tcBorders>
            <w:shd w:val="clear" w:color="auto" w:fill="auto"/>
            <w:noWrap/>
            <w:vAlign w:val="center"/>
            <w:hideMark/>
          </w:tcPr>
          <w:p w14:paraId="4BAA809F"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14:paraId="67153B9C"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349CC66F"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7D756657"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892" w:type="dxa"/>
            <w:tcBorders>
              <w:top w:val="nil"/>
              <w:left w:val="nil"/>
              <w:bottom w:val="single" w:sz="4" w:space="0" w:color="auto"/>
              <w:right w:val="single" w:sz="4" w:space="0" w:color="auto"/>
            </w:tcBorders>
            <w:shd w:val="clear" w:color="auto" w:fill="auto"/>
            <w:noWrap/>
            <w:vAlign w:val="center"/>
            <w:hideMark/>
          </w:tcPr>
          <w:p w14:paraId="1BE40587"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15B4D181" w14:textId="77777777" w:rsidR="000C3790" w:rsidRPr="000C3790" w:rsidRDefault="000C3790" w:rsidP="000C3790">
            <w:pPr>
              <w:widowControl/>
              <w:autoSpaceDE/>
              <w:autoSpaceDN/>
              <w:adjustRightInd/>
              <w:jc w:val="right"/>
              <w:rPr>
                <w:color w:val="000000"/>
                <w:sz w:val="20"/>
                <w:szCs w:val="20"/>
              </w:rPr>
            </w:pPr>
            <w:r w:rsidRPr="000C3790">
              <w:rPr>
                <w:color w:val="000000"/>
                <w:sz w:val="20"/>
                <w:szCs w:val="20"/>
              </w:rPr>
              <w:t xml:space="preserve">$0 </w:t>
            </w:r>
          </w:p>
        </w:tc>
      </w:tr>
      <w:tr w:rsidR="000C3790" w:rsidRPr="000C3790" w14:paraId="09D7D289"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3162630F" w14:textId="77777777" w:rsidR="000C3790" w:rsidRPr="000C3790" w:rsidRDefault="000C3790" w:rsidP="000C3790">
            <w:pPr>
              <w:widowControl/>
              <w:autoSpaceDE/>
              <w:autoSpaceDN/>
              <w:adjustRightInd/>
              <w:rPr>
                <w:color w:val="000000"/>
                <w:sz w:val="20"/>
                <w:szCs w:val="20"/>
              </w:rPr>
            </w:pPr>
            <w:r w:rsidRPr="000C3790">
              <w:rPr>
                <w:color w:val="000000"/>
                <w:sz w:val="20"/>
                <w:szCs w:val="20"/>
              </w:rPr>
              <w:t xml:space="preserve">Notification of compliance status </w:t>
            </w:r>
            <w:r w:rsidRPr="000C3790">
              <w:rPr>
                <w:color w:val="000000"/>
                <w:sz w:val="20"/>
                <w:szCs w:val="20"/>
                <w:vertAlign w:val="superscript"/>
              </w:rPr>
              <w:t>e</w:t>
            </w:r>
          </w:p>
        </w:tc>
        <w:tc>
          <w:tcPr>
            <w:tcW w:w="959" w:type="dxa"/>
            <w:tcBorders>
              <w:top w:val="nil"/>
              <w:left w:val="nil"/>
              <w:bottom w:val="single" w:sz="4" w:space="0" w:color="auto"/>
              <w:right w:val="single" w:sz="4" w:space="0" w:color="auto"/>
            </w:tcBorders>
            <w:shd w:val="clear" w:color="auto" w:fill="auto"/>
            <w:noWrap/>
            <w:vAlign w:val="center"/>
            <w:hideMark/>
          </w:tcPr>
          <w:p w14:paraId="267F11DD"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18</w:t>
            </w:r>
          </w:p>
        </w:tc>
        <w:tc>
          <w:tcPr>
            <w:tcW w:w="1032" w:type="dxa"/>
            <w:tcBorders>
              <w:top w:val="nil"/>
              <w:left w:val="nil"/>
              <w:bottom w:val="single" w:sz="4" w:space="0" w:color="auto"/>
              <w:right w:val="single" w:sz="4" w:space="0" w:color="auto"/>
            </w:tcBorders>
            <w:shd w:val="clear" w:color="auto" w:fill="auto"/>
            <w:noWrap/>
            <w:vAlign w:val="center"/>
            <w:hideMark/>
          </w:tcPr>
          <w:p w14:paraId="73DD15D6"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w:t>
            </w:r>
          </w:p>
        </w:tc>
        <w:tc>
          <w:tcPr>
            <w:tcW w:w="839" w:type="dxa"/>
            <w:tcBorders>
              <w:top w:val="nil"/>
              <w:left w:val="nil"/>
              <w:bottom w:val="single" w:sz="4" w:space="0" w:color="auto"/>
              <w:right w:val="single" w:sz="4" w:space="0" w:color="auto"/>
            </w:tcBorders>
            <w:shd w:val="clear" w:color="auto" w:fill="auto"/>
            <w:noWrap/>
            <w:vAlign w:val="center"/>
            <w:hideMark/>
          </w:tcPr>
          <w:p w14:paraId="039BA8AF"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18</w:t>
            </w:r>
          </w:p>
        </w:tc>
        <w:tc>
          <w:tcPr>
            <w:tcW w:w="839" w:type="dxa"/>
            <w:tcBorders>
              <w:top w:val="nil"/>
              <w:left w:val="nil"/>
              <w:bottom w:val="single" w:sz="4" w:space="0" w:color="auto"/>
              <w:right w:val="single" w:sz="4" w:space="0" w:color="auto"/>
            </w:tcBorders>
            <w:shd w:val="clear" w:color="auto" w:fill="auto"/>
            <w:noWrap/>
            <w:vAlign w:val="center"/>
            <w:hideMark/>
          </w:tcPr>
          <w:p w14:paraId="05A2F175"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5715CB9A"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7A30B253"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892" w:type="dxa"/>
            <w:tcBorders>
              <w:top w:val="nil"/>
              <w:left w:val="nil"/>
              <w:bottom w:val="single" w:sz="4" w:space="0" w:color="auto"/>
              <w:right w:val="single" w:sz="4" w:space="0" w:color="auto"/>
            </w:tcBorders>
            <w:shd w:val="clear" w:color="auto" w:fill="auto"/>
            <w:noWrap/>
            <w:vAlign w:val="center"/>
            <w:hideMark/>
          </w:tcPr>
          <w:p w14:paraId="3936231F"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6CEE3799" w14:textId="77777777" w:rsidR="000C3790" w:rsidRPr="000C3790" w:rsidRDefault="000C3790" w:rsidP="000C3790">
            <w:pPr>
              <w:widowControl/>
              <w:autoSpaceDE/>
              <w:autoSpaceDN/>
              <w:adjustRightInd/>
              <w:jc w:val="right"/>
              <w:rPr>
                <w:color w:val="000000"/>
                <w:sz w:val="20"/>
                <w:szCs w:val="20"/>
              </w:rPr>
            </w:pPr>
            <w:r w:rsidRPr="000C3790">
              <w:rPr>
                <w:color w:val="000000"/>
                <w:sz w:val="20"/>
                <w:szCs w:val="20"/>
              </w:rPr>
              <w:t xml:space="preserve">$0 </w:t>
            </w:r>
          </w:p>
        </w:tc>
      </w:tr>
      <w:tr w:rsidR="000C3790" w:rsidRPr="000C3790" w14:paraId="79EC504B"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37B47F40" w14:textId="77777777" w:rsidR="000C3790" w:rsidRPr="000C3790" w:rsidRDefault="000C3790" w:rsidP="000C3790">
            <w:pPr>
              <w:widowControl/>
              <w:autoSpaceDE/>
              <w:autoSpaceDN/>
              <w:adjustRightInd/>
              <w:rPr>
                <w:color w:val="000000"/>
                <w:sz w:val="20"/>
                <w:szCs w:val="20"/>
              </w:rPr>
            </w:pPr>
            <w:r w:rsidRPr="000C3790">
              <w:rPr>
                <w:color w:val="000000"/>
                <w:sz w:val="20"/>
                <w:szCs w:val="20"/>
              </w:rPr>
              <w:t xml:space="preserve">Annual compliance report </w:t>
            </w:r>
            <w:r w:rsidRPr="000C3790">
              <w:rPr>
                <w:color w:val="000000"/>
                <w:sz w:val="20"/>
                <w:szCs w:val="20"/>
                <w:vertAlign w:val="superscript"/>
              </w:rPr>
              <w:t>f</w:t>
            </w:r>
          </w:p>
        </w:tc>
        <w:tc>
          <w:tcPr>
            <w:tcW w:w="959" w:type="dxa"/>
            <w:tcBorders>
              <w:top w:val="nil"/>
              <w:left w:val="nil"/>
              <w:bottom w:val="single" w:sz="4" w:space="0" w:color="auto"/>
              <w:right w:val="single" w:sz="4" w:space="0" w:color="auto"/>
            </w:tcBorders>
            <w:shd w:val="clear" w:color="auto" w:fill="auto"/>
            <w:noWrap/>
            <w:vAlign w:val="center"/>
            <w:hideMark/>
          </w:tcPr>
          <w:p w14:paraId="22829DE8"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8</w:t>
            </w:r>
          </w:p>
        </w:tc>
        <w:tc>
          <w:tcPr>
            <w:tcW w:w="1032" w:type="dxa"/>
            <w:tcBorders>
              <w:top w:val="nil"/>
              <w:left w:val="nil"/>
              <w:bottom w:val="single" w:sz="4" w:space="0" w:color="auto"/>
              <w:right w:val="single" w:sz="4" w:space="0" w:color="auto"/>
            </w:tcBorders>
            <w:shd w:val="clear" w:color="auto" w:fill="auto"/>
            <w:noWrap/>
            <w:vAlign w:val="center"/>
            <w:hideMark/>
          </w:tcPr>
          <w:p w14:paraId="07F09717"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w:t>
            </w:r>
          </w:p>
        </w:tc>
        <w:tc>
          <w:tcPr>
            <w:tcW w:w="839" w:type="dxa"/>
            <w:tcBorders>
              <w:top w:val="nil"/>
              <w:left w:val="nil"/>
              <w:bottom w:val="single" w:sz="4" w:space="0" w:color="auto"/>
              <w:right w:val="single" w:sz="4" w:space="0" w:color="auto"/>
            </w:tcBorders>
            <w:shd w:val="clear" w:color="auto" w:fill="auto"/>
            <w:noWrap/>
            <w:vAlign w:val="center"/>
            <w:hideMark/>
          </w:tcPr>
          <w:p w14:paraId="33E0FD9C"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8</w:t>
            </w:r>
          </w:p>
        </w:tc>
        <w:tc>
          <w:tcPr>
            <w:tcW w:w="839" w:type="dxa"/>
            <w:tcBorders>
              <w:top w:val="nil"/>
              <w:left w:val="nil"/>
              <w:bottom w:val="single" w:sz="4" w:space="0" w:color="auto"/>
              <w:right w:val="single" w:sz="4" w:space="0" w:color="auto"/>
            </w:tcBorders>
            <w:shd w:val="clear" w:color="auto" w:fill="auto"/>
            <w:noWrap/>
            <w:vAlign w:val="center"/>
            <w:hideMark/>
          </w:tcPr>
          <w:p w14:paraId="596E229C"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3</w:t>
            </w:r>
          </w:p>
        </w:tc>
        <w:tc>
          <w:tcPr>
            <w:tcW w:w="926" w:type="dxa"/>
            <w:tcBorders>
              <w:top w:val="nil"/>
              <w:left w:val="nil"/>
              <w:bottom w:val="single" w:sz="4" w:space="0" w:color="auto"/>
              <w:right w:val="single" w:sz="4" w:space="0" w:color="auto"/>
            </w:tcBorders>
            <w:shd w:val="clear" w:color="auto" w:fill="auto"/>
            <w:noWrap/>
            <w:vAlign w:val="center"/>
            <w:hideMark/>
          </w:tcPr>
          <w:p w14:paraId="7132ABD0"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24</w:t>
            </w:r>
          </w:p>
        </w:tc>
        <w:tc>
          <w:tcPr>
            <w:tcW w:w="999" w:type="dxa"/>
            <w:tcBorders>
              <w:top w:val="nil"/>
              <w:left w:val="nil"/>
              <w:bottom w:val="single" w:sz="4" w:space="0" w:color="auto"/>
              <w:right w:val="single" w:sz="4" w:space="0" w:color="auto"/>
            </w:tcBorders>
            <w:shd w:val="clear" w:color="auto" w:fill="auto"/>
            <w:noWrap/>
            <w:vAlign w:val="center"/>
            <w:hideMark/>
          </w:tcPr>
          <w:p w14:paraId="3FF62F0B"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1.2</w:t>
            </w:r>
          </w:p>
        </w:tc>
        <w:tc>
          <w:tcPr>
            <w:tcW w:w="892" w:type="dxa"/>
            <w:tcBorders>
              <w:top w:val="nil"/>
              <w:left w:val="nil"/>
              <w:bottom w:val="single" w:sz="4" w:space="0" w:color="auto"/>
              <w:right w:val="single" w:sz="4" w:space="0" w:color="auto"/>
            </w:tcBorders>
            <w:shd w:val="clear" w:color="auto" w:fill="auto"/>
            <w:noWrap/>
            <w:vAlign w:val="center"/>
            <w:hideMark/>
          </w:tcPr>
          <w:p w14:paraId="627782CC"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2.4</w:t>
            </w:r>
          </w:p>
        </w:tc>
        <w:tc>
          <w:tcPr>
            <w:tcW w:w="916" w:type="dxa"/>
            <w:tcBorders>
              <w:top w:val="nil"/>
              <w:left w:val="nil"/>
              <w:bottom w:val="single" w:sz="4" w:space="0" w:color="auto"/>
              <w:right w:val="single" w:sz="4" w:space="0" w:color="auto"/>
            </w:tcBorders>
            <w:shd w:val="clear" w:color="auto" w:fill="auto"/>
            <w:noWrap/>
            <w:vAlign w:val="center"/>
            <w:hideMark/>
          </w:tcPr>
          <w:p w14:paraId="1DE1C918" w14:textId="77777777" w:rsidR="000C3790" w:rsidRPr="000C3790" w:rsidRDefault="000C3790" w:rsidP="000C3790">
            <w:pPr>
              <w:widowControl/>
              <w:autoSpaceDE/>
              <w:autoSpaceDN/>
              <w:adjustRightInd/>
              <w:jc w:val="right"/>
              <w:rPr>
                <w:color w:val="000000"/>
                <w:sz w:val="20"/>
                <w:szCs w:val="20"/>
              </w:rPr>
            </w:pPr>
            <w:r w:rsidRPr="000C3790">
              <w:rPr>
                <w:color w:val="000000"/>
                <w:sz w:val="20"/>
                <w:szCs w:val="20"/>
              </w:rPr>
              <w:t xml:space="preserve">$1,330.70 </w:t>
            </w:r>
          </w:p>
        </w:tc>
      </w:tr>
      <w:tr w:rsidR="000C3790" w:rsidRPr="000C3790" w14:paraId="0C2F5DEE"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79D13E62" w14:textId="77777777" w:rsidR="000C3790" w:rsidRPr="000C3790" w:rsidRDefault="000C3790" w:rsidP="000C3790">
            <w:pPr>
              <w:widowControl/>
              <w:autoSpaceDE/>
              <w:autoSpaceDN/>
              <w:adjustRightInd/>
              <w:rPr>
                <w:color w:val="000000"/>
                <w:sz w:val="20"/>
                <w:szCs w:val="20"/>
              </w:rPr>
            </w:pPr>
            <w:r w:rsidRPr="000C3790">
              <w:rPr>
                <w:color w:val="000000"/>
                <w:sz w:val="20"/>
                <w:szCs w:val="20"/>
              </w:rPr>
              <w:t xml:space="preserve">Semiannual compliance reports </w:t>
            </w:r>
            <w:r w:rsidRPr="000C3790">
              <w:rPr>
                <w:color w:val="000000"/>
                <w:sz w:val="20"/>
                <w:szCs w:val="20"/>
                <w:vertAlign w:val="superscript"/>
              </w:rPr>
              <w:t>g</w:t>
            </w:r>
          </w:p>
        </w:tc>
        <w:tc>
          <w:tcPr>
            <w:tcW w:w="959" w:type="dxa"/>
            <w:tcBorders>
              <w:top w:val="nil"/>
              <w:left w:val="nil"/>
              <w:bottom w:val="single" w:sz="4" w:space="0" w:color="auto"/>
              <w:right w:val="single" w:sz="4" w:space="0" w:color="auto"/>
            </w:tcBorders>
            <w:shd w:val="clear" w:color="auto" w:fill="auto"/>
            <w:noWrap/>
            <w:vAlign w:val="center"/>
            <w:hideMark/>
          </w:tcPr>
          <w:p w14:paraId="6B534097"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8</w:t>
            </w:r>
          </w:p>
        </w:tc>
        <w:tc>
          <w:tcPr>
            <w:tcW w:w="1032" w:type="dxa"/>
            <w:tcBorders>
              <w:top w:val="nil"/>
              <w:left w:val="nil"/>
              <w:bottom w:val="single" w:sz="4" w:space="0" w:color="auto"/>
              <w:right w:val="single" w:sz="4" w:space="0" w:color="auto"/>
            </w:tcBorders>
            <w:shd w:val="clear" w:color="auto" w:fill="auto"/>
            <w:noWrap/>
            <w:vAlign w:val="center"/>
            <w:hideMark/>
          </w:tcPr>
          <w:p w14:paraId="73E1DEF5"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14:paraId="3B3351D1"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16</w:t>
            </w:r>
          </w:p>
        </w:tc>
        <w:tc>
          <w:tcPr>
            <w:tcW w:w="839" w:type="dxa"/>
            <w:tcBorders>
              <w:top w:val="nil"/>
              <w:left w:val="nil"/>
              <w:bottom w:val="single" w:sz="4" w:space="0" w:color="auto"/>
              <w:right w:val="single" w:sz="4" w:space="0" w:color="auto"/>
            </w:tcBorders>
            <w:shd w:val="clear" w:color="auto" w:fill="auto"/>
            <w:noWrap/>
            <w:vAlign w:val="center"/>
            <w:hideMark/>
          </w:tcPr>
          <w:p w14:paraId="3AD69FA9"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2</w:t>
            </w:r>
          </w:p>
        </w:tc>
        <w:tc>
          <w:tcPr>
            <w:tcW w:w="926" w:type="dxa"/>
            <w:tcBorders>
              <w:top w:val="nil"/>
              <w:left w:val="nil"/>
              <w:bottom w:val="single" w:sz="4" w:space="0" w:color="auto"/>
              <w:right w:val="single" w:sz="4" w:space="0" w:color="auto"/>
            </w:tcBorders>
            <w:shd w:val="clear" w:color="auto" w:fill="auto"/>
            <w:noWrap/>
            <w:vAlign w:val="center"/>
            <w:hideMark/>
          </w:tcPr>
          <w:p w14:paraId="56B7DCFA"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32</w:t>
            </w:r>
          </w:p>
        </w:tc>
        <w:tc>
          <w:tcPr>
            <w:tcW w:w="999" w:type="dxa"/>
            <w:tcBorders>
              <w:top w:val="nil"/>
              <w:left w:val="nil"/>
              <w:bottom w:val="single" w:sz="4" w:space="0" w:color="auto"/>
              <w:right w:val="single" w:sz="4" w:space="0" w:color="auto"/>
            </w:tcBorders>
            <w:shd w:val="clear" w:color="auto" w:fill="auto"/>
            <w:noWrap/>
            <w:vAlign w:val="center"/>
            <w:hideMark/>
          </w:tcPr>
          <w:p w14:paraId="66A540B4"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1.6</w:t>
            </w:r>
          </w:p>
        </w:tc>
        <w:tc>
          <w:tcPr>
            <w:tcW w:w="892" w:type="dxa"/>
            <w:tcBorders>
              <w:top w:val="nil"/>
              <w:left w:val="nil"/>
              <w:bottom w:val="single" w:sz="4" w:space="0" w:color="auto"/>
              <w:right w:val="single" w:sz="4" w:space="0" w:color="auto"/>
            </w:tcBorders>
            <w:shd w:val="clear" w:color="auto" w:fill="auto"/>
            <w:noWrap/>
            <w:vAlign w:val="center"/>
            <w:hideMark/>
          </w:tcPr>
          <w:p w14:paraId="6CB02A15" w14:textId="77777777" w:rsidR="000C3790" w:rsidRPr="000C3790" w:rsidRDefault="000C3790" w:rsidP="000C3790">
            <w:pPr>
              <w:widowControl/>
              <w:autoSpaceDE/>
              <w:autoSpaceDN/>
              <w:adjustRightInd/>
              <w:jc w:val="center"/>
              <w:rPr>
                <w:color w:val="000000"/>
                <w:sz w:val="20"/>
                <w:szCs w:val="20"/>
              </w:rPr>
            </w:pPr>
            <w:r w:rsidRPr="000C3790">
              <w:rPr>
                <w:color w:val="000000"/>
                <w:sz w:val="20"/>
                <w:szCs w:val="20"/>
              </w:rPr>
              <w:t>3.2</w:t>
            </w:r>
          </w:p>
        </w:tc>
        <w:tc>
          <w:tcPr>
            <w:tcW w:w="916" w:type="dxa"/>
            <w:tcBorders>
              <w:top w:val="nil"/>
              <w:left w:val="nil"/>
              <w:bottom w:val="single" w:sz="4" w:space="0" w:color="auto"/>
              <w:right w:val="single" w:sz="4" w:space="0" w:color="auto"/>
            </w:tcBorders>
            <w:shd w:val="clear" w:color="auto" w:fill="auto"/>
            <w:noWrap/>
            <w:vAlign w:val="center"/>
            <w:hideMark/>
          </w:tcPr>
          <w:p w14:paraId="3D4B48A9" w14:textId="77777777" w:rsidR="000C3790" w:rsidRPr="000C3790" w:rsidRDefault="000C3790" w:rsidP="000C3790">
            <w:pPr>
              <w:widowControl/>
              <w:autoSpaceDE/>
              <w:autoSpaceDN/>
              <w:adjustRightInd/>
              <w:jc w:val="right"/>
              <w:rPr>
                <w:color w:val="000000"/>
                <w:sz w:val="20"/>
                <w:szCs w:val="20"/>
              </w:rPr>
            </w:pPr>
            <w:r w:rsidRPr="000C3790">
              <w:rPr>
                <w:color w:val="000000"/>
                <w:sz w:val="20"/>
                <w:szCs w:val="20"/>
              </w:rPr>
              <w:t xml:space="preserve">$1,774.27 </w:t>
            </w:r>
          </w:p>
        </w:tc>
      </w:tr>
      <w:tr w:rsidR="000C3790" w:rsidRPr="000C3790" w14:paraId="77AE1FB4" w14:textId="77777777" w:rsidTr="000C3790">
        <w:trPr>
          <w:trHeight w:val="315"/>
        </w:trPr>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10332178" w14:textId="77777777" w:rsidR="000C3790" w:rsidRPr="000C3790" w:rsidRDefault="000C3790" w:rsidP="000C3790">
            <w:pPr>
              <w:widowControl/>
              <w:autoSpaceDE/>
              <w:autoSpaceDN/>
              <w:adjustRightInd/>
              <w:rPr>
                <w:b/>
                <w:bCs/>
                <w:color w:val="000000"/>
                <w:sz w:val="20"/>
                <w:szCs w:val="20"/>
              </w:rPr>
            </w:pPr>
            <w:r w:rsidRPr="000C3790">
              <w:rPr>
                <w:b/>
                <w:bCs/>
                <w:color w:val="000000"/>
                <w:sz w:val="20"/>
                <w:szCs w:val="20"/>
              </w:rPr>
              <w:t xml:space="preserve">TOTAL ANNUAL BURDEN AND COST (rounded) </w:t>
            </w:r>
            <w:r w:rsidRPr="000C3790">
              <w:rPr>
                <w:b/>
                <w:bCs/>
                <w:color w:val="000000"/>
                <w:sz w:val="20"/>
                <w:szCs w:val="20"/>
                <w:vertAlign w:val="superscript"/>
              </w:rPr>
              <w:t>h</w:t>
            </w:r>
          </w:p>
        </w:tc>
        <w:tc>
          <w:tcPr>
            <w:tcW w:w="959" w:type="dxa"/>
            <w:tcBorders>
              <w:top w:val="nil"/>
              <w:left w:val="nil"/>
              <w:bottom w:val="single" w:sz="4" w:space="0" w:color="auto"/>
              <w:right w:val="single" w:sz="4" w:space="0" w:color="auto"/>
            </w:tcBorders>
            <w:shd w:val="clear" w:color="auto" w:fill="auto"/>
            <w:noWrap/>
            <w:vAlign w:val="center"/>
            <w:hideMark/>
          </w:tcPr>
          <w:p w14:paraId="1497C04E" w14:textId="77777777" w:rsidR="000C3790" w:rsidRPr="000C3790" w:rsidRDefault="000C3790" w:rsidP="000C3790">
            <w:pPr>
              <w:widowControl/>
              <w:autoSpaceDE/>
              <w:autoSpaceDN/>
              <w:adjustRightInd/>
              <w:rPr>
                <w:b/>
                <w:bCs/>
                <w:color w:val="000000"/>
                <w:sz w:val="20"/>
                <w:szCs w:val="20"/>
              </w:rPr>
            </w:pPr>
            <w:r w:rsidRPr="000C3790">
              <w:rPr>
                <w:b/>
                <w:bCs/>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1CB91D4C" w14:textId="77777777" w:rsidR="000C3790" w:rsidRPr="000C3790" w:rsidRDefault="000C3790" w:rsidP="000C3790">
            <w:pPr>
              <w:widowControl/>
              <w:autoSpaceDE/>
              <w:autoSpaceDN/>
              <w:adjustRightInd/>
              <w:rPr>
                <w:b/>
                <w:bCs/>
                <w:color w:val="000000"/>
                <w:sz w:val="20"/>
                <w:szCs w:val="20"/>
              </w:rPr>
            </w:pPr>
            <w:r w:rsidRPr="000C3790">
              <w:rPr>
                <w:b/>
                <w:bCs/>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14:paraId="04A59F7D" w14:textId="77777777" w:rsidR="000C3790" w:rsidRPr="000C3790" w:rsidRDefault="000C3790" w:rsidP="000C3790">
            <w:pPr>
              <w:widowControl/>
              <w:autoSpaceDE/>
              <w:autoSpaceDN/>
              <w:adjustRightInd/>
              <w:rPr>
                <w:b/>
                <w:bCs/>
                <w:color w:val="000000"/>
                <w:sz w:val="20"/>
                <w:szCs w:val="20"/>
              </w:rPr>
            </w:pPr>
            <w:r w:rsidRPr="000C3790">
              <w:rPr>
                <w:b/>
                <w:bCs/>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14:paraId="60E43EB2" w14:textId="77777777" w:rsidR="000C3790" w:rsidRPr="000C3790" w:rsidRDefault="000C3790" w:rsidP="000C3790">
            <w:pPr>
              <w:widowControl/>
              <w:autoSpaceDE/>
              <w:autoSpaceDN/>
              <w:adjustRightInd/>
              <w:rPr>
                <w:b/>
                <w:bCs/>
                <w:color w:val="000000"/>
                <w:sz w:val="20"/>
                <w:szCs w:val="20"/>
              </w:rPr>
            </w:pPr>
            <w:r w:rsidRPr="000C3790">
              <w:rPr>
                <w:b/>
                <w:bCs/>
                <w:color w:val="000000"/>
                <w:sz w:val="20"/>
                <w:szCs w:val="20"/>
              </w:rPr>
              <w:t> </w:t>
            </w:r>
          </w:p>
        </w:tc>
        <w:tc>
          <w:tcPr>
            <w:tcW w:w="28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462D06" w14:textId="77777777" w:rsidR="000C3790" w:rsidRPr="000C3790" w:rsidRDefault="000C3790" w:rsidP="000C3790">
            <w:pPr>
              <w:widowControl/>
              <w:autoSpaceDE/>
              <w:autoSpaceDN/>
              <w:adjustRightInd/>
              <w:jc w:val="center"/>
              <w:rPr>
                <w:b/>
                <w:bCs/>
                <w:color w:val="000000"/>
                <w:sz w:val="20"/>
                <w:szCs w:val="20"/>
              </w:rPr>
            </w:pPr>
            <w:r w:rsidRPr="000C3790">
              <w:rPr>
                <w:b/>
                <w:bCs/>
                <w:color w:val="000000"/>
                <w:sz w:val="20"/>
                <w:szCs w:val="20"/>
              </w:rPr>
              <w:t>83</w:t>
            </w:r>
          </w:p>
        </w:tc>
        <w:tc>
          <w:tcPr>
            <w:tcW w:w="916" w:type="dxa"/>
            <w:tcBorders>
              <w:top w:val="nil"/>
              <w:left w:val="nil"/>
              <w:bottom w:val="single" w:sz="4" w:space="0" w:color="auto"/>
              <w:right w:val="single" w:sz="4" w:space="0" w:color="auto"/>
            </w:tcBorders>
            <w:shd w:val="clear" w:color="auto" w:fill="auto"/>
            <w:noWrap/>
            <w:vAlign w:val="center"/>
            <w:hideMark/>
          </w:tcPr>
          <w:p w14:paraId="323A0A69" w14:textId="77777777" w:rsidR="000C3790" w:rsidRPr="000C3790" w:rsidRDefault="000C3790" w:rsidP="000C3790">
            <w:pPr>
              <w:widowControl/>
              <w:autoSpaceDE/>
              <w:autoSpaceDN/>
              <w:adjustRightInd/>
              <w:jc w:val="right"/>
              <w:rPr>
                <w:b/>
                <w:bCs/>
                <w:color w:val="000000"/>
                <w:sz w:val="20"/>
                <w:szCs w:val="20"/>
              </w:rPr>
            </w:pPr>
            <w:r w:rsidRPr="000C3790">
              <w:rPr>
                <w:b/>
                <w:bCs/>
                <w:color w:val="000000"/>
                <w:sz w:val="20"/>
                <w:szCs w:val="20"/>
              </w:rPr>
              <w:t xml:space="preserve">$3,990 </w:t>
            </w:r>
          </w:p>
        </w:tc>
      </w:tr>
    </w:tbl>
    <w:p w14:paraId="3AD4E875" w14:textId="77777777" w:rsidR="00144F35" w:rsidRDefault="00144F35" w:rsidP="00F340DF">
      <w:pPr>
        <w:rPr>
          <w:b/>
          <w:bCs/>
          <w:color w:val="000000"/>
        </w:rPr>
      </w:pPr>
    </w:p>
    <w:p w14:paraId="3CBB5DF9" w14:textId="77777777" w:rsidR="000C3790" w:rsidRPr="000C3790" w:rsidRDefault="000C3790" w:rsidP="000C3790">
      <w:pPr>
        <w:rPr>
          <w:color w:val="000000"/>
          <w:sz w:val="20"/>
          <w:szCs w:val="20"/>
        </w:rPr>
      </w:pPr>
      <w:r w:rsidRPr="000C3790">
        <w:rPr>
          <w:color w:val="000000"/>
          <w:sz w:val="20"/>
          <w:szCs w:val="20"/>
        </w:rPr>
        <w:t>Assumptions:</w:t>
      </w:r>
    </w:p>
    <w:p w14:paraId="7B10EA9A" w14:textId="77777777" w:rsidR="000C3790" w:rsidRPr="000C3790" w:rsidRDefault="000C3790" w:rsidP="000C3790">
      <w:pPr>
        <w:rPr>
          <w:color w:val="000000"/>
          <w:sz w:val="20"/>
          <w:szCs w:val="20"/>
        </w:rPr>
      </w:pPr>
      <w:r w:rsidRPr="000C3790">
        <w:rPr>
          <w:color w:val="000000"/>
          <w:sz w:val="20"/>
          <w:szCs w:val="20"/>
        </w:rPr>
        <w:t>a.  We estimate 8 new sources, comprising 8 gas-fired, and 0 landfill/digester gas-fired or oil-fired stationary combustion turbines, will become subject to the rule over the three-year period of this ICR. We also estimate 114 existing sources are subject, comprising 109 facilities with gas-fired turbines, 3 facilities with landfill/digester gas-fired turbines, and 2 facilities with oil-fired stationary combustion turbines.  Note that due to the ongoing stay, existing gas-fired sources that have previously submitted initial notifications are not subject to any additional monitoring or reporting requirements.</w:t>
      </w:r>
    </w:p>
    <w:p w14:paraId="53050B48" w14:textId="77777777" w:rsidR="000C3790" w:rsidRPr="000C3790" w:rsidRDefault="000C3790" w:rsidP="000C3790">
      <w:pPr>
        <w:rPr>
          <w:color w:val="000000"/>
          <w:sz w:val="20"/>
          <w:szCs w:val="20"/>
        </w:rPr>
      </w:pPr>
      <w:r w:rsidRPr="000C3790">
        <w:rPr>
          <w:color w:val="000000"/>
          <w:sz w:val="20"/>
          <w:szCs w:val="20"/>
        </w:rPr>
        <w:t>b.  This ICR uses the following labor rates: $49.44 for technical, $66.62 for managerial, and $26.75 for clerical labor.  These rates are from the Office of Personnel Management (OPM), 2019 General Schedule, which excludes locality rates of pay.  The rates have been increased by 60 percent to account for the benefit packages available to government employees.</w:t>
      </w:r>
    </w:p>
    <w:p w14:paraId="038EB462" w14:textId="01403DAF" w:rsidR="000C3790" w:rsidRPr="000C3790" w:rsidRDefault="000C3790" w:rsidP="000C3790">
      <w:pPr>
        <w:rPr>
          <w:color w:val="000000"/>
          <w:sz w:val="20"/>
          <w:szCs w:val="20"/>
        </w:rPr>
      </w:pPr>
      <w:r w:rsidRPr="000C3790">
        <w:rPr>
          <w:color w:val="000000"/>
          <w:sz w:val="20"/>
          <w:szCs w:val="20"/>
        </w:rPr>
        <w:t xml:space="preserve">c.  We assume two hours are required to review each initial notification. This activity applies to new sources in all subcategories (i.e., 8 new sources comprising </w:t>
      </w:r>
      <w:r w:rsidR="000C43F4">
        <w:rPr>
          <w:color w:val="000000"/>
          <w:sz w:val="20"/>
          <w:szCs w:val="20"/>
        </w:rPr>
        <w:t>8</w:t>
      </w:r>
      <w:r w:rsidRPr="000C3790">
        <w:rPr>
          <w:color w:val="000000"/>
          <w:sz w:val="20"/>
          <w:szCs w:val="20"/>
        </w:rPr>
        <w:t xml:space="preserve"> gas-fired, 0 oil-fired, and 0 landfill/digester gas-fired turbines).</w:t>
      </w:r>
    </w:p>
    <w:p w14:paraId="14AAC44F" w14:textId="77777777" w:rsidR="000C3790" w:rsidRPr="000C3790" w:rsidRDefault="000C3790" w:rsidP="000C3790">
      <w:pPr>
        <w:rPr>
          <w:color w:val="000000"/>
          <w:sz w:val="20"/>
          <w:szCs w:val="20"/>
        </w:rPr>
      </w:pPr>
      <w:r w:rsidRPr="000C3790">
        <w:rPr>
          <w:color w:val="000000"/>
          <w:sz w:val="20"/>
          <w:szCs w:val="20"/>
        </w:rPr>
        <w:t>d.  We assume two hours are required to review each notification.  This activity only applies to new sources in the oil-fired turbine subcategories (i.e., 0 oil-fired turbines).</w:t>
      </w:r>
    </w:p>
    <w:p w14:paraId="7639C0B8" w14:textId="77777777" w:rsidR="000C3790" w:rsidRPr="000C3790" w:rsidRDefault="000C3790" w:rsidP="000C3790">
      <w:pPr>
        <w:rPr>
          <w:color w:val="000000"/>
          <w:sz w:val="20"/>
          <w:szCs w:val="20"/>
        </w:rPr>
      </w:pPr>
      <w:r w:rsidRPr="000C3790">
        <w:rPr>
          <w:color w:val="000000"/>
          <w:sz w:val="20"/>
          <w:szCs w:val="20"/>
        </w:rPr>
        <w:t>e.  We assume that performance test and CMS performance evaluation reports will be submitted for review concurrently with the notification of compliance status, and that a total of 16 hours will be required to review each compliance notification (2 hours), performance test report (8 hours), and performance evaluation report (8 hours).</w:t>
      </w:r>
    </w:p>
    <w:p w14:paraId="20A351A0" w14:textId="77777777" w:rsidR="000C3790" w:rsidRPr="000C3790" w:rsidRDefault="000C3790" w:rsidP="000C3790">
      <w:pPr>
        <w:rPr>
          <w:color w:val="000000"/>
          <w:sz w:val="20"/>
          <w:szCs w:val="20"/>
        </w:rPr>
      </w:pPr>
      <w:r w:rsidRPr="000C3790">
        <w:rPr>
          <w:color w:val="000000"/>
          <w:sz w:val="20"/>
          <w:szCs w:val="20"/>
        </w:rPr>
        <w:t>f.  We assume eight hours are required to review each annual compliance report.  This activity only applies to existing sources in the landfill/digester gas-fired turbine subcategory (3 existing sources).</w:t>
      </w:r>
    </w:p>
    <w:p w14:paraId="347F277D" w14:textId="77777777" w:rsidR="000C3790" w:rsidRPr="000C3790" w:rsidRDefault="000C3790" w:rsidP="000C3790">
      <w:pPr>
        <w:rPr>
          <w:color w:val="000000"/>
          <w:sz w:val="20"/>
          <w:szCs w:val="20"/>
        </w:rPr>
      </w:pPr>
      <w:r w:rsidRPr="000C3790">
        <w:rPr>
          <w:color w:val="000000"/>
          <w:sz w:val="20"/>
          <w:szCs w:val="20"/>
        </w:rPr>
        <w:t>g.  We assume eight hours are required to review each semiannual compliance report.  This activity only applies to existing sources in the oil-fired turbine subcategories (2 existing sources).</w:t>
      </w:r>
    </w:p>
    <w:p w14:paraId="29F78B96" w14:textId="0D1AC160" w:rsidR="00162ECC" w:rsidRPr="000C3790" w:rsidRDefault="000C3790" w:rsidP="000C3790">
      <w:pPr>
        <w:rPr>
          <w:color w:val="000000"/>
          <w:sz w:val="20"/>
          <w:szCs w:val="20"/>
        </w:rPr>
      </w:pPr>
      <w:r w:rsidRPr="000C3790">
        <w:rPr>
          <w:color w:val="000000"/>
          <w:sz w:val="20"/>
          <w:szCs w:val="20"/>
        </w:rPr>
        <w:t>h.  Totals have been rounded to 3 significant figures. Figures may not add exactly due to rounding.</w:t>
      </w:r>
    </w:p>
    <w:sectPr w:rsidR="00162ECC" w:rsidRPr="000C379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34DA2" w14:textId="77777777" w:rsidR="007553E8" w:rsidRDefault="007553E8">
      <w:r>
        <w:separator/>
      </w:r>
    </w:p>
  </w:endnote>
  <w:endnote w:type="continuationSeparator" w:id="0">
    <w:p w14:paraId="26FE66C4" w14:textId="77777777" w:rsidR="007553E8" w:rsidRDefault="0075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AEB89" w14:textId="77777777" w:rsidR="007553E8" w:rsidRDefault="007553E8">
      <w:r>
        <w:separator/>
      </w:r>
    </w:p>
  </w:footnote>
  <w:footnote w:type="continuationSeparator" w:id="0">
    <w:p w14:paraId="4EAD92FD" w14:textId="77777777" w:rsidR="007553E8" w:rsidRDefault="00755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C34FFB" w:rsidRDefault="00C34FFB">
    <w:pPr>
      <w:framePr w:w="9361" w:wrap="notBeside" w:vAnchor="text" w:hAnchor="text" w:x="1" w:y="1"/>
      <w:jc w:val="center"/>
    </w:pPr>
    <w:r>
      <w:fldChar w:fldCharType="begin"/>
    </w:r>
    <w:r>
      <w:instrText xml:space="preserve">PAGE </w:instrText>
    </w:r>
    <w:r>
      <w:fldChar w:fldCharType="separate"/>
    </w:r>
    <w:r w:rsidR="00D67AB2">
      <w:rPr>
        <w:noProof/>
      </w:rPr>
      <w:t>2</w:t>
    </w:r>
    <w:r>
      <w:rPr>
        <w:noProof/>
      </w:rPr>
      <w:fldChar w:fldCharType="end"/>
    </w:r>
  </w:p>
  <w:p w14:paraId="5B65F028" w14:textId="77777777" w:rsidR="00C34FFB" w:rsidRDefault="00C34FFB"/>
  <w:p w14:paraId="70BB230B" w14:textId="77777777" w:rsidR="00C34FFB" w:rsidRDefault="00C34FF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6EED"/>
    <w:rsid w:val="0003619B"/>
    <w:rsid w:val="00055BDF"/>
    <w:rsid w:val="00055DC5"/>
    <w:rsid w:val="0009342B"/>
    <w:rsid w:val="000A1FBB"/>
    <w:rsid w:val="000A687C"/>
    <w:rsid w:val="000B2E1C"/>
    <w:rsid w:val="000C3790"/>
    <w:rsid w:val="000C43F4"/>
    <w:rsid w:val="000C52CF"/>
    <w:rsid w:val="000D2272"/>
    <w:rsid w:val="000F772C"/>
    <w:rsid w:val="00101B40"/>
    <w:rsid w:val="00102B52"/>
    <w:rsid w:val="0010697C"/>
    <w:rsid w:val="00122CF4"/>
    <w:rsid w:val="00123889"/>
    <w:rsid w:val="00126A7C"/>
    <w:rsid w:val="00133215"/>
    <w:rsid w:val="001356D4"/>
    <w:rsid w:val="001405D8"/>
    <w:rsid w:val="0014079D"/>
    <w:rsid w:val="001414C4"/>
    <w:rsid w:val="001433D3"/>
    <w:rsid w:val="00144978"/>
    <w:rsid w:val="00144A82"/>
    <w:rsid w:val="00144F35"/>
    <w:rsid w:val="0015433E"/>
    <w:rsid w:val="00162ECC"/>
    <w:rsid w:val="00165DCF"/>
    <w:rsid w:val="00172AC3"/>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41540"/>
    <w:rsid w:val="003511C6"/>
    <w:rsid w:val="0035325B"/>
    <w:rsid w:val="00354C15"/>
    <w:rsid w:val="00377D7F"/>
    <w:rsid w:val="00397178"/>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56B7B"/>
    <w:rsid w:val="00484A45"/>
    <w:rsid w:val="0049327D"/>
    <w:rsid w:val="004A084D"/>
    <w:rsid w:val="004A4B25"/>
    <w:rsid w:val="004B1634"/>
    <w:rsid w:val="004C3ABA"/>
    <w:rsid w:val="004C5E95"/>
    <w:rsid w:val="004C701D"/>
    <w:rsid w:val="004D2B64"/>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673D3"/>
    <w:rsid w:val="00571260"/>
    <w:rsid w:val="00583626"/>
    <w:rsid w:val="005864DE"/>
    <w:rsid w:val="005A1986"/>
    <w:rsid w:val="005A7AE1"/>
    <w:rsid w:val="005B5DE8"/>
    <w:rsid w:val="005C3665"/>
    <w:rsid w:val="005C42AC"/>
    <w:rsid w:val="005D385C"/>
    <w:rsid w:val="005E0A9B"/>
    <w:rsid w:val="005E194B"/>
    <w:rsid w:val="005F1440"/>
    <w:rsid w:val="005F42F8"/>
    <w:rsid w:val="00601205"/>
    <w:rsid w:val="00602CD6"/>
    <w:rsid w:val="00606DEF"/>
    <w:rsid w:val="0062215C"/>
    <w:rsid w:val="00631517"/>
    <w:rsid w:val="00635DBD"/>
    <w:rsid w:val="00646DAF"/>
    <w:rsid w:val="00647BBB"/>
    <w:rsid w:val="0065564A"/>
    <w:rsid w:val="00656B42"/>
    <w:rsid w:val="006605CF"/>
    <w:rsid w:val="006741F7"/>
    <w:rsid w:val="006810C3"/>
    <w:rsid w:val="00683B4D"/>
    <w:rsid w:val="00694B55"/>
    <w:rsid w:val="006A6978"/>
    <w:rsid w:val="006A7B17"/>
    <w:rsid w:val="006B161A"/>
    <w:rsid w:val="006D1B12"/>
    <w:rsid w:val="006D4402"/>
    <w:rsid w:val="006E4A6E"/>
    <w:rsid w:val="006E642B"/>
    <w:rsid w:val="007025D8"/>
    <w:rsid w:val="00722863"/>
    <w:rsid w:val="00724BC7"/>
    <w:rsid w:val="00754D1E"/>
    <w:rsid w:val="007553E8"/>
    <w:rsid w:val="00763160"/>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7E8B"/>
    <w:rsid w:val="008338D4"/>
    <w:rsid w:val="0083558A"/>
    <w:rsid w:val="00837642"/>
    <w:rsid w:val="0084255D"/>
    <w:rsid w:val="00850ACF"/>
    <w:rsid w:val="00852038"/>
    <w:rsid w:val="00861489"/>
    <w:rsid w:val="0088639E"/>
    <w:rsid w:val="008A46EB"/>
    <w:rsid w:val="008B407C"/>
    <w:rsid w:val="008C71FC"/>
    <w:rsid w:val="008E0E56"/>
    <w:rsid w:val="008E65E6"/>
    <w:rsid w:val="008F285B"/>
    <w:rsid w:val="008F4564"/>
    <w:rsid w:val="009018EC"/>
    <w:rsid w:val="00906EDB"/>
    <w:rsid w:val="00912E00"/>
    <w:rsid w:val="00923C46"/>
    <w:rsid w:val="0095132C"/>
    <w:rsid w:val="00960FCD"/>
    <w:rsid w:val="00961D90"/>
    <w:rsid w:val="009711DB"/>
    <w:rsid w:val="009737C0"/>
    <w:rsid w:val="00981C20"/>
    <w:rsid w:val="009903E5"/>
    <w:rsid w:val="00991AF7"/>
    <w:rsid w:val="00995872"/>
    <w:rsid w:val="009A0F50"/>
    <w:rsid w:val="009A16CD"/>
    <w:rsid w:val="009C06F5"/>
    <w:rsid w:val="009C4337"/>
    <w:rsid w:val="009C7E97"/>
    <w:rsid w:val="009D414B"/>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F3AED"/>
    <w:rsid w:val="00AF70A1"/>
    <w:rsid w:val="00B04A5C"/>
    <w:rsid w:val="00B07F79"/>
    <w:rsid w:val="00B16C07"/>
    <w:rsid w:val="00B24987"/>
    <w:rsid w:val="00B311CB"/>
    <w:rsid w:val="00B372DE"/>
    <w:rsid w:val="00B41FFF"/>
    <w:rsid w:val="00B46A57"/>
    <w:rsid w:val="00B63934"/>
    <w:rsid w:val="00B65754"/>
    <w:rsid w:val="00B66231"/>
    <w:rsid w:val="00B74663"/>
    <w:rsid w:val="00B769F1"/>
    <w:rsid w:val="00B82025"/>
    <w:rsid w:val="00B907B1"/>
    <w:rsid w:val="00BA0A91"/>
    <w:rsid w:val="00BA4887"/>
    <w:rsid w:val="00BB3390"/>
    <w:rsid w:val="00BB3C1A"/>
    <w:rsid w:val="00BC6DEF"/>
    <w:rsid w:val="00BD7CAE"/>
    <w:rsid w:val="00BE2989"/>
    <w:rsid w:val="00BE7A11"/>
    <w:rsid w:val="00BF722F"/>
    <w:rsid w:val="00C037FD"/>
    <w:rsid w:val="00C04823"/>
    <w:rsid w:val="00C05BA1"/>
    <w:rsid w:val="00C10ED1"/>
    <w:rsid w:val="00C13FE8"/>
    <w:rsid w:val="00C30A60"/>
    <w:rsid w:val="00C33ABA"/>
    <w:rsid w:val="00C33CE2"/>
    <w:rsid w:val="00C34FFB"/>
    <w:rsid w:val="00C37BB6"/>
    <w:rsid w:val="00C5297B"/>
    <w:rsid w:val="00C52EFD"/>
    <w:rsid w:val="00C64378"/>
    <w:rsid w:val="00C73C98"/>
    <w:rsid w:val="00C75CF0"/>
    <w:rsid w:val="00C808B5"/>
    <w:rsid w:val="00C82DB6"/>
    <w:rsid w:val="00C85086"/>
    <w:rsid w:val="00CA4CD6"/>
    <w:rsid w:val="00CA7DA0"/>
    <w:rsid w:val="00CC48AB"/>
    <w:rsid w:val="00CC58F6"/>
    <w:rsid w:val="00CC5B39"/>
    <w:rsid w:val="00CD0564"/>
    <w:rsid w:val="00CD0739"/>
    <w:rsid w:val="00CD2069"/>
    <w:rsid w:val="00CD280D"/>
    <w:rsid w:val="00CF2B37"/>
    <w:rsid w:val="00D05D16"/>
    <w:rsid w:val="00D07C01"/>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7AB2"/>
    <w:rsid w:val="00D91C34"/>
    <w:rsid w:val="00D92F66"/>
    <w:rsid w:val="00D95819"/>
    <w:rsid w:val="00DA7285"/>
    <w:rsid w:val="00DB22A5"/>
    <w:rsid w:val="00DB59E1"/>
    <w:rsid w:val="00DB786E"/>
    <w:rsid w:val="00DB7FFB"/>
    <w:rsid w:val="00DC56DE"/>
    <w:rsid w:val="00DC7D7C"/>
    <w:rsid w:val="00DD0312"/>
    <w:rsid w:val="00DD1AC1"/>
    <w:rsid w:val="00DD7D49"/>
    <w:rsid w:val="00DE27C4"/>
    <w:rsid w:val="00DE37F1"/>
    <w:rsid w:val="00DF5C4E"/>
    <w:rsid w:val="00E10DA7"/>
    <w:rsid w:val="00E110E3"/>
    <w:rsid w:val="00E1538C"/>
    <w:rsid w:val="00E25DB6"/>
    <w:rsid w:val="00E276CD"/>
    <w:rsid w:val="00E32EDA"/>
    <w:rsid w:val="00E351DD"/>
    <w:rsid w:val="00E41377"/>
    <w:rsid w:val="00E53137"/>
    <w:rsid w:val="00E702F6"/>
    <w:rsid w:val="00E72D70"/>
    <w:rsid w:val="00E77D5E"/>
    <w:rsid w:val="00E81F90"/>
    <w:rsid w:val="00E835B0"/>
    <w:rsid w:val="00E868BB"/>
    <w:rsid w:val="00E90E82"/>
    <w:rsid w:val="00EA37A9"/>
    <w:rsid w:val="00EA7026"/>
    <w:rsid w:val="00EB6FBE"/>
    <w:rsid w:val="00EC4074"/>
    <w:rsid w:val="00ED741E"/>
    <w:rsid w:val="00EF113F"/>
    <w:rsid w:val="00F02EB3"/>
    <w:rsid w:val="00F033F0"/>
    <w:rsid w:val="00F03803"/>
    <w:rsid w:val="00F066C9"/>
    <w:rsid w:val="00F17898"/>
    <w:rsid w:val="00F20822"/>
    <w:rsid w:val="00F340DF"/>
    <w:rsid w:val="00F5262C"/>
    <w:rsid w:val="00F538BC"/>
    <w:rsid w:val="00F5584C"/>
    <w:rsid w:val="00F60160"/>
    <w:rsid w:val="00F65FC0"/>
    <w:rsid w:val="00F87E6A"/>
    <w:rsid w:val="00F9092B"/>
    <w:rsid w:val="00F92D22"/>
    <w:rsid w:val="00FA25F1"/>
    <w:rsid w:val="00FB0650"/>
    <w:rsid w:val="00FB3986"/>
    <w:rsid w:val="00FB4D98"/>
    <w:rsid w:val="00FB6378"/>
    <w:rsid w:val="00FB7BCE"/>
    <w:rsid w:val="00FC0A2B"/>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irstline05After12pt">
    <w:name w:val="Body First line:  0.5&quot; After:  12 pt"/>
    <w:basedOn w:val="Normal"/>
    <w:rsid w:val="00961D90"/>
    <w:pPr>
      <w:widowControl/>
      <w:autoSpaceDE/>
      <w:autoSpaceDN/>
      <w:adjustRightInd/>
      <w:spacing w:after="240"/>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irstline05After12pt">
    <w:name w:val="Body First line:  0.5&quot; After:  12 pt"/>
    <w:basedOn w:val="Normal"/>
    <w:rsid w:val="00961D90"/>
    <w:pPr>
      <w:widowControl/>
      <w:autoSpaceDE/>
      <w:autoSpaceDN/>
      <w:adjustRightInd/>
      <w:spacing w:after="24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395116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88484054">
      <w:bodyDiv w:val="1"/>
      <w:marLeft w:val="0"/>
      <w:marRight w:val="0"/>
      <w:marTop w:val="0"/>
      <w:marBottom w:val="0"/>
      <w:divBdr>
        <w:top w:val="none" w:sz="0" w:space="0" w:color="auto"/>
        <w:left w:val="none" w:sz="0" w:space="0" w:color="auto"/>
        <w:bottom w:val="none" w:sz="0" w:space="0" w:color="auto"/>
        <w:right w:val="none" w:sz="0" w:space="0" w:color="auto"/>
      </w:divBdr>
    </w:div>
    <w:div w:id="1615399676">
      <w:bodyDiv w:val="1"/>
      <w:marLeft w:val="0"/>
      <w:marRight w:val="0"/>
      <w:marTop w:val="0"/>
      <w:marBottom w:val="0"/>
      <w:divBdr>
        <w:top w:val="none" w:sz="0" w:space="0" w:color="auto"/>
        <w:left w:val="none" w:sz="0" w:space="0" w:color="auto"/>
        <w:bottom w:val="none" w:sz="0" w:space="0" w:color="auto"/>
        <w:right w:val="none" w:sz="0" w:space="0" w:color="auto"/>
      </w:divBdr>
    </w:div>
    <w:div w:id="19155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EC79-C28C-4744-94A2-316B92DD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6015</Words>
  <Characters>34291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2019-08-27T13:08:00Z</dcterms:created>
  <dcterms:modified xsi:type="dcterms:W3CDTF">2019-08-27T13:08:00Z</dcterms:modified>
</cp:coreProperties>
</file>