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DFB" w:rsidRDefault="00023A99" w:rsidP="00206DFB">
      <w:pPr>
        <w:widowControl/>
        <w:spacing w:after="360"/>
        <w:jc w:val="center"/>
        <w:rPr>
          <w:b/>
        </w:rPr>
      </w:pPr>
      <w:bookmarkStart w:id="0" w:name="_GoBack"/>
      <w:bookmarkEnd w:id="0"/>
      <w:r>
        <w:rPr>
          <w:b/>
          <w:bCs/>
          <w:sz w:val="22"/>
          <w:szCs w:val="22"/>
        </w:rPr>
        <w:t>SUPPORTING STATEMENT</w:t>
      </w:r>
      <w:r w:rsidR="004D1A5D">
        <w:rPr>
          <w:b/>
          <w:bCs/>
          <w:sz w:val="22"/>
          <w:szCs w:val="22"/>
        </w:rPr>
        <w:t xml:space="preserve"> for </w:t>
      </w:r>
      <w:r w:rsidRPr="00023A99">
        <w:rPr>
          <w:b/>
        </w:rPr>
        <w:t>Identification, Listing and Rulemaking Petitions (</w:t>
      </w:r>
      <w:r w:rsidR="00E04E82">
        <w:rPr>
          <w:b/>
        </w:rPr>
        <w:t>Proposed</w:t>
      </w:r>
    </w:p>
    <w:p w:rsidR="00023A99" w:rsidRPr="007618D3" w:rsidRDefault="00023A99" w:rsidP="00206DFB">
      <w:pPr>
        <w:widowControl/>
        <w:spacing w:after="360"/>
        <w:jc w:val="center"/>
      </w:pPr>
      <w:r>
        <w:rPr>
          <w:b/>
        </w:rPr>
        <w:t>Rule titled</w:t>
      </w:r>
      <w:r w:rsidR="00206DFB">
        <w:rPr>
          <w:b/>
        </w:rPr>
        <w:t xml:space="preserve"> </w:t>
      </w:r>
      <w:r w:rsidR="00F24A85">
        <w:rPr>
          <w:b/>
          <w:bCs/>
        </w:rPr>
        <w:t>‘</w:t>
      </w:r>
      <w:r w:rsidR="00CC1682" w:rsidRPr="00C300D8">
        <w:rPr>
          <w:b/>
          <w:bCs/>
        </w:rPr>
        <w:t xml:space="preserve">Hazardous and Solid Waste Management System: Disposal of Coal Combustion Residuals from Electric Utilities; </w:t>
      </w:r>
      <w:bookmarkStart w:id="1" w:name="_Hlk14956128"/>
      <w:r w:rsidR="00CC1682">
        <w:rPr>
          <w:b/>
          <w:bCs/>
        </w:rPr>
        <w:t>Enhancing Public Access to Information; Reconsideration of Beneficial Use Criteria and Piles</w:t>
      </w:r>
      <w:bookmarkEnd w:id="1"/>
      <w:r w:rsidR="00F24A85">
        <w:rPr>
          <w:b/>
          <w:bCs/>
        </w:rPr>
        <w:t>’</w:t>
      </w:r>
      <w:r w:rsidRPr="00023A99">
        <w:rPr>
          <w:b/>
        </w:rPr>
        <w:t>)</w:t>
      </w:r>
    </w:p>
    <w:p w:rsidR="00023A99" w:rsidRPr="00023A99" w:rsidRDefault="00023A99" w:rsidP="00023A99">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jc w:val="center"/>
        <w:rPr>
          <w:b/>
        </w:rPr>
      </w:pPr>
    </w:p>
    <w:p w:rsidR="007B2540" w:rsidRPr="00B230E3" w:rsidRDefault="007B2540" w:rsidP="00E87957">
      <w:pPr>
        <w:pStyle w:val="Heading1"/>
      </w:pPr>
      <w:r w:rsidRPr="00B230E3">
        <w:t>1.</w:t>
      </w:r>
      <w:r w:rsidRPr="00B230E3">
        <w:tab/>
        <w:t>IDENTIFICATION OF THE INFORMATION COLLECTION</w:t>
      </w: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1(a)</w:t>
      </w:r>
      <w:r w:rsidRPr="00B230E3">
        <w:rPr>
          <w:b/>
          <w:bCs/>
          <w:sz w:val="22"/>
          <w:szCs w:val="22"/>
        </w:rPr>
        <w:tab/>
        <w:t>Title of the</w:t>
      </w:r>
      <w:r w:rsidR="00B93ABA">
        <w:rPr>
          <w:b/>
          <w:bCs/>
          <w:sz w:val="22"/>
          <w:szCs w:val="22"/>
        </w:rPr>
        <w:t xml:space="preserve"> Information Collection Request (ICR) </w:t>
      </w:r>
    </w:p>
    <w:p w:rsidR="00460BA1" w:rsidRPr="00E11494" w:rsidRDefault="00774DC6" w:rsidP="00460BA1">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pPr>
      <w:r w:rsidRPr="00D95940">
        <w:t>Identification, Listing and Rulemaking Petitions</w:t>
      </w:r>
      <w:r w:rsidR="000077AF">
        <w:t xml:space="preserve"> </w:t>
      </w:r>
      <w:r w:rsidR="00460BA1">
        <w:t>(</w:t>
      </w:r>
      <w:r w:rsidR="00E04E82">
        <w:t xml:space="preserve">Proposed </w:t>
      </w:r>
      <w:r w:rsidR="00460BA1">
        <w:t>Rule titled ‘</w:t>
      </w:r>
      <w:r w:rsidR="00F24A85" w:rsidRPr="00F24A85">
        <w:t xml:space="preserve">Hazardous and Solid Waste Management System: Disposal of Coal Combustion Residuals from Electric Utilities; </w:t>
      </w:r>
      <w:r w:rsidR="00F24A85" w:rsidRPr="00E11494">
        <w:t>Enhancing Public Access to Information; Reconsideration of Beneficial Use Criteria and Piles</w:t>
      </w:r>
      <w:r w:rsidR="00460BA1" w:rsidRPr="00E11494">
        <w:t>’)</w:t>
      </w:r>
    </w:p>
    <w:p w:rsidR="007B2540" w:rsidRPr="00B230E3" w:rsidRDefault="00D76DE6"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E11494">
        <w:rPr>
          <w:sz w:val="22"/>
          <w:szCs w:val="22"/>
        </w:rPr>
        <w:t xml:space="preserve">EPA </w:t>
      </w:r>
      <w:r w:rsidR="0036387E" w:rsidRPr="00E11494">
        <w:rPr>
          <w:sz w:val="22"/>
          <w:szCs w:val="22"/>
        </w:rPr>
        <w:t xml:space="preserve">ICR No. </w:t>
      </w:r>
      <w:r w:rsidR="00D05CB5" w:rsidRPr="00E11494">
        <w:rPr>
          <w:sz w:val="22"/>
          <w:szCs w:val="22"/>
        </w:rPr>
        <w:t>1189.</w:t>
      </w:r>
      <w:r w:rsidR="00B5634B">
        <w:rPr>
          <w:sz w:val="22"/>
          <w:szCs w:val="22"/>
        </w:rPr>
        <w:t>31</w:t>
      </w:r>
      <w:r w:rsidR="007B2540" w:rsidRPr="00E11494">
        <w:rPr>
          <w:sz w:val="22"/>
          <w:szCs w:val="22"/>
        </w:rPr>
        <w:t>, O</w:t>
      </w:r>
      <w:r w:rsidR="00B93ABA">
        <w:rPr>
          <w:sz w:val="22"/>
          <w:szCs w:val="22"/>
        </w:rPr>
        <w:t>ffice of Management and Budget (O</w:t>
      </w:r>
      <w:r w:rsidR="007B2540" w:rsidRPr="00B230E3">
        <w:rPr>
          <w:sz w:val="22"/>
          <w:szCs w:val="22"/>
        </w:rPr>
        <w:t>MB</w:t>
      </w:r>
      <w:r w:rsidR="00B93ABA">
        <w:rPr>
          <w:sz w:val="22"/>
          <w:szCs w:val="22"/>
        </w:rPr>
        <w:t>)</w:t>
      </w:r>
      <w:r w:rsidR="007B2540" w:rsidRPr="00B230E3">
        <w:rPr>
          <w:sz w:val="22"/>
          <w:szCs w:val="22"/>
        </w:rPr>
        <w:t xml:space="preserve"> </w:t>
      </w:r>
      <w:r w:rsidR="00774DC6">
        <w:rPr>
          <w:sz w:val="22"/>
          <w:szCs w:val="22"/>
        </w:rPr>
        <w:t xml:space="preserve">Control </w:t>
      </w:r>
      <w:r w:rsidR="007B2540" w:rsidRPr="00B230E3">
        <w:rPr>
          <w:sz w:val="22"/>
          <w:szCs w:val="22"/>
        </w:rPr>
        <w:t xml:space="preserve">No. </w:t>
      </w:r>
      <w:r w:rsidR="00774DC6" w:rsidRPr="00D95940">
        <w:t>2050-0053</w:t>
      </w:r>
      <w:r w:rsidR="00784A96">
        <w:rPr>
          <w:sz w:val="22"/>
          <w:szCs w:val="22"/>
        </w:rPr>
        <w:t>.</w:t>
      </w: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rsidR="009C086C" w:rsidRPr="00722E5F" w:rsidRDefault="007B2540" w:rsidP="00B363CD">
      <w:pPr>
        <w:widowControl/>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amend</w:t>
      </w:r>
      <w:r w:rsidR="0078151A">
        <w:rPr>
          <w:sz w:val="22"/>
          <w:szCs w:val="22"/>
        </w:rPr>
        <w:t>s</w:t>
      </w:r>
      <w:r w:rsidRPr="00B230E3">
        <w:rPr>
          <w:sz w:val="22"/>
          <w:szCs w:val="22"/>
        </w:rPr>
        <w:t xml:space="preserve"> </w:t>
      </w:r>
      <w:r w:rsidR="000077AF">
        <w:rPr>
          <w:sz w:val="22"/>
          <w:szCs w:val="22"/>
        </w:rPr>
        <w:t>the</w:t>
      </w:r>
      <w:r w:rsidR="000077AF" w:rsidRPr="00B230E3">
        <w:rPr>
          <w:sz w:val="22"/>
          <w:szCs w:val="22"/>
        </w:rPr>
        <w:t xml:space="preserve"> </w:t>
      </w:r>
      <w:r w:rsidR="0036387E">
        <w:rPr>
          <w:sz w:val="22"/>
          <w:szCs w:val="22"/>
        </w:rPr>
        <w:t>previously approved ICR (</w:t>
      </w:r>
      <w:r w:rsidR="000077AF">
        <w:rPr>
          <w:sz w:val="22"/>
          <w:szCs w:val="22"/>
        </w:rPr>
        <w:t>EPA ICR Number</w:t>
      </w:r>
      <w:r w:rsidR="00A900E8">
        <w:rPr>
          <w:sz w:val="22"/>
          <w:szCs w:val="22"/>
        </w:rPr>
        <w:t>1189</w:t>
      </w:r>
      <w:r w:rsidR="00774DC6">
        <w:rPr>
          <w:sz w:val="22"/>
          <w:szCs w:val="22"/>
        </w:rPr>
        <w:t>.26</w:t>
      </w:r>
      <w:r w:rsidRPr="00B230E3">
        <w:rPr>
          <w:sz w:val="22"/>
          <w:szCs w:val="22"/>
        </w:rPr>
        <w:t xml:space="preserve">), OMB Control No. </w:t>
      </w:r>
      <w:r w:rsidR="00774DC6" w:rsidRPr="00D95940">
        <w:t>2050-0053</w:t>
      </w:r>
      <w:r w:rsidR="000077AF">
        <w:t>, which</w:t>
      </w:r>
      <w:r w:rsidR="00743959" w:rsidRPr="00B230E3">
        <w:rPr>
          <w:sz w:val="22"/>
          <w:szCs w:val="22"/>
        </w:rPr>
        <w:t xml:space="preserve"> covers the </w:t>
      </w:r>
      <w:r w:rsidR="00774DC6" w:rsidRPr="00774DC6">
        <w:rPr>
          <w:sz w:val="22"/>
          <w:szCs w:val="22"/>
        </w:rPr>
        <w:t>Identification, Listing and Rulemaking Petitions</w:t>
      </w:r>
      <w:r w:rsidR="00774DC6">
        <w:rPr>
          <w:sz w:val="22"/>
          <w:szCs w:val="22"/>
        </w:rPr>
        <w:t xml:space="preserve"> under the </w:t>
      </w:r>
      <w:r w:rsidR="00774DC6" w:rsidRPr="00774DC6">
        <w:rPr>
          <w:sz w:val="22"/>
          <w:szCs w:val="22"/>
        </w:rPr>
        <w:t>authority of the Resource Conservation and Recovery Act of 1976 (RCRA)</w:t>
      </w:r>
      <w:r w:rsidR="00774DC6">
        <w:rPr>
          <w:sz w:val="22"/>
          <w:szCs w:val="22"/>
        </w:rPr>
        <w:t xml:space="preserve">, as amended, codified under </w:t>
      </w:r>
      <w:r w:rsidR="00743959" w:rsidRPr="00B230E3">
        <w:rPr>
          <w:sz w:val="22"/>
          <w:szCs w:val="22"/>
        </w:rPr>
        <w:t xml:space="preserve">40 </w:t>
      </w:r>
      <w:r w:rsidR="00FD21CB">
        <w:rPr>
          <w:sz w:val="22"/>
          <w:szCs w:val="22"/>
        </w:rPr>
        <w:t>Code of Federal Regulations (</w:t>
      </w:r>
      <w:r w:rsidR="00743959" w:rsidRPr="00B230E3">
        <w:rPr>
          <w:sz w:val="22"/>
          <w:szCs w:val="22"/>
        </w:rPr>
        <w:t>CFR</w:t>
      </w:r>
      <w:r w:rsidR="00FD21CB">
        <w:rPr>
          <w:sz w:val="22"/>
          <w:szCs w:val="22"/>
        </w:rPr>
        <w:t>)</w:t>
      </w:r>
      <w:r w:rsidR="00774DC6">
        <w:rPr>
          <w:sz w:val="22"/>
          <w:szCs w:val="22"/>
        </w:rPr>
        <w:t xml:space="preserve"> parts </w:t>
      </w:r>
      <w:r w:rsidR="00774DC6" w:rsidRPr="00774DC6">
        <w:rPr>
          <w:sz w:val="22"/>
          <w:szCs w:val="22"/>
        </w:rPr>
        <w:t>260 and 261</w:t>
      </w:r>
      <w:r w:rsidR="00774DC6">
        <w:rPr>
          <w:sz w:val="22"/>
          <w:szCs w:val="22"/>
        </w:rPr>
        <w:t xml:space="preserve">. </w:t>
      </w:r>
      <w:r w:rsidR="00152AC6">
        <w:rPr>
          <w:sz w:val="22"/>
          <w:szCs w:val="22"/>
        </w:rPr>
        <w:t xml:space="preserve">This </w:t>
      </w:r>
      <w:r w:rsidR="000077AF">
        <w:rPr>
          <w:sz w:val="22"/>
          <w:szCs w:val="22"/>
        </w:rPr>
        <w:t xml:space="preserve">ICR </w:t>
      </w:r>
      <w:r w:rsidR="00D76DE6">
        <w:rPr>
          <w:sz w:val="22"/>
          <w:szCs w:val="22"/>
        </w:rPr>
        <w:t xml:space="preserve">package </w:t>
      </w:r>
      <w:r w:rsidR="000077AF">
        <w:rPr>
          <w:sz w:val="22"/>
          <w:szCs w:val="22"/>
        </w:rPr>
        <w:t xml:space="preserve">(EPA ICR Number </w:t>
      </w:r>
      <w:r w:rsidR="00D05CB5">
        <w:rPr>
          <w:sz w:val="22"/>
          <w:szCs w:val="22"/>
        </w:rPr>
        <w:t>1189.28</w:t>
      </w:r>
      <w:r w:rsidR="000077AF">
        <w:rPr>
          <w:sz w:val="22"/>
          <w:szCs w:val="22"/>
        </w:rPr>
        <w:t xml:space="preserve">) </w:t>
      </w:r>
      <w:r w:rsidR="00D76DE6">
        <w:rPr>
          <w:sz w:val="22"/>
          <w:szCs w:val="22"/>
        </w:rPr>
        <w:t xml:space="preserve">represents the new information collection requirements imposed by </w:t>
      </w:r>
      <w:r w:rsidR="00774DC6">
        <w:rPr>
          <w:sz w:val="22"/>
          <w:szCs w:val="22"/>
        </w:rPr>
        <w:t xml:space="preserve">the </w:t>
      </w:r>
      <w:r w:rsidR="00F24A85" w:rsidRPr="00F24A85">
        <w:rPr>
          <w:sz w:val="22"/>
          <w:szCs w:val="22"/>
        </w:rPr>
        <w:t>Hazardous and Solid Waste Management System: Disposal of Coal Combustion Residuals from Electric Utilities; Enhancing Public Access to Information; Reconsideration of Beneficial Use Criteria and Piles</w:t>
      </w:r>
      <w:r w:rsidR="006B3740">
        <w:rPr>
          <w:sz w:val="22"/>
          <w:szCs w:val="22"/>
        </w:rPr>
        <w:t xml:space="preserve"> (referred to herein as the </w:t>
      </w:r>
      <w:r w:rsidR="00E04E82">
        <w:rPr>
          <w:sz w:val="22"/>
          <w:szCs w:val="22"/>
        </w:rPr>
        <w:t xml:space="preserve">Proposed </w:t>
      </w:r>
      <w:r w:rsidR="006B3740">
        <w:rPr>
          <w:sz w:val="22"/>
          <w:szCs w:val="22"/>
        </w:rPr>
        <w:t>Rule)</w:t>
      </w:r>
      <w:r w:rsidR="00D76DE6" w:rsidRPr="00722E5F">
        <w:rPr>
          <w:sz w:val="22"/>
          <w:szCs w:val="22"/>
        </w:rPr>
        <w:t>.</w:t>
      </w:r>
    </w:p>
    <w:p w:rsidR="004473A7" w:rsidRPr="004473A7" w:rsidRDefault="004473A7" w:rsidP="00B363CD">
      <w:pPr>
        <w:widowControl/>
        <w:spacing w:after="120"/>
        <w:ind w:firstLine="720"/>
        <w:rPr>
          <w:sz w:val="22"/>
          <w:szCs w:val="22"/>
        </w:rPr>
      </w:pPr>
      <w:r w:rsidRPr="00722E5F">
        <w:rPr>
          <w:sz w:val="22"/>
          <w:szCs w:val="22"/>
        </w:rPr>
        <w:t xml:space="preserve">The EPA published a final rule to regulate the disposal of coal combustion residuals (CCR) from electric utilities as solid waste under </w:t>
      </w:r>
      <w:r w:rsidR="00275CF2">
        <w:rPr>
          <w:sz w:val="22"/>
          <w:szCs w:val="22"/>
        </w:rPr>
        <w:t xml:space="preserve">RCRA </w:t>
      </w:r>
      <w:r w:rsidRPr="00722E5F">
        <w:rPr>
          <w:sz w:val="22"/>
          <w:szCs w:val="22"/>
        </w:rPr>
        <w:t>Subtitle D.  See 80 Fed. Reg. 21302 (April 17, 2015). EPA established national minimum criteria for existing and new CCR landfills and CCR surface impoundments and all lateral expansions to include location restrictions, design and operating criteria, groundwater monitoring and corrective action, closure requirements and post-closure care, and recordkeeping, notification, and internet posting requirements.</w:t>
      </w:r>
      <w:r w:rsidRPr="004473A7">
        <w:rPr>
          <w:sz w:val="22"/>
          <w:szCs w:val="22"/>
        </w:rPr>
        <w:t xml:space="preserve">  </w:t>
      </w:r>
    </w:p>
    <w:p w:rsidR="007B2540" w:rsidRPr="00722E5F" w:rsidRDefault="005C1DC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5C1DCB">
        <w:rPr>
          <w:sz w:val="22"/>
          <w:szCs w:val="22"/>
        </w:rPr>
        <w:t xml:space="preserve">EPA is proposing the following targeted changes to the 2015 CCR rule: revisions to the annual groundwater monitoring and corrective action report requirements, establishing an alternate risk-based groundwater protection standard for boron, and revisions to the publicly accessible CCR website requirements. The Agency is also proposing to address two provisions of the final rule that were remanded back to EPA on August 21, 2018 by the U.S. Court of Appeals for the D.C. Circuit. Specifically, EPA is proposing to revise the CCR beneficial use definition and the requirements applicable to piles of CCR. Regarding revisions to the beneficial use definition, EPA is proposing to eliminate the mass-based numerical threshold used to trigger an environmental demonstration and instead replace it with specific location-based criteria. Regarding the requirements applicable to piles, EPA is proposing to introduce a single approach to consistently address the potential environmental and human health issues associated with piles, regardless of whether a pile is on the land on-site (at an electric utility or independent power producer site) or off-site (at a beneficial use site) and whether the CCR is destined for disposal or beneficial use. </w:t>
      </w:r>
      <w:r w:rsidR="007B2540" w:rsidRPr="00E11494">
        <w:rPr>
          <w:sz w:val="22"/>
          <w:szCs w:val="22"/>
        </w:rPr>
        <w:t xml:space="preserve">This </w:t>
      </w:r>
      <w:r w:rsidR="00B93ABA" w:rsidRPr="00E11494">
        <w:rPr>
          <w:sz w:val="22"/>
          <w:szCs w:val="22"/>
        </w:rPr>
        <w:t>ICR</w:t>
      </w:r>
      <w:r w:rsidR="007B2540" w:rsidRPr="00E11494">
        <w:rPr>
          <w:sz w:val="22"/>
          <w:szCs w:val="22"/>
        </w:rPr>
        <w:t xml:space="preserve"> addresses the following </w:t>
      </w:r>
      <w:r w:rsidR="004473A7" w:rsidRPr="00E11494">
        <w:rPr>
          <w:sz w:val="22"/>
          <w:szCs w:val="22"/>
        </w:rPr>
        <w:t xml:space="preserve">changes in </w:t>
      </w:r>
      <w:r w:rsidR="007B2540" w:rsidRPr="00E11494">
        <w:rPr>
          <w:sz w:val="22"/>
          <w:szCs w:val="22"/>
        </w:rPr>
        <w:t>information requirements</w:t>
      </w:r>
      <w:r w:rsidR="00743959" w:rsidRPr="00E11494">
        <w:rPr>
          <w:sz w:val="22"/>
          <w:szCs w:val="22"/>
        </w:rPr>
        <w:t xml:space="preserve"> </w:t>
      </w:r>
      <w:r w:rsidR="00ED75EE" w:rsidRPr="00E11494">
        <w:rPr>
          <w:sz w:val="22"/>
          <w:szCs w:val="22"/>
        </w:rPr>
        <w:t>associated with the</w:t>
      </w:r>
      <w:r w:rsidR="004473A7" w:rsidRPr="00E11494">
        <w:rPr>
          <w:sz w:val="22"/>
          <w:szCs w:val="22"/>
        </w:rPr>
        <w:t xml:space="preserve"> </w:t>
      </w:r>
      <w:r w:rsidR="00F24A85">
        <w:rPr>
          <w:sz w:val="22"/>
          <w:szCs w:val="22"/>
        </w:rPr>
        <w:t>Proposed</w:t>
      </w:r>
      <w:r w:rsidR="00BF6B91" w:rsidRPr="00E11494">
        <w:rPr>
          <w:sz w:val="22"/>
          <w:szCs w:val="22"/>
        </w:rPr>
        <w:t xml:space="preserve"> Rule</w:t>
      </w:r>
      <w:r w:rsidR="004473A7" w:rsidRPr="00E11494">
        <w:rPr>
          <w:sz w:val="22"/>
          <w:szCs w:val="22"/>
        </w:rPr>
        <w:t xml:space="preserve"> provisions</w:t>
      </w:r>
      <w:r w:rsidR="00F24A85">
        <w:rPr>
          <w:sz w:val="22"/>
          <w:szCs w:val="22"/>
        </w:rPr>
        <w:t>:</w:t>
      </w:r>
      <w:r w:rsidR="004473A7" w:rsidRPr="00E11494">
        <w:rPr>
          <w:sz w:val="22"/>
          <w:szCs w:val="22"/>
        </w:rPr>
        <w:t xml:space="preserve"> </w:t>
      </w:r>
    </w:p>
    <w:p w:rsidR="00632601" w:rsidRPr="00C6220C" w:rsidRDefault="00FC2B1E" w:rsidP="00237AB5">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szCs w:val="22"/>
        </w:rPr>
      </w:pPr>
      <w:r w:rsidRPr="00C6220C">
        <w:rPr>
          <w:rStyle w:val="SubtleEmphasis"/>
          <w:color w:val="auto"/>
          <w:sz w:val="22"/>
          <w:szCs w:val="22"/>
        </w:rPr>
        <w:t>Changes in provisions</w:t>
      </w:r>
      <w:r w:rsidR="00533AF7" w:rsidRPr="00C6220C">
        <w:rPr>
          <w:rStyle w:val="SubtleEmphasis"/>
          <w:color w:val="auto"/>
          <w:sz w:val="22"/>
          <w:szCs w:val="22"/>
        </w:rPr>
        <w:t xml:space="preserve"> associated with beneficial use of CCR</w:t>
      </w:r>
      <w:r w:rsidRPr="00C6220C">
        <w:rPr>
          <w:rStyle w:val="SubtleEmphasis"/>
          <w:color w:val="auto"/>
          <w:sz w:val="22"/>
          <w:szCs w:val="22"/>
        </w:rPr>
        <w:t xml:space="preserve"> </w:t>
      </w:r>
    </w:p>
    <w:p w:rsidR="00237AB5" w:rsidRPr="00C6220C" w:rsidRDefault="00F24A85" w:rsidP="00703640">
      <w:pPr>
        <w:pStyle w:val="ListParagraph"/>
        <w:numPr>
          <w:ilvl w:val="0"/>
          <w:numId w:val="6"/>
        </w:numPr>
        <w:rPr>
          <w:b/>
          <w:sz w:val="22"/>
          <w:szCs w:val="22"/>
        </w:rPr>
      </w:pPr>
      <w:r>
        <w:rPr>
          <w:b/>
          <w:sz w:val="22"/>
          <w:szCs w:val="22"/>
        </w:rPr>
        <w:lastRenderedPageBreak/>
        <w:t>R</w:t>
      </w:r>
      <w:r w:rsidR="00533AF7" w:rsidRPr="00C6220C">
        <w:rPr>
          <w:b/>
          <w:sz w:val="22"/>
          <w:szCs w:val="22"/>
        </w:rPr>
        <w:t>evisions to Criterion 4 of the beneficial use definition at 40 CFR 257.73</w:t>
      </w:r>
    </w:p>
    <w:p w:rsidR="00533AF7" w:rsidRPr="00C6220C" w:rsidRDefault="00533AF7" w:rsidP="00E87957">
      <w:pPr>
        <w:pStyle w:val="ListParagraph"/>
        <w:rPr>
          <w:b/>
          <w:sz w:val="22"/>
          <w:szCs w:val="22"/>
        </w:rPr>
      </w:pPr>
    </w:p>
    <w:p w:rsidR="00533AF7" w:rsidRPr="00C6220C" w:rsidRDefault="00533AF7" w:rsidP="00533AF7">
      <w:pPr>
        <w:pStyle w:val="ListParagraph"/>
        <w:numPr>
          <w:ilvl w:val="1"/>
          <w:numId w:val="6"/>
        </w:numPr>
        <w:rPr>
          <w:b/>
          <w:sz w:val="22"/>
          <w:szCs w:val="22"/>
        </w:rPr>
      </w:pPr>
      <w:r w:rsidRPr="00C6220C">
        <w:rPr>
          <w:b/>
          <w:sz w:val="22"/>
          <w:szCs w:val="22"/>
        </w:rPr>
        <w:t>Location-based standard investigation costs</w:t>
      </w:r>
      <w:r w:rsidR="006F3B88" w:rsidRPr="00C6220C">
        <w:rPr>
          <w:b/>
          <w:sz w:val="22"/>
          <w:szCs w:val="22"/>
        </w:rPr>
        <w:t xml:space="preserve">: </w:t>
      </w:r>
      <w:r w:rsidR="006F3B88" w:rsidRPr="00C6220C">
        <w:rPr>
          <w:bCs/>
          <w:sz w:val="22"/>
          <w:szCs w:val="22"/>
        </w:rPr>
        <w:t>revising the Criterion 4 requirements to replace the “12,400 tons or more” condition with a location-based standard consistent with the location restrictions applicable to CCR management units at 40 CFR 257.60 through 257.64. This revision would require beneficial users to investigate potentially affected projects to determine whether location-based standards apply.</w:t>
      </w:r>
    </w:p>
    <w:p w:rsidR="00C6220C" w:rsidRPr="00C6220C" w:rsidRDefault="00C6220C" w:rsidP="00C6220C">
      <w:pPr>
        <w:pStyle w:val="ListParagraph"/>
        <w:ind w:left="1440"/>
        <w:rPr>
          <w:b/>
          <w:sz w:val="22"/>
          <w:szCs w:val="22"/>
        </w:rPr>
      </w:pPr>
    </w:p>
    <w:p w:rsidR="00533AF7" w:rsidRPr="00C6220C" w:rsidRDefault="00533AF7" w:rsidP="00C6220C">
      <w:pPr>
        <w:pStyle w:val="ListParagraph"/>
        <w:numPr>
          <w:ilvl w:val="1"/>
          <w:numId w:val="6"/>
        </w:numPr>
        <w:rPr>
          <w:b/>
          <w:sz w:val="22"/>
          <w:szCs w:val="22"/>
        </w:rPr>
      </w:pPr>
      <w:r w:rsidRPr="00C6220C">
        <w:rPr>
          <w:b/>
          <w:sz w:val="22"/>
          <w:szCs w:val="22"/>
        </w:rPr>
        <w:t>Criterion 4 demonstrations</w:t>
      </w:r>
      <w:r w:rsidR="006F3B88" w:rsidRPr="00C6220C">
        <w:rPr>
          <w:b/>
          <w:sz w:val="22"/>
          <w:szCs w:val="22"/>
        </w:rPr>
        <w:t xml:space="preserve">: </w:t>
      </w:r>
      <w:r w:rsidR="006F3B88" w:rsidRPr="00C6220C">
        <w:rPr>
          <w:bCs/>
          <w:sz w:val="22"/>
          <w:szCs w:val="22"/>
        </w:rPr>
        <w:t>per the revisions above, requiring Criterion 4 demonstrations for a subset of unencapsulated, non-roadway uses of CCR of quantities less than 12,400 tons (larger quantities already meet the Criterion 4 demonstration requirement) that meet the location-based criteria above.</w:t>
      </w:r>
    </w:p>
    <w:p w:rsidR="00237AB5" w:rsidRPr="00C6220C" w:rsidRDefault="00237AB5" w:rsidP="005F4E03">
      <w:pPr>
        <w:pStyle w:val="ListParagraph"/>
        <w:rPr>
          <w:b/>
          <w:sz w:val="22"/>
          <w:szCs w:val="22"/>
        </w:rPr>
      </w:pPr>
    </w:p>
    <w:p w:rsidR="00533AF7" w:rsidRPr="00C6220C" w:rsidRDefault="00533AF7" w:rsidP="00533AF7">
      <w:pPr>
        <w:rPr>
          <w:rStyle w:val="SubtleEmphasis"/>
          <w:color w:val="auto"/>
          <w:sz w:val="22"/>
          <w:szCs w:val="22"/>
        </w:rPr>
      </w:pPr>
      <w:r w:rsidRPr="00C6220C">
        <w:rPr>
          <w:rStyle w:val="SubtleEmphasis"/>
          <w:color w:val="auto"/>
          <w:sz w:val="22"/>
          <w:szCs w:val="22"/>
        </w:rPr>
        <w:t xml:space="preserve">Changes in provisions associated with groundwater monitoring and corrective action </w:t>
      </w:r>
    </w:p>
    <w:p w:rsidR="00533AF7" w:rsidRPr="00C6220C" w:rsidRDefault="00533AF7" w:rsidP="00C6220C">
      <w:pPr>
        <w:rPr>
          <w:i/>
        </w:rPr>
      </w:pPr>
    </w:p>
    <w:p w:rsidR="003C6D62" w:rsidRPr="00C6220C" w:rsidRDefault="00533AF7" w:rsidP="00237AB5">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C6220C">
        <w:rPr>
          <w:b/>
          <w:sz w:val="22"/>
          <w:szCs w:val="22"/>
        </w:rPr>
        <w:t>Revisions to the annual groundwater monitoring and corrective action report requirements</w:t>
      </w:r>
      <w:r w:rsidR="006F3B88" w:rsidRPr="00C6220C">
        <w:rPr>
          <w:bCs/>
          <w:sz w:val="22"/>
          <w:szCs w:val="22"/>
        </w:rPr>
        <w:t>: revising the report requirements to include an additional information summary. No new information is required to be collected or displayed as part of the revision; the revision only requires the standardized display of key information already present in existing reports.</w:t>
      </w:r>
      <w:r w:rsidRPr="00C6220C">
        <w:rPr>
          <w:bCs/>
          <w:sz w:val="22"/>
          <w:szCs w:val="22"/>
        </w:rPr>
        <w:t xml:space="preserve"> </w:t>
      </w:r>
    </w:p>
    <w:p w:rsidR="00533AF7" w:rsidRPr="00C6220C" w:rsidRDefault="00533AF7" w:rsidP="00533AF7">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iCs/>
          <w:sz w:val="22"/>
          <w:szCs w:val="22"/>
        </w:rPr>
      </w:pPr>
      <w:r w:rsidRPr="00C6220C">
        <w:rPr>
          <w:rStyle w:val="SubtleEmphasis"/>
          <w:color w:val="auto"/>
          <w:sz w:val="22"/>
          <w:szCs w:val="22"/>
        </w:rPr>
        <w:t xml:space="preserve">Changes in provisions associated with recordkeeping, notification, and posting of information to the internet </w:t>
      </w:r>
    </w:p>
    <w:p w:rsidR="00EC1762" w:rsidRPr="00C6220C" w:rsidRDefault="00533AF7" w:rsidP="00C6220C">
      <w:pPr>
        <w:pStyle w:val="ListParagraph"/>
        <w:numPr>
          <w:ilvl w:val="0"/>
          <w:numId w:val="6"/>
        </w:numPr>
        <w:rPr>
          <w:sz w:val="22"/>
          <w:szCs w:val="22"/>
        </w:rPr>
      </w:pPr>
      <w:r w:rsidRPr="00C6220C">
        <w:rPr>
          <w:b/>
          <w:sz w:val="22"/>
          <w:szCs w:val="22"/>
        </w:rPr>
        <w:t>Website updates</w:t>
      </w:r>
      <w:r w:rsidR="006F3B88" w:rsidRPr="00C6220C">
        <w:rPr>
          <w:b/>
          <w:bCs/>
          <w:sz w:val="22"/>
          <w:szCs w:val="22"/>
        </w:rPr>
        <w:t xml:space="preserve">: </w:t>
      </w:r>
      <w:r w:rsidR="006F3B88" w:rsidRPr="00C6220C">
        <w:rPr>
          <w:sz w:val="22"/>
          <w:szCs w:val="22"/>
        </w:rPr>
        <w:t>revisions requiring that all publicly accessible internet sites be open to the public, without requiring registrations, certifications, logins, passwords, or other information from parties accessing the site, and revisions requiring that documents posted to the sites not be locked or restricted from being able to be downloaded, read, printed, or shared, and available for direct access and download without requiring users to send manual or automated requests to access specific documents.</w:t>
      </w:r>
    </w:p>
    <w:p w:rsidR="00792536" w:rsidRDefault="00FC2B1E" w:rsidP="00B363CD">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C6220C">
        <w:rPr>
          <w:sz w:val="22"/>
          <w:szCs w:val="22"/>
        </w:rPr>
        <w:t xml:space="preserve">The remaining provision in the rule </w:t>
      </w:r>
      <w:r w:rsidR="00C6220C">
        <w:rPr>
          <w:sz w:val="22"/>
          <w:szCs w:val="22"/>
        </w:rPr>
        <w:t xml:space="preserve">addresses </w:t>
      </w:r>
      <w:r w:rsidR="00533AF7" w:rsidRPr="00C6220C">
        <w:rPr>
          <w:sz w:val="22"/>
          <w:szCs w:val="22"/>
        </w:rPr>
        <w:t>regulations governing CCR stored in piles</w:t>
      </w:r>
      <w:r w:rsidRPr="00C6220C">
        <w:rPr>
          <w:sz w:val="22"/>
          <w:szCs w:val="22"/>
        </w:rPr>
        <w:t xml:space="preserve"> and makes no changes to requirements affected by the Paperwork Reduction Act.</w:t>
      </w:r>
    </w:p>
    <w:p w:rsidR="00314564" w:rsidRDefault="00314564">
      <w:pPr>
        <w:widowControl/>
        <w:adjustRightInd/>
        <w:spacing w:after="160" w:line="259" w:lineRule="auto"/>
        <w:rPr>
          <w:b/>
          <w:bCs/>
          <w:sz w:val="22"/>
          <w:szCs w:val="22"/>
        </w:rPr>
      </w:pPr>
    </w:p>
    <w:p w:rsidR="00743959" w:rsidRPr="00722E5F" w:rsidRDefault="00743959" w:rsidP="00C6220C">
      <w:pPr>
        <w:pStyle w:val="Heading1"/>
      </w:pPr>
      <w:r w:rsidRPr="00722E5F">
        <w:t>2.</w:t>
      </w:r>
      <w:r w:rsidRPr="00722E5F">
        <w:tab/>
        <w:t>NEED FOR AND USE OF THE COLLECTION</w:t>
      </w:r>
    </w:p>
    <w:p w:rsidR="00743959" w:rsidRPr="00E11494"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E11494">
        <w:rPr>
          <w:b/>
          <w:sz w:val="22"/>
          <w:szCs w:val="22"/>
        </w:rPr>
        <w:t>2(a)</w:t>
      </w:r>
      <w:r w:rsidRPr="00E11494">
        <w:rPr>
          <w:b/>
          <w:sz w:val="22"/>
          <w:szCs w:val="22"/>
        </w:rPr>
        <w:tab/>
        <w:t>Need/Authority for the Collection</w:t>
      </w:r>
    </w:p>
    <w:p w:rsidR="002A6AD5" w:rsidRPr="00E11494" w:rsidRDefault="002A6AD5" w:rsidP="00B363CD">
      <w:pPr>
        <w:widowControl/>
        <w:spacing w:after="120"/>
        <w:ind w:firstLine="720"/>
        <w:rPr>
          <w:sz w:val="22"/>
          <w:szCs w:val="22"/>
        </w:rPr>
      </w:pPr>
      <w:r w:rsidRPr="00E11494">
        <w:rPr>
          <w:sz w:val="22"/>
          <w:szCs w:val="22"/>
        </w:rPr>
        <w:t>The CCR rule regulates the disposal of CCR generated by electric utilities as solid waste under RCRA Subtitle D and finalizes national minimum criteria for existing and new CCR landfills and existing and new CCR surface impoundments and all lateral expansions. 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rsidR="002A6AD5" w:rsidRPr="00E11494" w:rsidRDefault="002A6AD5" w:rsidP="00B363CD">
      <w:pPr>
        <w:widowControl/>
        <w:spacing w:after="120"/>
        <w:ind w:firstLine="720"/>
        <w:rPr>
          <w:sz w:val="22"/>
          <w:szCs w:val="22"/>
        </w:rPr>
      </w:pPr>
      <w:r w:rsidRPr="00E11494">
        <w:rPr>
          <w:sz w:val="22"/>
          <w:szCs w:val="22"/>
        </w:rPr>
        <w:t xml:space="preserve">At the time the CCR regulations issued on April 17, 2015, under Subtitle D of RCRA EPA had no formal role in rule implementation nor could the agency enforce the requirements in the rule. Therefore, the regulations were “self-implementing,” that is, a facility must comply with them without any action by a regulatory agency. </w:t>
      </w:r>
    </w:p>
    <w:p w:rsidR="002A6AD5" w:rsidRPr="00E11494" w:rsidRDefault="002A6AD5" w:rsidP="00B363CD">
      <w:pPr>
        <w:widowControl/>
        <w:spacing w:after="120"/>
        <w:ind w:firstLine="720"/>
        <w:rPr>
          <w:sz w:val="22"/>
          <w:szCs w:val="22"/>
        </w:rPr>
      </w:pPr>
      <w:r w:rsidRPr="00E11494">
        <w:rPr>
          <w:sz w:val="22"/>
          <w:szCs w:val="22"/>
        </w:rPr>
        <w:t xml:space="preserve">To address concerns about the absence of adequate regulatory oversight under Subtitle D, EPA also sought to enhance the protectiveness of the regulatory requirements by providing for state and public </w:t>
      </w:r>
      <w:r w:rsidRPr="00E11494">
        <w:rPr>
          <w:sz w:val="22"/>
          <w:szCs w:val="22"/>
        </w:rPr>
        <w:lastRenderedPageBreak/>
        <w:t>notifications of the third party certifications, as well as requiring a robust set of other information that documents the decisions made or actions taken to comply with the technical requirements of the rule.</w:t>
      </w:r>
    </w:p>
    <w:p w:rsidR="002A6AD5" w:rsidRPr="00E11494" w:rsidRDefault="002A6AD5" w:rsidP="00B363CD">
      <w:pPr>
        <w:widowControl/>
        <w:spacing w:after="120"/>
        <w:ind w:firstLine="720"/>
        <w:rPr>
          <w:sz w:val="22"/>
          <w:szCs w:val="22"/>
        </w:rPr>
      </w:pPr>
      <w:r w:rsidRPr="00E11494">
        <w:rPr>
          <w:sz w:val="22"/>
          <w:szCs w:val="22"/>
        </w:rPr>
        <w:t>The combined mechanisms of recordkeeping, notifications, and maintaining a publicly accessible internet site under the final rule are needed to provide interested parties with the information necessary to determine whether the owner or operator is operating in accordance with the requirements of the rule. These requirements will minimize the danger of owners or operators abusing the self-implementing system established in this rule, through increased transparency that will facilitate enforcement by states and private citizens. EPA has consolidated the recordkeeping, notification and internet posting requirements into a single section of the regulations in an effort to make the regulations easier to follow. See 40 CFR §§ 257.105, 257.106, and 257.107.</w:t>
      </w:r>
    </w:p>
    <w:p w:rsidR="00743959" w:rsidRPr="00E11494" w:rsidRDefault="00CC1682" w:rsidP="00B363CD">
      <w:pPr>
        <w:widowControl/>
        <w:spacing w:after="120"/>
        <w:ind w:firstLine="720"/>
        <w:rPr>
          <w:sz w:val="22"/>
          <w:szCs w:val="22"/>
        </w:rPr>
      </w:pPr>
      <w:r w:rsidRPr="00E11494">
        <w:rPr>
          <w:sz w:val="22"/>
          <w:szCs w:val="22"/>
        </w:rPr>
        <w:t>The Proposed rule improves access to the information required to be reported to publicly available website</w:t>
      </w:r>
      <w:r w:rsidR="00AB4E83" w:rsidRPr="00E11494">
        <w:rPr>
          <w:sz w:val="22"/>
          <w:szCs w:val="22"/>
        </w:rPr>
        <w:t>s</w:t>
      </w:r>
      <w:r w:rsidRPr="00E11494">
        <w:rPr>
          <w:sz w:val="22"/>
          <w:szCs w:val="22"/>
        </w:rPr>
        <w:t xml:space="preserve"> by regulated utilities under the 2015 CCR Rule. </w:t>
      </w:r>
      <w:r w:rsidR="002A6AD5" w:rsidRPr="00E11494">
        <w:rPr>
          <w:sz w:val="22"/>
          <w:szCs w:val="22"/>
        </w:rPr>
        <w:t>This ICR describes those changes.</w:t>
      </w:r>
    </w:p>
    <w:p w:rsidR="00743959" w:rsidRPr="00E11494"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E11494">
        <w:rPr>
          <w:b/>
          <w:bCs/>
          <w:sz w:val="22"/>
          <w:szCs w:val="22"/>
        </w:rPr>
        <w:t>2(b)</w:t>
      </w:r>
      <w:r w:rsidRPr="00E11494">
        <w:rPr>
          <w:b/>
          <w:bCs/>
          <w:sz w:val="22"/>
          <w:szCs w:val="22"/>
        </w:rPr>
        <w:tab/>
        <w:t>Use/Users of the Data</w:t>
      </w:r>
    </w:p>
    <w:p w:rsidR="002A6AD5" w:rsidRPr="00C6220C"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C6220C">
        <w:rPr>
          <w:bCs/>
          <w:iCs/>
          <w:sz w:val="22"/>
          <w:szCs w:val="22"/>
        </w:rPr>
        <w:t xml:space="preserve">The </w:t>
      </w:r>
      <w:r w:rsidR="00C6220C">
        <w:rPr>
          <w:sz w:val="22"/>
          <w:szCs w:val="22"/>
        </w:rPr>
        <w:t xml:space="preserve">Proposed </w:t>
      </w:r>
      <w:r w:rsidR="006B3740" w:rsidRPr="00C6220C">
        <w:rPr>
          <w:sz w:val="22"/>
          <w:szCs w:val="22"/>
        </w:rPr>
        <w:t>Rule</w:t>
      </w:r>
      <w:r w:rsidR="006B3740" w:rsidRPr="00C6220C" w:rsidDel="006B3740">
        <w:rPr>
          <w:bCs/>
          <w:iCs/>
          <w:sz w:val="22"/>
          <w:szCs w:val="22"/>
        </w:rPr>
        <w:t xml:space="preserve"> </w:t>
      </w:r>
      <w:r w:rsidRPr="00C6220C">
        <w:rPr>
          <w:bCs/>
          <w:iCs/>
          <w:sz w:val="22"/>
          <w:szCs w:val="22"/>
        </w:rPr>
        <w:t xml:space="preserve">adjusts certain provisions of the 2015 CCR Rule, which requires owners or operators of CCR units to document how the various provisions of the rule have been met by placing information (e.g., demonstrations, plans, records, notifications, and reports) in the operating record and providing notification of these actions to the state and/or appropriate Tribal authority. The owner or operator is also required to establish and maintain a publicly accessible internet site that posts documentation that has, in many instances, also been entered into the operating record. The owner or operator must place files documenting compliance with the location restrictions; design criteria; operating criteria; groundwater monitoring and corrective action; closure and post-closure care, into the operating record, with the specific documentation requirements found in 40 CFR 257.105. Each file must be maintained in the operating record for a period of at least five years following submittal of the file into the operating record. In certain instances, however, files must be maintained until the CCR unit completes closure. </w:t>
      </w:r>
    </w:p>
    <w:p w:rsidR="002A6AD5" w:rsidRPr="00E11494"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E11494">
        <w:rPr>
          <w:bCs/>
          <w:iCs/>
          <w:sz w:val="22"/>
          <w:szCs w:val="22"/>
        </w:rPr>
        <w:t xml:space="preserve">Owners or operators are required to notify State Directors and/or the appropriate Tribal authority when specific documentation has been placed in the operating record and on the owner or operator’s publicly accessible web site. In most instances these notifications must be certified by a qualified professional engineer and, in certain instances will be accompanied with additional information and or data supporting the notification. Notification requirements have been consolidated in 40 CFR 257.106, and are required for location criteria, design criteria, operating criteria, groundwater monitoring and corrective action and closure and post-closure care. </w:t>
      </w:r>
    </w:p>
    <w:p w:rsidR="002A6AD5" w:rsidRPr="00E11494"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E11494">
        <w:rPr>
          <w:bCs/>
          <w:iCs/>
          <w:sz w:val="22"/>
          <w:szCs w:val="22"/>
        </w:rPr>
        <w:t>Owners and operators are required to establish and maintain a publicly accessible internet site, titled “CCR Rule Compliance Data and Information.” Owners or operators that maintain multiple CCR units may elect to use one internet site in order to comply with these requirements, provided that the website clearly and distinctly identifies information from each of the CCR units by name and location. Internet postings are required for various elements identified in the following sections: location restrictions; design criteria; operating criteria; groundwater monitoring and corrective action; closure and post-closure care. Information posted to the internet site must be available for a period no less than five years from the initial posting date, unless otherwise noted in the rule. Posting of information must be completed no later than 30 days from submittal of the information to the operating record.</w:t>
      </w:r>
    </w:p>
    <w:p w:rsidR="002A6AD5" w:rsidRPr="00C6220C"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C6220C">
        <w:rPr>
          <w:bCs/>
          <w:iCs/>
          <w:sz w:val="22"/>
          <w:szCs w:val="22"/>
        </w:rPr>
        <w:t>EPA believes that these requirements will enhance the protectiveness of the rule by providing for requiring a robust set of information that documents the decisions made or actions taken to comply with the technical requirements of the rule. Further, EPA believes that the establishment and maintenance of this information in both the operating record and on a publicly accessible internet site is appropriate so as to allow states and citizens access to all of the information necessary to show that the rule has been implemented in accordance with the regulatory requirements. EPA has consolidated the recordkeeping and notification requirements into a comprehensive listing in a single section of the regulations. See 40 CFR §§ 257.105 and 257.106, respectively. The Agency anticipates that this will facilitate compliance, and will provide other interested parties with an easy to read guide to the reporting provisions of the rule.</w:t>
      </w:r>
    </w:p>
    <w:p w:rsidR="00743959" w:rsidRPr="00C6220C" w:rsidRDefault="00743959" w:rsidP="00C6220C">
      <w:pPr>
        <w:widowControl/>
        <w:adjustRightInd/>
        <w:spacing w:after="160" w:line="259" w:lineRule="auto"/>
        <w:rPr>
          <w:bCs/>
          <w:iCs/>
          <w:sz w:val="22"/>
          <w:szCs w:val="22"/>
          <w:highlight w:val="yellow"/>
        </w:rPr>
      </w:pPr>
    </w:p>
    <w:p w:rsidR="00743959" w:rsidRPr="00660897" w:rsidRDefault="00743959" w:rsidP="00C6220C">
      <w:pPr>
        <w:pStyle w:val="Heading1"/>
      </w:pPr>
      <w:r w:rsidRPr="00660897">
        <w:t>3.</w:t>
      </w:r>
      <w:r w:rsidRPr="00660897">
        <w:tab/>
        <w:t>NONDUPLICATION, CONSULTATIONS, AND OTHER COLLECTION CRITERIA</w:t>
      </w:r>
    </w:p>
    <w:p w:rsidR="00743959" w:rsidRPr="00660897"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3(a)</w:t>
      </w:r>
      <w:r w:rsidRPr="00660897">
        <w:rPr>
          <w:b/>
          <w:bCs/>
          <w:sz w:val="22"/>
          <w:szCs w:val="22"/>
        </w:rPr>
        <w:tab/>
        <w:t>Nonduplication</w:t>
      </w:r>
    </w:p>
    <w:p w:rsidR="002A6AD5"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sz w:val="22"/>
          <w:szCs w:val="22"/>
        </w:rPr>
        <w:t>None of the information required by the regulations covered in this ICR is available from any source but the respondents. None of the regulations are duplicative of any other EPA regulations.</w:t>
      </w:r>
    </w:p>
    <w:p w:rsidR="00743959"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sz w:val="22"/>
          <w:szCs w:val="22"/>
        </w:rPr>
        <w:t xml:space="preserve">Changes to recordkeeping requirements </w:t>
      </w:r>
      <w:r w:rsidRPr="00C6220C">
        <w:rPr>
          <w:sz w:val="22"/>
          <w:szCs w:val="22"/>
        </w:rPr>
        <w:t xml:space="preserve">under the </w:t>
      </w:r>
      <w:r w:rsidR="004E4601" w:rsidRPr="00C6220C">
        <w:rPr>
          <w:sz w:val="22"/>
          <w:szCs w:val="22"/>
        </w:rPr>
        <w:t xml:space="preserve">Proposed </w:t>
      </w:r>
      <w:r w:rsidR="006B3740" w:rsidRPr="00C6220C">
        <w:rPr>
          <w:sz w:val="22"/>
          <w:szCs w:val="22"/>
        </w:rPr>
        <w:t>Rule</w:t>
      </w:r>
      <w:r w:rsidR="006B3740" w:rsidRPr="00C6220C" w:rsidDel="006B3740">
        <w:rPr>
          <w:sz w:val="22"/>
          <w:szCs w:val="22"/>
        </w:rPr>
        <w:t xml:space="preserve"> </w:t>
      </w:r>
      <w:r w:rsidRPr="00C6220C">
        <w:rPr>
          <w:sz w:val="22"/>
          <w:szCs w:val="22"/>
        </w:rPr>
        <w:t>are not</w:t>
      </w:r>
      <w:r w:rsidRPr="00660897">
        <w:rPr>
          <w:sz w:val="22"/>
          <w:szCs w:val="22"/>
        </w:rPr>
        <w:t xml:space="preserve"> duplicative with any information required by the existing Federal RCRA regulations.</w:t>
      </w:r>
    </w:p>
    <w:p w:rsidR="00743959" w:rsidRPr="00E11494"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E11494">
        <w:rPr>
          <w:b/>
          <w:bCs/>
          <w:sz w:val="22"/>
          <w:szCs w:val="22"/>
        </w:rPr>
        <w:t>3(b)</w:t>
      </w:r>
      <w:r w:rsidRPr="00E11494">
        <w:rPr>
          <w:b/>
          <w:bCs/>
          <w:sz w:val="22"/>
          <w:szCs w:val="22"/>
        </w:rPr>
        <w:tab/>
        <w:t>Consultations</w:t>
      </w:r>
    </w:p>
    <w:p w:rsidR="00284189" w:rsidRPr="00E11494" w:rsidRDefault="0028418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Cs/>
          <w:sz w:val="22"/>
          <w:szCs w:val="22"/>
        </w:rPr>
      </w:pPr>
      <w:r w:rsidRPr="00E11494">
        <w:rPr>
          <w:bCs/>
          <w:sz w:val="22"/>
          <w:szCs w:val="22"/>
        </w:rPr>
        <w:tab/>
        <w:t>EPA</w:t>
      </w:r>
      <w:r w:rsidR="003615E2" w:rsidRPr="00E11494">
        <w:rPr>
          <w:bCs/>
          <w:sz w:val="22"/>
          <w:szCs w:val="22"/>
        </w:rPr>
        <w:t xml:space="preserve"> will</w:t>
      </w:r>
      <w:r w:rsidRPr="00E11494">
        <w:rPr>
          <w:bCs/>
          <w:sz w:val="22"/>
          <w:szCs w:val="22"/>
        </w:rPr>
        <w:t xml:space="preserve"> </w:t>
      </w:r>
      <w:r w:rsidR="003615E2" w:rsidRPr="00E11494">
        <w:rPr>
          <w:bCs/>
          <w:sz w:val="22"/>
          <w:szCs w:val="22"/>
        </w:rPr>
        <w:t xml:space="preserve">have </w:t>
      </w:r>
      <w:r w:rsidRPr="00E11494">
        <w:rPr>
          <w:bCs/>
          <w:sz w:val="22"/>
          <w:szCs w:val="22"/>
        </w:rPr>
        <w:t>a comment period on the proposed rule to solicit comment</w:t>
      </w:r>
      <w:r w:rsidR="00BF6B91" w:rsidRPr="00E11494">
        <w:rPr>
          <w:bCs/>
          <w:sz w:val="22"/>
          <w:szCs w:val="22"/>
        </w:rPr>
        <w:t xml:space="preserve">, and </w:t>
      </w:r>
      <w:r w:rsidR="003615E2" w:rsidRPr="00E11494">
        <w:rPr>
          <w:bCs/>
          <w:sz w:val="22"/>
          <w:szCs w:val="22"/>
        </w:rPr>
        <w:t xml:space="preserve">will hold </w:t>
      </w:r>
      <w:r w:rsidR="00BF6B91" w:rsidRPr="00E11494">
        <w:rPr>
          <w:bCs/>
          <w:sz w:val="22"/>
          <w:szCs w:val="22"/>
        </w:rPr>
        <w:t>a public meeting</w:t>
      </w:r>
      <w:r w:rsidR="003615E2" w:rsidRPr="00E11494">
        <w:rPr>
          <w:bCs/>
          <w:sz w:val="22"/>
          <w:szCs w:val="22"/>
        </w:rPr>
        <w:t>, the date of this meeting will be announced in the Federal Register.</w:t>
      </w:r>
      <w:r w:rsidRPr="00E11494">
        <w:rPr>
          <w:bCs/>
          <w:sz w:val="22"/>
          <w:szCs w:val="22"/>
        </w:rPr>
        <w:t>.</w:t>
      </w:r>
    </w:p>
    <w:p w:rsidR="000242D2" w:rsidRPr="00E11494"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E11494">
        <w:rPr>
          <w:b/>
          <w:bCs/>
          <w:sz w:val="22"/>
          <w:szCs w:val="22"/>
        </w:rPr>
        <w:t>3(c)</w:t>
      </w:r>
      <w:r w:rsidRPr="00E11494">
        <w:rPr>
          <w:b/>
          <w:bCs/>
          <w:sz w:val="22"/>
          <w:szCs w:val="22"/>
        </w:rPr>
        <w:tab/>
        <w:t>Public Notice</w:t>
      </w:r>
    </w:p>
    <w:p w:rsidR="00226FBF" w:rsidRPr="00E11494" w:rsidRDefault="00226FBF" w:rsidP="00226FBF">
      <w:pPr>
        <w:ind w:firstLine="720"/>
        <w:jc w:val="both"/>
        <w:rPr>
          <w:sz w:val="22"/>
          <w:szCs w:val="22"/>
        </w:rPr>
      </w:pPr>
      <w:r w:rsidRPr="00E11494">
        <w:rPr>
          <w:sz w:val="22"/>
          <w:szCs w:val="22"/>
        </w:rPr>
        <w:t xml:space="preserve">In compliance with the Paperwork Reduction Act of 1995, EPA </w:t>
      </w:r>
      <w:r w:rsidR="003615E2" w:rsidRPr="00E11494">
        <w:rPr>
          <w:sz w:val="22"/>
          <w:szCs w:val="22"/>
        </w:rPr>
        <w:t xml:space="preserve">will </w:t>
      </w:r>
      <w:r w:rsidRPr="00E11494">
        <w:rPr>
          <w:sz w:val="22"/>
          <w:szCs w:val="22"/>
        </w:rPr>
        <w:t xml:space="preserve">open a public comment period for the ICR </w:t>
      </w:r>
      <w:r w:rsidR="00BF6B91" w:rsidRPr="00E11494">
        <w:rPr>
          <w:sz w:val="22"/>
          <w:szCs w:val="22"/>
        </w:rPr>
        <w:t>when the</w:t>
      </w:r>
      <w:r w:rsidRPr="00E11494">
        <w:rPr>
          <w:sz w:val="22"/>
          <w:szCs w:val="22"/>
        </w:rPr>
        <w:t xml:space="preserve"> Proposed Rule </w:t>
      </w:r>
      <w:r w:rsidR="003615E2" w:rsidRPr="00E11494">
        <w:rPr>
          <w:sz w:val="22"/>
          <w:szCs w:val="22"/>
        </w:rPr>
        <w:t xml:space="preserve">is </w:t>
      </w:r>
      <w:r w:rsidRPr="00E11494">
        <w:rPr>
          <w:sz w:val="22"/>
          <w:szCs w:val="22"/>
        </w:rPr>
        <w:t xml:space="preserve">published in the </w:t>
      </w:r>
      <w:r w:rsidRPr="00E11494">
        <w:rPr>
          <w:i/>
          <w:iCs/>
          <w:sz w:val="22"/>
          <w:szCs w:val="22"/>
        </w:rPr>
        <w:t>Federal Register</w:t>
      </w:r>
      <w:r w:rsidRPr="00E11494">
        <w:rPr>
          <w:sz w:val="22"/>
          <w:szCs w:val="22"/>
        </w:rPr>
        <w:t>. At the end of the comment period, EPA</w:t>
      </w:r>
      <w:r w:rsidR="006E5F77" w:rsidRPr="00E11494">
        <w:rPr>
          <w:sz w:val="22"/>
          <w:szCs w:val="22"/>
        </w:rPr>
        <w:t xml:space="preserve"> </w:t>
      </w:r>
      <w:r w:rsidR="003615E2" w:rsidRPr="00E11494">
        <w:rPr>
          <w:sz w:val="22"/>
          <w:szCs w:val="22"/>
        </w:rPr>
        <w:t xml:space="preserve">will </w:t>
      </w:r>
      <w:r w:rsidR="006E5F77" w:rsidRPr="00E11494">
        <w:rPr>
          <w:sz w:val="22"/>
          <w:szCs w:val="22"/>
        </w:rPr>
        <w:t>review</w:t>
      </w:r>
      <w:r w:rsidRPr="00E11494">
        <w:rPr>
          <w:sz w:val="22"/>
          <w:szCs w:val="22"/>
        </w:rPr>
        <w:t xml:space="preserve"> public comments received in response to the notice and address comments received</w:t>
      </w:r>
      <w:r w:rsidR="00275CF2" w:rsidRPr="00E11494">
        <w:rPr>
          <w:sz w:val="22"/>
          <w:szCs w:val="22"/>
        </w:rPr>
        <w:t xml:space="preserve"> in the final rule</w:t>
      </w:r>
      <w:r w:rsidRPr="00E11494">
        <w:rPr>
          <w:sz w:val="22"/>
          <w:szCs w:val="22"/>
        </w:rPr>
        <w:t>.</w:t>
      </w:r>
      <w:r w:rsidR="00E9626C" w:rsidRPr="00E11494">
        <w:rPr>
          <w:sz w:val="22"/>
          <w:szCs w:val="22"/>
        </w:rPr>
        <w:t xml:space="preserve"> </w:t>
      </w:r>
    </w:p>
    <w:p w:rsidR="000242D2" w:rsidRPr="00E11494"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E11494">
        <w:rPr>
          <w:b/>
          <w:bCs/>
          <w:sz w:val="22"/>
          <w:szCs w:val="22"/>
        </w:rPr>
        <w:t>3(d)</w:t>
      </w:r>
      <w:r w:rsidRPr="00E11494">
        <w:rPr>
          <w:b/>
          <w:bCs/>
          <w:sz w:val="22"/>
          <w:szCs w:val="22"/>
        </w:rPr>
        <w:tab/>
        <w:t>Effects of Less Frequent Collection</w:t>
      </w:r>
    </w:p>
    <w:p w:rsidR="000242D2" w:rsidRPr="00E11494"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E11494">
        <w:rPr>
          <w:sz w:val="22"/>
          <w:szCs w:val="22"/>
        </w:rPr>
        <w:t xml:space="preserve">EPA has carefully considered the information collection burden imposed by the 2015 CCR rule, and the adjustments </w:t>
      </w:r>
      <w:r w:rsidR="00BF6B91" w:rsidRPr="00E11494">
        <w:rPr>
          <w:sz w:val="22"/>
          <w:szCs w:val="22"/>
        </w:rPr>
        <w:t>in</w:t>
      </w:r>
      <w:r w:rsidRPr="00E11494">
        <w:rPr>
          <w:sz w:val="22"/>
          <w:szCs w:val="22"/>
        </w:rPr>
        <w:t xml:space="preserve"> th</w:t>
      </w:r>
      <w:r w:rsidR="003615E2" w:rsidRPr="00E11494">
        <w:rPr>
          <w:sz w:val="22"/>
          <w:szCs w:val="22"/>
        </w:rPr>
        <w:t>is</w:t>
      </w:r>
      <w:r w:rsidRPr="00E11494">
        <w:rPr>
          <w:sz w:val="22"/>
          <w:szCs w:val="22"/>
        </w:rPr>
        <w:t xml:space="preserve"> </w:t>
      </w:r>
      <w:r w:rsidR="006B3740" w:rsidRPr="00E11494">
        <w:rPr>
          <w:sz w:val="22"/>
          <w:szCs w:val="22"/>
        </w:rPr>
        <w:t xml:space="preserve"> </w:t>
      </w:r>
      <w:r w:rsidR="004E4601" w:rsidRPr="00E11494">
        <w:rPr>
          <w:sz w:val="22"/>
          <w:szCs w:val="22"/>
        </w:rPr>
        <w:t xml:space="preserve">Proposed </w:t>
      </w:r>
      <w:r w:rsidR="006B3740" w:rsidRPr="00E11494">
        <w:rPr>
          <w:sz w:val="22"/>
          <w:szCs w:val="22"/>
        </w:rPr>
        <w:t>Rule</w:t>
      </w:r>
      <w:r w:rsidRPr="00E11494">
        <w:rPr>
          <w:sz w:val="22"/>
          <w:szCs w:val="22"/>
        </w:rPr>
        <w:t xml:space="preserve">. EPA is confident that those activities required of respondents are necessary, and to the extent possible, the Agency has attempted to minimize the burden imposed. </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E11494">
        <w:rPr>
          <w:b/>
          <w:bCs/>
          <w:sz w:val="22"/>
          <w:szCs w:val="22"/>
        </w:rPr>
        <w:t>3(e)</w:t>
      </w:r>
      <w:r w:rsidRPr="00E11494">
        <w:rPr>
          <w:b/>
          <w:bCs/>
          <w:sz w:val="22"/>
          <w:szCs w:val="22"/>
        </w:rPr>
        <w:tab/>
        <w:t>General Guidelines</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660897">
        <w:rPr>
          <w:sz w:val="22"/>
          <w:szCs w:val="22"/>
        </w:rPr>
        <w:t xml:space="preserve">This ICR adheres to the guidelines stated in the Paperwork Reduction Act of 1995, OMB’s implementing regulations, </w:t>
      </w:r>
      <w:r w:rsidR="00E9626C">
        <w:rPr>
          <w:sz w:val="22"/>
          <w:szCs w:val="22"/>
        </w:rPr>
        <w:t xml:space="preserve">and </w:t>
      </w:r>
      <w:r w:rsidRPr="00660897">
        <w:rPr>
          <w:sz w:val="22"/>
          <w:szCs w:val="22"/>
        </w:rPr>
        <w:t>applicable OMB guidance. In addition, this information collection complies with EPA’s Data Standards and Information Quality Guidelines.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3(f)</w:t>
      </w:r>
      <w:r w:rsidRPr="00660897">
        <w:rPr>
          <w:b/>
          <w:bCs/>
          <w:sz w:val="22"/>
          <w:szCs w:val="22"/>
        </w:rPr>
        <w:tab/>
        <w:t>Confidentiality and Sensitive Questions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 xml:space="preserve">None of the information collection requirements of the 2015 CCR Rule, the WIIN Act, or the </w:t>
      </w:r>
      <w:r w:rsidR="00E04E82">
        <w:rPr>
          <w:sz w:val="22"/>
          <w:szCs w:val="22"/>
        </w:rPr>
        <w:t xml:space="preserve">Proposed </w:t>
      </w:r>
      <w:r w:rsidR="006B3740">
        <w:rPr>
          <w:sz w:val="22"/>
          <w:szCs w:val="22"/>
        </w:rPr>
        <w:t>Rule</w:t>
      </w:r>
      <w:r w:rsidR="006B3740" w:rsidRPr="00660897" w:rsidDel="006B3740">
        <w:rPr>
          <w:sz w:val="22"/>
          <w:szCs w:val="22"/>
        </w:rPr>
        <w:t xml:space="preserve"> </w:t>
      </w:r>
      <w:r w:rsidRPr="00660897">
        <w:rPr>
          <w:sz w:val="22"/>
          <w:szCs w:val="22"/>
        </w:rPr>
        <w:t>require the disclosure of confidential business information.</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660897">
        <w:rPr>
          <w:b/>
          <w:bCs/>
          <w:sz w:val="22"/>
          <w:szCs w:val="22"/>
        </w:rPr>
        <w:t>(ii)</w:t>
      </w:r>
      <w:r w:rsidRPr="00660897">
        <w:rPr>
          <w:b/>
          <w:bCs/>
          <w:sz w:val="22"/>
          <w:szCs w:val="22"/>
        </w:rPr>
        <w:tab/>
        <w:t>Sensitive Questions</w:t>
      </w:r>
    </w:p>
    <w:p w:rsidR="00314564"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No questions of a sensitive nature are included in any of the information collection requirements covered in this ICR.</w:t>
      </w:r>
    </w:p>
    <w:p w:rsidR="000242D2" w:rsidRPr="00660897" w:rsidRDefault="000242D2" w:rsidP="00C6220C">
      <w:pPr>
        <w:widowControl/>
        <w:adjustRightInd/>
        <w:spacing w:after="160" w:line="259" w:lineRule="auto"/>
        <w:rPr>
          <w:sz w:val="22"/>
          <w:szCs w:val="22"/>
        </w:rPr>
      </w:pPr>
    </w:p>
    <w:p w:rsidR="000242D2" w:rsidRPr="00660897" w:rsidRDefault="000242D2" w:rsidP="00C6220C">
      <w:pPr>
        <w:pStyle w:val="Heading1"/>
      </w:pPr>
      <w:r w:rsidRPr="00660897">
        <w:t>4.</w:t>
      </w:r>
      <w:r w:rsidRPr="00660897">
        <w:tab/>
      </w:r>
      <w:r w:rsidRPr="00C6220C">
        <w:t>THE RESPONDENTS AND THE INFORMATION REQUESTED</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4(a)</w:t>
      </w:r>
      <w:r w:rsidRPr="00660897">
        <w:rPr>
          <w:b/>
          <w:bCs/>
          <w:sz w:val="22"/>
          <w:szCs w:val="22"/>
        </w:rPr>
        <w:tab/>
        <w:t>Respondents/</w:t>
      </w:r>
      <w:r w:rsidR="00596C3F" w:rsidRPr="00660897">
        <w:rPr>
          <w:b/>
          <w:bCs/>
          <w:sz w:val="22"/>
          <w:szCs w:val="22"/>
        </w:rPr>
        <w:t>North American Industry Classification System (</w:t>
      </w:r>
      <w:r w:rsidRPr="00660897">
        <w:rPr>
          <w:b/>
          <w:bCs/>
          <w:sz w:val="22"/>
          <w:szCs w:val="22"/>
        </w:rPr>
        <w:t>NAICS</w:t>
      </w:r>
      <w:r w:rsidR="00596C3F" w:rsidRPr="00660897">
        <w:rPr>
          <w:b/>
          <w:bCs/>
          <w:sz w:val="22"/>
          <w:szCs w:val="22"/>
        </w:rPr>
        <w:t>)</w:t>
      </w:r>
      <w:r w:rsidRPr="00660897">
        <w:rPr>
          <w:b/>
          <w:bCs/>
          <w:sz w:val="22"/>
          <w:szCs w:val="22"/>
        </w:rPr>
        <w:t xml:space="preserve"> Codes</w:t>
      </w:r>
    </w:p>
    <w:p w:rsidR="006F3B88"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The information collection requirements covered in this ICR may affect</w:t>
      </w:r>
      <w:r w:rsidR="006F3B88">
        <w:rPr>
          <w:sz w:val="22"/>
          <w:szCs w:val="22"/>
        </w:rPr>
        <w:t xml:space="preserve"> two universes of respondents:</w:t>
      </w:r>
    </w:p>
    <w:p w:rsidR="000242D2" w:rsidRDefault="0075458B" w:rsidP="006F3B88">
      <w:pPr>
        <w:pStyle w:val="ListParagraph"/>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C6220C">
        <w:rPr>
          <w:sz w:val="22"/>
          <w:szCs w:val="22"/>
        </w:rPr>
        <w:t xml:space="preserve"> electric utility facilities and independent power producers that fall under the North American Industry Classification System (NAICS) code 221112</w:t>
      </w:r>
      <w:r w:rsidR="006F3B88">
        <w:rPr>
          <w:sz w:val="22"/>
          <w:szCs w:val="22"/>
        </w:rPr>
        <w:t xml:space="preserve"> – may be affected by provisions that revise requirements associated with groundwater monitoring and corrective action reports that must be submitted annually by owner/operators of CCR management units, and by provisions that revise requirements associated with publicly available CCR compliance websites, which must be maintained by owner/operators of CCR management units; and</w:t>
      </w:r>
    </w:p>
    <w:p w:rsidR="006F3B88" w:rsidRDefault="006F3B88" w:rsidP="00C6220C">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left="1080"/>
        <w:rPr>
          <w:sz w:val="22"/>
          <w:szCs w:val="22"/>
        </w:rPr>
      </w:pPr>
    </w:p>
    <w:p w:rsidR="006F3B88" w:rsidRDefault="00B112C5" w:rsidP="006F3B88">
      <w:pPr>
        <w:pStyle w:val="ListParagraph"/>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entities and projects that employ CCR for beneficial use, including:</w:t>
      </w:r>
    </w:p>
    <w:p w:rsidR="00B112C5" w:rsidRPr="00C6220C" w:rsidRDefault="00B112C5" w:rsidP="00C6220C">
      <w:pPr>
        <w:pStyle w:val="ListParagraph"/>
        <w:rPr>
          <w:sz w:val="22"/>
          <w:szCs w:val="22"/>
        </w:rPr>
      </w:pPr>
    </w:p>
    <w:p w:rsidR="00B112C5" w:rsidRDefault="00B112C5" w:rsidP="00B112C5">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Concrete batch plants (NAICS codes 327320, 32733, and 327390);</w:t>
      </w:r>
    </w:p>
    <w:p w:rsidR="00B112C5" w:rsidRDefault="00B112C5" w:rsidP="00B112C5">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Cement kilns (NAICS 327310);</w:t>
      </w:r>
    </w:p>
    <w:p w:rsidR="00B112C5" w:rsidRDefault="00B112C5" w:rsidP="00B112C5">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Highway construction projects (NAICS 237310);</w:t>
      </w:r>
    </w:p>
    <w:p w:rsidR="00B112C5" w:rsidRDefault="00B112C5" w:rsidP="00B112C5">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Non-road construction projects (NAICS 23);</w:t>
      </w:r>
    </w:p>
    <w:p w:rsidR="00B112C5" w:rsidRDefault="00B112C5" w:rsidP="00B112C5">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Municipalities using CCR for snow and ice control projects;</w:t>
      </w:r>
    </w:p>
    <w:p w:rsidR="00B112C5" w:rsidRDefault="00B112C5" w:rsidP="00B112C5">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Wallboard plants (NAICS 327420);</w:t>
      </w:r>
    </w:p>
    <w:p w:rsidR="00B112C5" w:rsidRDefault="00B112C5" w:rsidP="00B112C5">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Farms and other agricultural establishments using FGD gypsum in agricultural applications as a soil amendment (NAICS 11); and</w:t>
      </w:r>
    </w:p>
    <w:p w:rsidR="00B112C5" w:rsidRPr="00C6220C" w:rsidRDefault="00B112C5" w:rsidP="00C6220C">
      <w:pPr>
        <w:pStyle w:val="ListParagraph"/>
        <w:widowControl/>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Oil and gas field services (NAICS 213112)</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660897">
        <w:rPr>
          <w:b/>
          <w:bCs/>
          <w:sz w:val="22"/>
          <w:szCs w:val="22"/>
        </w:rPr>
        <w:t>4(b)</w:t>
      </w:r>
      <w:r w:rsidRPr="00660897">
        <w:rPr>
          <w:b/>
          <w:bCs/>
          <w:sz w:val="22"/>
          <w:szCs w:val="22"/>
        </w:rPr>
        <w:tab/>
        <w:t>Information Requested</w:t>
      </w:r>
    </w:p>
    <w:p w:rsidR="000242D2" w:rsidRPr="00660897" w:rsidRDefault="00A54A71"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 xml:space="preserve">The </w:t>
      </w:r>
      <w:r w:rsidR="00E04E82">
        <w:rPr>
          <w:sz w:val="22"/>
          <w:szCs w:val="22"/>
        </w:rPr>
        <w:t xml:space="preserve">Proposed </w:t>
      </w:r>
      <w:r w:rsidR="006B3740">
        <w:rPr>
          <w:sz w:val="22"/>
          <w:szCs w:val="22"/>
        </w:rPr>
        <w:t>Rule</w:t>
      </w:r>
      <w:r w:rsidRPr="00660897">
        <w:rPr>
          <w:sz w:val="22"/>
          <w:szCs w:val="22"/>
        </w:rPr>
        <w:t xml:space="preserve"> adjusts several of the information requirements associated with </w:t>
      </w:r>
      <w:r w:rsidR="007A1790">
        <w:rPr>
          <w:sz w:val="22"/>
          <w:szCs w:val="22"/>
        </w:rPr>
        <w:t>beneficial use of CCR, groundwater monitoring and corrective action, and recordkeeping, notification, and posting of information to the internet requirements</w:t>
      </w:r>
      <w:r w:rsidRPr="00660897">
        <w:rPr>
          <w:sz w:val="22"/>
          <w:szCs w:val="22"/>
        </w:rPr>
        <w:t xml:space="preserve"> of the 2015 CCR Rule</w:t>
      </w:r>
      <w:r w:rsidR="009015D2">
        <w:rPr>
          <w:sz w:val="22"/>
          <w:szCs w:val="22"/>
        </w:rPr>
        <w:t>, as described below</w:t>
      </w:r>
      <w:r w:rsidRPr="00660897">
        <w:rPr>
          <w:sz w:val="22"/>
          <w:szCs w:val="22"/>
        </w:rPr>
        <w:t xml:space="preserve">. </w:t>
      </w:r>
    </w:p>
    <w:p w:rsidR="00680175" w:rsidRPr="00660897" w:rsidRDefault="0068017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(i)</w:t>
      </w:r>
      <w:r w:rsidRPr="00660897">
        <w:rPr>
          <w:b/>
          <w:bCs/>
          <w:sz w:val="22"/>
          <w:szCs w:val="22"/>
        </w:rPr>
        <w:tab/>
        <w:t>Data Items</w:t>
      </w:r>
    </w:p>
    <w:p w:rsidR="000242D2" w:rsidRPr="00660897" w:rsidRDefault="00654A8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 xml:space="preserve">All </w:t>
      </w:r>
      <w:r w:rsidR="00A54A71" w:rsidRPr="00660897">
        <w:rPr>
          <w:sz w:val="22"/>
          <w:szCs w:val="22"/>
        </w:rPr>
        <w:t xml:space="preserve">affected facilities </w:t>
      </w:r>
      <w:r w:rsidR="001A58D8" w:rsidRPr="00660897">
        <w:rPr>
          <w:sz w:val="22"/>
          <w:szCs w:val="22"/>
        </w:rPr>
        <w:t>will</w:t>
      </w:r>
      <w:r w:rsidRPr="00660897">
        <w:rPr>
          <w:sz w:val="22"/>
          <w:szCs w:val="22"/>
        </w:rPr>
        <w:t xml:space="preserve"> need to become familiar with the </w:t>
      </w:r>
      <w:r w:rsidR="00E04E82">
        <w:rPr>
          <w:sz w:val="22"/>
          <w:szCs w:val="22"/>
        </w:rPr>
        <w:t xml:space="preserve">Proposed </w:t>
      </w:r>
      <w:r w:rsidR="007A1790">
        <w:rPr>
          <w:sz w:val="22"/>
          <w:szCs w:val="22"/>
        </w:rPr>
        <w:t>Rule</w:t>
      </w:r>
      <w:r w:rsidR="00B71E22" w:rsidRPr="00660897">
        <w:rPr>
          <w:sz w:val="22"/>
          <w:szCs w:val="22"/>
        </w:rPr>
        <w:t xml:space="preserve">. </w:t>
      </w:r>
      <w:r w:rsidR="00827F0B" w:rsidRPr="00660897">
        <w:rPr>
          <w:sz w:val="22"/>
          <w:szCs w:val="22"/>
        </w:rPr>
        <w:t xml:space="preserve">Qualifying facilities and units </w:t>
      </w:r>
      <w:r w:rsidR="00A54A71" w:rsidRPr="00660897">
        <w:rPr>
          <w:sz w:val="22"/>
          <w:szCs w:val="22"/>
        </w:rPr>
        <w:t xml:space="preserve">that are currently required to </w:t>
      </w:r>
      <w:r w:rsidR="00827F0B" w:rsidRPr="00660897">
        <w:rPr>
          <w:sz w:val="22"/>
          <w:szCs w:val="22"/>
        </w:rPr>
        <w:t xml:space="preserve">undertake information collection activities may see alterations in the requirements for, and timing of, some of these activities; most of these changes reduce burden. Activities potentially affected include </w:t>
      </w:r>
      <w:r w:rsidR="007A1790">
        <w:rPr>
          <w:sz w:val="22"/>
          <w:szCs w:val="22"/>
        </w:rPr>
        <w:t>investigations for whether certain requirements apply to activities, demonstration requirements, reporting requirements</w:t>
      </w:r>
      <w:r w:rsidR="00827F0B" w:rsidRPr="00660897">
        <w:rPr>
          <w:sz w:val="22"/>
          <w:szCs w:val="22"/>
        </w:rPr>
        <w:t xml:space="preserve">, </w:t>
      </w:r>
      <w:r w:rsidR="007A1790">
        <w:rPr>
          <w:sz w:val="22"/>
          <w:szCs w:val="22"/>
        </w:rPr>
        <w:t>and website requirements</w:t>
      </w:r>
      <w:r w:rsidR="00827F0B" w:rsidRPr="00660897">
        <w:rPr>
          <w:sz w:val="22"/>
          <w:szCs w:val="22"/>
        </w:rPr>
        <w:t xml:space="preserve"> under 40 CFR 257.</w:t>
      </w:r>
    </w:p>
    <w:p w:rsidR="000242D2" w:rsidRPr="00660897" w:rsidRDefault="00510CA7"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660897" w:rsidDel="00510CA7">
        <w:rPr>
          <w:sz w:val="22"/>
          <w:szCs w:val="22"/>
        </w:rPr>
        <w:t xml:space="preserve"> </w:t>
      </w:r>
      <w:r w:rsidR="000242D2" w:rsidRPr="00660897">
        <w:rPr>
          <w:b/>
          <w:bCs/>
          <w:sz w:val="22"/>
          <w:szCs w:val="22"/>
        </w:rPr>
        <w:t>(ii)</w:t>
      </w:r>
      <w:r w:rsidR="000242D2" w:rsidRPr="00660897">
        <w:rPr>
          <w:b/>
          <w:bCs/>
          <w:sz w:val="22"/>
          <w:szCs w:val="22"/>
        </w:rPr>
        <w:tab/>
        <w:t>Respondent Activities</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Rule Familiarization</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All </w:t>
      </w:r>
      <w:r w:rsidR="00E04E82">
        <w:rPr>
          <w:sz w:val="22"/>
          <w:szCs w:val="22"/>
        </w:rPr>
        <w:t>beneficial use facilities</w:t>
      </w:r>
      <w:r w:rsidR="00E04E82" w:rsidRPr="00660897">
        <w:rPr>
          <w:sz w:val="22"/>
          <w:szCs w:val="22"/>
        </w:rPr>
        <w:t xml:space="preserve"> </w:t>
      </w:r>
      <w:r w:rsidRPr="00660897">
        <w:rPr>
          <w:sz w:val="22"/>
          <w:szCs w:val="22"/>
        </w:rPr>
        <w:t xml:space="preserve">are expected to spend time to read and understand the </w:t>
      </w:r>
      <w:r w:rsidR="00680175" w:rsidRPr="00660897">
        <w:rPr>
          <w:sz w:val="22"/>
          <w:szCs w:val="22"/>
        </w:rPr>
        <w:t xml:space="preserve">new </w:t>
      </w:r>
      <w:r w:rsidRPr="00660897">
        <w:rPr>
          <w:sz w:val="22"/>
          <w:szCs w:val="22"/>
        </w:rPr>
        <w:t xml:space="preserve">requirements when </w:t>
      </w:r>
      <w:r w:rsidR="00680175" w:rsidRPr="00660897">
        <w:rPr>
          <w:sz w:val="22"/>
          <w:szCs w:val="22"/>
        </w:rPr>
        <w:t xml:space="preserve">the rule is promulgated. </w:t>
      </w:r>
    </w:p>
    <w:p w:rsidR="00827F0B" w:rsidRPr="00660897" w:rsidRDefault="00FC2B1E"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Pr>
          <w:i/>
          <w:sz w:val="22"/>
          <w:szCs w:val="22"/>
        </w:rPr>
        <w:t xml:space="preserve">Change in </w:t>
      </w:r>
      <w:r w:rsidR="007A1790">
        <w:rPr>
          <w:i/>
          <w:sz w:val="22"/>
          <w:szCs w:val="22"/>
        </w:rPr>
        <w:t>Criterion 4 of the beneficial use definition at 40 CFR 257.73</w:t>
      </w:r>
    </w:p>
    <w:p w:rsidR="00CB76B5" w:rsidRDefault="00EC2083" w:rsidP="00CB76B5">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Under</w:t>
      </w:r>
      <w:r w:rsidR="007A1790">
        <w:rPr>
          <w:sz w:val="22"/>
          <w:szCs w:val="22"/>
        </w:rPr>
        <w:t xml:space="preserve"> the</w:t>
      </w:r>
      <w:r w:rsidRPr="00660897">
        <w:rPr>
          <w:sz w:val="22"/>
          <w:szCs w:val="22"/>
        </w:rPr>
        <w:t xml:space="preserve"> </w:t>
      </w:r>
      <w:r w:rsidR="00E04E82">
        <w:rPr>
          <w:sz w:val="22"/>
          <w:szCs w:val="22"/>
        </w:rPr>
        <w:t xml:space="preserve">Proposed </w:t>
      </w:r>
      <w:r w:rsidR="006B3740">
        <w:rPr>
          <w:sz w:val="22"/>
          <w:szCs w:val="22"/>
        </w:rPr>
        <w:t>Rule</w:t>
      </w:r>
      <w:r w:rsidR="007A1790">
        <w:rPr>
          <w:sz w:val="22"/>
          <w:szCs w:val="22"/>
        </w:rPr>
        <w:t>,</w:t>
      </w:r>
      <w:r w:rsidR="006B3740" w:rsidRPr="00660897" w:rsidDel="006B3740">
        <w:rPr>
          <w:sz w:val="22"/>
          <w:szCs w:val="22"/>
        </w:rPr>
        <w:t xml:space="preserve"> </w:t>
      </w:r>
      <w:r w:rsidR="007A1790">
        <w:rPr>
          <w:sz w:val="22"/>
          <w:szCs w:val="22"/>
        </w:rPr>
        <w:t xml:space="preserve">EPA is proposing to revise the Criterion 4 requirements to replace the “12,400 tons or more condition” </w:t>
      </w:r>
      <w:r w:rsidR="007A1790" w:rsidRPr="007A1790">
        <w:rPr>
          <w:sz w:val="22"/>
          <w:szCs w:val="22"/>
        </w:rPr>
        <w:t>with a location-based standard consistent with the location restrictions applicable to CCR management units at 40 CFR 257.60 through 257.64</w:t>
      </w:r>
      <w:r w:rsidR="00CB76B5">
        <w:rPr>
          <w:sz w:val="22"/>
          <w:szCs w:val="22"/>
        </w:rPr>
        <w:t>.</w:t>
      </w:r>
      <w:r w:rsidR="007A1790">
        <w:rPr>
          <w:sz w:val="22"/>
          <w:szCs w:val="22"/>
        </w:rPr>
        <w:t xml:space="preserve"> As a result of this revision, respondents </w:t>
      </w:r>
      <w:r w:rsidR="001129EB">
        <w:rPr>
          <w:sz w:val="22"/>
          <w:szCs w:val="22"/>
        </w:rPr>
        <w:t xml:space="preserve">affected by this change </w:t>
      </w:r>
      <w:r w:rsidR="007A1790">
        <w:rPr>
          <w:sz w:val="22"/>
          <w:szCs w:val="22"/>
        </w:rPr>
        <w:t>will need to:</w:t>
      </w:r>
    </w:p>
    <w:p w:rsidR="001129EB" w:rsidRPr="001129EB" w:rsidRDefault="007A1790" w:rsidP="001129EB">
      <w:pPr>
        <w:pStyle w:val="ListParagraph"/>
        <w:widowControl/>
        <w:numPr>
          <w:ilvl w:val="0"/>
          <w:numId w:val="16"/>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sz w:val="22"/>
          <w:szCs w:val="22"/>
        </w:rPr>
        <w:t>Conduct an investigation to determine whether the location-based standards apply to each specific project (unless the project already used CCR quantities of 12,400 or more, in which case Criterion 4 already applied to the project); and</w:t>
      </w:r>
    </w:p>
    <w:p w:rsidR="007A1790" w:rsidRDefault="007A1790" w:rsidP="001129EB">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sz w:val="22"/>
          <w:szCs w:val="22"/>
        </w:rPr>
      </w:pPr>
    </w:p>
    <w:p w:rsidR="007A1790" w:rsidRPr="001129EB" w:rsidRDefault="007A1790" w:rsidP="001129EB">
      <w:pPr>
        <w:pStyle w:val="ListParagraph"/>
        <w:widowControl/>
        <w:numPr>
          <w:ilvl w:val="0"/>
          <w:numId w:val="16"/>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sz w:val="22"/>
          <w:szCs w:val="22"/>
        </w:rPr>
        <w:t>Complete the Criterion 4 demonstration pursuant to 40 CFR 257.73 for each project potentially affected by the location-based standards (unless the project already used CCR quantities of 12,400 or more, in which case the demonstration would have already been completed).</w:t>
      </w:r>
    </w:p>
    <w:p w:rsidR="00827F0B" w:rsidRPr="00660897" w:rsidRDefault="00827F0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 xml:space="preserve">Revise </w:t>
      </w:r>
      <w:r w:rsidR="007A1790">
        <w:rPr>
          <w:i/>
          <w:sz w:val="22"/>
          <w:szCs w:val="22"/>
        </w:rPr>
        <w:t>annual groundwater monitoring and corrective action report requirements</w:t>
      </w:r>
    </w:p>
    <w:p w:rsidR="00827F0B" w:rsidRPr="00660897" w:rsidRDefault="00EC2083"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Under </w:t>
      </w:r>
      <w:r w:rsidR="007A1790">
        <w:rPr>
          <w:sz w:val="22"/>
          <w:szCs w:val="22"/>
        </w:rPr>
        <w:t xml:space="preserve">the </w:t>
      </w:r>
      <w:r w:rsidR="00E04E82">
        <w:rPr>
          <w:sz w:val="22"/>
          <w:szCs w:val="22"/>
        </w:rPr>
        <w:t>Proposed</w:t>
      </w:r>
      <w:r w:rsidR="007A1790">
        <w:rPr>
          <w:sz w:val="22"/>
          <w:szCs w:val="22"/>
        </w:rPr>
        <w:t xml:space="preserve"> Rule, EPA is proposing requiring an additional information summary to the annually-required groundwater monitoring and corrective action report. </w:t>
      </w:r>
      <w:r w:rsidR="007A1790" w:rsidRPr="007A1790">
        <w:rPr>
          <w:sz w:val="22"/>
          <w:szCs w:val="22"/>
        </w:rPr>
        <w:t>This information summary will not require owner/operators to collect or display new information related to groundwater monitoring and/or corrective action. Rather, the additional summary is meant to present in one place in a standardized fashion some key information that is already in the existing reports.</w:t>
      </w:r>
    </w:p>
    <w:p w:rsidR="00EC1762" w:rsidRPr="00660897" w:rsidRDefault="007A1790"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i/>
          <w:sz w:val="22"/>
          <w:szCs w:val="22"/>
        </w:rPr>
        <w:t>Revise reporting and documentation requirements</w:t>
      </w:r>
    </w:p>
    <w:p w:rsidR="007A1790" w:rsidRDefault="007A1790" w:rsidP="007A1790">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Under </w:t>
      </w:r>
      <w:r>
        <w:rPr>
          <w:sz w:val="22"/>
          <w:szCs w:val="22"/>
        </w:rPr>
        <w:t xml:space="preserve">the </w:t>
      </w:r>
      <w:r w:rsidR="00E04E82">
        <w:rPr>
          <w:sz w:val="22"/>
          <w:szCs w:val="22"/>
        </w:rPr>
        <w:t>Proposed</w:t>
      </w:r>
      <w:r>
        <w:rPr>
          <w:sz w:val="22"/>
          <w:szCs w:val="22"/>
        </w:rPr>
        <w:t xml:space="preserve"> Rule, EPA is proposing </w:t>
      </w:r>
      <w:r w:rsidR="00D6151B">
        <w:rPr>
          <w:sz w:val="22"/>
          <w:szCs w:val="22"/>
        </w:rPr>
        <w:t>to add additional requirements to publicly accessible internet sites:</w:t>
      </w:r>
    </w:p>
    <w:p w:rsidR="00314564" w:rsidRDefault="00D6151B" w:rsidP="00D6151B">
      <w:pPr>
        <w:pStyle w:val="ListParagraph"/>
        <w:widowControl/>
        <w:numPr>
          <w:ilvl w:val="0"/>
          <w:numId w:val="17"/>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D6151B">
        <w:rPr>
          <w:sz w:val="22"/>
          <w:szCs w:val="22"/>
        </w:rPr>
        <w:t>all publicly accessible internet sites</w:t>
      </w:r>
      <w:r>
        <w:rPr>
          <w:sz w:val="22"/>
          <w:szCs w:val="22"/>
        </w:rPr>
        <w:t xml:space="preserve"> must</w:t>
      </w:r>
      <w:r w:rsidRPr="00D6151B">
        <w:rPr>
          <w:sz w:val="22"/>
          <w:szCs w:val="22"/>
        </w:rPr>
        <w:t xml:space="preserve"> be open to the public, without requiring registrations, certifications, logins, passwords, or other information from parties accessing the site</w:t>
      </w:r>
      <w:r>
        <w:rPr>
          <w:sz w:val="22"/>
          <w:szCs w:val="22"/>
        </w:rPr>
        <w:t>; and</w:t>
      </w:r>
    </w:p>
    <w:p w:rsidR="00314564" w:rsidRPr="001129EB" w:rsidRDefault="00D6151B" w:rsidP="00314564">
      <w:pPr>
        <w:pStyle w:val="ListParagraph"/>
        <w:widowControl/>
        <w:numPr>
          <w:ilvl w:val="0"/>
          <w:numId w:val="17"/>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bCs/>
          <w:sz w:val="22"/>
          <w:szCs w:val="22"/>
        </w:rPr>
      </w:pPr>
      <w:r w:rsidRPr="001129EB">
        <w:rPr>
          <w:sz w:val="22"/>
          <w:szCs w:val="22"/>
        </w:rPr>
        <w:t xml:space="preserve">documents posted to the sites </w:t>
      </w:r>
      <w:r w:rsidR="00E04E82" w:rsidRPr="001129EB">
        <w:rPr>
          <w:sz w:val="22"/>
          <w:szCs w:val="22"/>
        </w:rPr>
        <w:t xml:space="preserve">must </w:t>
      </w:r>
      <w:r w:rsidRPr="001129EB">
        <w:rPr>
          <w:sz w:val="22"/>
          <w:szCs w:val="22"/>
        </w:rPr>
        <w:t>not be locked or restricted from being able to be downloaded, read, printed, or shared, and available for direct access and download without requiring users to send manual or automated requests to access specific documents.</w:t>
      </w:r>
      <w:r w:rsidR="00314564" w:rsidRPr="001129EB">
        <w:rPr>
          <w:sz w:val="22"/>
          <w:szCs w:val="22"/>
        </w:rPr>
        <w:t xml:space="preserve"> </w:t>
      </w:r>
    </w:p>
    <w:p w:rsidR="00D6151B" w:rsidRPr="001129EB" w:rsidRDefault="00D6151B" w:rsidP="00ED2578">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b/>
          <w:bCs/>
          <w:sz w:val="22"/>
          <w:szCs w:val="22"/>
        </w:rPr>
      </w:pPr>
    </w:p>
    <w:p w:rsidR="000242D2" w:rsidRPr="00AC1A4D" w:rsidRDefault="000242D2" w:rsidP="001129EB">
      <w:pPr>
        <w:pStyle w:val="Heading1"/>
      </w:pPr>
      <w:r w:rsidRPr="00AC1A4D">
        <w:t>5.</w:t>
      </w:r>
      <w:r w:rsidRPr="00AC1A4D">
        <w:tab/>
        <w:t>THE INFORMATION COLLECTED — AGENCY ACTIVITIES, COLLECTION METHODOLOGY, AND INFORMATION MANAGEMENT</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Burden to State and Local Agencies and Others</w:t>
      </w:r>
    </w:p>
    <w:p w:rsidR="000242D2" w:rsidRDefault="008B380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EPA </w:t>
      </w:r>
      <w:r w:rsidR="0073660F">
        <w:rPr>
          <w:sz w:val="22"/>
          <w:szCs w:val="22"/>
        </w:rPr>
        <w:t>does not anticipate any changes in the burden to state and local agencies. If some municipalities or local government jurisdictions use CCR for snow and ice control and need to comply with the additional reporting or recordkeeping requirements related to the revisions to Criterion 4 of the beneficial use definition, the</w:t>
      </w:r>
      <w:r w:rsidR="001129EB">
        <w:rPr>
          <w:sz w:val="22"/>
          <w:szCs w:val="22"/>
        </w:rPr>
        <w:t>se affected entities may incur</w:t>
      </w:r>
      <w:r w:rsidR="0073660F">
        <w:rPr>
          <w:sz w:val="22"/>
          <w:szCs w:val="22"/>
        </w:rPr>
        <w:t xml:space="preserve"> incremental costs.  However, </w:t>
      </w:r>
      <w:r w:rsidR="001129EB">
        <w:rPr>
          <w:sz w:val="22"/>
          <w:szCs w:val="22"/>
        </w:rPr>
        <w:t xml:space="preserve">data are not available identifying how many projects of this type exist, and </w:t>
      </w:r>
      <w:r w:rsidR="0073660F">
        <w:rPr>
          <w:sz w:val="22"/>
          <w:szCs w:val="22"/>
        </w:rPr>
        <w:t>this ICR is not able to quantify this potential (</w:t>
      </w:r>
      <w:r w:rsidR="001129EB">
        <w:rPr>
          <w:sz w:val="22"/>
          <w:szCs w:val="22"/>
        </w:rPr>
        <w:t>modest</w:t>
      </w:r>
      <w:r w:rsidR="0073660F">
        <w:rPr>
          <w:sz w:val="22"/>
          <w:szCs w:val="22"/>
        </w:rPr>
        <w:t>) impact.</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rsidR="000242D2" w:rsidRPr="00B230E3" w:rsidRDefault="004E768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sidRPr="00AF6E1F">
        <w:rPr>
          <w:color w:val="000000"/>
          <w:sz w:val="22"/>
          <w:szCs w:val="22"/>
        </w:rPr>
        <w:t>EPA</w:t>
      </w:r>
      <w:r w:rsidR="002F4237" w:rsidRPr="00AF6E1F">
        <w:rPr>
          <w:color w:val="000000"/>
          <w:sz w:val="22"/>
          <w:szCs w:val="22"/>
        </w:rPr>
        <w:t xml:space="preserve"> is not expected to incur any additional </w:t>
      </w:r>
      <w:r w:rsidR="000242D2" w:rsidRPr="00AF6E1F">
        <w:rPr>
          <w:color w:val="000000"/>
          <w:sz w:val="22"/>
          <w:szCs w:val="22"/>
        </w:rPr>
        <w:t xml:space="preserve">burden </w:t>
      </w:r>
      <w:r w:rsidR="002F4237" w:rsidRPr="00AF6E1F">
        <w:rPr>
          <w:color w:val="000000"/>
          <w:sz w:val="22"/>
          <w:szCs w:val="22"/>
        </w:rPr>
        <w:t xml:space="preserve">as a result of the </w:t>
      </w:r>
      <w:r w:rsidR="00E04E82">
        <w:rPr>
          <w:sz w:val="22"/>
          <w:szCs w:val="22"/>
        </w:rPr>
        <w:t xml:space="preserve">Proposed </w:t>
      </w:r>
      <w:r w:rsidR="006B3740">
        <w:rPr>
          <w:sz w:val="22"/>
          <w:szCs w:val="22"/>
        </w:rPr>
        <w:t>Rule</w:t>
      </w:r>
      <w:r w:rsidR="000242D2" w:rsidRPr="00AF6E1F">
        <w:rPr>
          <w:color w:val="000000"/>
          <w:sz w:val="22"/>
          <w:szCs w:val="22"/>
        </w:rPr>
        <w:t>.</w:t>
      </w:r>
      <w:r w:rsidR="0073660F">
        <w:rPr>
          <w:color w:val="000000"/>
          <w:sz w:val="22"/>
          <w:szCs w:val="22"/>
        </w:rPr>
        <w:t xml:space="preserve">  EPA may have a reduced burden </w:t>
      </w:r>
      <w:r w:rsidR="006F54B1">
        <w:rPr>
          <w:color w:val="000000"/>
          <w:sz w:val="22"/>
          <w:szCs w:val="22"/>
        </w:rPr>
        <w:t>due to the shorter time it may take to</w:t>
      </w:r>
      <w:r w:rsidR="0073660F">
        <w:rPr>
          <w:color w:val="000000"/>
          <w:sz w:val="22"/>
          <w:szCs w:val="22"/>
        </w:rPr>
        <w:t xml:space="preserve"> review the </w:t>
      </w:r>
      <w:r w:rsidR="006F54B1">
        <w:rPr>
          <w:color w:val="000000"/>
          <w:sz w:val="22"/>
          <w:szCs w:val="22"/>
        </w:rPr>
        <w:t>standardized</w:t>
      </w:r>
      <w:r w:rsidR="0073660F">
        <w:rPr>
          <w:color w:val="000000"/>
          <w:sz w:val="22"/>
          <w:szCs w:val="22"/>
        </w:rPr>
        <w:t xml:space="preserve"> groundwater and corrective action reports, but this is not quantified in this ICR.</w:t>
      </w:r>
    </w:p>
    <w:p w:rsidR="000242D2" w:rsidRPr="00660897" w:rsidRDefault="000242D2" w:rsidP="00B363CD">
      <w:pPr>
        <w:keepNext/>
        <w:keepLines/>
        <w:widowControl/>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r>
      <w:r w:rsidRPr="00660897">
        <w:rPr>
          <w:b/>
          <w:bCs/>
          <w:sz w:val="22"/>
          <w:szCs w:val="22"/>
        </w:rPr>
        <w:t>Collection Methodology and Management</w:t>
      </w:r>
    </w:p>
    <w:p w:rsidR="006E5F77" w:rsidRDefault="00F0469E" w:rsidP="001129EB">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660897">
        <w:rPr>
          <w:sz w:val="22"/>
          <w:szCs w:val="22"/>
        </w:rPr>
        <w:tab/>
        <w:t>Most information can be maintained in the facility operating record or on a publicly accessible internet website rather than in submittals to EPA. For the information that is submitted (</w:t>
      </w:r>
      <w:r w:rsidR="00314564">
        <w:rPr>
          <w:sz w:val="22"/>
          <w:szCs w:val="22"/>
        </w:rPr>
        <w:t>e</w:t>
      </w:r>
      <w:r w:rsidRPr="00660897">
        <w:rPr>
          <w:sz w:val="22"/>
          <w:szCs w:val="22"/>
        </w:rPr>
        <w:t>.</w:t>
      </w:r>
      <w:r w:rsidR="00314564">
        <w:rPr>
          <w:sz w:val="22"/>
          <w:szCs w:val="22"/>
        </w:rPr>
        <w:t>g</w:t>
      </w:r>
      <w:r w:rsidRPr="00660897">
        <w:rPr>
          <w:sz w:val="22"/>
          <w:szCs w:val="22"/>
        </w:rPr>
        <w:t xml:space="preserve">., </w:t>
      </w:r>
      <w:r w:rsidR="006F54B1">
        <w:rPr>
          <w:sz w:val="22"/>
          <w:szCs w:val="22"/>
        </w:rPr>
        <w:t>beneficial use demonstrations</w:t>
      </w:r>
      <w:r w:rsidRPr="00660897">
        <w:rPr>
          <w:sz w:val="22"/>
          <w:szCs w:val="22"/>
        </w:rPr>
        <w:t xml:space="preserve">), EPA ensures the accuracy and completeness of the collected information by reviewing each submittal. </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5(c)</w:t>
      </w:r>
      <w:r w:rsidRPr="00660897">
        <w:rPr>
          <w:b/>
          <w:bCs/>
          <w:sz w:val="22"/>
          <w:szCs w:val="22"/>
        </w:rPr>
        <w:tab/>
        <w:t>Small Entity Flexibility</w:t>
      </w:r>
    </w:p>
    <w:p w:rsidR="008A668E" w:rsidRPr="00F0469E" w:rsidRDefault="00F0469E"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 xml:space="preserve">EPA determined that </w:t>
      </w:r>
      <w:r w:rsidR="0073660F">
        <w:rPr>
          <w:bCs/>
          <w:sz w:val="22"/>
          <w:szCs w:val="22"/>
        </w:rPr>
        <w:t xml:space="preserve">the Proposed Rule </w:t>
      </w:r>
      <w:r w:rsidRPr="00660897">
        <w:rPr>
          <w:bCs/>
          <w:sz w:val="22"/>
          <w:szCs w:val="22"/>
        </w:rPr>
        <w:t>will not have a significant economic impact on a substantial number of small entities</w:t>
      </w:r>
      <w:r w:rsidR="0073660F">
        <w:rPr>
          <w:bCs/>
          <w:sz w:val="22"/>
          <w:szCs w:val="22"/>
        </w:rPr>
        <w:t xml:space="preserve"> in the corresponding Economic Analysis</w:t>
      </w:r>
      <w:r w:rsidRPr="00660897">
        <w:rPr>
          <w:bCs/>
          <w:sz w:val="22"/>
          <w:szCs w:val="22"/>
        </w:rPr>
        <w:t>.</w:t>
      </w:r>
      <w:r w:rsidR="00BF3A02">
        <w:rPr>
          <w:rStyle w:val="FootnoteReference"/>
          <w:bCs/>
          <w:sz w:val="22"/>
          <w:szCs w:val="22"/>
        </w:rPr>
        <w:footnoteReference w:id="2"/>
      </w:r>
      <w:r w:rsidRPr="00660897">
        <w:rPr>
          <w:bCs/>
          <w:sz w:val="22"/>
          <w:szCs w:val="22"/>
        </w:rPr>
        <w:t xml:space="preserve"> </w:t>
      </w:r>
    </w:p>
    <w:p w:rsidR="008A668E" w:rsidRPr="008A668E" w:rsidRDefault="008A668E"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u w:val="single"/>
        </w:rPr>
      </w:pPr>
    </w:p>
    <w:p w:rsidR="000242D2" w:rsidRPr="0063323E"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63323E">
        <w:rPr>
          <w:b/>
          <w:bCs/>
          <w:sz w:val="22"/>
          <w:szCs w:val="22"/>
        </w:rPr>
        <w:t>5(d)</w:t>
      </w:r>
      <w:r w:rsidRPr="0063323E">
        <w:rPr>
          <w:b/>
          <w:bCs/>
          <w:sz w:val="22"/>
          <w:szCs w:val="22"/>
        </w:rPr>
        <w:tab/>
        <w:t>Collection Schedule</w:t>
      </w:r>
    </w:p>
    <w:p w:rsidR="000242D2" w:rsidRPr="00B230E3" w:rsidRDefault="004416A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The information provided var</w:t>
      </w:r>
      <w:r w:rsidR="00F0469E">
        <w:rPr>
          <w:sz w:val="22"/>
          <w:szCs w:val="22"/>
        </w:rPr>
        <w:t>ies</w:t>
      </w:r>
      <w:r w:rsidRPr="00B230E3">
        <w:rPr>
          <w:sz w:val="22"/>
          <w:szCs w:val="22"/>
        </w:rPr>
        <w:t xml:space="preserve"> based on the provision</w:t>
      </w:r>
      <w:r w:rsidR="006F54B1">
        <w:rPr>
          <w:sz w:val="22"/>
          <w:szCs w:val="22"/>
        </w:rPr>
        <w:t>s</w:t>
      </w:r>
      <w:r w:rsidR="00F0469E">
        <w:rPr>
          <w:sz w:val="22"/>
          <w:szCs w:val="22"/>
        </w:rPr>
        <w:t xml:space="preserve"> of the 2015 CCR Rule</w:t>
      </w:r>
      <w:r w:rsidR="001129EB">
        <w:rPr>
          <w:sz w:val="22"/>
          <w:szCs w:val="22"/>
        </w:rPr>
        <w:t xml:space="preserve"> and on the timing of individual beneficial use projects involving CCR</w:t>
      </w:r>
      <w:r w:rsidR="00F0469E">
        <w:rPr>
          <w:sz w:val="22"/>
          <w:szCs w:val="22"/>
        </w:rPr>
        <w:t xml:space="preserve">. </w:t>
      </w:r>
    </w:p>
    <w:p w:rsidR="00CB76B5" w:rsidRDefault="00CB76B5" w:rsidP="00CB76B5">
      <w:pPr>
        <w:widowControl/>
        <w:adjustRightInd/>
        <w:spacing w:after="160" w:line="259" w:lineRule="auto"/>
        <w:rPr>
          <w:b/>
          <w:bCs/>
          <w:sz w:val="22"/>
          <w:szCs w:val="22"/>
        </w:rPr>
      </w:pPr>
    </w:p>
    <w:p w:rsidR="000242D2" w:rsidRPr="00AC1A4D" w:rsidRDefault="000242D2" w:rsidP="001129EB">
      <w:pPr>
        <w:pStyle w:val="Heading1"/>
      </w:pPr>
      <w:r w:rsidRPr="00AC1A4D">
        <w:t>6.</w:t>
      </w:r>
      <w:r w:rsidRPr="00AC1A4D">
        <w:tab/>
        <w:t>ESTIMATING THE BURDEN AND COST OF THE COLLECTION</w:t>
      </w:r>
    </w:p>
    <w:p w:rsidR="000242D2" w:rsidRPr="00CA368F" w:rsidRDefault="00ED2578" w:rsidP="00ED2578">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sz w:val="22"/>
          <w:szCs w:val="22"/>
        </w:rPr>
        <w:tab/>
      </w:r>
      <w:r w:rsidR="000242D2" w:rsidRPr="00CA368F">
        <w:rPr>
          <w:sz w:val="22"/>
          <w:szCs w:val="22"/>
        </w:rPr>
        <w:t xml:space="preserve">The unit burden applied to various </w:t>
      </w:r>
      <w:r w:rsidR="00CA368F">
        <w:rPr>
          <w:sz w:val="22"/>
          <w:szCs w:val="22"/>
        </w:rPr>
        <w:t>respondents</w:t>
      </w:r>
      <w:r w:rsidR="000242D2" w:rsidRPr="00CA368F">
        <w:rPr>
          <w:sz w:val="22"/>
          <w:szCs w:val="22"/>
        </w:rPr>
        <w:t xml:space="preserve"> is based on </w:t>
      </w:r>
      <w:r w:rsidR="00E04E82">
        <w:rPr>
          <w:sz w:val="22"/>
          <w:szCs w:val="22"/>
        </w:rPr>
        <w:t>the type</w:t>
      </w:r>
      <w:r w:rsidR="002C0A45" w:rsidRPr="00CA368F">
        <w:rPr>
          <w:sz w:val="22"/>
          <w:szCs w:val="22"/>
        </w:rPr>
        <w:t xml:space="preserve"> </w:t>
      </w:r>
      <w:r w:rsidR="00CA368F">
        <w:rPr>
          <w:sz w:val="22"/>
          <w:szCs w:val="22"/>
        </w:rPr>
        <w:t xml:space="preserve">of regulated </w:t>
      </w:r>
      <w:r w:rsidR="00E04E82">
        <w:rPr>
          <w:sz w:val="22"/>
          <w:szCs w:val="22"/>
        </w:rPr>
        <w:t>facility (e.g., beneficial use facility or coal-fired electric utility)</w:t>
      </w:r>
      <w:r w:rsidR="00C01261" w:rsidRPr="00CA368F">
        <w:rPr>
          <w:sz w:val="22"/>
          <w:szCs w:val="22"/>
        </w:rPr>
        <w:t xml:space="preserve">. </w:t>
      </w:r>
    </w:p>
    <w:p w:rsidR="000242D2" w:rsidRPr="00CA368F"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CA368F">
        <w:rPr>
          <w:b/>
          <w:bCs/>
          <w:sz w:val="22"/>
          <w:szCs w:val="22"/>
        </w:rPr>
        <w:t>6(a)</w:t>
      </w:r>
      <w:r w:rsidRPr="00CA368F">
        <w:rPr>
          <w:b/>
          <w:bCs/>
          <w:sz w:val="22"/>
          <w:szCs w:val="22"/>
        </w:rPr>
        <w:tab/>
        <w:t>Respondent Burden</w:t>
      </w:r>
    </w:p>
    <w:p w:rsidR="004D059C" w:rsidRPr="00660897" w:rsidRDefault="00ED2578" w:rsidP="00ED2578">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Cs/>
          <w:sz w:val="22"/>
          <w:szCs w:val="22"/>
        </w:rPr>
      </w:pPr>
      <w:r>
        <w:rPr>
          <w:bCs/>
          <w:sz w:val="22"/>
          <w:szCs w:val="22"/>
        </w:rPr>
        <w:tab/>
      </w:r>
      <w:r w:rsidR="00E73DC6" w:rsidRPr="00660897">
        <w:rPr>
          <w:bCs/>
          <w:sz w:val="22"/>
          <w:szCs w:val="22"/>
        </w:rPr>
        <w:t>This section provides</w:t>
      </w:r>
      <w:r w:rsidR="004D059C" w:rsidRPr="00660897">
        <w:rPr>
          <w:bCs/>
          <w:sz w:val="22"/>
          <w:szCs w:val="22"/>
        </w:rPr>
        <w:t xml:space="preserve"> estimates of the respondent hourly burden associated with the information collect</w:t>
      </w:r>
      <w:r w:rsidR="008A668E" w:rsidRPr="00660897">
        <w:rPr>
          <w:bCs/>
          <w:sz w:val="22"/>
          <w:szCs w:val="22"/>
        </w:rPr>
        <w:t>ion</w:t>
      </w:r>
      <w:r w:rsidR="004D059C" w:rsidRPr="00660897">
        <w:rPr>
          <w:bCs/>
          <w:sz w:val="22"/>
          <w:szCs w:val="22"/>
        </w:rPr>
        <w:t xml:space="preserve"> requirements covered in this ICR</w:t>
      </w:r>
      <w:r w:rsidR="00CA368F" w:rsidRPr="00660897">
        <w:rPr>
          <w:bCs/>
          <w:sz w:val="22"/>
          <w:szCs w:val="22"/>
        </w:rPr>
        <w:t xml:space="preserve">. </w:t>
      </w:r>
      <w:r w:rsidR="004D059C" w:rsidRPr="00660897">
        <w:rPr>
          <w:bCs/>
          <w:sz w:val="22"/>
          <w:szCs w:val="22"/>
        </w:rPr>
        <w:t xml:space="preserve">The </w:t>
      </w:r>
      <w:r w:rsidR="00E73DC6" w:rsidRPr="00660897">
        <w:rPr>
          <w:bCs/>
          <w:sz w:val="22"/>
          <w:szCs w:val="22"/>
        </w:rPr>
        <w:t>section</w:t>
      </w:r>
      <w:r w:rsidR="003F64AE" w:rsidRPr="00660897">
        <w:rPr>
          <w:bCs/>
          <w:sz w:val="22"/>
          <w:szCs w:val="22"/>
        </w:rPr>
        <w:t xml:space="preserve"> includes burden hours by labor type </w:t>
      </w:r>
      <w:r w:rsidR="004D059C" w:rsidRPr="00660897">
        <w:rPr>
          <w:bCs/>
          <w:sz w:val="22"/>
          <w:szCs w:val="22"/>
        </w:rPr>
        <w:t>per respondent, as well as the overall burden hours for all respondents.</w:t>
      </w:r>
      <w:r w:rsidR="00B31C22">
        <w:rPr>
          <w:bCs/>
          <w:sz w:val="22"/>
          <w:szCs w:val="22"/>
        </w:rPr>
        <w:t xml:space="preserve">  The respondent burden is separated into two sections: respondent burden changes for beneficial users of CCR and respondent burden changes for coal-fired electric utilities.</w:t>
      </w:r>
    </w:p>
    <w:p w:rsidR="00B83566" w:rsidRPr="001129EB" w:rsidRDefault="00616729" w:rsidP="001129EB">
      <w:pPr>
        <w:widowControl/>
        <w:spacing w:after="120"/>
        <w:rPr>
          <w:i/>
        </w:rPr>
      </w:pPr>
      <w:r w:rsidRPr="00660897">
        <w:rPr>
          <w:b/>
          <w:bCs/>
          <w:i/>
          <w:sz w:val="22"/>
          <w:szCs w:val="22"/>
        </w:rPr>
        <w:t xml:space="preserve">Respondent Burden </w:t>
      </w:r>
      <w:r w:rsidR="00B31C22">
        <w:rPr>
          <w:b/>
          <w:bCs/>
          <w:i/>
          <w:sz w:val="22"/>
          <w:szCs w:val="22"/>
        </w:rPr>
        <w:t xml:space="preserve">Change </w:t>
      </w:r>
      <w:r w:rsidRPr="00660897">
        <w:rPr>
          <w:b/>
          <w:bCs/>
          <w:i/>
          <w:sz w:val="22"/>
          <w:szCs w:val="22"/>
        </w:rPr>
        <w:t xml:space="preserve">for </w:t>
      </w:r>
      <w:r w:rsidR="00A46446">
        <w:rPr>
          <w:b/>
          <w:bCs/>
          <w:i/>
          <w:sz w:val="22"/>
          <w:szCs w:val="22"/>
        </w:rPr>
        <w:t xml:space="preserve">Beneficial Users of CCR: </w:t>
      </w:r>
      <w:r w:rsidR="00A46446" w:rsidRPr="00A46446">
        <w:rPr>
          <w:b/>
          <w:bCs/>
          <w:i/>
          <w:sz w:val="22"/>
          <w:szCs w:val="22"/>
        </w:rPr>
        <w:t>Change in Criterion 4 of the beneficial use definition at 40 CFR 257.73</w:t>
      </w:r>
    </w:p>
    <w:p w:rsidR="00A46446" w:rsidRDefault="00D230B8" w:rsidP="00A46446">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1129EB">
        <w:rPr>
          <w:sz w:val="22"/>
          <w:szCs w:val="22"/>
        </w:rPr>
        <w:t>The</w:t>
      </w:r>
      <w:r w:rsidR="006C71EC" w:rsidRPr="001129EB">
        <w:rPr>
          <w:sz w:val="22"/>
          <w:szCs w:val="22"/>
        </w:rPr>
        <w:t xml:space="preserve"> </w:t>
      </w:r>
      <w:r w:rsidR="00A46446" w:rsidRPr="001129EB">
        <w:rPr>
          <w:sz w:val="22"/>
          <w:szCs w:val="22"/>
        </w:rPr>
        <w:t xml:space="preserve">proposed change in Criterion 4 of the beneficial use definition proposes to revise the Criterion 4 requirements to replace the “12,400 tons or more condition” with a location-based standard consistent with the location restrictions applicable to CCR management units at 40 CFR 257.60 through 257.64. This change </w:t>
      </w:r>
      <w:r w:rsidR="00A46446">
        <w:rPr>
          <w:sz w:val="22"/>
          <w:szCs w:val="22"/>
        </w:rPr>
        <w:t>requires facilities with projects smaller than 12,400 tons to:</w:t>
      </w:r>
    </w:p>
    <w:p w:rsidR="00A46446" w:rsidRPr="001129EB" w:rsidRDefault="00A46446" w:rsidP="001129EB">
      <w:pPr>
        <w:pStyle w:val="ListParagraph"/>
        <w:widowControl/>
        <w:numPr>
          <w:ilvl w:val="0"/>
          <w:numId w:val="2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sz w:val="22"/>
          <w:szCs w:val="22"/>
        </w:rPr>
        <w:t>C</w:t>
      </w:r>
      <w:r w:rsidRPr="001129EB">
        <w:rPr>
          <w:sz w:val="22"/>
          <w:szCs w:val="22"/>
        </w:rPr>
        <w:t>onduct an investigation to determine whether the location-based standards apply to the project, a</w:t>
      </w:r>
      <w:r w:rsidR="00ED2578">
        <w:rPr>
          <w:sz w:val="22"/>
          <w:szCs w:val="22"/>
        </w:rPr>
        <w:t>nd</w:t>
      </w:r>
    </w:p>
    <w:p w:rsidR="00A46446" w:rsidRPr="001129EB" w:rsidRDefault="00A46446" w:rsidP="001129EB">
      <w:pPr>
        <w:pStyle w:val="ListParagraph"/>
        <w:widowControl/>
        <w:numPr>
          <w:ilvl w:val="0"/>
          <w:numId w:val="2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sz w:val="22"/>
          <w:szCs w:val="22"/>
        </w:rPr>
        <w:t>C</w:t>
      </w:r>
      <w:r w:rsidRPr="001129EB">
        <w:rPr>
          <w:sz w:val="22"/>
          <w:szCs w:val="22"/>
        </w:rPr>
        <w:t xml:space="preserve">omplete the Criterion 4 demonstration </w:t>
      </w:r>
      <w:r w:rsidRPr="001129EB">
        <w:rPr>
          <w:i/>
          <w:iCs/>
          <w:sz w:val="22"/>
          <w:szCs w:val="22"/>
        </w:rPr>
        <w:t>if</w:t>
      </w:r>
      <w:r w:rsidRPr="001129EB">
        <w:rPr>
          <w:sz w:val="22"/>
          <w:szCs w:val="22"/>
        </w:rPr>
        <w:t xml:space="preserve"> the project is affected by the location-based standards</w:t>
      </w:r>
    </w:p>
    <w:p w:rsidR="00B83566" w:rsidRPr="00314564" w:rsidRDefault="00A46446" w:rsidP="00B83566">
      <w:pPr>
        <w:widowControl/>
        <w:spacing w:after="120"/>
        <w:ind w:firstLine="720"/>
        <w:rPr>
          <w:sz w:val="22"/>
          <w:szCs w:val="22"/>
        </w:rPr>
      </w:pPr>
      <w:r w:rsidRPr="001129EB">
        <w:rPr>
          <w:sz w:val="22"/>
          <w:szCs w:val="22"/>
        </w:rPr>
        <w:t>The additional investigation and demonstration costs result in an increase in costs to affected facilities (Exhibit 6-</w:t>
      </w:r>
      <w:r w:rsidR="00B83566" w:rsidRPr="001129EB">
        <w:rPr>
          <w:sz w:val="22"/>
          <w:szCs w:val="22"/>
        </w:rPr>
        <w:t>1</w:t>
      </w:r>
      <w:r w:rsidRPr="001129EB">
        <w:rPr>
          <w:sz w:val="22"/>
          <w:szCs w:val="22"/>
        </w:rPr>
        <w:t>).</w:t>
      </w:r>
      <w:r w:rsidR="00B83566" w:rsidRPr="001129EB">
        <w:rPr>
          <w:sz w:val="22"/>
          <w:szCs w:val="22"/>
        </w:rPr>
        <w:t xml:space="preserve"> In addition to the investigation and demonstration costs, </w:t>
      </w:r>
      <w:r w:rsidR="00B83566" w:rsidRPr="00314564">
        <w:rPr>
          <w:bCs/>
          <w:sz w:val="22"/>
          <w:szCs w:val="22"/>
        </w:rPr>
        <w:t xml:space="preserve">EPA assumes that </w:t>
      </w:r>
      <w:r w:rsidR="00B83566" w:rsidRPr="002C4236">
        <w:rPr>
          <w:rFonts w:eastAsiaTheme="minorHAnsi"/>
          <w:sz w:val="22"/>
          <w:szCs w:val="22"/>
        </w:rPr>
        <w:t xml:space="preserve">facility staff will require time to review the </w:t>
      </w:r>
      <w:r w:rsidR="00B83566" w:rsidRPr="00314564">
        <w:rPr>
          <w:sz w:val="22"/>
          <w:szCs w:val="22"/>
        </w:rPr>
        <w:t>Proposed Rule</w:t>
      </w:r>
      <w:r w:rsidR="00B83566" w:rsidRPr="002C4236">
        <w:rPr>
          <w:rFonts w:eastAsiaTheme="minorHAnsi"/>
          <w:sz w:val="22"/>
          <w:szCs w:val="22"/>
        </w:rPr>
        <w:t xml:space="preserve">. The time required for this review will be limited because most of the final provisions amend current requirements as opposed to introducing completely new provisions. </w:t>
      </w:r>
      <w:r w:rsidR="00B83566" w:rsidRPr="00314564">
        <w:rPr>
          <w:bCs/>
          <w:sz w:val="22"/>
          <w:szCs w:val="22"/>
        </w:rPr>
        <w:t>This analysis assumes that rule familiarization will only occur in year 1.</w:t>
      </w:r>
      <w:r w:rsidR="00B83566" w:rsidRPr="00314564">
        <w:rPr>
          <w:sz w:val="22"/>
          <w:szCs w:val="22"/>
        </w:rPr>
        <w:t xml:space="preserve"> The total number of expected labor hours multiplied by the total number of affected facilities provides the total labor burden of becoming familiar with the rule (Exhibit 6-1). </w:t>
      </w:r>
    </w:p>
    <w:p w:rsidR="00A46446" w:rsidRPr="001129EB" w:rsidRDefault="00A46446" w:rsidP="001129EB"/>
    <w:p w:rsidR="00A4791D" w:rsidRDefault="00BF6B91" w:rsidP="00A4791D">
      <w:pPr>
        <w:pStyle w:val="Caption"/>
        <w:keepNext/>
        <w:widowControl/>
        <w:spacing w:before="120" w:after="0"/>
        <w:jc w:val="center"/>
        <w:rPr>
          <w:b/>
          <w:i w:val="0"/>
          <w:color w:val="auto"/>
          <w:sz w:val="22"/>
          <w:szCs w:val="22"/>
        </w:rPr>
      </w:pPr>
      <w:r w:rsidRPr="00660897">
        <w:rPr>
          <w:b/>
          <w:i w:val="0"/>
          <w:color w:val="auto"/>
          <w:sz w:val="22"/>
          <w:szCs w:val="22"/>
        </w:rPr>
        <w:t>Exhibit 6-</w:t>
      </w:r>
      <w:r w:rsidR="00B83566">
        <w:rPr>
          <w:b/>
          <w:i w:val="0"/>
          <w:color w:val="auto"/>
          <w:sz w:val="22"/>
          <w:szCs w:val="22"/>
        </w:rPr>
        <w:t>1</w:t>
      </w:r>
      <w:r w:rsidRPr="00660897">
        <w:rPr>
          <w:b/>
          <w:i w:val="0"/>
          <w:color w:val="auto"/>
          <w:sz w:val="22"/>
          <w:szCs w:val="22"/>
        </w:rPr>
        <w:t xml:space="preserve">: </w:t>
      </w:r>
      <w:r w:rsidR="0017726F">
        <w:rPr>
          <w:b/>
          <w:i w:val="0"/>
          <w:color w:val="auto"/>
          <w:sz w:val="22"/>
          <w:szCs w:val="22"/>
        </w:rPr>
        <w:t>Proposed</w:t>
      </w:r>
      <w:r w:rsidR="0017726F" w:rsidRPr="00BF6B91">
        <w:rPr>
          <w:b/>
          <w:i w:val="0"/>
          <w:color w:val="auto"/>
          <w:sz w:val="22"/>
          <w:szCs w:val="22"/>
        </w:rPr>
        <w:t xml:space="preserve"> </w:t>
      </w:r>
      <w:r w:rsidRPr="00BF6B91">
        <w:rPr>
          <w:b/>
          <w:i w:val="0"/>
          <w:color w:val="auto"/>
          <w:sz w:val="22"/>
          <w:szCs w:val="22"/>
        </w:rPr>
        <w:t>Rule</w:t>
      </w:r>
      <w:r w:rsidRPr="00660897">
        <w:rPr>
          <w:b/>
          <w:i w:val="0"/>
          <w:color w:val="auto"/>
          <w:sz w:val="22"/>
          <w:szCs w:val="22"/>
        </w:rPr>
        <w:t xml:space="preserve"> </w:t>
      </w:r>
      <w:r w:rsidR="008D79B8">
        <w:rPr>
          <w:b/>
          <w:bCs/>
          <w:i w:val="0"/>
          <w:color w:val="auto"/>
          <w:sz w:val="22"/>
          <w:szCs w:val="22"/>
        </w:rPr>
        <w:t>Revisions</w:t>
      </w:r>
      <w:r w:rsidR="00A46446" w:rsidRPr="00A46446">
        <w:rPr>
          <w:b/>
          <w:bCs/>
          <w:i w:val="0"/>
          <w:color w:val="auto"/>
          <w:sz w:val="22"/>
          <w:szCs w:val="22"/>
        </w:rPr>
        <w:t xml:space="preserve"> </w:t>
      </w:r>
      <w:r w:rsidR="008D79B8">
        <w:rPr>
          <w:b/>
          <w:bCs/>
          <w:i w:val="0"/>
          <w:color w:val="auto"/>
          <w:sz w:val="22"/>
          <w:szCs w:val="22"/>
        </w:rPr>
        <w:t>to</w:t>
      </w:r>
      <w:r w:rsidR="00A46446" w:rsidRPr="00A46446">
        <w:rPr>
          <w:b/>
          <w:bCs/>
          <w:i w:val="0"/>
          <w:color w:val="auto"/>
          <w:sz w:val="22"/>
          <w:szCs w:val="22"/>
        </w:rPr>
        <w:t xml:space="preserve"> Criterion 4 of the </w:t>
      </w:r>
      <w:r w:rsidR="00B83566">
        <w:rPr>
          <w:b/>
          <w:bCs/>
          <w:i w:val="0"/>
          <w:color w:val="auto"/>
          <w:sz w:val="22"/>
          <w:szCs w:val="22"/>
        </w:rPr>
        <w:t>B</w:t>
      </w:r>
      <w:r w:rsidR="00A46446" w:rsidRPr="00A46446">
        <w:rPr>
          <w:b/>
          <w:bCs/>
          <w:i w:val="0"/>
          <w:color w:val="auto"/>
          <w:sz w:val="22"/>
          <w:szCs w:val="22"/>
        </w:rPr>
        <w:t xml:space="preserve">eneficial </w:t>
      </w:r>
      <w:r w:rsidR="00B83566">
        <w:rPr>
          <w:b/>
          <w:bCs/>
          <w:i w:val="0"/>
          <w:color w:val="auto"/>
          <w:sz w:val="22"/>
          <w:szCs w:val="22"/>
        </w:rPr>
        <w:t>U</w:t>
      </w:r>
      <w:r w:rsidR="00A46446" w:rsidRPr="00A46446">
        <w:rPr>
          <w:b/>
          <w:bCs/>
          <w:i w:val="0"/>
          <w:color w:val="auto"/>
          <w:sz w:val="22"/>
          <w:szCs w:val="22"/>
        </w:rPr>
        <w:t xml:space="preserve">se </w:t>
      </w:r>
      <w:r w:rsidR="00B83566">
        <w:rPr>
          <w:b/>
          <w:bCs/>
          <w:i w:val="0"/>
          <w:color w:val="auto"/>
          <w:sz w:val="22"/>
          <w:szCs w:val="22"/>
        </w:rPr>
        <w:t>D</w:t>
      </w:r>
      <w:r w:rsidR="00A46446" w:rsidRPr="00A46446">
        <w:rPr>
          <w:b/>
          <w:bCs/>
          <w:i w:val="0"/>
          <w:color w:val="auto"/>
          <w:sz w:val="22"/>
          <w:szCs w:val="22"/>
        </w:rPr>
        <w:t>efinition at 40 CFR 257.73</w:t>
      </w:r>
    </w:p>
    <w:p w:rsidR="00BF6B91" w:rsidRPr="009F08FE" w:rsidRDefault="00A4791D" w:rsidP="00A4791D">
      <w:pPr>
        <w:pStyle w:val="Caption"/>
        <w:keepNext/>
        <w:widowControl/>
        <w:spacing w:before="120" w:after="0"/>
        <w:jc w:val="center"/>
        <w:rPr>
          <w:b/>
          <w:i w:val="0"/>
          <w:color w:val="auto"/>
          <w:sz w:val="22"/>
          <w:szCs w:val="22"/>
        </w:rPr>
      </w:pPr>
      <w:r w:rsidRPr="006B3E2C">
        <w:rPr>
          <w:b/>
          <w:bCs/>
          <w:i w:val="0"/>
          <w:color w:val="auto"/>
          <w:sz w:val="22"/>
          <w:szCs w:val="22"/>
        </w:rPr>
        <w:t>(</w:t>
      </w:r>
      <w:r w:rsidR="00B31C22">
        <w:rPr>
          <w:b/>
          <w:bCs/>
          <w:i w:val="0"/>
          <w:color w:val="auto"/>
          <w:sz w:val="22"/>
          <w:szCs w:val="22"/>
        </w:rPr>
        <w:t xml:space="preserve">Annual </w:t>
      </w:r>
      <w:r w:rsidRPr="006B3E2C">
        <w:rPr>
          <w:b/>
          <w:bCs/>
          <w:i w:val="0"/>
          <w:color w:val="auto"/>
          <w:sz w:val="22"/>
          <w:szCs w:val="22"/>
        </w:rPr>
        <w:t>Burden in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060"/>
        <w:gridCol w:w="742"/>
        <w:gridCol w:w="704"/>
        <w:gridCol w:w="736"/>
        <w:gridCol w:w="990"/>
        <w:gridCol w:w="900"/>
        <w:gridCol w:w="1008"/>
      </w:tblGrid>
      <w:tr w:rsidR="00BF6B91" w:rsidRPr="00ED0CA9" w:rsidTr="006B3E2C">
        <w:trPr>
          <w:trHeight w:val="1061"/>
          <w:tblHeader/>
        </w:trPr>
        <w:tc>
          <w:tcPr>
            <w:tcW w:w="3436" w:type="dxa"/>
            <w:shd w:val="clear" w:color="auto" w:fill="auto"/>
            <w:vAlign w:val="center"/>
            <w:hideMark/>
          </w:tcPr>
          <w:p w:rsidR="00BF6B91" w:rsidRPr="00676481" w:rsidRDefault="00BF6B91" w:rsidP="00676481">
            <w:pPr>
              <w:widowControl/>
              <w:adjustRightInd/>
              <w:rPr>
                <w:b/>
                <w:bCs/>
                <w:color w:val="000000"/>
                <w:sz w:val="20"/>
                <w:szCs w:val="20"/>
              </w:rPr>
            </w:pPr>
            <w:r w:rsidRPr="00676481">
              <w:rPr>
                <w:b/>
                <w:bCs/>
                <w:color w:val="000000"/>
                <w:sz w:val="20"/>
                <w:szCs w:val="20"/>
              </w:rPr>
              <w:t>Activity</w:t>
            </w:r>
          </w:p>
        </w:tc>
        <w:tc>
          <w:tcPr>
            <w:tcW w:w="1060"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Number of Respon. Activities</w:t>
            </w:r>
          </w:p>
        </w:tc>
        <w:tc>
          <w:tcPr>
            <w:tcW w:w="742"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Legal</w:t>
            </w:r>
          </w:p>
        </w:tc>
        <w:tc>
          <w:tcPr>
            <w:tcW w:w="704"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Mgr.</w:t>
            </w:r>
          </w:p>
        </w:tc>
        <w:tc>
          <w:tcPr>
            <w:tcW w:w="736"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Tech.</w:t>
            </w:r>
          </w:p>
        </w:tc>
        <w:tc>
          <w:tcPr>
            <w:tcW w:w="990"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Clerical</w:t>
            </w:r>
          </w:p>
        </w:tc>
        <w:tc>
          <w:tcPr>
            <w:tcW w:w="900"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Hours Per Activity</w:t>
            </w:r>
          </w:p>
        </w:tc>
        <w:tc>
          <w:tcPr>
            <w:tcW w:w="1008"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Total Labor Burden</w:t>
            </w:r>
          </w:p>
        </w:tc>
      </w:tr>
      <w:tr w:rsidR="00BF6B91" w:rsidRPr="00ED0CA9" w:rsidTr="006B3E2C">
        <w:trPr>
          <w:trHeight w:val="315"/>
          <w:tblHeader/>
        </w:trPr>
        <w:tc>
          <w:tcPr>
            <w:tcW w:w="9576" w:type="dxa"/>
            <w:gridSpan w:val="8"/>
            <w:shd w:val="clear" w:color="auto" w:fill="auto"/>
            <w:vAlign w:val="center"/>
          </w:tcPr>
          <w:p w:rsidR="00BF6B91" w:rsidRPr="00ED0CA9" w:rsidRDefault="00B31C22" w:rsidP="00676481">
            <w:pPr>
              <w:widowControl/>
              <w:rPr>
                <w:sz w:val="18"/>
                <w:szCs w:val="18"/>
                <w:highlight w:val="yellow"/>
              </w:rPr>
            </w:pPr>
            <w:r w:rsidRPr="00B31C22">
              <w:rPr>
                <w:b/>
                <w:bCs/>
                <w:color w:val="000000"/>
                <w:sz w:val="20"/>
                <w:szCs w:val="20"/>
              </w:rPr>
              <w:t xml:space="preserve">Beneficial use of CCR </w:t>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r w:rsidRPr="00B31C22">
              <w:rPr>
                <w:b/>
                <w:bCs/>
                <w:color w:val="000000"/>
                <w:sz w:val="20"/>
                <w:szCs w:val="20"/>
              </w:rPr>
              <w:tab/>
            </w:r>
          </w:p>
        </w:tc>
      </w:tr>
      <w:tr w:rsidR="00B83566" w:rsidRPr="00ED0CA9" w:rsidTr="001129EB">
        <w:trPr>
          <w:trHeight w:val="315"/>
        </w:trPr>
        <w:tc>
          <w:tcPr>
            <w:tcW w:w="3436" w:type="dxa"/>
            <w:shd w:val="clear" w:color="auto" w:fill="auto"/>
            <w:vAlign w:val="center"/>
          </w:tcPr>
          <w:p w:rsidR="00B83566" w:rsidRPr="00A50E07" w:rsidRDefault="00B83566" w:rsidP="00B83566">
            <w:pPr>
              <w:rPr>
                <w:sz w:val="16"/>
                <w:szCs w:val="16"/>
              </w:rPr>
            </w:pPr>
            <w:r>
              <w:rPr>
                <w:sz w:val="16"/>
                <w:szCs w:val="16"/>
              </w:rPr>
              <w:t>Location-Based Standard Investigation Costs (</w:t>
            </w:r>
            <w:r>
              <w:rPr>
                <w:b/>
                <w:bCs/>
                <w:sz w:val="16"/>
                <w:szCs w:val="16"/>
                <w:u w:val="single"/>
              </w:rPr>
              <w:t>annual</w:t>
            </w:r>
            <w:r>
              <w:rPr>
                <w:sz w:val="16"/>
                <w:szCs w:val="16"/>
              </w:rPr>
              <w:t>)</w:t>
            </w:r>
          </w:p>
        </w:tc>
        <w:tc>
          <w:tcPr>
            <w:tcW w:w="1060" w:type="dxa"/>
            <w:shd w:val="clear" w:color="auto" w:fill="auto"/>
            <w:noWrap/>
            <w:vAlign w:val="center"/>
          </w:tcPr>
          <w:p w:rsidR="00B83566" w:rsidRPr="00ED0CA9" w:rsidRDefault="00B83566">
            <w:pPr>
              <w:widowControl/>
              <w:jc w:val="center"/>
              <w:rPr>
                <w:sz w:val="18"/>
                <w:szCs w:val="18"/>
                <w:highlight w:val="yellow"/>
              </w:rPr>
            </w:pPr>
            <w:r>
              <w:rPr>
                <w:sz w:val="16"/>
                <w:szCs w:val="16"/>
              </w:rPr>
              <w:t xml:space="preserve">2,360 </w:t>
            </w:r>
          </w:p>
        </w:tc>
        <w:tc>
          <w:tcPr>
            <w:tcW w:w="742"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0.00</w:t>
            </w:r>
          </w:p>
        </w:tc>
        <w:tc>
          <w:tcPr>
            <w:tcW w:w="704"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0.25</w:t>
            </w:r>
          </w:p>
        </w:tc>
        <w:tc>
          <w:tcPr>
            <w:tcW w:w="736"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1.00</w:t>
            </w:r>
          </w:p>
        </w:tc>
        <w:tc>
          <w:tcPr>
            <w:tcW w:w="990"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0.75</w:t>
            </w:r>
          </w:p>
        </w:tc>
        <w:tc>
          <w:tcPr>
            <w:tcW w:w="900"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2.00</w:t>
            </w:r>
          </w:p>
        </w:tc>
        <w:tc>
          <w:tcPr>
            <w:tcW w:w="1008"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4,720.00</w:t>
            </w:r>
          </w:p>
        </w:tc>
      </w:tr>
      <w:tr w:rsidR="00B83566" w:rsidRPr="00ED0CA9" w:rsidTr="001129EB">
        <w:trPr>
          <w:trHeight w:val="315"/>
        </w:trPr>
        <w:tc>
          <w:tcPr>
            <w:tcW w:w="3436" w:type="dxa"/>
            <w:shd w:val="clear" w:color="auto" w:fill="auto"/>
            <w:vAlign w:val="center"/>
          </w:tcPr>
          <w:p w:rsidR="00B83566" w:rsidRPr="00ED0CA9" w:rsidRDefault="00B83566" w:rsidP="00B83566">
            <w:pPr>
              <w:widowControl/>
              <w:rPr>
                <w:sz w:val="18"/>
                <w:szCs w:val="18"/>
              </w:rPr>
            </w:pPr>
            <w:r>
              <w:rPr>
                <w:sz w:val="16"/>
                <w:szCs w:val="16"/>
              </w:rPr>
              <w:t xml:space="preserve">Criterion 4 Demonstration </w:t>
            </w:r>
            <w:r>
              <w:rPr>
                <w:b/>
                <w:bCs/>
                <w:sz w:val="16"/>
                <w:szCs w:val="16"/>
                <w:u w:val="single"/>
              </w:rPr>
              <w:t>(annual)</w:t>
            </w:r>
          </w:p>
        </w:tc>
        <w:tc>
          <w:tcPr>
            <w:tcW w:w="1060" w:type="dxa"/>
            <w:shd w:val="clear" w:color="auto" w:fill="auto"/>
            <w:noWrap/>
            <w:vAlign w:val="center"/>
          </w:tcPr>
          <w:p w:rsidR="00B83566" w:rsidRPr="00ED0CA9" w:rsidRDefault="00B83566">
            <w:pPr>
              <w:widowControl/>
              <w:jc w:val="center"/>
              <w:rPr>
                <w:sz w:val="18"/>
                <w:szCs w:val="18"/>
                <w:highlight w:val="yellow"/>
              </w:rPr>
            </w:pPr>
            <w:r>
              <w:rPr>
                <w:sz w:val="16"/>
                <w:szCs w:val="16"/>
              </w:rPr>
              <w:t xml:space="preserve">28 </w:t>
            </w:r>
          </w:p>
        </w:tc>
        <w:tc>
          <w:tcPr>
            <w:tcW w:w="742"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2.00</w:t>
            </w:r>
          </w:p>
        </w:tc>
        <w:tc>
          <w:tcPr>
            <w:tcW w:w="704"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2.00</w:t>
            </w:r>
          </w:p>
        </w:tc>
        <w:tc>
          <w:tcPr>
            <w:tcW w:w="736"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35.00</w:t>
            </w:r>
          </w:p>
        </w:tc>
        <w:tc>
          <w:tcPr>
            <w:tcW w:w="990"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1.00</w:t>
            </w:r>
          </w:p>
        </w:tc>
        <w:tc>
          <w:tcPr>
            <w:tcW w:w="900"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40.00</w:t>
            </w:r>
          </w:p>
        </w:tc>
        <w:tc>
          <w:tcPr>
            <w:tcW w:w="1008" w:type="dxa"/>
            <w:shd w:val="clear" w:color="auto" w:fill="auto"/>
            <w:noWrap/>
            <w:vAlign w:val="center"/>
          </w:tcPr>
          <w:p w:rsidR="00B83566" w:rsidRPr="00ED0CA9" w:rsidRDefault="00B83566" w:rsidP="00B83566">
            <w:pPr>
              <w:widowControl/>
              <w:jc w:val="right"/>
              <w:rPr>
                <w:sz w:val="18"/>
                <w:szCs w:val="18"/>
                <w:highlight w:val="yellow"/>
              </w:rPr>
            </w:pPr>
            <w:r>
              <w:rPr>
                <w:sz w:val="16"/>
                <w:szCs w:val="16"/>
              </w:rPr>
              <w:t>1,104.48</w:t>
            </w:r>
          </w:p>
        </w:tc>
      </w:tr>
      <w:tr w:rsidR="00B83566" w:rsidRPr="00ED0CA9" w:rsidTr="001129EB">
        <w:trPr>
          <w:trHeight w:val="315"/>
        </w:trPr>
        <w:tc>
          <w:tcPr>
            <w:tcW w:w="3436" w:type="dxa"/>
            <w:shd w:val="clear" w:color="auto" w:fill="auto"/>
            <w:vAlign w:val="center"/>
          </w:tcPr>
          <w:p w:rsidR="00B83566" w:rsidRPr="001129EB" w:rsidRDefault="00B83566" w:rsidP="001129EB">
            <w:pPr>
              <w:widowControl/>
              <w:adjustRightInd/>
              <w:rPr>
                <w:sz w:val="16"/>
                <w:szCs w:val="16"/>
              </w:rPr>
            </w:pPr>
            <w:r>
              <w:rPr>
                <w:sz w:val="16"/>
                <w:szCs w:val="16"/>
              </w:rPr>
              <w:t xml:space="preserve">Read the regulations </w:t>
            </w:r>
            <w:r>
              <w:rPr>
                <w:b/>
                <w:bCs/>
                <w:sz w:val="16"/>
                <w:szCs w:val="16"/>
                <w:u w:val="single"/>
              </w:rPr>
              <w:t>(one-time)</w:t>
            </w:r>
          </w:p>
        </w:tc>
        <w:tc>
          <w:tcPr>
            <w:tcW w:w="1060" w:type="dxa"/>
            <w:shd w:val="clear" w:color="auto" w:fill="auto"/>
            <w:noWrap/>
            <w:vAlign w:val="center"/>
          </w:tcPr>
          <w:p w:rsidR="00B83566" w:rsidRDefault="00B83566">
            <w:pPr>
              <w:widowControl/>
              <w:jc w:val="center"/>
              <w:rPr>
                <w:sz w:val="16"/>
                <w:szCs w:val="16"/>
              </w:rPr>
            </w:pPr>
            <w:r>
              <w:rPr>
                <w:sz w:val="16"/>
                <w:szCs w:val="16"/>
              </w:rPr>
              <w:t>345</w:t>
            </w:r>
          </w:p>
        </w:tc>
        <w:tc>
          <w:tcPr>
            <w:tcW w:w="742" w:type="dxa"/>
            <w:shd w:val="clear" w:color="auto" w:fill="auto"/>
            <w:noWrap/>
            <w:vAlign w:val="center"/>
          </w:tcPr>
          <w:p w:rsidR="00B83566" w:rsidRDefault="00B83566" w:rsidP="00B83566">
            <w:pPr>
              <w:widowControl/>
              <w:jc w:val="right"/>
              <w:rPr>
                <w:sz w:val="16"/>
                <w:szCs w:val="16"/>
              </w:rPr>
            </w:pPr>
            <w:r>
              <w:rPr>
                <w:sz w:val="16"/>
                <w:szCs w:val="16"/>
              </w:rPr>
              <w:t>0.00</w:t>
            </w:r>
          </w:p>
        </w:tc>
        <w:tc>
          <w:tcPr>
            <w:tcW w:w="704" w:type="dxa"/>
            <w:shd w:val="clear" w:color="auto" w:fill="auto"/>
            <w:noWrap/>
            <w:vAlign w:val="center"/>
          </w:tcPr>
          <w:p w:rsidR="00B83566" w:rsidRDefault="00B83566" w:rsidP="00B83566">
            <w:pPr>
              <w:widowControl/>
              <w:jc w:val="right"/>
              <w:rPr>
                <w:sz w:val="16"/>
                <w:szCs w:val="16"/>
              </w:rPr>
            </w:pPr>
            <w:r>
              <w:rPr>
                <w:sz w:val="16"/>
                <w:szCs w:val="16"/>
              </w:rPr>
              <w:t>0.50</w:t>
            </w:r>
          </w:p>
        </w:tc>
        <w:tc>
          <w:tcPr>
            <w:tcW w:w="736" w:type="dxa"/>
            <w:shd w:val="clear" w:color="auto" w:fill="auto"/>
            <w:noWrap/>
            <w:vAlign w:val="center"/>
          </w:tcPr>
          <w:p w:rsidR="00B83566" w:rsidRDefault="00B83566" w:rsidP="00B83566">
            <w:pPr>
              <w:widowControl/>
              <w:jc w:val="right"/>
              <w:rPr>
                <w:sz w:val="16"/>
                <w:szCs w:val="16"/>
              </w:rPr>
            </w:pPr>
            <w:r>
              <w:rPr>
                <w:sz w:val="16"/>
                <w:szCs w:val="16"/>
              </w:rPr>
              <w:t>0.50</w:t>
            </w:r>
          </w:p>
        </w:tc>
        <w:tc>
          <w:tcPr>
            <w:tcW w:w="990" w:type="dxa"/>
            <w:shd w:val="clear" w:color="auto" w:fill="auto"/>
            <w:noWrap/>
            <w:vAlign w:val="center"/>
          </w:tcPr>
          <w:p w:rsidR="00B83566" w:rsidRDefault="00B83566" w:rsidP="00B83566">
            <w:pPr>
              <w:widowControl/>
              <w:jc w:val="right"/>
              <w:rPr>
                <w:sz w:val="16"/>
                <w:szCs w:val="16"/>
              </w:rPr>
            </w:pPr>
            <w:r>
              <w:rPr>
                <w:sz w:val="16"/>
                <w:szCs w:val="16"/>
              </w:rPr>
              <w:t>0.00</w:t>
            </w:r>
          </w:p>
        </w:tc>
        <w:tc>
          <w:tcPr>
            <w:tcW w:w="900" w:type="dxa"/>
            <w:shd w:val="clear" w:color="auto" w:fill="auto"/>
            <w:noWrap/>
            <w:vAlign w:val="center"/>
          </w:tcPr>
          <w:p w:rsidR="00B83566" w:rsidRDefault="00B83566" w:rsidP="00B83566">
            <w:pPr>
              <w:widowControl/>
              <w:jc w:val="right"/>
              <w:rPr>
                <w:sz w:val="16"/>
                <w:szCs w:val="16"/>
              </w:rPr>
            </w:pPr>
            <w:r>
              <w:rPr>
                <w:sz w:val="16"/>
                <w:szCs w:val="16"/>
              </w:rPr>
              <w:t>1.00</w:t>
            </w:r>
          </w:p>
        </w:tc>
        <w:tc>
          <w:tcPr>
            <w:tcW w:w="1008" w:type="dxa"/>
            <w:shd w:val="clear" w:color="auto" w:fill="auto"/>
            <w:noWrap/>
            <w:vAlign w:val="center"/>
          </w:tcPr>
          <w:p w:rsidR="00B83566" w:rsidRDefault="00B83566" w:rsidP="00B83566">
            <w:pPr>
              <w:widowControl/>
              <w:jc w:val="right"/>
              <w:rPr>
                <w:sz w:val="16"/>
                <w:szCs w:val="16"/>
              </w:rPr>
            </w:pPr>
            <w:r>
              <w:rPr>
                <w:sz w:val="16"/>
                <w:szCs w:val="16"/>
              </w:rPr>
              <w:t>345.34</w:t>
            </w:r>
          </w:p>
        </w:tc>
      </w:tr>
      <w:tr w:rsidR="003F23CF" w:rsidRPr="00ED0CA9" w:rsidTr="006B3E2C">
        <w:trPr>
          <w:trHeight w:val="440"/>
        </w:trPr>
        <w:tc>
          <w:tcPr>
            <w:tcW w:w="8568" w:type="dxa"/>
            <w:gridSpan w:val="7"/>
            <w:shd w:val="clear" w:color="auto" w:fill="auto"/>
            <w:vAlign w:val="center"/>
            <w:hideMark/>
          </w:tcPr>
          <w:p w:rsidR="003F23CF" w:rsidRPr="00ED0CA9" w:rsidRDefault="003F23CF" w:rsidP="00987434">
            <w:pPr>
              <w:widowControl/>
              <w:adjustRightInd/>
              <w:rPr>
                <w:b/>
                <w:bCs/>
                <w:color w:val="000000"/>
                <w:sz w:val="20"/>
                <w:szCs w:val="20"/>
                <w:highlight w:val="yellow"/>
              </w:rPr>
            </w:pPr>
            <w:r w:rsidRPr="00676481">
              <w:rPr>
                <w:b/>
                <w:bCs/>
                <w:color w:val="000000"/>
                <w:sz w:val="20"/>
                <w:szCs w:val="20"/>
              </w:rPr>
              <w:t>Total Burden Hours</w:t>
            </w:r>
          </w:p>
        </w:tc>
        <w:tc>
          <w:tcPr>
            <w:tcW w:w="1008" w:type="dxa"/>
            <w:shd w:val="clear" w:color="auto" w:fill="auto"/>
            <w:noWrap/>
            <w:vAlign w:val="center"/>
          </w:tcPr>
          <w:p w:rsidR="003F23CF" w:rsidRDefault="003F23CF" w:rsidP="001129EB">
            <w:pPr>
              <w:widowControl/>
              <w:jc w:val="right"/>
              <w:rPr>
                <w:rFonts w:asciiTheme="minorHAnsi" w:eastAsiaTheme="minorHAnsi" w:hAnsiTheme="minorHAnsi" w:cstheme="minorBidi"/>
                <w:sz w:val="22"/>
                <w:szCs w:val="22"/>
              </w:rPr>
            </w:pPr>
            <w:r>
              <w:rPr>
                <w:highlight w:val="yellow"/>
              </w:rPr>
              <w:fldChar w:fldCharType="begin"/>
            </w:r>
            <w:r>
              <w:rPr>
                <w:highlight w:val="yellow"/>
              </w:rPr>
              <w:instrText xml:space="preserve"> LINK Excel.Sheet.12 "\\\\iec-fs02n\\ustore1\\Share\\ERAS 2012-2017\\Option Year 4\\4-34\\ICR\\Phase One RIA update\\Phase One CCR Remand ICR (6.1.18).xlsx" "Exhibit 10 (Phase One Remand)!R90C12" \a \f 4 \h </w:instrText>
            </w:r>
            <w:r w:rsidR="00B83566">
              <w:rPr>
                <w:highlight w:val="yellow"/>
              </w:rPr>
              <w:instrText xml:space="preserve"> \* MERGEFORMAT </w:instrText>
            </w:r>
            <w:r>
              <w:rPr>
                <w:highlight w:val="yellow"/>
              </w:rPr>
              <w:fldChar w:fldCharType="separate"/>
            </w:r>
          </w:p>
          <w:p w:rsidR="00B83566" w:rsidRDefault="00B83566" w:rsidP="001129EB">
            <w:pPr>
              <w:widowControl/>
              <w:adjustRightInd/>
              <w:jc w:val="right"/>
              <w:rPr>
                <w:b/>
                <w:bCs/>
                <w:sz w:val="16"/>
                <w:szCs w:val="16"/>
              </w:rPr>
            </w:pPr>
            <w:r w:rsidRPr="00B83566">
              <w:rPr>
                <w:b/>
                <w:bCs/>
                <w:sz w:val="16"/>
                <w:szCs w:val="16"/>
              </w:rPr>
              <w:t>6,169.82</w:t>
            </w:r>
          </w:p>
          <w:p w:rsidR="003F23CF" w:rsidRPr="00ED0CA9" w:rsidRDefault="003F23CF" w:rsidP="001129EB">
            <w:pPr>
              <w:widowControl/>
              <w:rPr>
                <w:b/>
                <w:bCs/>
                <w:sz w:val="20"/>
                <w:szCs w:val="20"/>
                <w:highlight w:val="yellow"/>
              </w:rPr>
            </w:pPr>
            <w:r>
              <w:rPr>
                <w:b/>
                <w:bCs/>
                <w:sz w:val="20"/>
                <w:szCs w:val="20"/>
                <w:highlight w:val="yellow"/>
              </w:rPr>
              <w:fldChar w:fldCharType="end"/>
            </w:r>
          </w:p>
        </w:tc>
      </w:tr>
    </w:tbl>
    <w:p w:rsidR="00314564" w:rsidRDefault="00314564">
      <w:pPr>
        <w:widowControl/>
        <w:adjustRightInd/>
        <w:spacing w:after="160" w:line="259" w:lineRule="auto"/>
        <w:rPr>
          <w:b/>
          <w:bCs/>
          <w:i/>
          <w:sz w:val="22"/>
          <w:szCs w:val="22"/>
        </w:rPr>
      </w:pPr>
    </w:p>
    <w:p w:rsidR="00B83566" w:rsidRPr="00B83566" w:rsidRDefault="006C71EC" w:rsidP="00B83566">
      <w:pPr>
        <w:widowControl/>
        <w:spacing w:before="240" w:after="120"/>
        <w:rPr>
          <w:b/>
          <w:bCs/>
          <w:i/>
          <w:sz w:val="22"/>
          <w:szCs w:val="22"/>
        </w:rPr>
      </w:pPr>
      <w:r w:rsidRPr="005F4E03">
        <w:rPr>
          <w:b/>
          <w:bCs/>
          <w:i/>
          <w:sz w:val="22"/>
          <w:szCs w:val="22"/>
        </w:rPr>
        <w:t xml:space="preserve">Respondent Burden </w:t>
      </w:r>
      <w:r w:rsidR="00B31C22">
        <w:rPr>
          <w:b/>
          <w:bCs/>
          <w:i/>
          <w:sz w:val="22"/>
          <w:szCs w:val="22"/>
        </w:rPr>
        <w:t xml:space="preserve">Change </w:t>
      </w:r>
      <w:r w:rsidR="00B83566">
        <w:rPr>
          <w:b/>
          <w:bCs/>
          <w:i/>
          <w:sz w:val="22"/>
          <w:szCs w:val="22"/>
        </w:rPr>
        <w:t>for Coal-fired Utilities:</w:t>
      </w:r>
      <w:r w:rsidR="00B83566" w:rsidRPr="00B83566">
        <w:rPr>
          <w:i/>
          <w:sz w:val="22"/>
          <w:szCs w:val="22"/>
        </w:rPr>
        <w:t xml:space="preserve"> </w:t>
      </w:r>
      <w:r w:rsidR="00B83566" w:rsidRPr="00B83566">
        <w:rPr>
          <w:b/>
          <w:bCs/>
          <w:i/>
          <w:sz w:val="22"/>
          <w:szCs w:val="22"/>
        </w:rPr>
        <w:t>Revise annual groundwater monitoring and corrective action report requirements</w:t>
      </w:r>
    </w:p>
    <w:p w:rsidR="00B83566" w:rsidRDefault="00B83566" w:rsidP="00B83566">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Under </w:t>
      </w:r>
      <w:r>
        <w:rPr>
          <w:sz w:val="22"/>
          <w:szCs w:val="22"/>
        </w:rPr>
        <w:t xml:space="preserve">the Proposed Rule, EPA is proposing requiring an additional information summary to the annually-required groundwater monitoring and corrective action report. </w:t>
      </w:r>
      <w:r w:rsidR="00B31C22">
        <w:rPr>
          <w:sz w:val="22"/>
          <w:szCs w:val="22"/>
        </w:rPr>
        <w:t>EPA assumes that this will require a one-time activity of two hours to update the reports, and an a additional burden of 1.5 hours annually to continue to update the reports, as shown in Exhibit 6-2.</w:t>
      </w:r>
      <w:r>
        <w:rPr>
          <w:sz w:val="22"/>
          <w:szCs w:val="22"/>
        </w:rPr>
        <w:t xml:space="preserve"> </w:t>
      </w:r>
    </w:p>
    <w:p w:rsidR="004633F1" w:rsidRDefault="004633F1" w:rsidP="0087774F">
      <w:pPr>
        <w:pStyle w:val="Caption"/>
        <w:keepNext/>
        <w:widowControl/>
        <w:spacing w:before="120" w:after="0"/>
        <w:jc w:val="center"/>
        <w:rPr>
          <w:b/>
          <w:i w:val="0"/>
          <w:color w:val="auto"/>
          <w:sz w:val="22"/>
          <w:szCs w:val="22"/>
        </w:rPr>
      </w:pPr>
    </w:p>
    <w:p w:rsidR="0087774F" w:rsidRDefault="0087774F" w:rsidP="0087774F">
      <w:pPr>
        <w:pStyle w:val="Caption"/>
        <w:keepNext/>
        <w:widowControl/>
        <w:spacing w:before="120" w:after="0"/>
        <w:jc w:val="center"/>
        <w:rPr>
          <w:b/>
          <w:i w:val="0"/>
          <w:color w:val="auto"/>
          <w:sz w:val="22"/>
          <w:szCs w:val="22"/>
        </w:rPr>
      </w:pPr>
      <w:r w:rsidRPr="00660897">
        <w:rPr>
          <w:b/>
          <w:i w:val="0"/>
          <w:color w:val="auto"/>
          <w:sz w:val="22"/>
          <w:szCs w:val="22"/>
        </w:rPr>
        <w:t>Exhibit 6-</w:t>
      </w:r>
      <w:r>
        <w:rPr>
          <w:b/>
          <w:i w:val="0"/>
          <w:color w:val="auto"/>
          <w:sz w:val="22"/>
          <w:szCs w:val="22"/>
        </w:rPr>
        <w:t>2</w:t>
      </w:r>
      <w:r w:rsidRPr="00660897">
        <w:rPr>
          <w:b/>
          <w:i w:val="0"/>
          <w:color w:val="auto"/>
          <w:sz w:val="22"/>
          <w:szCs w:val="22"/>
        </w:rPr>
        <w:t xml:space="preserve">: </w:t>
      </w:r>
      <w:r>
        <w:rPr>
          <w:b/>
          <w:i w:val="0"/>
          <w:color w:val="auto"/>
          <w:sz w:val="22"/>
          <w:szCs w:val="22"/>
        </w:rPr>
        <w:t>Proposed</w:t>
      </w:r>
      <w:r w:rsidRPr="00BF6B91">
        <w:rPr>
          <w:b/>
          <w:i w:val="0"/>
          <w:color w:val="auto"/>
          <w:sz w:val="22"/>
          <w:szCs w:val="22"/>
        </w:rPr>
        <w:t xml:space="preserve"> Rule</w:t>
      </w:r>
      <w:r w:rsidRPr="00660897">
        <w:rPr>
          <w:b/>
          <w:i w:val="0"/>
          <w:color w:val="auto"/>
          <w:sz w:val="22"/>
          <w:szCs w:val="22"/>
        </w:rPr>
        <w:t xml:space="preserve"> </w:t>
      </w:r>
      <w:r>
        <w:rPr>
          <w:b/>
          <w:bCs/>
          <w:i w:val="0"/>
          <w:color w:val="auto"/>
          <w:sz w:val="22"/>
          <w:szCs w:val="22"/>
        </w:rPr>
        <w:t>Revisions to annual groundwater monitoring and corrective action report requirements</w:t>
      </w:r>
    </w:p>
    <w:p w:rsidR="0087774F" w:rsidRPr="009F08FE" w:rsidRDefault="0087774F" w:rsidP="0087774F">
      <w:pPr>
        <w:pStyle w:val="Caption"/>
        <w:keepNext/>
        <w:widowControl/>
        <w:spacing w:before="120" w:after="0"/>
        <w:jc w:val="center"/>
        <w:rPr>
          <w:b/>
          <w:i w:val="0"/>
          <w:color w:val="auto"/>
          <w:sz w:val="22"/>
          <w:szCs w:val="22"/>
        </w:rPr>
      </w:pPr>
      <w:r w:rsidRPr="006B3E2C">
        <w:rPr>
          <w:b/>
          <w:bCs/>
          <w:i w:val="0"/>
          <w:color w:val="auto"/>
          <w:sz w:val="22"/>
          <w:szCs w:val="22"/>
        </w:rPr>
        <w:t>(</w:t>
      </w:r>
      <w:r>
        <w:rPr>
          <w:b/>
          <w:bCs/>
          <w:i w:val="0"/>
          <w:color w:val="auto"/>
          <w:sz w:val="22"/>
          <w:szCs w:val="22"/>
        </w:rPr>
        <w:t xml:space="preserve">Annual </w:t>
      </w:r>
      <w:r w:rsidRPr="006B3E2C">
        <w:rPr>
          <w:b/>
          <w:bCs/>
          <w:i w:val="0"/>
          <w:color w:val="auto"/>
          <w:sz w:val="22"/>
          <w:szCs w:val="22"/>
        </w:rPr>
        <w:t>Burden in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060"/>
        <w:gridCol w:w="742"/>
        <w:gridCol w:w="704"/>
        <w:gridCol w:w="736"/>
        <w:gridCol w:w="990"/>
        <w:gridCol w:w="900"/>
        <w:gridCol w:w="1008"/>
      </w:tblGrid>
      <w:tr w:rsidR="0087774F" w:rsidRPr="00ED0CA9" w:rsidTr="008D79B8">
        <w:trPr>
          <w:trHeight w:val="1061"/>
          <w:tblHeader/>
        </w:trPr>
        <w:tc>
          <w:tcPr>
            <w:tcW w:w="3436" w:type="dxa"/>
            <w:shd w:val="clear" w:color="auto" w:fill="auto"/>
            <w:vAlign w:val="center"/>
            <w:hideMark/>
          </w:tcPr>
          <w:p w:rsidR="0087774F" w:rsidRPr="00676481" w:rsidRDefault="0087774F" w:rsidP="008D79B8">
            <w:pPr>
              <w:widowControl/>
              <w:adjustRightInd/>
              <w:rPr>
                <w:b/>
                <w:bCs/>
                <w:color w:val="000000"/>
                <w:sz w:val="20"/>
                <w:szCs w:val="20"/>
              </w:rPr>
            </w:pPr>
            <w:r w:rsidRPr="00676481">
              <w:rPr>
                <w:b/>
                <w:bCs/>
                <w:color w:val="000000"/>
                <w:sz w:val="20"/>
                <w:szCs w:val="20"/>
              </w:rPr>
              <w:t>Activity</w:t>
            </w:r>
          </w:p>
        </w:tc>
        <w:tc>
          <w:tcPr>
            <w:tcW w:w="1060"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Number of Respon. Activities</w:t>
            </w:r>
          </w:p>
        </w:tc>
        <w:tc>
          <w:tcPr>
            <w:tcW w:w="742"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Legal</w:t>
            </w:r>
          </w:p>
        </w:tc>
        <w:tc>
          <w:tcPr>
            <w:tcW w:w="704"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Mgr.</w:t>
            </w:r>
          </w:p>
        </w:tc>
        <w:tc>
          <w:tcPr>
            <w:tcW w:w="736"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Tech.</w:t>
            </w:r>
          </w:p>
        </w:tc>
        <w:tc>
          <w:tcPr>
            <w:tcW w:w="990"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Clerical</w:t>
            </w:r>
          </w:p>
        </w:tc>
        <w:tc>
          <w:tcPr>
            <w:tcW w:w="900"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Hours Per Activity</w:t>
            </w:r>
          </w:p>
        </w:tc>
        <w:tc>
          <w:tcPr>
            <w:tcW w:w="1008"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Total Labor Burden</w:t>
            </w:r>
          </w:p>
        </w:tc>
      </w:tr>
      <w:tr w:rsidR="0087774F" w:rsidRPr="00ED0CA9" w:rsidTr="008D79B8">
        <w:trPr>
          <w:trHeight w:val="315"/>
          <w:tblHeader/>
        </w:trPr>
        <w:tc>
          <w:tcPr>
            <w:tcW w:w="9576" w:type="dxa"/>
            <w:gridSpan w:val="8"/>
            <w:shd w:val="clear" w:color="auto" w:fill="auto"/>
            <w:vAlign w:val="center"/>
          </w:tcPr>
          <w:p w:rsidR="0087774F" w:rsidRPr="00ED0CA9" w:rsidRDefault="0087774F" w:rsidP="008D79B8">
            <w:pPr>
              <w:widowControl/>
              <w:rPr>
                <w:sz w:val="18"/>
                <w:szCs w:val="18"/>
                <w:highlight w:val="yellow"/>
              </w:rPr>
            </w:pPr>
            <w:r w:rsidRPr="0087774F">
              <w:rPr>
                <w:b/>
                <w:bCs/>
                <w:color w:val="000000"/>
                <w:sz w:val="20"/>
                <w:szCs w:val="20"/>
              </w:rPr>
              <w:t>Groundwater Monitoring and Corrective Action</w:t>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p>
        </w:tc>
      </w:tr>
      <w:tr w:rsidR="0087774F" w:rsidRPr="00ED0CA9" w:rsidTr="008D79B8">
        <w:trPr>
          <w:trHeight w:val="315"/>
        </w:trPr>
        <w:tc>
          <w:tcPr>
            <w:tcW w:w="3436" w:type="dxa"/>
            <w:shd w:val="clear" w:color="auto" w:fill="auto"/>
            <w:vAlign w:val="center"/>
          </w:tcPr>
          <w:p w:rsidR="0087774F" w:rsidRPr="00A50E07" w:rsidRDefault="0087774F" w:rsidP="008D79B8">
            <w:pPr>
              <w:rPr>
                <w:sz w:val="16"/>
                <w:szCs w:val="16"/>
              </w:rPr>
            </w:pPr>
            <w:r>
              <w:rPr>
                <w:sz w:val="16"/>
                <w:szCs w:val="16"/>
              </w:rPr>
              <w:t>Revisions to the Annual Groundwater Monitoring and Corrective Action Report Requirements (</w:t>
            </w:r>
            <w:r>
              <w:rPr>
                <w:b/>
                <w:bCs/>
                <w:sz w:val="16"/>
                <w:szCs w:val="16"/>
                <w:u w:val="single"/>
              </w:rPr>
              <w:t>One-time</w:t>
            </w:r>
            <w:r>
              <w:rPr>
                <w:sz w:val="16"/>
                <w:szCs w:val="16"/>
              </w:rPr>
              <w:t>)</w:t>
            </w:r>
          </w:p>
        </w:tc>
        <w:tc>
          <w:tcPr>
            <w:tcW w:w="1060" w:type="dxa"/>
            <w:shd w:val="clear" w:color="auto" w:fill="auto"/>
            <w:noWrap/>
            <w:vAlign w:val="center"/>
          </w:tcPr>
          <w:p w:rsidR="0087774F" w:rsidRPr="00ED0CA9" w:rsidRDefault="0087774F" w:rsidP="008D79B8">
            <w:pPr>
              <w:widowControl/>
              <w:jc w:val="center"/>
              <w:rPr>
                <w:sz w:val="18"/>
                <w:szCs w:val="18"/>
                <w:highlight w:val="yellow"/>
              </w:rPr>
            </w:pPr>
            <w:r>
              <w:rPr>
                <w:sz w:val="16"/>
                <w:szCs w:val="16"/>
              </w:rPr>
              <w:t>255</w:t>
            </w:r>
          </w:p>
        </w:tc>
        <w:tc>
          <w:tcPr>
            <w:tcW w:w="742"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0.00</w:t>
            </w:r>
          </w:p>
        </w:tc>
        <w:tc>
          <w:tcPr>
            <w:tcW w:w="704"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1.00</w:t>
            </w:r>
          </w:p>
        </w:tc>
        <w:tc>
          <w:tcPr>
            <w:tcW w:w="736"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1.00</w:t>
            </w:r>
          </w:p>
        </w:tc>
        <w:tc>
          <w:tcPr>
            <w:tcW w:w="990"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0.00</w:t>
            </w:r>
          </w:p>
        </w:tc>
        <w:tc>
          <w:tcPr>
            <w:tcW w:w="900"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2.00</w:t>
            </w:r>
          </w:p>
        </w:tc>
        <w:tc>
          <w:tcPr>
            <w:tcW w:w="1008"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509.34</w:t>
            </w:r>
          </w:p>
        </w:tc>
      </w:tr>
      <w:tr w:rsidR="0087774F" w:rsidRPr="00ED0CA9" w:rsidTr="008D79B8">
        <w:trPr>
          <w:trHeight w:val="315"/>
        </w:trPr>
        <w:tc>
          <w:tcPr>
            <w:tcW w:w="3436" w:type="dxa"/>
            <w:shd w:val="clear" w:color="auto" w:fill="auto"/>
            <w:vAlign w:val="center"/>
          </w:tcPr>
          <w:p w:rsidR="0087774F" w:rsidRPr="00ED0CA9" w:rsidRDefault="0087774F" w:rsidP="008D79B8">
            <w:pPr>
              <w:widowControl/>
              <w:rPr>
                <w:sz w:val="18"/>
                <w:szCs w:val="18"/>
              </w:rPr>
            </w:pPr>
            <w:r>
              <w:rPr>
                <w:sz w:val="16"/>
                <w:szCs w:val="16"/>
              </w:rPr>
              <w:t>Revisions to the Annual Groundwater Monitoring and Corrective Action Report Requirements (</w:t>
            </w:r>
            <w:r>
              <w:rPr>
                <w:b/>
                <w:bCs/>
                <w:sz w:val="16"/>
                <w:szCs w:val="16"/>
                <w:u w:val="single"/>
              </w:rPr>
              <w:t>Annual</w:t>
            </w:r>
            <w:r>
              <w:rPr>
                <w:sz w:val="16"/>
                <w:szCs w:val="16"/>
              </w:rPr>
              <w:t>)</w:t>
            </w:r>
          </w:p>
        </w:tc>
        <w:tc>
          <w:tcPr>
            <w:tcW w:w="1060" w:type="dxa"/>
            <w:shd w:val="clear" w:color="auto" w:fill="auto"/>
            <w:noWrap/>
            <w:vAlign w:val="center"/>
          </w:tcPr>
          <w:p w:rsidR="0087774F" w:rsidRPr="00ED0CA9" w:rsidRDefault="0087774F" w:rsidP="008D79B8">
            <w:pPr>
              <w:widowControl/>
              <w:jc w:val="center"/>
              <w:rPr>
                <w:sz w:val="18"/>
                <w:szCs w:val="18"/>
                <w:highlight w:val="yellow"/>
              </w:rPr>
            </w:pPr>
            <w:r>
              <w:rPr>
                <w:sz w:val="16"/>
                <w:szCs w:val="16"/>
              </w:rPr>
              <w:t>764</w:t>
            </w:r>
          </w:p>
        </w:tc>
        <w:tc>
          <w:tcPr>
            <w:tcW w:w="742"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0.00</w:t>
            </w:r>
          </w:p>
        </w:tc>
        <w:tc>
          <w:tcPr>
            <w:tcW w:w="704"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0.50</w:t>
            </w:r>
          </w:p>
        </w:tc>
        <w:tc>
          <w:tcPr>
            <w:tcW w:w="736"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1.00</w:t>
            </w:r>
          </w:p>
        </w:tc>
        <w:tc>
          <w:tcPr>
            <w:tcW w:w="990"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0.00</w:t>
            </w:r>
          </w:p>
        </w:tc>
        <w:tc>
          <w:tcPr>
            <w:tcW w:w="900"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1.50</w:t>
            </w:r>
          </w:p>
        </w:tc>
        <w:tc>
          <w:tcPr>
            <w:tcW w:w="1008" w:type="dxa"/>
            <w:shd w:val="clear" w:color="auto" w:fill="auto"/>
            <w:noWrap/>
            <w:vAlign w:val="center"/>
          </w:tcPr>
          <w:p w:rsidR="0087774F" w:rsidRPr="00ED0CA9" w:rsidRDefault="0087774F" w:rsidP="008D79B8">
            <w:pPr>
              <w:widowControl/>
              <w:jc w:val="right"/>
              <w:rPr>
                <w:sz w:val="18"/>
                <w:szCs w:val="18"/>
                <w:highlight w:val="yellow"/>
              </w:rPr>
            </w:pPr>
            <w:r>
              <w:rPr>
                <w:sz w:val="16"/>
                <w:szCs w:val="16"/>
              </w:rPr>
              <w:t>1,146.00</w:t>
            </w:r>
          </w:p>
        </w:tc>
      </w:tr>
      <w:tr w:rsidR="0087774F" w:rsidRPr="00ED0CA9" w:rsidTr="008D79B8">
        <w:trPr>
          <w:trHeight w:val="440"/>
        </w:trPr>
        <w:tc>
          <w:tcPr>
            <w:tcW w:w="8568" w:type="dxa"/>
            <w:gridSpan w:val="7"/>
            <w:shd w:val="clear" w:color="auto" w:fill="auto"/>
            <w:vAlign w:val="center"/>
            <w:hideMark/>
          </w:tcPr>
          <w:p w:rsidR="0087774F" w:rsidRPr="00ED0CA9" w:rsidRDefault="0087774F" w:rsidP="008D79B8">
            <w:pPr>
              <w:widowControl/>
              <w:adjustRightInd/>
              <w:rPr>
                <w:b/>
                <w:bCs/>
                <w:color w:val="000000"/>
                <w:sz w:val="20"/>
                <w:szCs w:val="20"/>
                <w:highlight w:val="yellow"/>
              </w:rPr>
            </w:pPr>
            <w:r w:rsidRPr="00676481">
              <w:rPr>
                <w:b/>
                <w:bCs/>
                <w:color w:val="000000"/>
                <w:sz w:val="20"/>
                <w:szCs w:val="20"/>
              </w:rPr>
              <w:t>Total Burden Hours</w:t>
            </w:r>
          </w:p>
        </w:tc>
        <w:tc>
          <w:tcPr>
            <w:tcW w:w="1008" w:type="dxa"/>
            <w:shd w:val="clear" w:color="auto" w:fill="auto"/>
            <w:noWrap/>
            <w:vAlign w:val="center"/>
          </w:tcPr>
          <w:p w:rsidR="0087774F" w:rsidRDefault="0087774F" w:rsidP="008D79B8">
            <w:pPr>
              <w:widowControl/>
              <w:jc w:val="center"/>
              <w:rPr>
                <w:rFonts w:asciiTheme="minorHAnsi" w:eastAsiaTheme="minorHAnsi" w:hAnsiTheme="minorHAnsi" w:cstheme="minorBidi"/>
                <w:sz w:val="22"/>
                <w:szCs w:val="22"/>
              </w:rPr>
            </w:pPr>
            <w:r>
              <w:rPr>
                <w:highlight w:val="yellow"/>
              </w:rPr>
              <w:fldChar w:fldCharType="begin"/>
            </w:r>
            <w:r>
              <w:rPr>
                <w:highlight w:val="yellow"/>
              </w:rPr>
              <w:instrText xml:space="preserve"> LINK Excel.Sheet.12 "\\\\iec-fs02n\\ustore1\\Share\\ERAS 2012-2017\\Option Year 4\\4-34\\ICR\\Phase One RIA update\\Phase One CCR Remand ICR (6.1.18).xlsx" "Exhibit 10 (Phase One Remand)!R90C12" \a \f 4 \h  \* MERGEFORMAT </w:instrText>
            </w:r>
            <w:r>
              <w:rPr>
                <w:highlight w:val="yellow"/>
              </w:rPr>
              <w:fldChar w:fldCharType="separate"/>
            </w:r>
          </w:p>
          <w:p w:rsidR="0087774F" w:rsidRDefault="0087774F" w:rsidP="001129EB">
            <w:pPr>
              <w:widowControl/>
              <w:adjustRightInd/>
              <w:jc w:val="right"/>
              <w:rPr>
                <w:b/>
                <w:bCs/>
                <w:sz w:val="16"/>
                <w:szCs w:val="16"/>
              </w:rPr>
            </w:pPr>
            <w:r>
              <w:rPr>
                <w:b/>
                <w:bCs/>
                <w:sz w:val="16"/>
                <w:szCs w:val="16"/>
              </w:rPr>
              <w:t>1,655.34</w:t>
            </w:r>
          </w:p>
          <w:p w:rsidR="0087774F" w:rsidRPr="00ED0CA9" w:rsidRDefault="0087774F" w:rsidP="008D79B8">
            <w:pPr>
              <w:widowControl/>
              <w:rPr>
                <w:b/>
                <w:bCs/>
                <w:sz w:val="20"/>
                <w:szCs w:val="20"/>
                <w:highlight w:val="yellow"/>
              </w:rPr>
            </w:pPr>
            <w:r>
              <w:rPr>
                <w:b/>
                <w:bCs/>
                <w:sz w:val="20"/>
                <w:szCs w:val="20"/>
                <w:highlight w:val="yellow"/>
              </w:rPr>
              <w:fldChar w:fldCharType="end"/>
            </w:r>
          </w:p>
        </w:tc>
      </w:tr>
    </w:tbl>
    <w:p w:rsidR="0087774F" w:rsidRPr="00660897" w:rsidRDefault="0087774F" w:rsidP="00B83566">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p>
    <w:p w:rsidR="00B31C22" w:rsidRPr="00B31C22" w:rsidRDefault="00B31C22" w:rsidP="00B31C22">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bCs/>
          <w:i/>
          <w:sz w:val="22"/>
          <w:szCs w:val="22"/>
        </w:rPr>
      </w:pPr>
      <w:r w:rsidRPr="005F4E03">
        <w:rPr>
          <w:b/>
          <w:bCs/>
          <w:i/>
          <w:sz w:val="22"/>
          <w:szCs w:val="22"/>
        </w:rPr>
        <w:t xml:space="preserve">Respondent Burden </w:t>
      </w:r>
      <w:r>
        <w:rPr>
          <w:b/>
          <w:bCs/>
          <w:i/>
          <w:sz w:val="22"/>
          <w:szCs w:val="22"/>
        </w:rPr>
        <w:t>Change for Coal-fired Utilities:</w:t>
      </w:r>
      <w:r w:rsidRPr="00B83566">
        <w:rPr>
          <w:i/>
          <w:sz w:val="22"/>
          <w:szCs w:val="22"/>
        </w:rPr>
        <w:t xml:space="preserve"> </w:t>
      </w:r>
      <w:r w:rsidRPr="00B31C22">
        <w:rPr>
          <w:b/>
          <w:bCs/>
          <w:i/>
          <w:sz w:val="22"/>
          <w:szCs w:val="22"/>
        </w:rPr>
        <w:t>Revise reporting and documentation requirements</w:t>
      </w:r>
    </w:p>
    <w:p w:rsidR="00B31C22" w:rsidRDefault="00314564" w:rsidP="00B31C22">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sz w:val="22"/>
          <w:szCs w:val="22"/>
        </w:rPr>
        <w:tab/>
      </w:r>
      <w:r w:rsidR="00B31C22" w:rsidRPr="00660897">
        <w:rPr>
          <w:sz w:val="22"/>
          <w:szCs w:val="22"/>
        </w:rPr>
        <w:t xml:space="preserve">Under </w:t>
      </w:r>
      <w:r w:rsidR="00B31C22">
        <w:rPr>
          <w:sz w:val="22"/>
          <w:szCs w:val="22"/>
        </w:rPr>
        <w:t>the Proposed Rule, EPA is proposing to add additional requirements to publicly accessible internet sites, including the requirements that a</w:t>
      </w:r>
      <w:r w:rsidR="00B31C22" w:rsidRPr="00B31C22">
        <w:rPr>
          <w:sz w:val="22"/>
          <w:szCs w:val="22"/>
        </w:rPr>
        <w:t xml:space="preserve">ll publicly accessible internet sites must be open to the public, </w:t>
      </w:r>
      <w:r w:rsidR="00B31C22" w:rsidRPr="001129EB">
        <w:rPr>
          <w:sz w:val="22"/>
          <w:szCs w:val="22"/>
        </w:rPr>
        <w:t>and</w:t>
      </w:r>
      <w:r w:rsidR="00B31C22">
        <w:rPr>
          <w:sz w:val="22"/>
          <w:szCs w:val="22"/>
        </w:rPr>
        <w:t xml:space="preserve"> </w:t>
      </w:r>
      <w:r w:rsidR="00B31C22" w:rsidRPr="001129EB">
        <w:rPr>
          <w:sz w:val="22"/>
          <w:szCs w:val="22"/>
        </w:rPr>
        <w:t>documents posted to the sites must not be locked or restricted from being able to be downloaded, read, printed, or shared, and available for direct access and download.</w:t>
      </w:r>
      <w:r w:rsidR="00B31C22">
        <w:rPr>
          <w:sz w:val="22"/>
          <w:szCs w:val="22"/>
        </w:rPr>
        <w:t xml:space="preserve">  EPA assumes this activity will require a one-time burden of 2 hours, as shown in Exhibit 6-</w:t>
      </w:r>
      <w:r w:rsidR="0087774F">
        <w:rPr>
          <w:sz w:val="22"/>
          <w:szCs w:val="22"/>
        </w:rPr>
        <w:t>3</w:t>
      </w:r>
      <w:r w:rsidR="00B31C22">
        <w:rPr>
          <w:sz w:val="22"/>
          <w:szCs w:val="22"/>
        </w:rPr>
        <w:t>.</w:t>
      </w:r>
    </w:p>
    <w:p w:rsidR="0087774F" w:rsidRDefault="0087774F" w:rsidP="0087774F">
      <w:pPr>
        <w:pStyle w:val="Caption"/>
        <w:keepNext/>
        <w:widowControl/>
        <w:spacing w:before="120" w:after="0"/>
        <w:jc w:val="center"/>
        <w:rPr>
          <w:b/>
          <w:i w:val="0"/>
          <w:color w:val="auto"/>
          <w:sz w:val="22"/>
          <w:szCs w:val="22"/>
        </w:rPr>
      </w:pPr>
      <w:r w:rsidRPr="00660897">
        <w:rPr>
          <w:b/>
          <w:i w:val="0"/>
          <w:color w:val="auto"/>
          <w:sz w:val="22"/>
          <w:szCs w:val="22"/>
        </w:rPr>
        <w:t>Exhibit 6-</w:t>
      </w:r>
      <w:r>
        <w:rPr>
          <w:b/>
          <w:i w:val="0"/>
          <w:color w:val="auto"/>
          <w:sz w:val="22"/>
          <w:szCs w:val="22"/>
        </w:rPr>
        <w:t>3</w:t>
      </w:r>
      <w:r w:rsidRPr="00660897">
        <w:rPr>
          <w:b/>
          <w:i w:val="0"/>
          <w:color w:val="auto"/>
          <w:sz w:val="22"/>
          <w:szCs w:val="22"/>
        </w:rPr>
        <w:t xml:space="preserve">: </w:t>
      </w:r>
      <w:r>
        <w:rPr>
          <w:b/>
          <w:i w:val="0"/>
          <w:color w:val="auto"/>
          <w:sz w:val="22"/>
          <w:szCs w:val="22"/>
        </w:rPr>
        <w:t>Proposed</w:t>
      </w:r>
      <w:r w:rsidRPr="00BF6B91">
        <w:rPr>
          <w:b/>
          <w:i w:val="0"/>
          <w:color w:val="auto"/>
          <w:sz w:val="22"/>
          <w:szCs w:val="22"/>
        </w:rPr>
        <w:t xml:space="preserve"> Rule</w:t>
      </w:r>
      <w:r w:rsidRPr="00660897">
        <w:rPr>
          <w:b/>
          <w:i w:val="0"/>
          <w:color w:val="auto"/>
          <w:sz w:val="22"/>
          <w:szCs w:val="22"/>
        </w:rPr>
        <w:t xml:space="preserve"> </w:t>
      </w:r>
      <w:r>
        <w:rPr>
          <w:b/>
          <w:bCs/>
          <w:i w:val="0"/>
          <w:color w:val="auto"/>
          <w:sz w:val="22"/>
          <w:szCs w:val="22"/>
        </w:rPr>
        <w:t>Revisions to Reporting and Documentation Requirements</w:t>
      </w:r>
    </w:p>
    <w:p w:rsidR="0087774F" w:rsidRPr="009F08FE" w:rsidRDefault="0087774F" w:rsidP="0087774F">
      <w:pPr>
        <w:pStyle w:val="Caption"/>
        <w:keepNext/>
        <w:widowControl/>
        <w:spacing w:before="120" w:after="0"/>
        <w:jc w:val="center"/>
        <w:rPr>
          <w:b/>
          <w:i w:val="0"/>
          <w:color w:val="auto"/>
          <w:sz w:val="22"/>
          <w:szCs w:val="22"/>
        </w:rPr>
      </w:pPr>
      <w:r w:rsidRPr="006B3E2C">
        <w:rPr>
          <w:b/>
          <w:bCs/>
          <w:i w:val="0"/>
          <w:color w:val="auto"/>
          <w:sz w:val="22"/>
          <w:szCs w:val="22"/>
        </w:rPr>
        <w:t>(</w:t>
      </w:r>
      <w:r>
        <w:rPr>
          <w:b/>
          <w:bCs/>
          <w:i w:val="0"/>
          <w:color w:val="auto"/>
          <w:sz w:val="22"/>
          <w:szCs w:val="22"/>
        </w:rPr>
        <w:t xml:space="preserve">Annual </w:t>
      </w:r>
      <w:r w:rsidRPr="006B3E2C">
        <w:rPr>
          <w:b/>
          <w:bCs/>
          <w:i w:val="0"/>
          <w:color w:val="auto"/>
          <w:sz w:val="22"/>
          <w:szCs w:val="22"/>
        </w:rPr>
        <w:t>Burden in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060"/>
        <w:gridCol w:w="742"/>
        <w:gridCol w:w="704"/>
        <w:gridCol w:w="736"/>
        <w:gridCol w:w="990"/>
        <w:gridCol w:w="900"/>
        <w:gridCol w:w="1008"/>
      </w:tblGrid>
      <w:tr w:rsidR="0087774F" w:rsidRPr="00ED0CA9" w:rsidTr="008D79B8">
        <w:trPr>
          <w:trHeight w:val="1061"/>
          <w:tblHeader/>
        </w:trPr>
        <w:tc>
          <w:tcPr>
            <w:tcW w:w="3436" w:type="dxa"/>
            <w:shd w:val="clear" w:color="auto" w:fill="auto"/>
            <w:vAlign w:val="center"/>
            <w:hideMark/>
          </w:tcPr>
          <w:p w:rsidR="0087774F" w:rsidRPr="00676481" w:rsidRDefault="0087774F" w:rsidP="008D79B8">
            <w:pPr>
              <w:widowControl/>
              <w:adjustRightInd/>
              <w:rPr>
                <w:b/>
                <w:bCs/>
                <w:color w:val="000000"/>
                <w:sz w:val="20"/>
                <w:szCs w:val="20"/>
              </w:rPr>
            </w:pPr>
            <w:r w:rsidRPr="00676481">
              <w:rPr>
                <w:b/>
                <w:bCs/>
                <w:color w:val="000000"/>
                <w:sz w:val="20"/>
                <w:szCs w:val="20"/>
              </w:rPr>
              <w:t>Activity</w:t>
            </w:r>
          </w:p>
        </w:tc>
        <w:tc>
          <w:tcPr>
            <w:tcW w:w="1060"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Number of Respon. Activities</w:t>
            </w:r>
          </w:p>
        </w:tc>
        <w:tc>
          <w:tcPr>
            <w:tcW w:w="742"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Legal</w:t>
            </w:r>
          </w:p>
        </w:tc>
        <w:tc>
          <w:tcPr>
            <w:tcW w:w="704"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Mgr.</w:t>
            </w:r>
          </w:p>
        </w:tc>
        <w:tc>
          <w:tcPr>
            <w:tcW w:w="736"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Tech.</w:t>
            </w:r>
          </w:p>
        </w:tc>
        <w:tc>
          <w:tcPr>
            <w:tcW w:w="990"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Clerical</w:t>
            </w:r>
          </w:p>
        </w:tc>
        <w:tc>
          <w:tcPr>
            <w:tcW w:w="900"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Hours Per Activity</w:t>
            </w:r>
          </w:p>
        </w:tc>
        <w:tc>
          <w:tcPr>
            <w:tcW w:w="1008" w:type="dxa"/>
            <w:shd w:val="clear" w:color="auto" w:fill="auto"/>
            <w:vAlign w:val="center"/>
            <w:hideMark/>
          </w:tcPr>
          <w:p w:rsidR="0087774F" w:rsidRPr="00676481" w:rsidRDefault="0087774F" w:rsidP="008D79B8">
            <w:pPr>
              <w:widowControl/>
              <w:adjustRightInd/>
              <w:jc w:val="center"/>
              <w:rPr>
                <w:b/>
                <w:bCs/>
                <w:color w:val="000000"/>
                <w:sz w:val="20"/>
                <w:szCs w:val="20"/>
              </w:rPr>
            </w:pPr>
            <w:r w:rsidRPr="00676481">
              <w:rPr>
                <w:b/>
                <w:bCs/>
                <w:color w:val="000000"/>
                <w:sz w:val="20"/>
                <w:szCs w:val="20"/>
              </w:rPr>
              <w:t>Total Labor Burden</w:t>
            </w:r>
          </w:p>
        </w:tc>
      </w:tr>
      <w:tr w:rsidR="0087774F" w:rsidRPr="00ED0CA9" w:rsidTr="008D79B8">
        <w:trPr>
          <w:trHeight w:val="315"/>
          <w:tblHeader/>
        </w:trPr>
        <w:tc>
          <w:tcPr>
            <w:tcW w:w="9576" w:type="dxa"/>
            <w:gridSpan w:val="8"/>
            <w:shd w:val="clear" w:color="auto" w:fill="auto"/>
            <w:vAlign w:val="center"/>
          </w:tcPr>
          <w:p w:rsidR="0087774F" w:rsidRPr="00ED0CA9" w:rsidRDefault="0087774F" w:rsidP="008D79B8">
            <w:pPr>
              <w:widowControl/>
              <w:rPr>
                <w:sz w:val="18"/>
                <w:szCs w:val="18"/>
                <w:highlight w:val="yellow"/>
              </w:rPr>
            </w:pPr>
            <w:r w:rsidRPr="0087774F">
              <w:rPr>
                <w:b/>
                <w:bCs/>
                <w:color w:val="000000"/>
                <w:sz w:val="20"/>
                <w:szCs w:val="20"/>
              </w:rPr>
              <w:t>Recordkeeping, Notification, and Posting of Information to the Internet</w:t>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r w:rsidRPr="0087774F">
              <w:rPr>
                <w:b/>
                <w:bCs/>
                <w:color w:val="000000"/>
                <w:sz w:val="20"/>
                <w:szCs w:val="20"/>
              </w:rPr>
              <w:tab/>
            </w:r>
          </w:p>
        </w:tc>
      </w:tr>
      <w:tr w:rsidR="0087774F" w:rsidRPr="00ED0CA9" w:rsidTr="008D79B8">
        <w:trPr>
          <w:trHeight w:val="315"/>
        </w:trPr>
        <w:tc>
          <w:tcPr>
            <w:tcW w:w="3436" w:type="dxa"/>
            <w:shd w:val="clear" w:color="auto" w:fill="auto"/>
            <w:vAlign w:val="center"/>
          </w:tcPr>
          <w:p w:rsidR="0087774F" w:rsidRPr="00A50E07" w:rsidRDefault="0087774F" w:rsidP="0087774F">
            <w:pPr>
              <w:rPr>
                <w:sz w:val="16"/>
                <w:szCs w:val="16"/>
              </w:rPr>
            </w:pPr>
            <w:r w:rsidRPr="0087774F">
              <w:rPr>
                <w:sz w:val="16"/>
                <w:szCs w:val="16"/>
              </w:rPr>
              <w:t xml:space="preserve">Update Website </w:t>
            </w:r>
            <w:r w:rsidRPr="001129EB">
              <w:rPr>
                <w:b/>
                <w:bCs/>
                <w:sz w:val="16"/>
                <w:szCs w:val="16"/>
              </w:rPr>
              <w:t>(One-time)</w:t>
            </w:r>
          </w:p>
        </w:tc>
        <w:tc>
          <w:tcPr>
            <w:tcW w:w="1060" w:type="dxa"/>
            <w:shd w:val="clear" w:color="auto" w:fill="auto"/>
            <w:noWrap/>
            <w:vAlign w:val="center"/>
          </w:tcPr>
          <w:p w:rsidR="0087774F" w:rsidRPr="001129EB" w:rsidRDefault="0087774F" w:rsidP="001129EB">
            <w:pPr>
              <w:widowControl/>
              <w:adjustRightInd/>
              <w:jc w:val="center"/>
              <w:rPr>
                <w:sz w:val="16"/>
                <w:szCs w:val="16"/>
              </w:rPr>
            </w:pPr>
            <w:r>
              <w:rPr>
                <w:sz w:val="16"/>
                <w:szCs w:val="16"/>
              </w:rPr>
              <w:t>2</w:t>
            </w:r>
          </w:p>
        </w:tc>
        <w:tc>
          <w:tcPr>
            <w:tcW w:w="742" w:type="dxa"/>
            <w:shd w:val="clear" w:color="auto" w:fill="auto"/>
            <w:noWrap/>
            <w:vAlign w:val="center"/>
          </w:tcPr>
          <w:p w:rsidR="0087774F" w:rsidRPr="00ED0CA9" w:rsidRDefault="0087774F" w:rsidP="0087774F">
            <w:pPr>
              <w:widowControl/>
              <w:jc w:val="right"/>
              <w:rPr>
                <w:sz w:val="18"/>
                <w:szCs w:val="18"/>
                <w:highlight w:val="yellow"/>
              </w:rPr>
            </w:pPr>
            <w:r>
              <w:rPr>
                <w:sz w:val="16"/>
                <w:szCs w:val="16"/>
              </w:rPr>
              <w:t>0.00</w:t>
            </w:r>
          </w:p>
        </w:tc>
        <w:tc>
          <w:tcPr>
            <w:tcW w:w="704" w:type="dxa"/>
            <w:shd w:val="clear" w:color="auto" w:fill="auto"/>
            <w:noWrap/>
            <w:vAlign w:val="center"/>
          </w:tcPr>
          <w:p w:rsidR="0087774F" w:rsidRPr="00ED0CA9" w:rsidRDefault="0087774F" w:rsidP="0087774F">
            <w:pPr>
              <w:widowControl/>
              <w:jc w:val="right"/>
              <w:rPr>
                <w:sz w:val="18"/>
                <w:szCs w:val="18"/>
                <w:highlight w:val="yellow"/>
              </w:rPr>
            </w:pPr>
            <w:r>
              <w:rPr>
                <w:sz w:val="16"/>
                <w:szCs w:val="16"/>
              </w:rPr>
              <w:t>1.00</w:t>
            </w:r>
          </w:p>
        </w:tc>
        <w:tc>
          <w:tcPr>
            <w:tcW w:w="736" w:type="dxa"/>
            <w:shd w:val="clear" w:color="auto" w:fill="auto"/>
            <w:noWrap/>
            <w:vAlign w:val="center"/>
          </w:tcPr>
          <w:p w:rsidR="0087774F" w:rsidRPr="00ED0CA9" w:rsidRDefault="0087774F" w:rsidP="0087774F">
            <w:pPr>
              <w:widowControl/>
              <w:jc w:val="right"/>
              <w:rPr>
                <w:sz w:val="18"/>
                <w:szCs w:val="18"/>
                <w:highlight w:val="yellow"/>
              </w:rPr>
            </w:pPr>
            <w:r>
              <w:rPr>
                <w:sz w:val="16"/>
                <w:szCs w:val="16"/>
              </w:rPr>
              <w:t>1.00</w:t>
            </w:r>
          </w:p>
        </w:tc>
        <w:tc>
          <w:tcPr>
            <w:tcW w:w="990" w:type="dxa"/>
            <w:shd w:val="clear" w:color="auto" w:fill="auto"/>
            <w:noWrap/>
            <w:vAlign w:val="center"/>
          </w:tcPr>
          <w:p w:rsidR="0087774F" w:rsidRPr="00ED0CA9" w:rsidRDefault="0087774F" w:rsidP="0087774F">
            <w:pPr>
              <w:widowControl/>
              <w:jc w:val="right"/>
              <w:rPr>
                <w:sz w:val="18"/>
                <w:szCs w:val="18"/>
                <w:highlight w:val="yellow"/>
              </w:rPr>
            </w:pPr>
            <w:r>
              <w:rPr>
                <w:sz w:val="16"/>
                <w:szCs w:val="16"/>
              </w:rPr>
              <w:t>0.00</w:t>
            </w:r>
          </w:p>
        </w:tc>
        <w:tc>
          <w:tcPr>
            <w:tcW w:w="900" w:type="dxa"/>
            <w:shd w:val="clear" w:color="auto" w:fill="auto"/>
            <w:noWrap/>
            <w:vAlign w:val="center"/>
          </w:tcPr>
          <w:p w:rsidR="0087774F" w:rsidRPr="00ED0CA9" w:rsidRDefault="0087774F" w:rsidP="0087774F">
            <w:pPr>
              <w:widowControl/>
              <w:jc w:val="right"/>
              <w:rPr>
                <w:sz w:val="18"/>
                <w:szCs w:val="18"/>
                <w:highlight w:val="yellow"/>
              </w:rPr>
            </w:pPr>
            <w:r>
              <w:rPr>
                <w:sz w:val="16"/>
                <w:szCs w:val="16"/>
              </w:rPr>
              <w:t>2.00</w:t>
            </w:r>
          </w:p>
        </w:tc>
        <w:tc>
          <w:tcPr>
            <w:tcW w:w="1008" w:type="dxa"/>
            <w:shd w:val="clear" w:color="auto" w:fill="auto"/>
            <w:noWrap/>
            <w:vAlign w:val="center"/>
          </w:tcPr>
          <w:p w:rsidR="0087774F" w:rsidRPr="001129EB" w:rsidRDefault="0087774F" w:rsidP="001129EB">
            <w:pPr>
              <w:widowControl/>
              <w:adjustRightInd/>
              <w:jc w:val="right"/>
              <w:rPr>
                <w:sz w:val="16"/>
                <w:szCs w:val="16"/>
              </w:rPr>
            </w:pPr>
            <w:r>
              <w:rPr>
                <w:sz w:val="16"/>
                <w:szCs w:val="16"/>
              </w:rPr>
              <w:t>3.34</w:t>
            </w:r>
          </w:p>
        </w:tc>
      </w:tr>
      <w:tr w:rsidR="0087774F" w:rsidRPr="00ED0CA9" w:rsidTr="001129EB">
        <w:trPr>
          <w:trHeight w:val="440"/>
        </w:trPr>
        <w:tc>
          <w:tcPr>
            <w:tcW w:w="8568" w:type="dxa"/>
            <w:gridSpan w:val="7"/>
            <w:shd w:val="clear" w:color="auto" w:fill="auto"/>
            <w:vAlign w:val="center"/>
            <w:hideMark/>
          </w:tcPr>
          <w:p w:rsidR="0087774F" w:rsidRPr="00ED0CA9" w:rsidRDefault="0087774F" w:rsidP="008D79B8">
            <w:pPr>
              <w:widowControl/>
              <w:adjustRightInd/>
              <w:rPr>
                <w:b/>
                <w:bCs/>
                <w:color w:val="000000"/>
                <w:sz w:val="20"/>
                <w:szCs w:val="20"/>
                <w:highlight w:val="yellow"/>
              </w:rPr>
            </w:pPr>
            <w:r w:rsidRPr="00676481">
              <w:rPr>
                <w:b/>
                <w:bCs/>
                <w:color w:val="000000"/>
                <w:sz w:val="20"/>
                <w:szCs w:val="20"/>
              </w:rPr>
              <w:t>Total Burden Hours</w:t>
            </w:r>
          </w:p>
        </w:tc>
        <w:tc>
          <w:tcPr>
            <w:tcW w:w="1008" w:type="dxa"/>
            <w:shd w:val="clear" w:color="auto" w:fill="auto"/>
            <w:noWrap/>
            <w:vAlign w:val="center"/>
          </w:tcPr>
          <w:p w:rsidR="0087774F" w:rsidRPr="001129EB" w:rsidRDefault="0087774F" w:rsidP="001129EB">
            <w:pPr>
              <w:widowControl/>
              <w:jc w:val="right"/>
              <w:rPr>
                <w:rFonts w:asciiTheme="minorHAnsi" w:eastAsiaTheme="minorHAnsi" w:hAnsiTheme="minorHAnsi" w:cstheme="minorBidi"/>
                <w:sz w:val="22"/>
                <w:szCs w:val="22"/>
              </w:rPr>
            </w:pPr>
            <w:r>
              <w:rPr>
                <w:b/>
                <w:bCs/>
                <w:highlight w:val="yellow"/>
              </w:rPr>
              <w:fldChar w:fldCharType="begin"/>
            </w:r>
            <w:r w:rsidRPr="001129EB">
              <w:rPr>
                <w:b/>
                <w:bCs/>
                <w:highlight w:val="yellow"/>
              </w:rPr>
              <w:instrText xml:space="preserve"> LINK Excel.Sheet.12 "\\\\iec-fs02n\\ustore1\\Share\\ERAS 2012-2017\\Option Year 4\\4-34\\ICR\\Phase One RIA update\\Phase One CCR Remand ICR (6.1.18).xlsx" "Exhibit 10 (Phase One Remand)!R90C12" \a \f 4 \h  \* MERGEFORMAT </w:instrText>
            </w:r>
            <w:r>
              <w:rPr>
                <w:b/>
                <w:bCs/>
                <w:highlight w:val="yellow"/>
              </w:rPr>
              <w:fldChar w:fldCharType="separate"/>
            </w:r>
            <w:r w:rsidRPr="001129EB">
              <w:rPr>
                <w:b/>
                <w:bCs/>
                <w:sz w:val="16"/>
                <w:szCs w:val="16"/>
              </w:rPr>
              <w:t>3</w:t>
            </w:r>
            <w:r>
              <w:rPr>
                <w:sz w:val="16"/>
                <w:szCs w:val="16"/>
              </w:rPr>
              <w:t>.34</w:t>
            </w:r>
            <w:r>
              <w:rPr>
                <w:b/>
                <w:bCs/>
                <w:sz w:val="20"/>
                <w:szCs w:val="20"/>
                <w:highlight w:val="yellow"/>
              </w:rPr>
              <w:fldChar w:fldCharType="end"/>
            </w:r>
          </w:p>
        </w:tc>
      </w:tr>
    </w:tbl>
    <w:p w:rsidR="00901E3C" w:rsidRPr="00660897" w:rsidRDefault="00901E3C" w:rsidP="001129EB">
      <w:pPr>
        <w:pStyle w:val="Caption"/>
        <w:rPr>
          <w:sz w:val="22"/>
          <w:szCs w:val="22"/>
        </w:rPr>
      </w:pPr>
    </w:p>
    <w:p w:rsidR="00616729" w:rsidRPr="00BF49A7" w:rsidRDefault="00616729" w:rsidP="00ED2578">
      <w:pPr>
        <w:widowControl/>
        <w:adjustRightInd/>
        <w:spacing w:after="160" w:line="259" w:lineRule="auto"/>
        <w:rPr>
          <w:sz w:val="22"/>
          <w:szCs w:val="22"/>
        </w:rPr>
      </w:pPr>
      <w:r w:rsidRPr="00443B51">
        <w:rPr>
          <w:b/>
          <w:bCs/>
          <w:sz w:val="22"/>
          <w:szCs w:val="22"/>
        </w:rPr>
        <w:t>6(b)</w:t>
      </w:r>
      <w:r w:rsidRPr="00443B51">
        <w:rPr>
          <w:b/>
          <w:bCs/>
          <w:sz w:val="22"/>
          <w:szCs w:val="22"/>
        </w:rPr>
        <w:tab/>
        <w:t>Estimating Respondent Costs</w:t>
      </w:r>
    </w:p>
    <w:p w:rsidR="00616729" w:rsidRPr="004238C6" w:rsidRDefault="00616729" w:rsidP="00B363CD">
      <w:pPr>
        <w:pStyle w:val="ListParagraph"/>
        <w:widowControl/>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4238C6">
        <w:rPr>
          <w:b/>
          <w:bCs/>
          <w:sz w:val="22"/>
          <w:szCs w:val="22"/>
        </w:rPr>
        <w:t>Estimating Labor Costs</w:t>
      </w:r>
    </w:p>
    <w:p w:rsidR="00865D7D" w:rsidRPr="001129EB" w:rsidRDefault="00865D7D" w:rsidP="00ED2578">
      <w:pPr>
        <w:pStyle w:val="parag"/>
        <w:spacing w:line="276" w:lineRule="auto"/>
        <w:rPr>
          <w:sz w:val="22"/>
          <w:szCs w:val="22"/>
        </w:rPr>
      </w:pPr>
      <w:r w:rsidRPr="001129EB">
        <w:rPr>
          <w:sz w:val="22"/>
          <w:szCs w:val="22"/>
        </w:rPr>
        <w:t xml:space="preserve">EPA uses labor rate estimates consistent with the most recent ICR for the CCR program, adjusted to year 2018 dollars. </w:t>
      </w:r>
      <w:r w:rsidRPr="001129EB">
        <w:rPr>
          <w:rFonts w:eastAsia="Times New Roman"/>
          <w:sz w:val="22"/>
          <w:szCs w:val="22"/>
        </w:rPr>
        <w:t>Hourly labor rates for all respondents are based on estimates of national cross-industry wages by the U.S. Bureau of Labor Statistics</w:t>
      </w:r>
      <w:r w:rsidRPr="001129EB">
        <w:rPr>
          <w:rFonts w:eastAsia="Times New Roman"/>
          <w:sz w:val="22"/>
          <w:szCs w:val="22"/>
          <w:vertAlign w:val="superscript"/>
        </w:rPr>
        <w:footnoteReference w:id="3"/>
      </w:r>
      <w:r w:rsidRPr="001129EB">
        <w:rPr>
          <w:rFonts w:eastAsia="Times New Roman"/>
          <w:sz w:val="22"/>
          <w:szCs w:val="22"/>
        </w:rPr>
        <w:t xml:space="preserve"> for occupational groups SOC 23-1011: Lawyers; SOC 11-0000: Management Occupations; SOC 17-3026: Industrial Engineering Technicians; and SOC 43-9061: Office Clerks, General, respectively, multiplied by a factor</w:t>
      </w:r>
      <w:r w:rsidRPr="001129EB">
        <w:rPr>
          <w:rFonts w:eastAsia="Times New Roman"/>
          <w:sz w:val="22"/>
          <w:szCs w:val="22"/>
          <w:vertAlign w:val="superscript"/>
        </w:rPr>
        <w:footnoteReference w:id="4"/>
      </w:r>
      <w:r w:rsidRPr="001129EB">
        <w:rPr>
          <w:rFonts w:eastAsia="Times New Roman"/>
          <w:sz w:val="22"/>
          <w:szCs w:val="22"/>
        </w:rPr>
        <w:t xml:space="preserve"> of 1.78 to account for fringe benefits</w:t>
      </w:r>
      <w:r w:rsidRPr="001129EB">
        <w:rPr>
          <w:rFonts w:eastAsia="Times New Roman"/>
          <w:sz w:val="22"/>
          <w:szCs w:val="22"/>
          <w:vertAlign w:val="superscript"/>
        </w:rPr>
        <w:footnoteReference w:id="5"/>
      </w:r>
      <w:r w:rsidRPr="001129EB">
        <w:rPr>
          <w:rFonts w:eastAsia="Times New Roman"/>
          <w:sz w:val="22"/>
          <w:szCs w:val="22"/>
        </w:rPr>
        <w:t xml:space="preserve"> and overhead.</w:t>
      </w:r>
      <w:r w:rsidRPr="001129EB">
        <w:rPr>
          <w:rFonts w:eastAsia="Times New Roman"/>
          <w:sz w:val="22"/>
          <w:szCs w:val="22"/>
          <w:vertAlign w:val="superscript"/>
        </w:rPr>
        <w:footnoteReference w:id="6"/>
      </w:r>
      <w:r w:rsidRPr="001129EB">
        <w:rPr>
          <w:sz w:val="22"/>
          <w:szCs w:val="22"/>
        </w:rPr>
        <w:t xml:space="preserve"> These respondent labor costs were updated to 2018 levels using Employment Cost Indexes developed by the U.S. Bureau of Labor Statistics.</w:t>
      </w:r>
      <w:r w:rsidRPr="001129EB">
        <w:rPr>
          <w:rStyle w:val="FootnoteReference"/>
          <w:sz w:val="22"/>
          <w:szCs w:val="22"/>
        </w:rPr>
        <w:footnoteReference w:id="7"/>
      </w:r>
      <w:r w:rsidRPr="001129EB">
        <w:rPr>
          <w:sz w:val="22"/>
          <w:szCs w:val="22"/>
        </w:rPr>
        <w:t xml:space="preserve"> The labor rates are displayed in </w:t>
      </w:r>
      <w:r w:rsidRPr="001129EB">
        <w:rPr>
          <w:b/>
          <w:sz w:val="22"/>
          <w:szCs w:val="22"/>
        </w:rPr>
        <w:t xml:space="preserve">Exhibit 6-4 </w:t>
      </w:r>
      <w:r w:rsidRPr="001129EB">
        <w:rPr>
          <w:sz w:val="22"/>
          <w:szCs w:val="22"/>
        </w:rPr>
        <w:t>below.</w:t>
      </w:r>
    </w:p>
    <w:p w:rsidR="00865D7D" w:rsidRPr="004238C6" w:rsidRDefault="00865D7D" w:rsidP="00865D7D">
      <w:pPr>
        <w:widowControl/>
        <w:adjustRightInd/>
        <w:spacing w:after="160" w:line="259" w:lineRule="auto"/>
        <w:jc w:val="center"/>
      </w:pPr>
      <w:r w:rsidRPr="004238C6">
        <w:rPr>
          <w:rFonts w:eastAsiaTheme="minorHAnsi"/>
          <w:b/>
          <w:sz w:val="22"/>
          <w:szCs w:val="22"/>
        </w:rPr>
        <w:t>Exhibit 6-</w:t>
      </w:r>
      <w:r w:rsidR="0019681E">
        <w:rPr>
          <w:rFonts w:eastAsiaTheme="minorHAnsi"/>
          <w:b/>
          <w:sz w:val="22"/>
          <w:szCs w:val="22"/>
        </w:rPr>
        <w:t>4</w:t>
      </w:r>
      <w:r w:rsidRPr="00BF49A7">
        <w:rPr>
          <w:rFonts w:eastAsiaTheme="minorHAnsi"/>
          <w:b/>
          <w:sz w:val="22"/>
          <w:szCs w:val="22"/>
        </w:rPr>
        <w:t>: Weighted-Average Loaded Hourly Wage Rates (201</w:t>
      </w:r>
      <w:r>
        <w:rPr>
          <w:rFonts w:eastAsiaTheme="minorHAnsi"/>
          <w:b/>
          <w:sz w:val="22"/>
          <w:szCs w:val="22"/>
        </w:rPr>
        <w:t>8</w:t>
      </w:r>
      <w:r w:rsidRPr="009F69FD">
        <w:rPr>
          <w:rFonts w:eastAsiaTheme="minorHAnsi"/>
          <w:b/>
          <w:sz w:val="22"/>
          <w:szCs w:val="22"/>
        </w:rPr>
        <w:t xml:space="preserve"> Dollars)</w:t>
      </w:r>
    </w:p>
    <w:tbl>
      <w:tblPr>
        <w:tblW w:w="4380" w:type="dxa"/>
        <w:jc w:val="center"/>
        <w:tblLook w:val="04A0" w:firstRow="1" w:lastRow="0" w:firstColumn="1" w:lastColumn="0" w:noHBand="0" w:noVBand="1"/>
      </w:tblPr>
      <w:tblGrid>
        <w:gridCol w:w="2965"/>
        <w:gridCol w:w="1415"/>
      </w:tblGrid>
      <w:tr w:rsidR="00865D7D" w:rsidRPr="00443B51" w:rsidTr="001129EB">
        <w:trPr>
          <w:trHeight w:val="458"/>
          <w:jc w:val="center"/>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D7D" w:rsidRPr="004238C6" w:rsidRDefault="00865D7D">
            <w:pPr>
              <w:widowControl/>
              <w:adjustRightInd/>
              <w:rPr>
                <w:b/>
                <w:color w:val="000000"/>
                <w:sz w:val="20"/>
                <w:szCs w:val="20"/>
              </w:rPr>
            </w:pPr>
            <w:r w:rsidRPr="004238C6">
              <w:rPr>
                <w:b/>
                <w:color w:val="000000"/>
                <w:sz w:val="20"/>
                <w:szCs w:val="20"/>
              </w:rPr>
              <w:t>Labor Category</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865D7D" w:rsidRPr="00443B51" w:rsidRDefault="00865D7D">
            <w:pPr>
              <w:widowControl/>
              <w:adjustRightInd/>
              <w:jc w:val="center"/>
              <w:rPr>
                <w:b/>
                <w:color w:val="000000"/>
                <w:sz w:val="20"/>
                <w:szCs w:val="20"/>
              </w:rPr>
            </w:pPr>
            <w:r w:rsidRPr="00443B51">
              <w:rPr>
                <w:b/>
                <w:color w:val="000000"/>
                <w:sz w:val="20"/>
                <w:szCs w:val="20"/>
              </w:rPr>
              <w:t>Respondents</w:t>
            </w:r>
          </w:p>
        </w:tc>
      </w:tr>
      <w:tr w:rsidR="00865D7D" w:rsidRPr="00443B51" w:rsidTr="001129EB">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65D7D" w:rsidRPr="00443B51" w:rsidRDefault="00865D7D">
            <w:pPr>
              <w:widowControl/>
              <w:rPr>
                <w:sz w:val="18"/>
                <w:szCs w:val="18"/>
              </w:rPr>
            </w:pPr>
            <w:r w:rsidRPr="00443B51">
              <w:rPr>
                <w:sz w:val="18"/>
                <w:szCs w:val="18"/>
              </w:rPr>
              <w:t>Legal</w:t>
            </w:r>
          </w:p>
        </w:tc>
        <w:tc>
          <w:tcPr>
            <w:tcW w:w="1415" w:type="dxa"/>
            <w:tcBorders>
              <w:top w:val="nil"/>
              <w:left w:val="nil"/>
              <w:bottom w:val="single" w:sz="4" w:space="0" w:color="auto"/>
              <w:right w:val="single" w:sz="4" w:space="0" w:color="auto"/>
            </w:tcBorders>
            <w:shd w:val="clear" w:color="auto" w:fill="auto"/>
            <w:noWrap/>
            <w:vAlign w:val="center"/>
          </w:tcPr>
          <w:p w:rsidR="00865D7D" w:rsidRPr="00865D7D" w:rsidRDefault="00865D7D">
            <w:pPr>
              <w:widowControl/>
              <w:jc w:val="center"/>
              <w:rPr>
                <w:sz w:val="18"/>
                <w:szCs w:val="18"/>
              </w:rPr>
            </w:pPr>
            <w:r w:rsidRPr="001129EB">
              <w:rPr>
                <w:sz w:val="18"/>
                <w:szCs w:val="18"/>
              </w:rPr>
              <w:t>$125.14</w:t>
            </w:r>
          </w:p>
        </w:tc>
      </w:tr>
      <w:tr w:rsidR="00865D7D" w:rsidRPr="00443B51" w:rsidTr="001129EB">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65D7D" w:rsidRPr="00443B51" w:rsidRDefault="00865D7D">
            <w:pPr>
              <w:widowControl/>
              <w:rPr>
                <w:sz w:val="18"/>
                <w:szCs w:val="18"/>
              </w:rPr>
            </w:pPr>
            <w:r w:rsidRPr="00443B51">
              <w:rPr>
                <w:sz w:val="18"/>
                <w:szCs w:val="18"/>
              </w:rPr>
              <w:t>Management</w:t>
            </w:r>
          </w:p>
        </w:tc>
        <w:tc>
          <w:tcPr>
            <w:tcW w:w="1415" w:type="dxa"/>
            <w:tcBorders>
              <w:top w:val="nil"/>
              <w:left w:val="nil"/>
              <w:bottom w:val="single" w:sz="4" w:space="0" w:color="auto"/>
              <w:right w:val="single" w:sz="4" w:space="0" w:color="auto"/>
            </w:tcBorders>
            <w:shd w:val="clear" w:color="auto" w:fill="auto"/>
            <w:noWrap/>
            <w:vAlign w:val="center"/>
          </w:tcPr>
          <w:p w:rsidR="00865D7D" w:rsidRPr="00865D7D" w:rsidRDefault="00865D7D">
            <w:pPr>
              <w:widowControl/>
              <w:jc w:val="center"/>
              <w:rPr>
                <w:sz w:val="18"/>
                <w:szCs w:val="18"/>
              </w:rPr>
            </w:pPr>
            <w:r w:rsidRPr="001129EB">
              <w:rPr>
                <w:sz w:val="18"/>
                <w:szCs w:val="18"/>
              </w:rPr>
              <w:t>$105.75</w:t>
            </w:r>
          </w:p>
        </w:tc>
      </w:tr>
      <w:tr w:rsidR="00865D7D" w:rsidRPr="00443B51" w:rsidTr="001129EB">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65D7D" w:rsidRPr="00443B51" w:rsidRDefault="00865D7D">
            <w:pPr>
              <w:widowControl/>
              <w:rPr>
                <w:sz w:val="18"/>
                <w:szCs w:val="18"/>
              </w:rPr>
            </w:pPr>
            <w:r w:rsidRPr="00443B51">
              <w:rPr>
                <w:sz w:val="18"/>
                <w:szCs w:val="18"/>
              </w:rPr>
              <w:t>Technical</w:t>
            </w:r>
          </w:p>
        </w:tc>
        <w:tc>
          <w:tcPr>
            <w:tcW w:w="1415" w:type="dxa"/>
            <w:tcBorders>
              <w:top w:val="nil"/>
              <w:left w:val="nil"/>
              <w:bottom w:val="single" w:sz="4" w:space="0" w:color="auto"/>
              <w:right w:val="single" w:sz="4" w:space="0" w:color="auto"/>
            </w:tcBorders>
            <w:shd w:val="clear" w:color="auto" w:fill="auto"/>
            <w:noWrap/>
            <w:vAlign w:val="center"/>
          </w:tcPr>
          <w:p w:rsidR="00865D7D" w:rsidRPr="00865D7D" w:rsidRDefault="00865D7D">
            <w:pPr>
              <w:widowControl/>
              <w:jc w:val="center"/>
              <w:rPr>
                <w:sz w:val="18"/>
                <w:szCs w:val="18"/>
              </w:rPr>
            </w:pPr>
            <w:r w:rsidRPr="001129EB">
              <w:rPr>
                <w:sz w:val="18"/>
                <w:szCs w:val="18"/>
              </w:rPr>
              <w:t>$50.98</w:t>
            </w:r>
          </w:p>
        </w:tc>
      </w:tr>
      <w:tr w:rsidR="00865D7D" w:rsidRPr="00443B51" w:rsidTr="001129EB">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65D7D" w:rsidRPr="00443B51" w:rsidRDefault="00865D7D">
            <w:pPr>
              <w:widowControl/>
              <w:rPr>
                <w:sz w:val="18"/>
                <w:szCs w:val="18"/>
              </w:rPr>
            </w:pPr>
            <w:r w:rsidRPr="00443B51">
              <w:rPr>
                <w:sz w:val="18"/>
                <w:szCs w:val="18"/>
              </w:rPr>
              <w:t>Clerical</w:t>
            </w:r>
          </w:p>
        </w:tc>
        <w:tc>
          <w:tcPr>
            <w:tcW w:w="1415" w:type="dxa"/>
            <w:tcBorders>
              <w:top w:val="nil"/>
              <w:left w:val="nil"/>
              <w:bottom w:val="single" w:sz="4" w:space="0" w:color="auto"/>
              <w:right w:val="single" w:sz="4" w:space="0" w:color="auto"/>
            </w:tcBorders>
            <w:shd w:val="clear" w:color="auto" w:fill="auto"/>
            <w:noWrap/>
            <w:vAlign w:val="center"/>
          </w:tcPr>
          <w:p w:rsidR="00865D7D" w:rsidRPr="00865D7D" w:rsidRDefault="00865D7D">
            <w:pPr>
              <w:widowControl/>
              <w:jc w:val="center"/>
              <w:rPr>
                <w:sz w:val="18"/>
                <w:szCs w:val="18"/>
              </w:rPr>
            </w:pPr>
            <w:r w:rsidRPr="001129EB">
              <w:rPr>
                <w:sz w:val="18"/>
                <w:szCs w:val="18"/>
              </w:rPr>
              <w:t>$29.90</w:t>
            </w:r>
          </w:p>
        </w:tc>
      </w:tr>
    </w:tbl>
    <w:p w:rsidR="00616729" w:rsidRPr="00660897" w:rsidRDefault="00616729" w:rsidP="00B363CD">
      <w:pPr>
        <w:pStyle w:val="ListParagraph"/>
        <w:widowControl/>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 xml:space="preserve">Estimating Capital and Operations and Maintenance </w:t>
      </w:r>
      <w:r w:rsidR="004F6F34" w:rsidRPr="00660897">
        <w:rPr>
          <w:b/>
          <w:bCs/>
          <w:sz w:val="22"/>
          <w:szCs w:val="22"/>
        </w:rPr>
        <w:t xml:space="preserve">(O&amp;M) </w:t>
      </w:r>
      <w:r w:rsidRPr="00660897">
        <w:rPr>
          <w:b/>
          <w:bCs/>
          <w:sz w:val="22"/>
          <w:szCs w:val="22"/>
        </w:rPr>
        <w:t>Costs</w:t>
      </w:r>
    </w:p>
    <w:p w:rsidR="0048140E" w:rsidRPr="00660897" w:rsidRDefault="00ED2578" w:rsidP="001129EB">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Pr>
          <w:sz w:val="22"/>
          <w:szCs w:val="22"/>
        </w:rPr>
        <w:tab/>
      </w:r>
      <w:r w:rsidR="0048140E" w:rsidRPr="00660897">
        <w:rPr>
          <w:sz w:val="22"/>
          <w:szCs w:val="22"/>
        </w:rPr>
        <w:t xml:space="preserve">Capital costs usually include any produced physical good needed to provide </w:t>
      </w:r>
      <w:r w:rsidR="001129EB">
        <w:rPr>
          <w:sz w:val="22"/>
          <w:szCs w:val="22"/>
        </w:rPr>
        <w:t>required</w:t>
      </w:r>
      <w:r w:rsidR="0048140E" w:rsidRPr="00660897">
        <w:rPr>
          <w:sz w:val="22"/>
          <w:szCs w:val="22"/>
        </w:rPr>
        <w:t xml:space="preserve"> information, such as machinery, computers, and other equipment.  </w:t>
      </w:r>
      <w:r w:rsidR="00292572" w:rsidRPr="00660897">
        <w:rPr>
          <w:sz w:val="22"/>
          <w:szCs w:val="22"/>
        </w:rPr>
        <w:t>EPA does not anticipate that respondents will incur capital costs in carrying out the information collection requirements covered in this ICR.</w:t>
      </w:r>
    </w:p>
    <w:p w:rsidR="00792536" w:rsidRDefault="00ED2578" w:rsidP="001129EB">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rFonts w:eastAsiaTheme="minorHAnsi"/>
          <w:b/>
          <w:sz w:val="20"/>
          <w:szCs w:val="20"/>
        </w:rPr>
      </w:pPr>
      <w:r>
        <w:rPr>
          <w:sz w:val="22"/>
          <w:szCs w:val="22"/>
        </w:rPr>
        <w:tab/>
      </w:r>
      <w:r w:rsidR="004F6F34" w:rsidRPr="00660897">
        <w:rPr>
          <w:sz w:val="22"/>
          <w:szCs w:val="22"/>
        </w:rPr>
        <w:t>O&amp;M</w:t>
      </w:r>
      <w:r w:rsidR="00292572" w:rsidRPr="00660897">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660897">
        <w:rPr>
          <w:sz w:val="22"/>
          <w:szCs w:val="22"/>
        </w:rPr>
        <w:t xml:space="preserve">  </w:t>
      </w:r>
      <w:r w:rsidR="00865D7D" w:rsidRPr="00660897">
        <w:rPr>
          <w:sz w:val="22"/>
          <w:szCs w:val="22"/>
        </w:rPr>
        <w:t xml:space="preserve">EPA does not anticipate that respondents will incur </w:t>
      </w:r>
      <w:r w:rsidR="00865D7D">
        <w:rPr>
          <w:sz w:val="22"/>
          <w:szCs w:val="22"/>
        </w:rPr>
        <w:t>O&amp;M</w:t>
      </w:r>
      <w:r w:rsidR="00865D7D" w:rsidRPr="00660897">
        <w:rPr>
          <w:sz w:val="22"/>
          <w:szCs w:val="22"/>
        </w:rPr>
        <w:t xml:space="preserve"> costs in carrying out the information collection requirements covered in this ICR.</w:t>
      </w:r>
    </w:p>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6(c)</w:t>
      </w:r>
      <w:r w:rsidRPr="00660897">
        <w:rPr>
          <w:b/>
          <w:bCs/>
          <w:sz w:val="22"/>
          <w:szCs w:val="22"/>
        </w:rPr>
        <w:tab/>
        <w:t>Estimating Agency Burden and Cost</w:t>
      </w:r>
    </w:p>
    <w:p w:rsidR="00EF7679" w:rsidRPr="00660897" w:rsidRDefault="00EF7679" w:rsidP="001129EB">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 xml:space="preserve">EPA does not anticipate agency burden associated with the changes in paperwork requirements under the </w:t>
      </w:r>
      <w:r w:rsidR="009B206C">
        <w:rPr>
          <w:sz w:val="22"/>
          <w:szCs w:val="22"/>
        </w:rPr>
        <w:t>Proposed</w:t>
      </w:r>
      <w:r w:rsidR="009B206C" w:rsidRPr="00BF6B91">
        <w:rPr>
          <w:sz w:val="22"/>
          <w:szCs w:val="22"/>
        </w:rPr>
        <w:t xml:space="preserve"> </w:t>
      </w:r>
      <w:r w:rsidR="00BF6B91" w:rsidRPr="00BF6B91">
        <w:rPr>
          <w:sz w:val="22"/>
          <w:szCs w:val="22"/>
        </w:rPr>
        <w:t>Rul</w:t>
      </w:r>
      <w:r w:rsidR="009B206C">
        <w:rPr>
          <w:sz w:val="22"/>
          <w:szCs w:val="22"/>
        </w:rPr>
        <w:t>e</w:t>
      </w:r>
      <w:r w:rsidRPr="00660897">
        <w:rPr>
          <w:sz w:val="22"/>
          <w:szCs w:val="22"/>
        </w:rPr>
        <w:t>.</w:t>
      </w:r>
    </w:p>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660897">
        <w:rPr>
          <w:b/>
          <w:bCs/>
          <w:sz w:val="22"/>
          <w:szCs w:val="22"/>
        </w:rPr>
        <w:t>6(d)</w:t>
      </w:r>
      <w:r w:rsidRPr="00660897">
        <w:rPr>
          <w:b/>
          <w:bCs/>
          <w:sz w:val="22"/>
          <w:szCs w:val="22"/>
        </w:rPr>
        <w:tab/>
        <w:t>Estimating the Respondent Universe and Total Burden and Costs</w:t>
      </w:r>
    </w:p>
    <w:p w:rsidR="00E7042A" w:rsidRPr="00660897" w:rsidRDefault="00E7042A"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 xml:space="preserve">In this section, EPA describes the respondent universe affected by the information collection requirements under </w:t>
      </w:r>
      <w:r w:rsidR="002C0A45" w:rsidRPr="00660897">
        <w:rPr>
          <w:bCs/>
          <w:sz w:val="22"/>
          <w:szCs w:val="22"/>
        </w:rPr>
        <w:t>the</w:t>
      </w:r>
      <w:r w:rsidRPr="00660897">
        <w:rPr>
          <w:bCs/>
          <w:sz w:val="22"/>
          <w:szCs w:val="22"/>
        </w:rPr>
        <w:t xml:space="preserve"> rule.  </w:t>
      </w:r>
    </w:p>
    <w:p w:rsidR="009B206C" w:rsidRDefault="009B206C" w:rsidP="009B206C">
      <w:pPr>
        <w:widowControl/>
        <w:spacing w:before="240" w:after="120"/>
        <w:rPr>
          <w:b/>
          <w:sz w:val="22"/>
          <w:u w:val="single"/>
        </w:rPr>
      </w:pPr>
      <w:r w:rsidRPr="00660897">
        <w:rPr>
          <w:b/>
          <w:sz w:val="22"/>
          <w:u w:val="single"/>
        </w:rPr>
        <w:t>Respondent Universe</w:t>
      </w:r>
      <w:r>
        <w:rPr>
          <w:b/>
          <w:sz w:val="22"/>
          <w:u w:val="single"/>
        </w:rPr>
        <w:t>: Beneficial users of CCR</w:t>
      </w:r>
    </w:p>
    <w:p w:rsidR="009B206C" w:rsidRPr="001129EB" w:rsidRDefault="009B206C" w:rsidP="001129EB">
      <w:pPr>
        <w:widowControl/>
        <w:spacing w:before="240" w:after="120"/>
        <w:ind w:firstLine="720"/>
        <w:rPr>
          <w:bCs/>
          <w:sz w:val="22"/>
        </w:rPr>
      </w:pPr>
      <w:r>
        <w:rPr>
          <w:bCs/>
          <w:sz w:val="22"/>
        </w:rPr>
        <w:t>EPA estimates that</w:t>
      </w:r>
      <w:r w:rsidR="0019681E">
        <w:rPr>
          <w:bCs/>
          <w:sz w:val="22"/>
        </w:rPr>
        <w:t xml:space="preserve"> there are</w:t>
      </w:r>
      <w:r>
        <w:rPr>
          <w:bCs/>
          <w:sz w:val="22"/>
        </w:rPr>
        <w:t xml:space="preserve"> </w:t>
      </w:r>
      <w:r w:rsidR="0019681E">
        <w:rPr>
          <w:bCs/>
          <w:sz w:val="22"/>
        </w:rPr>
        <w:t>1,036</w:t>
      </w:r>
      <w:r>
        <w:rPr>
          <w:bCs/>
          <w:sz w:val="22"/>
        </w:rPr>
        <w:t xml:space="preserve"> </w:t>
      </w:r>
      <w:r w:rsidR="008D06B5">
        <w:rPr>
          <w:bCs/>
          <w:sz w:val="22"/>
        </w:rPr>
        <w:t xml:space="preserve">CCR </w:t>
      </w:r>
      <w:r>
        <w:rPr>
          <w:bCs/>
          <w:sz w:val="22"/>
        </w:rPr>
        <w:t>beneficial use</w:t>
      </w:r>
      <w:r w:rsidR="008D06B5">
        <w:rPr>
          <w:bCs/>
          <w:sz w:val="22"/>
        </w:rPr>
        <w:t xml:space="preserve"> facilities</w:t>
      </w:r>
      <w:r>
        <w:rPr>
          <w:bCs/>
          <w:sz w:val="22"/>
        </w:rPr>
        <w:t xml:space="preserve"> </w:t>
      </w:r>
      <w:r w:rsidR="0019681E">
        <w:rPr>
          <w:bCs/>
          <w:sz w:val="22"/>
        </w:rPr>
        <w:t xml:space="preserve">that </w:t>
      </w:r>
      <w:r>
        <w:rPr>
          <w:bCs/>
          <w:sz w:val="22"/>
        </w:rPr>
        <w:t xml:space="preserve">will be </w:t>
      </w:r>
      <w:r w:rsidR="0019681E">
        <w:rPr>
          <w:bCs/>
          <w:sz w:val="22"/>
        </w:rPr>
        <w:t xml:space="preserve">potentially </w:t>
      </w:r>
      <w:r>
        <w:rPr>
          <w:bCs/>
          <w:sz w:val="22"/>
        </w:rPr>
        <w:t xml:space="preserve">subject to the </w:t>
      </w:r>
      <w:r w:rsidR="0019681E">
        <w:rPr>
          <w:bCs/>
          <w:sz w:val="22"/>
        </w:rPr>
        <w:t>proposed revisions to Criterion 4 of the beneficial use definition.</w:t>
      </w:r>
      <w:r w:rsidR="00CD53ED" w:rsidRPr="00660897">
        <w:rPr>
          <w:sz w:val="22"/>
          <w:szCs w:val="22"/>
          <w:vertAlign w:val="superscript"/>
        </w:rPr>
        <w:footnoteReference w:id="8"/>
      </w:r>
      <w:r w:rsidR="0019681E">
        <w:rPr>
          <w:bCs/>
          <w:sz w:val="22"/>
        </w:rPr>
        <w:t xml:space="preserve">  As described in Section 4(a)(2), the respondent universe of beneficial users of CCR includes a variety of NAICS codes.  Exhibit 6-5 presents the number of beneficial user facilities subject to the information collection requirements under the rule.</w:t>
      </w:r>
      <w:r w:rsidR="0019681E" w:rsidRPr="0019681E">
        <w:rPr>
          <w:sz w:val="22"/>
          <w:szCs w:val="22"/>
          <w:vertAlign w:val="superscript"/>
        </w:rPr>
        <w:t xml:space="preserve"> </w:t>
      </w:r>
    </w:p>
    <w:p w:rsidR="00E7042A" w:rsidRPr="00660897" w:rsidRDefault="00E7042A" w:rsidP="00B363CD">
      <w:pPr>
        <w:widowControl/>
        <w:spacing w:before="240" w:after="120"/>
        <w:rPr>
          <w:b/>
          <w:sz w:val="22"/>
          <w:u w:val="single"/>
        </w:rPr>
      </w:pPr>
      <w:r w:rsidRPr="00660897">
        <w:rPr>
          <w:b/>
          <w:sz w:val="22"/>
          <w:u w:val="single"/>
        </w:rPr>
        <w:t>Respondent Universe</w:t>
      </w:r>
      <w:r w:rsidR="009B206C">
        <w:rPr>
          <w:b/>
          <w:sz w:val="22"/>
          <w:u w:val="single"/>
        </w:rPr>
        <w:t>: Coal-fired electric utilities</w:t>
      </w:r>
    </w:p>
    <w:p w:rsidR="000F3429" w:rsidRPr="00660897" w:rsidRDefault="000F3429" w:rsidP="00B363CD">
      <w:pPr>
        <w:widowControl/>
        <w:ind w:firstLine="720"/>
        <w:rPr>
          <w:sz w:val="22"/>
          <w:szCs w:val="22"/>
        </w:rPr>
      </w:pPr>
      <w:r w:rsidRPr="00660897">
        <w:rPr>
          <w:sz w:val="22"/>
          <w:szCs w:val="22"/>
        </w:rPr>
        <w:t xml:space="preserve">EPA estimates that </w:t>
      </w:r>
      <w:r w:rsidR="0019681E">
        <w:rPr>
          <w:sz w:val="22"/>
          <w:szCs w:val="22"/>
        </w:rPr>
        <w:t>all 300 existing</w:t>
      </w:r>
      <w:r w:rsidR="0019681E" w:rsidRPr="00660897">
        <w:rPr>
          <w:sz w:val="22"/>
          <w:szCs w:val="22"/>
        </w:rPr>
        <w:t xml:space="preserve"> </w:t>
      </w:r>
      <w:r w:rsidRPr="00660897">
        <w:rPr>
          <w:sz w:val="22"/>
          <w:szCs w:val="22"/>
        </w:rPr>
        <w:t xml:space="preserve">coal-fired electric utility plants will be affected by the </w:t>
      </w:r>
      <w:r w:rsidR="0019681E">
        <w:rPr>
          <w:sz w:val="22"/>
          <w:szCs w:val="22"/>
        </w:rPr>
        <w:t>Proposed</w:t>
      </w:r>
      <w:r w:rsidR="0019681E" w:rsidRPr="00BF6B91">
        <w:rPr>
          <w:sz w:val="22"/>
          <w:szCs w:val="22"/>
        </w:rPr>
        <w:t xml:space="preserve"> </w:t>
      </w:r>
      <w:r w:rsidR="00BF6B91" w:rsidRPr="00BF6B91">
        <w:rPr>
          <w:sz w:val="22"/>
          <w:szCs w:val="22"/>
        </w:rPr>
        <w:t>Rule</w:t>
      </w:r>
      <w:r w:rsidR="0019681E">
        <w:rPr>
          <w:sz w:val="22"/>
          <w:szCs w:val="22"/>
        </w:rPr>
        <w:t>, including 764 CCR management units</w:t>
      </w:r>
      <w:r w:rsidRPr="00660897">
        <w:rPr>
          <w:sz w:val="22"/>
          <w:szCs w:val="22"/>
        </w:rPr>
        <w:t>. Exhibit 6-</w:t>
      </w:r>
      <w:r w:rsidR="009B1BE6">
        <w:rPr>
          <w:sz w:val="22"/>
          <w:szCs w:val="22"/>
        </w:rPr>
        <w:t>5</w:t>
      </w:r>
      <w:r w:rsidR="002A33E5" w:rsidRPr="00660897">
        <w:rPr>
          <w:sz w:val="22"/>
          <w:szCs w:val="22"/>
        </w:rPr>
        <w:t xml:space="preserve"> </w:t>
      </w:r>
      <w:r w:rsidRPr="00660897">
        <w:rPr>
          <w:sz w:val="22"/>
          <w:szCs w:val="22"/>
        </w:rPr>
        <w:t xml:space="preserve">presents the number of CCR </w:t>
      </w:r>
      <w:r w:rsidR="0019681E">
        <w:rPr>
          <w:sz w:val="22"/>
          <w:szCs w:val="22"/>
        </w:rPr>
        <w:t>facilities</w:t>
      </w:r>
      <w:r w:rsidR="0019681E" w:rsidRPr="00660897">
        <w:rPr>
          <w:sz w:val="22"/>
          <w:szCs w:val="22"/>
        </w:rPr>
        <w:t xml:space="preserve"> </w:t>
      </w:r>
      <w:r w:rsidRPr="00660897">
        <w:rPr>
          <w:sz w:val="22"/>
          <w:szCs w:val="22"/>
        </w:rPr>
        <w:t xml:space="preserve">subject to the information collection requirements under the rule. </w:t>
      </w:r>
    </w:p>
    <w:p w:rsidR="000F3429" w:rsidRPr="00660897" w:rsidRDefault="000F3429" w:rsidP="00B363CD">
      <w:pPr>
        <w:pStyle w:val="ListParagraph"/>
        <w:widowControl/>
        <w:spacing w:before="240" w:line="259" w:lineRule="auto"/>
        <w:ind w:left="0"/>
        <w:contextualSpacing w:val="0"/>
        <w:jc w:val="center"/>
        <w:rPr>
          <w:rFonts w:eastAsiaTheme="minorHAnsi"/>
          <w:sz w:val="20"/>
          <w:szCs w:val="20"/>
        </w:rPr>
      </w:pPr>
      <w:r w:rsidRPr="00660897">
        <w:rPr>
          <w:rFonts w:eastAsiaTheme="minorHAnsi"/>
          <w:b/>
          <w:sz w:val="20"/>
          <w:szCs w:val="20"/>
        </w:rPr>
        <w:t>Exhibit 6-</w:t>
      </w:r>
      <w:r w:rsidR="009B1BE6">
        <w:rPr>
          <w:rFonts w:eastAsiaTheme="minorHAnsi"/>
          <w:b/>
          <w:sz w:val="20"/>
          <w:szCs w:val="20"/>
        </w:rPr>
        <w:t>5</w:t>
      </w:r>
      <w:r w:rsidRPr="00660897">
        <w:rPr>
          <w:rFonts w:eastAsiaTheme="minorHAnsi"/>
          <w:b/>
          <w:sz w:val="20"/>
          <w:szCs w:val="20"/>
        </w:rPr>
        <w:t xml:space="preserve">: </w:t>
      </w:r>
      <w:r w:rsidR="007C7A43" w:rsidRPr="00660897">
        <w:rPr>
          <w:rFonts w:eastAsiaTheme="minorHAnsi"/>
          <w:b/>
          <w:sz w:val="20"/>
          <w:szCs w:val="20"/>
        </w:rPr>
        <w:t>Respondent Universe</w:t>
      </w:r>
      <w:r w:rsidRPr="00660897">
        <w:rPr>
          <w:rFonts w:eastAsiaTheme="minorHAnsi"/>
          <w:b/>
          <w:sz w:val="20"/>
          <w:szCs w:val="20"/>
        </w:rPr>
        <w:t xml:space="preserve"> Under the </w:t>
      </w:r>
      <w:r w:rsidR="004E4601">
        <w:rPr>
          <w:rFonts w:eastAsiaTheme="minorHAnsi"/>
          <w:b/>
          <w:sz w:val="20"/>
          <w:szCs w:val="20"/>
        </w:rPr>
        <w:t>Proposed</w:t>
      </w:r>
      <w:r w:rsidR="004E4601" w:rsidRPr="00BF6B91">
        <w:rPr>
          <w:rFonts w:eastAsiaTheme="minorHAnsi"/>
          <w:b/>
          <w:sz w:val="20"/>
          <w:szCs w:val="20"/>
        </w:rPr>
        <w:t xml:space="preserve"> </w:t>
      </w:r>
      <w:r w:rsidR="00BF6B91" w:rsidRPr="00BF6B91">
        <w:rPr>
          <w:rFonts w:eastAsiaTheme="minorHAnsi"/>
          <w:b/>
          <w:sz w:val="20"/>
          <w:szCs w:val="20"/>
        </w:rPr>
        <w:t>Rule</w:t>
      </w:r>
    </w:p>
    <w:tbl>
      <w:tblPr>
        <w:tblW w:w="4012" w:type="dxa"/>
        <w:jc w:val="center"/>
        <w:tblLayout w:type="fixed"/>
        <w:tblLook w:val="04A0" w:firstRow="1" w:lastRow="0" w:firstColumn="1" w:lastColumn="0" w:noHBand="0" w:noVBand="1"/>
      </w:tblPr>
      <w:tblGrid>
        <w:gridCol w:w="2546"/>
        <w:gridCol w:w="1466"/>
      </w:tblGrid>
      <w:tr w:rsidR="0019681E" w:rsidRPr="00660897" w:rsidTr="001129EB">
        <w:trPr>
          <w:trHeight w:val="300"/>
          <w:jc w:val="center"/>
        </w:trPr>
        <w:tc>
          <w:tcPr>
            <w:tcW w:w="2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9681E" w:rsidRPr="00660897" w:rsidRDefault="0019681E" w:rsidP="00B363CD">
            <w:pPr>
              <w:keepNext/>
              <w:widowControl/>
              <w:jc w:val="center"/>
              <w:rPr>
                <w:b/>
                <w:bCs/>
                <w:sz w:val="20"/>
                <w:szCs w:val="20"/>
              </w:rPr>
            </w:pPr>
            <w:r w:rsidRPr="00660897">
              <w:rPr>
                <w:b/>
                <w:bCs/>
                <w:sz w:val="20"/>
                <w:szCs w:val="20"/>
              </w:rPr>
              <w:t>Category</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19681E" w:rsidRPr="00660897" w:rsidRDefault="0019681E" w:rsidP="00B363CD">
            <w:pPr>
              <w:keepNext/>
              <w:widowControl/>
              <w:jc w:val="center"/>
              <w:rPr>
                <w:b/>
                <w:bCs/>
                <w:sz w:val="20"/>
                <w:szCs w:val="20"/>
              </w:rPr>
            </w:pPr>
            <w:r>
              <w:rPr>
                <w:b/>
                <w:bCs/>
                <w:sz w:val="20"/>
                <w:szCs w:val="20"/>
              </w:rPr>
              <w:t>Number of Respondents</w:t>
            </w:r>
          </w:p>
        </w:tc>
      </w:tr>
      <w:tr w:rsidR="0019681E" w:rsidRPr="00660897" w:rsidTr="001129EB">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19681E" w:rsidRPr="00660897" w:rsidRDefault="0019681E" w:rsidP="00B363CD">
            <w:pPr>
              <w:keepNext/>
              <w:widowControl/>
              <w:rPr>
                <w:sz w:val="20"/>
                <w:szCs w:val="20"/>
              </w:rPr>
            </w:pPr>
            <w:r>
              <w:rPr>
                <w:sz w:val="20"/>
                <w:szCs w:val="20"/>
              </w:rPr>
              <w:t>Beneficial Use</w:t>
            </w:r>
            <w:r w:rsidR="008D06B5">
              <w:rPr>
                <w:sz w:val="20"/>
                <w:szCs w:val="20"/>
              </w:rPr>
              <w:t xml:space="preserve"> Facilities</w:t>
            </w:r>
          </w:p>
        </w:tc>
        <w:tc>
          <w:tcPr>
            <w:tcW w:w="1466" w:type="dxa"/>
            <w:tcBorders>
              <w:top w:val="nil"/>
              <w:left w:val="nil"/>
              <w:bottom w:val="single" w:sz="4" w:space="0" w:color="auto"/>
              <w:right w:val="single" w:sz="4" w:space="0" w:color="auto"/>
            </w:tcBorders>
            <w:shd w:val="clear" w:color="auto" w:fill="auto"/>
            <w:vAlign w:val="center"/>
            <w:hideMark/>
          </w:tcPr>
          <w:p w:rsidR="0019681E" w:rsidRPr="00660897" w:rsidRDefault="0019681E" w:rsidP="00B363CD">
            <w:pPr>
              <w:keepNext/>
              <w:widowControl/>
              <w:jc w:val="center"/>
              <w:rPr>
                <w:sz w:val="20"/>
                <w:szCs w:val="20"/>
              </w:rPr>
            </w:pPr>
            <w:r>
              <w:rPr>
                <w:sz w:val="20"/>
                <w:szCs w:val="20"/>
              </w:rPr>
              <w:t>1,036</w:t>
            </w:r>
          </w:p>
        </w:tc>
      </w:tr>
      <w:tr w:rsidR="0019681E" w:rsidRPr="00660897" w:rsidTr="001129EB">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19681E" w:rsidRPr="00660897" w:rsidRDefault="0019681E" w:rsidP="00B363CD">
            <w:pPr>
              <w:keepNext/>
              <w:widowControl/>
              <w:rPr>
                <w:sz w:val="20"/>
                <w:szCs w:val="20"/>
              </w:rPr>
            </w:pPr>
            <w:r>
              <w:rPr>
                <w:sz w:val="20"/>
                <w:szCs w:val="20"/>
              </w:rPr>
              <w:t xml:space="preserve">Coal-fired Electric Utilities </w:t>
            </w:r>
          </w:p>
        </w:tc>
        <w:tc>
          <w:tcPr>
            <w:tcW w:w="1466" w:type="dxa"/>
            <w:tcBorders>
              <w:top w:val="nil"/>
              <w:left w:val="nil"/>
              <w:bottom w:val="single" w:sz="4" w:space="0" w:color="auto"/>
              <w:right w:val="single" w:sz="4" w:space="0" w:color="auto"/>
            </w:tcBorders>
            <w:shd w:val="clear" w:color="auto" w:fill="auto"/>
            <w:vAlign w:val="center"/>
            <w:hideMark/>
          </w:tcPr>
          <w:p w:rsidR="0019681E" w:rsidRPr="00660897" w:rsidRDefault="0019681E" w:rsidP="00B363CD">
            <w:pPr>
              <w:keepNext/>
              <w:widowControl/>
              <w:jc w:val="center"/>
              <w:rPr>
                <w:sz w:val="20"/>
                <w:szCs w:val="20"/>
              </w:rPr>
            </w:pPr>
            <w:r>
              <w:rPr>
                <w:sz w:val="20"/>
                <w:szCs w:val="20"/>
              </w:rPr>
              <w:t>300</w:t>
            </w:r>
          </w:p>
        </w:tc>
      </w:tr>
      <w:tr w:rsidR="0019681E" w:rsidRPr="00660897" w:rsidTr="001129EB">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19681E" w:rsidRPr="00660897" w:rsidRDefault="0019681E" w:rsidP="00B363CD">
            <w:pPr>
              <w:widowControl/>
              <w:jc w:val="right"/>
              <w:rPr>
                <w:b/>
                <w:bCs/>
                <w:sz w:val="20"/>
                <w:szCs w:val="20"/>
              </w:rPr>
            </w:pPr>
            <w:r w:rsidRPr="00660897">
              <w:rPr>
                <w:b/>
                <w:bCs/>
                <w:sz w:val="20"/>
                <w:szCs w:val="20"/>
              </w:rPr>
              <w:t>Total</w:t>
            </w:r>
          </w:p>
        </w:tc>
        <w:tc>
          <w:tcPr>
            <w:tcW w:w="1466" w:type="dxa"/>
            <w:tcBorders>
              <w:top w:val="nil"/>
              <w:left w:val="nil"/>
              <w:bottom w:val="single" w:sz="4" w:space="0" w:color="auto"/>
              <w:right w:val="single" w:sz="4" w:space="0" w:color="auto"/>
            </w:tcBorders>
            <w:shd w:val="clear" w:color="auto" w:fill="auto"/>
            <w:noWrap/>
            <w:vAlign w:val="center"/>
            <w:hideMark/>
          </w:tcPr>
          <w:p w:rsidR="0019681E" w:rsidRPr="00660897" w:rsidRDefault="0019681E" w:rsidP="00B363CD">
            <w:pPr>
              <w:widowControl/>
              <w:jc w:val="center"/>
              <w:rPr>
                <w:b/>
                <w:bCs/>
                <w:sz w:val="20"/>
                <w:szCs w:val="20"/>
              </w:rPr>
            </w:pPr>
            <w:r>
              <w:rPr>
                <w:b/>
                <w:bCs/>
                <w:sz w:val="20"/>
                <w:szCs w:val="20"/>
              </w:rPr>
              <w:t>1,336</w:t>
            </w:r>
          </w:p>
        </w:tc>
      </w:tr>
    </w:tbl>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6(e)</w:t>
      </w:r>
      <w:r w:rsidRPr="00660897">
        <w:rPr>
          <w:b/>
          <w:bCs/>
          <w:sz w:val="22"/>
          <w:szCs w:val="22"/>
        </w:rPr>
        <w:tab/>
        <w:t>Bottom Line Burden Hours and Costs</w:t>
      </w:r>
    </w:p>
    <w:p w:rsidR="00ED2578" w:rsidRDefault="00287A1B" w:rsidP="00ED2578">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r w:rsidRPr="00660897">
        <w:rPr>
          <w:bCs/>
          <w:sz w:val="22"/>
          <w:szCs w:val="22"/>
        </w:rPr>
        <w:t>Exhibit 6-</w:t>
      </w:r>
      <w:r w:rsidR="009B1BE6">
        <w:rPr>
          <w:bCs/>
          <w:sz w:val="22"/>
          <w:szCs w:val="22"/>
        </w:rPr>
        <w:t>6</w:t>
      </w:r>
      <w:r w:rsidR="00D50459" w:rsidRPr="00660897">
        <w:rPr>
          <w:bCs/>
          <w:sz w:val="22"/>
          <w:szCs w:val="22"/>
        </w:rPr>
        <w:t xml:space="preserve"> presents the bottom line burden hours and costs</w:t>
      </w:r>
      <w:r w:rsidR="003C7EEE" w:rsidRPr="00660897">
        <w:rPr>
          <w:bCs/>
          <w:sz w:val="22"/>
          <w:szCs w:val="22"/>
        </w:rPr>
        <w:t>.  T</w:t>
      </w:r>
      <w:r w:rsidR="00CC7D46" w:rsidRPr="00660897">
        <w:rPr>
          <w:bCs/>
          <w:sz w:val="22"/>
          <w:szCs w:val="22"/>
        </w:rPr>
        <w:t xml:space="preserve">he </w:t>
      </w:r>
      <w:r w:rsidR="00D41DB8" w:rsidRPr="00660897">
        <w:rPr>
          <w:bCs/>
          <w:sz w:val="22"/>
          <w:szCs w:val="22"/>
        </w:rPr>
        <w:t xml:space="preserve">total </w:t>
      </w:r>
      <w:r w:rsidR="00CC7D46" w:rsidRPr="00660897">
        <w:rPr>
          <w:bCs/>
          <w:sz w:val="22"/>
          <w:szCs w:val="22"/>
        </w:rPr>
        <w:t>number of respon</w:t>
      </w:r>
      <w:r w:rsidR="003C7EEE" w:rsidRPr="00660897">
        <w:rPr>
          <w:bCs/>
          <w:sz w:val="22"/>
          <w:szCs w:val="22"/>
        </w:rPr>
        <w:t>dents includes</w:t>
      </w:r>
      <w:r w:rsidR="00CD53ED">
        <w:rPr>
          <w:bCs/>
          <w:sz w:val="22"/>
          <w:szCs w:val="22"/>
        </w:rPr>
        <w:t xml:space="preserve"> both beneficial use</w:t>
      </w:r>
      <w:r w:rsidR="00CC7D46" w:rsidRPr="00660897">
        <w:rPr>
          <w:bCs/>
          <w:sz w:val="22"/>
          <w:szCs w:val="22"/>
        </w:rPr>
        <w:t xml:space="preserve"> facilit</w:t>
      </w:r>
      <w:r w:rsidR="003C7EEE" w:rsidRPr="00660897">
        <w:rPr>
          <w:bCs/>
          <w:sz w:val="22"/>
          <w:szCs w:val="22"/>
        </w:rPr>
        <w:t>ies</w:t>
      </w:r>
      <w:r w:rsidR="00D41DB8" w:rsidRPr="00660897">
        <w:rPr>
          <w:bCs/>
          <w:sz w:val="22"/>
          <w:szCs w:val="22"/>
        </w:rPr>
        <w:t xml:space="preserve"> </w:t>
      </w:r>
      <w:r w:rsidR="00CD53ED">
        <w:rPr>
          <w:bCs/>
          <w:sz w:val="22"/>
          <w:szCs w:val="22"/>
        </w:rPr>
        <w:t xml:space="preserve">and </w:t>
      </w:r>
      <w:r w:rsidR="00D41DB8" w:rsidRPr="00660897">
        <w:rPr>
          <w:bCs/>
          <w:sz w:val="22"/>
          <w:szCs w:val="22"/>
        </w:rPr>
        <w:t>(</w:t>
      </w:r>
      <w:r w:rsidR="00CD53ED">
        <w:rPr>
          <w:bCs/>
          <w:sz w:val="22"/>
          <w:szCs w:val="22"/>
        </w:rPr>
        <w:t>1,336</w:t>
      </w:r>
      <w:r w:rsidR="0027634E" w:rsidRPr="00660897">
        <w:rPr>
          <w:bCs/>
          <w:sz w:val="22"/>
          <w:szCs w:val="22"/>
        </w:rPr>
        <w:t>)</w:t>
      </w:r>
      <w:r w:rsidR="000F3429" w:rsidRPr="00660897">
        <w:rPr>
          <w:bCs/>
          <w:sz w:val="22"/>
          <w:szCs w:val="22"/>
        </w:rPr>
        <w:t xml:space="preserve"> or, where activities are associated with CCR units, a subset of the total number of units </w:t>
      </w:r>
      <w:r w:rsidR="00D41DB8" w:rsidRPr="00660897">
        <w:rPr>
          <w:bCs/>
          <w:sz w:val="22"/>
          <w:szCs w:val="22"/>
        </w:rPr>
        <w:t>(</w:t>
      </w:r>
      <w:r w:rsidR="000F3429" w:rsidRPr="00660897">
        <w:rPr>
          <w:bCs/>
          <w:sz w:val="22"/>
          <w:szCs w:val="22"/>
        </w:rPr>
        <w:t>919</w:t>
      </w:r>
      <w:r w:rsidR="00D41DB8" w:rsidRPr="00660897">
        <w:rPr>
          <w:bCs/>
          <w:sz w:val="22"/>
          <w:szCs w:val="22"/>
        </w:rPr>
        <w:t>)</w:t>
      </w:r>
      <w:r w:rsidR="00CC7D46" w:rsidRPr="00660897">
        <w:rPr>
          <w:bCs/>
          <w:sz w:val="22"/>
          <w:szCs w:val="22"/>
        </w:rPr>
        <w:t>.</w:t>
      </w:r>
    </w:p>
    <w:p w:rsidR="0062653A" w:rsidRPr="00660897" w:rsidRDefault="00287A1B" w:rsidP="00B363CD">
      <w:pPr>
        <w:pStyle w:val="ListParagraph"/>
        <w:widowControl/>
        <w:spacing w:before="240" w:line="259" w:lineRule="auto"/>
        <w:ind w:left="0"/>
        <w:contextualSpacing w:val="0"/>
        <w:jc w:val="center"/>
        <w:rPr>
          <w:rFonts w:eastAsiaTheme="minorHAnsi"/>
          <w:b/>
          <w:sz w:val="22"/>
          <w:szCs w:val="22"/>
        </w:rPr>
      </w:pPr>
      <w:r w:rsidRPr="00660897">
        <w:rPr>
          <w:rFonts w:eastAsiaTheme="minorHAnsi"/>
          <w:b/>
          <w:sz w:val="22"/>
          <w:szCs w:val="22"/>
        </w:rPr>
        <w:t>Exhibit 6-</w:t>
      </w:r>
      <w:r w:rsidR="009B1BE6">
        <w:rPr>
          <w:rFonts w:eastAsiaTheme="minorHAnsi"/>
          <w:b/>
          <w:sz w:val="22"/>
          <w:szCs w:val="22"/>
        </w:rPr>
        <w:t>6</w:t>
      </w:r>
      <w:r w:rsidR="00D50459" w:rsidRPr="00660897">
        <w:rPr>
          <w:rFonts w:eastAsiaTheme="minorHAnsi"/>
          <w:b/>
          <w:sz w:val="22"/>
          <w:szCs w:val="22"/>
        </w:rPr>
        <w:t>:</w:t>
      </w:r>
      <w:r w:rsidR="00BC08D6" w:rsidRPr="00660897">
        <w:rPr>
          <w:rFonts w:eastAsiaTheme="minorHAnsi"/>
          <w:b/>
          <w:sz w:val="22"/>
          <w:szCs w:val="22"/>
        </w:rPr>
        <w:t xml:space="preserve"> </w:t>
      </w:r>
      <w:r w:rsidR="000F3429" w:rsidRPr="00660897">
        <w:rPr>
          <w:rFonts w:eastAsiaTheme="minorHAnsi"/>
          <w:b/>
          <w:sz w:val="22"/>
          <w:szCs w:val="22"/>
        </w:rPr>
        <w:t>Annual</w:t>
      </w:r>
      <w:r w:rsidR="00BC08D6" w:rsidRPr="00660897">
        <w:rPr>
          <w:rFonts w:eastAsiaTheme="minorHAnsi"/>
          <w:b/>
          <w:sz w:val="22"/>
          <w:szCs w:val="22"/>
        </w:rPr>
        <w:t xml:space="preserve"> Total for Labor Burden, Labor Costs, and Other Costs</w:t>
      </w:r>
    </w:p>
    <w:tbl>
      <w:tblPr>
        <w:tblW w:w="9673" w:type="dxa"/>
        <w:jc w:val="center"/>
        <w:tblLayout w:type="fixed"/>
        <w:tblLook w:val="04A0" w:firstRow="1" w:lastRow="0" w:firstColumn="1" w:lastColumn="0" w:noHBand="0" w:noVBand="1"/>
      </w:tblPr>
      <w:tblGrid>
        <w:gridCol w:w="2653"/>
        <w:gridCol w:w="1620"/>
        <w:gridCol w:w="1980"/>
        <w:gridCol w:w="1800"/>
        <w:gridCol w:w="1620"/>
      </w:tblGrid>
      <w:tr w:rsidR="00F95163" w:rsidRPr="00660897" w:rsidTr="006B3E2C">
        <w:trPr>
          <w:trHeight w:val="870"/>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Provision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Total Respondents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Total Labor Burden</w:t>
            </w:r>
            <w:r w:rsidR="0001312F" w:rsidRPr="00660897">
              <w:rPr>
                <w:b/>
                <w:bCs/>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Labor Costs</w:t>
            </w:r>
            <w:r w:rsidR="0001312F" w:rsidRPr="00660897">
              <w:rPr>
                <w:b/>
                <w:bCs/>
                <w:sz w:val="20"/>
                <w:szCs w:val="20"/>
              </w:rPr>
              <w:t xml:space="preserve">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1312F" w:rsidRPr="00660897" w:rsidRDefault="0062653A">
            <w:pPr>
              <w:keepNext/>
              <w:widowControl/>
              <w:jc w:val="center"/>
              <w:rPr>
                <w:b/>
                <w:bCs/>
                <w:sz w:val="20"/>
                <w:szCs w:val="20"/>
              </w:rPr>
            </w:pPr>
            <w:r w:rsidRPr="00660897">
              <w:rPr>
                <w:b/>
                <w:bCs/>
                <w:sz w:val="20"/>
                <w:szCs w:val="20"/>
              </w:rPr>
              <w:t>Other Costs</w:t>
            </w:r>
          </w:p>
        </w:tc>
      </w:tr>
      <w:tr w:rsidR="00F95163" w:rsidRPr="00660897" w:rsidTr="001129EB">
        <w:trPr>
          <w:trHeight w:val="315"/>
          <w:jc w:val="center"/>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62653A" w:rsidRPr="008D06B5" w:rsidRDefault="008D79B8" w:rsidP="00B363CD">
            <w:pPr>
              <w:widowControl/>
              <w:rPr>
                <w:sz w:val="18"/>
                <w:szCs w:val="18"/>
              </w:rPr>
            </w:pPr>
            <w:r w:rsidRPr="008D06B5">
              <w:rPr>
                <w:sz w:val="18"/>
                <w:szCs w:val="18"/>
              </w:rPr>
              <w:t>Revisions to Criterion 4 of the Beneficial Use Definition at 40 CFR 257.73</w:t>
            </w:r>
          </w:p>
        </w:tc>
        <w:tc>
          <w:tcPr>
            <w:tcW w:w="1620" w:type="dxa"/>
            <w:tcBorders>
              <w:top w:val="nil"/>
              <w:left w:val="nil"/>
              <w:bottom w:val="single" w:sz="4" w:space="0" w:color="auto"/>
              <w:right w:val="single" w:sz="4" w:space="0" w:color="auto"/>
            </w:tcBorders>
            <w:shd w:val="clear" w:color="auto" w:fill="auto"/>
            <w:noWrap/>
            <w:vAlign w:val="center"/>
            <w:hideMark/>
          </w:tcPr>
          <w:p w:rsidR="0001312F" w:rsidRPr="008D06B5" w:rsidRDefault="008D79B8">
            <w:pPr>
              <w:widowControl/>
              <w:jc w:val="center"/>
              <w:rPr>
                <w:sz w:val="18"/>
                <w:szCs w:val="18"/>
              </w:rPr>
            </w:pPr>
            <w:r w:rsidRPr="008D06B5">
              <w:rPr>
                <w:sz w:val="18"/>
                <w:szCs w:val="18"/>
              </w:rPr>
              <w:t>Varies</w:t>
            </w:r>
          </w:p>
        </w:tc>
        <w:tc>
          <w:tcPr>
            <w:tcW w:w="1980" w:type="dxa"/>
            <w:tcBorders>
              <w:top w:val="nil"/>
              <w:left w:val="nil"/>
              <w:bottom w:val="single" w:sz="4" w:space="0" w:color="auto"/>
              <w:right w:val="single" w:sz="4" w:space="0" w:color="auto"/>
            </w:tcBorders>
            <w:shd w:val="clear" w:color="auto" w:fill="auto"/>
            <w:noWrap/>
            <w:vAlign w:val="center"/>
            <w:hideMark/>
          </w:tcPr>
          <w:p w:rsidR="0062653A" w:rsidRPr="001129EB" w:rsidRDefault="008D79B8" w:rsidP="001129EB">
            <w:pPr>
              <w:widowControl/>
              <w:adjustRightInd/>
              <w:jc w:val="center"/>
              <w:rPr>
                <w:b/>
                <w:bCs/>
                <w:sz w:val="18"/>
                <w:szCs w:val="18"/>
              </w:rPr>
            </w:pPr>
            <w:r w:rsidRPr="001129EB">
              <w:rPr>
                <w:sz w:val="18"/>
                <w:szCs w:val="18"/>
              </w:rPr>
              <w:t>6,170</w:t>
            </w:r>
            <w:r w:rsidRPr="001129EB">
              <w:rPr>
                <w:b/>
                <w:bCs/>
                <w:sz w:val="18"/>
                <w:szCs w:val="18"/>
              </w:rPr>
              <w:t xml:space="preserve"> </w:t>
            </w:r>
            <w:r w:rsidR="0001312F" w:rsidRPr="008D06B5">
              <w:rPr>
                <w:sz w:val="18"/>
                <w:szCs w:val="18"/>
              </w:rPr>
              <w:t>annualized</w:t>
            </w:r>
          </w:p>
          <w:p w:rsidR="0001312F" w:rsidRPr="008D06B5" w:rsidRDefault="008D79B8">
            <w:pPr>
              <w:widowControl/>
              <w:jc w:val="center"/>
              <w:rPr>
                <w:sz w:val="18"/>
                <w:szCs w:val="18"/>
              </w:rPr>
            </w:pPr>
            <w:r w:rsidRPr="008D06B5">
              <w:rPr>
                <w:sz w:val="18"/>
                <w:szCs w:val="18"/>
              </w:rPr>
              <w:t>18,509</w:t>
            </w:r>
            <w:r w:rsidR="0001312F" w:rsidRPr="008D06B5">
              <w:rPr>
                <w:sz w:val="18"/>
                <w:szCs w:val="18"/>
              </w:rPr>
              <w:t xml:space="preserve"> over three years</w:t>
            </w:r>
          </w:p>
        </w:tc>
        <w:tc>
          <w:tcPr>
            <w:tcW w:w="1800" w:type="dxa"/>
            <w:tcBorders>
              <w:top w:val="nil"/>
              <w:left w:val="nil"/>
              <w:bottom w:val="single" w:sz="4" w:space="0" w:color="auto"/>
              <w:right w:val="single" w:sz="4" w:space="0" w:color="auto"/>
            </w:tcBorders>
            <w:shd w:val="clear" w:color="auto" w:fill="auto"/>
            <w:noWrap/>
            <w:vAlign w:val="center"/>
            <w:hideMark/>
          </w:tcPr>
          <w:p w:rsidR="0062653A" w:rsidRPr="008D06B5" w:rsidRDefault="008B2638">
            <w:pPr>
              <w:widowControl/>
              <w:jc w:val="center"/>
              <w:rPr>
                <w:sz w:val="18"/>
                <w:szCs w:val="18"/>
              </w:rPr>
            </w:pPr>
            <w:r w:rsidRPr="008D06B5">
              <w:rPr>
                <w:sz w:val="18"/>
                <w:szCs w:val="18"/>
              </w:rPr>
              <w:t>$325,530.53</w:t>
            </w:r>
          </w:p>
        </w:tc>
        <w:tc>
          <w:tcPr>
            <w:tcW w:w="1620" w:type="dxa"/>
            <w:tcBorders>
              <w:top w:val="nil"/>
              <w:left w:val="nil"/>
              <w:bottom w:val="single" w:sz="4" w:space="0" w:color="auto"/>
              <w:right w:val="single" w:sz="4" w:space="0" w:color="auto"/>
            </w:tcBorders>
            <w:shd w:val="clear" w:color="auto" w:fill="auto"/>
            <w:noWrap/>
            <w:vAlign w:val="center"/>
            <w:hideMark/>
          </w:tcPr>
          <w:p w:rsidR="0062653A" w:rsidRPr="008D06B5" w:rsidRDefault="0001312F">
            <w:pPr>
              <w:widowControl/>
              <w:jc w:val="center"/>
              <w:rPr>
                <w:i/>
                <w:sz w:val="18"/>
                <w:szCs w:val="18"/>
              </w:rPr>
            </w:pPr>
            <w:r w:rsidRPr="008D06B5">
              <w:rPr>
                <w:i/>
                <w:sz w:val="18"/>
                <w:szCs w:val="18"/>
              </w:rPr>
              <w:t>none</w:t>
            </w:r>
          </w:p>
        </w:tc>
      </w:tr>
      <w:tr w:rsidR="008D79B8" w:rsidRPr="00A4791D" w:rsidTr="001129EB">
        <w:trPr>
          <w:trHeight w:val="315"/>
          <w:jc w:val="center"/>
        </w:trPr>
        <w:tc>
          <w:tcPr>
            <w:tcW w:w="2653" w:type="dxa"/>
            <w:tcBorders>
              <w:top w:val="nil"/>
              <w:left w:val="single" w:sz="4" w:space="0" w:color="auto"/>
              <w:bottom w:val="single" w:sz="4" w:space="0" w:color="auto"/>
              <w:right w:val="single" w:sz="4" w:space="0" w:color="auto"/>
            </w:tcBorders>
            <w:shd w:val="clear" w:color="auto" w:fill="auto"/>
            <w:vAlign w:val="center"/>
          </w:tcPr>
          <w:p w:rsidR="008D79B8" w:rsidRPr="008D06B5" w:rsidRDefault="008D79B8" w:rsidP="00C73D3F">
            <w:pPr>
              <w:widowControl/>
              <w:rPr>
                <w:sz w:val="18"/>
                <w:szCs w:val="18"/>
              </w:rPr>
            </w:pPr>
            <w:r w:rsidRPr="001129EB">
              <w:rPr>
                <w:sz w:val="18"/>
                <w:szCs w:val="18"/>
              </w:rPr>
              <w:t>Revisions to annual groundwater monitoring and corrective action report requirements</w:t>
            </w:r>
          </w:p>
        </w:tc>
        <w:tc>
          <w:tcPr>
            <w:tcW w:w="1620" w:type="dxa"/>
            <w:tcBorders>
              <w:top w:val="nil"/>
              <w:left w:val="nil"/>
              <w:bottom w:val="single" w:sz="4" w:space="0" w:color="auto"/>
              <w:right w:val="single" w:sz="4" w:space="0" w:color="auto"/>
            </w:tcBorders>
            <w:shd w:val="clear" w:color="auto" w:fill="auto"/>
            <w:noWrap/>
            <w:vAlign w:val="center"/>
          </w:tcPr>
          <w:p w:rsidR="008D79B8" w:rsidRPr="008D06B5" w:rsidRDefault="008D79B8">
            <w:pPr>
              <w:widowControl/>
              <w:jc w:val="center"/>
              <w:rPr>
                <w:sz w:val="18"/>
                <w:szCs w:val="18"/>
              </w:rPr>
            </w:pPr>
            <w:r w:rsidRPr="008D06B5">
              <w:rPr>
                <w:sz w:val="18"/>
                <w:szCs w:val="18"/>
              </w:rPr>
              <w:t>Varies</w:t>
            </w:r>
          </w:p>
        </w:tc>
        <w:tc>
          <w:tcPr>
            <w:tcW w:w="1980" w:type="dxa"/>
            <w:tcBorders>
              <w:top w:val="nil"/>
              <w:left w:val="nil"/>
              <w:bottom w:val="single" w:sz="4" w:space="0" w:color="auto"/>
              <w:right w:val="single" w:sz="4" w:space="0" w:color="auto"/>
            </w:tcBorders>
            <w:shd w:val="clear" w:color="auto" w:fill="auto"/>
            <w:noWrap/>
            <w:vAlign w:val="center"/>
          </w:tcPr>
          <w:p w:rsidR="008D79B8" w:rsidRPr="008D06B5" w:rsidRDefault="008B2638">
            <w:pPr>
              <w:widowControl/>
              <w:jc w:val="center"/>
              <w:rPr>
                <w:sz w:val="18"/>
                <w:szCs w:val="18"/>
              </w:rPr>
            </w:pPr>
            <w:r w:rsidRPr="008D06B5">
              <w:rPr>
                <w:sz w:val="18"/>
                <w:szCs w:val="18"/>
              </w:rPr>
              <w:t>1,655 annualized</w:t>
            </w:r>
          </w:p>
          <w:p w:rsidR="008B2638" w:rsidRPr="008D06B5" w:rsidRDefault="008B2638">
            <w:pPr>
              <w:widowControl/>
              <w:jc w:val="center"/>
              <w:rPr>
                <w:sz w:val="18"/>
                <w:szCs w:val="18"/>
              </w:rPr>
            </w:pPr>
            <w:r w:rsidRPr="008D06B5">
              <w:rPr>
                <w:sz w:val="18"/>
                <w:szCs w:val="18"/>
              </w:rPr>
              <w:t>4,966 over three years</w:t>
            </w:r>
          </w:p>
        </w:tc>
        <w:tc>
          <w:tcPr>
            <w:tcW w:w="1800" w:type="dxa"/>
            <w:tcBorders>
              <w:top w:val="nil"/>
              <w:left w:val="nil"/>
              <w:bottom w:val="single" w:sz="4" w:space="0" w:color="auto"/>
              <w:right w:val="single" w:sz="4" w:space="0" w:color="auto"/>
            </w:tcBorders>
            <w:shd w:val="clear" w:color="auto" w:fill="auto"/>
            <w:noWrap/>
            <w:vAlign w:val="center"/>
          </w:tcPr>
          <w:p w:rsidR="008D79B8" w:rsidRPr="008D06B5" w:rsidRDefault="008B2638">
            <w:pPr>
              <w:widowControl/>
              <w:jc w:val="center"/>
              <w:rPr>
                <w:sz w:val="18"/>
                <w:szCs w:val="18"/>
              </w:rPr>
            </w:pPr>
            <w:r w:rsidRPr="008D06B5">
              <w:rPr>
                <w:sz w:val="18"/>
                <w:szCs w:val="18"/>
              </w:rPr>
              <w:t>$119,262.95</w:t>
            </w:r>
          </w:p>
        </w:tc>
        <w:tc>
          <w:tcPr>
            <w:tcW w:w="1620" w:type="dxa"/>
            <w:tcBorders>
              <w:top w:val="nil"/>
              <w:left w:val="nil"/>
              <w:bottom w:val="single" w:sz="4" w:space="0" w:color="auto"/>
              <w:right w:val="single" w:sz="4" w:space="0" w:color="auto"/>
            </w:tcBorders>
            <w:shd w:val="clear" w:color="auto" w:fill="auto"/>
            <w:noWrap/>
            <w:vAlign w:val="center"/>
          </w:tcPr>
          <w:p w:rsidR="008D79B8" w:rsidRPr="008D06B5" w:rsidRDefault="008B2638">
            <w:pPr>
              <w:widowControl/>
              <w:jc w:val="center"/>
              <w:rPr>
                <w:sz w:val="18"/>
                <w:szCs w:val="18"/>
              </w:rPr>
            </w:pPr>
            <w:r w:rsidRPr="008D06B5">
              <w:rPr>
                <w:i/>
                <w:sz w:val="18"/>
                <w:szCs w:val="18"/>
              </w:rPr>
              <w:t>none</w:t>
            </w:r>
          </w:p>
        </w:tc>
      </w:tr>
      <w:tr w:rsidR="00F95163" w:rsidRPr="00A4791D" w:rsidTr="001129EB">
        <w:trPr>
          <w:trHeight w:val="315"/>
          <w:jc w:val="center"/>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62653A" w:rsidRPr="008D06B5" w:rsidRDefault="008D79B8" w:rsidP="00C73D3F">
            <w:pPr>
              <w:widowControl/>
              <w:rPr>
                <w:sz w:val="18"/>
                <w:szCs w:val="18"/>
              </w:rPr>
            </w:pPr>
            <w:r w:rsidRPr="008D06B5">
              <w:rPr>
                <w:sz w:val="18"/>
                <w:szCs w:val="18"/>
              </w:rPr>
              <w:t>Revisions to Reporting and Documentation Requirements</w:t>
            </w:r>
          </w:p>
        </w:tc>
        <w:tc>
          <w:tcPr>
            <w:tcW w:w="1620" w:type="dxa"/>
            <w:tcBorders>
              <w:top w:val="nil"/>
              <w:left w:val="nil"/>
              <w:bottom w:val="single" w:sz="4" w:space="0" w:color="auto"/>
              <w:right w:val="single" w:sz="4" w:space="0" w:color="auto"/>
            </w:tcBorders>
            <w:shd w:val="clear" w:color="auto" w:fill="auto"/>
            <w:noWrap/>
            <w:vAlign w:val="center"/>
          </w:tcPr>
          <w:p w:rsidR="0062653A" w:rsidRPr="008D06B5" w:rsidRDefault="008D79B8">
            <w:pPr>
              <w:widowControl/>
              <w:jc w:val="center"/>
              <w:rPr>
                <w:sz w:val="18"/>
                <w:szCs w:val="18"/>
              </w:rPr>
            </w:pPr>
            <w:r w:rsidRPr="008D06B5">
              <w:rPr>
                <w:sz w:val="18"/>
                <w:szCs w:val="18"/>
              </w:rPr>
              <w:t>2</w:t>
            </w:r>
          </w:p>
        </w:tc>
        <w:tc>
          <w:tcPr>
            <w:tcW w:w="1980" w:type="dxa"/>
            <w:tcBorders>
              <w:top w:val="nil"/>
              <w:left w:val="nil"/>
              <w:bottom w:val="single" w:sz="4" w:space="0" w:color="auto"/>
              <w:right w:val="single" w:sz="4" w:space="0" w:color="auto"/>
            </w:tcBorders>
            <w:shd w:val="clear" w:color="auto" w:fill="auto"/>
            <w:noWrap/>
            <w:vAlign w:val="center"/>
          </w:tcPr>
          <w:p w:rsidR="008D79B8" w:rsidRPr="001129EB" w:rsidRDefault="008D79B8">
            <w:pPr>
              <w:widowControl/>
              <w:adjustRightInd/>
              <w:jc w:val="center"/>
              <w:rPr>
                <w:sz w:val="18"/>
                <w:szCs w:val="18"/>
              </w:rPr>
            </w:pPr>
            <w:r w:rsidRPr="001129EB">
              <w:rPr>
                <w:sz w:val="18"/>
                <w:szCs w:val="18"/>
              </w:rPr>
              <w:t>3.34</w:t>
            </w:r>
            <w:r w:rsidR="008B2638" w:rsidRPr="001129EB">
              <w:rPr>
                <w:sz w:val="18"/>
                <w:szCs w:val="18"/>
              </w:rPr>
              <w:t xml:space="preserve"> annualized</w:t>
            </w:r>
          </w:p>
          <w:p w:rsidR="00BE21F6" w:rsidRPr="008D06B5" w:rsidRDefault="008B2638">
            <w:pPr>
              <w:widowControl/>
              <w:jc w:val="center"/>
              <w:rPr>
                <w:sz w:val="18"/>
                <w:szCs w:val="18"/>
              </w:rPr>
            </w:pPr>
            <w:r w:rsidRPr="001129EB">
              <w:rPr>
                <w:sz w:val="18"/>
                <w:szCs w:val="18"/>
              </w:rPr>
              <w:t>10.02 over three years</w:t>
            </w:r>
          </w:p>
        </w:tc>
        <w:tc>
          <w:tcPr>
            <w:tcW w:w="1800" w:type="dxa"/>
            <w:tcBorders>
              <w:top w:val="nil"/>
              <w:left w:val="nil"/>
              <w:bottom w:val="single" w:sz="4" w:space="0" w:color="auto"/>
              <w:right w:val="single" w:sz="4" w:space="0" w:color="auto"/>
            </w:tcBorders>
            <w:shd w:val="clear" w:color="auto" w:fill="auto"/>
            <w:noWrap/>
            <w:vAlign w:val="center"/>
          </w:tcPr>
          <w:p w:rsidR="0062653A" w:rsidRPr="008D06B5" w:rsidRDefault="008B2638" w:rsidP="001129EB">
            <w:pPr>
              <w:widowControl/>
              <w:adjustRightInd/>
              <w:jc w:val="center"/>
              <w:rPr>
                <w:sz w:val="18"/>
                <w:szCs w:val="18"/>
              </w:rPr>
            </w:pPr>
            <w:r w:rsidRPr="001129EB">
              <w:rPr>
                <w:sz w:val="18"/>
                <w:szCs w:val="18"/>
              </w:rPr>
              <w:t>$261.22</w:t>
            </w:r>
          </w:p>
        </w:tc>
        <w:tc>
          <w:tcPr>
            <w:tcW w:w="1620" w:type="dxa"/>
            <w:tcBorders>
              <w:top w:val="nil"/>
              <w:left w:val="nil"/>
              <w:bottom w:val="single" w:sz="4" w:space="0" w:color="auto"/>
              <w:right w:val="single" w:sz="4" w:space="0" w:color="auto"/>
            </w:tcBorders>
            <w:shd w:val="clear" w:color="auto" w:fill="auto"/>
            <w:noWrap/>
            <w:vAlign w:val="center"/>
          </w:tcPr>
          <w:p w:rsidR="00BE21F6" w:rsidRPr="008D06B5" w:rsidRDefault="008B2638">
            <w:pPr>
              <w:widowControl/>
              <w:jc w:val="center"/>
              <w:rPr>
                <w:sz w:val="18"/>
                <w:szCs w:val="18"/>
              </w:rPr>
            </w:pPr>
            <w:r w:rsidRPr="008D06B5">
              <w:rPr>
                <w:i/>
                <w:sz w:val="18"/>
                <w:szCs w:val="18"/>
              </w:rPr>
              <w:t>none</w:t>
            </w:r>
          </w:p>
        </w:tc>
      </w:tr>
      <w:tr w:rsidR="003800BF" w:rsidRPr="00A4791D" w:rsidTr="001129EB">
        <w:trPr>
          <w:trHeight w:val="315"/>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1129EB" w:rsidRDefault="0062653A" w:rsidP="00BE21F6">
            <w:pPr>
              <w:widowControl/>
              <w:adjustRightInd/>
              <w:jc w:val="center"/>
              <w:rPr>
                <w:b/>
                <w:bCs/>
                <w:color w:val="000000"/>
                <w:sz w:val="18"/>
                <w:szCs w:val="18"/>
                <w:vertAlign w:val="superscript"/>
              </w:rPr>
            </w:pPr>
            <w:r w:rsidRPr="001129EB">
              <w:rPr>
                <w:b/>
                <w:bCs/>
                <w:color w:val="000000"/>
                <w:sz w:val="18"/>
                <w:szCs w:val="18"/>
              </w:rPr>
              <w:t>Yearly Average</w:t>
            </w:r>
            <w:r w:rsidR="00475070" w:rsidRPr="001129EB">
              <w:rPr>
                <w:b/>
                <w:bCs/>
                <w:color w:val="000000"/>
                <w:sz w:val="18"/>
                <w:szCs w:val="18"/>
              </w:rPr>
              <w:t xml:space="preserve"> </w:t>
            </w:r>
            <w:r w:rsidR="008D79B8" w:rsidRPr="001129EB">
              <w:rPr>
                <w:b/>
                <w:bCs/>
                <w:color w:val="000000"/>
                <w:sz w:val="18"/>
                <w:szCs w:val="18"/>
              </w:rPr>
              <w:t>Proposed Rule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62653A" w:rsidRPr="001129EB" w:rsidRDefault="00A64F6E">
            <w:pPr>
              <w:widowControl/>
              <w:adjustRightInd/>
              <w:jc w:val="center"/>
              <w:rPr>
                <w:b/>
                <w:color w:val="000000"/>
                <w:sz w:val="18"/>
                <w:szCs w:val="18"/>
              </w:rPr>
            </w:pPr>
            <w:r w:rsidRPr="001129EB">
              <w:rPr>
                <w:b/>
                <w:bCs/>
                <w:color w:val="000000"/>
                <w:sz w:val="18"/>
                <w:szCs w:val="18"/>
              </w:rPr>
              <w:t>Varies</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62653A" w:rsidRPr="001129EB" w:rsidRDefault="008B2638">
            <w:pPr>
              <w:widowControl/>
              <w:adjustRightInd/>
              <w:jc w:val="center"/>
              <w:rPr>
                <w:b/>
                <w:bCs/>
                <w:sz w:val="18"/>
                <w:szCs w:val="18"/>
              </w:rPr>
            </w:pPr>
            <w:r w:rsidRPr="001129EB">
              <w:rPr>
                <w:b/>
                <w:bCs/>
                <w:sz w:val="18"/>
                <w:szCs w:val="18"/>
              </w:rPr>
              <w:t>7,829</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2653A" w:rsidRPr="001129EB" w:rsidRDefault="008B2638">
            <w:pPr>
              <w:widowControl/>
              <w:adjustRightInd/>
              <w:jc w:val="center"/>
              <w:rPr>
                <w:b/>
                <w:bCs/>
                <w:color w:val="000000"/>
                <w:sz w:val="18"/>
                <w:szCs w:val="18"/>
              </w:rPr>
            </w:pPr>
            <w:r w:rsidRPr="001129EB">
              <w:rPr>
                <w:b/>
                <w:bCs/>
                <w:color w:val="000000"/>
                <w:sz w:val="18"/>
                <w:szCs w:val="18"/>
              </w:rPr>
              <w:t>$445,055</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62653A" w:rsidRPr="001129EB" w:rsidRDefault="008B2638">
            <w:pPr>
              <w:widowControl/>
              <w:adjustRightInd/>
              <w:jc w:val="center"/>
              <w:rPr>
                <w:b/>
                <w:bCs/>
                <w:iCs/>
                <w:color w:val="000000"/>
                <w:sz w:val="18"/>
                <w:szCs w:val="18"/>
              </w:rPr>
            </w:pPr>
            <w:r w:rsidRPr="001129EB">
              <w:rPr>
                <w:b/>
                <w:bCs/>
                <w:iCs/>
                <w:sz w:val="18"/>
                <w:szCs w:val="18"/>
              </w:rPr>
              <w:t>$0.00</w:t>
            </w:r>
          </w:p>
        </w:tc>
      </w:tr>
      <w:tr w:rsidR="008D79B8" w:rsidRPr="00A4791D" w:rsidTr="001129EB">
        <w:trPr>
          <w:trHeight w:val="315"/>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8D79B8" w:rsidRPr="001129EB" w:rsidRDefault="008D79B8" w:rsidP="008D79B8">
            <w:pPr>
              <w:widowControl/>
              <w:adjustRightInd/>
              <w:jc w:val="center"/>
              <w:rPr>
                <w:b/>
                <w:bCs/>
                <w:color w:val="000000"/>
                <w:sz w:val="18"/>
                <w:szCs w:val="18"/>
              </w:rPr>
            </w:pPr>
            <w:r w:rsidRPr="001129EB">
              <w:rPr>
                <w:b/>
                <w:bCs/>
                <w:color w:val="000000"/>
                <w:sz w:val="18"/>
                <w:szCs w:val="18"/>
              </w:rPr>
              <w:t>Yearly Average from 2018</w:t>
            </w:r>
            <w:r w:rsidR="00032DC0" w:rsidRPr="001129EB">
              <w:rPr>
                <w:b/>
                <w:bCs/>
                <w:color w:val="000000"/>
                <w:sz w:val="18"/>
                <w:szCs w:val="18"/>
              </w:rPr>
              <w:t>-2020 ICR</w:t>
            </w:r>
            <w:r w:rsidR="009C0443" w:rsidRPr="001129EB">
              <w:rPr>
                <w:rStyle w:val="FootnoteReference"/>
                <w:b/>
                <w:bCs/>
                <w:color w:val="000000"/>
                <w:sz w:val="18"/>
                <w:szCs w:val="18"/>
              </w:rPr>
              <w:footnoteReference w:id="9"/>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D79B8" w:rsidRPr="001129EB" w:rsidRDefault="008D79B8">
            <w:pPr>
              <w:widowControl/>
              <w:adjustRightInd/>
              <w:jc w:val="center"/>
              <w:rPr>
                <w:b/>
                <w:bCs/>
                <w:color w:val="000000"/>
                <w:sz w:val="18"/>
                <w:szCs w:val="18"/>
              </w:rPr>
            </w:pPr>
            <w:r w:rsidRPr="001129EB">
              <w:rPr>
                <w:b/>
                <w:bCs/>
                <w:color w:val="000000"/>
                <w:sz w:val="18"/>
                <w:szCs w:val="18"/>
              </w:rPr>
              <w:t>Varies</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D79B8" w:rsidRPr="001129EB" w:rsidRDefault="009C0443">
            <w:pPr>
              <w:widowControl/>
              <w:jc w:val="center"/>
              <w:rPr>
                <w:b/>
                <w:bCs/>
                <w:sz w:val="18"/>
                <w:szCs w:val="18"/>
              </w:rPr>
            </w:pPr>
            <w:r w:rsidRPr="001129EB">
              <w:rPr>
                <w:b/>
                <w:bCs/>
                <w:sz w:val="18"/>
                <w:szCs w:val="18"/>
              </w:rPr>
              <w:t>175,319</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8D79B8" w:rsidRPr="001129EB" w:rsidRDefault="009C0443">
            <w:pPr>
              <w:widowControl/>
              <w:adjustRightInd/>
              <w:jc w:val="center"/>
              <w:rPr>
                <w:b/>
                <w:bCs/>
                <w:sz w:val="18"/>
                <w:szCs w:val="18"/>
              </w:rPr>
            </w:pPr>
            <w:r w:rsidRPr="001129EB">
              <w:rPr>
                <w:b/>
                <w:bCs/>
                <w:sz w:val="18"/>
                <w:szCs w:val="18"/>
              </w:rPr>
              <w:t>$9,908,639</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D79B8" w:rsidRPr="001129EB" w:rsidRDefault="009C0443">
            <w:pPr>
              <w:widowControl/>
              <w:adjustRightInd/>
              <w:jc w:val="center"/>
              <w:rPr>
                <w:b/>
                <w:bCs/>
                <w:sz w:val="18"/>
                <w:szCs w:val="18"/>
              </w:rPr>
            </w:pPr>
            <w:r w:rsidRPr="001129EB">
              <w:rPr>
                <w:b/>
                <w:bCs/>
                <w:sz w:val="18"/>
                <w:szCs w:val="18"/>
              </w:rPr>
              <w:t>$7,538,452</w:t>
            </w:r>
          </w:p>
        </w:tc>
      </w:tr>
      <w:tr w:rsidR="009C0443" w:rsidRPr="00A4791D" w:rsidTr="001129EB">
        <w:trPr>
          <w:trHeight w:val="315"/>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9C0443" w:rsidRPr="001129EB" w:rsidRDefault="009C0443" w:rsidP="009C0443">
            <w:pPr>
              <w:widowControl/>
              <w:adjustRightInd/>
              <w:jc w:val="center"/>
              <w:rPr>
                <w:b/>
                <w:bCs/>
                <w:color w:val="000000"/>
                <w:sz w:val="18"/>
                <w:szCs w:val="18"/>
              </w:rPr>
            </w:pPr>
            <w:r w:rsidRPr="001129EB">
              <w:rPr>
                <w:b/>
                <w:bCs/>
                <w:color w:val="000000"/>
                <w:sz w:val="18"/>
                <w:szCs w:val="18"/>
              </w:rPr>
              <w:t>Total</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C0443" w:rsidRPr="001129EB" w:rsidRDefault="009C0443">
            <w:pPr>
              <w:widowControl/>
              <w:adjustRightInd/>
              <w:jc w:val="center"/>
              <w:rPr>
                <w:b/>
                <w:bCs/>
                <w:color w:val="000000"/>
                <w:sz w:val="18"/>
                <w:szCs w:val="18"/>
              </w:rPr>
            </w:pPr>
            <w:r w:rsidRPr="001129EB">
              <w:rPr>
                <w:b/>
                <w:bCs/>
                <w:color w:val="000000"/>
                <w:sz w:val="18"/>
                <w:szCs w:val="18"/>
              </w:rPr>
              <w:t>Varies</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9C0443" w:rsidRPr="001129EB" w:rsidRDefault="009C0443">
            <w:pPr>
              <w:widowControl/>
              <w:jc w:val="center"/>
              <w:rPr>
                <w:b/>
                <w:bCs/>
                <w:sz w:val="18"/>
                <w:szCs w:val="18"/>
              </w:rPr>
            </w:pPr>
            <w:r w:rsidRPr="001129EB">
              <w:rPr>
                <w:b/>
                <w:bCs/>
                <w:sz w:val="18"/>
                <w:szCs w:val="18"/>
              </w:rPr>
              <w:t>183,148</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C0443" w:rsidRPr="001129EB" w:rsidRDefault="009C0443">
            <w:pPr>
              <w:widowControl/>
              <w:adjustRightInd/>
              <w:jc w:val="center"/>
              <w:rPr>
                <w:b/>
                <w:bCs/>
                <w:sz w:val="18"/>
                <w:szCs w:val="18"/>
              </w:rPr>
            </w:pPr>
            <w:r w:rsidRPr="001129EB">
              <w:rPr>
                <w:b/>
                <w:bCs/>
                <w:sz w:val="18"/>
                <w:szCs w:val="18"/>
              </w:rPr>
              <w:t>$10,353,694</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C0443" w:rsidRPr="001129EB" w:rsidRDefault="009C0443">
            <w:pPr>
              <w:widowControl/>
              <w:adjustRightInd/>
              <w:jc w:val="center"/>
              <w:rPr>
                <w:b/>
                <w:color w:val="000000"/>
                <w:sz w:val="18"/>
                <w:szCs w:val="18"/>
                <w:vertAlign w:val="superscript"/>
              </w:rPr>
            </w:pPr>
            <w:r w:rsidRPr="001129EB">
              <w:rPr>
                <w:b/>
                <w:bCs/>
                <w:sz w:val="18"/>
                <w:szCs w:val="18"/>
              </w:rPr>
              <w:t xml:space="preserve">$7,538,452 </w:t>
            </w:r>
          </w:p>
        </w:tc>
      </w:tr>
    </w:tbl>
    <w:p w:rsidR="007824B8" w:rsidRPr="00A4791D" w:rsidRDefault="007824B8" w:rsidP="00B363CD">
      <w:pPr>
        <w:widowControl/>
        <w:rPr>
          <w:sz w:val="20"/>
          <w:szCs w:val="22"/>
        </w:rPr>
      </w:pPr>
    </w:p>
    <w:p w:rsidR="00660897" w:rsidRPr="00834BAC" w:rsidRDefault="00660897"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A4791D">
        <w:rPr>
          <w:b/>
          <w:bCs/>
          <w:sz w:val="22"/>
          <w:szCs w:val="22"/>
        </w:rPr>
        <w:t>6(f)</w:t>
      </w:r>
      <w:r w:rsidRPr="00A4791D">
        <w:rPr>
          <w:b/>
          <w:bCs/>
          <w:sz w:val="22"/>
          <w:szCs w:val="22"/>
        </w:rPr>
        <w:tab/>
        <w:t>Reasons for Change in Burden</w:t>
      </w:r>
    </w:p>
    <w:p w:rsidR="00660897" w:rsidRPr="00834BAC" w:rsidRDefault="00704314"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 xml:space="preserve">This ICR </w:t>
      </w:r>
      <w:r w:rsidR="00457043">
        <w:rPr>
          <w:sz w:val="22"/>
          <w:szCs w:val="22"/>
        </w:rPr>
        <w:t>ref</w:t>
      </w:r>
      <w:r>
        <w:rPr>
          <w:sz w:val="22"/>
          <w:szCs w:val="22"/>
        </w:rPr>
        <w:t>l</w:t>
      </w:r>
      <w:r w:rsidR="00457043">
        <w:rPr>
          <w:sz w:val="22"/>
          <w:szCs w:val="22"/>
        </w:rPr>
        <w:t>ects</w:t>
      </w:r>
      <w:r w:rsidR="00660897" w:rsidRPr="00834BAC">
        <w:rPr>
          <w:sz w:val="22"/>
          <w:szCs w:val="22"/>
        </w:rPr>
        <w:t xml:space="preserve"> </w:t>
      </w:r>
      <w:r>
        <w:rPr>
          <w:sz w:val="22"/>
          <w:szCs w:val="22"/>
        </w:rPr>
        <w:t>a</w:t>
      </w:r>
      <w:r w:rsidR="008B2638">
        <w:rPr>
          <w:sz w:val="22"/>
          <w:szCs w:val="22"/>
        </w:rPr>
        <w:t xml:space="preserve">n increase </w:t>
      </w:r>
      <w:r w:rsidR="00660897" w:rsidRPr="00834BAC">
        <w:rPr>
          <w:sz w:val="22"/>
          <w:szCs w:val="22"/>
        </w:rPr>
        <w:t xml:space="preserve">to the </w:t>
      </w:r>
      <w:r>
        <w:rPr>
          <w:sz w:val="22"/>
          <w:szCs w:val="22"/>
        </w:rPr>
        <w:t>currently approved burden hour and cost</w:t>
      </w:r>
      <w:r w:rsidRPr="00834BAC">
        <w:rPr>
          <w:sz w:val="22"/>
          <w:szCs w:val="22"/>
        </w:rPr>
        <w:t xml:space="preserve"> </w:t>
      </w:r>
      <w:r w:rsidR="00660897" w:rsidRPr="00834BAC">
        <w:rPr>
          <w:sz w:val="22"/>
          <w:szCs w:val="22"/>
        </w:rPr>
        <w:t xml:space="preserve">estimates based on </w:t>
      </w:r>
      <w:r w:rsidR="00457043">
        <w:rPr>
          <w:sz w:val="22"/>
          <w:szCs w:val="22"/>
        </w:rPr>
        <w:t xml:space="preserve">changes to requirements under the </w:t>
      </w:r>
      <w:r w:rsidR="008B2638">
        <w:rPr>
          <w:sz w:val="22"/>
          <w:szCs w:val="22"/>
        </w:rPr>
        <w:t>Proposed</w:t>
      </w:r>
      <w:r w:rsidR="008B2638" w:rsidRPr="00BF6B91">
        <w:rPr>
          <w:sz w:val="22"/>
          <w:szCs w:val="22"/>
        </w:rPr>
        <w:t xml:space="preserve"> </w:t>
      </w:r>
      <w:r w:rsidR="00BF6B91" w:rsidRPr="00BF6B91">
        <w:rPr>
          <w:sz w:val="22"/>
          <w:szCs w:val="22"/>
        </w:rPr>
        <w:t>Rule</w:t>
      </w:r>
      <w:r w:rsidR="00457043">
        <w:rPr>
          <w:sz w:val="22"/>
          <w:szCs w:val="22"/>
        </w:rPr>
        <w:t>.</w:t>
      </w:r>
      <w:r>
        <w:rPr>
          <w:sz w:val="22"/>
          <w:szCs w:val="22"/>
        </w:rPr>
        <w:t xml:space="preserve"> These program changes will result in an annual burden </w:t>
      </w:r>
      <w:r w:rsidR="008B2638">
        <w:rPr>
          <w:sz w:val="22"/>
          <w:szCs w:val="22"/>
        </w:rPr>
        <w:t xml:space="preserve">increase </w:t>
      </w:r>
      <w:r>
        <w:rPr>
          <w:sz w:val="22"/>
          <w:szCs w:val="22"/>
        </w:rPr>
        <w:t xml:space="preserve">of </w:t>
      </w:r>
      <w:r w:rsidR="008B2638">
        <w:rPr>
          <w:sz w:val="22"/>
          <w:szCs w:val="22"/>
        </w:rPr>
        <w:t>7,829</w:t>
      </w:r>
      <w:r>
        <w:rPr>
          <w:sz w:val="22"/>
          <w:szCs w:val="22"/>
        </w:rPr>
        <w:t xml:space="preserve"> hours and $</w:t>
      </w:r>
      <w:r w:rsidR="008B2638">
        <w:rPr>
          <w:sz w:val="22"/>
          <w:szCs w:val="22"/>
        </w:rPr>
        <w:t>445,055</w:t>
      </w:r>
      <w:r>
        <w:rPr>
          <w:sz w:val="22"/>
          <w:szCs w:val="22"/>
        </w:rPr>
        <w:t xml:space="preserve"> ($</w:t>
      </w:r>
      <w:r w:rsidR="008B2638">
        <w:rPr>
          <w:sz w:val="22"/>
          <w:szCs w:val="22"/>
        </w:rPr>
        <w:t>445,055</w:t>
      </w:r>
      <w:r w:rsidR="006B3E2C">
        <w:rPr>
          <w:sz w:val="22"/>
          <w:szCs w:val="22"/>
        </w:rPr>
        <w:t xml:space="preserve"> </w:t>
      </w:r>
      <w:r>
        <w:rPr>
          <w:sz w:val="22"/>
          <w:szCs w:val="22"/>
        </w:rPr>
        <w:t>in labor costs and $</w:t>
      </w:r>
      <w:r w:rsidR="008B2638">
        <w:rPr>
          <w:sz w:val="22"/>
          <w:szCs w:val="22"/>
        </w:rPr>
        <w:t>0</w:t>
      </w:r>
      <w:r>
        <w:rPr>
          <w:sz w:val="22"/>
          <w:szCs w:val="22"/>
        </w:rPr>
        <w:t xml:space="preserve"> in other costs).</w:t>
      </w:r>
      <w:r w:rsidR="00284189">
        <w:rPr>
          <w:sz w:val="22"/>
          <w:szCs w:val="22"/>
        </w:rPr>
        <w:t xml:space="preserve"> This is a </w:t>
      </w:r>
      <w:r w:rsidR="008B2638">
        <w:rPr>
          <w:sz w:val="22"/>
          <w:szCs w:val="22"/>
        </w:rPr>
        <w:t xml:space="preserve">regulatory </w:t>
      </w:r>
      <w:r w:rsidR="00284189">
        <w:rPr>
          <w:sz w:val="22"/>
          <w:szCs w:val="22"/>
        </w:rPr>
        <w:t>action under EO 13771.</w:t>
      </w:r>
    </w:p>
    <w:p w:rsidR="00660897" w:rsidRPr="00834BAC" w:rsidRDefault="00660897" w:rsidP="00B363CD">
      <w:pPr>
        <w:widowControl/>
        <w:autoSpaceDE w:val="0"/>
        <w:autoSpaceDN w:val="0"/>
        <w:ind w:firstLine="720"/>
        <w:rPr>
          <w:strike/>
          <w:sz w:val="22"/>
          <w:szCs w:val="22"/>
        </w:rPr>
      </w:pPr>
    </w:p>
    <w:p w:rsidR="00C45052" w:rsidRPr="00ED2578" w:rsidRDefault="00834BAC"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D2578">
        <w:rPr>
          <w:b/>
          <w:sz w:val="22"/>
          <w:szCs w:val="22"/>
        </w:rPr>
        <w:t xml:space="preserve">6(g)   </w:t>
      </w:r>
      <w:r w:rsidRPr="00ED2578">
        <w:rPr>
          <w:b/>
          <w:sz w:val="22"/>
          <w:szCs w:val="22"/>
        </w:rPr>
        <w:tab/>
      </w:r>
      <w:r w:rsidR="00594D23" w:rsidRPr="00ED2578">
        <w:rPr>
          <w:b/>
          <w:sz w:val="22"/>
          <w:szCs w:val="22"/>
        </w:rPr>
        <w:t>Burden Statement</w:t>
      </w:r>
    </w:p>
    <w:p w:rsidR="00C45052" w:rsidRPr="00660897" w:rsidRDefault="00594D23"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60897">
        <w:rPr>
          <w:sz w:val="22"/>
          <w:szCs w:val="22"/>
        </w:rPr>
        <w:t xml:space="preserve">  </w:t>
      </w:r>
    </w:p>
    <w:p w:rsidR="00336E34" w:rsidRPr="00660897" w:rsidRDefault="00C45052"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660897">
        <w:rPr>
          <w:sz w:val="22"/>
          <w:szCs w:val="22"/>
        </w:rPr>
        <w:tab/>
      </w:r>
      <w:r w:rsidR="00336E34" w:rsidRPr="00660897">
        <w:rPr>
          <w:sz w:val="22"/>
          <w:szCs w:val="22"/>
        </w:rPr>
        <w:t xml:space="preserve">The annual </w:t>
      </w:r>
      <w:r w:rsidR="00336E34" w:rsidRPr="005F67F8">
        <w:rPr>
          <w:sz w:val="22"/>
          <w:szCs w:val="22"/>
        </w:rPr>
        <w:t xml:space="preserve">reporting and recordkeeping burden for this collection of information is estimated to </w:t>
      </w:r>
      <w:r w:rsidR="008B2638">
        <w:rPr>
          <w:sz w:val="22"/>
          <w:szCs w:val="22"/>
        </w:rPr>
        <w:t>increase</w:t>
      </w:r>
      <w:r w:rsidR="008B2638" w:rsidRPr="005F67F8">
        <w:rPr>
          <w:sz w:val="22"/>
          <w:szCs w:val="22"/>
        </w:rPr>
        <w:t xml:space="preserve"> </w:t>
      </w:r>
      <w:r w:rsidR="008B3806" w:rsidRPr="005F67F8">
        <w:rPr>
          <w:sz w:val="22"/>
          <w:szCs w:val="22"/>
        </w:rPr>
        <w:t xml:space="preserve">baseline burden by </w:t>
      </w:r>
      <w:r w:rsidR="008B2638">
        <w:rPr>
          <w:sz w:val="22"/>
          <w:szCs w:val="22"/>
        </w:rPr>
        <w:t>7,829 hours and $445,055 per year</w:t>
      </w:r>
      <w:r w:rsidR="008B3806" w:rsidRPr="005F67F8">
        <w:rPr>
          <w:sz w:val="22"/>
          <w:szCs w:val="22"/>
        </w:rPr>
        <w:t xml:space="preserve">, for a final estimate of </w:t>
      </w:r>
      <w:r w:rsidR="008D06B5">
        <w:rPr>
          <w:sz w:val="22"/>
          <w:szCs w:val="22"/>
        </w:rPr>
        <w:t>183,148</w:t>
      </w:r>
      <w:r w:rsidR="008B3806" w:rsidRPr="005F67F8">
        <w:rPr>
          <w:sz w:val="22"/>
          <w:szCs w:val="22"/>
        </w:rPr>
        <w:t xml:space="preserve"> hours and $</w:t>
      </w:r>
      <w:r w:rsidR="008D06B5">
        <w:rPr>
          <w:sz w:val="22"/>
          <w:szCs w:val="22"/>
        </w:rPr>
        <w:t>17.9</w:t>
      </w:r>
      <w:r w:rsidR="008B3806" w:rsidRPr="005F67F8">
        <w:rPr>
          <w:sz w:val="22"/>
          <w:szCs w:val="22"/>
        </w:rPr>
        <w:t xml:space="preserve"> million per year.</w:t>
      </w:r>
      <w:r w:rsidR="00336E34" w:rsidRPr="005F67F8">
        <w:rPr>
          <w:color w:val="000000"/>
          <w:sz w:val="22"/>
          <w:szCs w:val="22"/>
        </w:rPr>
        <w:t xml:space="preserve">  Bu</w:t>
      </w:r>
      <w:r w:rsidR="00336E34" w:rsidRPr="00660897">
        <w:rPr>
          <w:color w:val="000000"/>
          <w:sz w:val="22"/>
          <w:szCs w:val="22"/>
        </w:rPr>
        <w:t xml:space="preserve">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36E34" w:rsidRPr="00660897" w:rsidRDefault="00336E34"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336E34" w:rsidRDefault="00336E34" w:rsidP="00B363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660897">
        <w:rPr>
          <w:color w:val="000000"/>
          <w:sz w:val="22"/>
          <w:szCs w:val="22"/>
        </w:rPr>
        <w:tab/>
      </w:r>
      <w:r w:rsidRPr="00E11494">
        <w:rPr>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w:t>
      </w:r>
      <w:r w:rsidR="00FF388A" w:rsidRPr="00E11494">
        <w:rPr>
          <w:sz w:val="22"/>
          <w:szCs w:val="22"/>
        </w:rPr>
        <w:t>nder Docket ID Number EPA-HQ</w:t>
      </w:r>
      <w:r w:rsidRPr="00E11494">
        <w:rPr>
          <w:sz w:val="22"/>
          <w:szCs w:val="22"/>
        </w:rPr>
        <w:t>-</w:t>
      </w:r>
      <w:r w:rsidR="00FF388A" w:rsidRPr="00E11494">
        <w:rPr>
          <w:sz w:val="22"/>
          <w:szCs w:val="22"/>
        </w:rPr>
        <w:t>OLEM-2017-</w:t>
      </w:r>
      <w:r w:rsidR="006131C4" w:rsidRPr="00E11494">
        <w:rPr>
          <w:sz w:val="22"/>
          <w:szCs w:val="22"/>
        </w:rPr>
        <w:t>0524</w:t>
      </w:r>
      <w:r w:rsidRPr="00E11494">
        <w:rPr>
          <w:sz w:val="22"/>
          <w:szCs w:val="22"/>
        </w:rPr>
        <w:t xml:space="preserve">, which is available for online viewing at </w:t>
      </w:r>
      <w:r w:rsidR="009F08FE" w:rsidRPr="00E11494">
        <w:t>www.regulations.gov</w:t>
      </w:r>
      <w:r w:rsidRPr="00E11494">
        <w:rPr>
          <w:sz w:val="22"/>
          <w:szCs w:val="22"/>
        </w:rPr>
        <w:t>, or in person viewing at the OLEM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OLEM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E11494">
        <w:rPr>
          <w:rFonts w:ascii="Courier New" w:hAnsi="Courier New" w:cs="Courier New"/>
          <w:sz w:val="22"/>
          <w:szCs w:val="22"/>
        </w:rPr>
        <w:t xml:space="preserve"> </w:t>
      </w:r>
      <w:r w:rsidRPr="00E11494">
        <w:rPr>
          <w:sz w:val="22"/>
          <w:szCs w:val="22"/>
        </w:rPr>
        <w:t>Number EPA-HQ-O</w:t>
      </w:r>
      <w:r w:rsidR="0060325D" w:rsidRPr="00E11494">
        <w:rPr>
          <w:sz w:val="22"/>
          <w:szCs w:val="22"/>
        </w:rPr>
        <w:t>LEM-2017-</w:t>
      </w:r>
      <w:r w:rsidR="0026280B" w:rsidRPr="00E11494">
        <w:rPr>
          <w:sz w:val="22"/>
          <w:szCs w:val="22"/>
        </w:rPr>
        <w:t xml:space="preserve">0524 </w:t>
      </w:r>
      <w:r w:rsidR="0060325D" w:rsidRPr="00E11494">
        <w:rPr>
          <w:sz w:val="22"/>
          <w:szCs w:val="22"/>
        </w:rPr>
        <w:t xml:space="preserve">and OMB Control Number 2050-0053 </w:t>
      </w:r>
      <w:r w:rsidRPr="00E11494">
        <w:rPr>
          <w:sz w:val="22"/>
          <w:szCs w:val="22"/>
        </w:rPr>
        <w:t>in any correspondence.</w:t>
      </w:r>
    </w:p>
    <w:p w:rsidR="00D577DB" w:rsidRDefault="00D577DB" w:rsidP="00B363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p>
    <w:p w:rsidR="00834BAC" w:rsidRDefault="00834BAC" w:rsidP="00B363CD">
      <w:pPr>
        <w:widowControl/>
        <w:adjustRightInd/>
        <w:spacing w:after="160" w:line="259" w:lineRule="auto"/>
        <w:rPr>
          <w:b/>
          <w:bCs/>
          <w:sz w:val="30"/>
          <w:szCs w:val="30"/>
        </w:rPr>
      </w:pPr>
      <w:r>
        <w:rPr>
          <w:b/>
          <w:bCs/>
          <w:sz w:val="30"/>
          <w:szCs w:val="30"/>
        </w:rPr>
        <w:br w:type="page"/>
      </w:r>
    </w:p>
    <w:p w:rsidR="00834BAC" w:rsidRPr="00D95940" w:rsidRDefault="00834BAC" w:rsidP="00ED2578">
      <w:pPr>
        <w:pStyle w:val="Heading1"/>
        <w:jc w:val="center"/>
      </w:pPr>
      <w:r w:rsidRPr="00D95940">
        <w:t>ATTACHMENT</w:t>
      </w:r>
    </w:p>
    <w:p w:rsidR="00834BAC" w:rsidRPr="00D95940" w:rsidRDefault="00834BAC" w:rsidP="00B363CD">
      <w:pPr>
        <w:widowControl/>
        <w:autoSpaceDE w:val="0"/>
        <w:autoSpaceDN w:val="0"/>
        <w:rPr>
          <w:b/>
          <w:bCs/>
        </w:rPr>
      </w:pPr>
    </w:p>
    <w:p w:rsidR="00834BAC" w:rsidRPr="00E11494" w:rsidRDefault="00834BAC" w:rsidP="00B363CD">
      <w:pPr>
        <w:widowControl/>
        <w:tabs>
          <w:tab w:val="center" w:pos="4680"/>
        </w:tabs>
        <w:autoSpaceDE w:val="0"/>
        <w:autoSpaceDN w:val="0"/>
      </w:pPr>
      <w:r w:rsidRPr="00D95940">
        <w:rPr>
          <w:b/>
          <w:bCs/>
        </w:rPr>
        <w:tab/>
      </w:r>
      <w:r w:rsidRPr="00E11494">
        <w:rPr>
          <w:b/>
          <w:bCs/>
        </w:rPr>
        <w:t>INFORMATION COLLECTION REQUEST 1189.26</w:t>
      </w:r>
    </w:p>
    <w:p w:rsidR="00834BAC" w:rsidRPr="00D95940" w:rsidRDefault="00834BAC" w:rsidP="00B363CD">
      <w:pPr>
        <w:widowControl/>
        <w:tabs>
          <w:tab w:val="center" w:pos="4680"/>
        </w:tabs>
        <w:autoSpaceDE w:val="0"/>
        <w:autoSpaceDN w:val="0"/>
        <w:rPr>
          <w:b/>
          <w:bCs/>
        </w:rPr>
      </w:pPr>
      <w:r w:rsidRPr="00E11494">
        <w:rPr>
          <w:b/>
          <w:bCs/>
        </w:rPr>
        <w:tab/>
        <w:t>BURDEN ESTIMATE METHODOLOGY</w:t>
      </w:r>
      <w:r w:rsidRPr="00D95940">
        <w:t xml:space="preserve"> </w:t>
      </w:r>
    </w:p>
    <w:p w:rsidR="00834BAC" w:rsidRPr="00D95940" w:rsidRDefault="00834BAC" w:rsidP="00B363CD">
      <w:pPr>
        <w:widowControl/>
        <w:autoSpaceDE w:val="0"/>
        <w:autoSpaceDN w:val="0"/>
      </w:pPr>
    </w:p>
    <w:p w:rsidR="00834BAC" w:rsidRPr="00D95940" w:rsidRDefault="00834BAC" w:rsidP="00B363CD">
      <w:pPr>
        <w:widowControl/>
        <w:tabs>
          <w:tab w:val="center" w:pos="4680"/>
        </w:tabs>
        <w:autoSpaceDE w:val="0"/>
        <w:autoSpaceDN w:val="0"/>
      </w:pPr>
      <w:r w:rsidRPr="00D95940">
        <w:tab/>
      </w:r>
    </w:p>
    <w:p w:rsidR="00D577DB" w:rsidRPr="00834BAC" w:rsidRDefault="00834BAC" w:rsidP="00B363CD">
      <w:pPr>
        <w:widowControl/>
        <w:tabs>
          <w:tab w:val="center" w:pos="4680"/>
        </w:tabs>
        <w:autoSpaceDE w:val="0"/>
        <w:autoSpaceDN w:val="0"/>
        <w:rPr>
          <w:sz w:val="22"/>
          <w:szCs w:val="22"/>
        </w:rPr>
      </w:pPr>
      <w:r w:rsidRPr="00834BAC">
        <w:rPr>
          <w:sz w:val="22"/>
          <w:szCs w:val="22"/>
        </w:rPr>
        <w:t>40 CFR Part 2</w:t>
      </w:r>
      <w:r>
        <w:rPr>
          <w:sz w:val="22"/>
          <w:szCs w:val="22"/>
        </w:rPr>
        <w:t>57</w:t>
      </w:r>
      <w:r w:rsidRPr="00834BAC">
        <w:rPr>
          <w:sz w:val="22"/>
          <w:szCs w:val="22"/>
        </w:rPr>
        <w:t xml:space="preserve"> contain</w:t>
      </w:r>
      <w:r>
        <w:rPr>
          <w:sz w:val="22"/>
          <w:szCs w:val="22"/>
        </w:rPr>
        <w:t>s</w:t>
      </w:r>
      <w:r w:rsidRPr="00834BAC">
        <w:rPr>
          <w:sz w:val="22"/>
          <w:szCs w:val="22"/>
        </w:rPr>
        <w:t xml:space="preserve"> provisions that </w:t>
      </w:r>
      <w:r w:rsidRPr="00722E5F">
        <w:rPr>
          <w:sz w:val="22"/>
          <w:szCs w:val="22"/>
        </w:rPr>
        <w:t>regulate the disposal of CCR generated by electric utilities as solid waste under RCRA Subtitle D and finalizes national minimum criteria for existing and new CCR landfills and existing and new CCR surface impoundments and all lateral expansions</w:t>
      </w:r>
      <w:r>
        <w:rPr>
          <w:sz w:val="22"/>
          <w:szCs w:val="22"/>
        </w:rPr>
        <w:t>.</w:t>
      </w:r>
      <w:r w:rsidRPr="00834BAC">
        <w:rPr>
          <w:sz w:val="22"/>
          <w:szCs w:val="22"/>
        </w:rPr>
        <w:t xml:space="preserve"> This </w:t>
      </w:r>
      <w:r>
        <w:rPr>
          <w:sz w:val="22"/>
          <w:szCs w:val="22"/>
        </w:rPr>
        <w:t xml:space="preserve">regulatory </w:t>
      </w:r>
      <w:r w:rsidRPr="00834BAC">
        <w:rPr>
          <w:sz w:val="22"/>
          <w:szCs w:val="22"/>
        </w:rPr>
        <w:t>process entails some amount of burden that is shouldered by the r</w:t>
      </w:r>
      <w:r>
        <w:rPr>
          <w:sz w:val="22"/>
          <w:szCs w:val="22"/>
        </w:rPr>
        <w:t>egulated community</w:t>
      </w:r>
      <w:r w:rsidRPr="00834BAC">
        <w:rPr>
          <w:sz w:val="22"/>
          <w:szCs w:val="22"/>
        </w:rPr>
        <w:t>. In accordance with the 1995 Paperwork Reduction Act (as amended), EPA must estimate respondent and Agency burden associated with all regulatory activities in 40 CFR Part</w:t>
      </w:r>
      <w:r>
        <w:rPr>
          <w:sz w:val="22"/>
          <w:szCs w:val="22"/>
        </w:rPr>
        <w:t xml:space="preserve"> 257</w:t>
      </w:r>
      <w:r w:rsidRPr="00834BAC">
        <w:rPr>
          <w:sz w:val="22"/>
          <w:szCs w:val="22"/>
        </w:rPr>
        <w:t xml:space="preserve">. Once burden estimates are developed, EPA submits an Information Collection Request (ICR) to the Office of Management and Budget (OMB) for approval. This </w:t>
      </w:r>
      <w:r>
        <w:rPr>
          <w:sz w:val="22"/>
          <w:szCs w:val="22"/>
        </w:rPr>
        <w:t>attachmen</w:t>
      </w:r>
      <w:r w:rsidRPr="00834BAC">
        <w:rPr>
          <w:sz w:val="22"/>
          <w:szCs w:val="22"/>
        </w:rPr>
        <w:t xml:space="preserve">t </w:t>
      </w:r>
      <w:r>
        <w:rPr>
          <w:sz w:val="22"/>
          <w:szCs w:val="22"/>
        </w:rPr>
        <w:t xml:space="preserve">provides a detailed breakdown of the </w:t>
      </w:r>
      <w:r w:rsidRPr="00834BAC">
        <w:rPr>
          <w:sz w:val="22"/>
          <w:szCs w:val="22"/>
        </w:rPr>
        <w:t xml:space="preserve">burden estimates </w:t>
      </w:r>
      <w:r>
        <w:rPr>
          <w:sz w:val="22"/>
          <w:szCs w:val="22"/>
        </w:rPr>
        <w:t xml:space="preserve">and number of entities affected that are associated with the </w:t>
      </w:r>
      <w:r w:rsidR="0094057C">
        <w:rPr>
          <w:sz w:val="22"/>
          <w:szCs w:val="22"/>
        </w:rPr>
        <w:t>Proposed</w:t>
      </w:r>
      <w:r w:rsidR="0094057C" w:rsidRPr="00BF6B91">
        <w:rPr>
          <w:sz w:val="22"/>
          <w:szCs w:val="22"/>
        </w:rPr>
        <w:t xml:space="preserve"> </w:t>
      </w:r>
      <w:r w:rsidR="00BF6B91" w:rsidRPr="00BF6B91">
        <w:rPr>
          <w:sz w:val="22"/>
          <w:szCs w:val="22"/>
        </w:rPr>
        <w:t>Rule</w:t>
      </w:r>
      <w:r w:rsidR="00BF6B91" w:rsidRPr="00BF6B91" w:rsidDel="00BF6B91">
        <w:rPr>
          <w:sz w:val="22"/>
          <w:szCs w:val="22"/>
        </w:rPr>
        <w:t xml:space="preserve"> </w:t>
      </w:r>
      <w:r>
        <w:rPr>
          <w:sz w:val="22"/>
          <w:szCs w:val="22"/>
        </w:rPr>
        <w:t>(the reg</w:t>
      </w:r>
      <w:r w:rsidRPr="00834BAC">
        <w:rPr>
          <w:sz w:val="22"/>
          <w:szCs w:val="22"/>
        </w:rPr>
        <w:t>ulato</w:t>
      </w:r>
      <w:r>
        <w:rPr>
          <w:sz w:val="22"/>
          <w:szCs w:val="22"/>
        </w:rPr>
        <w:t>ry activities cited above).</w:t>
      </w:r>
    </w:p>
    <w:p w:rsidR="00D577DB" w:rsidRDefault="00D577DB" w:rsidP="00B363CD">
      <w:pPr>
        <w:pageBreakBefore/>
        <w:widowControl/>
        <w:adjustRightInd/>
        <w:rPr>
          <w:b/>
          <w:bCs/>
          <w:sz w:val="16"/>
          <w:szCs w:val="16"/>
        </w:rPr>
        <w:sectPr w:rsidR="00D577DB" w:rsidSect="00D577DB">
          <w:footerReference w:type="default" r:id="rId13"/>
          <w:pgSz w:w="12240" w:h="15840"/>
          <w:pgMar w:top="1440" w:right="1440" w:bottom="1440" w:left="1440" w:header="720" w:footer="720" w:gutter="0"/>
          <w:cols w:space="720"/>
          <w:docGrid w:linePitch="360"/>
        </w:sectPr>
      </w:pPr>
    </w:p>
    <w:tbl>
      <w:tblPr>
        <w:tblW w:w="12615" w:type="dxa"/>
        <w:tblInd w:w="93" w:type="dxa"/>
        <w:tblLayout w:type="fixed"/>
        <w:tblLook w:val="04A0" w:firstRow="1" w:lastRow="0" w:firstColumn="1" w:lastColumn="0" w:noHBand="0" w:noVBand="1"/>
      </w:tblPr>
      <w:tblGrid>
        <w:gridCol w:w="40"/>
        <w:gridCol w:w="5385"/>
        <w:gridCol w:w="800"/>
        <w:gridCol w:w="638"/>
        <w:gridCol w:w="722"/>
        <w:gridCol w:w="350"/>
        <w:gridCol w:w="366"/>
        <w:gridCol w:w="906"/>
        <w:gridCol w:w="532"/>
        <w:gridCol w:w="86"/>
        <w:gridCol w:w="1004"/>
        <w:gridCol w:w="348"/>
        <w:gridCol w:w="628"/>
        <w:gridCol w:w="430"/>
        <w:gridCol w:w="380"/>
      </w:tblGrid>
      <w:tr w:rsidR="009C0443" w:rsidRPr="009C0443" w:rsidTr="00315FA5">
        <w:trPr>
          <w:gridBefore w:val="1"/>
          <w:wBefore w:w="40" w:type="dxa"/>
          <w:trHeight w:val="225"/>
        </w:trPr>
        <w:tc>
          <w:tcPr>
            <w:tcW w:w="5385"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b/>
                <w:bCs/>
                <w:sz w:val="16"/>
                <w:szCs w:val="16"/>
              </w:rPr>
            </w:pPr>
            <w:r w:rsidRPr="009C0443">
              <w:rPr>
                <w:b/>
                <w:bCs/>
                <w:sz w:val="16"/>
                <w:szCs w:val="16"/>
              </w:rPr>
              <w:t>EXHIBIT 1</w:t>
            </w:r>
          </w:p>
        </w:tc>
        <w:tc>
          <w:tcPr>
            <w:tcW w:w="2160"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b/>
                <w:bCs/>
                <w:sz w:val="16"/>
                <w:szCs w:val="16"/>
              </w:rPr>
            </w:pPr>
          </w:p>
        </w:tc>
        <w:tc>
          <w:tcPr>
            <w:tcW w:w="1622"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622"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406"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380"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r>
      <w:tr w:rsidR="009C0443" w:rsidRPr="009C0443" w:rsidTr="00315FA5">
        <w:trPr>
          <w:gridBefore w:val="1"/>
          <w:wBefore w:w="40" w:type="dxa"/>
          <w:trHeight w:val="225"/>
        </w:trPr>
        <w:tc>
          <w:tcPr>
            <w:tcW w:w="10789" w:type="dxa"/>
            <w:gridSpan w:val="10"/>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r w:rsidRPr="009C0443">
              <w:rPr>
                <w:b/>
                <w:bCs/>
                <w:sz w:val="16"/>
                <w:szCs w:val="16"/>
              </w:rPr>
              <w:t>DISPOSAL OF COAL COMBUSTION RESIDUALS FROM ELECTRIC UTILITIES</w:t>
            </w:r>
          </w:p>
        </w:tc>
        <w:tc>
          <w:tcPr>
            <w:tcW w:w="1406"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380"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r>
      <w:tr w:rsidR="009C0443" w:rsidRPr="009C0443" w:rsidTr="00315FA5">
        <w:trPr>
          <w:gridBefore w:val="1"/>
          <w:wBefore w:w="40" w:type="dxa"/>
          <w:trHeight w:val="225"/>
        </w:trPr>
        <w:tc>
          <w:tcPr>
            <w:tcW w:w="10789" w:type="dxa"/>
            <w:gridSpan w:val="10"/>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r w:rsidRPr="009C0443">
              <w:rPr>
                <w:b/>
                <w:bCs/>
                <w:sz w:val="16"/>
                <w:szCs w:val="16"/>
              </w:rPr>
              <w:t xml:space="preserve">TOTAL ESTIMATED RESPONDENT HOUR AND COST BURDEN SUMMARY </w:t>
            </w:r>
            <w:r w:rsidRPr="009C0443">
              <w:rPr>
                <w:b/>
                <w:bCs/>
                <w:sz w:val="16"/>
                <w:szCs w:val="16"/>
                <w:vertAlign w:val="superscript"/>
              </w:rPr>
              <w:t>a</w:t>
            </w:r>
          </w:p>
        </w:tc>
        <w:tc>
          <w:tcPr>
            <w:tcW w:w="1406"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380"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r>
      <w:tr w:rsidR="009C0443" w:rsidRPr="009C0443" w:rsidTr="00315FA5">
        <w:trPr>
          <w:gridBefore w:val="1"/>
          <w:wBefore w:w="40" w:type="dxa"/>
          <w:trHeight w:val="225"/>
        </w:trPr>
        <w:tc>
          <w:tcPr>
            <w:tcW w:w="5385"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2160"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622"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622"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406"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380"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r>
      <w:tr w:rsidR="009C0443" w:rsidRPr="009C0443" w:rsidTr="00315FA5">
        <w:trPr>
          <w:gridBefore w:val="1"/>
          <w:wBefore w:w="40" w:type="dxa"/>
          <w:trHeight w:val="225"/>
        </w:trPr>
        <w:tc>
          <w:tcPr>
            <w:tcW w:w="5385"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2160"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622"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622"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1406" w:type="dxa"/>
            <w:gridSpan w:val="3"/>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c>
          <w:tcPr>
            <w:tcW w:w="380" w:type="dxa"/>
            <w:tcBorders>
              <w:top w:val="nil"/>
              <w:left w:val="nil"/>
              <w:bottom w:val="nil"/>
              <w:right w:val="nil"/>
            </w:tcBorders>
            <w:shd w:val="clear" w:color="auto" w:fill="auto"/>
            <w:noWrap/>
            <w:vAlign w:val="center"/>
            <w:hideMark/>
          </w:tcPr>
          <w:p w:rsidR="009C0443" w:rsidRPr="009C0443" w:rsidRDefault="009C0443" w:rsidP="009C0443">
            <w:pPr>
              <w:widowControl/>
              <w:adjustRightInd/>
              <w:rPr>
                <w:sz w:val="20"/>
                <w:szCs w:val="20"/>
              </w:rPr>
            </w:pPr>
          </w:p>
        </w:tc>
      </w:tr>
      <w:tr w:rsidR="009C0443" w:rsidRPr="009C0443" w:rsidTr="00315FA5">
        <w:trPr>
          <w:gridBefore w:val="1"/>
          <w:wBefore w:w="40" w:type="dxa"/>
          <w:trHeight w:val="750"/>
        </w:trPr>
        <w:tc>
          <w:tcPr>
            <w:tcW w:w="5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center"/>
              <w:rPr>
                <w:b/>
                <w:bCs/>
                <w:sz w:val="16"/>
                <w:szCs w:val="16"/>
              </w:rPr>
            </w:pPr>
            <w:r w:rsidRPr="009C0443">
              <w:rPr>
                <w:b/>
                <w:bCs/>
                <w:sz w:val="16"/>
                <w:szCs w:val="16"/>
              </w:rPr>
              <w:t> </w:t>
            </w:r>
          </w:p>
        </w:tc>
        <w:tc>
          <w:tcPr>
            <w:tcW w:w="1438" w:type="dxa"/>
            <w:gridSpan w:val="2"/>
            <w:tcBorders>
              <w:top w:val="single" w:sz="4" w:space="0" w:color="auto"/>
              <w:left w:val="nil"/>
              <w:bottom w:val="single" w:sz="4" w:space="0" w:color="auto"/>
              <w:right w:val="single" w:sz="4" w:space="0" w:color="auto"/>
            </w:tcBorders>
            <w:shd w:val="clear" w:color="auto" w:fill="auto"/>
            <w:vAlign w:val="center"/>
            <w:hideMark/>
          </w:tcPr>
          <w:p w:rsidR="009C0443" w:rsidRPr="009C0443" w:rsidRDefault="009C0443" w:rsidP="009C0443">
            <w:pPr>
              <w:widowControl/>
              <w:adjustRightInd/>
              <w:jc w:val="center"/>
              <w:rPr>
                <w:b/>
                <w:bCs/>
                <w:sz w:val="16"/>
                <w:szCs w:val="16"/>
              </w:rPr>
            </w:pPr>
            <w:r w:rsidRPr="009C0443">
              <w:rPr>
                <w:b/>
                <w:bCs/>
                <w:sz w:val="16"/>
                <w:szCs w:val="16"/>
              </w:rPr>
              <w:t>Annual Burden Hours</w:t>
            </w:r>
          </w:p>
        </w:tc>
        <w:tc>
          <w:tcPr>
            <w:tcW w:w="1438" w:type="dxa"/>
            <w:gridSpan w:val="3"/>
            <w:tcBorders>
              <w:top w:val="single" w:sz="4" w:space="0" w:color="auto"/>
              <w:left w:val="nil"/>
              <w:bottom w:val="single" w:sz="4" w:space="0" w:color="auto"/>
              <w:right w:val="single" w:sz="4" w:space="0" w:color="auto"/>
            </w:tcBorders>
            <w:shd w:val="clear" w:color="auto" w:fill="auto"/>
            <w:vAlign w:val="center"/>
            <w:hideMark/>
          </w:tcPr>
          <w:p w:rsidR="009C0443" w:rsidRPr="009C0443" w:rsidRDefault="009C0443" w:rsidP="009C0443">
            <w:pPr>
              <w:widowControl/>
              <w:adjustRightInd/>
              <w:jc w:val="center"/>
              <w:rPr>
                <w:b/>
                <w:bCs/>
                <w:sz w:val="16"/>
                <w:szCs w:val="16"/>
              </w:rPr>
            </w:pPr>
            <w:r w:rsidRPr="009C0443">
              <w:rPr>
                <w:b/>
                <w:bCs/>
                <w:sz w:val="16"/>
                <w:szCs w:val="16"/>
              </w:rPr>
              <w:t>Annual Labor Cost</w:t>
            </w:r>
          </w:p>
        </w:tc>
        <w:tc>
          <w:tcPr>
            <w:tcW w:w="1438" w:type="dxa"/>
            <w:gridSpan w:val="2"/>
            <w:tcBorders>
              <w:top w:val="single" w:sz="4" w:space="0" w:color="auto"/>
              <w:left w:val="nil"/>
              <w:bottom w:val="single" w:sz="4" w:space="0" w:color="auto"/>
              <w:right w:val="single" w:sz="4" w:space="0" w:color="auto"/>
            </w:tcBorders>
            <w:shd w:val="clear" w:color="auto" w:fill="auto"/>
            <w:vAlign w:val="center"/>
            <w:hideMark/>
          </w:tcPr>
          <w:p w:rsidR="009C0443" w:rsidRPr="009C0443" w:rsidRDefault="009C0443" w:rsidP="009C0443">
            <w:pPr>
              <w:widowControl/>
              <w:adjustRightInd/>
              <w:jc w:val="center"/>
              <w:rPr>
                <w:b/>
                <w:bCs/>
                <w:sz w:val="16"/>
                <w:szCs w:val="16"/>
              </w:rPr>
            </w:pPr>
            <w:r w:rsidRPr="009C0443">
              <w:rPr>
                <w:b/>
                <w:bCs/>
                <w:sz w:val="16"/>
                <w:szCs w:val="16"/>
              </w:rPr>
              <w:t>Annual Capital/ Startup Cost</w:t>
            </w:r>
          </w:p>
        </w:tc>
        <w:tc>
          <w:tcPr>
            <w:tcW w:w="1438" w:type="dxa"/>
            <w:gridSpan w:val="3"/>
            <w:tcBorders>
              <w:top w:val="single" w:sz="4" w:space="0" w:color="auto"/>
              <w:left w:val="nil"/>
              <w:bottom w:val="single" w:sz="4" w:space="0" w:color="auto"/>
              <w:right w:val="single" w:sz="4" w:space="0" w:color="auto"/>
            </w:tcBorders>
            <w:shd w:val="clear" w:color="auto" w:fill="auto"/>
            <w:vAlign w:val="center"/>
            <w:hideMark/>
          </w:tcPr>
          <w:p w:rsidR="009C0443" w:rsidRPr="009C0443" w:rsidRDefault="009C0443" w:rsidP="009C0443">
            <w:pPr>
              <w:widowControl/>
              <w:adjustRightInd/>
              <w:jc w:val="center"/>
              <w:rPr>
                <w:b/>
                <w:bCs/>
                <w:sz w:val="16"/>
                <w:szCs w:val="16"/>
              </w:rPr>
            </w:pPr>
            <w:r w:rsidRPr="009C0443">
              <w:rPr>
                <w:b/>
                <w:bCs/>
                <w:sz w:val="16"/>
                <w:szCs w:val="16"/>
              </w:rPr>
              <w:t>Annual O&amp;M Cost</w:t>
            </w:r>
          </w:p>
        </w:tc>
        <w:tc>
          <w:tcPr>
            <w:tcW w:w="1438" w:type="dxa"/>
            <w:gridSpan w:val="3"/>
            <w:tcBorders>
              <w:top w:val="single" w:sz="4" w:space="0" w:color="auto"/>
              <w:left w:val="nil"/>
              <w:bottom w:val="single" w:sz="4" w:space="0" w:color="auto"/>
              <w:right w:val="single" w:sz="4" w:space="0" w:color="auto"/>
            </w:tcBorders>
            <w:shd w:val="clear" w:color="auto" w:fill="auto"/>
            <w:vAlign w:val="center"/>
            <w:hideMark/>
          </w:tcPr>
          <w:p w:rsidR="009C0443" w:rsidRPr="009C0443" w:rsidRDefault="009C0443" w:rsidP="009C0443">
            <w:pPr>
              <w:widowControl/>
              <w:adjustRightInd/>
              <w:jc w:val="center"/>
              <w:rPr>
                <w:b/>
                <w:bCs/>
                <w:sz w:val="16"/>
                <w:szCs w:val="16"/>
              </w:rPr>
            </w:pPr>
            <w:r w:rsidRPr="009C0443">
              <w:rPr>
                <w:b/>
                <w:bCs/>
                <w:sz w:val="16"/>
                <w:szCs w:val="16"/>
              </w:rPr>
              <w:t>Total Annual Cost</w:t>
            </w:r>
          </w:p>
        </w:tc>
      </w:tr>
      <w:tr w:rsidR="009C0443" w:rsidRPr="009C0443" w:rsidTr="00315FA5">
        <w:trPr>
          <w:gridBefore w:val="1"/>
          <w:wBefore w:w="40" w:type="dxa"/>
          <w:trHeight w:val="225"/>
        </w:trPr>
        <w:tc>
          <w:tcPr>
            <w:tcW w:w="5385" w:type="dxa"/>
            <w:tcBorders>
              <w:top w:val="nil"/>
              <w:left w:val="single" w:sz="4" w:space="0" w:color="auto"/>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rPr>
                <w:sz w:val="16"/>
                <w:szCs w:val="16"/>
              </w:rPr>
            </w:pPr>
            <w:r w:rsidRPr="009C0443">
              <w:rPr>
                <w:sz w:val="16"/>
                <w:szCs w:val="16"/>
              </w:rPr>
              <w:t>Beneficial Use (Exhibit 2)</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6,170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$325,531</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$325,531</w:t>
            </w:r>
          </w:p>
        </w:tc>
      </w:tr>
      <w:tr w:rsidR="009C0443" w:rsidRPr="009C0443" w:rsidTr="00315FA5">
        <w:trPr>
          <w:gridBefore w:val="1"/>
          <w:wBefore w:w="40" w:type="dxa"/>
          <w:trHeight w:val="225"/>
        </w:trPr>
        <w:tc>
          <w:tcPr>
            <w:tcW w:w="5385" w:type="dxa"/>
            <w:tcBorders>
              <w:top w:val="nil"/>
              <w:left w:val="single" w:sz="4" w:space="0" w:color="auto"/>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rPr>
                <w:sz w:val="16"/>
                <w:szCs w:val="16"/>
              </w:rPr>
            </w:pPr>
            <w:r w:rsidRPr="009C0443">
              <w:rPr>
                <w:sz w:val="16"/>
                <w:szCs w:val="16"/>
              </w:rPr>
              <w:t>Groundwater Monitoring and Corrective Action (Exhibit 3)</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1,655</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$119,263</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$119,263</w:t>
            </w:r>
          </w:p>
        </w:tc>
      </w:tr>
      <w:tr w:rsidR="009C0443" w:rsidRPr="009C0443" w:rsidTr="00315FA5">
        <w:trPr>
          <w:gridBefore w:val="1"/>
          <w:wBefore w:w="40" w:type="dxa"/>
          <w:trHeight w:val="450"/>
        </w:trPr>
        <w:tc>
          <w:tcPr>
            <w:tcW w:w="5385" w:type="dxa"/>
            <w:tcBorders>
              <w:top w:val="nil"/>
              <w:left w:val="single" w:sz="4" w:space="0" w:color="auto"/>
              <w:bottom w:val="single" w:sz="4" w:space="0" w:color="auto"/>
              <w:right w:val="single" w:sz="4" w:space="0" w:color="auto"/>
            </w:tcBorders>
            <w:shd w:val="clear" w:color="auto" w:fill="auto"/>
            <w:vAlign w:val="center"/>
            <w:hideMark/>
          </w:tcPr>
          <w:p w:rsidR="009C0443" w:rsidRPr="009C0443" w:rsidRDefault="009C0443" w:rsidP="009C0443">
            <w:pPr>
              <w:widowControl/>
              <w:adjustRightInd/>
              <w:rPr>
                <w:sz w:val="16"/>
                <w:szCs w:val="16"/>
              </w:rPr>
            </w:pPr>
            <w:r w:rsidRPr="009C0443">
              <w:rPr>
                <w:sz w:val="16"/>
                <w:szCs w:val="16"/>
              </w:rPr>
              <w:t>Recordkeeping, Notification, and Posting of Information to the Internet - Owners and Operators of CCR Units (Exhibit 4)</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3</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$261</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sz w:val="16"/>
                <w:szCs w:val="16"/>
              </w:rPr>
            </w:pPr>
            <w:r w:rsidRPr="009C0443">
              <w:rPr>
                <w:sz w:val="16"/>
                <w:szCs w:val="16"/>
              </w:rPr>
              <w:t>$261</w:t>
            </w:r>
          </w:p>
        </w:tc>
      </w:tr>
      <w:tr w:rsidR="009C0443" w:rsidRPr="009C0443" w:rsidTr="00315FA5">
        <w:trPr>
          <w:gridBefore w:val="1"/>
          <w:wBefore w:w="40" w:type="dxa"/>
          <w:trHeight w:val="225"/>
        </w:trPr>
        <w:tc>
          <w:tcPr>
            <w:tcW w:w="5385" w:type="dxa"/>
            <w:tcBorders>
              <w:top w:val="nil"/>
              <w:left w:val="single" w:sz="4" w:space="0" w:color="auto"/>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Total</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7,829</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$445,055</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$445,055</w:t>
            </w:r>
          </w:p>
        </w:tc>
      </w:tr>
      <w:tr w:rsidR="009C0443" w:rsidRPr="009C0443" w:rsidTr="00315FA5">
        <w:trPr>
          <w:gridBefore w:val="1"/>
          <w:wBefore w:w="40" w:type="dxa"/>
          <w:trHeight w:val="225"/>
        </w:trPr>
        <w:tc>
          <w:tcPr>
            <w:tcW w:w="5385" w:type="dxa"/>
            <w:tcBorders>
              <w:top w:val="nil"/>
              <w:left w:val="single" w:sz="4" w:space="0" w:color="auto"/>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3-year Total</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23,486</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$1,335,163</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$0</w:t>
            </w:r>
          </w:p>
        </w:tc>
        <w:tc>
          <w:tcPr>
            <w:tcW w:w="1438" w:type="dxa"/>
            <w:gridSpan w:val="3"/>
            <w:tcBorders>
              <w:top w:val="nil"/>
              <w:left w:val="nil"/>
              <w:bottom w:val="single" w:sz="4" w:space="0" w:color="auto"/>
              <w:right w:val="single" w:sz="4" w:space="0" w:color="auto"/>
            </w:tcBorders>
            <w:shd w:val="clear" w:color="auto" w:fill="auto"/>
            <w:noWrap/>
            <w:vAlign w:val="center"/>
            <w:hideMark/>
          </w:tcPr>
          <w:p w:rsidR="009C0443" w:rsidRPr="009C0443" w:rsidRDefault="009C0443" w:rsidP="009C0443">
            <w:pPr>
              <w:widowControl/>
              <w:adjustRightInd/>
              <w:jc w:val="right"/>
              <w:rPr>
                <w:b/>
                <w:bCs/>
                <w:sz w:val="16"/>
                <w:szCs w:val="16"/>
              </w:rPr>
            </w:pPr>
            <w:r w:rsidRPr="009C0443">
              <w:rPr>
                <w:b/>
                <w:bCs/>
                <w:sz w:val="16"/>
                <w:szCs w:val="16"/>
              </w:rPr>
              <w:t>$1,335,163</w:t>
            </w:r>
          </w:p>
        </w:tc>
      </w:tr>
      <w:tr w:rsidR="009C0443" w:rsidRPr="009C0443" w:rsidTr="00315FA5">
        <w:trPr>
          <w:trHeight w:val="225"/>
        </w:trPr>
        <w:tc>
          <w:tcPr>
            <w:tcW w:w="5425" w:type="dxa"/>
            <w:gridSpan w:val="2"/>
            <w:tcBorders>
              <w:top w:val="single" w:sz="4" w:space="0" w:color="auto"/>
            </w:tcBorders>
            <w:shd w:val="clear" w:color="auto" w:fill="auto"/>
            <w:noWrap/>
            <w:vAlign w:val="center"/>
          </w:tcPr>
          <w:p w:rsidR="000150FB" w:rsidRDefault="009C0443" w:rsidP="00D16914">
            <w:pPr>
              <w:widowControl/>
              <w:adjustRightInd/>
              <w:rPr>
                <w:sz w:val="16"/>
                <w:szCs w:val="16"/>
              </w:rPr>
            </w:pPr>
            <w:r w:rsidRPr="00D16914">
              <w:rPr>
                <w:sz w:val="16"/>
                <w:szCs w:val="16"/>
                <w:vertAlign w:val="superscript"/>
              </w:rPr>
              <w:t>a</w:t>
            </w:r>
            <w:r w:rsidRPr="00D16914">
              <w:rPr>
                <w:sz w:val="16"/>
                <w:szCs w:val="16"/>
              </w:rPr>
              <w:t xml:space="preserve">  Exhibit includes rounding error.</w:t>
            </w:r>
          </w:p>
          <w:p w:rsidR="008E06F6" w:rsidRPr="00D16914" w:rsidRDefault="008E06F6" w:rsidP="00D16914">
            <w:pPr>
              <w:widowControl/>
              <w:adjustRightInd/>
              <w:rPr>
                <w:sz w:val="16"/>
                <w:szCs w:val="16"/>
              </w:rPr>
            </w:pPr>
          </w:p>
        </w:tc>
        <w:tc>
          <w:tcPr>
            <w:tcW w:w="800" w:type="dxa"/>
            <w:tcBorders>
              <w:top w:val="single" w:sz="4" w:space="0" w:color="auto"/>
            </w:tcBorders>
            <w:shd w:val="clear" w:color="auto" w:fill="auto"/>
            <w:noWrap/>
            <w:vAlign w:val="center"/>
          </w:tcPr>
          <w:p w:rsidR="009C0443" w:rsidRPr="009C0443" w:rsidRDefault="009C0443" w:rsidP="009C0443">
            <w:pPr>
              <w:widowControl/>
              <w:adjustRightInd/>
              <w:jc w:val="right"/>
              <w:rPr>
                <w:b/>
                <w:bCs/>
                <w:sz w:val="16"/>
                <w:szCs w:val="16"/>
              </w:rPr>
            </w:pPr>
          </w:p>
        </w:tc>
        <w:tc>
          <w:tcPr>
            <w:tcW w:w="1710" w:type="dxa"/>
            <w:gridSpan w:val="3"/>
            <w:tcBorders>
              <w:top w:val="single" w:sz="4" w:space="0" w:color="auto"/>
            </w:tcBorders>
            <w:shd w:val="clear" w:color="auto" w:fill="auto"/>
            <w:noWrap/>
            <w:vAlign w:val="center"/>
          </w:tcPr>
          <w:p w:rsidR="009C0443" w:rsidRPr="009C0443" w:rsidRDefault="009C0443" w:rsidP="009C0443">
            <w:pPr>
              <w:widowControl/>
              <w:adjustRightInd/>
              <w:jc w:val="right"/>
              <w:rPr>
                <w:b/>
                <w:bCs/>
                <w:sz w:val="16"/>
                <w:szCs w:val="16"/>
              </w:rPr>
            </w:pPr>
          </w:p>
        </w:tc>
        <w:tc>
          <w:tcPr>
            <w:tcW w:w="1890" w:type="dxa"/>
            <w:gridSpan w:val="4"/>
            <w:tcBorders>
              <w:top w:val="single" w:sz="4" w:space="0" w:color="auto"/>
            </w:tcBorders>
            <w:shd w:val="clear" w:color="auto" w:fill="auto"/>
            <w:noWrap/>
            <w:vAlign w:val="center"/>
          </w:tcPr>
          <w:p w:rsidR="009C0443" w:rsidRPr="009C0443" w:rsidRDefault="009C0443" w:rsidP="009C0443">
            <w:pPr>
              <w:widowControl/>
              <w:adjustRightInd/>
              <w:jc w:val="right"/>
              <w:rPr>
                <w:b/>
                <w:bCs/>
                <w:sz w:val="16"/>
                <w:szCs w:val="16"/>
              </w:rPr>
            </w:pPr>
          </w:p>
        </w:tc>
        <w:tc>
          <w:tcPr>
            <w:tcW w:w="1980" w:type="dxa"/>
            <w:gridSpan w:val="3"/>
            <w:tcBorders>
              <w:top w:val="single" w:sz="4" w:space="0" w:color="auto"/>
            </w:tcBorders>
            <w:shd w:val="clear" w:color="auto" w:fill="auto"/>
            <w:noWrap/>
            <w:vAlign w:val="center"/>
          </w:tcPr>
          <w:p w:rsidR="009C0443" w:rsidRPr="009C0443" w:rsidRDefault="009C0443" w:rsidP="009C0443">
            <w:pPr>
              <w:widowControl/>
              <w:adjustRightInd/>
              <w:jc w:val="right"/>
              <w:rPr>
                <w:b/>
                <w:bCs/>
                <w:sz w:val="16"/>
                <w:szCs w:val="16"/>
              </w:rPr>
            </w:pPr>
          </w:p>
        </w:tc>
        <w:tc>
          <w:tcPr>
            <w:tcW w:w="810" w:type="dxa"/>
            <w:gridSpan w:val="2"/>
            <w:tcBorders>
              <w:top w:val="single" w:sz="4" w:space="0" w:color="auto"/>
            </w:tcBorders>
            <w:shd w:val="clear" w:color="auto" w:fill="auto"/>
            <w:noWrap/>
            <w:vAlign w:val="center"/>
          </w:tcPr>
          <w:p w:rsidR="009C0443" w:rsidRPr="009C0443" w:rsidRDefault="009C0443" w:rsidP="009C0443">
            <w:pPr>
              <w:widowControl/>
              <w:adjustRightInd/>
              <w:jc w:val="right"/>
              <w:rPr>
                <w:b/>
                <w:bCs/>
                <w:sz w:val="16"/>
                <w:szCs w:val="16"/>
              </w:rPr>
            </w:pPr>
          </w:p>
        </w:tc>
      </w:tr>
    </w:tbl>
    <w:p w:rsidR="008555AC" w:rsidRDefault="008555AC" w:rsidP="00B363CD">
      <w:pPr>
        <w:widowControl/>
        <w:rPr>
          <w:b/>
          <w:bCs/>
          <w:sz w:val="16"/>
          <w:szCs w:val="16"/>
        </w:rPr>
      </w:pPr>
    </w:p>
    <w:p w:rsidR="008555AC" w:rsidRDefault="008555AC" w:rsidP="00B363CD">
      <w:pPr>
        <w:widowControl/>
        <w:rPr>
          <w:b/>
          <w:bCs/>
          <w:sz w:val="16"/>
          <w:szCs w:val="16"/>
        </w:rPr>
      </w:pPr>
    </w:p>
    <w:tbl>
      <w:tblPr>
        <w:tblpPr w:leftFromText="180" w:rightFromText="180" w:vertAnchor="text" w:horzAnchor="margin" w:tblpY="11"/>
        <w:tblW w:w="15045" w:type="dxa"/>
        <w:tblLayout w:type="fixed"/>
        <w:tblLook w:val="04A0" w:firstRow="1" w:lastRow="0" w:firstColumn="1" w:lastColumn="0" w:noHBand="0" w:noVBand="1"/>
      </w:tblPr>
      <w:tblGrid>
        <w:gridCol w:w="15"/>
        <w:gridCol w:w="3150"/>
        <w:gridCol w:w="940"/>
        <w:gridCol w:w="941"/>
        <w:gridCol w:w="189"/>
        <w:gridCol w:w="752"/>
        <w:gridCol w:w="29"/>
        <w:gridCol w:w="781"/>
        <w:gridCol w:w="131"/>
        <w:gridCol w:w="570"/>
        <w:gridCol w:w="371"/>
        <w:gridCol w:w="330"/>
        <w:gridCol w:w="611"/>
        <w:gridCol w:w="152"/>
        <w:gridCol w:w="789"/>
        <w:gridCol w:w="254"/>
        <w:gridCol w:w="450"/>
        <w:gridCol w:w="318"/>
        <w:gridCol w:w="702"/>
        <w:gridCol w:w="158"/>
        <w:gridCol w:w="183"/>
        <w:gridCol w:w="679"/>
        <w:gridCol w:w="79"/>
        <w:gridCol w:w="211"/>
        <w:gridCol w:w="730"/>
        <w:gridCol w:w="270"/>
        <w:gridCol w:w="1260"/>
      </w:tblGrid>
      <w:tr w:rsidR="008555AC" w:rsidRPr="000150FB" w:rsidTr="008555AC">
        <w:trPr>
          <w:trHeight w:val="225"/>
        </w:trPr>
        <w:tc>
          <w:tcPr>
            <w:tcW w:w="5235" w:type="dxa"/>
            <w:gridSpan w:val="5"/>
            <w:tcBorders>
              <w:top w:val="nil"/>
            </w:tcBorders>
            <w:shd w:val="clear" w:color="auto" w:fill="auto"/>
            <w:noWrap/>
            <w:vAlign w:val="center"/>
            <w:hideMark/>
          </w:tcPr>
          <w:p w:rsidR="008555AC" w:rsidRPr="000150FB" w:rsidRDefault="008555AC" w:rsidP="008555AC">
            <w:pPr>
              <w:widowControl/>
              <w:adjustRightInd/>
              <w:rPr>
                <w:b/>
                <w:bCs/>
                <w:sz w:val="16"/>
                <w:szCs w:val="16"/>
              </w:rPr>
            </w:pPr>
            <w:r w:rsidRPr="000150FB">
              <w:rPr>
                <w:b/>
                <w:bCs/>
                <w:sz w:val="16"/>
                <w:szCs w:val="16"/>
              </w:rPr>
              <w:t xml:space="preserve">EXHIBIT </w:t>
            </w:r>
            <w:r>
              <w:rPr>
                <w:b/>
                <w:bCs/>
                <w:sz w:val="16"/>
                <w:szCs w:val="16"/>
              </w:rPr>
              <w:t>2</w:t>
            </w:r>
          </w:p>
        </w:tc>
        <w:tc>
          <w:tcPr>
            <w:tcW w:w="781" w:type="dxa"/>
            <w:gridSpan w:val="2"/>
            <w:tcBorders>
              <w:top w:val="nil"/>
            </w:tcBorders>
            <w:shd w:val="clear" w:color="auto" w:fill="auto"/>
            <w:vAlign w:val="center"/>
            <w:hideMark/>
          </w:tcPr>
          <w:p w:rsidR="008555AC" w:rsidRPr="000150FB" w:rsidRDefault="008555AC" w:rsidP="008555AC">
            <w:pPr>
              <w:widowControl/>
              <w:adjustRightInd/>
              <w:rPr>
                <w:sz w:val="16"/>
                <w:szCs w:val="16"/>
              </w:rPr>
            </w:pPr>
          </w:p>
        </w:tc>
        <w:tc>
          <w:tcPr>
            <w:tcW w:w="781" w:type="dxa"/>
            <w:tcBorders>
              <w:top w:val="nil"/>
            </w:tcBorders>
            <w:shd w:val="clear" w:color="auto" w:fill="auto"/>
            <w:vAlign w:val="center"/>
            <w:hideMark/>
          </w:tcPr>
          <w:p w:rsidR="008555AC" w:rsidRPr="000150FB" w:rsidRDefault="008555AC" w:rsidP="008555AC">
            <w:pPr>
              <w:widowControl/>
              <w:adjustRightInd/>
              <w:rPr>
                <w:sz w:val="16"/>
                <w:szCs w:val="16"/>
              </w:rPr>
            </w:pPr>
          </w:p>
        </w:tc>
        <w:tc>
          <w:tcPr>
            <w:tcW w:w="701" w:type="dxa"/>
            <w:gridSpan w:val="2"/>
            <w:tcBorders>
              <w:top w:val="nil"/>
            </w:tcBorders>
            <w:shd w:val="clear" w:color="auto" w:fill="auto"/>
            <w:vAlign w:val="center"/>
            <w:hideMark/>
          </w:tcPr>
          <w:p w:rsidR="008555AC" w:rsidRPr="000150FB" w:rsidRDefault="008555AC" w:rsidP="008555AC">
            <w:pPr>
              <w:widowControl/>
              <w:adjustRightInd/>
              <w:rPr>
                <w:sz w:val="16"/>
                <w:szCs w:val="16"/>
              </w:rPr>
            </w:pPr>
          </w:p>
        </w:tc>
        <w:tc>
          <w:tcPr>
            <w:tcW w:w="701" w:type="dxa"/>
            <w:gridSpan w:val="2"/>
            <w:tcBorders>
              <w:top w:val="nil"/>
            </w:tcBorders>
            <w:shd w:val="clear" w:color="auto" w:fill="auto"/>
            <w:vAlign w:val="center"/>
            <w:hideMark/>
          </w:tcPr>
          <w:p w:rsidR="008555AC" w:rsidRPr="000150FB" w:rsidRDefault="008555AC" w:rsidP="008555AC">
            <w:pPr>
              <w:widowControl/>
              <w:adjustRightInd/>
              <w:rPr>
                <w:sz w:val="16"/>
                <w:szCs w:val="16"/>
              </w:rPr>
            </w:pPr>
          </w:p>
        </w:tc>
        <w:tc>
          <w:tcPr>
            <w:tcW w:w="763" w:type="dxa"/>
            <w:gridSpan w:val="2"/>
            <w:tcBorders>
              <w:top w:val="nil"/>
            </w:tcBorders>
            <w:shd w:val="clear" w:color="auto" w:fill="auto"/>
            <w:vAlign w:val="center"/>
            <w:hideMark/>
          </w:tcPr>
          <w:p w:rsidR="008555AC" w:rsidRPr="000150FB" w:rsidRDefault="008555AC" w:rsidP="008555AC">
            <w:pPr>
              <w:widowControl/>
              <w:adjustRightInd/>
              <w:rPr>
                <w:sz w:val="16"/>
                <w:szCs w:val="16"/>
              </w:rPr>
            </w:pPr>
          </w:p>
        </w:tc>
        <w:tc>
          <w:tcPr>
            <w:tcW w:w="1043" w:type="dxa"/>
            <w:gridSpan w:val="2"/>
            <w:tcBorders>
              <w:top w:val="nil"/>
            </w:tcBorders>
            <w:shd w:val="clear" w:color="auto" w:fill="auto"/>
            <w:vAlign w:val="center"/>
            <w:hideMark/>
          </w:tcPr>
          <w:p w:rsidR="008555AC" w:rsidRPr="000150FB" w:rsidRDefault="008555AC" w:rsidP="008555AC">
            <w:pPr>
              <w:widowControl/>
              <w:adjustRightInd/>
              <w:rPr>
                <w:sz w:val="16"/>
                <w:szCs w:val="16"/>
              </w:rPr>
            </w:pPr>
          </w:p>
        </w:tc>
        <w:tc>
          <w:tcPr>
            <w:tcW w:w="768" w:type="dxa"/>
            <w:gridSpan w:val="2"/>
            <w:tcBorders>
              <w:top w:val="nil"/>
            </w:tcBorders>
            <w:shd w:val="clear" w:color="auto" w:fill="auto"/>
            <w:vAlign w:val="center"/>
            <w:hideMark/>
          </w:tcPr>
          <w:p w:rsidR="008555AC" w:rsidRPr="000150FB" w:rsidRDefault="008555AC" w:rsidP="008555AC">
            <w:pPr>
              <w:widowControl/>
              <w:adjustRightInd/>
              <w:rPr>
                <w:sz w:val="16"/>
                <w:szCs w:val="16"/>
              </w:rPr>
            </w:pPr>
          </w:p>
        </w:tc>
        <w:tc>
          <w:tcPr>
            <w:tcW w:w="1043" w:type="dxa"/>
            <w:gridSpan w:val="3"/>
            <w:tcBorders>
              <w:top w:val="nil"/>
            </w:tcBorders>
            <w:shd w:val="clear" w:color="auto" w:fill="auto"/>
            <w:vAlign w:val="center"/>
            <w:hideMark/>
          </w:tcPr>
          <w:p w:rsidR="008555AC" w:rsidRPr="000150FB" w:rsidRDefault="008555AC" w:rsidP="008555AC">
            <w:pPr>
              <w:widowControl/>
              <w:adjustRightInd/>
              <w:rPr>
                <w:sz w:val="16"/>
                <w:szCs w:val="16"/>
              </w:rPr>
            </w:pPr>
          </w:p>
        </w:tc>
        <w:tc>
          <w:tcPr>
            <w:tcW w:w="969" w:type="dxa"/>
            <w:gridSpan w:val="3"/>
            <w:tcBorders>
              <w:top w:val="nil"/>
            </w:tcBorders>
            <w:shd w:val="clear" w:color="auto" w:fill="auto"/>
            <w:vAlign w:val="center"/>
            <w:hideMark/>
          </w:tcPr>
          <w:p w:rsidR="008555AC" w:rsidRPr="000150FB" w:rsidRDefault="008555AC" w:rsidP="008555AC">
            <w:pPr>
              <w:widowControl/>
              <w:adjustRightInd/>
              <w:rPr>
                <w:b/>
                <w:bCs/>
                <w:sz w:val="16"/>
                <w:szCs w:val="16"/>
              </w:rPr>
            </w:pPr>
          </w:p>
        </w:tc>
        <w:tc>
          <w:tcPr>
            <w:tcW w:w="1000" w:type="dxa"/>
            <w:gridSpan w:val="2"/>
            <w:tcBorders>
              <w:top w:val="nil"/>
            </w:tcBorders>
            <w:shd w:val="clear" w:color="auto" w:fill="auto"/>
            <w:vAlign w:val="center"/>
            <w:hideMark/>
          </w:tcPr>
          <w:p w:rsidR="008555AC" w:rsidRPr="000150FB" w:rsidRDefault="008555AC" w:rsidP="008555AC">
            <w:pPr>
              <w:widowControl/>
              <w:adjustRightInd/>
              <w:rPr>
                <w:b/>
                <w:bCs/>
                <w:sz w:val="16"/>
                <w:szCs w:val="16"/>
              </w:rPr>
            </w:pPr>
          </w:p>
        </w:tc>
        <w:tc>
          <w:tcPr>
            <w:tcW w:w="1260" w:type="dxa"/>
            <w:tcBorders>
              <w:top w:val="nil"/>
            </w:tcBorders>
            <w:shd w:val="clear" w:color="auto" w:fill="auto"/>
            <w:vAlign w:val="center"/>
            <w:hideMark/>
          </w:tcPr>
          <w:p w:rsidR="008555AC" w:rsidRPr="000150FB" w:rsidRDefault="008555AC" w:rsidP="008555AC">
            <w:pPr>
              <w:widowControl/>
              <w:adjustRightInd/>
              <w:rPr>
                <w:b/>
                <w:bCs/>
                <w:sz w:val="16"/>
                <w:szCs w:val="16"/>
              </w:rPr>
            </w:pPr>
          </w:p>
        </w:tc>
      </w:tr>
      <w:tr w:rsidR="008555AC" w:rsidRPr="000150FB" w:rsidTr="008555AC">
        <w:trPr>
          <w:gridBefore w:val="1"/>
          <w:gridAfter w:val="2"/>
          <w:wBefore w:w="15" w:type="dxa"/>
          <w:wAfter w:w="1530" w:type="dxa"/>
          <w:trHeight w:val="240"/>
        </w:trPr>
        <w:tc>
          <w:tcPr>
            <w:tcW w:w="13500" w:type="dxa"/>
            <w:gridSpan w:val="24"/>
            <w:tcBorders>
              <w:top w:val="nil"/>
              <w:left w:val="nil"/>
              <w:bottom w:val="nil"/>
              <w:right w:val="nil"/>
            </w:tcBorders>
            <w:shd w:val="clear" w:color="auto" w:fill="auto"/>
            <w:vAlign w:val="center"/>
            <w:hideMark/>
          </w:tcPr>
          <w:p w:rsidR="008555AC" w:rsidRPr="000150FB" w:rsidRDefault="008555AC" w:rsidP="008555AC">
            <w:pPr>
              <w:widowControl/>
              <w:adjustRightInd/>
              <w:rPr>
                <w:b/>
                <w:bCs/>
                <w:sz w:val="16"/>
                <w:szCs w:val="16"/>
              </w:rPr>
            </w:pPr>
            <w:r w:rsidRPr="000150FB">
              <w:rPr>
                <w:b/>
                <w:bCs/>
                <w:sz w:val="16"/>
                <w:szCs w:val="16"/>
              </w:rPr>
              <w:t>DISPOSAL OF COAL COMBUSTION RESIDUALS FROM ELECTRIC UTILITIES</w:t>
            </w:r>
          </w:p>
        </w:tc>
      </w:tr>
      <w:tr w:rsidR="008555AC" w:rsidRPr="000150FB" w:rsidTr="008555AC">
        <w:trPr>
          <w:gridBefore w:val="1"/>
          <w:gridAfter w:val="2"/>
          <w:wBefore w:w="15" w:type="dxa"/>
          <w:wAfter w:w="1530" w:type="dxa"/>
          <w:trHeight w:val="375"/>
        </w:trPr>
        <w:tc>
          <w:tcPr>
            <w:tcW w:w="13500" w:type="dxa"/>
            <w:gridSpan w:val="24"/>
            <w:tcBorders>
              <w:top w:val="nil"/>
              <w:left w:val="nil"/>
              <w:bottom w:val="nil"/>
              <w:right w:val="nil"/>
            </w:tcBorders>
            <w:shd w:val="clear" w:color="auto" w:fill="auto"/>
            <w:vAlign w:val="center"/>
            <w:hideMark/>
          </w:tcPr>
          <w:p w:rsidR="008555AC" w:rsidRPr="000150FB" w:rsidRDefault="008555AC" w:rsidP="008555AC">
            <w:pPr>
              <w:widowControl/>
              <w:adjustRightInd/>
              <w:rPr>
                <w:b/>
                <w:bCs/>
                <w:sz w:val="16"/>
                <w:szCs w:val="16"/>
              </w:rPr>
            </w:pPr>
            <w:r w:rsidRPr="000150FB">
              <w:rPr>
                <w:b/>
                <w:bCs/>
                <w:sz w:val="16"/>
                <w:szCs w:val="16"/>
              </w:rPr>
              <w:t xml:space="preserve">ESTIMATED ANNUAL RESPONDENT HOUR AND COST BURDEN - BENEFICIAL USE FACILITIES </w:t>
            </w:r>
            <w:r w:rsidRPr="000150FB">
              <w:rPr>
                <w:b/>
                <w:bCs/>
                <w:sz w:val="16"/>
                <w:szCs w:val="16"/>
                <w:vertAlign w:val="superscript"/>
              </w:rPr>
              <w:t>a</w:t>
            </w:r>
          </w:p>
        </w:tc>
      </w:tr>
      <w:tr w:rsidR="008555AC" w:rsidRPr="000150FB" w:rsidTr="008555AC">
        <w:trPr>
          <w:gridBefore w:val="1"/>
          <w:gridAfter w:val="2"/>
          <w:wBefore w:w="15" w:type="dxa"/>
          <w:wAfter w:w="1530" w:type="dxa"/>
          <w:trHeight w:val="675"/>
        </w:trPr>
        <w:tc>
          <w:tcPr>
            <w:tcW w:w="3150" w:type="dxa"/>
            <w:tcBorders>
              <w:top w:val="nil"/>
              <w:left w:val="nil"/>
              <w:bottom w:val="nil"/>
              <w:right w:val="nil"/>
            </w:tcBorders>
            <w:shd w:val="clear" w:color="auto" w:fill="auto"/>
            <w:vAlign w:val="center"/>
            <w:hideMark/>
          </w:tcPr>
          <w:p w:rsidR="008555AC" w:rsidRPr="000150FB" w:rsidRDefault="008555AC" w:rsidP="008555AC">
            <w:pPr>
              <w:widowControl/>
              <w:adjustRightInd/>
              <w:rPr>
                <w:b/>
                <w:bCs/>
                <w:sz w:val="16"/>
                <w:szCs w:val="16"/>
              </w:rPr>
            </w:pPr>
          </w:p>
        </w:tc>
        <w:tc>
          <w:tcPr>
            <w:tcW w:w="7290" w:type="dxa"/>
            <w:gridSpan w:val="15"/>
            <w:tcBorders>
              <w:top w:val="nil"/>
              <w:left w:val="nil"/>
              <w:bottom w:val="single" w:sz="8" w:space="0" w:color="auto"/>
              <w:right w:val="nil"/>
            </w:tcBorders>
            <w:shd w:val="clear" w:color="auto" w:fill="auto"/>
            <w:noWrap/>
            <w:vAlign w:val="bottom"/>
            <w:hideMark/>
          </w:tcPr>
          <w:p w:rsidR="008555AC" w:rsidRPr="000150FB" w:rsidRDefault="008555AC" w:rsidP="008555AC">
            <w:pPr>
              <w:widowControl/>
              <w:adjustRightInd/>
              <w:jc w:val="center"/>
              <w:rPr>
                <w:b/>
                <w:bCs/>
                <w:sz w:val="16"/>
                <w:szCs w:val="16"/>
              </w:rPr>
            </w:pPr>
            <w:r w:rsidRPr="000150FB">
              <w:rPr>
                <w:b/>
                <w:bCs/>
                <w:sz w:val="16"/>
                <w:szCs w:val="16"/>
              </w:rPr>
              <w:t>Hours and Costs Per Respondent Per Activity</w:t>
            </w:r>
          </w:p>
        </w:tc>
        <w:tc>
          <w:tcPr>
            <w:tcW w:w="3060" w:type="dxa"/>
            <w:gridSpan w:val="8"/>
            <w:tcBorders>
              <w:top w:val="nil"/>
              <w:left w:val="nil"/>
              <w:bottom w:val="single" w:sz="8" w:space="0" w:color="auto"/>
              <w:right w:val="nil"/>
            </w:tcBorders>
            <w:shd w:val="clear" w:color="auto" w:fill="auto"/>
            <w:noWrap/>
            <w:vAlign w:val="bottom"/>
            <w:hideMark/>
          </w:tcPr>
          <w:p w:rsidR="008555AC" w:rsidRPr="000150FB" w:rsidRDefault="008555AC" w:rsidP="008555AC">
            <w:pPr>
              <w:widowControl/>
              <w:adjustRightInd/>
              <w:jc w:val="center"/>
              <w:rPr>
                <w:b/>
                <w:bCs/>
                <w:sz w:val="16"/>
                <w:szCs w:val="16"/>
              </w:rPr>
            </w:pPr>
            <w:r w:rsidRPr="000150FB">
              <w:rPr>
                <w:b/>
                <w:bCs/>
                <w:sz w:val="16"/>
                <w:szCs w:val="16"/>
              </w:rPr>
              <w:t>Total Hours and Costs</w:t>
            </w:r>
          </w:p>
        </w:tc>
      </w:tr>
      <w:tr w:rsidR="008555AC" w:rsidRPr="000150FB" w:rsidTr="008555AC">
        <w:trPr>
          <w:gridBefore w:val="1"/>
          <w:gridAfter w:val="2"/>
          <w:wBefore w:w="15" w:type="dxa"/>
          <w:wAfter w:w="1530" w:type="dxa"/>
          <w:trHeight w:val="225"/>
        </w:trPr>
        <w:tc>
          <w:tcPr>
            <w:tcW w:w="3150" w:type="dxa"/>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p>
        </w:tc>
        <w:tc>
          <w:tcPr>
            <w:tcW w:w="940" w:type="dxa"/>
            <w:tcBorders>
              <w:top w:val="nil"/>
              <w:left w:val="single" w:sz="8" w:space="0" w:color="auto"/>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Leg.</w:t>
            </w:r>
          </w:p>
        </w:tc>
        <w:tc>
          <w:tcPr>
            <w:tcW w:w="941" w:type="dxa"/>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Mgr.</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Tech.</w:t>
            </w:r>
          </w:p>
        </w:tc>
        <w:tc>
          <w:tcPr>
            <w:tcW w:w="941"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Cler.</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Respon.</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Labor</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Capital/</w:t>
            </w:r>
          </w:p>
        </w:tc>
        <w:tc>
          <w:tcPr>
            <w:tcW w:w="704" w:type="dxa"/>
            <w:gridSpan w:val="2"/>
            <w:tcBorders>
              <w:top w:val="nil"/>
              <w:left w:val="nil"/>
              <w:bottom w:val="nil"/>
              <w:right w:val="single" w:sz="8" w:space="0" w:color="auto"/>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 </w:t>
            </w:r>
          </w:p>
        </w:tc>
        <w:tc>
          <w:tcPr>
            <w:tcW w:w="1020"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Number of</w:t>
            </w:r>
          </w:p>
        </w:tc>
        <w:tc>
          <w:tcPr>
            <w:tcW w:w="1020"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Total</w:t>
            </w:r>
          </w:p>
        </w:tc>
        <w:tc>
          <w:tcPr>
            <w:tcW w:w="1020" w:type="dxa"/>
            <w:gridSpan w:val="3"/>
            <w:tcBorders>
              <w:top w:val="nil"/>
              <w:left w:val="nil"/>
              <w:bottom w:val="nil"/>
              <w:right w:val="single" w:sz="8" w:space="0" w:color="auto"/>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Total</w:t>
            </w:r>
          </w:p>
        </w:tc>
      </w:tr>
      <w:tr w:rsidR="008555AC" w:rsidRPr="000150FB" w:rsidTr="008555AC">
        <w:trPr>
          <w:gridBefore w:val="1"/>
          <w:gridAfter w:val="2"/>
          <w:wBefore w:w="15" w:type="dxa"/>
          <w:wAfter w:w="1530" w:type="dxa"/>
          <w:trHeight w:val="225"/>
        </w:trPr>
        <w:tc>
          <w:tcPr>
            <w:tcW w:w="3150" w:type="dxa"/>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p>
        </w:tc>
        <w:tc>
          <w:tcPr>
            <w:tcW w:w="940" w:type="dxa"/>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 xml:space="preserve"> $125.14/</w:t>
            </w:r>
          </w:p>
        </w:tc>
        <w:tc>
          <w:tcPr>
            <w:tcW w:w="941" w:type="dxa"/>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 xml:space="preserve"> $105.75/</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 xml:space="preserve"> $50.98/</w:t>
            </w:r>
          </w:p>
        </w:tc>
        <w:tc>
          <w:tcPr>
            <w:tcW w:w="941"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 xml:space="preserve"> $29.90/</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Hours/</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Cost/</w:t>
            </w: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Startup</w:t>
            </w:r>
          </w:p>
        </w:tc>
        <w:tc>
          <w:tcPr>
            <w:tcW w:w="704"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O&amp;M</w:t>
            </w:r>
          </w:p>
        </w:tc>
        <w:tc>
          <w:tcPr>
            <w:tcW w:w="1020"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Respon.</w:t>
            </w:r>
          </w:p>
        </w:tc>
        <w:tc>
          <w:tcPr>
            <w:tcW w:w="1020"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Hours/</w:t>
            </w:r>
          </w:p>
        </w:tc>
        <w:tc>
          <w:tcPr>
            <w:tcW w:w="1020"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jc w:val="center"/>
              <w:rPr>
                <w:b/>
                <w:bCs/>
                <w:sz w:val="16"/>
                <w:szCs w:val="16"/>
              </w:rPr>
            </w:pPr>
            <w:r w:rsidRPr="000150FB">
              <w:rPr>
                <w:b/>
                <w:bCs/>
                <w:sz w:val="16"/>
                <w:szCs w:val="16"/>
              </w:rPr>
              <w:t>Cost/</w:t>
            </w:r>
          </w:p>
        </w:tc>
      </w:tr>
      <w:tr w:rsidR="008555AC" w:rsidRPr="000150FB" w:rsidTr="008555AC">
        <w:trPr>
          <w:gridBefore w:val="1"/>
          <w:gridAfter w:val="2"/>
          <w:wBefore w:w="15" w:type="dxa"/>
          <w:wAfter w:w="1530" w:type="dxa"/>
          <w:trHeight w:val="330"/>
        </w:trPr>
        <w:tc>
          <w:tcPr>
            <w:tcW w:w="3150" w:type="dxa"/>
            <w:tcBorders>
              <w:top w:val="nil"/>
              <w:left w:val="nil"/>
              <w:bottom w:val="single" w:sz="4" w:space="0" w:color="auto"/>
              <w:right w:val="nil"/>
            </w:tcBorders>
            <w:shd w:val="clear" w:color="auto" w:fill="auto"/>
            <w:vAlign w:val="center"/>
            <w:hideMark/>
          </w:tcPr>
          <w:p w:rsidR="008555AC" w:rsidRPr="000150FB" w:rsidRDefault="008555AC" w:rsidP="008555AC">
            <w:pPr>
              <w:widowControl/>
              <w:adjustRightInd/>
              <w:rPr>
                <w:b/>
                <w:bCs/>
                <w:sz w:val="16"/>
                <w:szCs w:val="16"/>
              </w:rPr>
            </w:pPr>
            <w:r w:rsidRPr="000150FB">
              <w:rPr>
                <w:b/>
                <w:bCs/>
                <w:sz w:val="16"/>
                <w:szCs w:val="16"/>
              </w:rPr>
              <w:t>INFORMATION COLLECTION ACTIVITY</w:t>
            </w:r>
          </w:p>
        </w:tc>
        <w:tc>
          <w:tcPr>
            <w:tcW w:w="940" w:type="dxa"/>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Hour</w:t>
            </w:r>
          </w:p>
        </w:tc>
        <w:tc>
          <w:tcPr>
            <w:tcW w:w="941" w:type="dxa"/>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Hour</w:t>
            </w:r>
          </w:p>
        </w:tc>
        <w:tc>
          <w:tcPr>
            <w:tcW w:w="941" w:type="dxa"/>
            <w:gridSpan w:val="2"/>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Hour</w:t>
            </w:r>
          </w:p>
        </w:tc>
        <w:tc>
          <w:tcPr>
            <w:tcW w:w="941" w:type="dxa"/>
            <w:gridSpan w:val="3"/>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Hour</w:t>
            </w:r>
          </w:p>
        </w:tc>
        <w:tc>
          <w:tcPr>
            <w:tcW w:w="941" w:type="dxa"/>
            <w:gridSpan w:val="2"/>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Activity</w:t>
            </w:r>
          </w:p>
        </w:tc>
        <w:tc>
          <w:tcPr>
            <w:tcW w:w="941" w:type="dxa"/>
            <w:gridSpan w:val="2"/>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Activity</w:t>
            </w:r>
          </w:p>
        </w:tc>
        <w:tc>
          <w:tcPr>
            <w:tcW w:w="941" w:type="dxa"/>
            <w:gridSpan w:val="2"/>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Cost</w:t>
            </w:r>
          </w:p>
        </w:tc>
        <w:tc>
          <w:tcPr>
            <w:tcW w:w="704" w:type="dxa"/>
            <w:gridSpan w:val="2"/>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Cost</w:t>
            </w:r>
          </w:p>
        </w:tc>
        <w:tc>
          <w:tcPr>
            <w:tcW w:w="1020" w:type="dxa"/>
            <w:gridSpan w:val="2"/>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Activities</w:t>
            </w:r>
          </w:p>
        </w:tc>
        <w:tc>
          <w:tcPr>
            <w:tcW w:w="1020" w:type="dxa"/>
            <w:gridSpan w:val="3"/>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Year</w:t>
            </w:r>
          </w:p>
        </w:tc>
        <w:tc>
          <w:tcPr>
            <w:tcW w:w="1020" w:type="dxa"/>
            <w:gridSpan w:val="3"/>
            <w:tcBorders>
              <w:top w:val="nil"/>
              <w:left w:val="nil"/>
              <w:bottom w:val="nil"/>
              <w:right w:val="nil"/>
            </w:tcBorders>
            <w:shd w:val="clear" w:color="auto" w:fill="auto"/>
            <w:vAlign w:val="center"/>
            <w:hideMark/>
          </w:tcPr>
          <w:p w:rsidR="008555AC" w:rsidRPr="000150FB" w:rsidRDefault="008555AC" w:rsidP="008555AC">
            <w:pPr>
              <w:widowControl/>
              <w:adjustRightInd/>
              <w:jc w:val="center"/>
              <w:rPr>
                <w:b/>
                <w:bCs/>
                <w:sz w:val="16"/>
                <w:szCs w:val="16"/>
              </w:rPr>
            </w:pPr>
            <w:r w:rsidRPr="000150FB">
              <w:rPr>
                <w:b/>
                <w:bCs/>
                <w:sz w:val="16"/>
                <w:szCs w:val="16"/>
              </w:rPr>
              <w:t>Year</w:t>
            </w:r>
          </w:p>
        </w:tc>
      </w:tr>
      <w:tr w:rsidR="008555AC" w:rsidRPr="000150FB" w:rsidTr="008555AC">
        <w:trPr>
          <w:gridBefore w:val="1"/>
          <w:gridAfter w:val="2"/>
          <w:wBefore w:w="15" w:type="dxa"/>
          <w:wAfter w:w="1530" w:type="dxa"/>
          <w:trHeight w:val="225"/>
        </w:trPr>
        <w:tc>
          <w:tcPr>
            <w:tcW w:w="13500" w:type="dxa"/>
            <w:gridSpan w:val="24"/>
            <w:tcBorders>
              <w:top w:val="single" w:sz="4" w:space="0" w:color="auto"/>
              <w:left w:val="single" w:sz="4" w:space="0" w:color="auto"/>
              <w:bottom w:val="single" w:sz="4" w:space="0" w:color="auto"/>
              <w:right w:val="single" w:sz="4" w:space="0" w:color="000000"/>
            </w:tcBorders>
            <w:shd w:val="clear" w:color="000000" w:fill="D9D9D9"/>
            <w:vAlign w:val="center"/>
            <w:hideMark/>
          </w:tcPr>
          <w:p w:rsidR="008555AC" w:rsidRPr="000150FB" w:rsidRDefault="008555AC" w:rsidP="008555AC">
            <w:pPr>
              <w:widowControl/>
              <w:adjustRightInd/>
              <w:rPr>
                <w:b/>
                <w:bCs/>
                <w:sz w:val="16"/>
                <w:szCs w:val="16"/>
              </w:rPr>
            </w:pPr>
            <w:r w:rsidRPr="000150FB">
              <w:rPr>
                <w:b/>
                <w:bCs/>
                <w:sz w:val="16"/>
                <w:szCs w:val="16"/>
              </w:rPr>
              <w:t xml:space="preserve">Beneficial use of CCR </w:t>
            </w:r>
          </w:p>
        </w:tc>
      </w:tr>
      <w:tr w:rsidR="008555AC" w:rsidRPr="000150FB" w:rsidTr="008555AC">
        <w:trPr>
          <w:gridBefore w:val="1"/>
          <w:gridAfter w:val="2"/>
          <w:wBefore w:w="15" w:type="dxa"/>
          <w:wAfter w:w="1530" w:type="dxa"/>
          <w:trHeight w:val="225"/>
        </w:trPr>
        <w:tc>
          <w:tcPr>
            <w:tcW w:w="3150" w:type="dxa"/>
            <w:tcBorders>
              <w:top w:val="nil"/>
              <w:left w:val="single" w:sz="4" w:space="0" w:color="auto"/>
              <w:bottom w:val="single" w:sz="4" w:space="0" w:color="auto"/>
              <w:right w:val="nil"/>
            </w:tcBorders>
            <w:shd w:val="clear" w:color="auto" w:fill="auto"/>
            <w:vAlign w:val="center"/>
            <w:hideMark/>
          </w:tcPr>
          <w:p w:rsidR="008555AC" w:rsidRPr="000150FB" w:rsidRDefault="008555AC" w:rsidP="008555AC">
            <w:pPr>
              <w:widowControl/>
              <w:adjustRightInd/>
              <w:rPr>
                <w:sz w:val="16"/>
                <w:szCs w:val="16"/>
              </w:rPr>
            </w:pPr>
            <w:r w:rsidRPr="000150FB">
              <w:rPr>
                <w:sz w:val="16"/>
                <w:szCs w:val="16"/>
              </w:rPr>
              <w:t>Location-Based Standard Investigation Costs (</w:t>
            </w:r>
            <w:r w:rsidRPr="000150FB">
              <w:rPr>
                <w:b/>
                <w:bCs/>
                <w:sz w:val="16"/>
                <w:szCs w:val="16"/>
                <w:u w:val="single"/>
              </w:rPr>
              <w:t>annual</w:t>
            </w:r>
            <w:r w:rsidRPr="000150FB">
              <w:rPr>
                <w:sz w:val="16"/>
                <w:szCs w:val="16"/>
              </w:rPr>
              <w:t>)</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0.25</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1.00</w:t>
            </w:r>
          </w:p>
        </w:tc>
        <w:tc>
          <w:tcPr>
            <w:tcW w:w="941"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0.75</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2.00</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$99.84</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704"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1020"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 xml:space="preserve">         2,360 </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4,720.00</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$235,622.40</w:t>
            </w:r>
          </w:p>
        </w:tc>
      </w:tr>
      <w:tr w:rsidR="008555AC" w:rsidRPr="000150FB" w:rsidTr="008555AC">
        <w:trPr>
          <w:gridBefore w:val="1"/>
          <w:gridAfter w:val="2"/>
          <w:wBefore w:w="15" w:type="dxa"/>
          <w:wAfter w:w="1530" w:type="dxa"/>
          <w:trHeight w:val="225"/>
        </w:trPr>
        <w:tc>
          <w:tcPr>
            <w:tcW w:w="3150" w:type="dxa"/>
            <w:tcBorders>
              <w:top w:val="nil"/>
              <w:left w:val="single" w:sz="4" w:space="0" w:color="auto"/>
              <w:bottom w:val="single" w:sz="4" w:space="0" w:color="auto"/>
              <w:right w:val="nil"/>
            </w:tcBorders>
            <w:shd w:val="clear" w:color="auto" w:fill="auto"/>
            <w:vAlign w:val="center"/>
            <w:hideMark/>
          </w:tcPr>
          <w:p w:rsidR="008555AC" w:rsidRPr="000150FB" w:rsidRDefault="008555AC" w:rsidP="008555AC">
            <w:pPr>
              <w:widowControl/>
              <w:adjustRightInd/>
              <w:rPr>
                <w:sz w:val="16"/>
                <w:szCs w:val="16"/>
              </w:rPr>
            </w:pPr>
            <w:r w:rsidRPr="000150FB">
              <w:rPr>
                <w:sz w:val="16"/>
                <w:szCs w:val="16"/>
              </w:rPr>
              <w:t xml:space="preserve">Criterion 4 Demonstration </w:t>
            </w:r>
            <w:r w:rsidRPr="000150FB">
              <w:rPr>
                <w:b/>
                <w:bCs/>
                <w:sz w:val="16"/>
                <w:szCs w:val="16"/>
                <w:u w:val="single"/>
              </w:rPr>
              <w:t>(annual)</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2.00</w:t>
            </w:r>
          </w:p>
        </w:tc>
        <w:tc>
          <w:tcPr>
            <w:tcW w:w="941" w:type="dxa"/>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2.00</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35.00</w:t>
            </w:r>
          </w:p>
        </w:tc>
        <w:tc>
          <w:tcPr>
            <w:tcW w:w="941"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1.00</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40.00</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$2,275.98</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704"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1020"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 xml:space="preserve">              28 </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1,104.48</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$62,844.36</w:t>
            </w:r>
          </w:p>
        </w:tc>
      </w:tr>
      <w:tr w:rsidR="008555AC" w:rsidRPr="000150FB" w:rsidTr="008555AC">
        <w:trPr>
          <w:gridBefore w:val="1"/>
          <w:gridAfter w:val="2"/>
          <w:wBefore w:w="15" w:type="dxa"/>
          <w:wAfter w:w="1530" w:type="dxa"/>
          <w:trHeight w:val="225"/>
        </w:trPr>
        <w:tc>
          <w:tcPr>
            <w:tcW w:w="3150" w:type="dxa"/>
            <w:tcBorders>
              <w:top w:val="nil"/>
              <w:left w:val="single" w:sz="4" w:space="0" w:color="auto"/>
              <w:bottom w:val="single" w:sz="4" w:space="0" w:color="auto"/>
              <w:right w:val="nil"/>
            </w:tcBorders>
            <w:shd w:val="clear" w:color="auto" w:fill="auto"/>
            <w:vAlign w:val="center"/>
            <w:hideMark/>
          </w:tcPr>
          <w:p w:rsidR="008555AC" w:rsidRPr="000150FB" w:rsidRDefault="008555AC" w:rsidP="008555AC">
            <w:pPr>
              <w:widowControl/>
              <w:adjustRightInd/>
              <w:rPr>
                <w:sz w:val="16"/>
                <w:szCs w:val="16"/>
              </w:rPr>
            </w:pPr>
            <w:r w:rsidRPr="000150FB">
              <w:rPr>
                <w:sz w:val="16"/>
                <w:szCs w:val="16"/>
              </w:rPr>
              <w:t xml:space="preserve">Read the regulations </w:t>
            </w:r>
            <w:r w:rsidRPr="000150FB">
              <w:rPr>
                <w:b/>
                <w:bCs/>
                <w:sz w:val="16"/>
                <w:szCs w:val="16"/>
                <w:u w:val="single"/>
              </w:rPr>
              <w:t>(one-time)</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0.50</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0.50</w:t>
            </w:r>
          </w:p>
        </w:tc>
        <w:tc>
          <w:tcPr>
            <w:tcW w:w="941"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1.00</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$78.37</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704"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0.00</w:t>
            </w:r>
          </w:p>
        </w:tc>
        <w:tc>
          <w:tcPr>
            <w:tcW w:w="1020"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345</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345.34</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sz w:val="16"/>
                <w:szCs w:val="16"/>
              </w:rPr>
            </w:pPr>
            <w:r w:rsidRPr="000150FB">
              <w:rPr>
                <w:sz w:val="16"/>
                <w:szCs w:val="16"/>
              </w:rPr>
              <w:t>$27,063.77</w:t>
            </w:r>
          </w:p>
        </w:tc>
      </w:tr>
      <w:tr w:rsidR="008555AC" w:rsidRPr="000150FB" w:rsidTr="008555AC">
        <w:trPr>
          <w:gridBefore w:val="1"/>
          <w:gridAfter w:val="2"/>
          <w:wBefore w:w="15" w:type="dxa"/>
          <w:wAfter w:w="1530" w:type="dxa"/>
          <w:trHeight w:val="21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TOTAL</w:t>
            </w:r>
          </w:p>
        </w:tc>
        <w:tc>
          <w:tcPr>
            <w:tcW w:w="940" w:type="dxa"/>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941" w:type="dxa"/>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941"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941"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$0.00</w:t>
            </w:r>
          </w:p>
        </w:tc>
        <w:tc>
          <w:tcPr>
            <w:tcW w:w="704" w:type="dxa"/>
            <w:gridSpan w:val="2"/>
            <w:tcBorders>
              <w:top w:val="nil"/>
              <w:left w:val="nil"/>
              <w:bottom w:val="single" w:sz="4" w:space="0" w:color="auto"/>
              <w:right w:val="single" w:sz="8"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1020" w:type="dxa"/>
            <w:gridSpan w:val="2"/>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Varies</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6,169.82</w:t>
            </w:r>
          </w:p>
        </w:tc>
        <w:tc>
          <w:tcPr>
            <w:tcW w:w="1020" w:type="dxa"/>
            <w:gridSpan w:val="3"/>
            <w:tcBorders>
              <w:top w:val="nil"/>
              <w:left w:val="nil"/>
              <w:bottom w:val="single" w:sz="4" w:space="0" w:color="auto"/>
              <w:right w:val="single" w:sz="4" w:space="0" w:color="auto"/>
            </w:tcBorders>
            <w:shd w:val="clear" w:color="auto" w:fill="auto"/>
            <w:vAlign w:val="center"/>
            <w:hideMark/>
          </w:tcPr>
          <w:p w:rsidR="008555AC" w:rsidRPr="000150FB" w:rsidRDefault="008555AC" w:rsidP="008555AC">
            <w:pPr>
              <w:widowControl/>
              <w:adjustRightInd/>
              <w:jc w:val="right"/>
              <w:rPr>
                <w:b/>
                <w:bCs/>
                <w:sz w:val="16"/>
                <w:szCs w:val="16"/>
              </w:rPr>
            </w:pPr>
            <w:r w:rsidRPr="000150FB">
              <w:rPr>
                <w:b/>
                <w:bCs/>
                <w:sz w:val="16"/>
                <w:szCs w:val="16"/>
              </w:rPr>
              <w:t>$325,530.53</w:t>
            </w:r>
          </w:p>
        </w:tc>
      </w:tr>
      <w:tr w:rsidR="008555AC" w:rsidRPr="000150FB" w:rsidTr="008555AC">
        <w:trPr>
          <w:gridBefore w:val="1"/>
          <w:gridAfter w:val="2"/>
          <w:wBefore w:w="15" w:type="dxa"/>
          <w:wAfter w:w="1530" w:type="dxa"/>
          <w:trHeight w:val="225"/>
        </w:trPr>
        <w:tc>
          <w:tcPr>
            <w:tcW w:w="3150" w:type="dxa"/>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16"/>
                <w:szCs w:val="16"/>
              </w:rPr>
            </w:pPr>
            <w:r w:rsidRPr="000150FB">
              <w:rPr>
                <w:sz w:val="16"/>
                <w:szCs w:val="16"/>
                <w:vertAlign w:val="superscript"/>
              </w:rPr>
              <w:t>a</w:t>
            </w:r>
            <w:r w:rsidRPr="000150FB">
              <w:rPr>
                <w:sz w:val="16"/>
                <w:szCs w:val="16"/>
              </w:rPr>
              <w:t xml:space="preserve">  Exhibit includes rounding error.</w:t>
            </w:r>
          </w:p>
        </w:tc>
        <w:tc>
          <w:tcPr>
            <w:tcW w:w="940" w:type="dxa"/>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16"/>
                <w:szCs w:val="16"/>
              </w:rPr>
            </w:pPr>
          </w:p>
        </w:tc>
        <w:tc>
          <w:tcPr>
            <w:tcW w:w="941" w:type="dxa"/>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941"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704"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1178"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941" w:type="dxa"/>
            <w:gridSpan w:val="3"/>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c>
          <w:tcPr>
            <w:tcW w:w="941" w:type="dxa"/>
            <w:gridSpan w:val="2"/>
            <w:tcBorders>
              <w:top w:val="nil"/>
              <w:left w:val="nil"/>
              <w:bottom w:val="nil"/>
              <w:right w:val="nil"/>
            </w:tcBorders>
            <w:shd w:val="clear" w:color="auto" w:fill="auto"/>
            <w:noWrap/>
            <w:vAlign w:val="center"/>
            <w:hideMark/>
          </w:tcPr>
          <w:p w:rsidR="008555AC" w:rsidRPr="000150FB" w:rsidRDefault="008555AC" w:rsidP="008555AC">
            <w:pPr>
              <w:widowControl/>
              <w:adjustRightInd/>
              <w:rPr>
                <w:sz w:val="20"/>
                <w:szCs w:val="20"/>
              </w:rPr>
            </w:pPr>
          </w:p>
        </w:tc>
      </w:tr>
    </w:tbl>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8555AC" w:rsidRDefault="008555AC" w:rsidP="00B363CD">
      <w:pPr>
        <w:widowControl/>
        <w:rPr>
          <w:b/>
          <w:bCs/>
          <w:sz w:val="16"/>
          <w:szCs w:val="16"/>
        </w:rPr>
      </w:pPr>
    </w:p>
    <w:p w:rsidR="00D16914" w:rsidRDefault="00D16914">
      <w:pPr>
        <w:widowControl/>
        <w:adjustRightInd/>
        <w:spacing w:after="160" w:line="259" w:lineRule="auto"/>
        <w:rPr>
          <w:bCs/>
          <w:sz w:val="16"/>
          <w:szCs w:val="16"/>
        </w:rPr>
      </w:pPr>
    </w:p>
    <w:tbl>
      <w:tblPr>
        <w:tblW w:w="14803" w:type="dxa"/>
        <w:tblInd w:w="108" w:type="dxa"/>
        <w:tblLayout w:type="fixed"/>
        <w:tblLook w:val="04A0" w:firstRow="1" w:lastRow="0" w:firstColumn="1" w:lastColumn="0" w:noHBand="0" w:noVBand="1"/>
      </w:tblPr>
      <w:tblGrid>
        <w:gridCol w:w="3150"/>
        <w:gridCol w:w="360"/>
        <w:gridCol w:w="819"/>
        <w:gridCol w:w="819"/>
        <w:gridCol w:w="819"/>
        <w:gridCol w:w="819"/>
        <w:gridCol w:w="255"/>
        <w:gridCol w:w="564"/>
        <w:gridCol w:w="217"/>
        <w:gridCol w:w="602"/>
        <w:gridCol w:w="99"/>
        <w:gridCol w:w="701"/>
        <w:gridCol w:w="19"/>
        <w:gridCol w:w="744"/>
        <w:gridCol w:w="75"/>
        <w:gridCol w:w="18"/>
        <w:gridCol w:w="807"/>
        <w:gridCol w:w="183"/>
        <w:gridCol w:w="637"/>
        <w:gridCol w:w="371"/>
        <w:gridCol w:w="609"/>
        <w:gridCol w:w="453"/>
        <w:gridCol w:w="507"/>
        <w:gridCol w:w="920"/>
        <w:gridCol w:w="236"/>
      </w:tblGrid>
      <w:tr w:rsidR="00D16914" w:rsidRPr="00D16914" w:rsidTr="00D16914">
        <w:trPr>
          <w:trHeight w:val="225"/>
        </w:trPr>
        <w:tc>
          <w:tcPr>
            <w:tcW w:w="3150"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b/>
                <w:bCs/>
                <w:sz w:val="16"/>
                <w:szCs w:val="16"/>
              </w:rPr>
            </w:pPr>
            <w:r w:rsidRPr="00D16914">
              <w:rPr>
                <w:b/>
                <w:bCs/>
                <w:sz w:val="16"/>
                <w:szCs w:val="16"/>
              </w:rPr>
              <w:t xml:space="preserve">EXHIBIT </w:t>
            </w:r>
            <w:r>
              <w:rPr>
                <w:b/>
                <w:bCs/>
                <w:sz w:val="16"/>
                <w:szCs w:val="16"/>
              </w:rPr>
              <w:t>3</w:t>
            </w:r>
          </w:p>
        </w:tc>
        <w:tc>
          <w:tcPr>
            <w:tcW w:w="3891" w:type="dxa"/>
            <w:gridSpan w:val="6"/>
            <w:tcBorders>
              <w:top w:val="nil"/>
              <w:left w:val="nil"/>
              <w:bottom w:val="nil"/>
              <w:right w:val="nil"/>
            </w:tcBorders>
            <w:shd w:val="clear" w:color="auto" w:fill="auto"/>
            <w:noWrap/>
            <w:vAlign w:val="center"/>
            <w:hideMark/>
          </w:tcPr>
          <w:p w:rsidR="00D16914" w:rsidRPr="00D16914" w:rsidRDefault="00D16914" w:rsidP="00D16914">
            <w:pPr>
              <w:widowControl/>
              <w:adjustRightInd/>
              <w:rPr>
                <w:b/>
                <w:bCs/>
                <w:sz w:val="16"/>
                <w:szCs w:val="16"/>
              </w:rPr>
            </w:pPr>
          </w:p>
        </w:tc>
        <w:tc>
          <w:tcPr>
            <w:tcW w:w="781"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701"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701"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763"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00"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82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8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6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20"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r>
      <w:tr w:rsidR="00D16914" w:rsidRPr="00D16914" w:rsidTr="00D16914">
        <w:trPr>
          <w:trHeight w:val="240"/>
        </w:trPr>
        <w:tc>
          <w:tcPr>
            <w:tcW w:w="7822" w:type="dxa"/>
            <w:gridSpan w:val="9"/>
            <w:tcBorders>
              <w:top w:val="nil"/>
              <w:left w:val="nil"/>
              <w:bottom w:val="nil"/>
              <w:right w:val="nil"/>
            </w:tcBorders>
            <w:shd w:val="clear" w:color="auto" w:fill="auto"/>
            <w:vAlign w:val="center"/>
            <w:hideMark/>
          </w:tcPr>
          <w:p w:rsidR="00D16914" w:rsidRPr="00D16914" w:rsidRDefault="00D16914" w:rsidP="00D16914">
            <w:pPr>
              <w:widowControl/>
              <w:adjustRightInd/>
              <w:rPr>
                <w:b/>
                <w:bCs/>
                <w:sz w:val="16"/>
                <w:szCs w:val="16"/>
              </w:rPr>
            </w:pPr>
            <w:r w:rsidRPr="00D16914">
              <w:rPr>
                <w:b/>
                <w:bCs/>
                <w:sz w:val="16"/>
                <w:szCs w:val="16"/>
              </w:rPr>
              <w:t>DISPOSAL OF COAL COMBUSTION RESIDUALS FROM ELECTRIC UTILITIES</w:t>
            </w:r>
          </w:p>
        </w:tc>
        <w:tc>
          <w:tcPr>
            <w:tcW w:w="701"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b/>
                <w:bCs/>
                <w:sz w:val="16"/>
                <w:szCs w:val="16"/>
              </w:rPr>
            </w:pPr>
          </w:p>
        </w:tc>
        <w:tc>
          <w:tcPr>
            <w:tcW w:w="701"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763"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00"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82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8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6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20"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r>
      <w:tr w:rsidR="00D16914" w:rsidRPr="00D16914" w:rsidTr="00D16914">
        <w:trPr>
          <w:trHeight w:val="240"/>
        </w:trPr>
        <w:tc>
          <w:tcPr>
            <w:tcW w:w="9987" w:type="dxa"/>
            <w:gridSpan w:val="14"/>
            <w:tcBorders>
              <w:top w:val="nil"/>
              <w:left w:val="nil"/>
              <w:bottom w:val="nil"/>
              <w:right w:val="nil"/>
            </w:tcBorders>
            <w:shd w:val="clear" w:color="auto" w:fill="auto"/>
            <w:vAlign w:val="center"/>
            <w:hideMark/>
          </w:tcPr>
          <w:p w:rsidR="00D16914" w:rsidRPr="00D16914" w:rsidRDefault="00D16914" w:rsidP="00D16914">
            <w:pPr>
              <w:widowControl/>
              <w:adjustRightInd/>
              <w:rPr>
                <w:b/>
                <w:bCs/>
                <w:sz w:val="16"/>
                <w:szCs w:val="16"/>
              </w:rPr>
            </w:pPr>
            <w:r w:rsidRPr="00D16914">
              <w:rPr>
                <w:b/>
                <w:bCs/>
                <w:sz w:val="16"/>
                <w:szCs w:val="16"/>
              </w:rPr>
              <w:t xml:space="preserve">ESTIMATED ANNUAL RESPONDENT HOUR AND COST BURDEN - OWNERS AND OPERATORS OF CCR UNITS </w:t>
            </w:r>
            <w:r w:rsidRPr="00D16914">
              <w:rPr>
                <w:b/>
                <w:bCs/>
                <w:sz w:val="16"/>
                <w:szCs w:val="16"/>
                <w:vertAlign w:val="superscript"/>
              </w:rPr>
              <w:t>a</w:t>
            </w:r>
          </w:p>
        </w:tc>
        <w:tc>
          <w:tcPr>
            <w:tcW w:w="900"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rPr>
                <w:b/>
                <w:bCs/>
                <w:sz w:val="16"/>
                <w:szCs w:val="16"/>
              </w:rPr>
            </w:pPr>
          </w:p>
        </w:tc>
        <w:tc>
          <w:tcPr>
            <w:tcW w:w="820"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rPr>
                <w:sz w:val="20"/>
                <w:szCs w:val="20"/>
              </w:rPr>
            </w:pPr>
          </w:p>
        </w:tc>
        <w:tc>
          <w:tcPr>
            <w:tcW w:w="980"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rPr>
                <w:sz w:val="20"/>
                <w:szCs w:val="20"/>
              </w:rPr>
            </w:pPr>
          </w:p>
        </w:tc>
        <w:tc>
          <w:tcPr>
            <w:tcW w:w="96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20"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r>
      <w:tr w:rsidR="00D16914" w:rsidRPr="00D16914" w:rsidTr="00F85DEF">
        <w:trPr>
          <w:gridAfter w:val="3"/>
          <w:wAfter w:w="1663" w:type="dxa"/>
          <w:trHeight w:val="675"/>
        </w:trPr>
        <w:tc>
          <w:tcPr>
            <w:tcW w:w="3150" w:type="dxa"/>
            <w:tcBorders>
              <w:top w:val="nil"/>
              <w:left w:val="nil"/>
              <w:bottom w:val="nil"/>
              <w:right w:val="nil"/>
            </w:tcBorders>
            <w:shd w:val="clear" w:color="auto" w:fill="auto"/>
            <w:vAlign w:val="center"/>
            <w:hideMark/>
          </w:tcPr>
          <w:p w:rsidR="00D16914" w:rsidRPr="00D16914" w:rsidRDefault="00D16914" w:rsidP="00D16914">
            <w:pPr>
              <w:widowControl/>
              <w:adjustRightInd/>
              <w:rPr>
                <w:sz w:val="20"/>
                <w:szCs w:val="20"/>
              </w:rPr>
            </w:pPr>
          </w:p>
        </w:tc>
        <w:tc>
          <w:tcPr>
            <w:tcW w:w="6930" w:type="dxa"/>
            <w:gridSpan w:val="15"/>
            <w:tcBorders>
              <w:top w:val="nil"/>
              <w:left w:val="nil"/>
              <w:bottom w:val="single" w:sz="8" w:space="0" w:color="auto"/>
              <w:right w:val="nil"/>
            </w:tcBorders>
            <w:shd w:val="clear" w:color="auto" w:fill="auto"/>
            <w:noWrap/>
            <w:vAlign w:val="bottom"/>
            <w:hideMark/>
          </w:tcPr>
          <w:p w:rsidR="00D16914" w:rsidRPr="00D16914" w:rsidRDefault="00D16914" w:rsidP="00D16914">
            <w:pPr>
              <w:widowControl/>
              <w:adjustRightInd/>
              <w:jc w:val="center"/>
              <w:rPr>
                <w:b/>
                <w:bCs/>
                <w:sz w:val="16"/>
                <w:szCs w:val="16"/>
              </w:rPr>
            </w:pPr>
            <w:r w:rsidRPr="00D16914">
              <w:rPr>
                <w:b/>
                <w:bCs/>
                <w:sz w:val="16"/>
                <w:szCs w:val="16"/>
              </w:rPr>
              <w:t>Hours and Costs Per Respondent Per Activity</w:t>
            </w:r>
          </w:p>
        </w:tc>
        <w:tc>
          <w:tcPr>
            <w:tcW w:w="3060" w:type="dxa"/>
            <w:gridSpan w:val="6"/>
            <w:tcBorders>
              <w:top w:val="nil"/>
              <w:left w:val="nil"/>
              <w:bottom w:val="single" w:sz="8" w:space="0" w:color="auto"/>
              <w:right w:val="nil"/>
            </w:tcBorders>
            <w:shd w:val="clear" w:color="auto" w:fill="auto"/>
            <w:noWrap/>
            <w:vAlign w:val="bottom"/>
            <w:hideMark/>
          </w:tcPr>
          <w:p w:rsidR="00D16914" w:rsidRPr="00D16914" w:rsidRDefault="00D16914" w:rsidP="00D16914">
            <w:pPr>
              <w:widowControl/>
              <w:adjustRightInd/>
              <w:jc w:val="center"/>
              <w:rPr>
                <w:b/>
                <w:bCs/>
                <w:sz w:val="16"/>
                <w:szCs w:val="16"/>
              </w:rPr>
            </w:pPr>
            <w:r w:rsidRPr="00D16914">
              <w:rPr>
                <w:b/>
                <w:bCs/>
                <w:sz w:val="16"/>
                <w:szCs w:val="16"/>
              </w:rPr>
              <w:t>Total Hours and Costs</w:t>
            </w:r>
          </w:p>
        </w:tc>
      </w:tr>
      <w:tr w:rsidR="00D16914" w:rsidRPr="00D16914" w:rsidTr="00D16914">
        <w:trPr>
          <w:gridAfter w:val="3"/>
          <w:wAfter w:w="1663" w:type="dxa"/>
          <w:trHeight w:val="225"/>
        </w:trPr>
        <w:tc>
          <w:tcPr>
            <w:tcW w:w="3510"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p>
        </w:tc>
        <w:tc>
          <w:tcPr>
            <w:tcW w:w="819" w:type="dxa"/>
            <w:tcBorders>
              <w:top w:val="nil"/>
              <w:left w:val="single" w:sz="8" w:space="0" w:color="auto"/>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Leg.</w:t>
            </w:r>
          </w:p>
        </w:tc>
        <w:tc>
          <w:tcPr>
            <w:tcW w:w="819" w:type="dxa"/>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Mgr.</w:t>
            </w:r>
          </w:p>
        </w:tc>
        <w:tc>
          <w:tcPr>
            <w:tcW w:w="819" w:type="dxa"/>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Tech.</w:t>
            </w:r>
          </w:p>
        </w:tc>
        <w:tc>
          <w:tcPr>
            <w:tcW w:w="819" w:type="dxa"/>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Cler.</w:t>
            </w:r>
          </w:p>
        </w:tc>
        <w:tc>
          <w:tcPr>
            <w:tcW w:w="819"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Respon.</w:t>
            </w:r>
          </w:p>
        </w:tc>
        <w:tc>
          <w:tcPr>
            <w:tcW w:w="819"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Labor</w:t>
            </w:r>
          </w:p>
        </w:tc>
        <w:tc>
          <w:tcPr>
            <w:tcW w:w="819"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Capital/</w:t>
            </w:r>
          </w:p>
        </w:tc>
        <w:tc>
          <w:tcPr>
            <w:tcW w:w="819" w:type="dxa"/>
            <w:gridSpan w:val="2"/>
            <w:tcBorders>
              <w:top w:val="nil"/>
              <w:left w:val="nil"/>
              <w:bottom w:val="nil"/>
              <w:right w:val="single" w:sz="8" w:space="0" w:color="auto"/>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 </w:t>
            </w:r>
          </w:p>
        </w:tc>
        <w:tc>
          <w:tcPr>
            <w:tcW w:w="1008"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Number of</w:t>
            </w:r>
          </w:p>
        </w:tc>
        <w:tc>
          <w:tcPr>
            <w:tcW w:w="1008"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Total</w:t>
            </w:r>
          </w:p>
        </w:tc>
        <w:tc>
          <w:tcPr>
            <w:tcW w:w="1062" w:type="dxa"/>
            <w:gridSpan w:val="2"/>
            <w:tcBorders>
              <w:top w:val="nil"/>
              <w:left w:val="nil"/>
              <w:bottom w:val="nil"/>
              <w:right w:val="single" w:sz="8" w:space="0" w:color="auto"/>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Total</w:t>
            </w:r>
          </w:p>
        </w:tc>
      </w:tr>
      <w:tr w:rsidR="00D16914" w:rsidRPr="00D16914" w:rsidTr="00D16914">
        <w:trPr>
          <w:gridAfter w:val="3"/>
          <w:wAfter w:w="1663" w:type="dxa"/>
          <w:trHeight w:val="225"/>
        </w:trPr>
        <w:tc>
          <w:tcPr>
            <w:tcW w:w="3510"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p>
        </w:tc>
        <w:tc>
          <w:tcPr>
            <w:tcW w:w="819" w:type="dxa"/>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 xml:space="preserve"> $125.14/</w:t>
            </w:r>
          </w:p>
        </w:tc>
        <w:tc>
          <w:tcPr>
            <w:tcW w:w="819" w:type="dxa"/>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 xml:space="preserve"> $105.75/</w:t>
            </w:r>
          </w:p>
        </w:tc>
        <w:tc>
          <w:tcPr>
            <w:tcW w:w="819" w:type="dxa"/>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 xml:space="preserve"> $50.98/</w:t>
            </w:r>
          </w:p>
        </w:tc>
        <w:tc>
          <w:tcPr>
            <w:tcW w:w="819" w:type="dxa"/>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 xml:space="preserve"> $29.90/</w:t>
            </w:r>
          </w:p>
        </w:tc>
        <w:tc>
          <w:tcPr>
            <w:tcW w:w="819"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Hours/</w:t>
            </w:r>
          </w:p>
        </w:tc>
        <w:tc>
          <w:tcPr>
            <w:tcW w:w="819"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Cost/</w:t>
            </w:r>
          </w:p>
        </w:tc>
        <w:tc>
          <w:tcPr>
            <w:tcW w:w="819"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Startup</w:t>
            </w:r>
          </w:p>
        </w:tc>
        <w:tc>
          <w:tcPr>
            <w:tcW w:w="819"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O&amp;M</w:t>
            </w:r>
          </w:p>
        </w:tc>
        <w:tc>
          <w:tcPr>
            <w:tcW w:w="1008"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Respon.</w:t>
            </w:r>
          </w:p>
        </w:tc>
        <w:tc>
          <w:tcPr>
            <w:tcW w:w="1008"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Hours/</w:t>
            </w:r>
          </w:p>
        </w:tc>
        <w:tc>
          <w:tcPr>
            <w:tcW w:w="1062"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jc w:val="center"/>
              <w:rPr>
                <w:b/>
                <w:bCs/>
                <w:sz w:val="16"/>
                <w:szCs w:val="16"/>
              </w:rPr>
            </w:pPr>
            <w:r w:rsidRPr="00D16914">
              <w:rPr>
                <w:b/>
                <w:bCs/>
                <w:sz w:val="16"/>
                <w:szCs w:val="16"/>
              </w:rPr>
              <w:t>Cost/</w:t>
            </w:r>
          </w:p>
        </w:tc>
      </w:tr>
      <w:tr w:rsidR="00D16914" w:rsidRPr="00D16914" w:rsidTr="00D16914">
        <w:trPr>
          <w:gridAfter w:val="3"/>
          <w:wAfter w:w="1663" w:type="dxa"/>
          <w:trHeight w:val="285"/>
        </w:trPr>
        <w:tc>
          <w:tcPr>
            <w:tcW w:w="3510" w:type="dxa"/>
            <w:gridSpan w:val="2"/>
            <w:tcBorders>
              <w:top w:val="nil"/>
              <w:left w:val="nil"/>
              <w:bottom w:val="single" w:sz="4" w:space="0" w:color="auto"/>
              <w:right w:val="nil"/>
            </w:tcBorders>
            <w:shd w:val="clear" w:color="auto" w:fill="auto"/>
            <w:vAlign w:val="center"/>
            <w:hideMark/>
          </w:tcPr>
          <w:p w:rsidR="00D16914" w:rsidRPr="00D16914" w:rsidRDefault="00D16914" w:rsidP="00D16914">
            <w:pPr>
              <w:widowControl/>
              <w:adjustRightInd/>
              <w:rPr>
                <w:b/>
                <w:bCs/>
                <w:sz w:val="16"/>
                <w:szCs w:val="16"/>
              </w:rPr>
            </w:pPr>
            <w:r w:rsidRPr="00D16914">
              <w:rPr>
                <w:b/>
                <w:bCs/>
                <w:sz w:val="16"/>
                <w:szCs w:val="16"/>
              </w:rPr>
              <w:t>INFORMATION COLLECTION ACTIVITY</w:t>
            </w:r>
          </w:p>
        </w:tc>
        <w:tc>
          <w:tcPr>
            <w:tcW w:w="819" w:type="dxa"/>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Hour</w:t>
            </w:r>
          </w:p>
        </w:tc>
        <w:tc>
          <w:tcPr>
            <w:tcW w:w="819" w:type="dxa"/>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Hour</w:t>
            </w:r>
          </w:p>
        </w:tc>
        <w:tc>
          <w:tcPr>
            <w:tcW w:w="819" w:type="dxa"/>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Hour</w:t>
            </w:r>
          </w:p>
        </w:tc>
        <w:tc>
          <w:tcPr>
            <w:tcW w:w="819" w:type="dxa"/>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Hour</w:t>
            </w:r>
          </w:p>
        </w:tc>
        <w:tc>
          <w:tcPr>
            <w:tcW w:w="819"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Activity</w:t>
            </w:r>
          </w:p>
        </w:tc>
        <w:tc>
          <w:tcPr>
            <w:tcW w:w="819"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Activity</w:t>
            </w:r>
          </w:p>
        </w:tc>
        <w:tc>
          <w:tcPr>
            <w:tcW w:w="819" w:type="dxa"/>
            <w:gridSpan w:val="3"/>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Cost</w:t>
            </w:r>
          </w:p>
        </w:tc>
        <w:tc>
          <w:tcPr>
            <w:tcW w:w="819"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Cost</w:t>
            </w:r>
          </w:p>
        </w:tc>
        <w:tc>
          <w:tcPr>
            <w:tcW w:w="1008" w:type="dxa"/>
            <w:gridSpan w:val="3"/>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Activities</w:t>
            </w:r>
          </w:p>
        </w:tc>
        <w:tc>
          <w:tcPr>
            <w:tcW w:w="1008"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Year</w:t>
            </w:r>
          </w:p>
        </w:tc>
        <w:tc>
          <w:tcPr>
            <w:tcW w:w="1062" w:type="dxa"/>
            <w:gridSpan w:val="2"/>
            <w:tcBorders>
              <w:top w:val="nil"/>
              <w:left w:val="nil"/>
              <w:bottom w:val="nil"/>
              <w:right w:val="nil"/>
            </w:tcBorders>
            <w:shd w:val="clear" w:color="auto" w:fill="auto"/>
            <w:vAlign w:val="center"/>
            <w:hideMark/>
          </w:tcPr>
          <w:p w:rsidR="00D16914" w:rsidRPr="00D16914" w:rsidRDefault="00D16914" w:rsidP="00D16914">
            <w:pPr>
              <w:widowControl/>
              <w:adjustRightInd/>
              <w:jc w:val="center"/>
              <w:rPr>
                <w:b/>
                <w:bCs/>
                <w:sz w:val="16"/>
                <w:szCs w:val="16"/>
              </w:rPr>
            </w:pPr>
            <w:r w:rsidRPr="00D16914">
              <w:rPr>
                <w:b/>
                <w:bCs/>
                <w:sz w:val="16"/>
                <w:szCs w:val="16"/>
              </w:rPr>
              <w:t>Year</w:t>
            </w:r>
          </w:p>
        </w:tc>
      </w:tr>
      <w:tr w:rsidR="00D16914" w:rsidRPr="00D16914" w:rsidTr="00D16914">
        <w:trPr>
          <w:gridAfter w:val="3"/>
          <w:wAfter w:w="1663" w:type="dxa"/>
          <w:trHeight w:val="225"/>
        </w:trPr>
        <w:tc>
          <w:tcPr>
            <w:tcW w:w="13140" w:type="dxa"/>
            <w:gridSpan w:val="2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16914" w:rsidRPr="00D16914" w:rsidRDefault="00D16914" w:rsidP="00D16914">
            <w:pPr>
              <w:widowControl/>
              <w:adjustRightInd/>
              <w:rPr>
                <w:b/>
                <w:bCs/>
                <w:sz w:val="16"/>
                <w:szCs w:val="16"/>
              </w:rPr>
            </w:pPr>
            <w:r w:rsidRPr="00D16914">
              <w:rPr>
                <w:b/>
                <w:bCs/>
                <w:sz w:val="16"/>
                <w:szCs w:val="16"/>
              </w:rPr>
              <w:t>Groundwater Monitoring and Corrective Action</w:t>
            </w:r>
          </w:p>
        </w:tc>
      </w:tr>
      <w:tr w:rsidR="00D16914" w:rsidRPr="00D16914" w:rsidTr="00D16914">
        <w:trPr>
          <w:gridAfter w:val="3"/>
          <w:wAfter w:w="1663" w:type="dxa"/>
          <w:trHeight w:val="225"/>
        </w:trPr>
        <w:tc>
          <w:tcPr>
            <w:tcW w:w="13140" w:type="dxa"/>
            <w:gridSpan w:val="22"/>
            <w:tcBorders>
              <w:top w:val="single" w:sz="4" w:space="0" w:color="auto"/>
              <w:left w:val="single" w:sz="4" w:space="0" w:color="auto"/>
              <w:bottom w:val="single" w:sz="4" w:space="0" w:color="auto"/>
              <w:right w:val="single" w:sz="4" w:space="0" w:color="000000"/>
            </w:tcBorders>
            <w:shd w:val="clear" w:color="auto" w:fill="auto"/>
            <w:vAlign w:val="center"/>
            <w:hideMark/>
          </w:tcPr>
          <w:p w:rsidR="00D16914" w:rsidRPr="00D16914" w:rsidRDefault="00D16914" w:rsidP="00D16914">
            <w:pPr>
              <w:widowControl/>
              <w:adjustRightInd/>
              <w:rPr>
                <w:b/>
                <w:bCs/>
                <w:sz w:val="16"/>
                <w:szCs w:val="16"/>
              </w:rPr>
            </w:pPr>
            <w:r w:rsidRPr="00D16914">
              <w:rPr>
                <w:b/>
                <w:bCs/>
                <w:sz w:val="16"/>
                <w:szCs w:val="16"/>
              </w:rPr>
              <w:t>Applicability (40 CFR 257.90)</w:t>
            </w:r>
          </w:p>
        </w:tc>
      </w:tr>
      <w:tr w:rsidR="00D16914" w:rsidRPr="00D16914" w:rsidTr="00D16914">
        <w:trPr>
          <w:gridAfter w:val="3"/>
          <w:wAfter w:w="1663" w:type="dxa"/>
          <w:trHeight w:val="450"/>
        </w:trPr>
        <w:tc>
          <w:tcPr>
            <w:tcW w:w="3510" w:type="dxa"/>
            <w:gridSpan w:val="2"/>
            <w:tcBorders>
              <w:top w:val="nil"/>
              <w:left w:val="single" w:sz="4" w:space="0" w:color="auto"/>
              <w:bottom w:val="single" w:sz="4" w:space="0" w:color="auto"/>
              <w:right w:val="single" w:sz="4" w:space="0" w:color="auto"/>
            </w:tcBorders>
            <w:shd w:val="clear" w:color="auto" w:fill="auto"/>
            <w:vAlign w:val="center"/>
            <w:hideMark/>
          </w:tcPr>
          <w:p w:rsidR="00D16914" w:rsidRPr="00D16914" w:rsidRDefault="00D16914" w:rsidP="00D16914">
            <w:pPr>
              <w:widowControl/>
              <w:adjustRightInd/>
              <w:rPr>
                <w:sz w:val="16"/>
                <w:szCs w:val="16"/>
              </w:rPr>
            </w:pPr>
            <w:r w:rsidRPr="00D16914">
              <w:rPr>
                <w:sz w:val="16"/>
                <w:szCs w:val="16"/>
              </w:rPr>
              <w:t>Revisions to the Annual Groundwater Monitoring and Corrective Action Report Requirements (</w:t>
            </w:r>
            <w:r w:rsidRPr="00D16914">
              <w:rPr>
                <w:b/>
                <w:bCs/>
                <w:sz w:val="16"/>
                <w:szCs w:val="16"/>
                <w:u w:val="single"/>
              </w:rPr>
              <w:t>One-time</w:t>
            </w:r>
            <w:r w:rsidRPr="00D16914">
              <w:rPr>
                <w:sz w:val="16"/>
                <w:szCs w:val="16"/>
              </w:rPr>
              <w:t>)</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1.00</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1.00</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2.00</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$156.73</w:t>
            </w:r>
          </w:p>
        </w:tc>
        <w:tc>
          <w:tcPr>
            <w:tcW w:w="819" w:type="dxa"/>
            <w:gridSpan w:val="3"/>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1008" w:type="dxa"/>
            <w:gridSpan w:val="3"/>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255</w:t>
            </w:r>
          </w:p>
        </w:tc>
        <w:tc>
          <w:tcPr>
            <w:tcW w:w="1008"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509.34</w:t>
            </w:r>
          </w:p>
        </w:tc>
        <w:tc>
          <w:tcPr>
            <w:tcW w:w="1062"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$39,913.91</w:t>
            </w:r>
          </w:p>
        </w:tc>
      </w:tr>
      <w:tr w:rsidR="00D16914" w:rsidRPr="00D16914" w:rsidTr="00D16914">
        <w:trPr>
          <w:gridAfter w:val="3"/>
          <w:wAfter w:w="1663" w:type="dxa"/>
          <w:trHeight w:val="450"/>
        </w:trPr>
        <w:tc>
          <w:tcPr>
            <w:tcW w:w="3510" w:type="dxa"/>
            <w:gridSpan w:val="2"/>
            <w:tcBorders>
              <w:top w:val="nil"/>
              <w:left w:val="single" w:sz="4" w:space="0" w:color="auto"/>
              <w:bottom w:val="single" w:sz="4" w:space="0" w:color="auto"/>
              <w:right w:val="single" w:sz="4" w:space="0" w:color="auto"/>
            </w:tcBorders>
            <w:shd w:val="clear" w:color="auto" w:fill="auto"/>
            <w:vAlign w:val="center"/>
            <w:hideMark/>
          </w:tcPr>
          <w:p w:rsidR="00D16914" w:rsidRPr="00D16914" w:rsidRDefault="00D16914" w:rsidP="00D16914">
            <w:pPr>
              <w:widowControl/>
              <w:adjustRightInd/>
              <w:rPr>
                <w:sz w:val="16"/>
                <w:szCs w:val="16"/>
              </w:rPr>
            </w:pPr>
            <w:r w:rsidRPr="00D16914">
              <w:rPr>
                <w:sz w:val="16"/>
                <w:szCs w:val="16"/>
              </w:rPr>
              <w:t>Revisions to the Annual Groundwater Monitoring and Corrective Action Report Requirements (</w:t>
            </w:r>
            <w:r w:rsidRPr="00D16914">
              <w:rPr>
                <w:b/>
                <w:bCs/>
                <w:sz w:val="16"/>
                <w:szCs w:val="16"/>
                <w:u w:val="single"/>
              </w:rPr>
              <w:t>Annual</w:t>
            </w:r>
            <w:r w:rsidRPr="00D16914">
              <w:rPr>
                <w:sz w:val="16"/>
                <w:szCs w:val="16"/>
              </w:rPr>
              <w:t>)</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0.50</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1.00</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1.50</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$103.86</w:t>
            </w:r>
          </w:p>
        </w:tc>
        <w:tc>
          <w:tcPr>
            <w:tcW w:w="819" w:type="dxa"/>
            <w:gridSpan w:val="3"/>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$0.00</w:t>
            </w:r>
          </w:p>
        </w:tc>
        <w:tc>
          <w:tcPr>
            <w:tcW w:w="1008" w:type="dxa"/>
            <w:gridSpan w:val="3"/>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764</w:t>
            </w:r>
          </w:p>
        </w:tc>
        <w:tc>
          <w:tcPr>
            <w:tcW w:w="1008"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1,146.00</w:t>
            </w:r>
          </w:p>
        </w:tc>
        <w:tc>
          <w:tcPr>
            <w:tcW w:w="1062"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sz w:val="16"/>
                <w:szCs w:val="16"/>
              </w:rPr>
            </w:pPr>
            <w:r w:rsidRPr="00D16914">
              <w:rPr>
                <w:sz w:val="16"/>
                <w:szCs w:val="16"/>
              </w:rPr>
              <w:t>$79,349.04</w:t>
            </w:r>
          </w:p>
        </w:tc>
      </w:tr>
      <w:tr w:rsidR="00D16914" w:rsidRPr="00D16914" w:rsidTr="00D16914">
        <w:trPr>
          <w:gridAfter w:val="3"/>
          <w:wAfter w:w="1663" w:type="dxa"/>
          <w:trHeight w:val="210"/>
        </w:trPr>
        <w:tc>
          <w:tcPr>
            <w:tcW w:w="3510" w:type="dxa"/>
            <w:gridSpan w:val="2"/>
            <w:tcBorders>
              <w:top w:val="nil"/>
              <w:left w:val="single" w:sz="4" w:space="0" w:color="auto"/>
              <w:bottom w:val="single" w:sz="4" w:space="0" w:color="auto"/>
              <w:right w:val="nil"/>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TOTAL</w:t>
            </w:r>
          </w:p>
        </w:tc>
        <w:tc>
          <w:tcPr>
            <w:tcW w:w="819" w:type="dxa"/>
            <w:tcBorders>
              <w:top w:val="nil"/>
              <w:left w:val="single" w:sz="4" w:space="0" w:color="auto"/>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819" w:type="dxa"/>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819"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819" w:type="dxa"/>
            <w:gridSpan w:val="3"/>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$0.00</w:t>
            </w:r>
          </w:p>
        </w:tc>
        <w:tc>
          <w:tcPr>
            <w:tcW w:w="819" w:type="dxa"/>
            <w:gridSpan w:val="2"/>
            <w:tcBorders>
              <w:top w:val="nil"/>
              <w:left w:val="nil"/>
              <w:bottom w:val="single" w:sz="4" w:space="0" w:color="auto"/>
              <w:right w:val="single" w:sz="8"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1008" w:type="dxa"/>
            <w:gridSpan w:val="3"/>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Varies</w:t>
            </w:r>
          </w:p>
        </w:tc>
        <w:tc>
          <w:tcPr>
            <w:tcW w:w="1008"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1,655.34</w:t>
            </w:r>
          </w:p>
        </w:tc>
        <w:tc>
          <w:tcPr>
            <w:tcW w:w="1062" w:type="dxa"/>
            <w:gridSpan w:val="2"/>
            <w:tcBorders>
              <w:top w:val="nil"/>
              <w:left w:val="nil"/>
              <w:bottom w:val="single" w:sz="4" w:space="0" w:color="auto"/>
              <w:right w:val="single" w:sz="4" w:space="0" w:color="auto"/>
            </w:tcBorders>
            <w:shd w:val="clear" w:color="auto" w:fill="auto"/>
            <w:vAlign w:val="center"/>
            <w:hideMark/>
          </w:tcPr>
          <w:p w:rsidR="00D16914" w:rsidRPr="00D16914" w:rsidRDefault="00D16914" w:rsidP="00D16914">
            <w:pPr>
              <w:widowControl/>
              <w:adjustRightInd/>
              <w:jc w:val="right"/>
              <w:rPr>
                <w:b/>
                <w:bCs/>
                <w:sz w:val="16"/>
                <w:szCs w:val="16"/>
              </w:rPr>
            </w:pPr>
            <w:r w:rsidRPr="00D16914">
              <w:rPr>
                <w:b/>
                <w:bCs/>
                <w:sz w:val="16"/>
                <w:szCs w:val="16"/>
              </w:rPr>
              <w:t>$119,262.95</w:t>
            </w:r>
          </w:p>
        </w:tc>
      </w:tr>
      <w:tr w:rsidR="00D16914" w:rsidRPr="00D16914" w:rsidTr="00D16914">
        <w:trPr>
          <w:trHeight w:val="225"/>
        </w:trPr>
        <w:tc>
          <w:tcPr>
            <w:tcW w:w="3150"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16"/>
                <w:szCs w:val="16"/>
              </w:rPr>
            </w:pPr>
            <w:r w:rsidRPr="00D16914">
              <w:rPr>
                <w:sz w:val="16"/>
                <w:szCs w:val="16"/>
                <w:vertAlign w:val="superscript"/>
              </w:rPr>
              <w:t>a</w:t>
            </w:r>
            <w:r w:rsidRPr="00D16914">
              <w:rPr>
                <w:sz w:val="16"/>
                <w:szCs w:val="16"/>
              </w:rPr>
              <w:t xml:space="preserve">  Exhibit includes rounding error.</w:t>
            </w:r>
          </w:p>
        </w:tc>
        <w:tc>
          <w:tcPr>
            <w:tcW w:w="3891" w:type="dxa"/>
            <w:gridSpan w:val="6"/>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16"/>
                <w:szCs w:val="16"/>
              </w:rPr>
            </w:pPr>
          </w:p>
        </w:tc>
        <w:tc>
          <w:tcPr>
            <w:tcW w:w="781"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701"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701"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763"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00" w:type="dxa"/>
            <w:gridSpan w:val="3"/>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82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8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60" w:type="dxa"/>
            <w:gridSpan w:val="2"/>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920"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D16914" w:rsidRPr="00D16914" w:rsidRDefault="00D16914" w:rsidP="00D16914">
            <w:pPr>
              <w:widowControl/>
              <w:adjustRightInd/>
              <w:rPr>
                <w:sz w:val="20"/>
                <w:szCs w:val="20"/>
              </w:rPr>
            </w:pPr>
          </w:p>
        </w:tc>
      </w:tr>
    </w:tbl>
    <w:p w:rsidR="00D16914" w:rsidRDefault="00D16914" w:rsidP="00A03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D16914" w:rsidRDefault="00D16914">
      <w:pPr>
        <w:widowControl/>
        <w:adjustRightInd/>
        <w:spacing w:after="160" w:line="259" w:lineRule="auto"/>
        <w:rPr>
          <w:sz w:val="22"/>
          <w:szCs w:val="22"/>
        </w:rPr>
      </w:pPr>
    </w:p>
    <w:tbl>
      <w:tblPr>
        <w:tblW w:w="15483" w:type="dxa"/>
        <w:tblInd w:w="108" w:type="dxa"/>
        <w:tblLayout w:type="fixed"/>
        <w:tblLook w:val="04A0" w:firstRow="1" w:lastRow="0" w:firstColumn="1" w:lastColumn="0" w:noHBand="0" w:noVBand="1"/>
      </w:tblPr>
      <w:tblGrid>
        <w:gridCol w:w="5129"/>
        <w:gridCol w:w="864"/>
        <w:gridCol w:w="864"/>
        <w:gridCol w:w="864"/>
        <w:gridCol w:w="781"/>
        <w:gridCol w:w="83"/>
        <w:gridCol w:w="618"/>
        <w:gridCol w:w="246"/>
        <w:gridCol w:w="455"/>
        <w:gridCol w:w="409"/>
        <w:gridCol w:w="354"/>
        <w:gridCol w:w="510"/>
        <w:gridCol w:w="390"/>
        <w:gridCol w:w="474"/>
        <w:gridCol w:w="19"/>
        <w:gridCol w:w="327"/>
        <w:gridCol w:w="236"/>
        <w:gridCol w:w="282"/>
        <w:gridCol w:w="864"/>
        <w:gridCol w:w="558"/>
        <w:gridCol w:w="253"/>
        <w:gridCol w:w="667"/>
        <w:gridCol w:w="236"/>
      </w:tblGrid>
      <w:tr w:rsidR="00F85DEF" w:rsidRPr="00F85DEF" w:rsidTr="00F85DEF">
        <w:trPr>
          <w:trHeight w:val="225"/>
        </w:trPr>
        <w:tc>
          <w:tcPr>
            <w:tcW w:w="5129" w:type="dxa"/>
            <w:tcBorders>
              <w:top w:val="nil"/>
              <w:left w:val="nil"/>
              <w:bottom w:val="nil"/>
              <w:right w:val="nil"/>
            </w:tcBorders>
            <w:shd w:val="clear" w:color="auto" w:fill="auto"/>
            <w:noWrap/>
            <w:vAlign w:val="center"/>
            <w:hideMark/>
          </w:tcPr>
          <w:p w:rsidR="00F85DEF" w:rsidRPr="00F85DEF" w:rsidRDefault="00F85DEF" w:rsidP="00F85DEF">
            <w:pPr>
              <w:widowControl/>
              <w:adjustRightInd/>
              <w:rPr>
                <w:b/>
                <w:bCs/>
                <w:sz w:val="16"/>
                <w:szCs w:val="16"/>
              </w:rPr>
            </w:pPr>
            <w:r w:rsidRPr="00F85DEF">
              <w:rPr>
                <w:b/>
                <w:bCs/>
                <w:sz w:val="16"/>
                <w:szCs w:val="16"/>
              </w:rPr>
              <w:t>EXHIBIT 4</w:t>
            </w:r>
          </w:p>
        </w:tc>
        <w:tc>
          <w:tcPr>
            <w:tcW w:w="2592" w:type="dxa"/>
            <w:gridSpan w:val="3"/>
            <w:tcBorders>
              <w:top w:val="nil"/>
              <w:left w:val="nil"/>
              <w:bottom w:val="nil"/>
              <w:right w:val="nil"/>
            </w:tcBorders>
            <w:shd w:val="clear" w:color="auto" w:fill="auto"/>
            <w:noWrap/>
            <w:vAlign w:val="center"/>
            <w:hideMark/>
          </w:tcPr>
          <w:p w:rsidR="00F85DEF" w:rsidRPr="00F85DEF" w:rsidRDefault="00F85DEF" w:rsidP="00F85DEF">
            <w:pPr>
              <w:widowControl/>
              <w:adjustRightInd/>
              <w:rPr>
                <w:b/>
                <w:bCs/>
                <w:sz w:val="16"/>
                <w:szCs w:val="16"/>
              </w:rPr>
            </w:pPr>
          </w:p>
        </w:tc>
        <w:tc>
          <w:tcPr>
            <w:tcW w:w="781" w:type="dxa"/>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701"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701"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763"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900"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820" w:type="dxa"/>
            <w:gridSpan w:val="3"/>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1704" w:type="dxa"/>
            <w:gridSpan w:val="3"/>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920"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r>
      <w:tr w:rsidR="00F85DEF" w:rsidRPr="00F85DEF" w:rsidTr="00F85DEF">
        <w:trPr>
          <w:trHeight w:val="240"/>
        </w:trPr>
        <w:tc>
          <w:tcPr>
            <w:tcW w:w="8502" w:type="dxa"/>
            <w:gridSpan w:val="5"/>
            <w:tcBorders>
              <w:top w:val="nil"/>
              <w:left w:val="nil"/>
              <w:bottom w:val="nil"/>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DISPOSAL OF COAL COMBUSTION RESIDUALS FROM ELECTRIC UTILITIES</w:t>
            </w:r>
          </w:p>
        </w:tc>
        <w:tc>
          <w:tcPr>
            <w:tcW w:w="701"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b/>
                <w:bCs/>
                <w:sz w:val="16"/>
                <w:szCs w:val="16"/>
              </w:rPr>
            </w:pPr>
          </w:p>
        </w:tc>
        <w:tc>
          <w:tcPr>
            <w:tcW w:w="701"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763"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900"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820" w:type="dxa"/>
            <w:gridSpan w:val="3"/>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1704" w:type="dxa"/>
            <w:gridSpan w:val="3"/>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920"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r>
      <w:tr w:rsidR="00F85DEF" w:rsidRPr="00F85DEF" w:rsidTr="00F85DEF">
        <w:trPr>
          <w:trHeight w:val="240"/>
        </w:trPr>
        <w:tc>
          <w:tcPr>
            <w:tcW w:w="10667" w:type="dxa"/>
            <w:gridSpan w:val="11"/>
            <w:tcBorders>
              <w:top w:val="nil"/>
              <w:left w:val="nil"/>
              <w:bottom w:val="nil"/>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xml:space="preserve">ESTIMATED ANNUAL RESPONDENT HOUR AND COST BURDEN - OWNERS AND OPERATORS OF CCR UNITS </w:t>
            </w:r>
            <w:r w:rsidRPr="00F85DEF">
              <w:rPr>
                <w:b/>
                <w:bCs/>
                <w:sz w:val="16"/>
                <w:szCs w:val="16"/>
                <w:vertAlign w:val="superscript"/>
              </w:rPr>
              <w:t>a</w:t>
            </w:r>
          </w:p>
        </w:tc>
        <w:tc>
          <w:tcPr>
            <w:tcW w:w="900"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b/>
                <w:bCs/>
                <w:sz w:val="16"/>
                <w:szCs w:val="16"/>
              </w:rPr>
            </w:pPr>
          </w:p>
        </w:tc>
        <w:tc>
          <w:tcPr>
            <w:tcW w:w="820" w:type="dxa"/>
            <w:gridSpan w:val="3"/>
            <w:tcBorders>
              <w:top w:val="nil"/>
              <w:left w:val="nil"/>
              <w:bottom w:val="nil"/>
              <w:right w:val="nil"/>
            </w:tcBorders>
            <w:shd w:val="clear" w:color="auto" w:fill="auto"/>
            <w:vAlign w:val="center"/>
            <w:hideMark/>
          </w:tcPr>
          <w:p w:rsidR="00F85DEF" w:rsidRPr="00F85DEF" w:rsidRDefault="00F85DEF" w:rsidP="00F85DEF">
            <w:pPr>
              <w:widowControl/>
              <w:adjustRightInd/>
              <w:rPr>
                <w:sz w:val="20"/>
                <w:szCs w:val="20"/>
              </w:rPr>
            </w:pPr>
          </w:p>
        </w:tc>
        <w:tc>
          <w:tcPr>
            <w:tcW w:w="236" w:type="dxa"/>
            <w:tcBorders>
              <w:top w:val="nil"/>
              <w:left w:val="nil"/>
              <w:bottom w:val="nil"/>
              <w:right w:val="nil"/>
            </w:tcBorders>
            <w:shd w:val="clear" w:color="auto" w:fill="auto"/>
            <w:vAlign w:val="center"/>
            <w:hideMark/>
          </w:tcPr>
          <w:p w:rsidR="00F85DEF" w:rsidRPr="00F85DEF" w:rsidRDefault="00F85DEF" w:rsidP="00F85DEF">
            <w:pPr>
              <w:widowControl/>
              <w:adjustRightInd/>
              <w:rPr>
                <w:sz w:val="20"/>
                <w:szCs w:val="20"/>
              </w:rPr>
            </w:pPr>
          </w:p>
        </w:tc>
        <w:tc>
          <w:tcPr>
            <w:tcW w:w="1704" w:type="dxa"/>
            <w:gridSpan w:val="3"/>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920"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c>
          <w:tcPr>
            <w:tcW w:w="236" w:type="dxa"/>
            <w:tcBorders>
              <w:top w:val="nil"/>
              <w:left w:val="nil"/>
              <w:bottom w:val="nil"/>
              <w:right w:val="nil"/>
            </w:tcBorders>
            <w:shd w:val="clear" w:color="auto" w:fill="auto"/>
            <w:noWrap/>
            <w:vAlign w:val="center"/>
            <w:hideMark/>
          </w:tcPr>
          <w:p w:rsidR="00F85DEF" w:rsidRPr="00F85DEF" w:rsidRDefault="00F85DEF" w:rsidP="00F85DEF">
            <w:pPr>
              <w:widowControl/>
              <w:adjustRightInd/>
              <w:rPr>
                <w:sz w:val="20"/>
                <w:szCs w:val="20"/>
              </w:rPr>
            </w:pPr>
          </w:p>
        </w:tc>
      </w:tr>
      <w:tr w:rsidR="00F85DEF" w:rsidRPr="00F85DEF" w:rsidTr="00F85DEF">
        <w:trPr>
          <w:gridAfter w:val="2"/>
          <w:wAfter w:w="903" w:type="dxa"/>
          <w:trHeight w:val="675"/>
        </w:trPr>
        <w:tc>
          <w:tcPr>
            <w:tcW w:w="5129" w:type="dxa"/>
            <w:tcBorders>
              <w:top w:val="nil"/>
              <w:left w:val="nil"/>
              <w:bottom w:val="nil"/>
              <w:right w:val="nil"/>
            </w:tcBorders>
            <w:shd w:val="clear" w:color="auto" w:fill="auto"/>
            <w:vAlign w:val="center"/>
            <w:hideMark/>
          </w:tcPr>
          <w:p w:rsidR="00F85DEF" w:rsidRPr="00F85DEF" w:rsidRDefault="00F85DEF" w:rsidP="00F85DEF">
            <w:pPr>
              <w:widowControl/>
              <w:adjustRightInd/>
              <w:rPr>
                <w:sz w:val="20"/>
                <w:szCs w:val="20"/>
              </w:rPr>
            </w:pPr>
          </w:p>
        </w:tc>
        <w:tc>
          <w:tcPr>
            <w:tcW w:w="6931" w:type="dxa"/>
            <w:gridSpan w:val="14"/>
            <w:tcBorders>
              <w:top w:val="nil"/>
              <w:left w:val="nil"/>
              <w:bottom w:val="single" w:sz="8" w:space="0" w:color="auto"/>
              <w:right w:val="nil"/>
            </w:tcBorders>
            <w:shd w:val="clear" w:color="auto" w:fill="auto"/>
            <w:noWrap/>
            <w:vAlign w:val="bottom"/>
            <w:hideMark/>
          </w:tcPr>
          <w:p w:rsidR="00F85DEF" w:rsidRPr="00F85DEF" w:rsidRDefault="00F85DEF" w:rsidP="00F85DEF">
            <w:pPr>
              <w:widowControl/>
              <w:adjustRightInd/>
              <w:jc w:val="center"/>
              <w:rPr>
                <w:b/>
                <w:bCs/>
                <w:sz w:val="16"/>
                <w:szCs w:val="16"/>
              </w:rPr>
            </w:pPr>
            <w:r w:rsidRPr="00F85DEF">
              <w:rPr>
                <w:b/>
                <w:bCs/>
                <w:sz w:val="16"/>
                <w:szCs w:val="16"/>
              </w:rPr>
              <w:t>Hours and Costs Per Respondent Per Activity</w:t>
            </w:r>
          </w:p>
        </w:tc>
        <w:tc>
          <w:tcPr>
            <w:tcW w:w="2520" w:type="dxa"/>
            <w:gridSpan w:val="6"/>
            <w:tcBorders>
              <w:top w:val="nil"/>
              <w:left w:val="nil"/>
              <w:bottom w:val="single" w:sz="8" w:space="0" w:color="auto"/>
              <w:right w:val="nil"/>
            </w:tcBorders>
            <w:shd w:val="clear" w:color="auto" w:fill="auto"/>
            <w:noWrap/>
            <w:vAlign w:val="bottom"/>
            <w:hideMark/>
          </w:tcPr>
          <w:p w:rsidR="00F85DEF" w:rsidRPr="00F85DEF" w:rsidRDefault="00F85DEF" w:rsidP="00F85DEF">
            <w:pPr>
              <w:widowControl/>
              <w:adjustRightInd/>
              <w:jc w:val="center"/>
              <w:rPr>
                <w:b/>
                <w:bCs/>
                <w:sz w:val="16"/>
                <w:szCs w:val="16"/>
              </w:rPr>
            </w:pPr>
            <w:r w:rsidRPr="00F85DEF">
              <w:rPr>
                <w:b/>
                <w:bCs/>
                <w:sz w:val="16"/>
                <w:szCs w:val="16"/>
              </w:rPr>
              <w:t>Total Hours and Costs</w:t>
            </w:r>
          </w:p>
        </w:tc>
      </w:tr>
      <w:tr w:rsidR="00F85DEF" w:rsidRPr="00F85DEF" w:rsidTr="00F85DEF">
        <w:trPr>
          <w:gridAfter w:val="2"/>
          <w:wAfter w:w="903" w:type="dxa"/>
          <w:trHeight w:val="225"/>
        </w:trPr>
        <w:tc>
          <w:tcPr>
            <w:tcW w:w="5129" w:type="dxa"/>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p>
        </w:tc>
        <w:tc>
          <w:tcPr>
            <w:tcW w:w="864" w:type="dxa"/>
            <w:tcBorders>
              <w:top w:val="nil"/>
              <w:left w:val="single" w:sz="8" w:space="0" w:color="auto"/>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Leg.</w:t>
            </w:r>
          </w:p>
        </w:tc>
        <w:tc>
          <w:tcPr>
            <w:tcW w:w="864" w:type="dxa"/>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Mgr.</w:t>
            </w:r>
          </w:p>
        </w:tc>
        <w:tc>
          <w:tcPr>
            <w:tcW w:w="864" w:type="dxa"/>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Tech.</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Cler.</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Respon.</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Labor</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Capital/</w:t>
            </w:r>
          </w:p>
        </w:tc>
        <w:tc>
          <w:tcPr>
            <w:tcW w:w="864" w:type="dxa"/>
            <w:gridSpan w:val="2"/>
            <w:tcBorders>
              <w:top w:val="nil"/>
              <w:left w:val="nil"/>
              <w:bottom w:val="nil"/>
              <w:right w:val="single" w:sz="8" w:space="0" w:color="auto"/>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 </w:t>
            </w:r>
          </w:p>
        </w:tc>
        <w:tc>
          <w:tcPr>
            <w:tcW w:w="864" w:type="dxa"/>
            <w:gridSpan w:val="4"/>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Number of</w:t>
            </w:r>
          </w:p>
        </w:tc>
        <w:tc>
          <w:tcPr>
            <w:tcW w:w="864" w:type="dxa"/>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Total</w:t>
            </w:r>
          </w:p>
        </w:tc>
        <w:tc>
          <w:tcPr>
            <w:tcW w:w="811" w:type="dxa"/>
            <w:gridSpan w:val="2"/>
            <w:tcBorders>
              <w:top w:val="nil"/>
              <w:left w:val="nil"/>
              <w:bottom w:val="nil"/>
              <w:right w:val="single" w:sz="8" w:space="0" w:color="auto"/>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Total</w:t>
            </w:r>
          </w:p>
        </w:tc>
      </w:tr>
      <w:tr w:rsidR="00F85DEF" w:rsidRPr="00F85DEF" w:rsidTr="00F85DEF">
        <w:trPr>
          <w:gridAfter w:val="2"/>
          <w:wAfter w:w="903" w:type="dxa"/>
          <w:trHeight w:val="225"/>
        </w:trPr>
        <w:tc>
          <w:tcPr>
            <w:tcW w:w="5129" w:type="dxa"/>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p>
        </w:tc>
        <w:tc>
          <w:tcPr>
            <w:tcW w:w="864" w:type="dxa"/>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 xml:space="preserve"> $125.14/</w:t>
            </w:r>
          </w:p>
        </w:tc>
        <w:tc>
          <w:tcPr>
            <w:tcW w:w="864" w:type="dxa"/>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 xml:space="preserve"> $105.75/</w:t>
            </w:r>
          </w:p>
        </w:tc>
        <w:tc>
          <w:tcPr>
            <w:tcW w:w="864" w:type="dxa"/>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 xml:space="preserve"> $50.98/</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 xml:space="preserve"> $29.90/</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Hours/</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Cost/</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Startup</w:t>
            </w:r>
          </w:p>
        </w:tc>
        <w:tc>
          <w:tcPr>
            <w:tcW w:w="864"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O&amp;M</w:t>
            </w:r>
          </w:p>
        </w:tc>
        <w:tc>
          <w:tcPr>
            <w:tcW w:w="864" w:type="dxa"/>
            <w:gridSpan w:val="4"/>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Respon.</w:t>
            </w:r>
          </w:p>
        </w:tc>
        <w:tc>
          <w:tcPr>
            <w:tcW w:w="864" w:type="dxa"/>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Hours/</w:t>
            </w:r>
          </w:p>
        </w:tc>
        <w:tc>
          <w:tcPr>
            <w:tcW w:w="811" w:type="dxa"/>
            <w:gridSpan w:val="2"/>
            <w:tcBorders>
              <w:top w:val="nil"/>
              <w:left w:val="nil"/>
              <w:bottom w:val="nil"/>
              <w:right w:val="nil"/>
            </w:tcBorders>
            <w:shd w:val="clear" w:color="auto" w:fill="auto"/>
            <w:noWrap/>
            <w:vAlign w:val="center"/>
            <w:hideMark/>
          </w:tcPr>
          <w:p w:rsidR="00F85DEF" w:rsidRPr="00F85DEF" w:rsidRDefault="00F85DEF" w:rsidP="00F85DEF">
            <w:pPr>
              <w:widowControl/>
              <w:adjustRightInd/>
              <w:jc w:val="center"/>
              <w:rPr>
                <w:b/>
                <w:bCs/>
                <w:sz w:val="16"/>
                <w:szCs w:val="16"/>
              </w:rPr>
            </w:pPr>
            <w:r w:rsidRPr="00F85DEF">
              <w:rPr>
                <w:b/>
                <w:bCs/>
                <w:sz w:val="16"/>
                <w:szCs w:val="16"/>
              </w:rPr>
              <w:t>Cost/</w:t>
            </w:r>
          </w:p>
        </w:tc>
      </w:tr>
      <w:tr w:rsidR="00F85DEF" w:rsidRPr="00F85DEF" w:rsidTr="00F85DEF">
        <w:trPr>
          <w:gridAfter w:val="2"/>
          <w:wAfter w:w="903" w:type="dxa"/>
          <w:trHeight w:val="285"/>
        </w:trPr>
        <w:tc>
          <w:tcPr>
            <w:tcW w:w="5129"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INFORMATION COLLECTION ACTIVITY</w:t>
            </w:r>
          </w:p>
        </w:tc>
        <w:tc>
          <w:tcPr>
            <w:tcW w:w="864" w:type="dxa"/>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Hour</w:t>
            </w:r>
          </w:p>
        </w:tc>
        <w:tc>
          <w:tcPr>
            <w:tcW w:w="864" w:type="dxa"/>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Hour</w:t>
            </w:r>
          </w:p>
        </w:tc>
        <w:tc>
          <w:tcPr>
            <w:tcW w:w="864" w:type="dxa"/>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Hour</w:t>
            </w:r>
          </w:p>
        </w:tc>
        <w:tc>
          <w:tcPr>
            <w:tcW w:w="864" w:type="dxa"/>
            <w:gridSpan w:val="2"/>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Hour</w:t>
            </w:r>
          </w:p>
        </w:tc>
        <w:tc>
          <w:tcPr>
            <w:tcW w:w="864" w:type="dxa"/>
            <w:gridSpan w:val="2"/>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Activity</w:t>
            </w:r>
          </w:p>
        </w:tc>
        <w:tc>
          <w:tcPr>
            <w:tcW w:w="864" w:type="dxa"/>
            <w:gridSpan w:val="2"/>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Activity</w:t>
            </w:r>
          </w:p>
        </w:tc>
        <w:tc>
          <w:tcPr>
            <w:tcW w:w="864" w:type="dxa"/>
            <w:gridSpan w:val="2"/>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Cost</w:t>
            </w:r>
          </w:p>
        </w:tc>
        <w:tc>
          <w:tcPr>
            <w:tcW w:w="864" w:type="dxa"/>
            <w:gridSpan w:val="2"/>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Cost</w:t>
            </w:r>
          </w:p>
        </w:tc>
        <w:tc>
          <w:tcPr>
            <w:tcW w:w="864" w:type="dxa"/>
            <w:gridSpan w:val="4"/>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Activities</w:t>
            </w:r>
          </w:p>
        </w:tc>
        <w:tc>
          <w:tcPr>
            <w:tcW w:w="864" w:type="dxa"/>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Year</w:t>
            </w:r>
          </w:p>
        </w:tc>
        <w:tc>
          <w:tcPr>
            <w:tcW w:w="811" w:type="dxa"/>
            <w:gridSpan w:val="2"/>
            <w:tcBorders>
              <w:top w:val="nil"/>
              <w:left w:val="nil"/>
              <w:bottom w:val="nil"/>
              <w:right w:val="nil"/>
            </w:tcBorders>
            <w:shd w:val="clear" w:color="auto" w:fill="auto"/>
            <w:vAlign w:val="center"/>
            <w:hideMark/>
          </w:tcPr>
          <w:p w:rsidR="00F85DEF" w:rsidRPr="00F85DEF" w:rsidRDefault="00F85DEF" w:rsidP="00F85DEF">
            <w:pPr>
              <w:widowControl/>
              <w:adjustRightInd/>
              <w:jc w:val="center"/>
              <w:rPr>
                <w:b/>
                <w:bCs/>
                <w:sz w:val="16"/>
                <w:szCs w:val="16"/>
              </w:rPr>
            </w:pPr>
            <w:r w:rsidRPr="00F85DEF">
              <w:rPr>
                <w:b/>
                <w:bCs/>
                <w:sz w:val="16"/>
                <w:szCs w:val="16"/>
              </w:rPr>
              <w:t>Year</w:t>
            </w:r>
          </w:p>
        </w:tc>
      </w:tr>
      <w:tr w:rsidR="00F85DEF" w:rsidRPr="00F85DEF" w:rsidTr="00F85DEF">
        <w:trPr>
          <w:gridAfter w:val="2"/>
          <w:wAfter w:w="903" w:type="dxa"/>
          <w:trHeight w:val="225"/>
        </w:trPr>
        <w:tc>
          <w:tcPr>
            <w:tcW w:w="14580" w:type="dxa"/>
            <w:gridSpan w:val="21"/>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F85DEF" w:rsidRPr="00F85DEF" w:rsidRDefault="00F85DEF" w:rsidP="00F85DEF">
            <w:pPr>
              <w:widowControl/>
              <w:adjustRightInd/>
              <w:rPr>
                <w:b/>
                <w:bCs/>
                <w:sz w:val="16"/>
                <w:szCs w:val="16"/>
              </w:rPr>
            </w:pPr>
            <w:r w:rsidRPr="00F85DEF">
              <w:rPr>
                <w:b/>
                <w:bCs/>
                <w:sz w:val="16"/>
                <w:szCs w:val="16"/>
              </w:rPr>
              <w:t>Recordkeeping, Notification, and Posting of Information to the Internet</w:t>
            </w:r>
          </w:p>
        </w:tc>
      </w:tr>
      <w:tr w:rsidR="00F85DEF" w:rsidRPr="00F85DEF" w:rsidTr="00F85DEF">
        <w:trPr>
          <w:gridAfter w:val="2"/>
          <w:wAfter w:w="903" w:type="dxa"/>
          <w:trHeight w:val="225"/>
        </w:trPr>
        <w:tc>
          <w:tcPr>
            <w:tcW w:w="14580"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Publicly Accessible Internet Site Requirements (40 CFR 257.107)</w:t>
            </w:r>
          </w:p>
        </w:tc>
      </w:tr>
      <w:tr w:rsidR="00F85DEF" w:rsidRPr="00F85DEF" w:rsidTr="00F85DEF">
        <w:trPr>
          <w:gridAfter w:val="2"/>
          <w:wAfter w:w="903" w:type="dxa"/>
          <w:trHeight w:val="225"/>
        </w:trPr>
        <w:tc>
          <w:tcPr>
            <w:tcW w:w="5129" w:type="dxa"/>
            <w:tcBorders>
              <w:top w:val="nil"/>
              <w:left w:val="single" w:sz="4" w:space="0" w:color="auto"/>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Develop Internet Site</w:t>
            </w:r>
          </w:p>
        </w:tc>
        <w:tc>
          <w:tcPr>
            <w:tcW w:w="864"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gridSpan w:val="2"/>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gridSpan w:val="2"/>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gridSpan w:val="2"/>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gridSpan w:val="2"/>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gridSpan w:val="2"/>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gridSpan w:val="4"/>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64"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c>
          <w:tcPr>
            <w:tcW w:w="811" w:type="dxa"/>
            <w:gridSpan w:val="2"/>
            <w:tcBorders>
              <w:top w:val="nil"/>
              <w:left w:val="nil"/>
              <w:bottom w:val="single" w:sz="4" w:space="0" w:color="auto"/>
              <w:right w:val="single" w:sz="4" w:space="0" w:color="auto"/>
            </w:tcBorders>
            <w:shd w:val="clear" w:color="auto" w:fill="auto"/>
            <w:vAlign w:val="center"/>
            <w:hideMark/>
          </w:tcPr>
          <w:p w:rsidR="00F85DEF" w:rsidRPr="00F85DEF" w:rsidRDefault="00F85DEF" w:rsidP="00F85DEF">
            <w:pPr>
              <w:widowControl/>
              <w:adjustRightInd/>
              <w:rPr>
                <w:b/>
                <w:bCs/>
                <w:sz w:val="16"/>
                <w:szCs w:val="16"/>
              </w:rPr>
            </w:pPr>
            <w:r w:rsidRPr="00F85DEF">
              <w:rPr>
                <w:b/>
                <w:bCs/>
                <w:sz w:val="16"/>
                <w:szCs w:val="16"/>
              </w:rPr>
              <w:t> </w:t>
            </w:r>
          </w:p>
        </w:tc>
      </w:tr>
      <w:tr w:rsidR="00F85DEF" w:rsidRPr="00F85DEF" w:rsidTr="00F85DEF">
        <w:trPr>
          <w:gridAfter w:val="2"/>
          <w:wAfter w:w="903" w:type="dxa"/>
          <w:trHeight w:val="225"/>
        </w:trPr>
        <w:tc>
          <w:tcPr>
            <w:tcW w:w="5129" w:type="dxa"/>
            <w:tcBorders>
              <w:top w:val="nil"/>
              <w:left w:val="single" w:sz="4" w:space="0" w:color="auto"/>
              <w:bottom w:val="single" w:sz="4" w:space="0" w:color="auto"/>
              <w:right w:val="nil"/>
            </w:tcBorders>
            <w:shd w:val="clear" w:color="auto" w:fill="auto"/>
            <w:vAlign w:val="center"/>
            <w:hideMark/>
          </w:tcPr>
          <w:p w:rsidR="00F85DEF" w:rsidRPr="00F85DEF" w:rsidRDefault="00F85DEF" w:rsidP="00F85DEF">
            <w:pPr>
              <w:widowControl/>
              <w:adjustRightInd/>
              <w:rPr>
                <w:sz w:val="16"/>
                <w:szCs w:val="16"/>
              </w:rPr>
            </w:pPr>
            <w:r w:rsidRPr="00F85DEF">
              <w:rPr>
                <w:sz w:val="16"/>
                <w:szCs w:val="16"/>
              </w:rPr>
              <w:t xml:space="preserve">Update Website </w:t>
            </w:r>
            <w:r w:rsidRPr="00F85DEF">
              <w:rPr>
                <w:b/>
                <w:bCs/>
                <w:sz w:val="16"/>
                <w:szCs w:val="16"/>
                <w:u w:val="single"/>
              </w:rPr>
              <w:t>(One-time)</w:t>
            </w:r>
          </w:p>
        </w:tc>
        <w:tc>
          <w:tcPr>
            <w:tcW w:w="864"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0.00</w:t>
            </w:r>
          </w:p>
        </w:tc>
        <w:tc>
          <w:tcPr>
            <w:tcW w:w="864"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1.00</w:t>
            </w:r>
          </w:p>
        </w:tc>
        <w:tc>
          <w:tcPr>
            <w:tcW w:w="864" w:type="dxa"/>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1.00</w:t>
            </w:r>
          </w:p>
        </w:tc>
        <w:tc>
          <w:tcPr>
            <w:tcW w:w="864" w:type="dxa"/>
            <w:gridSpan w:val="2"/>
            <w:tcBorders>
              <w:top w:val="nil"/>
              <w:left w:val="nil"/>
              <w:bottom w:val="single" w:sz="4" w:space="0" w:color="auto"/>
              <w:right w:val="nil"/>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0.00</w:t>
            </w:r>
          </w:p>
        </w:tc>
        <w:tc>
          <w:tcPr>
            <w:tcW w:w="864" w:type="dxa"/>
            <w:gridSpan w:val="2"/>
            <w:tcBorders>
              <w:top w:val="nil"/>
              <w:left w:val="single" w:sz="4" w:space="0" w:color="auto"/>
              <w:bottom w:val="single" w:sz="4" w:space="0" w:color="auto"/>
              <w:right w:val="single" w:sz="4" w:space="0" w:color="auto"/>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2.00</w:t>
            </w:r>
          </w:p>
        </w:tc>
        <w:tc>
          <w:tcPr>
            <w:tcW w:w="864" w:type="dxa"/>
            <w:gridSpan w:val="2"/>
            <w:tcBorders>
              <w:top w:val="nil"/>
              <w:left w:val="nil"/>
              <w:bottom w:val="single" w:sz="4" w:space="0" w:color="auto"/>
              <w:right w:val="single" w:sz="4" w:space="0" w:color="auto"/>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$156.73</w:t>
            </w:r>
          </w:p>
        </w:tc>
        <w:tc>
          <w:tcPr>
            <w:tcW w:w="864" w:type="dxa"/>
            <w:gridSpan w:val="2"/>
            <w:tcBorders>
              <w:top w:val="nil"/>
              <w:left w:val="nil"/>
              <w:bottom w:val="single" w:sz="4" w:space="0" w:color="auto"/>
              <w:right w:val="single" w:sz="4" w:space="0" w:color="auto"/>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$0.00</w:t>
            </w:r>
          </w:p>
        </w:tc>
        <w:tc>
          <w:tcPr>
            <w:tcW w:w="864" w:type="dxa"/>
            <w:gridSpan w:val="2"/>
            <w:tcBorders>
              <w:top w:val="nil"/>
              <w:left w:val="nil"/>
              <w:bottom w:val="single" w:sz="4" w:space="0" w:color="auto"/>
              <w:right w:val="single" w:sz="8" w:space="0" w:color="auto"/>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$0.00</w:t>
            </w:r>
          </w:p>
        </w:tc>
        <w:tc>
          <w:tcPr>
            <w:tcW w:w="864" w:type="dxa"/>
            <w:gridSpan w:val="4"/>
            <w:tcBorders>
              <w:top w:val="nil"/>
              <w:left w:val="nil"/>
              <w:bottom w:val="single" w:sz="4" w:space="0" w:color="auto"/>
              <w:right w:val="single" w:sz="4" w:space="0" w:color="auto"/>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2</w:t>
            </w:r>
          </w:p>
        </w:tc>
        <w:tc>
          <w:tcPr>
            <w:tcW w:w="864" w:type="dxa"/>
            <w:tcBorders>
              <w:top w:val="nil"/>
              <w:left w:val="nil"/>
              <w:bottom w:val="single" w:sz="4" w:space="0" w:color="auto"/>
              <w:right w:val="single" w:sz="4" w:space="0" w:color="auto"/>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3.34</w:t>
            </w:r>
          </w:p>
        </w:tc>
        <w:tc>
          <w:tcPr>
            <w:tcW w:w="811" w:type="dxa"/>
            <w:gridSpan w:val="2"/>
            <w:tcBorders>
              <w:top w:val="nil"/>
              <w:left w:val="nil"/>
              <w:bottom w:val="single" w:sz="4" w:space="0" w:color="auto"/>
              <w:right w:val="single" w:sz="4" w:space="0" w:color="auto"/>
            </w:tcBorders>
            <w:shd w:val="clear" w:color="auto" w:fill="auto"/>
            <w:vAlign w:val="center"/>
            <w:hideMark/>
          </w:tcPr>
          <w:p w:rsidR="00F85DEF" w:rsidRPr="00F85DEF" w:rsidRDefault="00F85DEF" w:rsidP="00F85DEF">
            <w:pPr>
              <w:widowControl/>
              <w:adjustRightInd/>
              <w:jc w:val="right"/>
              <w:rPr>
                <w:sz w:val="16"/>
                <w:szCs w:val="16"/>
              </w:rPr>
            </w:pPr>
            <w:r w:rsidRPr="00F85DEF">
              <w:rPr>
                <w:sz w:val="16"/>
                <w:szCs w:val="16"/>
              </w:rPr>
              <w:t>$261.22</w:t>
            </w:r>
          </w:p>
        </w:tc>
      </w:tr>
    </w:tbl>
    <w:p w:rsidR="00C043C2" w:rsidRPr="008B3806" w:rsidRDefault="00C043C2" w:rsidP="00A03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C043C2" w:rsidRPr="008B3806" w:rsidSect="00C5499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BCF" w:rsidRDefault="00F81BCF" w:rsidP="00313D8C">
      <w:r>
        <w:separator/>
      </w:r>
    </w:p>
  </w:endnote>
  <w:endnote w:type="continuationSeparator" w:id="0">
    <w:p w:rsidR="00F81BCF" w:rsidRDefault="00F81BCF" w:rsidP="00313D8C">
      <w:r>
        <w:continuationSeparator/>
      </w:r>
    </w:p>
  </w:endnote>
  <w:endnote w:type="continuationNotice" w:id="1">
    <w:p w:rsidR="00F81BCF" w:rsidRDefault="00F81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3619477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B5634B" w:rsidRPr="0047574B" w:rsidRDefault="00B5634B"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7F3A6E">
              <w:rPr>
                <w:b/>
                <w:bCs/>
                <w:noProof/>
                <w:sz w:val="20"/>
              </w:rPr>
              <w:t>1</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7F3A6E">
              <w:rPr>
                <w:b/>
                <w:bCs/>
                <w:noProof/>
                <w:sz w:val="20"/>
              </w:rPr>
              <w:t>3</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BCF" w:rsidRDefault="00F81BCF" w:rsidP="00313D8C">
      <w:r>
        <w:separator/>
      </w:r>
    </w:p>
  </w:footnote>
  <w:footnote w:type="continuationSeparator" w:id="0">
    <w:p w:rsidR="00F81BCF" w:rsidRDefault="00F81BCF" w:rsidP="00313D8C">
      <w:r>
        <w:continuationSeparator/>
      </w:r>
    </w:p>
  </w:footnote>
  <w:footnote w:type="continuationNotice" w:id="1">
    <w:p w:rsidR="00F81BCF" w:rsidRDefault="00F81BCF"/>
  </w:footnote>
  <w:footnote w:id="2">
    <w:p w:rsidR="00B5634B" w:rsidRDefault="00B5634B">
      <w:pPr>
        <w:pStyle w:val="FootnoteText"/>
      </w:pPr>
      <w:r>
        <w:rPr>
          <w:rStyle w:val="FootnoteReference"/>
        </w:rPr>
        <w:footnoteRef/>
      </w:r>
      <w:r>
        <w:t xml:space="preserve"> </w:t>
      </w:r>
      <w:r w:rsidRPr="008F6549">
        <w:rPr>
          <w:i/>
          <w:iCs/>
        </w:rPr>
        <w:t xml:space="preserve">Economic Analysis: </w:t>
      </w:r>
      <w:r w:rsidRPr="00AB4E83">
        <w:rPr>
          <w:i/>
          <w:iCs/>
        </w:rPr>
        <w:t>Hazardous and Solid Waste Management System: Disposal of Coal Combustion Residuals from Electric Utilities; Enhancing Public Access to Information; Reconsideration of Beneficial Use Criteria and Piles</w:t>
      </w:r>
      <w:r w:rsidRPr="008F6549">
        <w:rPr>
          <w:i/>
          <w:iCs/>
        </w:rPr>
        <w:t>, July 2019</w:t>
      </w:r>
      <w:r w:rsidRPr="008F6549">
        <w:t>.</w:t>
      </w:r>
    </w:p>
  </w:footnote>
  <w:footnote w:id="3">
    <w:p w:rsidR="00B5634B" w:rsidRPr="00BE4345" w:rsidRDefault="00B5634B" w:rsidP="00865D7D">
      <w:pPr>
        <w:pStyle w:val="FootnoteText"/>
        <w:rPr>
          <w:bCs/>
        </w:rPr>
      </w:pPr>
      <w:r w:rsidRPr="00943FBD">
        <w:rPr>
          <w:rStyle w:val="FootnoteReference"/>
        </w:rPr>
        <w:footnoteRef/>
      </w:r>
      <w:r w:rsidRPr="00943FBD">
        <w:t xml:space="preserve"> </w:t>
      </w:r>
      <w:r w:rsidRPr="00BE4345">
        <w:t xml:space="preserve">U.S. Bureau of Labor Statistics (BLS)’s </w:t>
      </w:r>
      <w:r w:rsidRPr="00BE4345">
        <w:rPr>
          <w:u w:val="single"/>
        </w:rPr>
        <w:t>May 2017 National Industry-Specific Occupational Employment and Wage Estimates</w:t>
      </w:r>
      <w:r w:rsidRPr="00BE4345">
        <w:t xml:space="preserve"> cross all industry sectors, at: </w:t>
      </w:r>
      <w:hyperlink r:id="rId1" w:history="1">
        <w:r w:rsidRPr="00BE4345">
          <w:rPr>
            <w:rStyle w:val="Hyperlink"/>
          </w:rPr>
          <w:t>http://www.bls.gov/oes/current/oes_nat.htm</w:t>
        </w:r>
      </w:hyperlink>
    </w:p>
  </w:footnote>
  <w:footnote w:id="4">
    <w:p w:rsidR="00B5634B" w:rsidRPr="00943FBD" w:rsidRDefault="00B5634B" w:rsidP="00865D7D">
      <w:pPr>
        <w:pStyle w:val="FootnoteText"/>
      </w:pPr>
      <w:r w:rsidRPr="00943FBD">
        <w:rPr>
          <w:rStyle w:val="FootnoteReference"/>
        </w:rPr>
        <w:footnoteRef/>
      </w:r>
      <w:r w:rsidRPr="00943FBD">
        <w:t xml:space="preserve"> = [1+ (Fringe Benefits %)</w:t>
      </w:r>
      <w:r>
        <w:t>]</w:t>
      </w:r>
      <w:r w:rsidRPr="00943FBD">
        <w:t xml:space="preserve"> / </w:t>
      </w:r>
      <w:r>
        <w:t>[</w:t>
      </w:r>
      <w:r w:rsidRPr="00943FBD">
        <w:t>(100% - Fringe Benefits %) x (1+ Overhead %)</w:t>
      </w:r>
      <w:r>
        <w:t>]</w:t>
      </w:r>
    </w:p>
  </w:footnote>
  <w:footnote w:id="5">
    <w:p w:rsidR="00B5634B" w:rsidRPr="00BE4345" w:rsidRDefault="00B5634B" w:rsidP="00865D7D">
      <w:pPr>
        <w:pStyle w:val="FootnoteText"/>
        <w:rPr>
          <w:bCs/>
        </w:rPr>
      </w:pPr>
      <w:r w:rsidRPr="00C37BA9">
        <w:rPr>
          <w:rStyle w:val="Hyperlink"/>
          <w:vertAlign w:val="superscript"/>
        </w:rPr>
        <w:footnoteRef/>
      </w:r>
      <w:r w:rsidRPr="00C37BA9">
        <w:t xml:space="preserve"> </w:t>
      </w:r>
      <w:r w:rsidRPr="00BE4345">
        <w:t xml:space="preserve">Applied “All goods-producing” industry group fringe benefits percentage of 33.3% from “Table 6. Private industry, by major industry group” of the US Bureau of Labor Statistics (BLS) “Employer Costs for Employee Compensation” (ECEC), June 2018 at </w:t>
      </w:r>
      <w:hyperlink r:id="rId2" w:history="1">
        <w:r w:rsidRPr="00BE4345">
          <w:rPr>
            <w:rStyle w:val="Hyperlink"/>
          </w:rPr>
          <w:t>https://www.bls.gov/news.release/ecec.t06.htm</w:t>
        </w:r>
      </w:hyperlink>
      <w:r w:rsidRPr="00BE4345">
        <w:t>.</w:t>
      </w:r>
    </w:p>
  </w:footnote>
  <w:footnote w:id="6">
    <w:p w:rsidR="00B5634B" w:rsidRPr="00943FBD" w:rsidRDefault="00B5634B" w:rsidP="00865D7D">
      <w:pPr>
        <w:pStyle w:val="FootnoteText"/>
      </w:pPr>
      <w:r w:rsidRPr="00943FBD">
        <w:rPr>
          <w:rStyle w:val="FootnoteReference"/>
        </w:rPr>
        <w:footnoteRef/>
      </w:r>
      <w:r w:rsidRPr="00943FBD">
        <w:t xml:space="preserve"> </w:t>
      </w:r>
      <w:r w:rsidRPr="00BE4345">
        <w:t>In absence of data specific to industry, applied 12% Federal civilian overhead cost factor from Figure C1 of the REVISED February 2008 OMB Circular A-76 at http://www.whitehouse.gov/omb/circulars_a076_a76_incl_tech_correction/.</w:t>
      </w:r>
    </w:p>
  </w:footnote>
  <w:footnote w:id="7">
    <w:p w:rsidR="00B5634B" w:rsidRPr="00982A74" w:rsidRDefault="00B5634B" w:rsidP="00865D7D">
      <w:pPr>
        <w:pStyle w:val="FootnoteText"/>
      </w:pPr>
      <w:r>
        <w:rPr>
          <w:rStyle w:val="FootnoteReference"/>
        </w:rPr>
        <w:footnoteRef/>
      </w:r>
      <w:r>
        <w:t xml:space="preserve"> </w:t>
      </w:r>
      <w:r w:rsidRPr="00C56EA7">
        <w:t>Bureau of Labor Statistics, "Table 4. Employment Cost Index for total compensation, for civilian workers, by occupational and industry," Employment Cost Index Historical Listing - Volume V, Continuous Occupational and Industry Series, September 1975 – June 2018; July 2018</w:t>
      </w:r>
      <w:r>
        <w:t xml:space="preserve">. </w:t>
      </w:r>
      <w:r w:rsidRPr="00C56EA7">
        <w:t>Available online at: https://www.bls.gov/web/eci/ecicois.pdf, last accessed on October 29, 2018</w:t>
      </w:r>
      <w:r>
        <w:t xml:space="preserve">. </w:t>
      </w:r>
      <w:r w:rsidRPr="00C56EA7">
        <w:t>Civilian workers, All workers, June 2017=129.7 and June 201</w:t>
      </w:r>
      <w:r>
        <w:t>8</w:t>
      </w:r>
      <w:r w:rsidRPr="00C56EA7">
        <w:t>=1</w:t>
      </w:r>
      <w:r>
        <w:t>33.3.</w:t>
      </w:r>
    </w:p>
  </w:footnote>
  <w:footnote w:id="8">
    <w:p w:rsidR="00B5634B" w:rsidRDefault="00B5634B" w:rsidP="00CD53ED">
      <w:pPr>
        <w:pStyle w:val="FootnoteText"/>
      </w:pPr>
      <w:r w:rsidRPr="00ED2578">
        <w:rPr>
          <w:sz w:val="22"/>
          <w:vertAlign w:val="superscript"/>
        </w:rPr>
        <w:footnoteRef/>
      </w:r>
      <w:r w:rsidRPr="00ED2578">
        <w:rPr>
          <w:sz w:val="22"/>
        </w:rPr>
        <w:t xml:space="preserve"> </w:t>
      </w:r>
      <w:r w:rsidRPr="00ED2578">
        <w:t xml:space="preserve">The universe estimates in this ICR were obtained from the EA developed for this rulemaking:  </w:t>
      </w:r>
      <w:r w:rsidRPr="00ED2578">
        <w:rPr>
          <w:i/>
          <w:iCs/>
        </w:rPr>
        <w:t xml:space="preserve">Economic Analysis: </w:t>
      </w:r>
      <w:r w:rsidRPr="00AB4E83">
        <w:rPr>
          <w:i/>
          <w:iCs/>
        </w:rPr>
        <w:t>Hazardous and Solid Waste Management System: Disposal of Coal Combustion Residuals from Electric Utilities; Enhancing Public Access to Information; Reconsideration of Beneficial Use Criteria and Piles</w:t>
      </w:r>
      <w:r w:rsidRPr="00ED2578">
        <w:rPr>
          <w:i/>
          <w:iCs/>
        </w:rPr>
        <w:t>, July 2019</w:t>
      </w:r>
      <w:r w:rsidRPr="00ED2578">
        <w:t>.</w:t>
      </w:r>
    </w:p>
  </w:footnote>
  <w:footnote w:id="9">
    <w:p w:rsidR="00B5634B" w:rsidRDefault="00B5634B">
      <w:pPr>
        <w:pStyle w:val="FootnoteText"/>
      </w:pPr>
      <w:r>
        <w:rPr>
          <w:rStyle w:val="FootnoteReference"/>
        </w:rPr>
        <w:footnoteRef/>
      </w:r>
      <w:r>
        <w:t xml:space="preserve"> Totals from most recent CCR ICR: </w:t>
      </w:r>
      <w:r w:rsidRPr="009C0443">
        <w:t>EPA ICR #1189.29, OMB Control # 2050-0053</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032B2FA2"/>
    <w:multiLevelType w:val="hybridMultilevel"/>
    <w:tmpl w:val="4330E6AE"/>
    <w:lvl w:ilvl="0" w:tplc="2F009D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273488"/>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70FE4"/>
    <w:multiLevelType w:val="hybridMultilevel"/>
    <w:tmpl w:val="A1164046"/>
    <w:lvl w:ilvl="0" w:tplc="10AC0D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D87B50"/>
    <w:multiLevelType w:val="hybridMultilevel"/>
    <w:tmpl w:val="8596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8435A"/>
    <w:multiLevelType w:val="hybridMultilevel"/>
    <w:tmpl w:val="09C2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01727"/>
    <w:multiLevelType w:val="hybridMultilevel"/>
    <w:tmpl w:val="C332FDC6"/>
    <w:lvl w:ilvl="0" w:tplc="D884E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27134BF8"/>
    <w:multiLevelType w:val="hybridMultilevel"/>
    <w:tmpl w:val="710C7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1B5346"/>
    <w:multiLevelType w:val="hybridMultilevel"/>
    <w:tmpl w:val="D0447A70"/>
    <w:lvl w:ilvl="0" w:tplc="751EA02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A835EF"/>
    <w:multiLevelType w:val="hybridMultilevel"/>
    <w:tmpl w:val="B1B6306E"/>
    <w:lvl w:ilvl="0" w:tplc="4C1066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F3511"/>
    <w:multiLevelType w:val="hybridMultilevel"/>
    <w:tmpl w:val="B1046F7C"/>
    <w:lvl w:ilvl="0" w:tplc="4C106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4F2E3E"/>
    <w:multiLevelType w:val="hybridMultilevel"/>
    <w:tmpl w:val="001C7E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3026F"/>
    <w:multiLevelType w:val="hybridMultilevel"/>
    <w:tmpl w:val="8E0491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5A4329"/>
    <w:multiLevelType w:val="hybridMultilevel"/>
    <w:tmpl w:val="B1046F7C"/>
    <w:lvl w:ilvl="0" w:tplc="4C106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8B1716"/>
    <w:multiLevelType w:val="hybridMultilevel"/>
    <w:tmpl w:val="F3721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1D2F12"/>
    <w:multiLevelType w:val="hybridMultilevel"/>
    <w:tmpl w:val="8F5C5FAC"/>
    <w:lvl w:ilvl="0" w:tplc="DB90A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41D8B"/>
    <w:multiLevelType w:val="multilevel"/>
    <w:tmpl w:val="DCAEA2B2"/>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670C1C"/>
    <w:multiLevelType w:val="hybridMultilevel"/>
    <w:tmpl w:val="B4580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7"/>
  </w:num>
  <w:num w:numId="4">
    <w:abstractNumId w:val="20"/>
  </w:num>
  <w:num w:numId="5">
    <w:abstractNumId w:val="18"/>
  </w:num>
  <w:num w:numId="6">
    <w:abstractNumId w:val="15"/>
  </w:num>
  <w:num w:numId="7">
    <w:abstractNumId w:val="13"/>
  </w:num>
  <w:num w:numId="8">
    <w:abstractNumId w:val="12"/>
  </w:num>
  <w:num w:numId="9">
    <w:abstractNumId w:val="9"/>
  </w:num>
  <w:num w:numId="10">
    <w:abstractNumId w:val="8"/>
  </w:num>
  <w:num w:numId="11">
    <w:abstractNumId w:val="4"/>
  </w:num>
  <w:num w:numId="12">
    <w:abstractNumId w:val="19"/>
  </w:num>
  <w:num w:numId="13">
    <w:abstractNumId w:val="2"/>
  </w:num>
  <w:num w:numId="14">
    <w:abstractNumId w:val="5"/>
  </w:num>
  <w:num w:numId="15">
    <w:abstractNumId w:val="16"/>
  </w:num>
  <w:num w:numId="16">
    <w:abstractNumId w:val="14"/>
  </w:num>
  <w:num w:numId="17">
    <w:abstractNumId w:val="1"/>
  </w:num>
  <w:num w:numId="18">
    <w:abstractNumId w:val="11"/>
  </w:num>
  <w:num w:numId="19">
    <w:abstractNumId w:val="10"/>
  </w:num>
  <w:num w:numId="20">
    <w:abstractNumId w:val="21"/>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40"/>
    <w:rsid w:val="000010BF"/>
    <w:rsid w:val="00003E61"/>
    <w:rsid w:val="000077AF"/>
    <w:rsid w:val="0001086F"/>
    <w:rsid w:val="000118E5"/>
    <w:rsid w:val="00012E38"/>
    <w:rsid w:val="0001312F"/>
    <w:rsid w:val="00014784"/>
    <w:rsid w:val="000150FB"/>
    <w:rsid w:val="00015228"/>
    <w:rsid w:val="000163B4"/>
    <w:rsid w:val="00016810"/>
    <w:rsid w:val="00023A99"/>
    <w:rsid w:val="000242D2"/>
    <w:rsid w:val="000321BC"/>
    <w:rsid w:val="00032DC0"/>
    <w:rsid w:val="00033D18"/>
    <w:rsid w:val="00033FE0"/>
    <w:rsid w:val="000410EF"/>
    <w:rsid w:val="00041C3D"/>
    <w:rsid w:val="00042575"/>
    <w:rsid w:val="000455CD"/>
    <w:rsid w:val="00045D20"/>
    <w:rsid w:val="00046C4D"/>
    <w:rsid w:val="000475BB"/>
    <w:rsid w:val="00050A84"/>
    <w:rsid w:val="0005241F"/>
    <w:rsid w:val="00055A80"/>
    <w:rsid w:val="00056F61"/>
    <w:rsid w:val="00063B0D"/>
    <w:rsid w:val="00067D38"/>
    <w:rsid w:val="00071B87"/>
    <w:rsid w:val="0007742D"/>
    <w:rsid w:val="00077F9A"/>
    <w:rsid w:val="000819AB"/>
    <w:rsid w:val="0009363A"/>
    <w:rsid w:val="00096CB6"/>
    <w:rsid w:val="00097676"/>
    <w:rsid w:val="00097A03"/>
    <w:rsid w:val="000A3781"/>
    <w:rsid w:val="000A39BF"/>
    <w:rsid w:val="000A6E8B"/>
    <w:rsid w:val="000B05A9"/>
    <w:rsid w:val="000B1987"/>
    <w:rsid w:val="000B6D0D"/>
    <w:rsid w:val="000C0151"/>
    <w:rsid w:val="000C1498"/>
    <w:rsid w:val="000D19FE"/>
    <w:rsid w:val="000D1FAF"/>
    <w:rsid w:val="000D4786"/>
    <w:rsid w:val="000D55BB"/>
    <w:rsid w:val="000E420C"/>
    <w:rsid w:val="000E6714"/>
    <w:rsid w:val="000E7295"/>
    <w:rsid w:val="000F3429"/>
    <w:rsid w:val="000F42A5"/>
    <w:rsid w:val="000F5317"/>
    <w:rsid w:val="00100366"/>
    <w:rsid w:val="00103F13"/>
    <w:rsid w:val="001074E0"/>
    <w:rsid w:val="0011145B"/>
    <w:rsid w:val="00111639"/>
    <w:rsid w:val="001129EB"/>
    <w:rsid w:val="00116270"/>
    <w:rsid w:val="0011754B"/>
    <w:rsid w:val="00117C77"/>
    <w:rsid w:val="00120E9C"/>
    <w:rsid w:val="0012255A"/>
    <w:rsid w:val="00131002"/>
    <w:rsid w:val="00131BBD"/>
    <w:rsid w:val="001344F3"/>
    <w:rsid w:val="001348A2"/>
    <w:rsid w:val="00135800"/>
    <w:rsid w:val="00135E6E"/>
    <w:rsid w:val="00136BDF"/>
    <w:rsid w:val="00137905"/>
    <w:rsid w:val="0014191D"/>
    <w:rsid w:val="00144270"/>
    <w:rsid w:val="00146A3C"/>
    <w:rsid w:val="0014753D"/>
    <w:rsid w:val="00147F6E"/>
    <w:rsid w:val="00151D09"/>
    <w:rsid w:val="00152AC6"/>
    <w:rsid w:val="00153BA3"/>
    <w:rsid w:val="001640AE"/>
    <w:rsid w:val="00164F66"/>
    <w:rsid w:val="00166AF2"/>
    <w:rsid w:val="00170B20"/>
    <w:rsid w:val="0017250C"/>
    <w:rsid w:val="00173A28"/>
    <w:rsid w:val="00174FC0"/>
    <w:rsid w:val="001766B1"/>
    <w:rsid w:val="0017726F"/>
    <w:rsid w:val="001803E0"/>
    <w:rsid w:val="00185AF0"/>
    <w:rsid w:val="001861FB"/>
    <w:rsid w:val="00187E52"/>
    <w:rsid w:val="00192C71"/>
    <w:rsid w:val="00192D6F"/>
    <w:rsid w:val="0019425E"/>
    <w:rsid w:val="0019681E"/>
    <w:rsid w:val="00196F92"/>
    <w:rsid w:val="001A041E"/>
    <w:rsid w:val="001A56BC"/>
    <w:rsid w:val="001A58D8"/>
    <w:rsid w:val="001A5BD5"/>
    <w:rsid w:val="001B2C12"/>
    <w:rsid w:val="001B4B2C"/>
    <w:rsid w:val="001B518D"/>
    <w:rsid w:val="001B51E9"/>
    <w:rsid w:val="001B62F0"/>
    <w:rsid w:val="001B771E"/>
    <w:rsid w:val="001C1C39"/>
    <w:rsid w:val="001C2228"/>
    <w:rsid w:val="001C62C0"/>
    <w:rsid w:val="001C6C66"/>
    <w:rsid w:val="001D4A81"/>
    <w:rsid w:val="001D55CE"/>
    <w:rsid w:val="001D661D"/>
    <w:rsid w:val="001D7F4F"/>
    <w:rsid w:val="001E2A9D"/>
    <w:rsid w:val="001E3429"/>
    <w:rsid w:val="001E3678"/>
    <w:rsid w:val="001E421B"/>
    <w:rsid w:val="001F13D9"/>
    <w:rsid w:val="001F6272"/>
    <w:rsid w:val="0020059C"/>
    <w:rsid w:val="002014F0"/>
    <w:rsid w:val="002025EF"/>
    <w:rsid w:val="00203648"/>
    <w:rsid w:val="00204F4F"/>
    <w:rsid w:val="0020507C"/>
    <w:rsid w:val="00206DFB"/>
    <w:rsid w:val="0020792F"/>
    <w:rsid w:val="00207FC1"/>
    <w:rsid w:val="00211D04"/>
    <w:rsid w:val="0021257C"/>
    <w:rsid w:val="002146BE"/>
    <w:rsid w:val="00215A96"/>
    <w:rsid w:val="00224797"/>
    <w:rsid w:val="00225389"/>
    <w:rsid w:val="00226FBF"/>
    <w:rsid w:val="0022774F"/>
    <w:rsid w:val="0023016C"/>
    <w:rsid w:val="002346C6"/>
    <w:rsid w:val="0023697A"/>
    <w:rsid w:val="00237AB5"/>
    <w:rsid w:val="00242826"/>
    <w:rsid w:val="002454BA"/>
    <w:rsid w:val="00246122"/>
    <w:rsid w:val="00252DFF"/>
    <w:rsid w:val="00254105"/>
    <w:rsid w:val="00254760"/>
    <w:rsid w:val="002561F1"/>
    <w:rsid w:val="00260B1E"/>
    <w:rsid w:val="00262716"/>
    <w:rsid w:val="0026280B"/>
    <w:rsid w:val="00263C4F"/>
    <w:rsid w:val="00265EDE"/>
    <w:rsid w:val="00272737"/>
    <w:rsid w:val="002733B9"/>
    <w:rsid w:val="00274153"/>
    <w:rsid w:val="00275CF2"/>
    <w:rsid w:val="0027634E"/>
    <w:rsid w:val="0027700E"/>
    <w:rsid w:val="002807E3"/>
    <w:rsid w:val="00282D04"/>
    <w:rsid w:val="002837AE"/>
    <w:rsid w:val="00284189"/>
    <w:rsid w:val="002847B2"/>
    <w:rsid w:val="00287A1B"/>
    <w:rsid w:val="002900DA"/>
    <w:rsid w:val="002901EF"/>
    <w:rsid w:val="00292572"/>
    <w:rsid w:val="002A0ED9"/>
    <w:rsid w:val="002A33E5"/>
    <w:rsid w:val="002A3C60"/>
    <w:rsid w:val="002A5718"/>
    <w:rsid w:val="002A6AD5"/>
    <w:rsid w:val="002B029C"/>
    <w:rsid w:val="002B20A9"/>
    <w:rsid w:val="002C0A45"/>
    <w:rsid w:val="002C3CCD"/>
    <w:rsid w:val="002C4236"/>
    <w:rsid w:val="002D1161"/>
    <w:rsid w:val="002D17BF"/>
    <w:rsid w:val="002D63EB"/>
    <w:rsid w:val="002F1999"/>
    <w:rsid w:val="002F4237"/>
    <w:rsid w:val="002F4EDC"/>
    <w:rsid w:val="002F78BC"/>
    <w:rsid w:val="003009CE"/>
    <w:rsid w:val="00302A2C"/>
    <w:rsid w:val="00310625"/>
    <w:rsid w:val="003122A2"/>
    <w:rsid w:val="00313D8C"/>
    <w:rsid w:val="00314564"/>
    <w:rsid w:val="00315FA5"/>
    <w:rsid w:val="003162D3"/>
    <w:rsid w:val="00316871"/>
    <w:rsid w:val="00316C36"/>
    <w:rsid w:val="0032368B"/>
    <w:rsid w:val="003242B2"/>
    <w:rsid w:val="003251F6"/>
    <w:rsid w:val="003273DB"/>
    <w:rsid w:val="00327B54"/>
    <w:rsid w:val="003303BF"/>
    <w:rsid w:val="00335D4C"/>
    <w:rsid w:val="00336E34"/>
    <w:rsid w:val="00343907"/>
    <w:rsid w:val="00343921"/>
    <w:rsid w:val="003440E8"/>
    <w:rsid w:val="00344477"/>
    <w:rsid w:val="003468BF"/>
    <w:rsid w:val="00350A3D"/>
    <w:rsid w:val="00350C33"/>
    <w:rsid w:val="00350D8E"/>
    <w:rsid w:val="00350EE6"/>
    <w:rsid w:val="0035195C"/>
    <w:rsid w:val="003578ED"/>
    <w:rsid w:val="003615E2"/>
    <w:rsid w:val="0036387E"/>
    <w:rsid w:val="003731F2"/>
    <w:rsid w:val="003800BF"/>
    <w:rsid w:val="00383A9F"/>
    <w:rsid w:val="00384E89"/>
    <w:rsid w:val="00386FB4"/>
    <w:rsid w:val="003878A1"/>
    <w:rsid w:val="00387D76"/>
    <w:rsid w:val="00392084"/>
    <w:rsid w:val="00393664"/>
    <w:rsid w:val="003A6643"/>
    <w:rsid w:val="003B012E"/>
    <w:rsid w:val="003B173F"/>
    <w:rsid w:val="003B2C29"/>
    <w:rsid w:val="003B6138"/>
    <w:rsid w:val="003B7D5F"/>
    <w:rsid w:val="003C37F6"/>
    <w:rsid w:val="003C573E"/>
    <w:rsid w:val="003C622C"/>
    <w:rsid w:val="003C6572"/>
    <w:rsid w:val="003C6D62"/>
    <w:rsid w:val="003C7EEE"/>
    <w:rsid w:val="003D6118"/>
    <w:rsid w:val="003E37D0"/>
    <w:rsid w:val="003F1D59"/>
    <w:rsid w:val="003F23CF"/>
    <w:rsid w:val="003F64AE"/>
    <w:rsid w:val="0040386F"/>
    <w:rsid w:val="00406529"/>
    <w:rsid w:val="004070D2"/>
    <w:rsid w:val="00412BE5"/>
    <w:rsid w:val="004171BC"/>
    <w:rsid w:val="00422294"/>
    <w:rsid w:val="004228B1"/>
    <w:rsid w:val="00423659"/>
    <w:rsid w:val="004238C6"/>
    <w:rsid w:val="00425AA0"/>
    <w:rsid w:val="00425ADE"/>
    <w:rsid w:val="00427FBC"/>
    <w:rsid w:val="004355D6"/>
    <w:rsid w:val="0043655D"/>
    <w:rsid w:val="0043745F"/>
    <w:rsid w:val="0043792F"/>
    <w:rsid w:val="00441659"/>
    <w:rsid w:val="004416AB"/>
    <w:rsid w:val="00443B51"/>
    <w:rsid w:val="00444880"/>
    <w:rsid w:val="00446E92"/>
    <w:rsid w:val="004473A7"/>
    <w:rsid w:val="00452DE4"/>
    <w:rsid w:val="00457043"/>
    <w:rsid w:val="00460BA1"/>
    <w:rsid w:val="004619D4"/>
    <w:rsid w:val="00461C36"/>
    <w:rsid w:val="004633F1"/>
    <w:rsid w:val="004654A4"/>
    <w:rsid w:val="004720E7"/>
    <w:rsid w:val="00475070"/>
    <w:rsid w:val="0047574B"/>
    <w:rsid w:val="00476D99"/>
    <w:rsid w:val="0048140E"/>
    <w:rsid w:val="004830D2"/>
    <w:rsid w:val="00483F8B"/>
    <w:rsid w:val="00483FA5"/>
    <w:rsid w:val="00485C9C"/>
    <w:rsid w:val="00486AC2"/>
    <w:rsid w:val="004907CC"/>
    <w:rsid w:val="004947F7"/>
    <w:rsid w:val="004951D5"/>
    <w:rsid w:val="004968A6"/>
    <w:rsid w:val="004A1D90"/>
    <w:rsid w:val="004A2487"/>
    <w:rsid w:val="004A28E2"/>
    <w:rsid w:val="004A2A0E"/>
    <w:rsid w:val="004A469C"/>
    <w:rsid w:val="004B787D"/>
    <w:rsid w:val="004B7BD6"/>
    <w:rsid w:val="004C6D2B"/>
    <w:rsid w:val="004C7548"/>
    <w:rsid w:val="004D059C"/>
    <w:rsid w:val="004D1A5D"/>
    <w:rsid w:val="004D2252"/>
    <w:rsid w:val="004D22DE"/>
    <w:rsid w:val="004D667C"/>
    <w:rsid w:val="004E03A1"/>
    <w:rsid w:val="004E279C"/>
    <w:rsid w:val="004E4601"/>
    <w:rsid w:val="004E52CA"/>
    <w:rsid w:val="004E5FA8"/>
    <w:rsid w:val="004E6877"/>
    <w:rsid w:val="004E707D"/>
    <w:rsid w:val="004E768C"/>
    <w:rsid w:val="004E7E7F"/>
    <w:rsid w:val="004F6F34"/>
    <w:rsid w:val="004F77CF"/>
    <w:rsid w:val="00504CBF"/>
    <w:rsid w:val="00506CB4"/>
    <w:rsid w:val="00510CA7"/>
    <w:rsid w:val="00511C3A"/>
    <w:rsid w:val="00513DAF"/>
    <w:rsid w:val="00515612"/>
    <w:rsid w:val="00515B8C"/>
    <w:rsid w:val="0053006A"/>
    <w:rsid w:val="0053372C"/>
    <w:rsid w:val="00533AF7"/>
    <w:rsid w:val="00533D54"/>
    <w:rsid w:val="00533F67"/>
    <w:rsid w:val="005346DE"/>
    <w:rsid w:val="00534AE5"/>
    <w:rsid w:val="00536EEF"/>
    <w:rsid w:val="00541B32"/>
    <w:rsid w:val="0054316F"/>
    <w:rsid w:val="00546BFF"/>
    <w:rsid w:val="00546E45"/>
    <w:rsid w:val="00551262"/>
    <w:rsid w:val="00551A4B"/>
    <w:rsid w:val="00555299"/>
    <w:rsid w:val="00557CC0"/>
    <w:rsid w:val="00560F25"/>
    <w:rsid w:val="0056383D"/>
    <w:rsid w:val="005643DE"/>
    <w:rsid w:val="00564DB9"/>
    <w:rsid w:val="00567A99"/>
    <w:rsid w:val="00576E20"/>
    <w:rsid w:val="00577BAF"/>
    <w:rsid w:val="005842AA"/>
    <w:rsid w:val="00584790"/>
    <w:rsid w:val="00586AD8"/>
    <w:rsid w:val="00591640"/>
    <w:rsid w:val="005927EA"/>
    <w:rsid w:val="00594B0B"/>
    <w:rsid w:val="00594D23"/>
    <w:rsid w:val="00596C3F"/>
    <w:rsid w:val="00596D51"/>
    <w:rsid w:val="005A00FB"/>
    <w:rsid w:val="005A0C95"/>
    <w:rsid w:val="005A14F8"/>
    <w:rsid w:val="005A31C6"/>
    <w:rsid w:val="005B05AB"/>
    <w:rsid w:val="005B1972"/>
    <w:rsid w:val="005B32E3"/>
    <w:rsid w:val="005C1DCB"/>
    <w:rsid w:val="005C48CB"/>
    <w:rsid w:val="005C6976"/>
    <w:rsid w:val="005D01AC"/>
    <w:rsid w:val="005E2F7B"/>
    <w:rsid w:val="005E3503"/>
    <w:rsid w:val="005E3C89"/>
    <w:rsid w:val="005E6D1E"/>
    <w:rsid w:val="005F1928"/>
    <w:rsid w:val="005F1ABF"/>
    <w:rsid w:val="005F4E03"/>
    <w:rsid w:val="005F5265"/>
    <w:rsid w:val="005F67F8"/>
    <w:rsid w:val="005F6A9C"/>
    <w:rsid w:val="005F6E1F"/>
    <w:rsid w:val="006007AA"/>
    <w:rsid w:val="0060325D"/>
    <w:rsid w:val="00603D3B"/>
    <w:rsid w:val="00610518"/>
    <w:rsid w:val="00612559"/>
    <w:rsid w:val="006131C4"/>
    <w:rsid w:val="006160D1"/>
    <w:rsid w:val="00616729"/>
    <w:rsid w:val="006217CA"/>
    <w:rsid w:val="00623C27"/>
    <w:rsid w:val="0062653A"/>
    <w:rsid w:val="006278E4"/>
    <w:rsid w:val="00631329"/>
    <w:rsid w:val="00632601"/>
    <w:rsid w:val="0063323E"/>
    <w:rsid w:val="0063684A"/>
    <w:rsid w:val="00637B6C"/>
    <w:rsid w:val="00642C8D"/>
    <w:rsid w:val="00647B7A"/>
    <w:rsid w:val="00647BF7"/>
    <w:rsid w:val="00651633"/>
    <w:rsid w:val="0065437A"/>
    <w:rsid w:val="00654A80"/>
    <w:rsid w:val="00656D9F"/>
    <w:rsid w:val="00660897"/>
    <w:rsid w:val="00661558"/>
    <w:rsid w:val="00663AC4"/>
    <w:rsid w:val="00664A33"/>
    <w:rsid w:val="0067341C"/>
    <w:rsid w:val="00674778"/>
    <w:rsid w:val="00676481"/>
    <w:rsid w:val="00680175"/>
    <w:rsid w:val="00681AF5"/>
    <w:rsid w:val="006935B3"/>
    <w:rsid w:val="00694E67"/>
    <w:rsid w:val="0069667B"/>
    <w:rsid w:val="00696BFB"/>
    <w:rsid w:val="00697B33"/>
    <w:rsid w:val="006A0EA1"/>
    <w:rsid w:val="006A17C2"/>
    <w:rsid w:val="006A1E36"/>
    <w:rsid w:val="006A3443"/>
    <w:rsid w:val="006A45C4"/>
    <w:rsid w:val="006A621F"/>
    <w:rsid w:val="006A727B"/>
    <w:rsid w:val="006B0CBF"/>
    <w:rsid w:val="006B1756"/>
    <w:rsid w:val="006B3740"/>
    <w:rsid w:val="006B3E2C"/>
    <w:rsid w:val="006B5E91"/>
    <w:rsid w:val="006B638E"/>
    <w:rsid w:val="006B72DF"/>
    <w:rsid w:val="006C2E3A"/>
    <w:rsid w:val="006C71EC"/>
    <w:rsid w:val="006C77C5"/>
    <w:rsid w:val="006D0FCB"/>
    <w:rsid w:val="006D4A2F"/>
    <w:rsid w:val="006D63A0"/>
    <w:rsid w:val="006D74B0"/>
    <w:rsid w:val="006D769C"/>
    <w:rsid w:val="006D7C92"/>
    <w:rsid w:val="006E0F8E"/>
    <w:rsid w:val="006E329A"/>
    <w:rsid w:val="006E43CA"/>
    <w:rsid w:val="006E4EBA"/>
    <w:rsid w:val="006E5F77"/>
    <w:rsid w:val="006F1EFA"/>
    <w:rsid w:val="006F37C2"/>
    <w:rsid w:val="006F3B88"/>
    <w:rsid w:val="006F54B1"/>
    <w:rsid w:val="006F61B6"/>
    <w:rsid w:val="00700F8B"/>
    <w:rsid w:val="00703640"/>
    <w:rsid w:val="00703DF3"/>
    <w:rsid w:val="00704314"/>
    <w:rsid w:val="0070433C"/>
    <w:rsid w:val="007079A1"/>
    <w:rsid w:val="007118F8"/>
    <w:rsid w:val="00714155"/>
    <w:rsid w:val="00715F53"/>
    <w:rsid w:val="00722E5F"/>
    <w:rsid w:val="0072330C"/>
    <w:rsid w:val="007233FE"/>
    <w:rsid w:val="00731CF5"/>
    <w:rsid w:val="00732029"/>
    <w:rsid w:val="00732D35"/>
    <w:rsid w:val="00733816"/>
    <w:rsid w:val="0073619B"/>
    <w:rsid w:val="0073660F"/>
    <w:rsid w:val="007404ED"/>
    <w:rsid w:val="00743959"/>
    <w:rsid w:val="00743BCD"/>
    <w:rsid w:val="00745039"/>
    <w:rsid w:val="00745572"/>
    <w:rsid w:val="007533BE"/>
    <w:rsid w:val="0075458B"/>
    <w:rsid w:val="00754A85"/>
    <w:rsid w:val="007618D3"/>
    <w:rsid w:val="00761F73"/>
    <w:rsid w:val="007643F7"/>
    <w:rsid w:val="007722E0"/>
    <w:rsid w:val="00774DC6"/>
    <w:rsid w:val="0077514C"/>
    <w:rsid w:val="00775E05"/>
    <w:rsid w:val="00780461"/>
    <w:rsid w:val="0078151A"/>
    <w:rsid w:val="007824B8"/>
    <w:rsid w:val="007827FF"/>
    <w:rsid w:val="00784A96"/>
    <w:rsid w:val="00787AD3"/>
    <w:rsid w:val="00792536"/>
    <w:rsid w:val="00793250"/>
    <w:rsid w:val="007934F2"/>
    <w:rsid w:val="00793DF6"/>
    <w:rsid w:val="0079774C"/>
    <w:rsid w:val="007A1790"/>
    <w:rsid w:val="007A1BCE"/>
    <w:rsid w:val="007A6BDF"/>
    <w:rsid w:val="007B2540"/>
    <w:rsid w:val="007B4C87"/>
    <w:rsid w:val="007B721C"/>
    <w:rsid w:val="007C20D8"/>
    <w:rsid w:val="007C318A"/>
    <w:rsid w:val="007C7A43"/>
    <w:rsid w:val="007D5FEB"/>
    <w:rsid w:val="007E136B"/>
    <w:rsid w:val="007E5786"/>
    <w:rsid w:val="007F38E8"/>
    <w:rsid w:val="007F3A6E"/>
    <w:rsid w:val="008014E6"/>
    <w:rsid w:val="0080197B"/>
    <w:rsid w:val="00805308"/>
    <w:rsid w:val="008100BF"/>
    <w:rsid w:val="00811C18"/>
    <w:rsid w:val="00812899"/>
    <w:rsid w:val="00812D1D"/>
    <w:rsid w:val="00815B47"/>
    <w:rsid w:val="00821482"/>
    <w:rsid w:val="0082296B"/>
    <w:rsid w:val="00824757"/>
    <w:rsid w:val="00826F68"/>
    <w:rsid w:val="00827F0B"/>
    <w:rsid w:val="00833172"/>
    <w:rsid w:val="00834BAC"/>
    <w:rsid w:val="008427D8"/>
    <w:rsid w:val="008428A7"/>
    <w:rsid w:val="008433AE"/>
    <w:rsid w:val="00854C42"/>
    <w:rsid w:val="008555AC"/>
    <w:rsid w:val="00857F04"/>
    <w:rsid w:val="0086266C"/>
    <w:rsid w:val="008634DA"/>
    <w:rsid w:val="0086487B"/>
    <w:rsid w:val="00865B3A"/>
    <w:rsid w:val="00865D7D"/>
    <w:rsid w:val="0086696C"/>
    <w:rsid w:val="00866E24"/>
    <w:rsid w:val="00870283"/>
    <w:rsid w:val="008725FE"/>
    <w:rsid w:val="008764F4"/>
    <w:rsid w:val="0087774F"/>
    <w:rsid w:val="008813AD"/>
    <w:rsid w:val="00883005"/>
    <w:rsid w:val="008838D3"/>
    <w:rsid w:val="00884B75"/>
    <w:rsid w:val="00886B29"/>
    <w:rsid w:val="0089125D"/>
    <w:rsid w:val="008A2D17"/>
    <w:rsid w:val="008A3D43"/>
    <w:rsid w:val="008A668E"/>
    <w:rsid w:val="008A6C4B"/>
    <w:rsid w:val="008B0D69"/>
    <w:rsid w:val="008B2638"/>
    <w:rsid w:val="008B3806"/>
    <w:rsid w:val="008B617E"/>
    <w:rsid w:val="008C10FD"/>
    <w:rsid w:val="008C27DF"/>
    <w:rsid w:val="008C58C9"/>
    <w:rsid w:val="008C6F2D"/>
    <w:rsid w:val="008C6F6F"/>
    <w:rsid w:val="008D06B5"/>
    <w:rsid w:val="008D33BC"/>
    <w:rsid w:val="008D3BFE"/>
    <w:rsid w:val="008D7426"/>
    <w:rsid w:val="008D79B8"/>
    <w:rsid w:val="008E06F6"/>
    <w:rsid w:val="008E4157"/>
    <w:rsid w:val="008E6015"/>
    <w:rsid w:val="008F04C8"/>
    <w:rsid w:val="009015D2"/>
    <w:rsid w:val="00901E3C"/>
    <w:rsid w:val="00906220"/>
    <w:rsid w:val="00906998"/>
    <w:rsid w:val="00916E50"/>
    <w:rsid w:val="00920F5B"/>
    <w:rsid w:val="0092748F"/>
    <w:rsid w:val="009328B2"/>
    <w:rsid w:val="00935C91"/>
    <w:rsid w:val="0093729F"/>
    <w:rsid w:val="00937364"/>
    <w:rsid w:val="00937EE1"/>
    <w:rsid w:val="0094057C"/>
    <w:rsid w:val="009442F9"/>
    <w:rsid w:val="00944FA7"/>
    <w:rsid w:val="00945A25"/>
    <w:rsid w:val="00947ADA"/>
    <w:rsid w:val="00951E13"/>
    <w:rsid w:val="009529E3"/>
    <w:rsid w:val="00956413"/>
    <w:rsid w:val="009619ED"/>
    <w:rsid w:val="009711D6"/>
    <w:rsid w:val="0097539E"/>
    <w:rsid w:val="00975C4E"/>
    <w:rsid w:val="00984A23"/>
    <w:rsid w:val="0098544B"/>
    <w:rsid w:val="00987434"/>
    <w:rsid w:val="009920CD"/>
    <w:rsid w:val="009A1F90"/>
    <w:rsid w:val="009A7381"/>
    <w:rsid w:val="009B1BE6"/>
    <w:rsid w:val="009B206C"/>
    <w:rsid w:val="009B5DE3"/>
    <w:rsid w:val="009C0443"/>
    <w:rsid w:val="009C086C"/>
    <w:rsid w:val="009C5EFF"/>
    <w:rsid w:val="009C629C"/>
    <w:rsid w:val="009D0F95"/>
    <w:rsid w:val="009D33C0"/>
    <w:rsid w:val="009D3E46"/>
    <w:rsid w:val="009E3736"/>
    <w:rsid w:val="009E4531"/>
    <w:rsid w:val="009E6D0C"/>
    <w:rsid w:val="009F08FE"/>
    <w:rsid w:val="009F2C3C"/>
    <w:rsid w:val="009F3C14"/>
    <w:rsid w:val="009F5E63"/>
    <w:rsid w:val="009F69FD"/>
    <w:rsid w:val="00A03FEB"/>
    <w:rsid w:val="00A04BE5"/>
    <w:rsid w:val="00A07F3B"/>
    <w:rsid w:val="00A11772"/>
    <w:rsid w:val="00A13FBB"/>
    <w:rsid w:val="00A15649"/>
    <w:rsid w:val="00A17736"/>
    <w:rsid w:val="00A200EA"/>
    <w:rsid w:val="00A23181"/>
    <w:rsid w:val="00A24340"/>
    <w:rsid w:val="00A26AD5"/>
    <w:rsid w:val="00A26C73"/>
    <w:rsid w:val="00A30D04"/>
    <w:rsid w:val="00A37AEC"/>
    <w:rsid w:val="00A46446"/>
    <w:rsid w:val="00A46B75"/>
    <w:rsid w:val="00A4791D"/>
    <w:rsid w:val="00A54A71"/>
    <w:rsid w:val="00A5582B"/>
    <w:rsid w:val="00A558B4"/>
    <w:rsid w:val="00A603B7"/>
    <w:rsid w:val="00A604C9"/>
    <w:rsid w:val="00A639B1"/>
    <w:rsid w:val="00A641F7"/>
    <w:rsid w:val="00A64440"/>
    <w:rsid w:val="00A64F6E"/>
    <w:rsid w:val="00A668B7"/>
    <w:rsid w:val="00A70057"/>
    <w:rsid w:val="00A71162"/>
    <w:rsid w:val="00A71D0A"/>
    <w:rsid w:val="00A75BFD"/>
    <w:rsid w:val="00A809AA"/>
    <w:rsid w:val="00A838B2"/>
    <w:rsid w:val="00A900E8"/>
    <w:rsid w:val="00A922E8"/>
    <w:rsid w:val="00AA2303"/>
    <w:rsid w:val="00AA6D51"/>
    <w:rsid w:val="00AB21A0"/>
    <w:rsid w:val="00AB2BBB"/>
    <w:rsid w:val="00AB4E83"/>
    <w:rsid w:val="00AB592D"/>
    <w:rsid w:val="00AC1A4D"/>
    <w:rsid w:val="00AC4BEC"/>
    <w:rsid w:val="00AD1D62"/>
    <w:rsid w:val="00AD5CE8"/>
    <w:rsid w:val="00AD633A"/>
    <w:rsid w:val="00AE0150"/>
    <w:rsid w:val="00AE1E63"/>
    <w:rsid w:val="00AE2AF3"/>
    <w:rsid w:val="00AE67D4"/>
    <w:rsid w:val="00AE760A"/>
    <w:rsid w:val="00AF5795"/>
    <w:rsid w:val="00AF6E1F"/>
    <w:rsid w:val="00B02539"/>
    <w:rsid w:val="00B02624"/>
    <w:rsid w:val="00B02932"/>
    <w:rsid w:val="00B03E65"/>
    <w:rsid w:val="00B0612B"/>
    <w:rsid w:val="00B06B4E"/>
    <w:rsid w:val="00B106D7"/>
    <w:rsid w:val="00B112C5"/>
    <w:rsid w:val="00B1430D"/>
    <w:rsid w:val="00B14C55"/>
    <w:rsid w:val="00B1784B"/>
    <w:rsid w:val="00B202CF"/>
    <w:rsid w:val="00B20D3D"/>
    <w:rsid w:val="00B22278"/>
    <w:rsid w:val="00B230E3"/>
    <w:rsid w:val="00B252D7"/>
    <w:rsid w:val="00B25D3D"/>
    <w:rsid w:val="00B269D8"/>
    <w:rsid w:val="00B30DAC"/>
    <w:rsid w:val="00B31683"/>
    <w:rsid w:val="00B31C22"/>
    <w:rsid w:val="00B338F7"/>
    <w:rsid w:val="00B35D35"/>
    <w:rsid w:val="00B363CD"/>
    <w:rsid w:val="00B40374"/>
    <w:rsid w:val="00B45CAB"/>
    <w:rsid w:val="00B52ECE"/>
    <w:rsid w:val="00B5634B"/>
    <w:rsid w:val="00B56A9C"/>
    <w:rsid w:val="00B57A50"/>
    <w:rsid w:val="00B624C2"/>
    <w:rsid w:val="00B62AC8"/>
    <w:rsid w:val="00B71E22"/>
    <w:rsid w:val="00B735D2"/>
    <w:rsid w:val="00B73D79"/>
    <w:rsid w:val="00B7682A"/>
    <w:rsid w:val="00B77CD4"/>
    <w:rsid w:val="00B80B0B"/>
    <w:rsid w:val="00B830C3"/>
    <w:rsid w:val="00B83566"/>
    <w:rsid w:val="00B83EE8"/>
    <w:rsid w:val="00B87969"/>
    <w:rsid w:val="00B93387"/>
    <w:rsid w:val="00B93ABA"/>
    <w:rsid w:val="00B953E6"/>
    <w:rsid w:val="00BA211D"/>
    <w:rsid w:val="00BA341B"/>
    <w:rsid w:val="00BB2E90"/>
    <w:rsid w:val="00BB4A94"/>
    <w:rsid w:val="00BB7CA0"/>
    <w:rsid w:val="00BC08D6"/>
    <w:rsid w:val="00BC0AA7"/>
    <w:rsid w:val="00BC1069"/>
    <w:rsid w:val="00BC6369"/>
    <w:rsid w:val="00BC6C5E"/>
    <w:rsid w:val="00BC7652"/>
    <w:rsid w:val="00BD1317"/>
    <w:rsid w:val="00BD50C8"/>
    <w:rsid w:val="00BD606A"/>
    <w:rsid w:val="00BD6EFA"/>
    <w:rsid w:val="00BD7023"/>
    <w:rsid w:val="00BD7903"/>
    <w:rsid w:val="00BD7E5B"/>
    <w:rsid w:val="00BE1178"/>
    <w:rsid w:val="00BE124F"/>
    <w:rsid w:val="00BE21F6"/>
    <w:rsid w:val="00BE451E"/>
    <w:rsid w:val="00BE4C40"/>
    <w:rsid w:val="00BE6D74"/>
    <w:rsid w:val="00BE76AF"/>
    <w:rsid w:val="00BE7B5A"/>
    <w:rsid w:val="00BF3A02"/>
    <w:rsid w:val="00BF49A7"/>
    <w:rsid w:val="00BF6B91"/>
    <w:rsid w:val="00C0031F"/>
    <w:rsid w:val="00C01261"/>
    <w:rsid w:val="00C016C0"/>
    <w:rsid w:val="00C0220E"/>
    <w:rsid w:val="00C02D93"/>
    <w:rsid w:val="00C0339E"/>
    <w:rsid w:val="00C043C2"/>
    <w:rsid w:val="00C07CE4"/>
    <w:rsid w:val="00C16F44"/>
    <w:rsid w:val="00C2719A"/>
    <w:rsid w:val="00C27744"/>
    <w:rsid w:val="00C34F17"/>
    <w:rsid w:val="00C35A57"/>
    <w:rsid w:val="00C37896"/>
    <w:rsid w:val="00C446FC"/>
    <w:rsid w:val="00C44A68"/>
    <w:rsid w:val="00C45052"/>
    <w:rsid w:val="00C46AD7"/>
    <w:rsid w:val="00C53868"/>
    <w:rsid w:val="00C54992"/>
    <w:rsid w:val="00C6220C"/>
    <w:rsid w:val="00C629F5"/>
    <w:rsid w:val="00C63D9F"/>
    <w:rsid w:val="00C648EF"/>
    <w:rsid w:val="00C6744C"/>
    <w:rsid w:val="00C73418"/>
    <w:rsid w:val="00C738E7"/>
    <w:rsid w:val="00C73B3D"/>
    <w:rsid w:val="00C73D3F"/>
    <w:rsid w:val="00C76E92"/>
    <w:rsid w:val="00C77488"/>
    <w:rsid w:val="00C81E9D"/>
    <w:rsid w:val="00C8207F"/>
    <w:rsid w:val="00C84AC8"/>
    <w:rsid w:val="00C86969"/>
    <w:rsid w:val="00C9175C"/>
    <w:rsid w:val="00C92B48"/>
    <w:rsid w:val="00C948A2"/>
    <w:rsid w:val="00C9621C"/>
    <w:rsid w:val="00CA368F"/>
    <w:rsid w:val="00CA410F"/>
    <w:rsid w:val="00CA593D"/>
    <w:rsid w:val="00CA6FD4"/>
    <w:rsid w:val="00CB09A7"/>
    <w:rsid w:val="00CB1A10"/>
    <w:rsid w:val="00CB2572"/>
    <w:rsid w:val="00CB5C11"/>
    <w:rsid w:val="00CB7012"/>
    <w:rsid w:val="00CB76B5"/>
    <w:rsid w:val="00CC068B"/>
    <w:rsid w:val="00CC1682"/>
    <w:rsid w:val="00CC6A5A"/>
    <w:rsid w:val="00CC6CA7"/>
    <w:rsid w:val="00CC7D46"/>
    <w:rsid w:val="00CD4C42"/>
    <w:rsid w:val="00CD53ED"/>
    <w:rsid w:val="00CE2DEC"/>
    <w:rsid w:val="00CE3852"/>
    <w:rsid w:val="00CF1E90"/>
    <w:rsid w:val="00CF3DBF"/>
    <w:rsid w:val="00CF737B"/>
    <w:rsid w:val="00D02D51"/>
    <w:rsid w:val="00D05CB5"/>
    <w:rsid w:val="00D07D8A"/>
    <w:rsid w:val="00D1132D"/>
    <w:rsid w:val="00D1541F"/>
    <w:rsid w:val="00D16914"/>
    <w:rsid w:val="00D16FA8"/>
    <w:rsid w:val="00D205D9"/>
    <w:rsid w:val="00D230B8"/>
    <w:rsid w:val="00D24668"/>
    <w:rsid w:val="00D24B55"/>
    <w:rsid w:val="00D24B9C"/>
    <w:rsid w:val="00D25032"/>
    <w:rsid w:val="00D25440"/>
    <w:rsid w:val="00D31B6B"/>
    <w:rsid w:val="00D32E7D"/>
    <w:rsid w:val="00D3322C"/>
    <w:rsid w:val="00D36DF5"/>
    <w:rsid w:val="00D41DB8"/>
    <w:rsid w:val="00D43151"/>
    <w:rsid w:val="00D44B0A"/>
    <w:rsid w:val="00D50459"/>
    <w:rsid w:val="00D53671"/>
    <w:rsid w:val="00D569D3"/>
    <w:rsid w:val="00D577DB"/>
    <w:rsid w:val="00D6151B"/>
    <w:rsid w:val="00D6576E"/>
    <w:rsid w:val="00D65E0D"/>
    <w:rsid w:val="00D73C5C"/>
    <w:rsid w:val="00D74D88"/>
    <w:rsid w:val="00D76DE6"/>
    <w:rsid w:val="00D77157"/>
    <w:rsid w:val="00D775A7"/>
    <w:rsid w:val="00D81DF5"/>
    <w:rsid w:val="00D8252A"/>
    <w:rsid w:val="00D82A76"/>
    <w:rsid w:val="00D82F53"/>
    <w:rsid w:val="00D837F9"/>
    <w:rsid w:val="00D841D5"/>
    <w:rsid w:val="00D901CC"/>
    <w:rsid w:val="00DA1468"/>
    <w:rsid w:val="00DA16AC"/>
    <w:rsid w:val="00DA5C42"/>
    <w:rsid w:val="00DA7FDB"/>
    <w:rsid w:val="00DB38F5"/>
    <w:rsid w:val="00DB5A9D"/>
    <w:rsid w:val="00DC576E"/>
    <w:rsid w:val="00DC5839"/>
    <w:rsid w:val="00DC636E"/>
    <w:rsid w:val="00DD0DFF"/>
    <w:rsid w:val="00DD6589"/>
    <w:rsid w:val="00DD6E48"/>
    <w:rsid w:val="00DE03A9"/>
    <w:rsid w:val="00DE0519"/>
    <w:rsid w:val="00DE24CB"/>
    <w:rsid w:val="00DE5BC8"/>
    <w:rsid w:val="00DE7624"/>
    <w:rsid w:val="00DF1149"/>
    <w:rsid w:val="00DF53A3"/>
    <w:rsid w:val="00DF5FF4"/>
    <w:rsid w:val="00E02022"/>
    <w:rsid w:val="00E0226A"/>
    <w:rsid w:val="00E037F7"/>
    <w:rsid w:val="00E03D4A"/>
    <w:rsid w:val="00E04E82"/>
    <w:rsid w:val="00E077E1"/>
    <w:rsid w:val="00E100C7"/>
    <w:rsid w:val="00E11494"/>
    <w:rsid w:val="00E179D7"/>
    <w:rsid w:val="00E27BC8"/>
    <w:rsid w:val="00E36D9D"/>
    <w:rsid w:val="00E453F8"/>
    <w:rsid w:val="00E509F4"/>
    <w:rsid w:val="00E54604"/>
    <w:rsid w:val="00E55A0A"/>
    <w:rsid w:val="00E61509"/>
    <w:rsid w:val="00E61C79"/>
    <w:rsid w:val="00E7042A"/>
    <w:rsid w:val="00E70731"/>
    <w:rsid w:val="00E71B77"/>
    <w:rsid w:val="00E73DC6"/>
    <w:rsid w:val="00E748B7"/>
    <w:rsid w:val="00E81F9C"/>
    <w:rsid w:val="00E852FF"/>
    <w:rsid w:val="00E86A98"/>
    <w:rsid w:val="00E87957"/>
    <w:rsid w:val="00E93CEC"/>
    <w:rsid w:val="00E9626C"/>
    <w:rsid w:val="00EA1FAA"/>
    <w:rsid w:val="00EA5900"/>
    <w:rsid w:val="00EA7E2E"/>
    <w:rsid w:val="00EB0502"/>
    <w:rsid w:val="00EB2A66"/>
    <w:rsid w:val="00EB3C28"/>
    <w:rsid w:val="00EC1762"/>
    <w:rsid w:val="00EC2083"/>
    <w:rsid w:val="00EC2736"/>
    <w:rsid w:val="00EC744B"/>
    <w:rsid w:val="00EC7F82"/>
    <w:rsid w:val="00ED0CA9"/>
    <w:rsid w:val="00ED160E"/>
    <w:rsid w:val="00ED2578"/>
    <w:rsid w:val="00ED691D"/>
    <w:rsid w:val="00ED75EE"/>
    <w:rsid w:val="00EE2396"/>
    <w:rsid w:val="00EE446C"/>
    <w:rsid w:val="00EE4512"/>
    <w:rsid w:val="00EE5A26"/>
    <w:rsid w:val="00EE7249"/>
    <w:rsid w:val="00EF0117"/>
    <w:rsid w:val="00EF034B"/>
    <w:rsid w:val="00EF14A6"/>
    <w:rsid w:val="00EF31A1"/>
    <w:rsid w:val="00EF7679"/>
    <w:rsid w:val="00F01DDD"/>
    <w:rsid w:val="00F0456D"/>
    <w:rsid w:val="00F0469E"/>
    <w:rsid w:val="00F049ED"/>
    <w:rsid w:val="00F05D6C"/>
    <w:rsid w:val="00F066B3"/>
    <w:rsid w:val="00F07845"/>
    <w:rsid w:val="00F1176E"/>
    <w:rsid w:val="00F124AB"/>
    <w:rsid w:val="00F147DC"/>
    <w:rsid w:val="00F16B5A"/>
    <w:rsid w:val="00F24A85"/>
    <w:rsid w:val="00F2580D"/>
    <w:rsid w:val="00F261E5"/>
    <w:rsid w:val="00F30617"/>
    <w:rsid w:val="00F31876"/>
    <w:rsid w:val="00F34B14"/>
    <w:rsid w:val="00F35E35"/>
    <w:rsid w:val="00F404A0"/>
    <w:rsid w:val="00F41132"/>
    <w:rsid w:val="00F42381"/>
    <w:rsid w:val="00F53545"/>
    <w:rsid w:val="00F5406A"/>
    <w:rsid w:val="00F541A1"/>
    <w:rsid w:val="00F56E54"/>
    <w:rsid w:val="00F57E57"/>
    <w:rsid w:val="00F638EC"/>
    <w:rsid w:val="00F77A57"/>
    <w:rsid w:val="00F81BCF"/>
    <w:rsid w:val="00F82EFF"/>
    <w:rsid w:val="00F844DD"/>
    <w:rsid w:val="00F85DEF"/>
    <w:rsid w:val="00F91301"/>
    <w:rsid w:val="00F921BE"/>
    <w:rsid w:val="00F930D5"/>
    <w:rsid w:val="00F94936"/>
    <w:rsid w:val="00F95163"/>
    <w:rsid w:val="00FB2AE5"/>
    <w:rsid w:val="00FB3383"/>
    <w:rsid w:val="00FB7582"/>
    <w:rsid w:val="00FB7F53"/>
    <w:rsid w:val="00FC15D2"/>
    <w:rsid w:val="00FC1B12"/>
    <w:rsid w:val="00FC2B1E"/>
    <w:rsid w:val="00FC63DE"/>
    <w:rsid w:val="00FD1D59"/>
    <w:rsid w:val="00FD21CB"/>
    <w:rsid w:val="00FD303E"/>
    <w:rsid w:val="00FE0645"/>
    <w:rsid w:val="00FE5F95"/>
    <w:rsid w:val="00FE748F"/>
    <w:rsid w:val="00FF178A"/>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F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4D"/>
    <w:pPr>
      <w:widowControl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1A4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313D8C"/>
    <w:rPr>
      <w:rFonts w:eastAsiaTheme="minorEastAsia"/>
      <w:sz w:val="20"/>
      <w:szCs w:val="20"/>
    </w:rPr>
  </w:style>
  <w:style w:type="character" w:styleId="FootnoteReference">
    <w:name w:val="footnote reference"/>
    <w:basedOn w:val="DefaultParagraphFont"/>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1A4D"/>
    <w:rPr>
      <w:rFonts w:ascii="Times New Roman" w:eastAsia="Times New Roman" w:hAnsi="Times New Roman" w:cs="Times New Roman"/>
      <w:b/>
      <w:bCs/>
    </w:rPr>
  </w:style>
  <w:style w:type="paragraph" w:customStyle="1" w:styleId="parag">
    <w:name w:val="parag"/>
    <w:basedOn w:val="Normal"/>
    <w:link w:val="paragChar"/>
    <w:qFormat/>
    <w:rsid w:val="00865D7D"/>
    <w:pPr>
      <w:widowControl/>
      <w:autoSpaceDE w:val="0"/>
      <w:autoSpaceDN w:val="0"/>
      <w:spacing w:after="120"/>
      <w:ind w:firstLine="720"/>
    </w:pPr>
    <w:rPr>
      <w:rFonts w:eastAsiaTheme="minorHAnsi"/>
    </w:rPr>
  </w:style>
  <w:style w:type="character" w:customStyle="1" w:styleId="paragChar">
    <w:name w:val="parag Char"/>
    <w:basedOn w:val="DefaultParagraphFont"/>
    <w:link w:val="parag"/>
    <w:rsid w:val="00865D7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4D"/>
    <w:pPr>
      <w:widowControl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1A4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313D8C"/>
    <w:rPr>
      <w:rFonts w:eastAsiaTheme="minorEastAsia"/>
      <w:sz w:val="20"/>
      <w:szCs w:val="20"/>
    </w:rPr>
  </w:style>
  <w:style w:type="character" w:styleId="FootnoteReference">
    <w:name w:val="footnote reference"/>
    <w:basedOn w:val="DefaultParagraphFont"/>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1A4D"/>
    <w:rPr>
      <w:rFonts w:ascii="Times New Roman" w:eastAsia="Times New Roman" w:hAnsi="Times New Roman" w:cs="Times New Roman"/>
      <w:b/>
      <w:bCs/>
    </w:rPr>
  </w:style>
  <w:style w:type="paragraph" w:customStyle="1" w:styleId="parag">
    <w:name w:val="parag"/>
    <w:basedOn w:val="Normal"/>
    <w:link w:val="paragChar"/>
    <w:qFormat/>
    <w:rsid w:val="00865D7D"/>
    <w:pPr>
      <w:widowControl/>
      <w:autoSpaceDE w:val="0"/>
      <w:autoSpaceDN w:val="0"/>
      <w:spacing w:after="120"/>
      <w:ind w:firstLine="720"/>
    </w:pPr>
    <w:rPr>
      <w:rFonts w:eastAsiaTheme="minorHAnsi"/>
    </w:rPr>
  </w:style>
  <w:style w:type="character" w:customStyle="1" w:styleId="paragChar">
    <w:name w:val="parag Char"/>
    <w:basedOn w:val="DefaultParagraphFont"/>
    <w:link w:val="parag"/>
    <w:rsid w:val="00865D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3328">
      <w:bodyDiv w:val="1"/>
      <w:marLeft w:val="0"/>
      <w:marRight w:val="0"/>
      <w:marTop w:val="0"/>
      <w:marBottom w:val="0"/>
      <w:divBdr>
        <w:top w:val="none" w:sz="0" w:space="0" w:color="auto"/>
        <w:left w:val="none" w:sz="0" w:space="0" w:color="auto"/>
        <w:bottom w:val="none" w:sz="0" w:space="0" w:color="auto"/>
        <w:right w:val="none" w:sz="0" w:space="0" w:color="auto"/>
      </w:divBdr>
    </w:div>
    <w:div w:id="33385864">
      <w:bodyDiv w:val="1"/>
      <w:marLeft w:val="0"/>
      <w:marRight w:val="0"/>
      <w:marTop w:val="0"/>
      <w:marBottom w:val="0"/>
      <w:divBdr>
        <w:top w:val="none" w:sz="0" w:space="0" w:color="auto"/>
        <w:left w:val="none" w:sz="0" w:space="0" w:color="auto"/>
        <w:bottom w:val="none" w:sz="0" w:space="0" w:color="auto"/>
        <w:right w:val="none" w:sz="0" w:space="0" w:color="auto"/>
      </w:divBdr>
    </w:div>
    <w:div w:id="51126386">
      <w:bodyDiv w:val="1"/>
      <w:marLeft w:val="0"/>
      <w:marRight w:val="0"/>
      <w:marTop w:val="0"/>
      <w:marBottom w:val="0"/>
      <w:divBdr>
        <w:top w:val="none" w:sz="0" w:space="0" w:color="auto"/>
        <w:left w:val="none" w:sz="0" w:space="0" w:color="auto"/>
        <w:bottom w:val="none" w:sz="0" w:space="0" w:color="auto"/>
        <w:right w:val="none" w:sz="0" w:space="0" w:color="auto"/>
      </w:divBdr>
    </w:div>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83839111">
      <w:bodyDiv w:val="1"/>
      <w:marLeft w:val="0"/>
      <w:marRight w:val="0"/>
      <w:marTop w:val="0"/>
      <w:marBottom w:val="0"/>
      <w:divBdr>
        <w:top w:val="none" w:sz="0" w:space="0" w:color="auto"/>
        <w:left w:val="none" w:sz="0" w:space="0" w:color="auto"/>
        <w:bottom w:val="none" w:sz="0" w:space="0" w:color="auto"/>
        <w:right w:val="none" w:sz="0" w:space="0" w:color="auto"/>
      </w:divBdr>
    </w:div>
    <w:div w:id="90973918">
      <w:bodyDiv w:val="1"/>
      <w:marLeft w:val="0"/>
      <w:marRight w:val="0"/>
      <w:marTop w:val="0"/>
      <w:marBottom w:val="0"/>
      <w:divBdr>
        <w:top w:val="none" w:sz="0" w:space="0" w:color="auto"/>
        <w:left w:val="none" w:sz="0" w:space="0" w:color="auto"/>
        <w:bottom w:val="none" w:sz="0" w:space="0" w:color="auto"/>
        <w:right w:val="none" w:sz="0" w:space="0" w:color="auto"/>
      </w:divBdr>
    </w:div>
    <w:div w:id="91437290">
      <w:bodyDiv w:val="1"/>
      <w:marLeft w:val="0"/>
      <w:marRight w:val="0"/>
      <w:marTop w:val="0"/>
      <w:marBottom w:val="0"/>
      <w:divBdr>
        <w:top w:val="none" w:sz="0" w:space="0" w:color="auto"/>
        <w:left w:val="none" w:sz="0" w:space="0" w:color="auto"/>
        <w:bottom w:val="none" w:sz="0" w:space="0" w:color="auto"/>
        <w:right w:val="none" w:sz="0" w:space="0" w:color="auto"/>
      </w:divBdr>
    </w:div>
    <w:div w:id="91511424">
      <w:bodyDiv w:val="1"/>
      <w:marLeft w:val="0"/>
      <w:marRight w:val="0"/>
      <w:marTop w:val="0"/>
      <w:marBottom w:val="0"/>
      <w:divBdr>
        <w:top w:val="none" w:sz="0" w:space="0" w:color="auto"/>
        <w:left w:val="none" w:sz="0" w:space="0" w:color="auto"/>
        <w:bottom w:val="none" w:sz="0" w:space="0" w:color="auto"/>
        <w:right w:val="none" w:sz="0" w:space="0" w:color="auto"/>
      </w:divBdr>
    </w:div>
    <w:div w:id="151336074">
      <w:bodyDiv w:val="1"/>
      <w:marLeft w:val="0"/>
      <w:marRight w:val="0"/>
      <w:marTop w:val="0"/>
      <w:marBottom w:val="0"/>
      <w:divBdr>
        <w:top w:val="none" w:sz="0" w:space="0" w:color="auto"/>
        <w:left w:val="none" w:sz="0" w:space="0" w:color="auto"/>
        <w:bottom w:val="none" w:sz="0" w:space="0" w:color="auto"/>
        <w:right w:val="none" w:sz="0" w:space="0" w:color="auto"/>
      </w:divBdr>
    </w:div>
    <w:div w:id="172109383">
      <w:bodyDiv w:val="1"/>
      <w:marLeft w:val="0"/>
      <w:marRight w:val="0"/>
      <w:marTop w:val="0"/>
      <w:marBottom w:val="0"/>
      <w:divBdr>
        <w:top w:val="none" w:sz="0" w:space="0" w:color="auto"/>
        <w:left w:val="none" w:sz="0" w:space="0" w:color="auto"/>
        <w:bottom w:val="none" w:sz="0" w:space="0" w:color="auto"/>
        <w:right w:val="none" w:sz="0" w:space="0" w:color="auto"/>
      </w:divBdr>
    </w:div>
    <w:div w:id="175659680">
      <w:bodyDiv w:val="1"/>
      <w:marLeft w:val="0"/>
      <w:marRight w:val="0"/>
      <w:marTop w:val="0"/>
      <w:marBottom w:val="0"/>
      <w:divBdr>
        <w:top w:val="none" w:sz="0" w:space="0" w:color="auto"/>
        <w:left w:val="none" w:sz="0" w:space="0" w:color="auto"/>
        <w:bottom w:val="none" w:sz="0" w:space="0" w:color="auto"/>
        <w:right w:val="none" w:sz="0" w:space="0" w:color="auto"/>
      </w:divBdr>
    </w:div>
    <w:div w:id="178274159">
      <w:bodyDiv w:val="1"/>
      <w:marLeft w:val="0"/>
      <w:marRight w:val="0"/>
      <w:marTop w:val="0"/>
      <w:marBottom w:val="0"/>
      <w:divBdr>
        <w:top w:val="none" w:sz="0" w:space="0" w:color="auto"/>
        <w:left w:val="none" w:sz="0" w:space="0" w:color="auto"/>
        <w:bottom w:val="none" w:sz="0" w:space="0" w:color="auto"/>
        <w:right w:val="none" w:sz="0" w:space="0" w:color="auto"/>
      </w:divBdr>
    </w:div>
    <w:div w:id="193660550">
      <w:bodyDiv w:val="1"/>
      <w:marLeft w:val="0"/>
      <w:marRight w:val="0"/>
      <w:marTop w:val="0"/>
      <w:marBottom w:val="0"/>
      <w:divBdr>
        <w:top w:val="none" w:sz="0" w:space="0" w:color="auto"/>
        <w:left w:val="none" w:sz="0" w:space="0" w:color="auto"/>
        <w:bottom w:val="none" w:sz="0" w:space="0" w:color="auto"/>
        <w:right w:val="none" w:sz="0" w:space="0" w:color="auto"/>
      </w:divBdr>
    </w:div>
    <w:div w:id="194538908">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258175532">
      <w:bodyDiv w:val="1"/>
      <w:marLeft w:val="0"/>
      <w:marRight w:val="0"/>
      <w:marTop w:val="0"/>
      <w:marBottom w:val="0"/>
      <w:divBdr>
        <w:top w:val="none" w:sz="0" w:space="0" w:color="auto"/>
        <w:left w:val="none" w:sz="0" w:space="0" w:color="auto"/>
        <w:bottom w:val="none" w:sz="0" w:space="0" w:color="auto"/>
        <w:right w:val="none" w:sz="0" w:space="0" w:color="auto"/>
      </w:divBdr>
    </w:div>
    <w:div w:id="277371775">
      <w:bodyDiv w:val="1"/>
      <w:marLeft w:val="0"/>
      <w:marRight w:val="0"/>
      <w:marTop w:val="0"/>
      <w:marBottom w:val="0"/>
      <w:divBdr>
        <w:top w:val="none" w:sz="0" w:space="0" w:color="auto"/>
        <w:left w:val="none" w:sz="0" w:space="0" w:color="auto"/>
        <w:bottom w:val="none" w:sz="0" w:space="0" w:color="auto"/>
        <w:right w:val="none" w:sz="0" w:space="0" w:color="auto"/>
      </w:divBdr>
    </w:div>
    <w:div w:id="278025812">
      <w:bodyDiv w:val="1"/>
      <w:marLeft w:val="0"/>
      <w:marRight w:val="0"/>
      <w:marTop w:val="0"/>
      <w:marBottom w:val="0"/>
      <w:divBdr>
        <w:top w:val="none" w:sz="0" w:space="0" w:color="auto"/>
        <w:left w:val="none" w:sz="0" w:space="0" w:color="auto"/>
        <w:bottom w:val="none" w:sz="0" w:space="0" w:color="auto"/>
        <w:right w:val="none" w:sz="0" w:space="0" w:color="auto"/>
      </w:divBdr>
    </w:div>
    <w:div w:id="279461380">
      <w:bodyDiv w:val="1"/>
      <w:marLeft w:val="0"/>
      <w:marRight w:val="0"/>
      <w:marTop w:val="0"/>
      <w:marBottom w:val="0"/>
      <w:divBdr>
        <w:top w:val="none" w:sz="0" w:space="0" w:color="auto"/>
        <w:left w:val="none" w:sz="0" w:space="0" w:color="auto"/>
        <w:bottom w:val="none" w:sz="0" w:space="0" w:color="auto"/>
        <w:right w:val="none" w:sz="0" w:space="0" w:color="auto"/>
      </w:divBdr>
    </w:div>
    <w:div w:id="311057248">
      <w:bodyDiv w:val="1"/>
      <w:marLeft w:val="0"/>
      <w:marRight w:val="0"/>
      <w:marTop w:val="0"/>
      <w:marBottom w:val="0"/>
      <w:divBdr>
        <w:top w:val="none" w:sz="0" w:space="0" w:color="auto"/>
        <w:left w:val="none" w:sz="0" w:space="0" w:color="auto"/>
        <w:bottom w:val="none" w:sz="0" w:space="0" w:color="auto"/>
        <w:right w:val="none" w:sz="0" w:space="0" w:color="auto"/>
      </w:divBdr>
    </w:div>
    <w:div w:id="326520697">
      <w:bodyDiv w:val="1"/>
      <w:marLeft w:val="0"/>
      <w:marRight w:val="0"/>
      <w:marTop w:val="0"/>
      <w:marBottom w:val="0"/>
      <w:divBdr>
        <w:top w:val="none" w:sz="0" w:space="0" w:color="auto"/>
        <w:left w:val="none" w:sz="0" w:space="0" w:color="auto"/>
        <w:bottom w:val="none" w:sz="0" w:space="0" w:color="auto"/>
        <w:right w:val="none" w:sz="0" w:space="0" w:color="auto"/>
      </w:divBdr>
    </w:div>
    <w:div w:id="351222984">
      <w:bodyDiv w:val="1"/>
      <w:marLeft w:val="0"/>
      <w:marRight w:val="0"/>
      <w:marTop w:val="0"/>
      <w:marBottom w:val="0"/>
      <w:divBdr>
        <w:top w:val="none" w:sz="0" w:space="0" w:color="auto"/>
        <w:left w:val="none" w:sz="0" w:space="0" w:color="auto"/>
        <w:bottom w:val="none" w:sz="0" w:space="0" w:color="auto"/>
        <w:right w:val="none" w:sz="0" w:space="0" w:color="auto"/>
      </w:divBdr>
    </w:div>
    <w:div w:id="364407228">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376587936">
      <w:bodyDiv w:val="1"/>
      <w:marLeft w:val="0"/>
      <w:marRight w:val="0"/>
      <w:marTop w:val="0"/>
      <w:marBottom w:val="0"/>
      <w:divBdr>
        <w:top w:val="none" w:sz="0" w:space="0" w:color="auto"/>
        <w:left w:val="none" w:sz="0" w:space="0" w:color="auto"/>
        <w:bottom w:val="none" w:sz="0" w:space="0" w:color="auto"/>
        <w:right w:val="none" w:sz="0" w:space="0" w:color="auto"/>
      </w:divBdr>
    </w:div>
    <w:div w:id="384525086">
      <w:bodyDiv w:val="1"/>
      <w:marLeft w:val="0"/>
      <w:marRight w:val="0"/>
      <w:marTop w:val="0"/>
      <w:marBottom w:val="0"/>
      <w:divBdr>
        <w:top w:val="none" w:sz="0" w:space="0" w:color="auto"/>
        <w:left w:val="none" w:sz="0" w:space="0" w:color="auto"/>
        <w:bottom w:val="none" w:sz="0" w:space="0" w:color="auto"/>
        <w:right w:val="none" w:sz="0" w:space="0" w:color="auto"/>
      </w:divBdr>
    </w:div>
    <w:div w:id="440347427">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448748148">
      <w:bodyDiv w:val="1"/>
      <w:marLeft w:val="0"/>
      <w:marRight w:val="0"/>
      <w:marTop w:val="0"/>
      <w:marBottom w:val="0"/>
      <w:divBdr>
        <w:top w:val="none" w:sz="0" w:space="0" w:color="auto"/>
        <w:left w:val="none" w:sz="0" w:space="0" w:color="auto"/>
        <w:bottom w:val="none" w:sz="0" w:space="0" w:color="auto"/>
        <w:right w:val="none" w:sz="0" w:space="0" w:color="auto"/>
      </w:divBdr>
    </w:div>
    <w:div w:id="449052763">
      <w:bodyDiv w:val="1"/>
      <w:marLeft w:val="0"/>
      <w:marRight w:val="0"/>
      <w:marTop w:val="0"/>
      <w:marBottom w:val="0"/>
      <w:divBdr>
        <w:top w:val="none" w:sz="0" w:space="0" w:color="auto"/>
        <w:left w:val="none" w:sz="0" w:space="0" w:color="auto"/>
        <w:bottom w:val="none" w:sz="0" w:space="0" w:color="auto"/>
        <w:right w:val="none" w:sz="0" w:space="0" w:color="auto"/>
      </w:divBdr>
    </w:div>
    <w:div w:id="450050591">
      <w:bodyDiv w:val="1"/>
      <w:marLeft w:val="0"/>
      <w:marRight w:val="0"/>
      <w:marTop w:val="0"/>
      <w:marBottom w:val="0"/>
      <w:divBdr>
        <w:top w:val="none" w:sz="0" w:space="0" w:color="auto"/>
        <w:left w:val="none" w:sz="0" w:space="0" w:color="auto"/>
        <w:bottom w:val="none" w:sz="0" w:space="0" w:color="auto"/>
        <w:right w:val="none" w:sz="0" w:space="0" w:color="auto"/>
      </w:divBdr>
    </w:div>
    <w:div w:id="459887132">
      <w:bodyDiv w:val="1"/>
      <w:marLeft w:val="0"/>
      <w:marRight w:val="0"/>
      <w:marTop w:val="0"/>
      <w:marBottom w:val="0"/>
      <w:divBdr>
        <w:top w:val="none" w:sz="0" w:space="0" w:color="auto"/>
        <w:left w:val="none" w:sz="0" w:space="0" w:color="auto"/>
        <w:bottom w:val="none" w:sz="0" w:space="0" w:color="auto"/>
        <w:right w:val="none" w:sz="0" w:space="0" w:color="auto"/>
      </w:divBdr>
    </w:div>
    <w:div w:id="472143230">
      <w:bodyDiv w:val="1"/>
      <w:marLeft w:val="0"/>
      <w:marRight w:val="0"/>
      <w:marTop w:val="0"/>
      <w:marBottom w:val="0"/>
      <w:divBdr>
        <w:top w:val="none" w:sz="0" w:space="0" w:color="auto"/>
        <w:left w:val="none" w:sz="0" w:space="0" w:color="auto"/>
        <w:bottom w:val="none" w:sz="0" w:space="0" w:color="auto"/>
        <w:right w:val="none" w:sz="0" w:space="0" w:color="auto"/>
      </w:divBdr>
    </w:div>
    <w:div w:id="480000174">
      <w:bodyDiv w:val="1"/>
      <w:marLeft w:val="0"/>
      <w:marRight w:val="0"/>
      <w:marTop w:val="0"/>
      <w:marBottom w:val="0"/>
      <w:divBdr>
        <w:top w:val="none" w:sz="0" w:space="0" w:color="auto"/>
        <w:left w:val="none" w:sz="0" w:space="0" w:color="auto"/>
        <w:bottom w:val="none" w:sz="0" w:space="0" w:color="auto"/>
        <w:right w:val="none" w:sz="0" w:space="0" w:color="auto"/>
      </w:divBdr>
    </w:div>
    <w:div w:id="493571637">
      <w:bodyDiv w:val="1"/>
      <w:marLeft w:val="0"/>
      <w:marRight w:val="0"/>
      <w:marTop w:val="0"/>
      <w:marBottom w:val="0"/>
      <w:divBdr>
        <w:top w:val="none" w:sz="0" w:space="0" w:color="auto"/>
        <w:left w:val="none" w:sz="0" w:space="0" w:color="auto"/>
        <w:bottom w:val="none" w:sz="0" w:space="0" w:color="auto"/>
        <w:right w:val="none" w:sz="0" w:space="0" w:color="auto"/>
      </w:divBdr>
    </w:div>
    <w:div w:id="508787940">
      <w:bodyDiv w:val="1"/>
      <w:marLeft w:val="0"/>
      <w:marRight w:val="0"/>
      <w:marTop w:val="0"/>
      <w:marBottom w:val="0"/>
      <w:divBdr>
        <w:top w:val="none" w:sz="0" w:space="0" w:color="auto"/>
        <w:left w:val="none" w:sz="0" w:space="0" w:color="auto"/>
        <w:bottom w:val="none" w:sz="0" w:space="0" w:color="auto"/>
        <w:right w:val="none" w:sz="0" w:space="0" w:color="auto"/>
      </w:divBdr>
    </w:div>
    <w:div w:id="511841139">
      <w:bodyDiv w:val="1"/>
      <w:marLeft w:val="0"/>
      <w:marRight w:val="0"/>
      <w:marTop w:val="0"/>
      <w:marBottom w:val="0"/>
      <w:divBdr>
        <w:top w:val="none" w:sz="0" w:space="0" w:color="auto"/>
        <w:left w:val="none" w:sz="0" w:space="0" w:color="auto"/>
        <w:bottom w:val="none" w:sz="0" w:space="0" w:color="auto"/>
        <w:right w:val="none" w:sz="0" w:space="0" w:color="auto"/>
      </w:divBdr>
    </w:div>
    <w:div w:id="548417706">
      <w:bodyDiv w:val="1"/>
      <w:marLeft w:val="0"/>
      <w:marRight w:val="0"/>
      <w:marTop w:val="0"/>
      <w:marBottom w:val="0"/>
      <w:divBdr>
        <w:top w:val="none" w:sz="0" w:space="0" w:color="auto"/>
        <w:left w:val="none" w:sz="0" w:space="0" w:color="auto"/>
        <w:bottom w:val="none" w:sz="0" w:space="0" w:color="auto"/>
        <w:right w:val="none" w:sz="0" w:space="0" w:color="auto"/>
      </w:divBdr>
    </w:div>
    <w:div w:id="548959066">
      <w:bodyDiv w:val="1"/>
      <w:marLeft w:val="0"/>
      <w:marRight w:val="0"/>
      <w:marTop w:val="0"/>
      <w:marBottom w:val="0"/>
      <w:divBdr>
        <w:top w:val="none" w:sz="0" w:space="0" w:color="auto"/>
        <w:left w:val="none" w:sz="0" w:space="0" w:color="auto"/>
        <w:bottom w:val="none" w:sz="0" w:space="0" w:color="auto"/>
        <w:right w:val="none" w:sz="0" w:space="0" w:color="auto"/>
      </w:divBdr>
    </w:div>
    <w:div w:id="555090236">
      <w:bodyDiv w:val="1"/>
      <w:marLeft w:val="0"/>
      <w:marRight w:val="0"/>
      <w:marTop w:val="0"/>
      <w:marBottom w:val="0"/>
      <w:divBdr>
        <w:top w:val="none" w:sz="0" w:space="0" w:color="auto"/>
        <w:left w:val="none" w:sz="0" w:space="0" w:color="auto"/>
        <w:bottom w:val="none" w:sz="0" w:space="0" w:color="auto"/>
        <w:right w:val="none" w:sz="0" w:space="0" w:color="auto"/>
      </w:divBdr>
    </w:div>
    <w:div w:id="556551684">
      <w:bodyDiv w:val="1"/>
      <w:marLeft w:val="0"/>
      <w:marRight w:val="0"/>
      <w:marTop w:val="0"/>
      <w:marBottom w:val="0"/>
      <w:divBdr>
        <w:top w:val="none" w:sz="0" w:space="0" w:color="auto"/>
        <w:left w:val="none" w:sz="0" w:space="0" w:color="auto"/>
        <w:bottom w:val="none" w:sz="0" w:space="0" w:color="auto"/>
        <w:right w:val="none" w:sz="0" w:space="0" w:color="auto"/>
      </w:divBdr>
    </w:div>
    <w:div w:id="563756459">
      <w:bodyDiv w:val="1"/>
      <w:marLeft w:val="0"/>
      <w:marRight w:val="0"/>
      <w:marTop w:val="0"/>
      <w:marBottom w:val="0"/>
      <w:divBdr>
        <w:top w:val="none" w:sz="0" w:space="0" w:color="auto"/>
        <w:left w:val="none" w:sz="0" w:space="0" w:color="auto"/>
        <w:bottom w:val="none" w:sz="0" w:space="0" w:color="auto"/>
        <w:right w:val="none" w:sz="0" w:space="0" w:color="auto"/>
      </w:divBdr>
    </w:div>
    <w:div w:id="628247935">
      <w:bodyDiv w:val="1"/>
      <w:marLeft w:val="0"/>
      <w:marRight w:val="0"/>
      <w:marTop w:val="0"/>
      <w:marBottom w:val="0"/>
      <w:divBdr>
        <w:top w:val="none" w:sz="0" w:space="0" w:color="auto"/>
        <w:left w:val="none" w:sz="0" w:space="0" w:color="auto"/>
        <w:bottom w:val="none" w:sz="0" w:space="0" w:color="auto"/>
        <w:right w:val="none" w:sz="0" w:space="0" w:color="auto"/>
      </w:divBdr>
    </w:div>
    <w:div w:id="671109138">
      <w:bodyDiv w:val="1"/>
      <w:marLeft w:val="0"/>
      <w:marRight w:val="0"/>
      <w:marTop w:val="0"/>
      <w:marBottom w:val="0"/>
      <w:divBdr>
        <w:top w:val="none" w:sz="0" w:space="0" w:color="auto"/>
        <w:left w:val="none" w:sz="0" w:space="0" w:color="auto"/>
        <w:bottom w:val="none" w:sz="0" w:space="0" w:color="auto"/>
        <w:right w:val="none" w:sz="0" w:space="0" w:color="auto"/>
      </w:divBdr>
    </w:div>
    <w:div w:id="680201651">
      <w:bodyDiv w:val="1"/>
      <w:marLeft w:val="0"/>
      <w:marRight w:val="0"/>
      <w:marTop w:val="0"/>
      <w:marBottom w:val="0"/>
      <w:divBdr>
        <w:top w:val="none" w:sz="0" w:space="0" w:color="auto"/>
        <w:left w:val="none" w:sz="0" w:space="0" w:color="auto"/>
        <w:bottom w:val="none" w:sz="0" w:space="0" w:color="auto"/>
        <w:right w:val="none" w:sz="0" w:space="0" w:color="auto"/>
      </w:divBdr>
    </w:div>
    <w:div w:id="694500319">
      <w:bodyDiv w:val="1"/>
      <w:marLeft w:val="0"/>
      <w:marRight w:val="0"/>
      <w:marTop w:val="0"/>
      <w:marBottom w:val="0"/>
      <w:divBdr>
        <w:top w:val="none" w:sz="0" w:space="0" w:color="auto"/>
        <w:left w:val="none" w:sz="0" w:space="0" w:color="auto"/>
        <w:bottom w:val="none" w:sz="0" w:space="0" w:color="auto"/>
        <w:right w:val="none" w:sz="0" w:space="0" w:color="auto"/>
      </w:divBdr>
    </w:div>
    <w:div w:id="753741738">
      <w:bodyDiv w:val="1"/>
      <w:marLeft w:val="0"/>
      <w:marRight w:val="0"/>
      <w:marTop w:val="0"/>
      <w:marBottom w:val="0"/>
      <w:divBdr>
        <w:top w:val="none" w:sz="0" w:space="0" w:color="auto"/>
        <w:left w:val="none" w:sz="0" w:space="0" w:color="auto"/>
        <w:bottom w:val="none" w:sz="0" w:space="0" w:color="auto"/>
        <w:right w:val="none" w:sz="0" w:space="0" w:color="auto"/>
      </w:divBdr>
    </w:div>
    <w:div w:id="770392166">
      <w:bodyDiv w:val="1"/>
      <w:marLeft w:val="0"/>
      <w:marRight w:val="0"/>
      <w:marTop w:val="0"/>
      <w:marBottom w:val="0"/>
      <w:divBdr>
        <w:top w:val="none" w:sz="0" w:space="0" w:color="auto"/>
        <w:left w:val="none" w:sz="0" w:space="0" w:color="auto"/>
        <w:bottom w:val="none" w:sz="0" w:space="0" w:color="auto"/>
        <w:right w:val="none" w:sz="0" w:space="0" w:color="auto"/>
      </w:divBdr>
    </w:div>
    <w:div w:id="782648690">
      <w:bodyDiv w:val="1"/>
      <w:marLeft w:val="0"/>
      <w:marRight w:val="0"/>
      <w:marTop w:val="0"/>
      <w:marBottom w:val="0"/>
      <w:divBdr>
        <w:top w:val="none" w:sz="0" w:space="0" w:color="auto"/>
        <w:left w:val="none" w:sz="0" w:space="0" w:color="auto"/>
        <w:bottom w:val="none" w:sz="0" w:space="0" w:color="auto"/>
        <w:right w:val="none" w:sz="0" w:space="0" w:color="auto"/>
      </w:divBdr>
    </w:div>
    <w:div w:id="807013921">
      <w:bodyDiv w:val="1"/>
      <w:marLeft w:val="0"/>
      <w:marRight w:val="0"/>
      <w:marTop w:val="0"/>
      <w:marBottom w:val="0"/>
      <w:divBdr>
        <w:top w:val="none" w:sz="0" w:space="0" w:color="auto"/>
        <w:left w:val="none" w:sz="0" w:space="0" w:color="auto"/>
        <w:bottom w:val="none" w:sz="0" w:space="0" w:color="auto"/>
        <w:right w:val="none" w:sz="0" w:space="0" w:color="auto"/>
      </w:divBdr>
    </w:div>
    <w:div w:id="826362265">
      <w:bodyDiv w:val="1"/>
      <w:marLeft w:val="0"/>
      <w:marRight w:val="0"/>
      <w:marTop w:val="0"/>
      <w:marBottom w:val="0"/>
      <w:divBdr>
        <w:top w:val="none" w:sz="0" w:space="0" w:color="auto"/>
        <w:left w:val="none" w:sz="0" w:space="0" w:color="auto"/>
        <w:bottom w:val="none" w:sz="0" w:space="0" w:color="auto"/>
        <w:right w:val="none" w:sz="0" w:space="0" w:color="auto"/>
      </w:divBdr>
    </w:div>
    <w:div w:id="828247934">
      <w:bodyDiv w:val="1"/>
      <w:marLeft w:val="0"/>
      <w:marRight w:val="0"/>
      <w:marTop w:val="0"/>
      <w:marBottom w:val="0"/>
      <w:divBdr>
        <w:top w:val="none" w:sz="0" w:space="0" w:color="auto"/>
        <w:left w:val="none" w:sz="0" w:space="0" w:color="auto"/>
        <w:bottom w:val="none" w:sz="0" w:space="0" w:color="auto"/>
        <w:right w:val="none" w:sz="0" w:space="0" w:color="auto"/>
      </w:divBdr>
    </w:div>
    <w:div w:id="830022645">
      <w:bodyDiv w:val="1"/>
      <w:marLeft w:val="0"/>
      <w:marRight w:val="0"/>
      <w:marTop w:val="0"/>
      <w:marBottom w:val="0"/>
      <w:divBdr>
        <w:top w:val="none" w:sz="0" w:space="0" w:color="auto"/>
        <w:left w:val="none" w:sz="0" w:space="0" w:color="auto"/>
        <w:bottom w:val="none" w:sz="0" w:space="0" w:color="auto"/>
        <w:right w:val="none" w:sz="0" w:space="0" w:color="auto"/>
      </w:divBdr>
    </w:div>
    <w:div w:id="855845506">
      <w:bodyDiv w:val="1"/>
      <w:marLeft w:val="0"/>
      <w:marRight w:val="0"/>
      <w:marTop w:val="0"/>
      <w:marBottom w:val="0"/>
      <w:divBdr>
        <w:top w:val="none" w:sz="0" w:space="0" w:color="auto"/>
        <w:left w:val="none" w:sz="0" w:space="0" w:color="auto"/>
        <w:bottom w:val="none" w:sz="0" w:space="0" w:color="auto"/>
        <w:right w:val="none" w:sz="0" w:space="0" w:color="auto"/>
      </w:divBdr>
    </w:div>
    <w:div w:id="861938897">
      <w:bodyDiv w:val="1"/>
      <w:marLeft w:val="0"/>
      <w:marRight w:val="0"/>
      <w:marTop w:val="0"/>
      <w:marBottom w:val="0"/>
      <w:divBdr>
        <w:top w:val="none" w:sz="0" w:space="0" w:color="auto"/>
        <w:left w:val="none" w:sz="0" w:space="0" w:color="auto"/>
        <w:bottom w:val="none" w:sz="0" w:space="0" w:color="auto"/>
        <w:right w:val="none" w:sz="0" w:space="0" w:color="auto"/>
      </w:divBdr>
    </w:div>
    <w:div w:id="875434510">
      <w:bodyDiv w:val="1"/>
      <w:marLeft w:val="0"/>
      <w:marRight w:val="0"/>
      <w:marTop w:val="0"/>
      <w:marBottom w:val="0"/>
      <w:divBdr>
        <w:top w:val="none" w:sz="0" w:space="0" w:color="auto"/>
        <w:left w:val="none" w:sz="0" w:space="0" w:color="auto"/>
        <w:bottom w:val="none" w:sz="0" w:space="0" w:color="auto"/>
        <w:right w:val="none" w:sz="0" w:space="0" w:color="auto"/>
      </w:divBdr>
    </w:div>
    <w:div w:id="895047271">
      <w:bodyDiv w:val="1"/>
      <w:marLeft w:val="0"/>
      <w:marRight w:val="0"/>
      <w:marTop w:val="0"/>
      <w:marBottom w:val="0"/>
      <w:divBdr>
        <w:top w:val="none" w:sz="0" w:space="0" w:color="auto"/>
        <w:left w:val="none" w:sz="0" w:space="0" w:color="auto"/>
        <w:bottom w:val="none" w:sz="0" w:space="0" w:color="auto"/>
        <w:right w:val="none" w:sz="0" w:space="0" w:color="auto"/>
      </w:divBdr>
    </w:div>
    <w:div w:id="901403344">
      <w:bodyDiv w:val="1"/>
      <w:marLeft w:val="0"/>
      <w:marRight w:val="0"/>
      <w:marTop w:val="0"/>
      <w:marBottom w:val="0"/>
      <w:divBdr>
        <w:top w:val="none" w:sz="0" w:space="0" w:color="auto"/>
        <w:left w:val="none" w:sz="0" w:space="0" w:color="auto"/>
        <w:bottom w:val="none" w:sz="0" w:space="0" w:color="auto"/>
        <w:right w:val="none" w:sz="0" w:space="0" w:color="auto"/>
      </w:divBdr>
    </w:div>
    <w:div w:id="908883617">
      <w:bodyDiv w:val="1"/>
      <w:marLeft w:val="0"/>
      <w:marRight w:val="0"/>
      <w:marTop w:val="0"/>
      <w:marBottom w:val="0"/>
      <w:divBdr>
        <w:top w:val="none" w:sz="0" w:space="0" w:color="auto"/>
        <w:left w:val="none" w:sz="0" w:space="0" w:color="auto"/>
        <w:bottom w:val="none" w:sz="0" w:space="0" w:color="auto"/>
        <w:right w:val="none" w:sz="0" w:space="0" w:color="auto"/>
      </w:divBdr>
    </w:div>
    <w:div w:id="927420382">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61498222">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002975199">
      <w:bodyDiv w:val="1"/>
      <w:marLeft w:val="0"/>
      <w:marRight w:val="0"/>
      <w:marTop w:val="0"/>
      <w:marBottom w:val="0"/>
      <w:divBdr>
        <w:top w:val="none" w:sz="0" w:space="0" w:color="auto"/>
        <w:left w:val="none" w:sz="0" w:space="0" w:color="auto"/>
        <w:bottom w:val="none" w:sz="0" w:space="0" w:color="auto"/>
        <w:right w:val="none" w:sz="0" w:space="0" w:color="auto"/>
      </w:divBdr>
    </w:div>
    <w:div w:id="1019236250">
      <w:bodyDiv w:val="1"/>
      <w:marLeft w:val="0"/>
      <w:marRight w:val="0"/>
      <w:marTop w:val="0"/>
      <w:marBottom w:val="0"/>
      <w:divBdr>
        <w:top w:val="none" w:sz="0" w:space="0" w:color="auto"/>
        <w:left w:val="none" w:sz="0" w:space="0" w:color="auto"/>
        <w:bottom w:val="none" w:sz="0" w:space="0" w:color="auto"/>
        <w:right w:val="none" w:sz="0" w:space="0" w:color="auto"/>
      </w:divBdr>
    </w:div>
    <w:div w:id="1043213412">
      <w:bodyDiv w:val="1"/>
      <w:marLeft w:val="0"/>
      <w:marRight w:val="0"/>
      <w:marTop w:val="0"/>
      <w:marBottom w:val="0"/>
      <w:divBdr>
        <w:top w:val="none" w:sz="0" w:space="0" w:color="auto"/>
        <w:left w:val="none" w:sz="0" w:space="0" w:color="auto"/>
        <w:bottom w:val="none" w:sz="0" w:space="0" w:color="auto"/>
        <w:right w:val="none" w:sz="0" w:space="0" w:color="auto"/>
      </w:divBdr>
    </w:div>
    <w:div w:id="1044986564">
      <w:bodyDiv w:val="1"/>
      <w:marLeft w:val="0"/>
      <w:marRight w:val="0"/>
      <w:marTop w:val="0"/>
      <w:marBottom w:val="0"/>
      <w:divBdr>
        <w:top w:val="none" w:sz="0" w:space="0" w:color="auto"/>
        <w:left w:val="none" w:sz="0" w:space="0" w:color="auto"/>
        <w:bottom w:val="none" w:sz="0" w:space="0" w:color="auto"/>
        <w:right w:val="none" w:sz="0" w:space="0" w:color="auto"/>
      </w:divBdr>
    </w:div>
    <w:div w:id="1059749665">
      <w:bodyDiv w:val="1"/>
      <w:marLeft w:val="0"/>
      <w:marRight w:val="0"/>
      <w:marTop w:val="0"/>
      <w:marBottom w:val="0"/>
      <w:divBdr>
        <w:top w:val="none" w:sz="0" w:space="0" w:color="auto"/>
        <w:left w:val="none" w:sz="0" w:space="0" w:color="auto"/>
        <w:bottom w:val="none" w:sz="0" w:space="0" w:color="auto"/>
        <w:right w:val="none" w:sz="0" w:space="0" w:color="auto"/>
      </w:divBdr>
    </w:div>
    <w:div w:id="1066688922">
      <w:bodyDiv w:val="1"/>
      <w:marLeft w:val="0"/>
      <w:marRight w:val="0"/>
      <w:marTop w:val="0"/>
      <w:marBottom w:val="0"/>
      <w:divBdr>
        <w:top w:val="none" w:sz="0" w:space="0" w:color="auto"/>
        <w:left w:val="none" w:sz="0" w:space="0" w:color="auto"/>
        <w:bottom w:val="none" w:sz="0" w:space="0" w:color="auto"/>
        <w:right w:val="none" w:sz="0" w:space="0" w:color="auto"/>
      </w:divBdr>
    </w:div>
    <w:div w:id="1087386517">
      <w:bodyDiv w:val="1"/>
      <w:marLeft w:val="0"/>
      <w:marRight w:val="0"/>
      <w:marTop w:val="0"/>
      <w:marBottom w:val="0"/>
      <w:divBdr>
        <w:top w:val="none" w:sz="0" w:space="0" w:color="auto"/>
        <w:left w:val="none" w:sz="0" w:space="0" w:color="auto"/>
        <w:bottom w:val="none" w:sz="0" w:space="0" w:color="auto"/>
        <w:right w:val="none" w:sz="0" w:space="0" w:color="auto"/>
      </w:divBdr>
    </w:div>
    <w:div w:id="1101996238">
      <w:bodyDiv w:val="1"/>
      <w:marLeft w:val="0"/>
      <w:marRight w:val="0"/>
      <w:marTop w:val="0"/>
      <w:marBottom w:val="0"/>
      <w:divBdr>
        <w:top w:val="none" w:sz="0" w:space="0" w:color="auto"/>
        <w:left w:val="none" w:sz="0" w:space="0" w:color="auto"/>
        <w:bottom w:val="none" w:sz="0" w:space="0" w:color="auto"/>
        <w:right w:val="none" w:sz="0" w:space="0" w:color="auto"/>
      </w:divBdr>
    </w:div>
    <w:div w:id="1103299925">
      <w:bodyDiv w:val="1"/>
      <w:marLeft w:val="0"/>
      <w:marRight w:val="0"/>
      <w:marTop w:val="0"/>
      <w:marBottom w:val="0"/>
      <w:divBdr>
        <w:top w:val="none" w:sz="0" w:space="0" w:color="auto"/>
        <w:left w:val="none" w:sz="0" w:space="0" w:color="auto"/>
        <w:bottom w:val="none" w:sz="0" w:space="0" w:color="auto"/>
        <w:right w:val="none" w:sz="0" w:space="0" w:color="auto"/>
      </w:divBdr>
    </w:div>
    <w:div w:id="1107503843">
      <w:bodyDiv w:val="1"/>
      <w:marLeft w:val="0"/>
      <w:marRight w:val="0"/>
      <w:marTop w:val="0"/>
      <w:marBottom w:val="0"/>
      <w:divBdr>
        <w:top w:val="none" w:sz="0" w:space="0" w:color="auto"/>
        <w:left w:val="none" w:sz="0" w:space="0" w:color="auto"/>
        <w:bottom w:val="none" w:sz="0" w:space="0" w:color="auto"/>
        <w:right w:val="none" w:sz="0" w:space="0" w:color="auto"/>
      </w:divBdr>
    </w:div>
    <w:div w:id="1109348595">
      <w:bodyDiv w:val="1"/>
      <w:marLeft w:val="0"/>
      <w:marRight w:val="0"/>
      <w:marTop w:val="0"/>
      <w:marBottom w:val="0"/>
      <w:divBdr>
        <w:top w:val="none" w:sz="0" w:space="0" w:color="auto"/>
        <w:left w:val="none" w:sz="0" w:space="0" w:color="auto"/>
        <w:bottom w:val="none" w:sz="0" w:space="0" w:color="auto"/>
        <w:right w:val="none" w:sz="0" w:space="0" w:color="auto"/>
      </w:divBdr>
    </w:div>
    <w:div w:id="1121267502">
      <w:bodyDiv w:val="1"/>
      <w:marLeft w:val="0"/>
      <w:marRight w:val="0"/>
      <w:marTop w:val="0"/>
      <w:marBottom w:val="0"/>
      <w:divBdr>
        <w:top w:val="none" w:sz="0" w:space="0" w:color="auto"/>
        <w:left w:val="none" w:sz="0" w:space="0" w:color="auto"/>
        <w:bottom w:val="none" w:sz="0" w:space="0" w:color="auto"/>
        <w:right w:val="none" w:sz="0" w:space="0" w:color="auto"/>
      </w:divBdr>
    </w:div>
    <w:div w:id="1126047956">
      <w:bodyDiv w:val="1"/>
      <w:marLeft w:val="0"/>
      <w:marRight w:val="0"/>
      <w:marTop w:val="0"/>
      <w:marBottom w:val="0"/>
      <w:divBdr>
        <w:top w:val="none" w:sz="0" w:space="0" w:color="auto"/>
        <w:left w:val="none" w:sz="0" w:space="0" w:color="auto"/>
        <w:bottom w:val="none" w:sz="0" w:space="0" w:color="auto"/>
        <w:right w:val="none" w:sz="0" w:space="0" w:color="auto"/>
      </w:divBdr>
    </w:div>
    <w:div w:id="1135292209">
      <w:bodyDiv w:val="1"/>
      <w:marLeft w:val="0"/>
      <w:marRight w:val="0"/>
      <w:marTop w:val="0"/>
      <w:marBottom w:val="0"/>
      <w:divBdr>
        <w:top w:val="none" w:sz="0" w:space="0" w:color="auto"/>
        <w:left w:val="none" w:sz="0" w:space="0" w:color="auto"/>
        <w:bottom w:val="none" w:sz="0" w:space="0" w:color="auto"/>
        <w:right w:val="none" w:sz="0" w:space="0" w:color="auto"/>
      </w:divBdr>
    </w:div>
    <w:div w:id="1159661873">
      <w:bodyDiv w:val="1"/>
      <w:marLeft w:val="0"/>
      <w:marRight w:val="0"/>
      <w:marTop w:val="0"/>
      <w:marBottom w:val="0"/>
      <w:divBdr>
        <w:top w:val="none" w:sz="0" w:space="0" w:color="auto"/>
        <w:left w:val="none" w:sz="0" w:space="0" w:color="auto"/>
        <w:bottom w:val="none" w:sz="0" w:space="0" w:color="auto"/>
        <w:right w:val="none" w:sz="0" w:space="0" w:color="auto"/>
      </w:divBdr>
    </w:div>
    <w:div w:id="1188762404">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35162914">
      <w:bodyDiv w:val="1"/>
      <w:marLeft w:val="0"/>
      <w:marRight w:val="0"/>
      <w:marTop w:val="0"/>
      <w:marBottom w:val="0"/>
      <w:divBdr>
        <w:top w:val="none" w:sz="0" w:space="0" w:color="auto"/>
        <w:left w:val="none" w:sz="0" w:space="0" w:color="auto"/>
        <w:bottom w:val="none" w:sz="0" w:space="0" w:color="auto"/>
        <w:right w:val="none" w:sz="0" w:space="0" w:color="auto"/>
      </w:divBdr>
    </w:div>
    <w:div w:id="1255475393">
      <w:bodyDiv w:val="1"/>
      <w:marLeft w:val="0"/>
      <w:marRight w:val="0"/>
      <w:marTop w:val="0"/>
      <w:marBottom w:val="0"/>
      <w:divBdr>
        <w:top w:val="none" w:sz="0" w:space="0" w:color="auto"/>
        <w:left w:val="none" w:sz="0" w:space="0" w:color="auto"/>
        <w:bottom w:val="none" w:sz="0" w:space="0" w:color="auto"/>
        <w:right w:val="none" w:sz="0" w:space="0" w:color="auto"/>
      </w:divBdr>
    </w:div>
    <w:div w:id="1256013950">
      <w:bodyDiv w:val="1"/>
      <w:marLeft w:val="0"/>
      <w:marRight w:val="0"/>
      <w:marTop w:val="0"/>
      <w:marBottom w:val="0"/>
      <w:divBdr>
        <w:top w:val="none" w:sz="0" w:space="0" w:color="auto"/>
        <w:left w:val="none" w:sz="0" w:space="0" w:color="auto"/>
        <w:bottom w:val="none" w:sz="0" w:space="0" w:color="auto"/>
        <w:right w:val="none" w:sz="0" w:space="0" w:color="auto"/>
      </w:divBdr>
    </w:div>
    <w:div w:id="1275095095">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312097842">
      <w:bodyDiv w:val="1"/>
      <w:marLeft w:val="0"/>
      <w:marRight w:val="0"/>
      <w:marTop w:val="0"/>
      <w:marBottom w:val="0"/>
      <w:divBdr>
        <w:top w:val="none" w:sz="0" w:space="0" w:color="auto"/>
        <w:left w:val="none" w:sz="0" w:space="0" w:color="auto"/>
        <w:bottom w:val="none" w:sz="0" w:space="0" w:color="auto"/>
        <w:right w:val="none" w:sz="0" w:space="0" w:color="auto"/>
      </w:divBdr>
    </w:div>
    <w:div w:id="1321882755">
      <w:bodyDiv w:val="1"/>
      <w:marLeft w:val="0"/>
      <w:marRight w:val="0"/>
      <w:marTop w:val="0"/>
      <w:marBottom w:val="0"/>
      <w:divBdr>
        <w:top w:val="none" w:sz="0" w:space="0" w:color="auto"/>
        <w:left w:val="none" w:sz="0" w:space="0" w:color="auto"/>
        <w:bottom w:val="none" w:sz="0" w:space="0" w:color="auto"/>
        <w:right w:val="none" w:sz="0" w:space="0" w:color="auto"/>
      </w:divBdr>
    </w:div>
    <w:div w:id="1347828770">
      <w:bodyDiv w:val="1"/>
      <w:marLeft w:val="0"/>
      <w:marRight w:val="0"/>
      <w:marTop w:val="0"/>
      <w:marBottom w:val="0"/>
      <w:divBdr>
        <w:top w:val="none" w:sz="0" w:space="0" w:color="auto"/>
        <w:left w:val="none" w:sz="0" w:space="0" w:color="auto"/>
        <w:bottom w:val="none" w:sz="0" w:space="0" w:color="auto"/>
        <w:right w:val="none" w:sz="0" w:space="0" w:color="auto"/>
      </w:divBdr>
    </w:div>
    <w:div w:id="1352337863">
      <w:bodyDiv w:val="1"/>
      <w:marLeft w:val="0"/>
      <w:marRight w:val="0"/>
      <w:marTop w:val="0"/>
      <w:marBottom w:val="0"/>
      <w:divBdr>
        <w:top w:val="none" w:sz="0" w:space="0" w:color="auto"/>
        <w:left w:val="none" w:sz="0" w:space="0" w:color="auto"/>
        <w:bottom w:val="none" w:sz="0" w:space="0" w:color="auto"/>
        <w:right w:val="none" w:sz="0" w:space="0" w:color="auto"/>
      </w:divBdr>
    </w:div>
    <w:div w:id="1353727222">
      <w:bodyDiv w:val="1"/>
      <w:marLeft w:val="0"/>
      <w:marRight w:val="0"/>
      <w:marTop w:val="0"/>
      <w:marBottom w:val="0"/>
      <w:divBdr>
        <w:top w:val="none" w:sz="0" w:space="0" w:color="auto"/>
        <w:left w:val="none" w:sz="0" w:space="0" w:color="auto"/>
        <w:bottom w:val="none" w:sz="0" w:space="0" w:color="auto"/>
        <w:right w:val="none" w:sz="0" w:space="0" w:color="auto"/>
      </w:divBdr>
    </w:div>
    <w:div w:id="1360087941">
      <w:bodyDiv w:val="1"/>
      <w:marLeft w:val="0"/>
      <w:marRight w:val="0"/>
      <w:marTop w:val="0"/>
      <w:marBottom w:val="0"/>
      <w:divBdr>
        <w:top w:val="none" w:sz="0" w:space="0" w:color="auto"/>
        <w:left w:val="none" w:sz="0" w:space="0" w:color="auto"/>
        <w:bottom w:val="none" w:sz="0" w:space="0" w:color="auto"/>
        <w:right w:val="none" w:sz="0" w:space="0" w:color="auto"/>
      </w:divBdr>
    </w:div>
    <w:div w:id="1379015885">
      <w:bodyDiv w:val="1"/>
      <w:marLeft w:val="0"/>
      <w:marRight w:val="0"/>
      <w:marTop w:val="0"/>
      <w:marBottom w:val="0"/>
      <w:divBdr>
        <w:top w:val="none" w:sz="0" w:space="0" w:color="auto"/>
        <w:left w:val="none" w:sz="0" w:space="0" w:color="auto"/>
        <w:bottom w:val="none" w:sz="0" w:space="0" w:color="auto"/>
        <w:right w:val="none" w:sz="0" w:space="0" w:color="auto"/>
      </w:divBdr>
    </w:div>
    <w:div w:id="1389458899">
      <w:bodyDiv w:val="1"/>
      <w:marLeft w:val="0"/>
      <w:marRight w:val="0"/>
      <w:marTop w:val="0"/>
      <w:marBottom w:val="0"/>
      <w:divBdr>
        <w:top w:val="none" w:sz="0" w:space="0" w:color="auto"/>
        <w:left w:val="none" w:sz="0" w:space="0" w:color="auto"/>
        <w:bottom w:val="none" w:sz="0" w:space="0" w:color="auto"/>
        <w:right w:val="none" w:sz="0" w:space="0" w:color="auto"/>
      </w:divBdr>
    </w:div>
    <w:div w:id="1409428070">
      <w:bodyDiv w:val="1"/>
      <w:marLeft w:val="0"/>
      <w:marRight w:val="0"/>
      <w:marTop w:val="0"/>
      <w:marBottom w:val="0"/>
      <w:divBdr>
        <w:top w:val="none" w:sz="0" w:space="0" w:color="auto"/>
        <w:left w:val="none" w:sz="0" w:space="0" w:color="auto"/>
        <w:bottom w:val="none" w:sz="0" w:space="0" w:color="auto"/>
        <w:right w:val="none" w:sz="0" w:space="0" w:color="auto"/>
      </w:divBdr>
    </w:div>
    <w:div w:id="1421217233">
      <w:bodyDiv w:val="1"/>
      <w:marLeft w:val="0"/>
      <w:marRight w:val="0"/>
      <w:marTop w:val="0"/>
      <w:marBottom w:val="0"/>
      <w:divBdr>
        <w:top w:val="none" w:sz="0" w:space="0" w:color="auto"/>
        <w:left w:val="none" w:sz="0" w:space="0" w:color="auto"/>
        <w:bottom w:val="none" w:sz="0" w:space="0" w:color="auto"/>
        <w:right w:val="none" w:sz="0" w:space="0" w:color="auto"/>
      </w:divBdr>
    </w:div>
    <w:div w:id="1446120486">
      <w:bodyDiv w:val="1"/>
      <w:marLeft w:val="0"/>
      <w:marRight w:val="0"/>
      <w:marTop w:val="0"/>
      <w:marBottom w:val="0"/>
      <w:divBdr>
        <w:top w:val="none" w:sz="0" w:space="0" w:color="auto"/>
        <w:left w:val="none" w:sz="0" w:space="0" w:color="auto"/>
        <w:bottom w:val="none" w:sz="0" w:space="0" w:color="auto"/>
        <w:right w:val="none" w:sz="0" w:space="0" w:color="auto"/>
      </w:divBdr>
    </w:div>
    <w:div w:id="1449660732">
      <w:bodyDiv w:val="1"/>
      <w:marLeft w:val="0"/>
      <w:marRight w:val="0"/>
      <w:marTop w:val="0"/>
      <w:marBottom w:val="0"/>
      <w:divBdr>
        <w:top w:val="none" w:sz="0" w:space="0" w:color="auto"/>
        <w:left w:val="none" w:sz="0" w:space="0" w:color="auto"/>
        <w:bottom w:val="none" w:sz="0" w:space="0" w:color="auto"/>
        <w:right w:val="none" w:sz="0" w:space="0" w:color="auto"/>
      </w:divBdr>
    </w:div>
    <w:div w:id="1464303192">
      <w:bodyDiv w:val="1"/>
      <w:marLeft w:val="0"/>
      <w:marRight w:val="0"/>
      <w:marTop w:val="0"/>
      <w:marBottom w:val="0"/>
      <w:divBdr>
        <w:top w:val="none" w:sz="0" w:space="0" w:color="auto"/>
        <w:left w:val="none" w:sz="0" w:space="0" w:color="auto"/>
        <w:bottom w:val="none" w:sz="0" w:space="0" w:color="auto"/>
        <w:right w:val="none" w:sz="0" w:space="0" w:color="auto"/>
      </w:divBdr>
    </w:div>
    <w:div w:id="1487235634">
      <w:bodyDiv w:val="1"/>
      <w:marLeft w:val="0"/>
      <w:marRight w:val="0"/>
      <w:marTop w:val="0"/>
      <w:marBottom w:val="0"/>
      <w:divBdr>
        <w:top w:val="none" w:sz="0" w:space="0" w:color="auto"/>
        <w:left w:val="none" w:sz="0" w:space="0" w:color="auto"/>
        <w:bottom w:val="none" w:sz="0" w:space="0" w:color="auto"/>
        <w:right w:val="none" w:sz="0" w:space="0" w:color="auto"/>
      </w:divBdr>
    </w:div>
    <w:div w:id="1524053696">
      <w:bodyDiv w:val="1"/>
      <w:marLeft w:val="0"/>
      <w:marRight w:val="0"/>
      <w:marTop w:val="0"/>
      <w:marBottom w:val="0"/>
      <w:divBdr>
        <w:top w:val="none" w:sz="0" w:space="0" w:color="auto"/>
        <w:left w:val="none" w:sz="0" w:space="0" w:color="auto"/>
        <w:bottom w:val="none" w:sz="0" w:space="0" w:color="auto"/>
        <w:right w:val="none" w:sz="0" w:space="0" w:color="auto"/>
      </w:divBdr>
    </w:div>
    <w:div w:id="1542521393">
      <w:bodyDiv w:val="1"/>
      <w:marLeft w:val="0"/>
      <w:marRight w:val="0"/>
      <w:marTop w:val="0"/>
      <w:marBottom w:val="0"/>
      <w:divBdr>
        <w:top w:val="none" w:sz="0" w:space="0" w:color="auto"/>
        <w:left w:val="none" w:sz="0" w:space="0" w:color="auto"/>
        <w:bottom w:val="none" w:sz="0" w:space="0" w:color="auto"/>
        <w:right w:val="none" w:sz="0" w:space="0" w:color="auto"/>
      </w:divBdr>
    </w:div>
    <w:div w:id="1572227418">
      <w:bodyDiv w:val="1"/>
      <w:marLeft w:val="0"/>
      <w:marRight w:val="0"/>
      <w:marTop w:val="0"/>
      <w:marBottom w:val="0"/>
      <w:divBdr>
        <w:top w:val="none" w:sz="0" w:space="0" w:color="auto"/>
        <w:left w:val="none" w:sz="0" w:space="0" w:color="auto"/>
        <w:bottom w:val="none" w:sz="0" w:space="0" w:color="auto"/>
        <w:right w:val="none" w:sz="0" w:space="0" w:color="auto"/>
      </w:divBdr>
    </w:div>
    <w:div w:id="1574855515">
      <w:bodyDiv w:val="1"/>
      <w:marLeft w:val="0"/>
      <w:marRight w:val="0"/>
      <w:marTop w:val="0"/>
      <w:marBottom w:val="0"/>
      <w:divBdr>
        <w:top w:val="none" w:sz="0" w:space="0" w:color="auto"/>
        <w:left w:val="none" w:sz="0" w:space="0" w:color="auto"/>
        <w:bottom w:val="none" w:sz="0" w:space="0" w:color="auto"/>
        <w:right w:val="none" w:sz="0" w:space="0" w:color="auto"/>
      </w:divBdr>
    </w:div>
    <w:div w:id="1583104329">
      <w:bodyDiv w:val="1"/>
      <w:marLeft w:val="0"/>
      <w:marRight w:val="0"/>
      <w:marTop w:val="0"/>
      <w:marBottom w:val="0"/>
      <w:divBdr>
        <w:top w:val="none" w:sz="0" w:space="0" w:color="auto"/>
        <w:left w:val="none" w:sz="0" w:space="0" w:color="auto"/>
        <w:bottom w:val="none" w:sz="0" w:space="0" w:color="auto"/>
        <w:right w:val="none" w:sz="0" w:space="0" w:color="auto"/>
      </w:divBdr>
    </w:div>
    <w:div w:id="1589461592">
      <w:bodyDiv w:val="1"/>
      <w:marLeft w:val="0"/>
      <w:marRight w:val="0"/>
      <w:marTop w:val="0"/>
      <w:marBottom w:val="0"/>
      <w:divBdr>
        <w:top w:val="none" w:sz="0" w:space="0" w:color="auto"/>
        <w:left w:val="none" w:sz="0" w:space="0" w:color="auto"/>
        <w:bottom w:val="none" w:sz="0" w:space="0" w:color="auto"/>
        <w:right w:val="none" w:sz="0" w:space="0" w:color="auto"/>
      </w:divBdr>
    </w:div>
    <w:div w:id="1605575692">
      <w:bodyDiv w:val="1"/>
      <w:marLeft w:val="0"/>
      <w:marRight w:val="0"/>
      <w:marTop w:val="0"/>
      <w:marBottom w:val="0"/>
      <w:divBdr>
        <w:top w:val="none" w:sz="0" w:space="0" w:color="auto"/>
        <w:left w:val="none" w:sz="0" w:space="0" w:color="auto"/>
        <w:bottom w:val="none" w:sz="0" w:space="0" w:color="auto"/>
        <w:right w:val="none" w:sz="0" w:space="0" w:color="auto"/>
      </w:divBdr>
    </w:div>
    <w:div w:id="1659965848">
      <w:bodyDiv w:val="1"/>
      <w:marLeft w:val="0"/>
      <w:marRight w:val="0"/>
      <w:marTop w:val="0"/>
      <w:marBottom w:val="0"/>
      <w:divBdr>
        <w:top w:val="none" w:sz="0" w:space="0" w:color="auto"/>
        <w:left w:val="none" w:sz="0" w:space="0" w:color="auto"/>
        <w:bottom w:val="none" w:sz="0" w:space="0" w:color="auto"/>
        <w:right w:val="none" w:sz="0" w:space="0" w:color="auto"/>
      </w:divBdr>
    </w:div>
    <w:div w:id="1714188222">
      <w:bodyDiv w:val="1"/>
      <w:marLeft w:val="0"/>
      <w:marRight w:val="0"/>
      <w:marTop w:val="0"/>
      <w:marBottom w:val="0"/>
      <w:divBdr>
        <w:top w:val="none" w:sz="0" w:space="0" w:color="auto"/>
        <w:left w:val="none" w:sz="0" w:space="0" w:color="auto"/>
        <w:bottom w:val="none" w:sz="0" w:space="0" w:color="auto"/>
        <w:right w:val="none" w:sz="0" w:space="0" w:color="auto"/>
      </w:divBdr>
    </w:div>
    <w:div w:id="1742173442">
      <w:bodyDiv w:val="1"/>
      <w:marLeft w:val="0"/>
      <w:marRight w:val="0"/>
      <w:marTop w:val="0"/>
      <w:marBottom w:val="0"/>
      <w:divBdr>
        <w:top w:val="none" w:sz="0" w:space="0" w:color="auto"/>
        <w:left w:val="none" w:sz="0" w:space="0" w:color="auto"/>
        <w:bottom w:val="none" w:sz="0" w:space="0" w:color="auto"/>
        <w:right w:val="none" w:sz="0" w:space="0" w:color="auto"/>
      </w:divBdr>
    </w:div>
    <w:div w:id="1765571507">
      <w:bodyDiv w:val="1"/>
      <w:marLeft w:val="0"/>
      <w:marRight w:val="0"/>
      <w:marTop w:val="0"/>
      <w:marBottom w:val="0"/>
      <w:divBdr>
        <w:top w:val="none" w:sz="0" w:space="0" w:color="auto"/>
        <w:left w:val="none" w:sz="0" w:space="0" w:color="auto"/>
        <w:bottom w:val="none" w:sz="0" w:space="0" w:color="auto"/>
        <w:right w:val="none" w:sz="0" w:space="0" w:color="auto"/>
      </w:divBdr>
    </w:div>
    <w:div w:id="1771974088">
      <w:bodyDiv w:val="1"/>
      <w:marLeft w:val="0"/>
      <w:marRight w:val="0"/>
      <w:marTop w:val="0"/>
      <w:marBottom w:val="0"/>
      <w:divBdr>
        <w:top w:val="none" w:sz="0" w:space="0" w:color="auto"/>
        <w:left w:val="none" w:sz="0" w:space="0" w:color="auto"/>
        <w:bottom w:val="none" w:sz="0" w:space="0" w:color="auto"/>
        <w:right w:val="none" w:sz="0" w:space="0" w:color="auto"/>
      </w:divBdr>
    </w:div>
    <w:div w:id="1804350958">
      <w:bodyDiv w:val="1"/>
      <w:marLeft w:val="0"/>
      <w:marRight w:val="0"/>
      <w:marTop w:val="0"/>
      <w:marBottom w:val="0"/>
      <w:divBdr>
        <w:top w:val="none" w:sz="0" w:space="0" w:color="auto"/>
        <w:left w:val="none" w:sz="0" w:space="0" w:color="auto"/>
        <w:bottom w:val="none" w:sz="0" w:space="0" w:color="auto"/>
        <w:right w:val="none" w:sz="0" w:space="0" w:color="auto"/>
      </w:divBdr>
    </w:div>
    <w:div w:id="1811970662">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830555303">
      <w:bodyDiv w:val="1"/>
      <w:marLeft w:val="0"/>
      <w:marRight w:val="0"/>
      <w:marTop w:val="0"/>
      <w:marBottom w:val="0"/>
      <w:divBdr>
        <w:top w:val="none" w:sz="0" w:space="0" w:color="auto"/>
        <w:left w:val="none" w:sz="0" w:space="0" w:color="auto"/>
        <w:bottom w:val="none" w:sz="0" w:space="0" w:color="auto"/>
        <w:right w:val="none" w:sz="0" w:space="0" w:color="auto"/>
      </w:divBdr>
    </w:div>
    <w:div w:id="1832675999">
      <w:bodyDiv w:val="1"/>
      <w:marLeft w:val="0"/>
      <w:marRight w:val="0"/>
      <w:marTop w:val="0"/>
      <w:marBottom w:val="0"/>
      <w:divBdr>
        <w:top w:val="none" w:sz="0" w:space="0" w:color="auto"/>
        <w:left w:val="none" w:sz="0" w:space="0" w:color="auto"/>
        <w:bottom w:val="none" w:sz="0" w:space="0" w:color="auto"/>
        <w:right w:val="none" w:sz="0" w:space="0" w:color="auto"/>
      </w:divBdr>
    </w:div>
    <w:div w:id="1833566786">
      <w:bodyDiv w:val="1"/>
      <w:marLeft w:val="0"/>
      <w:marRight w:val="0"/>
      <w:marTop w:val="0"/>
      <w:marBottom w:val="0"/>
      <w:divBdr>
        <w:top w:val="none" w:sz="0" w:space="0" w:color="auto"/>
        <w:left w:val="none" w:sz="0" w:space="0" w:color="auto"/>
        <w:bottom w:val="none" w:sz="0" w:space="0" w:color="auto"/>
        <w:right w:val="none" w:sz="0" w:space="0" w:color="auto"/>
      </w:divBdr>
    </w:div>
    <w:div w:id="1845364015">
      <w:bodyDiv w:val="1"/>
      <w:marLeft w:val="0"/>
      <w:marRight w:val="0"/>
      <w:marTop w:val="0"/>
      <w:marBottom w:val="0"/>
      <w:divBdr>
        <w:top w:val="none" w:sz="0" w:space="0" w:color="auto"/>
        <w:left w:val="none" w:sz="0" w:space="0" w:color="auto"/>
        <w:bottom w:val="none" w:sz="0" w:space="0" w:color="auto"/>
        <w:right w:val="none" w:sz="0" w:space="0" w:color="auto"/>
      </w:divBdr>
    </w:div>
    <w:div w:id="1863128551">
      <w:bodyDiv w:val="1"/>
      <w:marLeft w:val="0"/>
      <w:marRight w:val="0"/>
      <w:marTop w:val="0"/>
      <w:marBottom w:val="0"/>
      <w:divBdr>
        <w:top w:val="none" w:sz="0" w:space="0" w:color="auto"/>
        <w:left w:val="none" w:sz="0" w:space="0" w:color="auto"/>
        <w:bottom w:val="none" w:sz="0" w:space="0" w:color="auto"/>
        <w:right w:val="none" w:sz="0" w:space="0" w:color="auto"/>
      </w:divBdr>
    </w:div>
    <w:div w:id="1867595332">
      <w:bodyDiv w:val="1"/>
      <w:marLeft w:val="0"/>
      <w:marRight w:val="0"/>
      <w:marTop w:val="0"/>
      <w:marBottom w:val="0"/>
      <w:divBdr>
        <w:top w:val="none" w:sz="0" w:space="0" w:color="auto"/>
        <w:left w:val="none" w:sz="0" w:space="0" w:color="auto"/>
        <w:bottom w:val="none" w:sz="0" w:space="0" w:color="auto"/>
        <w:right w:val="none" w:sz="0" w:space="0" w:color="auto"/>
      </w:divBdr>
    </w:div>
    <w:div w:id="1909731680">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1936861351">
      <w:bodyDiv w:val="1"/>
      <w:marLeft w:val="0"/>
      <w:marRight w:val="0"/>
      <w:marTop w:val="0"/>
      <w:marBottom w:val="0"/>
      <w:divBdr>
        <w:top w:val="none" w:sz="0" w:space="0" w:color="auto"/>
        <w:left w:val="none" w:sz="0" w:space="0" w:color="auto"/>
        <w:bottom w:val="none" w:sz="0" w:space="0" w:color="auto"/>
        <w:right w:val="none" w:sz="0" w:space="0" w:color="auto"/>
      </w:divBdr>
    </w:div>
    <w:div w:id="1976450133">
      <w:bodyDiv w:val="1"/>
      <w:marLeft w:val="0"/>
      <w:marRight w:val="0"/>
      <w:marTop w:val="0"/>
      <w:marBottom w:val="0"/>
      <w:divBdr>
        <w:top w:val="none" w:sz="0" w:space="0" w:color="auto"/>
        <w:left w:val="none" w:sz="0" w:space="0" w:color="auto"/>
        <w:bottom w:val="none" w:sz="0" w:space="0" w:color="auto"/>
        <w:right w:val="none" w:sz="0" w:space="0" w:color="auto"/>
      </w:divBdr>
    </w:div>
    <w:div w:id="1981301278">
      <w:bodyDiv w:val="1"/>
      <w:marLeft w:val="0"/>
      <w:marRight w:val="0"/>
      <w:marTop w:val="0"/>
      <w:marBottom w:val="0"/>
      <w:divBdr>
        <w:top w:val="none" w:sz="0" w:space="0" w:color="auto"/>
        <w:left w:val="none" w:sz="0" w:space="0" w:color="auto"/>
        <w:bottom w:val="none" w:sz="0" w:space="0" w:color="auto"/>
        <w:right w:val="none" w:sz="0" w:space="0" w:color="auto"/>
      </w:divBdr>
    </w:div>
    <w:div w:id="1985038788">
      <w:bodyDiv w:val="1"/>
      <w:marLeft w:val="0"/>
      <w:marRight w:val="0"/>
      <w:marTop w:val="0"/>
      <w:marBottom w:val="0"/>
      <w:divBdr>
        <w:top w:val="none" w:sz="0" w:space="0" w:color="auto"/>
        <w:left w:val="none" w:sz="0" w:space="0" w:color="auto"/>
        <w:bottom w:val="none" w:sz="0" w:space="0" w:color="auto"/>
        <w:right w:val="none" w:sz="0" w:space="0" w:color="auto"/>
      </w:divBdr>
    </w:div>
    <w:div w:id="2002469122">
      <w:bodyDiv w:val="1"/>
      <w:marLeft w:val="0"/>
      <w:marRight w:val="0"/>
      <w:marTop w:val="0"/>
      <w:marBottom w:val="0"/>
      <w:divBdr>
        <w:top w:val="none" w:sz="0" w:space="0" w:color="auto"/>
        <w:left w:val="none" w:sz="0" w:space="0" w:color="auto"/>
        <w:bottom w:val="none" w:sz="0" w:space="0" w:color="auto"/>
        <w:right w:val="none" w:sz="0" w:space="0" w:color="auto"/>
      </w:divBdr>
    </w:div>
    <w:div w:id="2006592940">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20354256">
      <w:bodyDiv w:val="1"/>
      <w:marLeft w:val="0"/>
      <w:marRight w:val="0"/>
      <w:marTop w:val="0"/>
      <w:marBottom w:val="0"/>
      <w:divBdr>
        <w:top w:val="none" w:sz="0" w:space="0" w:color="auto"/>
        <w:left w:val="none" w:sz="0" w:space="0" w:color="auto"/>
        <w:bottom w:val="none" w:sz="0" w:space="0" w:color="auto"/>
        <w:right w:val="none" w:sz="0" w:space="0" w:color="auto"/>
      </w:divBdr>
    </w:div>
    <w:div w:id="2032412077">
      <w:bodyDiv w:val="1"/>
      <w:marLeft w:val="0"/>
      <w:marRight w:val="0"/>
      <w:marTop w:val="0"/>
      <w:marBottom w:val="0"/>
      <w:divBdr>
        <w:top w:val="none" w:sz="0" w:space="0" w:color="auto"/>
        <w:left w:val="none" w:sz="0" w:space="0" w:color="auto"/>
        <w:bottom w:val="none" w:sz="0" w:space="0" w:color="auto"/>
        <w:right w:val="none" w:sz="0" w:space="0" w:color="auto"/>
      </w:divBdr>
    </w:div>
    <w:div w:id="2064865299">
      <w:bodyDiv w:val="1"/>
      <w:marLeft w:val="0"/>
      <w:marRight w:val="0"/>
      <w:marTop w:val="0"/>
      <w:marBottom w:val="0"/>
      <w:divBdr>
        <w:top w:val="none" w:sz="0" w:space="0" w:color="auto"/>
        <w:left w:val="none" w:sz="0" w:space="0" w:color="auto"/>
        <w:bottom w:val="none" w:sz="0" w:space="0" w:color="auto"/>
        <w:right w:val="none" w:sz="0" w:space="0" w:color="auto"/>
      </w:divBdr>
    </w:div>
    <w:div w:id="2068264672">
      <w:bodyDiv w:val="1"/>
      <w:marLeft w:val="0"/>
      <w:marRight w:val="0"/>
      <w:marTop w:val="0"/>
      <w:marBottom w:val="0"/>
      <w:divBdr>
        <w:top w:val="none" w:sz="0" w:space="0" w:color="auto"/>
        <w:left w:val="none" w:sz="0" w:space="0" w:color="auto"/>
        <w:bottom w:val="none" w:sz="0" w:space="0" w:color="auto"/>
        <w:right w:val="none" w:sz="0" w:space="0" w:color="auto"/>
      </w:divBdr>
    </w:div>
    <w:div w:id="2071462133">
      <w:bodyDiv w:val="1"/>
      <w:marLeft w:val="0"/>
      <w:marRight w:val="0"/>
      <w:marTop w:val="0"/>
      <w:marBottom w:val="0"/>
      <w:divBdr>
        <w:top w:val="none" w:sz="0" w:space="0" w:color="auto"/>
        <w:left w:val="none" w:sz="0" w:space="0" w:color="auto"/>
        <w:bottom w:val="none" w:sz="0" w:space="0" w:color="auto"/>
        <w:right w:val="none" w:sz="0" w:space="0" w:color="auto"/>
      </w:divBdr>
    </w:div>
    <w:div w:id="2075001994">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 w:id="2109694250">
      <w:bodyDiv w:val="1"/>
      <w:marLeft w:val="0"/>
      <w:marRight w:val="0"/>
      <w:marTop w:val="0"/>
      <w:marBottom w:val="0"/>
      <w:divBdr>
        <w:top w:val="none" w:sz="0" w:space="0" w:color="auto"/>
        <w:left w:val="none" w:sz="0" w:space="0" w:color="auto"/>
        <w:bottom w:val="none" w:sz="0" w:space="0" w:color="auto"/>
        <w:right w:val="none" w:sz="0" w:space="0" w:color="auto"/>
      </w:divBdr>
    </w:div>
    <w:div w:id="2115637688">
      <w:bodyDiv w:val="1"/>
      <w:marLeft w:val="0"/>
      <w:marRight w:val="0"/>
      <w:marTop w:val="0"/>
      <w:marBottom w:val="0"/>
      <w:divBdr>
        <w:top w:val="none" w:sz="0" w:space="0" w:color="auto"/>
        <w:left w:val="none" w:sz="0" w:space="0" w:color="auto"/>
        <w:bottom w:val="none" w:sz="0" w:space="0" w:color="auto"/>
        <w:right w:val="none" w:sz="0" w:space="0" w:color="auto"/>
      </w:divBdr>
    </w:div>
    <w:div w:id="2132434609">
      <w:bodyDiv w:val="1"/>
      <w:marLeft w:val="0"/>
      <w:marRight w:val="0"/>
      <w:marTop w:val="0"/>
      <w:marBottom w:val="0"/>
      <w:divBdr>
        <w:top w:val="none" w:sz="0" w:space="0" w:color="auto"/>
        <w:left w:val="none" w:sz="0" w:space="0" w:color="auto"/>
        <w:bottom w:val="none" w:sz="0" w:space="0" w:color="auto"/>
        <w:right w:val="none" w:sz="0" w:space="0" w:color="auto"/>
      </w:divBdr>
    </w:div>
    <w:div w:id="214658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6.htm" TargetMode="External"/><Relationship Id="rId1" Type="http://schemas.openxmlformats.org/officeDocument/2006/relationships/hyperlink" Target="http://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2016-02-02T20:19:28+00:00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cd29834-41a2-4a3f-b9cc-2458a4abdfb1">
      <UserInfo>
        <DisplayName>Belke, Jim</DisplayName>
        <AccountId>616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FC006FB921C642B116636844B69CCB" ma:contentTypeVersion="22" ma:contentTypeDescription="Create a new document." ma:contentTypeScope="" ma:versionID="99d8e1c82c3f3e85a197fc4d763314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cd29834-41a2-4a3f-b9cc-2458a4abdfb1" targetNamespace="http://schemas.microsoft.com/office/2006/metadata/properties" ma:root="true" ma:fieldsID="20b08dee9afee1b56bea955696990e61" ns1:_="" ns2:_="" ns3:_="" ns4:_="" ns5:_="">
    <xsd:import namespace="http://schemas.microsoft.com/sharepoint/v3"/>
    <xsd:import namespace="4ffa91fb-a0ff-4ac5-b2db-65c790d184a4"/>
    <xsd:import namespace="http://schemas.microsoft.com/sharepoint.v3"/>
    <xsd:import namespace="http://schemas.microsoft.com/sharepoint/v3/fields"/>
    <xsd:import namespace="2cd29834-41a2-4a3f-b9cc-2458a4abdfb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29834-41a2-4a3f-b9cc-2458a4abdfb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B63B4-A5B4-4B37-8391-514953579A5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2cd29834-41a2-4a3f-b9cc-2458a4abdfb1"/>
  </ds:schemaRefs>
</ds:datastoreItem>
</file>

<file path=customXml/itemProps2.xml><?xml version="1.0" encoding="utf-8"?>
<ds:datastoreItem xmlns:ds="http://schemas.openxmlformats.org/officeDocument/2006/customXml" ds:itemID="{21179FD5-1A55-430D-83C9-EC86C15C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cd29834-41a2-4a3f-b9cc-2458a4abd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4.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5.xml><?xml version="1.0" encoding="utf-8"?>
<ds:datastoreItem xmlns:ds="http://schemas.openxmlformats.org/officeDocument/2006/customXml" ds:itemID="{2865CB8B-5C3A-4924-AB8D-69A60D3A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5458</Words>
  <Characters>31111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 Madeline</dc:creator>
  <cp:lastModifiedBy>SYSTEM</cp:lastModifiedBy>
  <cp:revision>2</cp:revision>
  <cp:lastPrinted>2016-02-23T14:19:00Z</cp:lastPrinted>
  <dcterms:created xsi:type="dcterms:W3CDTF">2019-08-29T19:30:00Z</dcterms:created>
  <dcterms:modified xsi:type="dcterms:W3CDTF">2019-08-29T19:30:00Z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0x01010096FC006FB921C642B116636844B69CCB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