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90CB7" w14:textId="77777777" w:rsidR="0003526D" w:rsidRPr="0003526D" w:rsidRDefault="0003526D" w:rsidP="0003526D">
      <w:pPr>
        <w:tabs>
          <w:tab w:val="left" w:pos="1800"/>
        </w:tabs>
        <w:jc w:val="center"/>
        <w:rPr>
          <w:szCs w:val="26"/>
        </w:rPr>
      </w:pPr>
      <w:bookmarkStart w:id="0" w:name="_GoBack"/>
      <w:bookmarkEnd w:id="0"/>
      <w:r w:rsidRPr="0003526D">
        <w:rPr>
          <w:szCs w:val="26"/>
        </w:rPr>
        <w:t>UNITED STATES OF AMERICA</w:t>
      </w:r>
    </w:p>
    <w:p w14:paraId="1F19BC2C" w14:textId="77777777" w:rsidR="0003526D" w:rsidRPr="0003526D" w:rsidRDefault="0003526D" w:rsidP="0003526D">
      <w:pPr>
        <w:tabs>
          <w:tab w:val="left" w:pos="1800"/>
        </w:tabs>
        <w:jc w:val="center"/>
        <w:rPr>
          <w:szCs w:val="26"/>
        </w:rPr>
      </w:pPr>
      <w:r w:rsidRPr="0003526D">
        <w:rPr>
          <w:szCs w:val="26"/>
        </w:rPr>
        <w:t>FEDERAL ENERGY REGULATORY COMMISSION</w:t>
      </w:r>
    </w:p>
    <w:p w14:paraId="3954A8D8" w14:textId="77777777" w:rsidR="0003526D" w:rsidRPr="0003526D" w:rsidRDefault="0003526D" w:rsidP="0003526D">
      <w:pPr>
        <w:tabs>
          <w:tab w:val="left" w:pos="1800"/>
        </w:tabs>
        <w:jc w:val="center"/>
        <w:rPr>
          <w:szCs w:val="26"/>
        </w:rPr>
      </w:pPr>
    </w:p>
    <w:p w14:paraId="7FDE3D88" w14:textId="76A818BB" w:rsidR="0003526D" w:rsidRPr="0003526D" w:rsidRDefault="0003526D" w:rsidP="0003526D">
      <w:pPr>
        <w:tabs>
          <w:tab w:val="left" w:pos="1800"/>
        </w:tabs>
        <w:jc w:val="center"/>
        <w:rPr>
          <w:szCs w:val="26"/>
        </w:rPr>
      </w:pPr>
      <w:r w:rsidRPr="0003526D">
        <w:rPr>
          <w:szCs w:val="26"/>
        </w:rPr>
        <w:t>[Docket No</w:t>
      </w:r>
      <w:r w:rsidR="002E5B07">
        <w:rPr>
          <w:szCs w:val="26"/>
        </w:rPr>
        <w:t>.</w:t>
      </w:r>
      <w:r w:rsidR="004176DA">
        <w:rPr>
          <w:szCs w:val="26"/>
        </w:rPr>
        <w:t xml:space="preserve"> </w:t>
      </w:r>
      <w:r w:rsidRPr="0003526D">
        <w:rPr>
          <w:szCs w:val="26"/>
        </w:rPr>
        <w:t>IC19-</w:t>
      </w:r>
      <w:r w:rsidR="002F37B8">
        <w:rPr>
          <w:szCs w:val="26"/>
        </w:rPr>
        <w:t>45</w:t>
      </w:r>
      <w:r w:rsidRPr="0003526D">
        <w:rPr>
          <w:szCs w:val="26"/>
        </w:rPr>
        <w:t>-00</w:t>
      </w:r>
      <w:r w:rsidR="002F37B8">
        <w:rPr>
          <w:szCs w:val="26"/>
        </w:rPr>
        <w:t>0</w:t>
      </w:r>
      <w:r w:rsidRPr="0003526D">
        <w:rPr>
          <w:szCs w:val="26"/>
        </w:rPr>
        <w:t>]</w:t>
      </w:r>
    </w:p>
    <w:p w14:paraId="0BEB8D29" w14:textId="77777777" w:rsidR="0003526D" w:rsidRPr="0003526D" w:rsidRDefault="0003526D" w:rsidP="0003526D">
      <w:pPr>
        <w:tabs>
          <w:tab w:val="left" w:pos="1800"/>
        </w:tabs>
        <w:jc w:val="center"/>
        <w:rPr>
          <w:szCs w:val="26"/>
        </w:rPr>
      </w:pPr>
    </w:p>
    <w:p w14:paraId="66931005" w14:textId="77777777" w:rsidR="0003526D" w:rsidRPr="0003526D" w:rsidRDefault="0003526D" w:rsidP="0003526D">
      <w:pPr>
        <w:tabs>
          <w:tab w:val="left" w:pos="1800"/>
        </w:tabs>
        <w:jc w:val="center"/>
        <w:rPr>
          <w:szCs w:val="26"/>
        </w:rPr>
      </w:pPr>
      <w:r w:rsidRPr="0003526D">
        <w:rPr>
          <w:szCs w:val="26"/>
        </w:rPr>
        <w:t xml:space="preserve">COMMISSION INFORMATION COLLECTION ACTIVITIES </w:t>
      </w:r>
    </w:p>
    <w:p w14:paraId="32DA7D83" w14:textId="5AA93B8F" w:rsidR="0003526D" w:rsidRPr="0003526D" w:rsidRDefault="0003526D" w:rsidP="0003526D">
      <w:pPr>
        <w:tabs>
          <w:tab w:val="left" w:pos="1800"/>
        </w:tabs>
        <w:jc w:val="center"/>
        <w:rPr>
          <w:szCs w:val="26"/>
        </w:rPr>
      </w:pPr>
      <w:r w:rsidRPr="0003526D">
        <w:rPr>
          <w:szCs w:val="26"/>
        </w:rPr>
        <w:t>(FERC</w:t>
      </w:r>
      <w:r w:rsidR="00A66B8E">
        <w:rPr>
          <w:szCs w:val="26"/>
        </w:rPr>
        <w:t xml:space="preserve"> Form</w:t>
      </w:r>
      <w:r w:rsidR="00927C4F">
        <w:rPr>
          <w:szCs w:val="26"/>
        </w:rPr>
        <w:t xml:space="preserve"> </w:t>
      </w:r>
      <w:r w:rsidR="00684D89">
        <w:rPr>
          <w:szCs w:val="26"/>
        </w:rPr>
        <w:t>5</w:t>
      </w:r>
      <w:r w:rsidR="009B3CE8">
        <w:rPr>
          <w:szCs w:val="26"/>
        </w:rPr>
        <w:t>80</w:t>
      </w:r>
      <w:r w:rsidRPr="00684D89">
        <w:rPr>
          <w:szCs w:val="26"/>
        </w:rPr>
        <w:t>)</w:t>
      </w:r>
      <w:r w:rsidRPr="0003526D">
        <w:rPr>
          <w:szCs w:val="26"/>
        </w:rPr>
        <w:t xml:space="preserve"> </w:t>
      </w:r>
    </w:p>
    <w:p w14:paraId="030DE170" w14:textId="77777777" w:rsidR="0003526D" w:rsidRPr="0003526D" w:rsidRDefault="0003526D" w:rsidP="0003526D">
      <w:pPr>
        <w:tabs>
          <w:tab w:val="left" w:pos="1800"/>
        </w:tabs>
        <w:jc w:val="center"/>
        <w:rPr>
          <w:szCs w:val="26"/>
        </w:rPr>
      </w:pPr>
      <w:r w:rsidRPr="0003526D">
        <w:rPr>
          <w:szCs w:val="26"/>
        </w:rPr>
        <w:t>COMMENT REQUEST; EXTENSION</w:t>
      </w:r>
    </w:p>
    <w:p w14:paraId="468E26CE" w14:textId="77777777" w:rsidR="0003526D" w:rsidRPr="0003526D" w:rsidRDefault="0003526D" w:rsidP="0003526D">
      <w:pPr>
        <w:tabs>
          <w:tab w:val="left" w:pos="1800"/>
        </w:tabs>
        <w:jc w:val="center"/>
        <w:rPr>
          <w:szCs w:val="26"/>
        </w:rPr>
      </w:pPr>
    </w:p>
    <w:p w14:paraId="2AA630A4" w14:textId="067EE73F" w:rsidR="0003526D" w:rsidRDefault="0076226F" w:rsidP="0076226F">
      <w:pPr>
        <w:tabs>
          <w:tab w:val="left" w:pos="1800"/>
        </w:tabs>
        <w:jc w:val="center"/>
        <w:rPr>
          <w:szCs w:val="26"/>
        </w:rPr>
      </w:pPr>
      <w:r w:rsidRPr="0076226F">
        <w:rPr>
          <w:szCs w:val="26"/>
        </w:rPr>
        <w:t>(September 25, 2019)</w:t>
      </w:r>
    </w:p>
    <w:p w14:paraId="4D7A09AB" w14:textId="77777777" w:rsidR="0076226F" w:rsidRPr="0076226F" w:rsidRDefault="0076226F" w:rsidP="0076226F">
      <w:pPr>
        <w:tabs>
          <w:tab w:val="left" w:pos="1800"/>
        </w:tabs>
        <w:rPr>
          <w:szCs w:val="26"/>
        </w:rPr>
      </w:pPr>
    </w:p>
    <w:p w14:paraId="44A4E00A" w14:textId="77777777" w:rsidR="0003526D" w:rsidRPr="0003526D" w:rsidRDefault="0003526D" w:rsidP="0003526D">
      <w:pPr>
        <w:autoSpaceDE w:val="0"/>
        <w:autoSpaceDN w:val="0"/>
        <w:adjustRightInd w:val="0"/>
        <w:spacing w:line="480" w:lineRule="auto"/>
        <w:rPr>
          <w:szCs w:val="26"/>
        </w:rPr>
      </w:pPr>
      <w:r w:rsidRPr="0003526D">
        <w:rPr>
          <w:b/>
          <w:bCs/>
          <w:szCs w:val="26"/>
        </w:rPr>
        <w:t xml:space="preserve">AGENCY:  </w:t>
      </w:r>
      <w:r w:rsidRPr="0003526D">
        <w:rPr>
          <w:szCs w:val="26"/>
        </w:rPr>
        <w:t>Federal Energy Regulatory Commission</w:t>
      </w:r>
    </w:p>
    <w:p w14:paraId="0433BF05" w14:textId="77777777" w:rsidR="0003526D" w:rsidRPr="0003526D" w:rsidRDefault="0003526D" w:rsidP="0003526D">
      <w:pPr>
        <w:autoSpaceDE w:val="0"/>
        <w:autoSpaceDN w:val="0"/>
        <w:adjustRightInd w:val="0"/>
        <w:spacing w:line="480" w:lineRule="auto"/>
        <w:rPr>
          <w:szCs w:val="26"/>
        </w:rPr>
      </w:pPr>
      <w:r w:rsidRPr="0003526D">
        <w:rPr>
          <w:b/>
          <w:bCs/>
          <w:szCs w:val="26"/>
        </w:rPr>
        <w:t>ACTION:</w:t>
      </w:r>
      <w:r w:rsidRPr="0003526D">
        <w:rPr>
          <w:szCs w:val="26"/>
        </w:rPr>
        <w:t xml:space="preserve">  Notice of information collection and request for comments.</w:t>
      </w:r>
    </w:p>
    <w:p w14:paraId="5033DF0F" w14:textId="51A1ABB5" w:rsidR="0003526D" w:rsidRPr="0003526D" w:rsidRDefault="0003526D" w:rsidP="0003526D">
      <w:pPr>
        <w:autoSpaceDE w:val="0"/>
        <w:autoSpaceDN w:val="0"/>
        <w:adjustRightInd w:val="0"/>
        <w:spacing w:line="480" w:lineRule="auto"/>
        <w:rPr>
          <w:szCs w:val="26"/>
        </w:rPr>
      </w:pPr>
      <w:r w:rsidRPr="0003526D">
        <w:rPr>
          <w:b/>
          <w:color w:val="000000"/>
          <w:szCs w:val="26"/>
        </w:rPr>
        <w:t xml:space="preserve">SUMMARY:  </w:t>
      </w:r>
      <w:r w:rsidRPr="0003526D">
        <w:rPr>
          <w:szCs w:val="26"/>
        </w:rPr>
        <w:t xml:space="preserve">In compliance with the requirements of the Paperwork Reduction Act of 1995 (PRA), the Federal Energy Regulatory Commission (Commission or FERC) is soliciting public comment on the currently approved information collection, </w:t>
      </w:r>
      <w:r w:rsidRPr="00927C4F">
        <w:rPr>
          <w:szCs w:val="26"/>
        </w:rPr>
        <w:t>FERC</w:t>
      </w:r>
      <w:r w:rsidR="00927C4F" w:rsidRPr="00927C4F">
        <w:rPr>
          <w:szCs w:val="26"/>
        </w:rPr>
        <w:t xml:space="preserve"> Form </w:t>
      </w:r>
      <w:r w:rsidR="00684D89" w:rsidRPr="00927C4F">
        <w:rPr>
          <w:szCs w:val="26"/>
        </w:rPr>
        <w:t>5</w:t>
      </w:r>
      <w:r w:rsidR="008E675E" w:rsidRPr="00927C4F">
        <w:rPr>
          <w:szCs w:val="26"/>
        </w:rPr>
        <w:t>80</w:t>
      </w:r>
      <w:r w:rsidRPr="00684D89">
        <w:rPr>
          <w:szCs w:val="26"/>
        </w:rPr>
        <w:t xml:space="preserve"> (</w:t>
      </w:r>
      <w:r w:rsidR="008E675E">
        <w:rPr>
          <w:szCs w:val="26"/>
        </w:rPr>
        <w:t>Interrogatory on Fuel and Energy Purchase Practices Pursuant to Section 205 of the Federal Power Act</w:t>
      </w:r>
      <w:r w:rsidRPr="00684D89">
        <w:rPr>
          <w:szCs w:val="26"/>
        </w:rPr>
        <w:t>)</w:t>
      </w:r>
      <w:r w:rsidR="00684D89">
        <w:rPr>
          <w:szCs w:val="26"/>
        </w:rPr>
        <w:t>.</w:t>
      </w:r>
    </w:p>
    <w:p w14:paraId="71011DC9" w14:textId="0385AD48" w:rsidR="0003526D" w:rsidRPr="0003526D" w:rsidRDefault="0003526D" w:rsidP="0003526D">
      <w:pPr>
        <w:spacing w:line="480" w:lineRule="auto"/>
        <w:rPr>
          <w:szCs w:val="26"/>
        </w:rPr>
      </w:pPr>
      <w:r w:rsidRPr="0003526D">
        <w:rPr>
          <w:b/>
          <w:bCs/>
          <w:szCs w:val="26"/>
        </w:rPr>
        <w:t>DATES:</w:t>
      </w:r>
      <w:r w:rsidRPr="0003526D">
        <w:rPr>
          <w:szCs w:val="26"/>
        </w:rPr>
        <w:t xml:space="preserve"> Comments on the collection of information are due [</w:t>
      </w:r>
      <w:r w:rsidRPr="0003526D">
        <w:rPr>
          <w:b/>
          <w:szCs w:val="26"/>
        </w:rPr>
        <w:t>Insert date 60 days after publication in the Federal Register</w:t>
      </w:r>
      <w:r w:rsidRPr="0003526D">
        <w:rPr>
          <w:szCs w:val="26"/>
        </w:rPr>
        <w:t xml:space="preserve">]. </w:t>
      </w:r>
    </w:p>
    <w:p w14:paraId="52E091F8" w14:textId="174970E0" w:rsidR="0003526D" w:rsidRPr="0003526D" w:rsidRDefault="0003526D" w:rsidP="00A27467">
      <w:pPr>
        <w:spacing w:line="480" w:lineRule="auto"/>
        <w:rPr>
          <w:szCs w:val="26"/>
        </w:rPr>
      </w:pPr>
      <w:r w:rsidRPr="0003526D">
        <w:rPr>
          <w:b/>
          <w:bCs/>
          <w:szCs w:val="26"/>
        </w:rPr>
        <w:t>ADDRESSES:</w:t>
      </w:r>
      <w:r w:rsidRPr="0003526D">
        <w:rPr>
          <w:szCs w:val="26"/>
        </w:rPr>
        <w:t xml:space="preserve"> You may submit comments (identified by Docket No. IC19-</w:t>
      </w:r>
      <w:r w:rsidR="002F37B8">
        <w:rPr>
          <w:szCs w:val="26"/>
        </w:rPr>
        <w:t>45</w:t>
      </w:r>
      <w:r w:rsidRPr="0003526D">
        <w:rPr>
          <w:szCs w:val="26"/>
        </w:rPr>
        <w:t>-000) by either of the following methods:</w:t>
      </w:r>
      <w:r w:rsidR="00A27467" w:rsidRPr="0003526D" w:rsidDel="00A27467">
        <w:rPr>
          <w:szCs w:val="26"/>
        </w:rPr>
        <w:t xml:space="preserve"> </w:t>
      </w:r>
    </w:p>
    <w:p w14:paraId="0C4CAAF1" w14:textId="7BC0FA0A" w:rsidR="0003526D" w:rsidRPr="00491745" w:rsidRDefault="0003526D" w:rsidP="00927C4F">
      <w:pPr>
        <w:pStyle w:val="ListParagraph"/>
        <w:numPr>
          <w:ilvl w:val="0"/>
          <w:numId w:val="3"/>
        </w:numPr>
        <w:spacing w:line="480" w:lineRule="auto"/>
        <w:rPr>
          <w:szCs w:val="26"/>
        </w:rPr>
      </w:pPr>
      <w:r w:rsidRPr="00276355">
        <w:rPr>
          <w:szCs w:val="26"/>
        </w:rPr>
        <w:t xml:space="preserve">eFiling at Commission’s Web Site: </w:t>
      </w:r>
      <w:hyperlink r:id="rId13" w:history="1">
        <w:r w:rsidRPr="00276355">
          <w:rPr>
            <w:color w:val="0000FF"/>
            <w:szCs w:val="26"/>
            <w:u w:val="single"/>
          </w:rPr>
          <w:t>http://www.ferc.gov/docs-filing/efiling.asp</w:t>
        </w:r>
      </w:hyperlink>
    </w:p>
    <w:p w14:paraId="74469CD7" w14:textId="3F756FA9" w:rsidR="0003526D" w:rsidRPr="00276355" w:rsidRDefault="0003526D" w:rsidP="00927C4F">
      <w:pPr>
        <w:pStyle w:val="ListParagraph"/>
        <w:numPr>
          <w:ilvl w:val="0"/>
          <w:numId w:val="3"/>
        </w:numPr>
        <w:spacing w:line="480" w:lineRule="auto"/>
        <w:rPr>
          <w:szCs w:val="26"/>
        </w:rPr>
      </w:pPr>
      <w:r w:rsidRPr="00491745">
        <w:rPr>
          <w:szCs w:val="26"/>
        </w:rPr>
        <w:t xml:space="preserve">Mail/Hand Delivery/Courier: Federal </w:t>
      </w:r>
      <w:r w:rsidRPr="00485534">
        <w:rPr>
          <w:szCs w:val="26"/>
        </w:rPr>
        <w:t>Energy Regulatory Commission, Secretary of the Commission, 888 First Street, NE, Washington, DC 20426.</w:t>
      </w:r>
    </w:p>
    <w:p w14:paraId="53FBD446" w14:textId="25D17A14" w:rsidR="0003526D" w:rsidRPr="0003526D" w:rsidRDefault="0003526D" w:rsidP="0003526D">
      <w:pPr>
        <w:spacing w:line="480" w:lineRule="auto"/>
        <w:rPr>
          <w:szCs w:val="26"/>
        </w:rPr>
      </w:pPr>
      <w:bookmarkStart w:id="1" w:name="OLE_LINK1"/>
      <w:r w:rsidRPr="0003526D">
        <w:rPr>
          <w:i/>
          <w:szCs w:val="26"/>
        </w:rPr>
        <w:t xml:space="preserve">Instructions: </w:t>
      </w:r>
      <w:r w:rsidRPr="0003526D">
        <w:rPr>
          <w:szCs w:val="26"/>
        </w:rPr>
        <w:t xml:space="preserve">All submissions must be formatted and filed in accordance with submission guidelines at: </w:t>
      </w:r>
      <w:hyperlink r:id="rId14" w:history="1">
        <w:r w:rsidRPr="0003526D">
          <w:rPr>
            <w:color w:val="0000FF"/>
            <w:szCs w:val="26"/>
            <w:u w:val="single"/>
          </w:rPr>
          <w:t>http://www.ferc.gov/help/submission-guide.asp</w:t>
        </w:r>
      </w:hyperlink>
      <w:r w:rsidRPr="0003526D">
        <w:rPr>
          <w:szCs w:val="26"/>
        </w:rPr>
        <w:t xml:space="preserve">.  For user assistance, </w:t>
      </w:r>
      <w:r w:rsidRPr="0003526D">
        <w:rPr>
          <w:szCs w:val="26"/>
        </w:rPr>
        <w:lastRenderedPageBreak/>
        <w:t>contact FERC Online Support by e-mail at ferconlinesupport@ferc.gov, or by phone at: (866) 208-3676 (toll-free), or (202) 502-8659 for TTY.</w:t>
      </w:r>
    </w:p>
    <w:p w14:paraId="7F0B581E" w14:textId="77777777" w:rsidR="0003526D" w:rsidRPr="0003526D" w:rsidRDefault="0003526D" w:rsidP="0003526D">
      <w:pPr>
        <w:spacing w:line="480" w:lineRule="auto"/>
        <w:rPr>
          <w:szCs w:val="26"/>
        </w:rPr>
      </w:pPr>
      <w:r w:rsidRPr="0003526D">
        <w:rPr>
          <w:i/>
          <w:szCs w:val="26"/>
        </w:rPr>
        <w:t>Docket:</w:t>
      </w:r>
      <w:r w:rsidRPr="0003526D">
        <w:rPr>
          <w:szCs w:val="26"/>
        </w:rPr>
        <w:t xml:space="preserve"> Users interested in receiving automatic notification of activity in this docket or in viewing/downloading comments and issuances in this docket may do so at </w:t>
      </w:r>
      <w:hyperlink r:id="rId15" w:history="1">
        <w:r w:rsidRPr="0003526D">
          <w:rPr>
            <w:color w:val="0000FF"/>
            <w:szCs w:val="26"/>
            <w:u w:val="single"/>
          </w:rPr>
          <w:t>http://www.ferc.gov/docs-filing/docs-filing.asp</w:t>
        </w:r>
      </w:hyperlink>
      <w:r w:rsidRPr="0003526D">
        <w:rPr>
          <w:szCs w:val="26"/>
        </w:rPr>
        <w:t xml:space="preserve">. </w:t>
      </w:r>
    </w:p>
    <w:bookmarkEnd w:id="1"/>
    <w:p w14:paraId="71407D2B" w14:textId="77777777" w:rsidR="0003526D" w:rsidRPr="0003526D" w:rsidRDefault="0003526D" w:rsidP="0003526D">
      <w:pPr>
        <w:spacing w:line="480" w:lineRule="auto"/>
        <w:rPr>
          <w:szCs w:val="26"/>
        </w:rPr>
      </w:pPr>
      <w:r w:rsidRPr="0003526D">
        <w:rPr>
          <w:b/>
          <w:szCs w:val="26"/>
        </w:rPr>
        <w:t>FOR FURTHER INFORMATION CONTACT:</w:t>
      </w:r>
      <w:r w:rsidRPr="0003526D">
        <w:rPr>
          <w:szCs w:val="26"/>
        </w:rPr>
        <w:t xml:space="preserve">  Ellen Brown may be reached by e-mail at </w:t>
      </w:r>
      <w:hyperlink r:id="rId16" w:history="1">
        <w:r w:rsidRPr="0003526D">
          <w:rPr>
            <w:color w:val="0000FF"/>
            <w:szCs w:val="26"/>
            <w:u w:val="single"/>
          </w:rPr>
          <w:t>DataClearance@FERC.gov</w:t>
        </w:r>
      </w:hyperlink>
      <w:r w:rsidRPr="0003526D">
        <w:rPr>
          <w:szCs w:val="26"/>
        </w:rPr>
        <w:t>, telephone at (202) 502-8663, and fax at (202) 273-0873.</w:t>
      </w:r>
    </w:p>
    <w:p w14:paraId="520EC7A4" w14:textId="06ADE6D7" w:rsidR="0003526D" w:rsidRPr="0003526D" w:rsidRDefault="0003526D" w:rsidP="0003526D">
      <w:pPr>
        <w:tabs>
          <w:tab w:val="left" w:pos="7880"/>
        </w:tabs>
        <w:spacing w:line="480" w:lineRule="auto"/>
        <w:rPr>
          <w:szCs w:val="26"/>
        </w:rPr>
      </w:pPr>
      <w:r w:rsidRPr="0003526D">
        <w:rPr>
          <w:b/>
          <w:szCs w:val="26"/>
        </w:rPr>
        <w:t>SUPPLEMENTARY INFORMATION:</w:t>
      </w:r>
      <w:r w:rsidRPr="0003526D">
        <w:rPr>
          <w:szCs w:val="26"/>
        </w:rPr>
        <w:t xml:space="preserve">  </w:t>
      </w:r>
    </w:p>
    <w:p w14:paraId="1C0DC382" w14:textId="625828B9" w:rsidR="0003526D" w:rsidRPr="0003526D" w:rsidRDefault="0003526D" w:rsidP="0003526D">
      <w:pPr>
        <w:widowControl w:val="0"/>
        <w:autoSpaceDE w:val="0"/>
        <w:autoSpaceDN w:val="0"/>
        <w:adjustRightInd w:val="0"/>
        <w:spacing w:line="480" w:lineRule="auto"/>
        <w:rPr>
          <w:szCs w:val="26"/>
        </w:rPr>
      </w:pPr>
      <w:r w:rsidRPr="0003526D">
        <w:rPr>
          <w:i/>
          <w:szCs w:val="26"/>
        </w:rPr>
        <w:t>Title:</w:t>
      </w:r>
      <w:r w:rsidRPr="0003526D">
        <w:rPr>
          <w:szCs w:val="26"/>
        </w:rPr>
        <w:t xml:space="preserve">  FERC</w:t>
      </w:r>
      <w:r w:rsidR="00CD146A">
        <w:rPr>
          <w:szCs w:val="26"/>
        </w:rPr>
        <w:t xml:space="preserve"> Form </w:t>
      </w:r>
      <w:r w:rsidR="00C910C1">
        <w:rPr>
          <w:szCs w:val="26"/>
        </w:rPr>
        <w:t>5</w:t>
      </w:r>
      <w:r w:rsidR="008E675E">
        <w:rPr>
          <w:szCs w:val="26"/>
        </w:rPr>
        <w:t>80</w:t>
      </w:r>
      <w:r w:rsidR="00684D89">
        <w:rPr>
          <w:szCs w:val="26"/>
        </w:rPr>
        <w:t>,</w:t>
      </w:r>
      <w:r w:rsidRPr="00684D89">
        <w:rPr>
          <w:szCs w:val="26"/>
        </w:rPr>
        <w:t xml:space="preserve"> (</w:t>
      </w:r>
      <w:r w:rsidR="008E675E" w:rsidRPr="008E675E">
        <w:rPr>
          <w:szCs w:val="26"/>
        </w:rPr>
        <w:t>Interrogatory on Fuel and Energy Purchase Practices Pursuant to Section 205 of the Federal Power Act</w:t>
      </w:r>
      <w:r w:rsidR="00C910C1">
        <w:rPr>
          <w:szCs w:val="26"/>
        </w:rPr>
        <w:t>)</w:t>
      </w:r>
    </w:p>
    <w:p w14:paraId="57121F67" w14:textId="6C97590C" w:rsidR="0003526D" w:rsidRPr="0003526D" w:rsidRDefault="0003526D" w:rsidP="0003526D">
      <w:pPr>
        <w:widowControl w:val="0"/>
        <w:autoSpaceDE w:val="0"/>
        <w:autoSpaceDN w:val="0"/>
        <w:adjustRightInd w:val="0"/>
        <w:spacing w:line="480" w:lineRule="auto"/>
        <w:rPr>
          <w:szCs w:val="26"/>
        </w:rPr>
      </w:pPr>
      <w:r w:rsidRPr="0003526D">
        <w:rPr>
          <w:i/>
          <w:szCs w:val="26"/>
        </w:rPr>
        <w:t>OMB Control No.:</w:t>
      </w:r>
      <w:r w:rsidRPr="0003526D">
        <w:rPr>
          <w:szCs w:val="26"/>
        </w:rPr>
        <w:t xml:space="preserve"> 1902</w:t>
      </w:r>
      <w:r w:rsidRPr="00684D89">
        <w:rPr>
          <w:szCs w:val="26"/>
        </w:rPr>
        <w:t>-</w:t>
      </w:r>
      <w:r w:rsidR="00684D89">
        <w:rPr>
          <w:szCs w:val="26"/>
        </w:rPr>
        <w:t>0</w:t>
      </w:r>
      <w:r w:rsidR="008E675E">
        <w:rPr>
          <w:szCs w:val="26"/>
        </w:rPr>
        <w:t>137</w:t>
      </w:r>
      <w:r w:rsidRPr="0003526D">
        <w:rPr>
          <w:szCs w:val="26"/>
        </w:rPr>
        <w:t xml:space="preserve">  </w:t>
      </w:r>
    </w:p>
    <w:p w14:paraId="6D4B8FB4" w14:textId="70451825" w:rsidR="0003526D" w:rsidRPr="0003526D" w:rsidRDefault="0003526D" w:rsidP="0003526D">
      <w:pPr>
        <w:widowControl w:val="0"/>
        <w:autoSpaceDE w:val="0"/>
        <w:autoSpaceDN w:val="0"/>
        <w:adjustRightInd w:val="0"/>
        <w:spacing w:line="480" w:lineRule="auto"/>
        <w:rPr>
          <w:szCs w:val="26"/>
        </w:rPr>
      </w:pPr>
      <w:r w:rsidRPr="0003526D">
        <w:rPr>
          <w:i/>
          <w:szCs w:val="26"/>
        </w:rPr>
        <w:t xml:space="preserve">Type of Request: </w:t>
      </w:r>
      <w:r w:rsidRPr="0003526D">
        <w:rPr>
          <w:szCs w:val="26"/>
        </w:rPr>
        <w:t>Three-year extension of the FERC</w:t>
      </w:r>
      <w:r w:rsidR="00A66B8E">
        <w:rPr>
          <w:szCs w:val="26"/>
        </w:rPr>
        <w:t xml:space="preserve"> Form</w:t>
      </w:r>
      <w:r w:rsidR="00CD146A">
        <w:rPr>
          <w:szCs w:val="26"/>
        </w:rPr>
        <w:t xml:space="preserve"> </w:t>
      </w:r>
      <w:r w:rsidR="00684D89">
        <w:rPr>
          <w:szCs w:val="26"/>
        </w:rPr>
        <w:t>5</w:t>
      </w:r>
      <w:r w:rsidR="008E675E">
        <w:rPr>
          <w:szCs w:val="26"/>
        </w:rPr>
        <w:t>80</w:t>
      </w:r>
      <w:r w:rsidRPr="0003526D">
        <w:rPr>
          <w:szCs w:val="26"/>
        </w:rPr>
        <w:t xml:space="preserve"> with no changes to the current reporting requirements.  </w:t>
      </w:r>
    </w:p>
    <w:p w14:paraId="1A0DD037" w14:textId="2399D2AF" w:rsidR="008E675E" w:rsidRPr="008E675E" w:rsidRDefault="0003526D" w:rsidP="008E675E">
      <w:pPr>
        <w:tabs>
          <w:tab w:val="left" w:pos="1800"/>
        </w:tabs>
        <w:autoSpaceDE w:val="0"/>
        <w:autoSpaceDN w:val="0"/>
        <w:adjustRightInd w:val="0"/>
        <w:spacing w:line="480" w:lineRule="auto"/>
        <w:rPr>
          <w:bCs/>
          <w:szCs w:val="26"/>
        </w:rPr>
      </w:pPr>
      <w:r w:rsidRPr="0003526D">
        <w:rPr>
          <w:bCs/>
          <w:i/>
          <w:szCs w:val="26"/>
        </w:rPr>
        <w:t xml:space="preserve">Abstract: </w:t>
      </w:r>
      <w:r w:rsidR="008E675E">
        <w:rPr>
          <w:bCs/>
          <w:i/>
          <w:szCs w:val="26"/>
        </w:rPr>
        <w:t xml:space="preserve"> </w:t>
      </w:r>
      <w:r w:rsidR="008E675E" w:rsidRPr="008E675E">
        <w:rPr>
          <w:bCs/>
          <w:szCs w:val="26"/>
        </w:rPr>
        <w:t>The Commission collects</w:t>
      </w:r>
      <w:r w:rsidR="00A66B8E">
        <w:rPr>
          <w:bCs/>
          <w:szCs w:val="26"/>
        </w:rPr>
        <w:t xml:space="preserve"> FERC</w:t>
      </w:r>
      <w:r w:rsidR="008E675E" w:rsidRPr="008E675E">
        <w:rPr>
          <w:bCs/>
          <w:szCs w:val="26"/>
        </w:rPr>
        <w:t xml:space="preserve"> Form 580 information every other year as required under Section 205(f)(2) of the FPA as amended by Section 208 of</w:t>
      </w:r>
      <w:r w:rsidR="008E675E">
        <w:rPr>
          <w:bCs/>
          <w:szCs w:val="26"/>
        </w:rPr>
        <w:t xml:space="preserve"> </w:t>
      </w:r>
      <w:r w:rsidR="008E675E" w:rsidRPr="008E675E">
        <w:rPr>
          <w:bCs/>
          <w:szCs w:val="26"/>
        </w:rPr>
        <w:t>the Public Utility Regulatory Policies Act of 1978</w:t>
      </w:r>
      <w:r w:rsidR="008E675E">
        <w:rPr>
          <w:bCs/>
          <w:szCs w:val="26"/>
        </w:rPr>
        <w:t xml:space="preserve"> (</w:t>
      </w:r>
      <w:r w:rsidR="008E675E" w:rsidRPr="008E675E">
        <w:rPr>
          <w:bCs/>
          <w:szCs w:val="26"/>
        </w:rPr>
        <w:t>PURPA</w:t>
      </w:r>
      <w:r w:rsidR="008E675E">
        <w:rPr>
          <w:bCs/>
          <w:szCs w:val="26"/>
        </w:rPr>
        <w:t>)</w:t>
      </w:r>
      <w:r w:rsidR="008E675E" w:rsidRPr="008E675E">
        <w:rPr>
          <w:bCs/>
          <w:szCs w:val="26"/>
        </w:rPr>
        <w:t>.</w:t>
      </w:r>
      <w:r w:rsidR="008E675E" w:rsidRPr="008E675E">
        <w:rPr>
          <w:bCs/>
          <w:i/>
          <w:szCs w:val="26"/>
        </w:rPr>
        <w:t xml:space="preserve">  </w:t>
      </w:r>
      <w:r w:rsidR="008E675E" w:rsidRPr="008E675E">
        <w:rPr>
          <w:bCs/>
          <w:szCs w:val="26"/>
        </w:rPr>
        <w:t xml:space="preserve">The Commission uses the information collected through the FERC Form 580 interrogatory to </w:t>
      </w:r>
      <w:bookmarkStart w:id="2" w:name="_Hlk20292649"/>
      <w:r w:rsidR="008E675E" w:rsidRPr="008E675E">
        <w:rPr>
          <w:bCs/>
          <w:szCs w:val="26"/>
        </w:rPr>
        <w:t xml:space="preserve">review utility purchase and cost recovery practices </w:t>
      </w:r>
      <w:bookmarkEnd w:id="2"/>
      <w:r w:rsidR="008E675E" w:rsidRPr="008E675E">
        <w:rPr>
          <w:bCs/>
          <w:szCs w:val="26"/>
        </w:rPr>
        <w:t>through</w:t>
      </w:r>
      <w:r w:rsidR="00A66B8E">
        <w:rPr>
          <w:bCs/>
          <w:szCs w:val="26"/>
        </w:rPr>
        <w:t xml:space="preserve"> automatic adjustment clauses (</w:t>
      </w:r>
      <w:r w:rsidR="008E675E" w:rsidRPr="008E675E">
        <w:rPr>
          <w:bCs/>
          <w:szCs w:val="26"/>
        </w:rPr>
        <w:t>AACs</w:t>
      </w:r>
      <w:r w:rsidR="00A66B8E">
        <w:rPr>
          <w:bCs/>
          <w:szCs w:val="26"/>
        </w:rPr>
        <w:t>)</w:t>
      </w:r>
      <w:r w:rsidR="008E675E" w:rsidRPr="008E675E">
        <w:rPr>
          <w:bCs/>
          <w:szCs w:val="26"/>
        </w:rPr>
        <w:t xml:space="preserve"> in order to ensure </w:t>
      </w:r>
      <w:r w:rsidR="008E675E" w:rsidRPr="008E675E">
        <w:rPr>
          <w:bCs/>
          <w:szCs w:val="26"/>
        </w:rPr>
        <w:lastRenderedPageBreak/>
        <w:t>efficient use of resources</w:t>
      </w:r>
      <w:r w:rsidR="00F22AAB">
        <w:rPr>
          <w:bCs/>
          <w:szCs w:val="26"/>
        </w:rPr>
        <w:t>.</w:t>
      </w:r>
      <w:r w:rsidR="008E675E" w:rsidRPr="008E675E">
        <w:rPr>
          <w:bCs/>
          <w:szCs w:val="26"/>
          <w:vertAlign w:val="superscript"/>
        </w:rPr>
        <w:footnoteReference w:id="1"/>
      </w:r>
      <w:r w:rsidR="008E675E" w:rsidRPr="008E675E">
        <w:rPr>
          <w:bCs/>
          <w:szCs w:val="26"/>
        </w:rPr>
        <w:t xml:space="preserve">  The Commission uses the information to evaluate costs in individual rate filings and to supplement periodic utility audits.  The public also uses the information in this manner.  Without the FERC Form 580 interrogatory, the Commission would not have the requisite information available to conduct the necessary review the FPA mandates. </w:t>
      </w:r>
    </w:p>
    <w:p w14:paraId="20894BCE" w14:textId="5A23913A" w:rsidR="0003526D" w:rsidRPr="00684D89" w:rsidRDefault="00684D89" w:rsidP="00684D89">
      <w:pPr>
        <w:tabs>
          <w:tab w:val="left" w:pos="1800"/>
        </w:tabs>
        <w:autoSpaceDE w:val="0"/>
        <w:autoSpaceDN w:val="0"/>
        <w:adjustRightInd w:val="0"/>
        <w:spacing w:line="480" w:lineRule="auto"/>
        <w:rPr>
          <w:szCs w:val="26"/>
        </w:rPr>
      </w:pPr>
      <w:r w:rsidRPr="00684D89">
        <w:rPr>
          <w:bCs/>
          <w:i/>
          <w:iCs/>
          <w:szCs w:val="26"/>
        </w:rPr>
        <w:t xml:space="preserve">Type of Respondents: </w:t>
      </w:r>
      <w:r w:rsidR="000A68F7" w:rsidRPr="000A68F7">
        <w:rPr>
          <w:color w:val="333333"/>
          <w:szCs w:val="26"/>
          <w:shd w:val="clear" w:color="auto" w:fill="FFFFFF"/>
        </w:rPr>
        <w:t xml:space="preserve">The filing must be submitted by all FERC-jurisdictional utilities owning and/or operating at least one steam-electric generating station of 50 MW or greater </w:t>
      </w:r>
      <w:r w:rsidR="00CD146A" w:rsidRPr="000A68F7">
        <w:rPr>
          <w:color w:val="333333"/>
          <w:szCs w:val="26"/>
          <w:shd w:val="clear" w:color="auto" w:fill="FFFFFF"/>
        </w:rPr>
        <w:t>capacity or</w:t>
      </w:r>
      <w:r w:rsidR="000A68F7" w:rsidRPr="000A68F7">
        <w:rPr>
          <w:color w:val="333333"/>
          <w:szCs w:val="26"/>
          <w:shd w:val="clear" w:color="auto" w:fill="FFFFFF"/>
        </w:rPr>
        <w:t xml:space="preserve"> having a majority ownership interest in a jointly-owned steam-electric generating station of at least 50 MW. </w:t>
      </w:r>
      <w:r w:rsidR="000A68F7">
        <w:rPr>
          <w:color w:val="333333"/>
          <w:szCs w:val="26"/>
          <w:shd w:val="clear" w:color="auto" w:fill="FFFFFF"/>
        </w:rPr>
        <w:t xml:space="preserve"> </w:t>
      </w:r>
      <w:r w:rsidR="000A68F7" w:rsidRPr="000A68F7">
        <w:rPr>
          <w:color w:val="333333"/>
          <w:szCs w:val="26"/>
          <w:shd w:val="clear" w:color="auto" w:fill="FFFFFF"/>
        </w:rPr>
        <w:t>A jurisdictional utility without a cost-based tariff on file with the Commission is not required to file the form.</w:t>
      </w:r>
    </w:p>
    <w:p w14:paraId="4E2DE1CC" w14:textId="5831D4DF" w:rsidR="0003526D" w:rsidRDefault="0003526D" w:rsidP="0003526D">
      <w:pPr>
        <w:widowControl w:val="0"/>
        <w:autoSpaceDE w:val="0"/>
        <w:autoSpaceDN w:val="0"/>
        <w:adjustRightInd w:val="0"/>
        <w:spacing w:line="480" w:lineRule="auto"/>
        <w:rPr>
          <w:szCs w:val="26"/>
        </w:rPr>
      </w:pPr>
      <w:r w:rsidRPr="0003526D">
        <w:rPr>
          <w:i/>
          <w:szCs w:val="26"/>
        </w:rPr>
        <w:t>Estimate of Annual Burden</w:t>
      </w:r>
      <w:r w:rsidRPr="0003526D">
        <w:rPr>
          <w:szCs w:val="26"/>
        </w:rPr>
        <w:t>.</w:t>
      </w:r>
      <w:r w:rsidRPr="0003526D">
        <w:rPr>
          <w:szCs w:val="26"/>
          <w:vertAlign w:val="superscript"/>
        </w:rPr>
        <w:footnoteReference w:id="2"/>
      </w:r>
      <w:r w:rsidRPr="0003526D">
        <w:rPr>
          <w:szCs w:val="26"/>
        </w:rPr>
        <w:t xml:space="preserve"> The Commission estimates the annual</w:t>
      </w:r>
      <w:r w:rsidR="00276355">
        <w:rPr>
          <w:rStyle w:val="FootnoteReference"/>
        </w:rPr>
        <w:footnoteReference w:id="3"/>
      </w:r>
      <w:r w:rsidRPr="0003526D">
        <w:rPr>
          <w:szCs w:val="26"/>
        </w:rPr>
        <w:t xml:space="preserve"> public reporting burden</w:t>
      </w:r>
      <w:r w:rsidR="00485534">
        <w:rPr>
          <w:szCs w:val="26"/>
        </w:rPr>
        <w:t xml:space="preserve"> and cost</w:t>
      </w:r>
      <w:r w:rsidR="007957E7">
        <w:rPr>
          <w:rStyle w:val="FootnoteReference"/>
        </w:rPr>
        <w:footnoteReference w:id="4"/>
      </w:r>
      <w:r w:rsidRPr="0003526D">
        <w:rPr>
          <w:szCs w:val="26"/>
        </w:rPr>
        <w:t xml:space="preserve"> for the information collection as:</w:t>
      </w:r>
    </w:p>
    <w:p w14:paraId="537D2C7F" w14:textId="77777777" w:rsidR="008E675E" w:rsidRPr="008E675E" w:rsidRDefault="008E675E" w:rsidP="008E675E">
      <w:pPr>
        <w:tabs>
          <w:tab w:val="left" w:pos="720"/>
        </w:tabs>
        <w:rPr>
          <w:b/>
          <w:sz w:val="24"/>
        </w:rPr>
      </w:pPr>
    </w:p>
    <w:tbl>
      <w:tblPr>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529"/>
        <w:gridCol w:w="1529"/>
        <w:gridCol w:w="1441"/>
        <w:gridCol w:w="1340"/>
        <w:gridCol w:w="1346"/>
        <w:gridCol w:w="1262"/>
      </w:tblGrid>
      <w:tr w:rsidR="008E675E" w:rsidRPr="008E675E" w14:paraId="7E941319" w14:textId="77777777" w:rsidTr="008E675E">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14:paraId="0420EF96" w14:textId="734D2714" w:rsidR="008E675E" w:rsidRPr="008E675E" w:rsidRDefault="008E675E" w:rsidP="008E675E">
            <w:pPr>
              <w:widowControl w:val="0"/>
              <w:autoSpaceDE w:val="0"/>
              <w:autoSpaceDN w:val="0"/>
              <w:adjustRightInd w:val="0"/>
              <w:spacing w:line="276" w:lineRule="auto"/>
              <w:jc w:val="center"/>
              <w:rPr>
                <w:rFonts w:eastAsia="Calibri"/>
                <w:b/>
                <w:sz w:val="20"/>
                <w:szCs w:val="20"/>
              </w:rPr>
            </w:pPr>
            <w:r w:rsidRPr="008E675E">
              <w:rPr>
                <w:rFonts w:eastAsia="Calibri"/>
                <w:b/>
                <w:sz w:val="20"/>
                <w:szCs w:val="20"/>
              </w:rPr>
              <w:t>FERC Form 580 (</w:t>
            </w:r>
            <w:r w:rsidR="00A27467" w:rsidRPr="00A27467">
              <w:rPr>
                <w:rFonts w:eastAsia="Calibri"/>
                <w:b/>
                <w:sz w:val="20"/>
                <w:szCs w:val="20"/>
              </w:rPr>
              <w:t>Interrogatory on Fuel and Energy Purchase Practices Pursuant to Section 205 of the Federal Power Act</w:t>
            </w:r>
            <w:r w:rsidR="00A27467" w:rsidRPr="00A27467" w:rsidDel="00A27467">
              <w:rPr>
                <w:rFonts w:eastAsia="Calibri"/>
                <w:b/>
                <w:sz w:val="20"/>
                <w:szCs w:val="20"/>
              </w:rPr>
              <w:t xml:space="preserve"> </w:t>
            </w:r>
            <w:r w:rsidRPr="008E675E">
              <w:rPr>
                <w:rFonts w:eastAsia="Calibri"/>
                <w:b/>
                <w:sz w:val="20"/>
                <w:szCs w:val="20"/>
              </w:rPr>
              <w:t>)</w:t>
            </w:r>
          </w:p>
        </w:tc>
      </w:tr>
      <w:tr w:rsidR="008E675E" w:rsidRPr="008E675E" w14:paraId="178FA7BF" w14:textId="77777777" w:rsidTr="008E675E">
        <w:trPr>
          <w:cantSplit/>
        </w:trPr>
        <w:tc>
          <w:tcPr>
            <w:tcW w:w="878" w:type="pct"/>
            <w:tcBorders>
              <w:top w:val="single" w:sz="4" w:space="0" w:color="auto"/>
              <w:left w:val="single" w:sz="4" w:space="0" w:color="auto"/>
              <w:bottom w:val="single" w:sz="4" w:space="0" w:color="auto"/>
              <w:right w:val="single" w:sz="4" w:space="0" w:color="auto"/>
            </w:tcBorders>
            <w:shd w:val="clear" w:color="auto" w:fill="D9D9D9"/>
          </w:tcPr>
          <w:p w14:paraId="11AD9C79" w14:textId="77777777" w:rsidR="008E675E" w:rsidRPr="008E675E" w:rsidRDefault="008E675E" w:rsidP="008E675E">
            <w:pPr>
              <w:widowControl w:val="0"/>
              <w:autoSpaceDE w:val="0"/>
              <w:autoSpaceDN w:val="0"/>
              <w:adjustRightInd w:val="0"/>
              <w:spacing w:line="276" w:lineRule="auto"/>
              <w:jc w:val="center"/>
              <w:rPr>
                <w:rFonts w:eastAsia="Calibri"/>
                <w:b/>
                <w:sz w:val="20"/>
                <w:szCs w:val="20"/>
              </w:rPr>
            </w:pPr>
          </w:p>
        </w:tc>
        <w:tc>
          <w:tcPr>
            <w:tcW w:w="74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C588122" w14:textId="77777777" w:rsidR="008E675E" w:rsidRPr="008E675E" w:rsidRDefault="008E675E" w:rsidP="008E675E">
            <w:pPr>
              <w:widowControl w:val="0"/>
              <w:autoSpaceDE w:val="0"/>
              <w:autoSpaceDN w:val="0"/>
              <w:adjustRightInd w:val="0"/>
              <w:spacing w:line="276" w:lineRule="auto"/>
              <w:jc w:val="center"/>
              <w:rPr>
                <w:rFonts w:eastAsia="Calibri"/>
                <w:b/>
                <w:sz w:val="20"/>
                <w:szCs w:val="20"/>
              </w:rPr>
            </w:pPr>
            <w:r w:rsidRPr="008E675E">
              <w:rPr>
                <w:rFonts w:eastAsia="Calibri"/>
                <w:b/>
                <w:sz w:val="20"/>
                <w:szCs w:val="20"/>
              </w:rPr>
              <w:t>Number of Respondents</w:t>
            </w:r>
            <w:r w:rsidRPr="008E675E">
              <w:rPr>
                <w:rFonts w:eastAsia="Calibri"/>
                <w:b/>
                <w:sz w:val="20"/>
                <w:szCs w:val="20"/>
              </w:rPr>
              <w:br/>
              <w:t>(1)</w:t>
            </w:r>
          </w:p>
        </w:tc>
        <w:tc>
          <w:tcPr>
            <w:tcW w:w="74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A5ED183" w14:textId="77777777" w:rsidR="008E675E" w:rsidRPr="008E675E" w:rsidRDefault="008E675E" w:rsidP="008E675E">
            <w:pPr>
              <w:widowControl w:val="0"/>
              <w:autoSpaceDE w:val="0"/>
              <w:autoSpaceDN w:val="0"/>
              <w:adjustRightInd w:val="0"/>
              <w:spacing w:line="276" w:lineRule="auto"/>
              <w:jc w:val="center"/>
              <w:rPr>
                <w:rFonts w:eastAsia="Calibri"/>
                <w:b/>
                <w:sz w:val="20"/>
                <w:szCs w:val="20"/>
              </w:rPr>
            </w:pPr>
            <w:r w:rsidRPr="008E675E">
              <w:rPr>
                <w:rFonts w:eastAsia="Calibri"/>
                <w:b/>
                <w:sz w:val="20"/>
                <w:szCs w:val="20"/>
              </w:rPr>
              <w:t>Annual Number of Responses per Respondent</w:t>
            </w:r>
          </w:p>
          <w:p w14:paraId="22987877" w14:textId="77777777" w:rsidR="008E675E" w:rsidRPr="008E675E" w:rsidRDefault="008E675E" w:rsidP="008E675E">
            <w:pPr>
              <w:widowControl w:val="0"/>
              <w:autoSpaceDE w:val="0"/>
              <w:autoSpaceDN w:val="0"/>
              <w:adjustRightInd w:val="0"/>
              <w:spacing w:line="276" w:lineRule="auto"/>
              <w:jc w:val="center"/>
              <w:rPr>
                <w:rFonts w:eastAsia="Calibri"/>
                <w:b/>
                <w:sz w:val="20"/>
                <w:szCs w:val="20"/>
              </w:rPr>
            </w:pPr>
            <w:r w:rsidRPr="008E675E">
              <w:rPr>
                <w:rFonts w:eastAsia="Calibri"/>
                <w:b/>
                <w:sz w:val="20"/>
                <w:szCs w:val="20"/>
              </w:rPr>
              <w:t>(2)</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E523A08" w14:textId="77777777" w:rsidR="008E675E" w:rsidRPr="008E675E" w:rsidRDefault="008E675E" w:rsidP="008E675E">
            <w:pPr>
              <w:widowControl w:val="0"/>
              <w:autoSpaceDE w:val="0"/>
              <w:autoSpaceDN w:val="0"/>
              <w:adjustRightInd w:val="0"/>
              <w:spacing w:line="276" w:lineRule="auto"/>
              <w:jc w:val="center"/>
              <w:rPr>
                <w:rFonts w:eastAsia="Calibri"/>
                <w:b/>
                <w:sz w:val="20"/>
                <w:szCs w:val="20"/>
              </w:rPr>
            </w:pPr>
            <w:r w:rsidRPr="008E675E">
              <w:rPr>
                <w:rFonts w:eastAsia="Calibri"/>
                <w:b/>
                <w:sz w:val="20"/>
                <w:szCs w:val="20"/>
              </w:rPr>
              <w:t>Total Number of Responses (1)*(2)=(3)</w:t>
            </w:r>
          </w:p>
        </w:tc>
        <w:tc>
          <w:tcPr>
            <w:tcW w:w="65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DD595A1" w14:textId="77777777" w:rsidR="00927C4F" w:rsidRDefault="008E675E" w:rsidP="008E675E">
            <w:pPr>
              <w:widowControl w:val="0"/>
              <w:autoSpaceDE w:val="0"/>
              <w:autoSpaceDN w:val="0"/>
              <w:adjustRightInd w:val="0"/>
              <w:spacing w:line="276" w:lineRule="auto"/>
              <w:jc w:val="center"/>
              <w:rPr>
                <w:rFonts w:eastAsia="Calibri"/>
                <w:b/>
                <w:sz w:val="20"/>
                <w:szCs w:val="20"/>
              </w:rPr>
            </w:pPr>
            <w:r w:rsidRPr="008E675E">
              <w:rPr>
                <w:rFonts w:eastAsia="Calibri"/>
                <w:b/>
                <w:sz w:val="20"/>
                <w:szCs w:val="20"/>
              </w:rPr>
              <w:t xml:space="preserve">Average Burden &amp; Cost Per Response </w:t>
            </w:r>
          </w:p>
          <w:p w14:paraId="438925B7" w14:textId="02D2D8D8" w:rsidR="008E675E" w:rsidRPr="008E675E" w:rsidRDefault="008E675E" w:rsidP="008E675E">
            <w:pPr>
              <w:widowControl w:val="0"/>
              <w:autoSpaceDE w:val="0"/>
              <w:autoSpaceDN w:val="0"/>
              <w:adjustRightInd w:val="0"/>
              <w:spacing w:line="276" w:lineRule="auto"/>
              <w:jc w:val="center"/>
              <w:rPr>
                <w:rFonts w:eastAsia="Calibri"/>
                <w:b/>
                <w:sz w:val="20"/>
                <w:szCs w:val="20"/>
              </w:rPr>
            </w:pPr>
            <w:r w:rsidRPr="008E675E">
              <w:rPr>
                <w:rFonts w:eastAsia="Calibri"/>
                <w:b/>
                <w:sz w:val="20"/>
                <w:szCs w:val="20"/>
              </w:rPr>
              <w:t>(4)</w:t>
            </w:r>
          </w:p>
        </w:tc>
        <w:tc>
          <w:tcPr>
            <w:tcW w:w="65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F78AB07" w14:textId="77777777" w:rsidR="008E675E" w:rsidRPr="008E675E" w:rsidRDefault="008E675E" w:rsidP="008E675E">
            <w:pPr>
              <w:widowControl w:val="0"/>
              <w:autoSpaceDE w:val="0"/>
              <w:autoSpaceDN w:val="0"/>
              <w:adjustRightInd w:val="0"/>
              <w:spacing w:line="276" w:lineRule="auto"/>
              <w:jc w:val="center"/>
              <w:rPr>
                <w:rFonts w:eastAsia="Calibri"/>
                <w:b/>
                <w:sz w:val="20"/>
                <w:szCs w:val="20"/>
              </w:rPr>
            </w:pPr>
            <w:r w:rsidRPr="008E675E">
              <w:rPr>
                <w:rFonts w:eastAsia="Calibri"/>
                <w:b/>
                <w:sz w:val="20"/>
                <w:szCs w:val="20"/>
              </w:rPr>
              <w:t>Total Annual Burden Hours &amp; Total Annual Cost</w:t>
            </w:r>
          </w:p>
          <w:p w14:paraId="53462BAB" w14:textId="77777777" w:rsidR="008E675E" w:rsidRPr="008E675E" w:rsidRDefault="008E675E" w:rsidP="008E675E">
            <w:pPr>
              <w:widowControl w:val="0"/>
              <w:autoSpaceDE w:val="0"/>
              <w:autoSpaceDN w:val="0"/>
              <w:adjustRightInd w:val="0"/>
              <w:spacing w:line="276" w:lineRule="auto"/>
              <w:jc w:val="center"/>
              <w:rPr>
                <w:rFonts w:eastAsia="Calibri"/>
                <w:b/>
                <w:sz w:val="20"/>
                <w:szCs w:val="20"/>
              </w:rPr>
            </w:pPr>
            <w:r w:rsidRPr="008E675E">
              <w:rPr>
                <w:rFonts w:eastAsia="Calibri"/>
                <w:b/>
                <w:sz w:val="20"/>
                <w:szCs w:val="20"/>
              </w:rPr>
              <w:t>(3)*(4)=(5)</w:t>
            </w:r>
          </w:p>
        </w:tc>
        <w:tc>
          <w:tcPr>
            <w:tcW w:w="61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6063056" w14:textId="77777777" w:rsidR="008E675E" w:rsidRPr="008E675E" w:rsidRDefault="008E675E" w:rsidP="008E675E">
            <w:pPr>
              <w:widowControl w:val="0"/>
              <w:autoSpaceDE w:val="0"/>
              <w:autoSpaceDN w:val="0"/>
              <w:adjustRightInd w:val="0"/>
              <w:spacing w:line="276" w:lineRule="auto"/>
              <w:jc w:val="center"/>
              <w:rPr>
                <w:rFonts w:eastAsia="Calibri"/>
                <w:b/>
                <w:sz w:val="20"/>
                <w:szCs w:val="20"/>
              </w:rPr>
            </w:pPr>
            <w:r w:rsidRPr="008E675E">
              <w:rPr>
                <w:rFonts w:eastAsia="Calibri"/>
                <w:b/>
                <w:sz w:val="20"/>
                <w:szCs w:val="20"/>
              </w:rPr>
              <w:t>Annual Cost per Respondent</w:t>
            </w:r>
          </w:p>
          <w:p w14:paraId="76793EB0" w14:textId="77777777" w:rsidR="008E675E" w:rsidRPr="008E675E" w:rsidRDefault="008E675E" w:rsidP="008E675E">
            <w:pPr>
              <w:widowControl w:val="0"/>
              <w:autoSpaceDE w:val="0"/>
              <w:autoSpaceDN w:val="0"/>
              <w:adjustRightInd w:val="0"/>
              <w:spacing w:line="276" w:lineRule="auto"/>
              <w:jc w:val="center"/>
              <w:rPr>
                <w:rFonts w:eastAsia="Calibri"/>
                <w:b/>
                <w:sz w:val="20"/>
                <w:szCs w:val="20"/>
              </w:rPr>
            </w:pPr>
            <w:r w:rsidRPr="008E675E">
              <w:rPr>
                <w:rFonts w:eastAsia="Calibri"/>
                <w:b/>
                <w:sz w:val="20"/>
                <w:szCs w:val="20"/>
              </w:rPr>
              <w:t xml:space="preserve"> ($)</w:t>
            </w:r>
          </w:p>
          <w:p w14:paraId="2466D1E9" w14:textId="77777777" w:rsidR="008E675E" w:rsidRPr="008E675E" w:rsidRDefault="008E675E" w:rsidP="008E675E">
            <w:pPr>
              <w:widowControl w:val="0"/>
              <w:autoSpaceDE w:val="0"/>
              <w:autoSpaceDN w:val="0"/>
              <w:adjustRightInd w:val="0"/>
              <w:spacing w:line="276" w:lineRule="auto"/>
              <w:jc w:val="center"/>
              <w:rPr>
                <w:rFonts w:eastAsia="Calibri"/>
                <w:b/>
                <w:sz w:val="20"/>
                <w:szCs w:val="20"/>
              </w:rPr>
            </w:pPr>
            <w:r w:rsidRPr="008E675E">
              <w:rPr>
                <w:rFonts w:eastAsia="Calibri"/>
                <w:b/>
                <w:sz w:val="20"/>
                <w:szCs w:val="20"/>
              </w:rPr>
              <w:t>(5)÷(1)</w:t>
            </w:r>
          </w:p>
        </w:tc>
      </w:tr>
      <w:tr w:rsidR="008E675E" w:rsidRPr="008E675E" w14:paraId="2A94ED25" w14:textId="77777777" w:rsidTr="008E675E">
        <w:trPr>
          <w:cantSplit/>
        </w:trPr>
        <w:tc>
          <w:tcPr>
            <w:tcW w:w="878" w:type="pct"/>
            <w:tcBorders>
              <w:top w:val="single" w:sz="4" w:space="0" w:color="auto"/>
              <w:left w:val="single" w:sz="4" w:space="0" w:color="auto"/>
              <w:bottom w:val="single" w:sz="4" w:space="0" w:color="auto"/>
              <w:right w:val="single" w:sz="4" w:space="0" w:color="auto"/>
            </w:tcBorders>
            <w:hideMark/>
          </w:tcPr>
          <w:p w14:paraId="7D230487" w14:textId="6024B958" w:rsidR="008E675E" w:rsidRPr="008E675E" w:rsidRDefault="008E675E" w:rsidP="008E675E">
            <w:pPr>
              <w:widowControl w:val="0"/>
              <w:autoSpaceDE w:val="0"/>
              <w:autoSpaceDN w:val="0"/>
              <w:adjustRightInd w:val="0"/>
              <w:spacing w:line="276" w:lineRule="auto"/>
              <w:rPr>
                <w:rFonts w:eastAsia="Calibri"/>
                <w:sz w:val="20"/>
                <w:szCs w:val="20"/>
              </w:rPr>
            </w:pPr>
            <w:r w:rsidRPr="008E675E">
              <w:rPr>
                <w:rFonts w:eastAsia="Calibri"/>
                <w:sz w:val="20"/>
                <w:szCs w:val="20"/>
              </w:rPr>
              <w:t>Respondents with FAC</w:t>
            </w:r>
            <w:r w:rsidR="00A66B8E">
              <w:rPr>
                <w:rStyle w:val="FootnoteReference"/>
                <w:rFonts w:eastAsia="Calibri"/>
              </w:rPr>
              <w:footnoteReference w:id="5"/>
            </w:r>
            <w:r w:rsidRPr="008E675E">
              <w:rPr>
                <w:rFonts w:eastAsia="Calibri"/>
                <w:sz w:val="20"/>
                <w:szCs w:val="20"/>
              </w:rPr>
              <w:t>s</w:t>
            </w:r>
          </w:p>
        </w:tc>
        <w:tc>
          <w:tcPr>
            <w:tcW w:w="746" w:type="pct"/>
            <w:tcBorders>
              <w:top w:val="single" w:sz="4" w:space="0" w:color="auto"/>
              <w:left w:val="single" w:sz="4" w:space="0" w:color="auto"/>
              <w:bottom w:val="single" w:sz="4" w:space="0" w:color="auto"/>
              <w:right w:val="single" w:sz="4" w:space="0" w:color="auto"/>
            </w:tcBorders>
          </w:tcPr>
          <w:p w14:paraId="4371AD72" w14:textId="613D39DB" w:rsidR="008E675E" w:rsidRPr="008E675E" w:rsidRDefault="00A306A9" w:rsidP="008E675E">
            <w:pPr>
              <w:widowControl w:val="0"/>
              <w:autoSpaceDE w:val="0"/>
              <w:autoSpaceDN w:val="0"/>
              <w:adjustRightInd w:val="0"/>
              <w:spacing w:line="276" w:lineRule="auto"/>
              <w:jc w:val="right"/>
              <w:rPr>
                <w:rFonts w:eastAsia="Calibri"/>
                <w:sz w:val="20"/>
                <w:szCs w:val="20"/>
              </w:rPr>
            </w:pPr>
            <w:r>
              <w:rPr>
                <w:rFonts w:eastAsia="Calibri"/>
                <w:sz w:val="20"/>
                <w:szCs w:val="20"/>
              </w:rPr>
              <w:t>29</w:t>
            </w:r>
          </w:p>
          <w:p w14:paraId="7B17D8BC" w14:textId="77777777" w:rsidR="008E675E" w:rsidRPr="008E675E" w:rsidRDefault="008E675E" w:rsidP="008E675E">
            <w:pPr>
              <w:widowControl w:val="0"/>
              <w:autoSpaceDE w:val="0"/>
              <w:autoSpaceDN w:val="0"/>
              <w:adjustRightInd w:val="0"/>
              <w:spacing w:line="276" w:lineRule="auto"/>
              <w:jc w:val="right"/>
              <w:rPr>
                <w:rFonts w:eastAsia="Calibri"/>
                <w:sz w:val="20"/>
                <w:szCs w:val="20"/>
              </w:rPr>
            </w:pPr>
          </w:p>
        </w:tc>
        <w:tc>
          <w:tcPr>
            <w:tcW w:w="746" w:type="pct"/>
            <w:tcBorders>
              <w:top w:val="single" w:sz="4" w:space="0" w:color="auto"/>
              <w:left w:val="single" w:sz="4" w:space="0" w:color="auto"/>
              <w:bottom w:val="single" w:sz="4" w:space="0" w:color="auto"/>
              <w:right w:val="single" w:sz="4" w:space="0" w:color="auto"/>
            </w:tcBorders>
            <w:hideMark/>
          </w:tcPr>
          <w:p w14:paraId="5CE29AD5" w14:textId="77777777" w:rsidR="008E675E" w:rsidRPr="008E675E" w:rsidRDefault="008E675E" w:rsidP="008E675E">
            <w:pPr>
              <w:widowControl w:val="0"/>
              <w:autoSpaceDE w:val="0"/>
              <w:autoSpaceDN w:val="0"/>
              <w:adjustRightInd w:val="0"/>
              <w:spacing w:line="276" w:lineRule="auto"/>
              <w:jc w:val="right"/>
              <w:rPr>
                <w:rFonts w:eastAsia="Calibri"/>
                <w:sz w:val="20"/>
                <w:szCs w:val="20"/>
              </w:rPr>
            </w:pPr>
            <w:r w:rsidRPr="008E675E">
              <w:rPr>
                <w:rFonts w:eastAsia="Calibri"/>
                <w:sz w:val="20"/>
                <w:szCs w:val="20"/>
              </w:rPr>
              <w:t>0.5</w:t>
            </w:r>
          </w:p>
        </w:tc>
        <w:tc>
          <w:tcPr>
            <w:tcW w:w="703" w:type="pct"/>
            <w:tcBorders>
              <w:top w:val="single" w:sz="4" w:space="0" w:color="auto"/>
              <w:left w:val="single" w:sz="4" w:space="0" w:color="auto"/>
              <w:bottom w:val="single" w:sz="4" w:space="0" w:color="auto"/>
              <w:right w:val="single" w:sz="4" w:space="0" w:color="auto"/>
            </w:tcBorders>
            <w:hideMark/>
          </w:tcPr>
          <w:p w14:paraId="7C5AC500" w14:textId="04E182A5" w:rsidR="008E675E" w:rsidRPr="008E675E" w:rsidRDefault="008E675E" w:rsidP="00A306A9">
            <w:pPr>
              <w:widowControl w:val="0"/>
              <w:autoSpaceDE w:val="0"/>
              <w:autoSpaceDN w:val="0"/>
              <w:adjustRightInd w:val="0"/>
              <w:spacing w:line="276" w:lineRule="auto"/>
              <w:jc w:val="right"/>
              <w:rPr>
                <w:rFonts w:eastAsia="Calibri"/>
                <w:sz w:val="20"/>
                <w:szCs w:val="20"/>
              </w:rPr>
            </w:pPr>
            <w:r w:rsidRPr="008E675E">
              <w:rPr>
                <w:rFonts w:eastAsia="Calibri"/>
                <w:sz w:val="20"/>
                <w:szCs w:val="20"/>
              </w:rPr>
              <w:t>1</w:t>
            </w:r>
            <w:r w:rsidR="00A306A9">
              <w:rPr>
                <w:rFonts w:eastAsia="Calibri"/>
                <w:sz w:val="20"/>
                <w:szCs w:val="20"/>
              </w:rPr>
              <w:t>4</w:t>
            </w:r>
            <w:r w:rsidRPr="008E675E">
              <w:rPr>
                <w:rFonts w:eastAsia="Calibri"/>
                <w:sz w:val="20"/>
                <w:szCs w:val="20"/>
              </w:rPr>
              <w:t>.5</w:t>
            </w:r>
          </w:p>
        </w:tc>
        <w:tc>
          <w:tcPr>
            <w:tcW w:w="654" w:type="pct"/>
            <w:tcBorders>
              <w:top w:val="single" w:sz="4" w:space="0" w:color="auto"/>
              <w:left w:val="single" w:sz="4" w:space="0" w:color="auto"/>
              <w:bottom w:val="single" w:sz="4" w:space="0" w:color="auto"/>
              <w:right w:val="single" w:sz="4" w:space="0" w:color="auto"/>
            </w:tcBorders>
            <w:hideMark/>
          </w:tcPr>
          <w:p w14:paraId="41449938" w14:textId="77777777" w:rsidR="008E675E" w:rsidRPr="008E675E" w:rsidRDefault="008E675E" w:rsidP="008E675E">
            <w:pPr>
              <w:widowControl w:val="0"/>
              <w:autoSpaceDE w:val="0"/>
              <w:autoSpaceDN w:val="0"/>
              <w:adjustRightInd w:val="0"/>
              <w:spacing w:line="276" w:lineRule="auto"/>
              <w:jc w:val="right"/>
              <w:rPr>
                <w:rFonts w:eastAsia="Calibri"/>
                <w:sz w:val="20"/>
                <w:szCs w:val="20"/>
              </w:rPr>
            </w:pPr>
            <w:r w:rsidRPr="008E675E">
              <w:rPr>
                <w:rFonts w:eastAsia="Calibri"/>
                <w:sz w:val="20"/>
                <w:szCs w:val="20"/>
              </w:rPr>
              <w:t>103 hrs.;</w:t>
            </w:r>
          </w:p>
          <w:p w14:paraId="7FB6DBDF" w14:textId="7A59BB42" w:rsidR="008E675E" w:rsidRPr="008E675E" w:rsidRDefault="008E675E" w:rsidP="008E675E">
            <w:pPr>
              <w:widowControl w:val="0"/>
              <w:autoSpaceDE w:val="0"/>
              <w:autoSpaceDN w:val="0"/>
              <w:adjustRightInd w:val="0"/>
              <w:spacing w:line="276" w:lineRule="auto"/>
              <w:jc w:val="right"/>
              <w:rPr>
                <w:rFonts w:eastAsia="Calibri"/>
                <w:sz w:val="20"/>
                <w:szCs w:val="20"/>
              </w:rPr>
            </w:pPr>
            <w:r w:rsidRPr="008E675E">
              <w:rPr>
                <w:rFonts w:eastAsia="Calibri"/>
                <w:sz w:val="20"/>
                <w:szCs w:val="20"/>
              </w:rPr>
              <w:t>$</w:t>
            </w:r>
            <w:r w:rsidR="008F0CA0">
              <w:rPr>
                <w:rFonts w:eastAsia="Calibri"/>
                <w:sz w:val="20"/>
                <w:szCs w:val="20"/>
              </w:rPr>
              <w:t>8,24</w:t>
            </w:r>
            <w:r w:rsidRPr="008E675E">
              <w:rPr>
                <w:rFonts w:eastAsia="Calibri"/>
                <w:sz w:val="20"/>
                <w:szCs w:val="20"/>
              </w:rPr>
              <w:t>0</w:t>
            </w:r>
          </w:p>
        </w:tc>
        <w:tc>
          <w:tcPr>
            <w:tcW w:w="657" w:type="pct"/>
            <w:tcBorders>
              <w:top w:val="single" w:sz="4" w:space="0" w:color="auto"/>
              <w:left w:val="single" w:sz="4" w:space="0" w:color="auto"/>
              <w:bottom w:val="single" w:sz="4" w:space="0" w:color="auto"/>
              <w:right w:val="single" w:sz="4" w:space="0" w:color="auto"/>
            </w:tcBorders>
            <w:hideMark/>
          </w:tcPr>
          <w:p w14:paraId="251DF4BF" w14:textId="54C192FE" w:rsidR="008E675E" w:rsidRPr="008E675E" w:rsidRDefault="008E675E" w:rsidP="008E675E">
            <w:pPr>
              <w:widowControl w:val="0"/>
              <w:autoSpaceDE w:val="0"/>
              <w:autoSpaceDN w:val="0"/>
              <w:adjustRightInd w:val="0"/>
              <w:spacing w:line="276" w:lineRule="auto"/>
              <w:jc w:val="right"/>
              <w:rPr>
                <w:rFonts w:eastAsia="Calibri"/>
                <w:sz w:val="20"/>
                <w:szCs w:val="20"/>
              </w:rPr>
            </w:pPr>
            <w:r w:rsidRPr="008E675E">
              <w:rPr>
                <w:rFonts w:eastAsia="Calibri"/>
                <w:sz w:val="20"/>
                <w:szCs w:val="20"/>
              </w:rPr>
              <w:t xml:space="preserve"> 1,</w:t>
            </w:r>
            <w:r w:rsidR="00F321C0">
              <w:rPr>
                <w:rFonts w:eastAsia="Calibri"/>
                <w:sz w:val="20"/>
                <w:szCs w:val="20"/>
              </w:rPr>
              <w:t>493.5</w:t>
            </w:r>
            <w:r w:rsidRPr="008E675E">
              <w:rPr>
                <w:rFonts w:eastAsia="Calibri"/>
                <w:sz w:val="20"/>
                <w:szCs w:val="20"/>
              </w:rPr>
              <w:t xml:space="preserve"> hrs</w:t>
            </w:r>
            <w:r w:rsidR="00980964">
              <w:rPr>
                <w:rFonts w:eastAsia="Calibri"/>
                <w:sz w:val="20"/>
                <w:szCs w:val="20"/>
              </w:rPr>
              <w:t>.</w:t>
            </w:r>
            <w:r w:rsidRPr="008E675E">
              <w:rPr>
                <w:rFonts w:eastAsia="Calibri"/>
                <w:sz w:val="20"/>
                <w:szCs w:val="20"/>
              </w:rPr>
              <w:t>;</w:t>
            </w:r>
          </w:p>
          <w:p w14:paraId="09430B3F" w14:textId="6EFD839A" w:rsidR="008E675E" w:rsidRPr="008E675E" w:rsidRDefault="008E675E" w:rsidP="00F321C0">
            <w:pPr>
              <w:widowControl w:val="0"/>
              <w:autoSpaceDE w:val="0"/>
              <w:autoSpaceDN w:val="0"/>
              <w:adjustRightInd w:val="0"/>
              <w:spacing w:line="276" w:lineRule="auto"/>
              <w:jc w:val="right"/>
              <w:rPr>
                <w:rFonts w:eastAsia="Calibri"/>
                <w:sz w:val="20"/>
                <w:szCs w:val="20"/>
              </w:rPr>
            </w:pPr>
            <w:r w:rsidRPr="008E675E">
              <w:rPr>
                <w:rFonts w:eastAsia="Calibri"/>
                <w:sz w:val="20"/>
                <w:szCs w:val="20"/>
              </w:rPr>
              <w:t>$1</w:t>
            </w:r>
            <w:r w:rsidR="00F321C0">
              <w:rPr>
                <w:rFonts w:eastAsia="Calibri"/>
                <w:sz w:val="20"/>
                <w:szCs w:val="20"/>
              </w:rPr>
              <w:t>19</w:t>
            </w:r>
            <w:r w:rsidR="005149A1">
              <w:rPr>
                <w:rFonts w:eastAsia="Calibri"/>
                <w:sz w:val="20"/>
                <w:szCs w:val="20"/>
              </w:rPr>
              <w:t>,4</w:t>
            </w:r>
            <w:r w:rsidR="00F321C0">
              <w:rPr>
                <w:rFonts w:eastAsia="Calibri"/>
                <w:sz w:val="20"/>
                <w:szCs w:val="20"/>
              </w:rPr>
              <w:t>8</w:t>
            </w:r>
            <w:r w:rsidR="005149A1">
              <w:rPr>
                <w:rFonts w:eastAsia="Calibri"/>
                <w:sz w:val="20"/>
                <w:szCs w:val="20"/>
              </w:rPr>
              <w:t>0.00</w:t>
            </w:r>
            <w:r w:rsidRPr="008E675E">
              <w:rPr>
                <w:rFonts w:eastAsia="Calibri"/>
                <w:sz w:val="20"/>
                <w:szCs w:val="20"/>
              </w:rPr>
              <w:t xml:space="preserve"> </w:t>
            </w:r>
          </w:p>
        </w:tc>
        <w:tc>
          <w:tcPr>
            <w:tcW w:w="616" w:type="pct"/>
            <w:tcBorders>
              <w:top w:val="single" w:sz="4" w:space="0" w:color="auto"/>
              <w:left w:val="single" w:sz="4" w:space="0" w:color="auto"/>
              <w:bottom w:val="single" w:sz="4" w:space="0" w:color="auto"/>
              <w:right w:val="single" w:sz="4" w:space="0" w:color="auto"/>
            </w:tcBorders>
          </w:tcPr>
          <w:p w14:paraId="6C132AC7" w14:textId="6E011AA5" w:rsidR="008E675E" w:rsidRPr="008E675E" w:rsidRDefault="008E675E" w:rsidP="008E675E">
            <w:pPr>
              <w:widowControl w:val="0"/>
              <w:autoSpaceDE w:val="0"/>
              <w:autoSpaceDN w:val="0"/>
              <w:adjustRightInd w:val="0"/>
              <w:spacing w:line="276" w:lineRule="auto"/>
              <w:jc w:val="right"/>
              <w:rPr>
                <w:rFonts w:eastAsia="Calibri"/>
                <w:sz w:val="20"/>
                <w:szCs w:val="20"/>
              </w:rPr>
            </w:pPr>
            <w:r w:rsidRPr="008E675E">
              <w:rPr>
                <w:rFonts w:eastAsia="Calibri"/>
                <w:sz w:val="20"/>
                <w:szCs w:val="20"/>
              </w:rPr>
              <w:t>$</w:t>
            </w:r>
            <w:r w:rsidR="005149A1">
              <w:rPr>
                <w:rFonts w:eastAsia="Calibri"/>
                <w:sz w:val="20"/>
                <w:szCs w:val="20"/>
              </w:rPr>
              <w:t>4,120.00</w:t>
            </w:r>
            <w:r w:rsidRPr="008E675E">
              <w:rPr>
                <w:rFonts w:eastAsia="Calibri"/>
                <w:sz w:val="20"/>
                <w:szCs w:val="20"/>
              </w:rPr>
              <w:t xml:space="preserve"> </w:t>
            </w:r>
          </w:p>
          <w:p w14:paraId="365D0BA8" w14:textId="77777777" w:rsidR="008E675E" w:rsidRPr="008E675E" w:rsidRDefault="008E675E" w:rsidP="008E675E">
            <w:pPr>
              <w:widowControl w:val="0"/>
              <w:autoSpaceDE w:val="0"/>
              <w:autoSpaceDN w:val="0"/>
              <w:adjustRightInd w:val="0"/>
              <w:spacing w:line="276" w:lineRule="auto"/>
              <w:jc w:val="right"/>
              <w:rPr>
                <w:rFonts w:eastAsia="Calibri"/>
                <w:sz w:val="20"/>
                <w:szCs w:val="20"/>
              </w:rPr>
            </w:pPr>
          </w:p>
        </w:tc>
      </w:tr>
      <w:tr w:rsidR="008E675E" w:rsidRPr="008E675E" w14:paraId="5B60E3E6" w14:textId="77777777" w:rsidTr="008E675E">
        <w:trPr>
          <w:cantSplit/>
        </w:trPr>
        <w:tc>
          <w:tcPr>
            <w:tcW w:w="878" w:type="pct"/>
            <w:tcBorders>
              <w:top w:val="single" w:sz="4" w:space="0" w:color="auto"/>
              <w:left w:val="single" w:sz="4" w:space="0" w:color="auto"/>
              <w:bottom w:val="single" w:sz="4" w:space="0" w:color="auto"/>
              <w:right w:val="single" w:sz="4" w:space="0" w:color="auto"/>
            </w:tcBorders>
            <w:hideMark/>
          </w:tcPr>
          <w:p w14:paraId="2E5A785D" w14:textId="77777777" w:rsidR="008E675E" w:rsidRPr="008E675E" w:rsidRDefault="008E675E" w:rsidP="008E675E">
            <w:pPr>
              <w:widowControl w:val="0"/>
              <w:autoSpaceDE w:val="0"/>
              <w:autoSpaceDN w:val="0"/>
              <w:adjustRightInd w:val="0"/>
              <w:spacing w:line="276" w:lineRule="auto"/>
              <w:rPr>
                <w:rFonts w:eastAsia="Calibri"/>
                <w:sz w:val="20"/>
                <w:szCs w:val="20"/>
              </w:rPr>
            </w:pPr>
            <w:r w:rsidRPr="008E675E">
              <w:rPr>
                <w:rFonts w:eastAsia="Calibri"/>
                <w:sz w:val="20"/>
                <w:szCs w:val="20"/>
              </w:rPr>
              <w:t>Respondents with AACs, but no FACs</w:t>
            </w:r>
          </w:p>
        </w:tc>
        <w:tc>
          <w:tcPr>
            <w:tcW w:w="746" w:type="pct"/>
            <w:tcBorders>
              <w:top w:val="single" w:sz="4" w:space="0" w:color="auto"/>
              <w:left w:val="single" w:sz="4" w:space="0" w:color="auto"/>
              <w:bottom w:val="single" w:sz="4" w:space="0" w:color="auto"/>
              <w:right w:val="single" w:sz="4" w:space="0" w:color="auto"/>
            </w:tcBorders>
            <w:hideMark/>
          </w:tcPr>
          <w:p w14:paraId="5FC84C0B" w14:textId="0EAE8BAE" w:rsidR="008E675E" w:rsidRPr="008E675E" w:rsidRDefault="00A306A9" w:rsidP="00A306A9">
            <w:pPr>
              <w:widowControl w:val="0"/>
              <w:autoSpaceDE w:val="0"/>
              <w:autoSpaceDN w:val="0"/>
              <w:adjustRightInd w:val="0"/>
              <w:spacing w:line="276" w:lineRule="auto"/>
              <w:jc w:val="right"/>
              <w:rPr>
                <w:rFonts w:eastAsia="Calibri"/>
                <w:sz w:val="20"/>
                <w:szCs w:val="20"/>
              </w:rPr>
            </w:pPr>
            <w:r>
              <w:rPr>
                <w:rFonts w:eastAsia="Calibri"/>
                <w:sz w:val="20"/>
                <w:szCs w:val="20"/>
              </w:rPr>
              <w:t>9</w:t>
            </w:r>
          </w:p>
        </w:tc>
        <w:tc>
          <w:tcPr>
            <w:tcW w:w="746" w:type="pct"/>
            <w:tcBorders>
              <w:top w:val="single" w:sz="4" w:space="0" w:color="auto"/>
              <w:left w:val="single" w:sz="4" w:space="0" w:color="auto"/>
              <w:bottom w:val="single" w:sz="4" w:space="0" w:color="auto"/>
              <w:right w:val="single" w:sz="4" w:space="0" w:color="auto"/>
            </w:tcBorders>
            <w:hideMark/>
          </w:tcPr>
          <w:p w14:paraId="221A2E0B" w14:textId="77777777" w:rsidR="008E675E" w:rsidRPr="008E675E" w:rsidRDefault="008E675E" w:rsidP="008E675E">
            <w:pPr>
              <w:widowControl w:val="0"/>
              <w:autoSpaceDE w:val="0"/>
              <w:autoSpaceDN w:val="0"/>
              <w:adjustRightInd w:val="0"/>
              <w:spacing w:line="276" w:lineRule="auto"/>
              <w:jc w:val="right"/>
              <w:rPr>
                <w:rFonts w:eastAsia="Calibri"/>
                <w:sz w:val="20"/>
                <w:szCs w:val="20"/>
              </w:rPr>
            </w:pPr>
            <w:r w:rsidRPr="008E675E">
              <w:rPr>
                <w:rFonts w:eastAsia="Calibri"/>
                <w:sz w:val="20"/>
                <w:szCs w:val="20"/>
              </w:rPr>
              <w:t>0.5</w:t>
            </w:r>
          </w:p>
        </w:tc>
        <w:tc>
          <w:tcPr>
            <w:tcW w:w="703" w:type="pct"/>
            <w:tcBorders>
              <w:top w:val="single" w:sz="4" w:space="0" w:color="auto"/>
              <w:left w:val="single" w:sz="4" w:space="0" w:color="auto"/>
              <w:bottom w:val="single" w:sz="4" w:space="0" w:color="auto"/>
              <w:right w:val="single" w:sz="4" w:space="0" w:color="auto"/>
            </w:tcBorders>
            <w:hideMark/>
          </w:tcPr>
          <w:p w14:paraId="616532FC" w14:textId="6FB06130" w:rsidR="008E675E" w:rsidRPr="008E675E" w:rsidRDefault="00A306A9" w:rsidP="008E675E">
            <w:pPr>
              <w:widowControl w:val="0"/>
              <w:autoSpaceDE w:val="0"/>
              <w:autoSpaceDN w:val="0"/>
              <w:adjustRightInd w:val="0"/>
              <w:spacing w:line="276" w:lineRule="auto"/>
              <w:jc w:val="right"/>
              <w:rPr>
                <w:rFonts w:eastAsia="Calibri"/>
                <w:sz w:val="20"/>
                <w:szCs w:val="20"/>
              </w:rPr>
            </w:pPr>
            <w:r>
              <w:rPr>
                <w:rFonts w:eastAsia="Calibri"/>
                <w:sz w:val="20"/>
                <w:szCs w:val="20"/>
              </w:rPr>
              <w:t>4.</w:t>
            </w:r>
            <w:r w:rsidR="008E675E" w:rsidRPr="008E675E">
              <w:rPr>
                <w:rFonts w:eastAsia="Calibri"/>
                <w:sz w:val="20"/>
                <w:szCs w:val="20"/>
              </w:rPr>
              <w:t>5</w:t>
            </w:r>
          </w:p>
        </w:tc>
        <w:tc>
          <w:tcPr>
            <w:tcW w:w="654" w:type="pct"/>
            <w:tcBorders>
              <w:top w:val="single" w:sz="4" w:space="0" w:color="auto"/>
              <w:left w:val="single" w:sz="4" w:space="0" w:color="auto"/>
              <w:bottom w:val="single" w:sz="4" w:space="0" w:color="auto"/>
              <w:right w:val="single" w:sz="4" w:space="0" w:color="auto"/>
            </w:tcBorders>
            <w:hideMark/>
          </w:tcPr>
          <w:p w14:paraId="0261E955" w14:textId="77777777" w:rsidR="008E675E" w:rsidRPr="008E675E" w:rsidRDefault="008E675E" w:rsidP="008E675E">
            <w:pPr>
              <w:widowControl w:val="0"/>
              <w:autoSpaceDE w:val="0"/>
              <w:autoSpaceDN w:val="0"/>
              <w:adjustRightInd w:val="0"/>
              <w:spacing w:line="276" w:lineRule="auto"/>
              <w:jc w:val="right"/>
              <w:rPr>
                <w:rFonts w:eastAsia="Calibri"/>
                <w:sz w:val="20"/>
                <w:szCs w:val="20"/>
              </w:rPr>
            </w:pPr>
            <w:r w:rsidRPr="008E675E">
              <w:rPr>
                <w:rFonts w:eastAsia="Calibri"/>
                <w:sz w:val="20"/>
                <w:szCs w:val="20"/>
              </w:rPr>
              <w:t>20 hrs.;</w:t>
            </w:r>
          </w:p>
          <w:p w14:paraId="0141180E" w14:textId="570B5A5B" w:rsidR="008E675E" w:rsidRPr="008E675E" w:rsidRDefault="008E675E" w:rsidP="008E675E">
            <w:pPr>
              <w:widowControl w:val="0"/>
              <w:autoSpaceDE w:val="0"/>
              <w:autoSpaceDN w:val="0"/>
              <w:adjustRightInd w:val="0"/>
              <w:spacing w:line="276" w:lineRule="auto"/>
              <w:jc w:val="right"/>
              <w:rPr>
                <w:rFonts w:eastAsia="Calibri"/>
                <w:sz w:val="20"/>
                <w:szCs w:val="20"/>
              </w:rPr>
            </w:pPr>
            <w:r w:rsidRPr="008E675E">
              <w:rPr>
                <w:rFonts w:eastAsia="Calibri"/>
                <w:sz w:val="20"/>
                <w:szCs w:val="20"/>
              </w:rPr>
              <w:t>$1,</w:t>
            </w:r>
            <w:r w:rsidR="008F0CA0">
              <w:rPr>
                <w:rFonts w:eastAsia="Calibri"/>
                <w:sz w:val="20"/>
                <w:szCs w:val="20"/>
              </w:rPr>
              <w:t>60</w:t>
            </w:r>
            <w:r w:rsidRPr="008E675E">
              <w:rPr>
                <w:rFonts w:eastAsia="Calibri"/>
                <w:sz w:val="20"/>
                <w:szCs w:val="20"/>
              </w:rPr>
              <w:t>0</w:t>
            </w:r>
          </w:p>
        </w:tc>
        <w:tc>
          <w:tcPr>
            <w:tcW w:w="657" w:type="pct"/>
            <w:tcBorders>
              <w:top w:val="single" w:sz="4" w:space="0" w:color="auto"/>
              <w:left w:val="single" w:sz="4" w:space="0" w:color="auto"/>
              <w:bottom w:val="single" w:sz="4" w:space="0" w:color="auto"/>
              <w:right w:val="single" w:sz="4" w:space="0" w:color="auto"/>
            </w:tcBorders>
            <w:hideMark/>
          </w:tcPr>
          <w:p w14:paraId="39449114" w14:textId="552B2180" w:rsidR="008E675E" w:rsidRPr="008E675E" w:rsidRDefault="00F321C0" w:rsidP="008E675E">
            <w:pPr>
              <w:widowControl w:val="0"/>
              <w:autoSpaceDE w:val="0"/>
              <w:autoSpaceDN w:val="0"/>
              <w:adjustRightInd w:val="0"/>
              <w:spacing w:line="276" w:lineRule="auto"/>
              <w:jc w:val="right"/>
              <w:rPr>
                <w:rFonts w:eastAsia="Calibri"/>
                <w:sz w:val="20"/>
                <w:szCs w:val="20"/>
              </w:rPr>
            </w:pPr>
            <w:r>
              <w:rPr>
                <w:rFonts w:eastAsia="Calibri"/>
                <w:sz w:val="20"/>
                <w:szCs w:val="20"/>
              </w:rPr>
              <w:t>9</w:t>
            </w:r>
            <w:r w:rsidR="008E675E" w:rsidRPr="008E675E">
              <w:rPr>
                <w:rFonts w:eastAsia="Calibri"/>
                <w:sz w:val="20"/>
                <w:szCs w:val="20"/>
              </w:rPr>
              <w:t>0 hrs</w:t>
            </w:r>
            <w:r w:rsidR="00980964">
              <w:rPr>
                <w:rFonts w:eastAsia="Calibri"/>
                <w:sz w:val="20"/>
                <w:szCs w:val="20"/>
              </w:rPr>
              <w:t>.</w:t>
            </w:r>
            <w:r w:rsidR="00980964" w:rsidRPr="008E675E">
              <w:rPr>
                <w:rFonts w:eastAsia="Calibri"/>
                <w:sz w:val="20"/>
                <w:szCs w:val="20"/>
              </w:rPr>
              <w:t>;</w:t>
            </w:r>
          </w:p>
          <w:p w14:paraId="167E7B63" w14:textId="0EF54BF3" w:rsidR="008E675E" w:rsidRPr="008E675E" w:rsidRDefault="008E675E" w:rsidP="00F321C0">
            <w:pPr>
              <w:widowControl w:val="0"/>
              <w:autoSpaceDE w:val="0"/>
              <w:autoSpaceDN w:val="0"/>
              <w:adjustRightInd w:val="0"/>
              <w:spacing w:line="276" w:lineRule="auto"/>
              <w:jc w:val="right"/>
              <w:rPr>
                <w:rFonts w:eastAsia="Calibri"/>
                <w:sz w:val="20"/>
                <w:szCs w:val="20"/>
              </w:rPr>
            </w:pPr>
            <w:r w:rsidRPr="008E675E">
              <w:rPr>
                <w:rFonts w:eastAsia="Calibri"/>
                <w:sz w:val="20"/>
                <w:szCs w:val="20"/>
              </w:rPr>
              <w:t>$</w:t>
            </w:r>
            <w:r w:rsidR="00F321C0">
              <w:rPr>
                <w:rFonts w:eastAsia="Calibri"/>
                <w:sz w:val="20"/>
                <w:szCs w:val="20"/>
              </w:rPr>
              <w:t>7</w:t>
            </w:r>
            <w:r w:rsidR="005149A1">
              <w:rPr>
                <w:rFonts w:eastAsia="Calibri"/>
                <w:sz w:val="20"/>
                <w:szCs w:val="20"/>
              </w:rPr>
              <w:t>,</w:t>
            </w:r>
            <w:r w:rsidR="00F321C0">
              <w:rPr>
                <w:rFonts w:eastAsia="Calibri"/>
                <w:sz w:val="20"/>
                <w:szCs w:val="20"/>
              </w:rPr>
              <w:t>2</w:t>
            </w:r>
            <w:r w:rsidR="005149A1">
              <w:rPr>
                <w:rFonts w:eastAsia="Calibri"/>
                <w:sz w:val="20"/>
                <w:szCs w:val="20"/>
              </w:rPr>
              <w:t>00.00</w:t>
            </w:r>
          </w:p>
        </w:tc>
        <w:tc>
          <w:tcPr>
            <w:tcW w:w="616" w:type="pct"/>
            <w:tcBorders>
              <w:top w:val="single" w:sz="4" w:space="0" w:color="auto"/>
              <w:left w:val="single" w:sz="4" w:space="0" w:color="auto"/>
              <w:bottom w:val="single" w:sz="4" w:space="0" w:color="auto"/>
              <w:right w:val="single" w:sz="4" w:space="0" w:color="auto"/>
            </w:tcBorders>
            <w:hideMark/>
          </w:tcPr>
          <w:p w14:paraId="0D504482" w14:textId="5DDCCA68" w:rsidR="008E675E" w:rsidRPr="008E675E" w:rsidRDefault="008E675E" w:rsidP="008E675E">
            <w:pPr>
              <w:widowControl w:val="0"/>
              <w:autoSpaceDE w:val="0"/>
              <w:autoSpaceDN w:val="0"/>
              <w:adjustRightInd w:val="0"/>
              <w:spacing w:line="276" w:lineRule="auto"/>
              <w:jc w:val="right"/>
              <w:rPr>
                <w:rFonts w:eastAsia="Calibri"/>
                <w:sz w:val="20"/>
                <w:szCs w:val="20"/>
              </w:rPr>
            </w:pPr>
            <w:r w:rsidRPr="008E675E">
              <w:rPr>
                <w:rFonts w:eastAsia="Calibri"/>
                <w:sz w:val="20"/>
                <w:szCs w:val="20"/>
              </w:rPr>
              <w:t>$</w:t>
            </w:r>
            <w:r w:rsidR="005149A1">
              <w:rPr>
                <w:rFonts w:eastAsia="Calibri"/>
                <w:sz w:val="20"/>
                <w:szCs w:val="20"/>
              </w:rPr>
              <w:t>800</w:t>
            </w:r>
          </w:p>
        </w:tc>
      </w:tr>
      <w:tr w:rsidR="008E675E" w:rsidRPr="008E675E" w14:paraId="0BF302F8" w14:textId="77777777" w:rsidTr="008E675E">
        <w:trPr>
          <w:cantSplit/>
        </w:trPr>
        <w:tc>
          <w:tcPr>
            <w:tcW w:w="878" w:type="pct"/>
            <w:tcBorders>
              <w:top w:val="single" w:sz="4" w:space="0" w:color="auto"/>
              <w:left w:val="single" w:sz="4" w:space="0" w:color="auto"/>
              <w:bottom w:val="single" w:sz="4" w:space="0" w:color="auto"/>
              <w:right w:val="single" w:sz="4" w:space="0" w:color="auto"/>
            </w:tcBorders>
            <w:hideMark/>
          </w:tcPr>
          <w:p w14:paraId="2F13E2FF" w14:textId="77777777" w:rsidR="008E675E" w:rsidRPr="008E675E" w:rsidRDefault="008E675E" w:rsidP="008E675E">
            <w:pPr>
              <w:widowControl w:val="0"/>
              <w:autoSpaceDE w:val="0"/>
              <w:autoSpaceDN w:val="0"/>
              <w:adjustRightInd w:val="0"/>
              <w:spacing w:line="276" w:lineRule="auto"/>
              <w:rPr>
                <w:rFonts w:eastAsia="Calibri"/>
                <w:sz w:val="20"/>
                <w:szCs w:val="20"/>
              </w:rPr>
            </w:pPr>
            <w:r w:rsidRPr="008E675E">
              <w:rPr>
                <w:rFonts w:eastAsia="Calibri"/>
                <w:sz w:val="20"/>
                <w:szCs w:val="20"/>
              </w:rPr>
              <w:t>Respondents with no AACs nor FACs</w:t>
            </w:r>
          </w:p>
        </w:tc>
        <w:tc>
          <w:tcPr>
            <w:tcW w:w="746" w:type="pct"/>
            <w:tcBorders>
              <w:top w:val="single" w:sz="4" w:space="0" w:color="auto"/>
              <w:left w:val="single" w:sz="4" w:space="0" w:color="auto"/>
              <w:bottom w:val="single" w:sz="4" w:space="0" w:color="auto"/>
              <w:right w:val="single" w:sz="4" w:space="0" w:color="auto"/>
            </w:tcBorders>
            <w:hideMark/>
          </w:tcPr>
          <w:p w14:paraId="28F80E74" w14:textId="736F61D8" w:rsidR="008E675E" w:rsidRPr="008E675E" w:rsidRDefault="00A306A9" w:rsidP="00A306A9">
            <w:pPr>
              <w:widowControl w:val="0"/>
              <w:autoSpaceDE w:val="0"/>
              <w:autoSpaceDN w:val="0"/>
              <w:adjustRightInd w:val="0"/>
              <w:spacing w:line="276" w:lineRule="auto"/>
              <w:jc w:val="right"/>
              <w:rPr>
                <w:rFonts w:eastAsia="Calibri"/>
                <w:sz w:val="20"/>
                <w:szCs w:val="20"/>
              </w:rPr>
            </w:pPr>
            <w:r>
              <w:rPr>
                <w:rFonts w:eastAsia="Calibri"/>
                <w:sz w:val="20"/>
                <w:szCs w:val="20"/>
              </w:rPr>
              <w:t>28</w:t>
            </w:r>
          </w:p>
        </w:tc>
        <w:tc>
          <w:tcPr>
            <w:tcW w:w="746" w:type="pct"/>
            <w:tcBorders>
              <w:top w:val="single" w:sz="4" w:space="0" w:color="auto"/>
              <w:left w:val="single" w:sz="4" w:space="0" w:color="auto"/>
              <w:bottom w:val="single" w:sz="4" w:space="0" w:color="auto"/>
              <w:right w:val="single" w:sz="4" w:space="0" w:color="auto"/>
            </w:tcBorders>
            <w:hideMark/>
          </w:tcPr>
          <w:p w14:paraId="4F4F4C5C" w14:textId="77777777" w:rsidR="008E675E" w:rsidRPr="008E675E" w:rsidRDefault="008E675E" w:rsidP="008E675E">
            <w:pPr>
              <w:widowControl w:val="0"/>
              <w:autoSpaceDE w:val="0"/>
              <w:autoSpaceDN w:val="0"/>
              <w:adjustRightInd w:val="0"/>
              <w:spacing w:line="276" w:lineRule="auto"/>
              <w:jc w:val="right"/>
              <w:rPr>
                <w:rFonts w:eastAsia="Calibri"/>
                <w:sz w:val="20"/>
                <w:szCs w:val="20"/>
              </w:rPr>
            </w:pPr>
            <w:r w:rsidRPr="008E675E">
              <w:rPr>
                <w:rFonts w:eastAsia="Calibri"/>
                <w:sz w:val="20"/>
                <w:szCs w:val="20"/>
              </w:rPr>
              <w:t>0.5</w:t>
            </w:r>
          </w:p>
        </w:tc>
        <w:tc>
          <w:tcPr>
            <w:tcW w:w="703" w:type="pct"/>
            <w:tcBorders>
              <w:top w:val="single" w:sz="4" w:space="0" w:color="auto"/>
              <w:left w:val="single" w:sz="4" w:space="0" w:color="auto"/>
              <w:bottom w:val="single" w:sz="4" w:space="0" w:color="auto"/>
              <w:right w:val="single" w:sz="4" w:space="0" w:color="auto"/>
            </w:tcBorders>
            <w:hideMark/>
          </w:tcPr>
          <w:p w14:paraId="3031458E" w14:textId="1309A0FE" w:rsidR="008E675E" w:rsidRPr="008E675E" w:rsidRDefault="008E675E" w:rsidP="00A306A9">
            <w:pPr>
              <w:widowControl w:val="0"/>
              <w:autoSpaceDE w:val="0"/>
              <w:autoSpaceDN w:val="0"/>
              <w:adjustRightInd w:val="0"/>
              <w:spacing w:line="276" w:lineRule="auto"/>
              <w:jc w:val="right"/>
              <w:rPr>
                <w:rFonts w:eastAsia="Calibri"/>
                <w:sz w:val="20"/>
                <w:szCs w:val="20"/>
              </w:rPr>
            </w:pPr>
            <w:r w:rsidRPr="008E675E">
              <w:rPr>
                <w:rFonts w:eastAsia="Calibri"/>
                <w:sz w:val="20"/>
                <w:szCs w:val="20"/>
              </w:rPr>
              <w:t>1</w:t>
            </w:r>
            <w:r w:rsidR="00A306A9">
              <w:rPr>
                <w:rFonts w:eastAsia="Calibri"/>
                <w:sz w:val="20"/>
                <w:szCs w:val="20"/>
              </w:rPr>
              <w:t>4</w:t>
            </w:r>
          </w:p>
        </w:tc>
        <w:tc>
          <w:tcPr>
            <w:tcW w:w="654" w:type="pct"/>
            <w:tcBorders>
              <w:top w:val="single" w:sz="4" w:space="0" w:color="auto"/>
              <w:left w:val="single" w:sz="4" w:space="0" w:color="auto"/>
              <w:bottom w:val="single" w:sz="4" w:space="0" w:color="auto"/>
              <w:right w:val="single" w:sz="4" w:space="0" w:color="auto"/>
            </w:tcBorders>
            <w:hideMark/>
          </w:tcPr>
          <w:p w14:paraId="6D463425" w14:textId="7371FE1F" w:rsidR="008E675E" w:rsidRPr="008E675E" w:rsidRDefault="008E675E" w:rsidP="008E675E">
            <w:pPr>
              <w:widowControl w:val="0"/>
              <w:autoSpaceDE w:val="0"/>
              <w:autoSpaceDN w:val="0"/>
              <w:adjustRightInd w:val="0"/>
              <w:spacing w:line="276" w:lineRule="auto"/>
              <w:jc w:val="right"/>
              <w:rPr>
                <w:rFonts w:eastAsia="Calibri"/>
                <w:sz w:val="20"/>
                <w:szCs w:val="20"/>
              </w:rPr>
            </w:pPr>
            <w:r w:rsidRPr="008E675E">
              <w:rPr>
                <w:rFonts w:eastAsia="Calibri"/>
                <w:sz w:val="20"/>
                <w:szCs w:val="20"/>
              </w:rPr>
              <w:t>2 hrs</w:t>
            </w:r>
            <w:r w:rsidR="00980964">
              <w:rPr>
                <w:rFonts w:eastAsia="Calibri"/>
                <w:sz w:val="20"/>
                <w:szCs w:val="20"/>
              </w:rPr>
              <w:t>.</w:t>
            </w:r>
            <w:r w:rsidRPr="008E675E">
              <w:rPr>
                <w:rFonts w:eastAsia="Calibri"/>
                <w:sz w:val="20"/>
                <w:szCs w:val="20"/>
              </w:rPr>
              <w:t>;</w:t>
            </w:r>
          </w:p>
          <w:p w14:paraId="394B6E4C" w14:textId="329FE58F" w:rsidR="008E675E" w:rsidRPr="008E675E" w:rsidRDefault="008E675E" w:rsidP="008E675E">
            <w:pPr>
              <w:widowControl w:val="0"/>
              <w:autoSpaceDE w:val="0"/>
              <w:autoSpaceDN w:val="0"/>
              <w:adjustRightInd w:val="0"/>
              <w:spacing w:line="276" w:lineRule="auto"/>
              <w:jc w:val="right"/>
              <w:rPr>
                <w:rFonts w:eastAsia="Calibri"/>
                <w:sz w:val="20"/>
                <w:szCs w:val="20"/>
              </w:rPr>
            </w:pPr>
            <w:r w:rsidRPr="008E675E">
              <w:rPr>
                <w:rFonts w:eastAsia="Calibri"/>
                <w:sz w:val="20"/>
                <w:szCs w:val="20"/>
              </w:rPr>
              <w:t>$1</w:t>
            </w:r>
            <w:r w:rsidR="008F0CA0">
              <w:rPr>
                <w:rFonts w:eastAsia="Calibri"/>
                <w:sz w:val="20"/>
                <w:szCs w:val="20"/>
              </w:rPr>
              <w:t>60</w:t>
            </w:r>
          </w:p>
        </w:tc>
        <w:tc>
          <w:tcPr>
            <w:tcW w:w="657" w:type="pct"/>
            <w:tcBorders>
              <w:top w:val="single" w:sz="4" w:space="0" w:color="auto"/>
              <w:left w:val="single" w:sz="4" w:space="0" w:color="auto"/>
              <w:bottom w:val="single" w:sz="4" w:space="0" w:color="auto"/>
              <w:right w:val="single" w:sz="4" w:space="0" w:color="auto"/>
            </w:tcBorders>
            <w:hideMark/>
          </w:tcPr>
          <w:p w14:paraId="1DD32105" w14:textId="5C76B849" w:rsidR="008E675E" w:rsidRPr="008E675E" w:rsidRDefault="00F321C0" w:rsidP="008E675E">
            <w:pPr>
              <w:widowControl w:val="0"/>
              <w:autoSpaceDE w:val="0"/>
              <w:autoSpaceDN w:val="0"/>
              <w:adjustRightInd w:val="0"/>
              <w:spacing w:line="276" w:lineRule="auto"/>
              <w:jc w:val="right"/>
              <w:rPr>
                <w:rFonts w:eastAsia="Calibri"/>
                <w:sz w:val="20"/>
                <w:szCs w:val="20"/>
              </w:rPr>
            </w:pPr>
            <w:r>
              <w:rPr>
                <w:rFonts w:eastAsia="Calibri"/>
                <w:sz w:val="20"/>
                <w:szCs w:val="20"/>
              </w:rPr>
              <w:t>28</w:t>
            </w:r>
            <w:r w:rsidR="008E675E" w:rsidRPr="008E675E">
              <w:rPr>
                <w:rFonts w:eastAsia="Calibri"/>
                <w:sz w:val="20"/>
                <w:szCs w:val="20"/>
              </w:rPr>
              <w:t xml:space="preserve"> hrs</w:t>
            </w:r>
            <w:r w:rsidR="00980964">
              <w:rPr>
                <w:rFonts w:eastAsia="Calibri"/>
                <w:sz w:val="20"/>
                <w:szCs w:val="20"/>
              </w:rPr>
              <w:t>.</w:t>
            </w:r>
            <w:r w:rsidR="008E675E" w:rsidRPr="008E675E">
              <w:rPr>
                <w:rFonts w:eastAsia="Calibri"/>
                <w:sz w:val="20"/>
                <w:szCs w:val="20"/>
              </w:rPr>
              <w:t>;</w:t>
            </w:r>
          </w:p>
          <w:p w14:paraId="47A67443" w14:textId="5188B58A" w:rsidR="008E675E" w:rsidRPr="008E675E" w:rsidRDefault="008E675E" w:rsidP="00F321C0">
            <w:pPr>
              <w:widowControl w:val="0"/>
              <w:autoSpaceDE w:val="0"/>
              <w:autoSpaceDN w:val="0"/>
              <w:adjustRightInd w:val="0"/>
              <w:spacing w:line="276" w:lineRule="auto"/>
              <w:jc w:val="right"/>
              <w:rPr>
                <w:rFonts w:eastAsia="Calibri"/>
                <w:sz w:val="20"/>
                <w:szCs w:val="20"/>
              </w:rPr>
            </w:pPr>
            <w:r w:rsidRPr="008E675E">
              <w:rPr>
                <w:rFonts w:eastAsia="Calibri"/>
                <w:sz w:val="20"/>
                <w:szCs w:val="20"/>
              </w:rPr>
              <w:t>$2,</w:t>
            </w:r>
            <w:r w:rsidR="00F321C0">
              <w:rPr>
                <w:rFonts w:eastAsia="Calibri"/>
                <w:sz w:val="20"/>
                <w:szCs w:val="20"/>
              </w:rPr>
              <w:t>240</w:t>
            </w:r>
            <w:r w:rsidR="005149A1">
              <w:rPr>
                <w:rFonts w:eastAsia="Calibri"/>
                <w:sz w:val="20"/>
                <w:szCs w:val="20"/>
              </w:rPr>
              <w:t>.0</w:t>
            </w:r>
            <w:r w:rsidRPr="008E675E">
              <w:rPr>
                <w:rFonts w:eastAsia="Calibri"/>
                <w:sz w:val="20"/>
                <w:szCs w:val="20"/>
              </w:rPr>
              <w:t>0</w:t>
            </w:r>
          </w:p>
        </w:tc>
        <w:tc>
          <w:tcPr>
            <w:tcW w:w="616" w:type="pct"/>
            <w:tcBorders>
              <w:top w:val="single" w:sz="4" w:space="0" w:color="auto"/>
              <w:left w:val="single" w:sz="4" w:space="0" w:color="auto"/>
              <w:bottom w:val="single" w:sz="4" w:space="0" w:color="auto"/>
              <w:right w:val="single" w:sz="4" w:space="0" w:color="auto"/>
            </w:tcBorders>
            <w:hideMark/>
          </w:tcPr>
          <w:p w14:paraId="57C71810" w14:textId="7B034FCE" w:rsidR="008E675E" w:rsidRPr="008E675E" w:rsidRDefault="008E675E" w:rsidP="008E675E">
            <w:pPr>
              <w:widowControl w:val="0"/>
              <w:autoSpaceDE w:val="0"/>
              <w:autoSpaceDN w:val="0"/>
              <w:adjustRightInd w:val="0"/>
              <w:spacing w:line="276" w:lineRule="auto"/>
              <w:jc w:val="right"/>
              <w:rPr>
                <w:rFonts w:eastAsia="Calibri"/>
                <w:sz w:val="20"/>
                <w:szCs w:val="20"/>
              </w:rPr>
            </w:pPr>
            <w:r w:rsidRPr="008E675E">
              <w:rPr>
                <w:rFonts w:eastAsia="Calibri"/>
                <w:sz w:val="20"/>
                <w:szCs w:val="20"/>
              </w:rPr>
              <w:t>$</w:t>
            </w:r>
            <w:r w:rsidR="005149A1">
              <w:rPr>
                <w:rFonts w:eastAsia="Calibri"/>
                <w:sz w:val="20"/>
                <w:szCs w:val="20"/>
              </w:rPr>
              <w:t>80.0</w:t>
            </w:r>
            <w:r w:rsidRPr="008E675E">
              <w:rPr>
                <w:rFonts w:eastAsia="Calibri"/>
                <w:sz w:val="20"/>
                <w:szCs w:val="20"/>
              </w:rPr>
              <w:t>0</w:t>
            </w:r>
          </w:p>
        </w:tc>
      </w:tr>
      <w:tr w:rsidR="008E675E" w:rsidRPr="008E675E" w14:paraId="11EE61D1" w14:textId="77777777" w:rsidTr="008E675E">
        <w:trPr>
          <w:cantSplit/>
          <w:trHeight w:val="485"/>
        </w:trPr>
        <w:tc>
          <w:tcPr>
            <w:tcW w:w="878" w:type="pct"/>
            <w:tcBorders>
              <w:top w:val="single" w:sz="4" w:space="0" w:color="auto"/>
              <w:left w:val="single" w:sz="4" w:space="0" w:color="auto"/>
              <w:bottom w:val="single" w:sz="4" w:space="0" w:color="auto"/>
              <w:right w:val="single" w:sz="4" w:space="0" w:color="auto"/>
            </w:tcBorders>
            <w:hideMark/>
          </w:tcPr>
          <w:p w14:paraId="04C59FD1" w14:textId="77777777" w:rsidR="008E675E" w:rsidRPr="008E675E" w:rsidRDefault="008E675E" w:rsidP="008E675E">
            <w:pPr>
              <w:widowControl w:val="0"/>
              <w:autoSpaceDE w:val="0"/>
              <w:autoSpaceDN w:val="0"/>
              <w:adjustRightInd w:val="0"/>
              <w:spacing w:line="276" w:lineRule="auto"/>
              <w:rPr>
                <w:rFonts w:eastAsia="Calibri"/>
                <w:b/>
                <w:sz w:val="20"/>
                <w:szCs w:val="20"/>
              </w:rPr>
            </w:pPr>
            <w:r w:rsidRPr="008E675E">
              <w:rPr>
                <w:rFonts w:eastAsia="Calibri"/>
                <w:b/>
                <w:sz w:val="20"/>
                <w:szCs w:val="20"/>
              </w:rPr>
              <w:t>TOTAL</w:t>
            </w:r>
          </w:p>
        </w:tc>
        <w:tc>
          <w:tcPr>
            <w:tcW w:w="1492" w:type="pct"/>
            <w:gridSpan w:val="2"/>
            <w:tcBorders>
              <w:top w:val="single" w:sz="4" w:space="0" w:color="auto"/>
              <w:left w:val="single" w:sz="4" w:space="0" w:color="auto"/>
              <w:bottom w:val="single" w:sz="4" w:space="0" w:color="auto"/>
              <w:right w:val="single" w:sz="4" w:space="0" w:color="auto"/>
            </w:tcBorders>
            <w:shd w:val="clear" w:color="auto" w:fill="D9D9D9"/>
          </w:tcPr>
          <w:p w14:paraId="2C90BF7D" w14:textId="77777777" w:rsidR="008E675E" w:rsidRPr="008E675E" w:rsidRDefault="008E675E" w:rsidP="008E675E">
            <w:pPr>
              <w:widowControl w:val="0"/>
              <w:autoSpaceDE w:val="0"/>
              <w:autoSpaceDN w:val="0"/>
              <w:adjustRightInd w:val="0"/>
              <w:spacing w:line="276" w:lineRule="auto"/>
              <w:jc w:val="right"/>
              <w:rPr>
                <w:rFonts w:eastAsia="Calibri"/>
                <w:sz w:val="20"/>
                <w:szCs w:val="20"/>
              </w:rPr>
            </w:pPr>
          </w:p>
        </w:tc>
        <w:tc>
          <w:tcPr>
            <w:tcW w:w="703" w:type="pct"/>
            <w:tcBorders>
              <w:top w:val="single" w:sz="4" w:space="0" w:color="auto"/>
              <w:left w:val="single" w:sz="4" w:space="0" w:color="auto"/>
              <w:bottom w:val="single" w:sz="4" w:space="0" w:color="auto"/>
              <w:right w:val="single" w:sz="4" w:space="0" w:color="auto"/>
            </w:tcBorders>
            <w:hideMark/>
          </w:tcPr>
          <w:p w14:paraId="480ED87B" w14:textId="04A953FE" w:rsidR="008E675E" w:rsidRPr="008E675E" w:rsidRDefault="00A306A9" w:rsidP="00A306A9">
            <w:pPr>
              <w:widowControl w:val="0"/>
              <w:autoSpaceDE w:val="0"/>
              <w:autoSpaceDN w:val="0"/>
              <w:adjustRightInd w:val="0"/>
              <w:spacing w:line="276" w:lineRule="auto"/>
              <w:jc w:val="right"/>
              <w:rPr>
                <w:rFonts w:eastAsia="Calibri"/>
                <w:b/>
                <w:sz w:val="20"/>
                <w:szCs w:val="20"/>
              </w:rPr>
            </w:pPr>
            <w:r>
              <w:rPr>
                <w:rFonts w:eastAsia="Calibri"/>
                <w:b/>
                <w:sz w:val="20"/>
                <w:szCs w:val="20"/>
              </w:rPr>
              <w:t>33</w:t>
            </w:r>
          </w:p>
        </w:tc>
        <w:tc>
          <w:tcPr>
            <w:tcW w:w="654" w:type="pct"/>
            <w:tcBorders>
              <w:top w:val="single" w:sz="4" w:space="0" w:color="auto"/>
              <w:left w:val="single" w:sz="4" w:space="0" w:color="auto"/>
              <w:bottom w:val="single" w:sz="4" w:space="0" w:color="auto"/>
              <w:right w:val="single" w:sz="4" w:space="0" w:color="auto"/>
            </w:tcBorders>
            <w:shd w:val="clear" w:color="auto" w:fill="D9D9D9"/>
          </w:tcPr>
          <w:p w14:paraId="7C93B7C1" w14:textId="77777777" w:rsidR="008E675E" w:rsidRPr="008E675E" w:rsidRDefault="008E675E" w:rsidP="008E675E">
            <w:pPr>
              <w:widowControl w:val="0"/>
              <w:autoSpaceDE w:val="0"/>
              <w:autoSpaceDN w:val="0"/>
              <w:adjustRightInd w:val="0"/>
              <w:spacing w:line="276" w:lineRule="auto"/>
              <w:jc w:val="right"/>
              <w:rPr>
                <w:rFonts w:eastAsia="Calibri"/>
                <w:sz w:val="20"/>
                <w:szCs w:val="20"/>
              </w:rPr>
            </w:pPr>
          </w:p>
        </w:tc>
        <w:tc>
          <w:tcPr>
            <w:tcW w:w="657" w:type="pct"/>
            <w:tcBorders>
              <w:top w:val="single" w:sz="4" w:space="0" w:color="auto"/>
              <w:left w:val="single" w:sz="4" w:space="0" w:color="auto"/>
              <w:bottom w:val="single" w:sz="4" w:space="0" w:color="auto"/>
              <w:right w:val="single" w:sz="4" w:space="0" w:color="auto"/>
            </w:tcBorders>
            <w:hideMark/>
          </w:tcPr>
          <w:p w14:paraId="49FD557B" w14:textId="1AD47B4F" w:rsidR="008E675E" w:rsidRPr="008E675E" w:rsidRDefault="00F321C0" w:rsidP="008E675E">
            <w:pPr>
              <w:widowControl w:val="0"/>
              <w:autoSpaceDE w:val="0"/>
              <w:autoSpaceDN w:val="0"/>
              <w:adjustRightInd w:val="0"/>
              <w:spacing w:line="276" w:lineRule="auto"/>
              <w:jc w:val="right"/>
              <w:rPr>
                <w:rFonts w:eastAsia="Calibri"/>
                <w:b/>
                <w:sz w:val="20"/>
                <w:szCs w:val="20"/>
              </w:rPr>
            </w:pPr>
            <w:r>
              <w:rPr>
                <w:rFonts w:eastAsia="Calibri"/>
                <w:b/>
                <w:sz w:val="20"/>
                <w:szCs w:val="20"/>
              </w:rPr>
              <w:t>1,611</w:t>
            </w:r>
            <w:r w:rsidR="008E675E" w:rsidRPr="008E675E">
              <w:rPr>
                <w:rFonts w:eastAsia="Calibri"/>
                <w:b/>
                <w:sz w:val="20"/>
                <w:szCs w:val="20"/>
              </w:rPr>
              <w:t>.5 hrs</w:t>
            </w:r>
            <w:r w:rsidR="00980964">
              <w:rPr>
                <w:rFonts w:eastAsia="Calibri"/>
                <w:b/>
                <w:sz w:val="20"/>
                <w:szCs w:val="20"/>
              </w:rPr>
              <w:t>.</w:t>
            </w:r>
            <w:r w:rsidR="008E675E" w:rsidRPr="008E675E">
              <w:rPr>
                <w:rFonts w:eastAsia="Calibri"/>
                <w:b/>
                <w:sz w:val="20"/>
                <w:szCs w:val="20"/>
              </w:rPr>
              <w:t>;</w:t>
            </w:r>
          </w:p>
          <w:p w14:paraId="16C53EF4" w14:textId="64A1CAC5" w:rsidR="008E675E" w:rsidRPr="008E675E" w:rsidRDefault="008E675E" w:rsidP="00F321C0">
            <w:pPr>
              <w:widowControl w:val="0"/>
              <w:autoSpaceDE w:val="0"/>
              <w:autoSpaceDN w:val="0"/>
              <w:adjustRightInd w:val="0"/>
              <w:spacing w:line="276" w:lineRule="auto"/>
              <w:jc w:val="right"/>
              <w:rPr>
                <w:rFonts w:eastAsia="Calibri"/>
                <w:b/>
                <w:sz w:val="20"/>
                <w:szCs w:val="20"/>
              </w:rPr>
            </w:pPr>
            <w:r w:rsidRPr="008E675E">
              <w:rPr>
                <w:rFonts w:eastAsia="Calibri"/>
                <w:b/>
                <w:sz w:val="20"/>
                <w:szCs w:val="20"/>
              </w:rPr>
              <w:t>$</w:t>
            </w:r>
            <w:r w:rsidR="00F321C0">
              <w:rPr>
                <w:rFonts w:eastAsia="Calibri"/>
                <w:b/>
                <w:sz w:val="20"/>
                <w:szCs w:val="20"/>
              </w:rPr>
              <w:t>128</w:t>
            </w:r>
            <w:r w:rsidR="005149A1">
              <w:rPr>
                <w:rFonts w:eastAsia="Calibri"/>
                <w:b/>
                <w:sz w:val="20"/>
                <w:szCs w:val="20"/>
              </w:rPr>
              <w:t>,</w:t>
            </w:r>
            <w:r w:rsidR="00F321C0">
              <w:rPr>
                <w:rFonts w:eastAsia="Calibri"/>
                <w:b/>
                <w:sz w:val="20"/>
                <w:szCs w:val="20"/>
              </w:rPr>
              <w:t>920</w:t>
            </w:r>
            <w:r w:rsidR="005149A1">
              <w:rPr>
                <w:rFonts w:eastAsia="Calibri"/>
                <w:b/>
                <w:sz w:val="20"/>
                <w:szCs w:val="20"/>
              </w:rPr>
              <w:t>.00</w:t>
            </w:r>
          </w:p>
        </w:tc>
        <w:tc>
          <w:tcPr>
            <w:tcW w:w="616" w:type="pct"/>
            <w:tcBorders>
              <w:top w:val="single" w:sz="4" w:space="0" w:color="auto"/>
              <w:left w:val="single" w:sz="4" w:space="0" w:color="auto"/>
              <w:bottom w:val="single" w:sz="4" w:space="0" w:color="auto"/>
              <w:right w:val="single" w:sz="4" w:space="0" w:color="auto"/>
            </w:tcBorders>
            <w:shd w:val="clear" w:color="auto" w:fill="D9D9D9"/>
          </w:tcPr>
          <w:p w14:paraId="280CE65E" w14:textId="77777777" w:rsidR="008E675E" w:rsidRPr="008E675E" w:rsidRDefault="008E675E" w:rsidP="008E675E">
            <w:pPr>
              <w:widowControl w:val="0"/>
              <w:autoSpaceDE w:val="0"/>
              <w:autoSpaceDN w:val="0"/>
              <w:adjustRightInd w:val="0"/>
              <w:spacing w:line="276" w:lineRule="auto"/>
              <w:jc w:val="right"/>
              <w:rPr>
                <w:rFonts w:eastAsia="Calibri"/>
                <w:b/>
                <w:sz w:val="20"/>
                <w:szCs w:val="20"/>
              </w:rPr>
            </w:pPr>
          </w:p>
        </w:tc>
      </w:tr>
    </w:tbl>
    <w:p w14:paraId="012B5536" w14:textId="77777777" w:rsidR="008E675E" w:rsidRPr="008E675E" w:rsidRDefault="008E675E" w:rsidP="008E675E">
      <w:pPr>
        <w:autoSpaceDE w:val="0"/>
        <w:autoSpaceDN w:val="0"/>
        <w:adjustRightInd w:val="0"/>
        <w:rPr>
          <w:sz w:val="24"/>
        </w:rPr>
      </w:pPr>
    </w:p>
    <w:p w14:paraId="3B0025FF" w14:textId="77245AEF" w:rsidR="0003526D" w:rsidRPr="0003526D" w:rsidRDefault="0003526D" w:rsidP="0003526D">
      <w:pPr>
        <w:spacing w:line="480" w:lineRule="auto"/>
        <w:rPr>
          <w:szCs w:val="26"/>
        </w:rPr>
      </w:pPr>
      <w:r w:rsidRPr="0003526D">
        <w:rPr>
          <w:i/>
          <w:szCs w:val="26"/>
        </w:rPr>
        <w:t xml:space="preserve">Comments:  </w:t>
      </w:r>
      <w:r w:rsidRPr="0003526D">
        <w:rPr>
          <w:szCs w:val="26"/>
        </w:rPr>
        <w:t xml:space="preserve">Comments are invited on:  (1) whether the collection of information are necessary for the proper performance of the functions of the Commission, including whether the information will have practical utility; (2) the accuracy of the agency’s estimates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39608B5D" w14:textId="47CF3E82" w:rsidR="00945279" w:rsidRDefault="00945279">
      <w:pPr>
        <w:rPr>
          <w:szCs w:val="26"/>
        </w:rPr>
      </w:pPr>
    </w:p>
    <w:p w14:paraId="749DE541" w14:textId="73DA6B6C" w:rsidR="00945279" w:rsidRPr="00945279" w:rsidRDefault="00945279" w:rsidP="00945279">
      <w:pPr>
        <w:ind w:firstLine="2606"/>
        <w:jc w:val="center"/>
      </w:pPr>
      <w:r w:rsidRPr="00945279">
        <w:t>Nathaniel J. Davis, Sr.,</w:t>
      </w:r>
    </w:p>
    <w:p w14:paraId="4C985B80" w14:textId="1D5800A7" w:rsidR="00945279" w:rsidRPr="00945279" w:rsidRDefault="00945279" w:rsidP="00945279">
      <w:pPr>
        <w:ind w:firstLine="2606"/>
        <w:jc w:val="center"/>
      </w:pPr>
      <w:r w:rsidRPr="00945279">
        <w:t>Deputy Secretary.</w:t>
      </w:r>
    </w:p>
    <w:p w14:paraId="3CF73C8B" w14:textId="77777777" w:rsidR="00945279" w:rsidRPr="0003526D" w:rsidRDefault="00945279">
      <w:pPr>
        <w:rPr>
          <w:szCs w:val="26"/>
        </w:rPr>
      </w:pPr>
    </w:p>
    <w:sectPr w:rsidR="00945279" w:rsidRPr="0003526D" w:rsidSect="00AF69E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3ACA9" w14:textId="77777777" w:rsidR="00B11784" w:rsidRDefault="00B11784" w:rsidP="0003526D">
      <w:r>
        <w:separator/>
      </w:r>
    </w:p>
  </w:endnote>
  <w:endnote w:type="continuationSeparator" w:id="0">
    <w:p w14:paraId="17DD801C" w14:textId="77777777" w:rsidR="00B11784" w:rsidRDefault="00B11784" w:rsidP="0003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E7AE7" w14:textId="77777777" w:rsidR="002F37B8" w:rsidRDefault="002F37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683771"/>
      <w:docPartObj>
        <w:docPartGallery w:val="Page Numbers (Bottom of Page)"/>
        <w:docPartUnique/>
      </w:docPartObj>
    </w:sdtPr>
    <w:sdtEndPr>
      <w:rPr>
        <w:noProof/>
      </w:rPr>
    </w:sdtEndPr>
    <w:sdtContent>
      <w:p w14:paraId="18A8B985" w14:textId="77777777" w:rsidR="002320F1" w:rsidRDefault="0003526D">
        <w:pPr>
          <w:pStyle w:val="Footer"/>
          <w:jc w:val="right"/>
        </w:pPr>
        <w:r>
          <w:fldChar w:fldCharType="begin"/>
        </w:r>
        <w:r>
          <w:instrText xml:space="preserve"> PAGE   \* MERGEFORMAT </w:instrText>
        </w:r>
        <w:r>
          <w:fldChar w:fldCharType="separate"/>
        </w:r>
        <w:r w:rsidR="00572187">
          <w:rPr>
            <w:noProof/>
          </w:rPr>
          <w:t>2</w:t>
        </w:r>
        <w:r>
          <w:rPr>
            <w:noProof/>
          </w:rPr>
          <w:fldChar w:fldCharType="end"/>
        </w:r>
      </w:p>
    </w:sdtContent>
  </w:sdt>
  <w:p w14:paraId="1BE1E794" w14:textId="77777777" w:rsidR="002320F1" w:rsidRDefault="005721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DD32C" w14:textId="77777777" w:rsidR="002F37B8" w:rsidRDefault="002F37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6D4BA" w14:textId="77777777" w:rsidR="00B11784" w:rsidRDefault="00B11784" w:rsidP="0003526D">
      <w:r>
        <w:separator/>
      </w:r>
    </w:p>
  </w:footnote>
  <w:footnote w:type="continuationSeparator" w:id="0">
    <w:p w14:paraId="17A43D07" w14:textId="77777777" w:rsidR="00B11784" w:rsidRDefault="00B11784" w:rsidP="0003526D">
      <w:r>
        <w:continuationSeparator/>
      </w:r>
    </w:p>
  </w:footnote>
  <w:footnote w:id="1">
    <w:p w14:paraId="1EF99577" w14:textId="61877CF4" w:rsidR="008E675E" w:rsidRDefault="008E675E" w:rsidP="00927C4F">
      <w:pPr>
        <w:pStyle w:val="FootnoteText"/>
        <w:ind w:firstLine="0"/>
      </w:pPr>
      <w:r>
        <w:rPr>
          <w:rStyle w:val="FootnoteReference"/>
        </w:rPr>
        <w:footnoteRef/>
      </w:r>
      <w:r>
        <w:t xml:space="preserve"> </w:t>
      </w:r>
      <w:r w:rsidR="002E5B07">
        <w:t xml:space="preserve">By using the data in </w:t>
      </w:r>
      <w:r w:rsidR="00A27467">
        <w:t>FERC Form 580</w:t>
      </w:r>
      <w:r w:rsidR="002E5B07">
        <w:t>,</w:t>
      </w:r>
      <w:r w:rsidR="00A27467">
        <w:t xml:space="preserve"> the Commission is able to </w:t>
      </w:r>
      <w:r w:rsidR="00CD146A" w:rsidRPr="008E675E">
        <w:rPr>
          <w:bCs/>
          <w:szCs w:val="26"/>
        </w:rPr>
        <w:t xml:space="preserve">review utility purchase and cost recovery practices </w:t>
      </w:r>
      <w:r w:rsidR="00CD146A">
        <w:rPr>
          <w:bCs/>
          <w:szCs w:val="26"/>
        </w:rPr>
        <w:t xml:space="preserve">and </w:t>
      </w:r>
      <w:r w:rsidR="00A27467">
        <w:t>ensure</w:t>
      </w:r>
      <w:r w:rsidR="00A66B8E">
        <w:t xml:space="preserve"> </w:t>
      </w:r>
      <w:r w:rsidR="00CD146A">
        <w:t xml:space="preserve">the </w:t>
      </w:r>
      <w:r w:rsidR="00A66B8E">
        <w:t>resources are i</w:t>
      </w:r>
      <w:r>
        <w:t>n compliance with Commission regulations in 18 CFR 35.14</w:t>
      </w:r>
    </w:p>
  </w:footnote>
  <w:footnote w:id="2">
    <w:p w14:paraId="6AF6BFD5" w14:textId="77777777" w:rsidR="0003526D" w:rsidRPr="008B7470" w:rsidRDefault="0003526D" w:rsidP="0003526D">
      <w:pPr>
        <w:pStyle w:val="FootnoteText"/>
        <w:ind w:firstLine="0"/>
        <w:rPr>
          <w:szCs w:val="26"/>
        </w:rPr>
      </w:pPr>
      <w:r w:rsidRPr="008B7470">
        <w:rPr>
          <w:rStyle w:val="FootnoteReference"/>
        </w:rPr>
        <w:footnoteRef/>
      </w:r>
      <w:r w:rsidRPr="008B7470">
        <w:rPr>
          <w:szCs w:val="26"/>
          <w:vertAlign w:val="superscript"/>
        </w:rPr>
        <w:t xml:space="preserve"> </w:t>
      </w:r>
      <w:r w:rsidRPr="008B7470">
        <w:rPr>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3">
    <w:p w14:paraId="66873870" w14:textId="0DC91FBB" w:rsidR="00276355" w:rsidRDefault="00276355" w:rsidP="00927C4F">
      <w:pPr>
        <w:pStyle w:val="FootnoteText"/>
        <w:ind w:firstLine="0"/>
      </w:pPr>
      <w:r>
        <w:rPr>
          <w:rStyle w:val="FootnoteReference"/>
        </w:rPr>
        <w:footnoteRef/>
      </w:r>
      <w:r>
        <w:t xml:space="preserve"> The FERC Form 580 interrogatory is conducted every two years.  </w:t>
      </w:r>
    </w:p>
  </w:footnote>
  <w:footnote w:id="4">
    <w:p w14:paraId="65C76169" w14:textId="77D2F297" w:rsidR="007957E7" w:rsidRDefault="007957E7" w:rsidP="007957E7">
      <w:pPr>
        <w:pStyle w:val="FootnoteText"/>
        <w:ind w:firstLine="0"/>
      </w:pPr>
      <w:r>
        <w:rPr>
          <w:rStyle w:val="FootnoteReference"/>
        </w:rPr>
        <w:footnoteRef/>
      </w:r>
      <w:r>
        <w:t xml:space="preserve"> The estimates for cost per response are derived using the 2019 FERC average salary plus benefits of $167,091/year (or $80.00/hour).  Commission staff finds that the work done </w:t>
      </w:r>
      <w:r w:rsidR="002E5B07">
        <w:t>on</w:t>
      </w:r>
      <w:r>
        <w:t xml:space="preserve"> this information collection is typically done by wage categories like those at FERC. </w:t>
      </w:r>
    </w:p>
    <w:p w14:paraId="0AC051FF" w14:textId="66CB28B2" w:rsidR="007957E7" w:rsidRDefault="007957E7" w:rsidP="00927C4F">
      <w:pPr>
        <w:pStyle w:val="FootnoteText"/>
        <w:ind w:firstLine="0"/>
      </w:pPr>
    </w:p>
  </w:footnote>
  <w:footnote w:id="5">
    <w:p w14:paraId="7BE7410D" w14:textId="1E885E91" w:rsidR="00A66B8E" w:rsidRDefault="00A66B8E" w:rsidP="00927C4F">
      <w:pPr>
        <w:pStyle w:val="FootnoteText"/>
        <w:ind w:firstLine="0"/>
      </w:pPr>
      <w:r>
        <w:rPr>
          <w:rStyle w:val="FootnoteReference"/>
        </w:rPr>
        <w:footnoteRef/>
      </w:r>
      <w:r>
        <w:t xml:space="preserve"> Fuel Adjustment Clause (FAC)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602A6" w14:textId="77777777" w:rsidR="002F37B8" w:rsidRDefault="002F37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6B95D" w14:textId="2DECCF45" w:rsidR="0090501C" w:rsidRDefault="0003526D">
    <w:pPr>
      <w:pStyle w:val="Header"/>
    </w:pPr>
    <w:r w:rsidRPr="002F37B8">
      <w:t>Docket No. IC19-</w:t>
    </w:r>
    <w:r w:rsidR="002F37B8" w:rsidRPr="002F37B8">
      <w:t>45</w:t>
    </w:r>
    <w:r w:rsidRPr="002F37B8">
      <w:t>-000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031CC" w14:textId="77777777" w:rsidR="002F37B8" w:rsidRDefault="002F37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771B0"/>
    <w:multiLevelType w:val="hybridMultilevel"/>
    <w:tmpl w:val="5510C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0F02A8"/>
    <w:multiLevelType w:val="hybridMultilevel"/>
    <w:tmpl w:val="1F3240CC"/>
    <w:lvl w:ilvl="0" w:tplc="DE32E332">
      <w:start w:val="1"/>
      <w:numFmt w:val="bullet"/>
      <w:lvlText w:val=""/>
      <w:lvlJc w:val="left"/>
      <w:pPr>
        <w:tabs>
          <w:tab w:val="num" w:pos="2580"/>
        </w:tabs>
        <w:ind w:left="2580" w:hanging="360"/>
      </w:pPr>
      <w:rPr>
        <w:rFonts w:ascii="Symbol" w:hAnsi="Symbol" w:hint="default"/>
        <w:color w:val="auto"/>
      </w:rPr>
    </w:lvl>
    <w:lvl w:ilvl="1" w:tplc="04090003">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
    <w:nsid w:val="27C85D29"/>
    <w:multiLevelType w:val="hybridMultilevel"/>
    <w:tmpl w:val="96301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26D"/>
    <w:rsid w:val="0003526D"/>
    <w:rsid w:val="000A68F7"/>
    <w:rsid w:val="000C26C6"/>
    <w:rsid w:val="001455C9"/>
    <w:rsid w:val="001915CD"/>
    <w:rsid w:val="00276355"/>
    <w:rsid w:val="00281A8E"/>
    <w:rsid w:val="00285D42"/>
    <w:rsid w:val="002E5B07"/>
    <w:rsid w:val="002F0B4A"/>
    <w:rsid w:val="002F37B8"/>
    <w:rsid w:val="003E37D1"/>
    <w:rsid w:val="004176DA"/>
    <w:rsid w:val="00434B84"/>
    <w:rsid w:val="00485534"/>
    <w:rsid w:val="00491745"/>
    <w:rsid w:val="00506268"/>
    <w:rsid w:val="005149A1"/>
    <w:rsid w:val="00572187"/>
    <w:rsid w:val="00616FDA"/>
    <w:rsid w:val="00684D89"/>
    <w:rsid w:val="0076226F"/>
    <w:rsid w:val="007773F2"/>
    <w:rsid w:val="00787B5B"/>
    <w:rsid w:val="007957E7"/>
    <w:rsid w:val="007B2F38"/>
    <w:rsid w:val="007F7EDF"/>
    <w:rsid w:val="0087316E"/>
    <w:rsid w:val="008E675E"/>
    <w:rsid w:val="008F0CA0"/>
    <w:rsid w:val="0092238A"/>
    <w:rsid w:val="00927C4F"/>
    <w:rsid w:val="00945279"/>
    <w:rsid w:val="00945B94"/>
    <w:rsid w:val="00980964"/>
    <w:rsid w:val="009827E8"/>
    <w:rsid w:val="009A3F64"/>
    <w:rsid w:val="009B3CE8"/>
    <w:rsid w:val="009E2D73"/>
    <w:rsid w:val="00A14AEC"/>
    <w:rsid w:val="00A27467"/>
    <w:rsid w:val="00A306A9"/>
    <w:rsid w:val="00A6418B"/>
    <w:rsid w:val="00A66B8E"/>
    <w:rsid w:val="00B11784"/>
    <w:rsid w:val="00B262A5"/>
    <w:rsid w:val="00C910C1"/>
    <w:rsid w:val="00CD146A"/>
    <w:rsid w:val="00E704E3"/>
    <w:rsid w:val="00E7545F"/>
    <w:rsid w:val="00EF09F8"/>
    <w:rsid w:val="00F22AAB"/>
    <w:rsid w:val="00F32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C7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26D"/>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03526D"/>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n1,fn3"/>
    <w:basedOn w:val="Normal"/>
    <w:link w:val="FootnoteTextChar"/>
    <w:qFormat/>
    <w:rsid w:val="0003526D"/>
    <w:pPr>
      <w:spacing w:after="260"/>
      <w:ind w:firstLine="720"/>
    </w:pPr>
    <w:rPr>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rsid w:val="0003526D"/>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03526D"/>
    <w:pPr>
      <w:tabs>
        <w:tab w:val="center" w:pos="4680"/>
        <w:tab w:val="right" w:pos="9360"/>
      </w:tabs>
    </w:pPr>
  </w:style>
  <w:style w:type="character" w:customStyle="1" w:styleId="HeaderChar">
    <w:name w:val="Header Char"/>
    <w:basedOn w:val="DefaultParagraphFont"/>
    <w:link w:val="Header"/>
    <w:uiPriority w:val="99"/>
    <w:rsid w:val="0003526D"/>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03526D"/>
    <w:pPr>
      <w:tabs>
        <w:tab w:val="center" w:pos="4680"/>
        <w:tab w:val="right" w:pos="9360"/>
      </w:tabs>
    </w:pPr>
  </w:style>
  <w:style w:type="character" w:customStyle="1" w:styleId="FooterChar">
    <w:name w:val="Footer Char"/>
    <w:basedOn w:val="DefaultParagraphFont"/>
    <w:link w:val="Footer"/>
    <w:uiPriority w:val="99"/>
    <w:rsid w:val="0003526D"/>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506268"/>
    <w:rPr>
      <w:sz w:val="16"/>
      <w:szCs w:val="16"/>
    </w:rPr>
  </w:style>
  <w:style w:type="paragraph" w:styleId="CommentText">
    <w:name w:val="annotation text"/>
    <w:basedOn w:val="Normal"/>
    <w:link w:val="CommentTextChar"/>
    <w:uiPriority w:val="99"/>
    <w:semiHidden/>
    <w:unhideWhenUsed/>
    <w:rsid w:val="00506268"/>
    <w:rPr>
      <w:sz w:val="20"/>
      <w:szCs w:val="20"/>
    </w:rPr>
  </w:style>
  <w:style w:type="character" w:customStyle="1" w:styleId="CommentTextChar">
    <w:name w:val="Comment Text Char"/>
    <w:basedOn w:val="DefaultParagraphFont"/>
    <w:link w:val="CommentText"/>
    <w:uiPriority w:val="99"/>
    <w:semiHidden/>
    <w:rsid w:val="005062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6268"/>
    <w:rPr>
      <w:b/>
      <w:bCs/>
    </w:rPr>
  </w:style>
  <w:style w:type="character" w:customStyle="1" w:styleId="CommentSubjectChar">
    <w:name w:val="Comment Subject Char"/>
    <w:basedOn w:val="CommentTextChar"/>
    <w:link w:val="CommentSubject"/>
    <w:uiPriority w:val="99"/>
    <w:semiHidden/>
    <w:rsid w:val="005062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06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268"/>
    <w:rPr>
      <w:rFonts w:ascii="Segoe UI" w:eastAsia="Times New Roman" w:hAnsi="Segoe UI" w:cs="Segoe UI"/>
      <w:sz w:val="18"/>
      <w:szCs w:val="18"/>
    </w:rPr>
  </w:style>
  <w:style w:type="paragraph" w:styleId="ListParagraph">
    <w:name w:val="List Paragraph"/>
    <w:basedOn w:val="Normal"/>
    <w:uiPriority w:val="34"/>
    <w:qFormat/>
    <w:rsid w:val="002763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26D"/>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03526D"/>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n1,fn3"/>
    <w:basedOn w:val="Normal"/>
    <w:link w:val="FootnoteTextChar"/>
    <w:qFormat/>
    <w:rsid w:val="0003526D"/>
    <w:pPr>
      <w:spacing w:after="260"/>
      <w:ind w:firstLine="720"/>
    </w:pPr>
    <w:rPr>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rsid w:val="0003526D"/>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03526D"/>
    <w:pPr>
      <w:tabs>
        <w:tab w:val="center" w:pos="4680"/>
        <w:tab w:val="right" w:pos="9360"/>
      </w:tabs>
    </w:pPr>
  </w:style>
  <w:style w:type="character" w:customStyle="1" w:styleId="HeaderChar">
    <w:name w:val="Header Char"/>
    <w:basedOn w:val="DefaultParagraphFont"/>
    <w:link w:val="Header"/>
    <w:uiPriority w:val="99"/>
    <w:rsid w:val="0003526D"/>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03526D"/>
    <w:pPr>
      <w:tabs>
        <w:tab w:val="center" w:pos="4680"/>
        <w:tab w:val="right" w:pos="9360"/>
      </w:tabs>
    </w:pPr>
  </w:style>
  <w:style w:type="character" w:customStyle="1" w:styleId="FooterChar">
    <w:name w:val="Footer Char"/>
    <w:basedOn w:val="DefaultParagraphFont"/>
    <w:link w:val="Footer"/>
    <w:uiPriority w:val="99"/>
    <w:rsid w:val="0003526D"/>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506268"/>
    <w:rPr>
      <w:sz w:val="16"/>
      <w:szCs w:val="16"/>
    </w:rPr>
  </w:style>
  <w:style w:type="paragraph" w:styleId="CommentText">
    <w:name w:val="annotation text"/>
    <w:basedOn w:val="Normal"/>
    <w:link w:val="CommentTextChar"/>
    <w:uiPriority w:val="99"/>
    <w:semiHidden/>
    <w:unhideWhenUsed/>
    <w:rsid w:val="00506268"/>
    <w:rPr>
      <w:sz w:val="20"/>
      <w:szCs w:val="20"/>
    </w:rPr>
  </w:style>
  <w:style w:type="character" w:customStyle="1" w:styleId="CommentTextChar">
    <w:name w:val="Comment Text Char"/>
    <w:basedOn w:val="DefaultParagraphFont"/>
    <w:link w:val="CommentText"/>
    <w:uiPriority w:val="99"/>
    <w:semiHidden/>
    <w:rsid w:val="005062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6268"/>
    <w:rPr>
      <w:b/>
      <w:bCs/>
    </w:rPr>
  </w:style>
  <w:style w:type="character" w:customStyle="1" w:styleId="CommentSubjectChar">
    <w:name w:val="Comment Subject Char"/>
    <w:basedOn w:val="CommentTextChar"/>
    <w:link w:val="CommentSubject"/>
    <w:uiPriority w:val="99"/>
    <w:semiHidden/>
    <w:rsid w:val="005062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06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268"/>
    <w:rPr>
      <w:rFonts w:ascii="Segoe UI" w:eastAsia="Times New Roman" w:hAnsi="Segoe UI" w:cs="Segoe UI"/>
      <w:sz w:val="18"/>
      <w:szCs w:val="18"/>
    </w:rPr>
  </w:style>
  <w:style w:type="paragraph" w:styleId="ListParagraph">
    <w:name w:val="List Paragraph"/>
    <w:basedOn w:val="Normal"/>
    <w:uiPriority w:val="34"/>
    <w:qFormat/>
    <w:rsid w:val="00276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950327">
      <w:bodyDiv w:val="1"/>
      <w:marLeft w:val="0"/>
      <w:marRight w:val="0"/>
      <w:marTop w:val="0"/>
      <w:marBottom w:val="0"/>
      <w:divBdr>
        <w:top w:val="none" w:sz="0" w:space="0" w:color="auto"/>
        <w:left w:val="none" w:sz="0" w:space="0" w:color="auto"/>
        <w:bottom w:val="none" w:sz="0" w:space="0" w:color="auto"/>
        <w:right w:val="none" w:sz="0" w:space="0" w:color="auto"/>
      </w:divBdr>
    </w:div>
    <w:div w:id="663168343">
      <w:bodyDiv w:val="1"/>
      <w:marLeft w:val="0"/>
      <w:marRight w:val="0"/>
      <w:marTop w:val="0"/>
      <w:marBottom w:val="0"/>
      <w:divBdr>
        <w:top w:val="none" w:sz="0" w:space="0" w:color="auto"/>
        <w:left w:val="none" w:sz="0" w:space="0" w:color="auto"/>
        <w:bottom w:val="none" w:sz="0" w:space="0" w:color="auto"/>
        <w:right w:val="none" w:sz="0" w:space="0" w:color="auto"/>
      </w:divBdr>
    </w:div>
    <w:div w:id="8006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386C4-4EC6-44BA-8FBF-72062680E5D8}">
  <ds:schemaRefs>
    <ds:schemaRef ds:uri="http://schemas.microsoft.com/sharepoint/v3/contenttype/forms"/>
  </ds:schemaRefs>
</ds:datastoreItem>
</file>

<file path=customXml/itemProps2.xml><?xml version="1.0" encoding="utf-8"?>
<ds:datastoreItem xmlns:ds="http://schemas.openxmlformats.org/officeDocument/2006/customXml" ds:itemID="{DA91E75C-735E-4566-8118-5851975E42FF}">
  <ds:schemaRefs>
    <ds:schemaRef ds:uri="Microsoft.SharePoint.Taxonomy.ContentTypeSync"/>
  </ds:schemaRefs>
</ds:datastoreItem>
</file>

<file path=customXml/itemProps3.xml><?xml version="1.0" encoding="utf-8"?>
<ds:datastoreItem xmlns:ds="http://schemas.openxmlformats.org/officeDocument/2006/customXml" ds:itemID="{17C9330B-9B2F-4EDF-866B-EEE9681D7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1874C2-EAB2-4F76-AB72-AB19D66FCE07}">
  <ds:schemaRefs>
    <ds:schemaRef ds:uri="http://schemas.microsoft.com/office/2006/metadata/properties"/>
    <ds:schemaRef ds:uri="http://schemas.microsoft.com/office/infopath/2007/PartnerControls"/>
    <ds:schemaRef ds:uri="5e8733a2-e908-454b-85cf-c9d17e1d0943"/>
  </ds:schemaRefs>
</ds:datastoreItem>
</file>

<file path=customXml/itemProps5.xml><?xml version="1.0" encoding="utf-8"?>
<ds:datastoreItem xmlns:ds="http://schemas.openxmlformats.org/officeDocument/2006/customXml" ds:itemID="{BB279631-6BD7-40CC-8FF4-E7894813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2019-09-25T12:22:00Z</cp:lastPrinted>
  <dcterms:created xsi:type="dcterms:W3CDTF">2019-12-10T12:42:00Z</dcterms:created>
  <dcterms:modified xsi:type="dcterms:W3CDTF">2019-12-10T12:42:00Z</dcterms:modified>
  <cp:category/>
  <dc:identifier/>
  <cp:contentStatus/>
  <cp:version/>
</cp:coreProperties>
</file>