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B6D" w:rsidP="001307A3" w:rsidRDefault="00035B6D" w14:paraId="36D333B4" w14:textId="77777777">
      <w:pPr>
        <w:tabs>
          <w:tab w:val="left" w:pos="3320"/>
        </w:tabs>
        <w:spacing w:after="0" w:line="20" w:lineRule="atLeast"/>
        <w:jc w:val="center"/>
        <w:rPr>
          <w:rFonts w:ascii="Times New Roman" w:hAnsi="Times New Roman" w:cs="Times New Roman"/>
          <w:sz w:val="26"/>
          <w:szCs w:val="26"/>
        </w:rPr>
      </w:pPr>
      <w:bookmarkStart w:name="_GoBack" w:id="0"/>
      <w:bookmarkEnd w:id="0"/>
    </w:p>
    <w:p w:rsidRPr="0076369B" w:rsidR="000E57BE" w:rsidP="001307A3" w:rsidRDefault="000E57BE" w14:paraId="08008F41" w14:textId="68E1BB16">
      <w:pPr>
        <w:tabs>
          <w:tab w:val="left" w:pos="3320"/>
        </w:tabs>
        <w:spacing w:after="0" w:line="20" w:lineRule="atLeast"/>
        <w:jc w:val="center"/>
        <w:rPr>
          <w:rFonts w:ascii="Times New Roman" w:hAnsi="Times New Roman" w:cs="Times New Roman"/>
          <w:sz w:val="26"/>
          <w:szCs w:val="26"/>
        </w:rPr>
      </w:pPr>
      <w:r w:rsidRPr="0076369B">
        <w:rPr>
          <w:rFonts w:ascii="Times New Roman" w:hAnsi="Times New Roman" w:cs="Times New Roman"/>
          <w:sz w:val="26"/>
          <w:szCs w:val="26"/>
        </w:rPr>
        <w:t>Supporting Statement for</w:t>
      </w:r>
    </w:p>
    <w:p w:rsidRPr="0076369B" w:rsidR="000E57BE" w:rsidP="001307A3" w:rsidRDefault="000E57BE" w14:paraId="18846DFB" w14:textId="1CBE2108">
      <w:pPr>
        <w:spacing w:after="0" w:line="20" w:lineRule="atLeast"/>
        <w:ind w:right="-180"/>
        <w:jc w:val="center"/>
        <w:rPr>
          <w:rFonts w:ascii="Times New Roman" w:hAnsi="Times New Roman" w:cs="Times New Roman"/>
          <w:b/>
          <w:sz w:val="26"/>
          <w:szCs w:val="26"/>
        </w:rPr>
      </w:pPr>
      <w:r w:rsidRPr="0076369B">
        <w:rPr>
          <w:rFonts w:ascii="Times New Roman" w:hAnsi="Times New Roman" w:cs="Times New Roman"/>
          <w:b/>
          <w:sz w:val="26"/>
          <w:szCs w:val="26"/>
        </w:rPr>
        <w:t>FERC-547</w:t>
      </w:r>
      <w:r w:rsidR="00140F17">
        <w:rPr>
          <w:rFonts w:ascii="Times New Roman" w:hAnsi="Times New Roman" w:cs="Times New Roman"/>
          <w:b/>
          <w:sz w:val="26"/>
          <w:szCs w:val="26"/>
        </w:rPr>
        <w:t xml:space="preserve">, </w:t>
      </w:r>
      <w:r w:rsidRPr="0076369B">
        <w:rPr>
          <w:rFonts w:ascii="Times New Roman" w:hAnsi="Times New Roman" w:eastAsia="Times New Roman" w:cs="Times New Roman"/>
          <w:b/>
          <w:sz w:val="26"/>
          <w:szCs w:val="26"/>
        </w:rPr>
        <w:t>Gas Pipeline Rates: Refund Report Requirements</w:t>
      </w:r>
    </w:p>
    <w:p w:rsidRPr="0076369B" w:rsidR="000E57BE" w:rsidP="001307A3" w:rsidRDefault="000E57BE" w14:paraId="2B7C06F5" w14:textId="77777777">
      <w:pPr>
        <w:spacing w:after="0" w:line="20" w:lineRule="atLeast"/>
        <w:ind w:right="-180"/>
        <w:jc w:val="center"/>
        <w:rPr>
          <w:rFonts w:ascii="Times New Roman" w:hAnsi="Times New Roman" w:cs="Times New Roman"/>
          <w:b/>
          <w:sz w:val="26"/>
          <w:szCs w:val="26"/>
        </w:rPr>
      </w:pPr>
    </w:p>
    <w:p w:rsidRPr="00537F9E" w:rsidR="000E57BE" w:rsidP="001307A3" w:rsidRDefault="000E57BE" w14:paraId="5023B780" w14:textId="25CEFB1C">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 Federal Energy Regulatory Commission (Commission or FERC) requests that the Office of Management and Budget (OMB) review and approve</w:t>
      </w:r>
      <w:r w:rsidR="00140F17">
        <w:rPr>
          <w:rFonts w:ascii="Times New Roman" w:hAnsi="Times New Roman" w:cs="Times New Roman"/>
          <w:sz w:val="26"/>
          <w:szCs w:val="26"/>
        </w:rPr>
        <w:t xml:space="preserve"> the </w:t>
      </w:r>
      <w:r w:rsidRPr="00537F9E">
        <w:rPr>
          <w:rFonts w:ascii="Times New Roman" w:hAnsi="Times New Roman" w:cs="Times New Roman"/>
          <w:sz w:val="26"/>
          <w:szCs w:val="26"/>
        </w:rPr>
        <w:t xml:space="preserve">FERC-547 </w:t>
      </w:r>
      <w:r w:rsidRPr="00537F9E">
        <w:rPr>
          <w:rFonts w:ascii="Times New Roman" w:hAnsi="Times New Roman" w:eastAsia="Times New Roman" w:cs="Times New Roman"/>
          <w:sz w:val="26"/>
          <w:szCs w:val="26"/>
        </w:rPr>
        <w:t>(Gas Pipeline Rates: Refund Report Requirements</w:t>
      </w:r>
      <w:r w:rsidR="00C20002">
        <w:rPr>
          <w:rFonts w:ascii="Times New Roman" w:hAnsi="Times New Roman" w:eastAsia="Times New Roman" w:cs="Times New Roman"/>
          <w:sz w:val="26"/>
          <w:szCs w:val="26"/>
        </w:rPr>
        <w:t xml:space="preserve">; </w:t>
      </w:r>
      <w:r w:rsidRPr="00537F9E">
        <w:rPr>
          <w:rFonts w:ascii="Times New Roman" w:hAnsi="Times New Roman" w:cs="Times New Roman"/>
          <w:sz w:val="26"/>
          <w:szCs w:val="26"/>
        </w:rPr>
        <w:t>OMB Control No. 1902-0084)</w:t>
      </w:r>
      <w:r w:rsidR="00140F17">
        <w:rPr>
          <w:rFonts w:ascii="Times New Roman" w:hAnsi="Times New Roman" w:cs="Times New Roman"/>
          <w:sz w:val="26"/>
          <w:szCs w:val="26"/>
        </w:rPr>
        <w:t xml:space="preserve"> for a three-year period</w:t>
      </w:r>
      <w:r w:rsidRPr="00537F9E">
        <w:rPr>
          <w:rFonts w:ascii="Times New Roman" w:hAnsi="Times New Roman" w:cs="Times New Roman"/>
          <w:sz w:val="26"/>
          <w:szCs w:val="26"/>
        </w:rPr>
        <w:t>.  FERC-547 is an existing data collection with reporting requirement in 18 Code of Federal Regulations (CFR) 154.501 and 154.502.</w:t>
      </w:r>
    </w:p>
    <w:p w:rsidRPr="00537F9E" w:rsidR="000E57BE" w:rsidP="001307A3" w:rsidRDefault="000E57BE" w14:paraId="054382D2" w14:textId="77777777">
      <w:pPr>
        <w:spacing w:after="0" w:line="20" w:lineRule="atLeast"/>
        <w:rPr>
          <w:rFonts w:ascii="Times New Roman" w:hAnsi="Times New Roman" w:cs="Times New Roman"/>
          <w:b/>
          <w:sz w:val="26"/>
          <w:szCs w:val="26"/>
        </w:rPr>
      </w:pPr>
    </w:p>
    <w:p w:rsidRPr="00537F9E" w:rsidR="000E57BE" w:rsidP="001307A3" w:rsidRDefault="000E57BE" w14:paraId="09FE5330"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CIRCUMSTANCES THAT MAKE THE COLLECTION OF INFORMATION NECESSARY</w:t>
      </w:r>
    </w:p>
    <w:p w:rsidRPr="00537F9E" w:rsidR="000E57BE" w:rsidP="001307A3" w:rsidRDefault="000E57BE" w14:paraId="7CCA01F2" w14:textId="77777777">
      <w:pPr>
        <w:widowControl w:val="0"/>
        <w:autoSpaceDE w:val="0"/>
        <w:autoSpaceDN w:val="0"/>
        <w:adjustRightInd w:val="0"/>
        <w:spacing w:after="0" w:line="20" w:lineRule="atLeast"/>
        <w:ind w:left="360"/>
        <w:rPr>
          <w:rFonts w:ascii="Times New Roman" w:hAnsi="Times New Roman" w:cs="Times New Roman"/>
          <w:b/>
          <w:bCs/>
          <w:sz w:val="26"/>
          <w:szCs w:val="26"/>
        </w:rPr>
      </w:pPr>
    </w:p>
    <w:p w:rsidRPr="00537F9E" w:rsidR="000E57BE" w:rsidP="001307A3" w:rsidRDefault="000E57BE" w14:paraId="6CB992E1" w14:textId="7F518D0A">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FERC-547 is required to implement the statutory refund provisions governed by sections 4, 5, and 16 of the Natural Gas Act (NGA) (15 U.S.C. 717-717w)</w:t>
      </w:r>
      <w:r w:rsidRPr="00537F9E" w:rsidR="00D94276">
        <w:rPr>
          <w:rFonts w:ascii="Times New Roman" w:hAnsi="Times New Roman" w:eastAsia="Times New Roman" w:cs="Times New Roman"/>
          <w:sz w:val="26"/>
          <w:szCs w:val="26"/>
        </w:rPr>
        <w:t xml:space="preserve">. </w:t>
      </w:r>
      <w:r w:rsidRPr="00537F9E">
        <w:rPr>
          <w:rFonts w:ascii="Times New Roman" w:hAnsi="Times New Roman" w:eastAsia="Times New Roman" w:cs="Times New Roman"/>
          <w:sz w:val="26"/>
          <w:szCs w:val="26"/>
        </w:rPr>
        <w:t xml:space="preserve"> Sections 4 and 5 authorize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authorizes the Commission to prescribe the rules and regulations necessary to administer its refund mandates.  The Commission’s refund reporting requirements are set forth in 18 CFR 154.501</w:t>
      </w:r>
      <w:r w:rsidR="00F100BA">
        <w:rPr>
          <w:rFonts w:ascii="Times New Roman" w:hAnsi="Times New Roman" w:eastAsia="Times New Roman" w:cs="Times New Roman"/>
          <w:sz w:val="26"/>
          <w:szCs w:val="26"/>
        </w:rPr>
        <w:t xml:space="preserve"> </w:t>
      </w:r>
      <w:r w:rsidRPr="00537F9E">
        <w:rPr>
          <w:rFonts w:ascii="Times New Roman" w:hAnsi="Times New Roman" w:eastAsia="Times New Roman" w:cs="Times New Roman"/>
          <w:sz w:val="26"/>
          <w:szCs w:val="26"/>
        </w:rPr>
        <w:t>and 154.502</w:t>
      </w:r>
      <w:r w:rsidRPr="00537F9E" w:rsidR="00D94276">
        <w:rPr>
          <w:rFonts w:ascii="Times New Roman" w:hAnsi="Times New Roman" w:eastAsia="Times New Roman" w:cs="Times New Roman"/>
          <w:sz w:val="26"/>
          <w:szCs w:val="26"/>
        </w:rPr>
        <w:t>.</w:t>
      </w:r>
    </w:p>
    <w:p w:rsidRPr="00537F9E" w:rsidR="000E57BE" w:rsidP="001307A3" w:rsidRDefault="000E57BE" w14:paraId="2644A638" w14:textId="77777777">
      <w:pPr>
        <w:spacing w:after="0" w:line="20" w:lineRule="atLeast"/>
        <w:rPr>
          <w:rFonts w:ascii="Times New Roman" w:hAnsi="Times New Roman" w:cs="Times New Roman"/>
          <w:sz w:val="26"/>
          <w:szCs w:val="26"/>
        </w:rPr>
      </w:pPr>
    </w:p>
    <w:p w:rsidRPr="00537F9E" w:rsidR="000E57BE" w:rsidP="001307A3" w:rsidRDefault="000E57BE" w14:paraId="32A97C2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HOW, BY WHOM, AND FOR WHAT PURPOSE THE INFORMATION IS TO BE USED AND THE CONSEQUENCES OF NOT COLLECTING THE INFORMATION</w:t>
      </w:r>
    </w:p>
    <w:p w:rsidRPr="00537F9E" w:rsidR="00034DD2" w:rsidP="001307A3" w:rsidRDefault="000E57BE" w14:paraId="45F3A520" w14:textId="77777777">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ab/>
      </w:r>
    </w:p>
    <w:p w:rsidRPr="00537F9E" w:rsidR="000E57BE" w:rsidP="001307A3" w:rsidRDefault="000E57BE" w14:paraId="2F12A11B" w14:textId="33D637E7">
      <w:pPr>
        <w:spacing w:after="0" w:line="20" w:lineRule="atLeast"/>
        <w:rPr>
          <w:rFonts w:ascii="Times New Roman" w:hAnsi="Times New Roman" w:cs="Times New Roman"/>
          <w:sz w:val="26"/>
          <w:szCs w:val="26"/>
        </w:rPr>
      </w:pPr>
      <w:r w:rsidRPr="00537F9E">
        <w:rPr>
          <w:rFonts w:ascii="Times New Roman" w:hAnsi="Times New Roman" w:eastAsia="Times New Roman" w:cs="Times New Roman"/>
          <w:sz w:val="26"/>
          <w:szCs w:val="26"/>
        </w:rPr>
        <w:t>The impetus for establishing refund reporting requirements came as a result of a judicial decision</w:t>
      </w:r>
      <w:r w:rsidR="002E5428">
        <w:rPr>
          <w:rFonts w:ascii="Times New Roman" w:hAnsi="Times New Roman" w:eastAsia="Times New Roman" w:cs="Times New Roman"/>
          <w:sz w:val="26"/>
          <w:szCs w:val="26"/>
        </w:rPr>
        <w:t>.</w:t>
      </w:r>
      <w:r w:rsidRPr="00537F9E" w:rsidR="00976EC3">
        <w:rPr>
          <w:rStyle w:val="FootnoteReference"/>
          <w:rFonts w:ascii="Times New Roman" w:hAnsi="Times New Roman" w:cs="Times New Roman"/>
          <w:sz w:val="26"/>
          <w:szCs w:val="26"/>
          <w:vertAlign w:val="superscript"/>
        </w:rPr>
        <w:footnoteReference w:id="2"/>
      </w:r>
      <w:r w:rsidRPr="00537F9E" w:rsidR="00976EC3">
        <w:rPr>
          <w:rFonts w:ascii="Times New Roman" w:hAnsi="Times New Roman" w:cs="Times New Roman"/>
          <w:sz w:val="26"/>
          <w:szCs w:val="26"/>
        </w:rPr>
        <w:t xml:space="preserve"> </w:t>
      </w:r>
      <w:r w:rsidRPr="00360E0F" w:rsidR="00360E0F">
        <w:rPr>
          <w:rFonts w:ascii="Times New Roman" w:hAnsi="Times New Roman" w:cs="Times New Roman"/>
          <w:sz w:val="26"/>
          <w:szCs w:val="26"/>
        </w:rPr>
        <w:t>The judicial decision required FERC to establish refund reporting requirements</w:t>
      </w:r>
      <w:r w:rsidR="00360E0F">
        <w:rPr>
          <w:rFonts w:ascii="Times New Roman" w:hAnsi="Times New Roman" w:cs="Times New Roman"/>
          <w:sz w:val="26"/>
          <w:szCs w:val="26"/>
        </w:rPr>
        <w:t>.</w:t>
      </w:r>
      <w:r w:rsidRPr="00360E0F" w:rsidR="00360E0F">
        <w:rPr>
          <w:rFonts w:ascii="Times New Roman" w:hAnsi="Times New Roman" w:cs="Times New Roman"/>
          <w:sz w:val="26"/>
          <w:szCs w:val="26"/>
        </w:rPr>
        <w:t xml:space="preserve"> </w:t>
      </w:r>
      <w:r w:rsidRPr="009A3457" w:rsidR="009A3457">
        <w:rPr>
          <w:rFonts w:ascii="Times New Roman" w:hAnsi="Times New Roman" w:cs="Times New Roman"/>
          <w:sz w:val="26"/>
          <w:szCs w:val="26"/>
        </w:rPr>
        <w:t>The refund report is just a report with actual refund dollars in them</w:t>
      </w:r>
      <w:r w:rsidR="00720683">
        <w:rPr>
          <w:rFonts w:ascii="Times New Roman" w:hAnsi="Times New Roman" w:cs="Times New Roman"/>
          <w:sz w:val="26"/>
          <w:szCs w:val="26"/>
        </w:rPr>
        <w:t xml:space="preserve">. </w:t>
      </w:r>
      <w:r w:rsidRPr="00537F9E">
        <w:rPr>
          <w:rFonts w:ascii="Times New Roman" w:hAnsi="Times New Roman" w:eastAsia="Times New Roman" w:cs="Times New Roman"/>
          <w:sz w:val="26"/>
          <w:szCs w:val="26"/>
        </w:rPr>
        <w:t>The Commission, in response, established refund procedures for overcharges resulting from adjustments to the calculation of the energy content of natural gas sold in accordance with the Natural Gas Policy Act of 1978 (NGPA)</w:t>
      </w:r>
      <w:r w:rsidR="00B66E16">
        <w:rPr>
          <w:rFonts w:ascii="Times New Roman" w:hAnsi="Times New Roman" w:eastAsia="Times New Roman" w:cs="Times New Roman"/>
          <w:sz w:val="26"/>
          <w:szCs w:val="26"/>
        </w:rPr>
        <w:t xml:space="preserve"> and NGA</w:t>
      </w:r>
      <w:r w:rsidRPr="00537F9E">
        <w:rPr>
          <w:rFonts w:ascii="Times New Roman" w:hAnsi="Times New Roman" w:eastAsia="Times New Roman" w:cs="Times New Roman"/>
          <w:sz w:val="26"/>
          <w:szCs w:val="26"/>
        </w:rPr>
        <w:t>.  The NGPA was repealed by P. L. 101-60, however, provisions under the NGA remained.  These procedures and refund requirements were announced in Commission Order Nos. 399, 399-A and 399-B (1984).</w:t>
      </w:r>
    </w:p>
    <w:p w:rsidRPr="00537F9E" w:rsidR="00976EC3" w:rsidP="001307A3" w:rsidRDefault="000E57BE" w14:paraId="78BB5289" w14:textId="77777777">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ab/>
      </w:r>
    </w:p>
    <w:p w:rsidRPr="00537F9E" w:rsidR="000E57BE" w:rsidP="001307A3" w:rsidRDefault="000E57BE" w14:paraId="455A47C8" w14:textId="3FD5DF35">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The Commission uses the data</w:t>
      </w:r>
      <w:r w:rsidR="00B66E16">
        <w:rPr>
          <w:rFonts w:ascii="Times New Roman" w:hAnsi="Times New Roman" w:eastAsia="Times New Roman" w:cs="Times New Roman"/>
          <w:sz w:val="26"/>
          <w:szCs w:val="26"/>
        </w:rPr>
        <w:t xml:space="preserve"> in the refund reports</w:t>
      </w:r>
      <w:r w:rsidRPr="00537F9E">
        <w:rPr>
          <w:rFonts w:ascii="Times New Roman" w:hAnsi="Times New Roman" w:eastAsia="Times New Roman" w:cs="Times New Roman"/>
          <w:sz w:val="26"/>
          <w:szCs w:val="26"/>
        </w:rPr>
        <w:t xml:space="preserve"> to monitor refunds owed by natural gas companies and to ensure the flow-through of refunds that are owed by pipelines are </w:t>
      </w:r>
      <w:r w:rsidRPr="00537F9E">
        <w:rPr>
          <w:rFonts w:ascii="Times New Roman" w:hAnsi="Times New Roman" w:eastAsia="Times New Roman" w:cs="Times New Roman"/>
          <w:sz w:val="26"/>
          <w:szCs w:val="26"/>
        </w:rPr>
        <w:lastRenderedPageBreak/>
        <w:t xml:space="preserve">made as expeditiously as possible.  </w:t>
      </w:r>
      <w:r w:rsidRPr="00FB6560" w:rsidR="00720683">
        <w:rPr>
          <w:rFonts w:ascii="Times New Roman" w:hAnsi="Times New Roman" w:cs="Times New Roman"/>
          <w:sz w:val="26"/>
          <w:szCs w:val="26"/>
        </w:rPr>
        <w:t>The information in the refund reports are literally actual refund data in dollar amounts made from pipeline to shippers</w:t>
      </w:r>
      <w:r w:rsidR="00720683">
        <w:rPr>
          <w:rFonts w:ascii="Times New Roman" w:hAnsi="Times New Roman" w:cs="Times New Roman"/>
          <w:sz w:val="26"/>
          <w:szCs w:val="26"/>
        </w:rPr>
        <w:t>.  The information</w:t>
      </w:r>
      <w:r w:rsidR="00720683">
        <w:t xml:space="preserve"> </w:t>
      </w:r>
      <w:r w:rsidRPr="00720683">
        <w:rPr>
          <w:rFonts w:ascii="Times New Roman" w:hAnsi="Times New Roman" w:eastAsia="Times New Roman" w:cs="Times New Roman"/>
          <w:sz w:val="26"/>
          <w:szCs w:val="26"/>
        </w:rPr>
        <w:t>provided by the respondents is used by Commission staff to monitor refund progress and to assure that refunds are made</w:t>
      </w:r>
      <w:r w:rsidRPr="00537F9E">
        <w:rPr>
          <w:rFonts w:ascii="Times New Roman" w:hAnsi="Times New Roman" w:eastAsia="Times New Roman" w:cs="Times New Roman"/>
          <w:sz w:val="26"/>
          <w:szCs w:val="26"/>
        </w:rPr>
        <w:t xml:space="preserve"> in compliance with the directive.  Failure to report this information may result in enforcement action.</w:t>
      </w:r>
    </w:p>
    <w:p w:rsidRPr="00537F9E" w:rsidR="000E57BE" w:rsidP="001307A3" w:rsidRDefault="000E57BE" w14:paraId="3380A0CB" w14:textId="77777777">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ab/>
      </w:r>
    </w:p>
    <w:p w:rsidRPr="00537F9E" w:rsidR="000E57BE" w:rsidP="001307A3" w:rsidRDefault="000E57BE" w14:paraId="2AF22BC8"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b/>
          <w:bCs/>
          <w:sz w:val="26"/>
          <w:szCs w:val="26"/>
        </w:rPr>
      </w:pPr>
      <w:r w:rsidRPr="00537F9E">
        <w:rPr>
          <w:rFonts w:ascii="Times New Roman" w:hAnsi="Times New Roman" w:cs="Times New Roman"/>
          <w:b/>
          <w:bCs/>
          <w:sz w:val="26"/>
          <w:szCs w:val="26"/>
        </w:rPr>
        <w:t>DESCRIBE ANY CONSIDERATION OF THE USE OF IMPROVED TECHNOLOGY TO REDUCE BURDEN AND TECHNICAL OR LEGAL OBSTACLES TO REDUCING BURDEN.</w:t>
      </w:r>
    </w:p>
    <w:p w:rsidRPr="00537F9E" w:rsidR="000E57BE" w:rsidP="001307A3" w:rsidRDefault="000E57BE" w14:paraId="27865001" w14:textId="77777777">
      <w:pPr>
        <w:widowControl w:val="0"/>
        <w:autoSpaceDE w:val="0"/>
        <w:autoSpaceDN w:val="0"/>
        <w:adjustRightInd w:val="0"/>
        <w:spacing w:after="0" w:line="20" w:lineRule="atLeast"/>
        <w:ind w:left="360"/>
        <w:rPr>
          <w:rFonts w:ascii="Times New Roman" w:hAnsi="Times New Roman" w:cs="Times New Roman"/>
          <w:b/>
          <w:bCs/>
          <w:sz w:val="26"/>
          <w:szCs w:val="26"/>
        </w:rPr>
      </w:pPr>
    </w:p>
    <w:p w:rsidRPr="00537F9E" w:rsidR="007465A3" w:rsidP="001307A3" w:rsidRDefault="007465A3" w14:paraId="66B8009D" w14:textId="1F0F3936">
      <w:pPr>
        <w:spacing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 xml:space="preserve">The refund reports can be </w:t>
      </w:r>
      <w:proofErr w:type="spellStart"/>
      <w:r w:rsidRPr="00537F9E">
        <w:rPr>
          <w:rFonts w:ascii="Times New Roman" w:hAnsi="Times New Roman" w:eastAsia="Times New Roman" w:cs="Times New Roman"/>
          <w:sz w:val="26"/>
          <w:szCs w:val="26"/>
        </w:rPr>
        <w:t>eFiled</w:t>
      </w:r>
      <w:proofErr w:type="spellEnd"/>
      <w:r w:rsidRPr="00537F9E">
        <w:rPr>
          <w:rFonts w:ascii="Times New Roman" w:hAnsi="Times New Roman" w:eastAsia="Times New Roman" w:cs="Times New Roman"/>
          <w:sz w:val="26"/>
          <w:szCs w:val="26"/>
        </w:rPr>
        <w:t xml:space="preserve"> in any format accepted by the Commission through the Commission’s website:  </w:t>
      </w:r>
      <w:hyperlink w:history="1" r:id="rId13">
        <w:r w:rsidRPr="00537F9E">
          <w:rPr>
            <w:rFonts w:ascii="Times New Roman" w:hAnsi="Times New Roman" w:eastAsia="Times New Roman" w:cs="Times New Roman"/>
            <w:color w:val="0000FF"/>
            <w:sz w:val="26"/>
            <w:szCs w:val="26"/>
            <w:u w:val="single"/>
          </w:rPr>
          <w:t>http://www.ferc.gov/docs-filing/efiling.asp</w:t>
        </w:r>
      </w:hyperlink>
      <w:r w:rsidR="00E4362A">
        <w:rPr>
          <w:rFonts w:ascii="Times New Roman" w:hAnsi="Times New Roman" w:eastAsia="Times New Roman" w:cs="Times New Roman"/>
          <w:color w:val="0000FF"/>
          <w:sz w:val="26"/>
          <w:szCs w:val="26"/>
          <w:u w:val="single"/>
        </w:rPr>
        <w:t>.</w:t>
      </w:r>
    </w:p>
    <w:p w:rsidRPr="00537F9E" w:rsidR="000E57BE" w:rsidP="001307A3" w:rsidRDefault="000E57BE" w14:paraId="3BFC877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Pr="00537F9E" w:rsidR="000E57BE" w:rsidP="001307A3" w:rsidRDefault="000E57BE" w14:paraId="61E5A071" w14:textId="77777777">
      <w:pPr>
        <w:spacing w:after="0" w:line="20" w:lineRule="atLeast"/>
        <w:rPr>
          <w:rFonts w:ascii="Times New Roman" w:hAnsi="Times New Roman" w:cs="Times New Roman"/>
          <w:sz w:val="26"/>
          <w:szCs w:val="26"/>
        </w:rPr>
      </w:pPr>
    </w:p>
    <w:p w:rsidRPr="00C20002" w:rsidR="00C20002" w:rsidP="001307A3" w:rsidRDefault="00C20002" w14:paraId="4D9E2342" w14:textId="7F523864">
      <w:pPr>
        <w:spacing w:after="0" w:line="20" w:lineRule="atLeast"/>
        <w:rPr>
          <w:rFonts w:ascii="Times New Roman" w:hAnsi="Times New Roman" w:cs="Times New Roman"/>
          <w:bCs/>
          <w:sz w:val="26"/>
          <w:szCs w:val="26"/>
        </w:rPr>
      </w:pPr>
      <w:r w:rsidRPr="00C20002">
        <w:rPr>
          <w:rFonts w:ascii="Times New Roman" w:hAnsi="Times New Roman" w:cs="Times New Roman"/>
          <w:bCs/>
          <w:sz w:val="26"/>
          <w:szCs w:val="26"/>
        </w:rPr>
        <w:t xml:space="preserve">Filings are periodically reviewed in conjunction with OMB clearance expiration dates.  This includes a review of the Commission’s reporting requirements to identify duplication of data requirements.  To date, no duplication of the data has been found.  </w:t>
      </w:r>
    </w:p>
    <w:p w:rsidRPr="00C20002" w:rsidR="00C20002" w:rsidP="001307A3" w:rsidRDefault="00C20002" w14:paraId="46BB6A2D" w14:textId="77777777">
      <w:pPr>
        <w:spacing w:after="0" w:line="20" w:lineRule="atLeast"/>
        <w:rPr>
          <w:rFonts w:ascii="Times New Roman" w:hAnsi="Times New Roman" w:cs="Times New Roman"/>
          <w:bCs/>
          <w:sz w:val="26"/>
          <w:szCs w:val="26"/>
        </w:rPr>
      </w:pPr>
    </w:p>
    <w:p w:rsidRPr="00537F9E" w:rsidR="000E57BE" w:rsidP="001307A3" w:rsidRDefault="000E57BE" w14:paraId="05EAC89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METHODS USED TO MINIMIZE BURDEN IN COLLECTION OF INFORMATION INVOLVING SMALL ENTITIES</w:t>
      </w:r>
    </w:p>
    <w:p w:rsidRPr="00537F9E" w:rsidR="000E57BE" w:rsidP="001307A3" w:rsidRDefault="000E57BE" w14:paraId="1B1EBD33" w14:textId="77777777">
      <w:pPr>
        <w:spacing w:after="0" w:line="20" w:lineRule="atLeast"/>
        <w:rPr>
          <w:rFonts w:ascii="Times New Roman" w:hAnsi="Times New Roman" w:cs="Times New Roman"/>
          <w:b/>
          <w:bCs/>
          <w:sz w:val="26"/>
          <w:szCs w:val="26"/>
        </w:rPr>
      </w:pPr>
    </w:p>
    <w:p w:rsidRPr="00537F9E" w:rsidR="007465A3" w:rsidP="001307A3" w:rsidRDefault="007465A3" w14:paraId="054D0DAB" w14:textId="15D1A80F">
      <w:pPr>
        <w:autoSpaceDE w:val="0"/>
        <w:autoSpaceDN w:val="0"/>
        <w:adjustRightInd w:val="0"/>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 xml:space="preserve">FERC-547 is a filing requirement pertaining to pipeline rate refund obligations under the NGA for the sale of natural gas as stated herein.  </w:t>
      </w:r>
      <w:r w:rsidR="00942A83">
        <w:rPr>
          <w:rFonts w:ascii="Times New Roman" w:hAnsi="Times New Roman" w:eastAsia="Times New Roman" w:cs="Times New Roman"/>
          <w:sz w:val="26"/>
          <w:szCs w:val="26"/>
        </w:rPr>
        <w:t>FERC estimates that 3 of the 19 respondents are small entities</w:t>
      </w:r>
      <w:r w:rsidRPr="00537F9E">
        <w:rPr>
          <w:rFonts w:ascii="Times New Roman" w:hAnsi="Times New Roman" w:eastAsia="Times New Roman" w:cs="Times New Roman"/>
          <w:sz w:val="26"/>
          <w:szCs w:val="26"/>
        </w:rPr>
        <w:t xml:space="preserve">.  </w:t>
      </w:r>
      <w:r w:rsidR="00942A83">
        <w:rPr>
          <w:rFonts w:ascii="Times New Roman" w:hAnsi="Times New Roman" w:eastAsia="Times New Roman" w:cs="Times New Roman"/>
          <w:sz w:val="26"/>
          <w:szCs w:val="26"/>
        </w:rPr>
        <w:t>FERC has made s</w:t>
      </w:r>
      <w:r w:rsidRPr="00537F9E">
        <w:rPr>
          <w:rFonts w:ascii="Times New Roman" w:hAnsi="Times New Roman" w:eastAsia="Times New Roman" w:cs="Times New Roman"/>
          <w:sz w:val="26"/>
          <w:szCs w:val="26"/>
        </w:rPr>
        <w:t xml:space="preserve">pecific efforts to minimize the burden imposed on those small companies who file the report, </w:t>
      </w:r>
      <w:r w:rsidR="00942A83">
        <w:rPr>
          <w:rFonts w:ascii="Times New Roman" w:hAnsi="Times New Roman" w:eastAsia="Times New Roman" w:cs="Times New Roman"/>
          <w:sz w:val="26"/>
          <w:szCs w:val="26"/>
        </w:rPr>
        <w:t xml:space="preserve">e.g., </w:t>
      </w:r>
      <w:r w:rsidRPr="00537F9E">
        <w:rPr>
          <w:rFonts w:ascii="Times New Roman" w:hAnsi="Times New Roman" w:eastAsia="Times New Roman" w:cs="Times New Roman"/>
          <w:sz w:val="26"/>
          <w:szCs w:val="26"/>
        </w:rPr>
        <w:t xml:space="preserve">there is no required format, allowing respondents to file the required information in a format readily available from their own computer systems.  The data required imposes the least possible burden for companies while collecting the information that is required to process refund reports.  </w:t>
      </w:r>
    </w:p>
    <w:p w:rsidRPr="00537F9E" w:rsidR="000E57BE" w:rsidP="001307A3" w:rsidRDefault="000E57BE" w14:paraId="78121F2D" w14:textId="77777777">
      <w:pPr>
        <w:spacing w:after="0" w:line="20" w:lineRule="atLeast"/>
        <w:rPr>
          <w:rFonts w:ascii="Times New Roman" w:hAnsi="Times New Roman" w:cs="Times New Roman"/>
          <w:bCs/>
          <w:sz w:val="26"/>
          <w:szCs w:val="26"/>
        </w:rPr>
      </w:pPr>
    </w:p>
    <w:p w:rsidRPr="00537F9E" w:rsidR="000E57BE" w:rsidP="001307A3" w:rsidRDefault="000E57BE" w14:paraId="6A42FB2E"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sz w:val="26"/>
          <w:szCs w:val="26"/>
        </w:rPr>
        <w:t>CONSEQUENCE TO FEDERAL PROGRAM IF COLLECTION WERE CONDUCTED LESS FREQUENTLY</w:t>
      </w:r>
    </w:p>
    <w:p w:rsidRPr="00537F9E" w:rsidR="000E57BE" w:rsidP="001307A3" w:rsidRDefault="000E57BE" w14:paraId="26AAFB0A" w14:textId="77777777">
      <w:pPr>
        <w:pStyle w:val="FERCparanumber"/>
        <w:widowControl/>
        <w:numPr>
          <w:ilvl w:val="0"/>
          <w:numId w:val="0"/>
        </w:numPr>
        <w:tabs>
          <w:tab w:val="left" w:pos="720"/>
        </w:tabs>
        <w:spacing w:line="20" w:lineRule="atLeast"/>
        <w:rPr>
          <w:rFonts w:ascii="Times New Roman" w:hAnsi="Times New Roman" w:cs="Times New Roman"/>
          <w:sz w:val="26"/>
          <w:szCs w:val="26"/>
        </w:rPr>
      </w:pPr>
    </w:p>
    <w:p w:rsidRPr="00537F9E" w:rsidR="007465A3" w:rsidP="001307A3" w:rsidRDefault="007465A3" w14:paraId="086D749F" w14:textId="77777777">
      <w:pPr>
        <w:spacing w:after="0" w:line="20" w:lineRule="atLeas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It is not possible to collect the data less frequently.  The information is only required upon the distribution of a refund by a pipeline company and therefore does not have a set frequency for reporting.  If the collection were discontinued, the Commission would not have the necessary information for monitoring refund obligations.</w:t>
      </w:r>
    </w:p>
    <w:p w:rsidRPr="00537F9E" w:rsidR="000E57BE" w:rsidP="001307A3" w:rsidRDefault="000E57BE" w14:paraId="6A1F9DE6" w14:textId="77777777">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 xml:space="preserve">  </w:t>
      </w:r>
    </w:p>
    <w:p w:rsidRPr="00537F9E" w:rsidR="000E57BE" w:rsidP="001307A3" w:rsidRDefault="000E57BE" w14:paraId="59F96BDA"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 xml:space="preserve">EXPLAIN ANY SPECIAL CIRCUMSTANCES RELATING TO THE </w:t>
      </w:r>
      <w:r w:rsidRPr="00537F9E">
        <w:rPr>
          <w:rFonts w:ascii="Times New Roman" w:hAnsi="Times New Roman" w:cs="Times New Roman"/>
          <w:b/>
          <w:bCs/>
          <w:sz w:val="26"/>
          <w:szCs w:val="26"/>
        </w:rPr>
        <w:lastRenderedPageBreak/>
        <w:t>INFORMATION COLLECTION</w:t>
      </w:r>
    </w:p>
    <w:p w:rsidRPr="00537F9E" w:rsidR="000E57BE" w:rsidP="001307A3" w:rsidRDefault="000E57BE" w14:paraId="50AB683B" w14:textId="77777777">
      <w:pPr>
        <w:spacing w:after="0" w:line="20" w:lineRule="atLeast"/>
        <w:rPr>
          <w:rFonts w:ascii="Times New Roman" w:hAnsi="Times New Roman" w:cs="Times New Roman"/>
          <w:b/>
          <w:bCs/>
          <w:sz w:val="26"/>
          <w:szCs w:val="26"/>
        </w:rPr>
      </w:pPr>
    </w:p>
    <w:p w:rsidRPr="00537F9E" w:rsidR="000E57BE" w:rsidP="001307A3" w:rsidRDefault="007465A3" w14:paraId="5ACA77B3" w14:textId="77777777">
      <w:pPr>
        <w:spacing w:after="0" w:line="20" w:lineRule="atLeast"/>
        <w:rPr>
          <w:rFonts w:ascii="Times New Roman" w:hAnsi="Times New Roman" w:eastAsia="Calibri" w:cs="Times New Roman"/>
          <w:sz w:val="26"/>
          <w:szCs w:val="26"/>
        </w:rPr>
      </w:pPr>
      <w:r w:rsidRPr="00537F9E">
        <w:rPr>
          <w:rFonts w:ascii="Times New Roman" w:hAnsi="Times New Roman" w:eastAsia="Calibri" w:cs="Times New Roman"/>
          <w:sz w:val="26"/>
          <w:szCs w:val="26"/>
        </w:rPr>
        <w:t xml:space="preserve">There are no special circumstances regarding </w:t>
      </w:r>
      <w:r w:rsidRPr="00537F9E" w:rsidR="000E57BE">
        <w:rPr>
          <w:rFonts w:ascii="Times New Roman" w:hAnsi="Times New Roman" w:eastAsia="Calibri" w:cs="Times New Roman"/>
          <w:sz w:val="26"/>
          <w:szCs w:val="26"/>
        </w:rPr>
        <w:t>FERC-5</w:t>
      </w:r>
      <w:r w:rsidRPr="00537F9E">
        <w:rPr>
          <w:rFonts w:ascii="Times New Roman" w:hAnsi="Times New Roman" w:eastAsia="Calibri" w:cs="Times New Roman"/>
          <w:sz w:val="26"/>
          <w:szCs w:val="26"/>
        </w:rPr>
        <w:t>47</w:t>
      </w:r>
      <w:r w:rsidRPr="00537F9E" w:rsidR="000E57BE">
        <w:rPr>
          <w:rFonts w:ascii="Times New Roman" w:hAnsi="Times New Roman" w:eastAsia="Calibri" w:cs="Times New Roman"/>
          <w:sz w:val="26"/>
          <w:szCs w:val="26"/>
        </w:rPr>
        <w:t xml:space="preserve"> information collection.  </w:t>
      </w:r>
    </w:p>
    <w:p w:rsidRPr="00537F9E" w:rsidR="000E57BE" w:rsidP="001307A3" w:rsidRDefault="000E57BE" w14:paraId="245EE6D2" w14:textId="77777777">
      <w:pPr>
        <w:spacing w:after="0" w:line="20" w:lineRule="atLeast"/>
        <w:rPr>
          <w:rFonts w:ascii="Times New Roman" w:hAnsi="Times New Roman" w:cs="Times New Roman"/>
          <w:sz w:val="26"/>
          <w:szCs w:val="26"/>
        </w:rPr>
      </w:pPr>
    </w:p>
    <w:p w:rsidRPr="00537F9E" w:rsidR="000E57BE" w:rsidP="001307A3" w:rsidRDefault="000E57BE" w14:paraId="67C9C321"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EFFORTS TO CONSULT OUTSIDE THE AGENCY: SUMMARIZE PUBLIC COMMENTS AND THE AGENCY'S RESPONSE TO THESE COMMENTS</w:t>
      </w:r>
    </w:p>
    <w:p w:rsidRPr="00537F9E" w:rsidR="000E57BE" w:rsidP="001307A3" w:rsidRDefault="000E57BE" w14:paraId="424FB5B6" w14:textId="77777777">
      <w:pPr>
        <w:spacing w:after="0" w:line="20" w:lineRule="atLeast"/>
        <w:rPr>
          <w:rFonts w:ascii="Times New Roman" w:hAnsi="Times New Roman" w:cs="Times New Roman"/>
          <w:b/>
          <w:bCs/>
          <w:sz w:val="26"/>
          <w:szCs w:val="26"/>
        </w:rPr>
      </w:pPr>
    </w:p>
    <w:p w:rsidRPr="00537F9E" w:rsidR="00804142" w:rsidP="001307A3" w:rsidRDefault="004C49C8" w14:paraId="06FAD01A" w14:textId="00AC7BF8">
      <w:pPr>
        <w:spacing w:after="0" w:line="20" w:lineRule="atLeast"/>
        <w:rPr>
          <w:rFonts w:ascii="Times New Roman" w:hAnsi="Times New Roman" w:cs="Times New Roman"/>
          <w:bCs/>
          <w:sz w:val="26"/>
          <w:szCs w:val="26"/>
        </w:rPr>
      </w:pPr>
      <w:r>
        <w:rPr>
          <w:rFonts w:ascii="Times New Roman" w:hAnsi="Times New Roman" w:cs="Times New Roman"/>
          <w:bCs/>
          <w:sz w:val="26"/>
          <w:szCs w:val="26"/>
        </w:rPr>
        <w:t>In accordance with OMB requirements, t</w:t>
      </w:r>
      <w:r w:rsidRPr="00537F9E" w:rsidR="007465A3">
        <w:rPr>
          <w:rFonts w:ascii="Times New Roman" w:hAnsi="Times New Roman" w:cs="Times New Roman"/>
          <w:bCs/>
          <w:sz w:val="26"/>
          <w:szCs w:val="26"/>
        </w:rPr>
        <w:t>he Commission published a 60-day notice</w:t>
      </w:r>
      <w:r w:rsidRPr="00537F9E" w:rsidR="007465A3">
        <w:rPr>
          <w:rStyle w:val="FootnoteReference"/>
          <w:rFonts w:ascii="Times New Roman" w:hAnsi="Times New Roman" w:cs="Times New Roman"/>
          <w:bCs/>
          <w:sz w:val="26"/>
          <w:szCs w:val="26"/>
          <w:vertAlign w:val="superscript"/>
        </w:rPr>
        <w:footnoteReference w:id="3"/>
      </w:r>
      <w:r w:rsidRPr="00537F9E" w:rsidR="007465A3">
        <w:rPr>
          <w:rFonts w:ascii="Times New Roman" w:hAnsi="Times New Roman" w:cs="Times New Roman"/>
          <w:bCs/>
          <w:sz w:val="26"/>
          <w:szCs w:val="26"/>
        </w:rPr>
        <w:t xml:space="preserve"> </w:t>
      </w:r>
      <w:r w:rsidR="009312F2">
        <w:rPr>
          <w:rFonts w:ascii="Times New Roman" w:hAnsi="Times New Roman" w:cs="Times New Roman"/>
          <w:bCs/>
          <w:sz w:val="26"/>
          <w:szCs w:val="26"/>
        </w:rPr>
        <w:t>and 30-day notice</w:t>
      </w:r>
      <w:r w:rsidRPr="001307A3" w:rsidR="009312F2">
        <w:rPr>
          <w:rStyle w:val="FootnoteReference"/>
          <w:rFonts w:ascii="Times New Roman" w:hAnsi="Times New Roman" w:cs="Times New Roman"/>
          <w:bCs/>
          <w:sz w:val="26"/>
          <w:szCs w:val="26"/>
          <w:vertAlign w:val="superscript"/>
        </w:rPr>
        <w:footnoteReference w:id="4"/>
      </w:r>
      <w:r w:rsidR="009312F2">
        <w:rPr>
          <w:rFonts w:ascii="Times New Roman" w:hAnsi="Times New Roman" w:cs="Times New Roman"/>
          <w:bCs/>
          <w:sz w:val="26"/>
          <w:szCs w:val="26"/>
        </w:rPr>
        <w:t xml:space="preserve"> </w:t>
      </w:r>
      <w:r w:rsidRPr="00537F9E" w:rsidR="000E57BE">
        <w:rPr>
          <w:rFonts w:ascii="Times New Roman" w:hAnsi="Times New Roman" w:cs="Times New Roman"/>
          <w:bCs/>
          <w:sz w:val="26"/>
          <w:szCs w:val="26"/>
        </w:rPr>
        <w:t xml:space="preserve">in the Federal Register thereby providing public utilities and licensees, state commissions, federal agencies, and other interested parties an opportunity to submit data, views, comments or suggestions concerning </w:t>
      </w:r>
      <w:r w:rsidRPr="00537F9E" w:rsidR="00804142">
        <w:rPr>
          <w:rFonts w:ascii="Times New Roman" w:hAnsi="Times New Roman" w:cs="Times New Roman"/>
          <w:bCs/>
          <w:sz w:val="26"/>
          <w:szCs w:val="26"/>
        </w:rPr>
        <w:t>FERC-547.  The Commission received</w:t>
      </w:r>
      <w:r w:rsidR="0061748D">
        <w:rPr>
          <w:rFonts w:ascii="Times New Roman" w:hAnsi="Times New Roman" w:cs="Times New Roman"/>
          <w:bCs/>
          <w:sz w:val="26"/>
          <w:szCs w:val="26"/>
        </w:rPr>
        <w:t xml:space="preserve"> no</w:t>
      </w:r>
      <w:r w:rsidR="008F50C8">
        <w:rPr>
          <w:rFonts w:ascii="Times New Roman" w:hAnsi="Times New Roman" w:cs="Times New Roman"/>
          <w:bCs/>
          <w:sz w:val="26"/>
          <w:szCs w:val="26"/>
        </w:rPr>
        <w:t xml:space="preserve"> </w:t>
      </w:r>
      <w:r w:rsidRPr="00537F9E" w:rsidR="00804142">
        <w:rPr>
          <w:rFonts w:ascii="Times New Roman" w:hAnsi="Times New Roman" w:cs="Times New Roman"/>
          <w:bCs/>
          <w:sz w:val="26"/>
          <w:szCs w:val="26"/>
        </w:rPr>
        <w:t>comments</w:t>
      </w:r>
      <w:r w:rsidR="001F45FE">
        <w:rPr>
          <w:rFonts w:ascii="Times New Roman" w:hAnsi="Times New Roman" w:cs="Times New Roman"/>
          <w:bCs/>
          <w:sz w:val="26"/>
          <w:szCs w:val="26"/>
        </w:rPr>
        <w:t xml:space="preserve"> on the 60-day notice</w:t>
      </w:r>
      <w:r w:rsidRPr="00537F9E" w:rsidR="00804142">
        <w:rPr>
          <w:rFonts w:ascii="Times New Roman" w:hAnsi="Times New Roman" w:cs="Times New Roman"/>
          <w:bCs/>
          <w:sz w:val="26"/>
          <w:szCs w:val="26"/>
        </w:rPr>
        <w:t>.</w:t>
      </w:r>
    </w:p>
    <w:p w:rsidR="000E57BE" w:rsidP="001307A3" w:rsidRDefault="000E57BE" w14:paraId="3CCBFCD7" w14:textId="2728FE39">
      <w:pPr>
        <w:spacing w:after="0" w:line="20" w:lineRule="atLeast"/>
        <w:rPr>
          <w:rFonts w:ascii="Times New Roman" w:hAnsi="Times New Roman" w:cs="Times New Roman"/>
          <w:bCs/>
          <w:sz w:val="26"/>
          <w:szCs w:val="26"/>
        </w:rPr>
      </w:pPr>
    </w:p>
    <w:p w:rsidR="00942A83" w:rsidP="00942A83" w:rsidRDefault="00942A83" w14:paraId="6E1EA1CF" w14:textId="77777777">
      <w:pPr>
        <w:spacing w:after="0" w:line="240" w:lineRule="auto"/>
        <w:rPr>
          <w:rFonts w:ascii="Times New Roman" w:hAnsi="Times New Roman" w:cs="Times New Roman"/>
          <w:sz w:val="26"/>
          <w:szCs w:val="26"/>
        </w:rPr>
      </w:pPr>
      <w:r w:rsidRPr="009766D0">
        <w:rPr>
          <w:rFonts w:ascii="Times New Roman" w:hAnsi="Times New Roman" w:cs="Times New Roman"/>
          <w:sz w:val="26"/>
          <w:szCs w:val="26"/>
        </w:rPr>
        <w:t xml:space="preserve">FERC did not otherwise consult with members of the public concerning this information collection pursuant to 5 CFR 1320.8(d)(1). </w:t>
      </w:r>
    </w:p>
    <w:p w:rsidRPr="00537F9E" w:rsidR="000E57BE" w:rsidP="001307A3" w:rsidRDefault="000E57BE" w14:paraId="78AF8AC2" w14:textId="77777777">
      <w:pPr>
        <w:spacing w:after="0" w:line="20" w:lineRule="atLeast"/>
        <w:ind w:firstLine="360"/>
        <w:rPr>
          <w:rFonts w:ascii="Times New Roman" w:hAnsi="Times New Roman" w:cs="Times New Roman"/>
          <w:sz w:val="26"/>
          <w:szCs w:val="26"/>
        </w:rPr>
      </w:pPr>
    </w:p>
    <w:p w:rsidRPr="00537F9E" w:rsidR="000E57BE" w:rsidP="001307A3" w:rsidRDefault="000E57BE" w14:paraId="016B3FB3"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EXPLAIN ANY PAYMENT OR GIFTS TO RESPONDENTS</w:t>
      </w:r>
    </w:p>
    <w:p w:rsidRPr="00537F9E" w:rsidR="000E57BE" w:rsidP="001307A3" w:rsidRDefault="000E57BE" w14:paraId="0A775606" w14:textId="77777777">
      <w:pPr>
        <w:spacing w:after="0" w:line="20" w:lineRule="atLeast"/>
        <w:rPr>
          <w:rFonts w:ascii="Times New Roman" w:hAnsi="Times New Roman" w:cs="Times New Roman"/>
          <w:b/>
          <w:bCs/>
          <w:sz w:val="26"/>
          <w:szCs w:val="26"/>
        </w:rPr>
      </w:pPr>
    </w:p>
    <w:p w:rsidRPr="00537F9E" w:rsidR="000E57BE" w:rsidP="001307A3" w:rsidRDefault="004C49C8" w14:paraId="1F2BED2A" w14:textId="0A8959C6">
      <w:pPr>
        <w:spacing w:after="0" w:line="20" w:lineRule="atLeast"/>
        <w:rPr>
          <w:rFonts w:ascii="Times New Roman" w:hAnsi="Times New Roman" w:cs="Times New Roman"/>
          <w:sz w:val="26"/>
          <w:szCs w:val="26"/>
        </w:rPr>
      </w:pPr>
      <w:r>
        <w:rPr>
          <w:rFonts w:ascii="Times New Roman" w:hAnsi="Times New Roman" w:cs="Times New Roman"/>
          <w:sz w:val="26"/>
          <w:szCs w:val="26"/>
        </w:rPr>
        <w:t>There are n</w:t>
      </w:r>
      <w:r w:rsidRPr="00537F9E" w:rsidR="000E57BE">
        <w:rPr>
          <w:rFonts w:ascii="Times New Roman" w:hAnsi="Times New Roman" w:cs="Times New Roman"/>
          <w:sz w:val="26"/>
          <w:szCs w:val="26"/>
        </w:rPr>
        <w:t xml:space="preserve">o payments or gifts </w:t>
      </w:r>
      <w:r>
        <w:rPr>
          <w:rFonts w:ascii="Times New Roman" w:hAnsi="Times New Roman" w:cs="Times New Roman"/>
          <w:sz w:val="26"/>
          <w:szCs w:val="26"/>
        </w:rPr>
        <w:t>to respondents of the collection.</w:t>
      </w:r>
    </w:p>
    <w:p w:rsidRPr="00537F9E" w:rsidR="000E57BE" w:rsidP="001307A3" w:rsidRDefault="000E57BE" w14:paraId="73362016" w14:textId="77777777">
      <w:pPr>
        <w:spacing w:after="0" w:line="20" w:lineRule="atLeast"/>
        <w:rPr>
          <w:rFonts w:ascii="Times New Roman" w:hAnsi="Times New Roman" w:cs="Times New Roman"/>
          <w:sz w:val="26"/>
          <w:szCs w:val="26"/>
        </w:rPr>
      </w:pPr>
    </w:p>
    <w:p w:rsidRPr="00537F9E" w:rsidR="000E57BE" w:rsidP="001307A3" w:rsidRDefault="000E57BE" w14:paraId="7E79DA8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DESCRIBE ANY ASSURANCE OF CONFIDENTIALITY PROVIDED TO RESPONDENTS</w:t>
      </w:r>
    </w:p>
    <w:p w:rsidRPr="00537F9E" w:rsidR="000E57BE" w:rsidP="001307A3" w:rsidRDefault="000E57BE" w14:paraId="23C21A55" w14:textId="77777777">
      <w:pPr>
        <w:spacing w:after="0" w:line="20" w:lineRule="atLeast"/>
        <w:rPr>
          <w:rFonts w:ascii="Times New Roman" w:hAnsi="Times New Roman" w:cs="Times New Roman"/>
          <w:b/>
          <w:bCs/>
          <w:sz w:val="26"/>
          <w:szCs w:val="26"/>
        </w:rPr>
      </w:pPr>
    </w:p>
    <w:p w:rsidRPr="00537F9E" w:rsidR="00804142" w:rsidP="001307A3" w:rsidRDefault="00CC4FE3" w14:paraId="6878F0E3" w14:textId="276E0C14">
      <w:pPr>
        <w:autoSpaceDE w:val="0"/>
        <w:autoSpaceDN w:val="0"/>
        <w:adjustRightInd w:val="0"/>
        <w:spacing w:after="0" w:line="20" w:lineRule="atLeast"/>
        <w:rPr>
          <w:rFonts w:ascii="Times New Roman" w:hAnsi="Times New Roman" w:eastAsia="Times New Roman" w:cs="Times New Roman"/>
          <w:sz w:val="26"/>
          <w:szCs w:val="26"/>
        </w:rPr>
      </w:pPr>
      <w:r w:rsidRPr="00CC4FE3">
        <w:rPr>
          <w:rFonts w:ascii="Times New Roman" w:hAnsi="Times New Roman" w:eastAsia="Times New Roman" w:cs="Times New Roman"/>
          <w:sz w:val="26"/>
          <w:szCs w:val="26"/>
        </w:rPr>
        <w:t xml:space="preserve">The information submitted to the Commission is public information and therefore is not considered confidential.  </w:t>
      </w:r>
      <w:r w:rsidRPr="00537F9E" w:rsidR="00804142">
        <w:rPr>
          <w:rFonts w:ascii="Times New Roman" w:hAnsi="Times New Roman" w:eastAsia="Times New Roman" w:cs="Times New Roman"/>
          <w:sz w:val="26"/>
          <w:szCs w:val="26"/>
        </w:rPr>
        <w:t>However, a company may request confidential treatment of some or all parts of the FERC-547 requirements under the Commission regulations at 18 C.F.R. 388.112.  Each request for confidential treatment will be reviewed by the Commission on a case-by-case basis.</w:t>
      </w:r>
    </w:p>
    <w:p w:rsidRPr="00537F9E" w:rsidR="000E57BE" w:rsidP="001307A3" w:rsidRDefault="000E57BE" w14:paraId="02BE35A5" w14:textId="77777777">
      <w:pPr>
        <w:spacing w:after="0" w:line="20" w:lineRule="atLeast"/>
        <w:ind w:firstLine="720"/>
        <w:rPr>
          <w:rFonts w:ascii="Times New Roman" w:hAnsi="Times New Roman" w:cs="Times New Roman"/>
          <w:sz w:val="26"/>
          <w:szCs w:val="26"/>
        </w:rPr>
      </w:pPr>
    </w:p>
    <w:p w:rsidRPr="00537F9E" w:rsidR="000E57BE" w:rsidP="001307A3" w:rsidRDefault="000E57BE" w14:paraId="561CB41C"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537F9E" w:rsidR="000E57BE" w:rsidP="001307A3" w:rsidRDefault="000E57BE" w14:paraId="263686B8" w14:textId="77777777">
      <w:pPr>
        <w:widowControl w:val="0"/>
        <w:autoSpaceDE w:val="0"/>
        <w:autoSpaceDN w:val="0"/>
        <w:adjustRightInd w:val="0"/>
        <w:spacing w:after="0" w:line="20" w:lineRule="atLeast"/>
        <w:ind w:left="360"/>
        <w:rPr>
          <w:rFonts w:ascii="Times New Roman" w:hAnsi="Times New Roman" w:cs="Times New Roman"/>
          <w:sz w:val="26"/>
          <w:szCs w:val="26"/>
        </w:rPr>
      </w:pPr>
    </w:p>
    <w:p w:rsidRPr="00537F9E" w:rsidR="000E57BE" w:rsidP="001307A3" w:rsidRDefault="000E57BE" w14:paraId="14DB0495" w14:textId="77777777">
      <w:pPr>
        <w:spacing w:line="20" w:lineRule="atLeast"/>
        <w:rPr>
          <w:rFonts w:ascii="Times New Roman" w:hAnsi="Times New Roman" w:cs="Times New Roman"/>
          <w:sz w:val="26"/>
          <w:szCs w:val="26"/>
        </w:rPr>
      </w:pPr>
      <w:r w:rsidRPr="00537F9E">
        <w:rPr>
          <w:rFonts w:ascii="Times New Roman" w:hAnsi="Times New Roman" w:cs="Times New Roman"/>
          <w:sz w:val="26"/>
          <w:szCs w:val="26"/>
        </w:rPr>
        <w:t>This collection does not contain any questions of a sensitive nature.</w:t>
      </w:r>
    </w:p>
    <w:p w:rsidRPr="00537F9E" w:rsidR="000E57BE" w:rsidP="001307A3" w:rsidRDefault="000E57BE" w14:paraId="314B836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ESTIMATED BURDEN OF COLLECTION OF INFORMATION</w:t>
      </w:r>
    </w:p>
    <w:p w:rsidRPr="00537F9E" w:rsidR="000E57BE" w:rsidP="001307A3" w:rsidRDefault="000E57BE" w14:paraId="38FCAD88" w14:textId="77777777">
      <w:pPr>
        <w:pStyle w:val="FERCparanumber"/>
        <w:numPr>
          <w:ilvl w:val="0"/>
          <w:numId w:val="0"/>
        </w:numPr>
        <w:spacing w:line="20" w:lineRule="atLeast"/>
        <w:ind w:firstLine="360"/>
        <w:rPr>
          <w:rFonts w:ascii="Times New Roman" w:hAnsi="Times New Roman" w:cs="Times New Roman"/>
          <w:sz w:val="26"/>
          <w:szCs w:val="26"/>
        </w:rPr>
      </w:pPr>
    </w:p>
    <w:p w:rsidRPr="00140F17" w:rsidR="00140F17" w:rsidP="001307A3" w:rsidRDefault="00140F17" w14:paraId="01DDFDCA" w14:textId="59B3535F">
      <w:pPr>
        <w:spacing w:after="0" w:line="20" w:lineRule="atLeast"/>
        <w:rPr>
          <w:rFonts w:ascii="Times New Roman" w:hAnsi="Times New Roman" w:eastAsia="Times New Roman" w:cs="Times New Roman"/>
          <w:sz w:val="26"/>
          <w:szCs w:val="24"/>
        </w:rPr>
      </w:pPr>
      <w:r w:rsidRPr="00140F17">
        <w:rPr>
          <w:rFonts w:ascii="Times New Roman" w:hAnsi="Times New Roman" w:eastAsia="Times New Roman" w:cs="Times New Roman"/>
          <w:sz w:val="26"/>
          <w:szCs w:val="24"/>
        </w:rPr>
        <w:t>The Commission estimates the annual public reporting burden</w:t>
      </w:r>
      <w:r w:rsidRPr="00140F17">
        <w:rPr>
          <w:rFonts w:ascii="Times New Roman" w:hAnsi="Times New Roman" w:eastAsia="Times New Roman" w:cs="Times New Roman"/>
          <w:b/>
          <w:i/>
          <w:sz w:val="26"/>
          <w:szCs w:val="26"/>
          <w:vertAlign w:val="superscript"/>
        </w:rPr>
        <w:footnoteReference w:id="5"/>
      </w:r>
      <w:r w:rsidRPr="00140F17">
        <w:rPr>
          <w:rFonts w:ascii="Times New Roman" w:hAnsi="Times New Roman" w:eastAsia="Times New Roman" w:cs="Times New Roman"/>
          <w:sz w:val="26"/>
          <w:szCs w:val="24"/>
        </w:rPr>
        <w:t xml:space="preserve"> and</w:t>
      </w:r>
      <w:r w:rsidRPr="00140F17">
        <w:rPr>
          <w:rFonts w:ascii="Times New Roman" w:hAnsi="Times New Roman" w:eastAsia="Times New Roman" w:cs="Times New Roman"/>
          <w:sz w:val="26"/>
          <w:szCs w:val="26"/>
        </w:rPr>
        <w:t xml:space="preserve"> cost</w:t>
      </w:r>
      <w:r w:rsidRPr="00140F17">
        <w:rPr>
          <w:rFonts w:ascii="Times New Roman" w:hAnsi="Times New Roman" w:eastAsia="Times New Roman" w:cs="Times New Roman"/>
          <w:sz w:val="26"/>
          <w:szCs w:val="26"/>
          <w:vertAlign w:val="superscript"/>
        </w:rPr>
        <w:footnoteReference w:id="6"/>
      </w:r>
      <w:r w:rsidRPr="00140F17">
        <w:rPr>
          <w:rFonts w:ascii="Times New Roman" w:hAnsi="Times New Roman" w:eastAsia="Times New Roman" w:cs="Times New Roman"/>
          <w:sz w:val="26"/>
          <w:szCs w:val="24"/>
        </w:rPr>
        <w:t xml:space="preserve"> for the information collection as:</w:t>
      </w:r>
    </w:p>
    <w:tbl>
      <w:tblPr>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40"/>
        <w:gridCol w:w="1530"/>
        <w:gridCol w:w="1440"/>
        <w:gridCol w:w="1710"/>
        <w:gridCol w:w="1800"/>
        <w:gridCol w:w="1530"/>
      </w:tblGrid>
      <w:tr w:rsidRPr="00537F9E" w:rsidR="00804142" w:rsidTr="00804142" w14:paraId="37E7139E" w14:textId="77777777">
        <w:trPr>
          <w:trHeight w:val="347"/>
          <w:jc w:val="center"/>
        </w:trPr>
        <w:tc>
          <w:tcPr>
            <w:tcW w:w="9550" w:type="dxa"/>
            <w:gridSpan w:val="6"/>
            <w:shd w:val="clear" w:color="auto" w:fill="D9D9D9"/>
            <w:vAlign w:val="bottom"/>
          </w:tcPr>
          <w:p w:rsidRPr="00537F9E" w:rsidR="00804142" w:rsidP="001307A3" w:rsidRDefault="00804142" w14:paraId="40F952B7" w14:textId="77777777">
            <w:pPr>
              <w:spacing w:after="0" w:line="20" w:lineRule="atLeast"/>
              <w:jc w:val="center"/>
              <w:rPr>
                <w:rFonts w:ascii="Times New Roman" w:hAnsi="Times New Roman" w:eastAsia="Times New Roman" w:cs="Times New Roman"/>
                <w:smallCaps/>
                <w:sz w:val="26"/>
                <w:szCs w:val="26"/>
              </w:rPr>
            </w:pPr>
            <w:r w:rsidRPr="00537F9E">
              <w:rPr>
                <w:rFonts w:ascii="Times New Roman" w:hAnsi="Times New Roman" w:eastAsia="Calibri" w:cs="Times New Roman"/>
                <w:b/>
                <w:sz w:val="26"/>
                <w:szCs w:val="26"/>
              </w:rPr>
              <w:t>FERC-547: Gas Pipeline Rates: Refund Report Requirements</w:t>
            </w:r>
          </w:p>
        </w:tc>
      </w:tr>
      <w:tr w:rsidRPr="00537F9E" w:rsidR="00804142" w:rsidTr="00804142" w14:paraId="0B225245" w14:textId="77777777">
        <w:trPr>
          <w:trHeight w:val="638"/>
          <w:jc w:val="center"/>
        </w:trPr>
        <w:tc>
          <w:tcPr>
            <w:tcW w:w="1540" w:type="dxa"/>
            <w:shd w:val="clear" w:color="auto" w:fill="D9D9D9"/>
            <w:vAlign w:val="bottom"/>
          </w:tcPr>
          <w:p w:rsidRPr="00537F9E" w:rsidR="00804142" w:rsidP="001307A3" w:rsidRDefault="0075178B" w14:paraId="36E865C5" w14:textId="44002A6A">
            <w:pPr>
              <w:spacing w:after="0" w:line="2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Average Annual </w:t>
            </w:r>
            <w:r w:rsidRPr="00537F9E" w:rsidR="00804142">
              <w:rPr>
                <w:rFonts w:ascii="Times New Roman" w:hAnsi="Times New Roman" w:eastAsia="Times New Roman" w:cs="Times New Roman"/>
                <w:b/>
                <w:sz w:val="26"/>
                <w:szCs w:val="26"/>
              </w:rPr>
              <w:t>Number of Respondents</w:t>
            </w:r>
          </w:p>
          <w:p w:rsidRPr="00537F9E" w:rsidR="00804142" w:rsidP="001307A3" w:rsidRDefault="00804142" w14:paraId="0C951A73"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(1)</w:t>
            </w:r>
          </w:p>
        </w:tc>
        <w:tc>
          <w:tcPr>
            <w:tcW w:w="1530" w:type="dxa"/>
            <w:shd w:val="clear" w:color="auto" w:fill="D9D9D9"/>
            <w:vAlign w:val="bottom"/>
          </w:tcPr>
          <w:p w:rsidR="0075178B" w:rsidP="001307A3" w:rsidRDefault="0075178B" w14:paraId="47DCEB02" w14:textId="77777777">
            <w:pPr>
              <w:spacing w:after="0" w:line="2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Average</w:t>
            </w:r>
          </w:p>
          <w:p w:rsidRPr="00537F9E" w:rsidR="00804142" w:rsidP="001307A3" w:rsidRDefault="00E84CAD" w14:paraId="4F24661F" w14:textId="4BE91524">
            <w:pPr>
              <w:spacing w:after="0" w:line="20" w:lineRule="atLeas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Annual </w:t>
            </w:r>
            <w:r w:rsidRPr="00537F9E" w:rsidR="00804142">
              <w:rPr>
                <w:rFonts w:ascii="Times New Roman" w:hAnsi="Times New Roman" w:eastAsia="Times New Roman" w:cs="Times New Roman"/>
                <w:b/>
                <w:sz w:val="26"/>
                <w:szCs w:val="26"/>
              </w:rPr>
              <w:t>Number of Responses Per Respondent</w:t>
            </w:r>
          </w:p>
          <w:p w:rsidRPr="00537F9E" w:rsidR="00804142" w:rsidP="001307A3" w:rsidRDefault="00804142" w14:paraId="426EA3E1"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(2)</w:t>
            </w:r>
          </w:p>
        </w:tc>
        <w:tc>
          <w:tcPr>
            <w:tcW w:w="1440" w:type="dxa"/>
            <w:shd w:val="clear" w:color="auto" w:fill="D9D9D9"/>
            <w:vAlign w:val="bottom"/>
          </w:tcPr>
          <w:p w:rsidRPr="00537F9E" w:rsidR="00804142" w:rsidP="001307A3" w:rsidRDefault="00804142" w14:paraId="2991C8CE"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Total Number of Responses</w:t>
            </w:r>
          </w:p>
          <w:p w:rsidRPr="00537F9E" w:rsidR="00804142" w:rsidP="001307A3" w:rsidRDefault="00804142" w14:paraId="58D1470C" w14:textId="77777777">
            <w:pPr>
              <w:spacing w:after="0" w:line="20" w:lineRule="atLeast"/>
              <w:ind w:left="72"/>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(1) x (2) = (3)</w:t>
            </w:r>
          </w:p>
        </w:tc>
        <w:tc>
          <w:tcPr>
            <w:tcW w:w="1710" w:type="dxa"/>
            <w:shd w:val="clear" w:color="auto" w:fill="D9D9D9"/>
            <w:vAlign w:val="bottom"/>
          </w:tcPr>
          <w:p w:rsidRPr="00537F9E" w:rsidR="00804142" w:rsidP="001307A3" w:rsidRDefault="00804142" w14:paraId="6F9F8ABF" w14:textId="3D3B1F48">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Average Burden Hours &amp; Average Cost per Response ($)</w:t>
            </w:r>
          </w:p>
          <w:p w:rsidRPr="00537F9E" w:rsidR="00804142" w:rsidP="001307A3" w:rsidRDefault="00804142" w14:paraId="569AB719"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(4)</w:t>
            </w:r>
          </w:p>
        </w:tc>
        <w:tc>
          <w:tcPr>
            <w:tcW w:w="1800" w:type="dxa"/>
            <w:shd w:val="clear" w:color="auto" w:fill="D9D9D9"/>
            <w:vAlign w:val="bottom"/>
          </w:tcPr>
          <w:p w:rsidRPr="00537F9E" w:rsidR="00804142" w:rsidP="001307A3" w:rsidRDefault="00804142" w14:paraId="086F21B6"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Total Annual Burden Hours &amp; Total Annual Cost ($)</w:t>
            </w:r>
          </w:p>
          <w:p w:rsidRPr="00537F9E" w:rsidR="00804142" w:rsidP="001307A3" w:rsidRDefault="00804142" w14:paraId="2A6CFE9D"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(3) x (4) = (5)</w:t>
            </w:r>
          </w:p>
        </w:tc>
        <w:tc>
          <w:tcPr>
            <w:tcW w:w="1530" w:type="dxa"/>
            <w:shd w:val="clear" w:color="auto" w:fill="D9D9D9"/>
            <w:vAlign w:val="bottom"/>
          </w:tcPr>
          <w:p w:rsidRPr="00537F9E" w:rsidR="00804142" w:rsidP="001307A3" w:rsidRDefault="00804142" w14:paraId="3270890E"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Cost per Respondent ($)</w:t>
            </w:r>
          </w:p>
          <w:p w:rsidRPr="00537F9E" w:rsidR="00804142" w:rsidP="001307A3" w:rsidRDefault="00804142" w14:paraId="2246A485" w14:textId="77777777">
            <w:pPr>
              <w:spacing w:after="0" w:line="20" w:lineRule="atLeast"/>
              <w:jc w:val="center"/>
              <w:rPr>
                <w:rFonts w:ascii="Times New Roman" w:hAnsi="Times New Roman" w:eastAsia="Times New Roman" w:cs="Times New Roman"/>
                <w:b/>
                <w:sz w:val="26"/>
                <w:szCs w:val="26"/>
              </w:rPr>
            </w:pPr>
            <w:r w:rsidRPr="00537F9E">
              <w:rPr>
                <w:rFonts w:ascii="Times New Roman" w:hAnsi="Times New Roman" w:eastAsia="Times New Roman" w:cs="Times New Roman"/>
                <w:b/>
                <w:sz w:val="26"/>
                <w:szCs w:val="26"/>
              </w:rPr>
              <w:t>(5)</w:t>
            </w:r>
            <w:r w:rsidRPr="00537F9E">
              <w:rPr>
                <w:rFonts w:ascii="Times New Roman" w:hAnsi="Times New Roman" w:eastAsia="Calibri" w:cs="Times New Roman"/>
                <w:b/>
                <w:sz w:val="26"/>
                <w:szCs w:val="26"/>
              </w:rPr>
              <w:t xml:space="preserve"> ÷ (1) = (6)</w:t>
            </w:r>
          </w:p>
        </w:tc>
      </w:tr>
      <w:tr w:rsidRPr="00537F9E" w:rsidR="00804142" w:rsidTr="00804142" w14:paraId="099E059A" w14:textId="77777777">
        <w:trPr>
          <w:jc w:val="center"/>
        </w:trPr>
        <w:tc>
          <w:tcPr>
            <w:tcW w:w="1540" w:type="dxa"/>
            <w:vAlign w:val="bottom"/>
          </w:tcPr>
          <w:p w:rsidRPr="00537F9E" w:rsidR="00804142" w:rsidP="001307A3" w:rsidRDefault="00804142" w14:paraId="3EBACD46"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19</w:t>
            </w:r>
          </w:p>
        </w:tc>
        <w:tc>
          <w:tcPr>
            <w:tcW w:w="1530" w:type="dxa"/>
            <w:vAlign w:val="bottom"/>
          </w:tcPr>
          <w:p w:rsidRPr="00537F9E" w:rsidR="00804142" w:rsidP="001307A3" w:rsidRDefault="00804142" w14:paraId="1F61D6B7"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2</w:t>
            </w:r>
          </w:p>
        </w:tc>
        <w:tc>
          <w:tcPr>
            <w:tcW w:w="1440" w:type="dxa"/>
            <w:vAlign w:val="bottom"/>
          </w:tcPr>
          <w:p w:rsidRPr="00537F9E" w:rsidR="00804142" w:rsidP="001307A3" w:rsidRDefault="00804142" w14:paraId="0776ED9F"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38</w:t>
            </w:r>
          </w:p>
        </w:tc>
        <w:tc>
          <w:tcPr>
            <w:tcW w:w="1710" w:type="dxa"/>
            <w:vAlign w:val="bottom"/>
          </w:tcPr>
          <w:p w:rsidRPr="00537F9E" w:rsidR="00804142" w:rsidP="001307A3" w:rsidRDefault="00804142" w14:paraId="788696A5"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2 hrs.;</w:t>
            </w:r>
          </w:p>
          <w:p w:rsidRPr="00537F9E" w:rsidR="00804142" w:rsidP="001307A3" w:rsidRDefault="00804142" w14:paraId="5E4E2662"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 xml:space="preserve">$160 </w:t>
            </w:r>
          </w:p>
        </w:tc>
        <w:tc>
          <w:tcPr>
            <w:tcW w:w="1800" w:type="dxa"/>
            <w:vAlign w:val="bottom"/>
          </w:tcPr>
          <w:p w:rsidRPr="00537F9E" w:rsidR="00804142" w:rsidP="001307A3" w:rsidRDefault="00804142" w14:paraId="772373E9"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76 hrs.;</w:t>
            </w:r>
          </w:p>
          <w:p w:rsidRPr="00537F9E" w:rsidR="00804142" w:rsidP="001307A3" w:rsidRDefault="00804142" w14:paraId="2622AA95" w14:textId="77777777">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$6,080</w:t>
            </w:r>
          </w:p>
        </w:tc>
        <w:tc>
          <w:tcPr>
            <w:tcW w:w="1530" w:type="dxa"/>
            <w:vAlign w:val="bottom"/>
          </w:tcPr>
          <w:p w:rsidRPr="00537F9E" w:rsidR="00804142" w:rsidP="001307A3" w:rsidRDefault="00804142" w14:paraId="1AF6D033" w14:textId="43D22BD0">
            <w:pPr>
              <w:spacing w:after="0" w:line="20" w:lineRule="atLeast"/>
              <w:jc w:val="right"/>
              <w:rPr>
                <w:rFonts w:ascii="Times New Roman" w:hAnsi="Times New Roman" w:eastAsia="Times New Roman" w:cs="Times New Roman"/>
                <w:sz w:val="26"/>
                <w:szCs w:val="26"/>
              </w:rPr>
            </w:pPr>
            <w:r w:rsidRPr="00537F9E">
              <w:rPr>
                <w:rFonts w:ascii="Times New Roman" w:hAnsi="Times New Roman" w:eastAsia="Times New Roman" w:cs="Times New Roman"/>
                <w:sz w:val="26"/>
                <w:szCs w:val="26"/>
              </w:rPr>
              <w:t>$</w:t>
            </w:r>
            <w:r w:rsidR="003D6316">
              <w:rPr>
                <w:rFonts w:ascii="Times New Roman" w:hAnsi="Times New Roman" w:eastAsia="Times New Roman" w:cs="Times New Roman"/>
                <w:sz w:val="26"/>
                <w:szCs w:val="26"/>
              </w:rPr>
              <w:t>320</w:t>
            </w:r>
          </w:p>
        </w:tc>
      </w:tr>
    </w:tbl>
    <w:p w:rsidRPr="001307A3" w:rsidR="007852EE" w:rsidP="001307A3" w:rsidRDefault="007852EE" w14:paraId="178B4D0C" w14:textId="77777777">
      <w:pPr>
        <w:widowControl w:val="0"/>
        <w:autoSpaceDE w:val="0"/>
        <w:autoSpaceDN w:val="0"/>
        <w:adjustRightInd w:val="0"/>
        <w:spacing w:after="0" w:line="20" w:lineRule="atLeast"/>
        <w:ind w:left="360"/>
        <w:rPr>
          <w:rFonts w:ascii="Times New Roman" w:hAnsi="Times New Roman" w:cs="Times New Roman"/>
          <w:sz w:val="26"/>
          <w:szCs w:val="26"/>
        </w:rPr>
      </w:pPr>
    </w:p>
    <w:p w:rsidRPr="00537F9E" w:rsidR="000E57BE" w:rsidP="001307A3" w:rsidRDefault="000E57BE" w14:paraId="0E49ACF4" w14:textId="168F6E68">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 OF THE TOTAL ANNUAL COST BURDEN TO RESPONDENTS</w:t>
      </w:r>
    </w:p>
    <w:p w:rsidRPr="00537F9E" w:rsidR="000E57BE" w:rsidP="001307A3" w:rsidRDefault="000E57BE" w14:paraId="3B7CD579" w14:textId="77777777">
      <w:pPr>
        <w:spacing w:after="0" w:line="20" w:lineRule="atLeast"/>
        <w:rPr>
          <w:rFonts w:ascii="Times New Roman" w:hAnsi="Times New Roman" w:cs="Times New Roman"/>
          <w:sz w:val="26"/>
          <w:szCs w:val="26"/>
        </w:rPr>
      </w:pPr>
    </w:p>
    <w:p w:rsidRPr="00537F9E" w:rsidR="000E57BE" w:rsidP="001307A3" w:rsidRDefault="000E57BE" w14:paraId="14CA1733" w14:textId="11607A29">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There are no start-up or other non-labor costs.</w:t>
      </w:r>
      <w:r w:rsidR="00CC4FE3">
        <w:rPr>
          <w:rFonts w:ascii="Times New Roman" w:hAnsi="Times New Roman" w:cs="Times New Roman"/>
          <w:sz w:val="26"/>
          <w:szCs w:val="26"/>
        </w:rPr>
        <w:t xml:space="preserve"> </w:t>
      </w:r>
      <w:proofErr w:type="gramStart"/>
      <w:r w:rsidRPr="00537F9E">
        <w:rPr>
          <w:rFonts w:ascii="Times New Roman" w:hAnsi="Times New Roman" w:cs="Times New Roman"/>
          <w:sz w:val="26"/>
          <w:szCs w:val="26"/>
        </w:rPr>
        <w:t>All of</w:t>
      </w:r>
      <w:proofErr w:type="gramEnd"/>
      <w:r w:rsidRPr="00537F9E">
        <w:rPr>
          <w:rFonts w:ascii="Times New Roman" w:hAnsi="Times New Roman" w:cs="Times New Roman"/>
          <w:sz w:val="26"/>
          <w:szCs w:val="26"/>
        </w:rPr>
        <w:t xml:space="preserve"> the costs in the </w:t>
      </w:r>
      <w:r w:rsidRPr="00537F9E" w:rsidR="00804142">
        <w:rPr>
          <w:rFonts w:ascii="Times New Roman" w:hAnsi="Times New Roman" w:cs="Times New Roman"/>
          <w:sz w:val="26"/>
          <w:szCs w:val="26"/>
        </w:rPr>
        <w:t xml:space="preserve">renewal </w:t>
      </w:r>
      <w:r w:rsidRPr="00537F9E">
        <w:rPr>
          <w:rFonts w:ascii="Times New Roman" w:hAnsi="Times New Roman" w:cs="Times New Roman"/>
          <w:sz w:val="26"/>
          <w:szCs w:val="26"/>
        </w:rPr>
        <w:t xml:space="preserve">are associated with burden hours (labor) and </w:t>
      </w:r>
      <w:r w:rsidR="00CC4FE3">
        <w:rPr>
          <w:rFonts w:ascii="Times New Roman" w:hAnsi="Times New Roman" w:cs="Times New Roman"/>
          <w:sz w:val="26"/>
          <w:szCs w:val="26"/>
        </w:rPr>
        <w:t>address</w:t>
      </w:r>
      <w:r w:rsidRPr="00537F9E">
        <w:rPr>
          <w:rFonts w:ascii="Times New Roman" w:hAnsi="Times New Roman" w:cs="Times New Roman"/>
          <w:sz w:val="26"/>
          <w:szCs w:val="26"/>
        </w:rPr>
        <w:t xml:space="preserve">ed in Questions #12 and #15. </w:t>
      </w:r>
    </w:p>
    <w:p w:rsidRPr="00537F9E" w:rsidR="000E57BE" w:rsidP="001307A3" w:rsidRDefault="000E57BE" w14:paraId="27E8B4F4" w14:textId="77777777">
      <w:pPr>
        <w:spacing w:after="0" w:line="20" w:lineRule="atLeast"/>
        <w:rPr>
          <w:rFonts w:ascii="Times New Roman" w:hAnsi="Times New Roman" w:cs="Times New Roman"/>
          <w:sz w:val="26"/>
          <w:szCs w:val="26"/>
        </w:rPr>
      </w:pPr>
    </w:p>
    <w:p w:rsidRPr="00537F9E" w:rsidR="000E57BE" w:rsidP="001307A3" w:rsidRDefault="000E57BE" w14:paraId="2572BBAD"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ESTIMATED ANNUALIZED COST TO FEDERAL GOVERNMENT</w:t>
      </w:r>
    </w:p>
    <w:p w:rsidRPr="00537F9E" w:rsidR="0076369B" w:rsidP="001307A3" w:rsidRDefault="0076369B" w14:paraId="3D9696D1" w14:textId="77777777">
      <w:pPr>
        <w:spacing w:after="0" w:line="20" w:lineRule="atLeast"/>
        <w:rPr>
          <w:rFonts w:ascii="Times New Roman" w:hAnsi="Times New Roman" w:eastAsia="Times New Roman" w:cs="Times New Roman"/>
          <w:sz w:val="26"/>
          <w:szCs w:val="26"/>
        </w:rPr>
      </w:pPr>
    </w:p>
    <w:p w:rsidRPr="00E00C58" w:rsidR="00E00C58" w:rsidP="001307A3" w:rsidRDefault="00E00C58" w14:paraId="4A0BAE2D" w14:textId="77777777">
      <w:pPr>
        <w:spacing w:after="0" w:line="20" w:lineRule="atLeast"/>
        <w:rPr>
          <w:rFonts w:ascii="Times New Roman" w:hAnsi="Times New Roman" w:eastAsia="Times New Roman" w:cs="Times New Roman"/>
          <w:sz w:val="26"/>
          <w:szCs w:val="26"/>
        </w:rPr>
      </w:pPr>
      <w:r w:rsidRPr="00E00C58">
        <w:rPr>
          <w:rFonts w:ascii="Times New Roman" w:hAnsi="Times New Roman" w:eastAsia="Times New Roman" w:cs="Times New Roman"/>
          <w:sz w:val="26"/>
          <w:szCs w:val="26"/>
        </w:rPr>
        <w:t xml:space="preserve">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  </w:t>
      </w:r>
    </w:p>
    <w:p w:rsidRPr="00E00C58" w:rsidR="00E00C58" w:rsidP="001307A3" w:rsidRDefault="00E00C58" w14:paraId="3D25DBAD" w14:textId="77777777">
      <w:pPr>
        <w:spacing w:after="0" w:line="20" w:lineRule="atLeast"/>
        <w:rPr>
          <w:rFonts w:ascii="Times New Roman" w:hAnsi="Times New Roman" w:eastAsia="Times New Roman" w:cs="Times New Roman"/>
          <w:sz w:val="26"/>
          <w:szCs w:val="26"/>
        </w:rPr>
      </w:pPr>
    </w:p>
    <w:p w:rsidR="00E00C58" w:rsidP="001307A3" w:rsidRDefault="00E00C58" w14:paraId="706941D4" w14:textId="0D4A8A5D">
      <w:pPr>
        <w:spacing w:after="0" w:line="20" w:lineRule="atLeast"/>
        <w:rPr>
          <w:rFonts w:ascii="Times New Roman" w:hAnsi="Times New Roman" w:eastAsia="Times New Roman" w:cs="Times New Roman"/>
          <w:sz w:val="26"/>
          <w:szCs w:val="26"/>
        </w:rPr>
      </w:pPr>
      <w:r w:rsidRPr="00E00C58">
        <w:rPr>
          <w:rFonts w:ascii="Times New Roman" w:hAnsi="Times New Roman" w:eastAsia="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E00C58" w:rsidR="00C20002" w:rsidP="001307A3" w:rsidRDefault="00C20002" w14:paraId="7FAAD272" w14:textId="77777777">
      <w:pPr>
        <w:spacing w:after="0" w:line="20" w:lineRule="atLeast"/>
        <w:rPr>
          <w:rFonts w:ascii="Times New Roman" w:hAnsi="Times New Roman" w:eastAsia="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537F9E" w:rsidR="000E57BE" w:rsidTr="00E760B5" w14:paraId="323766BE"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537F9E" w:rsidR="000E57BE" w:rsidP="001307A3" w:rsidRDefault="000E57BE" w14:paraId="794F347F"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FERC-5</w:t>
            </w:r>
            <w:r w:rsidRPr="00537F9E" w:rsidR="00804142">
              <w:rPr>
                <w:rFonts w:ascii="Times New Roman" w:hAnsi="Times New Roman" w:cs="Times New Roman"/>
                <w:b/>
                <w:sz w:val="26"/>
                <w:szCs w:val="26"/>
              </w:rPr>
              <w:t>47</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537F9E" w:rsidR="000E57BE" w:rsidP="001307A3" w:rsidRDefault="000E57BE" w14:paraId="6E9DD75B"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537F9E" w:rsidR="000E57BE" w:rsidP="001307A3" w:rsidRDefault="000E57BE" w14:paraId="385BBB90"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Estimated Federal Cost</w:t>
            </w:r>
          </w:p>
        </w:tc>
      </w:tr>
      <w:tr w:rsidRPr="00537F9E" w:rsidR="000E57BE" w:rsidTr="0076369B" w14:paraId="16CDBBC6" w14:textId="77777777">
        <w:tc>
          <w:tcPr>
            <w:tcW w:w="3182" w:type="dxa"/>
            <w:tcBorders>
              <w:top w:val="single" w:color="auto" w:sz="4" w:space="0"/>
              <w:left w:val="single" w:color="auto" w:sz="4" w:space="0"/>
              <w:bottom w:val="single" w:color="auto" w:sz="4" w:space="0"/>
              <w:right w:val="single" w:color="auto" w:sz="4" w:space="0"/>
            </w:tcBorders>
          </w:tcPr>
          <w:p w:rsidRPr="00537F9E" w:rsidR="000E57BE" w:rsidP="001307A3" w:rsidRDefault="0076369B" w14:paraId="126D624A" w14:textId="154A14DC">
            <w:pPr>
              <w:spacing w:after="0" w:line="20" w:lineRule="atLeast"/>
              <w:rPr>
                <w:rFonts w:ascii="Times New Roman" w:hAnsi="Times New Roman" w:cs="Times New Roman"/>
                <w:sz w:val="26"/>
                <w:szCs w:val="26"/>
              </w:rPr>
            </w:pPr>
            <w:r w:rsidRPr="00537F9E">
              <w:rPr>
                <w:rFonts w:ascii="Times New Roman" w:hAnsi="Times New Roman" w:eastAsia="Times New Roman" w:cs="Times New Roman"/>
                <w:sz w:val="26"/>
                <w:szCs w:val="26"/>
              </w:rPr>
              <w:t>PRA</w:t>
            </w:r>
            <w:r w:rsidRPr="00537F9E">
              <w:rPr>
                <w:rFonts w:ascii="Times New Roman" w:hAnsi="Times New Roman" w:eastAsia="Times New Roman" w:cs="Times New Roman"/>
                <w:sz w:val="26"/>
                <w:szCs w:val="26"/>
                <w:vertAlign w:val="superscript"/>
              </w:rPr>
              <w:footnoteReference w:id="7"/>
            </w:r>
            <w:r w:rsidRPr="00537F9E">
              <w:rPr>
                <w:rFonts w:ascii="Times New Roman" w:hAnsi="Times New Roman" w:eastAsia="Times New Roman" w:cs="Times New Roman"/>
                <w:b/>
                <w:sz w:val="26"/>
                <w:szCs w:val="26"/>
              </w:rPr>
              <w:t xml:space="preserve"> </w:t>
            </w:r>
            <w:r w:rsidRPr="00537F9E">
              <w:rPr>
                <w:rFonts w:ascii="Times New Roman" w:hAnsi="Times New Roman" w:eastAsia="Times New Roman" w:cs="Times New Roman"/>
                <w:sz w:val="26"/>
                <w:szCs w:val="26"/>
              </w:rPr>
              <w:t>Administration Cost</w:t>
            </w:r>
          </w:p>
        </w:tc>
        <w:tc>
          <w:tcPr>
            <w:tcW w:w="3201" w:type="dxa"/>
            <w:tcBorders>
              <w:top w:val="single" w:color="auto" w:sz="4" w:space="0"/>
              <w:left w:val="single" w:color="auto" w:sz="4" w:space="0"/>
              <w:bottom w:val="single" w:color="auto" w:sz="4" w:space="0"/>
              <w:right w:val="single" w:color="auto" w:sz="4" w:space="0"/>
            </w:tcBorders>
            <w:vAlign w:val="center"/>
          </w:tcPr>
          <w:p w:rsidRPr="00537F9E" w:rsidR="000E57BE" w:rsidP="001307A3" w:rsidRDefault="0076369B" w14:paraId="09606D81" w14:textId="77777777">
            <w:pPr>
              <w:spacing w:after="0" w:line="20" w:lineRule="atLeast"/>
              <w:jc w:val="right"/>
              <w:rPr>
                <w:rFonts w:ascii="Times New Roman" w:hAnsi="Times New Roman" w:cs="Times New Roman"/>
                <w:sz w:val="26"/>
                <w:szCs w:val="26"/>
              </w:rPr>
            </w:pPr>
            <w:r w:rsidRPr="00537F9E">
              <w:rPr>
                <w:rFonts w:ascii="Times New Roman" w:hAnsi="Times New Roman" w:cs="Times New Roman"/>
                <w:sz w:val="26"/>
                <w:szCs w:val="26"/>
              </w:rPr>
              <w:t>-</w:t>
            </w:r>
          </w:p>
        </w:tc>
        <w:tc>
          <w:tcPr>
            <w:tcW w:w="2995" w:type="dxa"/>
            <w:tcBorders>
              <w:top w:val="single" w:color="auto" w:sz="4" w:space="0"/>
              <w:left w:val="single" w:color="auto" w:sz="4" w:space="0"/>
              <w:bottom w:val="single" w:color="auto" w:sz="4" w:space="0"/>
              <w:right w:val="single" w:color="auto" w:sz="4" w:space="0"/>
            </w:tcBorders>
            <w:vAlign w:val="center"/>
          </w:tcPr>
          <w:p w:rsidRPr="00537F9E" w:rsidR="000E57BE" w:rsidP="001307A3" w:rsidRDefault="0076369B" w14:paraId="53559F51" w14:textId="4E7C1C2F">
            <w:pPr>
              <w:spacing w:after="0" w:line="20" w:lineRule="atLeast"/>
              <w:jc w:val="right"/>
              <w:rPr>
                <w:rFonts w:ascii="Times New Roman" w:hAnsi="Times New Roman" w:cs="Times New Roman"/>
                <w:sz w:val="26"/>
                <w:szCs w:val="26"/>
              </w:rPr>
            </w:pPr>
            <w:r w:rsidRPr="00537F9E">
              <w:rPr>
                <w:rFonts w:ascii="Times New Roman" w:hAnsi="Times New Roman" w:cs="Times New Roman"/>
                <w:sz w:val="26"/>
                <w:szCs w:val="26"/>
              </w:rPr>
              <w:t>$</w:t>
            </w:r>
            <w:r w:rsidR="00140F17">
              <w:rPr>
                <w:rFonts w:ascii="Times New Roman" w:hAnsi="Times New Roman" w:cs="Times New Roman"/>
                <w:sz w:val="26"/>
                <w:szCs w:val="26"/>
              </w:rPr>
              <w:t>4,832</w:t>
            </w:r>
            <w:r w:rsidR="00C20002">
              <w:rPr>
                <w:rFonts w:ascii="Times New Roman" w:hAnsi="Times New Roman" w:cs="Times New Roman"/>
                <w:sz w:val="26"/>
                <w:szCs w:val="26"/>
              </w:rPr>
              <w:t>.00</w:t>
            </w:r>
          </w:p>
        </w:tc>
      </w:tr>
      <w:tr w:rsidRPr="00537F9E" w:rsidR="000E57BE" w:rsidTr="006C7C38" w14:paraId="037A07F3" w14:textId="77777777">
        <w:tc>
          <w:tcPr>
            <w:tcW w:w="3182" w:type="dxa"/>
            <w:tcBorders>
              <w:top w:val="single" w:color="auto" w:sz="4" w:space="0"/>
              <w:left w:val="single" w:color="auto" w:sz="4" w:space="0"/>
              <w:bottom w:val="single" w:color="auto" w:sz="4" w:space="0"/>
              <w:right w:val="single" w:color="auto" w:sz="4" w:space="0"/>
            </w:tcBorders>
          </w:tcPr>
          <w:p w:rsidRPr="00537F9E" w:rsidR="000E57BE" w:rsidP="001307A3" w:rsidRDefault="0076369B" w14:paraId="6DA94A22" w14:textId="77777777">
            <w:pPr>
              <w:spacing w:after="0" w:line="20" w:lineRule="atLeast"/>
              <w:rPr>
                <w:rFonts w:ascii="Times New Roman" w:hAnsi="Times New Roman" w:cs="Times New Roman"/>
                <w:sz w:val="26"/>
                <w:szCs w:val="26"/>
              </w:rPr>
            </w:pPr>
            <w:r w:rsidRPr="00537F9E">
              <w:rPr>
                <w:rFonts w:ascii="Times New Roman" w:hAnsi="Times New Roman" w:eastAsia="Times New Roman" w:cs="Times New Roman"/>
                <w:sz w:val="26"/>
                <w:szCs w:val="26"/>
              </w:rPr>
              <w:t>Analysis</w:t>
            </w:r>
            <w:r w:rsidRPr="00537F9E" w:rsidR="00976EC3">
              <w:rPr>
                <w:rFonts w:ascii="Times New Roman" w:hAnsi="Times New Roman" w:eastAsia="Times New Roman" w:cs="Times New Roman"/>
                <w:sz w:val="26"/>
                <w:szCs w:val="26"/>
              </w:rPr>
              <w:t xml:space="preserve"> and Processing of Filings</w:t>
            </w:r>
            <w:r w:rsidRPr="00537F9E" w:rsidR="00976EC3">
              <w:rPr>
                <w:rFonts w:ascii="Times New Roman" w:hAnsi="Times New Roman" w:cs="Times New Roman"/>
                <w:sz w:val="26"/>
                <w:szCs w:val="26"/>
                <w:vertAlign w:val="superscript"/>
              </w:rPr>
              <w:t xml:space="preserve"> </w:t>
            </w:r>
            <w:r w:rsidRPr="00537F9E" w:rsidR="00976EC3">
              <w:rPr>
                <w:rStyle w:val="FootnoteReference"/>
                <w:rFonts w:ascii="Times New Roman" w:hAnsi="Times New Roman" w:cs="Times New Roman"/>
                <w:sz w:val="26"/>
                <w:szCs w:val="26"/>
                <w:vertAlign w:val="superscript"/>
              </w:rPr>
              <w:footnoteReference w:id="8"/>
            </w:r>
            <w:r w:rsidRPr="00537F9E" w:rsidR="00976EC3">
              <w:rPr>
                <w:rFonts w:ascii="Times New Roman" w:hAnsi="Times New Roman" w:cs="Times New Roman"/>
                <w:sz w:val="26"/>
                <w:szCs w:val="26"/>
              </w:rPr>
              <w:t xml:space="preserve"> </w:t>
            </w:r>
          </w:p>
        </w:tc>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rsidRPr="00537F9E" w:rsidR="000E57BE" w:rsidP="001307A3" w:rsidRDefault="005650A7" w14:paraId="128DE4D4" w14:textId="77777777">
            <w:pPr>
              <w:spacing w:after="0" w:line="20" w:lineRule="atLeast"/>
              <w:jc w:val="right"/>
              <w:rPr>
                <w:rFonts w:ascii="Times New Roman" w:hAnsi="Times New Roman" w:cs="Times New Roman"/>
                <w:sz w:val="26"/>
                <w:szCs w:val="26"/>
                <w:highlight w:val="yellow"/>
              </w:rPr>
            </w:pPr>
            <w:r w:rsidRPr="006C7C38">
              <w:rPr>
                <w:rFonts w:ascii="Times New Roman" w:hAnsi="Times New Roman" w:cs="Times New Roman"/>
                <w:sz w:val="26"/>
                <w:szCs w:val="26"/>
              </w:rPr>
              <w:t>0.5</w:t>
            </w:r>
          </w:p>
        </w:tc>
        <w:tc>
          <w:tcPr>
            <w:tcW w:w="2995" w:type="dxa"/>
            <w:tcBorders>
              <w:top w:val="single" w:color="auto" w:sz="4" w:space="0"/>
              <w:left w:val="single" w:color="auto" w:sz="4" w:space="0"/>
              <w:bottom w:val="single" w:color="auto" w:sz="4" w:space="0"/>
              <w:right w:val="single" w:color="auto" w:sz="4" w:space="0"/>
            </w:tcBorders>
            <w:vAlign w:val="center"/>
          </w:tcPr>
          <w:p w:rsidRPr="00537F9E" w:rsidR="000E57BE" w:rsidP="001307A3" w:rsidRDefault="0076369B" w14:paraId="689050D6" w14:textId="527E7653">
            <w:pPr>
              <w:spacing w:after="0" w:line="20" w:lineRule="atLeast"/>
              <w:jc w:val="right"/>
              <w:rPr>
                <w:rFonts w:ascii="Times New Roman" w:hAnsi="Times New Roman" w:cs="Times New Roman"/>
                <w:sz w:val="26"/>
                <w:szCs w:val="26"/>
                <w:highlight w:val="yellow"/>
              </w:rPr>
            </w:pPr>
            <w:r w:rsidRPr="00537F9E">
              <w:rPr>
                <w:rFonts w:ascii="Times New Roman" w:hAnsi="Times New Roman" w:cs="Times New Roman"/>
                <w:sz w:val="26"/>
                <w:szCs w:val="26"/>
              </w:rPr>
              <w:t>$</w:t>
            </w:r>
            <w:r w:rsidR="00C20002">
              <w:rPr>
                <w:rFonts w:ascii="Times New Roman" w:hAnsi="Times New Roman" w:cs="Times New Roman"/>
                <w:sz w:val="26"/>
                <w:szCs w:val="26"/>
              </w:rPr>
              <w:t>83,545.50</w:t>
            </w:r>
          </w:p>
        </w:tc>
      </w:tr>
      <w:tr w:rsidRPr="00537F9E" w:rsidR="000E57BE" w:rsidTr="00E760B5" w14:paraId="05F435F9" w14:textId="77777777">
        <w:tc>
          <w:tcPr>
            <w:tcW w:w="3182" w:type="dxa"/>
            <w:tcBorders>
              <w:top w:val="single" w:color="auto" w:sz="4" w:space="0"/>
              <w:left w:val="single" w:color="auto" w:sz="4" w:space="0"/>
              <w:bottom w:val="single" w:color="auto" w:sz="4" w:space="0"/>
              <w:right w:val="single" w:color="auto" w:sz="4" w:space="0"/>
            </w:tcBorders>
            <w:hideMark/>
          </w:tcPr>
          <w:p w:rsidRPr="00537F9E" w:rsidR="000E57BE" w:rsidP="001307A3" w:rsidRDefault="0076369B" w14:paraId="7B8F9F75" w14:textId="77777777">
            <w:pPr>
              <w:spacing w:after="0" w:line="20" w:lineRule="atLeast"/>
              <w:rPr>
                <w:rFonts w:ascii="Times New Roman" w:hAnsi="Times New Roman" w:cs="Times New Roman"/>
                <w:b/>
                <w:sz w:val="26"/>
                <w:szCs w:val="26"/>
              </w:rPr>
            </w:pPr>
            <w:r w:rsidRPr="00537F9E">
              <w:rPr>
                <w:rFonts w:ascii="Times New Roman" w:hAnsi="Times New Roman" w:cs="Times New Roman"/>
                <w:b/>
                <w:sz w:val="26"/>
                <w:szCs w:val="26"/>
              </w:rPr>
              <w:t xml:space="preserve">FERC </w:t>
            </w:r>
            <w:r w:rsidRPr="00537F9E" w:rsidR="000E57BE">
              <w:rPr>
                <w:rFonts w:ascii="Times New Roman" w:hAnsi="Times New Roman" w:cs="Times New Roman"/>
                <w:b/>
                <w:sz w:val="26"/>
                <w:szCs w:val="26"/>
              </w:rPr>
              <w:t>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37F9E" w:rsidR="000E57BE" w:rsidP="001307A3" w:rsidRDefault="000E57BE" w14:paraId="4FE555D2" w14:textId="77777777">
            <w:pPr>
              <w:spacing w:after="0" w:line="20" w:lineRule="atLeast"/>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537F9E" w:rsidR="000E57BE" w:rsidP="001307A3" w:rsidRDefault="00C20002" w14:paraId="2C1A3F1E" w14:textId="13430316">
            <w:pPr>
              <w:spacing w:after="0" w:line="20" w:lineRule="atLeast"/>
              <w:jc w:val="right"/>
              <w:rPr>
                <w:rFonts w:ascii="Times New Roman" w:hAnsi="Times New Roman" w:cs="Times New Roman"/>
                <w:sz w:val="26"/>
                <w:szCs w:val="26"/>
              </w:rPr>
            </w:pPr>
            <w:r>
              <w:rPr>
                <w:rFonts w:ascii="Times New Roman" w:hAnsi="Times New Roman" w:cs="Times New Roman"/>
                <w:sz w:val="26"/>
                <w:szCs w:val="26"/>
              </w:rPr>
              <w:t>$88,377.50</w:t>
            </w:r>
          </w:p>
        </w:tc>
      </w:tr>
    </w:tbl>
    <w:p w:rsidRPr="00537F9E" w:rsidR="000E57BE" w:rsidP="001307A3" w:rsidRDefault="000E57BE" w14:paraId="04C73D4B" w14:textId="77777777">
      <w:pPr>
        <w:spacing w:line="20" w:lineRule="atLeast"/>
        <w:rPr>
          <w:rFonts w:ascii="Times New Roman" w:hAnsi="Times New Roman" w:cs="Times New Roman"/>
          <w:sz w:val="26"/>
          <w:szCs w:val="26"/>
        </w:rPr>
      </w:pPr>
    </w:p>
    <w:p w:rsidRPr="00537F9E" w:rsidR="000E57BE" w:rsidP="001307A3" w:rsidRDefault="000E57BE" w14:paraId="6A8723AF"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REASONS FOR CHANGES IN BURDEN INCLUDING THE NEED FOR ANY INCREASE</w:t>
      </w:r>
    </w:p>
    <w:p w:rsidRPr="009466E2" w:rsidR="009466E2" w:rsidP="001307A3" w:rsidRDefault="009466E2" w14:paraId="77239E3F" w14:textId="77777777">
      <w:pPr>
        <w:widowControl w:val="0"/>
        <w:autoSpaceDE w:val="0"/>
        <w:autoSpaceDN w:val="0"/>
        <w:adjustRightInd w:val="0"/>
        <w:spacing w:after="0" w:line="20" w:lineRule="atLeast"/>
        <w:rPr>
          <w:rFonts w:ascii="Times New Roman" w:hAnsi="Times New Roman" w:cs="Times New Roman"/>
          <w:sz w:val="26"/>
          <w:szCs w:val="26"/>
        </w:rPr>
      </w:pPr>
    </w:p>
    <w:p w:rsidRPr="009466E2" w:rsidR="009466E2" w:rsidP="001307A3" w:rsidRDefault="009466E2" w14:paraId="2C7AC9D4" w14:textId="1D5B14A2">
      <w:pPr>
        <w:widowControl w:val="0"/>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b/>
          <w:sz w:val="26"/>
          <w:szCs w:val="26"/>
        </w:rPr>
        <w:t>Program changes</w:t>
      </w:r>
      <w:r w:rsidRPr="009466E2">
        <w:rPr>
          <w:rFonts w:ascii="Times New Roman" w:hAnsi="Times New Roman" w:cs="Times New Roman"/>
          <w:sz w:val="26"/>
          <w:szCs w:val="26"/>
        </w:rPr>
        <w:t xml:space="preserve">.  No program changes are being made to the reporting requirements at this time.  </w:t>
      </w:r>
    </w:p>
    <w:p w:rsidRPr="009466E2" w:rsidR="009466E2" w:rsidP="001307A3" w:rsidRDefault="009466E2" w14:paraId="7D9D9610" w14:textId="77777777">
      <w:pPr>
        <w:widowControl w:val="0"/>
        <w:autoSpaceDE w:val="0"/>
        <w:autoSpaceDN w:val="0"/>
        <w:adjustRightInd w:val="0"/>
        <w:spacing w:after="0" w:line="20" w:lineRule="atLeast"/>
        <w:rPr>
          <w:rFonts w:ascii="Times New Roman" w:hAnsi="Times New Roman" w:cs="Times New Roman"/>
          <w:sz w:val="26"/>
          <w:szCs w:val="26"/>
        </w:rPr>
      </w:pPr>
    </w:p>
    <w:p w:rsidRPr="009466E2" w:rsidR="009466E2" w:rsidP="001307A3" w:rsidRDefault="009466E2" w14:paraId="2192F207" w14:textId="3145620C">
      <w:pPr>
        <w:widowControl w:val="0"/>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b/>
          <w:sz w:val="26"/>
          <w:szCs w:val="26"/>
        </w:rPr>
        <w:t>Adjustments in Estimates.</w:t>
      </w:r>
      <w:r w:rsidRPr="009466E2">
        <w:rPr>
          <w:rFonts w:ascii="Times New Roman" w:hAnsi="Times New Roman" w:cs="Times New Roman"/>
          <w:sz w:val="26"/>
          <w:szCs w:val="26"/>
        </w:rPr>
        <w:t xml:space="preserve">  The following adjustments are being made to estimates due to</w:t>
      </w:r>
      <w:r w:rsidR="00281A08">
        <w:rPr>
          <w:rFonts w:ascii="Times New Roman" w:hAnsi="Times New Roman" w:cs="Times New Roman"/>
          <w:sz w:val="26"/>
          <w:szCs w:val="26"/>
        </w:rPr>
        <w:t xml:space="preserve"> better accountability and</w:t>
      </w:r>
      <w:r w:rsidRPr="009466E2">
        <w:rPr>
          <w:rFonts w:ascii="Times New Roman" w:hAnsi="Times New Roman" w:cs="Times New Roman"/>
          <w:sz w:val="26"/>
          <w:szCs w:val="26"/>
        </w:rPr>
        <w:t xml:space="preserve"> normal fluctuations in industry (e.g., companies entering or leaving the field, or merging or splitting).</w:t>
      </w:r>
    </w:p>
    <w:p w:rsidRPr="009466E2" w:rsidR="009466E2" w:rsidP="001307A3" w:rsidRDefault="009466E2" w14:paraId="1D5BC718" w14:textId="77777777">
      <w:pPr>
        <w:widowControl w:val="0"/>
        <w:autoSpaceDE w:val="0"/>
        <w:autoSpaceDN w:val="0"/>
        <w:adjustRightInd w:val="0"/>
        <w:spacing w:after="0" w:line="20" w:lineRule="atLeast"/>
        <w:rPr>
          <w:rFonts w:ascii="Times New Roman" w:hAnsi="Times New Roman" w:cs="Times New Roman"/>
          <w:sz w:val="26"/>
          <w:szCs w:val="26"/>
        </w:rPr>
      </w:pPr>
    </w:p>
    <w:p w:rsidRPr="009466E2" w:rsidR="009466E2" w:rsidP="001307A3" w:rsidRDefault="009466E2" w14:paraId="64F1A14F" w14:textId="41A2DE3B">
      <w:pPr>
        <w:widowControl w:val="0"/>
        <w:numPr>
          <w:ilvl w:val="0"/>
          <w:numId w:val="5"/>
        </w:numPr>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sz w:val="26"/>
          <w:szCs w:val="26"/>
        </w:rPr>
        <w:t>The number of respondents increased to 19 (rather than 11)</w:t>
      </w:r>
      <w:r w:rsidR="00935EF4">
        <w:rPr>
          <w:rFonts w:ascii="Times New Roman" w:hAnsi="Times New Roman" w:cs="Times New Roman"/>
          <w:sz w:val="26"/>
          <w:szCs w:val="26"/>
        </w:rPr>
        <w:t xml:space="preserve"> based on historical data from the last 3 years, which reflects standard industry fluctuations</w:t>
      </w:r>
      <w:r w:rsidRPr="009466E2">
        <w:rPr>
          <w:rFonts w:ascii="Times New Roman" w:hAnsi="Times New Roman" w:cs="Times New Roman"/>
          <w:sz w:val="26"/>
          <w:szCs w:val="26"/>
        </w:rPr>
        <w:t>.</w:t>
      </w:r>
    </w:p>
    <w:p w:rsidRPr="009466E2" w:rsidR="009466E2" w:rsidP="001307A3" w:rsidRDefault="009466E2" w14:paraId="24C63961" w14:textId="623BCE4C">
      <w:pPr>
        <w:widowControl w:val="0"/>
        <w:numPr>
          <w:ilvl w:val="0"/>
          <w:numId w:val="5"/>
        </w:numPr>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sz w:val="26"/>
          <w:szCs w:val="26"/>
        </w:rPr>
        <w:t>The number of annual responses per respondent increased to 2 (rather than 1)</w:t>
      </w:r>
      <w:r w:rsidR="00281A08">
        <w:rPr>
          <w:rFonts w:ascii="Times New Roman" w:hAnsi="Times New Roman" w:cs="Times New Roman"/>
          <w:sz w:val="26"/>
          <w:szCs w:val="26"/>
        </w:rPr>
        <w:t xml:space="preserve"> </w:t>
      </w:r>
      <w:r w:rsidR="00A3022E">
        <w:rPr>
          <w:rFonts w:ascii="Times New Roman" w:hAnsi="Times New Roman" w:cs="Times New Roman"/>
          <w:sz w:val="26"/>
          <w:szCs w:val="26"/>
        </w:rPr>
        <w:t xml:space="preserve">due to better estimates from </w:t>
      </w:r>
      <w:r w:rsidR="00935EF4">
        <w:rPr>
          <w:rFonts w:ascii="Times New Roman" w:hAnsi="Times New Roman" w:cs="Times New Roman"/>
          <w:sz w:val="26"/>
          <w:szCs w:val="26"/>
        </w:rPr>
        <w:t xml:space="preserve">the </w:t>
      </w:r>
      <w:r w:rsidR="00A3022E">
        <w:rPr>
          <w:rFonts w:ascii="Times New Roman" w:hAnsi="Times New Roman" w:cs="Times New Roman"/>
          <w:sz w:val="26"/>
          <w:szCs w:val="26"/>
        </w:rPr>
        <w:t>Commission database</w:t>
      </w:r>
      <w:r w:rsidR="00935EF4">
        <w:rPr>
          <w:rFonts w:ascii="Times New Roman" w:hAnsi="Times New Roman" w:cs="Times New Roman"/>
          <w:sz w:val="26"/>
          <w:szCs w:val="26"/>
        </w:rPr>
        <w:t>, which has improved significantly in the last three years to better reflect actual responses</w:t>
      </w:r>
      <w:r w:rsidR="00A3022E">
        <w:rPr>
          <w:rFonts w:ascii="Times New Roman" w:hAnsi="Times New Roman" w:cs="Times New Roman"/>
          <w:sz w:val="26"/>
          <w:szCs w:val="26"/>
        </w:rPr>
        <w:t>.</w:t>
      </w:r>
    </w:p>
    <w:p w:rsidRPr="009466E2" w:rsidR="009466E2" w:rsidP="001307A3" w:rsidRDefault="009466E2" w14:paraId="6394045F" w14:textId="77777777">
      <w:pPr>
        <w:widowControl w:val="0"/>
        <w:numPr>
          <w:ilvl w:val="0"/>
          <w:numId w:val="5"/>
        </w:numPr>
        <w:autoSpaceDE w:val="0"/>
        <w:autoSpaceDN w:val="0"/>
        <w:adjustRightInd w:val="0"/>
        <w:spacing w:after="0" w:line="20" w:lineRule="atLeast"/>
        <w:rPr>
          <w:rFonts w:ascii="Times New Roman" w:hAnsi="Times New Roman" w:cs="Times New Roman"/>
          <w:sz w:val="26"/>
          <w:szCs w:val="26"/>
        </w:rPr>
      </w:pPr>
      <w:r w:rsidRPr="009466E2">
        <w:rPr>
          <w:rFonts w:ascii="Times New Roman" w:hAnsi="Times New Roman" w:cs="Times New Roman"/>
          <w:sz w:val="26"/>
          <w:szCs w:val="26"/>
        </w:rPr>
        <w:t>The number of responses increased to 38 (rather than 11).  The number of responses increased since the last renewal to include reports that were omitted from the last renewal.</w:t>
      </w:r>
    </w:p>
    <w:p w:rsidRPr="001307A3" w:rsidR="009466E2" w:rsidP="00935EF4" w:rsidRDefault="009466E2" w14:paraId="62DF959C" w14:textId="07ED9E78">
      <w:pPr>
        <w:pStyle w:val="ListParagraph"/>
        <w:widowControl w:val="0"/>
        <w:numPr>
          <w:ilvl w:val="0"/>
          <w:numId w:val="5"/>
        </w:numPr>
        <w:autoSpaceDE w:val="0"/>
        <w:autoSpaceDN w:val="0"/>
        <w:adjustRightInd w:val="0"/>
        <w:spacing w:after="0" w:line="20" w:lineRule="atLeast"/>
        <w:rPr>
          <w:rFonts w:ascii="Times New Roman" w:hAnsi="Times New Roman" w:cs="Times New Roman"/>
          <w:sz w:val="26"/>
          <w:szCs w:val="26"/>
        </w:rPr>
      </w:pPr>
      <w:r w:rsidRPr="001307A3">
        <w:rPr>
          <w:rFonts w:ascii="Times New Roman" w:hAnsi="Times New Roman" w:cs="Times New Roman"/>
          <w:sz w:val="26"/>
          <w:szCs w:val="26"/>
        </w:rPr>
        <w:t xml:space="preserve">The average burden and cost per response decreased to 2 hours (rather than 75 hours). </w:t>
      </w:r>
      <w:r w:rsidR="00935EF4">
        <w:rPr>
          <w:rFonts w:ascii="Times New Roman" w:hAnsi="Times New Roman" w:cs="Times New Roman"/>
          <w:sz w:val="26"/>
          <w:szCs w:val="26"/>
        </w:rPr>
        <w:t>The 75 hours</w:t>
      </w:r>
      <w:r w:rsidRPr="00935EF4" w:rsidR="00935EF4">
        <w:rPr>
          <w:rFonts w:ascii="Times New Roman" w:hAnsi="Times New Roman" w:cs="Times New Roman"/>
          <w:sz w:val="26"/>
          <w:szCs w:val="26"/>
        </w:rPr>
        <w:t xml:space="preserve"> </w:t>
      </w:r>
      <w:r w:rsidR="00935EF4">
        <w:rPr>
          <w:rFonts w:ascii="Times New Roman" w:hAnsi="Times New Roman" w:cs="Times New Roman"/>
          <w:sz w:val="26"/>
          <w:szCs w:val="26"/>
        </w:rPr>
        <w:t xml:space="preserve">reported </w:t>
      </w:r>
      <w:r w:rsidRPr="00935EF4" w:rsidR="00935EF4">
        <w:rPr>
          <w:rFonts w:ascii="Times New Roman" w:hAnsi="Times New Roman" w:cs="Times New Roman"/>
          <w:sz w:val="26"/>
          <w:szCs w:val="26"/>
        </w:rPr>
        <w:t xml:space="preserve">in the last renewal overestimated the complexity </w:t>
      </w:r>
      <w:r w:rsidR="00935EF4">
        <w:rPr>
          <w:rFonts w:ascii="Times New Roman" w:hAnsi="Times New Roman" w:cs="Times New Roman"/>
          <w:sz w:val="26"/>
          <w:szCs w:val="26"/>
        </w:rPr>
        <w:t xml:space="preserve">of </w:t>
      </w:r>
      <w:r w:rsidRPr="00935EF4" w:rsidR="00935EF4">
        <w:rPr>
          <w:rFonts w:ascii="Times New Roman" w:hAnsi="Times New Roman" w:cs="Times New Roman"/>
          <w:sz w:val="26"/>
          <w:szCs w:val="26"/>
        </w:rPr>
        <w:t>process</w:t>
      </w:r>
      <w:r w:rsidR="00935EF4">
        <w:rPr>
          <w:rFonts w:ascii="Times New Roman" w:hAnsi="Times New Roman" w:cs="Times New Roman"/>
          <w:sz w:val="26"/>
          <w:szCs w:val="26"/>
        </w:rPr>
        <w:t>ing</w:t>
      </w:r>
      <w:r w:rsidRPr="00935EF4" w:rsidR="00935EF4">
        <w:rPr>
          <w:rFonts w:ascii="Times New Roman" w:hAnsi="Times New Roman" w:cs="Times New Roman"/>
          <w:sz w:val="26"/>
          <w:szCs w:val="26"/>
        </w:rPr>
        <w:t xml:space="preserve"> a refund report. Refund reports are actuals in refund dollars generated by the pipeline and submitted to FERC</w:t>
      </w:r>
      <w:r w:rsidR="00935EF4">
        <w:rPr>
          <w:rFonts w:ascii="Times New Roman" w:hAnsi="Times New Roman" w:cs="Times New Roman"/>
          <w:sz w:val="26"/>
          <w:szCs w:val="26"/>
        </w:rPr>
        <w:t xml:space="preserve">. Commission analysts generally </w:t>
      </w:r>
      <w:proofErr w:type="gramStart"/>
      <w:r w:rsidR="00935EF4">
        <w:rPr>
          <w:rFonts w:ascii="Times New Roman" w:hAnsi="Times New Roman" w:cs="Times New Roman"/>
          <w:sz w:val="26"/>
          <w:szCs w:val="26"/>
        </w:rPr>
        <w:t>are able to</w:t>
      </w:r>
      <w:proofErr w:type="gramEnd"/>
      <w:r w:rsidR="00935EF4">
        <w:rPr>
          <w:rFonts w:ascii="Times New Roman" w:hAnsi="Times New Roman" w:cs="Times New Roman"/>
          <w:sz w:val="26"/>
          <w:szCs w:val="26"/>
        </w:rPr>
        <w:t xml:space="preserve"> </w:t>
      </w:r>
      <w:r w:rsidRPr="00935EF4" w:rsidR="00935EF4">
        <w:rPr>
          <w:rFonts w:ascii="Times New Roman" w:hAnsi="Times New Roman" w:cs="Times New Roman"/>
          <w:sz w:val="26"/>
          <w:szCs w:val="26"/>
        </w:rPr>
        <w:t>quickly review</w:t>
      </w:r>
      <w:r w:rsidR="00935EF4">
        <w:rPr>
          <w:rFonts w:ascii="Times New Roman" w:hAnsi="Times New Roman" w:cs="Times New Roman"/>
          <w:sz w:val="26"/>
          <w:szCs w:val="26"/>
        </w:rPr>
        <w:t xml:space="preserve"> these reports, which are </w:t>
      </w:r>
      <w:r w:rsidRPr="00935EF4" w:rsidR="00935EF4">
        <w:rPr>
          <w:rFonts w:ascii="Times New Roman" w:hAnsi="Times New Roman" w:cs="Times New Roman"/>
          <w:sz w:val="26"/>
          <w:szCs w:val="26"/>
        </w:rPr>
        <w:t xml:space="preserve">for </w:t>
      </w:r>
      <w:r w:rsidR="00935EF4">
        <w:rPr>
          <w:rFonts w:ascii="Times New Roman" w:hAnsi="Times New Roman" w:cs="Times New Roman"/>
          <w:sz w:val="26"/>
          <w:szCs w:val="26"/>
        </w:rPr>
        <w:t>informational purposes</w:t>
      </w:r>
      <w:r w:rsidRPr="00935EF4" w:rsidR="00935EF4">
        <w:rPr>
          <w:rFonts w:ascii="Times New Roman" w:hAnsi="Times New Roman" w:cs="Times New Roman"/>
          <w:sz w:val="26"/>
          <w:szCs w:val="26"/>
        </w:rPr>
        <w:t xml:space="preserve"> only</w:t>
      </w:r>
      <w:r w:rsidR="00935EF4">
        <w:rPr>
          <w:rFonts w:ascii="Times New Roman" w:hAnsi="Times New Roman" w:cs="Times New Roman"/>
          <w:sz w:val="26"/>
          <w:szCs w:val="26"/>
        </w:rPr>
        <w:t xml:space="preserve"> (except</w:t>
      </w:r>
      <w:r w:rsidR="00753E0C">
        <w:rPr>
          <w:rFonts w:ascii="Times New Roman" w:hAnsi="Times New Roman" w:cs="Times New Roman"/>
          <w:sz w:val="26"/>
          <w:szCs w:val="26"/>
        </w:rPr>
        <w:t xml:space="preserve"> </w:t>
      </w:r>
      <w:r w:rsidR="00935EF4">
        <w:rPr>
          <w:rFonts w:ascii="Times New Roman" w:hAnsi="Times New Roman" w:cs="Times New Roman"/>
          <w:sz w:val="26"/>
          <w:szCs w:val="26"/>
        </w:rPr>
        <w:t>in rare cases where reports are protested).</w:t>
      </w:r>
      <w:r w:rsidR="00CA072F">
        <w:rPr>
          <w:rFonts w:ascii="Times New Roman" w:hAnsi="Times New Roman" w:cs="Times New Roman"/>
          <w:sz w:val="26"/>
          <w:szCs w:val="26"/>
        </w:rPr>
        <w:t xml:space="preserve"> For these reasons, 75 hours of burden per response was an overestimate of actual FERC staff times, and we </w:t>
      </w:r>
      <w:r w:rsidRPr="00935EF4" w:rsidR="00935EF4">
        <w:rPr>
          <w:rFonts w:ascii="Times New Roman" w:hAnsi="Times New Roman" w:cs="Times New Roman"/>
          <w:sz w:val="26"/>
          <w:szCs w:val="26"/>
        </w:rPr>
        <w:t xml:space="preserve">are adjusting </w:t>
      </w:r>
      <w:r w:rsidR="00CA072F">
        <w:rPr>
          <w:rFonts w:ascii="Times New Roman" w:hAnsi="Times New Roman" w:cs="Times New Roman"/>
          <w:sz w:val="26"/>
          <w:szCs w:val="26"/>
        </w:rPr>
        <w:t xml:space="preserve">to 2 </w:t>
      </w:r>
      <w:r w:rsidR="00CA072F">
        <w:rPr>
          <w:rFonts w:ascii="Times New Roman" w:hAnsi="Times New Roman" w:cs="Times New Roman"/>
          <w:sz w:val="26"/>
          <w:szCs w:val="26"/>
        </w:rPr>
        <w:lastRenderedPageBreak/>
        <w:t>hours to better reflect the actual time</w:t>
      </w:r>
      <w:r w:rsidRPr="00935EF4" w:rsidR="00935EF4">
        <w:rPr>
          <w:rFonts w:ascii="Times New Roman" w:hAnsi="Times New Roman" w:cs="Times New Roman"/>
          <w:sz w:val="26"/>
          <w:szCs w:val="26"/>
        </w:rPr>
        <w:t xml:space="preserve"> it takes to process a refund report. </w:t>
      </w:r>
      <w:r w:rsidRPr="001307A3">
        <w:rPr>
          <w:rFonts w:ascii="Times New Roman" w:hAnsi="Times New Roman" w:cs="Times New Roman"/>
          <w:sz w:val="26"/>
          <w:szCs w:val="26"/>
        </w:rPr>
        <w:t xml:space="preserve">Consequently, the </w:t>
      </w:r>
      <w:r w:rsidR="007644D8">
        <w:rPr>
          <w:rFonts w:ascii="Times New Roman" w:hAnsi="Times New Roman" w:cs="Times New Roman"/>
          <w:sz w:val="26"/>
          <w:szCs w:val="26"/>
        </w:rPr>
        <w:t xml:space="preserve">adjustment in the </w:t>
      </w:r>
      <w:r w:rsidRPr="001307A3">
        <w:rPr>
          <w:rFonts w:ascii="Times New Roman" w:hAnsi="Times New Roman" w:cs="Times New Roman"/>
          <w:sz w:val="26"/>
          <w:szCs w:val="26"/>
        </w:rPr>
        <w:t>annual burden is due to an adjustment made to correct the overestimation from the last renewal.  The annual time burden presented here is more reflective of the actual burden time needed for the preparation of the responses required for FERC-547.</w:t>
      </w:r>
    </w:p>
    <w:p w:rsidRPr="00537F9E" w:rsidR="009466E2" w:rsidP="001307A3" w:rsidRDefault="009466E2" w14:paraId="22C403D1" w14:textId="77777777">
      <w:pPr>
        <w:widowControl w:val="0"/>
        <w:autoSpaceDE w:val="0"/>
        <w:autoSpaceDN w:val="0"/>
        <w:adjustRightInd w:val="0"/>
        <w:spacing w:after="0" w:line="20" w:lineRule="atLeast"/>
        <w:rPr>
          <w:rFonts w:ascii="Times New Roman" w:hAnsi="Times New Roman" w:cs="Times New Roman"/>
          <w:sz w:val="26"/>
          <w:szCs w:val="26"/>
        </w:rPr>
      </w:pPr>
    </w:p>
    <w:p w:rsidR="00CC4FE3" w:rsidP="001307A3" w:rsidRDefault="00CC4FE3" w14:paraId="56DE637D" w14:textId="0AD3B752">
      <w:pPr>
        <w:spacing w:line="20" w:lineRule="atLeast"/>
        <w:rPr>
          <w:rFonts w:ascii="Times New Roman" w:hAnsi="Times New Roman" w:eastAsia="Times New Roman" w:cs="Times New Roman"/>
          <w:sz w:val="24"/>
          <w:szCs w:val="26"/>
        </w:rPr>
      </w:pPr>
    </w:p>
    <w:p w:rsidRPr="00537F9E" w:rsidR="00CC4FE3" w:rsidP="001307A3" w:rsidRDefault="00CC4FE3" w14:paraId="399DE972" w14:textId="154BE3CB">
      <w:pPr>
        <w:spacing w:line="20" w:lineRule="atLeast"/>
        <w:rPr>
          <w:rFonts w:ascii="Times New Roman" w:hAnsi="Times New Roman" w:cs="Times New Roman"/>
          <w:bCs/>
          <w:sz w:val="26"/>
          <w:szCs w:val="26"/>
        </w:rPr>
      </w:pPr>
      <w:r w:rsidRPr="00CC4FE3">
        <w:rPr>
          <w:rFonts w:ascii="Times New Roman" w:hAnsi="Times New Roman" w:eastAsia="Times New Roman" w:cs="Times New Roman"/>
          <w:sz w:val="26"/>
          <w:szCs w:val="26"/>
        </w:rPr>
        <w:t>The following table shows the annual total burden of the collection of information.  The format, labels, and definitions of the table follow the ROCIS submission system’s “Information Collection Request Summary of Burden” for the metadata.</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537F9E" w:rsidR="000E57BE" w:rsidTr="00E760B5" w14:paraId="6B4A6CE1" w14:textId="77777777">
        <w:trPr>
          <w:trHeight w:val="1205"/>
        </w:trPr>
        <w:tc>
          <w:tcPr>
            <w:tcW w:w="2679"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537F9E" w:rsidR="000E57BE" w:rsidP="001307A3" w:rsidRDefault="000E57BE" w14:paraId="0D09EF2F" w14:textId="77777777">
            <w:pPr>
              <w:spacing w:after="0" w:line="20" w:lineRule="atLeast"/>
              <w:jc w:val="center"/>
              <w:rPr>
                <w:rFonts w:ascii="Times New Roman" w:hAnsi="Times New Roman" w:eastAsia="Calibri" w:cs="Times New Roman"/>
                <w:b/>
                <w:bCs/>
                <w:sz w:val="26"/>
                <w:szCs w:val="26"/>
              </w:rPr>
            </w:pPr>
            <w:r w:rsidRPr="00537F9E">
              <w:rPr>
                <w:rFonts w:ascii="Times New Roman" w:hAnsi="Times New Roman" w:eastAsia="Calibri" w:cs="Times New Roman"/>
                <w:b/>
                <w:bCs/>
                <w:sz w:val="26"/>
                <w:szCs w:val="26"/>
              </w:rPr>
              <w:t>FERC-5</w:t>
            </w:r>
            <w:r w:rsidRPr="00537F9E" w:rsidR="0076369B">
              <w:rPr>
                <w:rFonts w:ascii="Times New Roman" w:hAnsi="Times New Roman" w:eastAsia="Calibri" w:cs="Times New Roman"/>
                <w:b/>
                <w:bCs/>
                <w:sz w:val="26"/>
                <w:szCs w:val="26"/>
              </w:rPr>
              <w:t>47</w:t>
            </w:r>
          </w:p>
        </w:tc>
        <w:tc>
          <w:tcPr>
            <w:tcW w:w="146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537F9E" w:rsidR="000E57BE" w:rsidP="001307A3" w:rsidRDefault="000E57BE" w14:paraId="5129A1CF" w14:textId="77777777">
            <w:pPr>
              <w:spacing w:after="0" w:line="20" w:lineRule="atLeast"/>
              <w:jc w:val="center"/>
              <w:rPr>
                <w:rFonts w:ascii="Times New Roman" w:hAnsi="Times New Roman" w:eastAsia="Calibri" w:cs="Times New Roman"/>
                <w:b/>
                <w:bCs/>
                <w:sz w:val="26"/>
                <w:szCs w:val="26"/>
              </w:rPr>
            </w:pPr>
            <w:r w:rsidRPr="00537F9E">
              <w:rPr>
                <w:rFonts w:ascii="Times New Roman" w:hAnsi="Times New Roman" w:eastAsia="Calibri" w:cs="Times New Roman"/>
                <w:b/>
                <w:bCs/>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537F9E" w:rsidR="000E57BE" w:rsidP="001307A3" w:rsidRDefault="000E57BE" w14:paraId="453163D5" w14:textId="77777777">
            <w:pPr>
              <w:spacing w:after="0" w:line="20" w:lineRule="atLeast"/>
              <w:jc w:val="center"/>
              <w:rPr>
                <w:rFonts w:ascii="Times New Roman" w:hAnsi="Times New Roman" w:eastAsia="Calibri" w:cs="Times New Roman"/>
                <w:b/>
                <w:bCs/>
                <w:sz w:val="26"/>
                <w:szCs w:val="26"/>
              </w:rPr>
            </w:pPr>
            <w:r w:rsidRPr="00537F9E">
              <w:rPr>
                <w:rFonts w:ascii="Times New Roman" w:hAnsi="Times New Roman" w:eastAsia="Calibri" w:cs="Times New Roman"/>
                <w:b/>
                <w:bCs/>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537F9E" w:rsidR="000E57BE" w:rsidP="001307A3" w:rsidRDefault="000E57BE" w14:paraId="12CFAFDC" w14:textId="77777777">
            <w:pPr>
              <w:spacing w:after="0" w:line="20" w:lineRule="atLeast"/>
              <w:jc w:val="center"/>
              <w:rPr>
                <w:rFonts w:ascii="Times New Roman" w:hAnsi="Times New Roman" w:eastAsia="Calibri" w:cs="Times New Roman"/>
                <w:b/>
                <w:bCs/>
                <w:sz w:val="26"/>
                <w:szCs w:val="26"/>
              </w:rPr>
            </w:pPr>
            <w:r w:rsidRPr="00537F9E">
              <w:rPr>
                <w:rFonts w:ascii="Times New Roman" w:hAnsi="Times New Roman" w:eastAsia="Calibri" w:cs="Times New Roman"/>
                <w:b/>
                <w:bCs/>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537F9E" w:rsidR="000E57BE" w:rsidP="001307A3" w:rsidRDefault="000E57BE" w14:paraId="449A375B" w14:textId="77777777">
            <w:pPr>
              <w:spacing w:after="0" w:line="20" w:lineRule="atLeast"/>
              <w:jc w:val="center"/>
              <w:rPr>
                <w:rFonts w:ascii="Times New Roman" w:hAnsi="Times New Roman" w:eastAsia="Calibri" w:cs="Times New Roman"/>
                <w:b/>
                <w:bCs/>
                <w:sz w:val="26"/>
                <w:szCs w:val="26"/>
              </w:rPr>
            </w:pPr>
            <w:r w:rsidRPr="00537F9E">
              <w:rPr>
                <w:rFonts w:ascii="Times New Roman" w:hAnsi="Times New Roman" w:eastAsia="Calibri" w:cs="Times New Roman"/>
                <w:b/>
                <w:bCs/>
                <w:sz w:val="26"/>
                <w:szCs w:val="26"/>
              </w:rPr>
              <w:t>Change Due to Agency Discretion</w:t>
            </w:r>
          </w:p>
        </w:tc>
      </w:tr>
      <w:tr w:rsidRPr="00537F9E" w:rsidR="000E57BE" w:rsidTr="00E760B5" w14:paraId="13B81E60"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6C7C38" w:rsidR="000E57BE" w:rsidP="001307A3" w:rsidRDefault="000E57BE" w14:paraId="213FF73D" w14:textId="77777777">
            <w:pPr>
              <w:spacing w:after="0" w:line="20" w:lineRule="atLeast"/>
              <w:jc w:val="center"/>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tcPr>
          <w:p w:rsidRPr="006C7C38" w:rsidR="000E57BE" w:rsidP="001307A3" w:rsidRDefault="005650A7" w14:paraId="2DFCB09C" w14:textId="77777777">
            <w:pPr>
              <w:spacing w:after="0" w:line="20" w:lineRule="atLeast"/>
              <w:jc w:val="right"/>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38</w:t>
            </w:r>
          </w:p>
        </w:tc>
        <w:tc>
          <w:tcPr>
            <w:tcW w:w="1620" w:type="dxa"/>
            <w:tcBorders>
              <w:top w:val="single" w:color="auto" w:sz="4" w:space="0"/>
              <w:left w:val="single" w:color="auto" w:sz="4" w:space="0"/>
              <w:bottom w:val="single" w:color="auto" w:sz="4" w:space="0"/>
              <w:right w:val="single" w:color="auto" w:sz="4" w:space="0"/>
            </w:tcBorders>
            <w:vAlign w:val="bottom"/>
          </w:tcPr>
          <w:p w:rsidRPr="006C7C38" w:rsidR="000E57BE" w:rsidP="001307A3" w:rsidRDefault="005650A7" w14:paraId="52101528" w14:textId="77777777">
            <w:pPr>
              <w:spacing w:after="0" w:line="20" w:lineRule="atLeast"/>
              <w:jc w:val="right"/>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11</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7536BA" w14:paraId="4E087A1E" w14:textId="772C7950">
            <w:pPr>
              <w:spacing w:after="0" w:line="20" w:lineRule="atLeast"/>
              <w:jc w:val="right"/>
              <w:rPr>
                <w:rFonts w:ascii="Times New Roman" w:hAnsi="Times New Roman" w:eastAsia="Calibri" w:cs="Times New Roman"/>
                <w:bCs/>
                <w:sz w:val="26"/>
                <w:szCs w:val="26"/>
                <w:highlight w:val="yellow"/>
              </w:rPr>
            </w:pPr>
            <w:r>
              <w:rPr>
                <w:rFonts w:ascii="Times New Roman" w:hAnsi="Times New Roman" w:eastAsia="Calibri" w:cs="Times New Roman"/>
                <w:bCs/>
                <w:sz w:val="26"/>
                <w:szCs w:val="26"/>
              </w:rPr>
              <w:t>+27</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7536BA" w:rsidRDefault="007536BA" w14:paraId="3641C1E4" w14:textId="0036D892">
            <w:pPr>
              <w:spacing w:after="0" w:line="20" w:lineRule="atLeast"/>
              <w:jc w:val="right"/>
              <w:rPr>
                <w:rFonts w:ascii="Times New Roman" w:hAnsi="Times New Roman" w:eastAsia="Calibri" w:cs="Times New Roman"/>
                <w:bCs/>
                <w:sz w:val="26"/>
                <w:szCs w:val="26"/>
              </w:rPr>
            </w:pPr>
            <w:r>
              <w:rPr>
                <w:rFonts w:ascii="Times New Roman" w:hAnsi="Times New Roman" w:eastAsia="Calibri" w:cs="Times New Roman"/>
                <w:bCs/>
                <w:sz w:val="26"/>
                <w:szCs w:val="26"/>
              </w:rPr>
              <w:t>0</w:t>
            </w:r>
          </w:p>
        </w:tc>
      </w:tr>
      <w:tr w:rsidRPr="00537F9E" w:rsidR="000E57BE" w:rsidTr="00E760B5" w14:paraId="4E6F3B26" w14:textId="77777777">
        <w:trPr>
          <w:trHeight w:val="107"/>
        </w:trPr>
        <w:tc>
          <w:tcPr>
            <w:tcW w:w="2679" w:type="dxa"/>
            <w:tcBorders>
              <w:top w:val="single" w:color="auto" w:sz="4" w:space="0"/>
              <w:left w:val="single" w:color="auto" w:sz="4" w:space="0"/>
              <w:bottom w:val="single" w:color="auto" w:sz="4" w:space="0"/>
              <w:right w:val="single" w:color="auto" w:sz="4" w:space="0"/>
            </w:tcBorders>
            <w:hideMark/>
          </w:tcPr>
          <w:p w:rsidRPr="006C7C38" w:rsidR="000E57BE" w:rsidP="001307A3" w:rsidRDefault="000E57BE" w14:paraId="1971F47C" w14:textId="15DE91C6">
            <w:pPr>
              <w:spacing w:after="0" w:line="20" w:lineRule="atLeast"/>
              <w:jc w:val="center"/>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Annual Time Burden</w:t>
            </w:r>
            <w:bookmarkStart w:name="_Ref493840875" w:id="1"/>
            <w:r w:rsidR="001117D3">
              <w:rPr>
                <w:rFonts w:ascii="Times New Roman" w:hAnsi="Times New Roman" w:eastAsia="Calibri" w:cs="Times New Roman"/>
                <w:bCs/>
                <w:sz w:val="26"/>
                <w:szCs w:val="26"/>
              </w:rPr>
              <w:t xml:space="preserve"> (Hrs.)</w:t>
            </w:r>
            <w:r w:rsidRPr="006C7C38" w:rsidDel="001117D3" w:rsidR="001117D3">
              <w:rPr>
                <w:rStyle w:val="FootnoteReference"/>
                <w:rFonts w:ascii="Times New Roman" w:hAnsi="Times New Roman" w:eastAsia="Calibri" w:cs="Times New Roman"/>
                <w:bCs/>
                <w:sz w:val="26"/>
                <w:szCs w:val="26"/>
                <w:vertAlign w:val="superscript"/>
              </w:rPr>
              <w:t xml:space="preserve"> </w:t>
            </w:r>
            <w:bookmarkEnd w:id="1"/>
          </w:p>
        </w:tc>
        <w:tc>
          <w:tcPr>
            <w:tcW w:w="1461" w:type="dxa"/>
            <w:tcBorders>
              <w:top w:val="single" w:color="auto" w:sz="4" w:space="0"/>
              <w:left w:val="single" w:color="auto" w:sz="4" w:space="0"/>
              <w:bottom w:val="single" w:color="auto" w:sz="4" w:space="0"/>
              <w:right w:val="single" w:color="auto" w:sz="4" w:space="0"/>
            </w:tcBorders>
            <w:vAlign w:val="bottom"/>
          </w:tcPr>
          <w:p w:rsidRPr="006C7C38" w:rsidR="000E57BE" w:rsidP="001307A3" w:rsidRDefault="005650A7" w14:paraId="43BD07F2" w14:textId="4AE4780F">
            <w:pPr>
              <w:spacing w:after="0" w:line="20" w:lineRule="atLeast"/>
              <w:jc w:val="right"/>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7</w:t>
            </w:r>
            <w:r w:rsidR="00CC4FE3">
              <w:rPr>
                <w:rFonts w:ascii="Times New Roman" w:hAnsi="Times New Roman" w:eastAsia="Calibri" w:cs="Times New Roman"/>
                <w:bCs/>
                <w:sz w:val="26"/>
                <w:szCs w:val="26"/>
              </w:rPr>
              <w:t>6</w:t>
            </w:r>
          </w:p>
        </w:tc>
        <w:tc>
          <w:tcPr>
            <w:tcW w:w="1620" w:type="dxa"/>
            <w:tcBorders>
              <w:top w:val="single" w:color="auto" w:sz="4" w:space="0"/>
              <w:left w:val="single" w:color="auto" w:sz="4" w:space="0"/>
              <w:bottom w:val="single" w:color="auto" w:sz="4" w:space="0"/>
              <w:right w:val="single" w:color="auto" w:sz="4" w:space="0"/>
            </w:tcBorders>
            <w:vAlign w:val="bottom"/>
          </w:tcPr>
          <w:p w:rsidRPr="006C7C38" w:rsidR="000E57BE" w:rsidP="001307A3" w:rsidRDefault="005650A7" w14:paraId="45E6B305" w14:textId="77777777">
            <w:pPr>
              <w:spacing w:after="0" w:line="20" w:lineRule="atLeast"/>
              <w:jc w:val="right"/>
              <w:rPr>
                <w:rFonts w:ascii="Times New Roman" w:hAnsi="Times New Roman" w:eastAsia="Calibri" w:cs="Times New Roman"/>
                <w:bCs/>
                <w:sz w:val="26"/>
                <w:szCs w:val="26"/>
              </w:rPr>
            </w:pPr>
            <w:r w:rsidRPr="006C7C38">
              <w:rPr>
                <w:rFonts w:ascii="Times New Roman" w:hAnsi="Times New Roman" w:eastAsia="Calibri" w:cs="Times New Roman"/>
                <w:bCs/>
                <w:sz w:val="26"/>
                <w:szCs w:val="26"/>
              </w:rPr>
              <w:t>825</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7536BA" w14:paraId="3E6E9411" w14:textId="531EF8BC">
            <w:pPr>
              <w:spacing w:after="0" w:line="20" w:lineRule="atLeast"/>
              <w:jc w:val="right"/>
              <w:rPr>
                <w:rFonts w:ascii="Times New Roman" w:hAnsi="Times New Roman" w:eastAsia="Calibri" w:cs="Times New Roman"/>
                <w:bCs/>
                <w:sz w:val="26"/>
                <w:szCs w:val="26"/>
                <w:highlight w:val="yellow"/>
              </w:rPr>
            </w:pPr>
            <w:r>
              <w:rPr>
                <w:rFonts w:ascii="Times New Roman" w:hAnsi="Times New Roman" w:eastAsia="Calibri" w:cs="Times New Roman"/>
                <w:bCs/>
                <w:sz w:val="26"/>
                <w:szCs w:val="26"/>
              </w:rPr>
              <w:t>-749</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7536BA" w:rsidRDefault="000E57BE" w14:paraId="3333346E" w14:textId="663917C4">
            <w:pPr>
              <w:spacing w:after="0" w:line="20" w:lineRule="atLeast"/>
              <w:jc w:val="right"/>
              <w:rPr>
                <w:rFonts w:ascii="Times New Roman" w:hAnsi="Times New Roman" w:eastAsia="Calibri" w:cs="Times New Roman"/>
                <w:bCs/>
                <w:sz w:val="26"/>
                <w:szCs w:val="26"/>
              </w:rPr>
            </w:pPr>
          </w:p>
        </w:tc>
      </w:tr>
      <w:tr w:rsidRPr="00537F9E" w:rsidR="000E57BE" w:rsidTr="00E760B5" w14:paraId="3E9CC00C"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537F9E" w:rsidR="000E57BE" w:rsidP="001307A3" w:rsidRDefault="000E57BE" w14:paraId="1C3CFCD2" w14:textId="77777777">
            <w:pPr>
              <w:spacing w:after="0" w:line="20" w:lineRule="atLeast"/>
              <w:jc w:val="center"/>
              <w:rPr>
                <w:rFonts w:ascii="Times New Roman" w:hAnsi="Times New Roman" w:eastAsia="Calibri" w:cs="Times New Roman"/>
                <w:bCs/>
                <w:sz w:val="26"/>
                <w:szCs w:val="26"/>
              </w:rPr>
            </w:pPr>
            <w:r w:rsidRPr="00537F9E">
              <w:rPr>
                <w:rFonts w:ascii="Times New Roman" w:hAnsi="Times New Roman" w:eastAsia="Calibri" w:cs="Times New Roman"/>
                <w:bCs/>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0E57BE" w14:paraId="6ABBB9DC" w14:textId="77777777">
            <w:pPr>
              <w:spacing w:after="0" w:line="20" w:lineRule="atLeast"/>
              <w:jc w:val="right"/>
              <w:rPr>
                <w:rFonts w:ascii="Times New Roman" w:hAnsi="Times New Roman" w:eastAsia="Calibri" w:cs="Times New Roman"/>
                <w:bCs/>
                <w:sz w:val="26"/>
                <w:szCs w:val="26"/>
              </w:rPr>
            </w:pPr>
            <w:r w:rsidRPr="00537F9E">
              <w:rPr>
                <w:rFonts w:ascii="Times New Roman" w:hAnsi="Times New Roman" w:eastAsia="Calibri" w:cs="Times New Roman"/>
                <w:bCs/>
                <w:sz w:val="26"/>
                <w:szCs w:val="26"/>
              </w:rPr>
              <w:t>$0</w:t>
            </w:r>
          </w:p>
        </w:tc>
        <w:tc>
          <w:tcPr>
            <w:tcW w:w="1620"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0E57BE" w14:paraId="3ED62841" w14:textId="77777777">
            <w:pPr>
              <w:spacing w:after="0" w:line="20" w:lineRule="atLeast"/>
              <w:jc w:val="right"/>
              <w:rPr>
                <w:rFonts w:ascii="Times New Roman" w:hAnsi="Times New Roman" w:eastAsia="Calibri" w:cs="Times New Roman"/>
                <w:bCs/>
                <w:sz w:val="26"/>
                <w:szCs w:val="26"/>
              </w:rPr>
            </w:pPr>
            <w:r w:rsidRPr="00537F9E">
              <w:rPr>
                <w:rFonts w:ascii="Times New Roman" w:hAnsi="Times New Roman" w:eastAsia="Calibri" w:cs="Times New Roman"/>
                <w:bCs/>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0E57BE" w14:paraId="38D31EB4" w14:textId="77777777">
            <w:pPr>
              <w:spacing w:after="0" w:line="20" w:lineRule="atLeast"/>
              <w:jc w:val="right"/>
              <w:rPr>
                <w:rFonts w:ascii="Times New Roman" w:hAnsi="Times New Roman" w:eastAsia="Calibri" w:cs="Times New Roman"/>
                <w:bCs/>
                <w:sz w:val="26"/>
                <w:szCs w:val="26"/>
              </w:rPr>
            </w:pPr>
            <w:r w:rsidRPr="00537F9E">
              <w:rPr>
                <w:rFonts w:ascii="Times New Roman" w:hAnsi="Times New Roman" w:eastAsia="Calibri" w:cs="Times New Roman"/>
                <w:bCs/>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tcPr>
          <w:p w:rsidRPr="00537F9E" w:rsidR="000E57BE" w:rsidP="001307A3" w:rsidRDefault="000E57BE" w14:paraId="164DB81C" w14:textId="77777777">
            <w:pPr>
              <w:spacing w:after="0" w:line="20" w:lineRule="atLeast"/>
              <w:jc w:val="right"/>
              <w:rPr>
                <w:rFonts w:ascii="Times New Roman" w:hAnsi="Times New Roman" w:eastAsia="Calibri" w:cs="Times New Roman"/>
                <w:bCs/>
                <w:sz w:val="26"/>
                <w:szCs w:val="26"/>
              </w:rPr>
            </w:pPr>
            <w:r w:rsidRPr="00537F9E">
              <w:rPr>
                <w:rFonts w:ascii="Times New Roman" w:hAnsi="Times New Roman" w:eastAsia="Calibri" w:cs="Times New Roman"/>
                <w:bCs/>
                <w:sz w:val="26"/>
                <w:szCs w:val="26"/>
              </w:rPr>
              <w:t>$0</w:t>
            </w:r>
          </w:p>
        </w:tc>
      </w:tr>
    </w:tbl>
    <w:p w:rsidRPr="00537F9E" w:rsidR="000E57BE" w:rsidP="001307A3" w:rsidRDefault="000E57BE" w14:paraId="1E8056D7" w14:textId="77777777">
      <w:pPr>
        <w:spacing w:after="0" w:line="20" w:lineRule="atLeast"/>
        <w:rPr>
          <w:rFonts w:ascii="Times New Roman" w:hAnsi="Times New Roman" w:cs="Times New Roman"/>
          <w:sz w:val="26"/>
          <w:szCs w:val="26"/>
        </w:rPr>
      </w:pPr>
    </w:p>
    <w:p w:rsidRPr="00537F9E" w:rsidR="000E57BE" w:rsidP="001307A3" w:rsidRDefault="000E57BE" w14:paraId="3C903EB6" w14:textId="77777777">
      <w:pPr>
        <w:widowControl w:val="0"/>
        <w:numPr>
          <w:ilvl w:val="0"/>
          <w:numId w:val="2"/>
        </w:numPr>
        <w:tabs>
          <w:tab w:val="num" w:pos="360"/>
        </w:tabs>
        <w:autoSpaceDE w:val="0"/>
        <w:autoSpaceDN w:val="0"/>
        <w:adjustRightInd w:val="0"/>
        <w:spacing w:after="0" w:line="20" w:lineRule="atLeast"/>
        <w:ind w:left="360"/>
        <w:rPr>
          <w:rFonts w:ascii="Times New Roman" w:hAnsi="Times New Roman" w:cs="Times New Roman"/>
          <w:sz w:val="26"/>
          <w:szCs w:val="26"/>
        </w:rPr>
      </w:pPr>
      <w:r w:rsidRPr="00537F9E">
        <w:rPr>
          <w:rFonts w:ascii="Times New Roman" w:hAnsi="Times New Roman" w:cs="Times New Roman"/>
          <w:b/>
          <w:bCs/>
          <w:sz w:val="26"/>
          <w:szCs w:val="26"/>
        </w:rPr>
        <w:t>TIME SCHEDULE FOR THE PUBLICATION OF DATA</w:t>
      </w:r>
    </w:p>
    <w:p w:rsidRPr="00537F9E" w:rsidR="000E57BE" w:rsidP="001307A3" w:rsidRDefault="000E57BE" w14:paraId="04C2A656" w14:textId="77777777">
      <w:pPr>
        <w:spacing w:after="0" w:line="240" w:lineRule="auto"/>
        <w:rPr>
          <w:rFonts w:ascii="Times New Roman" w:hAnsi="Times New Roman" w:cs="Times New Roman"/>
          <w:b/>
          <w:bCs/>
          <w:sz w:val="26"/>
          <w:szCs w:val="26"/>
        </w:rPr>
      </w:pPr>
    </w:p>
    <w:p w:rsidRPr="001C5D9B" w:rsidR="001C5D9B" w:rsidP="001307A3" w:rsidRDefault="001C5D9B" w14:paraId="2A31ABCA" w14:textId="77777777">
      <w:pPr>
        <w:spacing w:after="0" w:line="240" w:lineRule="auto"/>
        <w:rPr>
          <w:rFonts w:ascii="Times New Roman" w:hAnsi="Times New Roman" w:cs="Times New Roman"/>
          <w:sz w:val="26"/>
          <w:szCs w:val="26"/>
        </w:rPr>
      </w:pPr>
      <w:r w:rsidRPr="001C5D9B">
        <w:rPr>
          <w:rFonts w:ascii="Times New Roman" w:hAnsi="Times New Roman" w:cs="Times New Roman"/>
          <w:sz w:val="26"/>
          <w:szCs w:val="26"/>
        </w:rPr>
        <w:t>There are no publication plans for the collection of information.  The data are used for regulatory purposes only.</w:t>
      </w:r>
    </w:p>
    <w:p w:rsidRPr="00537F9E" w:rsidR="000E57BE" w:rsidP="001307A3" w:rsidRDefault="000E57BE" w14:paraId="0959CCB2" w14:textId="77777777">
      <w:pPr>
        <w:spacing w:after="0" w:line="240" w:lineRule="auto"/>
        <w:rPr>
          <w:rFonts w:ascii="Times New Roman" w:hAnsi="Times New Roman" w:cs="Times New Roman"/>
          <w:sz w:val="26"/>
          <w:szCs w:val="26"/>
        </w:rPr>
      </w:pPr>
    </w:p>
    <w:p w:rsidRPr="00537F9E" w:rsidR="000E57BE" w:rsidP="001307A3" w:rsidRDefault="000E57BE" w14:paraId="550E7266"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537F9E">
        <w:rPr>
          <w:rFonts w:ascii="Times New Roman" w:hAnsi="Times New Roman" w:cs="Times New Roman"/>
          <w:b/>
          <w:bCs/>
          <w:sz w:val="26"/>
          <w:szCs w:val="26"/>
        </w:rPr>
        <w:t>DISPLAY OF THE EXPIRATION DATE</w:t>
      </w:r>
    </w:p>
    <w:p w:rsidRPr="00537F9E" w:rsidR="000E57BE" w:rsidP="001307A3" w:rsidRDefault="000E57BE" w14:paraId="26479390" w14:textId="77777777">
      <w:pPr>
        <w:spacing w:after="0" w:line="240" w:lineRule="auto"/>
        <w:rPr>
          <w:rFonts w:ascii="Times New Roman" w:hAnsi="Times New Roman" w:cs="Times New Roman"/>
          <w:b/>
          <w:bCs/>
          <w:sz w:val="26"/>
          <w:szCs w:val="26"/>
        </w:rPr>
      </w:pPr>
    </w:p>
    <w:p w:rsidRPr="00537F9E" w:rsidR="000E57BE" w:rsidP="001307A3" w:rsidRDefault="000E57BE" w14:paraId="22F4D35B" w14:textId="0A332788">
      <w:pPr>
        <w:spacing w:after="0" w:line="240" w:lineRule="auto"/>
        <w:rPr>
          <w:rFonts w:ascii="Times New Roman" w:hAnsi="Times New Roman" w:cs="Times New Roman"/>
          <w:sz w:val="26"/>
          <w:szCs w:val="26"/>
        </w:rPr>
      </w:pPr>
      <w:r w:rsidRPr="00537F9E">
        <w:rPr>
          <w:rFonts w:ascii="Times New Roman" w:hAnsi="Times New Roman" w:cs="Times New Roman"/>
          <w:sz w:val="26"/>
          <w:szCs w:val="26"/>
        </w:rPr>
        <w:t xml:space="preserve">The expiration date is displayed in a table posted on ferc.gov at </w:t>
      </w:r>
      <w:hyperlink w:history="1" r:id="rId14">
        <w:r w:rsidRPr="00CD628E" w:rsidR="001C5D9B">
          <w:rPr>
            <w:rStyle w:val="Hyperlink"/>
            <w:rFonts w:ascii="Times New Roman" w:hAnsi="Times New Roman" w:cs="Times New Roman"/>
            <w:sz w:val="26"/>
            <w:szCs w:val="26"/>
          </w:rPr>
          <w:t>http://www.ferc.gov/docs-filing/info-collections.asp</w:t>
        </w:r>
      </w:hyperlink>
      <w:r w:rsidRPr="00537F9E">
        <w:rPr>
          <w:rFonts w:ascii="Times New Roman" w:hAnsi="Times New Roman" w:cs="Times New Roman"/>
          <w:sz w:val="26"/>
          <w:szCs w:val="26"/>
        </w:rPr>
        <w:t>.</w:t>
      </w:r>
    </w:p>
    <w:p w:rsidRPr="00537F9E" w:rsidR="000E57BE" w:rsidP="001307A3" w:rsidRDefault="000E57BE" w14:paraId="255D0DF2" w14:textId="77777777">
      <w:pPr>
        <w:spacing w:after="0" w:line="240" w:lineRule="auto"/>
        <w:rPr>
          <w:rFonts w:ascii="Times New Roman" w:hAnsi="Times New Roman" w:cs="Times New Roman"/>
          <w:sz w:val="26"/>
          <w:szCs w:val="26"/>
        </w:rPr>
      </w:pPr>
    </w:p>
    <w:p w:rsidRPr="00537F9E" w:rsidR="000E57BE" w:rsidP="001307A3" w:rsidRDefault="000E57BE" w14:paraId="7DECC61E" w14:textId="77777777">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537F9E">
        <w:rPr>
          <w:rFonts w:ascii="Times New Roman" w:hAnsi="Times New Roman" w:cs="Times New Roman"/>
          <w:b/>
          <w:bCs/>
          <w:sz w:val="26"/>
          <w:szCs w:val="26"/>
        </w:rPr>
        <w:t>EXCEPTIONS TO THE CERTIFICATION STATEMENT</w:t>
      </w:r>
    </w:p>
    <w:p w:rsidRPr="00537F9E" w:rsidR="000E57BE" w:rsidP="001307A3" w:rsidRDefault="000E57BE" w14:paraId="7F79587E" w14:textId="77777777">
      <w:pPr>
        <w:spacing w:after="0" w:line="240" w:lineRule="auto"/>
        <w:rPr>
          <w:rFonts w:ascii="Times New Roman" w:hAnsi="Times New Roman" w:cs="Times New Roman"/>
          <w:sz w:val="26"/>
          <w:szCs w:val="26"/>
        </w:rPr>
      </w:pPr>
    </w:p>
    <w:p w:rsidRPr="00537F9E" w:rsidR="000E57BE" w:rsidP="001307A3" w:rsidRDefault="000E57BE" w14:paraId="6D44D3AE" w14:textId="77777777">
      <w:pPr>
        <w:spacing w:after="0" w:line="20" w:lineRule="atLeast"/>
        <w:rPr>
          <w:rFonts w:ascii="Times New Roman" w:hAnsi="Times New Roman" w:cs="Times New Roman"/>
          <w:sz w:val="26"/>
          <w:szCs w:val="26"/>
        </w:rPr>
      </w:pPr>
      <w:r w:rsidRPr="00537F9E">
        <w:rPr>
          <w:rFonts w:ascii="Times New Roman" w:hAnsi="Times New Roman" w:cs="Times New Roman"/>
          <w:sz w:val="26"/>
          <w:szCs w:val="26"/>
        </w:rPr>
        <w:t>There are no exceptions.</w:t>
      </w:r>
    </w:p>
    <w:p w:rsidRPr="00537F9E" w:rsidR="00E704E3" w:rsidP="001307A3" w:rsidRDefault="00E704E3" w14:paraId="0479A86F" w14:textId="77777777">
      <w:pPr>
        <w:spacing w:line="20" w:lineRule="atLeast"/>
        <w:rPr>
          <w:rFonts w:ascii="Times New Roman" w:hAnsi="Times New Roman" w:cs="Times New Roman"/>
          <w:sz w:val="26"/>
          <w:szCs w:val="26"/>
        </w:rPr>
      </w:pPr>
    </w:p>
    <w:sectPr w:rsidRPr="00537F9E" w:rsidR="00E704E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9D8C3" w14:textId="77777777" w:rsidR="009C2113" w:rsidRDefault="009C2113" w:rsidP="000E57BE">
      <w:pPr>
        <w:spacing w:after="0" w:line="240" w:lineRule="auto"/>
      </w:pPr>
      <w:r>
        <w:separator/>
      </w:r>
    </w:p>
  </w:endnote>
  <w:endnote w:type="continuationSeparator" w:id="0">
    <w:p w14:paraId="23785BF3" w14:textId="77777777" w:rsidR="009C2113" w:rsidRDefault="009C2113" w:rsidP="000E57BE">
      <w:pPr>
        <w:spacing w:after="0" w:line="240" w:lineRule="auto"/>
      </w:pPr>
      <w:r>
        <w:continuationSeparator/>
      </w:r>
    </w:p>
  </w:endnote>
  <w:endnote w:type="continuationNotice" w:id="1">
    <w:p w14:paraId="61DAE451" w14:textId="77777777" w:rsidR="009C2113" w:rsidRDefault="009C21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4504" w14:textId="77777777" w:rsidR="00825E58" w:rsidRDefault="00825E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793893"/>
      <w:docPartObj>
        <w:docPartGallery w:val="Page Numbers (Bottom of Page)"/>
        <w:docPartUnique/>
      </w:docPartObj>
    </w:sdtPr>
    <w:sdtEndPr>
      <w:rPr>
        <w:rFonts w:ascii="Times New Roman" w:hAnsi="Times New Roman" w:cs="Times New Roman"/>
        <w:noProof/>
        <w:sz w:val="26"/>
        <w:szCs w:val="26"/>
      </w:rPr>
    </w:sdtEndPr>
    <w:sdtContent>
      <w:p w14:paraId="065A419B" w14:textId="428CE180" w:rsidR="00E760B5" w:rsidRPr="0076369B" w:rsidRDefault="00E760B5">
        <w:pPr>
          <w:pStyle w:val="Footer"/>
          <w:jc w:val="right"/>
          <w:rPr>
            <w:rFonts w:ascii="Times New Roman" w:hAnsi="Times New Roman" w:cs="Times New Roman"/>
            <w:sz w:val="26"/>
            <w:szCs w:val="26"/>
          </w:rPr>
        </w:pPr>
        <w:r w:rsidRPr="0076369B">
          <w:rPr>
            <w:rFonts w:ascii="Times New Roman" w:hAnsi="Times New Roman" w:cs="Times New Roman"/>
            <w:sz w:val="26"/>
            <w:szCs w:val="26"/>
          </w:rPr>
          <w:fldChar w:fldCharType="begin"/>
        </w:r>
        <w:r w:rsidRPr="0076369B">
          <w:rPr>
            <w:rFonts w:ascii="Times New Roman" w:hAnsi="Times New Roman" w:cs="Times New Roman"/>
            <w:sz w:val="26"/>
            <w:szCs w:val="26"/>
          </w:rPr>
          <w:instrText xml:space="preserve"> PAGE   \* MERGEFORMAT </w:instrText>
        </w:r>
        <w:r w:rsidRPr="0076369B">
          <w:rPr>
            <w:rFonts w:ascii="Times New Roman" w:hAnsi="Times New Roman" w:cs="Times New Roman"/>
            <w:sz w:val="26"/>
            <w:szCs w:val="26"/>
          </w:rPr>
          <w:fldChar w:fldCharType="separate"/>
        </w:r>
        <w:r w:rsidR="00CA072F">
          <w:rPr>
            <w:rFonts w:ascii="Times New Roman" w:hAnsi="Times New Roman" w:cs="Times New Roman"/>
            <w:noProof/>
            <w:sz w:val="26"/>
            <w:szCs w:val="26"/>
          </w:rPr>
          <w:t>2</w:t>
        </w:r>
        <w:r w:rsidRPr="0076369B">
          <w:rPr>
            <w:rFonts w:ascii="Times New Roman" w:hAnsi="Times New Roman" w:cs="Times New Roman"/>
            <w:noProof/>
            <w:sz w:val="26"/>
            <w:szCs w:val="26"/>
          </w:rPr>
          <w:fldChar w:fldCharType="end"/>
        </w:r>
      </w:p>
    </w:sdtContent>
  </w:sdt>
  <w:p w14:paraId="4F937CFF" w14:textId="77777777" w:rsidR="00E760B5" w:rsidRDefault="00E76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FC91" w14:textId="77777777" w:rsidR="00825E58" w:rsidRDefault="00825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0D5EF" w14:textId="77777777" w:rsidR="009C2113" w:rsidRDefault="009C2113" w:rsidP="000E57BE">
      <w:pPr>
        <w:spacing w:after="0" w:line="240" w:lineRule="auto"/>
      </w:pPr>
      <w:r>
        <w:separator/>
      </w:r>
    </w:p>
  </w:footnote>
  <w:footnote w:type="continuationSeparator" w:id="0">
    <w:p w14:paraId="34B0C916" w14:textId="77777777" w:rsidR="009C2113" w:rsidRDefault="009C2113" w:rsidP="000E57BE">
      <w:pPr>
        <w:spacing w:after="0" w:line="240" w:lineRule="auto"/>
      </w:pPr>
      <w:r>
        <w:continuationSeparator/>
      </w:r>
    </w:p>
  </w:footnote>
  <w:footnote w:type="continuationNotice" w:id="1">
    <w:p w14:paraId="2D063E38" w14:textId="77777777" w:rsidR="009C2113" w:rsidRDefault="009C2113">
      <w:pPr>
        <w:spacing w:after="0" w:line="240" w:lineRule="auto"/>
      </w:pPr>
    </w:p>
  </w:footnote>
  <w:footnote w:id="2">
    <w:p w14:paraId="0B1A4D0C" w14:textId="77777777" w:rsidR="00E760B5" w:rsidRDefault="00E760B5" w:rsidP="00976EC3">
      <w:pPr>
        <w:pStyle w:val="FootnoteText"/>
      </w:pPr>
      <w:r w:rsidRPr="00672169">
        <w:rPr>
          <w:rStyle w:val="FootnoteReference"/>
          <w:b/>
          <w:vertAlign w:val="superscript"/>
        </w:rPr>
        <w:footnoteRef/>
      </w:r>
      <w:r w:rsidRPr="00672169">
        <w:rPr>
          <w:b/>
          <w:vertAlign w:val="superscript"/>
        </w:rPr>
        <w:t xml:space="preserve"> </w:t>
      </w:r>
      <w:r>
        <w:rPr>
          <w:sz w:val="24"/>
          <w:szCs w:val="24"/>
        </w:rPr>
        <w:t>See Interstate Natural Gas Association v.  Federal Energy Regulatory Commission, 716 F.2d 1 (D.C. Cir. 1983).</w:t>
      </w:r>
    </w:p>
  </w:footnote>
  <w:footnote w:id="3">
    <w:p w14:paraId="0B0A7A0A" w14:textId="605EE5DA" w:rsidR="00E760B5" w:rsidRPr="009312F2" w:rsidRDefault="00E760B5">
      <w:pPr>
        <w:pStyle w:val="FootnoteText"/>
        <w:rPr>
          <w:sz w:val="26"/>
          <w:szCs w:val="26"/>
        </w:rPr>
      </w:pPr>
      <w:r w:rsidRPr="009312F2">
        <w:rPr>
          <w:rStyle w:val="FootnoteReference"/>
          <w:b/>
          <w:sz w:val="26"/>
          <w:szCs w:val="26"/>
          <w:vertAlign w:val="superscript"/>
        </w:rPr>
        <w:footnoteRef/>
      </w:r>
      <w:r w:rsidRPr="009312F2">
        <w:rPr>
          <w:sz w:val="26"/>
          <w:szCs w:val="26"/>
        </w:rPr>
        <w:t xml:space="preserve"> 84 FR 41708, August 15, 2019</w:t>
      </w:r>
    </w:p>
  </w:footnote>
  <w:footnote w:id="4">
    <w:p w14:paraId="064A5814" w14:textId="2665D177" w:rsidR="00E760B5" w:rsidRPr="001307A3" w:rsidRDefault="00E760B5">
      <w:pPr>
        <w:pStyle w:val="FootnoteText"/>
        <w:rPr>
          <w:sz w:val="26"/>
          <w:szCs w:val="26"/>
        </w:rPr>
      </w:pPr>
      <w:r w:rsidRPr="001307A3">
        <w:rPr>
          <w:rStyle w:val="FootnoteReference"/>
          <w:sz w:val="26"/>
          <w:szCs w:val="26"/>
          <w:vertAlign w:val="superscript"/>
        </w:rPr>
        <w:footnoteRef/>
      </w:r>
      <w:r w:rsidRPr="001307A3">
        <w:rPr>
          <w:sz w:val="26"/>
          <w:szCs w:val="26"/>
          <w:vertAlign w:val="superscript"/>
        </w:rPr>
        <w:t xml:space="preserve"> </w:t>
      </w:r>
      <w:r w:rsidRPr="001307A3">
        <w:rPr>
          <w:sz w:val="26"/>
          <w:szCs w:val="26"/>
        </w:rPr>
        <w:t>84 FR 69739, December 19, 2019</w:t>
      </w:r>
    </w:p>
  </w:footnote>
  <w:footnote w:id="5">
    <w:p w14:paraId="4F92516E" w14:textId="77777777" w:rsidR="00E760B5" w:rsidRPr="00622970" w:rsidRDefault="00E760B5" w:rsidP="00140F17">
      <w:pPr>
        <w:pStyle w:val="FootnoteText"/>
        <w:rPr>
          <w:sz w:val="26"/>
          <w:szCs w:val="26"/>
        </w:rPr>
      </w:pPr>
      <w:r w:rsidRPr="00622970">
        <w:rPr>
          <w:rStyle w:val="FootnoteReference"/>
        </w:rPr>
        <w:footnoteRef/>
      </w:r>
      <w:r>
        <w:rPr>
          <w:sz w:val="26"/>
          <w:szCs w:val="26"/>
        </w:rPr>
        <w:t xml:space="preserve"> “</w:t>
      </w:r>
      <w:r w:rsidRPr="00622970">
        <w:rPr>
          <w:sz w:val="26"/>
          <w:szCs w:val="26"/>
        </w:rPr>
        <w:t>Burde</w:t>
      </w:r>
      <w:r>
        <w:rPr>
          <w:sz w:val="26"/>
          <w:szCs w:val="26"/>
        </w:rPr>
        <w:t xml:space="preserve">n” </w:t>
      </w:r>
      <w:r w:rsidRPr="00622970">
        <w:rPr>
          <w:sz w:val="26"/>
          <w:szCs w:val="26"/>
        </w:rPr>
        <w:t>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6">
    <w:p w14:paraId="79FED776" w14:textId="193CD1D9" w:rsidR="00E760B5" w:rsidRPr="002B3DCB" w:rsidRDefault="00E760B5" w:rsidP="00140F17">
      <w:pPr>
        <w:pStyle w:val="FootnoteText"/>
        <w:rPr>
          <w:sz w:val="26"/>
          <w:szCs w:val="26"/>
        </w:rPr>
      </w:pPr>
      <w:r w:rsidRPr="002B3DCB">
        <w:rPr>
          <w:rStyle w:val="FootnoteReference"/>
        </w:rPr>
        <w:footnoteRef/>
      </w:r>
      <w:r w:rsidRPr="002B3DCB">
        <w:rPr>
          <w:sz w:val="26"/>
          <w:szCs w:val="26"/>
        </w:rPr>
        <w:t xml:space="preserve"> The Commission staff estimates that industry is similarly situated in terms of hourly cost (for wages plus benefits).  Based on the Commission’s 2019 average cost (for wages plus benefits), $80.00/hour is used.</w:t>
      </w:r>
    </w:p>
  </w:footnote>
  <w:footnote w:id="7">
    <w:p w14:paraId="10EFCB07" w14:textId="77777777" w:rsidR="00E760B5" w:rsidRPr="00C27C90" w:rsidRDefault="00E760B5" w:rsidP="0076369B">
      <w:pPr>
        <w:pStyle w:val="FootnoteText"/>
        <w:rPr>
          <w:sz w:val="26"/>
          <w:szCs w:val="26"/>
        </w:rPr>
      </w:pPr>
      <w:r w:rsidRPr="00672169">
        <w:rPr>
          <w:rStyle w:val="FootnoteReference"/>
          <w:b/>
          <w:sz w:val="26"/>
          <w:szCs w:val="26"/>
          <w:vertAlign w:val="superscript"/>
        </w:rPr>
        <w:footnoteRef/>
      </w:r>
      <w:r w:rsidRPr="000A1062">
        <w:rPr>
          <w:sz w:val="26"/>
          <w:szCs w:val="26"/>
        </w:rPr>
        <w:t xml:space="preserve"> </w:t>
      </w:r>
      <w:r w:rsidRPr="00C27C90">
        <w:rPr>
          <w:sz w:val="26"/>
          <w:szCs w:val="26"/>
        </w:rPr>
        <w:t>Paperwork Reduction Act of 1995 (PRA).</w:t>
      </w:r>
    </w:p>
  </w:footnote>
  <w:footnote w:id="8">
    <w:p w14:paraId="44A329A0" w14:textId="77777777" w:rsidR="00E760B5" w:rsidRDefault="00E760B5" w:rsidP="00976EC3">
      <w:pPr>
        <w:rPr>
          <w:rFonts w:eastAsia="Times New Roman"/>
          <w:sz w:val="20"/>
          <w:szCs w:val="20"/>
        </w:rPr>
      </w:pPr>
      <w:r w:rsidRPr="000A1062">
        <w:rPr>
          <w:rStyle w:val="FootnoteReference"/>
          <w:rFonts w:ascii="Times New Roman" w:hAnsi="Times New Roman" w:cs="Times New Roman"/>
          <w:b/>
          <w:sz w:val="26"/>
          <w:szCs w:val="26"/>
          <w:vertAlign w:val="superscript"/>
        </w:rPr>
        <w:footnoteRef/>
      </w:r>
      <w:r w:rsidRPr="000A1062">
        <w:rPr>
          <w:rFonts w:ascii="Times New Roman" w:hAnsi="Times New Roman" w:cs="Times New Roman"/>
          <w:b/>
          <w:sz w:val="26"/>
          <w:szCs w:val="26"/>
        </w:rPr>
        <w:t xml:space="preserve"> </w:t>
      </w:r>
      <w:r w:rsidRPr="00976EC3">
        <w:rPr>
          <w:rFonts w:ascii="Times New Roman" w:hAnsi="Times New Roman" w:cs="Times New Roman"/>
          <w:sz w:val="26"/>
          <w:szCs w:val="26"/>
        </w:rPr>
        <w:t>Based upon 2019 FTE average annual salary plus benefits ($167,091).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3AEB" w14:textId="77777777" w:rsidR="00825E58" w:rsidRDefault="00825E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D5D60" w14:textId="77777777" w:rsidR="00E760B5" w:rsidRPr="0076369B" w:rsidRDefault="00E760B5" w:rsidP="00E760B5">
    <w:pPr>
      <w:tabs>
        <w:tab w:val="right" w:pos="10080"/>
      </w:tabs>
      <w:spacing w:after="0" w:line="240" w:lineRule="auto"/>
      <w:rPr>
        <w:rFonts w:ascii="Times New Roman" w:hAnsi="Times New Roman" w:cs="Times New Roman"/>
        <w:sz w:val="26"/>
        <w:szCs w:val="26"/>
      </w:rPr>
    </w:pPr>
    <w:r w:rsidRPr="0076369B">
      <w:rPr>
        <w:rFonts w:ascii="Times New Roman" w:hAnsi="Times New Roman" w:cs="Times New Roman"/>
        <w:sz w:val="26"/>
        <w:szCs w:val="26"/>
      </w:rPr>
      <w:t xml:space="preserve">FERC-547 (OMB Control No. 1902-0084) </w:t>
    </w:r>
  </w:p>
  <w:p w14:paraId="153416E0" w14:textId="6D253CCA" w:rsidR="00E760B5" w:rsidRDefault="00445ED0" w:rsidP="00E760B5">
    <w:pPr>
      <w:pStyle w:val="Header"/>
      <w:rPr>
        <w:rFonts w:ascii="Times New Roman" w:hAnsi="Times New Roman" w:cs="Times New Roman"/>
        <w:bCs/>
        <w:sz w:val="26"/>
        <w:szCs w:val="26"/>
      </w:rPr>
    </w:pPr>
    <w:r w:rsidRPr="001307A3">
      <w:rPr>
        <w:rFonts w:ascii="Times New Roman" w:hAnsi="Times New Roman" w:cs="Times New Roman"/>
        <w:bCs/>
        <w:sz w:val="26"/>
        <w:szCs w:val="26"/>
      </w:rPr>
      <w:t>(Renewal in Docket No. IC19-31-000)</w:t>
    </w:r>
  </w:p>
  <w:p w14:paraId="4899F423" w14:textId="0F5E22F7" w:rsidR="009F30AF" w:rsidRDefault="009F30AF" w:rsidP="00E760B5">
    <w:pPr>
      <w:pStyle w:val="Header"/>
      <w:rPr>
        <w:rFonts w:ascii="Times New Roman" w:hAnsi="Times New Roman" w:cs="Times New Roman"/>
        <w:bCs/>
        <w:sz w:val="26"/>
        <w:szCs w:val="26"/>
      </w:rPr>
    </w:pPr>
    <w:r>
      <w:rPr>
        <w:rFonts w:ascii="Times New Roman" w:hAnsi="Times New Roman" w:cs="Times New Roman"/>
        <w:bCs/>
        <w:sz w:val="26"/>
        <w:szCs w:val="26"/>
      </w:rPr>
      <w:t>(Updated: 2/24/2020)</w:t>
    </w:r>
  </w:p>
  <w:p w14:paraId="29701E9F" w14:textId="77777777" w:rsidR="00825E58" w:rsidRPr="001307A3" w:rsidRDefault="00825E58" w:rsidP="00E760B5">
    <w:pPr>
      <w:pStyle w:val="Header"/>
      <w:rPr>
        <w:rFonts w:ascii="Times New Roman" w:hAnsi="Times New Roman" w:cs="Times New Roman"/>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B2213" w14:textId="77777777" w:rsidR="00825E58" w:rsidRDefault="00825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F962B416"/>
    <w:lvl w:ilvl="0" w:tplc="20CC7608">
      <w:start w:val="1"/>
      <w:numFmt w:val="decimal"/>
      <w:lvlText w:val="%1."/>
      <w:lvlJc w:val="left"/>
      <w:pPr>
        <w:tabs>
          <w:tab w:val="num" w:pos="630"/>
        </w:tabs>
        <w:ind w:left="630" w:hanging="360"/>
      </w:pPr>
      <w:rPr>
        <w:b w:val="0"/>
        <w:sz w:val="24"/>
        <w:szCs w:val="24"/>
      </w:rPr>
    </w:lvl>
    <w:lvl w:ilvl="1" w:tplc="04090001">
      <w:start w:val="1"/>
      <w:numFmt w:val="bullet"/>
      <w:lvlText w:val=""/>
      <w:lvlJc w:val="left"/>
      <w:pPr>
        <w:tabs>
          <w:tab w:val="num" w:pos="1350"/>
        </w:tabs>
        <w:ind w:left="1350" w:hanging="360"/>
      </w:pPr>
      <w:rPr>
        <w:rFonts w:ascii="Symbol" w:hAnsi="Symbol" w:hint="default"/>
        <w:b w:val="0"/>
      </w:rPr>
    </w:lvl>
    <w:lvl w:ilvl="2" w:tplc="0409001B">
      <w:start w:val="1"/>
      <w:numFmt w:val="lowerRoman"/>
      <w:lvlText w:val="%3."/>
      <w:lvlJc w:val="right"/>
      <w:pPr>
        <w:tabs>
          <w:tab w:val="num" w:pos="2070"/>
        </w:tabs>
        <w:ind w:left="2070" w:hanging="180"/>
      </w:pPr>
    </w:lvl>
    <w:lvl w:ilvl="3" w:tplc="0409000F">
      <w:start w:val="1"/>
      <w:numFmt w:val="decimal"/>
      <w:lvlText w:val="%4."/>
      <w:lvlJc w:val="left"/>
      <w:pPr>
        <w:tabs>
          <w:tab w:val="num" w:pos="2790"/>
        </w:tabs>
        <w:ind w:left="2790" w:hanging="360"/>
      </w:pPr>
    </w:lvl>
    <w:lvl w:ilvl="4" w:tplc="04090019">
      <w:start w:val="1"/>
      <w:numFmt w:val="lowerLetter"/>
      <w:lvlText w:val="%5."/>
      <w:lvlJc w:val="left"/>
      <w:pPr>
        <w:tabs>
          <w:tab w:val="num" w:pos="3510"/>
        </w:tabs>
        <w:ind w:left="3510" w:hanging="360"/>
      </w:pPr>
    </w:lvl>
    <w:lvl w:ilvl="5" w:tplc="0409001B">
      <w:start w:val="1"/>
      <w:numFmt w:val="lowerRoman"/>
      <w:lvlText w:val="%6."/>
      <w:lvlJc w:val="right"/>
      <w:pPr>
        <w:tabs>
          <w:tab w:val="num" w:pos="4230"/>
        </w:tabs>
        <w:ind w:left="4230" w:hanging="180"/>
      </w:pPr>
    </w:lvl>
    <w:lvl w:ilvl="6" w:tplc="0409000F">
      <w:start w:val="1"/>
      <w:numFmt w:val="decimal"/>
      <w:lvlText w:val="%7."/>
      <w:lvlJc w:val="left"/>
      <w:pPr>
        <w:tabs>
          <w:tab w:val="num" w:pos="4950"/>
        </w:tabs>
        <w:ind w:left="4950" w:hanging="360"/>
      </w:pPr>
    </w:lvl>
    <w:lvl w:ilvl="7" w:tplc="04090019">
      <w:start w:val="1"/>
      <w:numFmt w:val="lowerLetter"/>
      <w:lvlText w:val="%8."/>
      <w:lvlJc w:val="left"/>
      <w:pPr>
        <w:tabs>
          <w:tab w:val="num" w:pos="5670"/>
        </w:tabs>
        <w:ind w:left="5670" w:hanging="360"/>
      </w:pPr>
    </w:lvl>
    <w:lvl w:ilvl="8" w:tplc="0409001B">
      <w:start w:val="1"/>
      <w:numFmt w:val="lowerRoman"/>
      <w:lvlText w:val="%9."/>
      <w:lvlJc w:val="right"/>
      <w:pPr>
        <w:tabs>
          <w:tab w:val="num" w:pos="6390"/>
        </w:tabs>
        <w:ind w:left="6390" w:hanging="180"/>
      </w:pPr>
    </w:lvl>
  </w:abstractNum>
  <w:abstractNum w:abstractNumId="1" w15:restartNumberingAfterBreak="0">
    <w:nsid w:val="21A87013"/>
    <w:multiLevelType w:val="hybridMultilevel"/>
    <w:tmpl w:val="DE865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9C55E3"/>
    <w:multiLevelType w:val="hybridMultilevel"/>
    <w:tmpl w:val="72966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148D0"/>
    <w:multiLevelType w:val="hybridMultilevel"/>
    <w:tmpl w:val="3B86F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D3166"/>
    <w:multiLevelType w:val="hybridMultilevel"/>
    <w:tmpl w:val="919A3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A9406A"/>
    <w:multiLevelType w:val="hybridMultilevel"/>
    <w:tmpl w:val="C01C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7BE"/>
    <w:rsid w:val="000063F1"/>
    <w:rsid w:val="00034DD2"/>
    <w:rsid w:val="00035B6D"/>
    <w:rsid w:val="00057DDE"/>
    <w:rsid w:val="000A1062"/>
    <w:rsid w:val="000E57BE"/>
    <w:rsid w:val="001117D3"/>
    <w:rsid w:val="001307A3"/>
    <w:rsid w:val="00140BA7"/>
    <w:rsid w:val="00140F17"/>
    <w:rsid w:val="001A790F"/>
    <w:rsid w:val="001C5D9B"/>
    <w:rsid w:val="001F45FE"/>
    <w:rsid w:val="0020208D"/>
    <w:rsid w:val="00211535"/>
    <w:rsid w:val="00265509"/>
    <w:rsid w:val="00281A08"/>
    <w:rsid w:val="00290C22"/>
    <w:rsid w:val="002E5428"/>
    <w:rsid w:val="00350EB9"/>
    <w:rsid w:val="00360E0F"/>
    <w:rsid w:val="00374D91"/>
    <w:rsid w:val="003B0F5E"/>
    <w:rsid w:val="003B7FE1"/>
    <w:rsid w:val="003D6316"/>
    <w:rsid w:val="003F61A3"/>
    <w:rsid w:val="0040235F"/>
    <w:rsid w:val="00434F09"/>
    <w:rsid w:val="0043657A"/>
    <w:rsid w:val="004403CF"/>
    <w:rsid w:val="00445ED0"/>
    <w:rsid w:val="004C49C8"/>
    <w:rsid w:val="00537F9E"/>
    <w:rsid w:val="00544373"/>
    <w:rsid w:val="005650A7"/>
    <w:rsid w:val="00586033"/>
    <w:rsid w:val="00611835"/>
    <w:rsid w:val="0061748D"/>
    <w:rsid w:val="00672169"/>
    <w:rsid w:val="00680B4D"/>
    <w:rsid w:val="00681DD6"/>
    <w:rsid w:val="006C7C38"/>
    <w:rsid w:val="006D06C4"/>
    <w:rsid w:val="00720683"/>
    <w:rsid w:val="007465A3"/>
    <w:rsid w:val="0075178B"/>
    <w:rsid w:val="007536BA"/>
    <w:rsid w:val="00753E0C"/>
    <w:rsid w:val="0076369B"/>
    <w:rsid w:val="007644D8"/>
    <w:rsid w:val="007852EE"/>
    <w:rsid w:val="00795C41"/>
    <w:rsid w:val="007D78D9"/>
    <w:rsid w:val="00804142"/>
    <w:rsid w:val="00822888"/>
    <w:rsid w:val="00824F4F"/>
    <w:rsid w:val="00825E58"/>
    <w:rsid w:val="00891FBD"/>
    <w:rsid w:val="008A2B5A"/>
    <w:rsid w:val="008A3CE1"/>
    <w:rsid w:val="008B0872"/>
    <w:rsid w:val="008F50C8"/>
    <w:rsid w:val="00900752"/>
    <w:rsid w:val="0093053E"/>
    <w:rsid w:val="009312F2"/>
    <w:rsid w:val="00935EF4"/>
    <w:rsid w:val="009426B4"/>
    <w:rsid w:val="00942A83"/>
    <w:rsid w:val="00944843"/>
    <w:rsid w:val="009466E2"/>
    <w:rsid w:val="00951A69"/>
    <w:rsid w:val="00976EC3"/>
    <w:rsid w:val="009A3457"/>
    <w:rsid w:val="009C2113"/>
    <w:rsid w:val="009F30AF"/>
    <w:rsid w:val="009F783F"/>
    <w:rsid w:val="00A06557"/>
    <w:rsid w:val="00A3022E"/>
    <w:rsid w:val="00A76E0E"/>
    <w:rsid w:val="00A82D21"/>
    <w:rsid w:val="00AB7F8B"/>
    <w:rsid w:val="00AD317C"/>
    <w:rsid w:val="00B4712B"/>
    <w:rsid w:val="00B66E16"/>
    <w:rsid w:val="00B67D5B"/>
    <w:rsid w:val="00B97723"/>
    <w:rsid w:val="00BA2E70"/>
    <w:rsid w:val="00BC6A05"/>
    <w:rsid w:val="00BE11A3"/>
    <w:rsid w:val="00BE13A5"/>
    <w:rsid w:val="00BF6824"/>
    <w:rsid w:val="00C20002"/>
    <w:rsid w:val="00C373E5"/>
    <w:rsid w:val="00C74518"/>
    <w:rsid w:val="00C769B5"/>
    <w:rsid w:val="00CA072F"/>
    <w:rsid w:val="00CC0515"/>
    <w:rsid w:val="00CC4FE3"/>
    <w:rsid w:val="00D15829"/>
    <w:rsid w:val="00D32013"/>
    <w:rsid w:val="00D60EFE"/>
    <w:rsid w:val="00D61AFC"/>
    <w:rsid w:val="00D94276"/>
    <w:rsid w:val="00DC02BA"/>
    <w:rsid w:val="00DD2307"/>
    <w:rsid w:val="00E00C58"/>
    <w:rsid w:val="00E11607"/>
    <w:rsid w:val="00E4362A"/>
    <w:rsid w:val="00E604A0"/>
    <w:rsid w:val="00E704E3"/>
    <w:rsid w:val="00E760B5"/>
    <w:rsid w:val="00E84CAD"/>
    <w:rsid w:val="00E92EF1"/>
    <w:rsid w:val="00F100BA"/>
    <w:rsid w:val="00F1324F"/>
    <w:rsid w:val="00F32B05"/>
    <w:rsid w:val="00F54FE5"/>
    <w:rsid w:val="00F774BD"/>
    <w:rsid w:val="00FA280A"/>
    <w:rsid w:val="00FB6560"/>
    <w:rsid w:val="00FD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F14D9"/>
  <w15:docId w15:val="{2FEC46E0-67DE-4836-A178-A2619304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A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7BE"/>
  </w:style>
  <w:style w:type="paragraph" w:styleId="Footer">
    <w:name w:val="footer"/>
    <w:basedOn w:val="Normal"/>
    <w:link w:val="FooterChar"/>
    <w:uiPriority w:val="99"/>
    <w:unhideWhenUsed/>
    <w:rsid w:val="000E5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7BE"/>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qFormat/>
    <w:rsid w:val="000E57BE"/>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Char"/>
    <w:basedOn w:val="Normal"/>
    <w:link w:val="FootnoteTextChar2"/>
    <w:qFormat/>
    <w:rsid w:val="000E57B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0E57BE"/>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0E57BE"/>
    <w:rPr>
      <w:rFonts w:ascii="Times New Roman" w:eastAsia="Times New Roman" w:hAnsi="Times New Roman" w:cs="Times New Roman"/>
      <w:sz w:val="20"/>
      <w:szCs w:val="20"/>
    </w:rPr>
  </w:style>
  <w:style w:type="character" w:styleId="Hyperlink">
    <w:name w:val="Hyperlink"/>
    <w:basedOn w:val="DefaultParagraphFont"/>
    <w:unhideWhenUsed/>
    <w:rsid w:val="000E57BE"/>
    <w:rPr>
      <w:color w:val="0000FF"/>
      <w:u w:val="single"/>
    </w:rPr>
  </w:style>
  <w:style w:type="character" w:customStyle="1" w:styleId="FERCparanumberChar1">
    <w:name w:val="FERC paranumber Char1"/>
    <w:basedOn w:val="DefaultParagraphFont"/>
    <w:link w:val="FERCparanumber"/>
    <w:locked/>
    <w:rsid w:val="000E57BE"/>
    <w:rPr>
      <w:sz w:val="24"/>
      <w:szCs w:val="24"/>
    </w:rPr>
  </w:style>
  <w:style w:type="paragraph" w:customStyle="1" w:styleId="FERCparanumber">
    <w:name w:val="FERC paranumber"/>
    <w:basedOn w:val="Normal"/>
    <w:link w:val="FERCparanumberChar1"/>
    <w:qFormat/>
    <w:rsid w:val="000E57BE"/>
    <w:pPr>
      <w:widowControl w:val="0"/>
      <w:numPr>
        <w:numId w:val="1"/>
      </w:numPr>
      <w:autoSpaceDE w:val="0"/>
      <w:autoSpaceDN w:val="0"/>
      <w:adjustRightInd w:val="0"/>
      <w:spacing w:after="0" w:line="240" w:lineRule="auto"/>
    </w:pPr>
    <w:rPr>
      <w:sz w:val="24"/>
      <w:szCs w:val="24"/>
    </w:rPr>
  </w:style>
  <w:style w:type="character" w:styleId="CommentReference">
    <w:name w:val="annotation reference"/>
    <w:basedOn w:val="DefaultParagraphFont"/>
    <w:uiPriority w:val="99"/>
    <w:semiHidden/>
    <w:unhideWhenUsed/>
    <w:rsid w:val="00374D91"/>
    <w:rPr>
      <w:sz w:val="16"/>
      <w:szCs w:val="16"/>
    </w:rPr>
  </w:style>
  <w:style w:type="paragraph" w:styleId="CommentText">
    <w:name w:val="annotation text"/>
    <w:basedOn w:val="Normal"/>
    <w:link w:val="CommentTextChar"/>
    <w:uiPriority w:val="99"/>
    <w:semiHidden/>
    <w:unhideWhenUsed/>
    <w:rsid w:val="00942A83"/>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942A8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4D91"/>
    <w:rPr>
      <w:b/>
      <w:bCs/>
    </w:rPr>
  </w:style>
  <w:style w:type="character" w:customStyle="1" w:styleId="CommentSubjectChar">
    <w:name w:val="Comment Subject Char"/>
    <w:basedOn w:val="CommentTextChar"/>
    <w:link w:val="CommentSubject"/>
    <w:uiPriority w:val="99"/>
    <w:semiHidden/>
    <w:rsid w:val="00374D91"/>
    <w:rPr>
      <w:rFonts w:ascii="Times New Roman" w:hAnsi="Times New Roman"/>
      <w:b/>
      <w:bCs/>
      <w:sz w:val="20"/>
      <w:szCs w:val="20"/>
    </w:rPr>
  </w:style>
  <w:style w:type="paragraph" w:styleId="BalloonText">
    <w:name w:val="Balloon Text"/>
    <w:basedOn w:val="Normal"/>
    <w:link w:val="BalloonTextChar"/>
    <w:uiPriority w:val="99"/>
    <w:semiHidden/>
    <w:unhideWhenUsed/>
    <w:rsid w:val="00374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D9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C5D9B"/>
    <w:rPr>
      <w:color w:val="605E5C"/>
      <w:shd w:val="clear" w:color="auto" w:fill="E1DFDD"/>
    </w:rPr>
  </w:style>
  <w:style w:type="paragraph" w:styleId="ListParagraph">
    <w:name w:val="List Paragraph"/>
    <w:basedOn w:val="Normal"/>
    <w:uiPriority w:val="34"/>
    <w:qFormat/>
    <w:rsid w:val="00764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9159">
      <w:bodyDiv w:val="1"/>
      <w:marLeft w:val="0"/>
      <w:marRight w:val="0"/>
      <w:marTop w:val="0"/>
      <w:marBottom w:val="0"/>
      <w:divBdr>
        <w:top w:val="none" w:sz="0" w:space="0" w:color="auto"/>
        <w:left w:val="none" w:sz="0" w:space="0" w:color="auto"/>
        <w:bottom w:val="none" w:sz="0" w:space="0" w:color="auto"/>
        <w:right w:val="none" w:sz="0" w:space="0" w:color="auto"/>
      </w:divBdr>
    </w:div>
    <w:div w:id="353120240">
      <w:bodyDiv w:val="1"/>
      <w:marLeft w:val="0"/>
      <w:marRight w:val="0"/>
      <w:marTop w:val="0"/>
      <w:marBottom w:val="0"/>
      <w:divBdr>
        <w:top w:val="none" w:sz="0" w:space="0" w:color="auto"/>
        <w:left w:val="none" w:sz="0" w:space="0" w:color="auto"/>
        <w:bottom w:val="none" w:sz="0" w:space="0" w:color="auto"/>
        <w:right w:val="none" w:sz="0" w:space="0" w:color="auto"/>
      </w:divBdr>
    </w:div>
    <w:div w:id="724984121">
      <w:bodyDiv w:val="1"/>
      <w:marLeft w:val="0"/>
      <w:marRight w:val="0"/>
      <w:marTop w:val="0"/>
      <w:marBottom w:val="0"/>
      <w:divBdr>
        <w:top w:val="none" w:sz="0" w:space="0" w:color="auto"/>
        <w:left w:val="none" w:sz="0" w:space="0" w:color="auto"/>
        <w:bottom w:val="none" w:sz="0" w:space="0" w:color="auto"/>
        <w:right w:val="none" w:sz="0" w:space="0" w:color="auto"/>
      </w:divBdr>
    </w:div>
    <w:div w:id="996691366">
      <w:bodyDiv w:val="1"/>
      <w:marLeft w:val="0"/>
      <w:marRight w:val="0"/>
      <w:marTop w:val="0"/>
      <w:marBottom w:val="0"/>
      <w:divBdr>
        <w:top w:val="none" w:sz="0" w:space="0" w:color="auto"/>
        <w:left w:val="none" w:sz="0" w:space="0" w:color="auto"/>
        <w:bottom w:val="none" w:sz="0" w:space="0" w:color="auto"/>
        <w:right w:val="none" w:sz="0" w:space="0" w:color="auto"/>
      </w:divBdr>
    </w:div>
    <w:div w:id="1252157458">
      <w:bodyDiv w:val="1"/>
      <w:marLeft w:val="0"/>
      <w:marRight w:val="0"/>
      <w:marTop w:val="0"/>
      <w:marBottom w:val="0"/>
      <w:divBdr>
        <w:top w:val="none" w:sz="0" w:space="0" w:color="auto"/>
        <w:left w:val="none" w:sz="0" w:space="0" w:color="auto"/>
        <w:bottom w:val="none" w:sz="0" w:space="0" w:color="auto"/>
        <w:right w:val="none" w:sz="0" w:space="0" w:color="auto"/>
      </w:divBdr>
    </w:div>
    <w:div w:id="1406999665">
      <w:bodyDiv w:val="1"/>
      <w:marLeft w:val="0"/>
      <w:marRight w:val="0"/>
      <w:marTop w:val="0"/>
      <w:marBottom w:val="0"/>
      <w:divBdr>
        <w:top w:val="none" w:sz="0" w:space="0" w:color="auto"/>
        <w:left w:val="none" w:sz="0" w:space="0" w:color="auto"/>
        <w:bottom w:val="none" w:sz="0" w:space="0" w:color="auto"/>
        <w:right w:val="none" w:sz="0" w:space="0" w:color="auto"/>
      </w:divBdr>
    </w:div>
    <w:div w:id="1649164775">
      <w:bodyDiv w:val="1"/>
      <w:marLeft w:val="0"/>
      <w:marRight w:val="0"/>
      <w:marTop w:val="0"/>
      <w:marBottom w:val="0"/>
      <w:divBdr>
        <w:top w:val="none" w:sz="0" w:space="0" w:color="auto"/>
        <w:left w:val="none" w:sz="0" w:space="0" w:color="auto"/>
        <w:bottom w:val="none" w:sz="0" w:space="0" w:color="auto"/>
        <w:right w:val="none" w:sz="0" w:space="0" w:color="auto"/>
      </w:divBdr>
    </w:div>
    <w:div w:id="1664503030">
      <w:bodyDiv w:val="1"/>
      <w:marLeft w:val="0"/>
      <w:marRight w:val="0"/>
      <w:marTop w:val="0"/>
      <w:marBottom w:val="0"/>
      <w:divBdr>
        <w:top w:val="none" w:sz="0" w:space="0" w:color="auto"/>
        <w:left w:val="none" w:sz="0" w:space="0" w:color="auto"/>
        <w:bottom w:val="none" w:sz="0" w:space="0" w:color="auto"/>
        <w:right w:val="none" w:sz="0" w:space="0" w:color="auto"/>
      </w:divBdr>
    </w:div>
    <w:div w:id="171681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547</_x0031__x002e__x0020_Collection_x0020_Number>
    <Date xmlns="d6eefc7d-9817-4fa6-84d5-3bc009be21b8">2019-12-20T05:00:00.000Z</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IC19-31</_x0031__x002e__x0020_Docket_x0020_Number>
    <_x0033__x002e__x0020_Collection_x0020_Number xmlns="d6eefc7d-9817-4fa6-84d5-3bc009be21b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EDEF5-3CA5-4B96-842B-82EF478405EF}">
  <ds:schemaRefs>
    <ds:schemaRef ds:uri="http://schemas.microsoft.com/office/2006/metadata/customXsn"/>
  </ds:schemaRefs>
</ds:datastoreItem>
</file>

<file path=customXml/itemProps2.xml><?xml version="1.0" encoding="utf-8"?>
<ds:datastoreItem xmlns:ds="http://schemas.openxmlformats.org/officeDocument/2006/customXml" ds:itemID="{73950FD0-388F-465D-873D-03EA7A6C0201}">
  <ds:schemaRefs>
    <ds:schemaRef ds:uri="Microsoft.SharePoint.Taxonomy.ContentTypeSync"/>
  </ds:schemaRefs>
</ds:datastoreItem>
</file>

<file path=customXml/itemProps3.xml><?xml version="1.0" encoding="utf-8"?>
<ds:datastoreItem xmlns:ds="http://schemas.openxmlformats.org/officeDocument/2006/customXml" ds:itemID="{74F8342A-F21B-4A08-96B2-564E35E73BD9}">
  <ds:schemaRefs>
    <ds:schemaRef ds:uri="http://schemas.microsoft.com/sharepoint/v3/contenttype/forms"/>
  </ds:schemaRefs>
</ds:datastoreItem>
</file>

<file path=customXml/itemProps4.xml><?xml version="1.0" encoding="utf-8"?>
<ds:datastoreItem xmlns:ds="http://schemas.openxmlformats.org/officeDocument/2006/customXml" ds:itemID="{8F79F1C3-CEA9-4FE1-8DDB-19EECA5CE824}">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22925D56-1C4D-4F87-A62E-5E5F7260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CF0022-8BD1-44B0-9CBE-E59FA988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Gas Pipeline Rates: Refund Report Requirements</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 Pipeline Rates: Refund Report Requirements</dc:title>
  <dc:subject/>
  <dc:creator>Michele Chambers</dc:creator>
  <cp:keywords/>
  <dc:description/>
  <cp:lastModifiedBy>Michele Chambers</cp:lastModifiedBy>
  <cp:revision>2</cp:revision>
  <dcterms:created xsi:type="dcterms:W3CDTF">2020-02-24T19:44:00Z</dcterms:created>
  <dcterms:modified xsi:type="dcterms:W3CDTF">2020-02-24T19:44:00Z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