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ECA49" w14:textId="77777777" w:rsidR="008A69F4" w:rsidRDefault="008A69F4" w:rsidP="00F86890">
      <w:pPr>
        <w:jc w:val="center"/>
      </w:pPr>
      <w:bookmarkStart w:id="0" w:name="_GoBack"/>
      <w:bookmarkEnd w:id="0"/>
    </w:p>
    <w:p w14:paraId="0AE3100A" w14:textId="77777777" w:rsidR="00F86890" w:rsidRDefault="00F86890" w:rsidP="00F86890">
      <w:pPr>
        <w:jc w:val="center"/>
      </w:pPr>
      <w:r>
        <w:t>UNITED STATES OF AMERICA</w:t>
      </w:r>
    </w:p>
    <w:p w14:paraId="43EB07FB" w14:textId="77777777" w:rsidR="00F86890" w:rsidRDefault="00F86890" w:rsidP="00F86890">
      <w:pPr>
        <w:jc w:val="center"/>
      </w:pPr>
      <w:r>
        <w:t>FEDERAL ENERGY REGULATORY COMMISSION</w:t>
      </w:r>
    </w:p>
    <w:p w14:paraId="2A9DF270" w14:textId="77777777" w:rsidR="008A69F4" w:rsidRDefault="008A69F4" w:rsidP="00F86890">
      <w:pPr>
        <w:jc w:val="center"/>
      </w:pPr>
    </w:p>
    <w:p w14:paraId="086A8CC1" w14:textId="77777777" w:rsidR="00F86890" w:rsidRDefault="00F86890" w:rsidP="00F86890"/>
    <w:p w14:paraId="7AA68853" w14:textId="77777777" w:rsidR="00F86890" w:rsidRPr="0002369F" w:rsidRDefault="00F86890" w:rsidP="00F86890">
      <w:pPr>
        <w:jc w:val="center"/>
      </w:pPr>
      <w:r w:rsidRPr="0002369F">
        <w:t>[</w:t>
      </w:r>
      <w:r w:rsidRPr="00866595">
        <w:t xml:space="preserve">Docket No. </w:t>
      </w:r>
      <w:r w:rsidR="006D7B67" w:rsidRPr="00866595">
        <w:t>IC</w:t>
      </w:r>
      <w:r w:rsidR="00866595" w:rsidRPr="00866595">
        <w:t>19-31</w:t>
      </w:r>
      <w:r w:rsidR="00C44398" w:rsidRPr="00866595">
        <w:t>-</w:t>
      </w:r>
      <w:r w:rsidRPr="00866595">
        <w:t>00</w:t>
      </w:r>
      <w:r w:rsidR="00C44398" w:rsidRPr="00866595">
        <w:t>0</w:t>
      </w:r>
      <w:r w:rsidRPr="0002369F">
        <w:t>]</w:t>
      </w:r>
    </w:p>
    <w:p w14:paraId="61C8CB8A" w14:textId="77777777" w:rsidR="00F86890" w:rsidRPr="0002369F" w:rsidRDefault="00F86890" w:rsidP="00F86890"/>
    <w:p w14:paraId="6F3562D8" w14:textId="77777777" w:rsidR="00F86890" w:rsidRPr="0002369F" w:rsidRDefault="00F86890" w:rsidP="00F86890">
      <w:pPr>
        <w:jc w:val="center"/>
      </w:pPr>
      <w:r w:rsidRPr="0002369F">
        <w:t>COMMISSION INFORMATION COLLECTION ACTIVITIES (FERC-</w:t>
      </w:r>
      <w:r w:rsidR="0002369F" w:rsidRPr="0002369F">
        <w:t>547</w:t>
      </w:r>
      <w:r w:rsidRPr="0002369F">
        <w:t>);</w:t>
      </w:r>
    </w:p>
    <w:p w14:paraId="6E1DE004" w14:textId="77777777" w:rsidR="00F86890" w:rsidRDefault="00F86890" w:rsidP="00F86890">
      <w:pPr>
        <w:jc w:val="center"/>
      </w:pPr>
      <w:r w:rsidRPr="0002369F">
        <w:t>COMMENT REQUEST; EXTENSION</w:t>
      </w:r>
    </w:p>
    <w:p w14:paraId="0B27FADC" w14:textId="77777777" w:rsidR="008A69F4" w:rsidRPr="0002369F" w:rsidRDefault="008A69F4" w:rsidP="00F86890">
      <w:pPr>
        <w:jc w:val="center"/>
      </w:pPr>
    </w:p>
    <w:p w14:paraId="17CF71B6" w14:textId="2AF8206E" w:rsidR="00F86890" w:rsidRDefault="00AA0553" w:rsidP="00CE64F2">
      <w:pPr>
        <w:spacing w:line="480" w:lineRule="auto"/>
        <w:jc w:val="center"/>
      </w:pPr>
      <w:r>
        <w:t>(July 30, 2019)</w:t>
      </w:r>
    </w:p>
    <w:p w14:paraId="0C4A17E8" w14:textId="77777777" w:rsidR="00F86890" w:rsidRDefault="00CE64F2" w:rsidP="00CE64F2">
      <w:pPr>
        <w:spacing w:line="480" w:lineRule="auto"/>
      </w:pPr>
      <w:r w:rsidRPr="00656DF0">
        <w:rPr>
          <w:b/>
        </w:rPr>
        <w:t>AGENCY:</w:t>
      </w:r>
      <w:r>
        <w:t xml:space="preserve">  </w:t>
      </w:r>
      <w:r w:rsidR="00F86890">
        <w:t>Federal Energy Regulatory Commission.</w:t>
      </w:r>
    </w:p>
    <w:p w14:paraId="1183C905"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07C37EF7" w14:textId="77777777"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t xml:space="preserve">, the Federal Energy Regulatory Commission (Commission or FERC) is soliciting public comment on the </w:t>
      </w:r>
      <w:r w:rsidR="00E146ED">
        <w:t xml:space="preserve">currently approved information collection, </w:t>
      </w:r>
      <w:r w:rsidR="0002369F">
        <w:t>FERC-547 (</w:t>
      </w:r>
      <w:r w:rsidR="0002369F">
        <w:rPr>
          <w:szCs w:val="26"/>
        </w:rPr>
        <w:t>Gas Pipeline Rates: Refund Report Requirements)</w:t>
      </w:r>
      <w:r>
        <w:t xml:space="preserve">. </w:t>
      </w:r>
    </w:p>
    <w:p w14:paraId="71EA7B68" w14:textId="77777777"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27273D" w:rsidRPr="00866595">
        <w:rPr>
          <w:b/>
        </w:rPr>
        <w:t>insert dat</w:t>
      </w:r>
      <w:r w:rsidR="00AE61E0" w:rsidRPr="00866595">
        <w:rPr>
          <w:b/>
        </w:rPr>
        <w:t>e</w:t>
      </w:r>
      <w:r w:rsidR="0027273D" w:rsidRPr="00866595">
        <w:rPr>
          <w:b/>
        </w:rPr>
        <w:t xml:space="preserve"> that is </w:t>
      </w:r>
      <w:r w:rsidRPr="00866595">
        <w:rPr>
          <w:b/>
        </w:rPr>
        <w:t>60 days after publication</w:t>
      </w:r>
      <w:r w:rsidR="0027273D" w:rsidRPr="00866595">
        <w:rPr>
          <w:b/>
        </w:rPr>
        <w:t xml:space="preserve"> </w:t>
      </w:r>
      <w:r w:rsidRPr="00866595">
        <w:rPr>
          <w:b/>
        </w:rPr>
        <w:t>in the Federal Register</w:t>
      </w:r>
      <w:r w:rsidRPr="00866595">
        <w:t>].</w:t>
      </w:r>
      <w:r>
        <w:t xml:space="preserve"> </w:t>
      </w:r>
    </w:p>
    <w:p w14:paraId="4B8D2F07" w14:textId="77777777" w:rsidR="00537276" w:rsidRDefault="00F86890" w:rsidP="00CE64F2">
      <w:pPr>
        <w:spacing w:line="480" w:lineRule="auto"/>
      </w:pPr>
      <w:r w:rsidRPr="00CE64F2">
        <w:rPr>
          <w:b/>
        </w:rPr>
        <w:t>ADDRESSES:</w:t>
      </w:r>
      <w:r>
        <w:t xml:space="preserve">  </w:t>
      </w:r>
      <w:r w:rsidR="005346F4">
        <w:t>You may submit comments</w:t>
      </w:r>
      <w:r w:rsidR="00537276">
        <w:t xml:space="preserve"> </w:t>
      </w:r>
      <w:r w:rsidR="00AB436E">
        <w:t>(</w:t>
      </w:r>
      <w:r w:rsidR="00537276">
        <w:t xml:space="preserve">identified by </w:t>
      </w:r>
      <w:r w:rsidR="00537276" w:rsidRPr="00866595">
        <w:t xml:space="preserve">Docket No. </w:t>
      </w:r>
      <w:r w:rsidR="006D7B67" w:rsidRPr="00866595">
        <w:t>IC</w:t>
      </w:r>
      <w:r w:rsidR="00866595" w:rsidRPr="00866595">
        <w:t>19</w:t>
      </w:r>
      <w:r w:rsidR="006D7B67" w:rsidRPr="00866595">
        <w:t>-</w:t>
      </w:r>
      <w:r w:rsidR="00866595" w:rsidRPr="00866595">
        <w:t>31</w:t>
      </w:r>
      <w:r w:rsidR="00537276" w:rsidRPr="00866595">
        <w:t>-000</w:t>
      </w:r>
      <w:r w:rsidR="00AB436E" w:rsidRPr="00C44398">
        <w:t xml:space="preserve">) </w:t>
      </w:r>
      <w:r w:rsidR="00537276" w:rsidRPr="00C44398">
        <w:t>by</w:t>
      </w:r>
      <w:r w:rsidR="00537276">
        <w:t xml:space="preserve"> </w:t>
      </w:r>
      <w:r w:rsidR="00004A34">
        <w:t>either</w:t>
      </w:r>
      <w:r w:rsidR="00537276">
        <w:t xml:space="preserve"> of the following methods:</w:t>
      </w:r>
    </w:p>
    <w:p w14:paraId="02520F44"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2120508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FBD7CE4"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536D3CB9" w14:textId="77777777" w:rsidR="00D76D45" w:rsidRPr="00241BFD"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20BF75D4" w14:textId="77777777" w:rsidR="00F86890" w:rsidRDefault="00F86890" w:rsidP="00CE64F2">
      <w:pPr>
        <w:spacing w:line="480" w:lineRule="auto"/>
      </w:pPr>
      <w:r w:rsidRPr="00656DF0">
        <w:rPr>
          <w:b/>
        </w:rPr>
        <w:t>FOR FURTHER INFORMATION</w:t>
      </w:r>
      <w:r w:rsidRPr="00C44398">
        <w:rPr>
          <w:b/>
        </w:rPr>
        <w:t>:</w:t>
      </w:r>
      <w:r w:rsidRPr="00C44398">
        <w:t xml:space="preserve">  </w:t>
      </w:r>
      <w:smartTag w:uri="urn:schemas-microsoft-com:office:smarttags" w:element="PersonName">
        <w:r w:rsidRPr="00C44398">
          <w:t>Ellen Brown</w:t>
        </w:r>
      </w:smartTag>
      <w:r w:rsidRPr="00C44398">
        <w:t xml:space="preserve"> may be reached</w:t>
      </w:r>
      <w:r>
        <w:t xml:space="preserve"> by e-mail at </w:t>
      </w:r>
      <w:hyperlink r:id="rId17" w:history="1">
        <w:r w:rsidR="00C56512" w:rsidRPr="00006D4B">
          <w:rPr>
            <w:rStyle w:val="Hyperlink"/>
          </w:rPr>
          <w:t>DataClearance@FERC.gov</w:t>
        </w:r>
      </w:hyperlink>
      <w:r>
        <w:t>, telephone at (202) 502-8663, and fax at (202) 273-0873.</w:t>
      </w:r>
    </w:p>
    <w:p w14:paraId="6C17F9B7" w14:textId="77777777" w:rsidR="00C056FE" w:rsidRDefault="00F86890" w:rsidP="00CE64F2">
      <w:pPr>
        <w:spacing w:line="480" w:lineRule="auto"/>
      </w:pPr>
      <w:r>
        <w:t xml:space="preserve"> </w:t>
      </w:r>
      <w:r w:rsidRPr="001C3703">
        <w:rPr>
          <w:b/>
        </w:rPr>
        <w:t>SUPPLEMENTARY INFORMATION:</w:t>
      </w:r>
      <w:r>
        <w:t xml:space="preserve">  </w:t>
      </w:r>
    </w:p>
    <w:p w14:paraId="6ED3C80E" w14:textId="77777777" w:rsidR="00C056FE" w:rsidRDefault="00C056FE" w:rsidP="00CE64F2">
      <w:pPr>
        <w:spacing w:line="480" w:lineRule="auto"/>
        <w:rPr>
          <w:i/>
        </w:rPr>
      </w:pPr>
      <w:r>
        <w:rPr>
          <w:i/>
        </w:rPr>
        <w:t>Title:</w:t>
      </w:r>
      <w:r w:rsidR="00CD787F">
        <w:rPr>
          <w:i/>
        </w:rPr>
        <w:t xml:space="preserve"> </w:t>
      </w:r>
      <w:r w:rsidR="009C2753">
        <w:rPr>
          <w:szCs w:val="26"/>
        </w:rPr>
        <w:t xml:space="preserve">Gas Pipeline Rates: </w:t>
      </w:r>
      <w:r w:rsidR="0002369F">
        <w:rPr>
          <w:szCs w:val="26"/>
        </w:rPr>
        <w:t>Refund Report Requirements</w:t>
      </w:r>
    </w:p>
    <w:p w14:paraId="4DAEB48D" w14:textId="77777777" w:rsidR="00C056FE" w:rsidRDefault="00C056FE" w:rsidP="00CE64F2">
      <w:pPr>
        <w:spacing w:line="480" w:lineRule="auto"/>
      </w:pPr>
      <w:r>
        <w:rPr>
          <w:i/>
        </w:rPr>
        <w:t>OMB Control No.:</w:t>
      </w:r>
      <w:r w:rsidR="00F50EDA" w:rsidRPr="00F50EDA">
        <w:t xml:space="preserve"> </w:t>
      </w:r>
      <w:r w:rsidR="0002369F">
        <w:t>1902-0084</w:t>
      </w:r>
    </w:p>
    <w:p w14:paraId="42515B9D" w14:textId="77777777" w:rsidR="00C056FE" w:rsidRDefault="00C056FE" w:rsidP="00CE64F2">
      <w:pPr>
        <w:spacing w:line="480" w:lineRule="auto"/>
      </w:pPr>
      <w:r>
        <w:rPr>
          <w:i/>
        </w:rPr>
        <w:t>Type of Request:</w:t>
      </w:r>
      <w:r>
        <w:t xml:space="preserve"> Three-year extension of the </w:t>
      </w:r>
      <w:r w:rsidRPr="0002369F">
        <w:t>FERC-</w:t>
      </w:r>
      <w:r w:rsidR="0002369F" w:rsidRPr="0002369F">
        <w:t>547</w:t>
      </w:r>
      <w:r w:rsidRPr="0002369F">
        <w:t xml:space="preserve"> information collection</w:t>
      </w:r>
      <w:r>
        <w:t xml:space="preserve"> </w:t>
      </w:r>
      <w:r w:rsidR="009447D3">
        <w:t xml:space="preserve">requirements with no changes to the current reporting requirements. </w:t>
      </w:r>
    </w:p>
    <w:p w14:paraId="4634806F" w14:textId="77777777" w:rsidR="0002369F" w:rsidRDefault="00F76482" w:rsidP="000236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rPr>
        <w:t xml:space="preserve">Abstract: </w:t>
      </w:r>
      <w:r w:rsidR="0002369F">
        <w:rPr>
          <w:szCs w:val="26"/>
        </w:rPr>
        <w:t>The Commission uses FERC-547 (Gas Pipeline Rates:  Refund Report Requirements) to implement the statutory refund provisions governed by Sections 4, 5 and 16 of the Natural Gas Act (NGA).</w:t>
      </w:r>
      <w:r w:rsidR="0002369F">
        <w:rPr>
          <w:rStyle w:val="FootnoteReference"/>
        </w:rPr>
        <w:footnoteReference w:id="1"/>
      </w:r>
      <w:r w:rsidR="0002369F" w:rsidRPr="00FD57AA">
        <w:rPr>
          <w:szCs w:val="26"/>
        </w:rPr>
        <w:t xml:space="preserve">  S</w:t>
      </w:r>
      <w:r w:rsidR="0002369F">
        <w:rPr>
          <w:szCs w:val="26"/>
        </w:rPr>
        <w:t>ections 4 and 5 authorize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of the NGA authorizes the Commission to prescribe rules and regulations necessary to administer its refund mandates.  The Commission’s refund reporting requirements are located in 18 CFR 154.501 and 154.502.</w:t>
      </w:r>
    </w:p>
    <w:p w14:paraId="672FF977" w14:textId="77777777" w:rsidR="00F50EDA" w:rsidRDefault="0002369F" w:rsidP="0002369F">
      <w:pPr>
        <w:spacing w:line="480" w:lineRule="auto"/>
      </w:pPr>
      <w:r>
        <w:rPr>
          <w:szCs w:val="26"/>
        </w:rPr>
        <w:tab/>
      </w:r>
      <w:r w:rsidRPr="00CD1C68">
        <w:rPr>
          <w:szCs w:val="26"/>
        </w:rPr>
        <w:t>The Commission uses the data to monitor refunds owed by natural gas companies to ensure</w:t>
      </w:r>
      <w:r>
        <w:rPr>
          <w:szCs w:val="26"/>
        </w:rPr>
        <w:t xml:space="preserve"> that </w:t>
      </w:r>
      <w:r w:rsidRPr="00CD1C68">
        <w:rPr>
          <w:szCs w:val="26"/>
        </w:rPr>
        <w:t xml:space="preserve">the flow-through of refunds owed by </w:t>
      </w:r>
      <w:r>
        <w:rPr>
          <w:szCs w:val="26"/>
        </w:rPr>
        <w:t>these companies</w:t>
      </w:r>
      <w:r w:rsidRPr="00CD1C68">
        <w:rPr>
          <w:szCs w:val="26"/>
        </w:rPr>
        <w:t xml:space="preserve"> are made as expeditiously as possible</w:t>
      </w:r>
      <w:r>
        <w:rPr>
          <w:szCs w:val="26"/>
        </w:rPr>
        <w:t xml:space="preserve"> and</w:t>
      </w:r>
      <w:r w:rsidRPr="00CD1C68">
        <w:rPr>
          <w:szCs w:val="26"/>
        </w:rPr>
        <w:t xml:space="preserve"> to assure that refunds</w:t>
      </w:r>
      <w:r>
        <w:rPr>
          <w:szCs w:val="26"/>
        </w:rPr>
        <w:t xml:space="preserve"> are made in compliance with the Commission’s regulations.</w:t>
      </w:r>
    </w:p>
    <w:p w14:paraId="36822D96" w14:textId="77777777" w:rsidR="009679E3" w:rsidRPr="009679E3" w:rsidRDefault="009537F4" w:rsidP="00CE64F2">
      <w:pPr>
        <w:spacing w:line="480" w:lineRule="auto"/>
      </w:pPr>
      <w:r>
        <w:rPr>
          <w:i/>
        </w:rPr>
        <w:t xml:space="preserve">Type of Respondents: </w:t>
      </w:r>
      <w:r w:rsidR="0002369F">
        <w:t>Natural gas companies.</w:t>
      </w:r>
    </w:p>
    <w:p w14:paraId="3B1BA7CA" w14:textId="77777777" w:rsidR="00696A1D" w:rsidRDefault="00696A1D" w:rsidP="00696A1D">
      <w:pPr>
        <w:spacing w:line="480" w:lineRule="auto"/>
      </w:pPr>
      <w:r>
        <w:rPr>
          <w:i/>
        </w:rPr>
        <w:t>Estimate of Annual Burden</w:t>
      </w:r>
      <w:r>
        <w:rPr>
          <w:rStyle w:val="FootnoteReference"/>
          <w:i/>
        </w:rPr>
        <w:footnoteReference w:id="2"/>
      </w:r>
      <w:r>
        <w:rPr>
          <w:i/>
        </w:rPr>
        <w:t xml:space="preserve">: </w:t>
      </w:r>
      <w:r>
        <w:t>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866595" w:rsidRPr="00866595" w14:paraId="4897C9B4" w14:textId="77777777" w:rsidTr="00597E3F">
        <w:trPr>
          <w:trHeight w:val="347"/>
          <w:jc w:val="center"/>
        </w:trPr>
        <w:tc>
          <w:tcPr>
            <w:tcW w:w="9550" w:type="dxa"/>
            <w:gridSpan w:val="6"/>
            <w:shd w:val="clear" w:color="auto" w:fill="D9D9D9"/>
            <w:vAlign w:val="bottom"/>
          </w:tcPr>
          <w:p w14:paraId="2F00B11F" w14:textId="77777777" w:rsidR="00866595" w:rsidRPr="00866595" w:rsidRDefault="00866595" w:rsidP="00866595">
            <w:pPr>
              <w:jc w:val="center"/>
              <w:rPr>
                <w:smallCaps/>
                <w:szCs w:val="26"/>
              </w:rPr>
            </w:pPr>
            <w:r w:rsidRPr="0002369F">
              <w:rPr>
                <w:rFonts w:eastAsia="Calibri"/>
                <w:b/>
                <w:sz w:val="20"/>
                <w:szCs w:val="20"/>
              </w:rPr>
              <w:t>FERC-547: Gas Pipeline Rates: Refund Report Requirements</w:t>
            </w:r>
          </w:p>
        </w:tc>
      </w:tr>
      <w:tr w:rsidR="00866595" w:rsidRPr="00866595" w14:paraId="3FB09DF8" w14:textId="77777777" w:rsidTr="00597E3F">
        <w:trPr>
          <w:trHeight w:val="638"/>
          <w:jc w:val="center"/>
        </w:trPr>
        <w:tc>
          <w:tcPr>
            <w:tcW w:w="1540" w:type="dxa"/>
            <w:shd w:val="clear" w:color="auto" w:fill="D9D9D9"/>
            <w:vAlign w:val="bottom"/>
          </w:tcPr>
          <w:p w14:paraId="0221D742" w14:textId="77777777" w:rsidR="00866595" w:rsidRPr="00866595" w:rsidRDefault="00866595" w:rsidP="00866595">
            <w:pPr>
              <w:jc w:val="center"/>
              <w:rPr>
                <w:b/>
                <w:sz w:val="20"/>
                <w:szCs w:val="20"/>
              </w:rPr>
            </w:pPr>
            <w:r w:rsidRPr="00866595">
              <w:rPr>
                <w:b/>
                <w:sz w:val="20"/>
                <w:szCs w:val="20"/>
              </w:rPr>
              <w:t>Number of Respondents</w:t>
            </w:r>
          </w:p>
          <w:p w14:paraId="674BC2C9" w14:textId="77777777" w:rsidR="00866595" w:rsidRPr="00866595" w:rsidRDefault="00866595" w:rsidP="00866595">
            <w:pPr>
              <w:jc w:val="center"/>
              <w:rPr>
                <w:b/>
                <w:sz w:val="20"/>
                <w:szCs w:val="20"/>
              </w:rPr>
            </w:pPr>
            <w:r w:rsidRPr="00866595">
              <w:rPr>
                <w:b/>
                <w:sz w:val="20"/>
                <w:szCs w:val="20"/>
              </w:rPr>
              <w:t>(1)</w:t>
            </w:r>
          </w:p>
        </w:tc>
        <w:tc>
          <w:tcPr>
            <w:tcW w:w="1530" w:type="dxa"/>
            <w:shd w:val="clear" w:color="auto" w:fill="D9D9D9"/>
            <w:vAlign w:val="bottom"/>
          </w:tcPr>
          <w:p w14:paraId="607C819F" w14:textId="77777777" w:rsidR="00866595" w:rsidRPr="00866595" w:rsidRDefault="00866595" w:rsidP="00866595">
            <w:pPr>
              <w:jc w:val="center"/>
              <w:rPr>
                <w:b/>
                <w:sz w:val="20"/>
                <w:szCs w:val="20"/>
              </w:rPr>
            </w:pPr>
            <w:r w:rsidRPr="00866595">
              <w:rPr>
                <w:b/>
                <w:sz w:val="20"/>
                <w:szCs w:val="20"/>
              </w:rPr>
              <w:t>Number of Responses Per Respondent</w:t>
            </w:r>
          </w:p>
          <w:p w14:paraId="2385911F" w14:textId="77777777" w:rsidR="00866595" w:rsidRPr="00866595" w:rsidRDefault="00866595" w:rsidP="00866595">
            <w:pPr>
              <w:jc w:val="center"/>
              <w:rPr>
                <w:b/>
                <w:sz w:val="20"/>
                <w:szCs w:val="20"/>
              </w:rPr>
            </w:pPr>
            <w:r w:rsidRPr="00866595">
              <w:rPr>
                <w:b/>
                <w:sz w:val="20"/>
                <w:szCs w:val="20"/>
              </w:rPr>
              <w:t>(2)</w:t>
            </w:r>
          </w:p>
        </w:tc>
        <w:tc>
          <w:tcPr>
            <w:tcW w:w="1440" w:type="dxa"/>
            <w:shd w:val="clear" w:color="auto" w:fill="D9D9D9"/>
            <w:vAlign w:val="bottom"/>
          </w:tcPr>
          <w:p w14:paraId="561D1C5D" w14:textId="77777777" w:rsidR="00866595" w:rsidRPr="00866595" w:rsidRDefault="00866595" w:rsidP="00866595">
            <w:pPr>
              <w:jc w:val="center"/>
              <w:rPr>
                <w:b/>
                <w:sz w:val="20"/>
                <w:szCs w:val="20"/>
              </w:rPr>
            </w:pPr>
            <w:r w:rsidRPr="00866595">
              <w:rPr>
                <w:b/>
                <w:sz w:val="20"/>
                <w:szCs w:val="20"/>
              </w:rPr>
              <w:t>Total Number of Responses</w:t>
            </w:r>
          </w:p>
          <w:p w14:paraId="35D60E47" w14:textId="77777777" w:rsidR="00866595" w:rsidRPr="00866595" w:rsidRDefault="00866595" w:rsidP="00866595">
            <w:pPr>
              <w:ind w:left="72"/>
              <w:jc w:val="center"/>
              <w:rPr>
                <w:b/>
                <w:sz w:val="20"/>
                <w:szCs w:val="20"/>
              </w:rPr>
            </w:pPr>
            <w:r w:rsidRPr="00866595">
              <w:rPr>
                <w:b/>
                <w:sz w:val="20"/>
                <w:szCs w:val="20"/>
              </w:rPr>
              <w:t>(1) x (2) = (3)</w:t>
            </w:r>
          </w:p>
        </w:tc>
        <w:tc>
          <w:tcPr>
            <w:tcW w:w="1710" w:type="dxa"/>
            <w:shd w:val="clear" w:color="auto" w:fill="D9D9D9"/>
            <w:vAlign w:val="bottom"/>
          </w:tcPr>
          <w:p w14:paraId="6FEE823F" w14:textId="77777777" w:rsidR="00866595" w:rsidRPr="00866595" w:rsidRDefault="00866595" w:rsidP="00866595">
            <w:pPr>
              <w:jc w:val="center"/>
              <w:rPr>
                <w:b/>
                <w:sz w:val="20"/>
                <w:szCs w:val="20"/>
              </w:rPr>
            </w:pPr>
            <w:r w:rsidRPr="00866595">
              <w:rPr>
                <w:b/>
                <w:sz w:val="20"/>
                <w:szCs w:val="20"/>
              </w:rPr>
              <w:t>Average Burden Hours &amp; Average Cost</w:t>
            </w:r>
            <w:r>
              <w:rPr>
                <w:rStyle w:val="FootnoteReference"/>
                <w:b w:val="0"/>
              </w:rPr>
              <w:footnoteReference w:id="3"/>
            </w:r>
            <w:r w:rsidRPr="00866595">
              <w:rPr>
                <w:b/>
                <w:sz w:val="20"/>
                <w:szCs w:val="20"/>
              </w:rPr>
              <w:t xml:space="preserve"> per Response ($)</w:t>
            </w:r>
          </w:p>
          <w:p w14:paraId="2C079D87" w14:textId="77777777" w:rsidR="00866595" w:rsidRPr="00866595" w:rsidRDefault="00866595" w:rsidP="00866595">
            <w:pPr>
              <w:jc w:val="center"/>
              <w:rPr>
                <w:b/>
                <w:sz w:val="20"/>
                <w:szCs w:val="20"/>
              </w:rPr>
            </w:pPr>
            <w:r w:rsidRPr="00866595">
              <w:rPr>
                <w:b/>
                <w:sz w:val="20"/>
                <w:szCs w:val="20"/>
              </w:rPr>
              <w:t>(4)</w:t>
            </w:r>
          </w:p>
        </w:tc>
        <w:tc>
          <w:tcPr>
            <w:tcW w:w="1800" w:type="dxa"/>
            <w:shd w:val="clear" w:color="auto" w:fill="D9D9D9"/>
            <w:vAlign w:val="bottom"/>
          </w:tcPr>
          <w:p w14:paraId="3B331A96" w14:textId="77777777" w:rsidR="00866595" w:rsidRPr="00866595" w:rsidRDefault="00866595" w:rsidP="00866595">
            <w:pPr>
              <w:jc w:val="center"/>
              <w:rPr>
                <w:b/>
                <w:sz w:val="20"/>
                <w:szCs w:val="20"/>
              </w:rPr>
            </w:pPr>
            <w:r w:rsidRPr="00866595">
              <w:rPr>
                <w:b/>
                <w:sz w:val="20"/>
                <w:szCs w:val="20"/>
              </w:rPr>
              <w:t>Total Annual Burden Hours &amp; Total Annual Cost ($)</w:t>
            </w:r>
          </w:p>
          <w:p w14:paraId="328FBE77" w14:textId="77777777" w:rsidR="00866595" w:rsidRPr="00866595" w:rsidRDefault="00866595" w:rsidP="00866595">
            <w:pPr>
              <w:jc w:val="center"/>
              <w:rPr>
                <w:b/>
                <w:sz w:val="20"/>
                <w:szCs w:val="20"/>
              </w:rPr>
            </w:pPr>
            <w:r w:rsidRPr="00866595">
              <w:rPr>
                <w:b/>
                <w:sz w:val="20"/>
                <w:szCs w:val="20"/>
              </w:rPr>
              <w:t>(3) x (4) = (5)</w:t>
            </w:r>
          </w:p>
        </w:tc>
        <w:tc>
          <w:tcPr>
            <w:tcW w:w="1530" w:type="dxa"/>
            <w:shd w:val="clear" w:color="auto" w:fill="D9D9D9"/>
            <w:vAlign w:val="bottom"/>
          </w:tcPr>
          <w:p w14:paraId="4F8AAA21" w14:textId="77777777" w:rsidR="00866595" w:rsidRPr="00866595" w:rsidRDefault="00866595" w:rsidP="00866595">
            <w:pPr>
              <w:jc w:val="center"/>
              <w:rPr>
                <w:b/>
                <w:sz w:val="20"/>
                <w:szCs w:val="20"/>
              </w:rPr>
            </w:pPr>
            <w:r w:rsidRPr="00866595">
              <w:rPr>
                <w:b/>
                <w:sz w:val="20"/>
                <w:szCs w:val="20"/>
              </w:rPr>
              <w:t>Cost per Respondent ($)</w:t>
            </w:r>
          </w:p>
          <w:p w14:paraId="15AD9818" w14:textId="77777777" w:rsidR="00866595" w:rsidRPr="00866595" w:rsidRDefault="00866595" w:rsidP="00866595">
            <w:pPr>
              <w:jc w:val="center"/>
              <w:rPr>
                <w:b/>
                <w:sz w:val="20"/>
                <w:szCs w:val="20"/>
              </w:rPr>
            </w:pPr>
            <w:r w:rsidRPr="00866595">
              <w:rPr>
                <w:b/>
                <w:sz w:val="20"/>
                <w:szCs w:val="20"/>
              </w:rPr>
              <w:t>(5)</w:t>
            </w:r>
            <w:r w:rsidRPr="00866595">
              <w:rPr>
                <w:rFonts w:eastAsia="Calibri"/>
                <w:b/>
                <w:sz w:val="20"/>
                <w:szCs w:val="20"/>
              </w:rPr>
              <w:t xml:space="preserve"> ÷ (1) = (6)</w:t>
            </w:r>
          </w:p>
        </w:tc>
      </w:tr>
      <w:tr w:rsidR="00866595" w:rsidRPr="00866595" w14:paraId="7E4857B0" w14:textId="77777777" w:rsidTr="00597E3F">
        <w:trPr>
          <w:jc w:val="center"/>
        </w:trPr>
        <w:tc>
          <w:tcPr>
            <w:tcW w:w="1540" w:type="dxa"/>
            <w:vAlign w:val="bottom"/>
          </w:tcPr>
          <w:p w14:paraId="75A91758" w14:textId="77777777" w:rsidR="00866595" w:rsidRPr="00866595" w:rsidRDefault="00866595" w:rsidP="00866595">
            <w:pPr>
              <w:spacing w:line="276" w:lineRule="auto"/>
              <w:jc w:val="right"/>
              <w:rPr>
                <w:sz w:val="20"/>
                <w:szCs w:val="20"/>
              </w:rPr>
            </w:pPr>
            <w:r>
              <w:rPr>
                <w:sz w:val="20"/>
                <w:szCs w:val="20"/>
              </w:rPr>
              <w:t>19</w:t>
            </w:r>
          </w:p>
        </w:tc>
        <w:tc>
          <w:tcPr>
            <w:tcW w:w="1530" w:type="dxa"/>
            <w:vAlign w:val="bottom"/>
          </w:tcPr>
          <w:p w14:paraId="72F18C84" w14:textId="77777777" w:rsidR="00866595" w:rsidRPr="00866595" w:rsidRDefault="00866595" w:rsidP="00866595">
            <w:pPr>
              <w:spacing w:line="276" w:lineRule="auto"/>
              <w:jc w:val="right"/>
              <w:rPr>
                <w:sz w:val="20"/>
                <w:szCs w:val="20"/>
              </w:rPr>
            </w:pPr>
            <w:r>
              <w:rPr>
                <w:sz w:val="20"/>
                <w:szCs w:val="20"/>
              </w:rPr>
              <w:t>2</w:t>
            </w:r>
          </w:p>
        </w:tc>
        <w:tc>
          <w:tcPr>
            <w:tcW w:w="1440" w:type="dxa"/>
            <w:vAlign w:val="bottom"/>
          </w:tcPr>
          <w:p w14:paraId="37A8A667" w14:textId="77777777" w:rsidR="00866595" w:rsidRPr="00866595" w:rsidRDefault="00866595" w:rsidP="00866595">
            <w:pPr>
              <w:spacing w:line="276" w:lineRule="auto"/>
              <w:jc w:val="right"/>
              <w:rPr>
                <w:sz w:val="20"/>
                <w:szCs w:val="20"/>
              </w:rPr>
            </w:pPr>
            <w:r>
              <w:rPr>
                <w:sz w:val="20"/>
                <w:szCs w:val="20"/>
              </w:rPr>
              <w:t>38</w:t>
            </w:r>
          </w:p>
        </w:tc>
        <w:tc>
          <w:tcPr>
            <w:tcW w:w="1710" w:type="dxa"/>
            <w:vAlign w:val="bottom"/>
          </w:tcPr>
          <w:p w14:paraId="5C04A066" w14:textId="77777777" w:rsidR="00866595" w:rsidRDefault="00866595" w:rsidP="00866595">
            <w:pPr>
              <w:spacing w:line="276" w:lineRule="auto"/>
              <w:jc w:val="right"/>
              <w:rPr>
                <w:sz w:val="20"/>
                <w:szCs w:val="20"/>
              </w:rPr>
            </w:pPr>
            <w:r>
              <w:rPr>
                <w:sz w:val="20"/>
                <w:szCs w:val="20"/>
              </w:rPr>
              <w:t>2 hrs.;</w:t>
            </w:r>
          </w:p>
          <w:p w14:paraId="388A40DF" w14:textId="77777777" w:rsidR="00866595" w:rsidRPr="00866595" w:rsidRDefault="00866595" w:rsidP="00866595">
            <w:pPr>
              <w:spacing w:line="276" w:lineRule="auto"/>
              <w:jc w:val="right"/>
              <w:rPr>
                <w:sz w:val="20"/>
                <w:szCs w:val="20"/>
              </w:rPr>
            </w:pPr>
            <w:r>
              <w:rPr>
                <w:sz w:val="20"/>
                <w:szCs w:val="20"/>
              </w:rPr>
              <w:t>$</w:t>
            </w:r>
            <w:r w:rsidR="00297BBD">
              <w:rPr>
                <w:sz w:val="20"/>
                <w:szCs w:val="20"/>
              </w:rPr>
              <w:t>160</w:t>
            </w:r>
            <w:r>
              <w:rPr>
                <w:sz w:val="20"/>
                <w:szCs w:val="20"/>
              </w:rPr>
              <w:t xml:space="preserve"> </w:t>
            </w:r>
          </w:p>
        </w:tc>
        <w:tc>
          <w:tcPr>
            <w:tcW w:w="1800" w:type="dxa"/>
            <w:vAlign w:val="bottom"/>
          </w:tcPr>
          <w:p w14:paraId="2AE7805B" w14:textId="77777777" w:rsidR="00866595" w:rsidRDefault="00866595" w:rsidP="00866595">
            <w:pPr>
              <w:spacing w:line="276" w:lineRule="auto"/>
              <w:jc w:val="right"/>
              <w:rPr>
                <w:sz w:val="20"/>
                <w:szCs w:val="20"/>
              </w:rPr>
            </w:pPr>
            <w:r>
              <w:rPr>
                <w:sz w:val="20"/>
                <w:szCs w:val="20"/>
              </w:rPr>
              <w:t>76 hrs.;</w:t>
            </w:r>
          </w:p>
          <w:p w14:paraId="0E33F8A1" w14:textId="77777777" w:rsidR="00866595" w:rsidRPr="00866595" w:rsidRDefault="00866595" w:rsidP="00866595">
            <w:pPr>
              <w:spacing w:line="276" w:lineRule="auto"/>
              <w:jc w:val="right"/>
              <w:rPr>
                <w:sz w:val="20"/>
                <w:szCs w:val="20"/>
              </w:rPr>
            </w:pPr>
            <w:r>
              <w:rPr>
                <w:sz w:val="20"/>
                <w:szCs w:val="20"/>
              </w:rPr>
              <w:t>$</w:t>
            </w:r>
            <w:r w:rsidR="0060607B">
              <w:rPr>
                <w:sz w:val="20"/>
                <w:szCs w:val="20"/>
              </w:rPr>
              <w:t>6,080</w:t>
            </w:r>
          </w:p>
        </w:tc>
        <w:tc>
          <w:tcPr>
            <w:tcW w:w="1530" w:type="dxa"/>
            <w:vAlign w:val="bottom"/>
          </w:tcPr>
          <w:p w14:paraId="7AD5FC98" w14:textId="77777777" w:rsidR="00866595" w:rsidRPr="00866595" w:rsidRDefault="00866595" w:rsidP="00866595">
            <w:pPr>
              <w:spacing w:line="276" w:lineRule="auto"/>
              <w:jc w:val="right"/>
              <w:rPr>
                <w:sz w:val="20"/>
                <w:szCs w:val="20"/>
              </w:rPr>
            </w:pPr>
            <w:r>
              <w:rPr>
                <w:sz w:val="20"/>
                <w:szCs w:val="20"/>
              </w:rPr>
              <w:t>$160</w:t>
            </w:r>
          </w:p>
        </w:tc>
      </w:tr>
    </w:tbl>
    <w:p w14:paraId="38590089" w14:textId="77777777" w:rsidR="00866595" w:rsidRDefault="00866595" w:rsidP="00696A1D">
      <w:pPr>
        <w:spacing w:line="480" w:lineRule="auto"/>
      </w:pPr>
    </w:p>
    <w:p w14:paraId="49765C83"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5CC7F823" w14:textId="77777777" w:rsidR="008A69F4" w:rsidRDefault="008A69F4" w:rsidP="008A69F4"/>
    <w:p w14:paraId="7E873BCA" w14:textId="77777777" w:rsidR="008A69F4" w:rsidRDefault="008A69F4" w:rsidP="008A69F4"/>
    <w:p w14:paraId="250DB5DC" w14:textId="77777777" w:rsidR="008A69F4" w:rsidRPr="008A69F4" w:rsidRDefault="008A69F4" w:rsidP="008A69F4">
      <w:pPr>
        <w:ind w:firstLine="2174"/>
        <w:jc w:val="center"/>
      </w:pPr>
      <w:r w:rsidRPr="008A69F4">
        <w:t>Kimberly D. Bose,</w:t>
      </w:r>
    </w:p>
    <w:p w14:paraId="1A068DF8" w14:textId="77777777" w:rsidR="008A69F4" w:rsidRPr="008A69F4" w:rsidRDefault="008A69F4" w:rsidP="008A69F4">
      <w:pPr>
        <w:ind w:firstLine="2174"/>
        <w:jc w:val="center"/>
      </w:pPr>
      <w:r w:rsidRPr="008A69F4">
        <w:t>Secretary.</w:t>
      </w:r>
    </w:p>
    <w:p w14:paraId="08811CCB" w14:textId="77777777" w:rsidR="008A69F4" w:rsidRDefault="008A69F4" w:rsidP="008A69F4"/>
    <w:sectPr w:rsidR="008A69F4"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A20A0" w14:textId="77777777" w:rsidR="009D16B0" w:rsidRDefault="009D16B0">
      <w:r>
        <w:separator/>
      </w:r>
    </w:p>
  </w:endnote>
  <w:endnote w:type="continuationSeparator" w:id="0">
    <w:p w14:paraId="554EF6B7" w14:textId="77777777" w:rsidR="009D16B0" w:rsidRDefault="009D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0BF31" w14:textId="77777777" w:rsidR="009D16B0" w:rsidRDefault="009D16B0">
      <w:r>
        <w:separator/>
      </w:r>
    </w:p>
  </w:footnote>
  <w:footnote w:type="continuationSeparator" w:id="0">
    <w:p w14:paraId="5AA4BC47" w14:textId="77777777" w:rsidR="009D16B0" w:rsidRDefault="009D16B0">
      <w:r>
        <w:continuationSeparator/>
      </w:r>
    </w:p>
  </w:footnote>
  <w:footnote w:id="1">
    <w:p w14:paraId="5A21AEA8" w14:textId="77777777" w:rsidR="0002369F" w:rsidRPr="008A69F4" w:rsidRDefault="0002369F" w:rsidP="0002369F">
      <w:pPr>
        <w:pStyle w:val="FootnoteText"/>
        <w:rPr>
          <w:sz w:val="26"/>
          <w:szCs w:val="26"/>
        </w:rPr>
      </w:pPr>
      <w:r w:rsidRPr="008A69F4">
        <w:rPr>
          <w:rStyle w:val="FootnoteReference"/>
        </w:rPr>
        <w:footnoteRef/>
      </w:r>
      <w:r w:rsidRPr="008A69F4">
        <w:rPr>
          <w:sz w:val="26"/>
          <w:szCs w:val="26"/>
        </w:rPr>
        <w:t xml:space="preserve">  15 U.S.C. 717-717w.</w:t>
      </w:r>
    </w:p>
  </w:footnote>
  <w:footnote w:id="2">
    <w:p w14:paraId="59365BD0" w14:textId="77777777" w:rsidR="00696A1D" w:rsidRPr="008A69F4" w:rsidRDefault="00696A1D" w:rsidP="00696A1D">
      <w:pPr>
        <w:pStyle w:val="FootnoteText"/>
        <w:rPr>
          <w:sz w:val="26"/>
          <w:szCs w:val="26"/>
        </w:rPr>
      </w:pPr>
      <w:r w:rsidRPr="008A69F4">
        <w:rPr>
          <w:rStyle w:val="FootnoteReference"/>
        </w:rPr>
        <w:footnoteRef/>
      </w:r>
      <w:r w:rsidRPr="008A69F4">
        <w:rPr>
          <w:sz w:val="26"/>
          <w:szCs w:val="26"/>
        </w:rPr>
        <w:t xml:space="preserve"> </w:t>
      </w:r>
      <w:r w:rsidR="00866595">
        <w:rPr>
          <w:sz w:val="26"/>
          <w:szCs w:val="26"/>
        </w:rPr>
        <w:t>B</w:t>
      </w:r>
      <w:r w:rsidRPr="008A69F4">
        <w:rPr>
          <w:sz w:val="26"/>
          <w:szCs w:val="26"/>
        </w:rPr>
        <w:t xml:space="preserve">urden </w:t>
      </w:r>
      <w:r w:rsidR="00866595">
        <w:rPr>
          <w:sz w:val="26"/>
          <w:szCs w:val="26"/>
        </w:rPr>
        <w:t xml:space="preserve">is defined </w:t>
      </w:r>
      <w:r w:rsidRPr="008A69F4">
        <w:rPr>
          <w:sz w:val="26"/>
          <w:szCs w:val="26"/>
        </w:rPr>
        <w:t xml:space="preserve">as the total time, effort, or financial resources expended by persons to generate, maintain, retain, or disclose or provide information to or for a Federal agency. </w:t>
      </w:r>
      <w:r w:rsidR="00391B66">
        <w:rPr>
          <w:sz w:val="26"/>
          <w:szCs w:val="26"/>
        </w:rPr>
        <w:t xml:space="preserve"> </w:t>
      </w:r>
      <w:r w:rsidRPr="008A69F4">
        <w:rPr>
          <w:sz w:val="26"/>
          <w:szCs w:val="26"/>
        </w:rPr>
        <w:t>For further explanation of what is included in the information collection burden, reference 5 Code of Federal Regulations 1320.3.</w:t>
      </w:r>
    </w:p>
  </w:footnote>
  <w:footnote w:id="3">
    <w:p w14:paraId="156D3346" w14:textId="77777777" w:rsidR="00866595" w:rsidRDefault="00866595">
      <w:pPr>
        <w:pStyle w:val="FootnoteText"/>
      </w:pPr>
      <w:r>
        <w:rPr>
          <w:rStyle w:val="FootnoteReference"/>
        </w:rPr>
        <w:footnoteRef/>
      </w:r>
      <w:r>
        <w:t xml:space="preserve"> </w:t>
      </w:r>
      <w:r w:rsidR="00A3163F" w:rsidRPr="00A3163F">
        <w:rPr>
          <w:rFonts w:eastAsia="Calibri"/>
          <w:sz w:val="26"/>
          <w:szCs w:val="26"/>
        </w:rPr>
        <w:t xml:space="preserve">FERC staff estimates that industry costs for salary plus benefits are </w:t>
      </w:r>
      <w:r w:rsidR="00A3163F" w:rsidRPr="00764B12">
        <w:rPr>
          <w:rFonts w:eastAsia="Calibri"/>
          <w:sz w:val="26"/>
          <w:szCs w:val="26"/>
        </w:rPr>
        <w:t>similar to Commission costs.  The cost figure is the FY2019 FERC average annual salary</w:t>
      </w:r>
      <w:r w:rsidR="00A3163F" w:rsidRPr="00A3163F">
        <w:rPr>
          <w:rFonts w:eastAsia="Calibri"/>
          <w:sz w:val="26"/>
          <w:szCs w:val="26"/>
        </w:rPr>
        <w:t xml:space="preserve"> plus benefits ($16</w:t>
      </w:r>
      <w:r w:rsidR="001F1BBD">
        <w:rPr>
          <w:rFonts w:eastAsia="Calibri"/>
          <w:sz w:val="26"/>
          <w:szCs w:val="26"/>
        </w:rPr>
        <w:t>7</w:t>
      </w:r>
      <w:r w:rsidR="00A3163F" w:rsidRPr="00A3163F">
        <w:rPr>
          <w:rFonts w:eastAsia="Calibri"/>
          <w:sz w:val="26"/>
          <w:szCs w:val="26"/>
        </w:rPr>
        <w:t>,0</w:t>
      </w:r>
      <w:r w:rsidR="001F1BBD">
        <w:rPr>
          <w:rFonts w:eastAsia="Calibri"/>
          <w:sz w:val="26"/>
          <w:szCs w:val="26"/>
        </w:rPr>
        <w:t>91</w:t>
      </w:r>
      <w:r w:rsidR="00A3163F" w:rsidRPr="00A3163F">
        <w:rPr>
          <w:rFonts w:eastAsia="Calibri"/>
          <w:sz w:val="26"/>
          <w:szCs w:val="26"/>
        </w:rPr>
        <w:t>/year or $</w:t>
      </w:r>
      <w:r w:rsidR="00A3163F">
        <w:rPr>
          <w:rFonts w:eastAsia="Calibri"/>
          <w:sz w:val="26"/>
          <w:szCs w:val="26"/>
        </w:rPr>
        <w:t>80</w:t>
      </w:r>
      <w:r w:rsidR="00A3163F" w:rsidRPr="00A3163F">
        <w:rPr>
          <w:rFonts w:eastAsia="Calibri"/>
          <w:sz w:val="26"/>
          <w:szCs w:val="26"/>
        </w:rPr>
        <w:t xml:space="preserve">/hour).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525CD"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0437"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2D60"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553">
      <w:rPr>
        <w:rStyle w:val="PageNumber"/>
        <w:noProof/>
      </w:rPr>
      <w:t>3</w:t>
    </w:r>
    <w:r>
      <w:rPr>
        <w:rStyle w:val="PageNumber"/>
      </w:rPr>
      <w:fldChar w:fldCharType="end"/>
    </w:r>
  </w:p>
  <w:p w14:paraId="582F8E98" w14:textId="77777777" w:rsidR="004D79AA" w:rsidRDefault="004D79AA" w:rsidP="005E318F">
    <w:pPr>
      <w:pStyle w:val="Header"/>
      <w:ind w:right="360"/>
    </w:pPr>
    <w:r>
      <w:t xml:space="preserve">Docket </w:t>
    </w:r>
    <w:r w:rsidRPr="00C44398">
      <w:t xml:space="preserve">No. </w:t>
    </w:r>
    <w:r w:rsidR="006D7B67">
      <w:t>IC</w:t>
    </w:r>
    <w:r w:rsidR="00866595">
      <w:t>19-31</w:t>
    </w:r>
    <w:r w:rsidRPr="00C44398">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2CBF"/>
    <w:multiLevelType w:val="hybridMultilevel"/>
    <w:tmpl w:val="AF3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369F"/>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96E48"/>
    <w:rsid w:val="000A27CA"/>
    <w:rsid w:val="000A5308"/>
    <w:rsid w:val="000A7D1F"/>
    <w:rsid w:val="000B723A"/>
    <w:rsid w:val="000C22B5"/>
    <w:rsid w:val="000C47F2"/>
    <w:rsid w:val="000C56A4"/>
    <w:rsid w:val="000D3639"/>
    <w:rsid w:val="000D5216"/>
    <w:rsid w:val="000F3E00"/>
    <w:rsid w:val="00103D50"/>
    <w:rsid w:val="00111C61"/>
    <w:rsid w:val="00114B14"/>
    <w:rsid w:val="001240FD"/>
    <w:rsid w:val="00125F00"/>
    <w:rsid w:val="00126E3A"/>
    <w:rsid w:val="00136027"/>
    <w:rsid w:val="00146600"/>
    <w:rsid w:val="00146B5E"/>
    <w:rsid w:val="001470C0"/>
    <w:rsid w:val="001475FE"/>
    <w:rsid w:val="00150CA6"/>
    <w:rsid w:val="00163BBE"/>
    <w:rsid w:val="00176D66"/>
    <w:rsid w:val="00181F00"/>
    <w:rsid w:val="00192598"/>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1BBD"/>
    <w:rsid w:val="001F2664"/>
    <w:rsid w:val="001F47CB"/>
    <w:rsid w:val="00204D0F"/>
    <w:rsid w:val="00215A17"/>
    <w:rsid w:val="002265E9"/>
    <w:rsid w:val="00241BFD"/>
    <w:rsid w:val="00251C88"/>
    <w:rsid w:val="00252CD0"/>
    <w:rsid w:val="002677D6"/>
    <w:rsid w:val="0027273D"/>
    <w:rsid w:val="00285E62"/>
    <w:rsid w:val="0028677A"/>
    <w:rsid w:val="0029476E"/>
    <w:rsid w:val="00296592"/>
    <w:rsid w:val="00297BBD"/>
    <w:rsid w:val="002A6174"/>
    <w:rsid w:val="002B43A6"/>
    <w:rsid w:val="002B62A0"/>
    <w:rsid w:val="002C0ECB"/>
    <w:rsid w:val="002C23E9"/>
    <w:rsid w:val="00317A96"/>
    <w:rsid w:val="00321EB8"/>
    <w:rsid w:val="00323139"/>
    <w:rsid w:val="00335092"/>
    <w:rsid w:val="00341866"/>
    <w:rsid w:val="00356E26"/>
    <w:rsid w:val="003661B1"/>
    <w:rsid w:val="00366669"/>
    <w:rsid w:val="00370763"/>
    <w:rsid w:val="00374409"/>
    <w:rsid w:val="00381700"/>
    <w:rsid w:val="0038483A"/>
    <w:rsid w:val="00386BED"/>
    <w:rsid w:val="00391B66"/>
    <w:rsid w:val="003A1D7A"/>
    <w:rsid w:val="003B4D70"/>
    <w:rsid w:val="003C1644"/>
    <w:rsid w:val="003C1D03"/>
    <w:rsid w:val="003C1F91"/>
    <w:rsid w:val="003D6813"/>
    <w:rsid w:val="003F32A9"/>
    <w:rsid w:val="00414715"/>
    <w:rsid w:val="004230B0"/>
    <w:rsid w:val="00423C49"/>
    <w:rsid w:val="0042653E"/>
    <w:rsid w:val="0042785C"/>
    <w:rsid w:val="00430164"/>
    <w:rsid w:val="00432C41"/>
    <w:rsid w:val="0043489E"/>
    <w:rsid w:val="00445DDF"/>
    <w:rsid w:val="004530E0"/>
    <w:rsid w:val="00453F74"/>
    <w:rsid w:val="00455A33"/>
    <w:rsid w:val="00455C4D"/>
    <w:rsid w:val="00462DBE"/>
    <w:rsid w:val="00470106"/>
    <w:rsid w:val="0047321C"/>
    <w:rsid w:val="004855F2"/>
    <w:rsid w:val="00487256"/>
    <w:rsid w:val="00490E50"/>
    <w:rsid w:val="004A51DF"/>
    <w:rsid w:val="004A6E59"/>
    <w:rsid w:val="004B665B"/>
    <w:rsid w:val="004C36C3"/>
    <w:rsid w:val="004C3BB0"/>
    <w:rsid w:val="004C3C65"/>
    <w:rsid w:val="004D1EE5"/>
    <w:rsid w:val="004D4CD3"/>
    <w:rsid w:val="004D53C3"/>
    <w:rsid w:val="004D778A"/>
    <w:rsid w:val="004D79AA"/>
    <w:rsid w:val="004F3E67"/>
    <w:rsid w:val="0050437A"/>
    <w:rsid w:val="00515CA5"/>
    <w:rsid w:val="00517B18"/>
    <w:rsid w:val="00521ABE"/>
    <w:rsid w:val="00524B22"/>
    <w:rsid w:val="00530BB4"/>
    <w:rsid w:val="005320C7"/>
    <w:rsid w:val="005346F4"/>
    <w:rsid w:val="00534B97"/>
    <w:rsid w:val="00537276"/>
    <w:rsid w:val="0054477B"/>
    <w:rsid w:val="00551B13"/>
    <w:rsid w:val="005521E7"/>
    <w:rsid w:val="00556AC8"/>
    <w:rsid w:val="005665D1"/>
    <w:rsid w:val="005701E9"/>
    <w:rsid w:val="00584568"/>
    <w:rsid w:val="0058734A"/>
    <w:rsid w:val="0058744A"/>
    <w:rsid w:val="005916D2"/>
    <w:rsid w:val="00592AD7"/>
    <w:rsid w:val="00594550"/>
    <w:rsid w:val="005953A4"/>
    <w:rsid w:val="00597E3F"/>
    <w:rsid w:val="005A02C5"/>
    <w:rsid w:val="005A6D8E"/>
    <w:rsid w:val="005B0E46"/>
    <w:rsid w:val="005D0272"/>
    <w:rsid w:val="005E318F"/>
    <w:rsid w:val="005E6B6B"/>
    <w:rsid w:val="005E7DA3"/>
    <w:rsid w:val="006053EE"/>
    <w:rsid w:val="0060607B"/>
    <w:rsid w:val="006070B9"/>
    <w:rsid w:val="00617E46"/>
    <w:rsid w:val="0062025E"/>
    <w:rsid w:val="00625882"/>
    <w:rsid w:val="006276C9"/>
    <w:rsid w:val="006400D4"/>
    <w:rsid w:val="00647B24"/>
    <w:rsid w:val="00656DF0"/>
    <w:rsid w:val="0065768D"/>
    <w:rsid w:val="00670D3E"/>
    <w:rsid w:val="00672BEA"/>
    <w:rsid w:val="0068483B"/>
    <w:rsid w:val="006902C3"/>
    <w:rsid w:val="0069142C"/>
    <w:rsid w:val="00694675"/>
    <w:rsid w:val="00695504"/>
    <w:rsid w:val="00696A1D"/>
    <w:rsid w:val="006A2074"/>
    <w:rsid w:val="006A4D89"/>
    <w:rsid w:val="006A64E7"/>
    <w:rsid w:val="006B4821"/>
    <w:rsid w:val="006C57B1"/>
    <w:rsid w:val="006D549E"/>
    <w:rsid w:val="006D7B67"/>
    <w:rsid w:val="006E6000"/>
    <w:rsid w:val="006E7FB0"/>
    <w:rsid w:val="006F4A80"/>
    <w:rsid w:val="006F77BE"/>
    <w:rsid w:val="0070048D"/>
    <w:rsid w:val="00703DFC"/>
    <w:rsid w:val="0070558B"/>
    <w:rsid w:val="0071251E"/>
    <w:rsid w:val="00715910"/>
    <w:rsid w:val="00720B54"/>
    <w:rsid w:val="00720E07"/>
    <w:rsid w:val="00725908"/>
    <w:rsid w:val="0072643A"/>
    <w:rsid w:val="00733A3C"/>
    <w:rsid w:val="00764A91"/>
    <w:rsid w:val="00764B12"/>
    <w:rsid w:val="00766823"/>
    <w:rsid w:val="007726D7"/>
    <w:rsid w:val="00773856"/>
    <w:rsid w:val="0078241C"/>
    <w:rsid w:val="00783C37"/>
    <w:rsid w:val="0078521A"/>
    <w:rsid w:val="00785CF9"/>
    <w:rsid w:val="007927B9"/>
    <w:rsid w:val="007957B9"/>
    <w:rsid w:val="007A46B4"/>
    <w:rsid w:val="007A5C4A"/>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52671"/>
    <w:rsid w:val="00855434"/>
    <w:rsid w:val="0086417D"/>
    <w:rsid w:val="00865949"/>
    <w:rsid w:val="00865E72"/>
    <w:rsid w:val="00866595"/>
    <w:rsid w:val="0087254C"/>
    <w:rsid w:val="00880EEA"/>
    <w:rsid w:val="008814F7"/>
    <w:rsid w:val="00891E91"/>
    <w:rsid w:val="00893FB3"/>
    <w:rsid w:val="008956A4"/>
    <w:rsid w:val="008A69F4"/>
    <w:rsid w:val="008B5814"/>
    <w:rsid w:val="008C24BD"/>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C3B"/>
    <w:rsid w:val="00991D87"/>
    <w:rsid w:val="009947B6"/>
    <w:rsid w:val="00994B38"/>
    <w:rsid w:val="00997AE4"/>
    <w:rsid w:val="009A61E8"/>
    <w:rsid w:val="009B7DFA"/>
    <w:rsid w:val="009C2753"/>
    <w:rsid w:val="009C2E1C"/>
    <w:rsid w:val="009D16B0"/>
    <w:rsid w:val="009D505F"/>
    <w:rsid w:val="009E1DA1"/>
    <w:rsid w:val="009E277D"/>
    <w:rsid w:val="009F4AB4"/>
    <w:rsid w:val="009F71DC"/>
    <w:rsid w:val="00A0763E"/>
    <w:rsid w:val="00A15BF1"/>
    <w:rsid w:val="00A17794"/>
    <w:rsid w:val="00A226EE"/>
    <w:rsid w:val="00A3163F"/>
    <w:rsid w:val="00A317F9"/>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0553"/>
    <w:rsid w:val="00AA7819"/>
    <w:rsid w:val="00AB0A99"/>
    <w:rsid w:val="00AB20D8"/>
    <w:rsid w:val="00AB436E"/>
    <w:rsid w:val="00AC4CC5"/>
    <w:rsid w:val="00AC7480"/>
    <w:rsid w:val="00AD638B"/>
    <w:rsid w:val="00AE0995"/>
    <w:rsid w:val="00AE4572"/>
    <w:rsid w:val="00AE61E0"/>
    <w:rsid w:val="00AF4F93"/>
    <w:rsid w:val="00B018B9"/>
    <w:rsid w:val="00B1101F"/>
    <w:rsid w:val="00B2439B"/>
    <w:rsid w:val="00B3254F"/>
    <w:rsid w:val="00B33628"/>
    <w:rsid w:val="00B337D1"/>
    <w:rsid w:val="00B43366"/>
    <w:rsid w:val="00B4431A"/>
    <w:rsid w:val="00B460AF"/>
    <w:rsid w:val="00B52047"/>
    <w:rsid w:val="00B62B35"/>
    <w:rsid w:val="00B710D3"/>
    <w:rsid w:val="00B710EA"/>
    <w:rsid w:val="00B75595"/>
    <w:rsid w:val="00B806DB"/>
    <w:rsid w:val="00B81BC5"/>
    <w:rsid w:val="00B835C5"/>
    <w:rsid w:val="00B97281"/>
    <w:rsid w:val="00B97BC8"/>
    <w:rsid w:val="00BA7702"/>
    <w:rsid w:val="00BB1C54"/>
    <w:rsid w:val="00BC1B93"/>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1350"/>
    <w:rsid w:val="00C44398"/>
    <w:rsid w:val="00C446C7"/>
    <w:rsid w:val="00C4788A"/>
    <w:rsid w:val="00C47957"/>
    <w:rsid w:val="00C53513"/>
    <w:rsid w:val="00C56512"/>
    <w:rsid w:val="00C6021C"/>
    <w:rsid w:val="00C63FEE"/>
    <w:rsid w:val="00C70D6C"/>
    <w:rsid w:val="00C71F08"/>
    <w:rsid w:val="00C856C1"/>
    <w:rsid w:val="00C936A0"/>
    <w:rsid w:val="00C950B8"/>
    <w:rsid w:val="00C9728E"/>
    <w:rsid w:val="00C97402"/>
    <w:rsid w:val="00CA5395"/>
    <w:rsid w:val="00CA582B"/>
    <w:rsid w:val="00CA5D25"/>
    <w:rsid w:val="00CB10EF"/>
    <w:rsid w:val="00CC084C"/>
    <w:rsid w:val="00CC144D"/>
    <w:rsid w:val="00CC312A"/>
    <w:rsid w:val="00CC74B4"/>
    <w:rsid w:val="00CD0621"/>
    <w:rsid w:val="00CD31E5"/>
    <w:rsid w:val="00CD787F"/>
    <w:rsid w:val="00CE0248"/>
    <w:rsid w:val="00CE0EF2"/>
    <w:rsid w:val="00CE64F2"/>
    <w:rsid w:val="00CF40DC"/>
    <w:rsid w:val="00CF5B9A"/>
    <w:rsid w:val="00D02D61"/>
    <w:rsid w:val="00D20E2B"/>
    <w:rsid w:val="00D23599"/>
    <w:rsid w:val="00D33436"/>
    <w:rsid w:val="00D43998"/>
    <w:rsid w:val="00D47828"/>
    <w:rsid w:val="00D616DA"/>
    <w:rsid w:val="00D63246"/>
    <w:rsid w:val="00D63C82"/>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230F"/>
    <w:rsid w:val="00E436DC"/>
    <w:rsid w:val="00E43FF3"/>
    <w:rsid w:val="00E52021"/>
    <w:rsid w:val="00E521EB"/>
    <w:rsid w:val="00E57F5B"/>
    <w:rsid w:val="00E60318"/>
    <w:rsid w:val="00E6445A"/>
    <w:rsid w:val="00E6573E"/>
    <w:rsid w:val="00E92ACF"/>
    <w:rsid w:val="00E9701C"/>
    <w:rsid w:val="00EA07A3"/>
    <w:rsid w:val="00EA26F9"/>
    <w:rsid w:val="00EA5739"/>
    <w:rsid w:val="00EB6EE6"/>
    <w:rsid w:val="00EC0705"/>
    <w:rsid w:val="00EC4610"/>
    <w:rsid w:val="00EC4C08"/>
    <w:rsid w:val="00EC657E"/>
    <w:rsid w:val="00EC7372"/>
    <w:rsid w:val="00EE4F64"/>
    <w:rsid w:val="00EE53F7"/>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6CF5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Char"/>
    <w:basedOn w:val="Normal"/>
    <w:link w:val="FootnoteTextChar2"/>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 Char"/>
    <w:link w:val="FootnoteText"/>
    <w:rsid w:val="0002369F"/>
    <w:rPr>
      <w:sz w:val="22"/>
    </w:rPr>
  </w:style>
  <w:style w:type="character" w:styleId="CommentReference">
    <w:name w:val="annotation reference"/>
    <w:uiPriority w:val="99"/>
    <w:unhideWhenUsed/>
    <w:rsid w:val="00866595"/>
    <w:rPr>
      <w:sz w:val="16"/>
      <w:szCs w:val="16"/>
    </w:rPr>
  </w:style>
  <w:style w:type="paragraph" w:styleId="CommentText">
    <w:name w:val="annotation text"/>
    <w:basedOn w:val="Normal"/>
    <w:link w:val="CommentTextChar"/>
    <w:uiPriority w:val="99"/>
    <w:unhideWhenUsed/>
    <w:rsid w:val="00866595"/>
    <w:pPr>
      <w:spacing w:after="160"/>
    </w:pPr>
    <w:rPr>
      <w:rFonts w:ascii="Calibri" w:eastAsia="Calibri" w:hAnsi="Calibri"/>
      <w:sz w:val="20"/>
      <w:szCs w:val="20"/>
    </w:rPr>
  </w:style>
  <w:style w:type="character" w:customStyle="1" w:styleId="CommentTextChar">
    <w:name w:val="Comment Text Char"/>
    <w:link w:val="CommentText"/>
    <w:uiPriority w:val="99"/>
    <w:rsid w:val="00866595"/>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Char"/>
    <w:basedOn w:val="Normal"/>
    <w:link w:val="FootnoteTextChar2"/>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 Char"/>
    <w:link w:val="FootnoteText"/>
    <w:rsid w:val="0002369F"/>
    <w:rPr>
      <w:sz w:val="22"/>
    </w:rPr>
  </w:style>
  <w:style w:type="character" w:styleId="CommentReference">
    <w:name w:val="annotation reference"/>
    <w:uiPriority w:val="99"/>
    <w:unhideWhenUsed/>
    <w:rsid w:val="00866595"/>
    <w:rPr>
      <w:sz w:val="16"/>
      <w:szCs w:val="16"/>
    </w:rPr>
  </w:style>
  <w:style w:type="paragraph" w:styleId="CommentText">
    <w:name w:val="annotation text"/>
    <w:basedOn w:val="Normal"/>
    <w:link w:val="CommentTextChar"/>
    <w:uiPriority w:val="99"/>
    <w:unhideWhenUsed/>
    <w:rsid w:val="00866595"/>
    <w:pPr>
      <w:spacing w:after="160"/>
    </w:pPr>
    <w:rPr>
      <w:rFonts w:ascii="Calibri" w:eastAsia="Calibri" w:hAnsi="Calibri"/>
      <w:sz w:val="20"/>
      <w:szCs w:val="20"/>
    </w:rPr>
  </w:style>
  <w:style w:type="character" w:customStyle="1" w:styleId="CommentTextChar">
    <w:name w:val="Comment Text Char"/>
    <w:link w:val="CommentText"/>
    <w:uiPriority w:val="99"/>
    <w:rsid w:val="0086659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6DD6-CDAA-4456-90B5-BAB61D405D29}">
  <ds:schemaRefs>
    <ds:schemaRef ds:uri="http://schemas.microsoft.com/sharepoint/v3/contenttype/forms"/>
  </ds:schemaRefs>
</ds:datastoreItem>
</file>

<file path=customXml/itemProps2.xml><?xml version="1.0" encoding="utf-8"?>
<ds:datastoreItem xmlns:ds="http://schemas.openxmlformats.org/officeDocument/2006/customXml" ds:itemID="{4B73652E-49B4-4B88-9F8D-6F4BE1AF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1A511-E48F-47CA-BB71-E723492E0F9B}">
  <ds:schemaRefs>
    <ds:schemaRef ds:uri="Microsoft.SharePoint.Taxonomy.ContentTypeSync"/>
  </ds:schemaRefs>
</ds:datastoreItem>
</file>

<file path=customXml/itemProps4.xml><?xml version="1.0" encoding="utf-8"?>
<ds:datastoreItem xmlns:ds="http://schemas.openxmlformats.org/officeDocument/2006/customXml" ds:itemID="{5DBCEA26-B78D-44BD-8AAB-A883619C0890}">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C162E7E7-70B7-4B38-8199-58DA33FF14BD}">
  <ds:schemaRefs>
    <ds:schemaRef ds:uri="http://schemas.microsoft.com/office/2006/metadata/longProperties"/>
  </ds:schemaRefs>
</ds:datastoreItem>
</file>

<file path=customXml/itemProps6.xml><?xml version="1.0" encoding="utf-8"?>
<ds:datastoreItem xmlns:ds="http://schemas.openxmlformats.org/officeDocument/2006/customXml" ds:itemID="{7872C9AB-21BD-44F7-94C7-3319D80E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4473</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2019-08-08T11:20:00Z</dcterms:created>
  <dcterms:modified xsi:type="dcterms:W3CDTF">2019-08-08T11:20:00Z</dcterms:modified>
  <cp:category/>
  <dc:identifier/>
  <cp:contentStatus/>
  <cp:version/>
</cp:coreProperties>
</file>