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D2" w:rsidRPr="009B72D2" w:rsidRDefault="009B72D2" w:rsidP="009B72D2">
      <w:pPr>
        <w:spacing w:after="0" w:line="240" w:lineRule="auto"/>
        <w:rPr>
          <w:rFonts w:ascii="Arial" w:eastAsia="Times New Roman" w:hAnsi="Arial" w:cs="Arial"/>
          <w:color w:val="32434F"/>
        </w:rPr>
      </w:pPr>
      <w:bookmarkStart w:id="0" w:name="hl1"/>
      <w:bookmarkStart w:id="1" w:name="_GoBack"/>
      <w:bookmarkEnd w:id="1"/>
      <w:r w:rsidRPr="009B72D2">
        <w:rPr>
          <w:rFonts w:ascii="Arial" w:eastAsia="Times New Roman" w:hAnsi="Arial" w:cs="Arial"/>
          <w:b/>
          <w:bCs/>
          <w:color w:val="000000"/>
          <w:shd w:val="clear" w:color="auto" w:fill="FFFF00"/>
        </w:rPr>
        <w:t>15 USC 717i</w:t>
      </w:r>
      <w:bookmarkEnd w:id="0"/>
      <w:r w:rsidRPr="009B72D2">
        <w:rPr>
          <w:rFonts w:ascii="Arial" w:eastAsia="Times New Roman" w:hAnsi="Arial" w:cs="Arial"/>
          <w:b/>
          <w:bCs/>
          <w:color w:val="32434F"/>
        </w:rPr>
        <w:t xml:space="preserve"> : Periodic and special reports</w:t>
      </w:r>
      <w:r w:rsidRPr="009B72D2">
        <w:rPr>
          <w:rFonts w:ascii="Arial" w:eastAsia="Times New Roman" w:hAnsi="Arial" w:cs="Arial"/>
          <w:color w:val="32434F"/>
        </w:rPr>
        <w:t xml:space="preserve"> Text contains those laws in effect on December 15, 2019 </w:t>
      </w:r>
    </w:p>
    <w:p w:rsidR="009B72D2" w:rsidRDefault="009B72D2" w:rsidP="009B72D2">
      <w:pPr>
        <w:spacing w:after="0" w:line="240" w:lineRule="auto"/>
        <w:rPr>
          <w:rFonts w:ascii="Arial" w:eastAsia="Times New Roman" w:hAnsi="Arial" w:cs="Arial"/>
          <w:b/>
          <w:bCs/>
          <w:color w:val="000000"/>
        </w:rPr>
      </w:pPr>
    </w:p>
    <w:p w:rsidR="009B72D2" w:rsidRPr="009B72D2" w:rsidRDefault="009B72D2" w:rsidP="009B72D2">
      <w:pPr>
        <w:spacing w:after="0" w:line="240" w:lineRule="auto"/>
        <w:rPr>
          <w:rFonts w:ascii="Arial" w:eastAsia="Times New Roman" w:hAnsi="Arial" w:cs="Arial"/>
          <w:color w:val="32434F"/>
        </w:rPr>
      </w:pPr>
      <w:r w:rsidRPr="009B72D2">
        <w:rPr>
          <w:rFonts w:ascii="Arial" w:eastAsia="Times New Roman" w:hAnsi="Arial" w:cs="Arial"/>
          <w:b/>
          <w:bCs/>
          <w:color w:val="000000"/>
        </w:rPr>
        <w:t xml:space="preserve">From Title </w:t>
      </w:r>
      <w:bookmarkStart w:id="2" w:name="hl2"/>
      <w:r w:rsidRPr="009B72D2">
        <w:rPr>
          <w:rFonts w:ascii="Arial" w:eastAsia="Times New Roman" w:hAnsi="Arial" w:cs="Arial"/>
          <w:b/>
          <w:bCs/>
          <w:color w:val="000000"/>
          <w:shd w:val="clear" w:color="auto" w:fill="FFFF00"/>
        </w:rPr>
        <w:t>15</w:t>
      </w:r>
      <w:bookmarkEnd w:id="2"/>
      <w:r w:rsidRPr="009B72D2">
        <w:rPr>
          <w:rFonts w:ascii="Arial" w:eastAsia="Times New Roman" w:hAnsi="Arial" w:cs="Arial"/>
          <w:b/>
          <w:bCs/>
          <w:color w:val="000000"/>
        </w:rPr>
        <w:t>-COMMERCE AND TRADE</w:t>
      </w:r>
      <w:r w:rsidRPr="009B72D2">
        <w:rPr>
          <w:rFonts w:ascii="Arial" w:eastAsia="Times New Roman" w:hAnsi="Arial" w:cs="Arial"/>
          <w:color w:val="000000"/>
        </w:rPr>
        <w:t>CHAPTER 15B-NATURAL GAS</w:t>
      </w:r>
      <w:r w:rsidRPr="009B72D2">
        <w:rPr>
          <w:rFonts w:ascii="Arial" w:eastAsia="Times New Roman" w:hAnsi="Arial" w:cs="Arial"/>
          <w:color w:val="32434F"/>
        </w:rPr>
        <w:t xml:space="preserve"> </w:t>
      </w:r>
    </w:p>
    <w:p w:rsidR="009B72D2" w:rsidRPr="009B72D2" w:rsidRDefault="009B72D2" w:rsidP="009B72D2">
      <w:pPr>
        <w:spacing w:after="0" w:line="240" w:lineRule="auto"/>
        <w:rPr>
          <w:rFonts w:ascii="Arial" w:eastAsia="Times New Roman" w:hAnsi="Arial" w:cs="Arial"/>
          <w:color w:val="32434F"/>
        </w:rPr>
      </w:pPr>
      <w:r w:rsidRPr="009B72D2">
        <w:rPr>
          <w:rFonts w:ascii="Arial" w:eastAsia="Times New Roman" w:hAnsi="Arial" w:cs="Arial"/>
          <w:b/>
          <w:bCs/>
          <w:color w:val="000000"/>
        </w:rPr>
        <w:t xml:space="preserve">Jump To: </w:t>
      </w:r>
      <w:hyperlink r:id="rId7" w:anchor="sourcecredit" w:history="1">
        <w:r w:rsidRPr="009B72D2">
          <w:rPr>
            <w:rFonts w:ascii="Arial" w:eastAsia="Times New Roman" w:hAnsi="Arial" w:cs="Arial"/>
            <w:color w:val="6F0B0B"/>
            <w:u w:val="single"/>
          </w:rPr>
          <w:t>Source Credit</w:t>
        </w:r>
      </w:hyperlink>
      <w:r w:rsidRPr="009B72D2">
        <w:rPr>
          <w:rFonts w:ascii="Arial" w:eastAsia="Times New Roman" w:hAnsi="Arial" w:cs="Arial"/>
          <w:color w:val="32434F"/>
        </w:rPr>
        <w:t xml:space="preserve"> </w:t>
      </w:r>
    </w:p>
    <w:p w:rsidR="009B72D2" w:rsidRPr="009B72D2" w:rsidRDefault="009B72D2" w:rsidP="009B72D2">
      <w:pPr>
        <w:spacing w:before="150" w:after="45" w:line="240" w:lineRule="auto"/>
        <w:ind w:hanging="480"/>
        <w:outlineLvl w:val="2"/>
        <w:rPr>
          <w:rFonts w:ascii="Arial" w:eastAsia="Times New Roman" w:hAnsi="Arial" w:cs="Arial"/>
          <w:b/>
          <w:bCs/>
          <w:color w:val="32434F"/>
          <w:sz w:val="27"/>
          <w:szCs w:val="27"/>
        </w:rPr>
      </w:pPr>
      <w:r w:rsidRPr="009B72D2">
        <w:rPr>
          <w:rFonts w:ascii="Arial" w:eastAsia="Times New Roman" w:hAnsi="Arial" w:cs="Arial"/>
          <w:b/>
          <w:bCs/>
          <w:color w:val="32434F"/>
          <w:sz w:val="27"/>
          <w:szCs w:val="27"/>
        </w:rPr>
        <w:t>§</w:t>
      </w:r>
      <w:bookmarkStart w:id="3" w:name="hl4"/>
      <w:r w:rsidRPr="009B72D2">
        <w:rPr>
          <w:rFonts w:ascii="Arial" w:eastAsia="Times New Roman" w:hAnsi="Arial" w:cs="Arial"/>
          <w:b/>
          <w:bCs/>
          <w:color w:val="000000"/>
          <w:sz w:val="27"/>
          <w:szCs w:val="27"/>
          <w:shd w:val="clear" w:color="auto" w:fill="FFFF00"/>
        </w:rPr>
        <w:t>717i</w:t>
      </w:r>
      <w:bookmarkEnd w:id="3"/>
      <w:r w:rsidRPr="009B72D2">
        <w:rPr>
          <w:rFonts w:ascii="Arial" w:eastAsia="Times New Roman" w:hAnsi="Arial" w:cs="Arial"/>
          <w:b/>
          <w:bCs/>
          <w:color w:val="32434F"/>
          <w:sz w:val="27"/>
          <w:szCs w:val="27"/>
        </w:rPr>
        <w:t>. Periodic and special reports</w:t>
      </w:r>
    </w:p>
    <w:p w:rsidR="009B72D2" w:rsidRPr="009B72D2" w:rsidRDefault="009B72D2" w:rsidP="009B72D2">
      <w:pPr>
        <w:spacing w:before="105" w:after="45" w:line="240" w:lineRule="auto"/>
        <w:ind w:hanging="240"/>
        <w:outlineLvl w:val="3"/>
        <w:rPr>
          <w:rFonts w:ascii="Arial" w:eastAsia="Times New Roman" w:hAnsi="Arial" w:cs="Arial"/>
          <w:b/>
          <w:bCs/>
          <w:sz w:val="24"/>
          <w:szCs w:val="24"/>
        </w:rPr>
      </w:pPr>
      <w:bookmarkStart w:id="4" w:name="substructure-location_a"/>
      <w:bookmarkEnd w:id="4"/>
      <w:r w:rsidRPr="009B72D2">
        <w:rPr>
          <w:rFonts w:ascii="Arial" w:eastAsia="Times New Roman" w:hAnsi="Arial" w:cs="Arial"/>
          <w:b/>
          <w:bCs/>
          <w:sz w:val="24"/>
          <w:szCs w:val="24"/>
        </w:rPr>
        <w:t>(a) Form and contents of reports</w:t>
      </w:r>
    </w:p>
    <w:p w:rsidR="009B72D2" w:rsidRPr="009B72D2" w:rsidRDefault="009B72D2" w:rsidP="009B72D2">
      <w:pPr>
        <w:spacing w:after="0" w:line="240" w:lineRule="auto"/>
        <w:ind w:firstLine="240"/>
        <w:rPr>
          <w:rFonts w:ascii="Arial" w:eastAsia="Times New Roman" w:hAnsi="Arial" w:cs="Arial"/>
        </w:rPr>
      </w:pPr>
      <w:r w:rsidRPr="009B72D2">
        <w:rPr>
          <w:rFonts w:ascii="Arial" w:eastAsia="Times New Roman" w:hAnsi="Arial" w:cs="Arial"/>
        </w:rPr>
        <w:t>Every natural-gas company shall file with the Commission such annual and other periodic or special reports as the Commission may by rules and regulations or order prescribe as necessary or appropriate to assist the Commission in the proper administration of this chapter. The Commission may prescribe the manner and form in which such reports shall be made, and require from such natural-gas companies specific answers to all questions upon which the Commission may need information. The Commission may require that such reports shall include, among other things, full information as to assets and liabilities, capitalization, investment and reduction thereof, gross receipts, interest due and paid, depreciation, amortization, and other reserves, cost of facilities, cost of maintenance and operation of facilities for the production, transportation, or sale of natural gas, cost of renewal and replacement of such facilities, transportation, delivery, use, and sale of natural gas. The Commission may require any such natural-gas company to make adequate provision for currently determining such costs and other facts. Such reports shall be made under oath unless the Commission otherwise specifies.</w:t>
      </w:r>
    </w:p>
    <w:p w:rsidR="009B72D2" w:rsidRPr="009B72D2" w:rsidRDefault="009B72D2" w:rsidP="009B72D2">
      <w:pPr>
        <w:spacing w:before="105" w:after="45" w:line="240" w:lineRule="auto"/>
        <w:ind w:hanging="240"/>
        <w:outlineLvl w:val="3"/>
        <w:rPr>
          <w:rFonts w:ascii="Arial" w:eastAsia="Times New Roman" w:hAnsi="Arial" w:cs="Arial"/>
          <w:b/>
          <w:bCs/>
          <w:sz w:val="24"/>
          <w:szCs w:val="24"/>
        </w:rPr>
      </w:pPr>
      <w:bookmarkStart w:id="5" w:name="substructure-location_b"/>
      <w:bookmarkEnd w:id="5"/>
      <w:r w:rsidRPr="009B72D2">
        <w:rPr>
          <w:rFonts w:ascii="Arial" w:eastAsia="Times New Roman" w:hAnsi="Arial" w:cs="Arial"/>
          <w:b/>
          <w:bCs/>
          <w:sz w:val="24"/>
          <w:szCs w:val="24"/>
        </w:rPr>
        <w:t>(b) Unlawful conduct</w:t>
      </w:r>
    </w:p>
    <w:p w:rsidR="009B72D2" w:rsidRPr="009B72D2" w:rsidRDefault="009B72D2" w:rsidP="009B72D2">
      <w:pPr>
        <w:spacing w:after="0" w:line="240" w:lineRule="auto"/>
        <w:ind w:firstLine="240"/>
        <w:rPr>
          <w:rFonts w:ascii="Arial" w:eastAsia="Times New Roman" w:hAnsi="Arial" w:cs="Arial"/>
        </w:rPr>
      </w:pPr>
      <w:r w:rsidRPr="009B72D2">
        <w:rPr>
          <w:rFonts w:ascii="Arial" w:eastAsia="Times New Roman" w:hAnsi="Arial" w:cs="Arial"/>
        </w:rPr>
        <w:t>It shall be unlawful for any natural-gas company willfully to hinder, delay, or obstruct the making, filing, or keeping of any information, document, report, memorandum, record, or account required to be made, filed, or kept under this chapter or any rule, regulation, or order thereunder.</w:t>
      </w:r>
    </w:p>
    <w:p w:rsidR="009B72D2" w:rsidRPr="009B72D2" w:rsidRDefault="009B72D2" w:rsidP="009B72D2">
      <w:pPr>
        <w:spacing w:before="75" w:after="75" w:line="240" w:lineRule="auto"/>
        <w:rPr>
          <w:rFonts w:ascii="Arial" w:eastAsia="Times New Roman" w:hAnsi="Arial" w:cs="Arial"/>
        </w:rPr>
      </w:pPr>
      <w:bookmarkStart w:id="6" w:name="sourcecredit"/>
      <w:bookmarkEnd w:id="6"/>
      <w:r w:rsidRPr="009B72D2">
        <w:rPr>
          <w:rFonts w:ascii="Arial" w:eastAsia="Times New Roman" w:hAnsi="Arial" w:cs="Arial"/>
        </w:rPr>
        <w:t>(</w:t>
      </w:r>
      <w:hyperlink r:id="rId8" w:tgtFrame="_blank" w:history="1">
        <w:r w:rsidRPr="009B72D2">
          <w:rPr>
            <w:rFonts w:ascii="Arial" w:eastAsia="Times New Roman" w:hAnsi="Arial" w:cs="Arial"/>
            <w:color w:val="0F0D61"/>
          </w:rPr>
          <w:t xml:space="preserve">June 21, 1938, ch. 556, §10, 52 Stat. 826 </w:t>
        </w:r>
      </w:hyperlink>
      <w:r w:rsidRPr="009B72D2">
        <w:rPr>
          <w:rFonts w:ascii="Arial" w:eastAsia="Times New Roman" w:hAnsi="Arial" w:cs="Arial"/>
        </w:rPr>
        <w:t>.)</w:t>
      </w:r>
    </w:p>
    <w:p w:rsidR="00E704E3" w:rsidRDefault="00E704E3"/>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2D2" w:rsidRDefault="009B72D2" w:rsidP="009B72D2">
      <w:pPr>
        <w:spacing w:after="0" w:line="240" w:lineRule="auto"/>
      </w:pPr>
      <w:r>
        <w:separator/>
      </w:r>
    </w:p>
  </w:endnote>
  <w:endnote w:type="continuationSeparator" w:id="0">
    <w:p w:rsidR="009B72D2" w:rsidRDefault="009B72D2" w:rsidP="009B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2D2" w:rsidRDefault="009B72D2" w:rsidP="009B72D2">
      <w:pPr>
        <w:spacing w:after="0" w:line="240" w:lineRule="auto"/>
      </w:pPr>
      <w:r>
        <w:separator/>
      </w:r>
    </w:p>
  </w:footnote>
  <w:footnote w:type="continuationSeparator" w:id="0">
    <w:p w:rsidR="009B72D2" w:rsidRDefault="009B72D2" w:rsidP="009B72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D2"/>
    <w:rsid w:val="0079223B"/>
    <w:rsid w:val="009B72D2"/>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27817">
      <w:bodyDiv w:val="1"/>
      <w:marLeft w:val="720"/>
      <w:marRight w:val="0"/>
      <w:marTop w:val="0"/>
      <w:marBottom w:val="0"/>
      <w:divBdr>
        <w:top w:val="none" w:sz="0" w:space="0" w:color="auto"/>
        <w:left w:val="none" w:sz="0" w:space="0" w:color="auto"/>
        <w:bottom w:val="none" w:sz="0" w:space="0" w:color="auto"/>
        <w:right w:val="none" w:sz="0" w:space="0" w:color="auto"/>
      </w:divBdr>
      <w:divsChild>
        <w:div w:id="874736669">
          <w:marLeft w:val="75"/>
          <w:marRight w:val="75"/>
          <w:marTop w:val="75"/>
          <w:marBottom w:val="75"/>
          <w:divBdr>
            <w:top w:val="none" w:sz="0" w:space="0" w:color="auto"/>
            <w:left w:val="none" w:sz="0" w:space="0" w:color="auto"/>
            <w:bottom w:val="none" w:sz="0" w:space="0" w:color="auto"/>
            <w:right w:val="none" w:sz="0" w:space="0" w:color="auto"/>
          </w:divBdr>
          <w:divsChild>
            <w:div w:id="1276213875">
              <w:marLeft w:val="0"/>
              <w:marRight w:val="0"/>
              <w:marTop w:val="0"/>
              <w:marBottom w:val="0"/>
              <w:divBdr>
                <w:top w:val="none" w:sz="0" w:space="0" w:color="auto"/>
                <w:left w:val="none" w:sz="0" w:space="0" w:color="auto"/>
                <w:bottom w:val="none" w:sz="0" w:space="0" w:color="auto"/>
                <w:right w:val="none" w:sz="0" w:space="0" w:color="auto"/>
              </w:divBdr>
              <w:divsChild>
                <w:div w:id="513305406">
                  <w:marLeft w:val="0"/>
                  <w:marRight w:val="0"/>
                  <w:marTop w:val="0"/>
                  <w:marBottom w:val="0"/>
                  <w:divBdr>
                    <w:top w:val="none" w:sz="0" w:space="0" w:color="auto"/>
                    <w:left w:val="none" w:sz="0" w:space="0" w:color="auto"/>
                    <w:bottom w:val="none" w:sz="0" w:space="0" w:color="auto"/>
                    <w:right w:val="none" w:sz="0" w:space="0" w:color="auto"/>
                  </w:divBdr>
                  <w:divsChild>
                    <w:div w:id="2024699439">
                      <w:marLeft w:val="0"/>
                      <w:marRight w:val="0"/>
                      <w:marTop w:val="0"/>
                      <w:marBottom w:val="0"/>
                      <w:divBdr>
                        <w:top w:val="none" w:sz="0" w:space="0" w:color="auto"/>
                        <w:left w:val="none" w:sz="0" w:space="0" w:color="auto"/>
                        <w:bottom w:val="none" w:sz="0" w:space="0" w:color="auto"/>
                        <w:right w:val="none" w:sz="0" w:space="0" w:color="auto"/>
                      </w:divBdr>
                      <w:divsChild>
                        <w:div w:id="900100164">
                          <w:marLeft w:val="0"/>
                          <w:marRight w:val="0"/>
                          <w:marTop w:val="0"/>
                          <w:marBottom w:val="0"/>
                          <w:divBdr>
                            <w:top w:val="single" w:sz="18" w:space="8" w:color="CFC2B2"/>
                            <w:left w:val="single" w:sz="18" w:space="8" w:color="CFC2B2"/>
                            <w:bottom w:val="single" w:sz="18" w:space="8" w:color="CFC2B2"/>
                            <w:right w:val="single" w:sz="18" w:space="8" w:color="CFC2B2"/>
                          </w:divBdr>
                          <w:divsChild>
                            <w:div w:id="420610053">
                              <w:marLeft w:val="0"/>
                              <w:marRight w:val="0"/>
                              <w:marTop w:val="150"/>
                              <w:marBottom w:val="0"/>
                              <w:divBdr>
                                <w:top w:val="none" w:sz="0" w:space="0" w:color="auto"/>
                                <w:left w:val="none" w:sz="0" w:space="0" w:color="auto"/>
                                <w:bottom w:val="none" w:sz="0" w:space="0" w:color="auto"/>
                                <w:right w:val="none" w:sz="0" w:space="0" w:color="auto"/>
                              </w:divBdr>
                            </w:div>
                            <w:div w:id="12434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statviewer.htm?volume=52&amp;page=826" TargetMode="External"/><Relationship Id="rId3" Type="http://schemas.openxmlformats.org/officeDocument/2006/relationships/settings" Target="settings.xml"/><Relationship Id="rId7" Type="http://schemas.openxmlformats.org/officeDocument/2006/relationships/hyperlink" Target="https://uscode.house.gov/view.xhtml?req=15+USC+717i&amp;f=treesort&amp;fq=true&amp;num=1&amp;hl=true&amp;edition=prelim&amp;granuleId=USC-prelim-title15-section717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2019-12-16T17:40:00Z</dcterms:created>
  <dcterms:modified xsi:type="dcterms:W3CDTF">2019-12-16T17:40:00Z</dcterms:modified>
</cp:coreProperties>
</file>