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33191" w14:textId="77777777" w:rsidR="00EB3E6F" w:rsidRPr="00FC7A36" w:rsidRDefault="00325F2E" w:rsidP="00FC7A36">
      <w:pPr>
        <w:spacing w:after="0"/>
        <w:jc w:val="center"/>
        <w:rPr>
          <w:sz w:val="24"/>
          <w:szCs w:val="24"/>
        </w:rPr>
      </w:pPr>
      <w:bookmarkStart w:id="0" w:name="_GoBack"/>
      <w:bookmarkEnd w:id="0"/>
      <w:r w:rsidRPr="00FC7A36">
        <w:rPr>
          <w:sz w:val="24"/>
          <w:szCs w:val="24"/>
        </w:rPr>
        <w:t xml:space="preserve"> </w:t>
      </w:r>
      <w:r w:rsidR="00FD66F1" w:rsidRPr="00FC7A36">
        <w:rPr>
          <w:sz w:val="24"/>
          <w:szCs w:val="24"/>
        </w:rPr>
        <w:t>Supporting Statement</w:t>
      </w:r>
      <w:r w:rsidR="00E0171E" w:rsidRPr="00FC7A36">
        <w:rPr>
          <w:sz w:val="24"/>
          <w:szCs w:val="24"/>
        </w:rPr>
        <w:t xml:space="preserve"> for</w:t>
      </w:r>
    </w:p>
    <w:p w14:paraId="0BA8F8FC" w14:textId="4A5138CB" w:rsidR="00087925" w:rsidRPr="00FC7A36" w:rsidRDefault="00FD66F1" w:rsidP="00FC7A36">
      <w:pPr>
        <w:spacing w:after="0"/>
        <w:jc w:val="center"/>
        <w:rPr>
          <w:b/>
          <w:sz w:val="24"/>
          <w:szCs w:val="24"/>
        </w:rPr>
      </w:pPr>
      <w:r w:rsidRPr="00FC7A36">
        <w:rPr>
          <w:b/>
          <w:sz w:val="24"/>
          <w:szCs w:val="24"/>
        </w:rPr>
        <w:t>FERC-</w:t>
      </w:r>
      <w:r w:rsidR="00087925" w:rsidRPr="00FC7A36">
        <w:rPr>
          <w:b/>
          <w:sz w:val="24"/>
          <w:szCs w:val="24"/>
        </w:rPr>
        <w:t>555</w:t>
      </w:r>
      <w:r w:rsidR="00F2758C" w:rsidRPr="00FC7A36">
        <w:rPr>
          <w:b/>
          <w:sz w:val="24"/>
          <w:szCs w:val="24"/>
        </w:rPr>
        <w:t xml:space="preserve">, </w:t>
      </w:r>
      <w:r w:rsidR="00087925" w:rsidRPr="00FC7A36">
        <w:rPr>
          <w:b/>
          <w:sz w:val="24"/>
          <w:szCs w:val="24"/>
        </w:rPr>
        <w:t>Preservation of Records for Public Utilities and Licensees, Natural Gas and Oil Pipeline Companies</w:t>
      </w:r>
    </w:p>
    <w:p w14:paraId="03533195" w14:textId="77777777" w:rsidR="00FD66F1" w:rsidRPr="00FC7A36" w:rsidRDefault="00FD66F1" w:rsidP="00FC7A36">
      <w:pPr>
        <w:spacing w:after="0"/>
        <w:jc w:val="center"/>
        <w:rPr>
          <w:sz w:val="24"/>
          <w:szCs w:val="24"/>
        </w:rPr>
      </w:pPr>
    </w:p>
    <w:p w14:paraId="0353319D" w14:textId="158269A7" w:rsidR="00D85C5B" w:rsidRPr="00FC7A36" w:rsidRDefault="00407B78" w:rsidP="00FC7A36">
      <w:pPr>
        <w:spacing w:after="0"/>
        <w:rPr>
          <w:sz w:val="24"/>
          <w:szCs w:val="24"/>
        </w:rPr>
      </w:pPr>
      <w:r w:rsidRPr="00FC7A36">
        <w:rPr>
          <w:sz w:val="24"/>
          <w:szCs w:val="24"/>
        </w:rPr>
        <w:t>The Federal Energy Regulatory Commission (FERC</w:t>
      </w:r>
      <w:r w:rsidR="0013054D" w:rsidRPr="00FC7A36">
        <w:rPr>
          <w:sz w:val="24"/>
          <w:szCs w:val="24"/>
        </w:rPr>
        <w:t xml:space="preserve"> or Commission</w:t>
      </w:r>
      <w:r w:rsidRPr="00FC7A36">
        <w:rPr>
          <w:sz w:val="24"/>
          <w:szCs w:val="24"/>
        </w:rPr>
        <w:t>) requests that the Office of Management and Budget (OMB) review and approv</w:t>
      </w:r>
      <w:r w:rsidR="0013054D" w:rsidRPr="00FC7A36">
        <w:rPr>
          <w:sz w:val="24"/>
          <w:szCs w:val="24"/>
        </w:rPr>
        <w:t xml:space="preserve">e </w:t>
      </w:r>
      <w:r w:rsidR="00726341" w:rsidRPr="00FC7A36">
        <w:rPr>
          <w:sz w:val="24"/>
          <w:szCs w:val="24"/>
        </w:rPr>
        <w:t>the FERC-</w:t>
      </w:r>
      <w:r w:rsidR="00087925" w:rsidRPr="00FC7A36">
        <w:rPr>
          <w:sz w:val="24"/>
          <w:szCs w:val="24"/>
        </w:rPr>
        <w:t>555 information collect</w:t>
      </w:r>
      <w:r w:rsidR="00FC7A36" w:rsidRPr="00FC7A36">
        <w:rPr>
          <w:sz w:val="24"/>
          <w:szCs w:val="24"/>
        </w:rPr>
        <w:t>i</w:t>
      </w:r>
      <w:r w:rsidR="00087925" w:rsidRPr="00FC7A36">
        <w:rPr>
          <w:sz w:val="24"/>
          <w:szCs w:val="24"/>
        </w:rPr>
        <w:t>on (</w:t>
      </w:r>
      <w:r w:rsidR="00726341" w:rsidRPr="00FC7A36">
        <w:rPr>
          <w:sz w:val="24"/>
          <w:szCs w:val="24"/>
        </w:rPr>
        <w:t>OMB Control Number 1902-</w:t>
      </w:r>
      <w:r w:rsidR="00FC7A36" w:rsidRPr="00FC7A36">
        <w:rPr>
          <w:sz w:val="24"/>
          <w:szCs w:val="24"/>
        </w:rPr>
        <w:t>0098</w:t>
      </w:r>
      <w:r w:rsidR="00726341" w:rsidRPr="00FC7A36">
        <w:rPr>
          <w:sz w:val="24"/>
          <w:szCs w:val="24"/>
        </w:rPr>
        <w:t>)</w:t>
      </w:r>
      <w:r w:rsidR="00087925" w:rsidRPr="00FC7A36">
        <w:rPr>
          <w:sz w:val="24"/>
          <w:szCs w:val="24"/>
        </w:rPr>
        <w:t xml:space="preserve"> for a three-year period.  The FERC-555 is a current collection and its record retention requirements are contained in Title 18 Code of Federal Regulations (CFR) Parts 125, 225, and 356.</w:t>
      </w:r>
    </w:p>
    <w:p w14:paraId="0353319F" w14:textId="77777777" w:rsidR="00407B78" w:rsidRPr="00FC7A36" w:rsidRDefault="00407B78" w:rsidP="00FC7A36">
      <w:pPr>
        <w:spacing w:after="0"/>
        <w:rPr>
          <w:sz w:val="24"/>
          <w:szCs w:val="24"/>
        </w:rPr>
      </w:pPr>
    </w:p>
    <w:p w14:paraId="035331A0" w14:textId="5A1AAC20" w:rsidR="00A72E7B" w:rsidRPr="00FC7A36" w:rsidRDefault="00A72E7B" w:rsidP="00FC7A36">
      <w:pPr>
        <w:pStyle w:val="FERCparanumber"/>
        <w:spacing w:line="276" w:lineRule="auto"/>
        <w:rPr>
          <w:sz w:val="24"/>
        </w:rPr>
      </w:pPr>
      <w:r w:rsidRPr="00FC7A36">
        <w:rPr>
          <w:sz w:val="24"/>
        </w:rPr>
        <w:t>CIRCUMSTANCES THAT MAKE THE COLLECTION OF INFORMATION NECESSARY</w:t>
      </w:r>
    </w:p>
    <w:p w14:paraId="7CF81B7F" w14:textId="2D4EEBD2" w:rsidR="00CD37F8" w:rsidRPr="00FC7A36" w:rsidRDefault="008155DC" w:rsidP="00FC7A36">
      <w:pPr>
        <w:rPr>
          <w:sz w:val="24"/>
          <w:szCs w:val="24"/>
        </w:rPr>
      </w:pPr>
      <w:r w:rsidRPr="00FC7A36">
        <w:rPr>
          <w:color w:val="000000"/>
          <w:sz w:val="24"/>
          <w:szCs w:val="24"/>
        </w:rPr>
        <w:t>Both the Federal Power Act</w:t>
      </w:r>
      <w:r w:rsidRPr="00FC7A36">
        <w:rPr>
          <w:b/>
          <w:bCs/>
          <w:color w:val="000000"/>
          <w:sz w:val="24"/>
          <w:szCs w:val="24"/>
          <w:vertAlign w:val="superscript"/>
        </w:rPr>
        <w:footnoteReference w:id="2"/>
      </w:r>
      <w:r w:rsidRPr="00FC7A36">
        <w:rPr>
          <w:color w:val="000000"/>
          <w:sz w:val="24"/>
          <w:szCs w:val="24"/>
        </w:rPr>
        <w:t xml:space="preserve"> and the Natural Gas Act</w:t>
      </w:r>
      <w:r w:rsidRPr="00FC7A36">
        <w:rPr>
          <w:b/>
          <w:bCs/>
          <w:color w:val="000000"/>
          <w:sz w:val="24"/>
          <w:szCs w:val="24"/>
          <w:vertAlign w:val="superscript"/>
        </w:rPr>
        <w:footnoteReference w:id="3"/>
      </w:r>
      <w:r w:rsidRPr="00FC7A36">
        <w:rPr>
          <w:color w:val="000000"/>
          <w:sz w:val="24"/>
          <w:szCs w:val="24"/>
        </w:rPr>
        <w:t xml:space="preserve"> require jurisdictional companies to keep records that the Commission may prescribe "as necessary or appropriate for purposes of administration" of these acts.</w:t>
      </w:r>
      <w:r w:rsidRPr="00FC7A36">
        <w:rPr>
          <w:b/>
          <w:bCs/>
          <w:color w:val="000000"/>
          <w:sz w:val="24"/>
          <w:szCs w:val="24"/>
          <w:vertAlign w:val="superscript"/>
        </w:rPr>
        <w:footnoteReference w:id="4"/>
      </w:r>
      <w:r w:rsidRPr="00FC7A36">
        <w:rPr>
          <w:color w:val="000000"/>
          <w:sz w:val="24"/>
          <w:szCs w:val="24"/>
        </w:rPr>
        <w:t xml:space="preserve">  In 1977, the Commission assumed jurisdiction over transportation of oil by oil pipeline companies from the Interstate Commerce Commission under 705(a) of the Department of Energy Organization Act.</w:t>
      </w:r>
      <w:r w:rsidRPr="00FC7A36">
        <w:rPr>
          <w:b/>
          <w:bCs/>
          <w:color w:val="000000"/>
          <w:sz w:val="24"/>
          <w:szCs w:val="24"/>
          <w:vertAlign w:val="superscript"/>
        </w:rPr>
        <w:footnoteReference w:id="5"/>
      </w:r>
      <w:r w:rsidRPr="00FC7A36">
        <w:rPr>
          <w:color w:val="000000"/>
          <w:sz w:val="24"/>
          <w:szCs w:val="24"/>
        </w:rPr>
        <w:t xml:space="preserve">  Section 20 of the Interstate Commerce Act</w:t>
      </w:r>
      <w:r w:rsidRPr="00FC7A36">
        <w:rPr>
          <w:b/>
          <w:bCs/>
          <w:color w:val="000000"/>
          <w:sz w:val="24"/>
          <w:szCs w:val="24"/>
          <w:vertAlign w:val="superscript"/>
        </w:rPr>
        <w:footnoteReference w:id="6"/>
      </w:r>
      <w:r w:rsidRPr="00FC7A36">
        <w:rPr>
          <w:color w:val="000000"/>
          <w:sz w:val="24"/>
          <w:szCs w:val="24"/>
        </w:rPr>
        <w:t xml:space="preserve"> requires oil pipeline companies to keep records that the Commission determines are necessary to effectively regulate those companies</w:t>
      </w:r>
      <w:r w:rsidR="00AB742F" w:rsidRPr="00FC7A36">
        <w:rPr>
          <w:rFonts w:eastAsia="Calibri"/>
          <w:sz w:val="24"/>
          <w:szCs w:val="24"/>
        </w:rPr>
        <w:t>.</w:t>
      </w:r>
    </w:p>
    <w:p w14:paraId="035331B8" w14:textId="77777777" w:rsidR="00A978BD" w:rsidRPr="00FC7A36" w:rsidRDefault="00A978BD" w:rsidP="00FC7A36">
      <w:pPr>
        <w:spacing w:after="0"/>
        <w:rPr>
          <w:sz w:val="24"/>
          <w:szCs w:val="24"/>
        </w:rPr>
      </w:pPr>
    </w:p>
    <w:p w14:paraId="035331B9" w14:textId="77777777" w:rsidR="00A72E7B" w:rsidRPr="00FC7A36" w:rsidRDefault="00EB3E6F" w:rsidP="00FC7A36">
      <w:pPr>
        <w:pStyle w:val="FERCparanumber"/>
        <w:spacing w:line="276" w:lineRule="auto"/>
        <w:rPr>
          <w:sz w:val="24"/>
        </w:rPr>
      </w:pPr>
      <w:r w:rsidRPr="00FC7A36">
        <w:rPr>
          <w:sz w:val="24"/>
        </w:rPr>
        <w:t>HOW, BY WHOM, AND FOR WHAT PURPOSE THE INFORMATION IS TO BE USED AND THE CONSEQUENCES OF NOT COLLECTING THE INFORMATION</w:t>
      </w:r>
    </w:p>
    <w:p w14:paraId="3DF07656" w14:textId="79F845D1" w:rsidR="008155DC" w:rsidRPr="00FC7A36" w:rsidRDefault="008155DC" w:rsidP="00FC7A36">
      <w:pPr>
        <w:rPr>
          <w:sz w:val="24"/>
          <w:szCs w:val="24"/>
        </w:rPr>
      </w:pPr>
      <w:r w:rsidRPr="00FC7A36">
        <w:rPr>
          <w:sz w:val="24"/>
          <w:szCs w:val="24"/>
        </w:rPr>
        <w:t xml:space="preserve">The official records maintained by jurisdictional companies in accordance with the Schedules provided in the Code of Federal Regulations (CFR) Title 18 Parts 125, 225 and 356 are used by these companies as the basis for rate filings and reports for the Commission.  In addition, the </w:t>
      </w:r>
      <w:r w:rsidRPr="00FC7A36">
        <w:rPr>
          <w:sz w:val="24"/>
          <w:szCs w:val="24"/>
        </w:rPr>
        <w:lastRenderedPageBreak/>
        <w:t>records are used by the Commission's audit and compliance staffs during the periodic compliance reviews and special analyses performed as deemed necessary by the Commission.</w:t>
      </w:r>
    </w:p>
    <w:p w14:paraId="4CF8A80B" w14:textId="77777777" w:rsidR="008155DC" w:rsidRPr="00FC7A36" w:rsidRDefault="008155DC" w:rsidP="00FC7A36">
      <w:pPr>
        <w:rPr>
          <w:sz w:val="24"/>
          <w:szCs w:val="24"/>
        </w:rPr>
      </w:pPr>
      <w:r w:rsidRPr="00FC7A36">
        <w:rPr>
          <w:sz w:val="24"/>
          <w:szCs w:val="24"/>
        </w:rPr>
        <w:t xml:space="preserve">In general, FERC's regulations require jurisdictional companies to maintain the following types of records: </w:t>
      </w:r>
    </w:p>
    <w:p w14:paraId="7A538FED"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Corporate</w:t>
      </w:r>
    </w:p>
    <w:p w14:paraId="72C56072"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Information Technology Management</w:t>
      </w:r>
    </w:p>
    <w:p w14:paraId="1911DE3E"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General Accounting</w:t>
      </w:r>
    </w:p>
    <w:p w14:paraId="5D87A87E"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Personnel and Payroll</w:t>
      </w:r>
    </w:p>
    <w:p w14:paraId="3857DDEA"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Transportation</w:t>
      </w:r>
    </w:p>
    <w:p w14:paraId="1DE92251"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Tariffs and Rates</w:t>
      </w:r>
    </w:p>
    <w:p w14:paraId="13D63BC5"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Insurance</w:t>
      </w:r>
    </w:p>
    <w:p w14:paraId="1CBFACD7"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Operations and Maintenance</w:t>
      </w:r>
    </w:p>
    <w:p w14:paraId="00567765"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Plant and Depreciation</w:t>
      </w:r>
    </w:p>
    <w:p w14:paraId="102F1584"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Purchase and Stores</w:t>
      </w:r>
    </w:p>
    <w:p w14:paraId="795928CA"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Revenue Accounting and Collection</w:t>
      </w:r>
    </w:p>
    <w:p w14:paraId="6C7ED2A9"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Tax</w:t>
      </w:r>
    </w:p>
    <w:p w14:paraId="5864846B"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Treasury</w:t>
      </w:r>
    </w:p>
    <w:p w14:paraId="2338F3C9" w14:textId="77777777" w:rsidR="008155DC" w:rsidRPr="00FC7A36" w:rsidRDefault="008155DC" w:rsidP="00FC7A36">
      <w:pPr>
        <w:numPr>
          <w:ilvl w:val="0"/>
          <w:numId w:val="24"/>
        </w:numPr>
        <w:autoSpaceDE w:val="0"/>
        <w:autoSpaceDN w:val="0"/>
        <w:adjustRightInd w:val="0"/>
        <w:spacing w:after="0"/>
        <w:rPr>
          <w:sz w:val="24"/>
          <w:szCs w:val="24"/>
        </w:rPr>
      </w:pPr>
      <w:r w:rsidRPr="00FC7A36">
        <w:rPr>
          <w:sz w:val="24"/>
          <w:szCs w:val="24"/>
        </w:rPr>
        <w:t>Miscellaneous</w:t>
      </w:r>
    </w:p>
    <w:p w14:paraId="5AED239C" w14:textId="77777777" w:rsidR="008155DC" w:rsidRPr="00FC7A36" w:rsidRDefault="008155DC" w:rsidP="00FC7A36">
      <w:pPr>
        <w:rPr>
          <w:sz w:val="24"/>
          <w:szCs w:val="24"/>
        </w:rPr>
      </w:pPr>
    </w:p>
    <w:p w14:paraId="6DB32BD3" w14:textId="449B65E7" w:rsidR="008155DC" w:rsidRPr="00FC7A36" w:rsidRDefault="008155DC" w:rsidP="00FC7A36">
      <w:pPr>
        <w:rPr>
          <w:sz w:val="24"/>
          <w:szCs w:val="24"/>
        </w:rPr>
      </w:pPr>
      <w:r w:rsidRPr="00FC7A36">
        <w:rPr>
          <w:sz w:val="24"/>
          <w:szCs w:val="24"/>
        </w:rPr>
        <w:t>See 18 CFR Parts 125, 225, and 356 for the specific items and retention periods.</w:t>
      </w:r>
    </w:p>
    <w:p w14:paraId="1759CB46" w14:textId="18A115E1" w:rsidR="008155DC" w:rsidRPr="00FC7A36" w:rsidRDefault="008155DC" w:rsidP="00FC7A36">
      <w:pPr>
        <w:rPr>
          <w:sz w:val="24"/>
          <w:szCs w:val="24"/>
        </w:rPr>
      </w:pPr>
      <w:r w:rsidRPr="00FC7A36">
        <w:rPr>
          <w:sz w:val="24"/>
          <w:szCs w:val="24"/>
        </w:rPr>
        <w:t xml:space="preserve">The information contained in Parts 125, 225, and 356 is used by jurisdictional companies to determine the minimum length of time to maintain their records subject to the requirements of the Commission. </w:t>
      </w:r>
    </w:p>
    <w:p w14:paraId="28575BF3" w14:textId="6AD7FBD1" w:rsidR="00092293" w:rsidRPr="00FC7A36" w:rsidRDefault="008155DC" w:rsidP="00FC7A36">
      <w:pPr>
        <w:spacing w:after="0"/>
        <w:rPr>
          <w:sz w:val="24"/>
          <w:szCs w:val="24"/>
        </w:rPr>
      </w:pPr>
      <w:r w:rsidRPr="00FC7A36">
        <w:rPr>
          <w:sz w:val="24"/>
          <w:szCs w:val="24"/>
        </w:rPr>
        <w:t>If jurisdictional companies did not retain records as prescribed by FERC-555 there would be an inadequate basis of available information for proper rate filings and reports.  Further, without access to these records, jurisdictional companies may be unable to produce the necessary documentation during a Commission-led audit or investigation</w:t>
      </w:r>
      <w:r w:rsidR="003418CC" w:rsidRPr="00FC7A36">
        <w:rPr>
          <w:sz w:val="24"/>
          <w:szCs w:val="24"/>
        </w:rPr>
        <w:t>.</w:t>
      </w:r>
    </w:p>
    <w:p w14:paraId="035331BE" w14:textId="2F40C3AC" w:rsidR="00EB3E6F" w:rsidRPr="00FC7A36" w:rsidRDefault="00EB3E6F" w:rsidP="00FC7A36">
      <w:pPr>
        <w:spacing w:after="0"/>
        <w:rPr>
          <w:sz w:val="24"/>
          <w:szCs w:val="24"/>
        </w:rPr>
      </w:pPr>
    </w:p>
    <w:p w14:paraId="035331BF" w14:textId="77777777" w:rsidR="00EB3E6F" w:rsidRPr="00FC7A36" w:rsidRDefault="00EB3E6F" w:rsidP="00FC7A36">
      <w:pPr>
        <w:pStyle w:val="FERCparanumber"/>
        <w:spacing w:line="276" w:lineRule="auto"/>
        <w:rPr>
          <w:sz w:val="24"/>
        </w:rPr>
      </w:pPr>
      <w:r w:rsidRPr="00FC7A36">
        <w:rPr>
          <w:sz w:val="24"/>
        </w:rPr>
        <w:t>DESCRIBE ANY CONSIDERATION OF THE USE OF IMPROVED INFORMATION TECHNOLOGY TO REDUCE THE BURDEN AND TECHNICAL OR LEGAL OBSTACLES TO REDUCING BURDEN</w:t>
      </w:r>
    </w:p>
    <w:p w14:paraId="035331C1" w14:textId="5C2F2449" w:rsidR="001F65FC" w:rsidRPr="00FC7A36" w:rsidRDefault="008155DC" w:rsidP="00FC7A36">
      <w:pPr>
        <w:spacing w:after="0"/>
        <w:rPr>
          <w:sz w:val="24"/>
          <w:szCs w:val="24"/>
        </w:rPr>
      </w:pPr>
      <w:r w:rsidRPr="00FC7A36">
        <w:rPr>
          <w:sz w:val="24"/>
          <w:szCs w:val="24"/>
        </w:rPr>
        <w:t xml:space="preserve">The Commission's regulations state that the storage media selected must have a life expectancy at least equal to the applicable record retention period unless there is a quality transfer of the data from one media to another with no loss of data.  The Commission purposefully does not mandate a specific media type to allow companies flexibility in the selection of media which would </w:t>
      </w:r>
      <w:r w:rsidRPr="00FC7A36">
        <w:rPr>
          <w:sz w:val="24"/>
          <w:szCs w:val="24"/>
        </w:rPr>
        <w:lastRenderedPageBreak/>
        <w:t>provide the ability to adapt quickly to changes in technology without the necessity of obtaining Commission approval of the use of media not provided for in the regulations.  The Commission believes that the current regulations provide for efficiencies and savings from reduced retention periods and unrestricted use of storage media</w:t>
      </w:r>
      <w:r w:rsidR="003B390D" w:rsidRPr="00FC7A36">
        <w:rPr>
          <w:sz w:val="24"/>
          <w:szCs w:val="24"/>
        </w:rPr>
        <w:t xml:space="preserve">.  </w:t>
      </w:r>
    </w:p>
    <w:p w14:paraId="035331C2" w14:textId="77777777" w:rsidR="009D7EF5" w:rsidRPr="00FC7A36" w:rsidRDefault="009D7EF5" w:rsidP="00FC7A36">
      <w:pPr>
        <w:spacing w:after="0"/>
        <w:rPr>
          <w:sz w:val="24"/>
          <w:szCs w:val="24"/>
        </w:rPr>
      </w:pPr>
    </w:p>
    <w:p w14:paraId="035331C3" w14:textId="77777777" w:rsidR="00EB3E6F" w:rsidRPr="00FC7A36" w:rsidRDefault="00EB3E6F" w:rsidP="00FC7A36">
      <w:pPr>
        <w:pStyle w:val="FERCparanumber"/>
        <w:spacing w:line="276" w:lineRule="auto"/>
        <w:rPr>
          <w:sz w:val="24"/>
        </w:rPr>
      </w:pPr>
      <w:r w:rsidRPr="00FC7A36">
        <w:rPr>
          <w:sz w:val="24"/>
        </w:rPr>
        <w:t>DESCRIBE EFFORTS TO IDENTIF</w:t>
      </w:r>
      <w:r w:rsidR="00730A00" w:rsidRPr="00FC7A36">
        <w:rPr>
          <w:sz w:val="24"/>
        </w:rPr>
        <w:t>Y</w:t>
      </w:r>
      <w:r w:rsidRPr="00FC7A36">
        <w:rPr>
          <w:sz w:val="24"/>
        </w:rPr>
        <w:t xml:space="preserve"> DUPLICATION AND SHOW SPECIFICALLY WHY ANY SIMILAR INFORMATION ALREADY AVAILABLE CANNOT BE USED OR MODIFIED FOR USE FOR THE PURPOSE(S) DESCRIBED IN INSTRUCTION NO. 2</w:t>
      </w:r>
    </w:p>
    <w:p w14:paraId="035331C9" w14:textId="002A09D5" w:rsidR="0029126C" w:rsidRPr="00FC7A36" w:rsidRDefault="008155DC" w:rsidP="00FC7A36">
      <w:pPr>
        <w:spacing w:after="0"/>
        <w:rPr>
          <w:sz w:val="24"/>
          <w:szCs w:val="24"/>
        </w:rPr>
      </w:pPr>
      <w:r w:rsidRPr="00FC7A36">
        <w:rPr>
          <w:sz w:val="24"/>
          <w:szCs w:val="24"/>
        </w:rPr>
        <w:t>Filing requirements are periodically reviewed as OMB review dates arise, or as the Commission may deem necessary in carrying out its responsibilities, in order to eliminate duplication and ensure that filing burden is minimized.  The records retained under FERC-555 are singular in nature and the Commission contemplates no other means of obtaining the necessary information for rate filings, audits, and reports</w:t>
      </w:r>
      <w:r w:rsidR="0029126C" w:rsidRPr="00FC7A36">
        <w:rPr>
          <w:sz w:val="24"/>
          <w:szCs w:val="24"/>
        </w:rPr>
        <w:t xml:space="preserve">.  </w:t>
      </w:r>
    </w:p>
    <w:p w14:paraId="035331CC" w14:textId="77777777" w:rsidR="00EB3E6F" w:rsidRPr="00FC7A36" w:rsidRDefault="00EB3E6F" w:rsidP="00FC7A36">
      <w:pPr>
        <w:spacing w:after="0"/>
        <w:rPr>
          <w:sz w:val="24"/>
          <w:szCs w:val="24"/>
        </w:rPr>
      </w:pPr>
    </w:p>
    <w:p w14:paraId="035331CD" w14:textId="77777777" w:rsidR="00EB3E6F" w:rsidRPr="00FC7A36" w:rsidRDefault="00EB3E6F" w:rsidP="00FC7A36">
      <w:pPr>
        <w:pStyle w:val="FERCparanumber"/>
        <w:spacing w:line="276" w:lineRule="auto"/>
        <w:rPr>
          <w:sz w:val="24"/>
        </w:rPr>
      </w:pPr>
      <w:r w:rsidRPr="00FC7A36">
        <w:rPr>
          <w:sz w:val="24"/>
        </w:rPr>
        <w:t>METHODS USED TO MINIMIZE THE BURDEN IN COLLECTION OF INFORMATION INVOLVING SMALL ENTITIES</w:t>
      </w:r>
    </w:p>
    <w:p w14:paraId="035331CF" w14:textId="4F6E48E6" w:rsidR="00003CE1" w:rsidRPr="00FC7A36" w:rsidRDefault="008155DC" w:rsidP="00FC7A36">
      <w:pPr>
        <w:spacing w:after="0"/>
        <w:rPr>
          <w:sz w:val="24"/>
          <w:szCs w:val="24"/>
          <w:lang w:val="x-none"/>
        </w:rPr>
      </w:pPr>
      <w:r w:rsidRPr="00FC7A36">
        <w:rPr>
          <w:sz w:val="24"/>
          <w:szCs w:val="24"/>
        </w:rPr>
        <w:t>The FERC-555’s record retention requirements are applicable to some small entities and 18 CFR Parts 125, 225, and 356 do not provide any measures for exemptions or waivers for these companies.  However, the Commission believes that small entities make up an insignificant portion of the total number of respondents and</w:t>
      </w:r>
      <w:r w:rsidR="005315CA" w:rsidRPr="00FC7A36">
        <w:rPr>
          <w:sz w:val="24"/>
          <w:szCs w:val="24"/>
        </w:rPr>
        <w:t xml:space="preserve">, </w:t>
      </w:r>
      <w:r w:rsidRPr="00FC7A36">
        <w:rPr>
          <w:sz w:val="24"/>
          <w:szCs w:val="24"/>
        </w:rPr>
        <w:t>therefore</w:t>
      </w:r>
      <w:r w:rsidR="005315CA" w:rsidRPr="00FC7A36">
        <w:rPr>
          <w:sz w:val="24"/>
          <w:szCs w:val="24"/>
        </w:rPr>
        <w:t>,</w:t>
      </w:r>
      <w:r w:rsidRPr="00FC7A36">
        <w:rPr>
          <w:sz w:val="24"/>
          <w:szCs w:val="24"/>
        </w:rPr>
        <w:t xml:space="preserve"> does not use any methods to minimize burden on these entities</w:t>
      </w:r>
      <w:r w:rsidR="00BB6054" w:rsidRPr="00FC7A36">
        <w:rPr>
          <w:sz w:val="24"/>
          <w:szCs w:val="24"/>
        </w:rPr>
        <w:t>.</w:t>
      </w:r>
    </w:p>
    <w:p w14:paraId="035331D0" w14:textId="77777777" w:rsidR="00003CE1" w:rsidRPr="00FC7A36" w:rsidRDefault="00003CE1" w:rsidP="00FC7A36">
      <w:pPr>
        <w:spacing w:after="0"/>
        <w:rPr>
          <w:sz w:val="24"/>
          <w:szCs w:val="24"/>
        </w:rPr>
      </w:pPr>
    </w:p>
    <w:p w14:paraId="035331D3" w14:textId="77777777" w:rsidR="00EB3E6F" w:rsidRPr="00FC7A36" w:rsidRDefault="00EB3E6F" w:rsidP="00FC7A36">
      <w:pPr>
        <w:pStyle w:val="FERCparanumber"/>
        <w:spacing w:line="276" w:lineRule="auto"/>
        <w:rPr>
          <w:sz w:val="24"/>
        </w:rPr>
      </w:pPr>
      <w:r w:rsidRPr="00FC7A36">
        <w:rPr>
          <w:sz w:val="24"/>
        </w:rPr>
        <w:t>CONSEQUENCE TO FEDERAL PROGRAM IF COLLECTION WERE CONDUCTED LESS FREQUENTLY</w:t>
      </w:r>
    </w:p>
    <w:p w14:paraId="035331DC" w14:textId="4AE23E73" w:rsidR="00E705EA" w:rsidRPr="00FC7A36" w:rsidRDefault="008155DC" w:rsidP="00FC7A36">
      <w:pPr>
        <w:pStyle w:val="FERCparanumber"/>
        <w:numPr>
          <w:ilvl w:val="0"/>
          <w:numId w:val="0"/>
        </w:numPr>
        <w:spacing w:line="276" w:lineRule="auto"/>
        <w:rPr>
          <w:sz w:val="24"/>
        </w:rPr>
      </w:pPr>
      <w:r w:rsidRPr="00FC7A36">
        <w:rPr>
          <w:rFonts w:eastAsia="Calibri"/>
          <w:b w:val="0"/>
          <w:sz w:val="24"/>
        </w:rPr>
        <w:t>These records are not filed with the Commission but are retained by jurisdictional companies to be used as previously noted.  Absent the availability of obtaining these records, the Commission would not be able to carry out its regulatory responsibilities as authorized by the Federal Power Act, the Natural Gas Act</w:t>
      </w:r>
      <w:r w:rsidR="00FC7A36" w:rsidRPr="00FC7A36">
        <w:rPr>
          <w:rFonts w:eastAsia="Calibri"/>
          <w:b w:val="0"/>
          <w:sz w:val="24"/>
        </w:rPr>
        <w:t>,</w:t>
      </w:r>
      <w:r w:rsidRPr="00FC7A36">
        <w:rPr>
          <w:rFonts w:eastAsia="Calibri"/>
          <w:b w:val="0"/>
          <w:sz w:val="24"/>
        </w:rPr>
        <w:t xml:space="preserve"> and the Interstate Commerce Act</w:t>
      </w:r>
      <w:r w:rsidR="00EB4D6D" w:rsidRPr="00FC7A36">
        <w:rPr>
          <w:b w:val="0"/>
          <w:sz w:val="24"/>
        </w:rPr>
        <w:t>.</w:t>
      </w:r>
    </w:p>
    <w:p w14:paraId="035331DD" w14:textId="77777777" w:rsidR="00EB3E6F" w:rsidRPr="00FC7A36" w:rsidRDefault="00EB3E6F" w:rsidP="00FC7A36">
      <w:pPr>
        <w:pStyle w:val="FERCparanumber"/>
        <w:spacing w:line="276" w:lineRule="auto"/>
        <w:rPr>
          <w:sz w:val="24"/>
        </w:rPr>
      </w:pPr>
      <w:r w:rsidRPr="00FC7A36">
        <w:rPr>
          <w:sz w:val="24"/>
        </w:rPr>
        <w:t>EXPLAIN ANY SPECIAL CIRCUMSTANCES RELATING TO THE INFORMATION COLLECTION</w:t>
      </w:r>
    </w:p>
    <w:p w14:paraId="035331E0" w14:textId="1911FEC1" w:rsidR="00D54DFD" w:rsidRPr="00FC7A36" w:rsidRDefault="008155DC" w:rsidP="00FC7A36">
      <w:pPr>
        <w:spacing w:after="0"/>
        <w:rPr>
          <w:sz w:val="24"/>
          <w:szCs w:val="24"/>
        </w:rPr>
      </w:pPr>
      <w:r w:rsidRPr="00FC7A36">
        <w:rPr>
          <w:color w:val="000000"/>
          <w:sz w:val="24"/>
          <w:szCs w:val="24"/>
        </w:rPr>
        <w:t>The Commission needs sufficient data available for scrutiny in order to carry out its regulatory mandates. For rate case filings, it is imperative that the Commission, and its staff, have access to supporting rate-case documentation, as well as documentation that might be pertinent to complaint proceedings.  For these reasons, many record schedules are set for longer than the three</w:t>
      </w:r>
      <w:r w:rsidR="0038397C">
        <w:rPr>
          <w:color w:val="000000"/>
          <w:sz w:val="24"/>
          <w:szCs w:val="24"/>
        </w:rPr>
        <w:t>-</w:t>
      </w:r>
      <w:r w:rsidRPr="00FC7A36">
        <w:rPr>
          <w:color w:val="000000"/>
          <w:sz w:val="24"/>
          <w:szCs w:val="24"/>
        </w:rPr>
        <w:t>year period generally applicable (5 CFR 1320.5(d)(2)(iv))</w:t>
      </w:r>
      <w:r w:rsidR="00D54DFD" w:rsidRPr="00FC7A36">
        <w:rPr>
          <w:sz w:val="24"/>
          <w:szCs w:val="24"/>
        </w:rPr>
        <w:t xml:space="preserve">. </w:t>
      </w:r>
    </w:p>
    <w:p w14:paraId="1B837E08" w14:textId="77777777" w:rsidR="00CA0FA0" w:rsidRPr="00FC7A36" w:rsidRDefault="00CA0FA0" w:rsidP="00FC7A36">
      <w:pPr>
        <w:spacing w:after="0"/>
        <w:rPr>
          <w:sz w:val="24"/>
          <w:szCs w:val="24"/>
        </w:rPr>
      </w:pPr>
    </w:p>
    <w:p w14:paraId="035331E1" w14:textId="54CA2B0B" w:rsidR="00EB3E6F" w:rsidRPr="00FC7A36" w:rsidRDefault="00EB3E6F" w:rsidP="00FC7A36">
      <w:pPr>
        <w:pStyle w:val="FERCparanumber"/>
        <w:spacing w:line="276" w:lineRule="auto"/>
        <w:rPr>
          <w:sz w:val="24"/>
        </w:rPr>
      </w:pPr>
      <w:r w:rsidRPr="00FC7A36">
        <w:rPr>
          <w:sz w:val="24"/>
        </w:rPr>
        <w:t>DESCRIBE EFFORT</w:t>
      </w:r>
      <w:r w:rsidRPr="00FC7A36">
        <w:rPr>
          <w:bCs/>
          <w:sz w:val="24"/>
        </w:rPr>
        <w:t>S</w:t>
      </w:r>
      <w:r w:rsidRPr="00FC7A36">
        <w:rPr>
          <w:sz w:val="24"/>
        </w:rPr>
        <w:t xml:space="preserve"> TO CONSULT OUTSIDE THE AGENCY: SUMMARIZE PUBLIC COMMENTS AND THE AGENCY’S RESPONSE</w:t>
      </w:r>
    </w:p>
    <w:p w14:paraId="035331E6" w14:textId="634DF719" w:rsidR="00EB3E6F" w:rsidRPr="00FC7A36" w:rsidRDefault="008155DC" w:rsidP="00FC7A36">
      <w:pPr>
        <w:rPr>
          <w:sz w:val="24"/>
          <w:szCs w:val="24"/>
        </w:rPr>
      </w:pPr>
      <w:r w:rsidRPr="00FC7A36">
        <w:rPr>
          <w:sz w:val="24"/>
          <w:szCs w:val="24"/>
        </w:rPr>
        <w:t>In accordance with OMB requirements, the Commission published a 60-day notice</w:t>
      </w:r>
      <w:r w:rsidRPr="00FC7A36">
        <w:rPr>
          <w:sz w:val="24"/>
          <w:szCs w:val="24"/>
          <w:vertAlign w:val="superscript"/>
        </w:rPr>
        <w:footnoteReference w:id="7"/>
      </w:r>
      <w:r w:rsidRPr="00FC7A36">
        <w:rPr>
          <w:sz w:val="24"/>
          <w:szCs w:val="24"/>
        </w:rPr>
        <w:t xml:space="preserve"> to the public regarding this information collection on </w:t>
      </w:r>
      <w:r w:rsidR="001F776B" w:rsidRPr="00FC7A36">
        <w:rPr>
          <w:sz w:val="24"/>
          <w:szCs w:val="24"/>
        </w:rPr>
        <w:t>6</w:t>
      </w:r>
      <w:r w:rsidRPr="00FC7A36">
        <w:rPr>
          <w:sz w:val="24"/>
          <w:szCs w:val="24"/>
        </w:rPr>
        <w:t>/</w:t>
      </w:r>
      <w:r w:rsidR="001F776B" w:rsidRPr="00FC7A36">
        <w:rPr>
          <w:sz w:val="24"/>
          <w:szCs w:val="24"/>
        </w:rPr>
        <w:t>27</w:t>
      </w:r>
      <w:r w:rsidRPr="00FC7A36">
        <w:rPr>
          <w:sz w:val="24"/>
          <w:szCs w:val="24"/>
        </w:rPr>
        <w:t>/201</w:t>
      </w:r>
      <w:r w:rsidR="001F776B" w:rsidRPr="00FC7A36">
        <w:rPr>
          <w:sz w:val="24"/>
          <w:szCs w:val="24"/>
        </w:rPr>
        <w:t>9</w:t>
      </w:r>
      <w:r w:rsidRPr="00FC7A36">
        <w:rPr>
          <w:sz w:val="24"/>
          <w:szCs w:val="24"/>
        </w:rPr>
        <w:t xml:space="preserve">. </w:t>
      </w:r>
      <w:r w:rsidR="00AB2B5C" w:rsidRPr="00FC7A36">
        <w:rPr>
          <w:sz w:val="24"/>
          <w:szCs w:val="24"/>
        </w:rPr>
        <w:t xml:space="preserve"> Additionally, the Commission issued a 30-day notice on 8/28/2019</w:t>
      </w:r>
      <w:r w:rsidR="00AB2B5C" w:rsidRPr="00FC7A36">
        <w:rPr>
          <w:rStyle w:val="FootnoteReference"/>
          <w:sz w:val="24"/>
          <w:szCs w:val="24"/>
        </w:rPr>
        <w:footnoteReference w:id="8"/>
      </w:r>
      <w:r w:rsidR="00AB2B5C" w:rsidRPr="00FC7A36">
        <w:rPr>
          <w:sz w:val="24"/>
          <w:szCs w:val="24"/>
        </w:rPr>
        <w:t>.</w:t>
      </w:r>
      <w:r w:rsidRPr="00FC7A36">
        <w:rPr>
          <w:sz w:val="24"/>
          <w:szCs w:val="24"/>
        </w:rPr>
        <w:t xml:space="preserve"> Within the public notices, the Commission noted that it would be requesting a three-year extension of the public reporting burden.  The Commission received no responses from the public regarding this information collection.</w:t>
      </w:r>
    </w:p>
    <w:p w14:paraId="035331E7" w14:textId="77777777" w:rsidR="00EB3E6F" w:rsidRPr="00FC7A36" w:rsidRDefault="00D80FBD" w:rsidP="00FC7A36">
      <w:pPr>
        <w:pStyle w:val="FERCparanumber"/>
        <w:spacing w:line="276" w:lineRule="auto"/>
        <w:rPr>
          <w:sz w:val="24"/>
        </w:rPr>
      </w:pPr>
      <w:r w:rsidRPr="00FC7A36">
        <w:rPr>
          <w:sz w:val="24"/>
        </w:rPr>
        <w:t>EXPLAIN ANY PAYMENT OR GIFTS TO RESPONDENTS</w:t>
      </w:r>
    </w:p>
    <w:p w14:paraId="035331E9" w14:textId="21F956CC" w:rsidR="00251161" w:rsidRPr="00FC7A36" w:rsidRDefault="00251161" w:rsidP="00FC7A36">
      <w:pPr>
        <w:rPr>
          <w:sz w:val="24"/>
          <w:szCs w:val="24"/>
        </w:rPr>
      </w:pPr>
      <w:r w:rsidRPr="00FC7A36">
        <w:rPr>
          <w:sz w:val="24"/>
          <w:szCs w:val="24"/>
        </w:rPr>
        <w:t>The Commission does not make payments or provide gifts to respondents related to</w:t>
      </w:r>
      <w:r w:rsidR="006E0D79" w:rsidRPr="00FC7A36">
        <w:rPr>
          <w:sz w:val="24"/>
          <w:szCs w:val="24"/>
        </w:rPr>
        <w:t xml:space="preserve"> FERC-</w:t>
      </w:r>
      <w:r w:rsidR="001C7F2B" w:rsidRPr="00FC7A36">
        <w:rPr>
          <w:sz w:val="24"/>
          <w:szCs w:val="24"/>
        </w:rPr>
        <w:t>555</w:t>
      </w:r>
      <w:r w:rsidR="00C40F36" w:rsidRPr="00FC7A36">
        <w:rPr>
          <w:sz w:val="24"/>
          <w:szCs w:val="24"/>
        </w:rPr>
        <w:t>.</w:t>
      </w:r>
      <w:r w:rsidR="006E0D79" w:rsidRPr="00FC7A36">
        <w:rPr>
          <w:sz w:val="24"/>
          <w:szCs w:val="24"/>
        </w:rPr>
        <w:t xml:space="preserve"> </w:t>
      </w:r>
    </w:p>
    <w:p w14:paraId="035331EA" w14:textId="77777777" w:rsidR="00D80FBD" w:rsidRPr="00FC7A36" w:rsidRDefault="00D80FBD" w:rsidP="00FC7A36">
      <w:pPr>
        <w:pStyle w:val="FERCparanumber"/>
        <w:spacing w:line="276" w:lineRule="auto"/>
        <w:rPr>
          <w:sz w:val="24"/>
        </w:rPr>
      </w:pPr>
      <w:r w:rsidRPr="00FC7A36">
        <w:rPr>
          <w:sz w:val="24"/>
        </w:rPr>
        <w:t>DESCRIBE ANY ASSURANCE OF CONFIDENTIALITY PROVIDED TO RESPONDENTS</w:t>
      </w:r>
    </w:p>
    <w:p w14:paraId="7A1EE2E8" w14:textId="15A37145" w:rsidR="00E758ED" w:rsidRPr="00FC7A36" w:rsidRDefault="001C7F2B" w:rsidP="00FC7A36">
      <w:pPr>
        <w:spacing w:after="0"/>
        <w:rPr>
          <w:sz w:val="24"/>
          <w:szCs w:val="24"/>
        </w:rPr>
      </w:pPr>
      <w:r w:rsidRPr="00FC7A36">
        <w:rPr>
          <w:sz w:val="24"/>
          <w:szCs w:val="24"/>
        </w:rPr>
        <w:t>Not applicable.  None of these data associated with the FERC-555 are filed at or to the Commission</w:t>
      </w:r>
      <w:r w:rsidR="00A7548D" w:rsidRPr="00FC7A36">
        <w:rPr>
          <w:sz w:val="24"/>
          <w:szCs w:val="24"/>
        </w:rPr>
        <w:t>.</w:t>
      </w:r>
      <w:r w:rsidRPr="00FC7A36">
        <w:rPr>
          <w:sz w:val="24"/>
          <w:szCs w:val="24"/>
        </w:rPr>
        <w:t xml:space="preserve"> These records are maintained by the jurisdictional companies in/on their own facilities.  As such, the Commission offers no assurance of confidentiality and leaves that responsibility to each jurisdictional company.</w:t>
      </w:r>
    </w:p>
    <w:p w14:paraId="1BEF2A7D" w14:textId="413EDC23" w:rsidR="00E758ED" w:rsidRPr="00FC7A36" w:rsidRDefault="00E758ED" w:rsidP="00FC7A36">
      <w:pPr>
        <w:spacing w:after="0"/>
        <w:rPr>
          <w:sz w:val="24"/>
          <w:szCs w:val="24"/>
          <w:vertAlign w:val="superscript"/>
        </w:rPr>
      </w:pPr>
    </w:p>
    <w:p w14:paraId="035331ED" w14:textId="413DC69E" w:rsidR="00263AAD" w:rsidRPr="00FC7A36" w:rsidRDefault="00263AAD" w:rsidP="00FC7A36">
      <w:pPr>
        <w:pStyle w:val="FERCparanumber"/>
        <w:spacing w:line="276" w:lineRule="auto"/>
        <w:rPr>
          <w:sz w:val="24"/>
        </w:rPr>
      </w:pPr>
      <w:r w:rsidRPr="00FC7A36">
        <w:rPr>
          <w:sz w:val="24"/>
        </w:rPr>
        <w:t>PROVIDE ADDITIONAL JUSTIFICATION FOR ANY QUESTIONS OF A SENSITIVE NATURE, SUCH AS SEXUAL BEHAVIOR AND ATTITUDES, RELIGIOUS BELIEFS, AND OTHER MATTERS THAT ARE COMMONLY CONSIDERED PRIVATE.</w:t>
      </w:r>
    </w:p>
    <w:p w14:paraId="035331EF" w14:textId="717B1AE7" w:rsidR="006055FC" w:rsidRPr="00FC7A36" w:rsidRDefault="006055FC" w:rsidP="00FC7A36">
      <w:pPr>
        <w:spacing w:after="0"/>
        <w:rPr>
          <w:sz w:val="24"/>
          <w:szCs w:val="24"/>
        </w:rPr>
      </w:pPr>
      <w:r w:rsidRPr="00FC7A36">
        <w:rPr>
          <w:sz w:val="24"/>
          <w:szCs w:val="24"/>
        </w:rPr>
        <w:t>There are no questions of a sensitive nature that are considered private</w:t>
      </w:r>
      <w:r w:rsidR="00E9555B" w:rsidRPr="00FC7A36">
        <w:rPr>
          <w:sz w:val="24"/>
          <w:szCs w:val="24"/>
        </w:rPr>
        <w:t xml:space="preserve"> in FERC</w:t>
      </w:r>
      <w:r w:rsidR="001C7F2B" w:rsidRPr="00FC7A36">
        <w:rPr>
          <w:sz w:val="24"/>
          <w:szCs w:val="24"/>
        </w:rPr>
        <w:t>-555</w:t>
      </w:r>
      <w:r w:rsidR="00F02FEB" w:rsidRPr="00FC7A36">
        <w:rPr>
          <w:sz w:val="24"/>
          <w:szCs w:val="24"/>
        </w:rPr>
        <w:t>.</w:t>
      </w:r>
    </w:p>
    <w:p w14:paraId="035331F0" w14:textId="77777777" w:rsidR="005B09C3" w:rsidRPr="00FC7A36" w:rsidRDefault="005B09C3" w:rsidP="00FC7A36">
      <w:pPr>
        <w:spacing w:after="0"/>
        <w:rPr>
          <w:sz w:val="24"/>
          <w:szCs w:val="24"/>
        </w:rPr>
      </w:pPr>
    </w:p>
    <w:p w14:paraId="16BED3EF" w14:textId="76C00353" w:rsidR="001C7F2B" w:rsidRPr="00FC7A36" w:rsidRDefault="00D80FBD" w:rsidP="00FC7A36">
      <w:pPr>
        <w:pStyle w:val="FERCparanumber"/>
        <w:spacing w:line="276" w:lineRule="auto"/>
        <w:rPr>
          <w:sz w:val="24"/>
        </w:rPr>
      </w:pPr>
      <w:r w:rsidRPr="00FC7A36">
        <w:rPr>
          <w:sz w:val="24"/>
        </w:rPr>
        <w:t>ESTIMATED BURDEN OF COLLECTION OF INFORMATION</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947"/>
        <w:gridCol w:w="2211"/>
        <w:gridCol w:w="2305"/>
        <w:gridCol w:w="2396"/>
      </w:tblGrid>
      <w:tr w:rsidR="001C7F2B" w:rsidRPr="008B45EB" w14:paraId="09D6574A" w14:textId="77777777" w:rsidTr="00551CB4">
        <w:trPr>
          <w:cantSplit/>
        </w:trPr>
        <w:tc>
          <w:tcPr>
            <w:tcW w:w="5000" w:type="pct"/>
            <w:gridSpan w:val="5"/>
            <w:tcBorders>
              <w:bottom w:val="single" w:sz="4" w:space="0" w:color="auto"/>
            </w:tcBorders>
            <w:shd w:val="clear" w:color="auto" w:fill="D9D9D9"/>
          </w:tcPr>
          <w:p w14:paraId="4FDDC4DE" w14:textId="77777777" w:rsidR="001C7F2B" w:rsidRPr="008B45EB" w:rsidRDefault="001C7F2B" w:rsidP="00FC7A36">
            <w:pPr>
              <w:spacing w:after="0"/>
              <w:jc w:val="center"/>
              <w:rPr>
                <w:rFonts w:eastAsia="Calibri"/>
                <w:b/>
                <w:sz w:val="20"/>
                <w:szCs w:val="20"/>
              </w:rPr>
            </w:pPr>
            <w:r w:rsidRPr="008B45EB">
              <w:rPr>
                <w:rFonts w:eastAsia="Calibri"/>
                <w:b/>
                <w:sz w:val="20"/>
                <w:szCs w:val="20"/>
              </w:rPr>
              <w:t>FERC-555: Preservation of Records for Public Utilities and License, Natural Gas and Oil Pipeline Companies</w:t>
            </w:r>
          </w:p>
        </w:tc>
      </w:tr>
      <w:tr w:rsidR="001C7F2B" w:rsidRPr="008B45EB" w14:paraId="32920B7A" w14:textId="77777777" w:rsidTr="00551CB4">
        <w:trPr>
          <w:cantSplit/>
        </w:trPr>
        <w:tc>
          <w:tcPr>
            <w:tcW w:w="737" w:type="pct"/>
            <w:shd w:val="clear" w:color="auto" w:fill="D9D9D9"/>
            <w:vAlign w:val="bottom"/>
          </w:tcPr>
          <w:p w14:paraId="7EDF5D30" w14:textId="77777777" w:rsidR="001C7F2B" w:rsidRPr="008B45EB" w:rsidRDefault="001C7F2B" w:rsidP="00FC7A36">
            <w:pPr>
              <w:spacing w:after="0"/>
              <w:jc w:val="center"/>
              <w:rPr>
                <w:rFonts w:eastAsia="Calibri"/>
                <w:b/>
                <w:sz w:val="20"/>
                <w:szCs w:val="20"/>
              </w:rPr>
            </w:pPr>
            <w:r w:rsidRPr="008B45EB">
              <w:rPr>
                <w:rFonts w:eastAsia="Calibri"/>
                <w:b/>
                <w:sz w:val="20"/>
                <w:szCs w:val="20"/>
              </w:rPr>
              <w:t>Number of Respondents</w:t>
            </w:r>
            <w:r w:rsidRPr="008B45EB">
              <w:rPr>
                <w:rFonts w:eastAsia="Calibri"/>
                <w:b/>
                <w:sz w:val="20"/>
                <w:szCs w:val="20"/>
              </w:rPr>
              <w:br/>
              <w:t>(1)</w:t>
            </w:r>
          </w:p>
        </w:tc>
        <w:tc>
          <w:tcPr>
            <w:tcW w:w="937" w:type="pct"/>
            <w:shd w:val="clear" w:color="auto" w:fill="D9D9D9"/>
            <w:vAlign w:val="bottom"/>
          </w:tcPr>
          <w:p w14:paraId="5A06FA30" w14:textId="77777777" w:rsidR="001C7F2B" w:rsidRPr="008B45EB" w:rsidRDefault="001C7F2B" w:rsidP="00FC7A36">
            <w:pPr>
              <w:spacing w:after="0"/>
              <w:jc w:val="center"/>
              <w:rPr>
                <w:rFonts w:eastAsia="Calibri"/>
                <w:b/>
                <w:sz w:val="20"/>
                <w:szCs w:val="20"/>
              </w:rPr>
            </w:pPr>
            <w:r w:rsidRPr="008B45EB">
              <w:rPr>
                <w:rFonts w:eastAsia="Calibri"/>
                <w:b/>
                <w:sz w:val="20"/>
                <w:szCs w:val="20"/>
              </w:rPr>
              <w:t>Annual Number of Responses per Respondent</w:t>
            </w:r>
          </w:p>
          <w:p w14:paraId="58B8F81A" w14:textId="77777777" w:rsidR="001C7F2B" w:rsidRPr="008B45EB" w:rsidRDefault="001C7F2B" w:rsidP="00FC7A36">
            <w:pPr>
              <w:spacing w:after="0"/>
              <w:jc w:val="center"/>
              <w:rPr>
                <w:rFonts w:eastAsia="Calibri"/>
                <w:b/>
                <w:sz w:val="20"/>
                <w:szCs w:val="20"/>
              </w:rPr>
            </w:pPr>
            <w:r w:rsidRPr="008B45EB">
              <w:rPr>
                <w:rFonts w:eastAsia="Calibri"/>
                <w:b/>
                <w:sz w:val="20"/>
                <w:szCs w:val="20"/>
              </w:rPr>
              <w:t>(2)</w:t>
            </w:r>
          </w:p>
        </w:tc>
        <w:tc>
          <w:tcPr>
            <w:tcW w:w="1064" w:type="pct"/>
            <w:shd w:val="clear" w:color="auto" w:fill="D9D9D9"/>
            <w:vAlign w:val="bottom"/>
          </w:tcPr>
          <w:p w14:paraId="0059CF76" w14:textId="77777777" w:rsidR="005722EB" w:rsidRDefault="001C7F2B" w:rsidP="00FC7A36">
            <w:pPr>
              <w:spacing w:after="0"/>
              <w:jc w:val="center"/>
              <w:rPr>
                <w:rFonts w:eastAsia="Calibri"/>
                <w:b/>
                <w:sz w:val="20"/>
                <w:szCs w:val="20"/>
              </w:rPr>
            </w:pPr>
            <w:r w:rsidRPr="008B45EB">
              <w:rPr>
                <w:rFonts w:eastAsia="Calibri"/>
                <w:b/>
                <w:sz w:val="20"/>
                <w:szCs w:val="20"/>
              </w:rPr>
              <w:t xml:space="preserve">Total Number of Responses </w:t>
            </w:r>
          </w:p>
          <w:p w14:paraId="4B12D02A" w14:textId="5AA829D6" w:rsidR="001C7F2B" w:rsidRPr="008B45EB" w:rsidRDefault="001C7F2B" w:rsidP="00FC7A36">
            <w:pPr>
              <w:spacing w:after="0"/>
              <w:jc w:val="center"/>
              <w:rPr>
                <w:rFonts w:eastAsia="Calibri"/>
                <w:b/>
                <w:sz w:val="20"/>
                <w:szCs w:val="20"/>
              </w:rPr>
            </w:pPr>
            <w:r w:rsidRPr="008B45EB">
              <w:rPr>
                <w:rFonts w:eastAsia="Calibri"/>
                <w:b/>
                <w:sz w:val="20"/>
                <w:szCs w:val="20"/>
              </w:rPr>
              <w:t>(1)*(2)=(3)</w:t>
            </w:r>
          </w:p>
        </w:tc>
        <w:tc>
          <w:tcPr>
            <w:tcW w:w="1109" w:type="pct"/>
            <w:shd w:val="clear" w:color="auto" w:fill="D9D9D9"/>
            <w:vAlign w:val="bottom"/>
          </w:tcPr>
          <w:p w14:paraId="2BC8C97B" w14:textId="3E70B645" w:rsidR="001C7F2B" w:rsidRPr="008B45EB" w:rsidRDefault="001C7F2B" w:rsidP="00FC7A36">
            <w:pPr>
              <w:spacing w:after="0"/>
              <w:jc w:val="center"/>
              <w:rPr>
                <w:rFonts w:eastAsia="Calibri"/>
                <w:b/>
                <w:sz w:val="20"/>
                <w:szCs w:val="20"/>
              </w:rPr>
            </w:pPr>
            <w:r w:rsidRPr="008B45EB">
              <w:rPr>
                <w:rFonts w:eastAsia="Calibri"/>
                <w:b/>
                <w:sz w:val="20"/>
                <w:szCs w:val="20"/>
              </w:rPr>
              <w:t xml:space="preserve">Average Burden Hrs. &amp; Cost </w:t>
            </w:r>
            <w:r w:rsidR="005722EB">
              <w:rPr>
                <w:rFonts w:eastAsia="Calibri"/>
                <w:b/>
                <w:sz w:val="20"/>
                <w:szCs w:val="20"/>
              </w:rPr>
              <w:t xml:space="preserve">($) </w:t>
            </w:r>
            <w:r w:rsidRPr="008B45EB">
              <w:rPr>
                <w:rFonts w:eastAsia="Calibri"/>
                <w:b/>
                <w:sz w:val="20"/>
                <w:szCs w:val="20"/>
              </w:rPr>
              <w:t>Per Response</w:t>
            </w:r>
            <w:r w:rsidRPr="008B45EB">
              <w:rPr>
                <w:rFonts w:eastAsia="Calibri"/>
                <w:b/>
                <w:sz w:val="20"/>
                <w:szCs w:val="20"/>
                <w:vertAlign w:val="superscript"/>
              </w:rPr>
              <w:footnoteReference w:id="9"/>
            </w:r>
          </w:p>
          <w:p w14:paraId="50E62E94" w14:textId="77777777" w:rsidR="001C7F2B" w:rsidRPr="008B45EB" w:rsidRDefault="001C7F2B" w:rsidP="00FC7A36">
            <w:pPr>
              <w:spacing w:after="0"/>
              <w:jc w:val="center"/>
              <w:rPr>
                <w:rFonts w:eastAsia="Calibri"/>
                <w:b/>
                <w:sz w:val="20"/>
                <w:szCs w:val="20"/>
              </w:rPr>
            </w:pPr>
            <w:r w:rsidRPr="008B45EB">
              <w:rPr>
                <w:rFonts w:eastAsia="Calibri"/>
                <w:b/>
                <w:sz w:val="20"/>
                <w:szCs w:val="20"/>
              </w:rPr>
              <w:t>(4)</w:t>
            </w:r>
          </w:p>
        </w:tc>
        <w:tc>
          <w:tcPr>
            <w:tcW w:w="1153" w:type="pct"/>
            <w:shd w:val="clear" w:color="auto" w:fill="D9D9D9"/>
            <w:vAlign w:val="bottom"/>
          </w:tcPr>
          <w:p w14:paraId="2995B4C4" w14:textId="3DA3BF7E" w:rsidR="001C7F2B" w:rsidRPr="008B45EB" w:rsidRDefault="001C7F2B" w:rsidP="00FC7A36">
            <w:pPr>
              <w:spacing w:after="0"/>
              <w:jc w:val="center"/>
              <w:rPr>
                <w:rFonts w:eastAsia="Calibri"/>
                <w:b/>
                <w:sz w:val="20"/>
                <w:szCs w:val="20"/>
              </w:rPr>
            </w:pPr>
            <w:r w:rsidRPr="008B45EB">
              <w:rPr>
                <w:rFonts w:eastAsia="Calibri"/>
                <w:b/>
                <w:sz w:val="20"/>
                <w:szCs w:val="20"/>
              </w:rPr>
              <w:t>Total Annual Burden Hours &amp; Total Annual Cost</w:t>
            </w:r>
            <w:r w:rsidR="005722EB">
              <w:rPr>
                <w:rFonts w:eastAsia="Calibri"/>
                <w:b/>
                <w:sz w:val="20"/>
                <w:szCs w:val="20"/>
              </w:rPr>
              <w:t xml:space="preserve"> ($)</w:t>
            </w:r>
          </w:p>
          <w:p w14:paraId="6F44843D" w14:textId="77777777" w:rsidR="001C7F2B" w:rsidRPr="008B45EB" w:rsidRDefault="001C7F2B" w:rsidP="00FC7A36">
            <w:pPr>
              <w:spacing w:after="0"/>
              <w:jc w:val="center"/>
              <w:rPr>
                <w:rFonts w:eastAsia="Calibri"/>
                <w:b/>
                <w:sz w:val="20"/>
                <w:szCs w:val="20"/>
              </w:rPr>
            </w:pPr>
            <w:r w:rsidRPr="008B45EB">
              <w:rPr>
                <w:rFonts w:eastAsia="Calibri"/>
                <w:b/>
                <w:sz w:val="20"/>
                <w:szCs w:val="20"/>
              </w:rPr>
              <w:t>(3)*(4)=(5)</w:t>
            </w:r>
          </w:p>
        </w:tc>
      </w:tr>
      <w:tr w:rsidR="001C7F2B" w:rsidRPr="008B45EB" w14:paraId="2874D69C" w14:textId="77777777" w:rsidTr="00551CB4">
        <w:trPr>
          <w:cantSplit/>
        </w:trPr>
        <w:tc>
          <w:tcPr>
            <w:tcW w:w="737" w:type="pct"/>
          </w:tcPr>
          <w:p w14:paraId="27CF0FC7" w14:textId="77777777" w:rsidR="001C7F2B" w:rsidRPr="008B45EB" w:rsidRDefault="001C7F2B" w:rsidP="00FC7A36">
            <w:pPr>
              <w:spacing w:after="0"/>
              <w:jc w:val="right"/>
              <w:rPr>
                <w:rFonts w:eastAsia="Calibri"/>
                <w:sz w:val="20"/>
                <w:szCs w:val="20"/>
              </w:rPr>
            </w:pPr>
            <w:r w:rsidRPr="008B45EB">
              <w:rPr>
                <w:rFonts w:eastAsia="Calibri"/>
                <w:sz w:val="20"/>
                <w:szCs w:val="20"/>
              </w:rPr>
              <w:t>509</w:t>
            </w:r>
          </w:p>
        </w:tc>
        <w:tc>
          <w:tcPr>
            <w:tcW w:w="937" w:type="pct"/>
          </w:tcPr>
          <w:p w14:paraId="4D9D1192" w14:textId="77777777" w:rsidR="001C7F2B" w:rsidRPr="008B45EB" w:rsidRDefault="001C7F2B" w:rsidP="00FC7A36">
            <w:pPr>
              <w:spacing w:after="0"/>
              <w:jc w:val="right"/>
              <w:rPr>
                <w:rFonts w:eastAsia="Calibri"/>
                <w:sz w:val="20"/>
                <w:szCs w:val="20"/>
              </w:rPr>
            </w:pPr>
            <w:r w:rsidRPr="008B45EB">
              <w:rPr>
                <w:rFonts w:eastAsia="Calibri"/>
                <w:sz w:val="20"/>
                <w:szCs w:val="20"/>
              </w:rPr>
              <w:t>1</w:t>
            </w:r>
          </w:p>
        </w:tc>
        <w:tc>
          <w:tcPr>
            <w:tcW w:w="1064" w:type="pct"/>
          </w:tcPr>
          <w:p w14:paraId="1DB7E46F" w14:textId="77777777" w:rsidR="001C7F2B" w:rsidRPr="008B45EB" w:rsidRDefault="001C7F2B" w:rsidP="00FC7A36">
            <w:pPr>
              <w:spacing w:after="0"/>
              <w:jc w:val="right"/>
              <w:rPr>
                <w:rFonts w:eastAsia="Calibri"/>
                <w:sz w:val="20"/>
                <w:szCs w:val="20"/>
              </w:rPr>
            </w:pPr>
            <w:r w:rsidRPr="008B45EB">
              <w:rPr>
                <w:rFonts w:eastAsia="Calibri"/>
                <w:sz w:val="20"/>
                <w:szCs w:val="20"/>
              </w:rPr>
              <w:t>509</w:t>
            </w:r>
          </w:p>
        </w:tc>
        <w:tc>
          <w:tcPr>
            <w:tcW w:w="1109" w:type="pct"/>
          </w:tcPr>
          <w:p w14:paraId="32C33A5C" w14:textId="77777777" w:rsidR="001C7F2B" w:rsidRPr="008B45EB" w:rsidRDefault="001C7F2B" w:rsidP="00FC7A36">
            <w:pPr>
              <w:spacing w:after="0"/>
              <w:jc w:val="right"/>
              <w:rPr>
                <w:rFonts w:eastAsia="Calibri"/>
                <w:sz w:val="20"/>
                <w:szCs w:val="20"/>
              </w:rPr>
            </w:pPr>
            <w:r w:rsidRPr="008B45EB">
              <w:rPr>
                <w:rFonts w:eastAsia="Calibri"/>
                <w:sz w:val="20"/>
                <w:szCs w:val="20"/>
              </w:rPr>
              <w:t>5,218.14 hrs.;</w:t>
            </w:r>
          </w:p>
          <w:p w14:paraId="06A2B291" w14:textId="77777777" w:rsidR="001C7F2B" w:rsidRPr="008B45EB" w:rsidRDefault="001C7F2B" w:rsidP="00FC7A36">
            <w:pPr>
              <w:spacing w:after="0"/>
              <w:jc w:val="right"/>
              <w:rPr>
                <w:rFonts w:eastAsia="Calibri"/>
                <w:sz w:val="20"/>
                <w:szCs w:val="20"/>
              </w:rPr>
            </w:pPr>
            <w:r w:rsidRPr="008B45EB">
              <w:rPr>
                <w:rFonts w:eastAsia="Calibri"/>
                <w:sz w:val="20"/>
                <w:szCs w:val="20"/>
              </w:rPr>
              <w:t>$417,451</w:t>
            </w:r>
          </w:p>
        </w:tc>
        <w:tc>
          <w:tcPr>
            <w:tcW w:w="1153" w:type="pct"/>
          </w:tcPr>
          <w:p w14:paraId="2AA921AB" w14:textId="77777777" w:rsidR="001C7F2B" w:rsidRPr="008B45EB" w:rsidRDefault="001C7F2B" w:rsidP="00FC7A36">
            <w:pPr>
              <w:spacing w:after="0"/>
              <w:jc w:val="right"/>
              <w:rPr>
                <w:rFonts w:eastAsia="Calibri"/>
                <w:sz w:val="20"/>
                <w:szCs w:val="20"/>
              </w:rPr>
            </w:pPr>
            <w:bookmarkStart w:id="1" w:name="_Hlk25064381"/>
            <w:r w:rsidRPr="008B45EB">
              <w:rPr>
                <w:rFonts w:eastAsia="Calibri"/>
                <w:sz w:val="20"/>
                <w:szCs w:val="20"/>
              </w:rPr>
              <w:t>2,656,034 hrs</w:t>
            </w:r>
            <w:bookmarkEnd w:id="1"/>
            <w:r w:rsidRPr="008B45EB">
              <w:rPr>
                <w:rFonts w:eastAsia="Calibri"/>
                <w:sz w:val="20"/>
                <w:szCs w:val="20"/>
              </w:rPr>
              <w:t>.;</w:t>
            </w:r>
          </w:p>
          <w:p w14:paraId="357D716B" w14:textId="77777777" w:rsidR="001C7F2B" w:rsidRPr="008B45EB" w:rsidRDefault="001C7F2B" w:rsidP="00FC7A36">
            <w:pPr>
              <w:spacing w:after="0"/>
              <w:jc w:val="right"/>
              <w:rPr>
                <w:rFonts w:eastAsia="Calibri"/>
                <w:sz w:val="20"/>
                <w:szCs w:val="20"/>
              </w:rPr>
            </w:pPr>
            <w:r w:rsidRPr="008B45EB">
              <w:rPr>
                <w:rFonts w:eastAsia="Calibri"/>
                <w:sz w:val="20"/>
                <w:szCs w:val="20"/>
              </w:rPr>
              <w:t>$212,482,720</w:t>
            </w:r>
          </w:p>
        </w:tc>
      </w:tr>
    </w:tbl>
    <w:p w14:paraId="5DC20E6A" w14:textId="5DB3583B" w:rsidR="001C7F2B" w:rsidRPr="00FC7A36" w:rsidRDefault="001C7F2B" w:rsidP="00FC7A36">
      <w:pPr>
        <w:spacing w:after="0"/>
        <w:rPr>
          <w:sz w:val="24"/>
          <w:szCs w:val="24"/>
        </w:rPr>
      </w:pPr>
    </w:p>
    <w:p w14:paraId="0AE2E32F" w14:textId="77777777" w:rsidR="00FC7A36" w:rsidRPr="00FC7A36" w:rsidRDefault="00FE53C7" w:rsidP="00FC7A36">
      <w:pPr>
        <w:spacing w:after="0"/>
        <w:rPr>
          <w:rFonts w:eastAsia="Times New Roman"/>
          <w:sz w:val="24"/>
          <w:szCs w:val="24"/>
        </w:rPr>
      </w:pPr>
      <w:r w:rsidRPr="00FC7A36">
        <w:rPr>
          <w:rFonts w:eastAsia="Times New Roman"/>
          <w:sz w:val="24"/>
          <w:szCs w:val="24"/>
          <w:u w:val="single"/>
        </w:rPr>
        <w:t>Additional Background</w:t>
      </w:r>
      <w:r w:rsidR="00FC7A36" w:rsidRPr="00FC7A36">
        <w:rPr>
          <w:rFonts w:eastAsia="Times New Roman"/>
          <w:sz w:val="24"/>
          <w:szCs w:val="24"/>
          <w:u w:val="single"/>
        </w:rPr>
        <w:t>:</w:t>
      </w:r>
      <w:r w:rsidRPr="00FC7A36">
        <w:rPr>
          <w:rFonts w:eastAsia="Times New Roman"/>
          <w:sz w:val="24"/>
          <w:szCs w:val="24"/>
        </w:rPr>
        <w:t xml:space="preserve">  </w:t>
      </w:r>
    </w:p>
    <w:p w14:paraId="708C925B" w14:textId="42D8C530" w:rsidR="00FE53C7" w:rsidRPr="00FC7A36" w:rsidRDefault="00FE53C7" w:rsidP="00FC7A36">
      <w:pPr>
        <w:spacing w:after="0"/>
        <w:rPr>
          <w:rFonts w:eastAsia="Times New Roman"/>
          <w:sz w:val="24"/>
          <w:szCs w:val="24"/>
        </w:rPr>
      </w:pPr>
      <w:r w:rsidRPr="00FC7A36">
        <w:rPr>
          <w:rFonts w:eastAsia="Times New Roman"/>
          <w:sz w:val="24"/>
          <w:szCs w:val="24"/>
        </w:rPr>
        <w:t xml:space="preserve">Based on the data submitted by jurisdictional filers, we provide more detail regarding how we generated burden and </w:t>
      </w:r>
      <w:r w:rsidR="002E3060">
        <w:rPr>
          <w:rFonts w:eastAsia="Times New Roman"/>
          <w:sz w:val="24"/>
          <w:szCs w:val="24"/>
        </w:rPr>
        <w:t xml:space="preserve">(burden and non-burden) </w:t>
      </w:r>
      <w:r w:rsidRPr="00FC7A36">
        <w:rPr>
          <w:rFonts w:eastAsia="Times New Roman"/>
          <w:sz w:val="24"/>
          <w:szCs w:val="24"/>
        </w:rPr>
        <w:t>cost estimates.  Commission staff divided the entities into three size categories based on annual revenue reported on FERC’s financial forms (Form 1, Form 2/2A and Form 6).</w:t>
      </w:r>
      <w:r w:rsidRPr="00FC7A36">
        <w:rPr>
          <w:rFonts w:eastAsia="Times New Roman"/>
          <w:sz w:val="24"/>
          <w:szCs w:val="24"/>
          <w:vertAlign w:val="superscript"/>
        </w:rPr>
        <w:footnoteReference w:id="10"/>
      </w:r>
      <w:r w:rsidRPr="00FC7A36">
        <w:rPr>
          <w:rFonts w:eastAsia="Times New Roman"/>
          <w:sz w:val="24"/>
          <w:szCs w:val="24"/>
        </w:rPr>
        <w:t xml:space="preserve">  As indicated in the appendix, Commission staff only received useful responses from five entities: three large, one medium, and one small. Because of this very limited data, it should not be inferred that the average burden and cost indicated for each entity size are representative of the burden for all entities in that size category and industry.  </w:t>
      </w:r>
      <w:r w:rsidR="002748E7" w:rsidRPr="00FC7A36">
        <w:rPr>
          <w:rFonts w:eastAsia="Times New Roman"/>
          <w:sz w:val="24"/>
          <w:szCs w:val="24"/>
        </w:rPr>
        <w:t>Commission staff</w:t>
      </w:r>
      <w:r w:rsidRPr="00FC7A36">
        <w:rPr>
          <w:rFonts w:eastAsia="Times New Roman"/>
          <w:sz w:val="24"/>
          <w:szCs w:val="24"/>
        </w:rPr>
        <w:t xml:space="preserve"> performed th</w:t>
      </w:r>
      <w:r w:rsidR="002748E7" w:rsidRPr="00FC7A36">
        <w:rPr>
          <w:rFonts w:eastAsia="Times New Roman"/>
          <w:sz w:val="24"/>
          <w:szCs w:val="24"/>
        </w:rPr>
        <w:t>is</w:t>
      </w:r>
      <w:r w:rsidRPr="00FC7A36">
        <w:rPr>
          <w:rFonts w:eastAsia="Times New Roman"/>
          <w:sz w:val="24"/>
          <w:szCs w:val="24"/>
        </w:rPr>
        <w:t xml:space="preserve"> analysis in order to come up with a better average to apply across all the industries.  </w:t>
      </w:r>
      <w:r w:rsidR="002748E7" w:rsidRPr="00FC7A36">
        <w:rPr>
          <w:rFonts w:eastAsia="Times New Roman"/>
          <w:sz w:val="24"/>
          <w:szCs w:val="24"/>
        </w:rPr>
        <w:t xml:space="preserve">Interested parties should note </w:t>
      </w:r>
      <w:r w:rsidRPr="00FC7A36">
        <w:rPr>
          <w:rFonts w:eastAsia="Times New Roman"/>
          <w:sz w:val="24"/>
          <w:szCs w:val="24"/>
        </w:rPr>
        <w:t>that it is difficult to compare across industries based on entity size.</w:t>
      </w:r>
    </w:p>
    <w:p w14:paraId="1890FF6E" w14:textId="77777777" w:rsidR="00FC7A36" w:rsidRPr="00FC7A36" w:rsidRDefault="00FC7A36" w:rsidP="00FC7A36">
      <w:pPr>
        <w:spacing w:after="0"/>
        <w:rPr>
          <w:rFonts w:eastAsia="Times New Roman"/>
          <w:sz w:val="24"/>
          <w:szCs w:val="24"/>
        </w:rPr>
      </w:pPr>
    </w:p>
    <w:p w14:paraId="5BD7A970" w14:textId="5853FF7B" w:rsidR="00FE53C7" w:rsidRPr="00FC7A36" w:rsidRDefault="00FE53C7" w:rsidP="00FC7A36">
      <w:pPr>
        <w:spacing w:after="0"/>
        <w:rPr>
          <w:rFonts w:eastAsia="Times New Roman"/>
          <w:sz w:val="24"/>
          <w:szCs w:val="24"/>
        </w:rPr>
      </w:pPr>
      <w:r w:rsidRPr="00FC7A36">
        <w:rPr>
          <w:rFonts w:eastAsia="Times New Roman"/>
          <w:sz w:val="24"/>
          <w:szCs w:val="24"/>
        </w:rPr>
        <w:t>The first table shows the estimated size categories by industry, and the second table shows the burden and cost based on size (combining the 3 industries</w:t>
      </w:r>
      <w:r w:rsidR="002748E7" w:rsidRPr="00FC7A36">
        <w:rPr>
          <w:rFonts w:eastAsia="Times New Roman"/>
          <w:sz w:val="24"/>
          <w:szCs w:val="24"/>
        </w:rPr>
        <w:t xml:space="preserve"> in each size category</w:t>
      </w:r>
      <w:r w:rsidRPr="00FC7A36">
        <w:rPr>
          <w:rFonts w:eastAsia="Times New Roman"/>
          <w:sz w:val="24"/>
          <w:szCs w:val="24"/>
        </w:rPr>
        <w:t xml:space="preserve">).  </w:t>
      </w:r>
    </w:p>
    <w:p w14:paraId="297D0812" w14:textId="77777777" w:rsidR="00FC7A36" w:rsidRPr="00FC7A36" w:rsidRDefault="00FC7A36" w:rsidP="00FC7A36">
      <w:pPr>
        <w:spacing w:after="0"/>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766"/>
      </w:tblGrid>
      <w:tr w:rsidR="00FE53C7" w:rsidRPr="00FC7A36" w14:paraId="6AC4FBB7" w14:textId="77777777" w:rsidTr="00551CB4">
        <w:tc>
          <w:tcPr>
            <w:tcW w:w="5148" w:type="dxa"/>
            <w:shd w:val="clear" w:color="auto" w:fill="auto"/>
          </w:tcPr>
          <w:p w14:paraId="7B8C1B9B" w14:textId="77777777" w:rsidR="00FE53C7" w:rsidRPr="00FC7A36" w:rsidRDefault="00FE53C7" w:rsidP="00FC7A36">
            <w:pPr>
              <w:spacing w:after="0"/>
              <w:rPr>
                <w:rFonts w:eastAsia="Times New Roman"/>
                <w:sz w:val="24"/>
                <w:szCs w:val="24"/>
              </w:rPr>
            </w:pPr>
            <w:r w:rsidRPr="00FC7A36">
              <w:rPr>
                <w:rFonts w:eastAsia="Times New Roman"/>
                <w:sz w:val="24"/>
                <w:szCs w:val="24"/>
              </w:rPr>
              <w:t>Industry and Size Classification</w:t>
            </w:r>
          </w:p>
        </w:tc>
        <w:tc>
          <w:tcPr>
            <w:tcW w:w="5148" w:type="dxa"/>
            <w:shd w:val="clear" w:color="auto" w:fill="auto"/>
          </w:tcPr>
          <w:p w14:paraId="490BF50E" w14:textId="77777777" w:rsidR="00FE53C7" w:rsidRPr="00FC7A36" w:rsidRDefault="00FE53C7" w:rsidP="00FC7A36">
            <w:pPr>
              <w:spacing w:after="0"/>
              <w:rPr>
                <w:rFonts w:eastAsia="Times New Roman"/>
                <w:sz w:val="24"/>
                <w:szCs w:val="24"/>
              </w:rPr>
            </w:pPr>
            <w:r w:rsidRPr="00FC7A36">
              <w:rPr>
                <w:rFonts w:eastAsia="Times New Roman"/>
                <w:sz w:val="24"/>
                <w:szCs w:val="24"/>
              </w:rPr>
              <w:t>Annual Revenue</w:t>
            </w:r>
          </w:p>
        </w:tc>
      </w:tr>
      <w:tr w:rsidR="00FE53C7" w:rsidRPr="00FC7A36" w14:paraId="49F47C0F" w14:textId="77777777" w:rsidTr="00551CB4">
        <w:tc>
          <w:tcPr>
            <w:tcW w:w="5148" w:type="dxa"/>
            <w:shd w:val="clear" w:color="auto" w:fill="auto"/>
          </w:tcPr>
          <w:p w14:paraId="21F98F52" w14:textId="77777777" w:rsidR="00FE53C7" w:rsidRPr="00FC7A36" w:rsidRDefault="00FE53C7" w:rsidP="00FC7A36">
            <w:pPr>
              <w:spacing w:after="0"/>
              <w:rPr>
                <w:rFonts w:eastAsia="Times New Roman"/>
                <w:sz w:val="24"/>
                <w:szCs w:val="24"/>
              </w:rPr>
            </w:pPr>
            <w:r w:rsidRPr="00FC7A36">
              <w:rPr>
                <w:rFonts w:eastAsia="Times New Roman"/>
                <w:b/>
                <w:sz w:val="24"/>
                <w:szCs w:val="24"/>
              </w:rPr>
              <w:t>ELECTRIC</w:t>
            </w:r>
          </w:p>
        </w:tc>
        <w:tc>
          <w:tcPr>
            <w:tcW w:w="5148" w:type="dxa"/>
            <w:shd w:val="clear" w:color="auto" w:fill="auto"/>
          </w:tcPr>
          <w:p w14:paraId="7DFC0FBB" w14:textId="77777777" w:rsidR="00FE53C7" w:rsidRPr="00FC7A36" w:rsidRDefault="00FE53C7" w:rsidP="00FC7A36">
            <w:pPr>
              <w:spacing w:after="0"/>
              <w:rPr>
                <w:rFonts w:eastAsia="Times New Roman"/>
                <w:sz w:val="24"/>
                <w:szCs w:val="24"/>
              </w:rPr>
            </w:pPr>
          </w:p>
        </w:tc>
      </w:tr>
      <w:tr w:rsidR="00FE53C7" w:rsidRPr="00FC7A36" w14:paraId="1F9CFCFA" w14:textId="77777777" w:rsidTr="00551CB4">
        <w:tc>
          <w:tcPr>
            <w:tcW w:w="5148" w:type="dxa"/>
            <w:shd w:val="clear" w:color="auto" w:fill="auto"/>
          </w:tcPr>
          <w:p w14:paraId="4348207E" w14:textId="77777777" w:rsidR="00FE53C7" w:rsidRPr="00FC7A36" w:rsidRDefault="00FE53C7" w:rsidP="00FC7A36">
            <w:pPr>
              <w:spacing w:after="0"/>
              <w:rPr>
                <w:rFonts w:eastAsia="Times New Roman"/>
                <w:sz w:val="24"/>
                <w:szCs w:val="24"/>
              </w:rPr>
            </w:pPr>
            <w:r w:rsidRPr="00FC7A36">
              <w:rPr>
                <w:rFonts w:eastAsia="Times New Roman"/>
                <w:sz w:val="24"/>
                <w:szCs w:val="24"/>
              </w:rPr>
              <w:t>Large</w:t>
            </w:r>
          </w:p>
        </w:tc>
        <w:tc>
          <w:tcPr>
            <w:tcW w:w="5148" w:type="dxa"/>
            <w:shd w:val="clear" w:color="auto" w:fill="auto"/>
          </w:tcPr>
          <w:p w14:paraId="411361D5" w14:textId="77777777" w:rsidR="00FE53C7" w:rsidRPr="00FC7A36" w:rsidRDefault="00FE53C7" w:rsidP="00FC7A36">
            <w:pPr>
              <w:spacing w:after="0"/>
              <w:rPr>
                <w:rFonts w:eastAsia="Times New Roman"/>
                <w:sz w:val="24"/>
                <w:szCs w:val="24"/>
              </w:rPr>
            </w:pPr>
            <w:r w:rsidRPr="00FC7A36">
              <w:rPr>
                <w:rFonts w:eastAsia="Times New Roman"/>
                <w:sz w:val="24"/>
                <w:szCs w:val="24"/>
              </w:rPr>
              <w:t>&gt;$1.15 Billion</w:t>
            </w:r>
          </w:p>
        </w:tc>
      </w:tr>
      <w:tr w:rsidR="00FE53C7" w:rsidRPr="00FC7A36" w14:paraId="2B441880" w14:textId="77777777" w:rsidTr="00551CB4">
        <w:tc>
          <w:tcPr>
            <w:tcW w:w="5148" w:type="dxa"/>
            <w:shd w:val="clear" w:color="auto" w:fill="auto"/>
          </w:tcPr>
          <w:p w14:paraId="64A1B911" w14:textId="77777777" w:rsidR="00FE53C7" w:rsidRPr="00FC7A36" w:rsidRDefault="00FE53C7" w:rsidP="00FC7A36">
            <w:pPr>
              <w:spacing w:after="0"/>
              <w:rPr>
                <w:rFonts w:eastAsia="Times New Roman"/>
                <w:sz w:val="24"/>
                <w:szCs w:val="24"/>
              </w:rPr>
            </w:pPr>
            <w:r w:rsidRPr="00FC7A36">
              <w:rPr>
                <w:rFonts w:eastAsia="Times New Roman"/>
                <w:sz w:val="24"/>
                <w:szCs w:val="24"/>
              </w:rPr>
              <w:t>Medium</w:t>
            </w:r>
          </w:p>
        </w:tc>
        <w:tc>
          <w:tcPr>
            <w:tcW w:w="5148" w:type="dxa"/>
            <w:shd w:val="clear" w:color="auto" w:fill="auto"/>
          </w:tcPr>
          <w:p w14:paraId="2B45AE7F" w14:textId="77777777" w:rsidR="00FE53C7" w:rsidRPr="00FC7A36" w:rsidRDefault="00FE53C7" w:rsidP="00FC7A36">
            <w:pPr>
              <w:spacing w:after="0"/>
              <w:rPr>
                <w:rFonts w:eastAsia="Times New Roman"/>
                <w:sz w:val="24"/>
                <w:szCs w:val="24"/>
              </w:rPr>
            </w:pPr>
            <w:r w:rsidRPr="00FC7A36">
              <w:rPr>
                <w:rFonts w:eastAsia="Times New Roman"/>
                <w:sz w:val="24"/>
                <w:szCs w:val="24"/>
              </w:rPr>
              <w:t>$310 Million to $1.15 Billion</w:t>
            </w:r>
          </w:p>
        </w:tc>
      </w:tr>
      <w:tr w:rsidR="00FE53C7" w:rsidRPr="00FC7A36" w14:paraId="736134E6" w14:textId="77777777" w:rsidTr="00551CB4">
        <w:tc>
          <w:tcPr>
            <w:tcW w:w="5148" w:type="dxa"/>
            <w:shd w:val="clear" w:color="auto" w:fill="auto"/>
          </w:tcPr>
          <w:p w14:paraId="6E6CC296" w14:textId="77777777" w:rsidR="00FE53C7" w:rsidRPr="00FC7A36" w:rsidRDefault="00FE53C7" w:rsidP="00FC7A36">
            <w:pPr>
              <w:spacing w:after="0"/>
              <w:rPr>
                <w:rFonts w:eastAsia="Times New Roman"/>
                <w:sz w:val="24"/>
                <w:szCs w:val="24"/>
              </w:rPr>
            </w:pPr>
            <w:r w:rsidRPr="00FC7A36">
              <w:rPr>
                <w:rFonts w:eastAsia="Times New Roman"/>
                <w:sz w:val="24"/>
                <w:szCs w:val="24"/>
              </w:rPr>
              <w:t>Small</w:t>
            </w:r>
          </w:p>
        </w:tc>
        <w:tc>
          <w:tcPr>
            <w:tcW w:w="5148" w:type="dxa"/>
            <w:shd w:val="clear" w:color="auto" w:fill="auto"/>
          </w:tcPr>
          <w:p w14:paraId="5D71D765" w14:textId="77777777" w:rsidR="00FE53C7" w:rsidRPr="00FC7A36" w:rsidRDefault="00FE53C7" w:rsidP="00FC7A36">
            <w:pPr>
              <w:spacing w:after="0"/>
              <w:rPr>
                <w:rFonts w:eastAsia="Times New Roman"/>
                <w:sz w:val="24"/>
                <w:szCs w:val="24"/>
              </w:rPr>
            </w:pPr>
            <w:r w:rsidRPr="00FC7A36">
              <w:rPr>
                <w:rFonts w:eastAsia="Times New Roman"/>
                <w:sz w:val="24"/>
                <w:szCs w:val="24"/>
              </w:rPr>
              <w:t>&lt;$310 Million</w:t>
            </w:r>
          </w:p>
        </w:tc>
      </w:tr>
      <w:tr w:rsidR="00FE53C7" w:rsidRPr="00FC7A36" w14:paraId="436D808F" w14:textId="77777777" w:rsidTr="00551CB4">
        <w:tc>
          <w:tcPr>
            <w:tcW w:w="5148" w:type="dxa"/>
            <w:shd w:val="clear" w:color="auto" w:fill="auto"/>
          </w:tcPr>
          <w:p w14:paraId="73375B61" w14:textId="77777777" w:rsidR="00FE53C7" w:rsidRPr="00FC7A36" w:rsidRDefault="00FE53C7" w:rsidP="00FC7A36">
            <w:pPr>
              <w:spacing w:after="0"/>
              <w:rPr>
                <w:rFonts w:eastAsia="Times New Roman"/>
                <w:b/>
                <w:sz w:val="24"/>
                <w:szCs w:val="24"/>
              </w:rPr>
            </w:pPr>
            <w:r w:rsidRPr="00FC7A36">
              <w:rPr>
                <w:rFonts w:eastAsia="Times New Roman"/>
                <w:b/>
                <w:sz w:val="24"/>
                <w:szCs w:val="24"/>
              </w:rPr>
              <w:t>GAS</w:t>
            </w:r>
          </w:p>
        </w:tc>
        <w:tc>
          <w:tcPr>
            <w:tcW w:w="5148" w:type="dxa"/>
            <w:shd w:val="clear" w:color="auto" w:fill="auto"/>
          </w:tcPr>
          <w:p w14:paraId="2DB993F2" w14:textId="77777777" w:rsidR="00FE53C7" w:rsidRPr="00FC7A36" w:rsidRDefault="00FE53C7" w:rsidP="00FC7A36">
            <w:pPr>
              <w:spacing w:after="0"/>
              <w:rPr>
                <w:rFonts w:eastAsia="Times New Roman"/>
                <w:sz w:val="24"/>
                <w:szCs w:val="24"/>
              </w:rPr>
            </w:pPr>
          </w:p>
        </w:tc>
      </w:tr>
      <w:tr w:rsidR="00FE53C7" w:rsidRPr="00FC7A36" w14:paraId="75691003" w14:textId="77777777" w:rsidTr="00551CB4">
        <w:tc>
          <w:tcPr>
            <w:tcW w:w="5148" w:type="dxa"/>
            <w:shd w:val="clear" w:color="auto" w:fill="auto"/>
          </w:tcPr>
          <w:p w14:paraId="5AE9B907" w14:textId="77777777" w:rsidR="00FE53C7" w:rsidRPr="00FC7A36" w:rsidRDefault="00FE53C7" w:rsidP="00FC7A36">
            <w:pPr>
              <w:spacing w:after="0"/>
              <w:rPr>
                <w:rFonts w:eastAsia="Times New Roman"/>
                <w:sz w:val="24"/>
                <w:szCs w:val="24"/>
              </w:rPr>
            </w:pPr>
            <w:r w:rsidRPr="00FC7A36">
              <w:rPr>
                <w:rFonts w:eastAsia="Times New Roman"/>
                <w:sz w:val="24"/>
                <w:szCs w:val="24"/>
              </w:rPr>
              <w:t>Large</w:t>
            </w:r>
          </w:p>
        </w:tc>
        <w:tc>
          <w:tcPr>
            <w:tcW w:w="5148" w:type="dxa"/>
            <w:shd w:val="clear" w:color="auto" w:fill="auto"/>
          </w:tcPr>
          <w:p w14:paraId="536C1B88" w14:textId="77777777" w:rsidR="00FE53C7" w:rsidRPr="00FC7A36" w:rsidRDefault="00FE53C7" w:rsidP="00FC7A36">
            <w:pPr>
              <w:spacing w:after="0"/>
              <w:rPr>
                <w:rFonts w:eastAsia="Times New Roman"/>
                <w:sz w:val="24"/>
                <w:szCs w:val="24"/>
              </w:rPr>
            </w:pPr>
            <w:r w:rsidRPr="00FC7A36">
              <w:rPr>
                <w:rFonts w:eastAsia="Times New Roman"/>
                <w:sz w:val="24"/>
                <w:szCs w:val="24"/>
              </w:rPr>
              <w:t>&gt;$100 Million</w:t>
            </w:r>
          </w:p>
        </w:tc>
      </w:tr>
      <w:tr w:rsidR="00FE53C7" w:rsidRPr="00FC7A36" w14:paraId="151FA651" w14:textId="77777777" w:rsidTr="00551CB4">
        <w:tc>
          <w:tcPr>
            <w:tcW w:w="5148" w:type="dxa"/>
            <w:shd w:val="clear" w:color="auto" w:fill="auto"/>
          </w:tcPr>
          <w:p w14:paraId="5A983A99" w14:textId="77777777" w:rsidR="00FE53C7" w:rsidRPr="00FC7A36" w:rsidRDefault="00FE53C7" w:rsidP="00FC7A36">
            <w:pPr>
              <w:spacing w:after="0"/>
              <w:rPr>
                <w:rFonts w:eastAsia="Times New Roman"/>
                <w:sz w:val="24"/>
                <w:szCs w:val="24"/>
              </w:rPr>
            </w:pPr>
            <w:r w:rsidRPr="00FC7A36">
              <w:rPr>
                <w:rFonts w:eastAsia="Times New Roman"/>
                <w:sz w:val="24"/>
                <w:szCs w:val="24"/>
              </w:rPr>
              <w:t>Medium</w:t>
            </w:r>
          </w:p>
        </w:tc>
        <w:tc>
          <w:tcPr>
            <w:tcW w:w="5148" w:type="dxa"/>
            <w:shd w:val="clear" w:color="auto" w:fill="auto"/>
          </w:tcPr>
          <w:p w14:paraId="1D0CF4FF" w14:textId="77777777" w:rsidR="00FE53C7" w:rsidRPr="00FC7A36" w:rsidRDefault="00FE53C7" w:rsidP="00FC7A36">
            <w:pPr>
              <w:spacing w:after="0"/>
              <w:rPr>
                <w:rFonts w:eastAsia="Times New Roman"/>
                <w:sz w:val="24"/>
                <w:szCs w:val="24"/>
              </w:rPr>
            </w:pPr>
            <w:r w:rsidRPr="00FC7A36">
              <w:rPr>
                <w:rFonts w:eastAsia="Times New Roman"/>
                <w:sz w:val="24"/>
                <w:szCs w:val="24"/>
              </w:rPr>
              <w:t>$10 Million to $100 Million</w:t>
            </w:r>
          </w:p>
        </w:tc>
      </w:tr>
      <w:tr w:rsidR="00FE53C7" w:rsidRPr="00FC7A36" w14:paraId="0E01DBAA" w14:textId="77777777" w:rsidTr="00551CB4">
        <w:tc>
          <w:tcPr>
            <w:tcW w:w="5148" w:type="dxa"/>
            <w:shd w:val="clear" w:color="auto" w:fill="auto"/>
          </w:tcPr>
          <w:p w14:paraId="7A3C366E" w14:textId="77777777" w:rsidR="00FE53C7" w:rsidRPr="00FC7A36" w:rsidRDefault="00FE53C7" w:rsidP="00FC7A36">
            <w:pPr>
              <w:spacing w:after="0"/>
              <w:rPr>
                <w:rFonts w:eastAsia="Times New Roman"/>
                <w:sz w:val="24"/>
                <w:szCs w:val="24"/>
              </w:rPr>
            </w:pPr>
            <w:r w:rsidRPr="00FC7A36">
              <w:rPr>
                <w:rFonts w:eastAsia="Times New Roman"/>
                <w:sz w:val="24"/>
                <w:szCs w:val="24"/>
              </w:rPr>
              <w:t>Small</w:t>
            </w:r>
          </w:p>
        </w:tc>
        <w:tc>
          <w:tcPr>
            <w:tcW w:w="5148" w:type="dxa"/>
            <w:shd w:val="clear" w:color="auto" w:fill="auto"/>
          </w:tcPr>
          <w:p w14:paraId="73012553" w14:textId="77777777" w:rsidR="00FE53C7" w:rsidRPr="00FC7A36" w:rsidRDefault="00FE53C7" w:rsidP="00FC7A36">
            <w:pPr>
              <w:spacing w:after="0"/>
              <w:rPr>
                <w:rFonts w:eastAsia="Times New Roman"/>
                <w:sz w:val="24"/>
                <w:szCs w:val="24"/>
              </w:rPr>
            </w:pPr>
            <w:r w:rsidRPr="00FC7A36">
              <w:rPr>
                <w:rFonts w:eastAsia="Times New Roman"/>
                <w:sz w:val="24"/>
                <w:szCs w:val="24"/>
              </w:rPr>
              <w:t>&lt;$10 Million</w:t>
            </w:r>
          </w:p>
        </w:tc>
      </w:tr>
      <w:tr w:rsidR="00FE53C7" w:rsidRPr="00FC7A36" w14:paraId="09E55503" w14:textId="77777777" w:rsidTr="00551CB4">
        <w:tc>
          <w:tcPr>
            <w:tcW w:w="5148" w:type="dxa"/>
            <w:shd w:val="clear" w:color="auto" w:fill="auto"/>
          </w:tcPr>
          <w:p w14:paraId="7854BBA2" w14:textId="77777777" w:rsidR="00FE53C7" w:rsidRPr="00FC7A36" w:rsidRDefault="00FE53C7" w:rsidP="00FC7A36">
            <w:pPr>
              <w:spacing w:after="0"/>
              <w:rPr>
                <w:rFonts w:eastAsia="Times New Roman"/>
                <w:b/>
                <w:sz w:val="24"/>
                <w:szCs w:val="24"/>
              </w:rPr>
            </w:pPr>
            <w:r w:rsidRPr="00FC7A36">
              <w:rPr>
                <w:rFonts w:eastAsia="Times New Roman"/>
                <w:b/>
                <w:sz w:val="24"/>
                <w:szCs w:val="24"/>
              </w:rPr>
              <w:t>OIL</w:t>
            </w:r>
          </w:p>
        </w:tc>
        <w:tc>
          <w:tcPr>
            <w:tcW w:w="5148" w:type="dxa"/>
            <w:shd w:val="clear" w:color="auto" w:fill="auto"/>
          </w:tcPr>
          <w:p w14:paraId="65AF1C80" w14:textId="77777777" w:rsidR="00FE53C7" w:rsidRPr="00FC7A36" w:rsidRDefault="00FE53C7" w:rsidP="00FC7A36">
            <w:pPr>
              <w:spacing w:after="0"/>
              <w:rPr>
                <w:rFonts w:eastAsia="Times New Roman"/>
                <w:sz w:val="24"/>
                <w:szCs w:val="24"/>
              </w:rPr>
            </w:pPr>
          </w:p>
        </w:tc>
      </w:tr>
      <w:tr w:rsidR="00FE53C7" w:rsidRPr="00FC7A36" w14:paraId="6E38D1B4" w14:textId="77777777" w:rsidTr="00551CB4">
        <w:tc>
          <w:tcPr>
            <w:tcW w:w="5148" w:type="dxa"/>
            <w:shd w:val="clear" w:color="auto" w:fill="auto"/>
          </w:tcPr>
          <w:p w14:paraId="3DFB06E4" w14:textId="77777777" w:rsidR="00FE53C7" w:rsidRPr="00FC7A36" w:rsidRDefault="00FE53C7" w:rsidP="00FC7A36">
            <w:pPr>
              <w:spacing w:after="0"/>
              <w:rPr>
                <w:rFonts w:eastAsia="Times New Roman"/>
                <w:sz w:val="24"/>
                <w:szCs w:val="24"/>
              </w:rPr>
            </w:pPr>
            <w:r w:rsidRPr="00FC7A36">
              <w:rPr>
                <w:rFonts w:eastAsia="Times New Roman"/>
                <w:sz w:val="24"/>
                <w:szCs w:val="24"/>
              </w:rPr>
              <w:t>Large</w:t>
            </w:r>
          </w:p>
        </w:tc>
        <w:tc>
          <w:tcPr>
            <w:tcW w:w="5148" w:type="dxa"/>
            <w:shd w:val="clear" w:color="auto" w:fill="auto"/>
          </w:tcPr>
          <w:p w14:paraId="62443883" w14:textId="77777777" w:rsidR="00FE53C7" w:rsidRPr="00FC7A36" w:rsidRDefault="00FE53C7" w:rsidP="00FC7A36">
            <w:pPr>
              <w:spacing w:after="0"/>
              <w:rPr>
                <w:rFonts w:eastAsia="Times New Roman"/>
                <w:sz w:val="24"/>
                <w:szCs w:val="24"/>
              </w:rPr>
            </w:pPr>
            <w:r w:rsidRPr="00FC7A36">
              <w:rPr>
                <w:rFonts w:eastAsia="Times New Roman"/>
                <w:sz w:val="24"/>
                <w:szCs w:val="24"/>
              </w:rPr>
              <w:t>&gt;$50 Million</w:t>
            </w:r>
          </w:p>
        </w:tc>
      </w:tr>
      <w:tr w:rsidR="00FE53C7" w:rsidRPr="00FC7A36" w14:paraId="0248F7F6" w14:textId="77777777" w:rsidTr="00551CB4">
        <w:tc>
          <w:tcPr>
            <w:tcW w:w="5148" w:type="dxa"/>
            <w:shd w:val="clear" w:color="auto" w:fill="auto"/>
          </w:tcPr>
          <w:p w14:paraId="14D1D79C" w14:textId="77777777" w:rsidR="00FE53C7" w:rsidRPr="00FC7A36" w:rsidRDefault="00FE53C7" w:rsidP="00FC7A36">
            <w:pPr>
              <w:spacing w:after="0"/>
              <w:rPr>
                <w:rFonts w:eastAsia="Times New Roman"/>
                <w:sz w:val="24"/>
                <w:szCs w:val="24"/>
              </w:rPr>
            </w:pPr>
            <w:r w:rsidRPr="00FC7A36">
              <w:rPr>
                <w:rFonts w:eastAsia="Times New Roman"/>
                <w:sz w:val="24"/>
                <w:szCs w:val="24"/>
              </w:rPr>
              <w:t>Medium</w:t>
            </w:r>
          </w:p>
        </w:tc>
        <w:tc>
          <w:tcPr>
            <w:tcW w:w="5148" w:type="dxa"/>
            <w:shd w:val="clear" w:color="auto" w:fill="auto"/>
          </w:tcPr>
          <w:p w14:paraId="514940D4" w14:textId="77777777" w:rsidR="00FE53C7" w:rsidRPr="00FC7A36" w:rsidRDefault="00FE53C7" w:rsidP="00FC7A36">
            <w:pPr>
              <w:spacing w:after="0"/>
              <w:rPr>
                <w:rFonts w:eastAsia="Times New Roman"/>
                <w:sz w:val="24"/>
                <w:szCs w:val="24"/>
              </w:rPr>
            </w:pPr>
            <w:r w:rsidRPr="00FC7A36">
              <w:rPr>
                <w:rFonts w:eastAsia="Times New Roman"/>
                <w:sz w:val="24"/>
                <w:szCs w:val="24"/>
              </w:rPr>
              <w:t>$5 Million to $50 Million</w:t>
            </w:r>
          </w:p>
        </w:tc>
      </w:tr>
      <w:tr w:rsidR="00FE53C7" w:rsidRPr="00FC7A36" w14:paraId="1312B8CF" w14:textId="77777777" w:rsidTr="00551CB4">
        <w:tc>
          <w:tcPr>
            <w:tcW w:w="5148" w:type="dxa"/>
            <w:shd w:val="clear" w:color="auto" w:fill="auto"/>
          </w:tcPr>
          <w:p w14:paraId="445D3DE8" w14:textId="77777777" w:rsidR="00FE53C7" w:rsidRPr="00FC7A36" w:rsidRDefault="00FE53C7" w:rsidP="00FC7A36">
            <w:pPr>
              <w:spacing w:after="0"/>
              <w:rPr>
                <w:rFonts w:eastAsia="Times New Roman"/>
                <w:sz w:val="24"/>
                <w:szCs w:val="24"/>
              </w:rPr>
            </w:pPr>
            <w:r w:rsidRPr="00FC7A36">
              <w:rPr>
                <w:rFonts w:eastAsia="Times New Roman"/>
                <w:sz w:val="24"/>
                <w:szCs w:val="24"/>
              </w:rPr>
              <w:t>Small</w:t>
            </w:r>
          </w:p>
        </w:tc>
        <w:tc>
          <w:tcPr>
            <w:tcW w:w="5148" w:type="dxa"/>
            <w:shd w:val="clear" w:color="auto" w:fill="auto"/>
          </w:tcPr>
          <w:p w14:paraId="481CC733" w14:textId="77777777" w:rsidR="00FE53C7" w:rsidRPr="00FC7A36" w:rsidRDefault="00FE53C7" w:rsidP="00FC7A36">
            <w:pPr>
              <w:spacing w:after="0"/>
              <w:rPr>
                <w:rFonts w:eastAsia="Times New Roman"/>
                <w:sz w:val="24"/>
                <w:szCs w:val="24"/>
              </w:rPr>
            </w:pPr>
            <w:r w:rsidRPr="00FC7A36">
              <w:rPr>
                <w:rFonts w:eastAsia="Times New Roman"/>
                <w:sz w:val="24"/>
                <w:szCs w:val="24"/>
              </w:rPr>
              <w:t>&lt;$5 Million</w:t>
            </w:r>
          </w:p>
        </w:tc>
      </w:tr>
    </w:tbl>
    <w:p w14:paraId="5048A967" w14:textId="77777777" w:rsidR="00FE53C7" w:rsidRPr="00FC7A36" w:rsidRDefault="00FE53C7" w:rsidP="00FC7A36">
      <w:pPr>
        <w:spacing w:after="0"/>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118"/>
        <w:gridCol w:w="2060"/>
        <w:gridCol w:w="2150"/>
      </w:tblGrid>
      <w:tr w:rsidR="00FE53C7" w:rsidRPr="00FC7A36" w14:paraId="4CA4F282" w14:textId="77777777" w:rsidTr="00551CB4">
        <w:tc>
          <w:tcPr>
            <w:tcW w:w="2107" w:type="dxa"/>
            <w:shd w:val="clear" w:color="auto" w:fill="auto"/>
          </w:tcPr>
          <w:p w14:paraId="0E97A3D8" w14:textId="77777777" w:rsidR="00FE53C7" w:rsidRPr="00FC7A36" w:rsidRDefault="00FE53C7" w:rsidP="00FC7A36">
            <w:pPr>
              <w:spacing w:after="0"/>
              <w:rPr>
                <w:rFonts w:eastAsia="Times New Roman"/>
                <w:b/>
                <w:sz w:val="24"/>
                <w:szCs w:val="24"/>
              </w:rPr>
            </w:pPr>
            <w:r w:rsidRPr="00FC7A36">
              <w:rPr>
                <w:rFonts w:eastAsia="Times New Roman"/>
                <w:b/>
                <w:sz w:val="24"/>
                <w:szCs w:val="24"/>
              </w:rPr>
              <w:t>Size</w:t>
            </w:r>
          </w:p>
        </w:tc>
        <w:tc>
          <w:tcPr>
            <w:tcW w:w="2118" w:type="dxa"/>
            <w:shd w:val="clear" w:color="auto" w:fill="auto"/>
          </w:tcPr>
          <w:p w14:paraId="6A755D9F" w14:textId="77777777" w:rsidR="00FE53C7" w:rsidRPr="00FC7A36" w:rsidRDefault="00FE53C7" w:rsidP="00FC7A36">
            <w:pPr>
              <w:spacing w:after="0"/>
              <w:rPr>
                <w:rFonts w:eastAsia="Times New Roman"/>
                <w:b/>
                <w:sz w:val="24"/>
                <w:szCs w:val="24"/>
              </w:rPr>
            </w:pPr>
            <w:r w:rsidRPr="00FC7A36">
              <w:rPr>
                <w:rFonts w:eastAsia="Times New Roman"/>
                <w:b/>
                <w:sz w:val="24"/>
                <w:szCs w:val="24"/>
              </w:rPr>
              <w:t>Number of Entities</w:t>
            </w:r>
          </w:p>
          <w:p w14:paraId="339599E5" w14:textId="77777777" w:rsidR="00FE53C7" w:rsidRPr="00FC7A36" w:rsidRDefault="00FE53C7" w:rsidP="00FC7A36">
            <w:pPr>
              <w:spacing w:after="0"/>
              <w:rPr>
                <w:rFonts w:eastAsia="Times New Roman"/>
                <w:b/>
                <w:sz w:val="24"/>
                <w:szCs w:val="24"/>
              </w:rPr>
            </w:pPr>
            <w:r w:rsidRPr="00FC7A36">
              <w:rPr>
                <w:rFonts w:eastAsia="Times New Roman"/>
                <w:b/>
                <w:sz w:val="24"/>
                <w:szCs w:val="24"/>
              </w:rPr>
              <w:t>(1)</w:t>
            </w:r>
          </w:p>
        </w:tc>
        <w:tc>
          <w:tcPr>
            <w:tcW w:w="2060" w:type="dxa"/>
            <w:shd w:val="clear" w:color="auto" w:fill="auto"/>
          </w:tcPr>
          <w:p w14:paraId="0D3DA6B5" w14:textId="77777777" w:rsidR="00FE53C7" w:rsidRPr="00FC7A36" w:rsidRDefault="00FE53C7" w:rsidP="00FC7A36">
            <w:pPr>
              <w:spacing w:after="0"/>
              <w:rPr>
                <w:rFonts w:eastAsia="Times New Roman"/>
                <w:b/>
                <w:sz w:val="24"/>
                <w:szCs w:val="24"/>
              </w:rPr>
            </w:pPr>
            <w:r w:rsidRPr="00FC7A36">
              <w:rPr>
                <w:rFonts w:eastAsia="Times New Roman"/>
                <w:b/>
                <w:sz w:val="24"/>
                <w:szCs w:val="24"/>
              </w:rPr>
              <w:t>Average Hours Per Entity</w:t>
            </w:r>
          </w:p>
          <w:p w14:paraId="1131304B" w14:textId="77777777" w:rsidR="00FE53C7" w:rsidRPr="00FC7A36" w:rsidRDefault="00FE53C7" w:rsidP="00FC7A36">
            <w:pPr>
              <w:spacing w:after="0"/>
              <w:rPr>
                <w:rFonts w:eastAsia="Times New Roman"/>
                <w:b/>
                <w:sz w:val="24"/>
                <w:szCs w:val="24"/>
              </w:rPr>
            </w:pPr>
            <w:r w:rsidRPr="00FC7A36">
              <w:rPr>
                <w:rFonts w:eastAsia="Times New Roman"/>
                <w:b/>
                <w:sz w:val="24"/>
                <w:szCs w:val="24"/>
              </w:rPr>
              <w:t>(2)</w:t>
            </w:r>
          </w:p>
        </w:tc>
        <w:tc>
          <w:tcPr>
            <w:tcW w:w="2150" w:type="dxa"/>
            <w:shd w:val="clear" w:color="auto" w:fill="auto"/>
          </w:tcPr>
          <w:p w14:paraId="27166C1D" w14:textId="6BDD1A1F" w:rsidR="00FE53C7" w:rsidRPr="00FC7A36" w:rsidRDefault="00FE53C7" w:rsidP="00FC7A36">
            <w:pPr>
              <w:spacing w:after="0"/>
              <w:rPr>
                <w:rFonts w:eastAsia="Times New Roman"/>
                <w:b/>
                <w:sz w:val="24"/>
                <w:szCs w:val="24"/>
              </w:rPr>
            </w:pPr>
            <w:r w:rsidRPr="00FC7A36">
              <w:rPr>
                <w:rFonts w:eastAsia="Times New Roman"/>
                <w:b/>
                <w:sz w:val="24"/>
                <w:szCs w:val="24"/>
              </w:rPr>
              <w:t>Total Burden Hours</w:t>
            </w:r>
            <w:bookmarkStart w:id="2" w:name="_Ref378671266"/>
            <w:r w:rsidR="00717583">
              <w:rPr>
                <w:rFonts w:eastAsia="Times New Roman"/>
                <w:b/>
                <w:sz w:val="24"/>
                <w:szCs w:val="24"/>
              </w:rPr>
              <w:t xml:space="preserve"> (rounded)</w:t>
            </w:r>
            <w:r w:rsidRPr="00FC7A36">
              <w:rPr>
                <w:rFonts w:eastAsia="Times New Roman"/>
                <w:b/>
                <w:sz w:val="24"/>
                <w:szCs w:val="24"/>
                <w:vertAlign w:val="superscript"/>
              </w:rPr>
              <w:footnoteReference w:id="11"/>
            </w:r>
            <w:bookmarkEnd w:id="2"/>
          </w:p>
          <w:p w14:paraId="223E5739" w14:textId="3D18EAD4" w:rsidR="00FE53C7" w:rsidRPr="00FC7A36" w:rsidRDefault="00FE53C7" w:rsidP="00FC7A36">
            <w:pPr>
              <w:spacing w:after="0"/>
              <w:rPr>
                <w:rFonts w:eastAsia="Times New Roman"/>
                <w:b/>
                <w:sz w:val="24"/>
                <w:szCs w:val="24"/>
              </w:rPr>
            </w:pPr>
            <w:r w:rsidRPr="00FC7A36">
              <w:rPr>
                <w:rFonts w:eastAsia="Times New Roman"/>
                <w:b/>
                <w:sz w:val="24"/>
                <w:szCs w:val="24"/>
              </w:rPr>
              <w:t>(1) * (2)</w:t>
            </w:r>
          </w:p>
        </w:tc>
      </w:tr>
      <w:tr w:rsidR="00FE53C7" w:rsidRPr="00FC7A36" w14:paraId="73B449C8" w14:textId="77777777" w:rsidTr="00551CB4">
        <w:tc>
          <w:tcPr>
            <w:tcW w:w="2107" w:type="dxa"/>
            <w:shd w:val="clear" w:color="auto" w:fill="auto"/>
          </w:tcPr>
          <w:p w14:paraId="6EF84608" w14:textId="77777777" w:rsidR="00FE53C7" w:rsidRPr="00FC7A36" w:rsidRDefault="00FE53C7" w:rsidP="00FC7A36">
            <w:pPr>
              <w:spacing w:after="0"/>
              <w:rPr>
                <w:rFonts w:eastAsia="Times New Roman"/>
                <w:sz w:val="24"/>
                <w:szCs w:val="24"/>
              </w:rPr>
            </w:pPr>
            <w:r w:rsidRPr="00FC7A36">
              <w:rPr>
                <w:rFonts w:eastAsia="Times New Roman"/>
                <w:sz w:val="24"/>
                <w:szCs w:val="24"/>
              </w:rPr>
              <w:t>Large</w:t>
            </w:r>
          </w:p>
        </w:tc>
        <w:tc>
          <w:tcPr>
            <w:tcW w:w="2118" w:type="dxa"/>
            <w:shd w:val="clear" w:color="auto" w:fill="auto"/>
          </w:tcPr>
          <w:p w14:paraId="45A394D2" w14:textId="77777777" w:rsidR="00FE53C7" w:rsidRPr="00FC7A36" w:rsidRDefault="00FE53C7" w:rsidP="003C63D9">
            <w:pPr>
              <w:spacing w:after="0"/>
              <w:jc w:val="right"/>
              <w:rPr>
                <w:rFonts w:eastAsia="Times New Roman"/>
                <w:sz w:val="24"/>
                <w:szCs w:val="24"/>
              </w:rPr>
            </w:pPr>
            <w:r w:rsidRPr="00FC7A36">
              <w:rPr>
                <w:rFonts w:eastAsia="Times New Roman"/>
                <w:sz w:val="24"/>
                <w:szCs w:val="24"/>
              </w:rPr>
              <w:t>174</w:t>
            </w:r>
          </w:p>
        </w:tc>
        <w:tc>
          <w:tcPr>
            <w:tcW w:w="2060" w:type="dxa"/>
            <w:shd w:val="clear" w:color="auto" w:fill="auto"/>
          </w:tcPr>
          <w:p w14:paraId="2F911621" w14:textId="74C78CF7" w:rsidR="00FE53C7" w:rsidRPr="00FC7A36" w:rsidRDefault="00FE53C7" w:rsidP="003C63D9">
            <w:pPr>
              <w:spacing w:after="0"/>
              <w:jc w:val="right"/>
              <w:rPr>
                <w:rFonts w:eastAsia="Times New Roman"/>
                <w:sz w:val="24"/>
                <w:szCs w:val="24"/>
              </w:rPr>
            </w:pPr>
            <w:r w:rsidRPr="00FC7A36">
              <w:rPr>
                <w:rFonts w:eastAsia="Times New Roman"/>
                <w:sz w:val="24"/>
                <w:szCs w:val="24"/>
              </w:rPr>
              <w:t>11,475</w:t>
            </w:r>
            <w:r w:rsidR="005722EB">
              <w:rPr>
                <w:rFonts w:eastAsia="Times New Roman"/>
                <w:sz w:val="24"/>
                <w:szCs w:val="24"/>
              </w:rPr>
              <w:t xml:space="preserve"> Hrs.</w:t>
            </w:r>
          </w:p>
        </w:tc>
        <w:tc>
          <w:tcPr>
            <w:tcW w:w="2150" w:type="dxa"/>
            <w:shd w:val="clear" w:color="auto" w:fill="auto"/>
          </w:tcPr>
          <w:p w14:paraId="6C0AC1A8" w14:textId="22BB90B9" w:rsidR="00FE53C7" w:rsidRPr="00FC7A36" w:rsidRDefault="00FE53C7" w:rsidP="003C63D9">
            <w:pPr>
              <w:spacing w:after="0"/>
              <w:jc w:val="right"/>
              <w:rPr>
                <w:rFonts w:eastAsia="Times New Roman"/>
                <w:sz w:val="24"/>
                <w:szCs w:val="24"/>
              </w:rPr>
            </w:pPr>
            <w:r w:rsidRPr="00FC7A36">
              <w:rPr>
                <w:rFonts w:eastAsia="Times New Roman"/>
                <w:sz w:val="24"/>
                <w:szCs w:val="24"/>
              </w:rPr>
              <w:t>1,996,658</w:t>
            </w:r>
            <w:r w:rsidR="005722EB">
              <w:rPr>
                <w:rFonts w:eastAsia="Times New Roman"/>
                <w:sz w:val="24"/>
                <w:szCs w:val="24"/>
              </w:rPr>
              <w:t xml:space="preserve"> Hrs.</w:t>
            </w:r>
          </w:p>
        </w:tc>
      </w:tr>
      <w:tr w:rsidR="00FE53C7" w:rsidRPr="00FC7A36" w14:paraId="6A1854AF" w14:textId="77777777" w:rsidTr="00551CB4">
        <w:tc>
          <w:tcPr>
            <w:tcW w:w="2107" w:type="dxa"/>
            <w:shd w:val="clear" w:color="auto" w:fill="auto"/>
          </w:tcPr>
          <w:p w14:paraId="667F7251" w14:textId="77777777" w:rsidR="00FE53C7" w:rsidRPr="00FC7A36" w:rsidRDefault="00FE53C7" w:rsidP="00FC7A36">
            <w:pPr>
              <w:spacing w:after="0"/>
              <w:rPr>
                <w:rFonts w:eastAsia="Times New Roman"/>
                <w:sz w:val="24"/>
                <w:szCs w:val="24"/>
              </w:rPr>
            </w:pPr>
            <w:r w:rsidRPr="00FC7A36">
              <w:rPr>
                <w:rFonts w:eastAsia="Times New Roman"/>
                <w:sz w:val="24"/>
                <w:szCs w:val="24"/>
              </w:rPr>
              <w:t>Medium</w:t>
            </w:r>
          </w:p>
        </w:tc>
        <w:tc>
          <w:tcPr>
            <w:tcW w:w="2118" w:type="dxa"/>
            <w:shd w:val="clear" w:color="auto" w:fill="auto"/>
          </w:tcPr>
          <w:p w14:paraId="42518696" w14:textId="77777777" w:rsidR="00FE53C7" w:rsidRPr="00FC7A36" w:rsidRDefault="00FE53C7" w:rsidP="003C63D9">
            <w:pPr>
              <w:spacing w:after="0"/>
              <w:jc w:val="right"/>
              <w:rPr>
                <w:rFonts w:eastAsia="Times New Roman"/>
                <w:sz w:val="24"/>
                <w:szCs w:val="24"/>
              </w:rPr>
            </w:pPr>
            <w:r w:rsidRPr="00FC7A36">
              <w:rPr>
                <w:rFonts w:eastAsia="Times New Roman"/>
                <w:sz w:val="24"/>
                <w:szCs w:val="24"/>
              </w:rPr>
              <w:t>166</w:t>
            </w:r>
          </w:p>
        </w:tc>
        <w:tc>
          <w:tcPr>
            <w:tcW w:w="2060" w:type="dxa"/>
            <w:shd w:val="clear" w:color="auto" w:fill="auto"/>
          </w:tcPr>
          <w:p w14:paraId="4CA4F751" w14:textId="39310A40" w:rsidR="00FE53C7" w:rsidRPr="00FC7A36" w:rsidRDefault="00FE53C7" w:rsidP="003C63D9">
            <w:pPr>
              <w:spacing w:after="0"/>
              <w:jc w:val="right"/>
              <w:rPr>
                <w:rFonts w:eastAsia="Times New Roman"/>
                <w:sz w:val="24"/>
                <w:szCs w:val="24"/>
              </w:rPr>
            </w:pPr>
            <w:r w:rsidRPr="00FC7A36">
              <w:rPr>
                <w:rFonts w:eastAsia="Times New Roman"/>
                <w:sz w:val="24"/>
                <w:szCs w:val="24"/>
              </w:rPr>
              <w:t>2,371</w:t>
            </w:r>
            <w:r w:rsidR="005722EB">
              <w:rPr>
                <w:rFonts w:eastAsia="Times New Roman"/>
                <w:sz w:val="24"/>
                <w:szCs w:val="24"/>
              </w:rPr>
              <w:t xml:space="preserve"> Hrs.</w:t>
            </w:r>
          </w:p>
        </w:tc>
        <w:tc>
          <w:tcPr>
            <w:tcW w:w="2150" w:type="dxa"/>
            <w:shd w:val="clear" w:color="auto" w:fill="auto"/>
          </w:tcPr>
          <w:p w14:paraId="6FB0BB8F" w14:textId="129AE1F8" w:rsidR="00FE53C7" w:rsidRPr="00FC7A36" w:rsidRDefault="00FE53C7" w:rsidP="003C63D9">
            <w:pPr>
              <w:spacing w:after="0"/>
              <w:jc w:val="right"/>
              <w:rPr>
                <w:rFonts w:eastAsia="Times New Roman"/>
                <w:sz w:val="24"/>
                <w:szCs w:val="24"/>
              </w:rPr>
            </w:pPr>
            <w:r w:rsidRPr="00FC7A36">
              <w:rPr>
                <w:rFonts w:eastAsia="Times New Roman"/>
                <w:sz w:val="24"/>
                <w:szCs w:val="24"/>
              </w:rPr>
              <w:t>393,619</w:t>
            </w:r>
            <w:r w:rsidR="005722EB">
              <w:rPr>
                <w:rFonts w:eastAsia="Times New Roman"/>
                <w:sz w:val="24"/>
                <w:szCs w:val="24"/>
              </w:rPr>
              <w:t xml:space="preserve"> Hrs.</w:t>
            </w:r>
          </w:p>
        </w:tc>
      </w:tr>
      <w:tr w:rsidR="00FE53C7" w:rsidRPr="00FC7A36" w14:paraId="49F2FC6C" w14:textId="77777777" w:rsidTr="00551CB4">
        <w:tc>
          <w:tcPr>
            <w:tcW w:w="2107" w:type="dxa"/>
            <w:shd w:val="clear" w:color="auto" w:fill="auto"/>
          </w:tcPr>
          <w:p w14:paraId="4275A19B" w14:textId="77777777" w:rsidR="00FE53C7" w:rsidRPr="00FC7A36" w:rsidRDefault="00FE53C7" w:rsidP="00FC7A36">
            <w:pPr>
              <w:spacing w:after="0"/>
              <w:rPr>
                <w:rFonts w:eastAsia="Times New Roman"/>
                <w:sz w:val="24"/>
                <w:szCs w:val="24"/>
              </w:rPr>
            </w:pPr>
            <w:r w:rsidRPr="00FC7A36">
              <w:rPr>
                <w:rFonts w:eastAsia="Times New Roman"/>
                <w:sz w:val="24"/>
                <w:szCs w:val="24"/>
              </w:rPr>
              <w:t>Small</w:t>
            </w:r>
          </w:p>
        </w:tc>
        <w:tc>
          <w:tcPr>
            <w:tcW w:w="2118" w:type="dxa"/>
            <w:shd w:val="clear" w:color="auto" w:fill="auto"/>
          </w:tcPr>
          <w:p w14:paraId="35C57D98" w14:textId="77777777" w:rsidR="00FE53C7" w:rsidRPr="00FC7A36" w:rsidRDefault="00FE53C7" w:rsidP="003C63D9">
            <w:pPr>
              <w:spacing w:after="0"/>
              <w:jc w:val="right"/>
              <w:rPr>
                <w:rFonts w:eastAsia="Times New Roman"/>
                <w:sz w:val="24"/>
                <w:szCs w:val="24"/>
              </w:rPr>
            </w:pPr>
            <w:r w:rsidRPr="00FC7A36">
              <w:rPr>
                <w:rFonts w:eastAsia="Times New Roman"/>
                <w:sz w:val="24"/>
                <w:szCs w:val="24"/>
              </w:rPr>
              <w:t>169</w:t>
            </w:r>
          </w:p>
        </w:tc>
        <w:tc>
          <w:tcPr>
            <w:tcW w:w="2060" w:type="dxa"/>
            <w:shd w:val="clear" w:color="auto" w:fill="auto"/>
          </w:tcPr>
          <w:p w14:paraId="746FF23A" w14:textId="3CDE57AC" w:rsidR="00FE53C7" w:rsidRPr="00FC7A36" w:rsidRDefault="00FE53C7" w:rsidP="003C63D9">
            <w:pPr>
              <w:spacing w:after="0"/>
              <w:jc w:val="right"/>
              <w:rPr>
                <w:rFonts w:eastAsia="Times New Roman"/>
                <w:sz w:val="24"/>
                <w:szCs w:val="24"/>
              </w:rPr>
            </w:pPr>
            <w:r w:rsidRPr="00FC7A36">
              <w:rPr>
                <w:rFonts w:eastAsia="Times New Roman"/>
                <w:sz w:val="24"/>
                <w:szCs w:val="24"/>
              </w:rPr>
              <w:t>1,571</w:t>
            </w:r>
            <w:r w:rsidR="005722EB">
              <w:rPr>
                <w:rFonts w:eastAsia="Times New Roman"/>
                <w:sz w:val="24"/>
                <w:szCs w:val="24"/>
              </w:rPr>
              <w:t xml:space="preserve"> Hrs.</w:t>
            </w:r>
          </w:p>
        </w:tc>
        <w:tc>
          <w:tcPr>
            <w:tcW w:w="2150" w:type="dxa"/>
            <w:shd w:val="clear" w:color="auto" w:fill="auto"/>
          </w:tcPr>
          <w:p w14:paraId="05AC9C40" w14:textId="1CA2846F" w:rsidR="00FE53C7" w:rsidRPr="00FC7A36" w:rsidRDefault="00FE53C7" w:rsidP="003C63D9">
            <w:pPr>
              <w:spacing w:after="0"/>
              <w:jc w:val="right"/>
              <w:rPr>
                <w:rFonts w:eastAsia="Times New Roman"/>
                <w:sz w:val="24"/>
                <w:szCs w:val="24"/>
              </w:rPr>
            </w:pPr>
            <w:r w:rsidRPr="00FC7A36">
              <w:rPr>
                <w:rFonts w:eastAsia="Times New Roman"/>
                <w:sz w:val="24"/>
                <w:szCs w:val="24"/>
              </w:rPr>
              <w:t>265,572</w:t>
            </w:r>
            <w:r w:rsidR="005722EB">
              <w:rPr>
                <w:rFonts w:eastAsia="Times New Roman"/>
                <w:sz w:val="24"/>
                <w:szCs w:val="24"/>
              </w:rPr>
              <w:t xml:space="preserve"> Hrs.</w:t>
            </w:r>
          </w:p>
        </w:tc>
      </w:tr>
      <w:tr w:rsidR="001E66C9" w:rsidRPr="00FC7A36" w14:paraId="6152E1D6" w14:textId="77777777" w:rsidTr="00551CB4">
        <w:tc>
          <w:tcPr>
            <w:tcW w:w="2107" w:type="dxa"/>
            <w:shd w:val="clear" w:color="auto" w:fill="auto"/>
          </w:tcPr>
          <w:p w14:paraId="5FF53E91" w14:textId="1A794644" w:rsidR="001E66C9" w:rsidRPr="00FC7A36" w:rsidRDefault="00717583" w:rsidP="00FC7A36">
            <w:pPr>
              <w:spacing w:after="0"/>
              <w:rPr>
                <w:rFonts w:eastAsia="Times New Roman"/>
                <w:sz w:val="24"/>
                <w:szCs w:val="24"/>
              </w:rPr>
            </w:pPr>
            <w:r>
              <w:rPr>
                <w:rFonts w:eastAsia="Times New Roman"/>
                <w:sz w:val="24"/>
                <w:szCs w:val="24"/>
              </w:rPr>
              <w:t>Total</w:t>
            </w:r>
          </w:p>
        </w:tc>
        <w:tc>
          <w:tcPr>
            <w:tcW w:w="2118" w:type="dxa"/>
            <w:shd w:val="clear" w:color="auto" w:fill="auto"/>
          </w:tcPr>
          <w:p w14:paraId="5E6E26F4" w14:textId="082FC43E" w:rsidR="001E66C9" w:rsidRPr="00FC7A36" w:rsidRDefault="00717583" w:rsidP="003C63D9">
            <w:pPr>
              <w:spacing w:after="0"/>
              <w:jc w:val="right"/>
              <w:rPr>
                <w:rFonts w:eastAsia="Times New Roman"/>
                <w:sz w:val="24"/>
                <w:szCs w:val="24"/>
              </w:rPr>
            </w:pPr>
            <w:r>
              <w:rPr>
                <w:rFonts w:eastAsia="Times New Roman"/>
                <w:sz w:val="24"/>
                <w:szCs w:val="24"/>
              </w:rPr>
              <w:t>509</w:t>
            </w:r>
          </w:p>
        </w:tc>
        <w:tc>
          <w:tcPr>
            <w:tcW w:w="2060" w:type="dxa"/>
            <w:shd w:val="clear" w:color="auto" w:fill="auto"/>
          </w:tcPr>
          <w:p w14:paraId="42D93628" w14:textId="77777777" w:rsidR="001E66C9" w:rsidRPr="00FC7A36" w:rsidRDefault="001E66C9" w:rsidP="003C63D9">
            <w:pPr>
              <w:spacing w:after="0"/>
              <w:jc w:val="right"/>
              <w:rPr>
                <w:rFonts w:eastAsia="Times New Roman"/>
                <w:sz w:val="24"/>
                <w:szCs w:val="24"/>
              </w:rPr>
            </w:pPr>
          </w:p>
        </w:tc>
        <w:tc>
          <w:tcPr>
            <w:tcW w:w="2150" w:type="dxa"/>
            <w:shd w:val="clear" w:color="auto" w:fill="auto"/>
          </w:tcPr>
          <w:p w14:paraId="21FF7C5E" w14:textId="183F2416" w:rsidR="001E66C9" w:rsidRPr="00FC7A36" w:rsidRDefault="00717583" w:rsidP="003C63D9">
            <w:pPr>
              <w:spacing w:after="0"/>
              <w:jc w:val="right"/>
              <w:rPr>
                <w:rFonts w:eastAsia="Times New Roman"/>
                <w:sz w:val="24"/>
                <w:szCs w:val="24"/>
              </w:rPr>
            </w:pPr>
            <w:r>
              <w:rPr>
                <w:rFonts w:eastAsia="Times New Roman"/>
                <w:sz w:val="24"/>
                <w:szCs w:val="24"/>
              </w:rPr>
              <w:t>2,655,849 Hrs.</w:t>
            </w:r>
          </w:p>
        </w:tc>
      </w:tr>
    </w:tbl>
    <w:p w14:paraId="09CA856B" w14:textId="77777777" w:rsidR="00FE53C7" w:rsidRPr="00FC7A36" w:rsidRDefault="00FE53C7" w:rsidP="00FC7A36">
      <w:pPr>
        <w:spacing w:after="0"/>
        <w:rPr>
          <w:rFonts w:eastAsia="Times New Roman"/>
          <w:sz w:val="24"/>
          <w:szCs w:val="24"/>
        </w:rPr>
      </w:pPr>
      <w:r w:rsidRPr="00FC7A36">
        <w:rPr>
          <w:rFonts w:eastAsia="Times New Roman"/>
          <w:sz w:val="24"/>
          <w:szCs w:val="24"/>
        </w:rPr>
        <w:tab/>
      </w:r>
    </w:p>
    <w:p w14:paraId="473F13D6" w14:textId="470C1022" w:rsidR="00337C1F" w:rsidRPr="00FC7A36" w:rsidRDefault="00FE53C7" w:rsidP="00FC7A36">
      <w:pPr>
        <w:spacing w:after="0"/>
        <w:rPr>
          <w:sz w:val="24"/>
          <w:szCs w:val="24"/>
        </w:rPr>
      </w:pPr>
      <w:bookmarkStart w:id="3" w:name="_Hlk25064778"/>
      <w:r w:rsidRPr="00FC7A36">
        <w:rPr>
          <w:rFonts w:eastAsia="Times New Roman"/>
          <w:sz w:val="24"/>
          <w:szCs w:val="24"/>
        </w:rPr>
        <w:t xml:space="preserve">The total estimated annual cost </w:t>
      </w:r>
      <w:r w:rsidR="00124899">
        <w:rPr>
          <w:rFonts w:eastAsia="Times New Roman"/>
          <w:sz w:val="24"/>
          <w:szCs w:val="24"/>
        </w:rPr>
        <w:t xml:space="preserve">for </w:t>
      </w:r>
      <w:r w:rsidRPr="00FC7A36">
        <w:rPr>
          <w:rFonts w:eastAsia="Times New Roman"/>
          <w:sz w:val="24"/>
          <w:szCs w:val="24"/>
        </w:rPr>
        <w:t xml:space="preserve">burden </w:t>
      </w:r>
      <w:r w:rsidR="00124899">
        <w:rPr>
          <w:rFonts w:eastAsia="Times New Roman"/>
          <w:sz w:val="24"/>
          <w:szCs w:val="24"/>
        </w:rPr>
        <w:t xml:space="preserve">hours </w:t>
      </w:r>
      <w:r w:rsidRPr="00FC7A36">
        <w:rPr>
          <w:rFonts w:eastAsia="Times New Roman"/>
          <w:sz w:val="24"/>
          <w:szCs w:val="24"/>
        </w:rPr>
        <w:t>to respondents is $212,482,720</w:t>
      </w:r>
      <w:r w:rsidR="008D646D">
        <w:rPr>
          <w:rFonts w:eastAsia="Times New Roman"/>
          <w:sz w:val="24"/>
          <w:szCs w:val="24"/>
        </w:rPr>
        <w:t xml:space="preserve"> (or </w:t>
      </w:r>
      <w:r w:rsidR="008D646D" w:rsidRPr="008D646D">
        <w:rPr>
          <w:rFonts w:eastAsia="Times New Roman"/>
          <w:sz w:val="24"/>
          <w:szCs w:val="24"/>
        </w:rPr>
        <w:t>2,656,034 hrs</w:t>
      </w:r>
      <w:r w:rsidR="005B3BB5">
        <w:rPr>
          <w:rFonts w:eastAsia="Times New Roman"/>
          <w:sz w:val="24"/>
          <w:szCs w:val="24"/>
        </w:rPr>
        <w:t>.</w:t>
      </w:r>
      <w:r w:rsidR="008D646D">
        <w:rPr>
          <w:rFonts w:eastAsia="Times New Roman"/>
          <w:sz w:val="24"/>
          <w:szCs w:val="24"/>
        </w:rPr>
        <w:t xml:space="preserve"> * $80/hr.)</w:t>
      </w:r>
      <w:r w:rsidRPr="00FC7A36">
        <w:rPr>
          <w:rFonts w:eastAsia="Times New Roman"/>
          <w:sz w:val="24"/>
          <w:szCs w:val="24"/>
        </w:rPr>
        <w:t xml:space="preserve"> The average cost </w:t>
      </w:r>
      <w:r w:rsidR="005B3BB5">
        <w:rPr>
          <w:rFonts w:eastAsia="Times New Roman"/>
          <w:sz w:val="24"/>
          <w:szCs w:val="24"/>
        </w:rPr>
        <w:t xml:space="preserve">for burden hours </w:t>
      </w:r>
      <w:r w:rsidRPr="00FC7A36">
        <w:rPr>
          <w:rFonts w:eastAsia="Times New Roman"/>
          <w:sz w:val="24"/>
          <w:szCs w:val="24"/>
        </w:rPr>
        <w:t>per respondent is $417,451</w:t>
      </w:r>
      <w:r w:rsidR="005B3BB5">
        <w:rPr>
          <w:rFonts w:eastAsia="Times New Roman"/>
          <w:sz w:val="24"/>
          <w:szCs w:val="24"/>
        </w:rPr>
        <w:t>.  The non-burden cost related to physical and electronic storage are discussed in Question 13, below.</w:t>
      </w:r>
      <w:r w:rsidR="00337C1F" w:rsidRPr="00FC7A36">
        <w:rPr>
          <w:sz w:val="24"/>
          <w:szCs w:val="24"/>
        </w:rPr>
        <w:t xml:space="preserve"> </w:t>
      </w:r>
    </w:p>
    <w:p w14:paraId="7865B2B5" w14:textId="77777777" w:rsidR="00337C1F" w:rsidRPr="00FC7A36" w:rsidRDefault="00337C1F" w:rsidP="00FC7A36">
      <w:pPr>
        <w:spacing w:after="0"/>
        <w:rPr>
          <w:sz w:val="24"/>
          <w:szCs w:val="24"/>
        </w:rPr>
      </w:pPr>
    </w:p>
    <w:p w14:paraId="03533207" w14:textId="77777777" w:rsidR="00D80FBD" w:rsidRPr="00FC7A36" w:rsidRDefault="00E636D7" w:rsidP="00FC7A36">
      <w:pPr>
        <w:pStyle w:val="FERCparanumber"/>
        <w:spacing w:line="276" w:lineRule="auto"/>
        <w:rPr>
          <w:sz w:val="24"/>
        </w:rPr>
      </w:pPr>
      <w:r w:rsidRPr="00FC7A36">
        <w:rPr>
          <w:sz w:val="24"/>
        </w:rPr>
        <w:t>ESTIMATE OF THE TOTAL ANNUAL COST BURDEN TO RESPONDENTS</w:t>
      </w:r>
    </w:p>
    <w:p w14:paraId="7812A39D" w14:textId="34D3B5FA" w:rsidR="002748E7" w:rsidRPr="00FC7A36" w:rsidRDefault="002748E7" w:rsidP="00FC7A36">
      <w:pPr>
        <w:keepLines/>
        <w:rPr>
          <w:bCs/>
          <w:sz w:val="24"/>
          <w:szCs w:val="24"/>
        </w:rPr>
      </w:pPr>
      <w:r w:rsidRPr="00FC7A36">
        <w:rPr>
          <w:bCs/>
          <w:sz w:val="24"/>
          <w:szCs w:val="24"/>
        </w:rPr>
        <w:t xml:space="preserve">The Commission estimates that entities </w:t>
      </w:r>
      <w:r w:rsidR="002E3060">
        <w:rPr>
          <w:bCs/>
          <w:sz w:val="24"/>
          <w:szCs w:val="24"/>
        </w:rPr>
        <w:t>incur non-burden hour costs for</w:t>
      </w:r>
      <w:r w:rsidRPr="00FC7A36">
        <w:rPr>
          <w:bCs/>
          <w:sz w:val="24"/>
          <w:szCs w:val="24"/>
        </w:rPr>
        <w:t xml:space="preserve"> storage space (physical and electronic) in order to comply with the record retention requirements.</w:t>
      </w:r>
    </w:p>
    <w:p w14:paraId="069ADBBA" w14:textId="738775DA" w:rsidR="002748E7" w:rsidRPr="00FC7A36" w:rsidRDefault="002748E7" w:rsidP="00FC7A36">
      <w:pPr>
        <w:keepLines/>
        <w:rPr>
          <w:sz w:val="24"/>
          <w:szCs w:val="24"/>
        </w:rPr>
      </w:pPr>
      <w:r w:rsidRPr="00FC7A36">
        <w:rPr>
          <w:bCs/>
          <w:sz w:val="24"/>
          <w:szCs w:val="24"/>
        </w:rPr>
        <w:t xml:space="preserve">FERC estimates that the </w:t>
      </w:r>
      <w:r w:rsidR="002E3060">
        <w:rPr>
          <w:bCs/>
          <w:sz w:val="24"/>
          <w:szCs w:val="24"/>
        </w:rPr>
        <w:t xml:space="preserve">annual </w:t>
      </w:r>
      <w:r w:rsidRPr="00FC7A36">
        <w:rPr>
          <w:bCs/>
          <w:sz w:val="24"/>
          <w:szCs w:val="24"/>
        </w:rPr>
        <w:t>total non-</w:t>
      </w:r>
      <w:r w:rsidR="002E3060">
        <w:rPr>
          <w:bCs/>
          <w:sz w:val="24"/>
          <w:szCs w:val="24"/>
        </w:rPr>
        <w:t xml:space="preserve">burden </w:t>
      </w:r>
      <w:r w:rsidRPr="00FC7A36">
        <w:rPr>
          <w:bCs/>
          <w:sz w:val="24"/>
          <w:szCs w:val="24"/>
        </w:rPr>
        <w:t xml:space="preserve">record </w:t>
      </w:r>
      <w:r w:rsidR="002E3060">
        <w:rPr>
          <w:bCs/>
          <w:sz w:val="24"/>
          <w:szCs w:val="24"/>
        </w:rPr>
        <w:t>storage</w:t>
      </w:r>
      <w:r w:rsidR="002E3060" w:rsidRPr="00FC7A36">
        <w:rPr>
          <w:bCs/>
          <w:sz w:val="24"/>
          <w:szCs w:val="24"/>
        </w:rPr>
        <w:t xml:space="preserve"> </w:t>
      </w:r>
      <w:r w:rsidRPr="00FC7A36">
        <w:rPr>
          <w:bCs/>
          <w:sz w:val="24"/>
          <w:szCs w:val="24"/>
        </w:rPr>
        <w:t xml:space="preserve">cost is </w:t>
      </w:r>
      <w:r w:rsidRPr="00FC7A36">
        <w:rPr>
          <w:sz w:val="24"/>
          <w:szCs w:val="24"/>
        </w:rPr>
        <w:t>$</w:t>
      </w:r>
      <w:r w:rsidR="008C5B46" w:rsidRPr="008C5B46">
        <w:rPr>
          <w:sz w:val="24"/>
          <w:szCs w:val="24"/>
        </w:rPr>
        <w:t>78,243,220</w:t>
      </w:r>
      <w:r w:rsidRPr="00FC7A36">
        <w:rPr>
          <w:sz w:val="24"/>
          <w:szCs w:val="24"/>
        </w:rPr>
        <w:t xml:space="preserve">.  The average annual </w:t>
      </w:r>
      <w:r w:rsidR="002E3060">
        <w:rPr>
          <w:sz w:val="24"/>
          <w:szCs w:val="24"/>
        </w:rPr>
        <w:t xml:space="preserve">non-burden storage </w:t>
      </w:r>
      <w:r w:rsidRPr="00FC7A36">
        <w:rPr>
          <w:sz w:val="24"/>
          <w:szCs w:val="24"/>
        </w:rPr>
        <w:t>cost per company is $153,719</w:t>
      </w:r>
      <w:r w:rsidR="002E3060">
        <w:rPr>
          <w:sz w:val="24"/>
          <w:szCs w:val="24"/>
        </w:rPr>
        <w:t xml:space="preserve"> (or </w:t>
      </w:r>
      <w:r w:rsidR="002E3060" w:rsidRPr="002E3060">
        <w:rPr>
          <w:sz w:val="24"/>
          <w:szCs w:val="24"/>
        </w:rPr>
        <w:t>$78,243,220</w:t>
      </w:r>
      <w:r w:rsidR="002E3060">
        <w:rPr>
          <w:sz w:val="24"/>
          <w:szCs w:val="24"/>
        </w:rPr>
        <w:t>/509)</w:t>
      </w:r>
      <w:r w:rsidRPr="00FC7A36">
        <w:rPr>
          <w:sz w:val="24"/>
          <w:szCs w:val="24"/>
        </w:rPr>
        <w:t>.  FERC also derived these estimates using cost information submitted by a few jurisdictional filers</w:t>
      </w:r>
      <w:r w:rsidR="002E3060">
        <w:rPr>
          <w:sz w:val="24"/>
          <w:szCs w:val="24"/>
        </w:rPr>
        <w:t>, as noted above.</w:t>
      </w:r>
    </w:p>
    <w:bookmarkEnd w:id="3"/>
    <w:p w14:paraId="3EDEBC11" w14:textId="4D5CABFB" w:rsidR="002748E7" w:rsidRPr="00FC7A36" w:rsidRDefault="002748E7" w:rsidP="00FC7A36">
      <w:pPr>
        <w:keepLines/>
        <w:rPr>
          <w:sz w:val="24"/>
          <w:szCs w:val="24"/>
        </w:rPr>
      </w:pPr>
      <w:r w:rsidRPr="00FC7A36">
        <w:rPr>
          <w:sz w:val="24"/>
          <w:szCs w:val="24"/>
        </w:rPr>
        <w:t xml:space="preserve">The breakdown of </w:t>
      </w:r>
      <w:r w:rsidR="00265328" w:rsidRPr="00FC7A36">
        <w:rPr>
          <w:sz w:val="24"/>
          <w:szCs w:val="24"/>
        </w:rPr>
        <w:t xml:space="preserve">the estimated </w:t>
      </w:r>
      <w:r w:rsidRPr="00FC7A36">
        <w:rPr>
          <w:sz w:val="24"/>
          <w:szCs w:val="24"/>
        </w:rPr>
        <w:t>non-</w:t>
      </w:r>
      <w:r w:rsidR="002E3060">
        <w:rPr>
          <w:sz w:val="24"/>
          <w:szCs w:val="24"/>
        </w:rPr>
        <w:t>burden hour (non-</w:t>
      </w:r>
      <w:r w:rsidRPr="00FC7A36">
        <w:rPr>
          <w:sz w:val="24"/>
          <w:szCs w:val="24"/>
        </w:rPr>
        <w:t>labor</w:t>
      </w:r>
      <w:r w:rsidR="002E3060">
        <w:rPr>
          <w:sz w:val="24"/>
          <w:szCs w:val="24"/>
        </w:rPr>
        <w:t>)</w:t>
      </w:r>
      <w:r w:rsidRPr="00FC7A36">
        <w:rPr>
          <w:sz w:val="24"/>
          <w:szCs w:val="24"/>
        </w:rPr>
        <w:t xml:space="preserve"> cost by entity size follows: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340"/>
        <w:gridCol w:w="2430"/>
        <w:gridCol w:w="2520"/>
      </w:tblGrid>
      <w:tr w:rsidR="002748E7" w:rsidRPr="00FC7A36" w14:paraId="1C658AA8" w14:textId="77777777" w:rsidTr="003C63D9">
        <w:tc>
          <w:tcPr>
            <w:tcW w:w="1795" w:type="dxa"/>
            <w:tcBorders>
              <w:top w:val="single" w:sz="4" w:space="0" w:color="auto"/>
              <w:left w:val="single" w:sz="4" w:space="0" w:color="auto"/>
              <w:bottom w:val="single" w:sz="4" w:space="0" w:color="auto"/>
              <w:right w:val="single" w:sz="4" w:space="0" w:color="auto"/>
            </w:tcBorders>
            <w:hideMark/>
          </w:tcPr>
          <w:p w14:paraId="01E1A0A3" w14:textId="45615557" w:rsidR="002748E7" w:rsidRPr="00FC7A36" w:rsidRDefault="008C5B46" w:rsidP="00FC7A36">
            <w:pPr>
              <w:keepLines/>
              <w:spacing w:after="0"/>
              <w:rPr>
                <w:sz w:val="24"/>
                <w:szCs w:val="24"/>
              </w:rPr>
            </w:pPr>
            <w:r>
              <w:rPr>
                <w:b/>
                <w:sz w:val="24"/>
                <w:szCs w:val="24"/>
              </w:rPr>
              <w:t xml:space="preserve">Entity </w:t>
            </w:r>
            <w:r w:rsidR="002748E7" w:rsidRPr="00FC7A36">
              <w:rPr>
                <w:b/>
                <w:sz w:val="24"/>
                <w:szCs w:val="24"/>
              </w:rPr>
              <w:t>Size</w:t>
            </w:r>
          </w:p>
        </w:tc>
        <w:tc>
          <w:tcPr>
            <w:tcW w:w="2340" w:type="dxa"/>
            <w:tcBorders>
              <w:top w:val="single" w:sz="4" w:space="0" w:color="auto"/>
              <w:left w:val="single" w:sz="4" w:space="0" w:color="auto"/>
              <w:bottom w:val="single" w:sz="4" w:space="0" w:color="auto"/>
              <w:right w:val="single" w:sz="4" w:space="0" w:color="auto"/>
            </w:tcBorders>
            <w:hideMark/>
          </w:tcPr>
          <w:p w14:paraId="47DC3321" w14:textId="77777777" w:rsidR="002748E7" w:rsidRPr="00FC7A36" w:rsidRDefault="002748E7" w:rsidP="00FC7A36">
            <w:pPr>
              <w:keepLines/>
              <w:spacing w:after="0"/>
              <w:rPr>
                <w:sz w:val="24"/>
                <w:szCs w:val="24"/>
              </w:rPr>
            </w:pPr>
            <w:r w:rsidRPr="00FC7A36">
              <w:rPr>
                <w:b/>
                <w:sz w:val="24"/>
                <w:szCs w:val="24"/>
              </w:rPr>
              <w:t>Number of Entities</w:t>
            </w:r>
          </w:p>
        </w:tc>
        <w:tc>
          <w:tcPr>
            <w:tcW w:w="2430" w:type="dxa"/>
            <w:tcBorders>
              <w:top w:val="single" w:sz="4" w:space="0" w:color="auto"/>
              <w:left w:val="single" w:sz="4" w:space="0" w:color="auto"/>
              <w:bottom w:val="single" w:sz="4" w:space="0" w:color="auto"/>
              <w:right w:val="single" w:sz="4" w:space="0" w:color="auto"/>
            </w:tcBorders>
            <w:hideMark/>
          </w:tcPr>
          <w:p w14:paraId="65A24F62" w14:textId="309A98BB" w:rsidR="002748E7" w:rsidRPr="00FC7A36" w:rsidRDefault="002748E7" w:rsidP="00FC7A36">
            <w:pPr>
              <w:keepLines/>
              <w:spacing w:after="0"/>
              <w:rPr>
                <w:b/>
                <w:sz w:val="24"/>
                <w:szCs w:val="24"/>
              </w:rPr>
            </w:pPr>
            <w:r w:rsidRPr="00FC7A36">
              <w:rPr>
                <w:b/>
                <w:sz w:val="24"/>
                <w:szCs w:val="24"/>
              </w:rPr>
              <w:t xml:space="preserve">Record Retention Cost </w:t>
            </w:r>
            <w:r w:rsidR="005722EB">
              <w:rPr>
                <w:b/>
                <w:sz w:val="24"/>
                <w:szCs w:val="24"/>
              </w:rPr>
              <w:t xml:space="preserve">($) </w:t>
            </w:r>
            <w:r w:rsidRPr="00FC7A36">
              <w:rPr>
                <w:b/>
                <w:sz w:val="24"/>
                <w:szCs w:val="24"/>
              </w:rPr>
              <w:t>Per Entity</w:t>
            </w:r>
          </w:p>
        </w:tc>
        <w:tc>
          <w:tcPr>
            <w:tcW w:w="2520" w:type="dxa"/>
            <w:tcBorders>
              <w:top w:val="single" w:sz="4" w:space="0" w:color="auto"/>
              <w:left w:val="single" w:sz="4" w:space="0" w:color="auto"/>
              <w:bottom w:val="single" w:sz="4" w:space="0" w:color="auto"/>
              <w:right w:val="single" w:sz="4" w:space="0" w:color="auto"/>
            </w:tcBorders>
            <w:hideMark/>
          </w:tcPr>
          <w:p w14:paraId="1ECC3DA4" w14:textId="74CE618E" w:rsidR="002748E7" w:rsidRPr="00FC7A36" w:rsidRDefault="002748E7" w:rsidP="00FC7A36">
            <w:pPr>
              <w:keepLines/>
              <w:spacing w:after="0"/>
              <w:rPr>
                <w:b/>
                <w:sz w:val="24"/>
                <w:szCs w:val="24"/>
              </w:rPr>
            </w:pPr>
            <w:r w:rsidRPr="00FC7A36">
              <w:rPr>
                <w:b/>
                <w:sz w:val="24"/>
                <w:szCs w:val="24"/>
              </w:rPr>
              <w:t>Total Record Retention Cost</w:t>
            </w:r>
            <w:r w:rsidR="005722EB">
              <w:rPr>
                <w:b/>
                <w:sz w:val="24"/>
                <w:szCs w:val="24"/>
              </w:rPr>
              <w:t xml:space="preserve"> ($)</w:t>
            </w:r>
            <w:r w:rsidR="002E3060">
              <w:rPr>
                <w:b/>
                <w:sz w:val="24"/>
                <w:szCs w:val="24"/>
              </w:rPr>
              <w:t xml:space="preserve"> (rounded)</w:t>
            </w:r>
          </w:p>
        </w:tc>
      </w:tr>
      <w:tr w:rsidR="002748E7" w:rsidRPr="00FC7A36" w14:paraId="42E1C1C1" w14:textId="77777777" w:rsidTr="003C63D9">
        <w:tc>
          <w:tcPr>
            <w:tcW w:w="1795" w:type="dxa"/>
            <w:tcBorders>
              <w:top w:val="single" w:sz="4" w:space="0" w:color="auto"/>
              <w:left w:val="single" w:sz="4" w:space="0" w:color="auto"/>
              <w:bottom w:val="single" w:sz="4" w:space="0" w:color="auto"/>
              <w:right w:val="single" w:sz="4" w:space="0" w:color="auto"/>
            </w:tcBorders>
            <w:hideMark/>
          </w:tcPr>
          <w:p w14:paraId="7E850CD8" w14:textId="77777777" w:rsidR="002748E7" w:rsidRPr="00FC7A36" w:rsidRDefault="002748E7" w:rsidP="00FC7A36">
            <w:pPr>
              <w:keepLines/>
              <w:spacing w:after="0"/>
              <w:rPr>
                <w:sz w:val="24"/>
                <w:szCs w:val="24"/>
              </w:rPr>
            </w:pPr>
            <w:r w:rsidRPr="00FC7A36">
              <w:rPr>
                <w:sz w:val="24"/>
                <w:szCs w:val="24"/>
              </w:rPr>
              <w:t>Large</w:t>
            </w:r>
          </w:p>
        </w:tc>
        <w:tc>
          <w:tcPr>
            <w:tcW w:w="2340" w:type="dxa"/>
            <w:tcBorders>
              <w:top w:val="single" w:sz="4" w:space="0" w:color="auto"/>
              <w:left w:val="single" w:sz="4" w:space="0" w:color="auto"/>
              <w:bottom w:val="single" w:sz="4" w:space="0" w:color="auto"/>
              <w:right w:val="single" w:sz="4" w:space="0" w:color="auto"/>
            </w:tcBorders>
            <w:hideMark/>
          </w:tcPr>
          <w:p w14:paraId="514AB50D" w14:textId="77777777" w:rsidR="002748E7" w:rsidRPr="00FC7A36" w:rsidRDefault="002748E7" w:rsidP="003C63D9">
            <w:pPr>
              <w:keepLines/>
              <w:spacing w:after="0"/>
              <w:jc w:val="right"/>
              <w:rPr>
                <w:sz w:val="24"/>
                <w:szCs w:val="24"/>
              </w:rPr>
            </w:pPr>
            <w:r w:rsidRPr="00FC7A36">
              <w:rPr>
                <w:sz w:val="24"/>
                <w:szCs w:val="24"/>
              </w:rPr>
              <w:t>174</w:t>
            </w:r>
          </w:p>
        </w:tc>
        <w:tc>
          <w:tcPr>
            <w:tcW w:w="2430" w:type="dxa"/>
            <w:tcBorders>
              <w:top w:val="single" w:sz="4" w:space="0" w:color="auto"/>
              <w:left w:val="single" w:sz="4" w:space="0" w:color="auto"/>
              <w:bottom w:val="single" w:sz="4" w:space="0" w:color="auto"/>
              <w:right w:val="single" w:sz="4" w:space="0" w:color="auto"/>
            </w:tcBorders>
            <w:hideMark/>
          </w:tcPr>
          <w:p w14:paraId="3A1093DB" w14:textId="77777777" w:rsidR="002748E7" w:rsidRPr="00FC7A36" w:rsidRDefault="002748E7" w:rsidP="003C63D9">
            <w:pPr>
              <w:keepLines/>
              <w:spacing w:after="0"/>
              <w:jc w:val="right"/>
              <w:rPr>
                <w:sz w:val="24"/>
                <w:szCs w:val="24"/>
              </w:rPr>
            </w:pPr>
            <w:r w:rsidRPr="00FC7A36">
              <w:rPr>
                <w:sz w:val="24"/>
                <w:szCs w:val="24"/>
              </w:rPr>
              <w:t>$306,869</w:t>
            </w:r>
          </w:p>
        </w:tc>
        <w:tc>
          <w:tcPr>
            <w:tcW w:w="2520" w:type="dxa"/>
            <w:tcBorders>
              <w:top w:val="single" w:sz="4" w:space="0" w:color="auto"/>
              <w:left w:val="single" w:sz="4" w:space="0" w:color="auto"/>
              <w:bottom w:val="single" w:sz="4" w:space="0" w:color="auto"/>
              <w:right w:val="single" w:sz="4" w:space="0" w:color="auto"/>
            </w:tcBorders>
            <w:hideMark/>
          </w:tcPr>
          <w:p w14:paraId="2905141F" w14:textId="77777777" w:rsidR="002748E7" w:rsidRPr="00FC7A36" w:rsidRDefault="002748E7" w:rsidP="003C63D9">
            <w:pPr>
              <w:keepLines/>
              <w:spacing w:after="0"/>
              <w:jc w:val="right"/>
              <w:rPr>
                <w:sz w:val="24"/>
                <w:szCs w:val="24"/>
              </w:rPr>
            </w:pPr>
            <w:r w:rsidRPr="00FC7A36">
              <w:rPr>
                <w:sz w:val="24"/>
                <w:szCs w:val="24"/>
              </w:rPr>
              <w:t>$53,395,251</w:t>
            </w:r>
          </w:p>
        </w:tc>
      </w:tr>
      <w:tr w:rsidR="002748E7" w:rsidRPr="00FC7A36" w14:paraId="321FF7C3" w14:textId="77777777" w:rsidTr="003C63D9">
        <w:tc>
          <w:tcPr>
            <w:tcW w:w="1795" w:type="dxa"/>
            <w:tcBorders>
              <w:top w:val="single" w:sz="4" w:space="0" w:color="auto"/>
              <w:left w:val="single" w:sz="4" w:space="0" w:color="auto"/>
              <w:bottom w:val="single" w:sz="4" w:space="0" w:color="auto"/>
              <w:right w:val="single" w:sz="4" w:space="0" w:color="auto"/>
            </w:tcBorders>
            <w:hideMark/>
          </w:tcPr>
          <w:p w14:paraId="69D2D071" w14:textId="77777777" w:rsidR="002748E7" w:rsidRPr="00FC7A36" w:rsidRDefault="002748E7" w:rsidP="00FC7A36">
            <w:pPr>
              <w:keepLines/>
              <w:spacing w:after="0"/>
              <w:rPr>
                <w:sz w:val="24"/>
                <w:szCs w:val="24"/>
              </w:rPr>
            </w:pPr>
            <w:r w:rsidRPr="00FC7A36">
              <w:rPr>
                <w:sz w:val="24"/>
                <w:szCs w:val="24"/>
              </w:rPr>
              <w:t>Medium</w:t>
            </w:r>
          </w:p>
        </w:tc>
        <w:tc>
          <w:tcPr>
            <w:tcW w:w="2340" w:type="dxa"/>
            <w:tcBorders>
              <w:top w:val="single" w:sz="4" w:space="0" w:color="auto"/>
              <w:left w:val="single" w:sz="4" w:space="0" w:color="auto"/>
              <w:bottom w:val="single" w:sz="4" w:space="0" w:color="auto"/>
              <w:right w:val="single" w:sz="4" w:space="0" w:color="auto"/>
            </w:tcBorders>
            <w:hideMark/>
          </w:tcPr>
          <w:p w14:paraId="57937C41" w14:textId="77777777" w:rsidR="002748E7" w:rsidRPr="00FC7A36" w:rsidRDefault="002748E7" w:rsidP="003C63D9">
            <w:pPr>
              <w:keepLines/>
              <w:spacing w:after="0"/>
              <w:jc w:val="right"/>
              <w:rPr>
                <w:sz w:val="24"/>
                <w:szCs w:val="24"/>
              </w:rPr>
            </w:pPr>
            <w:r w:rsidRPr="00FC7A36">
              <w:rPr>
                <w:sz w:val="24"/>
                <w:szCs w:val="24"/>
              </w:rPr>
              <w:t>166</w:t>
            </w:r>
          </w:p>
        </w:tc>
        <w:tc>
          <w:tcPr>
            <w:tcW w:w="2430" w:type="dxa"/>
            <w:tcBorders>
              <w:top w:val="single" w:sz="4" w:space="0" w:color="auto"/>
              <w:left w:val="single" w:sz="4" w:space="0" w:color="auto"/>
              <w:bottom w:val="single" w:sz="4" w:space="0" w:color="auto"/>
              <w:right w:val="single" w:sz="4" w:space="0" w:color="auto"/>
            </w:tcBorders>
            <w:hideMark/>
          </w:tcPr>
          <w:p w14:paraId="5012B775" w14:textId="77777777" w:rsidR="002748E7" w:rsidRPr="00FC7A36" w:rsidRDefault="002748E7" w:rsidP="003C63D9">
            <w:pPr>
              <w:keepLines/>
              <w:spacing w:after="0"/>
              <w:jc w:val="right"/>
              <w:rPr>
                <w:sz w:val="24"/>
                <w:szCs w:val="24"/>
              </w:rPr>
            </w:pPr>
            <w:r w:rsidRPr="00FC7A36">
              <w:rPr>
                <w:sz w:val="24"/>
                <w:szCs w:val="24"/>
              </w:rPr>
              <w:t>$94,194</w:t>
            </w:r>
          </w:p>
        </w:tc>
        <w:tc>
          <w:tcPr>
            <w:tcW w:w="2520" w:type="dxa"/>
            <w:tcBorders>
              <w:top w:val="single" w:sz="4" w:space="0" w:color="auto"/>
              <w:left w:val="single" w:sz="4" w:space="0" w:color="auto"/>
              <w:bottom w:val="single" w:sz="4" w:space="0" w:color="auto"/>
              <w:right w:val="single" w:sz="4" w:space="0" w:color="auto"/>
            </w:tcBorders>
            <w:hideMark/>
          </w:tcPr>
          <w:p w14:paraId="7914E848" w14:textId="77777777" w:rsidR="002748E7" w:rsidRPr="00FC7A36" w:rsidRDefault="002748E7" w:rsidP="003C63D9">
            <w:pPr>
              <w:keepLines/>
              <w:spacing w:after="0"/>
              <w:jc w:val="right"/>
              <w:rPr>
                <w:sz w:val="24"/>
                <w:szCs w:val="24"/>
              </w:rPr>
            </w:pPr>
            <w:r w:rsidRPr="00FC7A36">
              <w:rPr>
                <w:sz w:val="24"/>
                <w:szCs w:val="24"/>
              </w:rPr>
              <w:t>$15,636,239</w:t>
            </w:r>
          </w:p>
        </w:tc>
      </w:tr>
      <w:tr w:rsidR="002748E7" w:rsidRPr="00FC7A36" w14:paraId="43449C43" w14:textId="77777777" w:rsidTr="003C63D9">
        <w:tc>
          <w:tcPr>
            <w:tcW w:w="1795" w:type="dxa"/>
            <w:tcBorders>
              <w:top w:val="single" w:sz="4" w:space="0" w:color="auto"/>
              <w:left w:val="single" w:sz="4" w:space="0" w:color="auto"/>
              <w:bottom w:val="single" w:sz="4" w:space="0" w:color="auto"/>
              <w:right w:val="single" w:sz="4" w:space="0" w:color="auto"/>
            </w:tcBorders>
            <w:hideMark/>
          </w:tcPr>
          <w:p w14:paraId="0F70B302" w14:textId="77777777" w:rsidR="002748E7" w:rsidRPr="00FC7A36" w:rsidRDefault="002748E7" w:rsidP="00FC7A36">
            <w:pPr>
              <w:keepLines/>
              <w:spacing w:after="0"/>
              <w:rPr>
                <w:sz w:val="24"/>
                <w:szCs w:val="24"/>
              </w:rPr>
            </w:pPr>
            <w:r w:rsidRPr="00FC7A36">
              <w:rPr>
                <w:sz w:val="24"/>
                <w:szCs w:val="24"/>
              </w:rPr>
              <w:t>Small</w:t>
            </w:r>
          </w:p>
        </w:tc>
        <w:tc>
          <w:tcPr>
            <w:tcW w:w="2340" w:type="dxa"/>
            <w:tcBorders>
              <w:top w:val="single" w:sz="4" w:space="0" w:color="auto"/>
              <w:left w:val="single" w:sz="4" w:space="0" w:color="auto"/>
              <w:bottom w:val="single" w:sz="4" w:space="0" w:color="auto"/>
              <w:right w:val="single" w:sz="4" w:space="0" w:color="auto"/>
            </w:tcBorders>
            <w:hideMark/>
          </w:tcPr>
          <w:p w14:paraId="71900BEC" w14:textId="77777777" w:rsidR="002748E7" w:rsidRPr="00FC7A36" w:rsidRDefault="002748E7" w:rsidP="003C63D9">
            <w:pPr>
              <w:keepLines/>
              <w:spacing w:after="0"/>
              <w:jc w:val="right"/>
              <w:rPr>
                <w:sz w:val="24"/>
                <w:szCs w:val="24"/>
              </w:rPr>
            </w:pPr>
            <w:r w:rsidRPr="00FC7A36">
              <w:rPr>
                <w:sz w:val="24"/>
                <w:szCs w:val="24"/>
              </w:rPr>
              <w:t>169</w:t>
            </w:r>
          </w:p>
        </w:tc>
        <w:tc>
          <w:tcPr>
            <w:tcW w:w="2430" w:type="dxa"/>
            <w:tcBorders>
              <w:top w:val="single" w:sz="4" w:space="0" w:color="auto"/>
              <w:left w:val="single" w:sz="4" w:space="0" w:color="auto"/>
              <w:bottom w:val="single" w:sz="4" w:space="0" w:color="auto"/>
              <w:right w:val="single" w:sz="4" w:space="0" w:color="auto"/>
            </w:tcBorders>
            <w:hideMark/>
          </w:tcPr>
          <w:p w14:paraId="3E263F6A" w14:textId="77777777" w:rsidR="002748E7" w:rsidRPr="00FC7A36" w:rsidRDefault="002748E7" w:rsidP="003C63D9">
            <w:pPr>
              <w:keepLines/>
              <w:spacing w:after="0"/>
              <w:jc w:val="right"/>
              <w:rPr>
                <w:sz w:val="24"/>
                <w:szCs w:val="24"/>
              </w:rPr>
            </w:pPr>
            <w:r w:rsidRPr="00FC7A36">
              <w:rPr>
                <w:sz w:val="24"/>
                <w:szCs w:val="24"/>
              </w:rPr>
              <w:t>$54,507</w:t>
            </w:r>
          </w:p>
        </w:tc>
        <w:tc>
          <w:tcPr>
            <w:tcW w:w="2520" w:type="dxa"/>
            <w:tcBorders>
              <w:top w:val="single" w:sz="4" w:space="0" w:color="auto"/>
              <w:left w:val="single" w:sz="4" w:space="0" w:color="auto"/>
              <w:bottom w:val="single" w:sz="4" w:space="0" w:color="auto"/>
              <w:right w:val="single" w:sz="4" w:space="0" w:color="auto"/>
            </w:tcBorders>
            <w:hideMark/>
          </w:tcPr>
          <w:p w14:paraId="5C5BA7E3" w14:textId="77777777" w:rsidR="002748E7" w:rsidRPr="00FC7A36" w:rsidRDefault="002748E7" w:rsidP="003C63D9">
            <w:pPr>
              <w:keepLines/>
              <w:spacing w:after="0"/>
              <w:jc w:val="right"/>
              <w:rPr>
                <w:sz w:val="24"/>
                <w:szCs w:val="24"/>
              </w:rPr>
            </w:pPr>
            <w:r w:rsidRPr="00FC7A36">
              <w:rPr>
                <w:sz w:val="24"/>
                <w:szCs w:val="24"/>
              </w:rPr>
              <w:t>$9,211,730</w:t>
            </w:r>
          </w:p>
        </w:tc>
      </w:tr>
      <w:tr w:rsidR="00026BC5" w:rsidRPr="00FC7A36" w14:paraId="5D867E0A" w14:textId="77777777" w:rsidTr="003C63D9">
        <w:tc>
          <w:tcPr>
            <w:tcW w:w="1795" w:type="dxa"/>
            <w:tcBorders>
              <w:top w:val="single" w:sz="4" w:space="0" w:color="auto"/>
              <w:left w:val="single" w:sz="4" w:space="0" w:color="auto"/>
              <w:bottom w:val="single" w:sz="4" w:space="0" w:color="auto"/>
              <w:right w:val="single" w:sz="4" w:space="0" w:color="auto"/>
            </w:tcBorders>
          </w:tcPr>
          <w:p w14:paraId="3C93124A" w14:textId="4AC44F73" w:rsidR="00026BC5" w:rsidRPr="00FC7A36" w:rsidRDefault="00026BC5" w:rsidP="00FC7A36">
            <w:pPr>
              <w:keepLines/>
              <w:spacing w:after="0"/>
              <w:rPr>
                <w:sz w:val="24"/>
                <w:szCs w:val="24"/>
              </w:rPr>
            </w:pPr>
            <w:r>
              <w:rPr>
                <w:sz w:val="24"/>
                <w:szCs w:val="24"/>
              </w:rPr>
              <w:t>Total</w:t>
            </w:r>
          </w:p>
        </w:tc>
        <w:tc>
          <w:tcPr>
            <w:tcW w:w="2340" w:type="dxa"/>
            <w:tcBorders>
              <w:top w:val="single" w:sz="4" w:space="0" w:color="auto"/>
              <w:left w:val="single" w:sz="4" w:space="0" w:color="auto"/>
              <w:bottom w:val="single" w:sz="4" w:space="0" w:color="auto"/>
              <w:right w:val="single" w:sz="4" w:space="0" w:color="auto"/>
            </w:tcBorders>
          </w:tcPr>
          <w:p w14:paraId="71318283" w14:textId="1D97AC29" w:rsidR="00026BC5" w:rsidRPr="00FC7A36" w:rsidRDefault="00026BC5" w:rsidP="003C63D9">
            <w:pPr>
              <w:keepLines/>
              <w:spacing w:after="0"/>
              <w:jc w:val="right"/>
              <w:rPr>
                <w:sz w:val="24"/>
                <w:szCs w:val="24"/>
              </w:rPr>
            </w:pPr>
            <w:r>
              <w:rPr>
                <w:sz w:val="24"/>
                <w:szCs w:val="24"/>
              </w:rPr>
              <w:t>509</w:t>
            </w:r>
          </w:p>
        </w:tc>
        <w:tc>
          <w:tcPr>
            <w:tcW w:w="2430" w:type="dxa"/>
            <w:tcBorders>
              <w:top w:val="single" w:sz="4" w:space="0" w:color="auto"/>
              <w:left w:val="single" w:sz="4" w:space="0" w:color="auto"/>
              <w:bottom w:val="single" w:sz="4" w:space="0" w:color="auto"/>
              <w:right w:val="single" w:sz="4" w:space="0" w:color="auto"/>
            </w:tcBorders>
          </w:tcPr>
          <w:p w14:paraId="1368CF6F" w14:textId="77777777" w:rsidR="00026BC5" w:rsidRPr="00FC7A36" w:rsidRDefault="00026BC5" w:rsidP="003C63D9">
            <w:pPr>
              <w:keepLines/>
              <w:spacing w:after="0"/>
              <w:jc w:val="right"/>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6EA81E8" w14:textId="635C0D2F" w:rsidR="00026BC5" w:rsidRPr="00FC7A36" w:rsidRDefault="00026BC5" w:rsidP="003C63D9">
            <w:pPr>
              <w:keepLines/>
              <w:spacing w:after="0"/>
              <w:jc w:val="right"/>
              <w:rPr>
                <w:sz w:val="24"/>
                <w:szCs w:val="24"/>
              </w:rPr>
            </w:pPr>
            <w:bookmarkStart w:id="4" w:name="_Hlk25063341"/>
            <w:r>
              <w:rPr>
                <w:sz w:val="24"/>
                <w:szCs w:val="24"/>
              </w:rPr>
              <w:t>$78,243,220</w:t>
            </w:r>
            <w:bookmarkEnd w:id="4"/>
          </w:p>
        </w:tc>
      </w:tr>
    </w:tbl>
    <w:p w14:paraId="0353320A" w14:textId="77777777" w:rsidR="00E636D7" w:rsidRPr="00FC7A36" w:rsidRDefault="00E636D7" w:rsidP="00FC7A36">
      <w:pPr>
        <w:spacing w:after="0"/>
        <w:rPr>
          <w:sz w:val="24"/>
          <w:szCs w:val="24"/>
        </w:rPr>
      </w:pPr>
    </w:p>
    <w:p w14:paraId="0353320B" w14:textId="77777777" w:rsidR="00380519" w:rsidRPr="00FC7A36" w:rsidRDefault="00A276F5" w:rsidP="00FC7A36">
      <w:pPr>
        <w:pStyle w:val="FERCparanumber"/>
        <w:spacing w:line="276" w:lineRule="auto"/>
        <w:rPr>
          <w:sz w:val="24"/>
        </w:rPr>
      </w:pPr>
      <w:r w:rsidRPr="00FC7A36">
        <w:rPr>
          <w:sz w:val="24"/>
        </w:rPr>
        <w:t>ESTIMATED ANNUALIZED COST TO FEDERAL GOVERNMENT</w:t>
      </w:r>
      <w:r w:rsidR="00764BC0" w:rsidRPr="00FC7A36">
        <w:rPr>
          <w:sz w:val="24"/>
        </w:rPr>
        <w:t xml:space="preserve"> </w:t>
      </w:r>
    </w:p>
    <w:p w14:paraId="134EA95D" w14:textId="12C196FA" w:rsidR="00532537" w:rsidRPr="00FC7A36" w:rsidRDefault="00532537" w:rsidP="00FC7A36">
      <w:pPr>
        <w:pStyle w:val="ListParagraph"/>
        <w:spacing w:after="0"/>
        <w:ind w:left="0"/>
        <w:rPr>
          <w:sz w:val="24"/>
          <w:szCs w:val="24"/>
        </w:rPr>
      </w:pPr>
      <w:r w:rsidRPr="00FC7A36">
        <w:rPr>
          <w:sz w:val="24"/>
          <w:szCs w:val="24"/>
        </w:rPr>
        <w:t xml:space="preserve">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  </w:t>
      </w:r>
      <w:r w:rsidR="007C6ED1" w:rsidRPr="00FC7A36">
        <w:rPr>
          <w:sz w:val="24"/>
          <w:szCs w:val="24"/>
        </w:rPr>
        <w:t>However, since the jurisdictional companies retain records as mandated by 18 CFR 125, 225, and 356</w:t>
      </w:r>
      <w:r w:rsidR="006C10EE" w:rsidRPr="00FC7A36">
        <w:rPr>
          <w:sz w:val="24"/>
          <w:szCs w:val="24"/>
        </w:rPr>
        <w:t xml:space="preserve">, </w:t>
      </w:r>
      <w:r w:rsidR="00B752EC">
        <w:rPr>
          <w:sz w:val="24"/>
          <w:szCs w:val="24"/>
        </w:rPr>
        <w:t xml:space="preserve">the </w:t>
      </w:r>
      <w:r w:rsidR="00B00004">
        <w:rPr>
          <w:sz w:val="24"/>
          <w:szCs w:val="24"/>
        </w:rPr>
        <w:t xml:space="preserve">federal </w:t>
      </w:r>
      <w:r w:rsidR="00B752EC">
        <w:rPr>
          <w:sz w:val="24"/>
          <w:szCs w:val="24"/>
        </w:rPr>
        <w:t>cost relates to financial audits of those records</w:t>
      </w:r>
      <w:r w:rsidR="007C6ED1" w:rsidRPr="00FC7A36">
        <w:rPr>
          <w:sz w:val="24"/>
          <w:szCs w:val="24"/>
        </w:rPr>
        <w:t>.</w:t>
      </w:r>
    </w:p>
    <w:p w14:paraId="795C6B12" w14:textId="77777777" w:rsidR="00816112" w:rsidRPr="00FC7A36" w:rsidRDefault="00816112" w:rsidP="00FC7A36">
      <w:pPr>
        <w:pStyle w:val="ListParagraph"/>
        <w:spacing w:after="0"/>
        <w:ind w:left="0"/>
        <w:rPr>
          <w:sz w:val="24"/>
          <w:szCs w:val="24"/>
        </w:rPr>
      </w:pPr>
    </w:p>
    <w:p w14:paraId="0353320D" w14:textId="34F7CF11" w:rsidR="007B213A" w:rsidRPr="00FC7A36" w:rsidRDefault="00727155" w:rsidP="00FC7A36">
      <w:pPr>
        <w:pStyle w:val="ListParagraph"/>
        <w:spacing w:after="0"/>
        <w:ind w:left="0"/>
        <w:rPr>
          <w:sz w:val="24"/>
          <w:szCs w:val="24"/>
        </w:rPr>
      </w:pPr>
      <w:r w:rsidRPr="00FC7A36">
        <w:rPr>
          <w:sz w:val="24"/>
          <w:szCs w:val="24"/>
        </w:rPr>
        <w:t xml:space="preserve">The estimated </w:t>
      </w:r>
      <w:r w:rsidR="00532537" w:rsidRPr="00FC7A36">
        <w:rPr>
          <w:sz w:val="24"/>
          <w:szCs w:val="24"/>
        </w:rPr>
        <w:t xml:space="preserve">annual </w:t>
      </w:r>
      <w:r w:rsidRPr="00FC7A36">
        <w:rPr>
          <w:sz w:val="24"/>
          <w:szCs w:val="24"/>
        </w:rPr>
        <w:t xml:space="preserve">federal cost related </w:t>
      </w:r>
      <w:r w:rsidR="00532537" w:rsidRPr="00FC7A36">
        <w:rPr>
          <w:sz w:val="24"/>
          <w:szCs w:val="24"/>
        </w:rPr>
        <w:t>for FERC-</w:t>
      </w:r>
      <w:r w:rsidR="006C10EE" w:rsidRPr="00FC7A36">
        <w:rPr>
          <w:sz w:val="24"/>
          <w:szCs w:val="24"/>
        </w:rPr>
        <w:t xml:space="preserve">555 </w:t>
      </w:r>
      <w:r w:rsidRPr="00FC7A36">
        <w:rPr>
          <w:sz w:val="24"/>
          <w:szCs w:val="24"/>
        </w:rPr>
        <w:t>follows</w:t>
      </w:r>
      <w:r w:rsidR="00380519" w:rsidRPr="00FC7A36">
        <w:rPr>
          <w:sz w:val="24"/>
          <w:szCs w:val="24"/>
        </w:rPr>
        <w:t>:</w:t>
      </w:r>
    </w:p>
    <w:p w14:paraId="34DE00CF" w14:textId="77777777" w:rsidR="00B01E0D" w:rsidRPr="00FC7A36" w:rsidRDefault="00B01E0D" w:rsidP="00FC7A36">
      <w:pPr>
        <w:pStyle w:val="ListParagraph"/>
        <w:spacing w:after="0"/>
        <w:ind w:left="0"/>
        <w:rPr>
          <w:sz w:val="24"/>
          <w:szCs w:val="24"/>
        </w:rPr>
      </w:pPr>
    </w:p>
    <w:tbl>
      <w:tblPr>
        <w:tblW w:w="0" w:type="auto"/>
        <w:tblLook w:val="04A0" w:firstRow="1" w:lastRow="0" w:firstColumn="1" w:lastColumn="0" w:noHBand="0" w:noVBand="1"/>
      </w:tblPr>
      <w:tblGrid>
        <w:gridCol w:w="4042"/>
        <w:gridCol w:w="2388"/>
        <w:gridCol w:w="2225"/>
      </w:tblGrid>
      <w:tr w:rsidR="002F5A68" w:rsidRPr="00FC7A36" w14:paraId="6CB70D5D" w14:textId="77777777" w:rsidTr="000C5911">
        <w:trPr>
          <w:trHeight w:val="544"/>
        </w:trPr>
        <w:tc>
          <w:tcPr>
            <w:tcW w:w="404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63DCE04B" w14:textId="23CA8C26" w:rsidR="002F5A68" w:rsidRPr="00FC7A36" w:rsidRDefault="002F5A68" w:rsidP="00FC7A36">
            <w:pPr>
              <w:spacing w:after="0"/>
              <w:jc w:val="center"/>
              <w:rPr>
                <w:rFonts w:eastAsia="Times New Roman"/>
                <w:sz w:val="24"/>
                <w:szCs w:val="24"/>
              </w:rPr>
            </w:pPr>
          </w:p>
        </w:tc>
        <w:tc>
          <w:tcPr>
            <w:tcW w:w="238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2B9597D5" w14:textId="4BA206CC" w:rsidR="002F5A68" w:rsidRPr="00FC7A36" w:rsidRDefault="002F5A68" w:rsidP="00FC7A36">
            <w:pPr>
              <w:spacing w:after="0"/>
              <w:jc w:val="center"/>
              <w:rPr>
                <w:rFonts w:eastAsia="Times New Roman"/>
                <w:b/>
                <w:bCs/>
                <w:sz w:val="24"/>
                <w:szCs w:val="24"/>
              </w:rPr>
            </w:pPr>
            <w:r w:rsidRPr="00FC7A36">
              <w:rPr>
                <w:rFonts w:eastAsia="Times New Roman"/>
                <w:b/>
                <w:bCs/>
                <w:sz w:val="24"/>
                <w:szCs w:val="24"/>
              </w:rPr>
              <w:t>Number of Employees (FTE)</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24EE8027" w14:textId="77777777" w:rsidR="002F5A68" w:rsidRPr="00FC7A36" w:rsidRDefault="002F5A68" w:rsidP="00FC7A36">
            <w:pPr>
              <w:spacing w:after="0"/>
              <w:jc w:val="center"/>
              <w:rPr>
                <w:rFonts w:eastAsia="Times New Roman"/>
                <w:b/>
                <w:bCs/>
                <w:sz w:val="24"/>
                <w:szCs w:val="24"/>
              </w:rPr>
            </w:pPr>
            <w:r w:rsidRPr="00FC7A36">
              <w:rPr>
                <w:rFonts w:eastAsia="Times New Roman"/>
                <w:b/>
                <w:bCs/>
                <w:sz w:val="24"/>
                <w:szCs w:val="24"/>
              </w:rPr>
              <w:t>Estimated Annual Federal Cost</w:t>
            </w:r>
          </w:p>
        </w:tc>
      </w:tr>
      <w:tr w:rsidR="002F5A68" w:rsidRPr="00FC7A36" w14:paraId="4D4DF6C8" w14:textId="77777777" w:rsidTr="000C5911">
        <w:trPr>
          <w:trHeight w:val="544"/>
        </w:trPr>
        <w:tc>
          <w:tcPr>
            <w:tcW w:w="4042" w:type="dxa"/>
            <w:vMerge/>
            <w:tcBorders>
              <w:top w:val="single" w:sz="4" w:space="0" w:color="auto"/>
              <w:left w:val="single" w:sz="4" w:space="0" w:color="auto"/>
              <w:bottom w:val="single" w:sz="4" w:space="0" w:color="auto"/>
              <w:right w:val="single" w:sz="4" w:space="0" w:color="auto"/>
            </w:tcBorders>
            <w:vAlign w:val="bottom"/>
            <w:hideMark/>
          </w:tcPr>
          <w:p w14:paraId="4588A7A4" w14:textId="77777777" w:rsidR="002F5A68" w:rsidRPr="00FC7A36" w:rsidRDefault="002F5A68" w:rsidP="00FC7A36">
            <w:pPr>
              <w:spacing w:after="0"/>
              <w:jc w:val="center"/>
              <w:rPr>
                <w:rFonts w:eastAsia="Times New Roman"/>
                <w:sz w:val="24"/>
                <w:szCs w:val="24"/>
              </w:rPr>
            </w:pPr>
          </w:p>
        </w:tc>
        <w:tc>
          <w:tcPr>
            <w:tcW w:w="2388" w:type="dxa"/>
            <w:vMerge/>
            <w:tcBorders>
              <w:top w:val="single" w:sz="4" w:space="0" w:color="auto"/>
              <w:left w:val="single" w:sz="4" w:space="0" w:color="auto"/>
              <w:bottom w:val="single" w:sz="4" w:space="0" w:color="auto"/>
              <w:right w:val="single" w:sz="4" w:space="0" w:color="auto"/>
            </w:tcBorders>
            <w:vAlign w:val="bottom"/>
            <w:hideMark/>
          </w:tcPr>
          <w:p w14:paraId="269405FD" w14:textId="77777777" w:rsidR="002F5A68" w:rsidRPr="00FC7A36" w:rsidRDefault="002F5A68" w:rsidP="00FC7A36">
            <w:pPr>
              <w:spacing w:after="0"/>
              <w:jc w:val="center"/>
              <w:rPr>
                <w:rFonts w:eastAsia="Times New Roman"/>
                <w:b/>
                <w:bCs/>
                <w:sz w:val="24"/>
                <w:szCs w:val="24"/>
              </w:rPr>
            </w:pPr>
          </w:p>
        </w:tc>
        <w:tc>
          <w:tcPr>
            <w:tcW w:w="2225" w:type="dxa"/>
            <w:vMerge/>
            <w:tcBorders>
              <w:top w:val="single" w:sz="4" w:space="0" w:color="auto"/>
              <w:left w:val="single" w:sz="4" w:space="0" w:color="auto"/>
              <w:bottom w:val="single" w:sz="4" w:space="0" w:color="auto"/>
              <w:right w:val="single" w:sz="4" w:space="0" w:color="auto"/>
            </w:tcBorders>
            <w:vAlign w:val="bottom"/>
            <w:hideMark/>
          </w:tcPr>
          <w:p w14:paraId="17B6725C" w14:textId="77777777" w:rsidR="002F5A68" w:rsidRPr="00FC7A36" w:rsidRDefault="002F5A68" w:rsidP="00FC7A36">
            <w:pPr>
              <w:spacing w:after="0"/>
              <w:jc w:val="center"/>
              <w:rPr>
                <w:rFonts w:eastAsia="Times New Roman"/>
                <w:b/>
                <w:bCs/>
                <w:sz w:val="24"/>
                <w:szCs w:val="24"/>
              </w:rPr>
            </w:pPr>
          </w:p>
        </w:tc>
      </w:tr>
      <w:tr w:rsidR="00F47ED2" w:rsidRPr="00FC7A36" w14:paraId="6F0F0819" w14:textId="77777777" w:rsidTr="000C5911">
        <w:trPr>
          <w:trHeight w:val="125"/>
        </w:trPr>
        <w:tc>
          <w:tcPr>
            <w:tcW w:w="4042" w:type="dxa"/>
            <w:tcBorders>
              <w:top w:val="nil"/>
              <w:left w:val="single" w:sz="4" w:space="0" w:color="auto"/>
              <w:bottom w:val="single" w:sz="4" w:space="0" w:color="auto"/>
              <w:right w:val="single" w:sz="4" w:space="0" w:color="auto"/>
            </w:tcBorders>
            <w:shd w:val="clear" w:color="auto" w:fill="auto"/>
            <w:vAlign w:val="bottom"/>
            <w:hideMark/>
          </w:tcPr>
          <w:p w14:paraId="43013BCF" w14:textId="112AF063" w:rsidR="00F47ED2" w:rsidRPr="00FC7A36" w:rsidRDefault="00F47ED2" w:rsidP="00FC7A36">
            <w:pPr>
              <w:spacing w:after="0"/>
              <w:rPr>
                <w:rFonts w:eastAsia="Times New Roman"/>
                <w:sz w:val="24"/>
                <w:szCs w:val="24"/>
              </w:rPr>
            </w:pPr>
            <w:r w:rsidRPr="00FC7A36">
              <w:rPr>
                <w:rFonts w:eastAsia="Times New Roman"/>
                <w:sz w:val="24"/>
                <w:szCs w:val="24"/>
              </w:rPr>
              <w:t xml:space="preserve">Analysis and Processing of filings </w:t>
            </w:r>
          </w:p>
        </w:tc>
        <w:tc>
          <w:tcPr>
            <w:tcW w:w="2388" w:type="dxa"/>
            <w:tcBorders>
              <w:top w:val="single" w:sz="4" w:space="0" w:color="auto"/>
              <w:left w:val="nil"/>
              <w:bottom w:val="single" w:sz="4" w:space="0" w:color="auto"/>
              <w:right w:val="single" w:sz="4" w:space="0" w:color="auto"/>
            </w:tcBorders>
            <w:shd w:val="clear" w:color="auto" w:fill="auto"/>
            <w:vAlign w:val="bottom"/>
            <w:hideMark/>
          </w:tcPr>
          <w:p w14:paraId="07DAD915" w14:textId="673AB119" w:rsidR="00F47ED2" w:rsidRPr="00FC7A36" w:rsidRDefault="00BE54BC" w:rsidP="00BE54BC">
            <w:pPr>
              <w:spacing w:after="0"/>
              <w:jc w:val="right"/>
              <w:rPr>
                <w:rFonts w:eastAsia="Times New Roman"/>
                <w:sz w:val="24"/>
                <w:szCs w:val="24"/>
              </w:rPr>
            </w:pPr>
            <w:r>
              <w:rPr>
                <w:rFonts w:eastAsia="Times New Roman"/>
                <w:sz w:val="24"/>
                <w:szCs w:val="24"/>
              </w:rPr>
              <w:t>72</w:t>
            </w:r>
            <w:r>
              <w:rPr>
                <w:rStyle w:val="FootnoteReference"/>
                <w:rFonts w:eastAsia="Times New Roman"/>
                <w:szCs w:val="24"/>
              </w:rPr>
              <w:footnoteReference w:id="12"/>
            </w:r>
          </w:p>
        </w:tc>
        <w:tc>
          <w:tcPr>
            <w:tcW w:w="2225" w:type="dxa"/>
            <w:tcBorders>
              <w:top w:val="single" w:sz="4" w:space="0" w:color="auto"/>
              <w:left w:val="nil"/>
              <w:bottom w:val="single" w:sz="4" w:space="0" w:color="auto"/>
              <w:right w:val="single" w:sz="4" w:space="0" w:color="auto"/>
            </w:tcBorders>
            <w:shd w:val="clear" w:color="auto" w:fill="auto"/>
            <w:vAlign w:val="bottom"/>
            <w:hideMark/>
          </w:tcPr>
          <w:p w14:paraId="71C6B4B2" w14:textId="669141AD" w:rsidR="00F47ED2" w:rsidRPr="00FC7A36" w:rsidRDefault="000C5911" w:rsidP="00BE54BC">
            <w:pPr>
              <w:spacing w:after="0"/>
              <w:jc w:val="right"/>
              <w:rPr>
                <w:rFonts w:eastAsia="Times New Roman"/>
                <w:sz w:val="24"/>
                <w:szCs w:val="24"/>
              </w:rPr>
            </w:pPr>
            <w:r w:rsidRPr="00FC7A36">
              <w:rPr>
                <w:rFonts w:eastAsia="Times New Roman"/>
                <w:sz w:val="24"/>
                <w:szCs w:val="24"/>
              </w:rPr>
              <w:t>$</w:t>
            </w:r>
            <w:r w:rsidR="00BE54BC">
              <w:rPr>
                <w:rFonts w:eastAsia="Times New Roman"/>
                <w:sz w:val="24"/>
                <w:szCs w:val="24"/>
              </w:rPr>
              <w:t>12,030,552</w:t>
            </w:r>
          </w:p>
        </w:tc>
      </w:tr>
      <w:tr w:rsidR="000C5911" w:rsidRPr="00FC7A36" w14:paraId="2AACC392" w14:textId="77777777" w:rsidTr="00852F55">
        <w:trPr>
          <w:trHeight w:val="278"/>
        </w:trPr>
        <w:tc>
          <w:tcPr>
            <w:tcW w:w="4042" w:type="dxa"/>
            <w:tcBorders>
              <w:top w:val="nil"/>
              <w:left w:val="single" w:sz="4" w:space="0" w:color="auto"/>
              <w:bottom w:val="single" w:sz="4" w:space="0" w:color="auto"/>
              <w:right w:val="single" w:sz="4" w:space="0" w:color="auto"/>
            </w:tcBorders>
            <w:shd w:val="clear" w:color="auto" w:fill="auto"/>
            <w:vAlign w:val="bottom"/>
            <w:hideMark/>
          </w:tcPr>
          <w:p w14:paraId="444A78E8" w14:textId="3211E665" w:rsidR="000C5911" w:rsidRPr="00FC7A36" w:rsidRDefault="000C5911" w:rsidP="00FC7A36">
            <w:pPr>
              <w:spacing w:after="0"/>
              <w:rPr>
                <w:rFonts w:eastAsia="Times New Roman"/>
                <w:sz w:val="24"/>
                <w:szCs w:val="24"/>
              </w:rPr>
            </w:pPr>
            <w:r w:rsidRPr="00FC7A36">
              <w:rPr>
                <w:rFonts w:eastAsia="Times New Roman"/>
                <w:sz w:val="24"/>
                <w:szCs w:val="24"/>
              </w:rPr>
              <w:t>PRA</w:t>
            </w:r>
            <w:r w:rsidRPr="00FC7A36">
              <w:rPr>
                <w:rStyle w:val="FootnoteReference"/>
                <w:sz w:val="24"/>
                <w:szCs w:val="24"/>
              </w:rPr>
              <w:footnoteReference w:id="13"/>
            </w:r>
            <w:r w:rsidRPr="00FC7A36">
              <w:rPr>
                <w:rFonts w:eastAsia="Times New Roman"/>
                <w:sz w:val="24"/>
                <w:szCs w:val="24"/>
              </w:rPr>
              <w:t xml:space="preserve"> Administrative Cost</w:t>
            </w:r>
            <w:r w:rsidRPr="00FC7A36">
              <w:rPr>
                <w:rStyle w:val="FootnoteReference"/>
                <w:rFonts w:eastAsia="Times New Roman"/>
                <w:sz w:val="24"/>
                <w:szCs w:val="24"/>
              </w:rPr>
              <w:footnoteReference w:id="14"/>
            </w:r>
          </w:p>
        </w:tc>
        <w:tc>
          <w:tcPr>
            <w:tcW w:w="2388" w:type="dxa"/>
            <w:vMerge w:val="restart"/>
            <w:tcBorders>
              <w:top w:val="single" w:sz="4" w:space="0" w:color="auto"/>
              <w:left w:val="nil"/>
              <w:right w:val="single" w:sz="4" w:space="0" w:color="auto"/>
            </w:tcBorders>
            <w:shd w:val="clear" w:color="auto" w:fill="D9D9D9" w:themeFill="background1" w:themeFillShade="D9"/>
            <w:vAlign w:val="bottom"/>
            <w:hideMark/>
          </w:tcPr>
          <w:p w14:paraId="2DF913E7" w14:textId="1CEA37BE" w:rsidR="000C5911" w:rsidRPr="00FC7A36" w:rsidRDefault="000C5911" w:rsidP="00FC7A36">
            <w:pPr>
              <w:spacing w:after="0"/>
              <w:jc w:val="center"/>
              <w:rPr>
                <w:rFonts w:eastAsia="Times New Roman"/>
                <w:sz w:val="24"/>
                <w:szCs w:val="24"/>
              </w:rPr>
            </w:pPr>
            <w:r w:rsidRPr="00FC7A36">
              <w:rPr>
                <w:rFonts w:eastAsia="Times New Roman"/>
                <w:sz w:val="24"/>
                <w:szCs w:val="24"/>
              </w:rPr>
              <w:t> </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14:paraId="477D3D7D" w14:textId="59E62F97" w:rsidR="000C5911" w:rsidRPr="00FC7A36" w:rsidRDefault="000C5911" w:rsidP="00BE54BC">
            <w:pPr>
              <w:spacing w:after="0"/>
              <w:jc w:val="right"/>
              <w:rPr>
                <w:rFonts w:eastAsia="Times New Roman"/>
                <w:sz w:val="24"/>
                <w:szCs w:val="24"/>
              </w:rPr>
            </w:pPr>
            <w:r w:rsidRPr="00FC7A36">
              <w:rPr>
                <w:rFonts w:eastAsia="Times New Roman"/>
                <w:sz w:val="24"/>
                <w:szCs w:val="24"/>
              </w:rPr>
              <w:t>$4,832</w:t>
            </w:r>
          </w:p>
        </w:tc>
      </w:tr>
      <w:tr w:rsidR="000C5911" w:rsidRPr="00FC7A36" w14:paraId="72D47EEA" w14:textId="77777777" w:rsidTr="00852F55">
        <w:trPr>
          <w:trHeight w:val="315"/>
        </w:trPr>
        <w:tc>
          <w:tcPr>
            <w:tcW w:w="4042"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B798161" w14:textId="0B27DE77" w:rsidR="000C5911" w:rsidRPr="00FC7A36" w:rsidRDefault="000C5911" w:rsidP="00FC7A36">
            <w:pPr>
              <w:spacing w:after="0"/>
              <w:rPr>
                <w:rFonts w:eastAsia="Times New Roman"/>
                <w:b/>
                <w:bCs/>
                <w:sz w:val="24"/>
                <w:szCs w:val="24"/>
              </w:rPr>
            </w:pPr>
            <w:r w:rsidRPr="00FC7A36">
              <w:rPr>
                <w:rFonts w:eastAsia="Times New Roman"/>
                <w:b/>
                <w:bCs/>
                <w:sz w:val="24"/>
                <w:szCs w:val="24"/>
              </w:rPr>
              <w:t>FERC Total</w:t>
            </w:r>
          </w:p>
        </w:tc>
        <w:tc>
          <w:tcPr>
            <w:tcW w:w="2388" w:type="dxa"/>
            <w:vMerge/>
            <w:tcBorders>
              <w:left w:val="nil"/>
              <w:bottom w:val="single" w:sz="4" w:space="0" w:color="auto"/>
              <w:right w:val="single" w:sz="4" w:space="0" w:color="auto"/>
            </w:tcBorders>
            <w:shd w:val="clear" w:color="000000" w:fill="D9D9D9"/>
            <w:vAlign w:val="bottom"/>
            <w:hideMark/>
          </w:tcPr>
          <w:p w14:paraId="6F653D27" w14:textId="0B281CEC" w:rsidR="000C5911" w:rsidRPr="00FC7A36" w:rsidRDefault="000C5911" w:rsidP="00FC7A36">
            <w:pPr>
              <w:spacing w:after="0"/>
              <w:jc w:val="center"/>
              <w:rPr>
                <w:rFonts w:eastAsia="Times New Roman"/>
                <w:sz w:val="24"/>
                <w:szCs w:val="24"/>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7F5FC" w14:textId="271E1EFD" w:rsidR="000C5911" w:rsidRPr="00FC7A36" w:rsidRDefault="000C5911" w:rsidP="00BE54BC">
            <w:pPr>
              <w:spacing w:after="0"/>
              <w:jc w:val="right"/>
              <w:rPr>
                <w:rFonts w:eastAsia="Times New Roman"/>
                <w:b/>
                <w:bCs/>
                <w:sz w:val="24"/>
                <w:szCs w:val="24"/>
              </w:rPr>
            </w:pPr>
            <w:r w:rsidRPr="00FC7A36">
              <w:rPr>
                <w:b/>
                <w:bCs/>
                <w:sz w:val="24"/>
                <w:szCs w:val="24"/>
              </w:rPr>
              <w:t>$</w:t>
            </w:r>
            <w:r w:rsidR="00BE54BC">
              <w:rPr>
                <w:b/>
                <w:bCs/>
                <w:sz w:val="24"/>
                <w:szCs w:val="24"/>
              </w:rPr>
              <w:t>12,035,384</w:t>
            </w:r>
          </w:p>
        </w:tc>
      </w:tr>
    </w:tbl>
    <w:p w14:paraId="03533243" w14:textId="77777777" w:rsidR="00A276F5" w:rsidRPr="00FC7A36" w:rsidRDefault="00A276F5" w:rsidP="00FC7A36">
      <w:pPr>
        <w:spacing w:after="0"/>
        <w:rPr>
          <w:sz w:val="24"/>
          <w:szCs w:val="24"/>
        </w:rPr>
      </w:pPr>
    </w:p>
    <w:p w14:paraId="03533244" w14:textId="77777777" w:rsidR="00A276F5" w:rsidRPr="00FC7A36" w:rsidRDefault="00A276F5" w:rsidP="00FC7A36">
      <w:pPr>
        <w:pStyle w:val="FERCparanumber"/>
        <w:spacing w:line="276" w:lineRule="auto"/>
        <w:rPr>
          <w:sz w:val="24"/>
        </w:rPr>
      </w:pPr>
      <w:r w:rsidRPr="00FC7A36">
        <w:rPr>
          <w:sz w:val="24"/>
        </w:rPr>
        <w:t>REASONS FOR CHANGES IN BURDEN INCLUDING THE NEED FOR ANY INCREASE</w:t>
      </w:r>
      <w:r w:rsidR="008344B1" w:rsidRPr="00FC7A36">
        <w:rPr>
          <w:sz w:val="24"/>
        </w:rPr>
        <w:t xml:space="preserve"> </w:t>
      </w:r>
    </w:p>
    <w:p w14:paraId="21360040" w14:textId="4D982B24" w:rsidR="00D16C8B" w:rsidRPr="003C63D9" w:rsidRDefault="00D16C8B" w:rsidP="00FC7A36">
      <w:pPr>
        <w:spacing w:after="0"/>
        <w:rPr>
          <w:rFonts w:eastAsia="Calibri"/>
          <w:sz w:val="24"/>
          <w:szCs w:val="24"/>
        </w:rPr>
      </w:pPr>
      <w:r w:rsidRPr="003C63D9">
        <w:rPr>
          <w:rFonts w:eastAsia="Times New Roman"/>
          <w:sz w:val="24"/>
          <w:szCs w:val="24"/>
        </w:rPr>
        <w:t>The total estimated annual burden hour (labor) cost to respondents is $212,482,720</w:t>
      </w:r>
      <w:r w:rsidRPr="003C63D9">
        <w:rPr>
          <w:sz w:val="24"/>
          <w:szCs w:val="24"/>
        </w:rPr>
        <w:t xml:space="preserve"> (or</w:t>
      </w:r>
      <w:r w:rsidRPr="003C63D9">
        <w:rPr>
          <w:rFonts w:eastAsia="Times New Roman"/>
          <w:sz w:val="24"/>
          <w:szCs w:val="24"/>
        </w:rPr>
        <w:t xml:space="preserve"> $417,451 per respondent).  </w:t>
      </w:r>
      <w:r w:rsidR="00424064">
        <w:rPr>
          <w:rFonts w:eastAsia="Times New Roman"/>
          <w:sz w:val="24"/>
          <w:szCs w:val="24"/>
        </w:rPr>
        <w:t>The</w:t>
      </w:r>
      <w:r w:rsidRPr="003C63D9">
        <w:rPr>
          <w:rFonts w:eastAsia="Times New Roman"/>
          <w:sz w:val="24"/>
          <w:szCs w:val="24"/>
        </w:rPr>
        <w:t xml:space="preserve"> total </w:t>
      </w:r>
      <w:r w:rsidR="00424064">
        <w:rPr>
          <w:rFonts w:eastAsia="Times New Roman"/>
          <w:sz w:val="24"/>
          <w:szCs w:val="24"/>
        </w:rPr>
        <w:t xml:space="preserve">estimated </w:t>
      </w:r>
      <w:r w:rsidRPr="003C63D9">
        <w:rPr>
          <w:rFonts w:eastAsia="Times New Roman"/>
          <w:sz w:val="24"/>
          <w:szCs w:val="24"/>
        </w:rPr>
        <w:t xml:space="preserve">annual non-burden (or non-labor) record storage cost is $78,243,220 (or $153,719 per respondent).  The average </w:t>
      </w:r>
      <w:r w:rsidR="00424064">
        <w:rPr>
          <w:rFonts w:eastAsia="Times New Roman"/>
          <w:sz w:val="24"/>
          <w:szCs w:val="24"/>
        </w:rPr>
        <w:t xml:space="preserve">estimated </w:t>
      </w:r>
      <w:r w:rsidRPr="003C63D9">
        <w:rPr>
          <w:rFonts w:eastAsia="Times New Roman"/>
          <w:sz w:val="24"/>
          <w:szCs w:val="24"/>
        </w:rPr>
        <w:t>annual cost per company (including costs for labor and non-labor storage costs) is $571,170 (rounded) per respondent.</w:t>
      </w:r>
      <w:r w:rsidR="00B9476A">
        <w:rPr>
          <w:rStyle w:val="FootnoteReference"/>
          <w:rFonts w:eastAsia="Times New Roman"/>
          <w:szCs w:val="24"/>
        </w:rPr>
        <w:footnoteReference w:id="15"/>
      </w:r>
    </w:p>
    <w:p w14:paraId="342D6187" w14:textId="77777777" w:rsidR="00D16C8B" w:rsidRDefault="00D16C8B" w:rsidP="00FC7A36">
      <w:pPr>
        <w:spacing w:after="0"/>
        <w:rPr>
          <w:rFonts w:eastAsia="Calibri"/>
          <w:b/>
          <w:sz w:val="24"/>
          <w:szCs w:val="24"/>
        </w:rPr>
      </w:pPr>
    </w:p>
    <w:p w14:paraId="0F09BCD0" w14:textId="2FB454FE" w:rsidR="00F51453" w:rsidRDefault="00D16C8B" w:rsidP="00FC7A36">
      <w:pPr>
        <w:spacing w:after="0"/>
        <w:rPr>
          <w:rFonts w:eastAsia="Calibri"/>
          <w:sz w:val="24"/>
          <w:szCs w:val="24"/>
        </w:rPr>
      </w:pPr>
      <w:r w:rsidRPr="003C63D9">
        <w:rPr>
          <w:rFonts w:eastAsia="Calibri"/>
          <w:b/>
          <w:sz w:val="24"/>
          <w:szCs w:val="24"/>
        </w:rPr>
        <w:t>Program Changes.</w:t>
      </w:r>
      <w:r>
        <w:rPr>
          <w:rFonts w:eastAsia="Calibri"/>
          <w:sz w:val="24"/>
          <w:szCs w:val="24"/>
        </w:rPr>
        <w:t xml:space="preserve">  </w:t>
      </w:r>
      <w:r w:rsidR="00F51453">
        <w:rPr>
          <w:rFonts w:eastAsia="Calibri"/>
          <w:sz w:val="24"/>
          <w:szCs w:val="24"/>
        </w:rPr>
        <w:t>There are no changes to the recordkeeping requirements.</w:t>
      </w:r>
    </w:p>
    <w:p w14:paraId="6D65CFE2" w14:textId="77777777" w:rsidR="00D16C8B" w:rsidRDefault="00D16C8B" w:rsidP="00FC7A36">
      <w:pPr>
        <w:spacing w:after="0"/>
        <w:rPr>
          <w:sz w:val="24"/>
          <w:szCs w:val="24"/>
        </w:rPr>
      </w:pPr>
    </w:p>
    <w:p w14:paraId="6818DE20" w14:textId="624775AB" w:rsidR="0027461E" w:rsidRDefault="00D16C8B" w:rsidP="00FC7A36">
      <w:pPr>
        <w:spacing w:after="0"/>
        <w:rPr>
          <w:sz w:val="24"/>
          <w:szCs w:val="24"/>
        </w:rPr>
      </w:pPr>
      <w:r>
        <w:rPr>
          <w:b/>
          <w:sz w:val="24"/>
          <w:szCs w:val="24"/>
        </w:rPr>
        <w:t xml:space="preserve">Adjustment in Estimate.  </w:t>
      </w:r>
      <w:r w:rsidR="00C12779">
        <w:rPr>
          <w:sz w:val="24"/>
          <w:szCs w:val="24"/>
        </w:rPr>
        <w:t>The adjustment of +$249 for ‘annual cost burden’ related to record storage (non-burden) cost is merely due to rounding.</w:t>
      </w:r>
    </w:p>
    <w:p w14:paraId="6D10A48D" w14:textId="77777777" w:rsidR="00C12779" w:rsidRPr="00FC7A36" w:rsidRDefault="00C12779" w:rsidP="00FC7A36">
      <w:pPr>
        <w:spacing w:after="0"/>
        <w:rPr>
          <w:sz w:val="24"/>
          <w:szCs w:val="24"/>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530"/>
        <w:gridCol w:w="1440"/>
        <w:gridCol w:w="1710"/>
        <w:gridCol w:w="1530"/>
      </w:tblGrid>
      <w:tr w:rsidR="008344B1" w:rsidRPr="00FC7A36" w14:paraId="03533251" w14:textId="77777777" w:rsidTr="00E40EC8">
        <w:trPr>
          <w:trHeight w:val="791"/>
        </w:trPr>
        <w:tc>
          <w:tcPr>
            <w:tcW w:w="3127" w:type="dxa"/>
            <w:shd w:val="clear" w:color="auto" w:fill="D9D9D9"/>
            <w:vAlign w:val="center"/>
          </w:tcPr>
          <w:p w14:paraId="0353324B" w14:textId="1A73DED4" w:rsidR="008344B1" w:rsidRPr="00FC7A36" w:rsidRDefault="00694BC4" w:rsidP="00FC7A36">
            <w:pPr>
              <w:spacing w:after="0"/>
              <w:rPr>
                <w:b/>
                <w:sz w:val="24"/>
                <w:szCs w:val="24"/>
              </w:rPr>
            </w:pPr>
            <w:r w:rsidRPr="00FC7A36">
              <w:rPr>
                <w:sz w:val="24"/>
                <w:szCs w:val="24"/>
              </w:rPr>
              <w:br w:type="page"/>
            </w:r>
          </w:p>
          <w:p w14:paraId="0353324C" w14:textId="77777777" w:rsidR="003C36C3" w:rsidRPr="00FC7A36" w:rsidRDefault="003C36C3" w:rsidP="00FC7A36">
            <w:pPr>
              <w:spacing w:after="0"/>
              <w:rPr>
                <w:b/>
                <w:sz w:val="24"/>
                <w:szCs w:val="24"/>
              </w:rPr>
            </w:pPr>
          </w:p>
        </w:tc>
        <w:tc>
          <w:tcPr>
            <w:tcW w:w="1530" w:type="dxa"/>
            <w:shd w:val="clear" w:color="auto" w:fill="D9D9D9"/>
            <w:vAlign w:val="center"/>
          </w:tcPr>
          <w:p w14:paraId="0353324D" w14:textId="77777777" w:rsidR="008344B1" w:rsidRPr="00FC7A36" w:rsidRDefault="008344B1" w:rsidP="00FC7A36">
            <w:pPr>
              <w:spacing w:after="0"/>
              <w:rPr>
                <w:b/>
                <w:sz w:val="24"/>
                <w:szCs w:val="24"/>
              </w:rPr>
            </w:pPr>
            <w:r w:rsidRPr="00FC7A36">
              <w:rPr>
                <w:b/>
                <w:sz w:val="24"/>
                <w:szCs w:val="24"/>
              </w:rPr>
              <w:t>Total Request</w:t>
            </w:r>
          </w:p>
        </w:tc>
        <w:tc>
          <w:tcPr>
            <w:tcW w:w="1440" w:type="dxa"/>
            <w:shd w:val="clear" w:color="auto" w:fill="D9D9D9"/>
            <w:vAlign w:val="center"/>
          </w:tcPr>
          <w:p w14:paraId="0353324E" w14:textId="77777777" w:rsidR="008344B1" w:rsidRPr="00FC7A36" w:rsidRDefault="008344B1" w:rsidP="00FC7A36">
            <w:pPr>
              <w:spacing w:after="0"/>
              <w:rPr>
                <w:b/>
                <w:sz w:val="24"/>
                <w:szCs w:val="24"/>
              </w:rPr>
            </w:pPr>
            <w:r w:rsidRPr="00FC7A36">
              <w:rPr>
                <w:b/>
                <w:sz w:val="24"/>
                <w:szCs w:val="24"/>
              </w:rPr>
              <w:t>Previously Approved</w:t>
            </w:r>
          </w:p>
        </w:tc>
        <w:tc>
          <w:tcPr>
            <w:tcW w:w="1710" w:type="dxa"/>
            <w:shd w:val="clear" w:color="auto" w:fill="D9D9D9"/>
            <w:vAlign w:val="center"/>
          </w:tcPr>
          <w:p w14:paraId="0353324F" w14:textId="77777777" w:rsidR="008344B1" w:rsidRPr="00FC7A36" w:rsidRDefault="008344B1" w:rsidP="00FC7A36">
            <w:pPr>
              <w:spacing w:after="0"/>
              <w:rPr>
                <w:b/>
                <w:sz w:val="24"/>
                <w:szCs w:val="24"/>
              </w:rPr>
            </w:pPr>
            <w:r w:rsidRPr="00FC7A36">
              <w:rPr>
                <w:b/>
                <w:sz w:val="24"/>
                <w:szCs w:val="24"/>
              </w:rPr>
              <w:t>Change due to Adjustment in Estimate</w:t>
            </w:r>
          </w:p>
        </w:tc>
        <w:tc>
          <w:tcPr>
            <w:tcW w:w="1530" w:type="dxa"/>
            <w:shd w:val="clear" w:color="auto" w:fill="D9D9D9"/>
            <w:vAlign w:val="center"/>
          </w:tcPr>
          <w:p w14:paraId="03533250" w14:textId="77777777" w:rsidR="008344B1" w:rsidRPr="00FC7A36" w:rsidRDefault="008344B1" w:rsidP="00FC7A36">
            <w:pPr>
              <w:spacing w:after="0"/>
              <w:rPr>
                <w:b/>
                <w:sz w:val="24"/>
                <w:szCs w:val="24"/>
              </w:rPr>
            </w:pPr>
            <w:r w:rsidRPr="00FC7A36">
              <w:rPr>
                <w:b/>
                <w:sz w:val="24"/>
                <w:szCs w:val="24"/>
              </w:rPr>
              <w:t>Change Due to Agency Discretion</w:t>
            </w:r>
          </w:p>
        </w:tc>
      </w:tr>
      <w:tr w:rsidR="008F4F08" w:rsidRPr="00FC7A36" w14:paraId="0353325D" w14:textId="77777777" w:rsidTr="00E40EC8">
        <w:trPr>
          <w:trHeight w:val="173"/>
        </w:trPr>
        <w:tc>
          <w:tcPr>
            <w:tcW w:w="3127" w:type="dxa"/>
            <w:vAlign w:val="center"/>
          </w:tcPr>
          <w:p w14:paraId="03533258" w14:textId="1941FD84" w:rsidR="008F4F08" w:rsidRPr="00FC7A36" w:rsidRDefault="008F4F08" w:rsidP="00FC7A36">
            <w:pPr>
              <w:spacing w:after="0"/>
              <w:rPr>
                <w:sz w:val="24"/>
                <w:szCs w:val="24"/>
              </w:rPr>
            </w:pPr>
            <w:r w:rsidRPr="00FC7A36">
              <w:rPr>
                <w:sz w:val="24"/>
                <w:szCs w:val="24"/>
              </w:rPr>
              <w:t>Annual Number of Responses</w:t>
            </w:r>
          </w:p>
        </w:tc>
        <w:tc>
          <w:tcPr>
            <w:tcW w:w="1530" w:type="dxa"/>
            <w:vAlign w:val="center"/>
          </w:tcPr>
          <w:p w14:paraId="03533259" w14:textId="07B0B679" w:rsidR="008F4F08" w:rsidRPr="00FC7A36" w:rsidRDefault="00FC7A36" w:rsidP="00FC7A36">
            <w:pPr>
              <w:spacing w:after="0"/>
              <w:rPr>
                <w:sz w:val="24"/>
                <w:szCs w:val="24"/>
              </w:rPr>
            </w:pPr>
            <w:r>
              <w:rPr>
                <w:sz w:val="24"/>
                <w:szCs w:val="24"/>
              </w:rPr>
              <w:t>509</w:t>
            </w:r>
          </w:p>
        </w:tc>
        <w:tc>
          <w:tcPr>
            <w:tcW w:w="1440" w:type="dxa"/>
            <w:vAlign w:val="center"/>
          </w:tcPr>
          <w:p w14:paraId="0353325A" w14:textId="0B2281C4" w:rsidR="008F4F08" w:rsidRPr="00FC7A36" w:rsidRDefault="00FC7A36" w:rsidP="00FC7A36">
            <w:pPr>
              <w:spacing w:after="0"/>
              <w:rPr>
                <w:sz w:val="24"/>
                <w:szCs w:val="24"/>
              </w:rPr>
            </w:pPr>
            <w:r>
              <w:rPr>
                <w:sz w:val="24"/>
                <w:szCs w:val="24"/>
              </w:rPr>
              <w:t>509</w:t>
            </w:r>
          </w:p>
        </w:tc>
        <w:tc>
          <w:tcPr>
            <w:tcW w:w="1710" w:type="dxa"/>
            <w:vAlign w:val="center"/>
          </w:tcPr>
          <w:p w14:paraId="0353325B" w14:textId="77777777" w:rsidR="008F4F08" w:rsidRPr="00FC7A36" w:rsidRDefault="008F4F08" w:rsidP="00FC7A36">
            <w:pPr>
              <w:spacing w:after="0"/>
              <w:rPr>
                <w:sz w:val="24"/>
                <w:szCs w:val="24"/>
              </w:rPr>
            </w:pPr>
            <w:r w:rsidRPr="00FC7A36">
              <w:rPr>
                <w:sz w:val="24"/>
                <w:szCs w:val="24"/>
              </w:rPr>
              <w:t>0</w:t>
            </w:r>
          </w:p>
        </w:tc>
        <w:tc>
          <w:tcPr>
            <w:tcW w:w="1530" w:type="dxa"/>
            <w:vAlign w:val="center"/>
          </w:tcPr>
          <w:p w14:paraId="0353325C" w14:textId="0101BAAB" w:rsidR="008F4F08" w:rsidRPr="00FC7A36" w:rsidRDefault="006C10EE" w:rsidP="00FC7A36">
            <w:pPr>
              <w:spacing w:after="0"/>
              <w:rPr>
                <w:sz w:val="24"/>
                <w:szCs w:val="24"/>
              </w:rPr>
            </w:pPr>
            <w:r w:rsidRPr="00FC7A36">
              <w:rPr>
                <w:sz w:val="24"/>
                <w:szCs w:val="24"/>
              </w:rPr>
              <w:t>0</w:t>
            </w:r>
          </w:p>
        </w:tc>
      </w:tr>
      <w:tr w:rsidR="008F4F08" w:rsidRPr="00FC7A36" w14:paraId="03533263" w14:textId="77777777" w:rsidTr="00E40EC8">
        <w:trPr>
          <w:trHeight w:val="173"/>
        </w:trPr>
        <w:tc>
          <w:tcPr>
            <w:tcW w:w="3127" w:type="dxa"/>
            <w:vAlign w:val="center"/>
          </w:tcPr>
          <w:p w14:paraId="0353325E" w14:textId="47087DB0" w:rsidR="008F4F08" w:rsidRPr="00FC7A36" w:rsidRDefault="008F4F08" w:rsidP="00FC7A36">
            <w:pPr>
              <w:spacing w:after="0"/>
              <w:rPr>
                <w:sz w:val="24"/>
                <w:szCs w:val="24"/>
              </w:rPr>
            </w:pPr>
            <w:r w:rsidRPr="00FC7A36">
              <w:rPr>
                <w:sz w:val="24"/>
                <w:szCs w:val="24"/>
              </w:rPr>
              <w:t>Annual Time Burden (Hr.)</w:t>
            </w:r>
          </w:p>
        </w:tc>
        <w:tc>
          <w:tcPr>
            <w:tcW w:w="1530" w:type="dxa"/>
            <w:vAlign w:val="center"/>
          </w:tcPr>
          <w:p w14:paraId="0353325F" w14:textId="2BB76BA4" w:rsidR="008F4F08" w:rsidRPr="00FC7A36" w:rsidRDefault="00FC7A36" w:rsidP="00FC7A36">
            <w:pPr>
              <w:spacing w:after="0"/>
              <w:rPr>
                <w:sz w:val="24"/>
                <w:szCs w:val="24"/>
              </w:rPr>
            </w:pPr>
            <w:r>
              <w:rPr>
                <w:sz w:val="24"/>
                <w:szCs w:val="24"/>
              </w:rPr>
              <w:t>2,656,034</w:t>
            </w:r>
          </w:p>
        </w:tc>
        <w:tc>
          <w:tcPr>
            <w:tcW w:w="1440" w:type="dxa"/>
            <w:vAlign w:val="center"/>
          </w:tcPr>
          <w:p w14:paraId="03533260" w14:textId="19B3EE64" w:rsidR="008F4F08" w:rsidRPr="00FC7A36" w:rsidRDefault="00FC7A36" w:rsidP="00FC7A36">
            <w:pPr>
              <w:spacing w:after="0"/>
              <w:rPr>
                <w:sz w:val="24"/>
                <w:szCs w:val="24"/>
              </w:rPr>
            </w:pPr>
            <w:r>
              <w:rPr>
                <w:sz w:val="24"/>
                <w:szCs w:val="24"/>
              </w:rPr>
              <w:t>2,656,034</w:t>
            </w:r>
          </w:p>
        </w:tc>
        <w:tc>
          <w:tcPr>
            <w:tcW w:w="1710" w:type="dxa"/>
            <w:vAlign w:val="center"/>
          </w:tcPr>
          <w:p w14:paraId="03533261" w14:textId="77777777" w:rsidR="008F4F08" w:rsidRPr="00FC7A36" w:rsidRDefault="008F4F08" w:rsidP="00FC7A36">
            <w:pPr>
              <w:spacing w:after="0"/>
              <w:rPr>
                <w:sz w:val="24"/>
                <w:szCs w:val="24"/>
              </w:rPr>
            </w:pPr>
            <w:r w:rsidRPr="00FC7A36">
              <w:rPr>
                <w:sz w:val="24"/>
                <w:szCs w:val="24"/>
              </w:rPr>
              <w:t>0</w:t>
            </w:r>
          </w:p>
        </w:tc>
        <w:tc>
          <w:tcPr>
            <w:tcW w:w="1530" w:type="dxa"/>
            <w:vAlign w:val="center"/>
          </w:tcPr>
          <w:p w14:paraId="03533262" w14:textId="1B1CCB25" w:rsidR="008F4F08" w:rsidRPr="00FC7A36" w:rsidRDefault="006C10EE" w:rsidP="00FC7A36">
            <w:pPr>
              <w:spacing w:after="0"/>
              <w:rPr>
                <w:sz w:val="24"/>
                <w:szCs w:val="24"/>
              </w:rPr>
            </w:pPr>
            <w:r w:rsidRPr="00FC7A36">
              <w:rPr>
                <w:sz w:val="24"/>
                <w:szCs w:val="24"/>
              </w:rPr>
              <w:t>0</w:t>
            </w:r>
          </w:p>
        </w:tc>
      </w:tr>
      <w:tr w:rsidR="008F4F08" w:rsidRPr="00FC7A36" w14:paraId="03533269" w14:textId="77777777" w:rsidTr="00E40EC8">
        <w:trPr>
          <w:trHeight w:val="260"/>
        </w:trPr>
        <w:tc>
          <w:tcPr>
            <w:tcW w:w="3127" w:type="dxa"/>
            <w:tcBorders>
              <w:bottom w:val="single" w:sz="4" w:space="0" w:color="auto"/>
            </w:tcBorders>
            <w:vAlign w:val="center"/>
          </w:tcPr>
          <w:p w14:paraId="03533264" w14:textId="1CE235FF" w:rsidR="008F4F08" w:rsidRPr="00FC7A36" w:rsidRDefault="008F4F08" w:rsidP="00FC7A36">
            <w:pPr>
              <w:spacing w:after="0"/>
              <w:rPr>
                <w:sz w:val="24"/>
                <w:szCs w:val="24"/>
              </w:rPr>
            </w:pPr>
            <w:r w:rsidRPr="00FC7A36">
              <w:rPr>
                <w:sz w:val="24"/>
                <w:szCs w:val="24"/>
              </w:rPr>
              <w:t>Annual Cost Burden ($)</w:t>
            </w:r>
          </w:p>
        </w:tc>
        <w:tc>
          <w:tcPr>
            <w:tcW w:w="1530" w:type="dxa"/>
            <w:tcBorders>
              <w:bottom w:val="single" w:sz="4" w:space="0" w:color="auto"/>
            </w:tcBorders>
            <w:vAlign w:val="center"/>
          </w:tcPr>
          <w:p w14:paraId="03533265" w14:textId="3379C129" w:rsidR="008F4F08" w:rsidRPr="00FC7A36" w:rsidRDefault="00C12779" w:rsidP="00FC7A36">
            <w:pPr>
              <w:spacing w:after="0"/>
              <w:rPr>
                <w:sz w:val="24"/>
                <w:szCs w:val="24"/>
              </w:rPr>
            </w:pPr>
            <w:r>
              <w:rPr>
                <w:sz w:val="24"/>
                <w:szCs w:val="24"/>
              </w:rPr>
              <w:t>$</w:t>
            </w:r>
            <w:r w:rsidR="000C46DE">
              <w:rPr>
                <w:sz w:val="24"/>
                <w:szCs w:val="24"/>
              </w:rPr>
              <w:t>78,243,220</w:t>
            </w:r>
          </w:p>
        </w:tc>
        <w:tc>
          <w:tcPr>
            <w:tcW w:w="1440" w:type="dxa"/>
            <w:tcBorders>
              <w:bottom w:val="single" w:sz="4" w:space="0" w:color="auto"/>
            </w:tcBorders>
            <w:vAlign w:val="center"/>
          </w:tcPr>
          <w:p w14:paraId="03533266" w14:textId="05A8E8AA" w:rsidR="008F4F08" w:rsidRPr="00FC7A36" w:rsidRDefault="00C12779" w:rsidP="00FC7A36">
            <w:pPr>
              <w:spacing w:after="0"/>
              <w:rPr>
                <w:sz w:val="24"/>
                <w:szCs w:val="24"/>
              </w:rPr>
            </w:pPr>
            <w:r>
              <w:rPr>
                <w:sz w:val="24"/>
                <w:szCs w:val="24"/>
              </w:rPr>
              <w:t>$</w:t>
            </w:r>
            <w:r w:rsidR="00FC7A36">
              <w:rPr>
                <w:sz w:val="24"/>
                <w:szCs w:val="24"/>
              </w:rPr>
              <w:t>78,242,971</w:t>
            </w:r>
          </w:p>
        </w:tc>
        <w:tc>
          <w:tcPr>
            <w:tcW w:w="1710" w:type="dxa"/>
            <w:tcBorders>
              <w:bottom w:val="single" w:sz="4" w:space="0" w:color="auto"/>
            </w:tcBorders>
            <w:vAlign w:val="center"/>
          </w:tcPr>
          <w:p w14:paraId="03533267" w14:textId="424FC5E0" w:rsidR="008F4F08" w:rsidRPr="00FC7A36" w:rsidRDefault="000C46DE" w:rsidP="00FC7A36">
            <w:pPr>
              <w:spacing w:after="0"/>
              <w:rPr>
                <w:sz w:val="24"/>
                <w:szCs w:val="24"/>
              </w:rPr>
            </w:pPr>
            <w:r>
              <w:rPr>
                <w:sz w:val="24"/>
                <w:szCs w:val="24"/>
              </w:rPr>
              <w:t>+</w:t>
            </w:r>
            <w:r w:rsidR="00C12779">
              <w:rPr>
                <w:sz w:val="24"/>
                <w:szCs w:val="24"/>
              </w:rPr>
              <w:t>$</w:t>
            </w:r>
            <w:r>
              <w:rPr>
                <w:sz w:val="24"/>
                <w:szCs w:val="24"/>
              </w:rPr>
              <w:t>249</w:t>
            </w:r>
          </w:p>
        </w:tc>
        <w:tc>
          <w:tcPr>
            <w:tcW w:w="1530" w:type="dxa"/>
            <w:tcBorders>
              <w:bottom w:val="single" w:sz="4" w:space="0" w:color="auto"/>
            </w:tcBorders>
            <w:vAlign w:val="center"/>
          </w:tcPr>
          <w:p w14:paraId="03533268" w14:textId="4D958B29" w:rsidR="008F4F08" w:rsidRPr="00FC7A36" w:rsidRDefault="008F4F08" w:rsidP="00FC7A36">
            <w:pPr>
              <w:spacing w:after="0"/>
              <w:rPr>
                <w:sz w:val="24"/>
                <w:szCs w:val="24"/>
              </w:rPr>
            </w:pPr>
            <w:r w:rsidRPr="00FC7A36">
              <w:rPr>
                <w:sz w:val="24"/>
                <w:szCs w:val="24"/>
              </w:rPr>
              <w:t>0</w:t>
            </w:r>
          </w:p>
        </w:tc>
      </w:tr>
    </w:tbl>
    <w:p w14:paraId="1686A8A2" w14:textId="77777777" w:rsidR="000C574F" w:rsidRPr="00FC7A36" w:rsidRDefault="000C574F" w:rsidP="00FC7A36">
      <w:pPr>
        <w:pStyle w:val="ListParagraph"/>
        <w:spacing w:after="0"/>
        <w:ind w:left="360"/>
        <w:rPr>
          <w:b/>
          <w:sz w:val="24"/>
          <w:szCs w:val="24"/>
        </w:rPr>
      </w:pPr>
    </w:p>
    <w:p w14:paraId="03533282" w14:textId="77777777" w:rsidR="00A276F5" w:rsidRPr="00FC7A36" w:rsidRDefault="00414F32" w:rsidP="00FC7A36">
      <w:pPr>
        <w:pStyle w:val="FERCparanumber"/>
        <w:spacing w:line="276" w:lineRule="auto"/>
        <w:rPr>
          <w:sz w:val="24"/>
        </w:rPr>
      </w:pPr>
      <w:r w:rsidRPr="00FC7A36">
        <w:rPr>
          <w:sz w:val="24"/>
        </w:rPr>
        <w:t>TIME SCHEDULE FOR PUBLICATION OF DATA</w:t>
      </w:r>
    </w:p>
    <w:p w14:paraId="03533284" w14:textId="1F9379CE" w:rsidR="000D4661" w:rsidRPr="00FC7A36" w:rsidRDefault="000D4661" w:rsidP="00FC7A36">
      <w:pPr>
        <w:spacing w:after="0"/>
        <w:rPr>
          <w:sz w:val="24"/>
          <w:szCs w:val="24"/>
        </w:rPr>
      </w:pPr>
      <w:r w:rsidRPr="00FC7A36">
        <w:rPr>
          <w:sz w:val="24"/>
          <w:szCs w:val="24"/>
        </w:rPr>
        <w:t xml:space="preserve">There is no publication of data associated with </w:t>
      </w:r>
      <w:r w:rsidR="008344B1" w:rsidRPr="00FC7A36">
        <w:rPr>
          <w:sz w:val="24"/>
          <w:szCs w:val="24"/>
        </w:rPr>
        <w:t>FERC-</w:t>
      </w:r>
      <w:r w:rsidR="000A3EC7" w:rsidRPr="00FC7A36">
        <w:rPr>
          <w:sz w:val="24"/>
          <w:szCs w:val="24"/>
        </w:rPr>
        <w:t>555</w:t>
      </w:r>
      <w:r w:rsidR="002120F5" w:rsidRPr="00FC7A36">
        <w:rPr>
          <w:sz w:val="24"/>
          <w:szCs w:val="24"/>
        </w:rPr>
        <w:t xml:space="preserve"> </w:t>
      </w:r>
      <w:r w:rsidRPr="00FC7A36">
        <w:rPr>
          <w:sz w:val="24"/>
          <w:szCs w:val="24"/>
        </w:rPr>
        <w:t>information.</w:t>
      </w:r>
      <w:r w:rsidR="00FC7A36">
        <w:rPr>
          <w:sz w:val="24"/>
          <w:szCs w:val="24"/>
        </w:rPr>
        <w:t xml:space="preserve"> The FERC-555 covers record retention requirements imposed upon jurisdictional entities and, thus, is not submitted to FERC.</w:t>
      </w:r>
    </w:p>
    <w:p w14:paraId="03533285" w14:textId="77777777" w:rsidR="0072366E" w:rsidRPr="00FC7A36" w:rsidRDefault="0072366E" w:rsidP="00FC7A36">
      <w:pPr>
        <w:spacing w:after="0"/>
        <w:rPr>
          <w:sz w:val="24"/>
          <w:szCs w:val="24"/>
        </w:rPr>
      </w:pPr>
    </w:p>
    <w:p w14:paraId="03533286" w14:textId="77777777" w:rsidR="00414F32" w:rsidRPr="00FC7A36" w:rsidRDefault="00414F32" w:rsidP="00FC7A36">
      <w:pPr>
        <w:pStyle w:val="FERCparanumber"/>
        <w:spacing w:line="276" w:lineRule="auto"/>
        <w:rPr>
          <w:sz w:val="24"/>
        </w:rPr>
      </w:pPr>
      <w:r w:rsidRPr="00FC7A36">
        <w:rPr>
          <w:sz w:val="24"/>
        </w:rPr>
        <w:t>DISPLAY OF EXPIRATION DATE</w:t>
      </w:r>
    </w:p>
    <w:p w14:paraId="03533288" w14:textId="14D9DEAE" w:rsidR="00414F32" w:rsidRPr="00FC7A36" w:rsidRDefault="0087430F" w:rsidP="00FC7A36">
      <w:pPr>
        <w:spacing w:after="0"/>
        <w:rPr>
          <w:sz w:val="24"/>
          <w:szCs w:val="24"/>
        </w:rPr>
      </w:pPr>
      <w:r w:rsidRPr="00FC7A36">
        <w:rPr>
          <w:sz w:val="24"/>
          <w:szCs w:val="24"/>
        </w:rPr>
        <w:t xml:space="preserve">The expiration dates are available at </w:t>
      </w:r>
      <w:hyperlink r:id="rId14" w:history="1">
        <w:r w:rsidRPr="00FC7A36">
          <w:rPr>
            <w:rStyle w:val="Hyperlink"/>
            <w:sz w:val="24"/>
            <w:szCs w:val="24"/>
          </w:rPr>
          <w:t>http://www.ferc.gov/docs-filing/info-collections.asp</w:t>
        </w:r>
      </w:hyperlink>
      <w:r w:rsidRPr="00FC7A36">
        <w:rPr>
          <w:sz w:val="24"/>
          <w:szCs w:val="24"/>
        </w:rPr>
        <w:t xml:space="preserve">. </w:t>
      </w:r>
      <w:r w:rsidR="00730A00" w:rsidRPr="00FC7A36">
        <w:rPr>
          <w:sz w:val="24"/>
          <w:szCs w:val="24"/>
        </w:rPr>
        <w:t xml:space="preserve"> </w:t>
      </w:r>
    </w:p>
    <w:p w14:paraId="03533289" w14:textId="77777777" w:rsidR="00414F32" w:rsidRPr="00FC7A36" w:rsidRDefault="00414F32" w:rsidP="00FC7A36">
      <w:pPr>
        <w:spacing w:after="0"/>
        <w:rPr>
          <w:sz w:val="24"/>
          <w:szCs w:val="24"/>
        </w:rPr>
      </w:pPr>
    </w:p>
    <w:p w14:paraId="0353328A" w14:textId="77777777" w:rsidR="00414F32" w:rsidRPr="00FC7A36" w:rsidRDefault="00414F32" w:rsidP="00FC7A36">
      <w:pPr>
        <w:pStyle w:val="FERCparanumber"/>
        <w:spacing w:line="276" w:lineRule="auto"/>
        <w:rPr>
          <w:sz w:val="24"/>
        </w:rPr>
      </w:pPr>
      <w:r w:rsidRPr="00FC7A36">
        <w:rPr>
          <w:sz w:val="24"/>
        </w:rPr>
        <w:t>EXCEPTIONS TO THE CERTIFICATION STATEMENT</w:t>
      </w:r>
    </w:p>
    <w:p w14:paraId="0353328C" w14:textId="77777777" w:rsidR="0057700F" w:rsidRPr="00FC7A36" w:rsidRDefault="0087430F" w:rsidP="00FC7A36">
      <w:pPr>
        <w:spacing w:after="0"/>
        <w:rPr>
          <w:b/>
          <w:sz w:val="24"/>
          <w:szCs w:val="24"/>
        </w:rPr>
      </w:pPr>
      <w:r w:rsidRPr="00FC7A36">
        <w:rPr>
          <w:sz w:val="24"/>
          <w:szCs w:val="24"/>
        </w:rPr>
        <w:t>There are no exceptions</w:t>
      </w:r>
      <w:r w:rsidR="00077D2A" w:rsidRPr="00FC7A36">
        <w:rPr>
          <w:sz w:val="24"/>
          <w:szCs w:val="24"/>
        </w:rPr>
        <w:t>.</w:t>
      </w:r>
    </w:p>
    <w:p w14:paraId="0353328D" w14:textId="77777777" w:rsidR="00414F32" w:rsidRPr="00FC7A36" w:rsidRDefault="00414F32" w:rsidP="00FC7A36">
      <w:pPr>
        <w:spacing w:after="0"/>
        <w:rPr>
          <w:sz w:val="24"/>
          <w:szCs w:val="24"/>
        </w:rPr>
      </w:pPr>
    </w:p>
    <w:sectPr w:rsidR="00414F32" w:rsidRPr="00FC7A3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A6FF8" w14:textId="77777777" w:rsidR="00F5172F" w:rsidRDefault="00F5172F" w:rsidP="00FD66F1">
      <w:pPr>
        <w:spacing w:after="0" w:line="240" w:lineRule="auto"/>
      </w:pPr>
      <w:r>
        <w:separator/>
      </w:r>
    </w:p>
    <w:p w14:paraId="3F0640E7" w14:textId="77777777" w:rsidR="00F5172F" w:rsidRDefault="00F5172F"/>
    <w:p w14:paraId="6DF4C684" w14:textId="77777777" w:rsidR="00F5172F" w:rsidRDefault="00F5172F" w:rsidP="00080C15"/>
  </w:endnote>
  <w:endnote w:type="continuationSeparator" w:id="0">
    <w:p w14:paraId="16908ABC" w14:textId="77777777" w:rsidR="00F5172F" w:rsidRDefault="00F5172F" w:rsidP="00FD66F1">
      <w:pPr>
        <w:spacing w:after="0" w:line="240" w:lineRule="auto"/>
      </w:pPr>
      <w:r>
        <w:continuationSeparator/>
      </w:r>
    </w:p>
    <w:p w14:paraId="4226FA34" w14:textId="77777777" w:rsidR="00F5172F" w:rsidRDefault="00F5172F"/>
    <w:p w14:paraId="6C5987A9" w14:textId="77777777" w:rsidR="00F5172F" w:rsidRDefault="00F5172F" w:rsidP="00080C15"/>
  </w:endnote>
  <w:endnote w:type="continuationNotice" w:id="1">
    <w:p w14:paraId="0B694FFE" w14:textId="77777777" w:rsidR="00F5172F" w:rsidRDefault="00F5172F">
      <w:pPr>
        <w:spacing w:after="0" w:line="240" w:lineRule="auto"/>
      </w:pPr>
    </w:p>
    <w:p w14:paraId="622E7313" w14:textId="77777777" w:rsidR="00F5172F" w:rsidRDefault="00F5172F"/>
    <w:p w14:paraId="2B019BC3" w14:textId="77777777" w:rsidR="00F5172F" w:rsidRDefault="00F5172F"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E4FB" w14:textId="77777777" w:rsidR="005722EB" w:rsidRDefault="00572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1C9DF52" w14:textId="77777777" w:rsidR="009C5B89" w:rsidRDefault="009C5B89">
        <w:pPr>
          <w:pStyle w:val="Footer"/>
          <w:jc w:val="right"/>
        </w:pPr>
      </w:p>
      <w:p w14:paraId="03533297" w14:textId="53757E3D" w:rsidR="009C5B89" w:rsidRDefault="009C5B89">
        <w:pPr>
          <w:pStyle w:val="Footer"/>
          <w:jc w:val="right"/>
        </w:pPr>
        <w:r w:rsidRPr="00FA25F9">
          <w:fldChar w:fldCharType="begin"/>
        </w:r>
        <w:r w:rsidRPr="00FA25F9">
          <w:instrText xml:space="preserve"> PAGE   \* MERGEFORMAT </w:instrText>
        </w:r>
        <w:r w:rsidRPr="00FA25F9">
          <w:fldChar w:fldCharType="separate"/>
        </w:r>
        <w:r w:rsidR="00954843">
          <w:rPr>
            <w:noProof/>
          </w:rPr>
          <w:t>1</w:t>
        </w:r>
        <w:r w:rsidRPr="00FA25F9">
          <w:rPr>
            <w:noProof/>
          </w:rPr>
          <w:fldChar w:fldCharType="end"/>
        </w:r>
      </w:p>
    </w:sdtContent>
  </w:sdt>
  <w:p w14:paraId="03533298" w14:textId="77777777" w:rsidR="009C5B89" w:rsidRDefault="009C5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E782" w14:textId="77777777" w:rsidR="005722EB" w:rsidRDefault="00572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C5E7B" w14:textId="77777777" w:rsidR="00F5172F" w:rsidRDefault="00F5172F" w:rsidP="00FD66F1">
      <w:pPr>
        <w:spacing w:after="0" w:line="240" w:lineRule="auto"/>
      </w:pPr>
      <w:r>
        <w:separator/>
      </w:r>
    </w:p>
  </w:footnote>
  <w:footnote w:type="continuationSeparator" w:id="0">
    <w:p w14:paraId="729AC04D" w14:textId="77777777" w:rsidR="00F5172F" w:rsidRDefault="00F5172F" w:rsidP="00FD66F1">
      <w:pPr>
        <w:spacing w:after="0" w:line="240" w:lineRule="auto"/>
      </w:pPr>
      <w:r>
        <w:continuationSeparator/>
      </w:r>
    </w:p>
    <w:p w14:paraId="35D0447B" w14:textId="77777777" w:rsidR="00F5172F" w:rsidRDefault="00F5172F"/>
    <w:p w14:paraId="11DFFBED" w14:textId="77777777" w:rsidR="00F5172F" w:rsidRDefault="00F5172F" w:rsidP="00080C15"/>
  </w:footnote>
  <w:footnote w:type="continuationNotice" w:id="1">
    <w:p w14:paraId="4FE770F5" w14:textId="77777777" w:rsidR="00F5172F" w:rsidRDefault="00F5172F">
      <w:pPr>
        <w:spacing w:after="0" w:line="240" w:lineRule="auto"/>
      </w:pPr>
    </w:p>
    <w:p w14:paraId="7CE55898" w14:textId="77777777" w:rsidR="00F5172F" w:rsidRDefault="00F5172F"/>
    <w:p w14:paraId="0584A726" w14:textId="77777777" w:rsidR="00F5172F" w:rsidRDefault="00F5172F" w:rsidP="00080C15"/>
  </w:footnote>
  <w:footnote w:id="2">
    <w:p w14:paraId="0D7685B5" w14:textId="77777777" w:rsidR="008155DC" w:rsidRPr="00BE54BC" w:rsidRDefault="008155DC" w:rsidP="00BE54BC">
      <w:pPr>
        <w:spacing w:after="0" w:line="240" w:lineRule="auto"/>
        <w:rPr>
          <w:sz w:val="20"/>
          <w:szCs w:val="20"/>
        </w:rPr>
      </w:pPr>
      <w:r w:rsidRPr="00BE54BC">
        <w:rPr>
          <w:rStyle w:val="FootnoteReference"/>
          <w:b w:val="0"/>
          <w:bCs/>
          <w:sz w:val="20"/>
          <w:szCs w:val="20"/>
        </w:rPr>
        <w:footnoteRef/>
      </w:r>
      <w:r w:rsidRPr="00BE54BC">
        <w:rPr>
          <w:sz w:val="20"/>
          <w:szCs w:val="20"/>
        </w:rPr>
        <w:t xml:space="preserve">  Section 301, 16 U.S.C. 825(a). </w:t>
      </w:r>
    </w:p>
  </w:footnote>
  <w:footnote w:id="3">
    <w:p w14:paraId="16F41A91" w14:textId="77777777" w:rsidR="008155DC" w:rsidRPr="00BE54BC" w:rsidRDefault="008155DC" w:rsidP="00BE54BC">
      <w:pPr>
        <w:spacing w:after="0" w:line="240" w:lineRule="auto"/>
        <w:rPr>
          <w:sz w:val="20"/>
          <w:szCs w:val="20"/>
        </w:rPr>
      </w:pPr>
      <w:r w:rsidRPr="00BE54BC">
        <w:rPr>
          <w:rStyle w:val="FootnoteReference"/>
          <w:b w:val="0"/>
          <w:bCs/>
          <w:sz w:val="20"/>
          <w:szCs w:val="20"/>
        </w:rPr>
        <w:footnoteRef/>
      </w:r>
      <w:r w:rsidRPr="00BE54BC">
        <w:rPr>
          <w:sz w:val="20"/>
          <w:szCs w:val="20"/>
        </w:rPr>
        <w:t xml:space="preserve">  Section 8, 15 U.S.C. 717g(a).</w:t>
      </w:r>
    </w:p>
  </w:footnote>
  <w:footnote w:id="4">
    <w:p w14:paraId="2DABEDCA" w14:textId="77777777" w:rsidR="008155DC" w:rsidRPr="00BE54BC" w:rsidRDefault="008155DC" w:rsidP="00BE54BC">
      <w:pPr>
        <w:spacing w:after="0" w:line="240" w:lineRule="auto"/>
        <w:rPr>
          <w:sz w:val="20"/>
          <w:szCs w:val="20"/>
        </w:rPr>
      </w:pPr>
      <w:r w:rsidRPr="00BE54BC">
        <w:rPr>
          <w:rStyle w:val="FootnoteReference"/>
          <w:b w:val="0"/>
          <w:bCs/>
          <w:sz w:val="20"/>
          <w:szCs w:val="20"/>
        </w:rPr>
        <w:footnoteRef/>
      </w:r>
      <w:r w:rsidRPr="00BE54BC">
        <w:rPr>
          <w:sz w:val="20"/>
          <w:szCs w:val="20"/>
        </w:rPr>
        <w:t xml:space="preserve">  Section 402(a)(2) of the Department of Energy Organization Act transfers these Federal Power Act and Natural Gas Act responsibilities from the Federal Power Commission to the Federal Energy Regulatory Commission.  42 U.S.C. 7172(a)(2).</w:t>
      </w:r>
    </w:p>
  </w:footnote>
  <w:footnote w:id="5">
    <w:p w14:paraId="37CE324E" w14:textId="77777777" w:rsidR="008155DC" w:rsidRPr="00BE54BC" w:rsidRDefault="008155DC" w:rsidP="00BE54BC">
      <w:pPr>
        <w:spacing w:after="0" w:line="240" w:lineRule="auto"/>
        <w:rPr>
          <w:sz w:val="20"/>
          <w:szCs w:val="20"/>
        </w:rPr>
      </w:pPr>
      <w:r w:rsidRPr="00BE54BC">
        <w:rPr>
          <w:rStyle w:val="FootnoteReference"/>
          <w:b w:val="0"/>
          <w:bCs/>
          <w:sz w:val="20"/>
          <w:szCs w:val="20"/>
        </w:rPr>
        <w:footnoteRef/>
      </w:r>
      <w:r w:rsidRPr="00BE54BC">
        <w:rPr>
          <w:sz w:val="20"/>
          <w:szCs w:val="20"/>
        </w:rPr>
        <w:t xml:space="preserve">  42 U.S.C. 7295.</w:t>
      </w:r>
    </w:p>
  </w:footnote>
  <w:footnote w:id="6">
    <w:p w14:paraId="7C6C9E98" w14:textId="77777777" w:rsidR="008155DC" w:rsidRPr="00BE54BC" w:rsidRDefault="008155DC" w:rsidP="00BE54BC">
      <w:pPr>
        <w:spacing w:after="0" w:line="240" w:lineRule="auto"/>
        <w:rPr>
          <w:sz w:val="20"/>
          <w:szCs w:val="20"/>
        </w:rPr>
      </w:pPr>
      <w:r w:rsidRPr="00BE54BC">
        <w:rPr>
          <w:rStyle w:val="FootnoteReference"/>
          <w:b w:val="0"/>
          <w:bCs/>
          <w:sz w:val="20"/>
          <w:szCs w:val="20"/>
        </w:rPr>
        <w:footnoteRef/>
      </w:r>
      <w:r w:rsidRPr="00BE54BC">
        <w:rPr>
          <w:sz w:val="20"/>
          <w:szCs w:val="20"/>
        </w:rPr>
        <w:t xml:space="preserve">  49 App. U.S.C. 1 </w:t>
      </w:r>
      <w:r w:rsidRPr="00BE54BC">
        <w:rPr>
          <w:sz w:val="20"/>
          <w:szCs w:val="20"/>
          <w:u w:val="single"/>
        </w:rPr>
        <w:t>et</w:t>
      </w:r>
      <w:r w:rsidRPr="00BE54BC">
        <w:rPr>
          <w:sz w:val="20"/>
          <w:szCs w:val="20"/>
        </w:rPr>
        <w:t xml:space="preserve"> </w:t>
      </w:r>
      <w:r w:rsidRPr="00BE54BC">
        <w:rPr>
          <w:sz w:val="20"/>
          <w:szCs w:val="20"/>
          <w:u w:val="single"/>
        </w:rPr>
        <w:t>seq</w:t>
      </w:r>
      <w:r w:rsidRPr="00BE54BC">
        <w:rPr>
          <w:sz w:val="20"/>
          <w:szCs w:val="20"/>
        </w:rPr>
        <w:t>.</w:t>
      </w:r>
    </w:p>
  </w:footnote>
  <w:footnote w:id="7">
    <w:p w14:paraId="6BA5F497" w14:textId="36D801C1" w:rsidR="008155DC" w:rsidRPr="00BE54BC" w:rsidRDefault="008155DC" w:rsidP="00BE54BC">
      <w:pPr>
        <w:pStyle w:val="FootnoteText"/>
        <w:spacing w:after="0"/>
        <w:ind w:firstLine="0"/>
        <w:rPr>
          <w:sz w:val="20"/>
        </w:rPr>
      </w:pPr>
      <w:r w:rsidRPr="00BE54BC">
        <w:rPr>
          <w:rStyle w:val="FootnoteReference"/>
          <w:b w:val="0"/>
          <w:sz w:val="20"/>
        </w:rPr>
        <w:footnoteRef/>
      </w:r>
      <w:r w:rsidRPr="00BE54BC">
        <w:rPr>
          <w:b/>
          <w:sz w:val="20"/>
        </w:rPr>
        <w:t xml:space="preserve"> </w:t>
      </w:r>
      <w:r w:rsidR="001F776B" w:rsidRPr="00BE54BC">
        <w:rPr>
          <w:sz w:val="20"/>
        </w:rPr>
        <w:t xml:space="preserve">84 FR </w:t>
      </w:r>
      <w:r w:rsidR="001C7F2B" w:rsidRPr="00BE54BC">
        <w:rPr>
          <w:sz w:val="20"/>
        </w:rPr>
        <w:t>30705</w:t>
      </w:r>
    </w:p>
  </w:footnote>
  <w:footnote w:id="8">
    <w:p w14:paraId="5C4B5530" w14:textId="05407CBA" w:rsidR="00AB2B5C" w:rsidRPr="00BE54BC" w:rsidRDefault="00AB2B5C" w:rsidP="00BE54BC">
      <w:pPr>
        <w:pStyle w:val="FootnoteText"/>
        <w:spacing w:after="0"/>
        <w:ind w:firstLine="0"/>
        <w:rPr>
          <w:sz w:val="20"/>
        </w:rPr>
      </w:pPr>
      <w:r w:rsidRPr="00BE54BC">
        <w:rPr>
          <w:rStyle w:val="FootnoteReference"/>
          <w:b w:val="0"/>
          <w:sz w:val="20"/>
        </w:rPr>
        <w:footnoteRef/>
      </w:r>
      <w:r w:rsidRPr="00BE54BC">
        <w:rPr>
          <w:sz w:val="20"/>
        </w:rPr>
        <w:t xml:space="preserve"> </w:t>
      </w:r>
      <w:hyperlink r:id="rId1" w:history="1">
        <w:r w:rsidRPr="00BE54BC">
          <w:rPr>
            <w:rStyle w:val="Hyperlink"/>
            <w:sz w:val="20"/>
          </w:rPr>
          <w:t>https://elibrary-backup.ferc.gov/idmws/common/OpenNat.asp?fileID=15336115</w:t>
        </w:r>
      </w:hyperlink>
    </w:p>
  </w:footnote>
  <w:footnote w:id="9">
    <w:p w14:paraId="2559F61D" w14:textId="77777777" w:rsidR="001C7F2B" w:rsidRPr="00BE54BC" w:rsidRDefault="001C7F2B" w:rsidP="00BE54BC">
      <w:pPr>
        <w:pStyle w:val="FootnoteText"/>
        <w:spacing w:after="0"/>
        <w:ind w:firstLine="0"/>
        <w:rPr>
          <w:sz w:val="20"/>
        </w:rPr>
      </w:pPr>
      <w:r w:rsidRPr="00BE54BC">
        <w:rPr>
          <w:rStyle w:val="FootnoteReference"/>
          <w:b w:val="0"/>
          <w:sz w:val="20"/>
        </w:rPr>
        <w:footnoteRef/>
      </w:r>
      <w:r w:rsidRPr="00BE54BC">
        <w:rPr>
          <w:sz w:val="20"/>
        </w:rPr>
        <w:t xml:space="preserve"> The estimates for cost per response are derived using the following formula: Average Burden Hours per Response * $80/hour = Average cost/response.  The figure is the 2019 FERC average hourly cost (for wages and benefits) of $80 (and an average annual salary of $167,091/year).  Commission staff is using the FERC average salary because we consider any record retention requirements completed in response to the FERC-555 to be compensated at rates similar to the work of FERC employees.</w:t>
      </w:r>
    </w:p>
  </w:footnote>
  <w:footnote w:id="10">
    <w:p w14:paraId="26A32CA5" w14:textId="77777777" w:rsidR="00FE53C7" w:rsidRPr="00BE54BC" w:rsidRDefault="00FE53C7" w:rsidP="00BE54BC">
      <w:pPr>
        <w:pStyle w:val="FootnoteText"/>
        <w:spacing w:after="0"/>
        <w:ind w:firstLine="0"/>
        <w:rPr>
          <w:sz w:val="20"/>
        </w:rPr>
      </w:pPr>
      <w:r w:rsidRPr="00BE54BC">
        <w:rPr>
          <w:rStyle w:val="FootnoteReference"/>
          <w:b w:val="0"/>
          <w:sz w:val="20"/>
        </w:rPr>
        <w:footnoteRef/>
      </w:r>
      <w:r w:rsidRPr="00BE54BC">
        <w:rPr>
          <w:sz w:val="20"/>
        </w:rPr>
        <w:t xml:space="preserve"> The size thresholds are estimates based on staff judgment. </w:t>
      </w:r>
    </w:p>
  </w:footnote>
  <w:footnote w:id="11">
    <w:p w14:paraId="5CF48297" w14:textId="0966FCF8" w:rsidR="00FE53C7" w:rsidRPr="00BE54BC" w:rsidRDefault="00FE53C7" w:rsidP="00BE54BC">
      <w:pPr>
        <w:pStyle w:val="FootnoteText"/>
        <w:spacing w:after="0"/>
        <w:ind w:firstLine="0"/>
        <w:rPr>
          <w:sz w:val="20"/>
        </w:rPr>
      </w:pPr>
      <w:r w:rsidRPr="00BE54BC">
        <w:rPr>
          <w:rStyle w:val="FootnoteReference"/>
          <w:b w:val="0"/>
          <w:sz w:val="20"/>
        </w:rPr>
        <w:footnoteRef/>
      </w:r>
      <w:r w:rsidRPr="00BE54BC">
        <w:rPr>
          <w:sz w:val="20"/>
        </w:rPr>
        <w:t xml:space="preserve"> Due to rounding during the analysis and calculations, the total in this column </w:t>
      </w:r>
      <w:r w:rsidR="00717583">
        <w:rPr>
          <w:sz w:val="20"/>
        </w:rPr>
        <w:t>(</w:t>
      </w:r>
      <w:r w:rsidR="00717583" w:rsidRPr="00717583">
        <w:rPr>
          <w:sz w:val="20"/>
        </w:rPr>
        <w:t xml:space="preserve">2,655,849 </w:t>
      </w:r>
      <w:r w:rsidR="00717583">
        <w:rPr>
          <w:sz w:val="20"/>
        </w:rPr>
        <w:t xml:space="preserve">hours) </w:t>
      </w:r>
      <w:r w:rsidRPr="00BE54BC">
        <w:rPr>
          <w:sz w:val="20"/>
        </w:rPr>
        <w:t xml:space="preserve">does not sum to the exact figure </w:t>
      </w:r>
      <w:r w:rsidR="00717583">
        <w:rPr>
          <w:sz w:val="20"/>
        </w:rPr>
        <w:t xml:space="preserve">(of </w:t>
      </w:r>
      <w:r w:rsidR="00717583" w:rsidRPr="00717583">
        <w:rPr>
          <w:sz w:val="20"/>
        </w:rPr>
        <w:t xml:space="preserve">2,656,034 </w:t>
      </w:r>
      <w:r w:rsidR="00717583">
        <w:rPr>
          <w:sz w:val="20"/>
        </w:rPr>
        <w:t xml:space="preserve">hours) </w:t>
      </w:r>
      <w:r w:rsidRPr="00BE54BC">
        <w:rPr>
          <w:sz w:val="20"/>
        </w:rPr>
        <w:t>shown in the summary burden table</w:t>
      </w:r>
      <w:r w:rsidR="00717583">
        <w:rPr>
          <w:sz w:val="20"/>
        </w:rPr>
        <w:t>; the difference is 185</w:t>
      </w:r>
      <w:r w:rsidRPr="00BE54BC">
        <w:rPr>
          <w:sz w:val="20"/>
        </w:rPr>
        <w:t>.</w:t>
      </w:r>
    </w:p>
  </w:footnote>
  <w:footnote w:id="12">
    <w:p w14:paraId="1BB2FADD" w14:textId="4F035A5C" w:rsidR="00BE54BC" w:rsidRPr="00BE54BC" w:rsidRDefault="00BE54BC" w:rsidP="00BE54BC">
      <w:pPr>
        <w:pStyle w:val="FootnoteText"/>
        <w:spacing w:after="0"/>
        <w:ind w:firstLine="0"/>
        <w:rPr>
          <w:sz w:val="20"/>
        </w:rPr>
      </w:pPr>
      <w:r w:rsidRPr="00BE54BC">
        <w:rPr>
          <w:rStyle w:val="FootnoteReference"/>
          <w:b w:val="0"/>
          <w:sz w:val="20"/>
        </w:rPr>
        <w:footnoteRef/>
      </w:r>
      <w:r w:rsidRPr="00BE54BC">
        <w:rPr>
          <w:b/>
          <w:sz w:val="20"/>
        </w:rPr>
        <w:t xml:space="preserve"> </w:t>
      </w:r>
      <w:r w:rsidRPr="00BE54BC">
        <w:rPr>
          <w:sz w:val="20"/>
        </w:rPr>
        <w:t>Commission staff estimates that approximately 72 FTEs work on financial audits at a cost of $</w:t>
      </w:r>
      <w:r w:rsidR="00430AF5">
        <w:rPr>
          <w:sz w:val="20"/>
        </w:rPr>
        <w:t>12,030,552</w:t>
      </w:r>
      <w:r w:rsidRPr="00BE54BC" w:rsidDel="00AB7220">
        <w:rPr>
          <w:sz w:val="20"/>
        </w:rPr>
        <w:t xml:space="preserve"> </w:t>
      </w:r>
      <w:r w:rsidRPr="00BE54BC">
        <w:rPr>
          <w:sz w:val="20"/>
        </w:rPr>
        <w:t xml:space="preserve">(using the 2019 figure of $167,091 per FTE per year).  </w:t>
      </w:r>
    </w:p>
  </w:footnote>
  <w:footnote w:id="13">
    <w:p w14:paraId="05AA5BFE" w14:textId="7D700D2F" w:rsidR="000C5911" w:rsidRPr="00BE54BC" w:rsidRDefault="000C5911" w:rsidP="00BE54BC">
      <w:pPr>
        <w:spacing w:after="0" w:line="240" w:lineRule="auto"/>
        <w:rPr>
          <w:sz w:val="20"/>
          <w:szCs w:val="20"/>
        </w:rPr>
      </w:pPr>
      <w:r w:rsidRPr="00BE54BC">
        <w:rPr>
          <w:sz w:val="20"/>
          <w:szCs w:val="20"/>
          <w:vertAlign w:val="superscript"/>
        </w:rPr>
        <w:footnoteRef/>
      </w:r>
      <w:r w:rsidRPr="00BE54BC">
        <w:rPr>
          <w:sz w:val="20"/>
          <w:szCs w:val="20"/>
        </w:rPr>
        <w:t xml:space="preserve"> The Commission bases the cost of Paperwork Reduction Act administration on staff time, and other costs related to compliance with the Paperwork Reduction Act of 1995 (PRA). </w:t>
      </w:r>
    </w:p>
  </w:footnote>
  <w:footnote w:id="14">
    <w:p w14:paraId="73C07A45" w14:textId="0470D3C1" w:rsidR="000C5911" w:rsidRPr="00BE54BC" w:rsidRDefault="000C5911" w:rsidP="00BE54BC">
      <w:pPr>
        <w:pStyle w:val="FootnoteText"/>
        <w:spacing w:after="0"/>
        <w:ind w:firstLine="0"/>
        <w:rPr>
          <w:sz w:val="20"/>
        </w:rPr>
      </w:pPr>
      <w:r w:rsidRPr="00BE54BC">
        <w:rPr>
          <w:rStyle w:val="FootnoteReference"/>
          <w:b w:val="0"/>
          <w:sz w:val="20"/>
        </w:rPr>
        <w:footnoteRef/>
      </w:r>
      <w:r w:rsidRPr="00BE54BC">
        <w:rPr>
          <w:sz w:val="20"/>
        </w:rPr>
        <w:t xml:space="preserve"> Based upon FERC’s 2019 estimated average annual PRA Administrative Cost: $4,832.</w:t>
      </w:r>
    </w:p>
  </w:footnote>
  <w:footnote w:id="15">
    <w:p w14:paraId="718D46F6" w14:textId="3AFB9061" w:rsidR="00B9476A" w:rsidRPr="003C63D9" w:rsidRDefault="00B9476A" w:rsidP="003C63D9">
      <w:pPr>
        <w:pStyle w:val="FootnoteText"/>
        <w:spacing w:after="0"/>
        <w:ind w:firstLine="0"/>
        <w:rPr>
          <w:sz w:val="20"/>
        </w:rPr>
      </w:pPr>
      <w:r w:rsidRPr="003C63D9">
        <w:rPr>
          <w:rStyle w:val="FootnoteReference"/>
          <w:b w:val="0"/>
          <w:sz w:val="20"/>
        </w:rPr>
        <w:footnoteRef/>
      </w:r>
      <w:r w:rsidRPr="003C63D9">
        <w:rPr>
          <w:sz w:val="20"/>
        </w:rPr>
        <w:t xml:space="preserve"> This is a </w:t>
      </w:r>
      <w:r w:rsidR="00AA5A47">
        <w:rPr>
          <w:sz w:val="20"/>
        </w:rPr>
        <w:t>correction/</w:t>
      </w:r>
      <w:r w:rsidRPr="003C63D9">
        <w:rPr>
          <w:sz w:val="20"/>
        </w:rPr>
        <w:t>clarification to the estimates provided in the 30-day notice</w:t>
      </w:r>
      <w:r w:rsidR="000D3B36">
        <w:rPr>
          <w:sz w:val="20"/>
        </w:rPr>
        <w:t xml:space="preserve"> in Docket No. IC19-28-000</w:t>
      </w:r>
      <w:r w:rsidRPr="003C63D9">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D47D" w14:textId="77777777" w:rsidR="005722EB" w:rsidRDefault="00572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3296" w14:textId="31656096" w:rsidR="009C5B89" w:rsidRPr="00947DD5" w:rsidRDefault="009C5B89">
    <w:pPr>
      <w:pStyle w:val="Header"/>
      <w:rPr>
        <w:szCs w:val="26"/>
      </w:rPr>
    </w:pPr>
    <w:r w:rsidRPr="00947DD5">
      <w:rPr>
        <w:szCs w:val="26"/>
      </w:rPr>
      <w:t>FERC-</w:t>
    </w:r>
    <w:r w:rsidR="00087925" w:rsidRPr="00947DD5">
      <w:rPr>
        <w:szCs w:val="26"/>
      </w:rPr>
      <w:t>555</w:t>
    </w:r>
    <w:r w:rsidRPr="00947DD5">
      <w:rPr>
        <w:szCs w:val="26"/>
      </w:rPr>
      <w:t xml:space="preserve"> (OMB Control No. 1902-</w:t>
    </w:r>
    <w:r w:rsidR="00087925" w:rsidRPr="00947DD5">
      <w:rPr>
        <w:szCs w:val="26"/>
      </w:rPr>
      <w:t>0098</w:t>
    </w:r>
    <w:r w:rsidRPr="00947DD5">
      <w:rPr>
        <w:szCs w:val="26"/>
      </w:rPr>
      <w:t>)</w:t>
    </w:r>
  </w:p>
  <w:p w14:paraId="19371C35" w14:textId="593829CB" w:rsidR="00947DD5" w:rsidRPr="003C63D9" w:rsidRDefault="00947DD5">
    <w:pPr>
      <w:pStyle w:val="Header"/>
      <w:rPr>
        <w:szCs w:val="26"/>
      </w:rPr>
    </w:pPr>
    <w:r w:rsidRPr="003C63D9">
      <w:rPr>
        <w:szCs w:val="26"/>
      </w:rPr>
      <w:t>(Updated 11/1</w:t>
    </w:r>
    <w:r w:rsidR="005722EB">
      <w:rPr>
        <w:szCs w:val="26"/>
      </w:rPr>
      <w:t>9</w:t>
    </w:r>
    <w:r w:rsidRPr="003C63D9">
      <w:rPr>
        <w:szCs w:val="26"/>
      </w:rPr>
      <w:t>/2019)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D9C9D" w14:textId="77777777" w:rsidR="005722EB" w:rsidRDefault="00572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40E08"/>
    <w:multiLevelType w:val="hybridMultilevel"/>
    <w:tmpl w:val="DBF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2"/>
  </w:num>
  <w:num w:numId="2">
    <w:abstractNumId w:val="6"/>
  </w:num>
  <w:num w:numId="3">
    <w:abstractNumId w:val="17"/>
  </w:num>
  <w:num w:numId="4">
    <w:abstractNumId w:val="19"/>
  </w:num>
  <w:num w:numId="5">
    <w:abstractNumId w:val="5"/>
  </w:num>
  <w:num w:numId="6">
    <w:abstractNumId w:val="10"/>
  </w:num>
  <w:num w:numId="7">
    <w:abstractNumId w:val="9"/>
  </w:num>
  <w:num w:numId="8">
    <w:abstractNumId w:val="21"/>
  </w:num>
  <w:num w:numId="9">
    <w:abstractNumId w:val="1"/>
  </w:num>
  <w:num w:numId="10">
    <w:abstractNumId w:val="22"/>
  </w:num>
  <w:num w:numId="11">
    <w:abstractNumId w:val="0"/>
  </w:num>
  <w:num w:numId="12">
    <w:abstractNumId w:val="8"/>
  </w:num>
  <w:num w:numId="13">
    <w:abstractNumId w:val="18"/>
  </w:num>
  <w:num w:numId="14">
    <w:abstractNumId w:val="15"/>
  </w:num>
  <w:num w:numId="15">
    <w:abstractNumId w:val="23"/>
  </w:num>
  <w:num w:numId="16">
    <w:abstractNumId w:val="4"/>
  </w:num>
  <w:num w:numId="17">
    <w:abstractNumId w:val="7"/>
  </w:num>
  <w:num w:numId="18">
    <w:abstractNumId w:val="14"/>
  </w:num>
  <w:num w:numId="19">
    <w:abstractNumId w:val="20"/>
  </w:num>
  <w:num w:numId="20">
    <w:abstractNumId w:val="3"/>
  </w:num>
  <w:num w:numId="21">
    <w:abstractNumId w:val="2"/>
  </w:num>
  <w:num w:numId="22">
    <w:abstractNumId w:val="11"/>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CC4"/>
    <w:rsid w:val="00003CE1"/>
    <w:rsid w:val="00006B63"/>
    <w:rsid w:val="000125A6"/>
    <w:rsid w:val="0001300F"/>
    <w:rsid w:val="00016333"/>
    <w:rsid w:val="00017188"/>
    <w:rsid w:val="0002086D"/>
    <w:rsid w:val="0002242D"/>
    <w:rsid w:val="00026BBF"/>
    <w:rsid w:val="00026BC5"/>
    <w:rsid w:val="00035845"/>
    <w:rsid w:val="00040A41"/>
    <w:rsid w:val="00040F26"/>
    <w:rsid w:val="00044824"/>
    <w:rsid w:val="00046434"/>
    <w:rsid w:val="00047D6A"/>
    <w:rsid w:val="00047FEC"/>
    <w:rsid w:val="000515DD"/>
    <w:rsid w:val="00054BDD"/>
    <w:rsid w:val="000558CF"/>
    <w:rsid w:val="00055D18"/>
    <w:rsid w:val="00061171"/>
    <w:rsid w:val="00066272"/>
    <w:rsid w:val="00066332"/>
    <w:rsid w:val="00072F5E"/>
    <w:rsid w:val="00076F49"/>
    <w:rsid w:val="00077D2A"/>
    <w:rsid w:val="00080C15"/>
    <w:rsid w:val="00081AE2"/>
    <w:rsid w:val="00084093"/>
    <w:rsid w:val="00087925"/>
    <w:rsid w:val="00092293"/>
    <w:rsid w:val="000964D1"/>
    <w:rsid w:val="000965F4"/>
    <w:rsid w:val="000A3EC7"/>
    <w:rsid w:val="000A5D9C"/>
    <w:rsid w:val="000B0C37"/>
    <w:rsid w:val="000B1731"/>
    <w:rsid w:val="000B304B"/>
    <w:rsid w:val="000B5BDF"/>
    <w:rsid w:val="000C46DE"/>
    <w:rsid w:val="000C48E4"/>
    <w:rsid w:val="000C574F"/>
    <w:rsid w:val="000C5911"/>
    <w:rsid w:val="000D393A"/>
    <w:rsid w:val="000D3B36"/>
    <w:rsid w:val="000D4661"/>
    <w:rsid w:val="000E05DE"/>
    <w:rsid w:val="000E281C"/>
    <w:rsid w:val="000F3167"/>
    <w:rsid w:val="000F36C6"/>
    <w:rsid w:val="000F38AA"/>
    <w:rsid w:val="000F5965"/>
    <w:rsid w:val="000F5C85"/>
    <w:rsid w:val="001007E2"/>
    <w:rsid w:val="00104D09"/>
    <w:rsid w:val="0010626D"/>
    <w:rsid w:val="00113774"/>
    <w:rsid w:val="00114AAD"/>
    <w:rsid w:val="00115E3C"/>
    <w:rsid w:val="001178E9"/>
    <w:rsid w:val="001236A8"/>
    <w:rsid w:val="00124899"/>
    <w:rsid w:val="00125FD1"/>
    <w:rsid w:val="0013054D"/>
    <w:rsid w:val="00130D2A"/>
    <w:rsid w:val="00137515"/>
    <w:rsid w:val="00141FF2"/>
    <w:rsid w:val="00143103"/>
    <w:rsid w:val="00157BFC"/>
    <w:rsid w:val="0016470D"/>
    <w:rsid w:val="00170C3B"/>
    <w:rsid w:val="00175F4F"/>
    <w:rsid w:val="00181727"/>
    <w:rsid w:val="00183BEF"/>
    <w:rsid w:val="00183E4B"/>
    <w:rsid w:val="0018519A"/>
    <w:rsid w:val="00185730"/>
    <w:rsid w:val="001904A5"/>
    <w:rsid w:val="001908C2"/>
    <w:rsid w:val="00191654"/>
    <w:rsid w:val="00191CFD"/>
    <w:rsid w:val="001920F4"/>
    <w:rsid w:val="00192737"/>
    <w:rsid w:val="00197BFB"/>
    <w:rsid w:val="001A1A1A"/>
    <w:rsid w:val="001A4B89"/>
    <w:rsid w:val="001A6FE7"/>
    <w:rsid w:val="001B5F2E"/>
    <w:rsid w:val="001C1BDA"/>
    <w:rsid w:val="001C284A"/>
    <w:rsid w:val="001C7F2B"/>
    <w:rsid w:val="001D0597"/>
    <w:rsid w:val="001D4B79"/>
    <w:rsid w:val="001D6B85"/>
    <w:rsid w:val="001D6BB3"/>
    <w:rsid w:val="001E66C9"/>
    <w:rsid w:val="001E7CB6"/>
    <w:rsid w:val="001F0D63"/>
    <w:rsid w:val="001F0F5A"/>
    <w:rsid w:val="001F1B35"/>
    <w:rsid w:val="001F1DF6"/>
    <w:rsid w:val="001F2568"/>
    <w:rsid w:val="001F3B98"/>
    <w:rsid w:val="001F65FC"/>
    <w:rsid w:val="001F776B"/>
    <w:rsid w:val="00206C84"/>
    <w:rsid w:val="002102D3"/>
    <w:rsid w:val="002120B4"/>
    <w:rsid w:val="002120F5"/>
    <w:rsid w:val="00220E12"/>
    <w:rsid w:val="00223CBA"/>
    <w:rsid w:val="00233C20"/>
    <w:rsid w:val="002343F5"/>
    <w:rsid w:val="002376FC"/>
    <w:rsid w:val="00247B6F"/>
    <w:rsid w:val="00251161"/>
    <w:rsid w:val="00257A93"/>
    <w:rsid w:val="002613E4"/>
    <w:rsid w:val="0026234B"/>
    <w:rsid w:val="002625B3"/>
    <w:rsid w:val="00263AAD"/>
    <w:rsid w:val="00265328"/>
    <w:rsid w:val="0026674D"/>
    <w:rsid w:val="00266784"/>
    <w:rsid w:val="00272FBF"/>
    <w:rsid w:val="0027461E"/>
    <w:rsid w:val="002748E7"/>
    <w:rsid w:val="00281255"/>
    <w:rsid w:val="00287421"/>
    <w:rsid w:val="0029126C"/>
    <w:rsid w:val="002939A6"/>
    <w:rsid w:val="002A28F1"/>
    <w:rsid w:val="002B13E2"/>
    <w:rsid w:val="002B3B80"/>
    <w:rsid w:val="002B4041"/>
    <w:rsid w:val="002B47EF"/>
    <w:rsid w:val="002C07FB"/>
    <w:rsid w:val="002C0DC5"/>
    <w:rsid w:val="002C3651"/>
    <w:rsid w:val="002C37FD"/>
    <w:rsid w:val="002C54C7"/>
    <w:rsid w:val="002C6C16"/>
    <w:rsid w:val="002D1DB6"/>
    <w:rsid w:val="002D273A"/>
    <w:rsid w:val="002D3EFA"/>
    <w:rsid w:val="002D6010"/>
    <w:rsid w:val="002D737B"/>
    <w:rsid w:val="002E185A"/>
    <w:rsid w:val="002E3060"/>
    <w:rsid w:val="002F5149"/>
    <w:rsid w:val="002F5A68"/>
    <w:rsid w:val="0030691A"/>
    <w:rsid w:val="003101A7"/>
    <w:rsid w:val="00312D79"/>
    <w:rsid w:val="00313CA4"/>
    <w:rsid w:val="00314A0B"/>
    <w:rsid w:val="00325F2E"/>
    <w:rsid w:val="003373BC"/>
    <w:rsid w:val="00337C1F"/>
    <w:rsid w:val="00340A9C"/>
    <w:rsid w:val="0034146E"/>
    <w:rsid w:val="003418CC"/>
    <w:rsid w:val="00345C0F"/>
    <w:rsid w:val="0034742B"/>
    <w:rsid w:val="00361F90"/>
    <w:rsid w:val="00364963"/>
    <w:rsid w:val="00365A41"/>
    <w:rsid w:val="00380519"/>
    <w:rsid w:val="00382D1C"/>
    <w:rsid w:val="00383952"/>
    <w:rsid w:val="0038397C"/>
    <w:rsid w:val="00391185"/>
    <w:rsid w:val="00391981"/>
    <w:rsid w:val="003929C9"/>
    <w:rsid w:val="003A121A"/>
    <w:rsid w:val="003A6137"/>
    <w:rsid w:val="003A61D1"/>
    <w:rsid w:val="003A69A4"/>
    <w:rsid w:val="003B0CBE"/>
    <w:rsid w:val="003B390D"/>
    <w:rsid w:val="003B4CD3"/>
    <w:rsid w:val="003B506D"/>
    <w:rsid w:val="003B7D63"/>
    <w:rsid w:val="003C074E"/>
    <w:rsid w:val="003C131E"/>
    <w:rsid w:val="003C2527"/>
    <w:rsid w:val="003C36C3"/>
    <w:rsid w:val="003C4B76"/>
    <w:rsid w:val="003C5F59"/>
    <w:rsid w:val="003C63D9"/>
    <w:rsid w:val="003E1161"/>
    <w:rsid w:val="003E14C2"/>
    <w:rsid w:val="003E3C50"/>
    <w:rsid w:val="003E562F"/>
    <w:rsid w:val="003E7F35"/>
    <w:rsid w:val="003F32EE"/>
    <w:rsid w:val="003F7D3D"/>
    <w:rsid w:val="00402589"/>
    <w:rsid w:val="00403CA4"/>
    <w:rsid w:val="00403F18"/>
    <w:rsid w:val="00407B78"/>
    <w:rsid w:val="00413695"/>
    <w:rsid w:val="00413E87"/>
    <w:rsid w:val="00414F32"/>
    <w:rsid w:val="0041558F"/>
    <w:rsid w:val="00416A61"/>
    <w:rsid w:val="0042095B"/>
    <w:rsid w:val="004237EC"/>
    <w:rsid w:val="00424064"/>
    <w:rsid w:val="00430AF5"/>
    <w:rsid w:val="004331B5"/>
    <w:rsid w:val="004341F5"/>
    <w:rsid w:val="00441079"/>
    <w:rsid w:val="00442FF5"/>
    <w:rsid w:val="004478C0"/>
    <w:rsid w:val="00450B9E"/>
    <w:rsid w:val="00454FB3"/>
    <w:rsid w:val="0046088C"/>
    <w:rsid w:val="00463399"/>
    <w:rsid w:val="004654B7"/>
    <w:rsid w:val="004656BB"/>
    <w:rsid w:val="00467B68"/>
    <w:rsid w:val="004704C3"/>
    <w:rsid w:val="00475748"/>
    <w:rsid w:val="0048121C"/>
    <w:rsid w:val="0048274C"/>
    <w:rsid w:val="00483AE6"/>
    <w:rsid w:val="00484FEF"/>
    <w:rsid w:val="004A1B27"/>
    <w:rsid w:val="004A328D"/>
    <w:rsid w:val="004A3872"/>
    <w:rsid w:val="004B02ED"/>
    <w:rsid w:val="004B339A"/>
    <w:rsid w:val="004B43E6"/>
    <w:rsid w:val="004B4CA3"/>
    <w:rsid w:val="004B6D19"/>
    <w:rsid w:val="004B6F85"/>
    <w:rsid w:val="004C4C89"/>
    <w:rsid w:val="004D20D7"/>
    <w:rsid w:val="004D3EDB"/>
    <w:rsid w:val="004E0A6A"/>
    <w:rsid w:val="004E2FB0"/>
    <w:rsid w:val="004E3D70"/>
    <w:rsid w:val="004F5375"/>
    <w:rsid w:val="004F6977"/>
    <w:rsid w:val="004F76B6"/>
    <w:rsid w:val="00502DDD"/>
    <w:rsid w:val="00510DAD"/>
    <w:rsid w:val="00514C2F"/>
    <w:rsid w:val="0051540C"/>
    <w:rsid w:val="00517450"/>
    <w:rsid w:val="00522F69"/>
    <w:rsid w:val="00525341"/>
    <w:rsid w:val="00526F05"/>
    <w:rsid w:val="005315CA"/>
    <w:rsid w:val="00531EDC"/>
    <w:rsid w:val="00532537"/>
    <w:rsid w:val="0053287C"/>
    <w:rsid w:val="00533079"/>
    <w:rsid w:val="00540D88"/>
    <w:rsid w:val="0054515D"/>
    <w:rsid w:val="00545E31"/>
    <w:rsid w:val="005542D9"/>
    <w:rsid w:val="005560A2"/>
    <w:rsid w:val="00571847"/>
    <w:rsid w:val="00571C5E"/>
    <w:rsid w:val="005722EB"/>
    <w:rsid w:val="00574DA1"/>
    <w:rsid w:val="00575726"/>
    <w:rsid w:val="005763C9"/>
    <w:rsid w:val="0057700F"/>
    <w:rsid w:val="00577D51"/>
    <w:rsid w:val="00581724"/>
    <w:rsid w:val="005876BD"/>
    <w:rsid w:val="00591AB0"/>
    <w:rsid w:val="0059412A"/>
    <w:rsid w:val="00596052"/>
    <w:rsid w:val="0059684A"/>
    <w:rsid w:val="005A2792"/>
    <w:rsid w:val="005B09C3"/>
    <w:rsid w:val="005B2FDC"/>
    <w:rsid w:val="005B3BB5"/>
    <w:rsid w:val="005B77CE"/>
    <w:rsid w:val="005B7DE4"/>
    <w:rsid w:val="005C08D5"/>
    <w:rsid w:val="005C36B0"/>
    <w:rsid w:val="005C443A"/>
    <w:rsid w:val="005C48BB"/>
    <w:rsid w:val="005D59E5"/>
    <w:rsid w:val="005D7171"/>
    <w:rsid w:val="005D740E"/>
    <w:rsid w:val="005D78E6"/>
    <w:rsid w:val="005D7FFC"/>
    <w:rsid w:val="005E3029"/>
    <w:rsid w:val="005E4483"/>
    <w:rsid w:val="005F1594"/>
    <w:rsid w:val="005F1C3C"/>
    <w:rsid w:val="005F4501"/>
    <w:rsid w:val="005F546A"/>
    <w:rsid w:val="005F587E"/>
    <w:rsid w:val="00600501"/>
    <w:rsid w:val="00602B1D"/>
    <w:rsid w:val="006055FC"/>
    <w:rsid w:val="00615F42"/>
    <w:rsid w:val="006166FA"/>
    <w:rsid w:val="00620867"/>
    <w:rsid w:val="006232D1"/>
    <w:rsid w:val="00624632"/>
    <w:rsid w:val="00624834"/>
    <w:rsid w:val="00626BB9"/>
    <w:rsid w:val="00626F2D"/>
    <w:rsid w:val="00632B16"/>
    <w:rsid w:val="0063362C"/>
    <w:rsid w:val="00635CA0"/>
    <w:rsid w:val="00640E19"/>
    <w:rsid w:val="00641EFB"/>
    <w:rsid w:val="0065682B"/>
    <w:rsid w:val="00664BC0"/>
    <w:rsid w:val="006703FC"/>
    <w:rsid w:val="006747A4"/>
    <w:rsid w:val="00685B21"/>
    <w:rsid w:val="00690136"/>
    <w:rsid w:val="00694BC4"/>
    <w:rsid w:val="006A1B0E"/>
    <w:rsid w:val="006A239B"/>
    <w:rsid w:val="006A4C63"/>
    <w:rsid w:val="006A510E"/>
    <w:rsid w:val="006A6C9E"/>
    <w:rsid w:val="006B07E8"/>
    <w:rsid w:val="006C10EE"/>
    <w:rsid w:val="006C5B0F"/>
    <w:rsid w:val="006D079B"/>
    <w:rsid w:val="006D5207"/>
    <w:rsid w:val="006E0484"/>
    <w:rsid w:val="006E0BDA"/>
    <w:rsid w:val="006E0D79"/>
    <w:rsid w:val="006E0EF9"/>
    <w:rsid w:val="006E7324"/>
    <w:rsid w:val="006E79CC"/>
    <w:rsid w:val="006E7F02"/>
    <w:rsid w:val="006F2F9D"/>
    <w:rsid w:val="006F5B92"/>
    <w:rsid w:val="006F6744"/>
    <w:rsid w:val="006F7D0E"/>
    <w:rsid w:val="007006D3"/>
    <w:rsid w:val="007044C2"/>
    <w:rsid w:val="00711F7A"/>
    <w:rsid w:val="00714F89"/>
    <w:rsid w:val="00717583"/>
    <w:rsid w:val="00717C31"/>
    <w:rsid w:val="007211E5"/>
    <w:rsid w:val="0072366E"/>
    <w:rsid w:val="00726341"/>
    <w:rsid w:val="00727155"/>
    <w:rsid w:val="0072782A"/>
    <w:rsid w:val="00730A00"/>
    <w:rsid w:val="00732959"/>
    <w:rsid w:val="007401B3"/>
    <w:rsid w:val="0074069F"/>
    <w:rsid w:val="00746357"/>
    <w:rsid w:val="00746ED5"/>
    <w:rsid w:val="00747C32"/>
    <w:rsid w:val="00751112"/>
    <w:rsid w:val="007512DC"/>
    <w:rsid w:val="00756BA7"/>
    <w:rsid w:val="0076017D"/>
    <w:rsid w:val="00760B7C"/>
    <w:rsid w:val="00761221"/>
    <w:rsid w:val="00762BAB"/>
    <w:rsid w:val="007637A8"/>
    <w:rsid w:val="007646B2"/>
    <w:rsid w:val="00764BC0"/>
    <w:rsid w:val="00764E29"/>
    <w:rsid w:val="00766EA3"/>
    <w:rsid w:val="007704C5"/>
    <w:rsid w:val="00772C3F"/>
    <w:rsid w:val="007735D7"/>
    <w:rsid w:val="00773AEB"/>
    <w:rsid w:val="00773D59"/>
    <w:rsid w:val="0078025C"/>
    <w:rsid w:val="00783A94"/>
    <w:rsid w:val="00785072"/>
    <w:rsid w:val="00787670"/>
    <w:rsid w:val="007879AE"/>
    <w:rsid w:val="0079397E"/>
    <w:rsid w:val="007942EE"/>
    <w:rsid w:val="00795616"/>
    <w:rsid w:val="00795DEB"/>
    <w:rsid w:val="007A1A24"/>
    <w:rsid w:val="007A2F92"/>
    <w:rsid w:val="007A4F46"/>
    <w:rsid w:val="007B213A"/>
    <w:rsid w:val="007B7DD6"/>
    <w:rsid w:val="007C3591"/>
    <w:rsid w:val="007C399A"/>
    <w:rsid w:val="007C6ED1"/>
    <w:rsid w:val="007C729E"/>
    <w:rsid w:val="007C7456"/>
    <w:rsid w:val="007D07DD"/>
    <w:rsid w:val="007D1731"/>
    <w:rsid w:val="007D1D0D"/>
    <w:rsid w:val="007D2432"/>
    <w:rsid w:val="007D366A"/>
    <w:rsid w:val="007D69FF"/>
    <w:rsid w:val="007E0F5B"/>
    <w:rsid w:val="007E2274"/>
    <w:rsid w:val="007E7C0F"/>
    <w:rsid w:val="007F1BB4"/>
    <w:rsid w:val="007F596A"/>
    <w:rsid w:val="007F67F1"/>
    <w:rsid w:val="00800E46"/>
    <w:rsid w:val="0080194B"/>
    <w:rsid w:val="008037DE"/>
    <w:rsid w:val="0080458F"/>
    <w:rsid w:val="008155DC"/>
    <w:rsid w:val="00816112"/>
    <w:rsid w:val="008163AF"/>
    <w:rsid w:val="00823B1B"/>
    <w:rsid w:val="0082668A"/>
    <w:rsid w:val="00830794"/>
    <w:rsid w:val="00832F79"/>
    <w:rsid w:val="008344B1"/>
    <w:rsid w:val="00835457"/>
    <w:rsid w:val="00841758"/>
    <w:rsid w:val="00842C9F"/>
    <w:rsid w:val="00844559"/>
    <w:rsid w:val="00845060"/>
    <w:rsid w:val="008463D3"/>
    <w:rsid w:val="008464CA"/>
    <w:rsid w:val="0085339F"/>
    <w:rsid w:val="00854FB0"/>
    <w:rsid w:val="008619E1"/>
    <w:rsid w:val="00863223"/>
    <w:rsid w:val="00864BB0"/>
    <w:rsid w:val="00866F91"/>
    <w:rsid w:val="00873F87"/>
    <w:rsid w:val="0087430F"/>
    <w:rsid w:val="00876F75"/>
    <w:rsid w:val="0088434C"/>
    <w:rsid w:val="008860D9"/>
    <w:rsid w:val="008948C8"/>
    <w:rsid w:val="00894DCE"/>
    <w:rsid w:val="00896275"/>
    <w:rsid w:val="008A21A4"/>
    <w:rsid w:val="008A5B49"/>
    <w:rsid w:val="008A7D93"/>
    <w:rsid w:val="008B187A"/>
    <w:rsid w:val="008B45EB"/>
    <w:rsid w:val="008B6D5A"/>
    <w:rsid w:val="008B703B"/>
    <w:rsid w:val="008C22ED"/>
    <w:rsid w:val="008C288D"/>
    <w:rsid w:val="008C3579"/>
    <w:rsid w:val="008C3710"/>
    <w:rsid w:val="008C5B46"/>
    <w:rsid w:val="008D20EF"/>
    <w:rsid w:val="008D646D"/>
    <w:rsid w:val="008E6EC9"/>
    <w:rsid w:val="008E70CD"/>
    <w:rsid w:val="008F1572"/>
    <w:rsid w:val="008F4C0A"/>
    <w:rsid w:val="008F4F08"/>
    <w:rsid w:val="008F54D4"/>
    <w:rsid w:val="008F5AA2"/>
    <w:rsid w:val="008F63C6"/>
    <w:rsid w:val="00903093"/>
    <w:rsid w:val="00904581"/>
    <w:rsid w:val="00905A0C"/>
    <w:rsid w:val="00906B3E"/>
    <w:rsid w:val="0090741D"/>
    <w:rsid w:val="009075A8"/>
    <w:rsid w:val="00913A8B"/>
    <w:rsid w:val="00920098"/>
    <w:rsid w:val="009238E1"/>
    <w:rsid w:val="00932CFE"/>
    <w:rsid w:val="009347E1"/>
    <w:rsid w:val="00937E89"/>
    <w:rsid w:val="00945CC1"/>
    <w:rsid w:val="00947DD5"/>
    <w:rsid w:val="00950C29"/>
    <w:rsid w:val="00951DFE"/>
    <w:rsid w:val="009547E8"/>
    <w:rsid w:val="00954843"/>
    <w:rsid w:val="00967C5B"/>
    <w:rsid w:val="00970FE4"/>
    <w:rsid w:val="00976D64"/>
    <w:rsid w:val="00985703"/>
    <w:rsid w:val="00986CD7"/>
    <w:rsid w:val="00987A1B"/>
    <w:rsid w:val="00990301"/>
    <w:rsid w:val="00993113"/>
    <w:rsid w:val="00997F3D"/>
    <w:rsid w:val="009A1AAE"/>
    <w:rsid w:val="009A4321"/>
    <w:rsid w:val="009A5730"/>
    <w:rsid w:val="009A680E"/>
    <w:rsid w:val="009A7005"/>
    <w:rsid w:val="009B2F8C"/>
    <w:rsid w:val="009B3189"/>
    <w:rsid w:val="009C07F8"/>
    <w:rsid w:val="009C125C"/>
    <w:rsid w:val="009C5B89"/>
    <w:rsid w:val="009D7EF5"/>
    <w:rsid w:val="009E1190"/>
    <w:rsid w:val="009E4840"/>
    <w:rsid w:val="009E5CEF"/>
    <w:rsid w:val="009E65F7"/>
    <w:rsid w:val="009E79D7"/>
    <w:rsid w:val="009F21B0"/>
    <w:rsid w:val="009F332A"/>
    <w:rsid w:val="009F7B29"/>
    <w:rsid w:val="00A0452A"/>
    <w:rsid w:val="00A04A2B"/>
    <w:rsid w:val="00A058DF"/>
    <w:rsid w:val="00A0607C"/>
    <w:rsid w:val="00A067F6"/>
    <w:rsid w:val="00A11001"/>
    <w:rsid w:val="00A13551"/>
    <w:rsid w:val="00A139E0"/>
    <w:rsid w:val="00A15A90"/>
    <w:rsid w:val="00A23734"/>
    <w:rsid w:val="00A276F5"/>
    <w:rsid w:val="00A318A5"/>
    <w:rsid w:val="00A4149E"/>
    <w:rsid w:val="00A42D65"/>
    <w:rsid w:val="00A53290"/>
    <w:rsid w:val="00A54DF3"/>
    <w:rsid w:val="00A57CCF"/>
    <w:rsid w:val="00A60392"/>
    <w:rsid w:val="00A60B34"/>
    <w:rsid w:val="00A624E2"/>
    <w:rsid w:val="00A637EA"/>
    <w:rsid w:val="00A64B42"/>
    <w:rsid w:val="00A663C5"/>
    <w:rsid w:val="00A67479"/>
    <w:rsid w:val="00A67585"/>
    <w:rsid w:val="00A71D1B"/>
    <w:rsid w:val="00A72282"/>
    <w:rsid w:val="00A72E7B"/>
    <w:rsid w:val="00A7548D"/>
    <w:rsid w:val="00A77F07"/>
    <w:rsid w:val="00A802DF"/>
    <w:rsid w:val="00A81DBD"/>
    <w:rsid w:val="00A84A03"/>
    <w:rsid w:val="00A879CA"/>
    <w:rsid w:val="00A9513C"/>
    <w:rsid w:val="00A96B65"/>
    <w:rsid w:val="00A97813"/>
    <w:rsid w:val="00A97886"/>
    <w:rsid w:val="00A978BD"/>
    <w:rsid w:val="00A978E6"/>
    <w:rsid w:val="00AA4829"/>
    <w:rsid w:val="00AA4F0A"/>
    <w:rsid w:val="00AA5A47"/>
    <w:rsid w:val="00AA6384"/>
    <w:rsid w:val="00AA6860"/>
    <w:rsid w:val="00AA785E"/>
    <w:rsid w:val="00AB1491"/>
    <w:rsid w:val="00AB2B5C"/>
    <w:rsid w:val="00AB4172"/>
    <w:rsid w:val="00AB4D48"/>
    <w:rsid w:val="00AB58A0"/>
    <w:rsid w:val="00AB742F"/>
    <w:rsid w:val="00AB779E"/>
    <w:rsid w:val="00AC4EA7"/>
    <w:rsid w:val="00AC6361"/>
    <w:rsid w:val="00AC6DD6"/>
    <w:rsid w:val="00AD3A95"/>
    <w:rsid w:val="00AD3BD2"/>
    <w:rsid w:val="00AD3DE5"/>
    <w:rsid w:val="00AD7B46"/>
    <w:rsid w:val="00AD7C5F"/>
    <w:rsid w:val="00AE0122"/>
    <w:rsid w:val="00AE4E16"/>
    <w:rsid w:val="00AE6D6E"/>
    <w:rsid w:val="00AF24BB"/>
    <w:rsid w:val="00AF3005"/>
    <w:rsid w:val="00AF596F"/>
    <w:rsid w:val="00B00004"/>
    <w:rsid w:val="00B01E0D"/>
    <w:rsid w:val="00B02CB3"/>
    <w:rsid w:val="00B10572"/>
    <w:rsid w:val="00B120BA"/>
    <w:rsid w:val="00B14F4F"/>
    <w:rsid w:val="00B16297"/>
    <w:rsid w:val="00B27601"/>
    <w:rsid w:val="00B30CBD"/>
    <w:rsid w:val="00B3300B"/>
    <w:rsid w:val="00B34397"/>
    <w:rsid w:val="00B37254"/>
    <w:rsid w:val="00B52F52"/>
    <w:rsid w:val="00B60B6B"/>
    <w:rsid w:val="00B61A33"/>
    <w:rsid w:val="00B6220F"/>
    <w:rsid w:val="00B74279"/>
    <w:rsid w:val="00B7469E"/>
    <w:rsid w:val="00B752EC"/>
    <w:rsid w:val="00B81322"/>
    <w:rsid w:val="00B81D44"/>
    <w:rsid w:val="00B93AB7"/>
    <w:rsid w:val="00B9476A"/>
    <w:rsid w:val="00B9579D"/>
    <w:rsid w:val="00BA1C7D"/>
    <w:rsid w:val="00BA1CD5"/>
    <w:rsid w:val="00BA503C"/>
    <w:rsid w:val="00BA5299"/>
    <w:rsid w:val="00BA5961"/>
    <w:rsid w:val="00BA7C56"/>
    <w:rsid w:val="00BB6054"/>
    <w:rsid w:val="00BB77ED"/>
    <w:rsid w:val="00BC3795"/>
    <w:rsid w:val="00BC75D0"/>
    <w:rsid w:val="00BC7C64"/>
    <w:rsid w:val="00BD066D"/>
    <w:rsid w:val="00BD217A"/>
    <w:rsid w:val="00BE1DE1"/>
    <w:rsid w:val="00BE228E"/>
    <w:rsid w:val="00BE3871"/>
    <w:rsid w:val="00BE54BC"/>
    <w:rsid w:val="00BF1282"/>
    <w:rsid w:val="00BF7B9F"/>
    <w:rsid w:val="00C01698"/>
    <w:rsid w:val="00C02748"/>
    <w:rsid w:val="00C07792"/>
    <w:rsid w:val="00C12779"/>
    <w:rsid w:val="00C13720"/>
    <w:rsid w:val="00C17780"/>
    <w:rsid w:val="00C17D0A"/>
    <w:rsid w:val="00C22E5E"/>
    <w:rsid w:val="00C273C8"/>
    <w:rsid w:val="00C303DC"/>
    <w:rsid w:val="00C34C7E"/>
    <w:rsid w:val="00C357BA"/>
    <w:rsid w:val="00C361D7"/>
    <w:rsid w:val="00C37C97"/>
    <w:rsid w:val="00C40730"/>
    <w:rsid w:val="00C40F36"/>
    <w:rsid w:val="00C44FD5"/>
    <w:rsid w:val="00C45A0D"/>
    <w:rsid w:val="00C4635B"/>
    <w:rsid w:val="00C50D12"/>
    <w:rsid w:val="00C510DD"/>
    <w:rsid w:val="00C52E83"/>
    <w:rsid w:val="00C57271"/>
    <w:rsid w:val="00C5734F"/>
    <w:rsid w:val="00C63136"/>
    <w:rsid w:val="00C63D68"/>
    <w:rsid w:val="00C6405B"/>
    <w:rsid w:val="00C6552B"/>
    <w:rsid w:val="00C66CD2"/>
    <w:rsid w:val="00C7148B"/>
    <w:rsid w:val="00C72C12"/>
    <w:rsid w:val="00C743F1"/>
    <w:rsid w:val="00C80DCE"/>
    <w:rsid w:val="00C86731"/>
    <w:rsid w:val="00C91E9A"/>
    <w:rsid w:val="00C95B7C"/>
    <w:rsid w:val="00C96572"/>
    <w:rsid w:val="00CA0FA0"/>
    <w:rsid w:val="00CA21DF"/>
    <w:rsid w:val="00CA495F"/>
    <w:rsid w:val="00CA59C3"/>
    <w:rsid w:val="00CB1335"/>
    <w:rsid w:val="00CC00C0"/>
    <w:rsid w:val="00CD22DA"/>
    <w:rsid w:val="00CD37F8"/>
    <w:rsid w:val="00CD3A0D"/>
    <w:rsid w:val="00CD3C8E"/>
    <w:rsid w:val="00CE285F"/>
    <w:rsid w:val="00CE36D5"/>
    <w:rsid w:val="00CE4736"/>
    <w:rsid w:val="00CF4A2E"/>
    <w:rsid w:val="00CF7B7F"/>
    <w:rsid w:val="00D00089"/>
    <w:rsid w:val="00D00935"/>
    <w:rsid w:val="00D03F10"/>
    <w:rsid w:val="00D0532B"/>
    <w:rsid w:val="00D05CA4"/>
    <w:rsid w:val="00D106AE"/>
    <w:rsid w:val="00D12836"/>
    <w:rsid w:val="00D14739"/>
    <w:rsid w:val="00D16C8B"/>
    <w:rsid w:val="00D204A2"/>
    <w:rsid w:val="00D23806"/>
    <w:rsid w:val="00D264CD"/>
    <w:rsid w:val="00D301FD"/>
    <w:rsid w:val="00D3076B"/>
    <w:rsid w:val="00D41FAE"/>
    <w:rsid w:val="00D54DFD"/>
    <w:rsid w:val="00D625C0"/>
    <w:rsid w:val="00D660D3"/>
    <w:rsid w:val="00D752A1"/>
    <w:rsid w:val="00D77AEA"/>
    <w:rsid w:val="00D80FBD"/>
    <w:rsid w:val="00D838B1"/>
    <w:rsid w:val="00D85C5B"/>
    <w:rsid w:val="00D95E09"/>
    <w:rsid w:val="00D97DB0"/>
    <w:rsid w:val="00DA17C5"/>
    <w:rsid w:val="00DA646E"/>
    <w:rsid w:val="00DA72AF"/>
    <w:rsid w:val="00DB6E17"/>
    <w:rsid w:val="00DC4E36"/>
    <w:rsid w:val="00DD0510"/>
    <w:rsid w:val="00DD233E"/>
    <w:rsid w:val="00DE04D1"/>
    <w:rsid w:val="00DE0E34"/>
    <w:rsid w:val="00DE2779"/>
    <w:rsid w:val="00DF39FE"/>
    <w:rsid w:val="00E01409"/>
    <w:rsid w:val="00E0171E"/>
    <w:rsid w:val="00E04114"/>
    <w:rsid w:val="00E07A1C"/>
    <w:rsid w:val="00E07E7D"/>
    <w:rsid w:val="00E11CA6"/>
    <w:rsid w:val="00E12167"/>
    <w:rsid w:val="00E13E96"/>
    <w:rsid w:val="00E14565"/>
    <w:rsid w:val="00E20587"/>
    <w:rsid w:val="00E20612"/>
    <w:rsid w:val="00E23CD9"/>
    <w:rsid w:val="00E25BCE"/>
    <w:rsid w:val="00E32C15"/>
    <w:rsid w:val="00E357A1"/>
    <w:rsid w:val="00E35F0F"/>
    <w:rsid w:val="00E3613F"/>
    <w:rsid w:val="00E40EC8"/>
    <w:rsid w:val="00E43BFB"/>
    <w:rsid w:val="00E4624D"/>
    <w:rsid w:val="00E462BF"/>
    <w:rsid w:val="00E466CE"/>
    <w:rsid w:val="00E524B7"/>
    <w:rsid w:val="00E52E4D"/>
    <w:rsid w:val="00E553D7"/>
    <w:rsid w:val="00E56680"/>
    <w:rsid w:val="00E623F7"/>
    <w:rsid w:val="00E636D7"/>
    <w:rsid w:val="00E705EA"/>
    <w:rsid w:val="00E73F64"/>
    <w:rsid w:val="00E74428"/>
    <w:rsid w:val="00E758ED"/>
    <w:rsid w:val="00E76B67"/>
    <w:rsid w:val="00E80113"/>
    <w:rsid w:val="00E81FB0"/>
    <w:rsid w:val="00E82E18"/>
    <w:rsid w:val="00E87A4F"/>
    <w:rsid w:val="00E9555B"/>
    <w:rsid w:val="00E96D7A"/>
    <w:rsid w:val="00E97E29"/>
    <w:rsid w:val="00EA0A18"/>
    <w:rsid w:val="00EA2220"/>
    <w:rsid w:val="00EA5A55"/>
    <w:rsid w:val="00EB3E6F"/>
    <w:rsid w:val="00EB4D6D"/>
    <w:rsid w:val="00EC04B1"/>
    <w:rsid w:val="00EC4BCE"/>
    <w:rsid w:val="00EC520C"/>
    <w:rsid w:val="00ED28F2"/>
    <w:rsid w:val="00ED3C95"/>
    <w:rsid w:val="00ED5560"/>
    <w:rsid w:val="00ED65C5"/>
    <w:rsid w:val="00EE1B8F"/>
    <w:rsid w:val="00EE2020"/>
    <w:rsid w:val="00EF4749"/>
    <w:rsid w:val="00EF5FDE"/>
    <w:rsid w:val="00EF6962"/>
    <w:rsid w:val="00F02FEB"/>
    <w:rsid w:val="00F1142E"/>
    <w:rsid w:val="00F11EED"/>
    <w:rsid w:val="00F12DC2"/>
    <w:rsid w:val="00F13794"/>
    <w:rsid w:val="00F13898"/>
    <w:rsid w:val="00F152DF"/>
    <w:rsid w:val="00F21880"/>
    <w:rsid w:val="00F25629"/>
    <w:rsid w:val="00F2758C"/>
    <w:rsid w:val="00F32D23"/>
    <w:rsid w:val="00F37C56"/>
    <w:rsid w:val="00F37EA3"/>
    <w:rsid w:val="00F40FFD"/>
    <w:rsid w:val="00F415C8"/>
    <w:rsid w:val="00F43765"/>
    <w:rsid w:val="00F45481"/>
    <w:rsid w:val="00F47ED2"/>
    <w:rsid w:val="00F51453"/>
    <w:rsid w:val="00F5172F"/>
    <w:rsid w:val="00F61893"/>
    <w:rsid w:val="00F630B7"/>
    <w:rsid w:val="00F631D3"/>
    <w:rsid w:val="00F66F64"/>
    <w:rsid w:val="00F70245"/>
    <w:rsid w:val="00F749A4"/>
    <w:rsid w:val="00F8311D"/>
    <w:rsid w:val="00F84A10"/>
    <w:rsid w:val="00F86375"/>
    <w:rsid w:val="00F869E5"/>
    <w:rsid w:val="00F941E3"/>
    <w:rsid w:val="00F9482C"/>
    <w:rsid w:val="00F95CEE"/>
    <w:rsid w:val="00FA25F9"/>
    <w:rsid w:val="00FA3A7A"/>
    <w:rsid w:val="00FA5222"/>
    <w:rsid w:val="00FA762D"/>
    <w:rsid w:val="00FB0476"/>
    <w:rsid w:val="00FB2433"/>
    <w:rsid w:val="00FB2DA3"/>
    <w:rsid w:val="00FB7E56"/>
    <w:rsid w:val="00FC26A1"/>
    <w:rsid w:val="00FC66A2"/>
    <w:rsid w:val="00FC6C3B"/>
    <w:rsid w:val="00FC7A36"/>
    <w:rsid w:val="00FD25C8"/>
    <w:rsid w:val="00FD5ACF"/>
    <w:rsid w:val="00FD66F1"/>
    <w:rsid w:val="00FE1D33"/>
    <w:rsid w:val="00FE53C7"/>
    <w:rsid w:val="00FE6B4D"/>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3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0468">
      <w:bodyDiv w:val="1"/>
      <w:marLeft w:val="0"/>
      <w:marRight w:val="0"/>
      <w:marTop w:val="0"/>
      <w:marBottom w:val="0"/>
      <w:divBdr>
        <w:top w:val="none" w:sz="0" w:space="0" w:color="auto"/>
        <w:left w:val="none" w:sz="0" w:space="0" w:color="auto"/>
        <w:bottom w:val="none" w:sz="0" w:space="0" w:color="auto"/>
        <w:right w:val="none" w:sz="0" w:space="0" w:color="auto"/>
      </w:divBdr>
    </w:div>
    <w:div w:id="421993725">
      <w:bodyDiv w:val="1"/>
      <w:marLeft w:val="0"/>
      <w:marRight w:val="0"/>
      <w:marTop w:val="0"/>
      <w:marBottom w:val="0"/>
      <w:divBdr>
        <w:top w:val="none" w:sz="0" w:space="0" w:color="auto"/>
        <w:left w:val="none" w:sz="0" w:space="0" w:color="auto"/>
        <w:bottom w:val="none" w:sz="0" w:space="0" w:color="auto"/>
        <w:right w:val="none" w:sz="0" w:space="0" w:color="auto"/>
      </w:divBdr>
    </w:div>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617564368">
      <w:bodyDiv w:val="1"/>
      <w:marLeft w:val="0"/>
      <w:marRight w:val="0"/>
      <w:marTop w:val="0"/>
      <w:marBottom w:val="0"/>
      <w:divBdr>
        <w:top w:val="none" w:sz="0" w:space="0" w:color="auto"/>
        <w:left w:val="none" w:sz="0" w:space="0" w:color="auto"/>
        <w:bottom w:val="none" w:sz="0" w:space="0" w:color="auto"/>
        <w:right w:val="none" w:sz="0" w:space="0" w:color="auto"/>
      </w:divBdr>
    </w:div>
    <w:div w:id="711656887">
      <w:bodyDiv w:val="1"/>
      <w:marLeft w:val="0"/>
      <w:marRight w:val="0"/>
      <w:marTop w:val="0"/>
      <w:marBottom w:val="0"/>
      <w:divBdr>
        <w:top w:val="none" w:sz="0" w:space="0" w:color="auto"/>
        <w:left w:val="none" w:sz="0" w:space="0" w:color="auto"/>
        <w:bottom w:val="none" w:sz="0" w:space="0" w:color="auto"/>
        <w:right w:val="none" w:sz="0" w:space="0" w:color="auto"/>
      </w:divBdr>
    </w:div>
    <w:div w:id="727647904">
      <w:bodyDiv w:val="1"/>
      <w:marLeft w:val="0"/>
      <w:marRight w:val="0"/>
      <w:marTop w:val="0"/>
      <w:marBottom w:val="0"/>
      <w:divBdr>
        <w:top w:val="none" w:sz="0" w:space="0" w:color="auto"/>
        <w:left w:val="none" w:sz="0" w:space="0" w:color="auto"/>
        <w:bottom w:val="none" w:sz="0" w:space="0" w:color="auto"/>
        <w:right w:val="none" w:sz="0" w:space="0" w:color="auto"/>
      </w:divBdr>
    </w:div>
    <w:div w:id="730928173">
      <w:bodyDiv w:val="1"/>
      <w:marLeft w:val="0"/>
      <w:marRight w:val="0"/>
      <w:marTop w:val="0"/>
      <w:marBottom w:val="0"/>
      <w:divBdr>
        <w:top w:val="none" w:sz="0" w:space="0" w:color="auto"/>
        <w:left w:val="none" w:sz="0" w:space="0" w:color="auto"/>
        <w:bottom w:val="none" w:sz="0" w:space="0" w:color="auto"/>
        <w:right w:val="none" w:sz="0" w:space="0" w:color="auto"/>
      </w:divBdr>
    </w:div>
    <w:div w:id="1006859342">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354920624">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359539">
      <w:bodyDiv w:val="1"/>
      <w:marLeft w:val="0"/>
      <w:marRight w:val="0"/>
      <w:marTop w:val="0"/>
      <w:marBottom w:val="0"/>
      <w:divBdr>
        <w:top w:val="none" w:sz="0" w:space="0" w:color="auto"/>
        <w:left w:val="none" w:sz="0" w:space="0" w:color="auto"/>
        <w:bottom w:val="none" w:sz="0" w:space="0" w:color="auto"/>
        <w:right w:val="none" w:sz="0" w:space="0" w:color="auto"/>
      </w:divBdr>
    </w:div>
    <w:div w:id="206544615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backup.ferc.gov/idmws/common/OpenNat.asp?fileID=15336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555</_x0031__x002e__x0020_Collection_x0020_Number>
    <Date xmlns="d6eefc7d-9817-4fa6-84d5-3bc009be21b8">2019-11-25T05:00:00.000Z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IC19-28</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4089-58C2-4FA1-9DA6-3E56F58A7AD4}">
  <ds:schemaRefs>
    <ds:schemaRef ds:uri="Microsoft.SharePoint.Taxonomy.ContentTypeSync"/>
  </ds:schemaRefs>
</ds:datastoreItem>
</file>

<file path=customXml/itemProps2.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3.xml><?xml version="1.0" encoding="utf-8"?>
<ds:datastoreItem xmlns:ds="http://schemas.openxmlformats.org/officeDocument/2006/customXml" ds:itemID="{F4066863-0AD3-4FB7-AB6B-F5F305C365B8}">
  <ds:schemaRefs>
    <ds:schemaRef ds:uri="http://schemas.microsoft.com/office/2006/metadata/customXsn"/>
  </ds:schemaRefs>
</ds:datastoreItem>
</file>

<file path=customXml/itemProps4.xml><?xml version="1.0" encoding="utf-8"?>
<ds:datastoreItem xmlns:ds="http://schemas.openxmlformats.org/officeDocument/2006/customXml" ds:itemID="{7CAE5E15-3BC7-4EB9-94E5-E9DECD5E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0B679-E6B1-409C-B1B1-A730CF36D1A8}">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d6eefc7d-9817-4fa6-84d5-3bc009be21b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3DF9D5BE-6CD0-4F03-9687-9900BC9E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FERC-555 supporting statement</vt:lpstr>
    </vt:vector>
  </TitlesOfParts>
  <Company>FERC</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FERC-555 supporting statement</dc:title>
  <dc:subject/>
  <dc:creator>ferc</dc:creator>
  <cp:keywords/>
  <dc:description/>
  <cp:lastModifiedBy>SYSTEM</cp:lastModifiedBy>
  <cp:revision>2</cp:revision>
  <cp:lastPrinted>2019-11-19T16:58:00Z</cp:lastPrinted>
  <dcterms:created xsi:type="dcterms:W3CDTF">2019-11-25T17:15:00Z</dcterms:created>
  <dcterms:modified xsi:type="dcterms:W3CDTF">2019-11-25T17:15:00Z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ce1c3a0c-0a9f-46ac-929d-37a2930e205e_Enabled">
    <vt:lpwstr>False</vt:lpwstr>
  </property>
  <property fmtid="{D5CDD505-2E9C-101B-9397-08002B2CF9AE}" pid="5" name="MSIP_Label_ce1c3a0c-0a9f-46ac-929d-37a2930e205e_SiteId">
    <vt:lpwstr>19caa9e9-04ff-43fa-885f-d77fac387903</vt:lpwstr>
  </property>
  <property fmtid="{D5CDD505-2E9C-101B-9397-08002B2CF9AE}" pid="6" name="MSIP_Label_ce1c3a0c-0a9f-46ac-929d-37a2930e205e_Owner">
    <vt:lpwstr>Laura.Chipkin@ferc.gov</vt:lpwstr>
  </property>
  <property fmtid="{D5CDD505-2E9C-101B-9397-08002B2CF9AE}" pid="7" name="MSIP_Label_ce1c3a0c-0a9f-46ac-929d-37a2930e205e_SetDate">
    <vt:lpwstr>2019-07-08T16:52:53.9082001Z</vt:lpwstr>
  </property>
  <property fmtid="{D5CDD505-2E9C-101B-9397-08002B2CF9AE}" pid="8" name="MSIP_Label_ce1c3a0c-0a9f-46ac-929d-37a2930e205e_Name">
    <vt:lpwstr>INV</vt:lpwstr>
  </property>
  <property fmtid="{D5CDD505-2E9C-101B-9397-08002B2CF9AE}" pid="9" name="MSIP_Label_ce1c3a0c-0a9f-46ac-929d-37a2930e205e_Application">
    <vt:lpwstr>Microsoft Azure Information Protection</vt:lpwstr>
  </property>
  <property fmtid="{D5CDD505-2E9C-101B-9397-08002B2CF9AE}" pid="10" name="MSIP_Label_ce1c3a0c-0a9f-46ac-929d-37a2930e205e_ActionId">
    <vt:lpwstr>52c2545c-f629-4119-a7c4-b3612d3fa80c</vt:lpwstr>
  </property>
  <property fmtid="{D5CDD505-2E9C-101B-9397-08002B2CF9AE}" pid="11" name="MSIP_Label_ce1c3a0c-0a9f-46ac-929d-37a2930e205e_Extended_MSFT_Method">
    <vt:lpwstr>Manual</vt:lpwstr>
  </property>
</Properties>
</file>