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B28CA" w14:textId="77777777" w:rsidR="00E1548E" w:rsidRDefault="00E1548E" w:rsidP="00F329BD">
      <w:pPr>
        <w:tabs>
          <w:tab w:val="left" w:pos="3320"/>
        </w:tabs>
        <w:spacing w:after="0" w:line="240" w:lineRule="auto"/>
        <w:jc w:val="center"/>
        <w:rPr>
          <w:rFonts w:ascii="Times New Roman" w:eastAsia="Calibri" w:hAnsi="Times New Roman" w:cs="Times New Roman"/>
          <w:sz w:val="26"/>
          <w:szCs w:val="26"/>
        </w:rPr>
      </w:pPr>
      <w:bookmarkStart w:id="0" w:name="_GoBack"/>
      <w:bookmarkEnd w:id="0"/>
    </w:p>
    <w:p w14:paraId="7AA8B5C1" w14:textId="77777777" w:rsidR="00F329BD" w:rsidRDefault="00F329BD" w:rsidP="00F329BD">
      <w:pPr>
        <w:tabs>
          <w:tab w:val="left" w:pos="3320"/>
        </w:tabs>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Supporting Statement for</w:t>
      </w:r>
    </w:p>
    <w:p w14:paraId="3551AE4A" w14:textId="77777777" w:rsidR="00F329BD" w:rsidRDefault="00F329BD" w:rsidP="00F329BD">
      <w:pPr>
        <w:spacing w:after="0" w:line="240" w:lineRule="auto"/>
        <w:ind w:right="-180"/>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FERC-725B3</w:t>
      </w:r>
      <w:r>
        <w:rPr>
          <w:rStyle w:val="FootnoteReference"/>
          <w:rFonts w:ascii="Times New Roman" w:eastAsia="Calibri" w:hAnsi="Times New Roman" w:cs="Times New Roman"/>
          <w:b/>
          <w:sz w:val="26"/>
          <w:szCs w:val="26"/>
          <w:vertAlign w:val="superscript"/>
        </w:rPr>
        <w:footnoteReference w:id="1"/>
      </w:r>
      <w:r>
        <w:rPr>
          <w:rFonts w:ascii="Times New Roman" w:eastAsia="Calibri" w:hAnsi="Times New Roman" w:cs="Times New Roman"/>
          <w:b/>
          <w:sz w:val="26"/>
          <w:szCs w:val="26"/>
          <w:vertAlign w:val="superscript"/>
        </w:rPr>
        <w:t xml:space="preserve"> </w:t>
      </w:r>
      <w:r>
        <w:rPr>
          <w:rFonts w:ascii="Times New Roman" w:eastAsia="Calibri" w:hAnsi="Times New Roman" w:cs="Times New Roman"/>
          <w:b/>
          <w:sz w:val="26"/>
          <w:szCs w:val="26"/>
        </w:rPr>
        <w:t>(Mandatory Reliability Standards for Critical Infrastructure Protection [CIP] Reliability Standards),</w:t>
      </w:r>
    </w:p>
    <w:p w14:paraId="19982C6B" w14:textId="77777777" w:rsidR="00F329BD" w:rsidRDefault="00F329BD" w:rsidP="00F329BD">
      <w:pPr>
        <w:spacing w:after="0" w:line="240" w:lineRule="auto"/>
        <w:ind w:right="-180"/>
        <w:jc w:val="center"/>
        <w:rPr>
          <w:rFonts w:ascii="Times New Roman" w:eastAsia="Calibri" w:hAnsi="Times New Roman" w:cs="Times New Roman"/>
          <w:b/>
          <w:sz w:val="26"/>
          <w:szCs w:val="26"/>
        </w:rPr>
      </w:pPr>
      <w:r>
        <w:rPr>
          <w:rFonts w:ascii="Times New Roman" w:eastAsia="Calibri" w:hAnsi="Times New Roman" w:cs="Times New Roman"/>
          <w:b/>
          <w:sz w:val="26"/>
          <w:szCs w:val="26"/>
        </w:rPr>
        <w:t>as modified by the Order in Docket No. RD19-3-000</w:t>
      </w:r>
    </w:p>
    <w:p w14:paraId="7DECCF0C" w14:textId="77777777" w:rsidR="00F329BD" w:rsidRDefault="00F329BD" w:rsidP="00F329BD">
      <w:pPr>
        <w:spacing w:after="0" w:line="240" w:lineRule="auto"/>
        <w:ind w:right="-180"/>
        <w:jc w:val="center"/>
        <w:rPr>
          <w:rFonts w:ascii="Times New Roman" w:eastAsia="Calibri" w:hAnsi="Times New Roman" w:cs="Times New Roman"/>
          <w:b/>
          <w:sz w:val="26"/>
          <w:szCs w:val="26"/>
        </w:rPr>
      </w:pPr>
    </w:p>
    <w:p w14:paraId="00CFF8D3"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Federal Energy Regulatory Commission (Commission or FERC) requests that the Office of Management and Budget (OMB) review and approve the FERC-725B3</w:t>
      </w:r>
      <w:r>
        <w:rPr>
          <w:rFonts w:ascii="Times New Roman" w:eastAsia="Calibri" w:hAnsi="Times New Roman" w:cs="Times New Roman"/>
          <w:sz w:val="26"/>
          <w:szCs w:val="26"/>
          <w:vertAlign w:val="superscript"/>
        </w:rPr>
        <w:t xml:space="preserve"> </w:t>
      </w:r>
      <w:r>
        <w:rPr>
          <w:rFonts w:ascii="Times New Roman" w:eastAsia="Calibri" w:hAnsi="Times New Roman" w:cs="Times New Roman"/>
          <w:sz w:val="26"/>
          <w:szCs w:val="26"/>
        </w:rPr>
        <w:t>information collection (Mandatory Reliability Standards for Critical Infrastructure Protection [CIP] Reliability Standards) as modified in Docket No. RD19-3-000.</w:t>
      </w:r>
    </w:p>
    <w:p w14:paraId="458954B3" w14:textId="77777777" w:rsidR="00F329BD" w:rsidRDefault="00F329BD" w:rsidP="00F329BD">
      <w:pPr>
        <w:spacing w:after="0" w:line="240" w:lineRule="auto"/>
        <w:rPr>
          <w:rFonts w:ascii="Times New Roman" w:eastAsia="Calibri" w:hAnsi="Times New Roman" w:cs="Times New Roman"/>
          <w:b/>
          <w:sz w:val="26"/>
          <w:szCs w:val="26"/>
        </w:rPr>
      </w:pPr>
    </w:p>
    <w:p w14:paraId="40832AA6"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CIRCUMSTANCES THAT MAKE THE COLLECTION OF INFORMATION NECESSARY</w:t>
      </w:r>
    </w:p>
    <w:p w14:paraId="0307FC86" w14:textId="77777777" w:rsidR="00F329BD" w:rsidRDefault="00F329BD" w:rsidP="00F329BD">
      <w:pPr>
        <w:widowControl w:val="0"/>
        <w:autoSpaceDE w:val="0"/>
        <w:autoSpaceDN w:val="0"/>
        <w:adjustRightInd w:val="0"/>
        <w:spacing w:after="0" w:line="240" w:lineRule="auto"/>
        <w:ind w:left="360"/>
        <w:rPr>
          <w:rFonts w:ascii="Times New Roman" w:eastAsia="Calibri" w:hAnsi="Times New Roman" w:cs="Times New Roman"/>
          <w:b/>
          <w:bCs/>
          <w:sz w:val="26"/>
          <w:szCs w:val="26"/>
        </w:rPr>
      </w:pPr>
    </w:p>
    <w:p w14:paraId="646F4877"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On August 8, 2005, The Electricity Modernization Act of 2005, which is Title XII of the Energy Policy Act of 2005 (EPAct 2005), was enacted into law.  EPAct 2005 added a new section 215</w:t>
      </w:r>
      <w:r>
        <w:rPr>
          <w:rFonts w:ascii="Times New Roman" w:eastAsia="Calibri" w:hAnsi="Times New Roman" w:cs="Times New Roman"/>
          <w:sz w:val="26"/>
          <w:szCs w:val="26"/>
          <w:vertAlign w:val="superscript"/>
        </w:rPr>
        <w:footnoteReference w:id="2"/>
      </w:r>
      <w:r>
        <w:rPr>
          <w:rFonts w:ascii="Times New Roman" w:eastAsia="Calibri" w:hAnsi="Times New Roman" w:cs="Times New Roman"/>
          <w:sz w:val="26"/>
          <w:szCs w:val="26"/>
        </w:rPr>
        <w:t xml:space="preserve">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Fonts w:ascii="Times New Roman" w:eastAsia="Calibri" w:hAnsi="Times New Roman" w:cs="Times New Roman"/>
          <w:sz w:val="26"/>
          <w:szCs w:val="26"/>
          <w:vertAlign w:val="superscript"/>
        </w:rPr>
        <w:footnoteReference w:id="3"/>
      </w:r>
    </w:p>
    <w:p w14:paraId="1C3BE862" w14:textId="77777777" w:rsidR="00F329BD" w:rsidRDefault="00F329BD" w:rsidP="00F329BD">
      <w:pPr>
        <w:spacing w:after="0" w:line="240" w:lineRule="auto"/>
        <w:rPr>
          <w:rFonts w:ascii="Times New Roman" w:eastAsia="Calibri" w:hAnsi="Times New Roman" w:cs="Times New Roman"/>
          <w:sz w:val="26"/>
          <w:szCs w:val="26"/>
        </w:rPr>
      </w:pPr>
    </w:p>
    <w:p w14:paraId="414EB857" w14:textId="77777777" w:rsidR="00F329BD" w:rsidRDefault="00F329BD" w:rsidP="00F329BD">
      <w:pPr>
        <w:tabs>
          <w:tab w:val="num" w:pos="720"/>
        </w:tabs>
        <w:spacing w:after="260" w:line="240" w:lineRule="auto"/>
        <w:rPr>
          <w:rFonts w:ascii="Times New Roman" w:hAnsi="Times New Roman" w:cs="Times New Roman"/>
          <w:sz w:val="26"/>
        </w:rPr>
      </w:pPr>
      <w:r>
        <w:rPr>
          <w:rFonts w:ascii="Times New Roman" w:hAnsi="Times New Roman" w:cs="Times New Roman"/>
          <w:sz w:val="26"/>
        </w:rPr>
        <w:t>Pursuant to section 215(d)(2) of the FPA</w:t>
      </w:r>
      <w:r>
        <w:rPr>
          <w:rFonts w:ascii="Times New Roman" w:hAnsi="Times New Roman" w:cs="Times New Roman"/>
          <w:b/>
          <w:sz w:val="26"/>
          <w:vertAlign w:val="superscript"/>
        </w:rPr>
        <w:footnoteReference w:id="4"/>
      </w:r>
      <w:r>
        <w:rPr>
          <w:rFonts w:ascii="Times New Roman" w:hAnsi="Times New Roman" w:cs="Times New Roman"/>
          <w:sz w:val="26"/>
        </w:rPr>
        <w:t xml:space="preserve">  , FERC approved Reliability Standard CIP-008-6, its associated implementation plan, violation risk factors and violation severity levels, and the revised definitions of Cyber Security Incident and Reportable Cyber Security Incident.</w:t>
      </w:r>
      <w:r>
        <w:rPr>
          <w:rFonts w:ascii="Times New Roman" w:hAnsi="Times New Roman" w:cs="Times New Roman"/>
          <w:b/>
          <w:sz w:val="26"/>
          <w:vertAlign w:val="superscript"/>
        </w:rPr>
        <w:t xml:space="preserve"> </w:t>
      </w:r>
      <w:r>
        <w:rPr>
          <w:rFonts w:ascii="Times New Roman" w:hAnsi="Times New Roman" w:cs="Times New Roman"/>
          <w:sz w:val="26"/>
        </w:rPr>
        <w:t xml:space="preserve">FERC determined that the proposed Reliability Standard and revised definitions satisfy the directive in Order No. 848 to broaden mandatory reporting to include Cyber Security Incidents that compromise, or attempt to compromise, a </w:t>
      </w:r>
      <w:r>
        <w:rPr>
          <w:rFonts w:ascii="Times New Roman" w:hAnsi="Times New Roman" w:cs="Times New Roman"/>
          <w:sz w:val="26"/>
        </w:rPr>
        <w:lastRenderedPageBreak/>
        <w:t>responsible entity’s electronic security perimeter or associated electronic access control or monitoring systems, as well as modifications to specify the required information in Cyber Security Incident reports, their dissemination, and deadlines for filing reports.</w:t>
      </w:r>
    </w:p>
    <w:p w14:paraId="0402B90D"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HOW, BY WHOM, AND FOR WHAT PURPOSE THE INFORMATION IS TO BE USED AND THE CONSEQUENCES OF NOT COLLECTING THE INFORMATION</w:t>
      </w:r>
    </w:p>
    <w:p w14:paraId="7781DA39" w14:textId="77777777" w:rsidR="00F329BD" w:rsidRDefault="00F329BD" w:rsidP="00F329BD">
      <w:pPr>
        <w:widowControl w:val="0"/>
        <w:autoSpaceDE w:val="0"/>
        <w:autoSpaceDN w:val="0"/>
        <w:adjustRightInd w:val="0"/>
        <w:spacing w:after="0" w:line="240" w:lineRule="auto"/>
        <w:ind w:left="360"/>
        <w:rPr>
          <w:rFonts w:ascii="Times New Roman" w:eastAsia="Calibri" w:hAnsi="Times New Roman" w:cs="Times New Roman"/>
          <w:b/>
          <w:bCs/>
          <w:sz w:val="26"/>
          <w:szCs w:val="26"/>
        </w:rPr>
      </w:pPr>
    </w:p>
    <w:p w14:paraId="4B9DA6E1" w14:textId="77777777" w:rsidR="00F329BD" w:rsidRDefault="00F329BD" w:rsidP="00F329BD">
      <w:pPr>
        <w:pStyle w:val="FERCparanumber"/>
        <w:numPr>
          <w:ilvl w:val="0"/>
          <w:numId w:val="0"/>
        </w:numPr>
        <w:tabs>
          <w:tab w:val="left" w:pos="720"/>
        </w:tabs>
        <w:spacing w:after="0"/>
        <w:rPr>
          <w:rFonts w:eastAsia="Calibri"/>
          <w:szCs w:val="26"/>
        </w:rPr>
      </w:pPr>
      <w:r>
        <w:rPr>
          <w:rFonts w:eastAsia="Calibri"/>
          <w:szCs w:val="26"/>
        </w:rPr>
        <w:t xml:space="preserve">The </w:t>
      </w:r>
      <w:r>
        <w:t>Reliability Standard CIP-008-6 broadens the mandatory reporting of Cyber Security Incidents and thus addresses the concern that currently-effective Reliability Standard CIP-008-5 may not encompass the full scope of cyber-related threats to the Bulk-Power System.</w:t>
      </w:r>
      <w:r>
        <w:rPr>
          <w:b/>
          <w:vertAlign w:val="superscript"/>
        </w:rPr>
        <w:footnoteReference w:id="5"/>
      </w:r>
      <w:r>
        <w:t xml:space="preserve">  As a predicate to the augmented reporting requirements in Reliability Standard CIP-008-6, NERC proposed revised NERC Glossary definitions of Cyber Security Incident and Reportable Cyber Security Incident.  NERC explained that, by applying the revised definitions, Cyber Security Incidents (i.e. attempts to compromise) and Reportable Cyber Security Incidents (i.e. actual compromises) will be reported under Reliability Standard CIP-008-6.</w:t>
      </w:r>
    </w:p>
    <w:p w14:paraId="7A17EE69" w14:textId="77777777" w:rsidR="00F329BD" w:rsidRDefault="00F329BD" w:rsidP="00F329BD">
      <w:pPr>
        <w:spacing w:after="0" w:line="240" w:lineRule="auto"/>
        <w:rPr>
          <w:rFonts w:ascii="Times New Roman" w:eastAsia="Calibri" w:hAnsi="Times New Roman" w:cs="Times New Roman"/>
          <w:sz w:val="26"/>
          <w:szCs w:val="26"/>
        </w:rPr>
      </w:pPr>
    </w:p>
    <w:p w14:paraId="032228D6"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DESCRIBE ANY CONSIDERATION OF THE USE OF IMPROVED TECHNOLOGY TO REDUCE BURDEN AND TECHNICAL OR LEGAL OBSTACLES TO REDUCING BURDEN.</w:t>
      </w:r>
    </w:p>
    <w:p w14:paraId="5085426D" w14:textId="77777777" w:rsidR="00F329BD" w:rsidRDefault="00F329BD" w:rsidP="00F329BD">
      <w:pPr>
        <w:widowControl w:val="0"/>
        <w:autoSpaceDE w:val="0"/>
        <w:autoSpaceDN w:val="0"/>
        <w:adjustRightInd w:val="0"/>
        <w:spacing w:after="0" w:line="240" w:lineRule="auto"/>
        <w:ind w:left="360"/>
        <w:rPr>
          <w:rFonts w:ascii="Times New Roman" w:eastAsia="Calibri" w:hAnsi="Times New Roman" w:cs="Times New Roman"/>
          <w:b/>
          <w:bCs/>
          <w:sz w:val="26"/>
          <w:szCs w:val="26"/>
        </w:rPr>
      </w:pPr>
    </w:p>
    <w:p w14:paraId="235241A5"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use of current or improved technology and the medium are not covered in Reliability Standards and are therefore left to the discretion of each respondent.  Commission staff thinks that nearly all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w:t>
      </w:r>
    </w:p>
    <w:p w14:paraId="25AD0C98" w14:textId="77777777" w:rsidR="00F329BD" w:rsidRDefault="00F329BD" w:rsidP="00F329BD">
      <w:pPr>
        <w:spacing w:after="0" w:line="240" w:lineRule="auto"/>
        <w:rPr>
          <w:rFonts w:ascii="Times New Roman" w:eastAsia="Calibri" w:hAnsi="Times New Roman" w:cs="Times New Roman"/>
          <w:sz w:val="26"/>
          <w:szCs w:val="26"/>
        </w:rPr>
      </w:pPr>
    </w:p>
    <w:p w14:paraId="7AC8D8CA"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This collection does not require industry to file the information with the Commission</w:t>
      </w:r>
    </w:p>
    <w:p w14:paraId="0631B8B8" w14:textId="77777777" w:rsidR="00F329BD" w:rsidRDefault="00F329BD" w:rsidP="00F329BD">
      <w:pPr>
        <w:spacing w:after="0" w:line="240" w:lineRule="auto"/>
        <w:rPr>
          <w:rFonts w:ascii="Times New Roman" w:eastAsia="Calibri" w:hAnsi="Times New Roman" w:cs="Times New Roman"/>
          <w:b/>
          <w:bCs/>
          <w:sz w:val="26"/>
          <w:szCs w:val="26"/>
        </w:rPr>
      </w:pPr>
    </w:p>
    <w:p w14:paraId="3C881DB8"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4CE9027F" w14:textId="77777777" w:rsidR="00F329BD" w:rsidRDefault="00F329BD" w:rsidP="00F329BD">
      <w:pPr>
        <w:spacing w:after="0" w:line="240" w:lineRule="auto"/>
        <w:rPr>
          <w:rFonts w:ascii="Times New Roman" w:eastAsia="Calibri" w:hAnsi="Times New Roman" w:cs="Times New Roman"/>
          <w:sz w:val="26"/>
          <w:szCs w:val="26"/>
        </w:rPr>
      </w:pPr>
    </w:p>
    <w:p w14:paraId="22119622"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Filing requirements are periodically reviewed as OMB review dates arise or as the Commission may deem necessary in carrying out its regulatory responsibilities under the FPA to eliminate duplication and ensure that filing burden is minimized.  There are no </w:t>
      </w:r>
      <w:r>
        <w:rPr>
          <w:rFonts w:ascii="Times New Roman" w:eastAsia="Calibri" w:hAnsi="Times New Roman" w:cs="Times New Roman"/>
          <w:sz w:val="26"/>
          <w:szCs w:val="26"/>
        </w:rPr>
        <w:lastRenderedPageBreak/>
        <w:t>similar sources for information available that can be used or modified for these reporting purposes.</w:t>
      </w:r>
    </w:p>
    <w:p w14:paraId="17B96195" w14:textId="77777777" w:rsidR="00F329BD" w:rsidRDefault="00F329BD" w:rsidP="00F329BD">
      <w:pPr>
        <w:spacing w:after="0" w:line="240" w:lineRule="auto"/>
        <w:rPr>
          <w:rFonts w:ascii="Times New Roman" w:eastAsia="Calibri" w:hAnsi="Times New Roman" w:cs="Times New Roman"/>
          <w:sz w:val="26"/>
          <w:szCs w:val="26"/>
        </w:rPr>
      </w:pPr>
    </w:p>
    <w:p w14:paraId="3DE152B1"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METHODS USED TO MINIMIZE BURDEN IN COLLECTION OF INFORMATION INVOLVING SMALL ENTITIES</w:t>
      </w:r>
    </w:p>
    <w:p w14:paraId="082E27AC" w14:textId="77777777" w:rsidR="00F329BD" w:rsidRDefault="00F329BD" w:rsidP="00F329BD">
      <w:pPr>
        <w:pStyle w:val="FERCparanumber"/>
        <w:numPr>
          <w:ilvl w:val="0"/>
          <w:numId w:val="0"/>
        </w:numPr>
        <w:tabs>
          <w:tab w:val="left" w:pos="720"/>
        </w:tabs>
      </w:pPr>
      <w:r>
        <w:t>There are 1,414 unique registered entities in the NERC compliance registry as of May 24, 2019.  Of this total, we estimate that 288 entities will face an increased burden</w:t>
      </w:r>
      <w:r>
        <w:rPr>
          <w:rFonts w:eastAsia="Calibri"/>
          <w:bCs/>
          <w:szCs w:val="26"/>
          <w:vertAlign w:val="superscript"/>
        </w:rPr>
        <w:footnoteReference w:id="6"/>
      </w:r>
      <w:r>
        <w:t xml:space="preserve"> due to the Order in RD19-3. </w:t>
      </w:r>
    </w:p>
    <w:p w14:paraId="6DB49D04" w14:textId="77777777" w:rsidR="00F329BD" w:rsidRDefault="00F329BD" w:rsidP="00F329BD">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The Reliability Standard does not contain provisions for minimizing the burden of the collection for small entities.   The requirements in Reliability Standard CIP-008-6 apply to 288 applicable entities.  However, small entities generally can reduce their burden by taking part in a joint registration organization or a coordinated function registration.  These options allow an entity to share its compliance burden with other similar entities.  Detailed information regarding these options is available in NERC’s Rules of Procedure at section 1502.2, available at NERCs website.</w:t>
      </w:r>
    </w:p>
    <w:p w14:paraId="44F890BF" w14:textId="77777777" w:rsidR="00F329BD" w:rsidRDefault="00F329BD" w:rsidP="00F329BD">
      <w:pPr>
        <w:spacing w:after="0" w:line="240" w:lineRule="auto"/>
        <w:rPr>
          <w:rFonts w:ascii="Times New Roman" w:eastAsia="Calibri" w:hAnsi="Times New Roman" w:cs="Times New Roman"/>
          <w:bCs/>
          <w:sz w:val="26"/>
          <w:szCs w:val="26"/>
        </w:rPr>
      </w:pPr>
    </w:p>
    <w:p w14:paraId="0ED5D79E"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CONSEQUENCE TO FEDERAL PROGRAM IF COLLECTION WERE CONDUCTED LESS FREQUENTLY</w:t>
      </w:r>
    </w:p>
    <w:p w14:paraId="3CBD6EEA"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4A54C86B"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consequences of not collecting the data associated with this Reliability Standard may result in an understatement of the true scope of cyber-related threats to the Bulk-Power System.</w:t>
      </w:r>
    </w:p>
    <w:p w14:paraId="3199A0AA"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14:paraId="6DB573E5"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EXPLAIN ANY SPECIAL CIRCUMSTANCES RELATING TO THE INFORMATION COLLECTION</w:t>
      </w:r>
    </w:p>
    <w:p w14:paraId="652C05BC" w14:textId="77777777" w:rsidR="00F329BD" w:rsidRDefault="00F329BD" w:rsidP="00F329BD">
      <w:pPr>
        <w:spacing w:after="0" w:line="240" w:lineRule="auto"/>
        <w:rPr>
          <w:rFonts w:ascii="Times New Roman" w:eastAsia="Calibri" w:hAnsi="Times New Roman" w:cs="Times New Roman"/>
          <w:b/>
          <w:bCs/>
          <w:sz w:val="26"/>
          <w:szCs w:val="26"/>
        </w:rPr>
      </w:pPr>
    </w:p>
    <w:p w14:paraId="64E4ECB7"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FERC-725B3 information collection has no special circumstances.  </w:t>
      </w:r>
    </w:p>
    <w:p w14:paraId="3D5A0624" w14:textId="77777777" w:rsidR="00F329BD" w:rsidRDefault="00F329BD" w:rsidP="00F329BD">
      <w:pPr>
        <w:spacing w:after="0" w:line="240" w:lineRule="auto"/>
        <w:rPr>
          <w:rFonts w:ascii="Times New Roman" w:eastAsia="Calibri" w:hAnsi="Times New Roman" w:cs="Times New Roman"/>
          <w:sz w:val="26"/>
          <w:szCs w:val="26"/>
        </w:rPr>
      </w:pPr>
    </w:p>
    <w:p w14:paraId="41AA6EDE"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DESCRIBE EFFORTS TO CONSULT OUTSIDE THE AGENCY: SUMMARIZE PUBLIC COMMENTS AND THE AGENCY'S RESPONSE TO THESE COMMENTS</w:t>
      </w:r>
    </w:p>
    <w:p w14:paraId="426C01AE" w14:textId="77777777" w:rsidR="00F329BD" w:rsidRDefault="00F329BD" w:rsidP="00F329BD">
      <w:pPr>
        <w:spacing w:after="0" w:line="240" w:lineRule="auto"/>
        <w:rPr>
          <w:rFonts w:ascii="Times New Roman" w:eastAsia="Calibri" w:hAnsi="Times New Roman" w:cs="Times New Roman"/>
          <w:b/>
          <w:bCs/>
          <w:sz w:val="26"/>
          <w:szCs w:val="26"/>
        </w:rPr>
      </w:pPr>
    </w:p>
    <w:p w14:paraId="4489518B"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In accordance with OMB requirements</w:t>
      </w:r>
      <w:r>
        <w:rPr>
          <w:rFonts w:ascii="Times New Roman" w:eastAsia="Calibri" w:hAnsi="Times New Roman" w:cs="Times New Roman"/>
          <w:b/>
          <w:sz w:val="26"/>
          <w:szCs w:val="26"/>
          <w:vertAlign w:val="superscript"/>
        </w:rPr>
        <w:footnoteReference w:id="7"/>
      </w:r>
      <w:r>
        <w:rPr>
          <w:rFonts w:ascii="Times New Roman" w:eastAsia="Calibri" w:hAnsi="Times New Roman" w:cs="Times New Roman"/>
          <w:sz w:val="26"/>
          <w:szCs w:val="26"/>
        </w:rPr>
        <w:t>, the Commission published a 60-day notice</w:t>
      </w:r>
      <w:r>
        <w:rPr>
          <w:rFonts w:ascii="Times New Roman" w:eastAsia="Calibri" w:hAnsi="Times New Roman" w:cs="Times New Roman"/>
          <w:sz w:val="26"/>
          <w:szCs w:val="26"/>
          <w:vertAlign w:val="superscript"/>
        </w:rPr>
        <w:footnoteReference w:id="8"/>
      </w:r>
      <w:r>
        <w:rPr>
          <w:rFonts w:ascii="Times New Roman" w:eastAsia="Calibri" w:hAnsi="Times New Roman" w:cs="Times New Roman"/>
          <w:sz w:val="26"/>
          <w:szCs w:val="26"/>
        </w:rPr>
        <w:t xml:space="preserve"> to the public regarding this information collection on 6/26/2019. Within the public notice, the Commission noted that it would be requesting a three-year extension of the public reporting burden with no change to the existing requirements concerning the collection of data.  FERC received no comments.</w:t>
      </w:r>
    </w:p>
    <w:p w14:paraId="630A1976" w14:textId="77777777" w:rsidR="00F329BD" w:rsidRDefault="00F329BD" w:rsidP="00F329BD">
      <w:pPr>
        <w:spacing w:after="0" w:line="240" w:lineRule="auto"/>
        <w:rPr>
          <w:rFonts w:ascii="Times New Roman" w:eastAsia="Calibri" w:hAnsi="Times New Roman" w:cs="Times New Roman"/>
          <w:sz w:val="26"/>
          <w:szCs w:val="26"/>
        </w:rPr>
      </w:pPr>
    </w:p>
    <w:p w14:paraId="157FA726" w14:textId="77777777" w:rsidR="00F329BD" w:rsidRDefault="00F329BD" w:rsidP="00F329BD">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 is also publishing a 30-day Notice in the Federal Register to provide the public with another opportunity to comment.</w:t>
      </w:r>
    </w:p>
    <w:p w14:paraId="5D3C2A21" w14:textId="77777777" w:rsidR="00F329BD" w:rsidRDefault="00F329BD" w:rsidP="00F329BD">
      <w:pPr>
        <w:spacing w:after="0" w:line="240" w:lineRule="auto"/>
        <w:ind w:firstLine="360"/>
        <w:rPr>
          <w:rFonts w:ascii="Times New Roman" w:eastAsia="Calibri" w:hAnsi="Times New Roman" w:cs="Times New Roman"/>
          <w:sz w:val="26"/>
          <w:szCs w:val="26"/>
        </w:rPr>
      </w:pPr>
    </w:p>
    <w:p w14:paraId="68291F35"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EXPLAIN ANY PAYMENT OR GIFTS TO RESPONDENTS</w:t>
      </w:r>
    </w:p>
    <w:p w14:paraId="0C9F31B0" w14:textId="77777777" w:rsidR="00F329BD" w:rsidRDefault="00F329BD" w:rsidP="00F329BD">
      <w:pPr>
        <w:spacing w:after="0" w:line="240" w:lineRule="auto"/>
        <w:rPr>
          <w:rFonts w:ascii="Times New Roman" w:eastAsia="Calibri" w:hAnsi="Times New Roman" w:cs="Times New Roman"/>
          <w:b/>
          <w:bCs/>
          <w:sz w:val="26"/>
          <w:szCs w:val="26"/>
        </w:rPr>
      </w:pPr>
    </w:p>
    <w:p w14:paraId="5241E2F6"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Commission does not make any payments or gifts to respondents.</w:t>
      </w:r>
    </w:p>
    <w:p w14:paraId="44ACCFC8" w14:textId="77777777" w:rsidR="00F329BD" w:rsidRDefault="00F329BD" w:rsidP="00F329BD">
      <w:pPr>
        <w:spacing w:after="0" w:line="240" w:lineRule="auto"/>
        <w:rPr>
          <w:rFonts w:ascii="Times New Roman" w:eastAsia="Calibri" w:hAnsi="Times New Roman" w:cs="Times New Roman"/>
          <w:sz w:val="26"/>
          <w:szCs w:val="26"/>
        </w:rPr>
      </w:pPr>
    </w:p>
    <w:p w14:paraId="34AC1262"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DESCRIBE ANY ASSURANCE OF CONFIDENTIALITY PROVIDED TO RESPONDENTS</w:t>
      </w:r>
    </w:p>
    <w:p w14:paraId="484A1490" w14:textId="77777777" w:rsidR="00F329BD" w:rsidRDefault="00F329BD" w:rsidP="00F329BD">
      <w:pPr>
        <w:spacing w:after="0" w:line="240" w:lineRule="auto"/>
        <w:rPr>
          <w:rFonts w:ascii="Times New Roman" w:eastAsia="Calibri" w:hAnsi="Times New Roman" w:cs="Times New Roman"/>
          <w:b/>
          <w:bCs/>
          <w:sz w:val="26"/>
          <w:szCs w:val="26"/>
        </w:rPr>
      </w:pPr>
    </w:p>
    <w:p w14:paraId="5D03C5C8" w14:textId="77777777" w:rsidR="00F329BD" w:rsidRDefault="00F329BD" w:rsidP="00F329BD">
      <w:pPr>
        <w:spacing w:after="20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According to section 1502.2 of the NERC Rules of Procedure, “…a Receiving Entity shall keep in confidence and not copy, disclose, or distribute any Confidential Information or any part thereof without the permission of the Submitting Entity, except as otherwise legally required.”</w:t>
      </w:r>
      <w:r>
        <w:rPr>
          <w:rFonts w:ascii="Times New Roman" w:eastAsia="Calibri" w:hAnsi="Times New Roman" w:cs="Times New Roman"/>
          <w:bCs/>
          <w:sz w:val="26"/>
          <w:szCs w:val="26"/>
          <w:vertAlign w:val="superscript"/>
        </w:rPr>
        <w:footnoteReference w:id="9"/>
      </w:r>
      <w:r>
        <w:rPr>
          <w:rFonts w:ascii="Times New Roman" w:eastAsia="Calibri" w:hAnsi="Times New Roman" w:cs="Times New Roman"/>
          <w:bCs/>
          <w:sz w:val="26"/>
          <w:szCs w:val="26"/>
        </w:rPr>
        <w:t xml:space="preserve">  This serves to protect confidential information submitted to NERC or Regional Entities.  </w:t>
      </w:r>
    </w:p>
    <w:p w14:paraId="74C771F4" w14:textId="77777777" w:rsidR="00F329BD" w:rsidRDefault="00F329BD" w:rsidP="00F329BD">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Responding entities do not submit to the Commission the information collected in compliance with this Reliability Standard.  Rather, they submit the information to the Electricity Information Sharing and Analysis Center and the Department of Homeland Security’s National Cybersecurity and Communications Integration Center.  Since there are no submissions made to FERC, FERC provides no specific provisions in order to protect confidentiality.</w:t>
      </w:r>
    </w:p>
    <w:p w14:paraId="226B97DA" w14:textId="77777777" w:rsidR="00F329BD" w:rsidRDefault="00F329BD" w:rsidP="00F329BD">
      <w:pPr>
        <w:spacing w:after="0" w:line="240" w:lineRule="auto"/>
        <w:rPr>
          <w:rFonts w:ascii="Times New Roman" w:eastAsia="Calibri" w:hAnsi="Times New Roman" w:cs="Times New Roman"/>
          <w:bCs/>
          <w:sz w:val="26"/>
          <w:szCs w:val="26"/>
        </w:rPr>
      </w:pPr>
    </w:p>
    <w:p w14:paraId="14AD4391" w14:textId="77777777" w:rsidR="00F329BD" w:rsidRDefault="00F329BD" w:rsidP="00F329BD">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The only submission received by the Commission, according to NERC standards is an annual anonymized, public summary of the reports submitted to E-ISAC and ICS-CERT, or its successor. This report will include: (1) the functional impact, where possible to determine, that the Cyber Security Incident achieved or attempted to achieve; (2) the attack vector that was used to achieve or attempted to achieve the Cyber Security Incident; and (3) the level of intrusion that was achieved or attempted as a result of the Cyber Security Incident. This burden is addressed in FERC-725B.</w:t>
      </w:r>
    </w:p>
    <w:p w14:paraId="5605BC16" w14:textId="77777777" w:rsidR="00F329BD" w:rsidRDefault="00F329BD" w:rsidP="00F329BD">
      <w:pPr>
        <w:spacing w:after="0" w:line="240" w:lineRule="auto"/>
        <w:rPr>
          <w:rFonts w:ascii="Times New Roman" w:eastAsia="Calibri" w:hAnsi="Times New Roman" w:cs="Times New Roman"/>
          <w:bCs/>
          <w:sz w:val="26"/>
          <w:szCs w:val="26"/>
        </w:rPr>
      </w:pPr>
    </w:p>
    <w:p w14:paraId="350D6A7D" w14:textId="77777777" w:rsidR="00F329BD" w:rsidRDefault="00F329BD" w:rsidP="00F329BD">
      <w:pPr>
        <w:spacing w:after="0" w:line="240" w:lineRule="auto"/>
        <w:ind w:firstLine="720"/>
        <w:rPr>
          <w:rFonts w:ascii="Times New Roman" w:eastAsia="Calibri" w:hAnsi="Times New Roman" w:cs="Times New Roman"/>
          <w:sz w:val="26"/>
          <w:szCs w:val="26"/>
        </w:rPr>
      </w:pPr>
    </w:p>
    <w:p w14:paraId="5EBB16B9"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4A63A4D4" w14:textId="77777777" w:rsidR="00F329BD" w:rsidRDefault="00F329BD" w:rsidP="00F329BD">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23DBC172" w14:textId="77777777" w:rsidR="00831CBD" w:rsidRDefault="00831CBD" w:rsidP="00F329BD">
      <w:pPr>
        <w:spacing w:after="200" w:line="240" w:lineRule="auto"/>
        <w:rPr>
          <w:rFonts w:ascii="Times New Roman" w:eastAsia="Calibri" w:hAnsi="Times New Roman" w:cs="Times New Roman"/>
          <w:sz w:val="26"/>
          <w:szCs w:val="26"/>
        </w:rPr>
      </w:pPr>
    </w:p>
    <w:p w14:paraId="6BB728E3" w14:textId="0979E1E5" w:rsidR="00F329BD" w:rsidRDefault="00F329BD" w:rsidP="00F329BD">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This collection does not contain any questions of a sensitive nature.</w:t>
      </w:r>
    </w:p>
    <w:p w14:paraId="6CA87E6E"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ESTIMATED BURDEN OF COLLECTION OF INFORMATION</w:t>
      </w:r>
    </w:p>
    <w:p w14:paraId="17072671" w14:textId="77777777" w:rsidR="00F329BD" w:rsidRDefault="00F329BD" w:rsidP="00F329BD">
      <w:pPr>
        <w:widowControl w:val="0"/>
        <w:autoSpaceDE w:val="0"/>
        <w:autoSpaceDN w:val="0"/>
        <w:adjustRightInd w:val="0"/>
        <w:spacing w:after="0" w:line="240" w:lineRule="auto"/>
        <w:ind w:left="360"/>
        <w:rPr>
          <w:rFonts w:ascii="Times New Roman" w:eastAsia="Calibri" w:hAnsi="Times New Roman" w:cs="Times New Roman"/>
          <w:sz w:val="26"/>
          <w:szCs w:val="26"/>
        </w:rPr>
      </w:pPr>
    </w:p>
    <w:p w14:paraId="085A86DC"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NERC Reliability Standard CIP-008-6 will result in one-time and ongoing increases to burden in the reporting requirements imposed on </w:t>
      </w:r>
      <w:r>
        <w:rPr>
          <w:rFonts w:ascii="Times New Roman" w:hAnsi="Times New Roman" w:cs="Times New Roman"/>
          <w:color w:val="000000"/>
          <w:sz w:val="26"/>
          <w:szCs w:val="26"/>
        </w:rPr>
        <w:t>Balancing Authority (BA), Distribution Provider (DP), Generator Operator (GOP), Generator Owner (GO), Reliability Coordinator (RC), Transmission Operator (TOP), and Transmission Owner (TO).</w:t>
      </w:r>
      <w:r>
        <w:rPr>
          <w:rFonts w:ascii="Times New Roman" w:eastAsia="Calibri" w:hAnsi="Times New Roman" w:cs="Times New Roman"/>
          <w:sz w:val="26"/>
          <w:szCs w:val="26"/>
        </w:rPr>
        <w:t xml:space="preserve"> </w:t>
      </w:r>
      <w:r>
        <w:rPr>
          <w:rFonts w:ascii="Times New Roman" w:eastAsia="Calibri" w:hAnsi="Times New Roman" w:cs="Times New Roman"/>
          <w:bCs/>
          <w:sz w:val="26"/>
          <w:szCs w:val="26"/>
        </w:rPr>
        <w:t xml:space="preserve"> </w:t>
      </w:r>
    </w:p>
    <w:p w14:paraId="13F4562E"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sz w:val="26"/>
          <w:szCs w:val="26"/>
        </w:rPr>
      </w:pPr>
    </w:p>
    <w:p w14:paraId="1F9AD54A" w14:textId="77777777" w:rsidR="00F329BD" w:rsidRDefault="00F329BD" w:rsidP="00F329BD">
      <w:pPr>
        <w:widowControl w:val="0"/>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burden of the current version of the standard, which is being replaced, is approved under FERC-725B (for reporting and recording keeping requirements).  The new, approved version of the standard (submitted in the FERC-725B3 information collection) will impose an additional burden (over the currently approved burden estimate).  The below table shows the net increase after this Order becomes effective. The annual additional estimated burden and cost</w:t>
      </w:r>
      <w:r>
        <w:rPr>
          <w:rStyle w:val="FootnoteReference"/>
          <w:rFonts w:ascii="Times New Roman" w:eastAsia="Calibri" w:hAnsi="Times New Roman" w:cs="Times New Roman"/>
          <w:sz w:val="26"/>
          <w:szCs w:val="26"/>
          <w:vertAlign w:val="superscript"/>
        </w:rPr>
        <w:footnoteReference w:id="10"/>
      </w:r>
      <w:r>
        <w:rPr>
          <w:rFonts w:ascii="Times New Roman" w:eastAsia="Calibri" w:hAnsi="Times New Roman" w:cs="Times New Roman"/>
          <w:sz w:val="26"/>
          <w:szCs w:val="26"/>
        </w:rPr>
        <w:t xml:space="preserve"> for FERC-725B3 due to this approved standard follow:</w:t>
      </w:r>
    </w:p>
    <w:p w14:paraId="11F542AA" w14:textId="77777777" w:rsidR="00F329BD" w:rsidRDefault="00F329BD" w:rsidP="00F329BD">
      <w:pPr>
        <w:rPr>
          <w:rFonts w:ascii="Times New Roman" w:eastAsia="Calibri" w:hAnsi="Times New Roman" w:cs="Times New Roman"/>
          <w:sz w:val="26"/>
          <w:szCs w:val="26"/>
        </w:r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476"/>
        <w:gridCol w:w="1519"/>
        <w:gridCol w:w="1432"/>
        <w:gridCol w:w="1331"/>
        <w:gridCol w:w="1337"/>
        <w:gridCol w:w="1251"/>
      </w:tblGrid>
      <w:tr w:rsidR="00F329BD" w14:paraId="48606375" w14:textId="77777777" w:rsidTr="00F329BD">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090B31E1"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FERC-725B3, in Order in Docket No. RD19-3-000</w:t>
            </w:r>
            <w:r>
              <w:rPr>
                <w:rStyle w:val="FootnoteReference"/>
                <w:rFonts w:ascii="Times New Roman" w:eastAsia="Calibri" w:hAnsi="Times New Roman" w:cs="Times New Roman"/>
                <w:b/>
                <w:sz w:val="20"/>
                <w:szCs w:val="20"/>
                <w:vertAlign w:val="superscript"/>
              </w:rPr>
              <w:footnoteReference w:id="11"/>
            </w:r>
            <w:r>
              <w:rPr>
                <w:rFonts w:ascii="Times New Roman" w:eastAsia="Calibri" w:hAnsi="Times New Roman" w:cs="Times New Roman"/>
                <w:b/>
                <w:sz w:val="20"/>
                <w:szCs w:val="20"/>
              </w:rPr>
              <w:t xml:space="preserve"> </w:t>
            </w:r>
          </w:p>
          <w:p w14:paraId="0D85281C" w14:textId="77777777" w:rsidR="00F329BD" w:rsidRDefault="00F329BD">
            <w:pPr>
              <w:keepNext/>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(Mandatory Reliability Standards for Critical Infrastructure Protection Reliability Standards)</w:t>
            </w:r>
          </w:p>
        </w:tc>
      </w:tr>
      <w:tr w:rsidR="00F329BD" w14:paraId="77C0AE6F" w14:textId="77777777" w:rsidTr="00F329BD">
        <w:trPr>
          <w:cantSplit/>
        </w:trPr>
        <w:tc>
          <w:tcPr>
            <w:tcW w:w="932" w:type="pct"/>
            <w:tcBorders>
              <w:top w:val="single" w:sz="4" w:space="0" w:color="auto"/>
              <w:left w:val="single" w:sz="4" w:space="0" w:color="auto"/>
              <w:bottom w:val="single" w:sz="4" w:space="0" w:color="auto"/>
              <w:right w:val="single" w:sz="4" w:space="0" w:color="auto"/>
            </w:tcBorders>
            <w:shd w:val="clear" w:color="auto" w:fill="D9D9D9"/>
          </w:tcPr>
          <w:p w14:paraId="34D45C91" w14:textId="77777777" w:rsidR="00F329BD" w:rsidRDefault="00F329BD">
            <w:pPr>
              <w:spacing w:after="0" w:line="240" w:lineRule="auto"/>
              <w:jc w:val="center"/>
              <w:rPr>
                <w:rFonts w:ascii="Times New Roman" w:eastAsia="Calibri"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1EFF114"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Number of Respondents</w:t>
            </w:r>
            <w:r>
              <w:rPr>
                <w:rFonts w:ascii="Times New Roman" w:eastAsia="Calibri" w:hAnsi="Times New Roman" w:cs="Times New Roman"/>
                <w:sz w:val="26"/>
                <w:szCs w:val="26"/>
                <w:vertAlign w:val="superscript"/>
              </w:rPr>
              <w:footnoteReference w:id="12"/>
            </w:r>
            <w:r>
              <w:rPr>
                <w:rFonts w:ascii="Times New Roman" w:eastAsia="Calibri" w:hAnsi="Times New Roman" w:cs="Times New Roman"/>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D007443"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Annual Number of Responses per Respondent</w:t>
            </w:r>
          </w:p>
          <w:p w14:paraId="1579330A"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5A7D47B"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28F6851"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Average Burden (Hrs.) &amp; Cost Per Response ($)</w:t>
            </w:r>
          </w:p>
          <w:p w14:paraId="02A1F260"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9DC0599"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Total Annual Burden Hours &amp; Total Annual Cost ($)</w:t>
            </w:r>
          </w:p>
          <w:p w14:paraId="28CF8552"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(3)*(4)=(5)</w:t>
            </w:r>
          </w:p>
        </w:tc>
        <w:tc>
          <w:tcPr>
            <w:tcW w:w="61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C3A50E3"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Cost per Respondent ($)</w:t>
            </w:r>
          </w:p>
          <w:p w14:paraId="243DF3DA" w14:textId="77777777" w:rsidR="00F329BD" w:rsidRDefault="00F329B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(5)÷(1)</w:t>
            </w:r>
          </w:p>
        </w:tc>
      </w:tr>
      <w:tr w:rsidR="00F329BD" w14:paraId="63C0F615" w14:textId="77777777" w:rsidTr="00F329BD">
        <w:trPr>
          <w:cantSplit/>
        </w:trPr>
        <w:tc>
          <w:tcPr>
            <w:tcW w:w="932" w:type="pct"/>
            <w:tcBorders>
              <w:top w:val="single" w:sz="4" w:space="0" w:color="auto"/>
              <w:left w:val="single" w:sz="4" w:space="0" w:color="auto"/>
              <w:bottom w:val="single" w:sz="4" w:space="0" w:color="auto"/>
              <w:right w:val="single" w:sz="4" w:space="0" w:color="auto"/>
            </w:tcBorders>
            <w:hideMark/>
          </w:tcPr>
          <w:p w14:paraId="35F0DA07"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Update internal procedures to comply with augmented reporting requirements.</w:t>
            </w:r>
          </w:p>
          <w:p w14:paraId="73E90233"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(one-time)</w:t>
            </w:r>
            <w:r>
              <w:rPr>
                <w:rFonts w:ascii="Times New Roman" w:eastAsia="Calibri" w:hAnsi="Times New Roman" w:cs="Times New Roman"/>
                <w:b/>
                <w:sz w:val="20"/>
                <w:szCs w:val="20"/>
                <w:vertAlign w:val="superscript"/>
              </w:rPr>
              <w:footnoteReference w:id="13"/>
            </w:r>
          </w:p>
          <w:p w14:paraId="4D065F8E" w14:textId="2A3B23EE"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(R1-R4)</w:t>
            </w:r>
            <w:r w:rsidR="00A205C9">
              <w:rPr>
                <w:rStyle w:val="FootnoteReference"/>
                <w:rFonts w:ascii="Times New Roman" w:eastAsia="Calibri" w:hAnsi="Times New Roman" w:cs="Times New Roman"/>
                <w:sz w:val="20"/>
                <w:szCs w:val="20"/>
              </w:rPr>
              <w:footnoteReference w:id="14"/>
            </w:r>
          </w:p>
        </w:tc>
        <w:tc>
          <w:tcPr>
            <w:tcW w:w="693" w:type="pct"/>
            <w:tcBorders>
              <w:top w:val="single" w:sz="4" w:space="0" w:color="auto"/>
              <w:left w:val="single" w:sz="4" w:space="0" w:color="auto"/>
              <w:bottom w:val="single" w:sz="4" w:space="0" w:color="auto"/>
              <w:right w:val="single" w:sz="4" w:space="0" w:color="auto"/>
            </w:tcBorders>
          </w:tcPr>
          <w:p w14:paraId="088C9C56"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w:t>
            </w:r>
          </w:p>
          <w:p w14:paraId="1556493D" w14:textId="77777777" w:rsidR="00F329BD" w:rsidRDefault="00F329BD">
            <w:pPr>
              <w:spacing w:after="0" w:line="240" w:lineRule="auto"/>
              <w:jc w:val="right"/>
              <w:rPr>
                <w:rFonts w:ascii="Times New Roman" w:eastAsia="Calibri"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hideMark/>
          </w:tcPr>
          <w:p w14:paraId="2A447344"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14:paraId="1F06C3D5"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w:t>
            </w:r>
          </w:p>
        </w:tc>
        <w:tc>
          <w:tcPr>
            <w:tcW w:w="654" w:type="pct"/>
            <w:tcBorders>
              <w:top w:val="single" w:sz="4" w:space="0" w:color="auto"/>
              <w:left w:val="single" w:sz="4" w:space="0" w:color="auto"/>
              <w:bottom w:val="single" w:sz="4" w:space="0" w:color="auto"/>
              <w:right w:val="single" w:sz="4" w:space="0" w:color="auto"/>
            </w:tcBorders>
            <w:hideMark/>
          </w:tcPr>
          <w:p w14:paraId="61938AD5"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50 hrs.;</w:t>
            </w:r>
          </w:p>
          <w:p w14:paraId="74420004"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$4,050</w:t>
            </w:r>
          </w:p>
        </w:tc>
        <w:tc>
          <w:tcPr>
            <w:tcW w:w="657" w:type="pct"/>
            <w:tcBorders>
              <w:top w:val="single" w:sz="4" w:space="0" w:color="auto"/>
              <w:left w:val="single" w:sz="4" w:space="0" w:color="auto"/>
              <w:bottom w:val="single" w:sz="4" w:space="0" w:color="auto"/>
              <w:right w:val="single" w:sz="4" w:space="0" w:color="auto"/>
            </w:tcBorders>
            <w:hideMark/>
          </w:tcPr>
          <w:p w14:paraId="23079636"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14,400 hrs.;</w:t>
            </w:r>
          </w:p>
          <w:p w14:paraId="751A59B9"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$1,166,400 </w:t>
            </w:r>
          </w:p>
        </w:tc>
        <w:tc>
          <w:tcPr>
            <w:tcW w:w="615" w:type="pct"/>
            <w:tcBorders>
              <w:top w:val="single" w:sz="4" w:space="0" w:color="auto"/>
              <w:left w:val="single" w:sz="4" w:space="0" w:color="auto"/>
              <w:bottom w:val="single" w:sz="4" w:space="0" w:color="auto"/>
              <w:right w:val="single" w:sz="4" w:space="0" w:color="auto"/>
            </w:tcBorders>
          </w:tcPr>
          <w:p w14:paraId="0EF112AF"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$4,050</w:t>
            </w:r>
          </w:p>
          <w:p w14:paraId="51667C72" w14:textId="77777777" w:rsidR="00F329BD" w:rsidRDefault="00F329BD">
            <w:pPr>
              <w:spacing w:after="0" w:line="240" w:lineRule="auto"/>
              <w:jc w:val="right"/>
              <w:rPr>
                <w:rFonts w:ascii="Times New Roman" w:eastAsia="Calibri" w:hAnsi="Times New Roman" w:cs="Times New Roman"/>
                <w:sz w:val="20"/>
                <w:szCs w:val="20"/>
              </w:rPr>
            </w:pPr>
          </w:p>
        </w:tc>
      </w:tr>
      <w:tr w:rsidR="00F329BD" w14:paraId="029588F2" w14:textId="77777777" w:rsidTr="00F329BD">
        <w:trPr>
          <w:cantSplit/>
        </w:trPr>
        <w:tc>
          <w:tcPr>
            <w:tcW w:w="932" w:type="pct"/>
            <w:tcBorders>
              <w:top w:val="single" w:sz="4" w:space="0" w:color="auto"/>
              <w:left w:val="single" w:sz="4" w:space="0" w:color="auto"/>
              <w:bottom w:val="single" w:sz="4" w:space="0" w:color="auto"/>
              <w:right w:val="single" w:sz="4" w:space="0" w:color="auto"/>
            </w:tcBorders>
            <w:hideMark/>
          </w:tcPr>
          <w:p w14:paraId="7CAD6735"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Annual cyber security incident plan review</w:t>
            </w:r>
          </w:p>
          <w:p w14:paraId="235D4575"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(ongoing)</w:t>
            </w:r>
            <w:bookmarkStart w:id="2" w:name="_Ref14778394"/>
            <w:r>
              <w:rPr>
                <w:rFonts w:ascii="Times New Roman" w:eastAsia="Calibri" w:hAnsi="Times New Roman" w:cs="Times New Roman"/>
                <w:b/>
                <w:sz w:val="20"/>
                <w:szCs w:val="20"/>
                <w:vertAlign w:val="superscript"/>
              </w:rPr>
              <w:footnoteReference w:id="15"/>
            </w:r>
            <w:bookmarkEnd w:id="2"/>
          </w:p>
          <w:p w14:paraId="4C3E4DE1"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(R2.1)</w:t>
            </w:r>
          </w:p>
        </w:tc>
        <w:tc>
          <w:tcPr>
            <w:tcW w:w="693" w:type="pct"/>
            <w:tcBorders>
              <w:top w:val="single" w:sz="4" w:space="0" w:color="auto"/>
              <w:left w:val="single" w:sz="4" w:space="0" w:color="auto"/>
              <w:bottom w:val="single" w:sz="4" w:space="0" w:color="auto"/>
              <w:right w:val="single" w:sz="4" w:space="0" w:color="auto"/>
            </w:tcBorders>
            <w:hideMark/>
          </w:tcPr>
          <w:p w14:paraId="0D3E894F"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w:t>
            </w:r>
          </w:p>
        </w:tc>
        <w:tc>
          <w:tcPr>
            <w:tcW w:w="746" w:type="pct"/>
            <w:tcBorders>
              <w:top w:val="single" w:sz="4" w:space="0" w:color="auto"/>
              <w:left w:val="single" w:sz="4" w:space="0" w:color="auto"/>
              <w:bottom w:val="single" w:sz="4" w:space="0" w:color="auto"/>
              <w:right w:val="single" w:sz="4" w:space="0" w:color="auto"/>
            </w:tcBorders>
            <w:hideMark/>
          </w:tcPr>
          <w:p w14:paraId="332643A3"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14:paraId="5DFD96EF"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w:t>
            </w:r>
          </w:p>
        </w:tc>
        <w:tc>
          <w:tcPr>
            <w:tcW w:w="654" w:type="pct"/>
            <w:tcBorders>
              <w:top w:val="single" w:sz="4" w:space="0" w:color="auto"/>
              <w:left w:val="single" w:sz="4" w:space="0" w:color="auto"/>
              <w:bottom w:val="single" w:sz="4" w:space="0" w:color="auto"/>
              <w:right w:val="single" w:sz="4" w:space="0" w:color="auto"/>
            </w:tcBorders>
            <w:hideMark/>
          </w:tcPr>
          <w:p w14:paraId="64943D0B"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 hrs.;</w:t>
            </w:r>
          </w:p>
          <w:p w14:paraId="25F6B041"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$810</w:t>
            </w:r>
          </w:p>
        </w:tc>
        <w:tc>
          <w:tcPr>
            <w:tcW w:w="657" w:type="pct"/>
            <w:tcBorders>
              <w:top w:val="single" w:sz="4" w:space="0" w:color="auto"/>
              <w:left w:val="single" w:sz="4" w:space="0" w:color="auto"/>
              <w:bottom w:val="single" w:sz="4" w:space="0" w:color="auto"/>
              <w:right w:val="single" w:sz="4" w:space="0" w:color="auto"/>
            </w:tcBorders>
            <w:hideMark/>
          </w:tcPr>
          <w:p w14:paraId="03D47E9D"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2,880 hrs.;</w:t>
            </w:r>
          </w:p>
          <w:p w14:paraId="0A0A0E14"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$233,280</w:t>
            </w:r>
          </w:p>
        </w:tc>
        <w:tc>
          <w:tcPr>
            <w:tcW w:w="615" w:type="pct"/>
            <w:tcBorders>
              <w:top w:val="single" w:sz="4" w:space="0" w:color="auto"/>
              <w:left w:val="single" w:sz="4" w:space="0" w:color="auto"/>
              <w:bottom w:val="single" w:sz="4" w:space="0" w:color="auto"/>
              <w:right w:val="single" w:sz="4" w:space="0" w:color="auto"/>
            </w:tcBorders>
            <w:hideMark/>
          </w:tcPr>
          <w:p w14:paraId="3ECABBDB"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$810</w:t>
            </w:r>
          </w:p>
        </w:tc>
      </w:tr>
      <w:tr w:rsidR="00F329BD" w14:paraId="5093A71A" w14:textId="77777777" w:rsidTr="00F329BD">
        <w:trPr>
          <w:cantSplit/>
        </w:trPr>
        <w:tc>
          <w:tcPr>
            <w:tcW w:w="932" w:type="pct"/>
            <w:tcBorders>
              <w:top w:val="single" w:sz="4" w:space="0" w:color="auto"/>
              <w:left w:val="single" w:sz="4" w:space="0" w:color="auto"/>
              <w:bottom w:val="single" w:sz="4" w:space="0" w:color="auto"/>
              <w:right w:val="single" w:sz="4" w:space="0" w:color="auto"/>
            </w:tcBorders>
            <w:hideMark/>
          </w:tcPr>
          <w:p w14:paraId="3DB34ADC"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Update cyber security incident plan per review findings (ongoing) </w:t>
            </w:r>
            <w:r>
              <w:rPr>
                <w:rFonts w:ascii="Times New Roman" w:eastAsia="Calibri" w:hAnsi="Times New Roman" w:cs="Times New Roman"/>
                <w:sz w:val="20"/>
                <w:szCs w:val="20"/>
                <w:vertAlign w:val="superscript"/>
              </w:rPr>
              <w:fldChar w:fldCharType="begin"/>
            </w:r>
            <w:r>
              <w:rPr>
                <w:rFonts w:ascii="Times New Roman" w:eastAsia="Calibri" w:hAnsi="Times New Roman" w:cs="Times New Roman"/>
                <w:sz w:val="20"/>
                <w:szCs w:val="20"/>
                <w:vertAlign w:val="superscript"/>
              </w:rPr>
              <w:instrText xml:space="preserve"> NOTEREF _Ref14778394 \h  \* MERGEFORMAT </w:instrText>
            </w:r>
            <w:r>
              <w:rPr>
                <w:rFonts w:ascii="Times New Roman" w:eastAsia="Calibri" w:hAnsi="Times New Roman" w:cs="Times New Roman"/>
                <w:sz w:val="20"/>
                <w:szCs w:val="20"/>
                <w:vertAlign w:val="superscript"/>
              </w:rPr>
            </w:r>
            <w:r>
              <w:rPr>
                <w:rFonts w:ascii="Times New Roman" w:eastAsia="Calibri" w:hAnsi="Times New Roman" w:cs="Times New Roman"/>
                <w:sz w:val="20"/>
                <w:szCs w:val="20"/>
                <w:vertAlign w:val="superscript"/>
              </w:rPr>
              <w:fldChar w:fldCharType="separate"/>
            </w:r>
            <w:r>
              <w:rPr>
                <w:rFonts w:ascii="Times New Roman" w:eastAsia="Calibri" w:hAnsi="Times New Roman" w:cs="Times New Roman"/>
                <w:sz w:val="20"/>
                <w:szCs w:val="20"/>
                <w:vertAlign w:val="superscript"/>
              </w:rPr>
              <w:t>13</w:t>
            </w:r>
            <w:r>
              <w:rPr>
                <w:rFonts w:ascii="Times New Roman" w:eastAsia="Calibri" w:hAnsi="Times New Roman" w:cs="Times New Roman"/>
                <w:sz w:val="20"/>
                <w:szCs w:val="20"/>
                <w:vertAlign w:val="superscript"/>
              </w:rPr>
              <w:fldChar w:fldCharType="end"/>
            </w:r>
          </w:p>
          <w:p w14:paraId="224BB471"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(R3)</w:t>
            </w:r>
          </w:p>
        </w:tc>
        <w:tc>
          <w:tcPr>
            <w:tcW w:w="693" w:type="pct"/>
            <w:tcBorders>
              <w:top w:val="single" w:sz="4" w:space="0" w:color="auto"/>
              <w:left w:val="single" w:sz="4" w:space="0" w:color="auto"/>
              <w:bottom w:val="single" w:sz="4" w:space="0" w:color="auto"/>
              <w:right w:val="single" w:sz="4" w:space="0" w:color="auto"/>
            </w:tcBorders>
            <w:hideMark/>
          </w:tcPr>
          <w:p w14:paraId="4D56075A"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w:t>
            </w:r>
          </w:p>
        </w:tc>
        <w:tc>
          <w:tcPr>
            <w:tcW w:w="746" w:type="pct"/>
            <w:tcBorders>
              <w:top w:val="single" w:sz="4" w:space="0" w:color="auto"/>
              <w:left w:val="single" w:sz="4" w:space="0" w:color="auto"/>
              <w:bottom w:val="single" w:sz="4" w:space="0" w:color="auto"/>
              <w:right w:val="single" w:sz="4" w:space="0" w:color="auto"/>
            </w:tcBorders>
            <w:hideMark/>
          </w:tcPr>
          <w:p w14:paraId="7864D94A"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14:paraId="4FF0E4AB"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w:t>
            </w:r>
          </w:p>
        </w:tc>
        <w:tc>
          <w:tcPr>
            <w:tcW w:w="654" w:type="pct"/>
            <w:tcBorders>
              <w:top w:val="single" w:sz="4" w:space="0" w:color="auto"/>
              <w:left w:val="single" w:sz="4" w:space="0" w:color="auto"/>
              <w:bottom w:val="single" w:sz="4" w:space="0" w:color="auto"/>
              <w:right w:val="single" w:sz="4" w:space="0" w:color="auto"/>
            </w:tcBorders>
            <w:hideMark/>
          </w:tcPr>
          <w:p w14:paraId="67814677"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 hrs.;</w:t>
            </w:r>
          </w:p>
          <w:p w14:paraId="657934F8"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$810</w:t>
            </w:r>
          </w:p>
        </w:tc>
        <w:tc>
          <w:tcPr>
            <w:tcW w:w="657" w:type="pct"/>
            <w:tcBorders>
              <w:top w:val="single" w:sz="4" w:space="0" w:color="auto"/>
              <w:left w:val="single" w:sz="4" w:space="0" w:color="auto"/>
              <w:bottom w:val="single" w:sz="4" w:space="0" w:color="auto"/>
              <w:right w:val="single" w:sz="4" w:space="0" w:color="auto"/>
            </w:tcBorders>
            <w:hideMark/>
          </w:tcPr>
          <w:p w14:paraId="75F203F4"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2880 hrs.;</w:t>
            </w:r>
          </w:p>
          <w:p w14:paraId="608E9D20"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$233,280</w:t>
            </w:r>
          </w:p>
        </w:tc>
        <w:tc>
          <w:tcPr>
            <w:tcW w:w="615" w:type="pct"/>
            <w:tcBorders>
              <w:top w:val="single" w:sz="4" w:space="0" w:color="auto"/>
              <w:left w:val="single" w:sz="4" w:space="0" w:color="auto"/>
              <w:bottom w:val="single" w:sz="4" w:space="0" w:color="auto"/>
              <w:right w:val="single" w:sz="4" w:space="0" w:color="auto"/>
            </w:tcBorders>
            <w:hideMark/>
          </w:tcPr>
          <w:p w14:paraId="5A2ECDA2"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$810</w:t>
            </w:r>
          </w:p>
        </w:tc>
      </w:tr>
      <w:tr w:rsidR="00F329BD" w14:paraId="0CDBF898" w14:textId="77777777" w:rsidTr="00F329BD">
        <w:trPr>
          <w:cantSplit/>
        </w:trPr>
        <w:tc>
          <w:tcPr>
            <w:tcW w:w="932" w:type="pct"/>
            <w:tcBorders>
              <w:top w:val="single" w:sz="4" w:space="0" w:color="auto"/>
              <w:left w:val="single" w:sz="4" w:space="0" w:color="auto"/>
              <w:bottom w:val="single" w:sz="4" w:space="0" w:color="auto"/>
              <w:right w:val="single" w:sz="4" w:space="0" w:color="auto"/>
            </w:tcBorders>
            <w:hideMark/>
          </w:tcPr>
          <w:p w14:paraId="4B7E75D3"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Incident reporting burden (ongoing)</w:t>
            </w:r>
          </w:p>
          <w:p w14:paraId="4D7AF046" w14:textId="77777777" w:rsidR="00F329BD" w:rsidRDefault="00F329B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(R4) </w:t>
            </w:r>
          </w:p>
        </w:tc>
        <w:tc>
          <w:tcPr>
            <w:tcW w:w="693" w:type="pct"/>
            <w:tcBorders>
              <w:top w:val="single" w:sz="4" w:space="0" w:color="auto"/>
              <w:left w:val="single" w:sz="4" w:space="0" w:color="auto"/>
              <w:bottom w:val="single" w:sz="4" w:space="0" w:color="auto"/>
              <w:right w:val="single" w:sz="4" w:space="0" w:color="auto"/>
            </w:tcBorders>
            <w:hideMark/>
          </w:tcPr>
          <w:p w14:paraId="0060985B"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288</w:t>
            </w:r>
          </w:p>
        </w:tc>
        <w:tc>
          <w:tcPr>
            <w:tcW w:w="746" w:type="pct"/>
            <w:tcBorders>
              <w:top w:val="single" w:sz="4" w:space="0" w:color="auto"/>
              <w:left w:val="single" w:sz="4" w:space="0" w:color="auto"/>
              <w:bottom w:val="single" w:sz="4" w:space="0" w:color="auto"/>
              <w:right w:val="single" w:sz="4" w:space="0" w:color="auto"/>
            </w:tcBorders>
            <w:hideMark/>
          </w:tcPr>
          <w:p w14:paraId="14C19641"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703" w:type="pct"/>
            <w:tcBorders>
              <w:top w:val="single" w:sz="4" w:space="0" w:color="auto"/>
              <w:left w:val="single" w:sz="4" w:space="0" w:color="auto"/>
              <w:bottom w:val="single" w:sz="4" w:space="0" w:color="auto"/>
              <w:right w:val="single" w:sz="4" w:space="0" w:color="auto"/>
            </w:tcBorders>
            <w:hideMark/>
          </w:tcPr>
          <w:p w14:paraId="61AE021F"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3,456</w:t>
            </w:r>
          </w:p>
        </w:tc>
        <w:tc>
          <w:tcPr>
            <w:tcW w:w="654" w:type="pct"/>
            <w:tcBorders>
              <w:top w:val="single" w:sz="4" w:space="0" w:color="auto"/>
              <w:left w:val="single" w:sz="4" w:space="0" w:color="auto"/>
              <w:bottom w:val="single" w:sz="4" w:space="0" w:color="auto"/>
              <w:right w:val="single" w:sz="4" w:space="0" w:color="auto"/>
            </w:tcBorders>
            <w:hideMark/>
          </w:tcPr>
          <w:p w14:paraId="6B94448B"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 hrs.;</w:t>
            </w:r>
          </w:p>
          <w:p w14:paraId="32168062"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$972</w:t>
            </w:r>
          </w:p>
        </w:tc>
        <w:tc>
          <w:tcPr>
            <w:tcW w:w="657" w:type="pct"/>
            <w:tcBorders>
              <w:top w:val="single" w:sz="4" w:space="0" w:color="auto"/>
              <w:left w:val="single" w:sz="4" w:space="0" w:color="auto"/>
              <w:bottom w:val="single" w:sz="4" w:space="0" w:color="auto"/>
              <w:right w:val="single" w:sz="4" w:space="0" w:color="auto"/>
            </w:tcBorders>
            <w:hideMark/>
          </w:tcPr>
          <w:p w14:paraId="2447FB0E"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41,472 hrs; $3,359,232</w:t>
            </w:r>
          </w:p>
        </w:tc>
        <w:tc>
          <w:tcPr>
            <w:tcW w:w="615" w:type="pct"/>
            <w:tcBorders>
              <w:top w:val="single" w:sz="4" w:space="0" w:color="auto"/>
              <w:left w:val="single" w:sz="4" w:space="0" w:color="auto"/>
              <w:bottom w:val="single" w:sz="4" w:space="0" w:color="auto"/>
              <w:right w:val="single" w:sz="4" w:space="0" w:color="auto"/>
            </w:tcBorders>
            <w:hideMark/>
          </w:tcPr>
          <w:p w14:paraId="78771E8D" w14:textId="77777777" w:rsidR="00F329BD" w:rsidRDefault="00F329B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$11,664</w:t>
            </w:r>
          </w:p>
        </w:tc>
      </w:tr>
      <w:tr w:rsidR="00F329BD" w14:paraId="65CA58ED" w14:textId="77777777" w:rsidTr="00F329BD">
        <w:trPr>
          <w:cantSplit/>
          <w:trHeight w:val="485"/>
        </w:trPr>
        <w:tc>
          <w:tcPr>
            <w:tcW w:w="932" w:type="pct"/>
            <w:tcBorders>
              <w:top w:val="single" w:sz="4" w:space="0" w:color="auto"/>
              <w:left w:val="single" w:sz="4" w:space="0" w:color="auto"/>
              <w:bottom w:val="single" w:sz="4" w:space="0" w:color="auto"/>
              <w:right w:val="single" w:sz="4" w:space="0" w:color="auto"/>
            </w:tcBorders>
            <w:hideMark/>
          </w:tcPr>
          <w:p w14:paraId="6DDC8BF3" w14:textId="77777777" w:rsidR="00F329BD" w:rsidRDefault="00F329BD">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TOTAL (one-time in Year 1) </w:t>
            </w:r>
          </w:p>
        </w:tc>
        <w:tc>
          <w:tcPr>
            <w:tcW w:w="1439" w:type="pct"/>
            <w:gridSpan w:val="2"/>
            <w:tcBorders>
              <w:top w:val="single" w:sz="4" w:space="0" w:color="auto"/>
              <w:left w:val="single" w:sz="4" w:space="0" w:color="auto"/>
              <w:bottom w:val="single" w:sz="4" w:space="0" w:color="auto"/>
              <w:right w:val="single" w:sz="4" w:space="0" w:color="auto"/>
            </w:tcBorders>
            <w:shd w:val="clear" w:color="auto" w:fill="D9D9D9"/>
          </w:tcPr>
          <w:p w14:paraId="40F1D3FA" w14:textId="77777777" w:rsidR="00F329BD" w:rsidRDefault="00F329BD">
            <w:pPr>
              <w:spacing w:after="0" w:line="240" w:lineRule="auto"/>
              <w:jc w:val="right"/>
              <w:rPr>
                <w:rFonts w:ascii="Times New Roman" w:eastAsia="Calibri" w:hAnsi="Times New Roman" w:cs="Times New Roman"/>
                <w:sz w:val="20"/>
                <w:szCs w:val="20"/>
              </w:rPr>
            </w:pPr>
          </w:p>
        </w:tc>
        <w:tc>
          <w:tcPr>
            <w:tcW w:w="703" w:type="pct"/>
            <w:tcBorders>
              <w:top w:val="single" w:sz="4" w:space="0" w:color="auto"/>
              <w:left w:val="single" w:sz="4" w:space="0" w:color="auto"/>
              <w:bottom w:val="single" w:sz="4" w:space="0" w:color="auto"/>
              <w:right w:val="single" w:sz="4" w:space="0" w:color="auto"/>
            </w:tcBorders>
            <w:hideMark/>
          </w:tcPr>
          <w:p w14:paraId="185DEA7A" w14:textId="77777777" w:rsidR="00F329BD" w:rsidRDefault="00F329B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288</w:t>
            </w:r>
          </w:p>
        </w:tc>
        <w:tc>
          <w:tcPr>
            <w:tcW w:w="654" w:type="pct"/>
            <w:tcBorders>
              <w:top w:val="single" w:sz="4" w:space="0" w:color="auto"/>
              <w:left w:val="single" w:sz="4" w:space="0" w:color="auto"/>
              <w:bottom w:val="single" w:sz="4" w:space="0" w:color="auto"/>
              <w:right w:val="single" w:sz="4" w:space="0" w:color="auto"/>
            </w:tcBorders>
            <w:shd w:val="clear" w:color="auto" w:fill="D9D9D9"/>
          </w:tcPr>
          <w:p w14:paraId="65F8F6D3" w14:textId="77777777" w:rsidR="00F329BD" w:rsidRDefault="00F329BD">
            <w:pPr>
              <w:spacing w:after="0" w:line="240" w:lineRule="auto"/>
              <w:jc w:val="right"/>
              <w:rPr>
                <w:rFonts w:ascii="Times New Roman" w:eastAsia="Calibri" w:hAnsi="Times New Roman" w:cs="Times New Roman"/>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14:paraId="1B21F8D0" w14:textId="77777777" w:rsidR="00F329BD" w:rsidRDefault="00F329B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14,400 hrs.;</w:t>
            </w:r>
          </w:p>
          <w:p w14:paraId="0152F638" w14:textId="77777777" w:rsidR="00F329BD" w:rsidRDefault="00F329B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$1,166,400</w:t>
            </w: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C6DBA" w14:textId="77777777" w:rsidR="00F329BD" w:rsidRDefault="00F329BD">
            <w:pPr>
              <w:spacing w:after="0" w:line="240" w:lineRule="auto"/>
              <w:jc w:val="right"/>
              <w:rPr>
                <w:rFonts w:ascii="Times New Roman" w:eastAsia="Calibri" w:hAnsi="Times New Roman" w:cs="Times New Roman"/>
                <w:b/>
                <w:sz w:val="20"/>
                <w:szCs w:val="20"/>
              </w:rPr>
            </w:pPr>
          </w:p>
        </w:tc>
      </w:tr>
      <w:tr w:rsidR="00F329BD" w14:paraId="294581FA" w14:textId="77777777" w:rsidTr="00F329BD">
        <w:trPr>
          <w:cantSplit/>
          <w:trHeight w:val="485"/>
        </w:trPr>
        <w:tc>
          <w:tcPr>
            <w:tcW w:w="932" w:type="pct"/>
            <w:tcBorders>
              <w:top w:val="single" w:sz="4" w:space="0" w:color="auto"/>
              <w:left w:val="single" w:sz="4" w:space="0" w:color="auto"/>
              <w:bottom w:val="single" w:sz="4" w:space="0" w:color="auto"/>
              <w:right w:val="single" w:sz="4" w:space="0" w:color="auto"/>
            </w:tcBorders>
            <w:hideMark/>
          </w:tcPr>
          <w:p w14:paraId="1EC27808" w14:textId="583DE513" w:rsidR="00F329BD" w:rsidRDefault="00F329BD">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TOTAL (ongoing in Year 2 and </w:t>
            </w:r>
            <w:r w:rsidR="00A408EB">
              <w:rPr>
                <w:rFonts w:ascii="Times New Roman" w:eastAsia="Calibri" w:hAnsi="Times New Roman" w:cs="Times New Roman"/>
                <w:b/>
                <w:sz w:val="20"/>
                <w:szCs w:val="20"/>
              </w:rPr>
              <w:t>3</w:t>
            </w:r>
            <w:r>
              <w:rPr>
                <w:rFonts w:ascii="Times New Roman" w:eastAsia="Calibri" w:hAnsi="Times New Roman" w:cs="Times New Roman"/>
                <w:b/>
                <w:sz w:val="20"/>
                <w:szCs w:val="20"/>
              </w:rPr>
              <w:t xml:space="preserve">) </w:t>
            </w:r>
          </w:p>
        </w:tc>
        <w:tc>
          <w:tcPr>
            <w:tcW w:w="143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38F05" w14:textId="77777777" w:rsidR="00F329BD" w:rsidRDefault="00F329BD">
            <w:pPr>
              <w:spacing w:after="0" w:line="240" w:lineRule="auto"/>
              <w:jc w:val="right"/>
              <w:rPr>
                <w:rFonts w:ascii="Times New Roman" w:eastAsia="Calibri" w:hAnsi="Times New Roman" w:cs="Times New Roman"/>
                <w:sz w:val="20"/>
                <w:szCs w:val="20"/>
              </w:rPr>
            </w:pPr>
          </w:p>
        </w:tc>
        <w:tc>
          <w:tcPr>
            <w:tcW w:w="703" w:type="pct"/>
            <w:tcBorders>
              <w:top w:val="single" w:sz="4" w:space="0" w:color="auto"/>
              <w:left w:val="single" w:sz="4" w:space="0" w:color="auto"/>
              <w:bottom w:val="single" w:sz="4" w:space="0" w:color="auto"/>
              <w:right w:val="single" w:sz="4" w:space="0" w:color="auto"/>
            </w:tcBorders>
            <w:hideMark/>
          </w:tcPr>
          <w:p w14:paraId="43126A90" w14:textId="77777777" w:rsidR="00F329BD" w:rsidRDefault="00F329B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4,032</w:t>
            </w:r>
          </w:p>
        </w:tc>
        <w:tc>
          <w:tcPr>
            <w:tcW w:w="654" w:type="pct"/>
            <w:tcBorders>
              <w:top w:val="single" w:sz="4" w:space="0" w:color="auto"/>
              <w:left w:val="single" w:sz="4" w:space="0" w:color="auto"/>
              <w:bottom w:val="single" w:sz="4" w:space="0" w:color="auto"/>
              <w:right w:val="single" w:sz="4" w:space="0" w:color="auto"/>
            </w:tcBorders>
            <w:shd w:val="clear" w:color="auto" w:fill="D9D9D9"/>
          </w:tcPr>
          <w:p w14:paraId="348EF58C" w14:textId="77777777" w:rsidR="00F329BD" w:rsidRDefault="00F329BD">
            <w:pPr>
              <w:spacing w:after="0" w:line="240" w:lineRule="auto"/>
              <w:jc w:val="right"/>
              <w:rPr>
                <w:rFonts w:ascii="Times New Roman" w:eastAsia="Calibri" w:hAnsi="Times New Roman" w:cs="Times New Roman"/>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14:paraId="6B6ED087" w14:textId="77777777" w:rsidR="00F329BD" w:rsidRDefault="00F329B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47,232 hrs.;</w:t>
            </w:r>
          </w:p>
          <w:p w14:paraId="1542AEA0" w14:textId="77777777" w:rsidR="00F329BD" w:rsidRDefault="00F329B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$3,825,792</w:t>
            </w: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1F309" w14:textId="77777777" w:rsidR="00F329BD" w:rsidRDefault="00F329BD">
            <w:pPr>
              <w:spacing w:after="0" w:line="240" w:lineRule="auto"/>
              <w:jc w:val="right"/>
              <w:rPr>
                <w:rFonts w:ascii="Times New Roman" w:eastAsia="Calibri" w:hAnsi="Times New Roman" w:cs="Times New Roman"/>
                <w:b/>
                <w:sz w:val="20"/>
                <w:szCs w:val="20"/>
              </w:rPr>
            </w:pPr>
          </w:p>
        </w:tc>
      </w:tr>
    </w:tbl>
    <w:p w14:paraId="6A982843" w14:textId="77777777" w:rsidR="00F329BD" w:rsidRDefault="00F329BD" w:rsidP="00F329BD">
      <w:pPr>
        <w:spacing w:after="0" w:line="240" w:lineRule="auto"/>
        <w:rPr>
          <w:rFonts w:ascii="Times New Roman" w:eastAsia="Times New Roman" w:hAnsi="Times New Roman" w:cs="Times New Roman"/>
          <w:sz w:val="26"/>
          <w:szCs w:val="24"/>
        </w:rPr>
      </w:pPr>
    </w:p>
    <w:p w14:paraId="6A4D8760" w14:textId="6282B946"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burden hours for the FERC-725B3 information collection </w:t>
      </w:r>
      <w:r w:rsidR="00831CBD">
        <w:rPr>
          <w:rFonts w:ascii="Times New Roman" w:eastAsia="Calibri" w:hAnsi="Times New Roman" w:cs="Times New Roman"/>
          <w:sz w:val="26"/>
          <w:szCs w:val="26"/>
        </w:rPr>
        <w:t>are</w:t>
      </w:r>
      <w:r>
        <w:rPr>
          <w:rFonts w:ascii="Times New Roman" w:eastAsia="Calibri" w:hAnsi="Times New Roman" w:cs="Times New Roman"/>
          <w:sz w:val="26"/>
          <w:szCs w:val="26"/>
        </w:rPr>
        <w:t>:</w:t>
      </w:r>
    </w:p>
    <w:p w14:paraId="3B4F6370"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6FA6994D"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t>Year 1: 14,400 hours</w:t>
      </w:r>
    </w:p>
    <w:p w14:paraId="6554021A"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t>Year 2: 47,232 hours</w:t>
      </w:r>
    </w:p>
    <w:p w14:paraId="4CDEFB87" w14:textId="77777777" w:rsidR="00A408EB"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r>
    </w:p>
    <w:p w14:paraId="62E18545" w14:textId="21644A1A" w:rsidR="00F329BD" w:rsidRDefault="00A408EB"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sidR="00F329BD">
        <w:rPr>
          <w:rFonts w:ascii="Times New Roman" w:eastAsia="Calibri" w:hAnsi="Times New Roman" w:cs="Times New Roman"/>
          <w:sz w:val="26"/>
          <w:szCs w:val="26"/>
        </w:rPr>
        <w:t>Year 3: 47,232 hours</w:t>
      </w:r>
    </w:p>
    <w:p w14:paraId="4F6E59CD" w14:textId="77777777" w:rsidR="00831CBD" w:rsidRDefault="00831C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00C2A281" w14:textId="4EA85365"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total burden hours are 108,864</w:t>
      </w:r>
      <w:r w:rsidR="00831CBD">
        <w:rPr>
          <w:rFonts w:ascii="Times New Roman" w:eastAsia="Calibri" w:hAnsi="Times New Roman" w:cs="Times New Roman"/>
          <w:sz w:val="26"/>
          <w:szCs w:val="26"/>
        </w:rPr>
        <w:t xml:space="preserve"> hours</w:t>
      </w:r>
      <w:r>
        <w:rPr>
          <w:rFonts w:ascii="Times New Roman" w:eastAsia="Calibri" w:hAnsi="Times New Roman" w:cs="Times New Roman"/>
          <w:sz w:val="26"/>
          <w:szCs w:val="26"/>
        </w:rPr>
        <w:t>/3</w:t>
      </w:r>
      <w:r w:rsidR="00831CBD">
        <w:rPr>
          <w:rFonts w:ascii="Times New Roman" w:eastAsia="Calibri" w:hAnsi="Times New Roman" w:cs="Times New Roman"/>
          <w:sz w:val="26"/>
          <w:szCs w:val="26"/>
        </w:rPr>
        <w:t xml:space="preserve"> years</w:t>
      </w:r>
      <w:r>
        <w:rPr>
          <w:rFonts w:ascii="Times New Roman" w:eastAsia="Calibri" w:hAnsi="Times New Roman" w:cs="Times New Roman"/>
          <w:sz w:val="26"/>
          <w:szCs w:val="26"/>
        </w:rPr>
        <w:t xml:space="preserve"> = 36,288</w:t>
      </w:r>
      <w:r w:rsidR="00831CBD">
        <w:rPr>
          <w:rFonts w:ascii="Times New Roman" w:eastAsia="Calibri" w:hAnsi="Times New Roman" w:cs="Times New Roman"/>
          <w:sz w:val="26"/>
          <w:szCs w:val="26"/>
        </w:rPr>
        <w:t xml:space="preserve"> total burden hours</w:t>
      </w:r>
      <w:r w:rsidR="00A205C9">
        <w:rPr>
          <w:rFonts w:ascii="Times New Roman" w:eastAsia="Calibri" w:hAnsi="Times New Roman" w:cs="Times New Roman"/>
          <w:sz w:val="26"/>
          <w:szCs w:val="26"/>
        </w:rPr>
        <w:t>.</w:t>
      </w:r>
    </w:p>
    <w:p w14:paraId="45E0DAB2"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5E32C278" w14:textId="1BF6535C"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A205C9">
        <w:rPr>
          <w:rFonts w:ascii="Times New Roman" w:eastAsia="Calibri" w:hAnsi="Times New Roman" w:cs="Times New Roman"/>
          <w:sz w:val="26"/>
          <w:szCs w:val="26"/>
        </w:rPr>
        <w:t xml:space="preserve">average </w:t>
      </w:r>
      <w:r>
        <w:rPr>
          <w:rFonts w:ascii="Times New Roman" w:eastAsia="Calibri" w:hAnsi="Times New Roman" w:cs="Times New Roman"/>
          <w:sz w:val="26"/>
          <w:szCs w:val="26"/>
        </w:rPr>
        <w:t>number of responses for</w:t>
      </w:r>
      <w:r w:rsidR="00A205C9">
        <w:rPr>
          <w:rFonts w:ascii="Times New Roman" w:eastAsia="Calibri" w:hAnsi="Times New Roman" w:cs="Times New Roman"/>
          <w:sz w:val="26"/>
          <w:szCs w:val="26"/>
        </w:rPr>
        <w:t xml:space="preserve"> years 1-3 in</w:t>
      </w:r>
      <w:r>
        <w:rPr>
          <w:rFonts w:ascii="Times New Roman" w:eastAsia="Calibri" w:hAnsi="Times New Roman" w:cs="Times New Roman"/>
          <w:sz w:val="26"/>
          <w:szCs w:val="26"/>
        </w:rPr>
        <w:t xml:space="preserve"> the FERC-725B3 information collection is:</w:t>
      </w:r>
    </w:p>
    <w:p w14:paraId="5C5B58CC"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t>Year 1: 288</w:t>
      </w:r>
    </w:p>
    <w:p w14:paraId="376A76D5"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t>Year 2: 4,032</w:t>
      </w:r>
    </w:p>
    <w:p w14:paraId="0A5D925D"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t>Year 3: 4,032</w:t>
      </w:r>
    </w:p>
    <w:p w14:paraId="42C4AA1D" w14:textId="5C0FB9A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A205C9">
        <w:rPr>
          <w:rFonts w:ascii="Times New Roman" w:eastAsia="Calibri" w:hAnsi="Times New Roman" w:cs="Times New Roman"/>
          <w:sz w:val="26"/>
          <w:szCs w:val="26"/>
        </w:rPr>
        <w:t>average</w:t>
      </w:r>
      <w:r>
        <w:rPr>
          <w:rFonts w:ascii="Times New Roman" w:eastAsia="Calibri" w:hAnsi="Times New Roman" w:cs="Times New Roman"/>
          <w:sz w:val="26"/>
          <w:szCs w:val="26"/>
        </w:rPr>
        <w:t xml:space="preserve"> number of responses/respondents </w:t>
      </w:r>
      <w:r w:rsidR="00831CBD">
        <w:rPr>
          <w:rFonts w:ascii="Times New Roman" w:eastAsia="Calibri" w:hAnsi="Times New Roman" w:cs="Times New Roman"/>
          <w:sz w:val="26"/>
          <w:szCs w:val="26"/>
        </w:rPr>
        <w:t>are</w:t>
      </w:r>
      <w:r>
        <w:rPr>
          <w:rFonts w:ascii="Times New Roman" w:eastAsia="Calibri" w:hAnsi="Times New Roman" w:cs="Times New Roman"/>
          <w:sz w:val="26"/>
          <w:szCs w:val="26"/>
        </w:rPr>
        <w:t xml:space="preserve"> 8,352/3</w:t>
      </w:r>
      <w:r w:rsidR="00831CBD">
        <w:rPr>
          <w:rFonts w:ascii="Times New Roman" w:eastAsia="Calibri" w:hAnsi="Times New Roman" w:cs="Times New Roman"/>
          <w:sz w:val="26"/>
          <w:szCs w:val="26"/>
        </w:rPr>
        <w:t xml:space="preserve"> years</w:t>
      </w:r>
      <w:r>
        <w:rPr>
          <w:rFonts w:ascii="Times New Roman" w:eastAsia="Calibri" w:hAnsi="Times New Roman" w:cs="Times New Roman"/>
          <w:sz w:val="26"/>
          <w:szCs w:val="26"/>
        </w:rPr>
        <w:t xml:space="preserve"> = 2,784</w:t>
      </w:r>
      <w:r w:rsidR="00831CBD">
        <w:rPr>
          <w:rFonts w:ascii="Times New Roman" w:eastAsia="Calibri" w:hAnsi="Times New Roman" w:cs="Times New Roman"/>
          <w:sz w:val="26"/>
          <w:szCs w:val="26"/>
        </w:rPr>
        <w:t xml:space="preserve"> </w:t>
      </w:r>
      <w:r w:rsidR="00A205C9">
        <w:rPr>
          <w:rFonts w:ascii="Times New Roman" w:eastAsia="Calibri" w:hAnsi="Times New Roman" w:cs="Times New Roman"/>
          <w:sz w:val="26"/>
          <w:szCs w:val="26"/>
        </w:rPr>
        <w:t>response/respondents on average years 1 to 3.</w:t>
      </w:r>
    </w:p>
    <w:p w14:paraId="0DBEFA72"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729AAE12" w14:textId="29493BF1"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For submission into ROCIS, the average annual response and burden hour totals for years 1, 2 and </w:t>
      </w:r>
      <w:r w:rsidR="00831CBD">
        <w:rPr>
          <w:rFonts w:ascii="Times New Roman" w:eastAsia="Calibri" w:hAnsi="Times New Roman" w:cs="Times New Roman"/>
          <w:sz w:val="26"/>
          <w:szCs w:val="26"/>
        </w:rPr>
        <w:t xml:space="preserve">3 </w:t>
      </w:r>
      <w:r>
        <w:rPr>
          <w:rFonts w:ascii="Times New Roman" w:eastAsia="Calibri" w:hAnsi="Times New Roman" w:cs="Times New Roman"/>
          <w:sz w:val="26"/>
          <w:szCs w:val="26"/>
        </w:rPr>
        <w:t>are:</w:t>
      </w:r>
    </w:p>
    <w:p w14:paraId="3314CD65" w14:textId="77777777" w:rsidR="00F329BD"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4018620D" w14:textId="798D53BB" w:rsidR="00F329BD" w:rsidRDefault="00831C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sidR="00F329BD">
        <w:rPr>
          <w:rFonts w:ascii="Times New Roman" w:eastAsia="Calibri" w:hAnsi="Times New Roman" w:cs="Times New Roman"/>
          <w:sz w:val="26"/>
          <w:szCs w:val="26"/>
        </w:rPr>
        <w:t>Responses: 2,784</w:t>
      </w:r>
    </w:p>
    <w:p w14:paraId="027655B5" w14:textId="2BD9C5D0" w:rsidR="00F329BD" w:rsidRDefault="00831C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sidR="00F329BD">
        <w:rPr>
          <w:rFonts w:ascii="Times New Roman" w:eastAsia="Calibri" w:hAnsi="Times New Roman" w:cs="Times New Roman"/>
          <w:sz w:val="26"/>
          <w:szCs w:val="26"/>
        </w:rPr>
        <w:t>Burden Hours: 36,288</w:t>
      </w:r>
    </w:p>
    <w:p w14:paraId="5C867E20" w14:textId="604EA92A" w:rsidR="00831CBD" w:rsidRDefault="00831C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44BC90D7" w14:textId="1F43AFBB" w:rsidR="00950E83" w:rsidRDefault="00950E83"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02B96298" w14:textId="77777777" w:rsidR="00950E83" w:rsidRDefault="00950E83"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10C2B116" w14:textId="256D3224" w:rsidR="00F329BD" w:rsidRDefault="00831CBD" w:rsidP="00F329BD">
      <w:pPr>
        <w:tabs>
          <w:tab w:val="left" w:pos="720"/>
        </w:tabs>
        <w:autoSpaceDE w:val="0"/>
        <w:autoSpaceDN w:val="0"/>
        <w:adjustRightInd w:val="0"/>
        <w:spacing w:after="0" w:line="240" w:lineRule="auto"/>
        <w:rPr>
          <w:rFonts w:ascii="Times New Roman" w:eastAsia="Calibri" w:hAnsi="Times New Roman" w:cs="Times New Roman"/>
          <w:b/>
          <w:i/>
          <w:sz w:val="26"/>
          <w:szCs w:val="26"/>
        </w:rPr>
      </w:pPr>
      <w:r w:rsidRPr="00831CBD">
        <w:rPr>
          <w:rFonts w:ascii="Times New Roman" w:eastAsia="Calibri" w:hAnsi="Times New Roman" w:cs="Times New Roman"/>
          <w:b/>
          <w:i/>
          <w:sz w:val="26"/>
          <w:szCs w:val="26"/>
        </w:rPr>
        <w:t xml:space="preserve">The </w:t>
      </w:r>
      <w:r w:rsidR="00A205C9">
        <w:rPr>
          <w:rFonts w:ascii="Times New Roman" w:eastAsia="Calibri" w:hAnsi="Times New Roman" w:cs="Times New Roman"/>
          <w:b/>
          <w:i/>
          <w:sz w:val="26"/>
          <w:szCs w:val="26"/>
        </w:rPr>
        <w:t xml:space="preserve">reporting requirements and record keeping </w:t>
      </w:r>
      <w:r w:rsidR="00950E83">
        <w:rPr>
          <w:rFonts w:ascii="Times New Roman" w:eastAsia="Calibri" w:hAnsi="Times New Roman" w:cs="Times New Roman"/>
          <w:b/>
          <w:i/>
          <w:sz w:val="26"/>
          <w:szCs w:val="26"/>
        </w:rPr>
        <w:t>requirement</w:t>
      </w:r>
      <w:r w:rsidR="00A205C9">
        <w:rPr>
          <w:rFonts w:ascii="Times New Roman" w:eastAsia="Calibri" w:hAnsi="Times New Roman" w:cs="Times New Roman"/>
          <w:b/>
          <w:i/>
          <w:sz w:val="26"/>
          <w:szCs w:val="26"/>
        </w:rPr>
        <w:t>s are described below:</w:t>
      </w:r>
    </w:p>
    <w:p w14:paraId="780F167D" w14:textId="77777777" w:rsidR="00A205C9" w:rsidRDefault="00A205C9"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453B55CB" w14:textId="2816B065" w:rsidR="00105650" w:rsidRDefault="00F329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E1548E">
        <w:rPr>
          <w:rFonts w:ascii="Times New Roman" w:eastAsia="Calibri" w:hAnsi="Times New Roman" w:cs="Times New Roman"/>
          <w:sz w:val="26"/>
          <w:szCs w:val="26"/>
        </w:rPr>
        <w:t xml:space="preserve">In the Petition of the North American Electric Reliability Corporation for approval of Proposed Reliability Standard CIP-008-6, dated March 7, 2019, the </w:t>
      </w:r>
      <w:r w:rsidR="00105650" w:rsidRPr="00E1548E">
        <w:rPr>
          <w:rFonts w:ascii="Times New Roman" w:eastAsia="Calibri" w:hAnsi="Times New Roman" w:cs="Times New Roman"/>
          <w:sz w:val="26"/>
          <w:szCs w:val="26"/>
        </w:rPr>
        <w:t>Standards R1-R4 are</w:t>
      </w:r>
      <w:r w:rsidR="00831CBD">
        <w:rPr>
          <w:rFonts w:ascii="Times New Roman" w:eastAsia="Calibri" w:hAnsi="Times New Roman" w:cs="Times New Roman"/>
          <w:sz w:val="26"/>
          <w:szCs w:val="26"/>
        </w:rPr>
        <w:t>:</w:t>
      </w:r>
    </w:p>
    <w:p w14:paraId="159194DF" w14:textId="77777777" w:rsidR="00831CBD" w:rsidRPr="00E1548E" w:rsidRDefault="00831CBD"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10572889" w14:textId="77777777" w:rsidR="00105650" w:rsidRPr="00E1548E" w:rsidRDefault="00105650" w:rsidP="00BE206F">
      <w:pPr>
        <w:autoSpaceDE w:val="0"/>
        <w:autoSpaceDN w:val="0"/>
        <w:adjustRightInd w:val="0"/>
        <w:spacing w:after="0" w:line="240" w:lineRule="auto"/>
        <w:ind w:left="720"/>
        <w:rPr>
          <w:rFonts w:ascii="Times New Roman" w:hAnsi="Times New Roman" w:cs="Times New Roman"/>
          <w:iCs/>
          <w:sz w:val="26"/>
          <w:szCs w:val="26"/>
        </w:rPr>
      </w:pPr>
      <w:r w:rsidRPr="003F37F9">
        <w:rPr>
          <w:rFonts w:ascii="Times New Roman" w:eastAsia="Calibri" w:hAnsi="Times New Roman" w:cs="Times New Roman"/>
          <w:b/>
          <w:sz w:val="26"/>
          <w:szCs w:val="26"/>
        </w:rPr>
        <w:t>R1.</w:t>
      </w:r>
      <w:r w:rsidRPr="00E1548E">
        <w:rPr>
          <w:rFonts w:ascii="Times New Roman" w:eastAsia="Calibri" w:hAnsi="Times New Roman" w:cs="Times New Roman"/>
          <w:sz w:val="26"/>
          <w:szCs w:val="26"/>
        </w:rPr>
        <w:t xml:space="preserve"> </w:t>
      </w:r>
      <w:r w:rsidR="00564578" w:rsidRPr="00E1548E">
        <w:rPr>
          <w:rFonts w:ascii="Times New Roman" w:hAnsi="Times New Roman" w:cs="Times New Roman"/>
          <w:iCs/>
          <w:sz w:val="26"/>
          <w:szCs w:val="26"/>
        </w:rPr>
        <w:t>Each Responsible Entity shall document one or more Cyber Security Incident response plan(s) that collectively include each of the applicable requirement parts in CIP-008-6 Table R1 – Cyber Security Incident Response Plan Specifications. [Violation Risk Factor: Lower] [Time Horizon: Long Term Planning].</w:t>
      </w:r>
    </w:p>
    <w:p w14:paraId="7ABAD6CC" w14:textId="77777777" w:rsidR="00564578" w:rsidRDefault="00564578" w:rsidP="00BE206F">
      <w:pPr>
        <w:autoSpaceDE w:val="0"/>
        <w:autoSpaceDN w:val="0"/>
        <w:adjustRightInd w:val="0"/>
        <w:spacing w:after="0" w:line="240" w:lineRule="auto"/>
        <w:ind w:left="720"/>
        <w:rPr>
          <w:rFonts w:ascii="Calibri-Italic" w:hAnsi="Calibri-Italic" w:cs="Calibri-Italic"/>
          <w:iCs/>
          <w:sz w:val="24"/>
          <w:szCs w:val="24"/>
        </w:rPr>
      </w:pPr>
    </w:p>
    <w:p w14:paraId="6CCF57CD" w14:textId="77777777" w:rsidR="00564578" w:rsidRDefault="00564578" w:rsidP="00BE206F">
      <w:pPr>
        <w:autoSpaceDE w:val="0"/>
        <w:autoSpaceDN w:val="0"/>
        <w:adjustRightInd w:val="0"/>
        <w:spacing w:after="0" w:line="240" w:lineRule="auto"/>
        <w:ind w:left="720"/>
        <w:rPr>
          <w:rFonts w:ascii="Tahoma-Bold" w:hAnsi="Tahoma-Bold" w:cs="Tahoma-Bold"/>
          <w:b/>
          <w:bCs/>
          <w:color w:val="000000"/>
        </w:rPr>
      </w:pPr>
      <w:r>
        <w:rPr>
          <w:rFonts w:ascii="Tahoma-Bold" w:hAnsi="Tahoma-Bold" w:cs="Tahoma-Bold"/>
          <w:b/>
          <w:bCs/>
          <w:color w:val="000000"/>
        </w:rPr>
        <w:t>General Considerations for R1</w:t>
      </w:r>
    </w:p>
    <w:p w14:paraId="696851E0" w14:textId="77777777" w:rsid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p>
    <w:p w14:paraId="6219E8B2" w14:textId="1BC6D5C4" w:rsid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hAnsi="Times New Roman" w:cs="Times New Roman"/>
          <w:iCs/>
          <w:color w:val="000000"/>
          <w:sz w:val="26"/>
          <w:szCs w:val="26"/>
        </w:rPr>
        <w:t>An enterprise or single incident response plan for all BES Cyber Systems may be used to meet the</w:t>
      </w:r>
      <w:r>
        <w:rPr>
          <w:rFonts w:ascii="Times New Roman" w:hAnsi="Times New Roman" w:cs="Times New Roman"/>
          <w:iCs/>
          <w:color w:val="000000"/>
          <w:sz w:val="26"/>
          <w:szCs w:val="26"/>
        </w:rPr>
        <w:t xml:space="preserve"> </w:t>
      </w:r>
      <w:r w:rsidRPr="00564578">
        <w:rPr>
          <w:rFonts w:ascii="Times New Roman" w:hAnsi="Times New Roman" w:cs="Times New Roman"/>
          <w:iCs/>
          <w:color w:val="000000"/>
          <w:sz w:val="26"/>
          <w:szCs w:val="26"/>
        </w:rPr>
        <w:t>Requirement.</w:t>
      </w:r>
      <w:r>
        <w:rPr>
          <w:rFonts w:ascii="Times New Roman" w:hAnsi="Times New Roman" w:cs="Times New Roman"/>
          <w:iCs/>
          <w:color w:val="000000"/>
          <w:sz w:val="26"/>
          <w:szCs w:val="26"/>
        </w:rPr>
        <w:t xml:space="preserve"> </w:t>
      </w:r>
      <w:r w:rsidRPr="00564578">
        <w:rPr>
          <w:rFonts w:ascii="Times New Roman" w:hAnsi="Times New Roman" w:cs="Times New Roman"/>
          <w:iCs/>
          <w:color w:val="000000"/>
          <w:sz w:val="26"/>
          <w:szCs w:val="26"/>
        </w:rPr>
        <w:t>The following guidelines are available to assist in addressing the required components of a Cyber</w:t>
      </w:r>
      <w:r>
        <w:rPr>
          <w:rFonts w:ascii="Times New Roman" w:hAnsi="Times New Roman" w:cs="Times New Roman"/>
          <w:iCs/>
          <w:color w:val="000000"/>
          <w:sz w:val="26"/>
          <w:szCs w:val="26"/>
        </w:rPr>
        <w:t xml:space="preserve"> </w:t>
      </w:r>
      <w:r w:rsidRPr="00564578">
        <w:rPr>
          <w:rFonts w:ascii="Times New Roman" w:hAnsi="Times New Roman" w:cs="Times New Roman"/>
          <w:iCs/>
          <w:color w:val="000000"/>
          <w:sz w:val="26"/>
          <w:szCs w:val="26"/>
        </w:rPr>
        <w:t>Security Incident response plan:</w:t>
      </w:r>
    </w:p>
    <w:p w14:paraId="3603728E" w14:textId="77777777" w:rsidR="003F37F9" w:rsidRPr="00564578" w:rsidRDefault="003F37F9" w:rsidP="00BE206F">
      <w:pPr>
        <w:autoSpaceDE w:val="0"/>
        <w:autoSpaceDN w:val="0"/>
        <w:adjustRightInd w:val="0"/>
        <w:spacing w:after="0" w:line="240" w:lineRule="auto"/>
        <w:ind w:left="720"/>
        <w:rPr>
          <w:rFonts w:ascii="Times New Roman" w:hAnsi="Times New Roman" w:cs="Times New Roman"/>
          <w:iCs/>
          <w:color w:val="000000"/>
          <w:sz w:val="26"/>
          <w:szCs w:val="26"/>
        </w:rPr>
      </w:pPr>
    </w:p>
    <w:p w14:paraId="1700EB34" w14:textId="77777777" w:rsidR="00564578" w:rsidRP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eastAsia="SymbolMT" w:hAnsi="Times New Roman" w:cs="Times New Roman"/>
          <w:color w:val="000000"/>
          <w:sz w:val="26"/>
          <w:szCs w:val="26"/>
        </w:rPr>
        <w:t xml:space="preserve"> </w:t>
      </w:r>
      <w:r w:rsidRPr="00564578">
        <w:rPr>
          <w:rFonts w:ascii="Times New Roman" w:hAnsi="Times New Roman" w:cs="Times New Roman"/>
          <w:iCs/>
          <w:color w:val="000000"/>
          <w:sz w:val="26"/>
          <w:szCs w:val="26"/>
        </w:rPr>
        <w:t>Department of Homeland Security, Control Systems Security Program, Developing an</w:t>
      </w:r>
    </w:p>
    <w:p w14:paraId="194BEB02" w14:textId="77777777" w:rsidR="00564578" w:rsidRP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hAnsi="Times New Roman" w:cs="Times New Roman"/>
          <w:iCs/>
          <w:color w:val="000000"/>
          <w:sz w:val="26"/>
          <w:szCs w:val="26"/>
        </w:rPr>
        <w:t>Industrial Control Systems Cyber Security Incident Response Capability, 2009, online at</w:t>
      </w:r>
    </w:p>
    <w:p w14:paraId="10835949" w14:textId="77777777" w:rsidR="00564578" w:rsidRPr="00564578" w:rsidRDefault="00564578" w:rsidP="00BE206F">
      <w:pPr>
        <w:autoSpaceDE w:val="0"/>
        <w:autoSpaceDN w:val="0"/>
        <w:adjustRightInd w:val="0"/>
        <w:spacing w:after="0" w:line="240" w:lineRule="auto"/>
        <w:ind w:left="720"/>
        <w:rPr>
          <w:rFonts w:ascii="Times New Roman" w:hAnsi="Times New Roman" w:cs="Times New Roman"/>
          <w:b/>
          <w:bCs/>
          <w:iCs/>
          <w:color w:val="0000FF"/>
          <w:sz w:val="26"/>
          <w:szCs w:val="26"/>
        </w:rPr>
      </w:pPr>
      <w:r w:rsidRPr="00564578">
        <w:rPr>
          <w:rFonts w:ascii="Times New Roman" w:hAnsi="Times New Roman" w:cs="Times New Roman"/>
          <w:b/>
          <w:bCs/>
          <w:iCs/>
          <w:color w:val="0000FF"/>
          <w:sz w:val="26"/>
          <w:szCs w:val="26"/>
        </w:rPr>
        <w:t>http://www.us-cert.gov/control_systems/practices/documents/final-</w:t>
      </w:r>
    </w:p>
    <w:p w14:paraId="1A0509C8" w14:textId="77777777" w:rsidR="00564578" w:rsidRPr="00564578" w:rsidRDefault="00564578" w:rsidP="00BE206F">
      <w:pPr>
        <w:autoSpaceDE w:val="0"/>
        <w:autoSpaceDN w:val="0"/>
        <w:adjustRightInd w:val="0"/>
        <w:spacing w:after="0" w:line="240" w:lineRule="auto"/>
        <w:ind w:left="720"/>
        <w:rPr>
          <w:rFonts w:ascii="Times New Roman" w:hAnsi="Times New Roman" w:cs="Times New Roman"/>
          <w:b/>
          <w:bCs/>
          <w:iCs/>
          <w:color w:val="0000FF"/>
          <w:sz w:val="26"/>
          <w:szCs w:val="26"/>
        </w:rPr>
      </w:pPr>
      <w:r w:rsidRPr="00564578">
        <w:rPr>
          <w:rFonts w:ascii="Times New Roman" w:hAnsi="Times New Roman" w:cs="Times New Roman"/>
          <w:b/>
          <w:bCs/>
          <w:iCs/>
          <w:color w:val="0000FF"/>
          <w:sz w:val="26"/>
          <w:szCs w:val="26"/>
        </w:rPr>
        <w:t>RP_ics_cybersecurity_incident_response_100609.pdf</w:t>
      </w:r>
    </w:p>
    <w:p w14:paraId="0F1826AA" w14:textId="77777777" w:rsidR="003F37F9" w:rsidRDefault="003F37F9" w:rsidP="00BE206F">
      <w:pPr>
        <w:autoSpaceDE w:val="0"/>
        <w:autoSpaceDN w:val="0"/>
        <w:adjustRightInd w:val="0"/>
        <w:spacing w:after="0" w:line="240" w:lineRule="auto"/>
        <w:ind w:left="720"/>
        <w:rPr>
          <w:rFonts w:ascii="Times New Roman" w:eastAsia="SymbolMT" w:hAnsi="Times New Roman" w:cs="Times New Roman"/>
          <w:color w:val="000000"/>
          <w:sz w:val="26"/>
          <w:szCs w:val="26"/>
        </w:rPr>
      </w:pPr>
    </w:p>
    <w:p w14:paraId="4E550357" w14:textId="79FA36E0" w:rsidR="00564578" w:rsidRP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eastAsia="SymbolMT" w:hAnsi="Times New Roman" w:cs="Times New Roman"/>
          <w:color w:val="000000"/>
          <w:sz w:val="26"/>
          <w:szCs w:val="26"/>
        </w:rPr>
        <w:t xml:space="preserve"> </w:t>
      </w:r>
      <w:r w:rsidRPr="00564578">
        <w:rPr>
          <w:rFonts w:ascii="Times New Roman" w:hAnsi="Times New Roman" w:cs="Times New Roman"/>
          <w:iCs/>
          <w:color w:val="000000"/>
          <w:sz w:val="26"/>
          <w:szCs w:val="26"/>
        </w:rPr>
        <w:t>National Institute of Standards and Technology, Computer Security Incident Handling Guide,</w:t>
      </w:r>
      <w:r>
        <w:rPr>
          <w:rFonts w:ascii="Times New Roman" w:hAnsi="Times New Roman" w:cs="Times New Roman"/>
          <w:iCs/>
          <w:color w:val="000000"/>
          <w:sz w:val="26"/>
          <w:szCs w:val="26"/>
        </w:rPr>
        <w:t xml:space="preserve"> </w:t>
      </w:r>
      <w:r w:rsidRPr="00564578">
        <w:rPr>
          <w:rFonts w:ascii="Times New Roman" w:hAnsi="Times New Roman" w:cs="Times New Roman"/>
          <w:iCs/>
          <w:color w:val="000000"/>
          <w:sz w:val="26"/>
          <w:szCs w:val="26"/>
        </w:rPr>
        <w:t>Special Publication 800-61 revision 1, March 2008, online at</w:t>
      </w:r>
    </w:p>
    <w:p w14:paraId="1268B268" w14:textId="77777777" w:rsidR="00A205C9" w:rsidRDefault="00A205C9" w:rsidP="00BE206F">
      <w:pPr>
        <w:autoSpaceDE w:val="0"/>
        <w:autoSpaceDN w:val="0"/>
        <w:adjustRightInd w:val="0"/>
        <w:spacing w:after="0" w:line="240" w:lineRule="auto"/>
        <w:ind w:left="720"/>
        <w:rPr>
          <w:rFonts w:ascii="Times New Roman" w:hAnsi="Times New Roman" w:cs="Times New Roman"/>
          <w:b/>
          <w:bCs/>
          <w:iCs/>
          <w:color w:val="0000FF"/>
          <w:sz w:val="26"/>
          <w:szCs w:val="26"/>
        </w:rPr>
      </w:pPr>
    </w:p>
    <w:p w14:paraId="2E6DF799" w14:textId="2FEF825B" w:rsidR="00564578" w:rsidRPr="00564578" w:rsidRDefault="00564578" w:rsidP="00BE206F">
      <w:pPr>
        <w:autoSpaceDE w:val="0"/>
        <w:autoSpaceDN w:val="0"/>
        <w:adjustRightInd w:val="0"/>
        <w:spacing w:after="0" w:line="240" w:lineRule="auto"/>
        <w:ind w:left="720"/>
        <w:rPr>
          <w:rFonts w:ascii="Times New Roman" w:hAnsi="Times New Roman" w:cs="Times New Roman"/>
          <w:b/>
          <w:bCs/>
          <w:iCs/>
          <w:color w:val="0000FF"/>
          <w:sz w:val="26"/>
          <w:szCs w:val="26"/>
        </w:rPr>
      </w:pPr>
      <w:r w:rsidRPr="00564578">
        <w:rPr>
          <w:rFonts w:ascii="Times New Roman" w:hAnsi="Times New Roman" w:cs="Times New Roman"/>
          <w:b/>
          <w:bCs/>
          <w:iCs/>
          <w:color w:val="0000FF"/>
          <w:sz w:val="26"/>
          <w:szCs w:val="26"/>
        </w:rPr>
        <w:t>http://csrc.nist.gov/publications/nistpubs/800-61-rev1/SP800-61rev1.pdf</w:t>
      </w:r>
    </w:p>
    <w:p w14:paraId="35F3959E" w14:textId="77777777" w:rsidR="003F37F9" w:rsidRDefault="003F37F9" w:rsidP="00BE206F">
      <w:pPr>
        <w:autoSpaceDE w:val="0"/>
        <w:autoSpaceDN w:val="0"/>
        <w:adjustRightInd w:val="0"/>
        <w:spacing w:after="0" w:line="240" w:lineRule="auto"/>
        <w:ind w:left="720"/>
        <w:rPr>
          <w:rFonts w:ascii="Times New Roman" w:hAnsi="Times New Roman" w:cs="Times New Roman"/>
          <w:iCs/>
          <w:color w:val="000000"/>
          <w:sz w:val="26"/>
          <w:szCs w:val="26"/>
        </w:rPr>
      </w:pPr>
    </w:p>
    <w:p w14:paraId="4BC07E00" w14:textId="51371F37" w:rsidR="00564578" w:rsidRP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hAnsi="Times New Roman" w:cs="Times New Roman"/>
          <w:iCs/>
          <w:color w:val="000000"/>
          <w:sz w:val="26"/>
          <w:szCs w:val="26"/>
        </w:rPr>
        <w:t>For Part 1.2, a Reportable Cyber Security Incident is a Cyber Security Incident that has compromised or</w:t>
      </w:r>
      <w:r w:rsidR="004E263E">
        <w:rPr>
          <w:rFonts w:ascii="Times New Roman" w:hAnsi="Times New Roman" w:cs="Times New Roman"/>
          <w:iCs/>
          <w:color w:val="000000"/>
          <w:sz w:val="26"/>
          <w:szCs w:val="26"/>
        </w:rPr>
        <w:t xml:space="preserve"> </w:t>
      </w:r>
      <w:r w:rsidRPr="00564578">
        <w:rPr>
          <w:rFonts w:ascii="Times New Roman" w:hAnsi="Times New Roman" w:cs="Times New Roman"/>
          <w:iCs/>
          <w:color w:val="000000"/>
          <w:sz w:val="26"/>
          <w:szCs w:val="26"/>
        </w:rPr>
        <w:t>disrupted one or more reliability tasks of a functional entity. It is helpful to distinguish Reportable Cyber</w:t>
      </w:r>
      <w:r w:rsidR="004E263E">
        <w:rPr>
          <w:rFonts w:ascii="Times New Roman" w:hAnsi="Times New Roman" w:cs="Times New Roman"/>
          <w:iCs/>
          <w:color w:val="000000"/>
          <w:sz w:val="26"/>
          <w:szCs w:val="26"/>
        </w:rPr>
        <w:t xml:space="preserve"> </w:t>
      </w:r>
      <w:r w:rsidRPr="00564578">
        <w:rPr>
          <w:rFonts w:ascii="Times New Roman" w:hAnsi="Times New Roman" w:cs="Times New Roman"/>
          <w:iCs/>
          <w:color w:val="000000"/>
          <w:sz w:val="26"/>
          <w:szCs w:val="26"/>
        </w:rPr>
        <w:t>Security Incidents as one resulting in a necessary response action.</w:t>
      </w:r>
    </w:p>
    <w:p w14:paraId="32AEA28A" w14:textId="77777777" w:rsidR="004E263E" w:rsidRDefault="004E263E" w:rsidP="00BE206F">
      <w:pPr>
        <w:autoSpaceDE w:val="0"/>
        <w:autoSpaceDN w:val="0"/>
        <w:adjustRightInd w:val="0"/>
        <w:spacing w:after="0" w:line="240" w:lineRule="auto"/>
        <w:ind w:left="720"/>
        <w:rPr>
          <w:rFonts w:ascii="Times New Roman" w:hAnsi="Times New Roman" w:cs="Times New Roman"/>
          <w:iCs/>
          <w:color w:val="000000"/>
          <w:sz w:val="26"/>
          <w:szCs w:val="26"/>
        </w:rPr>
      </w:pPr>
    </w:p>
    <w:p w14:paraId="709E481E" w14:textId="77777777" w:rsidR="00564578" w:rsidRPr="003F37F9"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3F37F9">
        <w:rPr>
          <w:rFonts w:ascii="Times New Roman" w:hAnsi="Times New Roman" w:cs="Times New Roman"/>
          <w:iCs/>
          <w:color w:val="000000"/>
          <w:sz w:val="26"/>
          <w:szCs w:val="26"/>
        </w:rPr>
        <w:t>A response action can fall into one of two categories: Necessary or elective. The distinguishing</w:t>
      </w:r>
      <w:r w:rsidR="004E263E" w:rsidRPr="003F37F9">
        <w:rPr>
          <w:rFonts w:ascii="Times New Roman" w:hAnsi="Times New Roman" w:cs="Times New Roman"/>
          <w:iCs/>
          <w:color w:val="000000"/>
          <w:sz w:val="26"/>
          <w:szCs w:val="26"/>
        </w:rPr>
        <w:t xml:space="preserve"> </w:t>
      </w:r>
      <w:r w:rsidRPr="003F37F9">
        <w:rPr>
          <w:rFonts w:ascii="Times New Roman" w:hAnsi="Times New Roman" w:cs="Times New Roman"/>
          <w:iCs/>
          <w:color w:val="000000"/>
          <w:sz w:val="26"/>
          <w:szCs w:val="26"/>
        </w:rPr>
        <w:t>characteristic is whether or not action was taken in response to an event. Precautionary measures that</w:t>
      </w:r>
      <w:r w:rsidR="004E263E" w:rsidRPr="003F37F9">
        <w:rPr>
          <w:rFonts w:ascii="Times New Roman" w:hAnsi="Times New Roman" w:cs="Times New Roman"/>
          <w:iCs/>
          <w:color w:val="000000"/>
          <w:sz w:val="26"/>
          <w:szCs w:val="26"/>
        </w:rPr>
        <w:t xml:space="preserve"> </w:t>
      </w:r>
      <w:r w:rsidRPr="003F37F9">
        <w:rPr>
          <w:rFonts w:ascii="Times New Roman" w:hAnsi="Times New Roman" w:cs="Times New Roman"/>
          <w:iCs/>
          <w:color w:val="000000"/>
          <w:sz w:val="26"/>
          <w:szCs w:val="26"/>
        </w:rPr>
        <w:t>are not in response to any persistent damage or effects may be designated as elective. All other</w:t>
      </w:r>
      <w:r w:rsidR="004E263E" w:rsidRPr="003F37F9">
        <w:rPr>
          <w:rFonts w:ascii="Times New Roman" w:hAnsi="Times New Roman" w:cs="Times New Roman"/>
          <w:iCs/>
          <w:color w:val="000000"/>
          <w:sz w:val="26"/>
          <w:szCs w:val="26"/>
        </w:rPr>
        <w:t xml:space="preserve"> </w:t>
      </w:r>
      <w:r w:rsidRPr="003F37F9">
        <w:rPr>
          <w:rFonts w:ascii="Times New Roman" w:hAnsi="Times New Roman" w:cs="Times New Roman"/>
          <w:iCs/>
          <w:color w:val="000000"/>
          <w:sz w:val="26"/>
          <w:szCs w:val="26"/>
        </w:rPr>
        <w:t>response actions to avoid any persistent damage or adverse effects, which include the activation of</w:t>
      </w:r>
      <w:r w:rsidR="004E263E" w:rsidRPr="003F37F9">
        <w:rPr>
          <w:rFonts w:ascii="Times New Roman" w:hAnsi="Times New Roman" w:cs="Times New Roman"/>
          <w:iCs/>
          <w:color w:val="000000"/>
          <w:sz w:val="26"/>
          <w:szCs w:val="26"/>
        </w:rPr>
        <w:t xml:space="preserve"> </w:t>
      </w:r>
      <w:r w:rsidRPr="003F37F9">
        <w:rPr>
          <w:rFonts w:ascii="Times New Roman" w:hAnsi="Times New Roman" w:cs="Times New Roman"/>
          <w:iCs/>
          <w:color w:val="000000"/>
          <w:sz w:val="26"/>
          <w:szCs w:val="26"/>
        </w:rPr>
        <w:t>redundant systems, should be designated as necessary.</w:t>
      </w:r>
    </w:p>
    <w:p w14:paraId="0341ABC0" w14:textId="77777777" w:rsidR="004E263E" w:rsidRDefault="004E263E" w:rsidP="00BE206F">
      <w:pPr>
        <w:autoSpaceDE w:val="0"/>
        <w:autoSpaceDN w:val="0"/>
        <w:adjustRightInd w:val="0"/>
        <w:spacing w:after="0" w:line="240" w:lineRule="auto"/>
        <w:ind w:left="720"/>
        <w:rPr>
          <w:rFonts w:ascii="Calibri-Italic" w:hAnsi="Calibri-Italic" w:cs="Calibri-Italic"/>
          <w:i/>
          <w:iCs/>
          <w:color w:val="000000"/>
          <w:sz w:val="24"/>
          <w:szCs w:val="24"/>
        </w:rPr>
      </w:pPr>
    </w:p>
    <w:p w14:paraId="09669A2D" w14:textId="77777777" w:rsidR="00564578" w:rsidRPr="003F37F9" w:rsidRDefault="00564578" w:rsidP="00BE206F">
      <w:pPr>
        <w:autoSpaceDE w:val="0"/>
        <w:autoSpaceDN w:val="0"/>
        <w:adjustRightInd w:val="0"/>
        <w:spacing w:after="0" w:line="240" w:lineRule="auto"/>
        <w:ind w:left="720"/>
        <w:rPr>
          <w:rFonts w:ascii="Times New Roman" w:hAnsi="Times New Roman" w:cs="Times New Roman"/>
          <w:b/>
          <w:bCs/>
          <w:color w:val="000000"/>
          <w:sz w:val="26"/>
          <w:szCs w:val="26"/>
        </w:rPr>
      </w:pPr>
      <w:r w:rsidRPr="003F37F9">
        <w:rPr>
          <w:rFonts w:ascii="Times New Roman" w:hAnsi="Times New Roman" w:cs="Times New Roman"/>
          <w:b/>
          <w:bCs/>
          <w:color w:val="000000"/>
          <w:sz w:val="26"/>
          <w:szCs w:val="26"/>
        </w:rPr>
        <w:t>Implementation Guidance for R1</w:t>
      </w:r>
    </w:p>
    <w:p w14:paraId="40357762" w14:textId="77777777" w:rsidR="00E1548E" w:rsidRPr="003F37F9" w:rsidRDefault="00E1548E" w:rsidP="00BE206F">
      <w:pPr>
        <w:autoSpaceDE w:val="0"/>
        <w:autoSpaceDN w:val="0"/>
        <w:adjustRightInd w:val="0"/>
        <w:spacing w:after="0" w:line="240" w:lineRule="auto"/>
        <w:ind w:left="720"/>
        <w:rPr>
          <w:rFonts w:ascii="Times New Roman" w:hAnsi="Times New Roman" w:cs="Times New Roman"/>
          <w:b/>
          <w:bCs/>
          <w:color w:val="000000"/>
          <w:sz w:val="26"/>
          <w:szCs w:val="26"/>
        </w:rPr>
      </w:pPr>
    </w:p>
    <w:p w14:paraId="5E31BC90" w14:textId="77777777" w:rsidR="00564578" w:rsidRPr="003F37F9" w:rsidRDefault="00564578" w:rsidP="00BE206F">
      <w:pPr>
        <w:autoSpaceDE w:val="0"/>
        <w:autoSpaceDN w:val="0"/>
        <w:adjustRightInd w:val="0"/>
        <w:spacing w:after="0" w:line="240" w:lineRule="auto"/>
        <w:ind w:left="720"/>
        <w:rPr>
          <w:rFonts w:ascii="Times New Roman" w:hAnsi="Times New Roman" w:cs="Times New Roman"/>
          <w:b/>
          <w:bCs/>
          <w:color w:val="000000"/>
          <w:sz w:val="26"/>
          <w:szCs w:val="26"/>
        </w:rPr>
      </w:pPr>
      <w:r w:rsidRPr="003F37F9">
        <w:rPr>
          <w:rFonts w:ascii="Times New Roman" w:hAnsi="Times New Roman" w:cs="Times New Roman"/>
          <w:b/>
          <w:bCs/>
          <w:color w:val="000000"/>
          <w:sz w:val="26"/>
          <w:szCs w:val="26"/>
        </w:rPr>
        <w:t>Process to Identify, Classify, and Respond to Cyber Security Incidents (R1.1, R1.2)</w:t>
      </w:r>
    </w:p>
    <w:p w14:paraId="61BDDC05" w14:textId="77777777" w:rsidR="003F37F9" w:rsidRPr="003F37F9"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p>
    <w:p w14:paraId="351BC64A" w14:textId="7E3C1350" w:rsidR="00564578" w:rsidRPr="003F37F9" w:rsidRDefault="00564578" w:rsidP="00BE206F">
      <w:pPr>
        <w:autoSpaceDE w:val="0"/>
        <w:autoSpaceDN w:val="0"/>
        <w:adjustRightInd w:val="0"/>
        <w:spacing w:after="0" w:line="240" w:lineRule="auto"/>
        <w:ind w:left="720"/>
        <w:rPr>
          <w:rFonts w:ascii="Times New Roman" w:hAnsi="Times New Roman" w:cs="Times New Roman"/>
          <w:color w:val="000000"/>
          <w:sz w:val="26"/>
          <w:szCs w:val="26"/>
        </w:rPr>
      </w:pPr>
      <w:r w:rsidRPr="003F37F9">
        <w:rPr>
          <w:rFonts w:ascii="Times New Roman" w:hAnsi="Times New Roman" w:cs="Times New Roman"/>
          <w:color w:val="000000"/>
          <w:sz w:val="26"/>
          <w:szCs w:val="26"/>
        </w:rPr>
        <w:t>The figure below is an example of a process that is used to identify, classify and respond to Cyber Security</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Incidents. This process uses the sample classification schema shown earlier that the entity uses to identify</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and classify Cyber Security Incidents as well as the sample criteria to evaluate and define attempts to</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compromise, if they are Reportable Cyber Security Incidents or Cyber Security Incidents that attempted to</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compromise a system identified in the “Applicable Systems” column for the Part. In this example, the</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yellow shading is intended to bring emphasis to the steps in this process example where definitions or</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entity process criteria are met as well as where reporting timelines are triggered. This color scheme is</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independent from the color keys used in other Figures within this document.</w:t>
      </w:r>
    </w:p>
    <w:p w14:paraId="0592E6E5" w14:textId="77777777" w:rsidR="004E263E" w:rsidRPr="003F37F9" w:rsidRDefault="004E263E" w:rsidP="00BE206F">
      <w:pPr>
        <w:autoSpaceDE w:val="0"/>
        <w:autoSpaceDN w:val="0"/>
        <w:adjustRightInd w:val="0"/>
        <w:spacing w:after="0" w:line="240" w:lineRule="auto"/>
        <w:ind w:left="720"/>
        <w:rPr>
          <w:rFonts w:ascii="Times New Roman" w:hAnsi="Times New Roman" w:cs="Times New Roman"/>
          <w:color w:val="000000"/>
          <w:sz w:val="26"/>
          <w:szCs w:val="26"/>
        </w:rPr>
      </w:pPr>
    </w:p>
    <w:p w14:paraId="6FB082C8" w14:textId="77777777" w:rsidR="00564578" w:rsidRPr="003F37F9" w:rsidRDefault="00564578" w:rsidP="00BE206F">
      <w:pPr>
        <w:autoSpaceDE w:val="0"/>
        <w:autoSpaceDN w:val="0"/>
        <w:adjustRightInd w:val="0"/>
        <w:spacing w:after="0" w:line="240" w:lineRule="auto"/>
        <w:ind w:left="720"/>
        <w:rPr>
          <w:rFonts w:ascii="Times New Roman" w:hAnsi="Times New Roman" w:cs="Times New Roman"/>
          <w:color w:val="000000"/>
          <w:sz w:val="26"/>
          <w:szCs w:val="26"/>
        </w:rPr>
      </w:pPr>
      <w:r w:rsidRPr="003F37F9">
        <w:rPr>
          <w:rFonts w:ascii="Times New Roman" w:hAnsi="Times New Roman" w:cs="Times New Roman"/>
          <w:color w:val="000000"/>
          <w:sz w:val="26"/>
          <w:szCs w:val="26"/>
        </w:rPr>
        <w:t>This process is adapted from those related to the Information Technology Infrastructure Library (ITIL). ITIL</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is a set of detailed practices for IT service management (ITSM) that focuses on aligning IT services with the</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needs of business.</w:t>
      </w:r>
    </w:p>
    <w:p w14:paraId="61961735" w14:textId="77777777" w:rsidR="004E263E" w:rsidRPr="003F37F9" w:rsidRDefault="004E263E" w:rsidP="00BE206F">
      <w:pPr>
        <w:autoSpaceDE w:val="0"/>
        <w:autoSpaceDN w:val="0"/>
        <w:adjustRightInd w:val="0"/>
        <w:spacing w:after="0" w:line="240" w:lineRule="auto"/>
        <w:ind w:left="720"/>
        <w:rPr>
          <w:rFonts w:ascii="Times New Roman" w:hAnsi="Times New Roman" w:cs="Times New Roman"/>
          <w:color w:val="000000"/>
          <w:sz w:val="26"/>
          <w:szCs w:val="26"/>
        </w:rPr>
      </w:pPr>
    </w:p>
    <w:p w14:paraId="4739CAC1" w14:textId="77777777" w:rsidR="00A408EB" w:rsidRDefault="00564578" w:rsidP="00BE206F">
      <w:pPr>
        <w:autoSpaceDE w:val="0"/>
        <w:autoSpaceDN w:val="0"/>
        <w:adjustRightInd w:val="0"/>
        <w:spacing w:after="0" w:line="240" w:lineRule="auto"/>
        <w:ind w:left="720"/>
        <w:rPr>
          <w:rFonts w:ascii="Times New Roman" w:hAnsi="Times New Roman" w:cs="Times New Roman"/>
          <w:color w:val="000000"/>
          <w:sz w:val="26"/>
          <w:szCs w:val="26"/>
        </w:rPr>
      </w:pPr>
      <w:r w:rsidRPr="003F37F9">
        <w:rPr>
          <w:rFonts w:ascii="Times New Roman" w:hAnsi="Times New Roman" w:cs="Times New Roman"/>
          <w:color w:val="000000"/>
          <w:sz w:val="26"/>
          <w:szCs w:val="26"/>
        </w:rPr>
        <w:t>Note: There is recognition that the organizational structure and resource composition is unique to each</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entity and that roles and responsibilities may vary. The process diagram to follow is not intended to be</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prescriptive, and instead constitutes merely one potential approach where the assignments/functions in</w:t>
      </w:r>
      <w:r w:rsidR="004E263E" w:rsidRPr="003F37F9">
        <w:rPr>
          <w:rFonts w:ascii="Times New Roman" w:hAnsi="Times New Roman" w:cs="Times New Roman"/>
          <w:color w:val="000000"/>
          <w:sz w:val="26"/>
          <w:szCs w:val="26"/>
        </w:rPr>
        <w:t xml:space="preserve"> </w:t>
      </w:r>
      <w:r w:rsidRPr="003F37F9">
        <w:rPr>
          <w:rFonts w:ascii="Times New Roman" w:hAnsi="Times New Roman" w:cs="Times New Roman"/>
          <w:color w:val="000000"/>
          <w:sz w:val="26"/>
          <w:szCs w:val="26"/>
        </w:rPr>
        <w:t xml:space="preserve">the </w:t>
      </w:r>
    </w:p>
    <w:p w14:paraId="77CD3C71" w14:textId="77777777" w:rsidR="00A408EB" w:rsidRDefault="00A408EB" w:rsidP="00BE206F">
      <w:pPr>
        <w:autoSpaceDE w:val="0"/>
        <w:autoSpaceDN w:val="0"/>
        <w:adjustRightInd w:val="0"/>
        <w:spacing w:after="0" w:line="240" w:lineRule="auto"/>
        <w:ind w:left="720"/>
        <w:rPr>
          <w:rFonts w:ascii="Times New Roman" w:hAnsi="Times New Roman" w:cs="Times New Roman"/>
          <w:color w:val="000000"/>
          <w:sz w:val="26"/>
          <w:szCs w:val="26"/>
        </w:rPr>
      </w:pPr>
    </w:p>
    <w:p w14:paraId="56054377" w14:textId="0F241F30" w:rsidR="00564578" w:rsidRDefault="00564578" w:rsidP="00BE206F">
      <w:pPr>
        <w:autoSpaceDE w:val="0"/>
        <w:autoSpaceDN w:val="0"/>
        <w:adjustRightInd w:val="0"/>
        <w:spacing w:after="0" w:line="240" w:lineRule="auto"/>
        <w:ind w:left="720"/>
        <w:rPr>
          <w:rFonts w:ascii="Times New Roman" w:hAnsi="Times New Roman" w:cs="Times New Roman"/>
          <w:color w:val="000000"/>
          <w:sz w:val="26"/>
          <w:szCs w:val="26"/>
        </w:rPr>
      </w:pPr>
      <w:r w:rsidRPr="003F37F9">
        <w:rPr>
          <w:rFonts w:ascii="Times New Roman" w:hAnsi="Times New Roman" w:cs="Times New Roman"/>
          <w:color w:val="000000"/>
          <w:sz w:val="26"/>
          <w:szCs w:val="26"/>
        </w:rPr>
        <w:t>cross functional swim lanes could be tailored to meet the unique needs of any entity.</w:t>
      </w:r>
    </w:p>
    <w:p w14:paraId="1DF5BE99" w14:textId="779DAC99" w:rsidR="001D7F04" w:rsidRDefault="001D7F04" w:rsidP="00BE206F">
      <w:pPr>
        <w:autoSpaceDE w:val="0"/>
        <w:autoSpaceDN w:val="0"/>
        <w:adjustRightInd w:val="0"/>
        <w:spacing w:after="0" w:line="240" w:lineRule="auto"/>
        <w:ind w:left="720"/>
        <w:rPr>
          <w:rFonts w:ascii="Times New Roman" w:hAnsi="Times New Roman" w:cs="Times New Roman"/>
          <w:color w:val="000000"/>
          <w:sz w:val="26"/>
          <w:szCs w:val="26"/>
        </w:rPr>
      </w:pPr>
    </w:p>
    <w:p w14:paraId="29A964A1" w14:textId="77777777" w:rsidR="00BE206F" w:rsidRDefault="00BE206F" w:rsidP="00BE206F">
      <w:pPr>
        <w:autoSpaceDE w:val="0"/>
        <w:autoSpaceDN w:val="0"/>
        <w:adjustRightInd w:val="0"/>
        <w:spacing w:after="0" w:line="240" w:lineRule="auto"/>
        <w:ind w:left="720"/>
        <w:rPr>
          <w:rFonts w:ascii="Calibri-Bold" w:hAnsi="Calibri-Bold" w:cs="Calibri-Bold"/>
          <w:b/>
          <w:bCs/>
          <w:sz w:val="24"/>
          <w:szCs w:val="24"/>
        </w:rPr>
      </w:pPr>
    </w:p>
    <w:p w14:paraId="50C9141E" w14:textId="77777777" w:rsidR="00BE206F" w:rsidRDefault="00BE206F" w:rsidP="00BE206F">
      <w:pPr>
        <w:autoSpaceDE w:val="0"/>
        <w:autoSpaceDN w:val="0"/>
        <w:adjustRightInd w:val="0"/>
        <w:spacing w:after="0" w:line="240" w:lineRule="auto"/>
        <w:ind w:left="720"/>
        <w:rPr>
          <w:rFonts w:ascii="Calibri-Bold" w:hAnsi="Calibri-Bold" w:cs="Calibri-Bold"/>
          <w:b/>
          <w:bCs/>
          <w:sz w:val="24"/>
          <w:szCs w:val="24"/>
        </w:rPr>
      </w:pPr>
    </w:p>
    <w:p w14:paraId="76F3728C" w14:textId="5590EEFC" w:rsidR="001D7F04" w:rsidRPr="001D7F04" w:rsidRDefault="001D7F04" w:rsidP="00BE206F">
      <w:pPr>
        <w:autoSpaceDE w:val="0"/>
        <w:autoSpaceDN w:val="0"/>
        <w:adjustRightInd w:val="0"/>
        <w:spacing w:after="0" w:line="240" w:lineRule="auto"/>
        <w:ind w:left="720"/>
        <w:rPr>
          <w:rFonts w:ascii="Times New Roman" w:eastAsia="Calibri" w:hAnsi="Times New Roman" w:cs="Times New Roman"/>
          <w:sz w:val="26"/>
          <w:szCs w:val="26"/>
        </w:rPr>
      </w:pPr>
      <w:r>
        <w:rPr>
          <w:rFonts w:ascii="Calibri-Bold" w:hAnsi="Calibri-Bold" w:cs="Calibri-Bold"/>
          <w:b/>
          <w:bCs/>
          <w:sz w:val="24"/>
          <w:szCs w:val="24"/>
        </w:rPr>
        <w:t>M1</w:t>
      </w:r>
      <w:r w:rsidR="00A205C9" w:rsidRPr="00E27A16">
        <w:rPr>
          <w:rStyle w:val="FootnoteReference"/>
          <w:rFonts w:ascii="Times New Roman" w:hAnsi="Times New Roman" w:cs="Times New Roman"/>
          <w:b/>
          <w:bCs/>
          <w:sz w:val="26"/>
          <w:szCs w:val="26"/>
          <w:vertAlign w:val="superscript"/>
        </w:rPr>
        <w:footnoteReference w:id="16"/>
      </w:r>
      <w:r w:rsidRPr="00E27A16">
        <w:rPr>
          <w:rFonts w:ascii="Times New Roman" w:hAnsi="Times New Roman" w:cs="Times New Roman"/>
          <w:b/>
          <w:bCs/>
          <w:sz w:val="26"/>
          <w:szCs w:val="26"/>
          <w:vertAlign w:val="superscript"/>
        </w:rPr>
        <w:t>.</w:t>
      </w:r>
      <w:r w:rsidRPr="001D7F04">
        <w:rPr>
          <w:rFonts w:ascii="Times New Roman" w:hAnsi="Times New Roman" w:cs="Times New Roman"/>
          <w:b/>
          <w:bCs/>
          <w:sz w:val="26"/>
          <w:szCs w:val="26"/>
        </w:rPr>
        <w:t xml:space="preserve"> </w:t>
      </w:r>
      <w:r w:rsidRPr="001D7F04">
        <w:rPr>
          <w:rFonts w:ascii="Times New Roman" w:hAnsi="Times New Roman" w:cs="Times New Roman"/>
          <w:sz w:val="26"/>
          <w:szCs w:val="26"/>
        </w:rPr>
        <w:t xml:space="preserve">Evidence must include each of the documented plan(s) that collectively include each of the applicable requirement parts in </w:t>
      </w:r>
      <w:r w:rsidRPr="001D7F04">
        <w:rPr>
          <w:rFonts w:ascii="Times New Roman" w:hAnsi="Times New Roman" w:cs="Times New Roman"/>
          <w:i/>
          <w:iCs/>
          <w:sz w:val="26"/>
          <w:szCs w:val="26"/>
        </w:rPr>
        <w:t>CIP-008-6 Table R1 – Cyber Security Incident Response Plan Specifications</w:t>
      </w:r>
      <w:r w:rsidRPr="001D7F04">
        <w:rPr>
          <w:rFonts w:ascii="Times New Roman" w:hAnsi="Times New Roman" w:cs="Times New Roman"/>
          <w:sz w:val="26"/>
          <w:szCs w:val="26"/>
        </w:rPr>
        <w:t>.</w:t>
      </w:r>
    </w:p>
    <w:p w14:paraId="22FA05B2" w14:textId="77777777" w:rsidR="00105650" w:rsidRPr="00564578" w:rsidRDefault="00105650" w:rsidP="00BE206F">
      <w:pPr>
        <w:tabs>
          <w:tab w:val="left" w:pos="720"/>
        </w:tabs>
        <w:autoSpaceDE w:val="0"/>
        <w:autoSpaceDN w:val="0"/>
        <w:adjustRightInd w:val="0"/>
        <w:spacing w:after="0" w:line="240" w:lineRule="auto"/>
        <w:ind w:left="720"/>
        <w:rPr>
          <w:rFonts w:ascii="Times New Roman" w:eastAsia="Calibri" w:hAnsi="Times New Roman" w:cs="Times New Roman"/>
          <w:sz w:val="26"/>
          <w:szCs w:val="26"/>
        </w:rPr>
      </w:pPr>
    </w:p>
    <w:p w14:paraId="4285353A" w14:textId="77777777" w:rsidR="00BE206F" w:rsidRDefault="00105650" w:rsidP="00BE206F">
      <w:pPr>
        <w:autoSpaceDE w:val="0"/>
        <w:autoSpaceDN w:val="0"/>
        <w:adjustRightInd w:val="0"/>
        <w:spacing w:after="0" w:line="240" w:lineRule="auto"/>
        <w:ind w:left="720"/>
        <w:rPr>
          <w:rFonts w:ascii="Times New Roman" w:hAnsi="Times New Roman" w:cs="Times New Roman"/>
          <w:iCs/>
          <w:sz w:val="26"/>
          <w:szCs w:val="26"/>
        </w:rPr>
      </w:pPr>
      <w:r w:rsidRPr="003F37F9">
        <w:rPr>
          <w:rFonts w:ascii="Times New Roman" w:eastAsia="Calibri" w:hAnsi="Times New Roman" w:cs="Times New Roman"/>
          <w:b/>
          <w:sz w:val="26"/>
          <w:szCs w:val="26"/>
        </w:rPr>
        <w:t>R2.</w:t>
      </w:r>
      <w:r w:rsidR="00564578" w:rsidRPr="00564578">
        <w:rPr>
          <w:rFonts w:ascii="Times New Roman" w:eastAsia="Calibri" w:hAnsi="Times New Roman" w:cs="Times New Roman"/>
          <w:sz w:val="26"/>
          <w:szCs w:val="26"/>
        </w:rPr>
        <w:t xml:space="preserve">  </w:t>
      </w:r>
      <w:r w:rsidR="00564578" w:rsidRPr="00564578">
        <w:rPr>
          <w:rFonts w:ascii="Times New Roman" w:hAnsi="Times New Roman" w:cs="Times New Roman"/>
          <w:iCs/>
          <w:sz w:val="26"/>
          <w:szCs w:val="26"/>
        </w:rPr>
        <w:t xml:space="preserve">Each Responsible Entity shall implement each of its documented Cyber Security Incident response plans to collectively include each of the applicable requirement parts in CIP-008-6 Table R2 – Cyber Security Incident Response Plan Implementation and </w:t>
      </w:r>
    </w:p>
    <w:p w14:paraId="3FB85807" w14:textId="77777777" w:rsidR="00BE206F" w:rsidRDefault="00BE206F" w:rsidP="00BE206F">
      <w:pPr>
        <w:autoSpaceDE w:val="0"/>
        <w:autoSpaceDN w:val="0"/>
        <w:adjustRightInd w:val="0"/>
        <w:spacing w:after="0" w:line="240" w:lineRule="auto"/>
        <w:ind w:left="720"/>
        <w:rPr>
          <w:rFonts w:ascii="Times New Roman" w:hAnsi="Times New Roman" w:cs="Times New Roman"/>
          <w:iCs/>
          <w:sz w:val="26"/>
          <w:szCs w:val="26"/>
        </w:rPr>
      </w:pPr>
    </w:p>
    <w:p w14:paraId="6CB952DB" w14:textId="0B57BB47" w:rsidR="00564578" w:rsidRPr="00564578" w:rsidRDefault="00564578" w:rsidP="00BE206F">
      <w:pPr>
        <w:autoSpaceDE w:val="0"/>
        <w:autoSpaceDN w:val="0"/>
        <w:adjustRightInd w:val="0"/>
        <w:spacing w:after="0" w:line="240" w:lineRule="auto"/>
        <w:ind w:left="720"/>
        <w:rPr>
          <w:rFonts w:ascii="Times New Roman" w:hAnsi="Times New Roman" w:cs="Times New Roman"/>
          <w:iCs/>
          <w:sz w:val="26"/>
          <w:szCs w:val="26"/>
        </w:rPr>
      </w:pPr>
      <w:r w:rsidRPr="00564578">
        <w:rPr>
          <w:rFonts w:ascii="Times New Roman" w:hAnsi="Times New Roman" w:cs="Times New Roman"/>
          <w:iCs/>
          <w:sz w:val="26"/>
          <w:szCs w:val="26"/>
        </w:rPr>
        <w:t>Testing. [Violation Risk Factor: Lower] [Time Horizon: Operations Planning and Real-Time Operations]</w:t>
      </w:r>
    </w:p>
    <w:p w14:paraId="5403DA44" w14:textId="77777777" w:rsidR="00564578" w:rsidRPr="00564578" w:rsidRDefault="00564578" w:rsidP="00BE206F">
      <w:pPr>
        <w:tabs>
          <w:tab w:val="left" w:pos="720"/>
        </w:tabs>
        <w:autoSpaceDE w:val="0"/>
        <w:autoSpaceDN w:val="0"/>
        <w:adjustRightInd w:val="0"/>
        <w:spacing w:after="0" w:line="240" w:lineRule="auto"/>
        <w:ind w:left="720"/>
        <w:rPr>
          <w:rFonts w:ascii="Times New Roman" w:hAnsi="Times New Roman" w:cs="Times New Roman"/>
          <w:sz w:val="26"/>
          <w:szCs w:val="26"/>
        </w:rPr>
      </w:pPr>
    </w:p>
    <w:p w14:paraId="32D948C2" w14:textId="77777777" w:rsidR="00564578" w:rsidRPr="00564578" w:rsidRDefault="00564578" w:rsidP="00BE206F">
      <w:pPr>
        <w:tabs>
          <w:tab w:val="left" w:pos="720"/>
        </w:tabs>
        <w:autoSpaceDE w:val="0"/>
        <w:autoSpaceDN w:val="0"/>
        <w:adjustRightInd w:val="0"/>
        <w:spacing w:after="0" w:line="240" w:lineRule="auto"/>
        <w:ind w:left="720"/>
        <w:rPr>
          <w:rFonts w:ascii="Times New Roman" w:hAnsi="Times New Roman" w:cs="Times New Roman"/>
          <w:b/>
          <w:bCs/>
          <w:sz w:val="26"/>
          <w:szCs w:val="26"/>
        </w:rPr>
      </w:pPr>
      <w:r w:rsidRPr="00564578">
        <w:rPr>
          <w:rFonts w:ascii="Times New Roman" w:hAnsi="Times New Roman" w:cs="Times New Roman"/>
          <w:b/>
          <w:bCs/>
          <w:sz w:val="26"/>
          <w:szCs w:val="26"/>
        </w:rPr>
        <w:t>General Considerations for R2</w:t>
      </w:r>
    </w:p>
    <w:p w14:paraId="589D6DC7" w14:textId="77777777" w:rsidR="00831CBD" w:rsidRDefault="00831CBD" w:rsidP="00BE206F">
      <w:pPr>
        <w:autoSpaceDE w:val="0"/>
        <w:autoSpaceDN w:val="0"/>
        <w:adjustRightInd w:val="0"/>
        <w:spacing w:after="0" w:line="240" w:lineRule="auto"/>
        <w:ind w:left="720"/>
        <w:rPr>
          <w:rFonts w:ascii="Times New Roman" w:hAnsi="Times New Roman" w:cs="Times New Roman"/>
          <w:iCs/>
          <w:color w:val="000000"/>
          <w:sz w:val="26"/>
          <w:szCs w:val="26"/>
        </w:rPr>
      </w:pPr>
    </w:p>
    <w:p w14:paraId="3DA22130" w14:textId="06FAA520" w:rsidR="00564578" w:rsidRP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hAnsi="Times New Roman" w:cs="Times New Roman"/>
          <w:iCs/>
          <w:color w:val="000000"/>
          <w:sz w:val="26"/>
          <w:szCs w:val="26"/>
        </w:rPr>
        <w:t>If a plan is written at a high enough level, then every action during the response should not be subject to scrutiny. The plan will likely allow for the appropriate variance in tactical decisions made by incident responders. Deviations from the plan can be documented during the incident response or afterward as part of the review.</w:t>
      </w:r>
    </w:p>
    <w:p w14:paraId="0FE0135F" w14:textId="77777777" w:rsidR="00564578" w:rsidRP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p>
    <w:p w14:paraId="2253CA54" w14:textId="77777777" w:rsidR="00564578" w:rsidRP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hAnsi="Times New Roman" w:cs="Times New Roman"/>
          <w:iCs/>
          <w:color w:val="000000"/>
          <w:sz w:val="26"/>
          <w:szCs w:val="26"/>
        </w:rPr>
        <w:t>For more specific types of exercises, refer to the FEMA Homeland Security Exercise and Evaluation Program (HSEEP). It lists the following four types of discussion-based exercises: seminar, workshop, tabletop, and games. In particular, it defines that, “A tabletop exercise involves key personnel discussing simulated scenarios in an informal setting. Table top exercises (TTX) can be used to assess plans, policies, and procedures.”</w:t>
      </w:r>
    </w:p>
    <w:p w14:paraId="0385AF71" w14:textId="77777777" w:rsidR="00564578" w:rsidRP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hAnsi="Times New Roman" w:cs="Times New Roman"/>
          <w:iCs/>
          <w:color w:val="000000"/>
          <w:sz w:val="26"/>
          <w:szCs w:val="26"/>
        </w:rPr>
        <w:t xml:space="preserve">The HSEEP lists the following three types of operations-based exercises: Drill, functional exercise, and full-scale exercise. It defines that, “[A] full-scale exercise is a multi-agency, multi-jurisdictional, multidiscipline exercise involving functional (e.g., joint field office, Emergency operation centers, etc.) and ‘boots on the ground’ response (e.g., firefighters decontaminating mock victims).” </w:t>
      </w:r>
    </w:p>
    <w:p w14:paraId="3AA83AFF" w14:textId="77777777" w:rsidR="00564578" w:rsidRPr="00564578" w:rsidRDefault="00564578" w:rsidP="00BE206F">
      <w:pPr>
        <w:autoSpaceDE w:val="0"/>
        <w:autoSpaceDN w:val="0"/>
        <w:adjustRightInd w:val="0"/>
        <w:spacing w:after="0" w:line="240" w:lineRule="auto"/>
        <w:ind w:left="720"/>
        <w:rPr>
          <w:rFonts w:ascii="Times New Roman" w:hAnsi="Times New Roman" w:cs="Times New Roman"/>
          <w:b/>
          <w:bCs/>
          <w:color w:val="204C82"/>
          <w:sz w:val="26"/>
          <w:szCs w:val="26"/>
        </w:rPr>
      </w:pPr>
    </w:p>
    <w:p w14:paraId="669D5BB1" w14:textId="77777777" w:rsidR="00A408EB"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hAnsi="Times New Roman" w:cs="Times New Roman"/>
          <w:iCs/>
          <w:color w:val="000000"/>
          <w:sz w:val="26"/>
          <w:szCs w:val="26"/>
        </w:rPr>
        <w:t xml:space="preserve">In addition to the requirements to implement the response plan, Part 2.3 specifies entities must retain relevant records for Reportable Cyber Security Incidents. There are several examples of specific types of evidence listed in the measure. Entities should refer to their handling procedures to determine the types of </w:t>
      </w:r>
    </w:p>
    <w:p w14:paraId="7632C907" w14:textId="77777777" w:rsidR="00A408EB" w:rsidRDefault="00A408EB" w:rsidP="00BE206F">
      <w:pPr>
        <w:autoSpaceDE w:val="0"/>
        <w:autoSpaceDN w:val="0"/>
        <w:adjustRightInd w:val="0"/>
        <w:spacing w:after="0" w:line="240" w:lineRule="auto"/>
        <w:ind w:left="720"/>
        <w:rPr>
          <w:rFonts w:ascii="Times New Roman" w:hAnsi="Times New Roman" w:cs="Times New Roman"/>
          <w:iCs/>
          <w:color w:val="000000"/>
          <w:sz w:val="26"/>
          <w:szCs w:val="26"/>
        </w:rPr>
      </w:pPr>
    </w:p>
    <w:p w14:paraId="62EC2446" w14:textId="3DD38219" w:rsidR="00564578" w:rsidRDefault="00564578" w:rsidP="00BE206F">
      <w:pPr>
        <w:autoSpaceDE w:val="0"/>
        <w:autoSpaceDN w:val="0"/>
        <w:adjustRightInd w:val="0"/>
        <w:spacing w:after="0" w:line="240" w:lineRule="auto"/>
        <w:ind w:left="720"/>
        <w:rPr>
          <w:rFonts w:ascii="Times New Roman" w:hAnsi="Times New Roman" w:cs="Times New Roman"/>
          <w:iCs/>
          <w:color w:val="000000"/>
          <w:sz w:val="26"/>
          <w:szCs w:val="26"/>
        </w:rPr>
      </w:pPr>
      <w:r w:rsidRPr="00564578">
        <w:rPr>
          <w:rFonts w:ascii="Times New Roman" w:hAnsi="Times New Roman" w:cs="Times New Roman"/>
          <w:iCs/>
          <w:color w:val="000000"/>
          <w:sz w:val="26"/>
          <w:szCs w:val="26"/>
        </w:rPr>
        <w:t>evidence to retain and how to transport and store the evidence. For further information in retaining incident records, refer to the NIST Guide to Integrating Forensic Techniques into Incident Response (SP800-86). The NIST guideline includes a section (Section 3.1.2) on acquiring data when performing forensics.</w:t>
      </w:r>
    </w:p>
    <w:p w14:paraId="693E5CCD" w14:textId="77777777" w:rsidR="003F37F9" w:rsidRDefault="003F37F9" w:rsidP="00BE206F">
      <w:pPr>
        <w:autoSpaceDE w:val="0"/>
        <w:autoSpaceDN w:val="0"/>
        <w:adjustRightInd w:val="0"/>
        <w:spacing w:after="0" w:line="240" w:lineRule="auto"/>
        <w:ind w:left="720"/>
        <w:rPr>
          <w:rFonts w:ascii="Times New Roman" w:eastAsia="Calibri" w:hAnsi="Times New Roman" w:cs="Times New Roman"/>
          <w:sz w:val="26"/>
          <w:szCs w:val="26"/>
        </w:rPr>
      </w:pPr>
    </w:p>
    <w:p w14:paraId="187B1564"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b/>
          <w:bCs/>
          <w:color w:val="000000"/>
          <w:sz w:val="26"/>
          <w:szCs w:val="26"/>
        </w:rPr>
      </w:pPr>
      <w:r w:rsidRPr="004E263E">
        <w:rPr>
          <w:rFonts w:ascii="Times New Roman" w:hAnsi="Times New Roman" w:cs="Times New Roman"/>
          <w:b/>
          <w:bCs/>
          <w:color w:val="000000"/>
          <w:sz w:val="26"/>
          <w:szCs w:val="26"/>
        </w:rPr>
        <w:t>Implementation Guidance for R2, Acceptable Testing Methods</w:t>
      </w:r>
    </w:p>
    <w:p w14:paraId="44F06CE7"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b/>
          <w:bCs/>
          <w:color w:val="000000"/>
          <w:sz w:val="26"/>
          <w:szCs w:val="26"/>
        </w:rPr>
      </w:pPr>
    </w:p>
    <w:p w14:paraId="568EB002"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The SDT made no changes to the testing requirements located in Requirement Parts 2 and 3. The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applicable system expansion to include EACMS was the only change. The SDT purposefully did not expand</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the acceptable testing methods to include an actual response to a Cyber Security Incident that attempted</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to compromise a system identified in the “Applicable Systems” column for the Part. This was based on</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incident risk level and benefits of exercising the full response plan(s).</w:t>
      </w:r>
    </w:p>
    <w:p w14:paraId="3B03319E" w14:textId="77777777" w:rsidR="003F37F9"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p>
    <w:p w14:paraId="04933BAA"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Annual testing of the incident response plan(s) are important because they may reveal weaknesses,</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vulnerabilities, and opportunity for improvement. The current test options include: a paper drill</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(coordinated tabletop exercise), an operational exercise (a full-scale, multiple entity exercise), and actual</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response to a Reportable Cyber Security Incident.</w:t>
      </w:r>
    </w:p>
    <w:p w14:paraId="23CE97D1" w14:textId="77777777" w:rsidR="00BE206F" w:rsidRDefault="00BE206F" w:rsidP="00BE206F">
      <w:pPr>
        <w:autoSpaceDE w:val="0"/>
        <w:autoSpaceDN w:val="0"/>
        <w:adjustRightInd w:val="0"/>
        <w:spacing w:after="0" w:line="240" w:lineRule="auto"/>
        <w:ind w:left="720"/>
        <w:rPr>
          <w:rFonts w:ascii="Times New Roman" w:hAnsi="Times New Roman" w:cs="Times New Roman"/>
          <w:color w:val="000000"/>
          <w:sz w:val="26"/>
          <w:szCs w:val="26"/>
        </w:rPr>
      </w:pPr>
    </w:p>
    <w:p w14:paraId="4F64F722" w14:textId="77777777" w:rsidR="00BE206F" w:rsidRDefault="00BE206F" w:rsidP="00BE206F">
      <w:pPr>
        <w:autoSpaceDE w:val="0"/>
        <w:autoSpaceDN w:val="0"/>
        <w:adjustRightInd w:val="0"/>
        <w:spacing w:after="0" w:line="240" w:lineRule="auto"/>
        <w:ind w:left="720"/>
        <w:rPr>
          <w:rFonts w:ascii="Times New Roman" w:hAnsi="Times New Roman" w:cs="Times New Roman"/>
          <w:color w:val="000000"/>
          <w:sz w:val="26"/>
          <w:szCs w:val="26"/>
        </w:rPr>
      </w:pPr>
    </w:p>
    <w:p w14:paraId="461C9D77" w14:textId="47A2E62C" w:rsidR="00831CBD"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Actual response to a Reportable Cyber Security Incident is self-explanatory, whereas the other two types</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of exercises may carry more subjectivity. To help assure internal organizational alignment, Registered</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Entities could consider establishing supporting internal definitions for the various types of planned testing.</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Documentation like this can help participants understand the scope and expectations of those exercises</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 xml:space="preserve">that are not actual response to a Reportable Cyber Security Incident and can aid in the audit process </w:t>
      </w:r>
    </w:p>
    <w:p w14:paraId="50A6B232" w14:textId="77777777" w:rsidR="00831CBD" w:rsidRDefault="00831CBD" w:rsidP="00BE206F">
      <w:pPr>
        <w:autoSpaceDE w:val="0"/>
        <w:autoSpaceDN w:val="0"/>
        <w:adjustRightInd w:val="0"/>
        <w:spacing w:after="0" w:line="240" w:lineRule="auto"/>
        <w:ind w:left="720"/>
        <w:rPr>
          <w:rFonts w:ascii="Times New Roman" w:hAnsi="Times New Roman" w:cs="Times New Roman"/>
          <w:color w:val="000000"/>
          <w:sz w:val="26"/>
          <w:szCs w:val="26"/>
        </w:rPr>
      </w:pPr>
    </w:p>
    <w:p w14:paraId="1F64A441" w14:textId="52D1AB55"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as a</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supporting evidence for exercise scenarios. It should be noted that definitions in the NERC Glossary of</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Terms are authoritative, and entities documenting internal definitions for consistency in their process</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should assure they do not contradict nor attempt to supersede and authoritative NERC-defined terms. The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table below includes some potential ideas that could be used:</w:t>
      </w:r>
    </w:p>
    <w:p w14:paraId="72FE0DA1" w14:textId="77777777" w:rsidR="003F37F9"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p>
    <w:p w14:paraId="175DC649" w14:textId="77777777" w:rsidR="003F37F9"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Incident Response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Exercise – Paper</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Drill/Tabletop</w:t>
      </w:r>
    </w:p>
    <w:p w14:paraId="038CAE79"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p>
    <w:p w14:paraId="470E042A"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An activity that is facilitated, where personnel are gathered to discuss various</w:t>
      </w:r>
    </w:p>
    <w:p w14:paraId="7FC29F89"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simulated emergency situations including roles, responsibilities, coordination, and</w:t>
      </w:r>
    </w:p>
    <w:p w14:paraId="686F5AA1"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decision making based on the scenario. This typically happens in a conference</w:t>
      </w:r>
    </w:p>
    <w:p w14:paraId="12F4C91A"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room or office environment and not in the personnel’s normal working</w:t>
      </w:r>
    </w:p>
    <w:p w14:paraId="53D3B287"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environment. No interaction with equipment is expected.</w:t>
      </w:r>
    </w:p>
    <w:p w14:paraId="7B74B4D7" w14:textId="77777777" w:rsidR="003F37F9"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p>
    <w:p w14:paraId="474A871A" w14:textId="77777777" w:rsidR="003F37F9"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Incident Response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Exercise –</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Operational</w:t>
      </w:r>
    </w:p>
    <w:p w14:paraId="112DD8F9"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p>
    <w:p w14:paraId="26E98AD8"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An activity that is facilitated, where personnel are gathered to discuss and respond</w:t>
      </w:r>
    </w:p>
    <w:p w14:paraId="688057C2"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to various simulated emergency situations including roles, responsibilities,</w:t>
      </w:r>
    </w:p>
    <w:p w14:paraId="1EB39EC5"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coordination, and decision making based on the scenario. This may occur in a test</w:t>
      </w:r>
    </w:p>
    <w:p w14:paraId="6BDEB79E"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environment or actual operational area. There may be interaction with</w:t>
      </w:r>
    </w:p>
    <w:p w14:paraId="5A37103F"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equipment. The exercise may involve test equipment, actual operational</w:t>
      </w:r>
    </w:p>
    <w:p w14:paraId="0D7737CD"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equipment, or training simulators. If operational equipment is used, it will be in a</w:t>
      </w:r>
    </w:p>
    <w:p w14:paraId="31A47111"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manner as to not jeopardize operational functionality.</w:t>
      </w:r>
    </w:p>
    <w:p w14:paraId="0C92587E"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p>
    <w:p w14:paraId="65599FE8" w14:textId="77777777" w:rsidR="003F37F9"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All of these options, especially the latter, involve a complete, step-by-step run-through of the plan</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components. Many problems that would occur in a real incident also will be present in the test exercise or</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drill</w:t>
      </w:r>
      <w:r w:rsidRPr="004E263E">
        <w:rPr>
          <w:rFonts w:ascii="Times New Roman" w:hAnsi="Times New Roman" w:cs="Times New Roman"/>
          <w:b/>
          <w:bCs/>
          <w:color w:val="000000"/>
          <w:sz w:val="26"/>
          <w:szCs w:val="26"/>
        </w:rPr>
        <w:t>7</w:t>
      </w:r>
      <w:r w:rsidRPr="004E263E">
        <w:rPr>
          <w:rFonts w:ascii="Times New Roman" w:hAnsi="Times New Roman" w:cs="Times New Roman"/>
          <w:color w:val="000000"/>
          <w:sz w:val="26"/>
          <w:szCs w:val="26"/>
        </w:rPr>
        <w:t>. In fact, it is recommended that drills and exercises go to the extreme and simulate worst-case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scenarios.</w:t>
      </w:r>
    </w:p>
    <w:p w14:paraId="3A5861B8"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p>
    <w:p w14:paraId="6BA9B2E6" w14:textId="77777777"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Conversely, a Cyber Security Incident that attempted to compromise a system identified in the “Applicable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Systems” column for the Part, may only exercise several components and would likely not result in the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same level of response action. Cyber Security Incidents that attempted to compromise an applicable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system, by their very nature, have less risk than an actual compromise. A Responsible Entity’s actual</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response to unauthorized access attempts and suspicious activities does not rise to the same level of</w:t>
      </w:r>
    </w:p>
    <w:p w14:paraId="7AD56CAC" w14:textId="77777777" w:rsidR="00BE206F" w:rsidRDefault="00BE206F" w:rsidP="00BE206F">
      <w:pPr>
        <w:autoSpaceDE w:val="0"/>
        <w:autoSpaceDN w:val="0"/>
        <w:adjustRightInd w:val="0"/>
        <w:spacing w:after="0" w:line="240" w:lineRule="auto"/>
        <w:ind w:left="720"/>
        <w:rPr>
          <w:rFonts w:ascii="Times New Roman" w:hAnsi="Times New Roman" w:cs="Times New Roman"/>
          <w:color w:val="000000"/>
          <w:sz w:val="26"/>
          <w:szCs w:val="26"/>
        </w:rPr>
      </w:pPr>
    </w:p>
    <w:p w14:paraId="20B6DAE8" w14:textId="6A04652D" w:rsidR="003F37F9"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required response that actual disruption of a BCS performing one or more reliability tasks would. For</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these reasons, the SDT did not change the acceptable testing methods of a response plan(s), and using</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records associated to attempts to compromise are not sufficient evidence to demonstrate compliance</w:t>
      </w:r>
      <w:r w:rsidR="00BE206F">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with the 15-month testing requirements.</w:t>
      </w:r>
    </w:p>
    <w:p w14:paraId="27042793" w14:textId="77777777" w:rsidR="00831CBD" w:rsidRDefault="00831CBD" w:rsidP="00BE206F">
      <w:pPr>
        <w:autoSpaceDE w:val="0"/>
        <w:autoSpaceDN w:val="0"/>
        <w:adjustRightInd w:val="0"/>
        <w:spacing w:after="0" w:line="240" w:lineRule="auto"/>
        <w:ind w:left="720"/>
        <w:rPr>
          <w:rFonts w:ascii="Times New Roman" w:hAnsi="Times New Roman" w:cs="Times New Roman"/>
          <w:color w:val="000000"/>
          <w:sz w:val="26"/>
          <w:szCs w:val="26"/>
        </w:rPr>
      </w:pPr>
    </w:p>
    <w:p w14:paraId="5C0B23D8" w14:textId="730BCEA9"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The sample process in Requirement R1.1 shows how an actual Reportable Cyber Security Incident is</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documented using the entity’s incident management system including how each role defined in</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Requirement R1.3 updates the incident ticket. The incident ticket is a permanent record of the incident</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including any actions undertaken. The Incident Management Coordinator is responsible for documenting</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deviations from the Cyber Incident response plan and initiating any corrections required in the process or</w:t>
      </w:r>
    </w:p>
    <w:p w14:paraId="59EFB112" w14:textId="77777777" w:rsidR="00A408EB"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documentation for meeting the Requirement. In addition, to assure sufficient evidence, records should be</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dated and should include documentation that sufficiently describes the actual or simulated scenario(s),</w:t>
      </w:r>
      <w:r>
        <w:rPr>
          <w:rFonts w:ascii="Times New Roman" w:hAnsi="Times New Roman" w:cs="Times New Roman"/>
          <w:color w:val="000000"/>
          <w:sz w:val="26"/>
          <w:szCs w:val="26"/>
        </w:rPr>
        <w:t xml:space="preserve"> </w:t>
      </w:r>
      <w:r w:rsidRPr="004E263E">
        <w:rPr>
          <w:rFonts w:ascii="Times New Roman" w:hAnsi="Times New Roman" w:cs="Times New Roman"/>
          <w:color w:val="000000"/>
          <w:sz w:val="26"/>
          <w:szCs w:val="26"/>
        </w:rPr>
        <w:t>response actions, event identifications and classifications, the application of Cyber Security Incident and</w:t>
      </w:r>
      <w:r>
        <w:rPr>
          <w:rFonts w:ascii="Times New Roman" w:hAnsi="Times New Roman" w:cs="Times New Roman"/>
          <w:color w:val="000000"/>
          <w:sz w:val="26"/>
          <w:szCs w:val="26"/>
        </w:rPr>
        <w:t xml:space="preserve"> </w:t>
      </w:r>
    </w:p>
    <w:p w14:paraId="6475E139" w14:textId="77777777" w:rsidR="00A408EB" w:rsidRDefault="00A408EB" w:rsidP="00BE206F">
      <w:pPr>
        <w:autoSpaceDE w:val="0"/>
        <w:autoSpaceDN w:val="0"/>
        <w:adjustRightInd w:val="0"/>
        <w:spacing w:after="0" w:line="240" w:lineRule="auto"/>
        <w:ind w:left="720"/>
        <w:rPr>
          <w:rFonts w:ascii="Times New Roman" w:hAnsi="Times New Roman" w:cs="Times New Roman"/>
          <w:color w:val="000000"/>
          <w:sz w:val="26"/>
          <w:szCs w:val="26"/>
        </w:rPr>
      </w:pPr>
    </w:p>
    <w:p w14:paraId="326B05B6" w14:textId="5B68F46D" w:rsidR="003F37F9" w:rsidRPr="004E263E" w:rsidRDefault="003F37F9" w:rsidP="00BE206F">
      <w:pPr>
        <w:autoSpaceDE w:val="0"/>
        <w:autoSpaceDN w:val="0"/>
        <w:adjustRightInd w:val="0"/>
        <w:spacing w:after="0" w:line="240" w:lineRule="auto"/>
        <w:ind w:left="720"/>
        <w:rPr>
          <w:rFonts w:ascii="Times New Roman" w:hAnsi="Times New Roman" w:cs="Times New Roman"/>
          <w:color w:val="000000"/>
          <w:sz w:val="26"/>
          <w:szCs w:val="26"/>
        </w:rPr>
      </w:pPr>
      <w:r w:rsidRPr="004E263E">
        <w:rPr>
          <w:rFonts w:ascii="Times New Roman" w:hAnsi="Times New Roman" w:cs="Times New Roman"/>
          <w:color w:val="000000"/>
          <w:sz w:val="26"/>
          <w:szCs w:val="26"/>
        </w:rPr>
        <w:t>reportability criteria, reportability determinations, and reporting submissions and timeframes.</w:t>
      </w:r>
    </w:p>
    <w:p w14:paraId="7D964CD2" w14:textId="54B1D65B" w:rsidR="003F37F9" w:rsidRDefault="003F37F9" w:rsidP="00BE206F">
      <w:pPr>
        <w:autoSpaceDE w:val="0"/>
        <w:autoSpaceDN w:val="0"/>
        <w:adjustRightInd w:val="0"/>
        <w:spacing w:after="0" w:line="240" w:lineRule="auto"/>
        <w:ind w:left="720"/>
        <w:rPr>
          <w:rFonts w:ascii="Times New Roman" w:hAnsi="Times New Roman" w:cs="Times New Roman"/>
          <w:iCs/>
          <w:color w:val="000000"/>
          <w:sz w:val="26"/>
          <w:szCs w:val="26"/>
        </w:rPr>
      </w:pPr>
    </w:p>
    <w:p w14:paraId="634E14E4" w14:textId="77777777" w:rsidR="003F37F9" w:rsidRPr="00564578" w:rsidRDefault="003F37F9" w:rsidP="00BE206F">
      <w:pPr>
        <w:autoSpaceDE w:val="0"/>
        <w:autoSpaceDN w:val="0"/>
        <w:adjustRightInd w:val="0"/>
        <w:spacing w:after="0" w:line="240" w:lineRule="auto"/>
        <w:ind w:left="720"/>
        <w:rPr>
          <w:rFonts w:ascii="Times New Roman" w:hAnsi="Times New Roman" w:cs="Times New Roman"/>
          <w:sz w:val="26"/>
          <w:szCs w:val="26"/>
        </w:rPr>
      </w:pPr>
      <w:r w:rsidRPr="003F37F9">
        <w:rPr>
          <w:rFonts w:ascii="Times New Roman" w:hAnsi="Times New Roman" w:cs="Times New Roman"/>
          <w:b/>
          <w:bCs/>
          <w:sz w:val="26"/>
          <w:szCs w:val="26"/>
        </w:rPr>
        <w:t>R2.1.</w:t>
      </w:r>
      <w:r w:rsidRPr="00564578">
        <w:rPr>
          <w:rFonts w:ascii="Times New Roman" w:hAnsi="Times New Roman" w:cs="Times New Roman"/>
          <w:b/>
          <w:bCs/>
          <w:sz w:val="26"/>
          <w:szCs w:val="26"/>
        </w:rPr>
        <w:t xml:space="preserve"> </w:t>
      </w:r>
      <w:r w:rsidRPr="00564578">
        <w:rPr>
          <w:rFonts w:ascii="Times New Roman" w:hAnsi="Times New Roman" w:cs="Times New Roman"/>
          <w:sz w:val="26"/>
          <w:szCs w:val="26"/>
        </w:rPr>
        <w:t>Test each Cyber Security Incident response plan(s) at least once every 15 calendar months:</w:t>
      </w:r>
    </w:p>
    <w:p w14:paraId="458466A3" w14:textId="77777777" w:rsidR="003F37F9" w:rsidRPr="00564578" w:rsidRDefault="003F37F9" w:rsidP="00BE206F">
      <w:pPr>
        <w:autoSpaceDE w:val="0"/>
        <w:autoSpaceDN w:val="0"/>
        <w:adjustRightInd w:val="0"/>
        <w:spacing w:after="0" w:line="240" w:lineRule="auto"/>
        <w:ind w:left="720"/>
        <w:rPr>
          <w:rFonts w:ascii="Times New Roman" w:hAnsi="Times New Roman" w:cs="Times New Roman"/>
          <w:sz w:val="26"/>
          <w:szCs w:val="26"/>
        </w:rPr>
      </w:pPr>
      <w:r w:rsidRPr="00564578">
        <w:rPr>
          <w:rFonts w:ascii="Times New Roman" w:eastAsia="SymbolMT" w:hAnsi="Times New Roman" w:cs="Times New Roman"/>
          <w:sz w:val="26"/>
          <w:szCs w:val="26"/>
        </w:rPr>
        <w:t xml:space="preserve"> </w:t>
      </w:r>
      <w:r w:rsidRPr="00564578">
        <w:rPr>
          <w:rFonts w:ascii="Times New Roman" w:hAnsi="Times New Roman" w:cs="Times New Roman"/>
          <w:sz w:val="26"/>
          <w:szCs w:val="26"/>
        </w:rPr>
        <w:t>By responding to an actual Reportable Cyber Security Incident;</w:t>
      </w:r>
    </w:p>
    <w:p w14:paraId="03626611" w14:textId="77777777" w:rsidR="003F37F9" w:rsidRPr="00564578" w:rsidRDefault="003F37F9" w:rsidP="00BE206F">
      <w:pPr>
        <w:autoSpaceDE w:val="0"/>
        <w:autoSpaceDN w:val="0"/>
        <w:adjustRightInd w:val="0"/>
        <w:spacing w:after="0" w:line="240" w:lineRule="auto"/>
        <w:ind w:left="720"/>
        <w:rPr>
          <w:rFonts w:ascii="Times New Roman" w:hAnsi="Times New Roman" w:cs="Times New Roman"/>
          <w:sz w:val="26"/>
          <w:szCs w:val="26"/>
        </w:rPr>
      </w:pPr>
      <w:r w:rsidRPr="00564578">
        <w:rPr>
          <w:rFonts w:ascii="Times New Roman" w:eastAsia="SymbolMT" w:hAnsi="Times New Roman" w:cs="Times New Roman"/>
          <w:sz w:val="26"/>
          <w:szCs w:val="26"/>
        </w:rPr>
        <w:t xml:space="preserve"> </w:t>
      </w:r>
      <w:r w:rsidRPr="00564578">
        <w:rPr>
          <w:rFonts w:ascii="Times New Roman" w:hAnsi="Times New Roman" w:cs="Times New Roman"/>
          <w:sz w:val="26"/>
          <w:szCs w:val="26"/>
        </w:rPr>
        <w:t>With a paper drill or tabletop exercise of a Reportable Cyber Security Incident; or</w:t>
      </w:r>
    </w:p>
    <w:p w14:paraId="70F24E66" w14:textId="5264F35B" w:rsidR="003F37F9" w:rsidRDefault="003F37F9" w:rsidP="00BE206F">
      <w:pPr>
        <w:tabs>
          <w:tab w:val="left" w:pos="720"/>
        </w:tabs>
        <w:autoSpaceDE w:val="0"/>
        <w:autoSpaceDN w:val="0"/>
        <w:adjustRightInd w:val="0"/>
        <w:spacing w:after="0" w:line="240" w:lineRule="auto"/>
        <w:ind w:left="720"/>
        <w:rPr>
          <w:rFonts w:ascii="Times New Roman" w:hAnsi="Times New Roman" w:cs="Times New Roman"/>
          <w:sz w:val="26"/>
          <w:szCs w:val="26"/>
        </w:rPr>
      </w:pPr>
      <w:r w:rsidRPr="00564578">
        <w:rPr>
          <w:rFonts w:ascii="Times New Roman" w:eastAsia="SymbolMT" w:hAnsi="Times New Roman" w:cs="Times New Roman"/>
          <w:sz w:val="26"/>
          <w:szCs w:val="26"/>
        </w:rPr>
        <w:t xml:space="preserve"> </w:t>
      </w:r>
      <w:r w:rsidRPr="00564578">
        <w:rPr>
          <w:rFonts w:ascii="Times New Roman" w:hAnsi="Times New Roman" w:cs="Times New Roman"/>
          <w:sz w:val="26"/>
          <w:szCs w:val="26"/>
        </w:rPr>
        <w:t>With an operational exercise of a Reportable Cyber Security Incident.</w:t>
      </w:r>
    </w:p>
    <w:p w14:paraId="05D8BF42" w14:textId="672DE83E" w:rsidR="001D7F04" w:rsidRDefault="001D7F04" w:rsidP="00BE206F">
      <w:pPr>
        <w:tabs>
          <w:tab w:val="left" w:pos="720"/>
        </w:tabs>
        <w:autoSpaceDE w:val="0"/>
        <w:autoSpaceDN w:val="0"/>
        <w:adjustRightInd w:val="0"/>
        <w:spacing w:after="0" w:line="240" w:lineRule="auto"/>
        <w:ind w:left="720"/>
        <w:rPr>
          <w:rFonts w:ascii="Times New Roman" w:hAnsi="Times New Roman" w:cs="Times New Roman"/>
          <w:sz w:val="26"/>
          <w:szCs w:val="26"/>
        </w:rPr>
      </w:pPr>
    </w:p>
    <w:p w14:paraId="6733853D" w14:textId="1743AABD" w:rsidR="001D7F04" w:rsidRPr="001D7F04" w:rsidRDefault="001D7F04" w:rsidP="00BE206F">
      <w:pPr>
        <w:autoSpaceDE w:val="0"/>
        <w:autoSpaceDN w:val="0"/>
        <w:adjustRightInd w:val="0"/>
        <w:spacing w:after="0" w:line="240" w:lineRule="auto"/>
        <w:ind w:left="720"/>
        <w:rPr>
          <w:rFonts w:ascii="Times New Roman" w:hAnsi="Times New Roman" w:cs="Times New Roman"/>
          <w:sz w:val="26"/>
          <w:szCs w:val="26"/>
        </w:rPr>
      </w:pPr>
      <w:r>
        <w:rPr>
          <w:rFonts w:ascii="Calibri-Bold" w:hAnsi="Calibri-Bold" w:cs="Calibri-Bold"/>
          <w:b/>
          <w:bCs/>
          <w:sz w:val="24"/>
          <w:szCs w:val="24"/>
        </w:rPr>
        <w:t xml:space="preserve">M2. </w:t>
      </w:r>
      <w:r w:rsidRPr="001D7F04">
        <w:rPr>
          <w:rFonts w:ascii="Times New Roman" w:hAnsi="Times New Roman" w:cs="Times New Roman"/>
          <w:sz w:val="26"/>
          <w:szCs w:val="26"/>
        </w:rPr>
        <w:t xml:space="preserve">Evidence must include, but is not limited to, documentation that collectively demonstrates implementation of each of the applicable requirement parts in </w:t>
      </w:r>
      <w:r w:rsidRPr="001D7F04">
        <w:rPr>
          <w:rFonts w:ascii="Times New Roman" w:hAnsi="Times New Roman" w:cs="Times New Roman"/>
          <w:i/>
          <w:iCs/>
          <w:sz w:val="26"/>
          <w:szCs w:val="26"/>
        </w:rPr>
        <w:t>CIP-008-6 Table R2 – Cyber Security Incident Response Plan Implementation and</w:t>
      </w:r>
      <w:r>
        <w:rPr>
          <w:rFonts w:ascii="Times New Roman" w:hAnsi="Times New Roman" w:cs="Times New Roman"/>
          <w:i/>
          <w:iCs/>
          <w:sz w:val="26"/>
          <w:szCs w:val="26"/>
        </w:rPr>
        <w:t xml:space="preserve"> </w:t>
      </w:r>
      <w:r w:rsidRPr="001D7F04">
        <w:rPr>
          <w:rFonts w:ascii="Times New Roman" w:hAnsi="Times New Roman" w:cs="Times New Roman"/>
          <w:i/>
          <w:iCs/>
          <w:sz w:val="26"/>
          <w:szCs w:val="26"/>
        </w:rPr>
        <w:t>Testing</w:t>
      </w:r>
      <w:r w:rsidRPr="001D7F04">
        <w:rPr>
          <w:rFonts w:ascii="Times New Roman" w:hAnsi="Times New Roman" w:cs="Times New Roman"/>
          <w:sz w:val="26"/>
          <w:szCs w:val="26"/>
        </w:rPr>
        <w:t>.</w:t>
      </w:r>
    </w:p>
    <w:p w14:paraId="183870E4" w14:textId="77777777" w:rsidR="00105650" w:rsidRPr="00564578" w:rsidRDefault="00105650" w:rsidP="00BE206F">
      <w:pPr>
        <w:tabs>
          <w:tab w:val="left" w:pos="720"/>
        </w:tabs>
        <w:autoSpaceDE w:val="0"/>
        <w:autoSpaceDN w:val="0"/>
        <w:adjustRightInd w:val="0"/>
        <w:spacing w:after="0" w:line="240" w:lineRule="auto"/>
        <w:ind w:left="720"/>
        <w:rPr>
          <w:rFonts w:ascii="Times New Roman" w:eastAsia="Calibri" w:hAnsi="Times New Roman" w:cs="Times New Roman"/>
          <w:sz w:val="26"/>
          <w:szCs w:val="26"/>
        </w:rPr>
      </w:pPr>
    </w:p>
    <w:p w14:paraId="004FBB29" w14:textId="3F24A12F" w:rsidR="00105650" w:rsidRDefault="00105650" w:rsidP="00BE206F">
      <w:pPr>
        <w:autoSpaceDE w:val="0"/>
        <w:autoSpaceDN w:val="0"/>
        <w:adjustRightInd w:val="0"/>
        <w:spacing w:after="0" w:line="240" w:lineRule="auto"/>
        <w:ind w:left="720"/>
        <w:rPr>
          <w:rFonts w:ascii="Times New Roman" w:eastAsia="Calibri" w:hAnsi="Times New Roman" w:cs="Times New Roman"/>
          <w:sz w:val="26"/>
          <w:szCs w:val="26"/>
        </w:rPr>
      </w:pPr>
      <w:r w:rsidRPr="003F37F9">
        <w:rPr>
          <w:rFonts w:ascii="Times New Roman" w:eastAsia="Calibri" w:hAnsi="Times New Roman" w:cs="Times New Roman"/>
          <w:b/>
          <w:sz w:val="26"/>
          <w:szCs w:val="26"/>
        </w:rPr>
        <w:t>R3.</w:t>
      </w:r>
      <w:r w:rsidRPr="00564578">
        <w:rPr>
          <w:rFonts w:ascii="Times New Roman" w:hAnsi="Times New Roman" w:cs="Times New Roman"/>
          <w:iCs/>
          <w:sz w:val="26"/>
          <w:szCs w:val="26"/>
        </w:rPr>
        <w:t xml:space="preserve"> Each Responsible Entity shall maintain each of its Cyber Security Incident response plans</w:t>
      </w:r>
      <w:r w:rsidR="003F37F9">
        <w:rPr>
          <w:rFonts w:ascii="Times New Roman" w:hAnsi="Times New Roman" w:cs="Times New Roman"/>
          <w:iCs/>
          <w:sz w:val="26"/>
          <w:szCs w:val="26"/>
        </w:rPr>
        <w:t xml:space="preserve"> </w:t>
      </w:r>
      <w:r w:rsidRPr="00564578">
        <w:rPr>
          <w:rFonts w:ascii="Times New Roman" w:hAnsi="Times New Roman" w:cs="Times New Roman"/>
          <w:iCs/>
          <w:sz w:val="26"/>
          <w:szCs w:val="26"/>
        </w:rPr>
        <w:t>according to each of the applicable requirement parts in CIP-008-6 Table R3 – Cyber Security</w:t>
      </w:r>
      <w:r w:rsidR="003F37F9">
        <w:rPr>
          <w:rFonts w:ascii="Times New Roman" w:hAnsi="Times New Roman" w:cs="Times New Roman"/>
          <w:iCs/>
          <w:sz w:val="26"/>
          <w:szCs w:val="26"/>
        </w:rPr>
        <w:t xml:space="preserve"> </w:t>
      </w:r>
      <w:r w:rsidRPr="00564578">
        <w:rPr>
          <w:rFonts w:ascii="Times New Roman" w:hAnsi="Times New Roman" w:cs="Times New Roman"/>
          <w:iCs/>
          <w:sz w:val="26"/>
          <w:szCs w:val="26"/>
        </w:rPr>
        <w:t>Incident Response Plan Review, Update, and Communication. [Violation Risk Factor: Lower] [Time Horizon: Operations Assessment].</w:t>
      </w:r>
      <w:r w:rsidRPr="00564578">
        <w:rPr>
          <w:rFonts w:ascii="Times New Roman" w:eastAsia="Calibri" w:hAnsi="Times New Roman" w:cs="Times New Roman"/>
          <w:sz w:val="26"/>
          <w:szCs w:val="26"/>
        </w:rPr>
        <w:t xml:space="preserve"> </w:t>
      </w:r>
    </w:p>
    <w:p w14:paraId="28D7C59A" w14:textId="77777777" w:rsidR="00105650" w:rsidRPr="00564578" w:rsidRDefault="00105650" w:rsidP="00BE206F">
      <w:pPr>
        <w:autoSpaceDE w:val="0"/>
        <w:autoSpaceDN w:val="0"/>
        <w:adjustRightInd w:val="0"/>
        <w:spacing w:after="0" w:line="240" w:lineRule="auto"/>
        <w:ind w:left="720"/>
        <w:rPr>
          <w:rFonts w:ascii="Times New Roman" w:eastAsia="Calibri" w:hAnsi="Times New Roman" w:cs="Times New Roman"/>
          <w:sz w:val="26"/>
          <w:szCs w:val="26"/>
        </w:rPr>
      </w:pPr>
    </w:p>
    <w:p w14:paraId="78C47DE2" w14:textId="77777777" w:rsidR="00105650" w:rsidRPr="00564578" w:rsidRDefault="00105650" w:rsidP="00BE206F">
      <w:pPr>
        <w:autoSpaceDE w:val="0"/>
        <w:autoSpaceDN w:val="0"/>
        <w:adjustRightInd w:val="0"/>
        <w:spacing w:after="0" w:line="240" w:lineRule="auto"/>
        <w:ind w:left="720"/>
        <w:rPr>
          <w:rFonts w:ascii="Times New Roman" w:hAnsi="Times New Roman" w:cs="Times New Roman"/>
          <w:b/>
          <w:bCs/>
          <w:sz w:val="26"/>
          <w:szCs w:val="26"/>
        </w:rPr>
      </w:pPr>
      <w:r w:rsidRPr="00564578">
        <w:rPr>
          <w:rFonts w:ascii="Times New Roman" w:hAnsi="Times New Roman" w:cs="Times New Roman"/>
          <w:b/>
          <w:bCs/>
          <w:sz w:val="26"/>
          <w:szCs w:val="26"/>
        </w:rPr>
        <w:t>General Considerations for R3</w:t>
      </w:r>
    </w:p>
    <w:p w14:paraId="251E383F" w14:textId="77777777" w:rsidR="00105650" w:rsidRPr="00564578" w:rsidRDefault="00105650" w:rsidP="00BE206F">
      <w:pPr>
        <w:autoSpaceDE w:val="0"/>
        <w:autoSpaceDN w:val="0"/>
        <w:adjustRightInd w:val="0"/>
        <w:spacing w:after="0" w:line="240" w:lineRule="auto"/>
        <w:ind w:left="720"/>
        <w:rPr>
          <w:rFonts w:ascii="Times New Roman" w:eastAsia="Calibri" w:hAnsi="Times New Roman" w:cs="Times New Roman"/>
          <w:sz w:val="26"/>
          <w:szCs w:val="26"/>
        </w:rPr>
      </w:pPr>
    </w:p>
    <w:p w14:paraId="13608728" w14:textId="77777777" w:rsidR="00105650" w:rsidRPr="00564578" w:rsidRDefault="00105650" w:rsidP="00BE206F">
      <w:pPr>
        <w:autoSpaceDE w:val="0"/>
        <w:autoSpaceDN w:val="0"/>
        <w:adjustRightInd w:val="0"/>
        <w:spacing w:after="0" w:line="240" w:lineRule="auto"/>
        <w:ind w:left="720"/>
        <w:rPr>
          <w:rFonts w:ascii="Times New Roman" w:hAnsi="Times New Roman" w:cs="Times New Roman"/>
          <w:iCs/>
          <w:sz w:val="26"/>
          <w:szCs w:val="26"/>
        </w:rPr>
      </w:pPr>
      <w:r w:rsidRPr="00564578">
        <w:rPr>
          <w:rFonts w:ascii="Times New Roman" w:hAnsi="Times New Roman" w:cs="Times New Roman"/>
          <w:iCs/>
          <w:sz w:val="26"/>
          <w:szCs w:val="26"/>
        </w:rPr>
        <w:t xml:space="preserve">The process of conducting lessons learned can involve the response team discussing the incident to determine gaps or areas of improvement within the plan. Any documented deviations from the plan from Part 2.2 can serve as input to the lessons learned. It is possible to have a Reportable Cyber Security Incident without any documented lessons learned. In such cases, the entity must retain documentation of the absence of any lessons learned associated with the Reportable Cyber Security Incident. </w:t>
      </w:r>
    </w:p>
    <w:p w14:paraId="32F70EE4" w14:textId="77777777" w:rsidR="00BE206F" w:rsidRDefault="00105650" w:rsidP="00BE206F">
      <w:pPr>
        <w:autoSpaceDE w:val="0"/>
        <w:autoSpaceDN w:val="0"/>
        <w:adjustRightInd w:val="0"/>
        <w:spacing w:after="0" w:line="240" w:lineRule="auto"/>
        <w:ind w:left="720"/>
        <w:rPr>
          <w:rFonts w:ascii="Times New Roman" w:hAnsi="Times New Roman" w:cs="Times New Roman"/>
          <w:iCs/>
          <w:sz w:val="26"/>
          <w:szCs w:val="26"/>
        </w:rPr>
      </w:pPr>
      <w:r w:rsidRPr="00564578">
        <w:rPr>
          <w:rFonts w:ascii="Times New Roman" w:hAnsi="Times New Roman" w:cs="Times New Roman"/>
          <w:iCs/>
          <w:sz w:val="26"/>
          <w:szCs w:val="26"/>
        </w:rPr>
        <w:t>Entities should consider meeting with all of the individuals involved in the incident and documenting</w:t>
      </w:r>
      <w:r w:rsidR="00564578" w:rsidRPr="00564578">
        <w:rPr>
          <w:rFonts w:ascii="Times New Roman" w:hAnsi="Times New Roman" w:cs="Times New Roman"/>
          <w:iCs/>
          <w:sz w:val="26"/>
          <w:szCs w:val="26"/>
        </w:rPr>
        <w:t xml:space="preserve"> </w:t>
      </w:r>
      <w:r w:rsidRPr="00564578">
        <w:rPr>
          <w:rFonts w:ascii="Times New Roman" w:hAnsi="Times New Roman" w:cs="Times New Roman"/>
          <w:iCs/>
          <w:sz w:val="26"/>
          <w:szCs w:val="26"/>
        </w:rPr>
        <w:t xml:space="preserve">the lessons learned as soon after the incident as possible. This allows more </w:t>
      </w:r>
    </w:p>
    <w:p w14:paraId="515F4114" w14:textId="77777777" w:rsidR="00BE206F" w:rsidRDefault="00BE206F" w:rsidP="00BE206F">
      <w:pPr>
        <w:autoSpaceDE w:val="0"/>
        <w:autoSpaceDN w:val="0"/>
        <w:adjustRightInd w:val="0"/>
        <w:spacing w:after="0" w:line="240" w:lineRule="auto"/>
        <w:ind w:left="720"/>
        <w:rPr>
          <w:rFonts w:ascii="Times New Roman" w:hAnsi="Times New Roman" w:cs="Times New Roman"/>
          <w:iCs/>
          <w:sz w:val="26"/>
          <w:szCs w:val="26"/>
        </w:rPr>
      </w:pPr>
    </w:p>
    <w:p w14:paraId="792DBAD5" w14:textId="4B031C3E" w:rsidR="00105650" w:rsidRPr="00564578" w:rsidRDefault="00105650" w:rsidP="00BE206F">
      <w:pPr>
        <w:autoSpaceDE w:val="0"/>
        <w:autoSpaceDN w:val="0"/>
        <w:adjustRightInd w:val="0"/>
        <w:spacing w:after="0" w:line="240" w:lineRule="auto"/>
        <w:ind w:left="720"/>
        <w:rPr>
          <w:rFonts w:ascii="Times New Roman" w:eastAsia="Calibri" w:hAnsi="Times New Roman" w:cs="Times New Roman"/>
          <w:sz w:val="26"/>
          <w:szCs w:val="26"/>
        </w:rPr>
      </w:pPr>
      <w:r w:rsidRPr="00564578">
        <w:rPr>
          <w:rFonts w:ascii="Times New Roman" w:hAnsi="Times New Roman" w:cs="Times New Roman"/>
          <w:iCs/>
          <w:sz w:val="26"/>
          <w:szCs w:val="26"/>
        </w:rPr>
        <w:t>time for making effective</w:t>
      </w:r>
      <w:r w:rsidR="00564578" w:rsidRPr="00564578">
        <w:rPr>
          <w:rFonts w:ascii="Times New Roman" w:hAnsi="Times New Roman" w:cs="Times New Roman"/>
          <w:iCs/>
          <w:sz w:val="26"/>
          <w:szCs w:val="26"/>
        </w:rPr>
        <w:t xml:space="preserve"> </w:t>
      </w:r>
      <w:r w:rsidRPr="00564578">
        <w:rPr>
          <w:rFonts w:ascii="Times New Roman" w:hAnsi="Times New Roman" w:cs="Times New Roman"/>
          <w:iCs/>
          <w:sz w:val="26"/>
          <w:szCs w:val="26"/>
        </w:rPr>
        <w:t>updates to the plan, obtaining any necessary approvals, and distributing those updates to the incident</w:t>
      </w:r>
      <w:r w:rsidR="00564578" w:rsidRPr="00564578">
        <w:rPr>
          <w:rFonts w:ascii="Times New Roman" w:hAnsi="Times New Roman" w:cs="Times New Roman"/>
          <w:iCs/>
          <w:sz w:val="26"/>
          <w:szCs w:val="26"/>
        </w:rPr>
        <w:t xml:space="preserve"> </w:t>
      </w:r>
      <w:r w:rsidRPr="00564578">
        <w:rPr>
          <w:rFonts w:ascii="Times New Roman" w:hAnsi="Times New Roman" w:cs="Times New Roman"/>
          <w:iCs/>
          <w:sz w:val="26"/>
          <w:szCs w:val="26"/>
        </w:rPr>
        <w:t>response team.</w:t>
      </w:r>
    </w:p>
    <w:p w14:paraId="6A656B26" w14:textId="77777777" w:rsidR="00105650" w:rsidRPr="00564578" w:rsidRDefault="00105650" w:rsidP="00BE206F">
      <w:pPr>
        <w:tabs>
          <w:tab w:val="left" w:pos="720"/>
        </w:tabs>
        <w:autoSpaceDE w:val="0"/>
        <w:autoSpaceDN w:val="0"/>
        <w:adjustRightInd w:val="0"/>
        <w:spacing w:after="0" w:line="240" w:lineRule="auto"/>
        <w:ind w:left="720"/>
        <w:rPr>
          <w:rFonts w:ascii="Times New Roman" w:eastAsia="Calibri" w:hAnsi="Times New Roman" w:cs="Times New Roman"/>
          <w:sz w:val="26"/>
          <w:szCs w:val="26"/>
        </w:rPr>
      </w:pPr>
    </w:p>
    <w:p w14:paraId="75056F84" w14:textId="77777777" w:rsidR="00E1548E" w:rsidRPr="00E1548E" w:rsidRDefault="00E1548E" w:rsidP="00BE206F">
      <w:pPr>
        <w:autoSpaceDE w:val="0"/>
        <w:autoSpaceDN w:val="0"/>
        <w:adjustRightInd w:val="0"/>
        <w:spacing w:after="0" w:line="240" w:lineRule="auto"/>
        <w:ind w:left="720"/>
        <w:rPr>
          <w:rFonts w:ascii="Times New Roman" w:hAnsi="Times New Roman" w:cs="Times New Roman"/>
          <w:b/>
          <w:bCs/>
          <w:sz w:val="26"/>
          <w:szCs w:val="26"/>
        </w:rPr>
      </w:pPr>
      <w:r w:rsidRPr="00E1548E">
        <w:rPr>
          <w:rFonts w:ascii="Times New Roman" w:hAnsi="Times New Roman" w:cs="Times New Roman"/>
          <w:b/>
          <w:bCs/>
          <w:sz w:val="26"/>
          <w:szCs w:val="26"/>
        </w:rPr>
        <w:t>Implementation Guidance for R3</w:t>
      </w:r>
    </w:p>
    <w:p w14:paraId="6C9423D8" w14:textId="77777777" w:rsidR="00E1548E" w:rsidRPr="00E1548E" w:rsidRDefault="00E1548E" w:rsidP="00BE206F">
      <w:pPr>
        <w:autoSpaceDE w:val="0"/>
        <w:autoSpaceDN w:val="0"/>
        <w:adjustRightInd w:val="0"/>
        <w:spacing w:after="0" w:line="240" w:lineRule="auto"/>
        <w:ind w:left="720"/>
        <w:rPr>
          <w:rFonts w:ascii="Times New Roman" w:hAnsi="Times New Roman" w:cs="Times New Roman"/>
          <w:sz w:val="26"/>
          <w:szCs w:val="26"/>
        </w:rPr>
      </w:pPr>
    </w:p>
    <w:p w14:paraId="641E083E" w14:textId="77777777" w:rsidR="00A408EB" w:rsidRDefault="00E1548E" w:rsidP="00BE206F">
      <w:pPr>
        <w:autoSpaceDE w:val="0"/>
        <w:autoSpaceDN w:val="0"/>
        <w:adjustRightInd w:val="0"/>
        <w:spacing w:after="0" w:line="240" w:lineRule="auto"/>
        <w:ind w:left="720"/>
        <w:rPr>
          <w:rFonts w:ascii="Times New Roman" w:hAnsi="Times New Roman" w:cs="Times New Roman"/>
          <w:sz w:val="26"/>
          <w:szCs w:val="26"/>
        </w:rPr>
      </w:pPr>
      <w:r w:rsidRPr="00E1548E">
        <w:rPr>
          <w:rFonts w:ascii="Times New Roman" w:hAnsi="Times New Roman" w:cs="Times New Roman"/>
          <w:sz w:val="26"/>
          <w:szCs w:val="26"/>
        </w:rPr>
        <w:t xml:space="preserve">The sample process in Requirement R1.1 shows how an actual Reportable Cyber Security Incident results in an update to Cyber Security Incident response plan, incorporating the “lessons learned”. The role of Incident Management Coordinator </w:t>
      </w:r>
    </w:p>
    <w:p w14:paraId="7DE57BD4" w14:textId="77777777" w:rsidR="00A408EB" w:rsidRDefault="00A408EB" w:rsidP="00BE206F">
      <w:pPr>
        <w:autoSpaceDE w:val="0"/>
        <w:autoSpaceDN w:val="0"/>
        <w:adjustRightInd w:val="0"/>
        <w:spacing w:after="0" w:line="240" w:lineRule="auto"/>
        <w:ind w:left="720"/>
        <w:rPr>
          <w:rFonts w:ascii="Times New Roman" w:hAnsi="Times New Roman" w:cs="Times New Roman"/>
          <w:sz w:val="26"/>
          <w:szCs w:val="26"/>
        </w:rPr>
      </w:pPr>
    </w:p>
    <w:p w14:paraId="29EF55F4" w14:textId="77777777" w:rsidR="00A408EB" w:rsidRDefault="00A408EB" w:rsidP="00BE206F">
      <w:pPr>
        <w:autoSpaceDE w:val="0"/>
        <w:autoSpaceDN w:val="0"/>
        <w:adjustRightInd w:val="0"/>
        <w:spacing w:after="0" w:line="240" w:lineRule="auto"/>
        <w:ind w:left="720"/>
        <w:rPr>
          <w:rFonts w:ascii="Times New Roman" w:hAnsi="Times New Roman" w:cs="Times New Roman"/>
          <w:sz w:val="26"/>
          <w:szCs w:val="26"/>
        </w:rPr>
      </w:pPr>
    </w:p>
    <w:p w14:paraId="6F88FFF4" w14:textId="67CC769D" w:rsidR="00831CBD" w:rsidRDefault="00E1548E" w:rsidP="00BE206F">
      <w:pPr>
        <w:autoSpaceDE w:val="0"/>
        <w:autoSpaceDN w:val="0"/>
        <w:adjustRightInd w:val="0"/>
        <w:spacing w:after="0" w:line="240" w:lineRule="auto"/>
        <w:ind w:left="720"/>
        <w:rPr>
          <w:rFonts w:ascii="Times New Roman" w:hAnsi="Times New Roman" w:cs="Times New Roman"/>
          <w:sz w:val="26"/>
          <w:szCs w:val="26"/>
        </w:rPr>
      </w:pPr>
      <w:r w:rsidRPr="00E1548E">
        <w:rPr>
          <w:rFonts w:ascii="Times New Roman" w:hAnsi="Times New Roman" w:cs="Times New Roman"/>
          <w:sz w:val="26"/>
          <w:szCs w:val="26"/>
        </w:rPr>
        <w:t xml:space="preserve">includes the responsibility for meeting Requirement R3. Registered Entities should assure updated </w:t>
      </w:r>
    </w:p>
    <w:p w14:paraId="4C201CB8" w14:textId="77777777" w:rsidR="00831CBD" w:rsidRDefault="00831CBD" w:rsidP="00BE206F">
      <w:pPr>
        <w:autoSpaceDE w:val="0"/>
        <w:autoSpaceDN w:val="0"/>
        <w:adjustRightInd w:val="0"/>
        <w:spacing w:after="0" w:line="240" w:lineRule="auto"/>
        <w:ind w:left="720"/>
        <w:rPr>
          <w:rFonts w:ascii="Times New Roman" w:hAnsi="Times New Roman" w:cs="Times New Roman"/>
          <w:sz w:val="26"/>
          <w:szCs w:val="26"/>
        </w:rPr>
      </w:pPr>
    </w:p>
    <w:p w14:paraId="0A301048" w14:textId="3613E1C6" w:rsidR="00E1548E" w:rsidRDefault="00E1548E" w:rsidP="00BE206F">
      <w:pPr>
        <w:autoSpaceDE w:val="0"/>
        <w:autoSpaceDN w:val="0"/>
        <w:adjustRightInd w:val="0"/>
        <w:spacing w:after="0" w:line="240" w:lineRule="auto"/>
        <w:ind w:left="720"/>
        <w:rPr>
          <w:rFonts w:ascii="Times New Roman" w:hAnsi="Times New Roman" w:cs="Times New Roman"/>
          <w:sz w:val="26"/>
          <w:szCs w:val="26"/>
        </w:rPr>
      </w:pPr>
      <w:r w:rsidRPr="00E1548E">
        <w:rPr>
          <w:rFonts w:ascii="Times New Roman" w:hAnsi="Times New Roman" w:cs="Times New Roman"/>
          <w:sz w:val="26"/>
          <w:szCs w:val="26"/>
        </w:rPr>
        <w:t>plans are dated in demonstration of the timelines mandated by Requirement R3. It may help to append these records to the dated Lessons Learned from an actual response or an exercise to test the plan to further demonstrate plan update timelines were met and relevant areas of the plan were updated to align with the outcomes and conclusions in the Lessons Learned.</w:t>
      </w:r>
    </w:p>
    <w:p w14:paraId="33C93BCD" w14:textId="26EB4E98" w:rsidR="001D7F04" w:rsidRDefault="001D7F04" w:rsidP="00BE206F">
      <w:pPr>
        <w:autoSpaceDE w:val="0"/>
        <w:autoSpaceDN w:val="0"/>
        <w:adjustRightInd w:val="0"/>
        <w:spacing w:after="0" w:line="240" w:lineRule="auto"/>
        <w:ind w:left="720"/>
        <w:rPr>
          <w:rFonts w:ascii="Times New Roman" w:hAnsi="Times New Roman" w:cs="Times New Roman"/>
          <w:sz w:val="26"/>
          <w:szCs w:val="26"/>
        </w:rPr>
      </w:pPr>
    </w:p>
    <w:p w14:paraId="2F8BF2B8" w14:textId="3A8F32AB" w:rsidR="001D7F04" w:rsidRPr="001D7F04" w:rsidRDefault="001D7F04" w:rsidP="00BE206F">
      <w:pPr>
        <w:autoSpaceDE w:val="0"/>
        <w:autoSpaceDN w:val="0"/>
        <w:adjustRightInd w:val="0"/>
        <w:spacing w:after="0" w:line="240" w:lineRule="auto"/>
        <w:ind w:left="720"/>
        <w:rPr>
          <w:rFonts w:ascii="Times New Roman" w:hAnsi="Times New Roman" w:cs="Times New Roman"/>
          <w:sz w:val="26"/>
          <w:szCs w:val="26"/>
        </w:rPr>
      </w:pPr>
      <w:r>
        <w:rPr>
          <w:rFonts w:ascii="Calibri-Bold" w:hAnsi="Calibri-Bold" w:cs="Calibri-Bold"/>
          <w:b/>
          <w:bCs/>
          <w:sz w:val="24"/>
          <w:szCs w:val="24"/>
        </w:rPr>
        <w:t xml:space="preserve">M3. </w:t>
      </w:r>
      <w:r w:rsidRPr="001D7F04">
        <w:rPr>
          <w:rFonts w:ascii="Times New Roman" w:hAnsi="Times New Roman" w:cs="Times New Roman"/>
          <w:sz w:val="26"/>
          <w:szCs w:val="26"/>
        </w:rPr>
        <w:t xml:space="preserve">Evidence must include, but is not limited to, documentation that collectively demonstrates maintenance of each Cyber Security Incident response plan according to the applicable requirement parts in </w:t>
      </w:r>
      <w:r w:rsidRPr="001D7F04">
        <w:rPr>
          <w:rFonts w:ascii="Times New Roman" w:hAnsi="Times New Roman" w:cs="Times New Roman"/>
          <w:i/>
          <w:iCs/>
          <w:sz w:val="26"/>
          <w:szCs w:val="26"/>
        </w:rPr>
        <w:t>CIP-008-6 Table R3 – Cyber Security Incident Response Plan Review, Update, and Communication.</w:t>
      </w:r>
    </w:p>
    <w:p w14:paraId="1841F9AB" w14:textId="77777777" w:rsidR="001D7F04" w:rsidRPr="00E1548E" w:rsidRDefault="001D7F04" w:rsidP="00BE206F">
      <w:pPr>
        <w:autoSpaceDE w:val="0"/>
        <w:autoSpaceDN w:val="0"/>
        <w:adjustRightInd w:val="0"/>
        <w:spacing w:after="0" w:line="240" w:lineRule="auto"/>
        <w:ind w:left="720"/>
        <w:rPr>
          <w:rFonts w:ascii="Times New Roman" w:hAnsi="Times New Roman" w:cs="Times New Roman"/>
          <w:iCs/>
          <w:sz w:val="26"/>
          <w:szCs w:val="26"/>
        </w:rPr>
      </w:pPr>
    </w:p>
    <w:p w14:paraId="24E2E4F0" w14:textId="77777777" w:rsidR="003F37F9" w:rsidRDefault="003F37F9" w:rsidP="00BE206F">
      <w:pPr>
        <w:autoSpaceDE w:val="0"/>
        <w:autoSpaceDN w:val="0"/>
        <w:adjustRightInd w:val="0"/>
        <w:spacing w:after="0" w:line="240" w:lineRule="auto"/>
        <w:ind w:left="720"/>
        <w:rPr>
          <w:rFonts w:ascii="Times New Roman" w:hAnsi="Times New Roman" w:cs="Times New Roman"/>
          <w:iCs/>
          <w:sz w:val="26"/>
          <w:szCs w:val="26"/>
        </w:rPr>
      </w:pPr>
      <w:r w:rsidRPr="003F37F9">
        <w:rPr>
          <w:rFonts w:ascii="Times New Roman" w:eastAsia="Calibri" w:hAnsi="Times New Roman" w:cs="Times New Roman"/>
          <w:b/>
          <w:sz w:val="26"/>
          <w:szCs w:val="26"/>
        </w:rPr>
        <w:t>R4.</w:t>
      </w:r>
      <w:r w:rsidRPr="00564578">
        <w:rPr>
          <w:rFonts w:ascii="Times New Roman" w:eastAsia="Calibri" w:hAnsi="Times New Roman" w:cs="Times New Roman"/>
          <w:sz w:val="26"/>
          <w:szCs w:val="26"/>
        </w:rPr>
        <w:t xml:space="preserve"> </w:t>
      </w:r>
      <w:r w:rsidRPr="00564578">
        <w:rPr>
          <w:rFonts w:ascii="Times New Roman" w:hAnsi="Times New Roman" w:cs="Times New Roman"/>
          <w:sz w:val="26"/>
          <w:szCs w:val="26"/>
        </w:rPr>
        <w:t xml:space="preserve">Each Responsible Entity shall notify the Electricity Information Sharing and Analysis Center (E-ISAC) and, if subject to the jurisdiction of the United States, the United States National Cybersecurity and Communications Integration Center (NCCIC), or their successors, of a Reportable Cyber Security Incident and a Cyber Security Incident that was an attempt to compromise, as determined by applying the criteria from Requirement R1 Part 1.2.1, a system identified in the “Applicable Systems” column, unless prohibited by law, in accordance with each of the applicable requirement parts in </w:t>
      </w:r>
      <w:r w:rsidRPr="00564578">
        <w:rPr>
          <w:rFonts w:ascii="Times New Roman" w:hAnsi="Times New Roman" w:cs="Times New Roman"/>
          <w:iCs/>
          <w:sz w:val="26"/>
          <w:szCs w:val="26"/>
        </w:rPr>
        <w:t>CIP-008-6 Table R4 – Notifications and Reporting for Cyber Security Incidents</w:t>
      </w:r>
      <w:r w:rsidRPr="00564578">
        <w:rPr>
          <w:rFonts w:ascii="Times New Roman" w:hAnsi="Times New Roman" w:cs="Times New Roman"/>
          <w:sz w:val="26"/>
          <w:szCs w:val="26"/>
        </w:rPr>
        <w:t xml:space="preserve">. </w:t>
      </w:r>
      <w:r w:rsidRPr="00564578">
        <w:rPr>
          <w:rFonts w:ascii="Times New Roman" w:hAnsi="Times New Roman" w:cs="Times New Roman"/>
          <w:iCs/>
          <w:sz w:val="26"/>
          <w:szCs w:val="26"/>
        </w:rPr>
        <w:t>[Violation Risk Factor: Lower] [Time Horizon: Operations Assessment].</w:t>
      </w:r>
    </w:p>
    <w:p w14:paraId="591EA4AA" w14:textId="77777777" w:rsidR="00105650" w:rsidRPr="00E1548E" w:rsidRDefault="00105650" w:rsidP="00BE206F">
      <w:pPr>
        <w:autoSpaceDE w:val="0"/>
        <w:autoSpaceDN w:val="0"/>
        <w:adjustRightInd w:val="0"/>
        <w:spacing w:after="0" w:line="240" w:lineRule="auto"/>
        <w:ind w:left="720"/>
        <w:rPr>
          <w:rFonts w:ascii="Times New Roman" w:eastAsia="Calibri" w:hAnsi="Times New Roman" w:cs="Times New Roman"/>
          <w:sz w:val="26"/>
          <w:szCs w:val="26"/>
        </w:rPr>
      </w:pPr>
    </w:p>
    <w:p w14:paraId="079FE368" w14:textId="77777777" w:rsidR="00105650" w:rsidRPr="00E1548E" w:rsidRDefault="00105650" w:rsidP="00BE206F">
      <w:pPr>
        <w:autoSpaceDE w:val="0"/>
        <w:autoSpaceDN w:val="0"/>
        <w:adjustRightInd w:val="0"/>
        <w:spacing w:after="0" w:line="240" w:lineRule="auto"/>
        <w:ind w:left="720"/>
        <w:rPr>
          <w:rFonts w:ascii="Times New Roman" w:hAnsi="Times New Roman" w:cs="Times New Roman"/>
          <w:b/>
          <w:bCs/>
          <w:sz w:val="26"/>
          <w:szCs w:val="26"/>
        </w:rPr>
      </w:pPr>
      <w:r w:rsidRPr="00E1548E">
        <w:rPr>
          <w:rFonts w:ascii="Times New Roman" w:hAnsi="Times New Roman" w:cs="Times New Roman"/>
          <w:b/>
          <w:bCs/>
          <w:sz w:val="26"/>
          <w:szCs w:val="26"/>
        </w:rPr>
        <w:t>General Considerations for R4</w:t>
      </w:r>
    </w:p>
    <w:p w14:paraId="1BE3B180" w14:textId="77777777" w:rsidR="00E1548E" w:rsidRPr="00E1548E" w:rsidRDefault="00E1548E" w:rsidP="00BE206F">
      <w:pPr>
        <w:autoSpaceDE w:val="0"/>
        <w:autoSpaceDN w:val="0"/>
        <w:adjustRightInd w:val="0"/>
        <w:spacing w:after="0" w:line="240" w:lineRule="auto"/>
        <w:ind w:left="720"/>
        <w:rPr>
          <w:rFonts w:ascii="Times New Roman" w:hAnsi="Times New Roman" w:cs="Times New Roman"/>
          <w:sz w:val="26"/>
          <w:szCs w:val="26"/>
        </w:rPr>
      </w:pPr>
    </w:p>
    <w:p w14:paraId="7E45ED32" w14:textId="77777777" w:rsidR="00BE206F" w:rsidRDefault="00105650" w:rsidP="00BE206F">
      <w:pPr>
        <w:autoSpaceDE w:val="0"/>
        <w:autoSpaceDN w:val="0"/>
        <w:adjustRightInd w:val="0"/>
        <w:spacing w:after="0" w:line="240" w:lineRule="auto"/>
        <w:ind w:left="720"/>
        <w:rPr>
          <w:rFonts w:ascii="Times New Roman" w:hAnsi="Times New Roman" w:cs="Times New Roman"/>
          <w:sz w:val="26"/>
          <w:szCs w:val="26"/>
        </w:rPr>
      </w:pPr>
      <w:r w:rsidRPr="00E1548E">
        <w:rPr>
          <w:rFonts w:ascii="Times New Roman" w:hAnsi="Times New Roman" w:cs="Times New Roman"/>
          <w:sz w:val="26"/>
          <w:szCs w:val="26"/>
        </w:rPr>
        <w:t xml:space="preserve">Registered Entities may want to consider designing tools or mechanisms to assure incident responders have the information needed to efficiently and timely report events or conditions that rise to the level of reportability. A potential approach is to include the E-ISAC/NCCIC phone numbers in response plans, calling trees, or even within corporate directories for ease of retrieval. Another potential approach is to develop a distribution list that includes both entities so one notification can easily be sent at the same time. Certainly, Registered Entities should consider implementing secure methods for transit if using email. Another approach could be to incorporate website URLs into processes to have them at hand. Finally, for Registered Entities that prefer to leverage secure portals </w:t>
      </w:r>
    </w:p>
    <w:p w14:paraId="126EB65A" w14:textId="77777777" w:rsidR="00BE206F" w:rsidRDefault="00BE206F" w:rsidP="00BE206F">
      <w:pPr>
        <w:autoSpaceDE w:val="0"/>
        <w:autoSpaceDN w:val="0"/>
        <w:adjustRightInd w:val="0"/>
        <w:spacing w:after="0" w:line="240" w:lineRule="auto"/>
        <w:ind w:left="720"/>
        <w:rPr>
          <w:rFonts w:ascii="Times New Roman" w:hAnsi="Times New Roman" w:cs="Times New Roman"/>
          <w:sz w:val="26"/>
          <w:szCs w:val="26"/>
        </w:rPr>
      </w:pPr>
    </w:p>
    <w:p w14:paraId="091D2F21" w14:textId="5BA98C0D" w:rsidR="00105650" w:rsidRPr="00E1548E" w:rsidRDefault="00105650" w:rsidP="00BE206F">
      <w:pPr>
        <w:autoSpaceDE w:val="0"/>
        <w:autoSpaceDN w:val="0"/>
        <w:adjustRightInd w:val="0"/>
        <w:spacing w:after="0" w:line="240" w:lineRule="auto"/>
        <w:ind w:left="720"/>
        <w:rPr>
          <w:rFonts w:ascii="Times New Roman" w:hAnsi="Times New Roman" w:cs="Times New Roman"/>
          <w:sz w:val="26"/>
          <w:szCs w:val="26"/>
        </w:rPr>
      </w:pPr>
      <w:r w:rsidRPr="00E1548E">
        <w:rPr>
          <w:rFonts w:ascii="Times New Roman" w:hAnsi="Times New Roman" w:cs="Times New Roman"/>
          <w:sz w:val="26"/>
          <w:szCs w:val="26"/>
        </w:rPr>
        <w:t>for E-ISAC or NCCIC, advance planning by having individual user portal accounts requested, authorized, configured, and tested is encouraged ad</w:t>
      </w:r>
    </w:p>
    <w:p w14:paraId="3FA5BE3C" w14:textId="53C4F0C9" w:rsidR="00F329BD" w:rsidRDefault="00105650" w:rsidP="00BE206F">
      <w:pPr>
        <w:tabs>
          <w:tab w:val="left" w:pos="720"/>
        </w:tabs>
        <w:autoSpaceDE w:val="0"/>
        <w:autoSpaceDN w:val="0"/>
        <w:adjustRightInd w:val="0"/>
        <w:spacing w:after="0" w:line="240" w:lineRule="auto"/>
        <w:ind w:left="720"/>
        <w:rPr>
          <w:rFonts w:ascii="Times New Roman" w:hAnsi="Times New Roman" w:cs="Times New Roman"/>
          <w:sz w:val="26"/>
          <w:szCs w:val="26"/>
        </w:rPr>
      </w:pPr>
      <w:r w:rsidRPr="00E1548E">
        <w:rPr>
          <w:rFonts w:ascii="Times New Roman" w:hAnsi="Times New Roman" w:cs="Times New Roman"/>
          <w:sz w:val="26"/>
          <w:szCs w:val="26"/>
        </w:rPr>
        <w:t>can be a time saver in emergency situations.</w:t>
      </w:r>
    </w:p>
    <w:p w14:paraId="547FD4F1" w14:textId="77777777" w:rsidR="00E1548E" w:rsidRPr="00E1548E" w:rsidRDefault="00E1548E" w:rsidP="00BE206F">
      <w:pPr>
        <w:tabs>
          <w:tab w:val="left" w:pos="720"/>
        </w:tabs>
        <w:autoSpaceDE w:val="0"/>
        <w:autoSpaceDN w:val="0"/>
        <w:adjustRightInd w:val="0"/>
        <w:spacing w:after="0" w:line="240" w:lineRule="auto"/>
        <w:ind w:left="720"/>
        <w:rPr>
          <w:rFonts w:ascii="Times New Roman" w:hAnsi="Times New Roman" w:cs="Times New Roman"/>
          <w:sz w:val="26"/>
          <w:szCs w:val="26"/>
        </w:rPr>
      </w:pPr>
    </w:p>
    <w:p w14:paraId="471916E3" w14:textId="77777777" w:rsidR="00E1548E" w:rsidRPr="00E1548E" w:rsidRDefault="00E1548E" w:rsidP="00BE206F">
      <w:pPr>
        <w:autoSpaceDE w:val="0"/>
        <w:autoSpaceDN w:val="0"/>
        <w:adjustRightInd w:val="0"/>
        <w:spacing w:after="0" w:line="240" w:lineRule="auto"/>
        <w:ind w:left="720"/>
        <w:rPr>
          <w:rFonts w:ascii="Times New Roman" w:hAnsi="Times New Roman" w:cs="Times New Roman"/>
          <w:b/>
          <w:bCs/>
          <w:sz w:val="26"/>
          <w:szCs w:val="26"/>
        </w:rPr>
      </w:pPr>
      <w:r w:rsidRPr="00E1548E">
        <w:rPr>
          <w:rFonts w:ascii="Times New Roman" w:hAnsi="Times New Roman" w:cs="Times New Roman"/>
          <w:b/>
          <w:bCs/>
          <w:sz w:val="26"/>
          <w:szCs w:val="26"/>
        </w:rPr>
        <w:t>Implementation Guidance for R4</w:t>
      </w:r>
    </w:p>
    <w:p w14:paraId="26C48614" w14:textId="77777777" w:rsidR="00313E18" w:rsidRDefault="00313E18" w:rsidP="00BE206F">
      <w:pPr>
        <w:autoSpaceDE w:val="0"/>
        <w:autoSpaceDN w:val="0"/>
        <w:adjustRightInd w:val="0"/>
        <w:spacing w:after="0" w:line="240" w:lineRule="auto"/>
        <w:ind w:left="720"/>
        <w:rPr>
          <w:rFonts w:ascii="Times New Roman" w:hAnsi="Times New Roman" w:cs="Times New Roman"/>
          <w:sz w:val="26"/>
          <w:szCs w:val="26"/>
        </w:rPr>
      </w:pPr>
    </w:p>
    <w:p w14:paraId="34989044" w14:textId="5A4BBDFD" w:rsidR="00E1548E" w:rsidRPr="00E1548E" w:rsidRDefault="00E1548E" w:rsidP="00BE206F">
      <w:pPr>
        <w:autoSpaceDE w:val="0"/>
        <w:autoSpaceDN w:val="0"/>
        <w:adjustRightInd w:val="0"/>
        <w:spacing w:after="0" w:line="240" w:lineRule="auto"/>
        <w:ind w:left="720"/>
        <w:rPr>
          <w:rFonts w:ascii="Times New Roman" w:hAnsi="Times New Roman" w:cs="Times New Roman"/>
          <w:sz w:val="26"/>
          <w:szCs w:val="26"/>
        </w:rPr>
      </w:pPr>
      <w:r w:rsidRPr="00E1548E">
        <w:rPr>
          <w:rFonts w:ascii="Times New Roman" w:hAnsi="Times New Roman" w:cs="Times New Roman"/>
          <w:sz w:val="26"/>
          <w:szCs w:val="26"/>
        </w:rPr>
        <w:t>The sample process in Requirement R1.1 shows how initial notification and updates of the required attributes is performed within the specified time lines (yellow colored tasks).</w:t>
      </w:r>
    </w:p>
    <w:p w14:paraId="5BE33EF8" w14:textId="089F7A80" w:rsidR="00E1548E" w:rsidRDefault="00E1548E" w:rsidP="00BE206F">
      <w:pPr>
        <w:tabs>
          <w:tab w:val="left" w:pos="720"/>
        </w:tabs>
        <w:autoSpaceDE w:val="0"/>
        <w:autoSpaceDN w:val="0"/>
        <w:adjustRightInd w:val="0"/>
        <w:spacing w:after="0" w:line="240" w:lineRule="auto"/>
        <w:ind w:left="720"/>
        <w:rPr>
          <w:rFonts w:ascii="Times New Roman" w:hAnsi="Times New Roman" w:cs="Times New Roman"/>
          <w:sz w:val="26"/>
          <w:szCs w:val="26"/>
        </w:rPr>
      </w:pPr>
      <w:r w:rsidRPr="00E1548E">
        <w:rPr>
          <w:rFonts w:ascii="Times New Roman" w:hAnsi="Times New Roman" w:cs="Times New Roman"/>
          <w:sz w:val="26"/>
          <w:szCs w:val="26"/>
        </w:rPr>
        <w:t>For attributes that are not known, these should be reported as “unknown”</w:t>
      </w:r>
    </w:p>
    <w:p w14:paraId="692B3B9E" w14:textId="3A9B024D" w:rsidR="00422E87" w:rsidRDefault="00422E87" w:rsidP="00BE206F">
      <w:pPr>
        <w:tabs>
          <w:tab w:val="left" w:pos="720"/>
        </w:tabs>
        <w:autoSpaceDE w:val="0"/>
        <w:autoSpaceDN w:val="0"/>
        <w:adjustRightInd w:val="0"/>
        <w:spacing w:after="0" w:line="240" w:lineRule="auto"/>
        <w:ind w:left="720"/>
        <w:rPr>
          <w:rFonts w:ascii="Times New Roman" w:hAnsi="Times New Roman" w:cs="Times New Roman"/>
          <w:sz w:val="26"/>
          <w:szCs w:val="26"/>
        </w:rPr>
      </w:pPr>
    </w:p>
    <w:p w14:paraId="67B41F02" w14:textId="1F76F540" w:rsidR="00422E87" w:rsidRPr="001D7F04" w:rsidRDefault="001D7F04" w:rsidP="00BE206F">
      <w:pPr>
        <w:autoSpaceDE w:val="0"/>
        <w:autoSpaceDN w:val="0"/>
        <w:adjustRightInd w:val="0"/>
        <w:spacing w:after="0" w:line="240" w:lineRule="auto"/>
        <w:ind w:left="720"/>
        <w:rPr>
          <w:rFonts w:ascii="Times New Roman" w:eastAsia="Calibri" w:hAnsi="Times New Roman" w:cs="Times New Roman"/>
          <w:sz w:val="26"/>
          <w:szCs w:val="26"/>
        </w:rPr>
      </w:pPr>
      <w:r>
        <w:rPr>
          <w:rFonts w:ascii="Calibri-Bold" w:hAnsi="Calibri-Bold" w:cs="Calibri-Bold"/>
          <w:b/>
          <w:bCs/>
          <w:sz w:val="24"/>
          <w:szCs w:val="24"/>
        </w:rPr>
        <w:t xml:space="preserve">M4. </w:t>
      </w:r>
      <w:r w:rsidRPr="001D7F04">
        <w:rPr>
          <w:rFonts w:ascii="Times New Roman" w:hAnsi="Times New Roman" w:cs="Times New Roman"/>
          <w:sz w:val="26"/>
          <w:szCs w:val="26"/>
        </w:rPr>
        <w:t xml:space="preserve">Evidence must include, but is not limited to, documentation that collectively demonstrates notification of each determined Reportable Cyber Security Incident according to the applicable requirement parts in </w:t>
      </w:r>
      <w:r w:rsidRPr="001D7F04">
        <w:rPr>
          <w:rFonts w:ascii="Times New Roman" w:hAnsi="Times New Roman" w:cs="Times New Roman"/>
          <w:i/>
          <w:iCs/>
          <w:sz w:val="26"/>
          <w:szCs w:val="26"/>
        </w:rPr>
        <w:t>CIP-008-6 Table R4 – Notifications and Reporting for Cyber Security Incidents.</w:t>
      </w:r>
    </w:p>
    <w:p w14:paraId="37F387C3" w14:textId="3C565630" w:rsidR="00105650" w:rsidRDefault="00105650" w:rsidP="00BE206F">
      <w:pPr>
        <w:tabs>
          <w:tab w:val="left" w:pos="720"/>
        </w:tabs>
        <w:autoSpaceDE w:val="0"/>
        <w:autoSpaceDN w:val="0"/>
        <w:adjustRightInd w:val="0"/>
        <w:spacing w:after="0" w:line="240" w:lineRule="auto"/>
        <w:ind w:left="720"/>
        <w:rPr>
          <w:rFonts w:ascii="Times New Roman" w:eastAsia="Calibri" w:hAnsi="Times New Roman" w:cs="Times New Roman"/>
          <w:sz w:val="26"/>
          <w:szCs w:val="26"/>
        </w:rPr>
      </w:pPr>
    </w:p>
    <w:p w14:paraId="125BAE0F" w14:textId="4D158155" w:rsidR="00BE206F" w:rsidRPr="008A3F2C" w:rsidRDefault="00BE206F" w:rsidP="00BE206F">
      <w:pPr>
        <w:autoSpaceDE w:val="0"/>
        <w:autoSpaceDN w:val="0"/>
        <w:adjustRightInd w:val="0"/>
        <w:spacing w:after="0" w:line="240" w:lineRule="auto"/>
        <w:ind w:left="720"/>
        <w:rPr>
          <w:rFonts w:ascii="Times New Roman" w:hAnsi="Times New Roman" w:cs="Times New Roman"/>
          <w:b/>
          <w:bCs/>
          <w:sz w:val="26"/>
          <w:szCs w:val="26"/>
        </w:rPr>
      </w:pPr>
      <w:r w:rsidRPr="008A3F2C">
        <w:rPr>
          <w:rFonts w:ascii="Times New Roman" w:hAnsi="Times New Roman" w:cs="Times New Roman"/>
          <w:b/>
          <w:bCs/>
          <w:sz w:val="26"/>
          <w:szCs w:val="26"/>
        </w:rPr>
        <w:t>Evidence Retention</w:t>
      </w:r>
      <w:r w:rsidR="00616332" w:rsidRPr="00616332">
        <w:rPr>
          <w:rStyle w:val="FootnoteReference"/>
          <w:rFonts w:ascii="Times New Roman" w:hAnsi="Times New Roman" w:cs="Times New Roman"/>
          <w:b/>
          <w:bCs/>
          <w:sz w:val="26"/>
          <w:szCs w:val="26"/>
          <w:vertAlign w:val="superscript"/>
        </w:rPr>
        <w:footnoteReference w:id="17"/>
      </w:r>
      <w:r w:rsidRPr="008A3F2C">
        <w:rPr>
          <w:rFonts w:ascii="Times New Roman" w:hAnsi="Times New Roman" w:cs="Times New Roman"/>
          <w:b/>
          <w:bCs/>
          <w:sz w:val="26"/>
          <w:szCs w:val="26"/>
        </w:rPr>
        <w:t>:</w:t>
      </w:r>
    </w:p>
    <w:p w14:paraId="2D9A9972" w14:textId="77777777" w:rsidR="00BE206F" w:rsidRDefault="00BE206F" w:rsidP="00BE206F">
      <w:pPr>
        <w:autoSpaceDE w:val="0"/>
        <w:autoSpaceDN w:val="0"/>
        <w:adjustRightInd w:val="0"/>
        <w:spacing w:after="0" w:line="240" w:lineRule="auto"/>
        <w:ind w:left="720"/>
        <w:rPr>
          <w:rFonts w:ascii="Calibri-Bold" w:hAnsi="Calibri-Bold" w:cs="Calibri-Bold"/>
          <w:b/>
          <w:bCs/>
          <w:sz w:val="24"/>
          <w:szCs w:val="24"/>
        </w:rPr>
      </w:pPr>
    </w:p>
    <w:p w14:paraId="3E3C408C" w14:textId="47981A4B" w:rsidR="00BE206F" w:rsidRPr="00BE206F" w:rsidRDefault="00BE206F" w:rsidP="00BE206F">
      <w:pPr>
        <w:autoSpaceDE w:val="0"/>
        <w:autoSpaceDN w:val="0"/>
        <w:adjustRightInd w:val="0"/>
        <w:spacing w:after="0" w:line="240" w:lineRule="auto"/>
        <w:ind w:left="720"/>
        <w:rPr>
          <w:rFonts w:ascii="Times New Roman" w:hAnsi="Times New Roman" w:cs="Times New Roman"/>
          <w:sz w:val="26"/>
          <w:szCs w:val="26"/>
        </w:rPr>
      </w:pPr>
      <w:r w:rsidRPr="00BE206F">
        <w:rPr>
          <w:rFonts w:ascii="Times New Roman" w:hAnsi="Times New Roman" w:cs="Times New Roman"/>
          <w:sz w:val="26"/>
          <w:szCs w:val="26"/>
        </w:rPr>
        <w:t xml:space="preserve">The following </w:t>
      </w:r>
      <w:bookmarkStart w:id="3" w:name="_Hlk25147393"/>
      <w:r w:rsidRPr="00BE206F">
        <w:rPr>
          <w:rFonts w:ascii="Times New Roman" w:hAnsi="Times New Roman" w:cs="Times New Roman"/>
          <w:sz w:val="26"/>
          <w:szCs w:val="26"/>
        </w:rPr>
        <w:t>evidence retention periods identify the period of time an entity is required to</w:t>
      </w:r>
      <w:r w:rsidR="00A205C9">
        <w:rPr>
          <w:rFonts w:ascii="Times New Roman" w:hAnsi="Times New Roman" w:cs="Times New Roman"/>
          <w:sz w:val="26"/>
          <w:szCs w:val="26"/>
        </w:rPr>
        <w:t xml:space="preserve"> </w:t>
      </w:r>
      <w:r w:rsidRPr="00BE206F">
        <w:rPr>
          <w:rFonts w:ascii="Times New Roman" w:hAnsi="Times New Roman" w:cs="Times New Roman"/>
          <w:sz w:val="26"/>
          <w:szCs w:val="26"/>
        </w:rPr>
        <w:t>retain specific evidence to demonstrate compliance</w:t>
      </w:r>
      <w:bookmarkEnd w:id="3"/>
      <w:r w:rsidRPr="00BE206F">
        <w:rPr>
          <w:rFonts w:ascii="Times New Roman" w:hAnsi="Times New Roman" w:cs="Times New Roman"/>
          <w:sz w:val="26"/>
          <w:szCs w:val="26"/>
        </w:rPr>
        <w:t>. For instances where the evidence</w:t>
      </w:r>
      <w:r w:rsidR="00A205C9">
        <w:rPr>
          <w:rFonts w:ascii="Times New Roman" w:hAnsi="Times New Roman" w:cs="Times New Roman"/>
          <w:sz w:val="26"/>
          <w:szCs w:val="26"/>
        </w:rPr>
        <w:t xml:space="preserve"> </w:t>
      </w:r>
      <w:r w:rsidRPr="00BE206F">
        <w:rPr>
          <w:rFonts w:ascii="Times New Roman" w:hAnsi="Times New Roman" w:cs="Times New Roman"/>
          <w:sz w:val="26"/>
          <w:szCs w:val="26"/>
        </w:rPr>
        <w:t>retention period specified below is shorter than the time since the last audit, the CEA may ask</w:t>
      </w:r>
      <w:r w:rsidR="00A205C9">
        <w:rPr>
          <w:rFonts w:ascii="Times New Roman" w:hAnsi="Times New Roman" w:cs="Times New Roman"/>
          <w:sz w:val="26"/>
          <w:szCs w:val="26"/>
        </w:rPr>
        <w:t xml:space="preserve"> </w:t>
      </w:r>
      <w:r w:rsidRPr="00BE206F">
        <w:rPr>
          <w:rFonts w:ascii="Times New Roman" w:hAnsi="Times New Roman" w:cs="Times New Roman"/>
          <w:sz w:val="26"/>
          <w:szCs w:val="26"/>
        </w:rPr>
        <w:t>an entity to provide other evidence to show that it was compliant for the full time period since</w:t>
      </w:r>
      <w:r w:rsidR="00A205C9">
        <w:rPr>
          <w:rFonts w:ascii="Times New Roman" w:hAnsi="Times New Roman" w:cs="Times New Roman"/>
          <w:sz w:val="26"/>
          <w:szCs w:val="26"/>
        </w:rPr>
        <w:t xml:space="preserve"> </w:t>
      </w:r>
      <w:r w:rsidRPr="00BE206F">
        <w:rPr>
          <w:rFonts w:ascii="Times New Roman" w:hAnsi="Times New Roman" w:cs="Times New Roman"/>
          <w:sz w:val="26"/>
          <w:szCs w:val="26"/>
        </w:rPr>
        <w:t>the last audit.</w:t>
      </w:r>
    </w:p>
    <w:p w14:paraId="759050A5" w14:textId="77777777" w:rsidR="00BE206F" w:rsidRPr="00BE206F" w:rsidRDefault="00BE206F" w:rsidP="00BE206F">
      <w:pPr>
        <w:autoSpaceDE w:val="0"/>
        <w:autoSpaceDN w:val="0"/>
        <w:adjustRightInd w:val="0"/>
        <w:spacing w:after="0" w:line="240" w:lineRule="auto"/>
        <w:ind w:left="720"/>
        <w:rPr>
          <w:rFonts w:ascii="Times New Roman" w:hAnsi="Times New Roman" w:cs="Times New Roman"/>
          <w:sz w:val="26"/>
          <w:szCs w:val="26"/>
        </w:rPr>
      </w:pPr>
    </w:p>
    <w:p w14:paraId="0C72D3DB" w14:textId="586DABB4" w:rsidR="00BE206F" w:rsidRPr="00BE206F" w:rsidRDefault="00BE206F" w:rsidP="00BE206F">
      <w:pPr>
        <w:autoSpaceDE w:val="0"/>
        <w:autoSpaceDN w:val="0"/>
        <w:adjustRightInd w:val="0"/>
        <w:spacing w:after="0" w:line="240" w:lineRule="auto"/>
        <w:ind w:left="720"/>
        <w:rPr>
          <w:rFonts w:ascii="Times New Roman" w:hAnsi="Times New Roman" w:cs="Times New Roman"/>
          <w:sz w:val="26"/>
          <w:szCs w:val="26"/>
        </w:rPr>
      </w:pPr>
      <w:r w:rsidRPr="00BE206F">
        <w:rPr>
          <w:rFonts w:ascii="Times New Roman" w:hAnsi="Times New Roman" w:cs="Times New Roman"/>
          <w:sz w:val="26"/>
          <w:szCs w:val="26"/>
        </w:rPr>
        <w:t>The Responsible Entity shall keep data or evidence to show compliance as identified below</w:t>
      </w:r>
      <w:r w:rsidR="00A205C9">
        <w:rPr>
          <w:rFonts w:ascii="Times New Roman" w:hAnsi="Times New Roman" w:cs="Times New Roman"/>
          <w:sz w:val="26"/>
          <w:szCs w:val="26"/>
        </w:rPr>
        <w:t xml:space="preserve"> </w:t>
      </w:r>
      <w:r w:rsidRPr="00BE206F">
        <w:rPr>
          <w:rFonts w:ascii="Times New Roman" w:hAnsi="Times New Roman" w:cs="Times New Roman"/>
          <w:sz w:val="26"/>
          <w:szCs w:val="26"/>
        </w:rPr>
        <w:t>unless directed by its CEA to retain specific evidence for a longer period of time as part of an</w:t>
      </w:r>
      <w:r w:rsidR="00A205C9">
        <w:rPr>
          <w:rFonts w:ascii="Times New Roman" w:hAnsi="Times New Roman" w:cs="Times New Roman"/>
          <w:sz w:val="26"/>
          <w:szCs w:val="26"/>
        </w:rPr>
        <w:t xml:space="preserve"> </w:t>
      </w:r>
      <w:r w:rsidRPr="00BE206F">
        <w:rPr>
          <w:rFonts w:ascii="Times New Roman" w:hAnsi="Times New Roman" w:cs="Times New Roman"/>
          <w:sz w:val="26"/>
          <w:szCs w:val="26"/>
        </w:rPr>
        <w:t>investigation:</w:t>
      </w:r>
    </w:p>
    <w:p w14:paraId="1968CEB6" w14:textId="77777777" w:rsidR="00BE206F" w:rsidRPr="00BE206F" w:rsidRDefault="00BE206F" w:rsidP="00BE206F">
      <w:pPr>
        <w:autoSpaceDE w:val="0"/>
        <w:autoSpaceDN w:val="0"/>
        <w:adjustRightInd w:val="0"/>
        <w:spacing w:after="0" w:line="240" w:lineRule="auto"/>
        <w:ind w:left="720"/>
        <w:rPr>
          <w:rFonts w:ascii="Times New Roman" w:eastAsia="SymbolMT" w:hAnsi="Times New Roman" w:cs="Times New Roman"/>
          <w:sz w:val="26"/>
          <w:szCs w:val="26"/>
        </w:rPr>
      </w:pPr>
    </w:p>
    <w:p w14:paraId="2C362D4F" w14:textId="3C72C127" w:rsidR="00BE206F" w:rsidRPr="00BE206F" w:rsidRDefault="00BE206F" w:rsidP="00BE206F">
      <w:pPr>
        <w:autoSpaceDE w:val="0"/>
        <w:autoSpaceDN w:val="0"/>
        <w:adjustRightInd w:val="0"/>
        <w:spacing w:after="0" w:line="240" w:lineRule="auto"/>
        <w:ind w:left="720"/>
        <w:rPr>
          <w:rFonts w:ascii="Times New Roman" w:hAnsi="Times New Roman" w:cs="Times New Roman"/>
          <w:sz w:val="26"/>
          <w:szCs w:val="26"/>
        </w:rPr>
      </w:pPr>
      <w:r w:rsidRPr="00BE206F">
        <w:rPr>
          <w:rFonts w:ascii="Times New Roman" w:eastAsia="SymbolMT" w:hAnsi="Times New Roman" w:cs="Times New Roman"/>
          <w:sz w:val="26"/>
          <w:szCs w:val="26"/>
        </w:rPr>
        <w:t xml:space="preserve"> </w:t>
      </w:r>
      <w:r w:rsidRPr="00BE206F">
        <w:rPr>
          <w:rFonts w:ascii="Times New Roman" w:hAnsi="Times New Roman" w:cs="Times New Roman"/>
          <w:sz w:val="26"/>
          <w:szCs w:val="26"/>
        </w:rPr>
        <w:t>Each Responsible Entity shall retain evidence of each requirement in this standard for three</w:t>
      </w:r>
    </w:p>
    <w:p w14:paraId="357504BE" w14:textId="77777777" w:rsidR="00BE206F" w:rsidRPr="00BE206F" w:rsidRDefault="00BE206F" w:rsidP="00BE206F">
      <w:pPr>
        <w:autoSpaceDE w:val="0"/>
        <w:autoSpaceDN w:val="0"/>
        <w:adjustRightInd w:val="0"/>
        <w:spacing w:after="0" w:line="240" w:lineRule="auto"/>
        <w:ind w:left="720"/>
        <w:rPr>
          <w:rFonts w:ascii="Times New Roman" w:hAnsi="Times New Roman" w:cs="Times New Roman"/>
          <w:sz w:val="26"/>
          <w:szCs w:val="26"/>
        </w:rPr>
      </w:pPr>
      <w:r w:rsidRPr="00BE206F">
        <w:rPr>
          <w:rFonts w:ascii="Times New Roman" w:hAnsi="Times New Roman" w:cs="Times New Roman"/>
          <w:sz w:val="26"/>
          <w:szCs w:val="26"/>
        </w:rPr>
        <w:t>calendar years.</w:t>
      </w:r>
    </w:p>
    <w:p w14:paraId="6D57E7E1" w14:textId="77777777" w:rsidR="00BE206F" w:rsidRPr="00BE206F" w:rsidRDefault="00BE206F" w:rsidP="00BE206F">
      <w:pPr>
        <w:autoSpaceDE w:val="0"/>
        <w:autoSpaceDN w:val="0"/>
        <w:adjustRightInd w:val="0"/>
        <w:spacing w:after="0" w:line="240" w:lineRule="auto"/>
        <w:ind w:left="720"/>
        <w:rPr>
          <w:rFonts w:ascii="Times New Roman" w:eastAsia="SymbolMT" w:hAnsi="Times New Roman" w:cs="Times New Roman"/>
          <w:sz w:val="26"/>
          <w:szCs w:val="26"/>
        </w:rPr>
      </w:pPr>
    </w:p>
    <w:p w14:paraId="751F7338" w14:textId="00EBBFDC" w:rsidR="00BE206F" w:rsidRPr="00BE206F" w:rsidRDefault="00BE206F" w:rsidP="00BE206F">
      <w:pPr>
        <w:autoSpaceDE w:val="0"/>
        <w:autoSpaceDN w:val="0"/>
        <w:adjustRightInd w:val="0"/>
        <w:spacing w:after="0" w:line="240" w:lineRule="auto"/>
        <w:ind w:left="720"/>
        <w:rPr>
          <w:rFonts w:ascii="Times New Roman" w:hAnsi="Times New Roman" w:cs="Times New Roman"/>
          <w:sz w:val="26"/>
          <w:szCs w:val="26"/>
        </w:rPr>
      </w:pPr>
      <w:r w:rsidRPr="00BE206F">
        <w:rPr>
          <w:rFonts w:ascii="Times New Roman" w:eastAsia="SymbolMT" w:hAnsi="Times New Roman" w:cs="Times New Roman"/>
          <w:sz w:val="26"/>
          <w:szCs w:val="26"/>
        </w:rPr>
        <w:t xml:space="preserve"> </w:t>
      </w:r>
      <w:r w:rsidRPr="00BE206F">
        <w:rPr>
          <w:rFonts w:ascii="Times New Roman" w:hAnsi="Times New Roman" w:cs="Times New Roman"/>
          <w:sz w:val="26"/>
          <w:szCs w:val="26"/>
        </w:rPr>
        <w:t>If a Responsible Entity is found non-compliant, it shall keep information related to the noncompliance until mitigation is complete and approved or for the time specified above,</w:t>
      </w:r>
    </w:p>
    <w:p w14:paraId="52942E51" w14:textId="77777777" w:rsidR="00BE206F" w:rsidRPr="00BE206F" w:rsidRDefault="00BE206F" w:rsidP="00BE206F">
      <w:pPr>
        <w:autoSpaceDE w:val="0"/>
        <w:autoSpaceDN w:val="0"/>
        <w:adjustRightInd w:val="0"/>
        <w:spacing w:after="0" w:line="240" w:lineRule="auto"/>
        <w:ind w:left="720"/>
        <w:rPr>
          <w:rFonts w:ascii="Times New Roman" w:hAnsi="Times New Roman" w:cs="Times New Roman"/>
          <w:sz w:val="26"/>
          <w:szCs w:val="26"/>
        </w:rPr>
      </w:pPr>
      <w:r w:rsidRPr="00BE206F">
        <w:rPr>
          <w:rFonts w:ascii="Times New Roman" w:hAnsi="Times New Roman" w:cs="Times New Roman"/>
          <w:sz w:val="26"/>
          <w:szCs w:val="26"/>
        </w:rPr>
        <w:t>whichever is longer.</w:t>
      </w:r>
    </w:p>
    <w:p w14:paraId="06F7DED4" w14:textId="77777777" w:rsidR="00BE206F" w:rsidRPr="00BE206F" w:rsidRDefault="00BE206F" w:rsidP="00BE206F">
      <w:pPr>
        <w:autoSpaceDE w:val="0"/>
        <w:autoSpaceDN w:val="0"/>
        <w:adjustRightInd w:val="0"/>
        <w:spacing w:after="0" w:line="240" w:lineRule="auto"/>
        <w:ind w:left="720"/>
        <w:rPr>
          <w:rFonts w:ascii="Times New Roman" w:eastAsia="SymbolMT" w:hAnsi="Times New Roman" w:cs="Times New Roman"/>
          <w:sz w:val="26"/>
          <w:szCs w:val="26"/>
        </w:rPr>
      </w:pPr>
    </w:p>
    <w:p w14:paraId="573551D1" w14:textId="127FEF7D" w:rsidR="00BE206F" w:rsidRPr="00BE206F" w:rsidRDefault="00BE206F" w:rsidP="00313E18">
      <w:pPr>
        <w:autoSpaceDE w:val="0"/>
        <w:autoSpaceDN w:val="0"/>
        <w:adjustRightInd w:val="0"/>
        <w:spacing w:after="0" w:line="240" w:lineRule="auto"/>
        <w:ind w:left="720"/>
        <w:rPr>
          <w:rFonts w:ascii="Times New Roman" w:eastAsia="Calibri" w:hAnsi="Times New Roman" w:cs="Times New Roman"/>
          <w:sz w:val="26"/>
          <w:szCs w:val="26"/>
        </w:rPr>
      </w:pPr>
      <w:r w:rsidRPr="00BE206F">
        <w:rPr>
          <w:rFonts w:ascii="Times New Roman" w:eastAsia="SymbolMT" w:hAnsi="Times New Roman" w:cs="Times New Roman"/>
          <w:sz w:val="26"/>
          <w:szCs w:val="26"/>
        </w:rPr>
        <w:t xml:space="preserve"> </w:t>
      </w:r>
      <w:r w:rsidRPr="00BE206F">
        <w:rPr>
          <w:rFonts w:ascii="Times New Roman" w:hAnsi="Times New Roman" w:cs="Times New Roman"/>
          <w:sz w:val="26"/>
          <w:szCs w:val="26"/>
        </w:rPr>
        <w:t>The CEA shall keep the last audit records and all requested and submitted subsequent audit</w:t>
      </w:r>
      <w:r w:rsidR="00313E18">
        <w:rPr>
          <w:rFonts w:ascii="Times New Roman" w:hAnsi="Times New Roman" w:cs="Times New Roman"/>
          <w:sz w:val="26"/>
          <w:szCs w:val="26"/>
        </w:rPr>
        <w:t xml:space="preserve"> </w:t>
      </w:r>
      <w:r w:rsidRPr="00BE206F">
        <w:rPr>
          <w:rFonts w:ascii="Times New Roman" w:hAnsi="Times New Roman" w:cs="Times New Roman"/>
          <w:sz w:val="26"/>
          <w:szCs w:val="26"/>
        </w:rPr>
        <w:t>records</w:t>
      </w:r>
      <w:r>
        <w:rPr>
          <w:rFonts w:ascii="Times New Roman" w:hAnsi="Times New Roman" w:cs="Times New Roman"/>
          <w:sz w:val="26"/>
          <w:szCs w:val="26"/>
        </w:rPr>
        <w:t>.</w:t>
      </w:r>
    </w:p>
    <w:p w14:paraId="5018A828" w14:textId="77777777" w:rsidR="00BE206F" w:rsidRPr="00E1548E" w:rsidRDefault="00BE206F" w:rsidP="00F329BD">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14AC0B40"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ESTIMATE OF THE TOTAL ANNUAL COST BURDEN TO RESPONDENTS</w:t>
      </w:r>
    </w:p>
    <w:p w14:paraId="27384DB3" w14:textId="77777777" w:rsidR="00F329BD" w:rsidRDefault="00F329BD" w:rsidP="00F329BD">
      <w:pPr>
        <w:spacing w:after="0" w:line="240" w:lineRule="auto"/>
        <w:rPr>
          <w:rFonts w:ascii="Times New Roman" w:eastAsia="Calibri" w:hAnsi="Times New Roman" w:cs="Times New Roman"/>
          <w:sz w:val="26"/>
          <w:szCs w:val="26"/>
        </w:rPr>
      </w:pPr>
    </w:p>
    <w:p w14:paraId="36098F64" w14:textId="77777777" w:rsidR="00F329BD" w:rsidRDefault="00F329BD" w:rsidP="00F329BD">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There are no capital or start-up costs related to this information collection.  All costs are related to burden hours.</w:t>
      </w:r>
    </w:p>
    <w:p w14:paraId="27CEAE1F"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ESTIMATED ANNUALIZED COST TO FEDERAL GOVERNMENT</w:t>
      </w:r>
    </w:p>
    <w:p w14:paraId="3EFA96FB"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b/>
          <w:bCs/>
          <w:sz w:val="26"/>
          <w:szCs w:val="26"/>
        </w:rPr>
      </w:pPr>
    </w:p>
    <w:p w14:paraId="2E7EEC1C"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estimate of the cost for ‘analysis and processing of filings’ is based on wages and benefits for professional and clerical support.  This estimated cost represents staff analysis, decision-making, and review of any actual filings submitted in response to the information collection.  </w:t>
      </w:r>
    </w:p>
    <w:p w14:paraId="5634A83E"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sz w:val="26"/>
          <w:szCs w:val="26"/>
        </w:rPr>
      </w:pPr>
    </w:p>
    <w:p w14:paraId="3D272399"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218D6C97"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sz w:val="26"/>
          <w:szCs w:val="26"/>
        </w:rPr>
      </w:pPr>
    </w:p>
    <w:p w14:paraId="498BA5AF"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F329BD" w14:paraId="60871B41" w14:textId="77777777" w:rsidTr="00F329BD">
        <w:trPr>
          <w:tblHeader/>
        </w:trPr>
        <w:tc>
          <w:tcPr>
            <w:tcW w:w="3200" w:type="dxa"/>
            <w:tcBorders>
              <w:top w:val="single" w:sz="4" w:space="0" w:color="auto"/>
              <w:left w:val="single" w:sz="4" w:space="0" w:color="auto"/>
              <w:bottom w:val="single" w:sz="4" w:space="0" w:color="auto"/>
              <w:right w:val="single" w:sz="4" w:space="0" w:color="auto"/>
            </w:tcBorders>
            <w:shd w:val="clear" w:color="auto" w:fill="CCCCCC"/>
          </w:tcPr>
          <w:p w14:paraId="0D6019B2" w14:textId="77777777" w:rsidR="00F329BD" w:rsidRDefault="00F329BD">
            <w:pPr>
              <w:autoSpaceDE w:val="0"/>
              <w:autoSpaceDN w:val="0"/>
              <w:adjustRightInd w:val="0"/>
              <w:spacing w:after="0" w:line="240" w:lineRule="auto"/>
              <w:rPr>
                <w:rFonts w:ascii="Times New Roman" w:eastAsia="Times New Roman" w:hAnsi="Times New Roman" w:cs="Times New Roman"/>
                <w:sz w:val="26"/>
                <w:szCs w:val="26"/>
              </w:rPr>
            </w:pPr>
          </w:p>
        </w:tc>
        <w:tc>
          <w:tcPr>
            <w:tcW w:w="3192"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3AC68374" w14:textId="77777777" w:rsidR="00F329BD" w:rsidRDefault="00F329BD">
            <w:pPr>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of Hours or FTE’s</w:t>
            </w:r>
          </w:p>
        </w:tc>
        <w:tc>
          <w:tcPr>
            <w:tcW w:w="3184"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6CADBF0C" w14:textId="77777777" w:rsidR="00F329BD" w:rsidRDefault="00F329BD">
            <w:pPr>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Estimated Annual Federal Cost ($) </w:t>
            </w:r>
          </w:p>
        </w:tc>
      </w:tr>
      <w:tr w:rsidR="00F329BD" w14:paraId="08911657" w14:textId="77777777" w:rsidTr="00F329BD">
        <w:trPr>
          <w:tblHeader/>
        </w:trPr>
        <w:tc>
          <w:tcPr>
            <w:tcW w:w="3200" w:type="dxa"/>
            <w:tcBorders>
              <w:top w:val="single" w:sz="4" w:space="0" w:color="auto"/>
              <w:left w:val="single" w:sz="4" w:space="0" w:color="auto"/>
              <w:bottom w:val="single" w:sz="4" w:space="0" w:color="auto"/>
              <w:right w:val="single" w:sz="4" w:space="0" w:color="auto"/>
            </w:tcBorders>
            <w:hideMark/>
          </w:tcPr>
          <w:p w14:paraId="3A2D7C08" w14:textId="77777777" w:rsidR="00F329BD" w:rsidRDefault="00F329BD">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PRA</w:t>
            </w:r>
            <w:r>
              <w:rPr>
                <w:rFonts w:ascii="Times New Roman" w:eastAsia="Times New Roman" w:hAnsi="Times New Roman" w:cs="Times New Roman"/>
                <w:b/>
                <w:sz w:val="26"/>
                <w:szCs w:val="26"/>
                <w:vertAlign w:val="superscript"/>
              </w:rPr>
              <w:footnoteReference w:id="18"/>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Administration Cost</w:t>
            </w:r>
            <w:r>
              <w:rPr>
                <w:rStyle w:val="FootnoteReference"/>
                <w:rFonts w:eastAsia="Calibri"/>
                <w:sz w:val="26"/>
                <w:szCs w:val="26"/>
                <w:vertAlign w:val="superscript"/>
              </w:rPr>
              <w:footnoteReference w:id="19"/>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C1C90" w14:textId="77777777" w:rsidR="00F329BD" w:rsidRDefault="00F329BD">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184" w:type="dxa"/>
            <w:tcBorders>
              <w:top w:val="single" w:sz="4" w:space="0" w:color="auto"/>
              <w:left w:val="single" w:sz="4" w:space="0" w:color="auto"/>
              <w:bottom w:val="single" w:sz="4" w:space="0" w:color="auto"/>
              <w:right w:val="single" w:sz="4" w:space="0" w:color="auto"/>
            </w:tcBorders>
            <w:vAlign w:val="center"/>
            <w:hideMark/>
          </w:tcPr>
          <w:p w14:paraId="4BE0C276" w14:textId="77777777" w:rsidR="00F329BD" w:rsidRDefault="00F329BD">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$4,931</w:t>
            </w:r>
          </w:p>
        </w:tc>
      </w:tr>
      <w:tr w:rsidR="00F329BD" w14:paraId="688AC224" w14:textId="77777777" w:rsidTr="00F329BD">
        <w:trPr>
          <w:tblHeader/>
        </w:trPr>
        <w:tc>
          <w:tcPr>
            <w:tcW w:w="3200" w:type="dxa"/>
            <w:tcBorders>
              <w:top w:val="single" w:sz="4" w:space="0" w:color="auto"/>
              <w:left w:val="single" w:sz="4" w:space="0" w:color="auto"/>
              <w:bottom w:val="single" w:sz="4" w:space="0" w:color="auto"/>
              <w:right w:val="single" w:sz="4" w:space="0" w:color="auto"/>
            </w:tcBorders>
            <w:hideMark/>
          </w:tcPr>
          <w:p w14:paraId="4112C98B" w14:textId="77777777" w:rsidR="00F329BD" w:rsidRDefault="00F329BD">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Data Processing and Analysis</w:t>
            </w:r>
            <w:r>
              <w:rPr>
                <w:rFonts w:ascii="Times New Roman" w:eastAsia="Times New Roman" w:hAnsi="Times New Roman" w:cs="Times New Roman"/>
                <w:sz w:val="26"/>
                <w:szCs w:val="26"/>
                <w:vertAlign w:val="superscript"/>
              </w:rPr>
              <w:footnoteReference w:id="20"/>
            </w:r>
          </w:p>
        </w:tc>
        <w:tc>
          <w:tcPr>
            <w:tcW w:w="3192" w:type="dxa"/>
            <w:tcBorders>
              <w:top w:val="single" w:sz="4" w:space="0" w:color="auto"/>
              <w:left w:val="single" w:sz="4" w:space="0" w:color="auto"/>
              <w:bottom w:val="single" w:sz="4" w:space="0" w:color="auto"/>
              <w:right w:val="single" w:sz="4" w:space="0" w:color="auto"/>
            </w:tcBorders>
            <w:vAlign w:val="center"/>
            <w:hideMark/>
          </w:tcPr>
          <w:p w14:paraId="08CAAD58" w14:textId="77777777" w:rsidR="00F329BD" w:rsidRDefault="00F329BD">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268C642" w14:textId="77777777" w:rsidR="00F329BD" w:rsidRDefault="00F329BD">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F329BD" w14:paraId="76865F6F" w14:textId="77777777" w:rsidTr="00F329BD">
        <w:trPr>
          <w:tblHeader/>
        </w:trPr>
        <w:tc>
          <w:tcPr>
            <w:tcW w:w="3200" w:type="dxa"/>
            <w:tcBorders>
              <w:top w:val="single" w:sz="4" w:space="0" w:color="auto"/>
              <w:left w:val="single" w:sz="4" w:space="0" w:color="auto"/>
              <w:bottom w:val="single" w:sz="4" w:space="0" w:color="auto"/>
              <w:right w:val="single" w:sz="4" w:space="0" w:color="auto"/>
            </w:tcBorders>
            <w:hideMark/>
          </w:tcPr>
          <w:p w14:paraId="2E46DC0F" w14:textId="77777777" w:rsidR="00F329BD" w:rsidRDefault="00F329BD">
            <w:pPr>
              <w:autoSpaceDE w:val="0"/>
              <w:autoSpaceDN w:val="0"/>
              <w:adjustRightInd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FERC Total</w:t>
            </w:r>
          </w:p>
        </w:tc>
        <w:tc>
          <w:tcPr>
            <w:tcW w:w="3192" w:type="dxa"/>
            <w:tcBorders>
              <w:top w:val="single" w:sz="4" w:space="0" w:color="auto"/>
              <w:left w:val="single" w:sz="4" w:space="0" w:color="auto"/>
              <w:bottom w:val="single" w:sz="4" w:space="0" w:color="auto"/>
              <w:right w:val="single" w:sz="4" w:space="0" w:color="auto"/>
            </w:tcBorders>
            <w:vAlign w:val="center"/>
            <w:hideMark/>
          </w:tcPr>
          <w:p w14:paraId="6F750463" w14:textId="77777777" w:rsidR="00F329BD" w:rsidRDefault="00F329BD">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184" w:type="dxa"/>
            <w:tcBorders>
              <w:top w:val="single" w:sz="4" w:space="0" w:color="auto"/>
              <w:left w:val="single" w:sz="4" w:space="0" w:color="auto"/>
              <w:bottom w:val="single" w:sz="4" w:space="0" w:color="auto"/>
              <w:right w:val="single" w:sz="4" w:space="0" w:color="auto"/>
            </w:tcBorders>
            <w:vAlign w:val="center"/>
            <w:hideMark/>
          </w:tcPr>
          <w:p w14:paraId="77363B1B" w14:textId="77777777" w:rsidR="00F329BD" w:rsidRDefault="00F329BD">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$4,931</w:t>
            </w:r>
          </w:p>
        </w:tc>
      </w:tr>
    </w:tbl>
    <w:p w14:paraId="1C08236E" w14:textId="77777777" w:rsidR="00F329BD" w:rsidRDefault="00F329BD" w:rsidP="00F329BD">
      <w:pPr>
        <w:widowControl w:val="0"/>
        <w:autoSpaceDE w:val="0"/>
        <w:autoSpaceDN w:val="0"/>
        <w:adjustRightInd w:val="0"/>
        <w:spacing w:after="0" w:line="240" w:lineRule="auto"/>
        <w:rPr>
          <w:rFonts w:ascii="Times New Roman" w:eastAsia="Calibri" w:hAnsi="Times New Roman" w:cs="Times New Roman"/>
          <w:b/>
          <w:bCs/>
          <w:sz w:val="26"/>
          <w:szCs w:val="26"/>
        </w:rPr>
      </w:pPr>
    </w:p>
    <w:p w14:paraId="7F440168"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REASONS FOR CHANGES IN BURDEN INCLUDING THE NEED FOR ANY INCREASE</w:t>
      </w:r>
    </w:p>
    <w:p w14:paraId="6EF6F9CD" w14:textId="77777777" w:rsidR="00F329BD" w:rsidRDefault="00F329BD" w:rsidP="00F329BD">
      <w:pPr>
        <w:spacing w:after="200" w:line="240" w:lineRule="auto"/>
        <w:rPr>
          <w:rFonts w:ascii="Times New Roman" w:eastAsia="Calibri" w:hAnsi="Times New Roman" w:cs="Times New Roman"/>
          <w:bCs/>
          <w:sz w:val="26"/>
          <w:szCs w:val="26"/>
        </w:rPr>
      </w:pPr>
    </w:p>
    <w:p w14:paraId="13DA139A" w14:textId="77777777" w:rsidR="00F329BD" w:rsidRDefault="00F329BD" w:rsidP="00F329BD">
      <w:pPr>
        <w:spacing w:after="20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The Commission directed NERC to enhance the mandatory reporting of Cyber Security Incidents.</w:t>
      </w:r>
      <w:r>
        <w:rPr>
          <w:rFonts w:ascii="Times New Roman" w:eastAsia="Calibri" w:hAnsi="Times New Roman" w:cs="Times New Roman"/>
          <w:b/>
          <w:bCs/>
          <w:sz w:val="26"/>
          <w:szCs w:val="26"/>
          <w:vertAlign w:val="superscript"/>
        </w:rPr>
        <w:footnoteReference w:id="21"/>
      </w:r>
      <w:r>
        <w:rPr>
          <w:rFonts w:ascii="Times New Roman" w:eastAsia="Calibri" w:hAnsi="Times New Roman" w:cs="Times New Roman"/>
          <w:bCs/>
          <w:sz w:val="26"/>
          <w:szCs w:val="26"/>
        </w:rPr>
        <w:t xml:space="preserve">  The Commission explained that the currently-effective reporting threshold, which only requires reporting in cases where a Cyber Security Incident has “compromised or disrupted one or more reliability tasks,” may understate the true scope of cyber-related threats to the Bulk-Power System.</w:t>
      </w:r>
      <w:r>
        <w:rPr>
          <w:rFonts w:ascii="Times New Roman" w:eastAsia="Calibri" w:hAnsi="Times New Roman" w:cs="Times New Roman"/>
          <w:b/>
          <w:bCs/>
          <w:sz w:val="26"/>
          <w:szCs w:val="26"/>
          <w:vertAlign w:val="superscript"/>
        </w:rPr>
        <w:footnoteReference w:id="22"/>
      </w:r>
      <w:r>
        <w:rPr>
          <w:rFonts w:ascii="Times New Roman" w:eastAsia="Calibri" w:hAnsi="Times New Roman" w:cs="Times New Roman"/>
          <w:bCs/>
          <w:sz w:val="26"/>
          <w:szCs w:val="26"/>
        </w:rPr>
        <w:t xml:space="preserve">  To address this reliability gap, pursuant to section 215(d)(5) of the Federal Power Act (FPA), the Commission directed NERC to develop and submit modifications to the Reliability Standard to require the reporting of Cyber Security Incidents that compromise, or attempt to compromise, a responsible entity’s Electronic Security Perimeter (ESP) or associated Electronic Access Control or Monitoring Systems (EACMS).</w:t>
      </w:r>
      <w:r>
        <w:rPr>
          <w:rFonts w:ascii="Times New Roman" w:eastAsia="Calibri" w:hAnsi="Times New Roman" w:cs="Times New Roman"/>
          <w:b/>
          <w:bCs/>
          <w:sz w:val="26"/>
          <w:szCs w:val="26"/>
          <w:vertAlign w:val="superscript"/>
        </w:rPr>
        <w:footnoteReference w:id="23"/>
      </w:r>
      <w:r>
        <w:rPr>
          <w:rFonts w:ascii="Times New Roman" w:eastAsia="Calibri" w:hAnsi="Times New Roman" w:cs="Times New Roman"/>
          <w:bCs/>
          <w:sz w:val="26"/>
          <w:szCs w:val="26"/>
        </w:rPr>
        <w:t xml:space="preserve">  With respect to EACMS, the Commission directed that enhanced reporting should apply, at a minimum, to EACMS that perform the following functions:  (1) authentication; (2) monitoring and logging; (3) access control; (4) Interactive Remote Access; and (5) alerting.  </w:t>
      </w:r>
    </w:p>
    <w:p w14:paraId="302EC49A" w14:textId="77777777" w:rsidR="00F329BD" w:rsidRDefault="00F329BD" w:rsidP="00F329BD">
      <w:pPr>
        <w:spacing w:after="20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Reliability Standard CIP-008-6 broadens the mandatory reporting of Cyber Security Incidents and thus addresses the concern that currently-effective Reliability Standard CIP-008-5 may not encompass the full scope of cyber-related threats to the Bulk-Power System.</w:t>
      </w:r>
      <w:r>
        <w:rPr>
          <w:rFonts w:ascii="Times New Roman" w:eastAsia="Calibri" w:hAnsi="Times New Roman" w:cs="Times New Roman"/>
          <w:b/>
          <w:bCs/>
          <w:sz w:val="26"/>
          <w:szCs w:val="26"/>
          <w:vertAlign w:val="superscript"/>
        </w:rPr>
        <w:footnoteReference w:id="24"/>
      </w:r>
      <w:r>
        <w:rPr>
          <w:rFonts w:ascii="Times New Roman" w:eastAsia="Calibri" w:hAnsi="Times New Roman" w:cs="Times New Roman"/>
          <w:bCs/>
          <w:sz w:val="26"/>
          <w:szCs w:val="26"/>
        </w:rPr>
        <w:t xml:space="preserve">  The Reliability Standard will not significantly increase the reporting burden on entities (covered by FERC-725B, which includes the previous version of the standard) because it builds off the currently-effective reporting threshold by expanding it to address reliability gaps, pursuant to section 215(d)(5) of the FPA. </w:t>
      </w:r>
    </w:p>
    <w:p w14:paraId="0D3910A1" w14:textId="77777777" w:rsidR="00F329BD" w:rsidRDefault="00F329BD" w:rsidP="00F329BD">
      <w:pPr>
        <w:spacing w:after="20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A summary of the burden added to FERC-725B3 information collection due to the Order in RD19-3-000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F329BD" w14:paraId="01B7C195" w14:textId="77777777" w:rsidTr="00F329BD">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13FAB4E" w14:textId="77777777" w:rsidR="00F329BD" w:rsidRDefault="00F329B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FERC-725B3</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9BBFBA" w14:textId="77777777" w:rsidR="00F329BD" w:rsidRDefault="00F329B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C172E19" w14:textId="77777777" w:rsidR="00F329BD" w:rsidRDefault="00F329B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0501B4B" w14:textId="77777777" w:rsidR="00F329BD" w:rsidRDefault="00F329B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C33FE83" w14:textId="77777777" w:rsidR="00F329BD" w:rsidRDefault="00F329B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Change Due to Agency Discretion</w:t>
            </w:r>
          </w:p>
        </w:tc>
      </w:tr>
      <w:tr w:rsidR="00F329BD" w14:paraId="18A7836D" w14:textId="77777777" w:rsidTr="00F329BD">
        <w:trPr>
          <w:trHeight w:val="591"/>
        </w:trPr>
        <w:tc>
          <w:tcPr>
            <w:tcW w:w="2679" w:type="dxa"/>
            <w:tcBorders>
              <w:top w:val="single" w:sz="4" w:space="0" w:color="auto"/>
              <w:left w:val="single" w:sz="4" w:space="0" w:color="auto"/>
              <w:bottom w:val="single" w:sz="4" w:space="0" w:color="auto"/>
              <w:right w:val="single" w:sz="4" w:space="0" w:color="auto"/>
            </w:tcBorders>
            <w:hideMark/>
          </w:tcPr>
          <w:p w14:paraId="018A2A61" w14:textId="77777777" w:rsidR="00F329BD" w:rsidRDefault="00F329BD">
            <w:pPr>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C887607"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2,784</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A24AA28"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BA06908"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3EA2559"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2,784</w:t>
            </w:r>
          </w:p>
        </w:tc>
      </w:tr>
      <w:tr w:rsidR="00F329BD" w14:paraId="33D38839" w14:textId="77777777" w:rsidTr="00F329BD">
        <w:trPr>
          <w:trHeight w:val="107"/>
        </w:trPr>
        <w:tc>
          <w:tcPr>
            <w:tcW w:w="2679" w:type="dxa"/>
            <w:tcBorders>
              <w:top w:val="single" w:sz="4" w:space="0" w:color="auto"/>
              <w:left w:val="single" w:sz="4" w:space="0" w:color="auto"/>
              <w:bottom w:val="single" w:sz="4" w:space="0" w:color="auto"/>
              <w:right w:val="single" w:sz="4" w:space="0" w:color="auto"/>
            </w:tcBorders>
            <w:hideMark/>
          </w:tcPr>
          <w:p w14:paraId="6D69B9FF" w14:textId="77777777" w:rsidR="00F329BD" w:rsidRDefault="00F329BD">
            <w:pPr>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Annual Time Burden</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C115DD5"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36,288</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14960F7"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7199A21"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C3AB8E2"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36,288</w:t>
            </w:r>
          </w:p>
        </w:tc>
      </w:tr>
      <w:tr w:rsidR="00F329BD" w14:paraId="5D9200C3" w14:textId="77777777" w:rsidTr="00F329BD">
        <w:trPr>
          <w:trHeight w:val="295"/>
        </w:trPr>
        <w:tc>
          <w:tcPr>
            <w:tcW w:w="2679" w:type="dxa"/>
            <w:tcBorders>
              <w:top w:val="single" w:sz="4" w:space="0" w:color="auto"/>
              <w:left w:val="single" w:sz="4" w:space="0" w:color="auto"/>
              <w:bottom w:val="single" w:sz="4" w:space="0" w:color="auto"/>
              <w:right w:val="single" w:sz="4" w:space="0" w:color="auto"/>
            </w:tcBorders>
            <w:hideMark/>
          </w:tcPr>
          <w:p w14:paraId="551DCF8B" w14:textId="77777777" w:rsidR="00F329BD" w:rsidRDefault="00F329BD">
            <w:pPr>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3AFE35B"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DB20E6C"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2E02284"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B9927A1" w14:textId="77777777" w:rsidR="00F329BD" w:rsidRDefault="00F329BD">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$0</w:t>
            </w:r>
          </w:p>
        </w:tc>
      </w:tr>
    </w:tbl>
    <w:p w14:paraId="4534184C" w14:textId="77777777" w:rsidR="00F329BD" w:rsidRDefault="00F329BD" w:rsidP="00F329BD">
      <w:pPr>
        <w:spacing w:after="200" w:line="240" w:lineRule="auto"/>
        <w:rPr>
          <w:rFonts w:ascii="Times New Roman" w:eastAsia="Calibri" w:hAnsi="Times New Roman" w:cs="Times New Roman"/>
          <w:sz w:val="26"/>
          <w:szCs w:val="26"/>
        </w:rPr>
      </w:pPr>
    </w:p>
    <w:p w14:paraId="7A95052E"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TIME SCHEDULE FOR THE PUBLICATION OF DATA</w:t>
      </w:r>
    </w:p>
    <w:p w14:paraId="41F4B34A" w14:textId="77777777" w:rsidR="00F329BD" w:rsidRDefault="00F329BD" w:rsidP="00F329BD">
      <w:pPr>
        <w:spacing w:after="0" w:line="240" w:lineRule="auto"/>
        <w:rPr>
          <w:rFonts w:ascii="Times New Roman" w:eastAsia="Calibri" w:hAnsi="Times New Roman" w:cs="Times New Roman"/>
          <w:b/>
          <w:bCs/>
          <w:sz w:val="26"/>
          <w:szCs w:val="26"/>
        </w:rPr>
      </w:pPr>
    </w:p>
    <w:p w14:paraId="638F0834"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There are no tabulating, statistical analysis or publication plans for the collection of information. </w:t>
      </w:r>
    </w:p>
    <w:p w14:paraId="013AA96E" w14:textId="77777777" w:rsidR="00F329BD" w:rsidRDefault="00F329BD" w:rsidP="00F329BD">
      <w:pPr>
        <w:spacing w:after="0" w:line="240" w:lineRule="auto"/>
        <w:rPr>
          <w:rFonts w:ascii="Times New Roman" w:eastAsia="Calibri" w:hAnsi="Times New Roman" w:cs="Times New Roman"/>
          <w:sz w:val="26"/>
          <w:szCs w:val="26"/>
        </w:rPr>
      </w:pPr>
    </w:p>
    <w:p w14:paraId="4282A213" w14:textId="77777777" w:rsidR="00F329BD" w:rsidRDefault="00F329BD" w:rsidP="00F329BD">
      <w:pPr>
        <w:widowControl w:val="0"/>
        <w:numPr>
          <w:ilvl w:val="0"/>
          <w:numId w:val="2"/>
        </w:num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 DISPLAY OF THE EXPIRATION DATE</w:t>
      </w:r>
    </w:p>
    <w:p w14:paraId="289086D3" w14:textId="77777777" w:rsidR="00F329BD" w:rsidRDefault="00F329BD" w:rsidP="00F329BD">
      <w:pPr>
        <w:spacing w:after="0" w:line="240" w:lineRule="auto"/>
        <w:rPr>
          <w:rFonts w:ascii="Times New Roman" w:eastAsia="Calibri" w:hAnsi="Times New Roman" w:cs="Times New Roman"/>
          <w:b/>
          <w:bCs/>
          <w:sz w:val="26"/>
          <w:szCs w:val="26"/>
        </w:rPr>
      </w:pPr>
    </w:p>
    <w:p w14:paraId="3EE553AF" w14:textId="437132E5" w:rsidR="00A205C9"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clearance information and expiration date will be available at </w:t>
      </w:r>
      <w:hyperlink r:id="rId14" w:history="1">
        <w:r>
          <w:rPr>
            <w:rStyle w:val="Hyperlink"/>
            <w:rFonts w:ascii="Times New Roman" w:eastAsia="Calibri" w:hAnsi="Times New Roman" w:cs="Times New Roman"/>
            <w:sz w:val="26"/>
            <w:szCs w:val="26"/>
          </w:rPr>
          <w:t>http://www.ferc.gov/docs-filing/info-collections.asp</w:t>
        </w:r>
      </w:hyperlink>
      <w:r w:rsidR="00A205C9">
        <w:rPr>
          <w:rFonts w:ascii="Times New Roman" w:eastAsia="Calibri" w:hAnsi="Times New Roman" w:cs="Times New Roman"/>
          <w:sz w:val="26"/>
          <w:szCs w:val="26"/>
        </w:rPr>
        <w:t>.</w:t>
      </w:r>
    </w:p>
    <w:p w14:paraId="62BDA2F2" w14:textId="77777777" w:rsidR="00A205C9" w:rsidRDefault="00A205C9" w:rsidP="00F329BD">
      <w:pPr>
        <w:spacing w:after="0" w:line="240" w:lineRule="auto"/>
        <w:rPr>
          <w:rFonts w:ascii="Times New Roman" w:eastAsia="Calibri" w:hAnsi="Times New Roman" w:cs="Times New Roman"/>
          <w:sz w:val="26"/>
          <w:szCs w:val="26"/>
        </w:rPr>
      </w:pPr>
    </w:p>
    <w:p w14:paraId="4B911C60" w14:textId="199077D5" w:rsidR="00F329BD" w:rsidRPr="00A205C9" w:rsidRDefault="00F329BD" w:rsidP="00A205C9">
      <w:pPr>
        <w:pStyle w:val="ListParagraph"/>
        <w:numPr>
          <w:ilvl w:val="0"/>
          <w:numId w:val="2"/>
        </w:numPr>
        <w:spacing w:after="0" w:line="240" w:lineRule="auto"/>
        <w:rPr>
          <w:rFonts w:ascii="Times New Roman" w:eastAsia="Calibri" w:hAnsi="Times New Roman" w:cs="Times New Roman"/>
          <w:sz w:val="26"/>
          <w:szCs w:val="26"/>
        </w:rPr>
      </w:pPr>
      <w:r w:rsidRPr="00A205C9">
        <w:rPr>
          <w:rFonts w:ascii="Times New Roman" w:eastAsia="Calibri" w:hAnsi="Times New Roman" w:cs="Times New Roman"/>
          <w:b/>
          <w:bCs/>
          <w:sz w:val="26"/>
          <w:szCs w:val="26"/>
        </w:rPr>
        <w:t>EXCEPTIONS TO THE CERTIFICATION STATEMENT</w:t>
      </w:r>
    </w:p>
    <w:p w14:paraId="18FA72E8" w14:textId="77777777" w:rsidR="00F329BD" w:rsidRDefault="00F329BD" w:rsidP="00F329BD">
      <w:pPr>
        <w:spacing w:after="0" w:line="240" w:lineRule="auto"/>
        <w:rPr>
          <w:rFonts w:ascii="Times New Roman" w:eastAsia="Calibri" w:hAnsi="Times New Roman" w:cs="Times New Roman"/>
          <w:sz w:val="26"/>
          <w:szCs w:val="26"/>
        </w:rPr>
      </w:pPr>
    </w:p>
    <w:p w14:paraId="5B16F490" w14:textId="77777777" w:rsidR="00F329BD" w:rsidRDefault="00F329BD" w:rsidP="00F329B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There are no exceptions.</w:t>
      </w:r>
    </w:p>
    <w:p w14:paraId="1AB120B1" w14:textId="77777777" w:rsidR="00F329BD" w:rsidRDefault="00F329BD" w:rsidP="00F329BD">
      <w:pPr>
        <w:spacing w:line="240" w:lineRule="auto"/>
        <w:rPr>
          <w:rFonts w:ascii="Times New Roman" w:hAnsi="Times New Roman" w:cs="Times New Roman"/>
          <w:sz w:val="26"/>
          <w:szCs w:val="26"/>
        </w:rPr>
      </w:pPr>
    </w:p>
    <w:p w14:paraId="183FDAC1" w14:textId="77777777" w:rsidR="00E704E3" w:rsidRDefault="00E704E3"/>
    <w:sectPr w:rsidR="00E704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B0A7C" w14:textId="77777777" w:rsidR="00122FE8" w:rsidRDefault="00122FE8" w:rsidP="00F329BD">
      <w:pPr>
        <w:spacing w:after="0" w:line="240" w:lineRule="auto"/>
      </w:pPr>
      <w:r>
        <w:separator/>
      </w:r>
    </w:p>
  </w:endnote>
  <w:endnote w:type="continuationSeparator" w:id="0">
    <w:p w14:paraId="0CF01503" w14:textId="77777777" w:rsidR="00122FE8" w:rsidRDefault="00122FE8" w:rsidP="00F3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DFD1F" w14:textId="77777777" w:rsidR="00E320D0" w:rsidRDefault="00E320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367733"/>
      <w:docPartObj>
        <w:docPartGallery w:val="Page Numbers (Bottom of Page)"/>
        <w:docPartUnique/>
      </w:docPartObj>
    </w:sdtPr>
    <w:sdtEndPr>
      <w:rPr>
        <w:noProof/>
      </w:rPr>
    </w:sdtEndPr>
    <w:sdtContent>
      <w:p w14:paraId="465ABCD1" w14:textId="77777777" w:rsidR="00E1548E" w:rsidRDefault="00E1548E">
        <w:pPr>
          <w:pStyle w:val="Footer"/>
          <w:jc w:val="right"/>
        </w:pPr>
        <w:r>
          <w:fldChar w:fldCharType="begin"/>
        </w:r>
        <w:r>
          <w:instrText xml:space="preserve"> PAGE   \* MERGEFORMAT </w:instrText>
        </w:r>
        <w:r>
          <w:fldChar w:fldCharType="separate"/>
        </w:r>
        <w:r w:rsidR="00CE5E89">
          <w:rPr>
            <w:noProof/>
          </w:rPr>
          <w:t>1</w:t>
        </w:r>
        <w:r>
          <w:rPr>
            <w:noProof/>
          </w:rPr>
          <w:fldChar w:fldCharType="end"/>
        </w:r>
      </w:p>
    </w:sdtContent>
  </w:sdt>
  <w:p w14:paraId="220A6EC7" w14:textId="77777777" w:rsidR="00E1548E" w:rsidRDefault="00E154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1FEF3" w14:textId="77777777" w:rsidR="00E320D0" w:rsidRDefault="00E32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2FE93" w14:textId="77777777" w:rsidR="00122FE8" w:rsidRDefault="00122FE8" w:rsidP="00F329BD">
      <w:pPr>
        <w:spacing w:after="0" w:line="240" w:lineRule="auto"/>
      </w:pPr>
      <w:r>
        <w:separator/>
      </w:r>
    </w:p>
  </w:footnote>
  <w:footnote w:type="continuationSeparator" w:id="0">
    <w:p w14:paraId="4A334935" w14:textId="77777777" w:rsidR="00122FE8" w:rsidRDefault="00122FE8" w:rsidP="00F329BD">
      <w:pPr>
        <w:spacing w:after="0" w:line="240" w:lineRule="auto"/>
      </w:pPr>
      <w:r>
        <w:continuationSeparator/>
      </w:r>
    </w:p>
  </w:footnote>
  <w:footnote w:id="1">
    <w:p w14:paraId="76686DB5" w14:textId="77777777" w:rsidR="00F329BD" w:rsidRDefault="00F329BD" w:rsidP="00F329BD">
      <w:pPr>
        <w:pStyle w:val="FootnoteText"/>
      </w:pPr>
      <w:r>
        <w:rPr>
          <w:rStyle w:val="FootnoteReference"/>
          <w:sz w:val="26"/>
          <w:szCs w:val="26"/>
          <w:vertAlign w:val="superscript"/>
        </w:rPr>
        <w:footnoteRef/>
      </w:r>
      <w:r>
        <w:rPr>
          <w:rFonts w:ascii="Times New Roman" w:hAnsi="Times New Roman" w:cs="Times New Roman"/>
          <w:sz w:val="26"/>
          <w:szCs w:val="26"/>
        </w:rPr>
        <w:t xml:space="preserve"> Commission staff is using the FERC-725B3 as a temporary “place holder” information collection number for this Supporting Statement.  FERC-725B information collection (OMB Control No. 1902-0252) is pending review at OMB in an unrelated item, and only one item per OMB Control No. can be pending OMB review at a time. In order to submit this timely, to OMB, we are using a temporary place holder information collection number.  The earlier version of Reliability Standard CIP-008-5 is part of FERC-725B.  This Supporting Statement addresses the added burden caused by this order in RD19-3.</w:t>
      </w:r>
    </w:p>
  </w:footnote>
  <w:footnote w:id="2">
    <w:p w14:paraId="1F45BEF4"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rPr>
        <w:t xml:space="preserve"> 16 U.S.C. § 824o. </w:t>
      </w:r>
    </w:p>
  </w:footnote>
  <w:footnote w:id="3">
    <w:p w14:paraId="51BB5667"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rPr>
        <w:t xml:space="preserve"> </w:t>
      </w:r>
      <w:r>
        <w:rPr>
          <w:rFonts w:ascii="Times New Roman" w:hAnsi="Times New Roman" w:cs="Times New Roman"/>
          <w:i/>
          <w:iCs/>
          <w:sz w:val="26"/>
          <w:szCs w:val="26"/>
        </w:rPr>
        <w:t>North American Electric Reliability Corp.</w:t>
      </w:r>
      <w:r>
        <w:rPr>
          <w:rFonts w:ascii="Times New Roman" w:hAnsi="Times New Roman" w:cs="Times New Roman"/>
          <w:sz w:val="26"/>
          <w:szCs w:val="26"/>
        </w:rPr>
        <w:t xml:space="preserve">, 116 FERC ¶ 61,062, </w:t>
      </w:r>
      <w:r>
        <w:rPr>
          <w:rFonts w:ascii="Times New Roman" w:hAnsi="Times New Roman" w:cs="Times New Roman"/>
          <w:i/>
          <w:iCs/>
          <w:sz w:val="26"/>
          <w:szCs w:val="26"/>
        </w:rPr>
        <w:t>order on reh’g &amp; compliance</w:t>
      </w:r>
      <w:r>
        <w:rPr>
          <w:rFonts w:ascii="Times New Roman" w:hAnsi="Times New Roman" w:cs="Times New Roman"/>
          <w:sz w:val="26"/>
          <w:szCs w:val="26"/>
        </w:rPr>
        <w:t xml:space="preserve">, 117 FERC ¶ 61,126 (2006), </w:t>
      </w:r>
      <w:r>
        <w:rPr>
          <w:rFonts w:ascii="Times New Roman" w:hAnsi="Times New Roman" w:cs="Times New Roman"/>
          <w:i/>
          <w:sz w:val="26"/>
          <w:szCs w:val="26"/>
        </w:rPr>
        <w:t xml:space="preserve">aff’d </w:t>
      </w:r>
      <w:r>
        <w:rPr>
          <w:rFonts w:ascii="Times New Roman" w:hAnsi="Times New Roman" w:cs="Times New Roman"/>
          <w:i/>
          <w:iCs/>
          <w:sz w:val="26"/>
          <w:szCs w:val="26"/>
        </w:rPr>
        <w:t>sub nom. Alcoa, Inc. v. FERC</w:t>
      </w:r>
      <w:r>
        <w:rPr>
          <w:rFonts w:ascii="Times New Roman" w:hAnsi="Times New Roman" w:cs="Times New Roman"/>
          <w:sz w:val="26"/>
          <w:szCs w:val="26"/>
        </w:rPr>
        <w:t xml:space="preserve">, 564 F.3d 1342 (D.C. Cir. 2009).  </w:t>
      </w:r>
    </w:p>
  </w:footnote>
  <w:footnote w:id="4">
    <w:p w14:paraId="1AEE9D5D"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rPr>
        <w:t xml:space="preserve"> 16 U.S.C.§ 824o(d)(2).</w:t>
      </w:r>
    </w:p>
  </w:footnote>
  <w:footnote w:id="5">
    <w:p w14:paraId="4F17BA7F"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i/>
          <w:sz w:val="26"/>
          <w:szCs w:val="26"/>
        </w:rPr>
        <w:t>Cyber Security Incident Reporting Reliability Standards</w:t>
      </w:r>
      <w:r>
        <w:rPr>
          <w:rFonts w:ascii="Times New Roman" w:hAnsi="Times New Roman" w:cs="Times New Roman"/>
          <w:sz w:val="26"/>
          <w:szCs w:val="26"/>
        </w:rPr>
        <w:t>, Order No. 848, 164 FERC ¶ 61,033 (2018).</w:t>
      </w:r>
    </w:p>
  </w:footnote>
  <w:footnote w:id="6">
    <w:p w14:paraId="5C5A7F70"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 1320.3 (2019).</w:t>
      </w:r>
    </w:p>
    <w:p w14:paraId="16D7DBB5" w14:textId="77777777" w:rsidR="00F329BD" w:rsidRDefault="00F329BD" w:rsidP="00F329BD">
      <w:pPr>
        <w:pStyle w:val="FootnoteText"/>
      </w:pPr>
    </w:p>
  </w:footnote>
  <w:footnote w:id="7">
    <w:p w14:paraId="7214776E" w14:textId="77777777" w:rsidR="00F329BD" w:rsidRDefault="00F329BD" w:rsidP="00F329BD">
      <w:pPr>
        <w:pStyle w:val="FootnoteText"/>
        <w:rPr>
          <w:rFonts w:ascii="Times New Roman" w:hAnsi="Times New Roman" w:cs="Times New Roman"/>
          <w:sz w:val="26"/>
          <w:szCs w:val="26"/>
          <w:lang w:val="fr-FR"/>
        </w:rPr>
      </w:pPr>
      <w:r>
        <w:rPr>
          <w:rStyle w:val="FootnoteReference"/>
          <w:sz w:val="26"/>
          <w:szCs w:val="26"/>
          <w:vertAlign w:val="superscript"/>
        </w:rPr>
        <w:footnoteRef/>
      </w:r>
      <w:r>
        <w:rPr>
          <w:rFonts w:ascii="Times New Roman" w:hAnsi="Times New Roman" w:cs="Times New Roman"/>
          <w:sz w:val="26"/>
          <w:szCs w:val="26"/>
          <w:vertAlign w:val="superscript"/>
          <w:lang w:val="fr-FR"/>
        </w:rPr>
        <w:t xml:space="preserve"> </w:t>
      </w:r>
      <w:r>
        <w:rPr>
          <w:rFonts w:ascii="Times New Roman" w:hAnsi="Times New Roman" w:cs="Times New Roman"/>
          <w:sz w:val="26"/>
          <w:szCs w:val="26"/>
          <w:lang w:val="fr-FR"/>
        </w:rPr>
        <w:t>5 CFR 1320.8(d)</w:t>
      </w:r>
    </w:p>
  </w:footnote>
  <w:footnote w:id="8">
    <w:p w14:paraId="1636BE82" w14:textId="77777777" w:rsidR="00F329BD" w:rsidRDefault="00F329BD" w:rsidP="00F329BD">
      <w:pPr>
        <w:pStyle w:val="FootnoteText"/>
        <w:rPr>
          <w:rFonts w:ascii="Times New Roman" w:hAnsi="Times New Roman" w:cs="Times New Roman"/>
          <w:sz w:val="26"/>
          <w:szCs w:val="26"/>
          <w:lang w:val="fr-FR"/>
        </w:rPr>
      </w:pPr>
      <w:r>
        <w:rPr>
          <w:rStyle w:val="FootnoteReference"/>
          <w:sz w:val="26"/>
          <w:szCs w:val="26"/>
          <w:vertAlign w:val="superscript"/>
        </w:rPr>
        <w:footnoteRef/>
      </w:r>
      <w:r>
        <w:rPr>
          <w:rFonts w:ascii="Times New Roman" w:hAnsi="Times New Roman" w:cs="Times New Roman"/>
          <w:sz w:val="26"/>
          <w:szCs w:val="26"/>
          <w:lang w:val="fr-FR"/>
        </w:rPr>
        <w:t xml:space="preserve"> 84 FR 30105</w:t>
      </w:r>
    </w:p>
  </w:footnote>
  <w:footnote w:id="9">
    <w:p w14:paraId="4D374B55"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rPr>
        <w:t xml:space="preserve"> NERC’s Rules of Procedure are available on its website. </w:t>
      </w:r>
    </w:p>
  </w:footnote>
  <w:footnote w:id="10">
    <w:p w14:paraId="5D51C801" w14:textId="77777777" w:rsidR="00F329BD" w:rsidRDefault="00F329BD" w:rsidP="00F329BD">
      <w:pPr>
        <w:pStyle w:val="FootnoteText"/>
        <w:rPr>
          <w:rFonts w:ascii="Times New Roman" w:eastAsia="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eastAsia="Times New Roman" w:hAnsi="Times New Roman" w:cs="Times New Roman"/>
          <w:sz w:val="26"/>
          <w:szCs w:val="26"/>
        </w:rPr>
        <w:t>The estimated hourly cost (salary plus benefits) is based on the figures for May 2018 posted by the Bureau of Labor Statistics for the Utilities sector (available at http://www.bls.gov/oes/current/naics2_22.htm) and December 2018 for benefits information (at http://www.bls.gov/news.release/ecec.nr0.htm).  The hourly estimates for salary plus benefits are:</w:t>
      </w:r>
    </w:p>
    <w:p w14:paraId="2572BD2F" w14:textId="77777777" w:rsidR="00F329BD" w:rsidRDefault="00F329BD" w:rsidP="00F329BD">
      <w:pPr>
        <w:pStyle w:val="FootnoteText"/>
        <w:ind w:left="1440"/>
        <w:rPr>
          <w:rFonts w:ascii="Times New Roman" w:hAnsi="Times New Roman" w:cs="Times New Roman"/>
          <w:sz w:val="26"/>
          <w:szCs w:val="26"/>
        </w:rPr>
      </w:pPr>
      <w:r>
        <w:rPr>
          <w:rFonts w:ascii="Times New Roman" w:hAnsi="Times New Roman" w:cs="Times New Roman"/>
          <w:sz w:val="26"/>
          <w:szCs w:val="26"/>
        </w:rPr>
        <w:t>-Legal (Occupation Code: 23-0000): $143.47</w:t>
      </w:r>
    </w:p>
    <w:p w14:paraId="3DD0805A" w14:textId="77777777" w:rsidR="00F329BD" w:rsidRDefault="00F329BD" w:rsidP="00F329BD">
      <w:pPr>
        <w:pStyle w:val="FootnoteText"/>
        <w:ind w:left="1440"/>
        <w:rPr>
          <w:rFonts w:ascii="Times New Roman" w:hAnsi="Times New Roman" w:cs="Times New Roman"/>
          <w:sz w:val="26"/>
          <w:szCs w:val="26"/>
        </w:rPr>
      </w:pPr>
      <w:r>
        <w:rPr>
          <w:rFonts w:ascii="Times New Roman" w:hAnsi="Times New Roman" w:cs="Times New Roman"/>
          <w:sz w:val="26"/>
          <w:szCs w:val="26"/>
        </w:rPr>
        <w:t>-Information Security Analysts (Occupation Code 15-1122): $61.46</w:t>
      </w:r>
    </w:p>
    <w:p w14:paraId="02D8D317" w14:textId="77777777" w:rsidR="00F329BD" w:rsidRDefault="00F329BD" w:rsidP="00F329BD">
      <w:pPr>
        <w:pStyle w:val="FootnoteText"/>
        <w:ind w:left="1440"/>
        <w:rPr>
          <w:rFonts w:ascii="Times New Roman" w:hAnsi="Times New Roman" w:cs="Times New Roman"/>
          <w:sz w:val="26"/>
          <w:szCs w:val="26"/>
        </w:rPr>
      </w:pPr>
      <w:r>
        <w:rPr>
          <w:rFonts w:ascii="Times New Roman" w:hAnsi="Times New Roman" w:cs="Times New Roman"/>
          <w:sz w:val="26"/>
          <w:szCs w:val="26"/>
        </w:rPr>
        <w:t>-Computer and Information Systems Managers (Occupation Code: 11-3021): $96.37</w:t>
      </w:r>
    </w:p>
    <w:p w14:paraId="5326DD64" w14:textId="77777777" w:rsidR="00F329BD" w:rsidRDefault="00F329BD" w:rsidP="00F329BD">
      <w:pPr>
        <w:pStyle w:val="FootnoteText"/>
        <w:ind w:left="1440"/>
        <w:rPr>
          <w:rFonts w:ascii="Times New Roman" w:hAnsi="Times New Roman" w:cs="Times New Roman"/>
          <w:sz w:val="26"/>
          <w:szCs w:val="26"/>
        </w:rPr>
      </w:pPr>
      <w:r>
        <w:rPr>
          <w:rFonts w:ascii="Times New Roman" w:hAnsi="Times New Roman" w:cs="Times New Roman"/>
          <w:sz w:val="26"/>
          <w:szCs w:val="26"/>
        </w:rPr>
        <w:t>-Management (Occupation Code: 11-0000): $94.15</w:t>
      </w:r>
    </w:p>
    <w:p w14:paraId="15081C7A" w14:textId="77777777" w:rsidR="00F329BD" w:rsidRDefault="00F329BD" w:rsidP="00F329BD">
      <w:pPr>
        <w:pStyle w:val="FootnoteText"/>
        <w:ind w:left="1440"/>
        <w:rPr>
          <w:rFonts w:ascii="Times New Roman" w:hAnsi="Times New Roman" w:cs="Times New Roman"/>
          <w:sz w:val="26"/>
          <w:szCs w:val="26"/>
        </w:rPr>
      </w:pPr>
      <w:r>
        <w:rPr>
          <w:rFonts w:ascii="Times New Roman" w:hAnsi="Times New Roman" w:cs="Times New Roman"/>
          <w:sz w:val="26"/>
          <w:szCs w:val="26"/>
        </w:rPr>
        <w:t>-Electrical Engineer (Occupation Code: 17-2071): $66.80</w:t>
      </w:r>
    </w:p>
    <w:p w14:paraId="733921F3" w14:textId="77777777" w:rsidR="00F329BD" w:rsidRDefault="00F329BD" w:rsidP="00F329BD">
      <w:pPr>
        <w:pStyle w:val="FootnoteText"/>
        <w:ind w:left="1440"/>
        <w:rPr>
          <w:rFonts w:ascii="Times New Roman" w:hAnsi="Times New Roman" w:cs="Times New Roman"/>
          <w:sz w:val="26"/>
          <w:szCs w:val="26"/>
        </w:rPr>
      </w:pPr>
      <w:r>
        <w:rPr>
          <w:rFonts w:ascii="Times New Roman" w:hAnsi="Times New Roman" w:cs="Times New Roman"/>
          <w:sz w:val="26"/>
          <w:szCs w:val="26"/>
        </w:rPr>
        <w:t>-Management Analyst (Code: 13-1111): $63.23</w:t>
      </w:r>
    </w:p>
    <w:p w14:paraId="71D858DE" w14:textId="77777777" w:rsidR="00F329BD" w:rsidRDefault="00F329BD" w:rsidP="00F329BD">
      <w:pPr>
        <w:pStyle w:val="FootnoteText"/>
        <w:rPr>
          <w:sz w:val="26"/>
          <w:szCs w:val="26"/>
        </w:rPr>
      </w:pPr>
      <w:r>
        <w:rPr>
          <w:rFonts w:ascii="Times New Roman" w:hAnsi="Times New Roman" w:cs="Times New Roman"/>
          <w:sz w:val="26"/>
          <w:szCs w:val="26"/>
        </w:rPr>
        <w:t>These various occupational categories are weighted as follows: [($94.15(.10) + ($61.46)(.315) + ($66.80)(.02)  + ($143.47)(.15) + ($96.37)(.10) + ($63.23)(.315)] = $81.19.  The figure is rounded to $81.00/hour for use in calculating cost figures.</w:t>
      </w:r>
    </w:p>
  </w:footnote>
  <w:footnote w:id="11">
    <w:p w14:paraId="13D62494"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 The burden table in this supporting statement corrects the mathematical error in the burden table that was published in the order in Docket No. RD19-3-000.</w:t>
      </w:r>
    </w:p>
  </w:footnote>
  <w:footnote w:id="12">
    <w:p w14:paraId="1945F2D9" w14:textId="77777777" w:rsidR="00F329BD" w:rsidRDefault="00F329BD" w:rsidP="00F329BD">
      <w:pPr>
        <w:pStyle w:val="NormalWeb"/>
        <w:spacing w:line="240" w:lineRule="auto"/>
        <w:rPr>
          <w:color w:val="000000"/>
          <w:sz w:val="26"/>
          <w:szCs w:val="26"/>
        </w:rPr>
      </w:pPr>
      <w:r>
        <w:rPr>
          <w:rStyle w:val="FootnoteReference"/>
          <w:sz w:val="26"/>
          <w:szCs w:val="26"/>
          <w:vertAlign w:val="superscript"/>
        </w:rPr>
        <w:footnoteRef/>
      </w:r>
      <w:r>
        <w:rPr>
          <w:sz w:val="26"/>
          <w:szCs w:val="26"/>
          <w:vertAlign w:val="superscript"/>
        </w:rPr>
        <w:t xml:space="preserve"> </w:t>
      </w:r>
      <w:r>
        <w:rPr>
          <w:color w:val="000000"/>
          <w:sz w:val="26"/>
          <w:szCs w:val="26"/>
        </w:rPr>
        <w:t xml:space="preserve">There are 1,414 unique registered entities in the NERC compliance registry as of May 24, 2019.  Of this total, we estimate that 288 entities will face an increased paperwork burden due to Docket RD19-3. “Unique registered entities” affected by the Order are </w:t>
      </w:r>
      <w:bookmarkStart w:id="1" w:name="_Hlk16083601"/>
      <w:r>
        <w:rPr>
          <w:color w:val="000000"/>
          <w:sz w:val="26"/>
          <w:szCs w:val="26"/>
        </w:rPr>
        <w:t>Balancing Authority (BA), Distribution Provider (DP), Generator Operator (GOP), Generator Owner (GO), Reliability Coordinator (RC), Transmission Operator (TOP), and Transmission Owner (TO).</w:t>
      </w:r>
      <w:bookmarkEnd w:id="1"/>
    </w:p>
  </w:footnote>
  <w:footnote w:id="13">
    <w:p w14:paraId="2B822156"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4"/>
          <w:szCs w:val="24"/>
          <w:vertAlign w:val="superscript"/>
        </w:rPr>
        <w:t xml:space="preserve"> </w:t>
      </w:r>
      <w:r>
        <w:rPr>
          <w:rFonts w:ascii="Times New Roman" w:hAnsi="Times New Roman" w:cs="Times New Roman"/>
          <w:sz w:val="26"/>
          <w:szCs w:val="26"/>
        </w:rPr>
        <w:t>One-time burdens apply in Year 1 only.</w:t>
      </w:r>
    </w:p>
  </w:footnote>
  <w:footnote w:id="14">
    <w:p w14:paraId="39DE3216" w14:textId="4B705812" w:rsidR="00A205C9" w:rsidRDefault="00A205C9">
      <w:pPr>
        <w:pStyle w:val="FootnoteText"/>
      </w:pPr>
      <w:r>
        <w:rPr>
          <w:rStyle w:val="FootnoteReference"/>
        </w:rPr>
        <w:footnoteRef/>
      </w:r>
      <w:r>
        <w:t xml:space="preserve">  </w:t>
      </w:r>
      <w:r w:rsidRPr="00A408EB">
        <w:rPr>
          <w:rFonts w:ascii="Times New Roman" w:hAnsi="Times New Roman" w:cs="Times New Roman"/>
          <w:sz w:val="26"/>
          <w:szCs w:val="26"/>
        </w:rPr>
        <w:t>R = Requirements</w:t>
      </w:r>
    </w:p>
  </w:footnote>
  <w:footnote w:id="15">
    <w:p w14:paraId="3A45A40E"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Ongoing burdens apply in Year 2 and beyond.</w:t>
      </w:r>
    </w:p>
  </w:footnote>
  <w:footnote w:id="16">
    <w:p w14:paraId="342D2405" w14:textId="48B40C89" w:rsidR="00A205C9" w:rsidRPr="00A205C9" w:rsidRDefault="00A205C9">
      <w:pPr>
        <w:pStyle w:val="FootnoteText"/>
        <w:rPr>
          <w:rFonts w:ascii="Times New Roman" w:hAnsi="Times New Roman" w:cs="Times New Roman"/>
          <w:sz w:val="26"/>
          <w:szCs w:val="26"/>
        </w:rPr>
      </w:pPr>
      <w:r w:rsidRPr="00A205C9">
        <w:rPr>
          <w:rStyle w:val="FootnoteReference"/>
          <w:rFonts w:ascii="Times New Roman" w:hAnsi="Times New Roman" w:cs="Times New Roman"/>
          <w:sz w:val="26"/>
          <w:szCs w:val="26"/>
          <w:vertAlign w:val="superscript"/>
        </w:rPr>
        <w:footnoteRef/>
      </w:r>
      <w:r w:rsidRPr="00A205C9">
        <w:rPr>
          <w:rFonts w:ascii="Times New Roman" w:hAnsi="Times New Roman" w:cs="Times New Roman"/>
          <w:sz w:val="26"/>
          <w:szCs w:val="26"/>
        </w:rPr>
        <w:t xml:space="preserve"> M = evidence measure</w:t>
      </w:r>
    </w:p>
  </w:footnote>
  <w:footnote w:id="17">
    <w:p w14:paraId="4D0F882C" w14:textId="1E322BBB" w:rsidR="00616332" w:rsidRPr="00616332" w:rsidRDefault="00616332">
      <w:pPr>
        <w:pStyle w:val="FootnoteText"/>
        <w:rPr>
          <w:rFonts w:ascii="Times New Roman" w:hAnsi="Times New Roman" w:cs="Times New Roman"/>
          <w:sz w:val="26"/>
          <w:szCs w:val="26"/>
          <w:vertAlign w:val="superscript"/>
        </w:rPr>
      </w:pPr>
      <w:r w:rsidRPr="00616332">
        <w:rPr>
          <w:rStyle w:val="FootnoteReference"/>
          <w:rFonts w:ascii="Times New Roman" w:hAnsi="Times New Roman" w:cs="Times New Roman"/>
          <w:sz w:val="26"/>
          <w:szCs w:val="26"/>
          <w:vertAlign w:val="superscript"/>
        </w:rPr>
        <w:footnoteRef/>
      </w:r>
      <w:r w:rsidRPr="00616332">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Pr>
          <w:rFonts w:ascii="Times New Roman" w:hAnsi="Times New Roman" w:cs="Times New Roman"/>
          <w:sz w:val="26"/>
          <w:szCs w:val="26"/>
        </w:rPr>
        <w:t>E</w:t>
      </w:r>
      <w:r w:rsidRPr="00BE206F">
        <w:rPr>
          <w:rFonts w:ascii="Times New Roman" w:hAnsi="Times New Roman" w:cs="Times New Roman"/>
          <w:sz w:val="26"/>
          <w:szCs w:val="26"/>
        </w:rPr>
        <w:t xml:space="preserve">vidence retention </w:t>
      </w:r>
      <w:r>
        <w:rPr>
          <w:rFonts w:ascii="Times New Roman" w:hAnsi="Times New Roman" w:cs="Times New Roman"/>
          <w:sz w:val="26"/>
          <w:szCs w:val="26"/>
        </w:rPr>
        <w:t xml:space="preserve">is the </w:t>
      </w:r>
      <w:r w:rsidRPr="00BE206F">
        <w:rPr>
          <w:rFonts w:ascii="Times New Roman" w:hAnsi="Times New Roman" w:cs="Times New Roman"/>
          <w:sz w:val="26"/>
          <w:szCs w:val="26"/>
        </w:rPr>
        <w:t>period of time an entity is required to</w:t>
      </w:r>
      <w:r>
        <w:rPr>
          <w:rFonts w:ascii="Times New Roman" w:hAnsi="Times New Roman" w:cs="Times New Roman"/>
          <w:sz w:val="26"/>
          <w:szCs w:val="26"/>
        </w:rPr>
        <w:t xml:space="preserve"> </w:t>
      </w:r>
      <w:r w:rsidRPr="00BE206F">
        <w:rPr>
          <w:rFonts w:ascii="Times New Roman" w:hAnsi="Times New Roman" w:cs="Times New Roman"/>
          <w:sz w:val="26"/>
          <w:szCs w:val="26"/>
        </w:rPr>
        <w:t>retain specific evidence to demonstrate compliance</w:t>
      </w:r>
      <w:r>
        <w:rPr>
          <w:rFonts w:ascii="Times New Roman" w:hAnsi="Times New Roman" w:cs="Times New Roman"/>
          <w:sz w:val="26"/>
          <w:szCs w:val="26"/>
        </w:rPr>
        <w:t>.</w:t>
      </w:r>
    </w:p>
  </w:footnote>
  <w:footnote w:id="18">
    <w:p w14:paraId="1CB36F53"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rPr>
        <w:t xml:space="preserve"> Paperwork Reduction Act of 1995 (PRA).</w:t>
      </w:r>
    </w:p>
  </w:footnote>
  <w:footnote w:id="19">
    <w:p w14:paraId="2AC28C82" w14:textId="77777777" w:rsidR="00F329BD" w:rsidRDefault="00F329BD" w:rsidP="00F329BD">
      <w:pPr>
        <w:pStyle w:val="FootnoteText"/>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eastAsia="Times New Roman" w:hAnsi="Times New Roman" w:cs="Times New Roman"/>
          <w:sz w:val="26"/>
          <w:szCs w:val="26"/>
        </w:rPr>
        <w:t>The PRA Administration Cost is $4,931, and includes preparing supporting statements, notices, and other activities associated with Paperwork Reduction Act compliance.</w:t>
      </w:r>
    </w:p>
  </w:footnote>
  <w:footnote w:id="20">
    <w:p w14:paraId="04952A67" w14:textId="77777777" w:rsidR="00F329BD" w:rsidRDefault="00F329BD" w:rsidP="00F329BD">
      <w:pPr>
        <w:pStyle w:val="FootnoteText"/>
        <w:rPr>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The FY2019 average Commission cost (for wages plus benefits) per FTE (Full-Time Equivalent) is $167,091 (or $80/hour).</w:t>
      </w:r>
    </w:p>
  </w:footnote>
  <w:footnote w:id="21">
    <w:p w14:paraId="6988565B"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i/>
          <w:sz w:val="26"/>
          <w:szCs w:val="26"/>
        </w:rPr>
        <w:t>Cyber Security Incident Reporting Reliability Standards</w:t>
      </w:r>
      <w:r>
        <w:rPr>
          <w:rFonts w:ascii="Times New Roman" w:hAnsi="Times New Roman" w:cs="Times New Roman"/>
          <w:sz w:val="26"/>
          <w:szCs w:val="26"/>
        </w:rPr>
        <w:t xml:space="preserve">, Order No. 848, </w:t>
      </w:r>
      <w:r>
        <w:rPr>
          <w:rFonts w:ascii="Times New Roman" w:hAnsi="Times New Roman" w:cs="Times New Roman"/>
          <w:sz w:val="26"/>
          <w:szCs w:val="26"/>
        </w:rPr>
        <w:br/>
        <w:t>164 FERC ¶ 61,033 (2018).</w:t>
      </w:r>
    </w:p>
  </w:footnote>
  <w:footnote w:id="22">
    <w:p w14:paraId="2E65CFF4"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i/>
          <w:sz w:val="26"/>
          <w:szCs w:val="26"/>
        </w:rPr>
        <w:t>Id.</w:t>
      </w:r>
      <w:r>
        <w:rPr>
          <w:rFonts w:ascii="Times New Roman" w:hAnsi="Times New Roman" w:cs="Times New Roman"/>
          <w:sz w:val="26"/>
          <w:szCs w:val="26"/>
        </w:rPr>
        <w:t xml:space="preserve"> PP 2-3. </w:t>
      </w:r>
    </w:p>
  </w:footnote>
  <w:footnote w:id="23">
    <w:p w14:paraId="12E796E4"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16 U.S.C. 824o(d)(5) (2012).</w:t>
      </w:r>
    </w:p>
  </w:footnote>
  <w:footnote w:id="24">
    <w:p w14:paraId="599454BC" w14:textId="77777777" w:rsidR="00F329BD" w:rsidRDefault="00F329BD" w:rsidP="00F329BD">
      <w:pPr>
        <w:pStyle w:val="FootnoteText"/>
        <w:rPr>
          <w:rFonts w:ascii="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NERC Petition at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8B262" w14:textId="77777777" w:rsidR="00E320D0" w:rsidRDefault="00E320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9EEA" w14:textId="77777777" w:rsidR="00E1548E" w:rsidRDefault="00E1548E">
    <w:pPr>
      <w:pStyle w:val="Header"/>
    </w:pPr>
    <w:r>
      <w:t>FERC-725B3 (OMB Control No. TBD)</w:t>
    </w:r>
  </w:p>
  <w:p w14:paraId="3B455F4F" w14:textId="729E9177" w:rsidR="00E1548E" w:rsidRDefault="00E1548E">
    <w:pPr>
      <w:pStyle w:val="Header"/>
    </w:pPr>
    <w:r>
      <w:t>Order (issued 06/20/2019) in Docket No. RD19-3-000</w:t>
    </w:r>
  </w:p>
  <w:p w14:paraId="483F826F" w14:textId="7CBA0B11" w:rsidR="00831CBD" w:rsidRDefault="00831CBD">
    <w:pPr>
      <w:pStyle w:val="Header"/>
    </w:pPr>
    <w:r>
      <w:t xml:space="preserve">(updated: </w:t>
    </w:r>
    <w:r w:rsidR="00E320D0">
      <w:t>1/6/2020)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3570" w14:textId="77777777" w:rsidR="00E320D0" w:rsidRDefault="00E32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04965"/>
    <w:multiLevelType w:val="hybridMultilevel"/>
    <w:tmpl w:val="57BE72F6"/>
    <w:lvl w:ilvl="0" w:tplc="D0FE2956">
      <w:start w:val="1"/>
      <w:numFmt w:val="decimal"/>
      <w:lvlText w:val="%1."/>
      <w:lvlJc w:val="left"/>
      <w:pPr>
        <w:tabs>
          <w:tab w:val="num" w:pos="360"/>
        </w:tabs>
        <w:ind w:left="360" w:hanging="360"/>
      </w:pPr>
      <w:rPr>
        <w:b w:val="0"/>
        <w:sz w:val="26"/>
        <w:szCs w:val="26"/>
      </w:rPr>
    </w:lvl>
    <w:lvl w:ilvl="1" w:tplc="04090001">
      <w:numFmt w:val="decimal"/>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7D3B09D3"/>
    <w:multiLevelType w:val="hybridMultilevel"/>
    <w:tmpl w:val="FA38E5B6"/>
    <w:lvl w:ilvl="0" w:tplc="FFDA01B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BD"/>
    <w:rsid w:val="000E1CD8"/>
    <w:rsid w:val="00105650"/>
    <w:rsid w:val="00115967"/>
    <w:rsid w:val="001224F2"/>
    <w:rsid w:val="00122FE8"/>
    <w:rsid w:val="001D7F04"/>
    <w:rsid w:val="00290873"/>
    <w:rsid w:val="00313E18"/>
    <w:rsid w:val="003F37F9"/>
    <w:rsid w:val="00422E87"/>
    <w:rsid w:val="004E263E"/>
    <w:rsid w:val="00564578"/>
    <w:rsid w:val="0058322E"/>
    <w:rsid w:val="00616332"/>
    <w:rsid w:val="00796FC7"/>
    <w:rsid w:val="00831CBD"/>
    <w:rsid w:val="0087543F"/>
    <w:rsid w:val="008A3F2C"/>
    <w:rsid w:val="00950E83"/>
    <w:rsid w:val="00A205C9"/>
    <w:rsid w:val="00A408EB"/>
    <w:rsid w:val="00BC65C0"/>
    <w:rsid w:val="00BE206F"/>
    <w:rsid w:val="00CE5E89"/>
    <w:rsid w:val="00E1548E"/>
    <w:rsid w:val="00E27A16"/>
    <w:rsid w:val="00E320D0"/>
    <w:rsid w:val="00E704E3"/>
    <w:rsid w:val="00E87446"/>
    <w:rsid w:val="00F274AA"/>
    <w:rsid w:val="00F3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3C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9B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329BD"/>
    <w:rPr>
      <w:color w:val="0000FF"/>
      <w:u w:val="single"/>
    </w:rPr>
  </w:style>
  <w:style w:type="paragraph" w:styleId="NormalWeb">
    <w:name w:val="Normal (Web)"/>
    <w:basedOn w:val="Normal"/>
    <w:uiPriority w:val="99"/>
    <w:semiHidden/>
    <w:unhideWhenUsed/>
    <w:rsid w:val="00F329BD"/>
    <w:rPr>
      <w:rFonts w:ascii="Times New Roman" w:hAnsi="Times New Roman" w:cs="Times New Roman"/>
      <w:sz w:val="24"/>
      <w:szCs w:val="24"/>
    </w:rPr>
  </w:style>
  <w:style w:type="character" w:customStyle="1" w:styleId="FootnoteTextChar">
    <w:name w:val="Footnote Text Char"/>
    <w:aliases w:val="fn Char,Footnote Text Char Char Char1,Footnote Text Char1 Char Char,Footnote Text Char Char Char Char,Char Char,Footnote Text Char Char1 Char,Footnote Text Char1 Char Char Char1 Char,Footnote Text Char Char Char Char Char1 Char"/>
    <w:basedOn w:val="DefaultParagraphFont"/>
    <w:link w:val="FootnoteText"/>
    <w:uiPriority w:val="99"/>
    <w:semiHidden/>
    <w:locked/>
    <w:rsid w:val="00F329BD"/>
    <w:rPr>
      <w:sz w:val="20"/>
      <w:szCs w:val="20"/>
    </w:rPr>
  </w:style>
  <w:style w:type="paragraph" w:styleId="FootnoteText">
    <w:name w:val="footnote text"/>
    <w:aliases w:val="fn,Footnote Text Char Char,Footnote Text Char1 Char,Footnote Text Char Char Char,Char,Footnote Text Char Char1,Footnote Text Char1 Char Char Char1,Footnote Text Char Char Char Char Char1,ft,Footnote Text MRP,fn1"/>
    <w:basedOn w:val="Normal"/>
    <w:link w:val="FootnoteTextChar"/>
    <w:uiPriority w:val="99"/>
    <w:semiHidden/>
    <w:unhideWhenUsed/>
    <w:rsid w:val="00F329BD"/>
    <w:pPr>
      <w:spacing w:after="0" w:line="240" w:lineRule="auto"/>
    </w:pPr>
    <w:rPr>
      <w:sz w:val="20"/>
      <w:szCs w:val="20"/>
    </w:rPr>
  </w:style>
  <w:style w:type="character" w:customStyle="1" w:styleId="FootnoteTextChar1">
    <w:name w:val="Footnote Text Char1"/>
    <w:basedOn w:val="DefaultParagraphFont"/>
    <w:uiPriority w:val="99"/>
    <w:semiHidden/>
    <w:rsid w:val="00F329BD"/>
    <w:rPr>
      <w:sz w:val="20"/>
      <w:szCs w:val="20"/>
    </w:rPr>
  </w:style>
  <w:style w:type="character" w:customStyle="1" w:styleId="FERCparanumberChar">
    <w:name w:val="FERC paranumber Char"/>
    <w:basedOn w:val="DefaultParagraphFont"/>
    <w:link w:val="FERCparanumber"/>
    <w:semiHidden/>
    <w:locked/>
    <w:rsid w:val="00F329BD"/>
    <w:rPr>
      <w:rFonts w:ascii="Times New Roman" w:hAnsi="Times New Roman" w:cs="Times New Roman"/>
      <w:sz w:val="26"/>
    </w:rPr>
  </w:style>
  <w:style w:type="paragraph" w:customStyle="1" w:styleId="FERCparanumber">
    <w:name w:val="FERC paranumber"/>
    <w:basedOn w:val="Normal"/>
    <w:link w:val="FERCparanumberChar"/>
    <w:semiHidden/>
    <w:qFormat/>
    <w:rsid w:val="00F329BD"/>
    <w:pPr>
      <w:numPr>
        <w:numId w:val="1"/>
      </w:numPr>
      <w:spacing w:after="260" w:line="240" w:lineRule="auto"/>
    </w:pPr>
    <w:rPr>
      <w:rFonts w:ascii="Times New Roman" w:hAnsi="Times New Roman" w:cs="Times New Roman"/>
      <w:sz w:val="26"/>
    </w:rPr>
  </w:style>
  <w:style w:type="character" w:styleId="FootnoteReference">
    <w:name w:val="footnote reference"/>
    <w:basedOn w:val="DefaultParagraphFont"/>
    <w:semiHidden/>
    <w:unhideWhenUsed/>
    <w:qFormat/>
    <w:rsid w:val="00F329BD"/>
  </w:style>
  <w:style w:type="character" w:styleId="CommentReference">
    <w:name w:val="annotation reference"/>
    <w:basedOn w:val="DefaultParagraphFont"/>
    <w:uiPriority w:val="99"/>
    <w:semiHidden/>
    <w:unhideWhenUsed/>
    <w:rsid w:val="00F329BD"/>
    <w:rPr>
      <w:sz w:val="16"/>
      <w:szCs w:val="16"/>
    </w:rPr>
  </w:style>
  <w:style w:type="paragraph" w:styleId="CommentText">
    <w:name w:val="annotation text"/>
    <w:basedOn w:val="Normal"/>
    <w:link w:val="CommentTextChar"/>
    <w:uiPriority w:val="99"/>
    <w:semiHidden/>
    <w:unhideWhenUsed/>
    <w:rsid w:val="00F329BD"/>
    <w:pPr>
      <w:spacing w:line="240" w:lineRule="auto"/>
    </w:pPr>
    <w:rPr>
      <w:sz w:val="20"/>
      <w:szCs w:val="20"/>
    </w:rPr>
  </w:style>
  <w:style w:type="character" w:customStyle="1" w:styleId="CommentTextChar">
    <w:name w:val="Comment Text Char"/>
    <w:basedOn w:val="DefaultParagraphFont"/>
    <w:link w:val="CommentText"/>
    <w:uiPriority w:val="99"/>
    <w:semiHidden/>
    <w:rsid w:val="00F329BD"/>
    <w:rPr>
      <w:sz w:val="20"/>
      <w:szCs w:val="20"/>
    </w:rPr>
  </w:style>
  <w:style w:type="paragraph" w:styleId="CommentSubject">
    <w:name w:val="annotation subject"/>
    <w:basedOn w:val="CommentText"/>
    <w:next w:val="CommentText"/>
    <w:link w:val="CommentSubjectChar"/>
    <w:uiPriority w:val="99"/>
    <w:semiHidden/>
    <w:unhideWhenUsed/>
    <w:rsid w:val="00F329BD"/>
    <w:rPr>
      <w:b/>
      <w:bCs/>
    </w:rPr>
  </w:style>
  <w:style w:type="character" w:customStyle="1" w:styleId="CommentSubjectChar">
    <w:name w:val="Comment Subject Char"/>
    <w:basedOn w:val="CommentTextChar"/>
    <w:link w:val="CommentSubject"/>
    <w:uiPriority w:val="99"/>
    <w:semiHidden/>
    <w:rsid w:val="00F329BD"/>
    <w:rPr>
      <w:b/>
      <w:bCs/>
      <w:sz w:val="20"/>
      <w:szCs w:val="20"/>
    </w:rPr>
  </w:style>
  <w:style w:type="paragraph" w:styleId="BalloonText">
    <w:name w:val="Balloon Text"/>
    <w:basedOn w:val="Normal"/>
    <w:link w:val="BalloonTextChar"/>
    <w:uiPriority w:val="99"/>
    <w:semiHidden/>
    <w:unhideWhenUsed/>
    <w:rsid w:val="00F32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BD"/>
    <w:rPr>
      <w:rFonts w:ascii="Segoe UI" w:hAnsi="Segoe UI" w:cs="Segoe UI"/>
      <w:sz w:val="18"/>
      <w:szCs w:val="18"/>
    </w:rPr>
  </w:style>
  <w:style w:type="paragraph" w:styleId="Header">
    <w:name w:val="header"/>
    <w:basedOn w:val="Normal"/>
    <w:link w:val="HeaderChar"/>
    <w:uiPriority w:val="99"/>
    <w:unhideWhenUsed/>
    <w:rsid w:val="00E15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8E"/>
  </w:style>
  <w:style w:type="paragraph" w:styleId="Footer">
    <w:name w:val="footer"/>
    <w:basedOn w:val="Normal"/>
    <w:link w:val="FooterChar"/>
    <w:uiPriority w:val="99"/>
    <w:unhideWhenUsed/>
    <w:rsid w:val="00E15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8E"/>
  </w:style>
  <w:style w:type="paragraph" w:styleId="ListParagraph">
    <w:name w:val="List Paragraph"/>
    <w:basedOn w:val="Normal"/>
    <w:uiPriority w:val="34"/>
    <w:qFormat/>
    <w:rsid w:val="00A205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9B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329BD"/>
    <w:rPr>
      <w:color w:val="0000FF"/>
      <w:u w:val="single"/>
    </w:rPr>
  </w:style>
  <w:style w:type="paragraph" w:styleId="NormalWeb">
    <w:name w:val="Normal (Web)"/>
    <w:basedOn w:val="Normal"/>
    <w:uiPriority w:val="99"/>
    <w:semiHidden/>
    <w:unhideWhenUsed/>
    <w:rsid w:val="00F329BD"/>
    <w:rPr>
      <w:rFonts w:ascii="Times New Roman" w:hAnsi="Times New Roman" w:cs="Times New Roman"/>
      <w:sz w:val="24"/>
      <w:szCs w:val="24"/>
    </w:rPr>
  </w:style>
  <w:style w:type="character" w:customStyle="1" w:styleId="FootnoteTextChar">
    <w:name w:val="Footnote Text Char"/>
    <w:aliases w:val="fn Char,Footnote Text Char Char Char1,Footnote Text Char1 Char Char,Footnote Text Char Char Char Char,Char Char,Footnote Text Char Char1 Char,Footnote Text Char1 Char Char Char1 Char,Footnote Text Char Char Char Char Char1 Char"/>
    <w:basedOn w:val="DefaultParagraphFont"/>
    <w:link w:val="FootnoteText"/>
    <w:uiPriority w:val="99"/>
    <w:semiHidden/>
    <w:locked/>
    <w:rsid w:val="00F329BD"/>
    <w:rPr>
      <w:sz w:val="20"/>
      <w:szCs w:val="20"/>
    </w:rPr>
  </w:style>
  <w:style w:type="paragraph" w:styleId="FootnoteText">
    <w:name w:val="footnote text"/>
    <w:aliases w:val="fn,Footnote Text Char Char,Footnote Text Char1 Char,Footnote Text Char Char Char,Char,Footnote Text Char Char1,Footnote Text Char1 Char Char Char1,Footnote Text Char Char Char Char Char1,ft,Footnote Text MRP,fn1"/>
    <w:basedOn w:val="Normal"/>
    <w:link w:val="FootnoteTextChar"/>
    <w:uiPriority w:val="99"/>
    <w:semiHidden/>
    <w:unhideWhenUsed/>
    <w:rsid w:val="00F329BD"/>
    <w:pPr>
      <w:spacing w:after="0" w:line="240" w:lineRule="auto"/>
    </w:pPr>
    <w:rPr>
      <w:sz w:val="20"/>
      <w:szCs w:val="20"/>
    </w:rPr>
  </w:style>
  <w:style w:type="character" w:customStyle="1" w:styleId="FootnoteTextChar1">
    <w:name w:val="Footnote Text Char1"/>
    <w:basedOn w:val="DefaultParagraphFont"/>
    <w:uiPriority w:val="99"/>
    <w:semiHidden/>
    <w:rsid w:val="00F329BD"/>
    <w:rPr>
      <w:sz w:val="20"/>
      <w:szCs w:val="20"/>
    </w:rPr>
  </w:style>
  <w:style w:type="character" w:customStyle="1" w:styleId="FERCparanumberChar">
    <w:name w:val="FERC paranumber Char"/>
    <w:basedOn w:val="DefaultParagraphFont"/>
    <w:link w:val="FERCparanumber"/>
    <w:semiHidden/>
    <w:locked/>
    <w:rsid w:val="00F329BD"/>
    <w:rPr>
      <w:rFonts w:ascii="Times New Roman" w:hAnsi="Times New Roman" w:cs="Times New Roman"/>
      <w:sz w:val="26"/>
    </w:rPr>
  </w:style>
  <w:style w:type="paragraph" w:customStyle="1" w:styleId="FERCparanumber">
    <w:name w:val="FERC paranumber"/>
    <w:basedOn w:val="Normal"/>
    <w:link w:val="FERCparanumberChar"/>
    <w:semiHidden/>
    <w:qFormat/>
    <w:rsid w:val="00F329BD"/>
    <w:pPr>
      <w:numPr>
        <w:numId w:val="1"/>
      </w:numPr>
      <w:spacing w:after="260" w:line="240" w:lineRule="auto"/>
    </w:pPr>
    <w:rPr>
      <w:rFonts w:ascii="Times New Roman" w:hAnsi="Times New Roman" w:cs="Times New Roman"/>
      <w:sz w:val="26"/>
    </w:rPr>
  </w:style>
  <w:style w:type="character" w:styleId="FootnoteReference">
    <w:name w:val="footnote reference"/>
    <w:basedOn w:val="DefaultParagraphFont"/>
    <w:semiHidden/>
    <w:unhideWhenUsed/>
    <w:qFormat/>
    <w:rsid w:val="00F329BD"/>
  </w:style>
  <w:style w:type="character" w:styleId="CommentReference">
    <w:name w:val="annotation reference"/>
    <w:basedOn w:val="DefaultParagraphFont"/>
    <w:uiPriority w:val="99"/>
    <w:semiHidden/>
    <w:unhideWhenUsed/>
    <w:rsid w:val="00F329BD"/>
    <w:rPr>
      <w:sz w:val="16"/>
      <w:szCs w:val="16"/>
    </w:rPr>
  </w:style>
  <w:style w:type="paragraph" w:styleId="CommentText">
    <w:name w:val="annotation text"/>
    <w:basedOn w:val="Normal"/>
    <w:link w:val="CommentTextChar"/>
    <w:uiPriority w:val="99"/>
    <w:semiHidden/>
    <w:unhideWhenUsed/>
    <w:rsid w:val="00F329BD"/>
    <w:pPr>
      <w:spacing w:line="240" w:lineRule="auto"/>
    </w:pPr>
    <w:rPr>
      <w:sz w:val="20"/>
      <w:szCs w:val="20"/>
    </w:rPr>
  </w:style>
  <w:style w:type="character" w:customStyle="1" w:styleId="CommentTextChar">
    <w:name w:val="Comment Text Char"/>
    <w:basedOn w:val="DefaultParagraphFont"/>
    <w:link w:val="CommentText"/>
    <w:uiPriority w:val="99"/>
    <w:semiHidden/>
    <w:rsid w:val="00F329BD"/>
    <w:rPr>
      <w:sz w:val="20"/>
      <w:szCs w:val="20"/>
    </w:rPr>
  </w:style>
  <w:style w:type="paragraph" w:styleId="CommentSubject">
    <w:name w:val="annotation subject"/>
    <w:basedOn w:val="CommentText"/>
    <w:next w:val="CommentText"/>
    <w:link w:val="CommentSubjectChar"/>
    <w:uiPriority w:val="99"/>
    <w:semiHidden/>
    <w:unhideWhenUsed/>
    <w:rsid w:val="00F329BD"/>
    <w:rPr>
      <w:b/>
      <w:bCs/>
    </w:rPr>
  </w:style>
  <w:style w:type="character" w:customStyle="1" w:styleId="CommentSubjectChar">
    <w:name w:val="Comment Subject Char"/>
    <w:basedOn w:val="CommentTextChar"/>
    <w:link w:val="CommentSubject"/>
    <w:uiPriority w:val="99"/>
    <w:semiHidden/>
    <w:rsid w:val="00F329BD"/>
    <w:rPr>
      <w:b/>
      <w:bCs/>
      <w:sz w:val="20"/>
      <w:szCs w:val="20"/>
    </w:rPr>
  </w:style>
  <w:style w:type="paragraph" w:styleId="BalloonText">
    <w:name w:val="Balloon Text"/>
    <w:basedOn w:val="Normal"/>
    <w:link w:val="BalloonTextChar"/>
    <w:uiPriority w:val="99"/>
    <w:semiHidden/>
    <w:unhideWhenUsed/>
    <w:rsid w:val="00F32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BD"/>
    <w:rPr>
      <w:rFonts w:ascii="Segoe UI" w:hAnsi="Segoe UI" w:cs="Segoe UI"/>
      <w:sz w:val="18"/>
      <w:szCs w:val="18"/>
    </w:rPr>
  </w:style>
  <w:style w:type="paragraph" w:styleId="Header">
    <w:name w:val="header"/>
    <w:basedOn w:val="Normal"/>
    <w:link w:val="HeaderChar"/>
    <w:uiPriority w:val="99"/>
    <w:unhideWhenUsed/>
    <w:rsid w:val="00E15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8E"/>
  </w:style>
  <w:style w:type="paragraph" w:styleId="Footer">
    <w:name w:val="footer"/>
    <w:basedOn w:val="Normal"/>
    <w:link w:val="FooterChar"/>
    <w:uiPriority w:val="99"/>
    <w:unhideWhenUsed/>
    <w:rsid w:val="00E15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8E"/>
  </w:style>
  <w:style w:type="paragraph" w:styleId="ListParagraph">
    <w:name w:val="List Paragraph"/>
    <w:basedOn w:val="Normal"/>
    <w:uiPriority w:val="34"/>
    <w:qFormat/>
    <w:rsid w:val="00A20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Other</Rulemaking_x0020_Document_x0020_Type>
    <_x0033__x002e__x0020_Docket_x0020_Number xmlns="d6eefc7d-9817-4fa6-84d5-3bc009be21b8" xsi:nil="true"/>
    <_x0031__x002e__x0020_Collection_x0020_Number xmlns="d6eefc7d-9817-4fa6-84d5-3bc009be21b8">725B3</_x0031__x002e__x0020_Collection_x0020_Number>
    <Date xmlns="d6eefc7d-9817-4fa6-84d5-3bc009be21b8">2019-11-25T05:00:00+00:00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RD19-3</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688E-9DBE-4DA0-B2F1-2EBF66271691}">
  <ds:schemaRefs>
    <ds:schemaRef ds:uri="http://schemas.microsoft.com/office/2006/metadata/customXsn"/>
  </ds:schemaRefs>
</ds:datastoreItem>
</file>

<file path=customXml/itemProps2.xml><?xml version="1.0" encoding="utf-8"?>
<ds:datastoreItem xmlns:ds="http://schemas.openxmlformats.org/officeDocument/2006/customXml" ds:itemID="{A41EFFFC-7430-4F83-ADCE-23B457F09FC6}">
  <ds:schemaRefs>
    <ds:schemaRef ds:uri="Microsoft.SharePoint.Taxonomy.ContentTypeSync"/>
  </ds:schemaRefs>
</ds:datastoreItem>
</file>

<file path=customXml/itemProps3.xml><?xml version="1.0" encoding="utf-8"?>
<ds:datastoreItem xmlns:ds="http://schemas.openxmlformats.org/officeDocument/2006/customXml" ds:itemID="{F8918290-302E-4AE9-B6D4-4500B386AA0C}">
  <ds:schemaRefs>
    <ds:schemaRef ds:uri="http://schemas.microsoft.com/sharepoint/v3/contenttype/forms"/>
  </ds:schemaRefs>
</ds:datastoreItem>
</file>

<file path=customXml/itemProps4.xml><?xml version="1.0" encoding="utf-8"?>
<ds:datastoreItem xmlns:ds="http://schemas.openxmlformats.org/officeDocument/2006/customXml" ds:itemID="{91FEF8E9-9D4D-42B1-A1CD-7FD4ACDB1174}">
  <ds:schemaRefs>
    <ds:schemaRef ds:uri="http://purl.org/dc/elements/1.1/"/>
    <ds:schemaRef ds:uri="http://schemas.microsoft.com/office/2006/documentManagement/types"/>
    <ds:schemaRef ds:uri="d6eefc7d-9817-4fa6-84d5-3bc009be21b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E682CFD-3A8C-4CB6-8AE2-4769AB13F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9F0496-8C5A-4EC3-8C3C-6C3A2DEA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Mandatory Reliability Standards for Critical Infrastructure Protection [CIP] Reliability Standards</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Standards for Critical Infrastructure Protection [CIP] Reliability Standards</dc:title>
  <dc:subject/>
  <dc:creator>Michele Chambers</dc:creator>
  <cp:keywords/>
  <dc:description/>
  <cp:lastModifiedBy>SYSTEM</cp:lastModifiedBy>
  <cp:revision>2</cp:revision>
  <dcterms:created xsi:type="dcterms:W3CDTF">2020-01-06T16:28:00Z</dcterms:created>
  <dcterms:modified xsi:type="dcterms:W3CDTF">2020-01-06T16:28:00Z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