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3B7" w:rsidRPr="00331B48" w:rsidRDefault="004613B7" w:rsidP="006D0E97">
      <w:pPr>
        <w:jc w:val="center"/>
        <w:rPr>
          <w:b/>
          <w:color w:val="000000"/>
          <w:szCs w:val="28"/>
        </w:rPr>
      </w:pPr>
      <w:bookmarkStart w:id="0" w:name="_GoBack"/>
      <w:bookmarkEnd w:id="0"/>
      <w:r w:rsidRPr="00331B48">
        <w:rPr>
          <w:b/>
          <w:color w:val="000000"/>
          <w:szCs w:val="28"/>
        </w:rPr>
        <w:t>Supporting Statement</w:t>
      </w:r>
    </w:p>
    <w:p w:rsidR="00EA39F3" w:rsidRPr="00331B48" w:rsidRDefault="00EA39F3" w:rsidP="00EA39F3">
      <w:pPr>
        <w:jc w:val="center"/>
        <w:rPr>
          <w:b/>
          <w:color w:val="000000"/>
          <w:szCs w:val="28"/>
        </w:rPr>
      </w:pPr>
      <w:r w:rsidRPr="00331B48">
        <w:rPr>
          <w:b/>
          <w:color w:val="000000"/>
          <w:szCs w:val="28"/>
        </w:rPr>
        <w:t>201</w:t>
      </w:r>
      <w:r w:rsidR="00DF6F8C">
        <w:rPr>
          <w:b/>
          <w:color w:val="000000"/>
          <w:szCs w:val="28"/>
        </w:rPr>
        <w:t>9</w:t>
      </w:r>
      <w:r w:rsidRPr="00331B48">
        <w:rPr>
          <w:b/>
          <w:color w:val="000000"/>
          <w:szCs w:val="28"/>
        </w:rPr>
        <w:t xml:space="preserve"> </w:t>
      </w:r>
      <w:r w:rsidR="00344A8F" w:rsidRPr="00344A8F">
        <w:rPr>
          <w:b/>
        </w:rPr>
        <w:t>Research Applied Analytics &amp; Statistics (RAAS)</w:t>
      </w:r>
      <w:r w:rsidRPr="00331B48">
        <w:rPr>
          <w:b/>
          <w:color w:val="000000"/>
          <w:szCs w:val="28"/>
        </w:rPr>
        <w:t xml:space="preserve"> Comprehensive Taxpayer Attitude Survey</w:t>
      </w:r>
    </w:p>
    <w:p w:rsidR="00E31FDD" w:rsidRDefault="00E31FDD" w:rsidP="00EA39F3">
      <w:pPr>
        <w:jc w:val="center"/>
        <w:rPr>
          <w:b/>
          <w:color w:val="000000"/>
          <w:szCs w:val="28"/>
        </w:rPr>
      </w:pPr>
    </w:p>
    <w:p w:rsidR="00E31FDD" w:rsidRDefault="00E31FDD" w:rsidP="00EA39F3">
      <w:pPr>
        <w:jc w:val="center"/>
        <w:rPr>
          <w:b/>
          <w:color w:val="000000"/>
          <w:szCs w:val="28"/>
        </w:rPr>
      </w:pPr>
    </w:p>
    <w:p w:rsidR="004613B7" w:rsidRPr="005416BB" w:rsidRDefault="004613B7" w:rsidP="006D0E97">
      <w:pPr>
        <w:pStyle w:val="BodyTextIndent3"/>
        <w:ind w:left="0"/>
        <w:rPr>
          <w:b/>
        </w:rPr>
      </w:pPr>
    </w:p>
    <w:p w:rsidR="004613B7" w:rsidRPr="005416BB" w:rsidRDefault="006063E3" w:rsidP="006D0E97">
      <w:pPr>
        <w:pStyle w:val="BodyTextIndent3"/>
        <w:ind w:left="0"/>
        <w:rPr>
          <w:b/>
        </w:rPr>
      </w:pPr>
      <w:r>
        <w:rPr>
          <w:b/>
        </w:rPr>
        <w:t xml:space="preserve">B. </w:t>
      </w:r>
      <w:r w:rsidR="004613B7" w:rsidRPr="005416BB">
        <w:rPr>
          <w:b/>
        </w:rPr>
        <w:t>STATISTICAL METHODS</w:t>
      </w:r>
    </w:p>
    <w:p w:rsidR="004613B7" w:rsidRPr="005416BB" w:rsidRDefault="004613B7" w:rsidP="006D0E97">
      <w:pPr>
        <w:pStyle w:val="BodyTextIndent3"/>
        <w:ind w:left="0"/>
        <w:rPr>
          <w:b/>
        </w:rPr>
      </w:pPr>
    </w:p>
    <w:p w:rsidR="00823C01" w:rsidRPr="005416BB" w:rsidRDefault="00823C01" w:rsidP="00823C01">
      <w:pPr>
        <w:pStyle w:val="ListParagraph"/>
        <w:numPr>
          <w:ilvl w:val="0"/>
          <w:numId w:val="21"/>
        </w:numPr>
        <w:rPr>
          <w:b/>
        </w:rPr>
      </w:pPr>
      <w:r w:rsidRPr="005416BB">
        <w:rPr>
          <w:b/>
        </w:rPr>
        <w:t xml:space="preserve">Universe and Respondent Selection  </w:t>
      </w:r>
    </w:p>
    <w:p w:rsidR="00823C01" w:rsidRDefault="00823C01" w:rsidP="00823C01">
      <w:pPr>
        <w:ind w:left="360"/>
      </w:pPr>
      <w:r w:rsidRPr="005416BB">
        <w:t>Taxpayers over the age of 18 that match the demographic characteristics of the U.S. population will be reached via random digit dialing</w:t>
      </w:r>
      <w:r>
        <w:t xml:space="preserve"> and the vendor’s </w:t>
      </w:r>
      <w:r w:rsidRPr="00E03459">
        <w:t>representative</w:t>
      </w:r>
      <w:r>
        <w:rPr>
          <w:color w:val="00B0F0"/>
        </w:rPr>
        <w:t xml:space="preserve"> </w:t>
      </w:r>
      <w:r>
        <w:t>online panel</w:t>
      </w:r>
      <w:r w:rsidRPr="005416BB">
        <w:t>.</w:t>
      </w:r>
    </w:p>
    <w:p w:rsidR="00823C01" w:rsidRDefault="00823C01" w:rsidP="00823C01">
      <w:pPr>
        <w:ind w:left="360"/>
      </w:pPr>
    </w:p>
    <w:p w:rsidR="00823C01" w:rsidRPr="005416BB" w:rsidRDefault="00823C01" w:rsidP="00823C01">
      <w:pPr>
        <w:pStyle w:val="ListParagraph"/>
        <w:numPr>
          <w:ilvl w:val="0"/>
          <w:numId w:val="21"/>
        </w:numPr>
        <w:rPr>
          <w:b/>
        </w:rPr>
      </w:pPr>
      <w:r w:rsidRPr="005416BB">
        <w:rPr>
          <w:b/>
        </w:rPr>
        <w:t xml:space="preserve">Procedures for Collecting Information  </w:t>
      </w:r>
    </w:p>
    <w:p w:rsidR="00823C01" w:rsidRDefault="00823C01" w:rsidP="00823C01">
      <w:pPr>
        <w:pStyle w:val="BodyTextFirstIndent"/>
        <w:spacing w:after="0"/>
        <w:ind w:left="360" w:firstLine="0"/>
        <w:rPr>
          <w:iCs/>
          <w:snapToGrid w:val="0"/>
          <w:szCs w:val="24"/>
        </w:rPr>
      </w:pPr>
    </w:p>
    <w:p w:rsidR="00823C01" w:rsidRPr="00823C01" w:rsidRDefault="00823C01" w:rsidP="00823C01">
      <w:pPr>
        <w:pStyle w:val="BodyTextFirstIndent"/>
        <w:spacing w:after="0"/>
        <w:ind w:left="360" w:firstLine="0"/>
      </w:pPr>
      <w:r>
        <w:t>The 2019 CTAS continues</w:t>
      </w:r>
      <w:r w:rsidRPr="007B4DB3">
        <w:t xml:space="preserve"> </w:t>
      </w:r>
      <w:r>
        <w:t xml:space="preserve">the previous </w:t>
      </w:r>
      <w:r w:rsidRPr="007B4DB3">
        <w:t xml:space="preserve">multi-mode data collection methodology, comprised of telephone and online panel random sampling to ensure a representative sample of the general public. </w:t>
      </w:r>
      <w:r w:rsidR="00CC1F9A">
        <w:t xml:space="preserve">IRS’s contracted research firm, </w:t>
      </w:r>
      <w:r w:rsidRPr="007B4DB3">
        <w:t>PCG</w:t>
      </w:r>
      <w:r w:rsidR="00CC1F9A">
        <w:t>,</w:t>
      </w:r>
      <w:r w:rsidRPr="007B4DB3">
        <w:t xml:space="preserve"> </w:t>
      </w:r>
      <w:r>
        <w:t>will</w:t>
      </w:r>
      <w:r w:rsidRPr="007B4DB3">
        <w:t xml:space="preserve"> collect a total of 2,000 completed surveys, split evenly between the telephone and online data collection methodologies, for a margin of error of +/- 2% at the 95% </w:t>
      </w:r>
      <w:r w:rsidRPr="00823C01">
        <w:t xml:space="preserve">confidence level. </w:t>
      </w:r>
      <w:r w:rsidRPr="00823C01">
        <w:rPr>
          <w:iCs/>
          <w:snapToGrid w:val="0"/>
          <w:szCs w:val="24"/>
        </w:rPr>
        <w:t xml:space="preserve">The data will be collected using a telephone survey of approximately 500 landlines and 500 cell phone respondents as well as an online survey of 1,000 additional respondents. </w:t>
      </w:r>
      <w:r w:rsidRPr="00823C01">
        <w:t>The survey is exactly the same as in 2018 and will be an average of 20 minutes</w:t>
      </w:r>
      <w:r w:rsidR="00AF6E79">
        <w:t xml:space="preserve"> (phone)/10 minutes (online)</w:t>
      </w:r>
      <w:r w:rsidRPr="00823C01">
        <w:t xml:space="preserve"> with no open-ended questions.</w:t>
      </w:r>
    </w:p>
    <w:p w:rsidR="00823C01" w:rsidRPr="00823C01" w:rsidRDefault="00823C01" w:rsidP="00823C01">
      <w:pPr>
        <w:widowControl w:val="0"/>
        <w:ind w:left="360"/>
      </w:pPr>
    </w:p>
    <w:p w:rsidR="00823C01" w:rsidRPr="00823C01" w:rsidRDefault="00823C01" w:rsidP="00823C01">
      <w:pPr>
        <w:pStyle w:val="ListParagraph"/>
        <w:ind w:left="360"/>
        <w:rPr>
          <w:b/>
          <w:bCs/>
          <w:lang w:val="en"/>
        </w:rPr>
      </w:pPr>
      <w:r w:rsidRPr="00823C01">
        <w:rPr>
          <w:b/>
          <w:bCs/>
          <w:lang w:val="en"/>
        </w:rPr>
        <w:t>Potential respondent universe</w:t>
      </w:r>
    </w:p>
    <w:p w:rsidR="00823C01" w:rsidRPr="00823C01" w:rsidRDefault="00823C01" w:rsidP="0030063B">
      <w:pPr>
        <w:pStyle w:val="ListParagraph"/>
        <w:ind w:left="360"/>
      </w:pPr>
      <w:r w:rsidRPr="0030063B">
        <w:rPr>
          <w:bCs/>
          <w:lang w:val="en"/>
        </w:rPr>
        <w:t>Adult</w:t>
      </w:r>
      <w:r w:rsidRPr="00823C01">
        <w:rPr>
          <w:lang w:val="en"/>
        </w:rPr>
        <w:t xml:space="preserve"> population (18 years or older) in the United States</w:t>
      </w:r>
    </w:p>
    <w:p w:rsidR="00823C01" w:rsidRPr="00823C01" w:rsidRDefault="00823C01" w:rsidP="00823C01">
      <w:pPr>
        <w:pStyle w:val="ListParagraph"/>
        <w:ind w:left="360"/>
        <w:rPr>
          <w:b/>
          <w:bCs/>
          <w:lang w:val="en"/>
        </w:rPr>
      </w:pPr>
    </w:p>
    <w:p w:rsidR="00823C01" w:rsidRPr="00823C01" w:rsidRDefault="00823C01" w:rsidP="00823C01">
      <w:pPr>
        <w:pStyle w:val="ListParagraph"/>
        <w:ind w:left="360"/>
        <w:rPr>
          <w:b/>
          <w:bCs/>
          <w:lang w:val="en"/>
        </w:rPr>
      </w:pPr>
      <w:r w:rsidRPr="00823C01">
        <w:rPr>
          <w:b/>
          <w:bCs/>
          <w:lang w:val="en"/>
        </w:rPr>
        <w:t>Numerical Estimate of the respondent universe</w:t>
      </w:r>
    </w:p>
    <w:p w:rsidR="00823C01" w:rsidRPr="00823C01" w:rsidRDefault="00823C01" w:rsidP="00823C01">
      <w:pPr>
        <w:pStyle w:val="ListParagraph"/>
        <w:ind w:left="360"/>
        <w:rPr>
          <w:lang w:val="en"/>
        </w:rPr>
      </w:pPr>
      <w:r w:rsidRPr="00823C01">
        <w:rPr>
          <w:lang w:val="en"/>
        </w:rPr>
        <w:t>253,881,929</w:t>
      </w:r>
      <w:r>
        <w:rPr>
          <w:lang w:val="en"/>
        </w:rPr>
        <w:t>, b</w:t>
      </w:r>
      <w:r w:rsidRPr="00823C01">
        <w:rPr>
          <w:lang w:val="en"/>
        </w:rPr>
        <w:t>ased on population estimates from US Census Bureau for 2018</w:t>
      </w:r>
      <w:r w:rsidR="00014835">
        <w:rPr>
          <w:lang w:val="en"/>
        </w:rPr>
        <w:t>.</w:t>
      </w:r>
      <w:r w:rsidR="00014835">
        <w:rPr>
          <w:rStyle w:val="FootnoteReference"/>
          <w:lang w:val="en"/>
        </w:rPr>
        <w:footnoteReference w:id="2"/>
      </w:r>
      <w:r w:rsidRPr="00823C01">
        <w:rPr>
          <w:lang w:val="en"/>
        </w:rPr>
        <w:t xml:space="preserve"> </w:t>
      </w:r>
    </w:p>
    <w:p w:rsidR="00823C01" w:rsidRPr="00823C01" w:rsidRDefault="00823C01" w:rsidP="00823C01">
      <w:pPr>
        <w:pStyle w:val="ListParagraph"/>
        <w:ind w:left="360"/>
      </w:pPr>
    </w:p>
    <w:p w:rsidR="00823C01" w:rsidRPr="00823C01" w:rsidRDefault="00823C01" w:rsidP="00823C01">
      <w:pPr>
        <w:pStyle w:val="ListParagraph"/>
        <w:ind w:left="360"/>
        <w:rPr>
          <w:b/>
        </w:rPr>
      </w:pPr>
      <w:r w:rsidRPr="00823C01">
        <w:rPr>
          <w:b/>
        </w:rPr>
        <w:t>Number of Entities</w:t>
      </w:r>
    </w:p>
    <w:tbl>
      <w:tblPr>
        <w:tblW w:w="10008" w:type="dxa"/>
        <w:tblInd w:w="242" w:type="dxa"/>
        <w:tblCellMar>
          <w:left w:w="0" w:type="dxa"/>
          <w:right w:w="0" w:type="dxa"/>
        </w:tblCellMar>
        <w:tblLook w:val="04A0" w:firstRow="1" w:lastRow="0" w:firstColumn="1" w:lastColumn="0" w:noHBand="0" w:noVBand="1"/>
      </w:tblPr>
      <w:tblGrid>
        <w:gridCol w:w="2088"/>
        <w:gridCol w:w="2616"/>
        <w:gridCol w:w="3144"/>
        <w:gridCol w:w="2160"/>
      </w:tblGrid>
      <w:tr w:rsidR="00823C01" w:rsidRPr="00823C01" w:rsidTr="0030063B">
        <w:trPr>
          <w:trHeight w:val="864"/>
        </w:trPr>
        <w:tc>
          <w:tcPr>
            <w:tcW w:w="20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23C01" w:rsidRPr="00823C01" w:rsidRDefault="00823C01" w:rsidP="001D4E63">
            <w:pPr>
              <w:jc w:val="center"/>
            </w:pPr>
            <w:r w:rsidRPr="00823C01">
              <w:rPr>
                <w:b/>
                <w:bCs/>
              </w:rPr>
              <w:t>Data Collection Method</w:t>
            </w:r>
          </w:p>
        </w:tc>
        <w:tc>
          <w:tcPr>
            <w:tcW w:w="26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23C01" w:rsidRPr="00823C01" w:rsidRDefault="00823C01" w:rsidP="001D4E63">
            <w:pPr>
              <w:jc w:val="center"/>
            </w:pPr>
            <w:r w:rsidRPr="00823C01">
              <w:rPr>
                <w:b/>
                <w:bCs/>
              </w:rPr>
              <w:t xml:space="preserve">Potential Respondent Universe </w:t>
            </w:r>
          </w:p>
          <w:p w:rsidR="00823C01" w:rsidRPr="00823C01" w:rsidRDefault="00823C01" w:rsidP="001D4E63">
            <w:pPr>
              <w:jc w:val="center"/>
            </w:pPr>
            <w:r w:rsidRPr="00823C01">
              <w:rPr>
                <w:b/>
                <w:bCs/>
              </w:rPr>
              <w:t>(adults 18+ in US)</w:t>
            </w:r>
          </w:p>
        </w:tc>
        <w:tc>
          <w:tcPr>
            <w:tcW w:w="31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23C01" w:rsidRPr="00823C01" w:rsidRDefault="00823C01" w:rsidP="001D4E63">
            <w:pPr>
              <w:jc w:val="center"/>
            </w:pPr>
            <w:r w:rsidRPr="00823C01">
              <w:rPr>
                <w:b/>
                <w:bCs/>
              </w:rPr>
              <w:t>Requested for participation (based on last year's numbers)</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23C01" w:rsidRPr="00823C01" w:rsidRDefault="00823C01" w:rsidP="001D4E63">
            <w:pPr>
              <w:jc w:val="center"/>
            </w:pPr>
            <w:r w:rsidRPr="00823C01">
              <w:rPr>
                <w:b/>
                <w:bCs/>
              </w:rPr>
              <w:t xml:space="preserve">Participants in the survey </w:t>
            </w:r>
          </w:p>
          <w:p w:rsidR="00823C01" w:rsidRPr="00823C01" w:rsidRDefault="00823C01" w:rsidP="001D4E63">
            <w:pPr>
              <w:jc w:val="center"/>
            </w:pPr>
            <w:r w:rsidRPr="00823C01">
              <w:rPr>
                <w:b/>
                <w:bCs/>
              </w:rPr>
              <w:t>(survey sample size)</w:t>
            </w:r>
          </w:p>
        </w:tc>
      </w:tr>
      <w:tr w:rsidR="00823C01" w:rsidRPr="00823C01" w:rsidTr="0030063B">
        <w:trPr>
          <w:trHeight w:val="288"/>
        </w:trPr>
        <w:tc>
          <w:tcPr>
            <w:tcW w:w="2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23C01" w:rsidRPr="00823C01" w:rsidRDefault="00823C01" w:rsidP="001D4E63">
            <w:r w:rsidRPr="00823C01">
              <w:t xml:space="preserve">Phone </w:t>
            </w:r>
          </w:p>
        </w:tc>
        <w:tc>
          <w:tcPr>
            <w:tcW w:w="26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23C01" w:rsidRPr="00823C01" w:rsidRDefault="00823C01" w:rsidP="001D4E63">
            <w:pPr>
              <w:jc w:val="center"/>
            </w:pPr>
            <w:r w:rsidRPr="00823C01">
              <w:t xml:space="preserve">                    253,881,929 </w:t>
            </w:r>
          </w:p>
        </w:tc>
        <w:tc>
          <w:tcPr>
            <w:tcW w:w="314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23C01" w:rsidRPr="00823C01" w:rsidRDefault="00823C01" w:rsidP="001D4E63">
            <w:pPr>
              <w:jc w:val="center"/>
            </w:pPr>
            <w:r w:rsidRPr="00823C01">
              <w:t>37,470</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23C01" w:rsidRPr="00823C01" w:rsidRDefault="00823C01" w:rsidP="001D4E63">
            <w:pPr>
              <w:jc w:val="center"/>
            </w:pPr>
            <w:r w:rsidRPr="00823C01">
              <w:t>1000</w:t>
            </w:r>
          </w:p>
        </w:tc>
      </w:tr>
      <w:tr w:rsidR="00823C01" w:rsidRPr="00823C01" w:rsidTr="0030063B">
        <w:trPr>
          <w:trHeight w:val="288"/>
        </w:trPr>
        <w:tc>
          <w:tcPr>
            <w:tcW w:w="2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23C01" w:rsidRPr="00823C01" w:rsidRDefault="00823C01" w:rsidP="001D4E63">
            <w:r w:rsidRPr="00823C01">
              <w:t xml:space="preserve">Online </w:t>
            </w:r>
          </w:p>
        </w:tc>
        <w:tc>
          <w:tcPr>
            <w:tcW w:w="26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23C01" w:rsidRPr="00823C01" w:rsidRDefault="00823C01" w:rsidP="001D4E63">
            <w:pPr>
              <w:jc w:val="center"/>
            </w:pPr>
            <w:r w:rsidRPr="00823C01">
              <w:t xml:space="preserve">                    253,881,929 </w:t>
            </w:r>
          </w:p>
        </w:tc>
        <w:tc>
          <w:tcPr>
            <w:tcW w:w="314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23C01" w:rsidRPr="00823C01" w:rsidRDefault="00823C01" w:rsidP="001D4E63">
            <w:pPr>
              <w:jc w:val="center"/>
            </w:pPr>
            <w:r w:rsidRPr="00823C01">
              <w:t>1,800</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23C01" w:rsidRPr="00823C01" w:rsidRDefault="00823C01" w:rsidP="001D4E63">
            <w:pPr>
              <w:jc w:val="center"/>
            </w:pPr>
            <w:r w:rsidRPr="00823C01">
              <w:t>1000</w:t>
            </w:r>
          </w:p>
        </w:tc>
      </w:tr>
      <w:tr w:rsidR="00823C01" w:rsidRPr="00823C01" w:rsidTr="0030063B">
        <w:trPr>
          <w:trHeight w:val="288"/>
        </w:trPr>
        <w:tc>
          <w:tcPr>
            <w:tcW w:w="2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23C01" w:rsidRPr="00823C01" w:rsidRDefault="00823C01" w:rsidP="001D4E63">
            <w:r w:rsidRPr="00823C01">
              <w:t xml:space="preserve">Overall Total </w:t>
            </w:r>
          </w:p>
        </w:tc>
        <w:tc>
          <w:tcPr>
            <w:tcW w:w="26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23C01" w:rsidRPr="00823C01" w:rsidRDefault="00823C01" w:rsidP="001D4E63">
            <w:pPr>
              <w:jc w:val="center"/>
            </w:pPr>
            <w:r w:rsidRPr="00823C01">
              <w:t xml:space="preserve">                    253,881,929 </w:t>
            </w:r>
          </w:p>
        </w:tc>
        <w:tc>
          <w:tcPr>
            <w:tcW w:w="314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23C01" w:rsidRPr="00823C01" w:rsidRDefault="00823C01" w:rsidP="001D4E63">
            <w:pPr>
              <w:jc w:val="center"/>
            </w:pPr>
            <w:r w:rsidRPr="00823C01">
              <w:t>39,270</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23C01" w:rsidRPr="00823C01" w:rsidRDefault="00823C01" w:rsidP="001D4E63">
            <w:pPr>
              <w:jc w:val="center"/>
            </w:pPr>
            <w:r w:rsidRPr="00823C01">
              <w:t>2000</w:t>
            </w:r>
          </w:p>
        </w:tc>
      </w:tr>
    </w:tbl>
    <w:p w:rsidR="00823C01" w:rsidRPr="00823C01" w:rsidRDefault="00823C01" w:rsidP="00823C01">
      <w:pPr>
        <w:ind w:left="360"/>
      </w:pPr>
      <w:r w:rsidRPr="00823C01">
        <w:t> </w:t>
      </w:r>
    </w:p>
    <w:p w:rsidR="00823C01" w:rsidRPr="00823C01" w:rsidRDefault="00823C01" w:rsidP="00823C01">
      <w:pPr>
        <w:widowControl w:val="0"/>
        <w:ind w:left="360"/>
        <w:rPr>
          <w:b/>
        </w:rPr>
      </w:pPr>
      <w:r w:rsidRPr="00823C01">
        <w:rPr>
          <w:b/>
        </w:rPr>
        <w:t>Telephone Methodology</w:t>
      </w:r>
    </w:p>
    <w:p w:rsidR="00823C01" w:rsidRPr="007B4DB3" w:rsidRDefault="00823C01" w:rsidP="00823C01">
      <w:pPr>
        <w:widowControl w:val="0"/>
        <w:ind w:left="360"/>
      </w:pPr>
      <w:r w:rsidRPr="00823C01">
        <w:rPr>
          <w:u w:val="single"/>
        </w:rPr>
        <w:t>Respondent Selection Method</w:t>
      </w:r>
      <w:r w:rsidRPr="00823C01">
        <w:t xml:space="preserve">: The telephone sampling approach will include random digit dialing (RDD) of households with landlines in the continental U.S., augmented by an RDD sample of cell phone numbers in order to capture the opinions of U.S. adults in cell phone only (CPO) households. The phone survey participants </w:t>
      </w:r>
      <w:r w:rsidRPr="007B4DB3">
        <w:t xml:space="preserve">are selected via RDD of household telephone numbers from working phone area codes and exchanges and by computer generation of the last 4 digits. Since the RDD sampling system is totally computer-based, it </w:t>
      </w:r>
      <w:r w:rsidRPr="007B4DB3">
        <w:lastRenderedPageBreak/>
        <w:t>provides an equal probability of selection for each and every telephone household. Thus, the sample represents telephone households with both listed and unlisted phones in their proper proportions.</w:t>
      </w:r>
    </w:p>
    <w:p w:rsidR="00823C01" w:rsidRPr="007B4DB3" w:rsidRDefault="00823C01" w:rsidP="00823C01">
      <w:pPr>
        <w:widowControl w:val="0"/>
        <w:ind w:left="360"/>
      </w:pPr>
    </w:p>
    <w:p w:rsidR="00823C01" w:rsidRPr="007B4DB3" w:rsidRDefault="00823C01" w:rsidP="00823C01">
      <w:pPr>
        <w:widowControl w:val="0"/>
        <w:ind w:left="360"/>
      </w:pPr>
      <w:r w:rsidRPr="007B4DB3">
        <w:t xml:space="preserve">In order to reflect current usage patterns in the U.S., we </w:t>
      </w:r>
      <w:r>
        <w:t>will</w:t>
      </w:r>
      <w:r w:rsidRPr="007B4DB3">
        <w:t xml:space="preserve"> collect 500 interviews via RDD from a traditional landline telephone sampling frame, and 500 interviews via RDD from a sampling frame of cell phone numbers, including cell phone only (CPO) and dual users. The total telephone sample size will be 1,000 completed interviews, with a margin of error equal to +/- 4% at the 95% confidence level.</w:t>
      </w:r>
    </w:p>
    <w:p w:rsidR="00823C01" w:rsidRPr="007B4DB3" w:rsidRDefault="00823C01" w:rsidP="00823C01">
      <w:pPr>
        <w:widowControl w:val="0"/>
        <w:ind w:left="360"/>
      </w:pPr>
    </w:p>
    <w:p w:rsidR="00823C01" w:rsidRDefault="00823C01" w:rsidP="00823C01">
      <w:pPr>
        <w:widowControl w:val="0"/>
        <w:ind w:left="360"/>
      </w:pPr>
      <w:r w:rsidRPr="007B4DB3">
        <w:t xml:space="preserve">All telephone interviews will be conducted by PCG’s phone subcontractor who will work under the leadership of PCG’s project manager. All interviewers will be professionally trained in interviewing techniques and in IRS surveys prior to the commencement of fielding, and they will be continuously monitored and supervised throughout the fielding period. The interviewing methodology used will be Computer Assisted Telephone Interviewing (CATI). All data are entered and cleaned through the CATI system during the interviewing process, which eliminates editing and keypunch operations. A screening question ensures that respondents are at least 18 years old. For those agreeing to participate in the survey, interviewers administer the survey questionnaire guided by the computer assisted telephone interviewing (CATI) process. All sample phone numbers selected by the sampling procedure are subject to an initial call, followed by at least four follow-up attempts to complete an </w:t>
      </w:r>
      <w:r w:rsidRPr="00DF1985">
        <w:t>interview. Last year, the response rate was 2.</w:t>
      </w:r>
      <w:r>
        <w:t>1</w:t>
      </w:r>
      <w:r w:rsidRPr="00DF1985">
        <w:t xml:space="preserve">% for landline phones and </w:t>
      </w:r>
      <w:r>
        <w:t>3.5</w:t>
      </w:r>
      <w:r w:rsidRPr="00DF1985">
        <w:t>% for cellphones. Phone response rates are declining every year, so we expect the response rate to be similar to or a little lower than last year’s response rate</w:t>
      </w:r>
      <w:r>
        <w:t xml:space="preserve">. </w:t>
      </w:r>
    </w:p>
    <w:p w:rsidR="00823C01" w:rsidRPr="007B4DB3" w:rsidRDefault="00823C01" w:rsidP="00823C01">
      <w:pPr>
        <w:widowControl w:val="0"/>
        <w:ind w:left="360"/>
      </w:pPr>
      <w:r w:rsidRPr="007B4DB3">
        <w:t xml:space="preserve"> </w:t>
      </w:r>
    </w:p>
    <w:p w:rsidR="00823C01" w:rsidRPr="007B4DB3" w:rsidRDefault="00823C01" w:rsidP="00823C01">
      <w:pPr>
        <w:widowControl w:val="0"/>
        <w:ind w:left="360"/>
        <w:rPr>
          <w:b/>
        </w:rPr>
      </w:pPr>
      <w:r w:rsidRPr="007B4DB3">
        <w:rPr>
          <w:b/>
        </w:rPr>
        <w:t>Online Methodology</w:t>
      </w:r>
    </w:p>
    <w:p w:rsidR="00823C01" w:rsidRPr="007B4DB3" w:rsidRDefault="00823C01" w:rsidP="00823C01">
      <w:pPr>
        <w:widowControl w:val="0"/>
        <w:ind w:left="360"/>
      </w:pPr>
      <w:r w:rsidRPr="007B4DB3">
        <w:t>In conjunction with telephone data collection,</w:t>
      </w:r>
      <w:r>
        <w:t xml:space="preserve"> </w:t>
      </w:r>
      <w:r w:rsidRPr="007B4DB3">
        <w:t xml:space="preserve">PCG is planning to collect a total online sample size of 1,000 completed online surveys, with a margin of error equal to +/- 4% at the 95% confidence level. </w:t>
      </w:r>
    </w:p>
    <w:p w:rsidR="00823C01" w:rsidRPr="007B4DB3" w:rsidRDefault="00823C01" w:rsidP="00823C01">
      <w:pPr>
        <w:widowControl w:val="0"/>
        <w:ind w:left="360"/>
      </w:pPr>
    </w:p>
    <w:p w:rsidR="00823C01" w:rsidRPr="007B4DB3" w:rsidRDefault="00823C01" w:rsidP="00823C01">
      <w:pPr>
        <w:widowControl w:val="0"/>
        <w:ind w:left="360"/>
      </w:pPr>
      <w:r w:rsidRPr="007B4DB3">
        <w:t>PCG will program a standard online version of the questionnaire. The survey ‘look and feel’ will have a professional design</w:t>
      </w:r>
      <w:r>
        <w:t xml:space="preserve"> as used in the 2018 survey</w:t>
      </w:r>
      <w:r w:rsidRPr="007B4DB3">
        <w:t xml:space="preserve"> and will not identify the IRS as the project sponsor. The online survey will be thoroughly tested internally at PCG to ensure the programming reflects the survey content (questions, response options) as well as any skip logic. These skip patterns are built into the survey program code and are tested along with the survey content. PCG will test each branching of the skip patterns to ensure that the question sequence is programmed correctly. A test survey link will then be shared with the RAAS team</w:t>
      </w:r>
      <w:r>
        <w:t xml:space="preserve"> for review and comments</w:t>
      </w:r>
      <w:r w:rsidRPr="007B4DB3">
        <w:t>.</w:t>
      </w:r>
      <w:r>
        <w:t xml:space="preserve"> PCG will revise the online program as needed based on RAAS feedback.</w:t>
      </w:r>
      <w:r w:rsidRPr="007B4DB3">
        <w:t xml:space="preserve"> </w:t>
      </w:r>
      <w:r>
        <w:t>PCG will also send the email invitation text to RAAS for review.</w:t>
      </w:r>
    </w:p>
    <w:p w:rsidR="00823C01" w:rsidRPr="007B4DB3" w:rsidRDefault="00823C01" w:rsidP="00823C01">
      <w:pPr>
        <w:widowControl w:val="0"/>
        <w:ind w:left="360"/>
      </w:pPr>
    </w:p>
    <w:p w:rsidR="00823C01" w:rsidRPr="007B4DB3" w:rsidRDefault="00823C01" w:rsidP="00823C01">
      <w:pPr>
        <w:widowControl w:val="0"/>
        <w:ind w:left="360"/>
      </w:pPr>
      <w:r w:rsidRPr="007B4DB3">
        <w:t xml:space="preserve">In addition to the standard version of the programmed survey, PCG will also program a second version of the survey that will conform to the technical standards for web-based Intranet and Internet Information and Applications of Section 508 of the Rehabilitation Act of 1998. </w:t>
      </w:r>
      <w:r w:rsidRPr="00EE1B30">
        <w:t>Having the two versions ensures the best user experience for those reading the survey themselves and for those using JAWS software to read the survey to them.</w:t>
      </w:r>
      <w:r>
        <w:t xml:space="preserve"> </w:t>
      </w:r>
      <w:r w:rsidRPr="007B4DB3">
        <w:t xml:space="preserve">This survey version will also be thoroughly tested internally at PCG, before providing RAAS with a survey link for their own testing process. </w:t>
      </w:r>
    </w:p>
    <w:p w:rsidR="00823C01" w:rsidRPr="007B4DB3" w:rsidRDefault="00823C01" w:rsidP="00823C01">
      <w:pPr>
        <w:widowControl w:val="0"/>
        <w:ind w:left="360"/>
      </w:pPr>
    </w:p>
    <w:p w:rsidR="00823C01" w:rsidRPr="00823C01" w:rsidRDefault="00823C01" w:rsidP="00823C01">
      <w:pPr>
        <w:widowControl w:val="0"/>
        <w:ind w:left="360"/>
      </w:pPr>
      <w:r w:rsidRPr="002C0E06">
        <w:rPr>
          <w:u w:val="single"/>
        </w:rPr>
        <w:t>Respondent Selection Method</w:t>
      </w:r>
      <w:r>
        <w:t xml:space="preserve">: </w:t>
      </w:r>
      <w:r w:rsidRPr="007B4DB3">
        <w:t xml:space="preserve">In order to achieve survey data that is representative of the U.S. adult online population, PCG has subcontracted with </w:t>
      </w:r>
      <w:r>
        <w:t>Ipsos</w:t>
      </w:r>
      <w:r w:rsidRPr="007B4DB3">
        <w:t xml:space="preserve"> to provide the online sample </w:t>
      </w:r>
      <w:r w:rsidRPr="007B4DB3">
        <w:lastRenderedPageBreak/>
        <w:t>from their probability based online panel, KnowledgePanel</w:t>
      </w:r>
      <w:r w:rsidRPr="00AD67F0">
        <w:rPr>
          <w:vertAlign w:val="superscript"/>
        </w:rPr>
        <w:t>®</w:t>
      </w:r>
      <w:r w:rsidRPr="007B4DB3">
        <w:t xml:space="preserve">. This panel uses an Address-Based Sampling (ABS) </w:t>
      </w:r>
      <w:r w:rsidRPr="00823C01">
        <w:t>methodology which is random-by-mail to recruit members and each quarter a stratified random sample of addresses is selected to replenish the panel. The sampling frame used is the universe of all U.S. residential addresses secured from the latest Delivery Sequence File of the U.S. Postal Service. Panel members are randomly selected to participate in this study.</w:t>
      </w:r>
    </w:p>
    <w:p w:rsidR="00823C01" w:rsidRPr="00823C01" w:rsidRDefault="00823C01" w:rsidP="00823C01">
      <w:pPr>
        <w:widowControl w:val="0"/>
        <w:ind w:left="360"/>
      </w:pPr>
    </w:p>
    <w:p w:rsidR="00823C01" w:rsidRPr="007B4DB3" w:rsidRDefault="00823C01" w:rsidP="00823C01">
      <w:pPr>
        <w:widowControl w:val="0"/>
        <w:ind w:left="360"/>
      </w:pPr>
      <w:r w:rsidRPr="00823C01">
        <w:t xml:space="preserve">Ipsos will send out survey invitations to the panel respondents via email containing a link to the survey on the PCG server. Ipsos </w:t>
      </w:r>
      <w:r w:rsidRPr="007B4DB3">
        <w:t>will send inv</w:t>
      </w:r>
      <w:r>
        <w:t xml:space="preserve">itations and reminders about a an “opinion survey” </w:t>
      </w:r>
      <w:r w:rsidRPr="007B4DB3">
        <w:t xml:space="preserve">with no details regarding IRS sponsorship. </w:t>
      </w:r>
      <w:r>
        <w:t>W</w:t>
      </w:r>
      <w:r w:rsidRPr="007B4DB3">
        <w:t xml:space="preserve">e expect a </w:t>
      </w:r>
      <w:r>
        <w:t>completion</w:t>
      </w:r>
      <w:r w:rsidRPr="007B4DB3">
        <w:t xml:space="preserve"> rate of at least 50% for this survey</w:t>
      </w:r>
      <w:r>
        <w:t xml:space="preserve"> (the completion rate in 2017 was 64%)</w:t>
      </w:r>
      <w:r w:rsidRPr="007B4DB3">
        <w:t>. The survey has been confirmed as non-FTI</w:t>
      </w:r>
      <w:r>
        <w:t xml:space="preserve"> (Federal Taxpayer Information)</w:t>
      </w:r>
      <w:r w:rsidRPr="007B4DB3">
        <w:t xml:space="preserve">, it is completely anonymous, and no individual respondent will be providing personally identifiable information. </w:t>
      </w:r>
    </w:p>
    <w:p w:rsidR="00823C01" w:rsidRDefault="00823C01" w:rsidP="00823C01">
      <w:pPr>
        <w:keepNext/>
        <w:widowControl w:val="0"/>
        <w:ind w:left="360"/>
        <w:rPr>
          <w:b/>
        </w:rPr>
      </w:pPr>
    </w:p>
    <w:p w:rsidR="00823C01" w:rsidRPr="007B4DB3" w:rsidRDefault="00823C01" w:rsidP="00823C01">
      <w:pPr>
        <w:widowControl w:val="0"/>
        <w:ind w:left="360"/>
        <w:rPr>
          <w:b/>
        </w:rPr>
      </w:pPr>
      <w:r w:rsidRPr="007B4DB3">
        <w:rPr>
          <w:b/>
        </w:rPr>
        <w:t>Weighting Strategy</w:t>
      </w:r>
    </w:p>
    <w:p w:rsidR="00823C01" w:rsidRPr="007B4DB3" w:rsidRDefault="00823C01" w:rsidP="00823C01">
      <w:pPr>
        <w:widowControl w:val="0"/>
        <w:ind w:left="360"/>
      </w:pPr>
      <w:r w:rsidRPr="007B4DB3">
        <w:t xml:space="preserve">PCG will follow the same weighting strategy as </w:t>
      </w:r>
      <w:r>
        <w:t xml:space="preserve">was utilized in </w:t>
      </w:r>
      <w:r w:rsidRPr="007B4DB3">
        <w:t xml:space="preserve">the Base Period. The survey data from each data collection mode will be weighted separately to allow for analysis of each sample separately, and comparatively. The two samples will </w:t>
      </w:r>
      <w:r>
        <w:t xml:space="preserve">also </w:t>
      </w:r>
      <w:r w:rsidRPr="007B4DB3">
        <w:t xml:space="preserve">be combined, and an additional ‘blended’ weight will be used. </w:t>
      </w:r>
    </w:p>
    <w:p w:rsidR="00823C01" w:rsidRPr="007B4DB3" w:rsidRDefault="00823C01" w:rsidP="00823C01">
      <w:pPr>
        <w:widowControl w:val="0"/>
        <w:ind w:left="360"/>
      </w:pPr>
    </w:p>
    <w:p w:rsidR="00823C01" w:rsidRPr="007B4DB3" w:rsidRDefault="00823C01" w:rsidP="00823C01">
      <w:pPr>
        <w:widowControl w:val="0"/>
        <w:ind w:left="360"/>
      </w:pPr>
      <w:r w:rsidRPr="007B4DB3">
        <w:t xml:space="preserve">The entire telephone sample, consisting of landline and cell phone samples, will be weighted on demographics and telephone usage variables to demographically represent the adult U.S. population according to the most recent national population estimates. This weighting scheme will account for dual cell phone and landline users. </w:t>
      </w:r>
    </w:p>
    <w:p w:rsidR="00823C01" w:rsidRPr="007B4DB3" w:rsidRDefault="00823C01" w:rsidP="00823C01">
      <w:pPr>
        <w:widowControl w:val="0"/>
        <w:ind w:left="360"/>
      </w:pPr>
    </w:p>
    <w:p w:rsidR="00823C01" w:rsidRPr="007B4DB3" w:rsidRDefault="00823C01" w:rsidP="00823C01">
      <w:pPr>
        <w:widowControl w:val="0"/>
        <w:ind w:left="360"/>
      </w:pPr>
      <w:r w:rsidRPr="007B4DB3">
        <w:t>The online sample will be weighted using demographic variables only.</w:t>
      </w:r>
    </w:p>
    <w:p w:rsidR="00823C01" w:rsidRPr="007B4DB3" w:rsidRDefault="00823C01" w:rsidP="00823C01">
      <w:pPr>
        <w:widowControl w:val="0"/>
        <w:ind w:left="360"/>
      </w:pPr>
    </w:p>
    <w:p w:rsidR="00823C01" w:rsidRPr="007B4DB3" w:rsidRDefault="00823C01" w:rsidP="00823C01">
      <w:pPr>
        <w:widowControl w:val="0"/>
        <w:ind w:left="360"/>
      </w:pPr>
      <w:r w:rsidRPr="007B4DB3">
        <w:t>In merging the telephone and online survey datasets, PCG will use a blended weighting to achieve a final dataset that matches the U.S. adult population on CPS-based demographic variables.</w:t>
      </w:r>
      <w:r>
        <w:t xml:space="preserve"> This weighting will be based on demographic variables as well as </w:t>
      </w:r>
      <w:r w:rsidRPr="00AB4C69">
        <w:t>behavioral/attitudinal questions</w:t>
      </w:r>
      <w:r>
        <w:t xml:space="preserve"> about internet and television use as well as attitudes about trying new products. </w:t>
      </w:r>
    </w:p>
    <w:p w:rsidR="00823C01" w:rsidRPr="007B4DB3" w:rsidRDefault="00823C01" w:rsidP="00823C01">
      <w:pPr>
        <w:widowControl w:val="0"/>
        <w:ind w:left="360"/>
      </w:pPr>
    </w:p>
    <w:p w:rsidR="00823C01" w:rsidRPr="007B4DB3" w:rsidRDefault="00823C01" w:rsidP="00823C01">
      <w:pPr>
        <w:keepNext/>
        <w:widowControl w:val="0"/>
        <w:ind w:left="360"/>
        <w:rPr>
          <w:b/>
        </w:rPr>
      </w:pPr>
      <w:r w:rsidRPr="007B4DB3">
        <w:rPr>
          <w:b/>
        </w:rPr>
        <w:t>Analytical Planning</w:t>
      </w:r>
    </w:p>
    <w:p w:rsidR="00823C01" w:rsidRPr="007B4DB3" w:rsidRDefault="00823C01" w:rsidP="00823C01">
      <w:pPr>
        <w:widowControl w:val="0"/>
        <w:ind w:left="360"/>
      </w:pPr>
      <w:r w:rsidRPr="007B4DB3">
        <w:t xml:space="preserve">PCG will review an interim survey dataset in the latter stage of fielding. The dataset will be cleaned and basic frequencies for each question will be generated. A review of this initial analysis </w:t>
      </w:r>
      <w:r>
        <w:t xml:space="preserve">in addition to our experience analyzing last year’s data </w:t>
      </w:r>
      <w:r w:rsidRPr="007B4DB3">
        <w:t>will lead to PCG’s analysis and reporting plan for the final dataset(s). PCG will share this plan with RAAS and a joint-team meeting will occur to discuss the proposed plan and whether it sufficiently meets RAAS’s needs.</w:t>
      </w:r>
    </w:p>
    <w:p w:rsidR="00BD7822" w:rsidRDefault="00BD7822" w:rsidP="006063E3">
      <w:pPr>
        <w:pStyle w:val="BodyTextFirstIndent"/>
        <w:spacing w:after="0"/>
        <w:ind w:firstLine="0"/>
      </w:pPr>
    </w:p>
    <w:p w:rsidR="004613B7" w:rsidRPr="005416BB" w:rsidRDefault="004613B7" w:rsidP="006063E3">
      <w:pPr>
        <w:pStyle w:val="ListParagraph"/>
        <w:numPr>
          <w:ilvl w:val="0"/>
          <w:numId w:val="21"/>
        </w:numPr>
        <w:rPr>
          <w:b/>
        </w:rPr>
      </w:pPr>
      <w:r w:rsidRPr="005416BB">
        <w:rPr>
          <w:b/>
        </w:rPr>
        <w:t xml:space="preserve">Methods to Maximize Response </w:t>
      </w:r>
      <w:r w:rsidR="006D0E97">
        <w:rPr>
          <w:b/>
          <w:color w:val="FF0000"/>
        </w:rPr>
        <w:t xml:space="preserve"> </w:t>
      </w:r>
    </w:p>
    <w:p w:rsidR="004613B7" w:rsidRPr="005416BB" w:rsidRDefault="006D0E97" w:rsidP="006063E3">
      <w:pPr>
        <w:pStyle w:val="ListParagraph"/>
        <w:ind w:left="360"/>
      </w:pPr>
      <w:r>
        <w:t>For phone surveys, u</w:t>
      </w:r>
      <w:r w:rsidR="004613B7" w:rsidRPr="005416BB">
        <w:t>p to five attempts will be made to reach each selected household (an original attempt, plus four more attempts to reach households that did not answer earlier calls).  All attempts will be made during evening and weekend hours, since those are the times when working respondents are most likely to be at home.  Calling attempts will be scheduled for different days of the week and weekends and will be spaced as far apart as is possible, within the restraints of the survey schedule.</w:t>
      </w:r>
      <w:r w:rsidR="00AF07B6">
        <w:t xml:space="preserve"> </w:t>
      </w:r>
    </w:p>
    <w:p w:rsidR="004613B7" w:rsidRPr="005416BB" w:rsidRDefault="004613B7" w:rsidP="006063E3">
      <w:pPr>
        <w:pStyle w:val="ListParagraph"/>
        <w:ind w:left="360"/>
      </w:pPr>
    </w:p>
    <w:p w:rsidR="006D0E97" w:rsidRPr="000A3EEE" w:rsidRDefault="006D0E97" w:rsidP="006063E3">
      <w:pPr>
        <w:pStyle w:val="ListParagraph"/>
        <w:ind w:left="360"/>
      </w:pPr>
      <w:r w:rsidRPr="000A3EEE">
        <w:rPr>
          <w:bCs/>
        </w:rPr>
        <w:t xml:space="preserve">For online surveys, </w:t>
      </w:r>
      <w:r w:rsidRPr="000A3EEE">
        <w:t xml:space="preserve">points </w:t>
      </w:r>
      <w:r w:rsidR="006429B9">
        <w:t xml:space="preserve">may be offered by the contractor </w:t>
      </w:r>
      <w:r w:rsidRPr="000A3EEE">
        <w:t>as a participation incentive, which can be redeemed for merchandise,</w:t>
      </w:r>
      <w:r w:rsidR="006429B9">
        <w:t xml:space="preserve"> gift cards, or other items. The contractor</w:t>
      </w:r>
      <w:r w:rsidRPr="000A3EEE">
        <w:t xml:space="preserve"> </w:t>
      </w:r>
      <w:r w:rsidR="00557BA6">
        <w:t>will</w:t>
      </w:r>
      <w:r w:rsidRPr="000A3EEE">
        <w:t>:</w:t>
      </w:r>
    </w:p>
    <w:p w:rsidR="006D0E97" w:rsidRPr="000A3EEE" w:rsidRDefault="006D0E97" w:rsidP="006063E3">
      <w:pPr>
        <w:pStyle w:val="ListParagraph"/>
        <w:numPr>
          <w:ilvl w:val="0"/>
          <w:numId w:val="42"/>
        </w:numPr>
        <w:contextualSpacing w:val="0"/>
      </w:pPr>
      <w:r w:rsidRPr="000A3EEE">
        <w:t>keep surveys open for a minimum of 7-10 days</w:t>
      </w:r>
      <w:r w:rsidR="00AB5E44">
        <w:t>;</w:t>
      </w:r>
    </w:p>
    <w:p w:rsidR="006D0E97" w:rsidRPr="000A3EEE" w:rsidRDefault="00557BA6">
      <w:pPr>
        <w:pStyle w:val="ListParagraph"/>
        <w:numPr>
          <w:ilvl w:val="0"/>
          <w:numId w:val="42"/>
        </w:numPr>
        <w:contextualSpacing w:val="0"/>
      </w:pPr>
      <w:r>
        <w:t xml:space="preserve">and </w:t>
      </w:r>
      <w:r w:rsidR="006D0E97" w:rsidRPr="000A3EEE">
        <w:t>deliver a reminder to non-completes</w:t>
      </w:r>
      <w:r w:rsidR="00953A51">
        <w:t>.</w:t>
      </w:r>
    </w:p>
    <w:p w:rsidR="00953A51" w:rsidRDefault="00953A51" w:rsidP="006063E3"/>
    <w:p w:rsidR="00E9245D" w:rsidRDefault="00E9245D" w:rsidP="00953A51">
      <w:pPr>
        <w:ind w:left="360"/>
      </w:pPr>
      <w:r>
        <w:t xml:space="preserve">The survey mode has been enhanced by the addition of an online panel to explore the feasibility of realizing cost savings to the government in the future, while retaining the comparability and historical integrity of prior year results and trend lines.  </w:t>
      </w:r>
    </w:p>
    <w:p w:rsidR="00E9245D" w:rsidRDefault="00E9245D" w:rsidP="006063E3">
      <w:pPr>
        <w:ind w:left="420"/>
      </w:pPr>
    </w:p>
    <w:p w:rsidR="004613B7" w:rsidRPr="005416BB" w:rsidRDefault="004613B7" w:rsidP="006063E3">
      <w:pPr>
        <w:pStyle w:val="ListParagraph"/>
        <w:numPr>
          <w:ilvl w:val="0"/>
          <w:numId w:val="21"/>
        </w:numPr>
        <w:rPr>
          <w:b/>
        </w:rPr>
      </w:pPr>
      <w:r w:rsidRPr="005416BB">
        <w:rPr>
          <w:b/>
        </w:rPr>
        <w:t xml:space="preserve">Testing of Procedures  </w:t>
      </w:r>
    </w:p>
    <w:p w:rsidR="004613B7" w:rsidRPr="005416BB" w:rsidRDefault="004613B7" w:rsidP="006063E3">
      <w:pPr>
        <w:pStyle w:val="listparagraph0"/>
        <w:spacing w:after="0" w:line="240" w:lineRule="auto"/>
        <w:ind w:left="360"/>
        <w:rPr>
          <w:rFonts w:ascii="Times New Roman" w:hAnsi="Times New Roman"/>
          <w:sz w:val="24"/>
          <w:szCs w:val="20"/>
        </w:rPr>
      </w:pPr>
      <w:r w:rsidRPr="005416BB">
        <w:rPr>
          <w:rFonts w:ascii="Times New Roman" w:hAnsi="Times New Roman"/>
          <w:sz w:val="24"/>
          <w:szCs w:val="20"/>
        </w:rPr>
        <w:t xml:space="preserve">The vendor will fully brief field staff responsible for data collection and the fieldwork will be monitored. </w:t>
      </w:r>
      <w:r w:rsidR="00AF6E79">
        <w:rPr>
          <w:rFonts w:ascii="Times New Roman" w:hAnsi="Times New Roman"/>
          <w:sz w:val="24"/>
          <w:szCs w:val="20"/>
        </w:rPr>
        <w:t xml:space="preserve">This is an established survey that has been conducted for many years and which reflects the extensive experience of IRS and the vendor in conducting this and similar surveys. The 2019 questionnaire has not changed; therefore, no pretesting is necessary. </w:t>
      </w:r>
    </w:p>
    <w:p w:rsidR="004613B7" w:rsidRPr="005416BB" w:rsidRDefault="004613B7" w:rsidP="006063E3">
      <w:pPr>
        <w:pStyle w:val="ListParagraph"/>
        <w:ind w:left="360"/>
        <w:rPr>
          <w:b/>
        </w:rPr>
      </w:pPr>
      <w:r w:rsidRPr="005416BB">
        <w:rPr>
          <w:b/>
        </w:rPr>
        <w:t xml:space="preserve"> </w:t>
      </w:r>
    </w:p>
    <w:p w:rsidR="004613B7" w:rsidRPr="005416BB" w:rsidRDefault="004613B7" w:rsidP="006063E3">
      <w:pPr>
        <w:pStyle w:val="ListParagraph"/>
        <w:numPr>
          <w:ilvl w:val="0"/>
          <w:numId w:val="21"/>
        </w:numPr>
        <w:rPr>
          <w:b/>
        </w:rPr>
      </w:pPr>
      <w:r w:rsidRPr="005416BB">
        <w:rPr>
          <w:b/>
        </w:rPr>
        <w:t>Contacts for Statistical Aspects and Data Collection</w:t>
      </w:r>
      <w:r w:rsidR="002E1313">
        <w:rPr>
          <w:b/>
        </w:rPr>
        <w:t xml:space="preserve">  </w:t>
      </w:r>
    </w:p>
    <w:p w:rsidR="00617E00" w:rsidRDefault="00FD3705" w:rsidP="006063E3">
      <w:pPr>
        <w:ind w:left="360"/>
      </w:pPr>
      <w:r>
        <w:t>Timothy S. Castle</w:t>
      </w:r>
    </w:p>
    <w:p w:rsidR="000F7C5D" w:rsidRDefault="000F7C5D" w:rsidP="006063E3">
      <w:pPr>
        <w:ind w:left="360"/>
      </w:pPr>
      <w:r>
        <w:t xml:space="preserve">Chief, </w:t>
      </w:r>
      <w:r w:rsidR="00FD3705">
        <w:t>Servicewide Support Section</w:t>
      </w:r>
    </w:p>
    <w:p w:rsidR="000F7C5D" w:rsidRDefault="000F7C5D" w:rsidP="006063E3">
      <w:pPr>
        <w:ind w:left="360"/>
      </w:pPr>
      <w:r>
        <w:t>IRS/Statistics of Income Division</w:t>
      </w:r>
    </w:p>
    <w:p w:rsidR="000F7C5D" w:rsidRDefault="000F7C5D" w:rsidP="006063E3">
      <w:pPr>
        <w:ind w:left="360"/>
      </w:pPr>
      <w:r>
        <w:t>Research</w:t>
      </w:r>
      <w:r w:rsidR="00FE2909">
        <w:t>,</w:t>
      </w:r>
      <w:r>
        <w:t xml:space="preserve"> Applied Analytics &amp; Statistics</w:t>
      </w:r>
    </w:p>
    <w:p w:rsidR="000F7C5D" w:rsidRDefault="000F7C5D" w:rsidP="006063E3">
      <w:pPr>
        <w:ind w:left="360"/>
      </w:pPr>
      <w:r>
        <w:t>77 K Street, NE</w:t>
      </w:r>
    </w:p>
    <w:p w:rsidR="000F7C5D" w:rsidRDefault="000F7C5D" w:rsidP="006063E3">
      <w:pPr>
        <w:ind w:left="360"/>
      </w:pPr>
      <w:r>
        <w:t>Washington, DC 20002</w:t>
      </w:r>
    </w:p>
    <w:p w:rsidR="00617E00" w:rsidRDefault="00617E00" w:rsidP="006063E3">
      <w:pPr>
        <w:ind w:left="360"/>
      </w:pPr>
    </w:p>
    <w:p w:rsidR="00617E00" w:rsidRDefault="003D097D" w:rsidP="006063E3">
      <w:pPr>
        <w:ind w:left="360"/>
      </w:pPr>
      <w:r>
        <w:t>Donna Baldwin</w:t>
      </w:r>
    </w:p>
    <w:p w:rsidR="000F7C5D" w:rsidRDefault="003D097D" w:rsidP="006063E3">
      <w:pPr>
        <w:ind w:left="360"/>
      </w:pPr>
      <w:r>
        <w:t>Senior Program Evaluation &amp; Risk A</w:t>
      </w:r>
      <w:r w:rsidR="000F7C5D">
        <w:t>nalyst</w:t>
      </w:r>
    </w:p>
    <w:p w:rsidR="000F7C5D" w:rsidRDefault="000F7C5D" w:rsidP="006063E3">
      <w:pPr>
        <w:ind w:left="360"/>
      </w:pPr>
      <w:r>
        <w:t>IRS/Statistics of Income Division</w:t>
      </w:r>
    </w:p>
    <w:p w:rsidR="000F7C5D" w:rsidRDefault="000F7C5D" w:rsidP="006063E3">
      <w:pPr>
        <w:ind w:left="360"/>
      </w:pPr>
      <w:r>
        <w:t>Research</w:t>
      </w:r>
      <w:r w:rsidR="00FE2909">
        <w:t>,</w:t>
      </w:r>
      <w:r>
        <w:t xml:space="preserve"> Applied Analytics &amp; Statistics</w:t>
      </w:r>
    </w:p>
    <w:p w:rsidR="000F7C5D" w:rsidRDefault="000F7C5D" w:rsidP="006063E3">
      <w:pPr>
        <w:ind w:left="360"/>
      </w:pPr>
      <w:r>
        <w:t>77 K Street, NE</w:t>
      </w:r>
    </w:p>
    <w:p w:rsidR="004613B7" w:rsidRPr="005416BB" w:rsidRDefault="00166E88" w:rsidP="006063E3">
      <w:pPr>
        <w:ind w:left="360"/>
      </w:pPr>
      <w:r>
        <w:t>Was</w:t>
      </w:r>
      <w:r w:rsidR="000F7C5D">
        <w:t>hington, DC  20002</w:t>
      </w:r>
    </w:p>
    <w:sectPr w:rsidR="004613B7" w:rsidRPr="005416BB" w:rsidSect="00745852">
      <w:headerReference w:type="default" r:id="rId9"/>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40A" w:rsidRDefault="0094040A">
      <w:r>
        <w:separator/>
      </w:r>
    </w:p>
  </w:endnote>
  <w:endnote w:type="continuationSeparator" w:id="0">
    <w:p w:rsidR="0094040A" w:rsidRDefault="0094040A">
      <w:r>
        <w:continuationSeparator/>
      </w:r>
    </w:p>
  </w:endnote>
  <w:endnote w:type="continuationNotice" w:id="1">
    <w:p w:rsidR="0094040A" w:rsidRDefault="009404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B7" w:rsidRDefault="004613B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926AA">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40A" w:rsidRDefault="0094040A">
      <w:r>
        <w:separator/>
      </w:r>
    </w:p>
  </w:footnote>
  <w:footnote w:type="continuationSeparator" w:id="0">
    <w:p w:rsidR="0094040A" w:rsidRDefault="0094040A">
      <w:r>
        <w:continuationSeparator/>
      </w:r>
    </w:p>
  </w:footnote>
  <w:footnote w:type="continuationNotice" w:id="1">
    <w:p w:rsidR="0094040A" w:rsidRDefault="0094040A"/>
  </w:footnote>
  <w:footnote w:id="2">
    <w:p w:rsidR="00014835" w:rsidRDefault="00014835">
      <w:pPr>
        <w:pStyle w:val="FootnoteText"/>
      </w:pPr>
      <w:r>
        <w:rPr>
          <w:rStyle w:val="FootnoteReference"/>
        </w:rPr>
        <w:footnoteRef/>
      </w:r>
      <w:r>
        <w:t xml:space="preserve"> </w:t>
      </w:r>
      <w:hyperlink r:id="rId1" w:history="1">
        <w:r w:rsidRPr="00823C01">
          <w:rPr>
            <w:rStyle w:val="Hyperlink"/>
            <w:color w:val="auto"/>
          </w:rPr>
          <w:t>https://www.census.gov/quickfacts/fact/table/US/PST045218</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B7" w:rsidRPr="001E2E18" w:rsidRDefault="004613B7" w:rsidP="001E2E18">
    <w:pPr>
      <w:pStyle w:val="Header"/>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CC00FA"/>
    <w:multiLevelType w:val="hybridMultilevel"/>
    <w:tmpl w:val="6A34D38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487496"/>
    <w:multiLevelType w:val="hybridMultilevel"/>
    <w:tmpl w:val="070EF58A"/>
    <w:lvl w:ilvl="0" w:tplc="37309A76">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7F45495"/>
    <w:multiLevelType w:val="hybridMultilevel"/>
    <w:tmpl w:val="B93CCE7A"/>
    <w:lvl w:ilvl="0" w:tplc="DFB026F0">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E5A5619"/>
    <w:multiLevelType w:val="hybridMultilevel"/>
    <w:tmpl w:val="3F368EAC"/>
    <w:lvl w:ilvl="0" w:tplc="9B0CA046">
      <w:start w:val="1"/>
      <w:numFmt w:val="decimal"/>
      <w:lvlText w:val="%1"/>
      <w:lvlJc w:val="left"/>
      <w:pPr>
        <w:ind w:left="1442" w:hanging="720"/>
      </w:pPr>
      <w:rPr>
        <w:rFonts w:cs="Times New Roman" w:hint="default"/>
      </w:rPr>
    </w:lvl>
    <w:lvl w:ilvl="1" w:tplc="04090019" w:tentative="1">
      <w:start w:val="1"/>
      <w:numFmt w:val="lowerLetter"/>
      <w:lvlText w:val="%2."/>
      <w:lvlJc w:val="left"/>
      <w:pPr>
        <w:ind w:left="1802" w:hanging="360"/>
      </w:pPr>
      <w:rPr>
        <w:rFonts w:cs="Times New Roman"/>
      </w:rPr>
    </w:lvl>
    <w:lvl w:ilvl="2" w:tplc="0409001B" w:tentative="1">
      <w:start w:val="1"/>
      <w:numFmt w:val="lowerRoman"/>
      <w:lvlText w:val="%3."/>
      <w:lvlJc w:val="right"/>
      <w:pPr>
        <w:ind w:left="2522" w:hanging="180"/>
      </w:pPr>
      <w:rPr>
        <w:rFonts w:cs="Times New Roman"/>
      </w:rPr>
    </w:lvl>
    <w:lvl w:ilvl="3" w:tplc="0409000F" w:tentative="1">
      <w:start w:val="1"/>
      <w:numFmt w:val="decimal"/>
      <w:lvlText w:val="%4."/>
      <w:lvlJc w:val="left"/>
      <w:pPr>
        <w:ind w:left="3242" w:hanging="360"/>
      </w:pPr>
      <w:rPr>
        <w:rFonts w:cs="Times New Roman"/>
      </w:rPr>
    </w:lvl>
    <w:lvl w:ilvl="4" w:tplc="04090019" w:tentative="1">
      <w:start w:val="1"/>
      <w:numFmt w:val="lowerLetter"/>
      <w:lvlText w:val="%5."/>
      <w:lvlJc w:val="left"/>
      <w:pPr>
        <w:ind w:left="3962" w:hanging="360"/>
      </w:pPr>
      <w:rPr>
        <w:rFonts w:cs="Times New Roman"/>
      </w:rPr>
    </w:lvl>
    <w:lvl w:ilvl="5" w:tplc="0409001B" w:tentative="1">
      <w:start w:val="1"/>
      <w:numFmt w:val="lowerRoman"/>
      <w:lvlText w:val="%6."/>
      <w:lvlJc w:val="right"/>
      <w:pPr>
        <w:ind w:left="4682" w:hanging="180"/>
      </w:pPr>
      <w:rPr>
        <w:rFonts w:cs="Times New Roman"/>
      </w:rPr>
    </w:lvl>
    <w:lvl w:ilvl="6" w:tplc="0409000F" w:tentative="1">
      <w:start w:val="1"/>
      <w:numFmt w:val="decimal"/>
      <w:lvlText w:val="%7."/>
      <w:lvlJc w:val="left"/>
      <w:pPr>
        <w:ind w:left="5402" w:hanging="360"/>
      </w:pPr>
      <w:rPr>
        <w:rFonts w:cs="Times New Roman"/>
      </w:rPr>
    </w:lvl>
    <w:lvl w:ilvl="7" w:tplc="04090019" w:tentative="1">
      <w:start w:val="1"/>
      <w:numFmt w:val="lowerLetter"/>
      <w:lvlText w:val="%8."/>
      <w:lvlJc w:val="left"/>
      <w:pPr>
        <w:ind w:left="6122" w:hanging="360"/>
      </w:pPr>
      <w:rPr>
        <w:rFonts w:cs="Times New Roman"/>
      </w:rPr>
    </w:lvl>
    <w:lvl w:ilvl="8" w:tplc="0409001B" w:tentative="1">
      <w:start w:val="1"/>
      <w:numFmt w:val="lowerRoman"/>
      <w:lvlText w:val="%9."/>
      <w:lvlJc w:val="right"/>
      <w:pPr>
        <w:ind w:left="6842" w:hanging="180"/>
      </w:pPr>
      <w:rPr>
        <w:rFonts w:cs="Times New Roman"/>
      </w:rPr>
    </w:lvl>
  </w:abstractNum>
  <w:abstractNum w:abstractNumId="7">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5714A21"/>
    <w:multiLevelType w:val="hybridMultilevel"/>
    <w:tmpl w:val="3EAE1478"/>
    <w:lvl w:ilvl="0" w:tplc="DFB026F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24370A2A"/>
    <w:multiLevelType w:val="hybridMultilevel"/>
    <w:tmpl w:val="61E87702"/>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70230D6"/>
    <w:multiLevelType w:val="hybridMultilevel"/>
    <w:tmpl w:val="648E3366"/>
    <w:lvl w:ilvl="0" w:tplc="CC72D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257DB9"/>
    <w:multiLevelType w:val="hybridMultilevel"/>
    <w:tmpl w:val="243C63E8"/>
    <w:lvl w:ilvl="0" w:tplc="F63AC34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354965A1"/>
    <w:multiLevelType w:val="hybridMultilevel"/>
    <w:tmpl w:val="E12602B2"/>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9">
    <w:nsid w:val="3BA017ED"/>
    <w:multiLevelType w:val="hybridMultilevel"/>
    <w:tmpl w:val="AEF6C71A"/>
    <w:lvl w:ilvl="0" w:tplc="DFB026F0">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3EFF6CD5"/>
    <w:multiLevelType w:val="hybridMultilevel"/>
    <w:tmpl w:val="0666E3B4"/>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3F933817"/>
    <w:multiLevelType w:val="hybridMultilevel"/>
    <w:tmpl w:val="38348E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4B1F2C77"/>
    <w:multiLevelType w:val="hybridMultilevel"/>
    <w:tmpl w:val="0A104528"/>
    <w:lvl w:ilvl="0" w:tplc="DB060A3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1224EAB"/>
    <w:multiLevelType w:val="hybridMultilevel"/>
    <w:tmpl w:val="D3FC1BEE"/>
    <w:lvl w:ilvl="0" w:tplc="DFB026F0">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558468DD"/>
    <w:multiLevelType w:val="hybridMultilevel"/>
    <w:tmpl w:val="55F2BEE0"/>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55C9542E"/>
    <w:multiLevelType w:val="hybridMultilevel"/>
    <w:tmpl w:val="A6FE0628"/>
    <w:lvl w:ilvl="0" w:tplc="DFB026F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56B34F77"/>
    <w:multiLevelType w:val="hybridMultilevel"/>
    <w:tmpl w:val="ADEA5880"/>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58F91232"/>
    <w:multiLevelType w:val="hybridMultilevel"/>
    <w:tmpl w:val="1C86AA0E"/>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5E7B5824"/>
    <w:multiLevelType w:val="hybridMultilevel"/>
    <w:tmpl w:val="2FF4254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3">
    <w:nsid w:val="60B96CFA"/>
    <w:multiLevelType w:val="hybridMultilevel"/>
    <w:tmpl w:val="631EF67A"/>
    <w:lvl w:ilvl="0" w:tplc="23E0A7AE">
      <w:start w:val="1"/>
      <w:numFmt w:val="decimal"/>
      <w:lvlText w:val="%1"/>
      <w:lvlJc w:val="left"/>
      <w:pPr>
        <w:tabs>
          <w:tab w:val="num" w:pos="2880"/>
        </w:tabs>
        <w:ind w:left="2880" w:hanging="144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4">
    <w:nsid w:val="611B1E34"/>
    <w:multiLevelType w:val="hybridMultilevel"/>
    <w:tmpl w:val="ADEA5880"/>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7">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8">
    <w:nsid w:val="70651B52"/>
    <w:multiLevelType w:val="hybridMultilevel"/>
    <w:tmpl w:val="8EEA210E"/>
    <w:lvl w:ilvl="0" w:tplc="DFB026F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69757B8"/>
    <w:multiLevelType w:val="hybridMultilevel"/>
    <w:tmpl w:val="12A6B548"/>
    <w:lvl w:ilvl="0" w:tplc="737A89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42">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43">
    <w:nsid w:val="7CF10674"/>
    <w:multiLevelType w:val="hybridMultilevel"/>
    <w:tmpl w:val="8F30CE14"/>
    <w:lvl w:ilvl="0" w:tplc="0D76EA08">
      <w:start w:val="1"/>
      <w:numFmt w:val="bullet"/>
      <w:lvlText w:val=""/>
      <w:lvlJc w:val="left"/>
      <w:pPr>
        <w:tabs>
          <w:tab w:val="num" w:pos="720"/>
        </w:tabs>
        <w:ind w:left="720" w:hanging="360"/>
      </w:pPr>
      <w:rPr>
        <w:rFonts w:ascii="Symbol" w:hAnsi="Symbol" w:hint="default"/>
      </w:rPr>
    </w:lvl>
    <w:lvl w:ilvl="1" w:tplc="F82E8130" w:tentative="1">
      <w:start w:val="1"/>
      <w:numFmt w:val="bullet"/>
      <w:lvlText w:val="o"/>
      <w:lvlJc w:val="left"/>
      <w:pPr>
        <w:tabs>
          <w:tab w:val="num" w:pos="1440"/>
        </w:tabs>
        <w:ind w:left="1440" w:hanging="360"/>
      </w:pPr>
      <w:rPr>
        <w:rFonts w:ascii="Courier New" w:hAnsi="Courier New" w:hint="default"/>
      </w:rPr>
    </w:lvl>
    <w:lvl w:ilvl="2" w:tplc="9A0C4186" w:tentative="1">
      <w:start w:val="1"/>
      <w:numFmt w:val="bullet"/>
      <w:lvlText w:val=""/>
      <w:lvlJc w:val="left"/>
      <w:pPr>
        <w:tabs>
          <w:tab w:val="num" w:pos="2160"/>
        </w:tabs>
        <w:ind w:left="2160" w:hanging="360"/>
      </w:pPr>
      <w:rPr>
        <w:rFonts w:ascii="Wingdings" w:hAnsi="Wingdings" w:hint="default"/>
      </w:rPr>
    </w:lvl>
    <w:lvl w:ilvl="3" w:tplc="29CCD63E" w:tentative="1">
      <w:start w:val="1"/>
      <w:numFmt w:val="bullet"/>
      <w:lvlText w:val=""/>
      <w:lvlJc w:val="left"/>
      <w:pPr>
        <w:tabs>
          <w:tab w:val="num" w:pos="2880"/>
        </w:tabs>
        <w:ind w:left="2880" w:hanging="360"/>
      </w:pPr>
      <w:rPr>
        <w:rFonts w:ascii="Symbol" w:hAnsi="Symbol" w:hint="default"/>
      </w:rPr>
    </w:lvl>
    <w:lvl w:ilvl="4" w:tplc="C72098A8" w:tentative="1">
      <w:start w:val="1"/>
      <w:numFmt w:val="bullet"/>
      <w:lvlText w:val="o"/>
      <w:lvlJc w:val="left"/>
      <w:pPr>
        <w:tabs>
          <w:tab w:val="num" w:pos="3600"/>
        </w:tabs>
        <w:ind w:left="3600" w:hanging="360"/>
      </w:pPr>
      <w:rPr>
        <w:rFonts w:ascii="Courier New" w:hAnsi="Courier New" w:hint="default"/>
      </w:rPr>
    </w:lvl>
    <w:lvl w:ilvl="5" w:tplc="D9A4FF32" w:tentative="1">
      <w:start w:val="1"/>
      <w:numFmt w:val="bullet"/>
      <w:lvlText w:val=""/>
      <w:lvlJc w:val="left"/>
      <w:pPr>
        <w:tabs>
          <w:tab w:val="num" w:pos="4320"/>
        </w:tabs>
        <w:ind w:left="4320" w:hanging="360"/>
      </w:pPr>
      <w:rPr>
        <w:rFonts w:ascii="Wingdings" w:hAnsi="Wingdings" w:hint="default"/>
      </w:rPr>
    </w:lvl>
    <w:lvl w:ilvl="6" w:tplc="C0FC0956" w:tentative="1">
      <w:start w:val="1"/>
      <w:numFmt w:val="bullet"/>
      <w:lvlText w:val=""/>
      <w:lvlJc w:val="left"/>
      <w:pPr>
        <w:tabs>
          <w:tab w:val="num" w:pos="5040"/>
        </w:tabs>
        <w:ind w:left="5040" w:hanging="360"/>
      </w:pPr>
      <w:rPr>
        <w:rFonts w:ascii="Symbol" w:hAnsi="Symbol" w:hint="default"/>
      </w:rPr>
    </w:lvl>
    <w:lvl w:ilvl="7" w:tplc="A38800B2" w:tentative="1">
      <w:start w:val="1"/>
      <w:numFmt w:val="bullet"/>
      <w:lvlText w:val="o"/>
      <w:lvlJc w:val="left"/>
      <w:pPr>
        <w:tabs>
          <w:tab w:val="num" w:pos="5760"/>
        </w:tabs>
        <w:ind w:left="5760" w:hanging="360"/>
      </w:pPr>
      <w:rPr>
        <w:rFonts w:ascii="Courier New" w:hAnsi="Courier New" w:hint="default"/>
      </w:rPr>
    </w:lvl>
    <w:lvl w:ilvl="8" w:tplc="04DA7FA6" w:tentative="1">
      <w:start w:val="1"/>
      <w:numFmt w:val="bullet"/>
      <w:lvlText w:val=""/>
      <w:lvlJc w:val="left"/>
      <w:pPr>
        <w:tabs>
          <w:tab w:val="num" w:pos="6480"/>
        </w:tabs>
        <w:ind w:left="6480" w:hanging="360"/>
      </w:pPr>
      <w:rPr>
        <w:rFonts w:ascii="Wingdings" w:hAnsi="Wingdings" w:hint="default"/>
      </w:rPr>
    </w:lvl>
  </w:abstractNum>
  <w:abstractNum w:abstractNumId="44">
    <w:nsid w:val="7EF9668A"/>
    <w:multiLevelType w:val="hybridMultilevel"/>
    <w:tmpl w:val="132853E4"/>
    <w:lvl w:ilvl="0" w:tplc="6D5E46EA">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42"/>
  </w:num>
  <w:num w:numId="3">
    <w:abstractNumId w:val="41"/>
  </w:num>
  <w:num w:numId="4">
    <w:abstractNumId w:val="43"/>
  </w:num>
  <w:num w:numId="5">
    <w:abstractNumId w:val="7"/>
  </w:num>
  <w:num w:numId="6">
    <w:abstractNumId w:val="2"/>
  </w:num>
  <w:num w:numId="7">
    <w:abstractNumId w:val="18"/>
  </w:num>
  <w:num w:numId="8">
    <w:abstractNumId w:val="36"/>
  </w:num>
  <w:num w:numId="9">
    <w:abstractNumId w:val="22"/>
  </w:num>
  <w:num w:numId="10">
    <w:abstractNumId w:val="3"/>
  </w:num>
  <w:num w:numId="11">
    <w:abstractNumId w:val="11"/>
  </w:num>
  <w:num w:numId="12">
    <w:abstractNumId w:val="14"/>
  </w:num>
  <w:num w:numId="13">
    <w:abstractNumId w:val="0"/>
  </w:num>
  <w:num w:numId="14">
    <w:abstractNumId w:val="39"/>
  </w:num>
  <w:num w:numId="15">
    <w:abstractNumId w:val="35"/>
  </w:num>
  <w:num w:numId="16">
    <w:abstractNumId w:val="26"/>
  </w:num>
  <w:num w:numId="17">
    <w:abstractNumId w:val="8"/>
  </w:num>
  <w:num w:numId="18">
    <w:abstractNumId w:val="10"/>
  </w:num>
  <w:num w:numId="19">
    <w:abstractNumId w:val="24"/>
  </w:num>
  <w:num w:numId="20">
    <w:abstractNumId w:val="37"/>
  </w:num>
  <w:num w:numId="21">
    <w:abstractNumId w:val="12"/>
  </w:num>
  <w:num w:numId="22">
    <w:abstractNumId w:val="21"/>
  </w:num>
  <w:num w:numId="23">
    <w:abstractNumId w:val="1"/>
  </w:num>
  <w:num w:numId="24">
    <w:abstractNumId w:val="16"/>
  </w:num>
  <w:num w:numId="25">
    <w:abstractNumId w:val="4"/>
  </w:num>
  <w:num w:numId="26">
    <w:abstractNumId w:val="30"/>
  </w:num>
  <w:num w:numId="27">
    <w:abstractNumId w:val="29"/>
  </w:num>
  <w:num w:numId="28">
    <w:abstractNumId w:val="9"/>
  </w:num>
  <w:num w:numId="29">
    <w:abstractNumId w:val="19"/>
  </w:num>
  <w:num w:numId="30">
    <w:abstractNumId w:val="5"/>
  </w:num>
  <w:num w:numId="31">
    <w:abstractNumId w:val="27"/>
  </w:num>
  <w:num w:numId="32">
    <w:abstractNumId w:val="40"/>
  </w:num>
  <w:num w:numId="33">
    <w:abstractNumId w:val="38"/>
  </w:num>
  <w:num w:numId="34">
    <w:abstractNumId w:val="34"/>
  </w:num>
  <w:num w:numId="35">
    <w:abstractNumId w:val="13"/>
  </w:num>
  <w:num w:numId="36">
    <w:abstractNumId w:val="20"/>
  </w:num>
  <w:num w:numId="37">
    <w:abstractNumId w:val="33"/>
  </w:num>
  <w:num w:numId="38">
    <w:abstractNumId w:val="17"/>
  </w:num>
  <w:num w:numId="39">
    <w:abstractNumId w:val="31"/>
  </w:num>
  <w:num w:numId="40">
    <w:abstractNumId w:val="6"/>
  </w:num>
  <w:num w:numId="41">
    <w:abstractNumId w:val="28"/>
  </w:num>
  <w:num w:numId="42">
    <w:abstractNumId w:val="32"/>
  </w:num>
  <w:num w:numId="43">
    <w:abstractNumId w:val="44"/>
  </w:num>
  <w:num w:numId="44">
    <w:abstractNumId w:val="25"/>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0A5"/>
    <w:rsid w:val="000030D3"/>
    <w:rsid w:val="00004E55"/>
    <w:rsid w:val="00005262"/>
    <w:rsid w:val="00014835"/>
    <w:rsid w:val="00023A57"/>
    <w:rsid w:val="00030FD1"/>
    <w:rsid w:val="00032F0D"/>
    <w:rsid w:val="000337A6"/>
    <w:rsid w:val="00047A64"/>
    <w:rsid w:val="000514A5"/>
    <w:rsid w:val="00051FE2"/>
    <w:rsid w:val="00054F86"/>
    <w:rsid w:val="00055B7A"/>
    <w:rsid w:val="00064C34"/>
    <w:rsid w:val="00067329"/>
    <w:rsid w:val="000721C7"/>
    <w:rsid w:val="00086B63"/>
    <w:rsid w:val="000905A7"/>
    <w:rsid w:val="000A30BB"/>
    <w:rsid w:val="000A3EEE"/>
    <w:rsid w:val="000A3F59"/>
    <w:rsid w:val="000B2838"/>
    <w:rsid w:val="000B7FB1"/>
    <w:rsid w:val="000D44CA"/>
    <w:rsid w:val="000D4DB0"/>
    <w:rsid w:val="000D76DC"/>
    <w:rsid w:val="000E11B2"/>
    <w:rsid w:val="000E1DF9"/>
    <w:rsid w:val="000E200B"/>
    <w:rsid w:val="000E4565"/>
    <w:rsid w:val="000F68BE"/>
    <w:rsid w:val="000F7C5D"/>
    <w:rsid w:val="00100A90"/>
    <w:rsid w:val="0010179F"/>
    <w:rsid w:val="001105C8"/>
    <w:rsid w:val="00110C98"/>
    <w:rsid w:val="0012364A"/>
    <w:rsid w:val="00125FDA"/>
    <w:rsid w:val="001271DE"/>
    <w:rsid w:val="001339FD"/>
    <w:rsid w:val="00135832"/>
    <w:rsid w:val="0013619E"/>
    <w:rsid w:val="00144BE6"/>
    <w:rsid w:val="00157D98"/>
    <w:rsid w:val="001608BC"/>
    <w:rsid w:val="00166E88"/>
    <w:rsid w:val="00167ABF"/>
    <w:rsid w:val="00170491"/>
    <w:rsid w:val="00171BB9"/>
    <w:rsid w:val="00183AF3"/>
    <w:rsid w:val="001859B4"/>
    <w:rsid w:val="001927A4"/>
    <w:rsid w:val="00194AC6"/>
    <w:rsid w:val="00196496"/>
    <w:rsid w:val="001A23B0"/>
    <w:rsid w:val="001A25CC"/>
    <w:rsid w:val="001A4972"/>
    <w:rsid w:val="001B04D9"/>
    <w:rsid w:val="001B0AAA"/>
    <w:rsid w:val="001B3956"/>
    <w:rsid w:val="001B396B"/>
    <w:rsid w:val="001C2B8F"/>
    <w:rsid w:val="001C32E4"/>
    <w:rsid w:val="001C361F"/>
    <w:rsid w:val="001C39F7"/>
    <w:rsid w:val="001D329A"/>
    <w:rsid w:val="001D74DF"/>
    <w:rsid w:val="001E1AA5"/>
    <w:rsid w:val="001E2E18"/>
    <w:rsid w:val="001F1CA3"/>
    <w:rsid w:val="001F4645"/>
    <w:rsid w:val="001F6360"/>
    <w:rsid w:val="001F7350"/>
    <w:rsid w:val="00203E87"/>
    <w:rsid w:val="00216C11"/>
    <w:rsid w:val="00217FED"/>
    <w:rsid w:val="0022128A"/>
    <w:rsid w:val="002214B5"/>
    <w:rsid w:val="00225C38"/>
    <w:rsid w:val="00237B48"/>
    <w:rsid w:val="0024521E"/>
    <w:rsid w:val="00260863"/>
    <w:rsid w:val="00263C3D"/>
    <w:rsid w:val="00274D0B"/>
    <w:rsid w:val="00281EE2"/>
    <w:rsid w:val="002844DF"/>
    <w:rsid w:val="0029450A"/>
    <w:rsid w:val="00295E32"/>
    <w:rsid w:val="002B04BD"/>
    <w:rsid w:val="002B3C95"/>
    <w:rsid w:val="002C3FD7"/>
    <w:rsid w:val="002C564C"/>
    <w:rsid w:val="002C7970"/>
    <w:rsid w:val="002C7BBA"/>
    <w:rsid w:val="002D0B92"/>
    <w:rsid w:val="002D0D9E"/>
    <w:rsid w:val="002E1313"/>
    <w:rsid w:val="0030063B"/>
    <w:rsid w:val="00306047"/>
    <w:rsid w:val="003123E1"/>
    <w:rsid w:val="0032313C"/>
    <w:rsid w:val="00331B48"/>
    <w:rsid w:val="00333FCF"/>
    <w:rsid w:val="0033435E"/>
    <w:rsid w:val="00335D0F"/>
    <w:rsid w:val="0034191D"/>
    <w:rsid w:val="003431B6"/>
    <w:rsid w:val="00344A8F"/>
    <w:rsid w:val="00346913"/>
    <w:rsid w:val="00352196"/>
    <w:rsid w:val="00354450"/>
    <w:rsid w:val="0035681C"/>
    <w:rsid w:val="00367E1D"/>
    <w:rsid w:val="00370488"/>
    <w:rsid w:val="003719D9"/>
    <w:rsid w:val="00395618"/>
    <w:rsid w:val="003A3A1E"/>
    <w:rsid w:val="003A6ACD"/>
    <w:rsid w:val="003B3923"/>
    <w:rsid w:val="003B4F66"/>
    <w:rsid w:val="003C1063"/>
    <w:rsid w:val="003C2130"/>
    <w:rsid w:val="003C5827"/>
    <w:rsid w:val="003D039E"/>
    <w:rsid w:val="003D097D"/>
    <w:rsid w:val="003D274C"/>
    <w:rsid w:val="003D5BBE"/>
    <w:rsid w:val="003E3C61"/>
    <w:rsid w:val="003E71A6"/>
    <w:rsid w:val="003F03EF"/>
    <w:rsid w:val="003F1C5B"/>
    <w:rsid w:val="003F6969"/>
    <w:rsid w:val="004005CC"/>
    <w:rsid w:val="00400920"/>
    <w:rsid w:val="00401744"/>
    <w:rsid w:val="00416584"/>
    <w:rsid w:val="00420DC8"/>
    <w:rsid w:val="00430BA0"/>
    <w:rsid w:val="00432BB7"/>
    <w:rsid w:val="0043315D"/>
    <w:rsid w:val="00434E33"/>
    <w:rsid w:val="00441434"/>
    <w:rsid w:val="004420FB"/>
    <w:rsid w:val="0045264C"/>
    <w:rsid w:val="004613B7"/>
    <w:rsid w:val="00465CF0"/>
    <w:rsid w:val="004677AA"/>
    <w:rsid w:val="0047072D"/>
    <w:rsid w:val="00480BD0"/>
    <w:rsid w:val="004872C1"/>
    <w:rsid w:val="004876EC"/>
    <w:rsid w:val="00490B0D"/>
    <w:rsid w:val="00492140"/>
    <w:rsid w:val="00495623"/>
    <w:rsid w:val="004A0010"/>
    <w:rsid w:val="004A276E"/>
    <w:rsid w:val="004A39B8"/>
    <w:rsid w:val="004A6FC4"/>
    <w:rsid w:val="004A77CD"/>
    <w:rsid w:val="004B46BE"/>
    <w:rsid w:val="004C0282"/>
    <w:rsid w:val="004C2E95"/>
    <w:rsid w:val="004D1256"/>
    <w:rsid w:val="004D63F1"/>
    <w:rsid w:val="004D6E14"/>
    <w:rsid w:val="004E0521"/>
    <w:rsid w:val="004F1461"/>
    <w:rsid w:val="004F5874"/>
    <w:rsid w:val="005009B0"/>
    <w:rsid w:val="0051132F"/>
    <w:rsid w:val="00514C4A"/>
    <w:rsid w:val="005416BB"/>
    <w:rsid w:val="00542DD1"/>
    <w:rsid w:val="00545DC1"/>
    <w:rsid w:val="005522C0"/>
    <w:rsid w:val="00557BA6"/>
    <w:rsid w:val="00560B6C"/>
    <w:rsid w:val="005673EB"/>
    <w:rsid w:val="0057169D"/>
    <w:rsid w:val="0057655A"/>
    <w:rsid w:val="00581365"/>
    <w:rsid w:val="00585DB5"/>
    <w:rsid w:val="00587213"/>
    <w:rsid w:val="005917EE"/>
    <w:rsid w:val="00591FCE"/>
    <w:rsid w:val="005A1006"/>
    <w:rsid w:val="005A3DC5"/>
    <w:rsid w:val="005A48E7"/>
    <w:rsid w:val="005A61BB"/>
    <w:rsid w:val="005C4F43"/>
    <w:rsid w:val="005D7AD2"/>
    <w:rsid w:val="005E3FA8"/>
    <w:rsid w:val="005E6224"/>
    <w:rsid w:val="005E714A"/>
    <w:rsid w:val="006063E3"/>
    <w:rsid w:val="00607A58"/>
    <w:rsid w:val="00610382"/>
    <w:rsid w:val="006140A0"/>
    <w:rsid w:val="00617E00"/>
    <w:rsid w:val="00622FBF"/>
    <w:rsid w:val="00625700"/>
    <w:rsid w:val="00634A2C"/>
    <w:rsid w:val="00634BB0"/>
    <w:rsid w:val="00636621"/>
    <w:rsid w:val="006429B9"/>
    <w:rsid w:val="00642B49"/>
    <w:rsid w:val="006446A5"/>
    <w:rsid w:val="00645A04"/>
    <w:rsid w:val="00656146"/>
    <w:rsid w:val="0065685E"/>
    <w:rsid w:val="00665447"/>
    <w:rsid w:val="00666282"/>
    <w:rsid w:val="00671D31"/>
    <w:rsid w:val="0068289E"/>
    <w:rsid w:val="006832D9"/>
    <w:rsid w:val="0069403B"/>
    <w:rsid w:val="00696554"/>
    <w:rsid w:val="00696D09"/>
    <w:rsid w:val="006A5947"/>
    <w:rsid w:val="006C27E4"/>
    <w:rsid w:val="006C5FFE"/>
    <w:rsid w:val="006D0E97"/>
    <w:rsid w:val="006D0FFF"/>
    <w:rsid w:val="006D3FBD"/>
    <w:rsid w:val="006E0EB1"/>
    <w:rsid w:val="006E3869"/>
    <w:rsid w:val="006F3DDE"/>
    <w:rsid w:val="006F6212"/>
    <w:rsid w:val="006F64A2"/>
    <w:rsid w:val="007030BE"/>
    <w:rsid w:val="00704678"/>
    <w:rsid w:val="00710CEA"/>
    <w:rsid w:val="0071125A"/>
    <w:rsid w:val="007131C9"/>
    <w:rsid w:val="0071640A"/>
    <w:rsid w:val="00720421"/>
    <w:rsid w:val="00722FE9"/>
    <w:rsid w:val="007231D4"/>
    <w:rsid w:val="00723F88"/>
    <w:rsid w:val="00735222"/>
    <w:rsid w:val="007425E7"/>
    <w:rsid w:val="007426A9"/>
    <w:rsid w:val="007426AD"/>
    <w:rsid w:val="007440C2"/>
    <w:rsid w:val="00745852"/>
    <w:rsid w:val="0075296F"/>
    <w:rsid w:val="00757314"/>
    <w:rsid w:val="0076266E"/>
    <w:rsid w:val="00766F69"/>
    <w:rsid w:val="00770B9D"/>
    <w:rsid w:val="00776A9B"/>
    <w:rsid w:val="00777C92"/>
    <w:rsid w:val="007938A9"/>
    <w:rsid w:val="007A0342"/>
    <w:rsid w:val="007A1A93"/>
    <w:rsid w:val="007A2082"/>
    <w:rsid w:val="007B1AAE"/>
    <w:rsid w:val="007B35B6"/>
    <w:rsid w:val="007B6662"/>
    <w:rsid w:val="007D1731"/>
    <w:rsid w:val="007E2198"/>
    <w:rsid w:val="007E226F"/>
    <w:rsid w:val="007E3AE1"/>
    <w:rsid w:val="007E6AED"/>
    <w:rsid w:val="007F5569"/>
    <w:rsid w:val="00801376"/>
    <w:rsid w:val="00802607"/>
    <w:rsid w:val="00802D0E"/>
    <w:rsid w:val="00803DC5"/>
    <w:rsid w:val="008101A5"/>
    <w:rsid w:val="008108B4"/>
    <w:rsid w:val="00811E94"/>
    <w:rsid w:val="0081370E"/>
    <w:rsid w:val="008148AD"/>
    <w:rsid w:val="00822664"/>
    <w:rsid w:val="0082350F"/>
    <w:rsid w:val="00823C01"/>
    <w:rsid w:val="00824ACA"/>
    <w:rsid w:val="00831D66"/>
    <w:rsid w:val="00832253"/>
    <w:rsid w:val="0083250D"/>
    <w:rsid w:val="00836B63"/>
    <w:rsid w:val="00840F2D"/>
    <w:rsid w:val="00843796"/>
    <w:rsid w:val="00846CC8"/>
    <w:rsid w:val="008502E0"/>
    <w:rsid w:val="00854E19"/>
    <w:rsid w:val="00854FAD"/>
    <w:rsid w:val="00860D56"/>
    <w:rsid w:val="00880869"/>
    <w:rsid w:val="00886DBB"/>
    <w:rsid w:val="00890E92"/>
    <w:rsid w:val="00895229"/>
    <w:rsid w:val="00896359"/>
    <w:rsid w:val="008965BF"/>
    <w:rsid w:val="00897200"/>
    <w:rsid w:val="008A1235"/>
    <w:rsid w:val="008A2216"/>
    <w:rsid w:val="008A74F9"/>
    <w:rsid w:val="008B2316"/>
    <w:rsid w:val="008B55BD"/>
    <w:rsid w:val="008B6537"/>
    <w:rsid w:val="008D5EC8"/>
    <w:rsid w:val="008E08A0"/>
    <w:rsid w:val="008E1814"/>
    <w:rsid w:val="008E37BA"/>
    <w:rsid w:val="008E71B7"/>
    <w:rsid w:val="008F0203"/>
    <w:rsid w:val="008F0602"/>
    <w:rsid w:val="008F33C4"/>
    <w:rsid w:val="008F50D4"/>
    <w:rsid w:val="008F7CC6"/>
    <w:rsid w:val="00903EC9"/>
    <w:rsid w:val="0091099E"/>
    <w:rsid w:val="00916E6D"/>
    <w:rsid w:val="009202FB"/>
    <w:rsid w:val="009239AA"/>
    <w:rsid w:val="00925A61"/>
    <w:rsid w:val="00926069"/>
    <w:rsid w:val="00931BFD"/>
    <w:rsid w:val="00935ADA"/>
    <w:rsid w:val="0094040A"/>
    <w:rsid w:val="00946B6C"/>
    <w:rsid w:val="00950695"/>
    <w:rsid w:val="00953A51"/>
    <w:rsid w:val="00954086"/>
    <w:rsid w:val="00955240"/>
    <w:rsid w:val="00955A71"/>
    <w:rsid w:val="00956776"/>
    <w:rsid w:val="0096108F"/>
    <w:rsid w:val="00964C0E"/>
    <w:rsid w:val="00965A23"/>
    <w:rsid w:val="009721E6"/>
    <w:rsid w:val="00976446"/>
    <w:rsid w:val="009866D0"/>
    <w:rsid w:val="009871B5"/>
    <w:rsid w:val="009A4D30"/>
    <w:rsid w:val="009B04E2"/>
    <w:rsid w:val="009B1E9E"/>
    <w:rsid w:val="009B36CC"/>
    <w:rsid w:val="009C13B9"/>
    <w:rsid w:val="009C2DC9"/>
    <w:rsid w:val="009C522E"/>
    <w:rsid w:val="009D01A2"/>
    <w:rsid w:val="009E13B8"/>
    <w:rsid w:val="009E1C07"/>
    <w:rsid w:val="009E4516"/>
    <w:rsid w:val="009E4B0D"/>
    <w:rsid w:val="009F5923"/>
    <w:rsid w:val="009F66AC"/>
    <w:rsid w:val="009F7CB7"/>
    <w:rsid w:val="00A07280"/>
    <w:rsid w:val="00A32912"/>
    <w:rsid w:val="00A3632F"/>
    <w:rsid w:val="00A403BB"/>
    <w:rsid w:val="00A50A52"/>
    <w:rsid w:val="00A6441F"/>
    <w:rsid w:val="00A65FD6"/>
    <w:rsid w:val="00A667E7"/>
    <w:rsid w:val="00A674DF"/>
    <w:rsid w:val="00A747E9"/>
    <w:rsid w:val="00A83AA6"/>
    <w:rsid w:val="00A91D19"/>
    <w:rsid w:val="00A926AA"/>
    <w:rsid w:val="00AA6E8A"/>
    <w:rsid w:val="00AB1887"/>
    <w:rsid w:val="00AB395F"/>
    <w:rsid w:val="00AB5E44"/>
    <w:rsid w:val="00AC3BEF"/>
    <w:rsid w:val="00AC5736"/>
    <w:rsid w:val="00AD00E5"/>
    <w:rsid w:val="00AD21DE"/>
    <w:rsid w:val="00AE1809"/>
    <w:rsid w:val="00AE1D62"/>
    <w:rsid w:val="00AF07B6"/>
    <w:rsid w:val="00AF63EE"/>
    <w:rsid w:val="00AF6E79"/>
    <w:rsid w:val="00AF756B"/>
    <w:rsid w:val="00B03907"/>
    <w:rsid w:val="00B04B38"/>
    <w:rsid w:val="00B14623"/>
    <w:rsid w:val="00B33A71"/>
    <w:rsid w:val="00B37F57"/>
    <w:rsid w:val="00B429E0"/>
    <w:rsid w:val="00B51F57"/>
    <w:rsid w:val="00B61587"/>
    <w:rsid w:val="00B6326B"/>
    <w:rsid w:val="00B80D76"/>
    <w:rsid w:val="00B94B3B"/>
    <w:rsid w:val="00BA2105"/>
    <w:rsid w:val="00BA7E06"/>
    <w:rsid w:val="00BB1CBD"/>
    <w:rsid w:val="00BB3F07"/>
    <w:rsid w:val="00BB43B5"/>
    <w:rsid w:val="00BB6219"/>
    <w:rsid w:val="00BC6F4F"/>
    <w:rsid w:val="00BD0A7D"/>
    <w:rsid w:val="00BD290F"/>
    <w:rsid w:val="00BD7822"/>
    <w:rsid w:val="00BE0806"/>
    <w:rsid w:val="00BE3BF4"/>
    <w:rsid w:val="00BE45E6"/>
    <w:rsid w:val="00BF246E"/>
    <w:rsid w:val="00BF348E"/>
    <w:rsid w:val="00C05B94"/>
    <w:rsid w:val="00C14CC4"/>
    <w:rsid w:val="00C166C2"/>
    <w:rsid w:val="00C277F1"/>
    <w:rsid w:val="00C303F6"/>
    <w:rsid w:val="00C33C52"/>
    <w:rsid w:val="00C40D8B"/>
    <w:rsid w:val="00C5229A"/>
    <w:rsid w:val="00C54997"/>
    <w:rsid w:val="00C65A55"/>
    <w:rsid w:val="00C80BFC"/>
    <w:rsid w:val="00C82CAF"/>
    <w:rsid w:val="00C8407A"/>
    <w:rsid w:val="00C8488C"/>
    <w:rsid w:val="00C86E91"/>
    <w:rsid w:val="00C87E62"/>
    <w:rsid w:val="00C941BA"/>
    <w:rsid w:val="00C97934"/>
    <w:rsid w:val="00CA252B"/>
    <w:rsid w:val="00CA2650"/>
    <w:rsid w:val="00CB0923"/>
    <w:rsid w:val="00CB1078"/>
    <w:rsid w:val="00CC1F9A"/>
    <w:rsid w:val="00CC2BC8"/>
    <w:rsid w:val="00CC4862"/>
    <w:rsid w:val="00CC6FAF"/>
    <w:rsid w:val="00CD6D60"/>
    <w:rsid w:val="00CE53B0"/>
    <w:rsid w:val="00CE63D3"/>
    <w:rsid w:val="00CF3954"/>
    <w:rsid w:val="00D03843"/>
    <w:rsid w:val="00D11B6D"/>
    <w:rsid w:val="00D24698"/>
    <w:rsid w:val="00D2703D"/>
    <w:rsid w:val="00D36E48"/>
    <w:rsid w:val="00D40E0D"/>
    <w:rsid w:val="00D527D0"/>
    <w:rsid w:val="00D551E3"/>
    <w:rsid w:val="00D55D32"/>
    <w:rsid w:val="00D56351"/>
    <w:rsid w:val="00D570C7"/>
    <w:rsid w:val="00D6150F"/>
    <w:rsid w:val="00D6383F"/>
    <w:rsid w:val="00D76E17"/>
    <w:rsid w:val="00D95F1B"/>
    <w:rsid w:val="00DA7750"/>
    <w:rsid w:val="00DB01D4"/>
    <w:rsid w:val="00DB27E8"/>
    <w:rsid w:val="00DB59D0"/>
    <w:rsid w:val="00DC33D3"/>
    <w:rsid w:val="00DC608D"/>
    <w:rsid w:val="00DC7965"/>
    <w:rsid w:val="00DD226F"/>
    <w:rsid w:val="00DD462B"/>
    <w:rsid w:val="00DD58B8"/>
    <w:rsid w:val="00DD63D4"/>
    <w:rsid w:val="00DD652B"/>
    <w:rsid w:val="00DE1414"/>
    <w:rsid w:val="00DE250A"/>
    <w:rsid w:val="00DE2EA3"/>
    <w:rsid w:val="00DE364B"/>
    <w:rsid w:val="00DE5C68"/>
    <w:rsid w:val="00DE6F00"/>
    <w:rsid w:val="00DE78EF"/>
    <w:rsid w:val="00DF11F6"/>
    <w:rsid w:val="00DF1263"/>
    <w:rsid w:val="00DF6F8C"/>
    <w:rsid w:val="00DF726B"/>
    <w:rsid w:val="00DF74DF"/>
    <w:rsid w:val="00E03459"/>
    <w:rsid w:val="00E0701E"/>
    <w:rsid w:val="00E113AF"/>
    <w:rsid w:val="00E11783"/>
    <w:rsid w:val="00E12E6B"/>
    <w:rsid w:val="00E14D82"/>
    <w:rsid w:val="00E17AE3"/>
    <w:rsid w:val="00E21E50"/>
    <w:rsid w:val="00E2468B"/>
    <w:rsid w:val="00E26329"/>
    <w:rsid w:val="00E31FDD"/>
    <w:rsid w:val="00E3482D"/>
    <w:rsid w:val="00E40B50"/>
    <w:rsid w:val="00E50293"/>
    <w:rsid w:val="00E56836"/>
    <w:rsid w:val="00E65FFC"/>
    <w:rsid w:val="00E74051"/>
    <w:rsid w:val="00E80951"/>
    <w:rsid w:val="00E854FE"/>
    <w:rsid w:val="00E86CC6"/>
    <w:rsid w:val="00E91BFD"/>
    <w:rsid w:val="00E9245D"/>
    <w:rsid w:val="00E94CFF"/>
    <w:rsid w:val="00EA39F3"/>
    <w:rsid w:val="00EA5FBC"/>
    <w:rsid w:val="00EB11A7"/>
    <w:rsid w:val="00EB451F"/>
    <w:rsid w:val="00EB56B3"/>
    <w:rsid w:val="00EB6743"/>
    <w:rsid w:val="00ED6492"/>
    <w:rsid w:val="00EE3C7F"/>
    <w:rsid w:val="00EF110E"/>
    <w:rsid w:val="00EF2095"/>
    <w:rsid w:val="00EF5022"/>
    <w:rsid w:val="00EF51D4"/>
    <w:rsid w:val="00F00F00"/>
    <w:rsid w:val="00F06866"/>
    <w:rsid w:val="00F10051"/>
    <w:rsid w:val="00F12A41"/>
    <w:rsid w:val="00F15956"/>
    <w:rsid w:val="00F24CFC"/>
    <w:rsid w:val="00F2709B"/>
    <w:rsid w:val="00F3170F"/>
    <w:rsid w:val="00F34034"/>
    <w:rsid w:val="00F3484B"/>
    <w:rsid w:val="00F35C89"/>
    <w:rsid w:val="00F36A54"/>
    <w:rsid w:val="00F36A65"/>
    <w:rsid w:val="00F42E06"/>
    <w:rsid w:val="00F51447"/>
    <w:rsid w:val="00F52E4B"/>
    <w:rsid w:val="00F6093A"/>
    <w:rsid w:val="00F60F5D"/>
    <w:rsid w:val="00F6366C"/>
    <w:rsid w:val="00F654D3"/>
    <w:rsid w:val="00F66363"/>
    <w:rsid w:val="00F6693B"/>
    <w:rsid w:val="00F66DAF"/>
    <w:rsid w:val="00F66E93"/>
    <w:rsid w:val="00F74507"/>
    <w:rsid w:val="00F81198"/>
    <w:rsid w:val="00F823C8"/>
    <w:rsid w:val="00F85BD8"/>
    <w:rsid w:val="00F976B0"/>
    <w:rsid w:val="00FA102E"/>
    <w:rsid w:val="00FA60E5"/>
    <w:rsid w:val="00FA6DE7"/>
    <w:rsid w:val="00FB0BD2"/>
    <w:rsid w:val="00FB1F72"/>
    <w:rsid w:val="00FB3312"/>
    <w:rsid w:val="00FB4B16"/>
    <w:rsid w:val="00FB4FEA"/>
    <w:rsid w:val="00FC0A8E"/>
    <w:rsid w:val="00FC173F"/>
    <w:rsid w:val="00FD3705"/>
    <w:rsid w:val="00FD6E15"/>
    <w:rsid w:val="00FE07DE"/>
    <w:rsid w:val="00FE2909"/>
    <w:rsid w:val="00FE2FA6"/>
    <w:rsid w:val="00FE3DF2"/>
    <w:rsid w:val="00FE7515"/>
    <w:rsid w:val="00FF6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3ED3"/>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BF3ED3"/>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BF3ED3"/>
    <w:rPr>
      <w:rFonts w:ascii="Cambria" w:eastAsia="Times New Roman" w:hAnsi="Cambria" w:cs="Times New Roman"/>
      <w:b/>
      <w:bCs/>
      <w:sz w:val="26"/>
      <w:szCs w:val="26"/>
    </w:rPr>
  </w:style>
  <w:style w:type="character" w:customStyle="1" w:styleId="Heading4Char">
    <w:name w:val="Heading 4 Char"/>
    <w:link w:val="Heading4"/>
    <w:uiPriority w:val="9"/>
    <w:semiHidden/>
    <w:rsid w:val="00BF3ED3"/>
    <w:rPr>
      <w:rFonts w:ascii="Calibri" w:eastAsia="Times New Roman" w:hAnsi="Calibri" w:cs="Times New Roman"/>
      <w:b/>
      <w:bCs/>
      <w:sz w:val="28"/>
      <w:szCs w:val="28"/>
    </w:rPr>
  </w:style>
  <w:style w:type="character" w:customStyle="1" w:styleId="Heading5Char">
    <w:name w:val="Heading 5 Char"/>
    <w:link w:val="Heading5"/>
    <w:uiPriority w:val="9"/>
    <w:semiHidden/>
    <w:rsid w:val="00BF3ED3"/>
    <w:rPr>
      <w:rFonts w:ascii="Calibri" w:eastAsia="Times New Roman"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rsid w:val="00BF3ED3"/>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rsid w:val="00BF3ED3"/>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rsid w:val="00BF3ED3"/>
    <w:rPr>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rsid w:val="00BF3ED3"/>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rsid w:val="00BF3ED3"/>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rsid w:val="00BF3ED3"/>
    <w:rPr>
      <w:sz w:val="0"/>
      <w:szCs w:val="0"/>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sz w:val="16"/>
      <w:szCs w:val="16"/>
    </w:rPr>
  </w:style>
  <w:style w:type="character" w:customStyle="1" w:styleId="DocumentMapChar">
    <w:name w:val="Document Map Char"/>
    <w:link w:val="DocumentMap"/>
    <w:uiPriority w:val="99"/>
    <w:locked/>
    <w:rsid w:val="00FA6DE7"/>
    <w:rPr>
      <w:rFonts w:ascii="Tahoma" w:hAnsi="Tahoma"/>
      <w:sz w:val="16"/>
    </w:rPr>
  </w:style>
  <w:style w:type="character" w:styleId="CommentReference">
    <w:name w:val="annotation reference"/>
    <w:rsid w:val="00F06866"/>
    <w:rPr>
      <w:rFonts w:cs="Times New Roman"/>
      <w:sz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locked/>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b/>
    </w:rPr>
  </w:style>
  <w:style w:type="paragraph" w:styleId="ListParagraph">
    <w:name w:val="List Paragraph"/>
    <w:basedOn w:val="Normal"/>
    <w:uiPriority w:val="34"/>
    <w:qFormat/>
    <w:rsid w:val="00C14CC4"/>
    <w:pPr>
      <w:ind w:left="720"/>
      <w:contextualSpacing/>
    </w:pPr>
  </w:style>
  <w:style w:type="character" w:styleId="Hyperlink">
    <w:name w:val="Hyperlink"/>
    <w:uiPriority w:val="99"/>
    <w:rsid w:val="00916E6D"/>
    <w:rPr>
      <w:rFonts w:cs="Times New Roman"/>
      <w:color w:val="0000FF"/>
      <w:u w:val="single"/>
    </w:rPr>
  </w:style>
  <w:style w:type="paragraph" w:styleId="BodyTextFirstIndent">
    <w:name w:val="Body Text First Indent"/>
    <w:basedOn w:val="BodyText"/>
    <w:link w:val="BodyTextFirstIndentChar"/>
    <w:uiPriority w:val="99"/>
    <w:rsid w:val="00E0701E"/>
    <w:pPr>
      <w:widowControl/>
      <w:spacing w:after="120"/>
      <w:ind w:firstLine="210"/>
    </w:pPr>
    <w:rPr>
      <w:i w:val="0"/>
      <w:iCs w:val="0"/>
      <w:sz w:val="24"/>
    </w:rPr>
  </w:style>
  <w:style w:type="character" w:customStyle="1" w:styleId="BodyTextFirstIndentChar">
    <w:name w:val="Body Text First Indent Char"/>
    <w:basedOn w:val="BodyTextChar"/>
    <w:link w:val="BodyTextFirstIndent"/>
    <w:uiPriority w:val="99"/>
    <w:semiHidden/>
    <w:rsid w:val="00BF3ED3"/>
    <w:rPr>
      <w:sz w:val="24"/>
      <w:szCs w:val="24"/>
    </w:rPr>
  </w:style>
  <w:style w:type="paragraph" w:customStyle="1" w:styleId="listparagraph0">
    <w:name w:val="listparagraph"/>
    <w:basedOn w:val="Normal"/>
    <w:uiPriority w:val="99"/>
    <w:rsid w:val="00B429E0"/>
    <w:pPr>
      <w:spacing w:after="200" w:line="276" w:lineRule="auto"/>
      <w:ind w:left="720"/>
    </w:pPr>
    <w:rPr>
      <w:rFonts w:ascii="Calibri" w:hAnsi="Calibri"/>
      <w:sz w:val="22"/>
      <w:szCs w:val="22"/>
    </w:rPr>
  </w:style>
  <w:style w:type="paragraph" w:customStyle="1" w:styleId="OMNIQ">
    <w:name w:val="OMNIQ"/>
    <w:basedOn w:val="Normal"/>
    <w:link w:val="OMNIQChar"/>
    <w:uiPriority w:val="99"/>
    <w:rsid w:val="00964C0E"/>
    <w:pPr>
      <w:widowControl w:val="0"/>
      <w:tabs>
        <w:tab w:val="left" w:pos="720"/>
        <w:tab w:val="left" w:pos="2880"/>
        <w:tab w:val="left" w:pos="8640"/>
      </w:tabs>
      <w:ind w:left="720" w:hanging="720"/>
    </w:pPr>
    <w:rPr>
      <w:rFonts w:ascii="Courier" w:hAnsi="Courier"/>
      <w:sz w:val="20"/>
      <w:szCs w:val="20"/>
    </w:rPr>
  </w:style>
  <w:style w:type="character" w:customStyle="1" w:styleId="OMNIQChar">
    <w:name w:val="OMNIQ Char"/>
    <w:link w:val="OMNIQ"/>
    <w:uiPriority w:val="99"/>
    <w:locked/>
    <w:rsid w:val="00964C0E"/>
    <w:rPr>
      <w:rFonts w:ascii="Courier" w:hAnsi="Courier"/>
      <w:snapToGrid w:val="0"/>
      <w:lang w:val="en-US" w:eastAsia="en-US"/>
    </w:rPr>
  </w:style>
  <w:style w:type="paragraph" w:customStyle="1" w:styleId="QuestionText">
    <w:name w:val="Question Text"/>
    <w:basedOn w:val="Normal"/>
    <w:next w:val="Normal"/>
    <w:link w:val="QuestionTextChar"/>
    <w:uiPriority w:val="99"/>
    <w:rsid w:val="00964C0E"/>
    <w:pPr>
      <w:ind w:left="720" w:hanging="720"/>
    </w:pPr>
    <w:rPr>
      <w:rFonts w:ascii="Tahoma" w:hAnsi="Tahoma" w:cs="Tahoma"/>
      <w:b/>
      <w:sz w:val="20"/>
      <w:szCs w:val="20"/>
    </w:rPr>
  </w:style>
  <w:style w:type="paragraph" w:customStyle="1" w:styleId="Responses">
    <w:name w:val="Responses"/>
    <w:basedOn w:val="Normal"/>
    <w:uiPriority w:val="99"/>
    <w:rsid w:val="00964C0E"/>
    <w:pPr>
      <w:ind w:left="1440" w:hanging="720"/>
    </w:pPr>
    <w:rPr>
      <w:rFonts w:ascii="Tahoma" w:hAnsi="Tahoma" w:cs="Tahoma"/>
      <w:sz w:val="20"/>
      <w:szCs w:val="20"/>
    </w:rPr>
  </w:style>
  <w:style w:type="paragraph" w:customStyle="1" w:styleId="ProgrammerInstructions">
    <w:name w:val="Programmer Instructions"/>
    <w:basedOn w:val="Normal"/>
    <w:next w:val="Normal"/>
    <w:link w:val="ProgrammerInstructionsChar"/>
    <w:uiPriority w:val="99"/>
    <w:rsid w:val="00964C0E"/>
    <w:rPr>
      <w:rFonts w:ascii="Tahoma" w:hAnsi="Tahoma" w:cs="Tahoma"/>
      <w:caps/>
      <w:sz w:val="20"/>
      <w:szCs w:val="20"/>
    </w:rPr>
  </w:style>
  <w:style w:type="character" w:customStyle="1" w:styleId="ProgrammerInstructionsChar">
    <w:name w:val="Programmer Instructions Char"/>
    <w:link w:val="ProgrammerInstructions"/>
    <w:uiPriority w:val="99"/>
    <w:locked/>
    <w:rsid w:val="00964C0E"/>
    <w:rPr>
      <w:rFonts w:ascii="Tahoma" w:hAnsi="Tahoma"/>
      <w:caps/>
      <w:lang w:val="en-US" w:eastAsia="en-US"/>
    </w:rPr>
  </w:style>
  <w:style w:type="paragraph" w:customStyle="1" w:styleId="InterviewerInstructions">
    <w:name w:val="Interviewer Instructions"/>
    <w:basedOn w:val="Normal"/>
    <w:next w:val="Normal"/>
    <w:uiPriority w:val="99"/>
    <w:rsid w:val="00964C0E"/>
    <w:rPr>
      <w:rFonts w:ascii="Tahoma" w:hAnsi="Tahoma" w:cs="Tahoma"/>
      <w:caps/>
      <w:color w:val="FF0000"/>
      <w:sz w:val="20"/>
      <w:szCs w:val="20"/>
    </w:rPr>
  </w:style>
  <w:style w:type="character" w:customStyle="1" w:styleId="QuestionTextChar">
    <w:name w:val="Question Text Char"/>
    <w:link w:val="QuestionText"/>
    <w:uiPriority w:val="99"/>
    <w:locked/>
    <w:rsid w:val="00964C0E"/>
    <w:rPr>
      <w:rFonts w:ascii="Tahoma" w:hAnsi="Tahoma"/>
      <w:b/>
      <w:lang w:val="en-US" w:eastAsia="en-US"/>
    </w:rPr>
  </w:style>
  <w:style w:type="character" w:customStyle="1" w:styleId="814hb">
    <w:name w:val="814hb"/>
    <w:uiPriority w:val="99"/>
    <w:semiHidden/>
    <w:rsid w:val="00DC7965"/>
    <w:rPr>
      <w:rFonts w:ascii="Century Gothic" w:hAnsi="Century Gothic"/>
      <w:color w:val="000000"/>
      <w:sz w:val="24"/>
      <w:u w:val="none"/>
    </w:rPr>
  </w:style>
  <w:style w:type="character" w:styleId="FollowedHyperlink">
    <w:name w:val="FollowedHyperlink"/>
    <w:basedOn w:val="DefaultParagraphFont"/>
    <w:uiPriority w:val="99"/>
    <w:semiHidden/>
    <w:unhideWhenUsed/>
    <w:rsid w:val="00144BE6"/>
    <w:rPr>
      <w:color w:val="800080" w:themeColor="followedHyperlink"/>
      <w:u w:val="single"/>
    </w:rPr>
  </w:style>
  <w:style w:type="paragraph" w:styleId="FootnoteText">
    <w:name w:val="footnote text"/>
    <w:basedOn w:val="Normal"/>
    <w:link w:val="FootnoteTextChar"/>
    <w:uiPriority w:val="99"/>
    <w:semiHidden/>
    <w:unhideWhenUsed/>
    <w:rsid w:val="00880869"/>
    <w:rPr>
      <w:sz w:val="20"/>
      <w:szCs w:val="20"/>
    </w:rPr>
  </w:style>
  <w:style w:type="character" w:customStyle="1" w:styleId="FootnoteTextChar">
    <w:name w:val="Footnote Text Char"/>
    <w:basedOn w:val="DefaultParagraphFont"/>
    <w:link w:val="FootnoteText"/>
    <w:uiPriority w:val="99"/>
    <w:semiHidden/>
    <w:rsid w:val="00880869"/>
  </w:style>
  <w:style w:type="character" w:styleId="FootnoteReference">
    <w:name w:val="footnote reference"/>
    <w:basedOn w:val="DefaultParagraphFont"/>
    <w:uiPriority w:val="99"/>
    <w:semiHidden/>
    <w:unhideWhenUsed/>
    <w:rsid w:val="008808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3ED3"/>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BF3ED3"/>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BF3ED3"/>
    <w:rPr>
      <w:rFonts w:ascii="Cambria" w:eastAsia="Times New Roman" w:hAnsi="Cambria" w:cs="Times New Roman"/>
      <w:b/>
      <w:bCs/>
      <w:sz w:val="26"/>
      <w:szCs w:val="26"/>
    </w:rPr>
  </w:style>
  <w:style w:type="character" w:customStyle="1" w:styleId="Heading4Char">
    <w:name w:val="Heading 4 Char"/>
    <w:link w:val="Heading4"/>
    <w:uiPriority w:val="9"/>
    <w:semiHidden/>
    <w:rsid w:val="00BF3ED3"/>
    <w:rPr>
      <w:rFonts w:ascii="Calibri" w:eastAsia="Times New Roman" w:hAnsi="Calibri" w:cs="Times New Roman"/>
      <w:b/>
      <w:bCs/>
      <w:sz w:val="28"/>
      <w:szCs w:val="28"/>
    </w:rPr>
  </w:style>
  <w:style w:type="character" w:customStyle="1" w:styleId="Heading5Char">
    <w:name w:val="Heading 5 Char"/>
    <w:link w:val="Heading5"/>
    <w:uiPriority w:val="9"/>
    <w:semiHidden/>
    <w:rsid w:val="00BF3ED3"/>
    <w:rPr>
      <w:rFonts w:ascii="Calibri" w:eastAsia="Times New Roman"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rsid w:val="00BF3ED3"/>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rsid w:val="00BF3ED3"/>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rsid w:val="00BF3ED3"/>
    <w:rPr>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rsid w:val="00BF3ED3"/>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rsid w:val="00BF3ED3"/>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rsid w:val="00BF3ED3"/>
    <w:rPr>
      <w:sz w:val="0"/>
      <w:szCs w:val="0"/>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sz w:val="16"/>
      <w:szCs w:val="16"/>
    </w:rPr>
  </w:style>
  <w:style w:type="character" w:customStyle="1" w:styleId="DocumentMapChar">
    <w:name w:val="Document Map Char"/>
    <w:link w:val="DocumentMap"/>
    <w:uiPriority w:val="99"/>
    <w:locked/>
    <w:rsid w:val="00FA6DE7"/>
    <w:rPr>
      <w:rFonts w:ascii="Tahoma" w:hAnsi="Tahoma"/>
      <w:sz w:val="16"/>
    </w:rPr>
  </w:style>
  <w:style w:type="character" w:styleId="CommentReference">
    <w:name w:val="annotation reference"/>
    <w:rsid w:val="00F06866"/>
    <w:rPr>
      <w:rFonts w:cs="Times New Roman"/>
      <w:sz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locked/>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b/>
    </w:rPr>
  </w:style>
  <w:style w:type="paragraph" w:styleId="ListParagraph">
    <w:name w:val="List Paragraph"/>
    <w:basedOn w:val="Normal"/>
    <w:uiPriority w:val="34"/>
    <w:qFormat/>
    <w:rsid w:val="00C14CC4"/>
    <w:pPr>
      <w:ind w:left="720"/>
      <w:contextualSpacing/>
    </w:pPr>
  </w:style>
  <w:style w:type="character" w:styleId="Hyperlink">
    <w:name w:val="Hyperlink"/>
    <w:uiPriority w:val="99"/>
    <w:rsid w:val="00916E6D"/>
    <w:rPr>
      <w:rFonts w:cs="Times New Roman"/>
      <w:color w:val="0000FF"/>
      <w:u w:val="single"/>
    </w:rPr>
  </w:style>
  <w:style w:type="paragraph" w:styleId="BodyTextFirstIndent">
    <w:name w:val="Body Text First Indent"/>
    <w:basedOn w:val="BodyText"/>
    <w:link w:val="BodyTextFirstIndentChar"/>
    <w:uiPriority w:val="99"/>
    <w:rsid w:val="00E0701E"/>
    <w:pPr>
      <w:widowControl/>
      <w:spacing w:after="120"/>
      <w:ind w:firstLine="210"/>
    </w:pPr>
    <w:rPr>
      <w:i w:val="0"/>
      <w:iCs w:val="0"/>
      <w:sz w:val="24"/>
    </w:rPr>
  </w:style>
  <w:style w:type="character" w:customStyle="1" w:styleId="BodyTextFirstIndentChar">
    <w:name w:val="Body Text First Indent Char"/>
    <w:basedOn w:val="BodyTextChar"/>
    <w:link w:val="BodyTextFirstIndent"/>
    <w:uiPriority w:val="99"/>
    <w:semiHidden/>
    <w:rsid w:val="00BF3ED3"/>
    <w:rPr>
      <w:sz w:val="24"/>
      <w:szCs w:val="24"/>
    </w:rPr>
  </w:style>
  <w:style w:type="paragraph" w:customStyle="1" w:styleId="listparagraph0">
    <w:name w:val="listparagraph"/>
    <w:basedOn w:val="Normal"/>
    <w:uiPriority w:val="99"/>
    <w:rsid w:val="00B429E0"/>
    <w:pPr>
      <w:spacing w:after="200" w:line="276" w:lineRule="auto"/>
      <w:ind w:left="720"/>
    </w:pPr>
    <w:rPr>
      <w:rFonts w:ascii="Calibri" w:hAnsi="Calibri"/>
      <w:sz w:val="22"/>
      <w:szCs w:val="22"/>
    </w:rPr>
  </w:style>
  <w:style w:type="paragraph" w:customStyle="1" w:styleId="OMNIQ">
    <w:name w:val="OMNIQ"/>
    <w:basedOn w:val="Normal"/>
    <w:link w:val="OMNIQChar"/>
    <w:uiPriority w:val="99"/>
    <w:rsid w:val="00964C0E"/>
    <w:pPr>
      <w:widowControl w:val="0"/>
      <w:tabs>
        <w:tab w:val="left" w:pos="720"/>
        <w:tab w:val="left" w:pos="2880"/>
        <w:tab w:val="left" w:pos="8640"/>
      </w:tabs>
      <w:ind w:left="720" w:hanging="720"/>
    </w:pPr>
    <w:rPr>
      <w:rFonts w:ascii="Courier" w:hAnsi="Courier"/>
      <w:sz w:val="20"/>
      <w:szCs w:val="20"/>
    </w:rPr>
  </w:style>
  <w:style w:type="character" w:customStyle="1" w:styleId="OMNIQChar">
    <w:name w:val="OMNIQ Char"/>
    <w:link w:val="OMNIQ"/>
    <w:uiPriority w:val="99"/>
    <w:locked/>
    <w:rsid w:val="00964C0E"/>
    <w:rPr>
      <w:rFonts w:ascii="Courier" w:hAnsi="Courier"/>
      <w:snapToGrid w:val="0"/>
      <w:lang w:val="en-US" w:eastAsia="en-US"/>
    </w:rPr>
  </w:style>
  <w:style w:type="paragraph" w:customStyle="1" w:styleId="QuestionText">
    <w:name w:val="Question Text"/>
    <w:basedOn w:val="Normal"/>
    <w:next w:val="Normal"/>
    <w:link w:val="QuestionTextChar"/>
    <w:uiPriority w:val="99"/>
    <w:rsid w:val="00964C0E"/>
    <w:pPr>
      <w:ind w:left="720" w:hanging="720"/>
    </w:pPr>
    <w:rPr>
      <w:rFonts w:ascii="Tahoma" w:hAnsi="Tahoma" w:cs="Tahoma"/>
      <w:b/>
      <w:sz w:val="20"/>
      <w:szCs w:val="20"/>
    </w:rPr>
  </w:style>
  <w:style w:type="paragraph" w:customStyle="1" w:styleId="Responses">
    <w:name w:val="Responses"/>
    <w:basedOn w:val="Normal"/>
    <w:uiPriority w:val="99"/>
    <w:rsid w:val="00964C0E"/>
    <w:pPr>
      <w:ind w:left="1440" w:hanging="720"/>
    </w:pPr>
    <w:rPr>
      <w:rFonts w:ascii="Tahoma" w:hAnsi="Tahoma" w:cs="Tahoma"/>
      <w:sz w:val="20"/>
      <w:szCs w:val="20"/>
    </w:rPr>
  </w:style>
  <w:style w:type="paragraph" w:customStyle="1" w:styleId="ProgrammerInstructions">
    <w:name w:val="Programmer Instructions"/>
    <w:basedOn w:val="Normal"/>
    <w:next w:val="Normal"/>
    <w:link w:val="ProgrammerInstructionsChar"/>
    <w:uiPriority w:val="99"/>
    <w:rsid w:val="00964C0E"/>
    <w:rPr>
      <w:rFonts w:ascii="Tahoma" w:hAnsi="Tahoma" w:cs="Tahoma"/>
      <w:caps/>
      <w:sz w:val="20"/>
      <w:szCs w:val="20"/>
    </w:rPr>
  </w:style>
  <w:style w:type="character" w:customStyle="1" w:styleId="ProgrammerInstructionsChar">
    <w:name w:val="Programmer Instructions Char"/>
    <w:link w:val="ProgrammerInstructions"/>
    <w:uiPriority w:val="99"/>
    <w:locked/>
    <w:rsid w:val="00964C0E"/>
    <w:rPr>
      <w:rFonts w:ascii="Tahoma" w:hAnsi="Tahoma"/>
      <w:caps/>
      <w:lang w:val="en-US" w:eastAsia="en-US"/>
    </w:rPr>
  </w:style>
  <w:style w:type="paragraph" w:customStyle="1" w:styleId="InterviewerInstructions">
    <w:name w:val="Interviewer Instructions"/>
    <w:basedOn w:val="Normal"/>
    <w:next w:val="Normal"/>
    <w:uiPriority w:val="99"/>
    <w:rsid w:val="00964C0E"/>
    <w:rPr>
      <w:rFonts w:ascii="Tahoma" w:hAnsi="Tahoma" w:cs="Tahoma"/>
      <w:caps/>
      <w:color w:val="FF0000"/>
      <w:sz w:val="20"/>
      <w:szCs w:val="20"/>
    </w:rPr>
  </w:style>
  <w:style w:type="character" w:customStyle="1" w:styleId="QuestionTextChar">
    <w:name w:val="Question Text Char"/>
    <w:link w:val="QuestionText"/>
    <w:uiPriority w:val="99"/>
    <w:locked/>
    <w:rsid w:val="00964C0E"/>
    <w:rPr>
      <w:rFonts w:ascii="Tahoma" w:hAnsi="Tahoma"/>
      <w:b/>
      <w:lang w:val="en-US" w:eastAsia="en-US"/>
    </w:rPr>
  </w:style>
  <w:style w:type="character" w:customStyle="1" w:styleId="814hb">
    <w:name w:val="814hb"/>
    <w:uiPriority w:val="99"/>
    <w:semiHidden/>
    <w:rsid w:val="00DC7965"/>
    <w:rPr>
      <w:rFonts w:ascii="Century Gothic" w:hAnsi="Century Gothic"/>
      <w:color w:val="000000"/>
      <w:sz w:val="24"/>
      <w:u w:val="none"/>
    </w:rPr>
  </w:style>
  <w:style w:type="character" w:styleId="FollowedHyperlink">
    <w:name w:val="FollowedHyperlink"/>
    <w:basedOn w:val="DefaultParagraphFont"/>
    <w:uiPriority w:val="99"/>
    <w:semiHidden/>
    <w:unhideWhenUsed/>
    <w:rsid w:val="00144BE6"/>
    <w:rPr>
      <w:color w:val="800080" w:themeColor="followedHyperlink"/>
      <w:u w:val="single"/>
    </w:rPr>
  </w:style>
  <w:style w:type="paragraph" w:styleId="FootnoteText">
    <w:name w:val="footnote text"/>
    <w:basedOn w:val="Normal"/>
    <w:link w:val="FootnoteTextChar"/>
    <w:uiPriority w:val="99"/>
    <w:semiHidden/>
    <w:unhideWhenUsed/>
    <w:rsid w:val="00880869"/>
    <w:rPr>
      <w:sz w:val="20"/>
      <w:szCs w:val="20"/>
    </w:rPr>
  </w:style>
  <w:style w:type="character" w:customStyle="1" w:styleId="FootnoteTextChar">
    <w:name w:val="Footnote Text Char"/>
    <w:basedOn w:val="DefaultParagraphFont"/>
    <w:link w:val="FootnoteText"/>
    <w:uiPriority w:val="99"/>
    <w:semiHidden/>
    <w:rsid w:val="00880869"/>
  </w:style>
  <w:style w:type="character" w:styleId="FootnoteReference">
    <w:name w:val="footnote reference"/>
    <w:basedOn w:val="DefaultParagraphFont"/>
    <w:uiPriority w:val="99"/>
    <w:semiHidden/>
    <w:unhideWhenUsed/>
    <w:rsid w:val="008808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2103">
      <w:bodyDiv w:val="1"/>
      <w:marLeft w:val="0"/>
      <w:marRight w:val="0"/>
      <w:marTop w:val="0"/>
      <w:marBottom w:val="0"/>
      <w:divBdr>
        <w:top w:val="none" w:sz="0" w:space="0" w:color="auto"/>
        <w:left w:val="none" w:sz="0" w:space="0" w:color="auto"/>
        <w:bottom w:val="none" w:sz="0" w:space="0" w:color="auto"/>
        <w:right w:val="none" w:sz="0" w:space="0" w:color="auto"/>
      </w:divBdr>
    </w:div>
    <w:div w:id="168377145">
      <w:bodyDiv w:val="1"/>
      <w:marLeft w:val="0"/>
      <w:marRight w:val="0"/>
      <w:marTop w:val="0"/>
      <w:marBottom w:val="0"/>
      <w:divBdr>
        <w:top w:val="none" w:sz="0" w:space="0" w:color="auto"/>
        <w:left w:val="none" w:sz="0" w:space="0" w:color="auto"/>
        <w:bottom w:val="none" w:sz="0" w:space="0" w:color="auto"/>
        <w:right w:val="none" w:sz="0" w:space="0" w:color="auto"/>
      </w:divBdr>
    </w:div>
    <w:div w:id="505897814">
      <w:bodyDiv w:val="1"/>
      <w:marLeft w:val="0"/>
      <w:marRight w:val="0"/>
      <w:marTop w:val="0"/>
      <w:marBottom w:val="0"/>
      <w:divBdr>
        <w:top w:val="none" w:sz="0" w:space="0" w:color="auto"/>
        <w:left w:val="none" w:sz="0" w:space="0" w:color="auto"/>
        <w:bottom w:val="none" w:sz="0" w:space="0" w:color="auto"/>
        <w:right w:val="none" w:sz="0" w:space="0" w:color="auto"/>
      </w:divBdr>
    </w:div>
    <w:div w:id="547957476">
      <w:bodyDiv w:val="1"/>
      <w:marLeft w:val="0"/>
      <w:marRight w:val="0"/>
      <w:marTop w:val="0"/>
      <w:marBottom w:val="0"/>
      <w:divBdr>
        <w:top w:val="none" w:sz="0" w:space="0" w:color="auto"/>
        <w:left w:val="none" w:sz="0" w:space="0" w:color="auto"/>
        <w:bottom w:val="none" w:sz="0" w:space="0" w:color="auto"/>
        <w:right w:val="none" w:sz="0" w:space="0" w:color="auto"/>
      </w:divBdr>
    </w:div>
    <w:div w:id="1682273046">
      <w:marLeft w:val="0"/>
      <w:marRight w:val="0"/>
      <w:marTop w:val="0"/>
      <w:marBottom w:val="0"/>
      <w:divBdr>
        <w:top w:val="none" w:sz="0" w:space="0" w:color="auto"/>
        <w:left w:val="none" w:sz="0" w:space="0" w:color="auto"/>
        <w:bottom w:val="none" w:sz="0" w:space="0" w:color="auto"/>
        <w:right w:val="none" w:sz="0" w:space="0" w:color="auto"/>
      </w:divBdr>
    </w:div>
    <w:div w:id="1682273047">
      <w:marLeft w:val="0"/>
      <w:marRight w:val="0"/>
      <w:marTop w:val="0"/>
      <w:marBottom w:val="0"/>
      <w:divBdr>
        <w:top w:val="none" w:sz="0" w:space="0" w:color="auto"/>
        <w:left w:val="none" w:sz="0" w:space="0" w:color="auto"/>
        <w:bottom w:val="none" w:sz="0" w:space="0" w:color="auto"/>
        <w:right w:val="none" w:sz="0" w:space="0" w:color="auto"/>
      </w:divBdr>
    </w:div>
    <w:div w:id="1682273048">
      <w:marLeft w:val="0"/>
      <w:marRight w:val="0"/>
      <w:marTop w:val="0"/>
      <w:marBottom w:val="0"/>
      <w:divBdr>
        <w:top w:val="none" w:sz="0" w:space="0" w:color="auto"/>
        <w:left w:val="none" w:sz="0" w:space="0" w:color="auto"/>
        <w:bottom w:val="none" w:sz="0" w:space="0" w:color="auto"/>
        <w:right w:val="none" w:sz="0" w:space="0" w:color="auto"/>
      </w:divBdr>
    </w:div>
    <w:div w:id="1715427882">
      <w:bodyDiv w:val="1"/>
      <w:marLeft w:val="0"/>
      <w:marRight w:val="0"/>
      <w:marTop w:val="0"/>
      <w:marBottom w:val="0"/>
      <w:divBdr>
        <w:top w:val="none" w:sz="0" w:space="0" w:color="auto"/>
        <w:left w:val="none" w:sz="0" w:space="0" w:color="auto"/>
        <w:bottom w:val="none" w:sz="0" w:space="0" w:color="auto"/>
        <w:right w:val="none" w:sz="0" w:space="0" w:color="auto"/>
      </w:divBdr>
    </w:div>
    <w:div w:id="2048219364">
      <w:bodyDiv w:val="1"/>
      <w:marLeft w:val="0"/>
      <w:marRight w:val="0"/>
      <w:marTop w:val="0"/>
      <w:marBottom w:val="0"/>
      <w:divBdr>
        <w:top w:val="none" w:sz="0" w:space="0" w:color="auto"/>
        <w:left w:val="none" w:sz="0" w:space="0" w:color="auto"/>
        <w:bottom w:val="none" w:sz="0" w:space="0" w:color="auto"/>
        <w:right w:val="none" w:sz="0" w:space="0" w:color="auto"/>
      </w:divBdr>
    </w:div>
    <w:div w:id="2140607293">
      <w:bodyDiv w:val="1"/>
      <w:marLeft w:val="0"/>
      <w:marRight w:val="0"/>
      <w:marTop w:val="0"/>
      <w:marBottom w:val="0"/>
      <w:divBdr>
        <w:top w:val="none" w:sz="0" w:space="0" w:color="auto"/>
        <w:left w:val="none" w:sz="0" w:space="0" w:color="auto"/>
        <w:bottom w:val="none" w:sz="0" w:space="0" w:color="auto"/>
        <w:right w:val="none" w:sz="0" w:space="0" w:color="auto"/>
      </w:divBdr>
    </w:div>
    <w:div w:id="214179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ensus.gov/quickfacts/fact/table/US/PST045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95C1F-B19B-457C-8ED3-53B52E925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2019-04-16T12:17:00Z</cp:lastPrinted>
  <dcterms:created xsi:type="dcterms:W3CDTF">2019-08-15T19:18:00Z</dcterms:created>
  <dcterms:modified xsi:type="dcterms:W3CDTF">2019-08-15T19:18:00Z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