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B7" w:rsidRPr="00331B48" w:rsidRDefault="004613B7" w:rsidP="006D0E97">
      <w:pPr>
        <w:jc w:val="center"/>
        <w:rPr>
          <w:b/>
          <w:color w:val="000000"/>
          <w:szCs w:val="28"/>
        </w:rPr>
      </w:pPr>
      <w:bookmarkStart w:id="0" w:name="_GoBack"/>
      <w:bookmarkEnd w:id="0"/>
      <w:r w:rsidRPr="00331B48">
        <w:rPr>
          <w:b/>
          <w:color w:val="000000"/>
          <w:szCs w:val="28"/>
        </w:rPr>
        <w:t>Supporting Statement</w:t>
      </w:r>
    </w:p>
    <w:p w:rsidR="00EA39F3" w:rsidRPr="00331B48" w:rsidRDefault="00EA39F3" w:rsidP="00EA39F3">
      <w:pPr>
        <w:jc w:val="center"/>
        <w:rPr>
          <w:b/>
          <w:color w:val="000000"/>
          <w:szCs w:val="28"/>
        </w:rPr>
      </w:pPr>
      <w:r w:rsidRPr="00331B48">
        <w:rPr>
          <w:b/>
          <w:color w:val="000000"/>
          <w:szCs w:val="28"/>
        </w:rPr>
        <w:t>201</w:t>
      </w:r>
      <w:r w:rsidR="00DF6F8C">
        <w:rPr>
          <w:b/>
          <w:color w:val="000000"/>
          <w:szCs w:val="28"/>
        </w:rPr>
        <w:t>9</w:t>
      </w:r>
      <w:r w:rsidRPr="00331B48">
        <w:rPr>
          <w:b/>
          <w:color w:val="000000"/>
          <w:szCs w:val="28"/>
        </w:rPr>
        <w:t xml:space="preserve"> </w:t>
      </w:r>
      <w:r w:rsidR="00344A8F" w:rsidRPr="00344A8F">
        <w:rPr>
          <w:b/>
        </w:rPr>
        <w:t>Research Applied Analytics &amp; Statistics (RAAS)</w:t>
      </w:r>
      <w:r w:rsidRPr="00331B48">
        <w:rPr>
          <w:b/>
          <w:color w:val="000000"/>
          <w:szCs w:val="28"/>
        </w:rPr>
        <w:t xml:space="preserve"> Comprehensive Taxpayer Attitude Survey</w:t>
      </w:r>
    </w:p>
    <w:p w:rsidR="00E31FDD" w:rsidRDefault="00E31FDD" w:rsidP="00EA39F3">
      <w:pPr>
        <w:jc w:val="center"/>
        <w:rPr>
          <w:b/>
          <w:color w:val="000000"/>
          <w:szCs w:val="28"/>
        </w:rPr>
      </w:pPr>
    </w:p>
    <w:p w:rsidR="00E31FDD" w:rsidRDefault="00E31FDD" w:rsidP="00EA39F3">
      <w:pPr>
        <w:jc w:val="center"/>
        <w:rPr>
          <w:b/>
          <w:color w:val="000000"/>
          <w:szCs w:val="28"/>
        </w:rPr>
      </w:pPr>
    </w:p>
    <w:p w:rsidR="00E31FDD" w:rsidRDefault="00E31FDD" w:rsidP="00E31FDD">
      <w:pPr>
        <w:rPr>
          <w:b/>
          <w:color w:val="000000"/>
          <w:szCs w:val="28"/>
        </w:rPr>
      </w:pPr>
      <w:r>
        <w:rPr>
          <w:b/>
          <w:color w:val="000000"/>
          <w:szCs w:val="28"/>
        </w:rPr>
        <w:t>Justification for Emergency Processing</w:t>
      </w:r>
    </w:p>
    <w:p w:rsidR="00E31FDD" w:rsidRDefault="00E31FDD" w:rsidP="00E31FDD">
      <w:pPr>
        <w:rPr>
          <w:b/>
          <w:color w:val="000000"/>
          <w:szCs w:val="28"/>
        </w:rPr>
      </w:pPr>
    </w:p>
    <w:p w:rsidR="00E31FDD" w:rsidRPr="00E31FDD" w:rsidRDefault="00E31FDD" w:rsidP="00E31FDD">
      <w:pPr>
        <w:rPr>
          <w:color w:val="000000"/>
          <w:szCs w:val="28"/>
        </w:rPr>
      </w:pPr>
      <w:r w:rsidRPr="00E31FDD">
        <w:rPr>
          <w:color w:val="000000"/>
          <w:szCs w:val="28"/>
        </w:rPr>
        <w:t xml:space="preserve">The Comprehensive Taxpayer Attitude Survey (CTAS) has been conducted in August of each year since 1999.  The primary objective of the survey is </w:t>
      </w:r>
      <w:r w:rsidR="008469C2">
        <w:rPr>
          <w:color w:val="000000"/>
          <w:szCs w:val="28"/>
        </w:rPr>
        <w:t xml:space="preserve">to </w:t>
      </w:r>
      <w:r w:rsidRPr="00E31FDD">
        <w:rPr>
          <w:color w:val="000000"/>
          <w:szCs w:val="28"/>
        </w:rPr>
        <w:t>capture updated time series data on taxpayers’ tax compliance attitudes, service channel preferences, and behaviors</w:t>
      </w:r>
      <w:r w:rsidR="008469C2">
        <w:rPr>
          <w:color w:val="000000"/>
          <w:szCs w:val="28"/>
        </w:rPr>
        <w:t>,</w:t>
      </w:r>
      <w:r w:rsidRPr="00E31FDD">
        <w:rPr>
          <w:color w:val="000000"/>
          <w:szCs w:val="28"/>
        </w:rPr>
        <w:t xml:space="preserve"> which can be compared to findings from previous surveys, providing insights into any changes in taxpayer views over time, which will provide greater insight into taxpayer attitudes, preferences, and behaviors that are of strategic importance to tax administration.  </w:t>
      </w:r>
    </w:p>
    <w:p w:rsidR="00E31FDD" w:rsidRPr="00E31FDD" w:rsidRDefault="00E31FDD" w:rsidP="00E31FDD">
      <w:pPr>
        <w:rPr>
          <w:color w:val="000000"/>
          <w:szCs w:val="28"/>
        </w:rPr>
      </w:pPr>
    </w:p>
    <w:p w:rsidR="00E31FDD" w:rsidRPr="00E31FDD" w:rsidRDefault="00E31FDD" w:rsidP="00E31FDD">
      <w:pPr>
        <w:rPr>
          <w:color w:val="000000"/>
          <w:szCs w:val="28"/>
        </w:rPr>
      </w:pPr>
      <w:r w:rsidRPr="00E31FDD">
        <w:rPr>
          <w:color w:val="000000"/>
          <w:szCs w:val="28"/>
        </w:rPr>
        <w:t xml:space="preserve">The survey began as part of the Service-wide initiative to maintain a system of balanced organizational performance measures mandated by the IRS Restructuring and Reform Act (RRA) of 1998. This </w:t>
      </w:r>
      <w:r w:rsidR="002B7A40">
        <w:rPr>
          <w:color w:val="000000"/>
          <w:szCs w:val="28"/>
        </w:rPr>
        <w:t xml:space="preserve">CTAS </w:t>
      </w:r>
      <w:r w:rsidRPr="00E31FDD">
        <w:rPr>
          <w:color w:val="000000"/>
          <w:szCs w:val="28"/>
        </w:rPr>
        <w:t>is also a result of Executive Order 12862 that requires all government agencies to survey their customers.</w:t>
      </w:r>
    </w:p>
    <w:p w:rsidR="00E31FDD" w:rsidRPr="00E31FDD" w:rsidRDefault="00E31FDD" w:rsidP="00E31FDD">
      <w:pPr>
        <w:rPr>
          <w:color w:val="000000"/>
          <w:szCs w:val="28"/>
        </w:rPr>
      </w:pPr>
    </w:p>
    <w:p w:rsidR="00E31FDD" w:rsidRPr="00E31FDD" w:rsidRDefault="00E31FDD" w:rsidP="00E31FDD">
      <w:pPr>
        <w:rPr>
          <w:color w:val="000000"/>
          <w:szCs w:val="28"/>
        </w:rPr>
      </w:pPr>
      <w:r w:rsidRPr="00E31FDD">
        <w:rPr>
          <w:color w:val="000000"/>
          <w:szCs w:val="28"/>
        </w:rPr>
        <w:t xml:space="preserve">The results of CTAS are provided up the IRS chain of command to the Commissioner and are shared publicly, including publication in the annual IRS Data Book.  Additionally, these results have received significant public interest, with information from the survey </w:t>
      </w:r>
      <w:r>
        <w:rPr>
          <w:color w:val="000000"/>
          <w:szCs w:val="28"/>
        </w:rPr>
        <w:t xml:space="preserve">being </w:t>
      </w:r>
      <w:r w:rsidRPr="00E31FDD">
        <w:rPr>
          <w:color w:val="000000"/>
          <w:szCs w:val="28"/>
        </w:rPr>
        <w:t xml:space="preserve">cited </w:t>
      </w:r>
      <w:r>
        <w:rPr>
          <w:color w:val="000000"/>
          <w:szCs w:val="28"/>
        </w:rPr>
        <w:t xml:space="preserve">regularly </w:t>
      </w:r>
      <w:r w:rsidRPr="00E31FDD">
        <w:rPr>
          <w:color w:val="000000"/>
          <w:szCs w:val="28"/>
        </w:rPr>
        <w:t>in national publications</w:t>
      </w:r>
      <w:r>
        <w:rPr>
          <w:color w:val="000000"/>
          <w:szCs w:val="28"/>
        </w:rPr>
        <w:t>.</w:t>
      </w:r>
      <w:r>
        <w:rPr>
          <w:rStyle w:val="FootnoteReference"/>
          <w:color w:val="000000"/>
          <w:szCs w:val="28"/>
        </w:rPr>
        <w:footnoteReference w:id="2"/>
      </w:r>
    </w:p>
    <w:p w:rsidR="00E31FDD" w:rsidRDefault="00E31FDD" w:rsidP="00E31FDD">
      <w:pPr>
        <w:rPr>
          <w:color w:val="000000"/>
          <w:szCs w:val="28"/>
        </w:rPr>
      </w:pPr>
    </w:p>
    <w:p w:rsidR="00E31FDD" w:rsidRDefault="00E31FDD" w:rsidP="00E31FDD">
      <w:pPr>
        <w:rPr>
          <w:color w:val="000000"/>
          <w:szCs w:val="28"/>
        </w:rPr>
      </w:pPr>
      <w:r>
        <w:rPr>
          <w:color w:val="000000"/>
          <w:szCs w:val="28"/>
        </w:rPr>
        <w:t xml:space="preserve">In light of this public disclosure of the survey results, OMB determined in August 2019 that it would be more </w:t>
      </w:r>
      <w:r w:rsidR="002B7A40">
        <w:rPr>
          <w:color w:val="000000"/>
          <w:szCs w:val="28"/>
        </w:rPr>
        <w:t>compliant with the requirements of the Paperwork Reduction Act for this survey not to be approved by OMB under an umbrella generic ICR, but rather for it to receive its own control number.</w:t>
      </w:r>
      <w:r>
        <w:rPr>
          <w:color w:val="000000"/>
          <w:szCs w:val="28"/>
        </w:rPr>
        <w:t xml:space="preserve"> Previously, this survey had been conducted under OMB Control Number 1545-1432, which is a generic ICR for customer feedback. </w:t>
      </w:r>
      <w:r w:rsidR="002B7A40">
        <w:rPr>
          <w:color w:val="000000"/>
          <w:szCs w:val="28"/>
        </w:rPr>
        <w:t xml:space="preserve">Given the timeframe, it isn’t possible for the IRS </w:t>
      </w:r>
      <w:r>
        <w:rPr>
          <w:color w:val="000000"/>
          <w:szCs w:val="28"/>
        </w:rPr>
        <w:t xml:space="preserve">to </w:t>
      </w:r>
      <w:r w:rsidR="007E6AED">
        <w:rPr>
          <w:color w:val="000000"/>
          <w:szCs w:val="28"/>
        </w:rPr>
        <w:t xml:space="preserve">follow normal clearance procedures </w:t>
      </w:r>
      <w:r w:rsidR="002B7A40">
        <w:rPr>
          <w:color w:val="000000"/>
          <w:szCs w:val="28"/>
        </w:rPr>
        <w:t xml:space="preserve">to request a new OMB control number </w:t>
      </w:r>
      <w:r>
        <w:rPr>
          <w:color w:val="000000"/>
          <w:szCs w:val="28"/>
        </w:rPr>
        <w:t xml:space="preserve">given the </w:t>
      </w:r>
      <w:r w:rsidR="007E6AED">
        <w:rPr>
          <w:color w:val="000000"/>
          <w:szCs w:val="28"/>
        </w:rPr>
        <w:t>l</w:t>
      </w:r>
      <w:r>
        <w:rPr>
          <w:color w:val="000000"/>
          <w:szCs w:val="28"/>
        </w:rPr>
        <w:t>ong-established schedule</w:t>
      </w:r>
      <w:r w:rsidR="007E6AED">
        <w:rPr>
          <w:color w:val="000000"/>
          <w:szCs w:val="28"/>
        </w:rPr>
        <w:t xml:space="preserve"> and preparations that have been made for the survey to be conducted in August and September 2019. As such, IRS requests OMB </w:t>
      </w:r>
      <w:r w:rsidR="002B7A40">
        <w:rPr>
          <w:color w:val="000000"/>
          <w:szCs w:val="28"/>
        </w:rPr>
        <w:t>emergency approval of</w:t>
      </w:r>
      <w:r w:rsidR="007E6AED">
        <w:rPr>
          <w:color w:val="000000"/>
          <w:szCs w:val="28"/>
        </w:rPr>
        <w:t xml:space="preserve"> this </w:t>
      </w:r>
      <w:r w:rsidR="002B7A40">
        <w:rPr>
          <w:color w:val="000000"/>
          <w:szCs w:val="28"/>
        </w:rPr>
        <w:t>new ICR by August 16</w:t>
      </w:r>
      <w:r w:rsidR="007E6AED">
        <w:rPr>
          <w:color w:val="000000"/>
          <w:szCs w:val="28"/>
        </w:rPr>
        <w:t>, 2019.</w:t>
      </w:r>
    </w:p>
    <w:p w:rsidR="00E31FDD" w:rsidRPr="00E31FDD" w:rsidRDefault="00E31FDD" w:rsidP="00E31FDD">
      <w:pPr>
        <w:rPr>
          <w:color w:val="000000"/>
          <w:szCs w:val="28"/>
        </w:rPr>
      </w:pPr>
    </w:p>
    <w:p w:rsidR="00E31FDD" w:rsidRDefault="002B7A40" w:rsidP="00E31FDD">
      <w:pPr>
        <w:rPr>
          <w:color w:val="000000"/>
          <w:szCs w:val="28"/>
        </w:rPr>
      </w:pPr>
      <w:r>
        <w:rPr>
          <w:color w:val="000000"/>
          <w:szCs w:val="28"/>
        </w:rPr>
        <w:t>Absent emergency approval</w:t>
      </w:r>
      <w:r w:rsidR="007E6AED">
        <w:rPr>
          <w:color w:val="000000"/>
          <w:szCs w:val="28"/>
        </w:rPr>
        <w:t xml:space="preserve">, </w:t>
      </w:r>
      <w:r>
        <w:rPr>
          <w:color w:val="000000"/>
          <w:szCs w:val="28"/>
        </w:rPr>
        <w:t xml:space="preserve">the IRS would be unable </w:t>
      </w:r>
      <w:r w:rsidR="00E31FDD" w:rsidRPr="00E31FDD">
        <w:rPr>
          <w:color w:val="000000"/>
          <w:szCs w:val="28"/>
        </w:rPr>
        <w:t>to field</w:t>
      </w:r>
      <w:r w:rsidR="00E31FDD">
        <w:rPr>
          <w:color w:val="000000"/>
          <w:szCs w:val="28"/>
        </w:rPr>
        <w:t xml:space="preserve"> this survey in August 2019</w:t>
      </w:r>
      <w:r w:rsidR="00247F29">
        <w:rPr>
          <w:color w:val="000000"/>
          <w:szCs w:val="28"/>
        </w:rPr>
        <w:t>, which</w:t>
      </w:r>
      <w:r w:rsidR="00E31FDD">
        <w:rPr>
          <w:color w:val="000000"/>
          <w:szCs w:val="28"/>
        </w:rPr>
        <w:t xml:space="preserve"> would</w:t>
      </w:r>
      <w:r w:rsidR="00E31FDD" w:rsidRPr="00E31FDD">
        <w:rPr>
          <w:color w:val="000000"/>
          <w:szCs w:val="28"/>
        </w:rPr>
        <w:t xml:space="preserve"> create a break in the historical trend of data the IRS has been collecting for 20 years, will prevent the IRS from meeting its mandates required under the RRA, and will be a noticeable absence to the public which has grown accustomed to having this information available each year.</w:t>
      </w:r>
    </w:p>
    <w:p w:rsidR="00E31FDD" w:rsidRPr="00E31FDD" w:rsidRDefault="00E31FDD" w:rsidP="00E31FDD">
      <w:pPr>
        <w:rPr>
          <w:color w:val="000000"/>
          <w:szCs w:val="28"/>
        </w:rPr>
      </w:pPr>
    </w:p>
    <w:p w:rsidR="00E31FDD" w:rsidRPr="00E31FDD" w:rsidRDefault="00E31FDD" w:rsidP="00E31FDD">
      <w:pPr>
        <w:rPr>
          <w:color w:val="000000"/>
          <w:szCs w:val="28"/>
        </w:rPr>
      </w:pPr>
    </w:p>
    <w:p w:rsidR="004613B7" w:rsidRPr="00331B48" w:rsidRDefault="004613B7" w:rsidP="006D0E97">
      <w:pPr>
        <w:rPr>
          <w:color w:val="000000"/>
        </w:rPr>
      </w:pPr>
    </w:p>
    <w:p w:rsidR="004613B7" w:rsidRPr="00331B48" w:rsidRDefault="004613B7" w:rsidP="006D0E97">
      <w:pPr>
        <w:pStyle w:val="ListParagraph"/>
        <w:numPr>
          <w:ilvl w:val="0"/>
          <w:numId w:val="19"/>
        </w:numPr>
        <w:ind w:left="0"/>
        <w:rPr>
          <w:b/>
          <w:color w:val="000000"/>
        </w:rPr>
      </w:pPr>
      <w:r w:rsidRPr="00331B48">
        <w:rPr>
          <w:b/>
          <w:color w:val="000000"/>
        </w:rPr>
        <w:t>JUSTIFICATION</w:t>
      </w:r>
    </w:p>
    <w:p w:rsidR="004613B7" w:rsidRPr="00854E19" w:rsidRDefault="004613B7" w:rsidP="006D0E97">
      <w:pPr>
        <w:pStyle w:val="ListParagraph"/>
        <w:ind w:left="0"/>
        <w:rPr>
          <w:b/>
          <w:color w:val="000000"/>
        </w:rPr>
      </w:pPr>
    </w:p>
    <w:p w:rsidR="004613B7" w:rsidRPr="00854E19" w:rsidRDefault="004613B7" w:rsidP="006063E3">
      <w:pPr>
        <w:pStyle w:val="ListParagraph"/>
        <w:numPr>
          <w:ilvl w:val="0"/>
          <w:numId w:val="20"/>
        </w:numPr>
        <w:rPr>
          <w:b/>
          <w:color w:val="000000"/>
        </w:rPr>
      </w:pPr>
      <w:r w:rsidRPr="00854E19">
        <w:rPr>
          <w:b/>
          <w:color w:val="000000"/>
        </w:rPr>
        <w:t xml:space="preserve">Circumstances Making the Collection of Information Necessary </w:t>
      </w:r>
    </w:p>
    <w:p w:rsidR="00D11B6D" w:rsidRPr="00D11B6D" w:rsidRDefault="00D11B6D" w:rsidP="006063E3">
      <w:pPr>
        <w:autoSpaceDE w:val="0"/>
        <w:autoSpaceDN w:val="0"/>
        <w:adjustRightInd w:val="0"/>
        <w:ind w:left="360"/>
        <w:rPr>
          <w:color w:val="000000"/>
        </w:rPr>
      </w:pPr>
      <w:r w:rsidRPr="00D11B6D">
        <w:rPr>
          <w:color w:val="000000"/>
        </w:rPr>
        <w:lastRenderedPageBreak/>
        <w:t xml:space="preserve">The Internal Revenue Service (IRS) </w:t>
      </w:r>
      <w:r w:rsidR="00260863">
        <w:rPr>
          <w:color w:val="000000"/>
        </w:rPr>
        <w:t xml:space="preserve">conducts the Comprehensive Taxpayer Attitude Survey as </w:t>
      </w:r>
      <w:r w:rsidRPr="00D11B6D">
        <w:rPr>
          <w:color w:val="000000"/>
        </w:rPr>
        <w:t>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D11B6D" w:rsidRDefault="00D11B6D" w:rsidP="006063E3">
      <w:pPr>
        <w:ind w:left="360"/>
      </w:pPr>
    </w:p>
    <w:p w:rsidR="004613B7" w:rsidRDefault="00260863" w:rsidP="006063E3">
      <w:pPr>
        <w:ind w:left="360"/>
      </w:pPr>
      <w:r>
        <w:t xml:space="preserve">The IRS’ office of </w:t>
      </w:r>
      <w:r w:rsidR="00CE53B0">
        <w:t>R</w:t>
      </w:r>
      <w:r w:rsidR="00BF348E">
        <w:t xml:space="preserve">esearch </w:t>
      </w:r>
      <w:r w:rsidR="00BF246E">
        <w:t xml:space="preserve">Applied Analytics </w:t>
      </w:r>
      <w:r w:rsidR="00344A8F">
        <w:t xml:space="preserve">&amp; </w:t>
      </w:r>
      <w:r w:rsidR="00BF246E">
        <w:t>Statistics (R</w:t>
      </w:r>
      <w:r w:rsidR="00CE53B0">
        <w:t>AAS</w:t>
      </w:r>
      <w:r w:rsidR="00344A8F">
        <w:t>)</w:t>
      </w:r>
      <w:r w:rsidR="004613B7" w:rsidRPr="00D11B6D">
        <w:t xml:space="preserve"> </w:t>
      </w:r>
      <w:r w:rsidR="0010179F">
        <w:t>is sponsoring</w:t>
      </w:r>
      <w:r w:rsidR="0010179F" w:rsidRPr="00D11B6D">
        <w:t xml:space="preserve"> </w:t>
      </w:r>
      <w:r w:rsidR="004613B7" w:rsidRPr="00D11B6D">
        <w:t xml:space="preserve">this annual survey </w:t>
      </w:r>
      <w:r w:rsidR="0010179F">
        <w:t xml:space="preserve">(formerly conducted by the IRS Oversight Board) </w:t>
      </w:r>
      <w:r w:rsidR="004613B7" w:rsidRPr="00D11B6D">
        <w:t xml:space="preserve">with the objective of better </w:t>
      </w:r>
      <w:r w:rsidR="004613B7" w:rsidRPr="00D11B6D">
        <w:rPr>
          <w:rFonts w:cs="Arial"/>
        </w:rPr>
        <w:t xml:space="preserve">understanding </w:t>
      </w:r>
      <w:r w:rsidR="004613B7" w:rsidRPr="00D11B6D">
        <w:t xml:space="preserve">what influences taxpayers’ tax compliance, their opinions of the IRS, and their customer service </w:t>
      </w:r>
      <w:r w:rsidR="00DD462B" w:rsidRPr="00D11B6D">
        <w:t xml:space="preserve">preferences, </w:t>
      </w:r>
      <w:r>
        <w:t xml:space="preserve">as well as </w:t>
      </w:r>
      <w:r w:rsidR="004613B7" w:rsidRPr="00D11B6D">
        <w:t>how these taxpayer views change over time.</w:t>
      </w:r>
    </w:p>
    <w:p w:rsidR="00E31FDD" w:rsidRDefault="00E31FDD" w:rsidP="006063E3">
      <w:pPr>
        <w:ind w:left="360"/>
      </w:pPr>
    </w:p>
    <w:p w:rsidR="00E31FDD" w:rsidRPr="005416BB" w:rsidRDefault="00260863" w:rsidP="00E31FDD">
      <w:pPr>
        <w:ind w:left="405"/>
        <w:rPr>
          <w:rFonts w:cs="Arial"/>
        </w:rPr>
      </w:pPr>
      <w:r>
        <w:t xml:space="preserve">This survey has been conducted each year since 1999 and the </w:t>
      </w:r>
      <w:r w:rsidR="00E31FDD">
        <w:t xml:space="preserve">2019 survey is planned to run from </w:t>
      </w:r>
      <w:r w:rsidR="00E31FDD" w:rsidRPr="005416BB">
        <w:rPr>
          <w:rFonts w:cs="Arial"/>
        </w:rPr>
        <w:t>August 1</w:t>
      </w:r>
      <w:r w:rsidR="001859B4">
        <w:rPr>
          <w:rFonts w:cs="Arial"/>
        </w:rPr>
        <w:t>4</w:t>
      </w:r>
      <w:r w:rsidR="00E31FDD">
        <w:rPr>
          <w:rFonts w:cs="Arial"/>
        </w:rPr>
        <w:t>, 2019</w:t>
      </w:r>
      <w:r w:rsidR="00E31FDD" w:rsidRPr="005416BB">
        <w:rPr>
          <w:rFonts w:cs="Arial"/>
        </w:rPr>
        <w:t xml:space="preserve"> </w:t>
      </w:r>
      <w:r w:rsidR="00E31FDD">
        <w:rPr>
          <w:rFonts w:cs="Arial"/>
        </w:rPr>
        <w:t>through</w:t>
      </w:r>
      <w:r w:rsidR="00E31FDD" w:rsidRPr="005416BB">
        <w:rPr>
          <w:rFonts w:cs="Arial"/>
        </w:rPr>
        <w:t xml:space="preserve"> </w:t>
      </w:r>
      <w:r w:rsidR="00E31FDD">
        <w:rPr>
          <w:rFonts w:cs="Arial"/>
        </w:rPr>
        <w:t>September 30, 2019</w:t>
      </w:r>
      <w:r>
        <w:rPr>
          <w:rFonts w:cs="Arial"/>
        </w:rPr>
        <w:t>.</w:t>
      </w:r>
    </w:p>
    <w:p w:rsidR="00E31FDD" w:rsidRDefault="00E31FDD" w:rsidP="006063E3">
      <w:pPr>
        <w:ind w:left="360"/>
      </w:pPr>
    </w:p>
    <w:p w:rsidR="00D11B6D" w:rsidRDefault="00D11B6D" w:rsidP="006063E3">
      <w:pPr>
        <w:ind w:left="360"/>
      </w:pPr>
    </w:p>
    <w:p w:rsidR="004613B7" w:rsidRPr="00854E19" w:rsidRDefault="004613B7" w:rsidP="006063E3">
      <w:pPr>
        <w:pStyle w:val="ListParagraph"/>
        <w:numPr>
          <w:ilvl w:val="0"/>
          <w:numId w:val="20"/>
        </w:numPr>
        <w:rPr>
          <w:b/>
        </w:rPr>
      </w:pPr>
      <w:r w:rsidRPr="00854E19">
        <w:rPr>
          <w:b/>
        </w:rPr>
        <w:t xml:space="preserve">Purpose and Use of the Information Collection </w:t>
      </w:r>
    </w:p>
    <w:p w:rsidR="004613B7" w:rsidRDefault="004613B7" w:rsidP="006063E3">
      <w:pPr>
        <w:ind w:left="360"/>
      </w:pPr>
      <w:r w:rsidRPr="005416BB">
        <w:rPr>
          <w:snapToGrid w:val="0"/>
        </w:rPr>
        <w:t xml:space="preserve">The findings from this survey will </w:t>
      </w:r>
      <w:r w:rsidR="00480BD0">
        <w:rPr>
          <w:snapToGrid w:val="0"/>
        </w:rPr>
        <w:t xml:space="preserve">continue to </w:t>
      </w:r>
      <w:r w:rsidRPr="005416BB">
        <w:t xml:space="preserve">provide </w:t>
      </w:r>
      <w:r w:rsidR="00CE53B0">
        <w:t>RAAS</w:t>
      </w:r>
      <w:r w:rsidRPr="005416BB">
        <w:t xml:space="preserve"> </w:t>
      </w:r>
      <w:r w:rsidR="0010179F">
        <w:t xml:space="preserve">and IRS </w:t>
      </w:r>
      <w:r w:rsidRPr="005416BB">
        <w:t xml:space="preserve">with a </w:t>
      </w:r>
      <w:r w:rsidR="00BD7822">
        <w:t>clear and reliable</w:t>
      </w:r>
      <w:r w:rsidR="00BD7822" w:rsidRPr="005416BB">
        <w:t xml:space="preserve"> </w:t>
      </w:r>
      <w:r w:rsidRPr="005416BB">
        <w:t xml:space="preserve">taxpayer context that aids </w:t>
      </w:r>
      <w:r w:rsidR="0010179F">
        <w:t xml:space="preserve">the Service </w:t>
      </w:r>
      <w:r w:rsidRPr="005416BB">
        <w:t xml:space="preserve">in </w:t>
      </w:r>
      <w:r w:rsidR="0010179F">
        <w:t>its</w:t>
      </w:r>
      <w:r w:rsidR="0010179F" w:rsidRPr="005416BB">
        <w:t xml:space="preserve"> </w:t>
      </w:r>
      <w:r w:rsidRPr="005416BB">
        <w:t xml:space="preserve">review of the performance of current IRS taxpayer service and enforcement programs designed to improve voluntary compliance; and in </w:t>
      </w:r>
      <w:r w:rsidR="0010179F">
        <w:t>the Service’s</w:t>
      </w:r>
      <w:r w:rsidRPr="005416BB">
        <w:t xml:space="preserve"> proposals for strategic performance measures</w:t>
      </w:r>
      <w:r w:rsidR="0010179F">
        <w:t>.</w:t>
      </w:r>
      <w:r w:rsidR="00004E55">
        <w:t xml:space="preserve">  The data being tracked includes measures on public attitude regarding cheating on taxes, payment of their fair share of taxes, trust in the IRS to fairly enforce tax laws, and factors that influence taxpayers to honestly report and pay taxes, as well as evaluating a large range of services provided by the IRS.  The results of this survey allows the IRS to determine the impact of its programs on public perception, as well as determine which services are most valued by the public and which services should be enhanced or de-emphasized given the limited IRS budget.  This will directly impact the public by improving their opportunities and avenues for interaction with the IRS.  </w:t>
      </w:r>
      <w:r w:rsidR="00F51447">
        <w:t>For transparency</w:t>
      </w:r>
      <w:r w:rsidR="002C7BBA">
        <w:t xml:space="preserve">, select aggregate results are published in the annual IRS Data Book and a </w:t>
      </w:r>
      <w:r w:rsidR="00F51447">
        <w:t>more</w:t>
      </w:r>
      <w:r w:rsidR="00480BD0">
        <w:t xml:space="preserve"> </w:t>
      </w:r>
      <w:r w:rsidR="00F51447">
        <w:t>detailed</w:t>
      </w:r>
      <w:r w:rsidR="002C7BBA">
        <w:t xml:space="preserve"> report</w:t>
      </w:r>
      <w:r w:rsidR="00F51447">
        <w:t xml:space="preserve"> of survey result</w:t>
      </w:r>
      <w:r w:rsidR="002C7BBA">
        <w:t xml:space="preserve"> is released on the IRS website. </w:t>
      </w:r>
    </w:p>
    <w:p w:rsidR="00FB3312" w:rsidRDefault="00FB3312" w:rsidP="006063E3">
      <w:pPr>
        <w:ind w:left="360"/>
      </w:pP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Consideration Given to Information Technology  </w:t>
      </w:r>
    </w:p>
    <w:p w:rsidR="00170491" w:rsidRDefault="00170491" w:rsidP="006063E3">
      <w:pPr>
        <w:pStyle w:val="BodyTextFirstIndent"/>
        <w:spacing w:after="0"/>
        <w:ind w:left="360" w:firstLine="0"/>
      </w:pPr>
      <w:r>
        <w:t>In 201</w:t>
      </w:r>
      <w:r w:rsidR="007A2082">
        <w:t>8</w:t>
      </w:r>
      <w:r>
        <w:t xml:space="preserve">, in addition to using </w:t>
      </w:r>
      <w:r w:rsidR="008E37BA">
        <w:t xml:space="preserve">a </w:t>
      </w:r>
      <w:r w:rsidR="00722FE9">
        <w:t xml:space="preserve">combined </w:t>
      </w:r>
      <w:r>
        <w:t>landline and cell phone survey</w:t>
      </w:r>
      <w:r w:rsidR="00BD7822">
        <w:t xml:space="preserve"> of 1,000</w:t>
      </w:r>
      <w:r w:rsidR="00432BB7">
        <w:t xml:space="preserve"> individual</w:t>
      </w:r>
      <w:r w:rsidR="00BD7822">
        <w:t xml:space="preserve"> respondents</w:t>
      </w:r>
      <w:r w:rsidR="00E94CFF">
        <w:t xml:space="preserve">, </w:t>
      </w:r>
      <w:r w:rsidR="0010179F">
        <w:t xml:space="preserve">the IRS </w:t>
      </w:r>
      <w:r w:rsidR="00E94CFF">
        <w:t>conducted</w:t>
      </w:r>
      <w:r>
        <w:t xml:space="preserve"> </w:t>
      </w:r>
      <w:r w:rsidR="008E37BA">
        <w:t>a</w:t>
      </w:r>
      <w:r w:rsidR="00BD7822">
        <w:t xml:space="preserve"> concurrent</w:t>
      </w:r>
      <w:r w:rsidR="008E37BA">
        <w:t xml:space="preserve"> </w:t>
      </w:r>
      <w:r>
        <w:t>online survey</w:t>
      </w:r>
      <w:r w:rsidR="00BD7822">
        <w:t xml:space="preserve"> of 1,000 </w:t>
      </w:r>
      <w:r w:rsidR="00432BB7">
        <w:t xml:space="preserve">individual </w:t>
      </w:r>
      <w:r w:rsidR="00BD7822">
        <w:t>respondents</w:t>
      </w:r>
      <w:r w:rsidR="005A61BB">
        <w:t xml:space="preserve"> in </w:t>
      </w:r>
      <w:r>
        <w:t>hope</w:t>
      </w:r>
      <w:r w:rsidR="00E94CFF">
        <w:t>s</w:t>
      </w:r>
      <w:r>
        <w:t xml:space="preserve"> of transitioning to this less expensive option in the future.</w:t>
      </w:r>
      <w:r w:rsidR="00E94CFF">
        <w:t xml:space="preserve"> RAAS will </w:t>
      </w:r>
      <w:r w:rsidR="00480BD0">
        <w:t xml:space="preserve">use the same methodology again this year, running concurrent telephone and online </w:t>
      </w:r>
      <w:r w:rsidR="00F12A41">
        <w:t>surveys</w:t>
      </w:r>
      <w:r w:rsidR="00634A2C">
        <w:t>.</w:t>
      </w:r>
    </w:p>
    <w:p w:rsidR="00170491" w:rsidRDefault="00170491" w:rsidP="006063E3">
      <w:pPr>
        <w:pStyle w:val="BodyTextFirstIndent"/>
        <w:spacing w:after="0"/>
        <w:ind w:left="360" w:firstLine="0"/>
      </w:pPr>
    </w:p>
    <w:p w:rsidR="00170491" w:rsidRDefault="004613B7" w:rsidP="006063E3">
      <w:pPr>
        <w:pStyle w:val="BodyTextFirstIndent"/>
        <w:spacing w:after="0"/>
        <w:ind w:left="360" w:firstLine="0"/>
      </w:pPr>
      <w:r w:rsidRPr="005416BB">
        <w:t>All</w:t>
      </w:r>
      <w:r w:rsidR="00170491">
        <w:t xml:space="preserve"> phone</w:t>
      </w:r>
      <w:r w:rsidRPr="005416BB">
        <w:t xml:space="preserve"> interviews will be conducted using a Computer Assisted Telephone Interviewing (CATI) process. Interviewers will be professionally trained and continuously monitored and supervised. Telephone survey respondents, both male and female adults age 18 and older, </w:t>
      </w:r>
      <w:r w:rsidR="001F6360">
        <w:t>will</w:t>
      </w:r>
      <w:r w:rsidRPr="005416BB">
        <w:t xml:space="preserve"> be selected via a</w:t>
      </w:r>
      <w:r w:rsidR="007426AD">
        <w:t xml:space="preserve"> </w:t>
      </w:r>
      <w:r w:rsidR="00BD7822">
        <w:t xml:space="preserve">nationwide, dual frame blended </w:t>
      </w:r>
      <w:r w:rsidR="007426AD">
        <w:t>Ra</w:t>
      </w:r>
      <w:r w:rsidRPr="005416BB">
        <w:t>n</w:t>
      </w:r>
      <w:r w:rsidR="007426AD">
        <w:t>dom Digit Dialing (</w:t>
      </w:r>
      <w:r w:rsidRPr="005416BB">
        <w:t>RDD</w:t>
      </w:r>
      <w:r w:rsidR="007426AD">
        <w:t>)</w:t>
      </w:r>
      <w:r w:rsidRPr="005416BB">
        <w:t xml:space="preserve"> sample of all landline and cell phone telephone households in the continental United States. The RDD sampling system is computer</w:t>
      </w:r>
      <w:r w:rsidR="001F6360">
        <w:t>-</w:t>
      </w:r>
      <w:r w:rsidRPr="005416BB">
        <w:t xml:space="preserve">based and provides an equal probability of selection for every telephone household. The sample represents telephone </w:t>
      </w:r>
      <w:r w:rsidR="00776A9B" w:rsidRPr="005416BB">
        <w:t>hou</w:t>
      </w:r>
      <w:r w:rsidR="00776A9B">
        <w:t>se</w:t>
      </w:r>
      <w:r w:rsidR="00776A9B" w:rsidRPr="005416BB">
        <w:t>holds</w:t>
      </w:r>
      <w:r w:rsidRPr="005416BB">
        <w:t xml:space="preserve"> with both listed and unlisted phones in their proper proportions. </w:t>
      </w:r>
    </w:p>
    <w:p w:rsidR="008E37BA" w:rsidRDefault="008E37BA" w:rsidP="006063E3">
      <w:pPr>
        <w:pStyle w:val="BodyTextFirstIndent"/>
        <w:spacing w:after="0"/>
        <w:ind w:left="360" w:firstLine="0"/>
      </w:pPr>
    </w:p>
    <w:p w:rsidR="00170491" w:rsidRDefault="00170491" w:rsidP="006063E3">
      <w:pPr>
        <w:pStyle w:val="BodyTextFirstIndent"/>
        <w:spacing w:after="0"/>
        <w:ind w:left="360" w:firstLine="0"/>
      </w:pPr>
      <w:r>
        <w:t xml:space="preserve">All online interviews will be conducted using </w:t>
      </w:r>
      <w:r w:rsidR="005E3FA8">
        <w:t>an</w:t>
      </w:r>
      <w:r w:rsidR="008E37BA">
        <w:t xml:space="preserve"> online panel. </w:t>
      </w:r>
      <w:r w:rsidR="006E3869">
        <w:t xml:space="preserve">In advance, and totally independent of this </w:t>
      </w:r>
      <w:r w:rsidR="00D11B6D">
        <w:t>RAAS</w:t>
      </w:r>
      <w:r w:rsidR="006E3869">
        <w:t xml:space="preserve"> survey, participants have been recruited by the </w:t>
      </w:r>
      <w:r w:rsidR="005E3FA8">
        <w:t>vendor’s sub-</w:t>
      </w:r>
      <w:r w:rsidR="006E3869">
        <w:t xml:space="preserve">contractor and have voluntarily completed </w:t>
      </w:r>
      <w:r w:rsidR="008E37BA">
        <w:t>its</w:t>
      </w:r>
      <w:r w:rsidR="006E3869">
        <w:t xml:space="preserve"> online panel registration surveys and provided their e-mail addresses, names, and addresses to the contractor. </w:t>
      </w:r>
      <w:r w:rsidR="005E3FA8">
        <w:t>Later,</w:t>
      </w:r>
      <w:r w:rsidR="006E3869">
        <w:t xml:space="preserve"> </w:t>
      </w:r>
      <w:r w:rsidR="005E3FA8">
        <w:t>in</w:t>
      </w:r>
      <w:r w:rsidR="006E3869">
        <w:t xml:space="preserve"> August 201</w:t>
      </w:r>
      <w:r w:rsidR="005E3FA8">
        <w:t>9</w:t>
      </w:r>
      <w:r w:rsidR="00FD3705">
        <w:t xml:space="preserve">, </w:t>
      </w:r>
      <w:r w:rsidR="006E3869">
        <w:t xml:space="preserve">a </w:t>
      </w:r>
      <w:r w:rsidR="006E3869">
        <w:lastRenderedPageBreak/>
        <w:t xml:space="preserve">subset of these registrants will be asked by the </w:t>
      </w:r>
      <w:r w:rsidR="005E3FA8">
        <w:t>sub-</w:t>
      </w:r>
      <w:r w:rsidR="006E3869">
        <w:t xml:space="preserve">contractor to participate in </w:t>
      </w:r>
      <w:r w:rsidR="00CE53B0">
        <w:t>RAAS</w:t>
      </w:r>
      <w:r w:rsidR="00542DD1">
        <w:t>’</w:t>
      </w:r>
      <w:r w:rsidR="006E3869">
        <w:t xml:space="preserve"> survey. That subset of potential online survey participants </w:t>
      </w:r>
      <w:r w:rsidR="008E37BA">
        <w:t>will be</w:t>
      </w:r>
      <w:r w:rsidR="006E3869">
        <w:t xml:space="preserve"> selected via </w:t>
      </w:r>
      <w:r w:rsidR="00557BA6">
        <w:t xml:space="preserve">a </w:t>
      </w:r>
      <w:r w:rsidR="006E3869">
        <w:t>probability-based sampling methodology designed to provide a statistically representative sample of U.S. adults.</w:t>
      </w:r>
    </w:p>
    <w:p w:rsidR="007426AD" w:rsidRDefault="007426AD" w:rsidP="006063E3">
      <w:pPr>
        <w:pStyle w:val="BodyTextFirstIndent"/>
        <w:spacing w:after="0"/>
        <w:ind w:left="360" w:firstLine="0"/>
      </w:pPr>
    </w:p>
    <w:p w:rsidR="007426AD" w:rsidRPr="005416BB" w:rsidRDefault="007426AD" w:rsidP="006063E3">
      <w:pPr>
        <w:pStyle w:val="BodyTextFirstIndent"/>
        <w:spacing w:after="0"/>
        <w:ind w:left="360" w:firstLine="0"/>
      </w:pPr>
      <w:r w:rsidRPr="007426AD">
        <w:t xml:space="preserve">Fielding such a concurrent survey using an online panel and the same questions as those in the dual-frame RDD telephone survey will provide </w:t>
      </w:r>
      <w:r w:rsidR="00CE53B0">
        <w:t>RAAS</w:t>
      </w:r>
      <w:r w:rsidRPr="007426AD">
        <w:t xml:space="preserve"> valuable insight into a possible switch to a lower-cost online panel survey methodology for </w:t>
      </w:r>
      <w:r w:rsidR="0010179F">
        <w:t>this</w:t>
      </w:r>
      <w:r w:rsidR="0010179F" w:rsidRPr="007426AD">
        <w:t xml:space="preserve"> </w:t>
      </w:r>
      <w:r w:rsidRPr="007426AD">
        <w:t xml:space="preserve">annual survey in the future, while at the same time preserve the unique value of the historical time series data based on the RDD telephone survey methodology. Having comparative results from both survey methods will ensure </w:t>
      </w:r>
      <w:r w:rsidR="00CE53B0">
        <w:t>RAAS</w:t>
      </w:r>
      <w:r w:rsidRPr="007426AD">
        <w:t xml:space="preserve"> has a way to gauge any differences in the survey responses between </w:t>
      </w:r>
      <w:r w:rsidR="0010179F" w:rsidRPr="007426AD">
        <w:t>201</w:t>
      </w:r>
      <w:r w:rsidR="005E3FA8">
        <w:t>8</w:t>
      </w:r>
      <w:r w:rsidR="0010179F" w:rsidRPr="007426AD">
        <w:t xml:space="preserve"> </w:t>
      </w:r>
      <w:r w:rsidRPr="007426AD">
        <w:t xml:space="preserve">and </w:t>
      </w:r>
      <w:r w:rsidR="0010179F" w:rsidRPr="007426AD">
        <w:t>201</w:t>
      </w:r>
      <w:r w:rsidR="005E3FA8">
        <w:t>9</w:t>
      </w:r>
      <w:r w:rsidR="0010179F" w:rsidRPr="007426AD">
        <w:t xml:space="preserve"> </w:t>
      </w:r>
      <w:r w:rsidRPr="007426AD">
        <w:t>that are primarily attributable to the differing survey methodologies, versus those differences that reflect real changes in the respondents' views - providing a means for adjusting the historical time series data, if needed, so as to maintain the comparability/integrity of the prior historically recorded trends.</w:t>
      </w:r>
    </w:p>
    <w:p w:rsidR="009C2DC9" w:rsidRPr="005416BB" w:rsidRDefault="009C2DC9" w:rsidP="006063E3">
      <w:pPr>
        <w:ind w:left="360"/>
      </w:pPr>
    </w:p>
    <w:p w:rsidR="004613B7" w:rsidRPr="005416BB" w:rsidRDefault="004613B7" w:rsidP="006063E3">
      <w:pPr>
        <w:pStyle w:val="ListParagraph"/>
        <w:numPr>
          <w:ilvl w:val="0"/>
          <w:numId w:val="20"/>
        </w:numPr>
        <w:rPr>
          <w:b/>
        </w:rPr>
      </w:pPr>
      <w:r w:rsidRPr="005416BB">
        <w:rPr>
          <w:b/>
        </w:rPr>
        <w:t xml:space="preserve"> Duplication of Information  </w:t>
      </w:r>
    </w:p>
    <w:p w:rsidR="004613B7" w:rsidRPr="005416BB" w:rsidRDefault="004613B7" w:rsidP="006063E3">
      <w:pPr>
        <w:pStyle w:val="Heading1"/>
        <w:ind w:left="405"/>
        <w:rPr>
          <w:b w:val="0"/>
        </w:rPr>
      </w:pPr>
      <w:r w:rsidRPr="005416BB">
        <w:rPr>
          <w:b w:val="0"/>
        </w:rPr>
        <w:t xml:space="preserve">In conducting this research, </w:t>
      </w:r>
      <w:r w:rsidR="00CE53B0">
        <w:rPr>
          <w:b w:val="0"/>
        </w:rPr>
        <w:t>RAAS</w:t>
      </w:r>
      <w:r w:rsidRPr="005416BB">
        <w:rPr>
          <w:b w:val="0"/>
        </w:rPr>
        <w:t xml:space="preserve"> will coordinate closely with the </w:t>
      </w:r>
      <w:r w:rsidR="00FE2909">
        <w:rPr>
          <w:b w:val="0"/>
        </w:rPr>
        <w:t xml:space="preserve">rest of </w:t>
      </w:r>
      <w:r w:rsidRPr="005416BB">
        <w:rPr>
          <w:b w:val="0"/>
        </w:rPr>
        <w:t xml:space="preserve">IRS to ensure that the research is conducted in such a way that it will provide maximum benefit to sound tax administration. </w:t>
      </w:r>
      <w:r w:rsidR="00AC5736">
        <w:rPr>
          <w:b w:val="0"/>
        </w:rPr>
        <w:t>RAAS</w:t>
      </w:r>
      <w:r w:rsidRPr="005416BB">
        <w:rPr>
          <w:b w:val="0"/>
        </w:rPr>
        <w:t xml:space="preserve"> will assist in survey design. Additionally, information from past and ongoing </w:t>
      </w:r>
      <w:r w:rsidR="00D11B6D">
        <w:rPr>
          <w:b w:val="0"/>
        </w:rPr>
        <w:t>RAAS</w:t>
      </w:r>
      <w:r w:rsidRPr="005416BB">
        <w:rPr>
          <w:b w:val="0"/>
        </w:rPr>
        <w:t xml:space="preserve"> surveys, IRS research, and other research by non-profit organizations will be considered. No similar data are gathered or maintained by the Agency or are available from other sources known to </w:t>
      </w:r>
      <w:r w:rsidR="00D11B6D">
        <w:rPr>
          <w:b w:val="0"/>
        </w:rPr>
        <w:t>RAAS</w:t>
      </w:r>
      <w:r w:rsidRPr="005416BB">
        <w:rPr>
          <w:b w:val="0"/>
        </w:rPr>
        <w:t>.</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Reducing the Burden on Small Entities  </w:t>
      </w:r>
    </w:p>
    <w:p w:rsidR="00745852" w:rsidRDefault="004613B7" w:rsidP="006063E3">
      <w:pPr>
        <w:pStyle w:val="ListParagraph"/>
        <w:ind w:left="378" w:hanging="378"/>
        <w:rPr>
          <w:color w:val="000000"/>
        </w:rPr>
      </w:pPr>
      <w:r w:rsidRPr="005416BB">
        <w:rPr>
          <w:b/>
        </w:rPr>
        <w:t xml:space="preserve"> </w:t>
      </w:r>
      <w:r w:rsidRPr="005416BB">
        <w:rPr>
          <w:b/>
        </w:rPr>
        <w:tab/>
      </w:r>
      <w:r w:rsidR="003B4F66">
        <w:rPr>
          <w:color w:val="000000"/>
        </w:rPr>
        <w:t xml:space="preserve">This </w:t>
      </w:r>
      <w:r w:rsidR="003B4F66" w:rsidRPr="003B4F66">
        <w:t xml:space="preserve">survey </w:t>
      </w:r>
      <w:r w:rsidR="00723F88">
        <w:t xml:space="preserve">seeks opinions from </w:t>
      </w:r>
      <w:r w:rsidR="00FC24FD" w:rsidRPr="003B4F66">
        <w:t>individuals and</w:t>
      </w:r>
      <w:r w:rsidR="00723F88">
        <w:t xml:space="preserve"> does </w:t>
      </w:r>
      <w:r w:rsidR="003B4F66" w:rsidRPr="003B4F66">
        <w:t xml:space="preserve">not </w:t>
      </w:r>
      <w:r w:rsidR="00723F88">
        <w:t xml:space="preserve">impose any burden on </w:t>
      </w:r>
      <w:r w:rsidR="003B4F66" w:rsidRPr="003B4F66">
        <w:t xml:space="preserve">small </w:t>
      </w:r>
      <w:r w:rsidR="003B4F66">
        <w:rPr>
          <w:color w:val="000000"/>
        </w:rPr>
        <w:t>entities/businesses.</w:t>
      </w:r>
    </w:p>
    <w:p w:rsidR="003B4F66" w:rsidRPr="005416BB" w:rsidRDefault="003B4F66" w:rsidP="006063E3">
      <w:pPr>
        <w:pStyle w:val="ListParagraph"/>
        <w:ind w:left="378" w:hanging="378"/>
      </w:pPr>
    </w:p>
    <w:p w:rsidR="004613B7" w:rsidRPr="005416BB" w:rsidRDefault="004613B7" w:rsidP="006063E3">
      <w:pPr>
        <w:pStyle w:val="ListParagraph"/>
        <w:numPr>
          <w:ilvl w:val="0"/>
          <w:numId w:val="20"/>
        </w:numPr>
        <w:rPr>
          <w:b/>
        </w:rPr>
      </w:pPr>
      <w:r w:rsidRPr="005416BB">
        <w:rPr>
          <w:b/>
        </w:rPr>
        <w:t>Consequences of Not Conducting Collection</w:t>
      </w:r>
    </w:p>
    <w:p w:rsidR="00FE2909" w:rsidRDefault="00D11B6D" w:rsidP="006063E3">
      <w:pPr>
        <w:ind w:left="360"/>
      </w:pPr>
      <w:r>
        <w:t>RAAS</w:t>
      </w:r>
      <w:r w:rsidR="004613B7" w:rsidRPr="005416BB">
        <w:t xml:space="preserve"> would no longer be able to get critical input needed to provide a </w:t>
      </w:r>
      <w:r w:rsidR="00BD7822">
        <w:t>clear and reliable</w:t>
      </w:r>
      <w:r w:rsidR="00BD7822" w:rsidRPr="005416BB">
        <w:t xml:space="preserve"> </w:t>
      </w:r>
      <w:r w:rsidR="004613B7" w:rsidRPr="005416BB">
        <w:t xml:space="preserve">taxpayer context that aids </w:t>
      </w:r>
      <w:r w:rsidR="00FE2909">
        <w:t>IRS</w:t>
      </w:r>
      <w:r w:rsidR="004613B7" w:rsidRPr="005416BB">
        <w:t xml:space="preserve"> in </w:t>
      </w:r>
      <w:r w:rsidR="005E3FA8">
        <w:t>its</w:t>
      </w:r>
      <w:r w:rsidR="004613B7" w:rsidRPr="005416BB">
        <w:t xml:space="preserve"> review of the performance of current IRS taxpayer service and enforcement programs designed to improve voluntary compliance</w:t>
      </w:r>
      <w:r w:rsidR="005416BB">
        <w:t>,</w:t>
      </w:r>
      <w:r w:rsidR="004613B7" w:rsidRPr="005416BB">
        <w:t xml:space="preserve"> and in </w:t>
      </w:r>
      <w:r w:rsidR="00CE53B0">
        <w:t>RAAS</w:t>
      </w:r>
      <w:r w:rsidR="004613B7" w:rsidRPr="005416BB">
        <w:t>’ proposals for strategic performance measures</w:t>
      </w:r>
      <w:r w:rsidR="00FE2909">
        <w:t>.</w:t>
      </w:r>
      <w:r w:rsidR="00F51447">
        <w:t xml:space="preserve"> In addition, the long time series of taxpayer attitudes on paying taxes and service channel preference would be broken.</w:t>
      </w:r>
    </w:p>
    <w:p w:rsidR="004613B7" w:rsidRPr="005416BB" w:rsidRDefault="004613B7" w:rsidP="006063E3">
      <w:pPr>
        <w:ind w:left="360"/>
      </w:pPr>
      <w:r w:rsidRPr="005416BB">
        <w:t xml:space="preserve">   </w:t>
      </w:r>
    </w:p>
    <w:p w:rsidR="004613B7" w:rsidRPr="005416BB" w:rsidRDefault="004613B7" w:rsidP="006063E3">
      <w:pPr>
        <w:pStyle w:val="ListParagraph"/>
        <w:numPr>
          <w:ilvl w:val="0"/>
          <w:numId w:val="20"/>
        </w:numPr>
        <w:rPr>
          <w:b/>
        </w:rPr>
      </w:pPr>
      <w:r w:rsidRPr="005416BB">
        <w:rPr>
          <w:b/>
        </w:rPr>
        <w:t xml:space="preserve">Special Circumstances  </w:t>
      </w:r>
    </w:p>
    <w:p w:rsidR="004613B7" w:rsidRPr="005416BB" w:rsidRDefault="004613B7" w:rsidP="006063E3">
      <w:pPr>
        <w:pStyle w:val="ListParagraph"/>
        <w:ind w:left="378"/>
      </w:pPr>
      <w:r w:rsidRPr="005416BB">
        <w:t xml:space="preserve">There are no special circumstances. </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Consultations with Persons Outside the Agency  </w:t>
      </w:r>
    </w:p>
    <w:p w:rsidR="00D03843" w:rsidRDefault="00D03843" w:rsidP="00D03843">
      <w:pPr>
        <w:ind w:left="360"/>
      </w:pPr>
      <w:r>
        <w:t xml:space="preserve">Since this request is being submitted under Emergency Clearance procedures, the agency has not had time to solicit public comments in advance, however a notice will be published in the </w:t>
      </w:r>
      <w:r w:rsidRPr="00DF74DF">
        <w:rPr>
          <w:i/>
        </w:rPr>
        <w:t>Federal Register</w:t>
      </w:r>
      <w:r>
        <w:t xml:space="preserve"> soliciting public comments on the submission during the period of OMB review. Further public comment on the information collection will be sought in the months following approval as well in accordance with the regular Paperwork Reduction Act procedures.</w:t>
      </w:r>
    </w:p>
    <w:p w:rsidR="00D03843" w:rsidRDefault="00D03843" w:rsidP="00D03843">
      <w:pPr>
        <w:ind w:left="360"/>
      </w:pPr>
    </w:p>
    <w:p w:rsidR="00D03843" w:rsidRDefault="00247F29" w:rsidP="00D03843">
      <w:pPr>
        <w:ind w:left="360"/>
      </w:pPr>
      <w:r>
        <w:t>Additionally</w:t>
      </w:r>
      <w:r w:rsidR="00D03843">
        <w:t xml:space="preserve">, this survey has been conducted for </w:t>
      </w:r>
      <w:r w:rsidR="00FC2A56">
        <w:t xml:space="preserve">nearly </w:t>
      </w:r>
      <w:r w:rsidR="00E31FDD">
        <w:t xml:space="preserve">two </w:t>
      </w:r>
      <w:r w:rsidR="00D03843">
        <w:t>decade</w:t>
      </w:r>
      <w:r w:rsidR="00E31FDD">
        <w:t>s</w:t>
      </w:r>
      <w:r w:rsidR="00D03843">
        <w:t xml:space="preserve"> under OMB Control Number 1545-1432, on which the IRS has rout</w:t>
      </w:r>
      <w:r w:rsidR="00DF74DF">
        <w:t>inely solicited public comment, and t</w:t>
      </w:r>
      <w:r w:rsidR="00D03843">
        <w:t xml:space="preserve">he burden estimates </w:t>
      </w:r>
      <w:r w:rsidR="00DF74DF">
        <w:t xml:space="preserve">here </w:t>
      </w:r>
      <w:r w:rsidR="00D03843">
        <w:t xml:space="preserve">are </w:t>
      </w:r>
      <w:r w:rsidR="00DF74DF">
        <w:t xml:space="preserve">well-established based on the bureau’s past experience. </w:t>
      </w:r>
    </w:p>
    <w:p w:rsidR="00D03843" w:rsidRDefault="00D03843" w:rsidP="00D03843">
      <w:pPr>
        <w:ind w:left="360"/>
      </w:pPr>
    </w:p>
    <w:p w:rsidR="004613B7" w:rsidRPr="005416BB" w:rsidRDefault="004613B7" w:rsidP="006063E3">
      <w:pPr>
        <w:pStyle w:val="ListParagraph"/>
        <w:numPr>
          <w:ilvl w:val="0"/>
          <w:numId w:val="20"/>
        </w:numPr>
        <w:rPr>
          <w:b/>
        </w:rPr>
      </w:pPr>
      <w:r w:rsidRPr="005416BB">
        <w:rPr>
          <w:b/>
        </w:rPr>
        <w:t>Payment or Gift</w:t>
      </w:r>
    </w:p>
    <w:p w:rsidR="004613B7" w:rsidRPr="00335D0F" w:rsidRDefault="004613B7" w:rsidP="006063E3">
      <w:pPr>
        <w:autoSpaceDE w:val="0"/>
        <w:autoSpaceDN w:val="0"/>
        <w:adjustRightInd w:val="0"/>
        <w:ind w:left="360"/>
      </w:pPr>
      <w:r w:rsidRPr="000D76DC">
        <w:t>N</w:t>
      </w:r>
      <w:r w:rsidR="001C2B8F">
        <w:t xml:space="preserve">o incentives are given </w:t>
      </w:r>
      <w:r w:rsidR="009C2DC9" w:rsidRPr="001F7350">
        <w:t>for phone surveys</w:t>
      </w:r>
      <w:r w:rsidR="00F51447">
        <w:t xml:space="preserve">. For </w:t>
      </w:r>
      <w:r w:rsidR="009C2DC9" w:rsidRPr="00335D0F">
        <w:t>online surveys</w:t>
      </w:r>
      <w:r w:rsidR="00F51447">
        <w:t>, o</w:t>
      </w:r>
      <w:r w:rsidR="00DE78EF">
        <w:t>ther incentive</w:t>
      </w:r>
      <w:r w:rsidR="005E3FA8">
        <w:t>s,</w:t>
      </w:r>
      <w:r w:rsidR="00DE78EF">
        <w:t xml:space="preserve"> such as</w:t>
      </w:r>
      <w:r w:rsidR="004C0282" w:rsidRPr="00335D0F">
        <w:t xml:space="preserve"> points</w:t>
      </w:r>
      <w:r w:rsidR="005E3FA8">
        <w:t>,</w:t>
      </w:r>
      <w:r w:rsidR="004C0282" w:rsidRPr="00335D0F">
        <w:t xml:space="preserve"> which can be</w:t>
      </w:r>
      <w:r w:rsidR="000030D3">
        <w:t xml:space="preserve"> </w:t>
      </w:r>
      <w:r w:rsidR="004C0282" w:rsidRPr="00335D0F">
        <w:t>redeemed for merchandise, gift cards, or other items</w:t>
      </w:r>
      <w:r w:rsidR="006429B9">
        <w:t xml:space="preserve"> may be offered</w:t>
      </w:r>
      <w:r w:rsidR="004C0282" w:rsidRPr="00335D0F">
        <w:t xml:space="preserve">. Points are based on </w:t>
      </w:r>
      <w:r w:rsidR="00723F88">
        <w:t xml:space="preserve">the </w:t>
      </w:r>
      <w:r w:rsidR="004C0282" w:rsidRPr="00335D0F">
        <w:t>length of surveys. The</w:t>
      </w:r>
      <w:r w:rsidR="008F0602">
        <w:t xml:space="preserve"> </w:t>
      </w:r>
      <w:r w:rsidR="004C0282" w:rsidRPr="00335D0F">
        <w:t xml:space="preserve">average redemption value for completion of </w:t>
      </w:r>
      <w:r w:rsidR="004C0282" w:rsidRPr="00FB4FEA">
        <w:t xml:space="preserve">a </w:t>
      </w:r>
      <w:r w:rsidR="006F64A2" w:rsidRPr="00FB4FEA">
        <w:t>2</w:t>
      </w:r>
      <w:r w:rsidR="00A667E7">
        <w:t>0</w:t>
      </w:r>
      <w:r w:rsidR="005E3FA8">
        <w:t>-</w:t>
      </w:r>
      <w:r w:rsidR="004C0282" w:rsidRPr="00FB4FEA">
        <w:t>minute</w:t>
      </w:r>
      <w:r w:rsidR="004C0282" w:rsidRPr="00335D0F">
        <w:t xml:space="preserve"> survey is $</w:t>
      </w:r>
      <w:r w:rsidR="006F64A2" w:rsidRPr="00335D0F">
        <w:t>1.</w:t>
      </w:r>
      <w:r w:rsidR="00DB01D4" w:rsidRPr="00335D0F">
        <w:t>38</w:t>
      </w:r>
      <w:r w:rsidR="004C0282" w:rsidRPr="00335D0F">
        <w:t>.</w:t>
      </w:r>
    </w:p>
    <w:p w:rsidR="00C82CAF" w:rsidRDefault="00C82CAF" w:rsidP="006063E3">
      <w:pPr>
        <w:ind w:left="360"/>
      </w:pPr>
    </w:p>
    <w:p w:rsidR="004613B7" w:rsidRPr="005416BB" w:rsidRDefault="004613B7" w:rsidP="006063E3">
      <w:pPr>
        <w:pStyle w:val="ListParagraph"/>
        <w:numPr>
          <w:ilvl w:val="0"/>
          <w:numId w:val="20"/>
        </w:numPr>
        <w:rPr>
          <w:b/>
        </w:rPr>
      </w:pPr>
      <w:r w:rsidRPr="005416BB">
        <w:rPr>
          <w:b/>
        </w:rPr>
        <w:t xml:space="preserve">Confidentiality   </w:t>
      </w:r>
    </w:p>
    <w:p w:rsidR="004613B7" w:rsidRPr="005416BB" w:rsidRDefault="004613B7" w:rsidP="006063E3">
      <w:pPr>
        <w:ind w:left="378"/>
      </w:pPr>
      <w:r w:rsidRPr="005416BB">
        <w:t xml:space="preserve">The survey will be conducted by random digit dialing, and no sensitive personally identifiable information will be compiled by the vendor as part of the database for this survey, nor passed along to </w:t>
      </w:r>
      <w:r w:rsidR="00D11B6D">
        <w:t>RAAS</w:t>
      </w:r>
      <w:r w:rsidRPr="005416BB">
        <w:t>. Additionally, the vendor will take steps that ensure</w:t>
      </w:r>
      <w:r w:rsidR="00723F88">
        <w:t xml:space="preserve"> that</w:t>
      </w:r>
      <w:r w:rsidRPr="005416BB">
        <w:t xml:space="preserve"> specific records cannot be tied to individual taxpayers. Research personnel will ensure that privacy and security of the results will be </w:t>
      </w:r>
      <w:r w:rsidR="00723F88">
        <w:t>maintained</w:t>
      </w:r>
      <w:r w:rsidR="00854E19">
        <w:t>, to</w:t>
      </w:r>
      <w:r w:rsidRPr="005416BB">
        <w:t xml:space="preserve"> </w:t>
      </w:r>
      <w:r w:rsidR="00B03907">
        <w:t>the extent</w:t>
      </w:r>
      <w:r w:rsidRPr="005416BB">
        <w:t xml:space="preserve"> allowed by law. Public and official access to the information will be tightly controlled. </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Sensitive Nature </w:t>
      </w:r>
    </w:p>
    <w:p w:rsidR="004613B7" w:rsidRPr="00BC6F4F" w:rsidRDefault="004613B7" w:rsidP="006063E3">
      <w:pPr>
        <w:ind w:left="360"/>
        <w:rPr>
          <w:b/>
        </w:rPr>
      </w:pPr>
      <w:r w:rsidRPr="005416BB">
        <w:t xml:space="preserve">This survey is not sensitive in nature and will include only standard demographic questions that </w:t>
      </w:r>
      <w:r w:rsidRPr="000D76DC">
        <w:t>cannot be tied to any individual. No sensi</w:t>
      </w:r>
      <w:r w:rsidRPr="001F7350">
        <w:t>tive personally identifiable information will be collected</w:t>
      </w:r>
      <w:r w:rsidR="00144BE6" w:rsidRPr="00335D0F">
        <w:t xml:space="preserve"> and shared with </w:t>
      </w:r>
      <w:r w:rsidR="00D11B6D">
        <w:t>RAAS</w:t>
      </w:r>
      <w:r w:rsidRPr="000D76DC">
        <w:t>.</w:t>
      </w:r>
    </w:p>
    <w:p w:rsidR="004613B7" w:rsidRPr="00BC6F4F" w:rsidRDefault="004613B7" w:rsidP="006063E3">
      <w:pPr>
        <w:ind w:left="360"/>
        <w:rPr>
          <w:b/>
        </w:rPr>
      </w:pPr>
    </w:p>
    <w:p w:rsidR="009E1C07" w:rsidRPr="00BC6F4F" w:rsidRDefault="004613B7" w:rsidP="006063E3">
      <w:pPr>
        <w:pStyle w:val="ListParagraph"/>
        <w:numPr>
          <w:ilvl w:val="0"/>
          <w:numId w:val="20"/>
        </w:numPr>
        <w:rPr>
          <w:b/>
        </w:rPr>
      </w:pPr>
      <w:r w:rsidRPr="00BC6F4F">
        <w:rPr>
          <w:b/>
        </w:rPr>
        <w:t xml:space="preserve">Burden of Information </w:t>
      </w:r>
    </w:p>
    <w:p w:rsidR="00723F88" w:rsidRDefault="00BC6F4F" w:rsidP="006063E3">
      <w:pPr>
        <w:ind w:left="360"/>
        <w:rPr>
          <w:color w:val="000000" w:themeColor="text1"/>
        </w:rPr>
      </w:pPr>
      <w:r w:rsidRPr="00BC6F4F">
        <w:t xml:space="preserve">The study will be conducted via concurrent telephone and online surveys. Our target number for completed surveys is 1,000 each for the two survey modes, for a total of 2, 000 interviews. It is estimated that more than 2,000 interviews will need to be conducted to </w:t>
      </w:r>
      <w:r w:rsidRPr="006C27E4">
        <w:rPr>
          <w:color w:val="000000" w:themeColor="text1"/>
        </w:rPr>
        <w:t>achieve this goal.</w:t>
      </w:r>
    </w:p>
    <w:p w:rsidR="00723F88" w:rsidRDefault="00723F88" w:rsidP="006063E3">
      <w:pPr>
        <w:ind w:left="360"/>
        <w:rPr>
          <w:color w:val="000000" w:themeColor="text1"/>
        </w:rPr>
      </w:pPr>
    </w:p>
    <w:p w:rsidR="00BC6F4F" w:rsidRPr="006C27E4" w:rsidRDefault="00BC6F4F" w:rsidP="006063E3">
      <w:pPr>
        <w:ind w:left="360"/>
        <w:rPr>
          <w:b/>
          <w:color w:val="000000" w:themeColor="text1"/>
        </w:rPr>
      </w:pPr>
      <w:r w:rsidRPr="006C27E4">
        <w:rPr>
          <w:color w:val="000000" w:themeColor="text1"/>
        </w:rPr>
        <w:t xml:space="preserve">With an estimated response rate of </w:t>
      </w:r>
      <w:r w:rsidR="001A0D9E">
        <w:rPr>
          <w:color w:val="000000" w:themeColor="text1"/>
        </w:rPr>
        <w:t>5</w:t>
      </w:r>
      <w:r w:rsidRPr="006C27E4">
        <w:rPr>
          <w:color w:val="000000" w:themeColor="text1"/>
        </w:rPr>
        <w:t xml:space="preserve">%, we anticipate </w:t>
      </w:r>
      <w:r w:rsidR="00723F88">
        <w:rPr>
          <w:color w:val="000000" w:themeColor="text1"/>
        </w:rPr>
        <w:t xml:space="preserve">screening </w:t>
      </w:r>
      <w:r w:rsidR="00F74507" w:rsidRPr="006C27E4">
        <w:rPr>
          <w:color w:val="000000" w:themeColor="text1"/>
        </w:rPr>
        <w:t>39,273</w:t>
      </w:r>
      <w:r w:rsidRPr="006C27E4">
        <w:rPr>
          <w:color w:val="000000" w:themeColor="text1"/>
        </w:rPr>
        <w:t xml:space="preserve"> </w:t>
      </w:r>
      <w:r w:rsidR="00723F88">
        <w:rPr>
          <w:color w:val="000000" w:themeColor="text1"/>
        </w:rPr>
        <w:t xml:space="preserve">respondents, who will take 30 seconds each to either accept or decline </w:t>
      </w:r>
      <w:r w:rsidR="00A65FD6">
        <w:rPr>
          <w:color w:val="000000" w:themeColor="text1"/>
        </w:rPr>
        <w:t>to participate</w:t>
      </w:r>
      <w:r w:rsidR="00723F88">
        <w:rPr>
          <w:color w:val="000000" w:themeColor="text1"/>
        </w:rPr>
        <w:t xml:space="preserve">. </w:t>
      </w:r>
      <w:r w:rsidR="00F74507" w:rsidRPr="006C27E4">
        <w:rPr>
          <w:color w:val="000000" w:themeColor="text1"/>
        </w:rPr>
        <w:t>2,04</w:t>
      </w:r>
      <w:r w:rsidR="00B37F57" w:rsidRPr="006C27E4">
        <w:rPr>
          <w:color w:val="000000" w:themeColor="text1"/>
        </w:rPr>
        <w:t>5</w:t>
      </w:r>
      <w:r w:rsidRPr="006C27E4">
        <w:rPr>
          <w:color w:val="000000" w:themeColor="text1"/>
        </w:rPr>
        <w:t xml:space="preserve"> </w:t>
      </w:r>
      <w:r w:rsidR="00A65FD6">
        <w:rPr>
          <w:color w:val="000000" w:themeColor="text1"/>
        </w:rPr>
        <w:t xml:space="preserve">respondents </w:t>
      </w:r>
      <w:r w:rsidRPr="006C27E4">
        <w:rPr>
          <w:color w:val="000000" w:themeColor="text1"/>
        </w:rPr>
        <w:t xml:space="preserve">will agree to participate in the </w:t>
      </w:r>
      <w:r w:rsidR="009E13B8" w:rsidRPr="006C27E4">
        <w:rPr>
          <w:color w:val="000000" w:themeColor="text1"/>
        </w:rPr>
        <w:t xml:space="preserve">survey, </w:t>
      </w:r>
      <w:r w:rsidR="00D36E48" w:rsidRPr="006C27E4">
        <w:rPr>
          <w:color w:val="000000" w:themeColor="text1"/>
        </w:rPr>
        <w:t>which</w:t>
      </w:r>
      <w:r w:rsidRPr="006C27E4">
        <w:rPr>
          <w:color w:val="000000" w:themeColor="text1"/>
        </w:rPr>
        <w:t xml:space="preserve"> represents the total number of interviews, including oversamples when quotas are met and those who only</w:t>
      </w:r>
      <w:r w:rsidR="0051132F" w:rsidRPr="006C27E4">
        <w:rPr>
          <w:color w:val="000000" w:themeColor="text1"/>
        </w:rPr>
        <w:t xml:space="preserve"> partially complete the survey.</w:t>
      </w:r>
      <w:r w:rsidRPr="006C27E4">
        <w:rPr>
          <w:color w:val="000000" w:themeColor="text1"/>
        </w:rPr>
        <w:t xml:space="preserve"> </w:t>
      </w:r>
      <w:r w:rsidR="00A65FD6">
        <w:rPr>
          <w:color w:val="000000" w:themeColor="text1"/>
        </w:rPr>
        <w:t>Their p</w:t>
      </w:r>
      <w:r w:rsidRPr="006C27E4">
        <w:rPr>
          <w:color w:val="000000" w:themeColor="text1"/>
        </w:rPr>
        <w:t xml:space="preserve">articipation time is 23 minutes </w:t>
      </w:r>
      <w:r w:rsidR="00A65FD6">
        <w:rPr>
          <w:color w:val="000000" w:themeColor="text1"/>
        </w:rPr>
        <w:t>per response</w:t>
      </w:r>
      <w:r w:rsidRPr="006C27E4">
        <w:rPr>
          <w:color w:val="000000" w:themeColor="text1"/>
        </w:rPr>
        <w:t xml:space="preserve">. </w:t>
      </w:r>
      <w:r w:rsidRPr="006C27E4">
        <w:rPr>
          <w:b/>
          <w:color w:val="000000" w:themeColor="text1"/>
        </w:rPr>
        <w:t xml:space="preserve">The total estimated burden for this survey is </w:t>
      </w:r>
      <w:r w:rsidR="006C27E4" w:rsidRPr="006C27E4">
        <w:rPr>
          <w:b/>
          <w:color w:val="000000" w:themeColor="text1"/>
        </w:rPr>
        <w:t>1,111</w:t>
      </w:r>
      <w:r w:rsidRPr="006C27E4">
        <w:rPr>
          <w:b/>
          <w:color w:val="000000" w:themeColor="text1"/>
        </w:rPr>
        <w:t xml:space="preserve"> burden hours.  </w:t>
      </w:r>
    </w:p>
    <w:p w:rsidR="00492140" w:rsidRPr="006C27E4" w:rsidRDefault="00492140" w:rsidP="006063E3">
      <w:pPr>
        <w:ind w:left="360"/>
        <w:rPr>
          <w:b/>
          <w:color w:val="000000" w:themeColor="text1"/>
          <w:sz w:val="16"/>
          <w:szCs w:val="16"/>
        </w:rPr>
      </w:pPr>
    </w:p>
    <w:p w:rsidR="00955240" w:rsidRDefault="00492140" w:rsidP="006063E3">
      <w:pPr>
        <w:ind w:left="360"/>
      </w:pPr>
      <w:r>
        <w:t xml:space="preserve">  </w:t>
      </w:r>
    </w:p>
    <w:tbl>
      <w:tblPr>
        <w:tblStyle w:val="TableGrid"/>
        <w:tblW w:w="10062" w:type="dxa"/>
        <w:tblInd w:w="360" w:type="dxa"/>
        <w:shd w:val="clear" w:color="auto" w:fill="FFFFFF" w:themeFill="background1"/>
        <w:tblLook w:val="04A0" w:firstRow="1" w:lastRow="0" w:firstColumn="1" w:lastColumn="0" w:noHBand="0" w:noVBand="1"/>
      </w:tblPr>
      <w:tblGrid>
        <w:gridCol w:w="2443"/>
        <w:gridCol w:w="1523"/>
        <w:gridCol w:w="1430"/>
        <w:gridCol w:w="1177"/>
        <w:gridCol w:w="990"/>
        <w:gridCol w:w="1069"/>
        <w:gridCol w:w="1430"/>
      </w:tblGrid>
      <w:tr w:rsidR="002B7A40" w:rsidTr="002B7A40">
        <w:tc>
          <w:tcPr>
            <w:tcW w:w="2443" w:type="dxa"/>
            <w:shd w:val="pct12" w:color="auto" w:fill="FFFFFF" w:themeFill="background1"/>
          </w:tcPr>
          <w:p w:rsidR="002B7A40" w:rsidRPr="001A0D9E" w:rsidRDefault="002B7A40" w:rsidP="006063E3">
            <w:pPr>
              <w:rPr>
                <w:b/>
              </w:rPr>
            </w:pPr>
            <w:r w:rsidRPr="001A0D9E">
              <w:rPr>
                <w:b/>
              </w:rPr>
              <w:t>Screened/Interviewed</w:t>
            </w:r>
          </w:p>
        </w:tc>
        <w:tc>
          <w:tcPr>
            <w:tcW w:w="1523" w:type="dxa"/>
            <w:shd w:val="pct12" w:color="auto" w:fill="FFFFFF" w:themeFill="background1"/>
          </w:tcPr>
          <w:p w:rsidR="002B7A40" w:rsidRPr="001A0D9E" w:rsidRDefault="002B7A40" w:rsidP="006063E3">
            <w:pPr>
              <w:rPr>
                <w:b/>
              </w:rPr>
            </w:pPr>
            <w:r w:rsidRPr="001A0D9E">
              <w:rPr>
                <w:b/>
              </w:rPr>
              <w:t xml:space="preserve">No. of Respondents (How many will respond to this collection?) </w:t>
            </w:r>
          </w:p>
        </w:tc>
        <w:tc>
          <w:tcPr>
            <w:tcW w:w="1430" w:type="dxa"/>
            <w:shd w:val="pct12" w:color="auto" w:fill="FFFFFF" w:themeFill="background1"/>
          </w:tcPr>
          <w:p w:rsidR="002B7A40" w:rsidRPr="001A0D9E" w:rsidRDefault="002B7A40" w:rsidP="006063E3">
            <w:pPr>
              <w:rPr>
                <w:b/>
              </w:rPr>
            </w:pPr>
            <w:r w:rsidRPr="001A0D9E">
              <w:rPr>
                <w:b/>
              </w:rPr>
              <w:t>No. of Responses per Respondent (How many times?)</w:t>
            </w:r>
          </w:p>
        </w:tc>
        <w:tc>
          <w:tcPr>
            <w:tcW w:w="1177" w:type="dxa"/>
            <w:shd w:val="pct12" w:color="auto" w:fill="FFFFFF" w:themeFill="background1"/>
          </w:tcPr>
          <w:p w:rsidR="002B7A40" w:rsidRPr="001A0D9E" w:rsidRDefault="002B7A40" w:rsidP="00A65FD6">
            <w:pPr>
              <w:rPr>
                <w:b/>
              </w:rPr>
            </w:pPr>
            <w:r w:rsidRPr="001A0D9E">
              <w:rPr>
                <w:b/>
              </w:rPr>
              <w:t xml:space="preserve">Avg. Burden per Response </w:t>
            </w:r>
          </w:p>
        </w:tc>
        <w:tc>
          <w:tcPr>
            <w:tcW w:w="990" w:type="dxa"/>
            <w:shd w:val="pct12" w:color="auto" w:fill="FFFFFF" w:themeFill="background1"/>
          </w:tcPr>
          <w:p w:rsidR="002B7A40" w:rsidRPr="001A0D9E" w:rsidRDefault="002B7A40" w:rsidP="006063E3">
            <w:pPr>
              <w:rPr>
                <w:b/>
              </w:rPr>
            </w:pPr>
            <w:r w:rsidRPr="001A0D9E">
              <w:rPr>
                <w:b/>
              </w:rPr>
              <w:t>Total Annual Burden (in hours)</w:t>
            </w:r>
          </w:p>
        </w:tc>
        <w:tc>
          <w:tcPr>
            <w:tcW w:w="1069" w:type="dxa"/>
            <w:shd w:val="pct12" w:color="auto" w:fill="FFFFFF" w:themeFill="background1"/>
          </w:tcPr>
          <w:p w:rsidR="002B7A40" w:rsidRPr="001A0D9E" w:rsidRDefault="002B7A40" w:rsidP="006063E3">
            <w:pPr>
              <w:rPr>
                <w:b/>
              </w:rPr>
            </w:pPr>
            <w:r w:rsidRPr="001A0D9E">
              <w:rPr>
                <w:b/>
              </w:rPr>
              <w:t>Average Hourly Wage Rate</w:t>
            </w:r>
          </w:p>
        </w:tc>
        <w:tc>
          <w:tcPr>
            <w:tcW w:w="1430" w:type="dxa"/>
            <w:shd w:val="pct12" w:color="auto" w:fill="FFFFFF" w:themeFill="background1"/>
          </w:tcPr>
          <w:p w:rsidR="002B7A40" w:rsidRPr="001A0D9E" w:rsidRDefault="002B7A40" w:rsidP="006063E3">
            <w:pPr>
              <w:rPr>
                <w:b/>
              </w:rPr>
            </w:pPr>
            <w:r w:rsidRPr="001A0D9E">
              <w:rPr>
                <w:b/>
              </w:rPr>
              <w:t>Total Annual Respondent Cost</w:t>
            </w:r>
            <w:r>
              <w:rPr>
                <w:b/>
              </w:rPr>
              <w:t>*</w:t>
            </w:r>
          </w:p>
        </w:tc>
      </w:tr>
      <w:tr w:rsidR="002B7A40" w:rsidTr="002B7A40">
        <w:tc>
          <w:tcPr>
            <w:tcW w:w="2443" w:type="dxa"/>
            <w:shd w:val="clear" w:color="auto" w:fill="FFFFFF" w:themeFill="background1"/>
          </w:tcPr>
          <w:p w:rsidR="002B7A40" w:rsidRDefault="002B7A40" w:rsidP="006063E3">
            <w:r>
              <w:t>Total Screened</w:t>
            </w:r>
          </w:p>
        </w:tc>
        <w:tc>
          <w:tcPr>
            <w:tcW w:w="1523" w:type="dxa"/>
            <w:shd w:val="clear" w:color="auto" w:fill="FFFFFF" w:themeFill="background1"/>
          </w:tcPr>
          <w:p w:rsidR="002B7A40" w:rsidRDefault="002B7A40" w:rsidP="006063E3">
            <w:r>
              <w:t>39,273</w:t>
            </w:r>
          </w:p>
        </w:tc>
        <w:tc>
          <w:tcPr>
            <w:tcW w:w="1430" w:type="dxa"/>
            <w:shd w:val="clear" w:color="auto" w:fill="FFFFFF" w:themeFill="background1"/>
          </w:tcPr>
          <w:p w:rsidR="002B7A40" w:rsidRDefault="002B7A40" w:rsidP="006063E3">
            <w:r>
              <w:t>1</w:t>
            </w:r>
          </w:p>
        </w:tc>
        <w:tc>
          <w:tcPr>
            <w:tcW w:w="1177" w:type="dxa"/>
            <w:shd w:val="clear" w:color="auto" w:fill="FFFFFF" w:themeFill="background1"/>
          </w:tcPr>
          <w:p w:rsidR="002B7A40" w:rsidRDefault="002B7A40" w:rsidP="00A65FD6">
            <w:r>
              <w:t>0.5 minutes</w:t>
            </w:r>
          </w:p>
        </w:tc>
        <w:tc>
          <w:tcPr>
            <w:tcW w:w="990" w:type="dxa"/>
            <w:shd w:val="clear" w:color="auto" w:fill="FFFFFF" w:themeFill="background1"/>
          </w:tcPr>
          <w:p w:rsidR="002B7A40" w:rsidRDefault="002B7A40" w:rsidP="006063E3">
            <w:r>
              <w:t>327</w:t>
            </w:r>
          </w:p>
        </w:tc>
        <w:tc>
          <w:tcPr>
            <w:tcW w:w="1069" w:type="dxa"/>
            <w:shd w:val="clear" w:color="auto" w:fill="FFFFFF" w:themeFill="background1"/>
          </w:tcPr>
          <w:p w:rsidR="002B7A40" w:rsidRDefault="002B7A40" w:rsidP="006063E3">
            <w:r>
              <w:t>$24.98</w:t>
            </w:r>
          </w:p>
        </w:tc>
        <w:tc>
          <w:tcPr>
            <w:tcW w:w="1430" w:type="dxa"/>
            <w:shd w:val="clear" w:color="auto" w:fill="FFFFFF" w:themeFill="background1"/>
          </w:tcPr>
          <w:p w:rsidR="002B7A40" w:rsidRDefault="002B7A40" w:rsidP="006063E3">
            <w:r>
              <w:t>$8,175</w:t>
            </w:r>
          </w:p>
        </w:tc>
      </w:tr>
      <w:tr w:rsidR="002B7A40" w:rsidTr="002B7A40">
        <w:tc>
          <w:tcPr>
            <w:tcW w:w="2443" w:type="dxa"/>
            <w:shd w:val="clear" w:color="auto" w:fill="FFFFFF" w:themeFill="background1"/>
          </w:tcPr>
          <w:p w:rsidR="002B7A40" w:rsidRDefault="002B7A40" w:rsidP="006063E3">
            <w:r>
              <w:t>Total Participants</w:t>
            </w:r>
          </w:p>
        </w:tc>
        <w:tc>
          <w:tcPr>
            <w:tcW w:w="1523" w:type="dxa"/>
            <w:shd w:val="clear" w:color="auto" w:fill="FFFFFF" w:themeFill="background1"/>
          </w:tcPr>
          <w:p w:rsidR="002B7A40" w:rsidRDefault="002B7A40" w:rsidP="006063E3">
            <w:r>
              <w:t>2,045 (Included in the above)</w:t>
            </w:r>
          </w:p>
        </w:tc>
        <w:tc>
          <w:tcPr>
            <w:tcW w:w="1430" w:type="dxa"/>
            <w:shd w:val="clear" w:color="auto" w:fill="FFFFFF" w:themeFill="background1"/>
          </w:tcPr>
          <w:p w:rsidR="002B7A40" w:rsidRDefault="002B7A40" w:rsidP="006063E3">
            <w:r>
              <w:t>1</w:t>
            </w:r>
          </w:p>
        </w:tc>
        <w:tc>
          <w:tcPr>
            <w:tcW w:w="1177" w:type="dxa"/>
            <w:shd w:val="clear" w:color="auto" w:fill="FFFFFF" w:themeFill="background1"/>
          </w:tcPr>
          <w:p w:rsidR="002B7A40" w:rsidRDefault="002B7A40" w:rsidP="006063E3">
            <w:r>
              <w:t>23 minutes</w:t>
            </w:r>
          </w:p>
        </w:tc>
        <w:tc>
          <w:tcPr>
            <w:tcW w:w="990" w:type="dxa"/>
            <w:shd w:val="clear" w:color="auto" w:fill="FFFFFF" w:themeFill="background1"/>
          </w:tcPr>
          <w:p w:rsidR="002B7A40" w:rsidRDefault="002B7A40" w:rsidP="006063E3">
            <w:r>
              <w:t>784</w:t>
            </w:r>
          </w:p>
        </w:tc>
        <w:tc>
          <w:tcPr>
            <w:tcW w:w="1069" w:type="dxa"/>
            <w:shd w:val="clear" w:color="auto" w:fill="FFFFFF" w:themeFill="background1"/>
          </w:tcPr>
          <w:p w:rsidR="002B7A40" w:rsidRDefault="002B7A40" w:rsidP="006063E3">
            <w:r>
              <w:t>$24.98</w:t>
            </w:r>
          </w:p>
        </w:tc>
        <w:tc>
          <w:tcPr>
            <w:tcW w:w="1430" w:type="dxa"/>
            <w:shd w:val="clear" w:color="auto" w:fill="FFFFFF" w:themeFill="background1"/>
          </w:tcPr>
          <w:p w:rsidR="002B7A40" w:rsidRDefault="002B7A40" w:rsidP="006063E3">
            <w:r>
              <w:t>$19,582</w:t>
            </w:r>
          </w:p>
        </w:tc>
      </w:tr>
      <w:tr w:rsidR="002B7A40" w:rsidTr="002B7A40">
        <w:tc>
          <w:tcPr>
            <w:tcW w:w="2443" w:type="dxa"/>
            <w:shd w:val="clear" w:color="auto" w:fill="FFFFFF" w:themeFill="background1"/>
          </w:tcPr>
          <w:p w:rsidR="002B7A40" w:rsidRPr="001A0D9E" w:rsidRDefault="002B7A40" w:rsidP="006063E3">
            <w:pPr>
              <w:rPr>
                <w:b/>
              </w:rPr>
            </w:pPr>
            <w:r w:rsidRPr="001A0D9E">
              <w:rPr>
                <w:b/>
              </w:rPr>
              <w:t>Total</w:t>
            </w:r>
          </w:p>
        </w:tc>
        <w:tc>
          <w:tcPr>
            <w:tcW w:w="1523" w:type="dxa"/>
            <w:shd w:val="clear" w:color="auto" w:fill="FFFFFF" w:themeFill="background1"/>
          </w:tcPr>
          <w:p w:rsidR="002B7A40" w:rsidRPr="001A0D9E" w:rsidRDefault="002B7A40" w:rsidP="006063E3">
            <w:pPr>
              <w:rPr>
                <w:b/>
              </w:rPr>
            </w:pPr>
            <w:r>
              <w:rPr>
                <w:b/>
              </w:rPr>
              <w:t>39,273</w:t>
            </w:r>
          </w:p>
        </w:tc>
        <w:tc>
          <w:tcPr>
            <w:tcW w:w="1430" w:type="dxa"/>
            <w:shd w:val="clear" w:color="auto" w:fill="FFFFFF" w:themeFill="background1"/>
          </w:tcPr>
          <w:p w:rsidR="002B7A40" w:rsidRPr="001A0D9E" w:rsidRDefault="002B7A40" w:rsidP="006063E3">
            <w:pPr>
              <w:rPr>
                <w:b/>
              </w:rPr>
            </w:pPr>
          </w:p>
        </w:tc>
        <w:tc>
          <w:tcPr>
            <w:tcW w:w="1177" w:type="dxa"/>
            <w:shd w:val="clear" w:color="auto" w:fill="FFFFFF" w:themeFill="background1"/>
          </w:tcPr>
          <w:p w:rsidR="002B7A40" w:rsidRPr="001A0D9E" w:rsidRDefault="002B7A40" w:rsidP="006063E3">
            <w:pPr>
              <w:rPr>
                <w:b/>
              </w:rPr>
            </w:pPr>
          </w:p>
        </w:tc>
        <w:tc>
          <w:tcPr>
            <w:tcW w:w="990" w:type="dxa"/>
            <w:shd w:val="clear" w:color="auto" w:fill="FFFFFF" w:themeFill="background1"/>
          </w:tcPr>
          <w:p w:rsidR="002B7A40" w:rsidRPr="001A0D9E" w:rsidRDefault="002B7A40" w:rsidP="006063E3">
            <w:pPr>
              <w:rPr>
                <w:b/>
              </w:rPr>
            </w:pPr>
            <w:r>
              <w:rPr>
                <w:b/>
              </w:rPr>
              <w:t>1,111</w:t>
            </w:r>
          </w:p>
        </w:tc>
        <w:tc>
          <w:tcPr>
            <w:tcW w:w="1069" w:type="dxa"/>
            <w:shd w:val="clear" w:color="auto" w:fill="FFFFFF" w:themeFill="background1"/>
          </w:tcPr>
          <w:p w:rsidR="002B7A40" w:rsidRPr="001A0D9E" w:rsidRDefault="002B7A40" w:rsidP="006063E3">
            <w:pPr>
              <w:rPr>
                <w:b/>
              </w:rPr>
            </w:pPr>
          </w:p>
        </w:tc>
        <w:tc>
          <w:tcPr>
            <w:tcW w:w="1430" w:type="dxa"/>
            <w:shd w:val="clear" w:color="auto" w:fill="FFFFFF" w:themeFill="background1"/>
          </w:tcPr>
          <w:p w:rsidR="002B7A40" w:rsidRPr="001A0D9E" w:rsidRDefault="002B7A40" w:rsidP="006063E3">
            <w:pPr>
              <w:rPr>
                <w:b/>
              </w:rPr>
            </w:pPr>
            <w:r>
              <w:rPr>
                <w:b/>
              </w:rPr>
              <w:t>$27,758</w:t>
            </w:r>
          </w:p>
        </w:tc>
      </w:tr>
    </w:tbl>
    <w:p w:rsidR="00D2703D" w:rsidRPr="001A0D9E" w:rsidRDefault="00D2703D" w:rsidP="006063E3">
      <w:pPr>
        <w:ind w:left="360"/>
        <w:rPr>
          <w:sz w:val="20"/>
          <w:szCs w:val="20"/>
        </w:rPr>
      </w:pPr>
      <w:r w:rsidRPr="001A0D9E">
        <w:rPr>
          <w:sz w:val="20"/>
          <w:szCs w:val="20"/>
        </w:rPr>
        <w:t xml:space="preserve">*Totals may not appear to add </w:t>
      </w:r>
      <w:r>
        <w:rPr>
          <w:sz w:val="20"/>
          <w:szCs w:val="20"/>
        </w:rPr>
        <w:t xml:space="preserve">correctly </w:t>
      </w:r>
      <w:r w:rsidRPr="001A0D9E">
        <w:rPr>
          <w:sz w:val="20"/>
          <w:szCs w:val="20"/>
        </w:rPr>
        <w:t>due to rounding.</w:t>
      </w:r>
      <w:r w:rsidR="00492140" w:rsidRPr="001A0D9E">
        <w:rPr>
          <w:sz w:val="20"/>
          <w:szCs w:val="20"/>
        </w:rPr>
        <w:t xml:space="preserve">  </w:t>
      </w:r>
    </w:p>
    <w:p w:rsidR="004613B7" w:rsidRPr="005416BB" w:rsidRDefault="00492140" w:rsidP="006063E3">
      <w:pPr>
        <w:ind w:left="360"/>
        <w:rPr>
          <w:b/>
        </w:rPr>
      </w:pPr>
      <w:r>
        <w:t xml:space="preserve">   </w:t>
      </w:r>
      <w:r w:rsidR="004613B7" w:rsidRPr="005416BB">
        <w:t xml:space="preserve">                                                                                                </w:t>
      </w:r>
    </w:p>
    <w:p w:rsidR="004613B7" w:rsidRPr="005416BB" w:rsidRDefault="004613B7" w:rsidP="006063E3">
      <w:pPr>
        <w:pStyle w:val="ListParagraph"/>
        <w:numPr>
          <w:ilvl w:val="0"/>
          <w:numId w:val="20"/>
        </w:numPr>
        <w:rPr>
          <w:b/>
        </w:rPr>
      </w:pPr>
      <w:r w:rsidRPr="005416BB">
        <w:rPr>
          <w:b/>
        </w:rPr>
        <w:t>Costs to Respondents</w:t>
      </w:r>
    </w:p>
    <w:p w:rsidR="004613B7" w:rsidRDefault="0091099E" w:rsidP="006063E3">
      <w:pPr>
        <w:ind w:left="360"/>
        <w:rPr>
          <w:rFonts w:ascii="Arial" w:hAnsi="Arial" w:cs="Arial"/>
          <w:color w:val="000000"/>
          <w:sz w:val="20"/>
          <w:szCs w:val="20"/>
        </w:rPr>
      </w:pPr>
      <w:r>
        <w:rPr>
          <w:color w:val="000000"/>
        </w:rPr>
        <w:t xml:space="preserve">There </w:t>
      </w:r>
      <w:r w:rsidR="00DF74DF">
        <w:rPr>
          <w:color w:val="000000"/>
        </w:rPr>
        <w:t>are</w:t>
      </w:r>
      <w:r>
        <w:rPr>
          <w:color w:val="000000"/>
        </w:rPr>
        <w:t xml:space="preserve"> no </w:t>
      </w:r>
      <w:r w:rsidR="00DF74DF">
        <w:rPr>
          <w:color w:val="000000"/>
        </w:rPr>
        <w:t xml:space="preserve">out-of-pocket </w:t>
      </w:r>
      <w:r>
        <w:rPr>
          <w:color w:val="000000"/>
        </w:rPr>
        <w:t>cost</w:t>
      </w:r>
      <w:r w:rsidR="00DF74DF">
        <w:rPr>
          <w:color w:val="000000"/>
        </w:rPr>
        <w:t>s</w:t>
      </w:r>
      <w:r>
        <w:rPr>
          <w:color w:val="000000"/>
        </w:rPr>
        <w:t xml:space="preserve"> to respondents.</w:t>
      </w:r>
      <w:r w:rsidR="00BE0806">
        <w:rPr>
          <w:color w:val="000000"/>
        </w:rPr>
        <w:t xml:space="preserve">  </w:t>
      </w:r>
      <w:r w:rsidR="00BE0806" w:rsidRPr="00BE0806">
        <w:rPr>
          <w:color w:val="000000"/>
        </w:rPr>
        <w:t xml:space="preserve">The total estimated annual cost burden to respondents is </w:t>
      </w:r>
      <w:r w:rsidR="00D2703D">
        <w:rPr>
          <w:color w:val="000000"/>
        </w:rPr>
        <w:t xml:space="preserve">estimated to be </w:t>
      </w:r>
      <w:r w:rsidR="00BE0806" w:rsidRPr="00BE0806">
        <w:rPr>
          <w:color w:val="000000"/>
        </w:rPr>
        <w:t>$</w:t>
      </w:r>
      <w:r w:rsidR="00BE0806">
        <w:rPr>
          <w:color w:val="000000"/>
        </w:rPr>
        <w:t>27,75</w:t>
      </w:r>
      <w:r w:rsidR="00A65FD6">
        <w:rPr>
          <w:color w:val="000000"/>
        </w:rPr>
        <w:t>8</w:t>
      </w:r>
      <w:r w:rsidR="00DF74DF">
        <w:rPr>
          <w:color w:val="000000"/>
        </w:rPr>
        <w:t>, accounting for the value of their time</w:t>
      </w:r>
      <w:r w:rsidR="00BE0806" w:rsidRPr="00BE0806">
        <w:rPr>
          <w:color w:val="000000"/>
        </w:rPr>
        <w:t>.  The surveys take place across the United States with all cross-sections of society.  This estimate was created using the mean hourly wage for all occupations ($24.98) from the B</w:t>
      </w:r>
      <w:r w:rsidR="00DF74DF">
        <w:rPr>
          <w:color w:val="000000"/>
        </w:rPr>
        <w:t xml:space="preserve">ureau of </w:t>
      </w:r>
      <w:r w:rsidR="00BE0806" w:rsidRPr="00BE0806">
        <w:rPr>
          <w:color w:val="000000"/>
        </w:rPr>
        <w:t>L</w:t>
      </w:r>
      <w:r w:rsidR="00DF74DF">
        <w:rPr>
          <w:color w:val="000000"/>
        </w:rPr>
        <w:t xml:space="preserve">abor </w:t>
      </w:r>
      <w:r w:rsidR="00BE0806" w:rsidRPr="00BE0806">
        <w:rPr>
          <w:color w:val="000000"/>
        </w:rPr>
        <w:t>S</w:t>
      </w:r>
      <w:r w:rsidR="00DF74DF">
        <w:rPr>
          <w:color w:val="000000"/>
        </w:rPr>
        <w:t>tatistics</w:t>
      </w:r>
      <w:r w:rsidR="00BE0806" w:rsidRPr="00BE0806">
        <w:rPr>
          <w:color w:val="000000"/>
        </w:rPr>
        <w:t xml:space="preserve"> May 2018 National Occupational Employment and Wage Estimates - United States.</w:t>
      </w:r>
      <w:r w:rsidR="00D2703D">
        <w:rPr>
          <w:rStyle w:val="FootnoteReference"/>
          <w:color w:val="000000"/>
        </w:rPr>
        <w:footnoteReference w:id="3"/>
      </w:r>
    </w:p>
    <w:p w:rsidR="00F36A54" w:rsidRPr="005416BB" w:rsidRDefault="00F36A54" w:rsidP="006063E3">
      <w:pPr>
        <w:ind w:left="360"/>
      </w:pPr>
    </w:p>
    <w:p w:rsidR="004613B7" w:rsidRPr="005416BB" w:rsidRDefault="004613B7" w:rsidP="006063E3">
      <w:pPr>
        <w:pStyle w:val="ListParagraph"/>
        <w:numPr>
          <w:ilvl w:val="0"/>
          <w:numId w:val="20"/>
        </w:numPr>
        <w:rPr>
          <w:b/>
        </w:rPr>
      </w:pPr>
      <w:r w:rsidRPr="005416BB">
        <w:rPr>
          <w:b/>
        </w:rPr>
        <w:t xml:space="preserve">Costs to Federal Government  </w:t>
      </w:r>
    </w:p>
    <w:p w:rsidR="004613B7" w:rsidRPr="00DE2EA3" w:rsidRDefault="00DF74DF" w:rsidP="006063E3">
      <w:pPr>
        <w:pStyle w:val="ListParagraph"/>
        <w:ind w:left="360"/>
        <w:rPr>
          <w:color w:val="000000" w:themeColor="text1"/>
        </w:rPr>
      </w:pPr>
      <w:r>
        <w:rPr>
          <w:color w:val="000000" w:themeColor="text1"/>
        </w:rPr>
        <w:t xml:space="preserve">The cost to the federal government is </w:t>
      </w:r>
      <w:r w:rsidR="004613B7" w:rsidRPr="00DE2EA3">
        <w:rPr>
          <w:color w:val="000000" w:themeColor="text1"/>
        </w:rPr>
        <w:t>$</w:t>
      </w:r>
      <w:r w:rsidR="008502E0" w:rsidRPr="00DE2EA3">
        <w:rPr>
          <w:color w:val="000000" w:themeColor="text1"/>
        </w:rPr>
        <w:t>294,439.15</w:t>
      </w:r>
      <w:r>
        <w:rPr>
          <w:color w:val="000000" w:themeColor="text1"/>
        </w:rPr>
        <w:t>, based on the cost of paying the contractor to conduct the surveys.</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Reason for Change</w:t>
      </w:r>
      <w:r w:rsidRPr="005416BB">
        <w:t xml:space="preserve"> </w:t>
      </w:r>
      <w:r w:rsidRPr="005416BB">
        <w:rPr>
          <w:b/>
        </w:rPr>
        <w:t xml:space="preserve">  </w:t>
      </w:r>
    </w:p>
    <w:p w:rsidR="00F60F5D" w:rsidRDefault="00F60F5D" w:rsidP="00F60F5D">
      <w:pPr>
        <w:ind w:left="360"/>
      </w:pPr>
      <w:r>
        <w:t xml:space="preserve">Previously the Comprehensive Taxpayer Attitude Survey (CTAS) was approved under 1545-1432, however after consultation with the Office of Management and Budget, the Internal Revenue Service has decided to </w:t>
      </w:r>
      <w:r w:rsidR="00DF74DF">
        <w:t>seek approval for</w:t>
      </w:r>
      <w:r>
        <w:t xml:space="preserve"> the Comprehensive Taxpayer Attitude Survey (CTAS) separately from the remainder of the 1545-1432 OMB collection. </w:t>
      </w:r>
    </w:p>
    <w:p w:rsidR="00F60F5D" w:rsidRDefault="00F60F5D" w:rsidP="00F60F5D">
      <w:pPr>
        <w:ind w:left="360"/>
      </w:pPr>
    </w:p>
    <w:p w:rsidR="00F60F5D" w:rsidRDefault="00D2703D" w:rsidP="00F60F5D">
      <w:pPr>
        <w:ind w:left="360"/>
      </w:pPr>
      <w:r>
        <w:t>This is a change due to agency discretion, however as the survey has been approved previously, it does not reflect an actual increase in burden to the public.</w:t>
      </w:r>
    </w:p>
    <w:p w:rsidR="00AC5736" w:rsidRPr="00335D0F" w:rsidRDefault="00AC5736" w:rsidP="006063E3">
      <w:pPr>
        <w:ind w:left="360"/>
        <w:rPr>
          <w:b/>
        </w:rPr>
      </w:pPr>
    </w:p>
    <w:p w:rsidR="004613B7" w:rsidRPr="005416BB" w:rsidRDefault="004613B7" w:rsidP="006063E3">
      <w:pPr>
        <w:pStyle w:val="ListParagraph"/>
        <w:numPr>
          <w:ilvl w:val="0"/>
          <w:numId w:val="20"/>
        </w:numPr>
        <w:rPr>
          <w:b/>
        </w:rPr>
      </w:pPr>
      <w:r w:rsidRPr="005416BB">
        <w:rPr>
          <w:b/>
        </w:rPr>
        <w:t xml:space="preserve">Tabulation of Results, Schedule, Analysis Plans  </w:t>
      </w:r>
    </w:p>
    <w:p w:rsidR="004613B7" w:rsidRPr="005416BB" w:rsidRDefault="004613B7" w:rsidP="006063E3">
      <w:pPr>
        <w:ind w:left="360"/>
      </w:pPr>
      <w:r w:rsidRPr="005416BB">
        <w:t>The data will be collected using</w:t>
      </w:r>
      <w:r w:rsidR="00BD7822">
        <w:t xml:space="preserve"> concurrent</w:t>
      </w:r>
      <w:r w:rsidRPr="005416BB">
        <w:t xml:space="preserve"> telephone </w:t>
      </w:r>
      <w:r w:rsidR="007440C2">
        <w:t xml:space="preserve">and online </w:t>
      </w:r>
      <w:r w:rsidRPr="005416BB">
        <w:t>survey</w:t>
      </w:r>
      <w:r w:rsidR="007440C2">
        <w:t>s</w:t>
      </w:r>
      <w:r w:rsidRPr="005416BB">
        <w:t xml:space="preserve"> in August</w:t>
      </w:r>
      <w:r w:rsidR="00D2703D">
        <w:t xml:space="preserve"> and September</w:t>
      </w:r>
      <w:r w:rsidRPr="005416BB">
        <w:t xml:space="preserve"> 201</w:t>
      </w:r>
      <w:r w:rsidR="005E3FA8">
        <w:t>9</w:t>
      </w:r>
      <w:r w:rsidRPr="005416BB">
        <w:t>. Data from the survey</w:t>
      </w:r>
      <w:r w:rsidR="00BD7822">
        <w:t>s</w:t>
      </w:r>
      <w:r w:rsidRPr="005416BB">
        <w:t xml:space="preserve"> will contain no sensitive personally identifiable information and will be assembled into a database in which responses are anonymous and tabulated into aggregate level results that summarize taxpayer compliance attitudes and IRS service preferences, and their relationships to key characteristics such as employment status and age. </w:t>
      </w:r>
      <w:r w:rsidRPr="005416BB">
        <w:rPr>
          <w:iCs/>
          <w:snapToGrid w:val="0"/>
        </w:rPr>
        <w:t xml:space="preserve">The data will </w:t>
      </w:r>
      <w:r w:rsidRPr="005416BB">
        <w:t xml:space="preserve">help </w:t>
      </w:r>
      <w:r w:rsidR="00D11B6D">
        <w:t>RAAS</w:t>
      </w:r>
      <w:r w:rsidRPr="005416BB">
        <w:t xml:space="preserve"> to further develop general service improvement in tax administration.</w:t>
      </w:r>
    </w:p>
    <w:p w:rsidR="004613B7" w:rsidRPr="005416BB" w:rsidRDefault="004613B7" w:rsidP="006063E3">
      <w:pPr>
        <w:ind w:left="360"/>
        <w:rPr>
          <w:sz w:val="16"/>
          <w:szCs w:val="16"/>
        </w:rPr>
      </w:pPr>
    </w:p>
    <w:p w:rsidR="004613B7" w:rsidRPr="005416BB" w:rsidRDefault="004613B7" w:rsidP="006063E3">
      <w:pPr>
        <w:ind w:left="360"/>
        <w:rPr>
          <w:snapToGrid w:val="0"/>
        </w:rPr>
      </w:pPr>
      <w:r w:rsidRPr="005416BB">
        <w:rPr>
          <w:snapToGrid w:val="0"/>
        </w:rPr>
        <w:t xml:space="preserve">Because the expected response rate is less than 50%, no critical decisions will be made solely from the analysis of the data from this survey. The results of this survey are simply one piece of a larger set of information needed to assess taxpayers’ attitudes and needs and help </w:t>
      </w:r>
      <w:r w:rsidR="00D11B6D">
        <w:rPr>
          <w:snapToGrid w:val="0"/>
        </w:rPr>
        <w:t>RAAS</w:t>
      </w:r>
      <w:r w:rsidRPr="005416BB">
        <w:rPr>
          <w:snapToGrid w:val="0"/>
        </w:rPr>
        <w:t xml:space="preserve"> better direct the IRS.</w:t>
      </w:r>
      <w:r w:rsidR="003A6ACD">
        <w:rPr>
          <w:snapToGrid w:val="0"/>
        </w:rPr>
        <w:t xml:space="preserve">  The Executive Report of the survey will be published on the IRS Tax Stats website in the spring of 2020.  A few highlights from the Executive Report will be published in the IRS Data Book, which is published in March of each year.  The results will be high level totals with some demographic groupings.</w:t>
      </w:r>
    </w:p>
    <w:p w:rsidR="00DE2EA3" w:rsidRPr="005416BB" w:rsidRDefault="00DE2EA3" w:rsidP="006063E3">
      <w:pPr>
        <w:ind w:left="360"/>
      </w:pPr>
    </w:p>
    <w:p w:rsidR="007B6662" w:rsidRDefault="004613B7" w:rsidP="006063E3">
      <w:pPr>
        <w:pStyle w:val="ListParagraph"/>
        <w:numPr>
          <w:ilvl w:val="0"/>
          <w:numId w:val="20"/>
        </w:numPr>
        <w:rPr>
          <w:b/>
        </w:rPr>
      </w:pPr>
      <w:r w:rsidRPr="005416BB">
        <w:rPr>
          <w:b/>
        </w:rPr>
        <w:t xml:space="preserve">Display of OMB Approval Date  </w:t>
      </w:r>
    </w:p>
    <w:p w:rsidR="007B6662" w:rsidRPr="007B6662" w:rsidRDefault="007B6662" w:rsidP="006063E3">
      <w:pPr>
        <w:pStyle w:val="ListParagraph"/>
        <w:ind w:left="360"/>
        <w:rPr>
          <w:b/>
        </w:rPr>
      </w:pPr>
      <w:r w:rsidRPr="007B6662">
        <w:rPr>
          <w:color w:val="000000"/>
        </w:rPr>
        <w:t>IRS is seeking approval to not display the expiration date for OMB approval, as this is a limited-duration collection</w:t>
      </w:r>
      <w:r w:rsidR="008D5EC8">
        <w:rPr>
          <w:color w:val="000000"/>
        </w:rPr>
        <w:t xml:space="preserve"> and disclosure over the telephone adds time and complexity to the script</w:t>
      </w:r>
      <w:r w:rsidRPr="007B6662">
        <w:rPr>
          <w:color w:val="000000"/>
        </w:rPr>
        <w:t>.</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Exceptions to Certification for Paperwork Reduction Act Submissions  </w:t>
      </w:r>
    </w:p>
    <w:p w:rsidR="004613B7" w:rsidRPr="005416BB" w:rsidRDefault="004613B7" w:rsidP="006063E3">
      <w:pPr>
        <w:ind w:left="360"/>
      </w:pPr>
      <w:r w:rsidRPr="005416BB">
        <w:t>These activities comply with the requirements in 5 CFR 1320.9.</w:t>
      </w:r>
    </w:p>
    <w:p w:rsidR="004613B7" w:rsidRPr="005416BB" w:rsidRDefault="004613B7" w:rsidP="006063E3">
      <w:pPr>
        <w:ind w:left="360"/>
      </w:pPr>
    </w:p>
    <w:p w:rsidR="004613B7" w:rsidRPr="005416BB" w:rsidRDefault="007E6AED" w:rsidP="006063E3">
      <w:pPr>
        <w:pStyle w:val="BodyTextIndent3"/>
        <w:ind w:left="360"/>
        <w:rPr>
          <w:b/>
        </w:rPr>
      </w:pPr>
      <w:r>
        <w:rPr>
          <w:b/>
        </w:rPr>
        <w:t xml:space="preserve">     </w:t>
      </w:r>
    </w:p>
    <w:p w:rsidR="004613B7" w:rsidRPr="005416BB" w:rsidRDefault="004613B7" w:rsidP="006D0E97">
      <w:pPr>
        <w:pStyle w:val="BodyTextIndent3"/>
        <w:ind w:left="0"/>
        <w:rPr>
          <w:b/>
        </w:rPr>
      </w:pPr>
    </w:p>
    <w:p w:rsidR="004613B7" w:rsidRPr="005416BB" w:rsidRDefault="004613B7" w:rsidP="006063E3">
      <w:pPr>
        <w:ind w:left="360"/>
      </w:pPr>
    </w:p>
    <w:sectPr w:rsidR="004613B7" w:rsidRPr="005416BB" w:rsidSect="00745852">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2EB" w:rsidRDefault="00D122EB">
      <w:r>
        <w:separator/>
      </w:r>
    </w:p>
  </w:endnote>
  <w:endnote w:type="continuationSeparator" w:id="0">
    <w:p w:rsidR="00D122EB" w:rsidRDefault="00D122EB">
      <w:r>
        <w:continuationSeparator/>
      </w:r>
    </w:p>
  </w:endnote>
  <w:endnote w:type="continuationNotice" w:id="1">
    <w:p w:rsidR="00D122EB" w:rsidRDefault="00D12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7" w:rsidRDefault="004613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01D0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2EB" w:rsidRDefault="00D122EB">
      <w:r>
        <w:separator/>
      </w:r>
    </w:p>
  </w:footnote>
  <w:footnote w:type="continuationSeparator" w:id="0">
    <w:p w:rsidR="00D122EB" w:rsidRDefault="00D122EB">
      <w:r>
        <w:continuationSeparator/>
      </w:r>
    </w:p>
  </w:footnote>
  <w:footnote w:type="continuationNotice" w:id="1">
    <w:p w:rsidR="00D122EB" w:rsidRDefault="00D122EB"/>
  </w:footnote>
  <w:footnote w:id="2">
    <w:p w:rsidR="00E31FDD" w:rsidRDefault="00E31FDD">
      <w:pPr>
        <w:pStyle w:val="FootnoteText"/>
      </w:pPr>
      <w:r>
        <w:rPr>
          <w:rStyle w:val="FootnoteReference"/>
        </w:rPr>
        <w:footnoteRef/>
      </w:r>
      <w:r>
        <w:t xml:space="preserve"> See, for example, “</w:t>
      </w:r>
      <w:r w:rsidRPr="00E31FDD">
        <w:t>Why Americans Don’t Cheat on Their Taxes</w:t>
      </w:r>
      <w:r>
        <w:t xml:space="preserve">”, </w:t>
      </w:r>
      <w:r w:rsidRPr="00E31FDD">
        <w:rPr>
          <w:i/>
        </w:rPr>
        <w:t>The Atlantic</w:t>
      </w:r>
      <w:r>
        <w:t xml:space="preserve">, April 2019, </w:t>
      </w:r>
      <w:r w:rsidRPr="00E31FDD">
        <w:t xml:space="preserve"> </w:t>
      </w:r>
      <w:hyperlink r:id="rId1" w:history="1">
        <w:r w:rsidRPr="004A08DE">
          <w:rPr>
            <w:rStyle w:val="Hyperlink"/>
          </w:rPr>
          <w:t>https://www.theatlantic.com/magazine/archive/2019/04/why-americans-dont-cheat-on-their-taxes/583222/</w:t>
        </w:r>
      </w:hyperlink>
    </w:p>
  </w:footnote>
  <w:footnote w:id="3">
    <w:p w:rsidR="00D2703D" w:rsidRDefault="00D2703D">
      <w:pPr>
        <w:pStyle w:val="FootnoteText"/>
      </w:pPr>
      <w:r>
        <w:rPr>
          <w:rStyle w:val="FootnoteReference"/>
        </w:rPr>
        <w:footnoteRef/>
      </w:r>
      <w:r>
        <w:t xml:space="preserve"> </w:t>
      </w:r>
      <w:hyperlink r:id="rId2" w:history="1">
        <w:r>
          <w:rPr>
            <w:rStyle w:val="Hyperlink"/>
          </w:rPr>
          <w:t>https://www.bls.gov/oes/current/oes_nat.htm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7" w:rsidRPr="001E2E18" w:rsidRDefault="004613B7" w:rsidP="001E2E18">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CC00FA"/>
    <w:multiLevelType w:val="hybridMultilevel"/>
    <w:tmpl w:val="6A34D3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87496"/>
    <w:multiLevelType w:val="hybridMultilevel"/>
    <w:tmpl w:val="070EF58A"/>
    <w:lvl w:ilvl="0" w:tplc="37309A7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7F45495"/>
    <w:multiLevelType w:val="hybridMultilevel"/>
    <w:tmpl w:val="B93CCE7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E5A5619"/>
    <w:multiLevelType w:val="hybridMultilevel"/>
    <w:tmpl w:val="3F368EAC"/>
    <w:lvl w:ilvl="0" w:tplc="9B0CA046">
      <w:start w:val="1"/>
      <w:numFmt w:val="decimal"/>
      <w:lvlText w:val="%1"/>
      <w:lvlJc w:val="left"/>
      <w:pPr>
        <w:ind w:left="1442" w:hanging="720"/>
      </w:pPr>
      <w:rPr>
        <w:rFonts w:cs="Times New Roman" w:hint="default"/>
      </w:rPr>
    </w:lvl>
    <w:lvl w:ilvl="1" w:tplc="04090019" w:tentative="1">
      <w:start w:val="1"/>
      <w:numFmt w:val="lowerLetter"/>
      <w:lvlText w:val="%2."/>
      <w:lvlJc w:val="left"/>
      <w:pPr>
        <w:ind w:left="1802" w:hanging="360"/>
      </w:pPr>
      <w:rPr>
        <w:rFonts w:cs="Times New Roman"/>
      </w:rPr>
    </w:lvl>
    <w:lvl w:ilvl="2" w:tplc="0409001B" w:tentative="1">
      <w:start w:val="1"/>
      <w:numFmt w:val="lowerRoman"/>
      <w:lvlText w:val="%3."/>
      <w:lvlJc w:val="right"/>
      <w:pPr>
        <w:ind w:left="2522" w:hanging="180"/>
      </w:pPr>
      <w:rPr>
        <w:rFonts w:cs="Times New Roman"/>
      </w:rPr>
    </w:lvl>
    <w:lvl w:ilvl="3" w:tplc="0409000F" w:tentative="1">
      <w:start w:val="1"/>
      <w:numFmt w:val="decimal"/>
      <w:lvlText w:val="%4."/>
      <w:lvlJc w:val="left"/>
      <w:pPr>
        <w:ind w:left="3242" w:hanging="360"/>
      </w:pPr>
      <w:rPr>
        <w:rFonts w:cs="Times New Roman"/>
      </w:rPr>
    </w:lvl>
    <w:lvl w:ilvl="4" w:tplc="04090019" w:tentative="1">
      <w:start w:val="1"/>
      <w:numFmt w:val="lowerLetter"/>
      <w:lvlText w:val="%5."/>
      <w:lvlJc w:val="left"/>
      <w:pPr>
        <w:ind w:left="3962" w:hanging="360"/>
      </w:pPr>
      <w:rPr>
        <w:rFonts w:cs="Times New Roman"/>
      </w:rPr>
    </w:lvl>
    <w:lvl w:ilvl="5" w:tplc="0409001B" w:tentative="1">
      <w:start w:val="1"/>
      <w:numFmt w:val="lowerRoman"/>
      <w:lvlText w:val="%6."/>
      <w:lvlJc w:val="right"/>
      <w:pPr>
        <w:ind w:left="4682" w:hanging="180"/>
      </w:pPr>
      <w:rPr>
        <w:rFonts w:cs="Times New Roman"/>
      </w:rPr>
    </w:lvl>
    <w:lvl w:ilvl="6" w:tplc="0409000F" w:tentative="1">
      <w:start w:val="1"/>
      <w:numFmt w:val="decimal"/>
      <w:lvlText w:val="%7."/>
      <w:lvlJc w:val="left"/>
      <w:pPr>
        <w:ind w:left="5402" w:hanging="360"/>
      </w:pPr>
      <w:rPr>
        <w:rFonts w:cs="Times New Roman"/>
      </w:rPr>
    </w:lvl>
    <w:lvl w:ilvl="7" w:tplc="04090019" w:tentative="1">
      <w:start w:val="1"/>
      <w:numFmt w:val="lowerLetter"/>
      <w:lvlText w:val="%8."/>
      <w:lvlJc w:val="left"/>
      <w:pPr>
        <w:ind w:left="6122" w:hanging="360"/>
      </w:pPr>
      <w:rPr>
        <w:rFonts w:cs="Times New Roman"/>
      </w:rPr>
    </w:lvl>
    <w:lvl w:ilvl="8" w:tplc="0409001B" w:tentative="1">
      <w:start w:val="1"/>
      <w:numFmt w:val="lowerRoman"/>
      <w:lvlText w:val="%9."/>
      <w:lvlJc w:val="right"/>
      <w:pPr>
        <w:ind w:left="6842" w:hanging="180"/>
      </w:pPr>
      <w:rPr>
        <w:rFonts w:cs="Times New Roman"/>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5714A21"/>
    <w:multiLevelType w:val="hybridMultilevel"/>
    <w:tmpl w:val="3EAE147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4370A2A"/>
    <w:multiLevelType w:val="hybridMultilevel"/>
    <w:tmpl w:val="61E8770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0230D6"/>
    <w:multiLevelType w:val="hybridMultilevel"/>
    <w:tmpl w:val="648E3366"/>
    <w:lvl w:ilvl="0" w:tplc="CC72D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57DB9"/>
    <w:multiLevelType w:val="hybridMultilevel"/>
    <w:tmpl w:val="243C63E8"/>
    <w:lvl w:ilvl="0" w:tplc="F63AC3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54965A1"/>
    <w:multiLevelType w:val="hybridMultilevel"/>
    <w:tmpl w:val="E12602B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nsid w:val="3BA017ED"/>
    <w:multiLevelType w:val="hybridMultilevel"/>
    <w:tmpl w:val="AEF6C71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EFF6CD5"/>
    <w:multiLevelType w:val="hybridMultilevel"/>
    <w:tmpl w:val="0666E3B4"/>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F933817"/>
    <w:multiLevelType w:val="hybridMultilevel"/>
    <w:tmpl w:val="38348E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B1F2C77"/>
    <w:multiLevelType w:val="hybridMultilevel"/>
    <w:tmpl w:val="0A104528"/>
    <w:lvl w:ilvl="0" w:tplc="DB060A3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1224EAB"/>
    <w:multiLevelType w:val="hybridMultilevel"/>
    <w:tmpl w:val="D3FC1BEE"/>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58468DD"/>
    <w:multiLevelType w:val="hybridMultilevel"/>
    <w:tmpl w:val="55F2BEE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5C9542E"/>
    <w:multiLevelType w:val="hybridMultilevel"/>
    <w:tmpl w:val="A6FE062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6B34F77"/>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8F91232"/>
    <w:multiLevelType w:val="hybridMultilevel"/>
    <w:tmpl w:val="1C86AA0E"/>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E7B5824"/>
    <w:multiLevelType w:val="hybridMultilevel"/>
    <w:tmpl w:val="2FF4254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3">
    <w:nsid w:val="60B96CFA"/>
    <w:multiLevelType w:val="hybridMultilevel"/>
    <w:tmpl w:val="631EF67A"/>
    <w:lvl w:ilvl="0" w:tplc="23E0A7AE">
      <w:start w:val="1"/>
      <w:numFmt w:val="decimal"/>
      <w:lvlText w:val="%1"/>
      <w:lvlJc w:val="left"/>
      <w:pPr>
        <w:tabs>
          <w:tab w:val="num" w:pos="2880"/>
        </w:tabs>
        <w:ind w:left="2880" w:hanging="144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nsid w:val="611B1E34"/>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0651B52"/>
    <w:multiLevelType w:val="hybridMultilevel"/>
    <w:tmpl w:val="8EEA210E"/>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69757B8"/>
    <w:multiLevelType w:val="hybridMultilevel"/>
    <w:tmpl w:val="12A6B548"/>
    <w:lvl w:ilvl="0" w:tplc="737A89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3">
    <w:nsid w:val="7CF10674"/>
    <w:multiLevelType w:val="hybridMultilevel"/>
    <w:tmpl w:val="8F30CE14"/>
    <w:lvl w:ilvl="0" w:tplc="0D76EA08">
      <w:start w:val="1"/>
      <w:numFmt w:val="bullet"/>
      <w:lvlText w:val=""/>
      <w:lvlJc w:val="left"/>
      <w:pPr>
        <w:tabs>
          <w:tab w:val="num" w:pos="720"/>
        </w:tabs>
        <w:ind w:left="720" w:hanging="360"/>
      </w:pPr>
      <w:rPr>
        <w:rFonts w:ascii="Symbol" w:hAnsi="Symbol" w:hint="default"/>
      </w:rPr>
    </w:lvl>
    <w:lvl w:ilvl="1" w:tplc="F82E8130" w:tentative="1">
      <w:start w:val="1"/>
      <w:numFmt w:val="bullet"/>
      <w:lvlText w:val="o"/>
      <w:lvlJc w:val="left"/>
      <w:pPr>
        <w:tabs>
          <w:tab w:val="num" w:pos="1440"/>
        </w:tabs>
        <w:ind w:left="1440" w:hanging="360"/>
      </w:pPr>
      <w:rPr>
        <w:rFonts w:ascii="Courier New" w:hAnsi="Courier New" w:hint="default"/>
      </w:rPr>
    </w:lvl>
    <w:lvl w:ilvl="2" w:tplc="9A0C4186" w:tentative="1">
      <w:start w:val="1"/>
      <w:numFmt w:val="bullet"/>
      <w:lvlText w:val=""/>
      <w:lvlJc w:val="left"/>
      <w:pPr>
        <w:tabs>
          <w:tab w:val="num" w:pos="2160"/>
        </w:tabs>
        <w:ind w:left="2160" w:hanging="360"/>
      </w:pPr>
      <w:rPr>
        <w:rFonts w:ascii="Wingdings" w:hAnsi="Wingdings" w:hint="default"/>
      </w:rPr>
    </w:lvl>
    <w:lvl w:ilvl="3" w:tplc="29CCD63E" w:tentative="1">
      <w:start w:val="1"/>
      <w:numFmt w:val="bullet"/>
      <w:lvlText w:val=""/>
      <w:lvlJc w:val="left"/>
      <w:pPr>
        <w:tabs>
          <w:tab w:val="num" w:pos="2880"/>
        </w:tabs>
        <w:ind w:left="2880" w:hanging="360"/>
      </w:pPr>
      <w:rPr>
        <w:rFonts w:ascii="Symbol" w:hAnsi="Symbol" w:hint="default"/>
      </w:rPr>
    </w:lvl>
    <w:lvl w:ilvl="4" w:tplc="C72098A8" w:tentative="1">
      <w:start w:val="1"/>
      <w:numFmt w:val="bullet"/>
      <w:lvlText w:val="o"/>
      <w:lvlJc w:val="left"/>
      <w:pPr>
        <w:tabs>
          <w:tab w:val="num" w:pos="3600"/>
        </w:tabs>
        <w:ind w:left="3600" w:hanging="360"/>
      </w:pPr>
      <w:rPr>
        <w:rFonts w:ascii="Courier New" w:hAnsi="Courier New" w:hint="default"/>
      </w:rPr>
    </w:lvl>
    <w:lvl w:ilvl="5" w:tplc="D9A4FF32" w:tentative="1">
      <w:start w:val="1"/>
      <w:numFmt w:val="bullet"/>
      <w:lvlText w:val=""/>
      <w:lvlJc w:val="left"/>
      <w:pPr>
        <w:tabs>
          <w:tab w:val="num" w:pos="4320"/>
        </w:tabs>
        <w:ind w:left="4320" w:hanging="360"/>
      </w:pPr>
      <w:rPr>
        <w:rFonts w:ascii="Wingdings" w:hAnsi="Wingdings" w:hint="default"/>
      </w:rPr>
    </w:lvl>
    <w:lvl w:ilvl="6" w:tplc="C0FC0956" w:tentative="1">
      <w:start w:val="1"/>
      <w:numFmt w:val="bullet"/>
      <w:lvlText w:val=""/>
      <w:lvlJc w:val="left"/>
      <w:pPr>
        <w:tabs>
          <w:tab w:val="num" w:pos="5040"/>
        </w:tabs>
        <w:ind w:left="5040" w:hanging="360"/>
      </w:pPr>
      <w:rPr>
        <w:rFonts w:ascii="Symbol" w:hAnsi="Symbol" w:hint="default"/>
      </w:rPr>
    </w:lvl>
    <w:lvl w:ilvl="7" w:tplc="A38800B2" w:tentative="1">
      <w:start w:val="1"/>
      <w:numFmt w:val="bullet"/>
      <w:lvlText w:val="o"/>
      <w:lvlJc w:val="left"/>
      <w:pPr>
        <w:tabs>
          <w:tab w:val="num" w:pos="5760"/>
        </w:tabs>
        <w:ind w:left="5760" w:hanging="360"/>
      </w:pPr>
      <w:rPr>
        <w:rFonts w:ascii="Courier New" w:hAnsi="Courier New" w:hint="default"/>
      </w:rPr>
    </w:lvl>
    <w:lvl w:ilvl="8" w:tplc="04DA7FA6" w:tentative="1">
      <w:start w:val="1"/>
      <w:numFmt w:val="bullet"/>
      <w:lvlText w:val=""/>
      <w:lvlJc w:val="left"/>
      <w:pPr>
        <w:tabs>
          <w:tab w:val="num" w:pos="6480"/>
        </w:tabs>
        <w:ind w:left="6480" w:hanging="360"/>
      </w:pPr>
      <w:rPr>
        <w:rFonts w:ascii="Wingdings" w:hAnsi="Wingdings" w:hint="default"/>
      </w:rPr>
    </w:lvl>
  </w:abstractNum>
  <w:abstractNum w:abstractNumId="44">
    <w:nsid w:val="7EF9668A"/>
    <w:multiLevelType w:val="hybridMultilevel"/>
    <w:tmpl w:val="132853E4"/>
    <w:lvl w:ilvl="0" w:tplc="6D5E46E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2"/>
  </w:num>
  <w:num w:numId="3">
    <w:abstractNumId w:val="41"/>
  </w:num>
  <w:num w:numId="4">
    <w:abstractNumId w:val="43"/>
  </w:num>
  <w:num w:numId="5">
    <w:abstractNumId w:val="7"/>
  </w:num>
  <w:num w:numId="6">
    <w:abstractNumId w:val="2"/>
  </w:num>
  <w:num w:numId="7">
    <w:abstractNumId w:val="18"/>
  </w:num>
  <w:num w:numId="8">
    <w:abstractNumId w:val="36"/>
  </w:num>
  <w:num w:numId="9">
    <w:abstractNumId w:val="22"/>
  </w:num>
  <w:num w:numId="10">
    <w:abstractNumId w:val="3"/>
  </w:num>
  <w:num w:numId="11">
    <w:abstractNumId w:val="11"/>
  </w:num>
  <w:num w:numId="12">
    <w:abstractNumId w:val="14"/>
  </w:num>
  <w:num w:numId="13">
    <w:abstractNumId w:val="0"/>
  </w:num>
  <w:num w:numId="14">
    <w:abstractNumId w:val="39"/>
  </w:num>
  <w:num w:numId="15">
    <w:abstractNumId w:val="35"/>
  </w:num>
  <w:num w:numId="16">
    <w:abstractNumId w:val="26"/>
  </w:num>
  <w:num w:numId="17">
    <w:abstractNumId w:val="8"/>
  </w:num>
  <w:num w:numId="18">
    <w:abstractNumId w:val="10"/>
  </w:num>
  <w:num w:numId="19">
    <w:abstractNumId w:val="24"/>
  </w:num>
  <w:num w:numId="20">
    <w:abstractNumId w:val="37"/>
  </w:num>
  <w:num w:numId="21">
    <w:abstractNumId w:val="12"/>
  </w:num>
  <w:num w:numId="22">
    <w:abstractNumId w:val="21"/>
  </w:num>
  <w:num w:numId="23">
    <w:abstractNumId w:val="1"/>
  </w:num>
  <w:num w:numId="24">
    <w:abstractNumId w:val="16"/>
  </w:num>
  <w:num w:numId="25">
    <w:abstractNumId w:val="4"/>
  </w:num>
  <w:num w:numId="26">
    <w:abstractNumId w:val="30"/>
  </w:num>
  <w:num w:numId="27">
    <w:abstractNumId w:val="29"/>
  </w:num>
  <w:num w:numId="28">
    <w:abstractNumId w:val="9"/>
  </w:num>
  <w:num w:numId="29">
    <w:abstractNumId w:val="19"/>
  </w:num>
  <w:num w:numId="30">
    <w:abstractNumId w:val="5"/>
  </w:num>
  <w:num w:numId="31">
    <w:abstractNumId w:val="27"/>
  </w:num>
  <w:num w:numId="32">
    <w:abstractNumId w:val="40"/>
  </w:num>
  <w:num w:numId="33">
    <w:abstractNumId w:val="38"/>
  </w:num>
  <w:num w:numId="34">
    <w:abstractNumId w:val="34"/>
  </w:num>
  <w:num w:numId="35">
    <w:abstractNumId w:val="13"/>
  </w:num>
  <w:num w:numId="36">
    <w:abstractNumId w:val="20"/>
  </w:num>
  <w:num w:numId="37">
    <w:abstractNumId w:val="33"/>
  </w:num>
  <w:num w:numId="38">
    <w:abstractNumId w:val="17"/>
  </w:num>
  <w:num w:numId="39">
    <w:abstractNumId w:val="31"/>
  </w:num>
  <w:num w:numId="40">
    <w:abstractNumId w:val="6"/>
  </w:num>
  <w:num w:numId="41">
    <w:abstractNumId w:val="28"/>
  </w:num>
  <w:num w:numId="42">
    <w:abstractNumId w:val="32"/>
  </w:num>
  <w:num w:numId="43">
    <w:abstractNumId w:val="44"/>
  </w:num>
  <w:num w:numId="44">
    <w:abstractNumId w:val="2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A5"/>
    <w:rsid w:val="000030D3"/>
    <w:rsid w:val="00004E55"/>
    <w:rsid w:val="00005262"/>
    <w:rsid w:val="00023A57"/>
    <w:rsid w:val="00030FD1"/>
    <w:rsid w:val="00032F0D"/>
    <w:rsid w:val="000337A6"/>
    <w:rsid w:val="00047A64"/>
    <w:rsid w:val="000514A5"/>
    <w:rsid w:val="00051FE2"/>
    <w:rsid w:val="00054F86"/>
    <w:rsid w:val="00055B7A"/>
    <w:rsid w:val="00064C34"/>
    <w:rsid w:val="00067329"/>
    <w:rsid w:val="000721C7"/>
    <w:rsid w:val="00086B63"/>
    <w:rsid w:val="000905A7"/>
    <w:rsid w:val="000A30BB"/>
    <w:rsid w:val="000A3EEE"/>
    <w:rsid w:val="000A3F59"/>
    <w:rsid w:val="000B2838"/>
    <w:rsid w:val="000B7FB1"/>
    <w:rsid w:val="000D44CA"/>
    <w:rsid w:val="000D4DB0"/>
    <w:rsid w:val="000D76DC"/>
    <w:rsid w:val="000E11B2"/>
    <w:rsid w:val="000E1DF9"/>
    <w:rsid w:val="000E200B"/>
    <w:rsid w:val="000E4565"/>
    <w:rsid w:val="000F68BE"/>
    <w:rsid w:val="000F7C5D"/>
    <w:rsid w:val="00100A90"/>
    <w:rsid w:val="0010179F"/>
    <w:rsid w:val="001105C8"/>
    <w:rsid w:val="00110C98"/>
    <w:rsid w:val="0012364A"/>
    <w:rsid w:val="00125FDA"/>
    <w:rsid w:val="001271DE"/>
    <w:rsid w:val="001339FD"/>
    <w:rsid w:val="00135832"/>
    <w:rsid w:val="00144BE6"/>
    <w:rsid w:val="00157D98"/>
    <w:rsid w:val="001608BC"/>
    <w:rsid w:val="00166E88"/>
    <w:rsid w:val="00167ABF"/>
    <w:rsid w:val="00170491"/>
    <w:rsid w:val="00171BB9"/>
    <w:rsid w:val="00183AF3"/>
    <w:rsid w:val="001859B4"/>
    <w:rsid w:val="001927A4"/>
    <w:rsid w:val="00194AC6"/>
    <w:rsid w:val="00196496"/>
    <w:rsid w:val="001A0D9E"/>
    <w:rsid w:val="001A23B0"/>
    <w:rsid w:val="001A25CC"/>
    <w:rsid w:val="001A4972"/>
    <w:rsid w:val="001B04D9"/>
    <w:rsid w:val="001B0AAA"/>
    <w:rsid w:val="001B3956"/>
    <w:rsid w:val="001B396B"/>
    <w:rsid w:val="001C2B8F"/>
    <w:rsid w:val="001C32E4"/>
    <w:rsid w:val="001C361F"/>
    <w:rsid w:val="001C39F7"/>
    <w:rsid w:val="001D329A"/>
    <w:rsid w:val="001D74DF"/>
    <w:rsid w:val="001E1AA5"/>
    <w:rsid w:val="001E2E18"/>
    <w:rsid w:val="001F1CA3"/>
    <w:rsid w:val="001F4645"/>
    <w:rsid w:val="001F6360"/>
    <w:rsid w:val="001F7350"/>
    <w:rsid w:val="00203E87"/>
    <w:rsid w:val="00216C11"/>
    <w:rsid w:val="00217FED"/>
    <w:rsid w:val="0022128A"/>
    <w:rsid w:val="002214B5"/>
    <w:rsid w:val="00225C38"/>
    <w:rsid w:val="00237B48"/>
    <w:rsid w:val="0024521E"/>
    <w:rsid w:val="00247F29"/>
    <w:rsid w:val="00260863"/>
    <w:rsid w:val="00263C3D"/>
    <w:rsid w:val="00274D0B"/>
    <w:rsid w:val="00281EE2"/>
    <w:rsid w:val="002844DF"/>
    <w:rsid w:val="0029450A"/>
    <w:rsid w:val="00295E32"/>
    <w:rsid w:val="002B04BD"/>
    <w:rsid w:val="002B3C95"/>
    <w:rsid w:val="002B7A40"/>
    <w:rsid w:val="002C3FD7"/>
    <w:rsid w:val="002C564C"/>
    <w:rsid w:val="002C7970"/>
    <w:rsid w:val="002C7BBA"/>
    <w:rsid w:val="002D0B92"/>
    <w:rsid w:val="002D0D9E"/>
    <w:rsid w:val="002E1313"/>
    <w:rsid w:val="00306047"/>
    <w:rsid w:val="003123E1"/>
    <w:rsid w:val="0032313C"/>
    <w:rsid w:val="00331B48"/>
    <w:rsid w:val="00333FCF"/>
    <w:rsid w:val="0033435E"/>
    <w:rsid w:val="00335D0F"/>
    <w:rsid w:val="0034191D"/>
    <w:rsid w:val="003431B6"/>
    <w:rsid w:val="00344A8F"/>
    <w:rsid w:val="00346913"/>
    <w:rsid w:val="00352196"/>
    <w:rsid w:val="00354450"/>
    <w:rsid w:val="0035681C"/>
    <w:rsid w:val="00367E1D"/>
    <w:rsid w:val="00370488"/>
    <w:rsid w:val="003719D9"/>
    <w:rsid w:val="00395618"/>
    <w:rsid w:val="003A3A1E"/>
    <w:rsid w:val="003A6ACD"/>
    <w:rsid w:val="003B3923"/>
    <w:rsid w:val="003B4F66"/>
    <w:rsid w:val="003C1063"/>
    <w:rsid w:val="003C2130"/>
    <w:rsid w:val="003C5827"/>
    <w:rsid w:val="003D039E"/>
    <w:rsid w:val="003D097D"/>
    <w:rsid w:val="003D274C"/>
    <w:rsid w:val="003D5BBE"/>
    <w:rsid w:val="003E3C61"/>
    <w:rsid w:val="003E71A6"/>
    <w:rsid w:val="003F03EF"/>
    <w:rsid w:val="003F1C5B"/>
    <w:rsid w:val="003F6969"/>
    <w:rsid w:val="004005CC"/>
    <w:rsid w:val="00400920"/>
    <w:rsid w:val="00401744"/>
    <w:rsid w:val="00416584"/>
    <w:rsid w:val="00420DC8"/>
    <w:rsid w:val="00430BA0"/>
    <w:rsid w:val="00432BB7"/>
    <w:rsid w:val="0043315D"/>
    <w:rsid w:val="00434E33"/>
    <w:rsid w:val="00441434"/>
    <w:rsid w:val="004420FB"/>
    <w:rsid w:val="0045264C"/>
    <w:rsid w:val="004613B7"/>
    <w:rsid w:val="00465CF0"/>
    <w:rsid w:val="004677AA"/>
    <w:rsid w:val="0047072D"/>
    <w:rsid w:val="00480BD0"/>
    <w:rsid w:val="004872C1"/>
    <w:rsid w:val="004876EC"/>
    <w:rsid w:val="00490B0D"/>
    <w:rsid w:val="00492140"/>
    <w:rsid w:val="00495623"/>
    <w:rsid w:val="004A0010"/>
    <w:rsid w:val="004A276E"/>
    <w:rsid w:val="004A39B8"/>
    <w:rsid w:val="004A6FC4"/>
    <w:rsid w:val="004A77CD"/>
    <w:rsid w:val="004B46BE"/>
    <w:rsid w:val="004C0282"/>
    <w:rsid w:val="004C2E95"/>
    <w:rsid w:val="004D1256"/>
    <w:rsid w:val="004D6E14"/>
    <w:rsid w:val="004E0521"/>
    <w:rsid w:val="004F1461"/>
    <w:rsid w:val="004F5874"/>
    <w:rsid w:val="005009B0"/>
    <w:rsid w:val="0051132F"/>
    <w:rsid w:val="00514C4A"/>
    <w:rsid w:val="005416BB"/>
    <w:rsid w:val="00542DD1"/>
    <w:rsid w:val="00545DC1"/>
    <w:rsid w:val="005522C0"/>
    <w:rsid w:val="00557BA6"/>
    <w:rsid w:val="00560B6C"/>
    <w:rsid w:val="005673EB"/>
    <w:rsid w:val="0057169D"/>
    <w:rsid w:val="0057655A"/>
    <w:rsid w:val="00581365"/>
    <w:rsid w:val="00585DB5"/>
    <w:rsid w:val="00587213"/>
    <w:rsid w:val="005917EE"/>
    <w:rsid w:val="00591FCE"/>
    <w:rsid w:val="005A1006"/>
    <w:rsid w:val="005A3DC5"/>
    <w:rsid w:val="005A48E7"/>
    <w:rsid w:val="005A61BB"/>
    <w:rsid w:val="005C4F43"/>
    <w:rsid w:val="005D7AD2"/>
    <w:rsid w:val="005E3FA8"/>
    <w:rsid w:val="005E6224"/>
    <w:rsid w:val="005E714A"/>
    <w:rsid w:val="006063E3"/>
    <w:rsid w:val="00607A58"/>
    <w:rsid w:val="00610382"/>
    <w:rsid w:val="006140A0"/>
    <w:rsid w:val="00617E00"/>
    <w:rsid w:val="00622FBF"/>
    <w:rsid w:val="00625700"/>
    <w:rsid w:val="00634A2C"/>
    <w:rsid w:val="00634BB0"/>
    <w:rsid w:val="00636621"/>
    <w:rsid w:val="006429B9"/>
    <w:rsid w:val="00642B49"/>
    <w:rsid w:val="006446A5"/>
    <w:rsid w:val="00645A04"/>
    <w:rsid w:val="00656146"/>
    <w:rsid w:val="0065685E"/>
    <w:rsid w:val="00665447"/>
    <w:rsid w:val="00666282"/>
    <w:rsid w:val="00671D31"/>
    <w:rsid w:val="0068289E"/>
    <w:rsid w:val="006832D9"/>
    <w:rsid w:val="0069403B"/>
    <w:rsid w:val="00696554"/>
    <w:rsid w:val="00696D09"/>
    <w:rsid w:val="006A5947"/>
    <w:rsid w:val="006C27E4"/>
    <w:rsid w:val="006C5FFE"/>
    <w:rsid w:val="006D0E97"/>
    <w:rsid w:val="006D0FFF"/>
    <w:rsid w:val="006D3FBD"/>
    <w:rsid w:val="006E0EB1"/>
    <w:rsid w:val="006E3869"/>
    <w:rsid w:val="006F3DDE"/>
    <w:rsid w:val="006F6212"/>
    <w:rsid w:val="006F64A2"/>
    <w:rsid w:val="007030BE"/>
    <w:rsid w:val="00704678"/>
    <w:rsid w:val="00710CEA"/>
    <w:rsid w:val="0071125A"/>
    <w:rsid w:val="007131C9"/>
    <w:rsid w:val="0071640A"/>
    <w:rsid w:val="00720421"/>
    <w:rsid w:val="00722FE9"/>
    <w:rsid w:val="007231D4"/>
    <w:rsid w:val="00723F88"/>
    <w:rsid w:val="00735222"/>
    <w:rsid w:val="007425E7"/>
    <w:rsid w:val="007426AD"/>
    <w:rsid w:val="007440C2"/>
    <w:rsid w:val="00745852"/>
    <w:rsid w:val="0075296F"/>
    <w:rsid w:val="00757314"/>
    <w:rsid w:val="0076266E"/>
    <w:rsid w:val="00766F69"/>
    <w:rsid w:val="00770B9D"/>
    <w:rsid w:val="00776A9B"/>
    <w:rsid w:val="00777C92"/>
    <w:rsid w:val="007938A9"/>
    <w:rsid w:val="007A0342"/>
    <w:rsid w:val="007A1A93"/>
    <w:rsid w:val="007A2082"/>
    <w:rsid w:val="007B1AAE"/>
    <w:rsid w:val="007B35B6"/>
    <w:rsid w:val="007B6662"/>
    <w:rsid w:val="007D1731"/>
    <w:rsid w:val="007E2198"/>
    <w:rsid w:val="007E226F"/>
    <w:rsid w:val="007E3AE1"/>
    <w:rsid w:val="007E6AED"/>
    <w:rsid w:val="007F5569"/>
    <w:rsid w:val="00801376"/>
    <w:rsid w:val="00802607"/>
    <w:rsid w:val="00802D0E"/>
    <w:rsid w:val="00803DC5"/>
    <w:rsid w:val="008101A5"/>
    <w:rsid w:val="008108B4"/>
    <w:rsid w:val="00811E94"/>
    <w:rsid w:val="0081370E"/>
    <w:rsid w:val="008148AD"/>
    <w:rsid w:val="00822664"/>
    <w:rsid w:val="0082350F"/>
    <w:rsid w:val="00824ACA"/>
    <w:rsid w:val="00831D66"/>
    <w:rsid w:val="00832253"/>
    <w:rsid w:val="0083250D"/>
    <w:rsid w:val="00836B63"/>
    <w:rsid w:val="00840F2D"/>
    <w:rsid w:val="00843796"/>
    <w:rsid w:val="008469C2"/>
    <w:rsid w:val="00846CC8"/>
    <w:rsid w:val="008502E0"/>
    <w:rsid w:val="00854E19"/>
    <w:rsid w:val="00854FAD"/>
    <w:rsid w:val="00860D56"/>
    <w:rsid w:val="00880869"/>
    <w:rsid w:val="00886DBB"/>
    <w:rsid w:val="00890E92"/>
    <w:rsid w:val="00895229"/>
    <w:rsid w:val="00896359"/>
    <w:rsid w:val="008965BF"/>
    <w:rsid w:val="00897200"/>
    <w:rsid w:val="008A1235"/>
    <w:rsid w:val="008A2216"/>
    <w:rsid w:val="008A74F9"/>
    <w:rsid w:val="008B2316"/>
    <w:rsid w:val="008B55BD"/>
    <w:rsid w:val="008B6537"/>
    <w:rsid w:val="008D5EC8"/>
    <w:rsid w:val="008E08A0"/>
    <w:rsid w:val="008E1814"/>
    <w:rsid w:val="008E37BA"/>
    <w:rsid w:val="008E71B7"/>
    <w:rsid w:val="008F0203"/>
    <w:rsid w:val="008F0602"/>
    <w:rsid w:val="008F33C4"/>
    <w:rsid w:val="008F50D4"/>
    <w:rsid w:val="008F7CC6"/>
    <w:rsid w:val="00903EC9"/>
    <w:rsid w:val="0091099E"/>
    <w:rsid w:val="00916E6D"/>
    <w:rsid w:val="009202FB"/>
    <w:rsid w:val="009239AA"/>
    <w:rsid w:val="00925A61"/>
    <w:rsid w:val="00926069"/>
    <w:rsid w:val="00931BFD"/>
    <w:rsid w:val="00935ADA"/>
    <w:rsid w:val="00946B6C"/>
    <w:rsid w:val="00950695"/>
    <w:rsid w:val="00953A51"/>
    <w:rsid w:val="00954086"/>
    <w:rsid w:val="00955240"/>
    <w:rsid w:val="00955A71"/>
    <w:rsid w:val="00956776"/>
    <w:rsid w:val="0096108F"/>
    <w:rsid w:val="00964C0E"/>
    <w:rsid w:val="00965A23"/>
    <w:rsid w:val="009721E6"/>
    <w:rsid w:val="00976446"/>
    <w:rsid w:val="009866D0"/>
    <w:rsid w:val="009871B5"/>
    <w:rsid w:val="009A4D30"/>
    <w:rsid w:val="009B04E2"/>
    <w:rsid w:val="009B1E9E"/>
    <w:rsid w:val="009B36CC"/>
    <w:rsid w:val="009C13B9"/>
    <w:rsid w:val="009C2DC9"/>
    <w:rsid w:val="009C522E"/>
    <w:rsid w:val="009D01A2"/>
    <w:rsid w:val="009E13B8"/>
    <w:rsid w:val="009E1C07"/>
    <w:rsid w:val="009E4516"/>
    <w:rsid w:val="009E4B0D"/>
    <w:rsid w:val="009F5923"/>
    <w:rsid w:val="009F66AC"/>
    <w:rsid w:val="00A07280"/>
    <w:rsid w:val="00A32912"/>
    <w:rsid w:val="00A3632F"/>
    <w:rsid w:val="00A403BB"/>
    <w:rsid w:val="00A50A52"/>
    <w:rsid w:val="00A6441F"/>
    <w:rsid w:val="00A65FD6"/>
    <w:rsid w:val="00A667E7"/>
    <w:rsid w:val="00A674DF"/>
    <w:rsid w:val="00A747E9"/>
    <w:rsid w:val="00A8127B"/>
    <w:rsid w:val="00A83AA6"/>
    <w:rsid w:val="00A91D19"/>
    <w:rsid w:val="00AA6E8A"/>
    <w:rsid w:val="00AB1887"/>
    <w:rsid w:val="00AB395F"/>
    <w:rsid w:val="00AB5E44"/>
    <w:rsid w:val="00AC3BEF"/>
    <w:rsid w:val="00AC5736"/>
    <w:rsid w:val="00AD00E5"/>
    <w:rsid w:val="00AD21DE"/>
    <w:rsid w:val="00AE1809"/>
    <w:rsid w:val="00AE1D62"/>
    <w:rsid w:val="00AF07B6"/>
    <w:rsid w:val="00AF63EE"/>
    <w:rsid w:val="00AF756B"/>
    <w:rsid w:val="00B03907"/>
    <w:rsid w:val="00B04B38"/>
    <w:rsid w:val="00B14623"/>
    <w:rsid w:val="00B33A71"/>
    <w:rsid w:val="00B37F57"/>
    <w:rsid w:val="00B429E0"/>
    <w:rsid w:val="00B51F57"/>
    <w:rsid w:val="00B61587"/>
    <w:rsid w:val="00B6326B"/>
    <w:rsid w:val="00B80D76"/>
    <w:rsid w:val="00B94B3B"/>
    <w:rsid w:val="00BA2105"/>
    <w:rsid w:val="00BA26FC"/>
    <w:rsid w:val="00BA7E06"/>
    <w:rsid w:val="00BB3F07"/>
    <w:rsid w:val="00BB43B5"/>
    <w:rsid w:val="00BB6219"/>
    <w:rsid w:val="00BC6F4F"/>
    <w:rsid w:val="00BD0A7D"/>
    <w:rsid w:val="00BD290F"/>
    <w:rsid w:val="00BD7822"/>
    <w:rsid w:val="00BE0806"/>
    <w:rsid w:val="00BE3BF4"/>
    <w:rsid w:val="00BE45E6"/>
    <w:rsid w:val="00BF246E"/>
    <w:rsid w:val="00BF348E"/>
    <w:rsid w:val="00C05B94"/>
    <w:rsid w:val="00C14CC4"/>
    <w:rsid w:val="00C166C2"/>
    <w:rsid w:val="00C26F3C"/>
    <w:rsid w:val="00C277F1"/>
    <w:rsid w:val="00C303F6"/>
    <w:rsid w:val="00C33C52"/>
    <w:rsid w:val="00C40D8B"/>
    <w:rsid w:val="00C5229A"/>
    <w:rsid w:val="00C54997"/>
    <w:rsid w:val="00C65A55"/>
    <w:rsid w:val="00C80BFC"/>
    <w:rsid w:val="00C82CAF"/>
    <w:rsid w:val="00C8407A"/>
    <w:rsid w:val="00C8488C"/>
    <w:rsid w:val="00C86E91"/>
    <w:rsid w:val="00C87E62"/>
    <w:rsid w:val="00C941BA"/>
    <w:rsid w:val="00C97934"/>
    <w:rsid w:val="00CA252B"/>
    <w:rsid w:val="00CA2650"/>
    <w:rsid w:val="00CB0923"/>
    <w:rsid w:val="00CB1078"/>
    <w:rsid w:val="00CC2BC8"/>
    <w:rsid w:val="00CC4862"/>
    <w:rsid w:val="00CC6FAF"/>
    <w:rsid w:val="00CD6D60"/>
    <w:rsid w:val="00CE53B0"/>
    <w:rsid w:val="00CE63D3"/>
    <w:rsid w:val="00CF3954"/>
    <w:rsid w:val="00D03843"/>
    <w:rsid w:val="00D11B6D"/>
    <w:rsid w:val="00D122EB"/>
    <w:rsid w:val="00D24698"/>
    <w:rsid w:val="00D2703D"/>
    <w:rsid w:val="00D36E48"/>
    <w:rsid w:val="00D40E0D"/>
    <w:rsid w:val="00D527D0"/>
    <w:rsid w:val="00D551E3"/>
    <w:rsid w:val="00D55D32"/>
    <w:rsid w:val="00D56351"/>
    <w:rsid w:val="00D570C7"/>
    <w:rsid w:val="00D6150F"/>
    <w:rsid w:val="00D6383F"/>
    <w:rsid w:val="00D76E17"/>
    <w:rsid w:val="00D95F1B"/>
    <w:rsid w:val="00DA7750"/>
    <w:rsid w:val="00DB01D4"/>
    <w:rsid w:val="00DB27E8"/>
    <w:rsid w:val="00DB59D0"/>
    <w:rsid w:val="00DC33D3"/>
    <w:rsid w:val="00DC608D"/>
    <w:rsid w:val="00DC7965"/>
    <w:rsid w:val="00DD226F"/>
    <w:rsid w:val="00DD462B"/>
    <w:rsid w:val="00DD58B8"/>
    <w:rsid w:val="00DD63D4"/>
    <w:rsid w:val="00DD652B"/>
    <w:rsid w:val="00DE1414"/>
    <w:rsid w:val="00DE250A"/>
    <w:rsid w:val="00DE2EA3"/>
    <w:rsid w:val="00DE364B"/>
    <w:rsid w:val="00DE5C68"/>
    <w:rsid w:val="00DE6F00"/>
    <w:rsid w:val="00DE78EF"/>
    <w:rsid w:val="00DF11F6"/>
    <w:rsid w:val="00DF1263"/>
    <w:rsid w:val="00DF6F8C"/>
    <w:rsid w:val="00DF726B"/>
    <w:rsid w:val="00DF74DF"/>
    <w:rsid w:val="00E01D0A"/>
    <w:rsid w:val="00E03459"/>
    <w:rsid w:val="00E0701E"/>
    <w:rsid w:val="00E113AF"/>
    <w:rsid w:val="00E11783"/>
    <w:rsid w:val="00E12E6B"/>
    <w:rsid w:val="00E14D82"/>
    <w:rsid w:val="00E21E50"/>
    <w:rsid w:val="00E2468B"/>
    <w:rsid w:val="00E26329"/>
    <w:rsid w:val="00E31FDD"/>
    <w:rsid w:val="00E3482D"/>
    <w:rsid w:val="00E40B50"/>
    <w:rsid w:val="00E50293"/>
    <w:rsid w:val="00E56836"/>
    <w:rsid w:val="00E65FFC"/>
    <w:rsid w:val="00E74051"/>
    <w:rsid w:val="00E80951"/>
    <w:rsid w:val="00E854FE"/>
    <w:rsid w:val="00E86CC6"/>
    <w:rsid w:val="00E91BFD"/>
    <w:rsid w:val="00E9245D"/>
    <w:rsid w:val="00E94CFF"/>
    <w:rsid w:val="00EA39F3"/>
    <w:rsid w:val="00EA5FBC"/>
    <w:rsid w:val="00EB11A7"/>
    <w:rsid w:val="00EB451F"/>
    <w:rsid w:val="00EB56B3"/>
    <w:rsid w:val="00EB6743"/>
    <w:rsid w:val="00ED6492"/>
    <w:rsid w:val="00EE3C7F"/>
    <w:rsid w:val="00EF110E"/>
    <w:rsid w:val="00EF2095"/>
    <w:rsid w:val="00EF5022"/>
    <w:rsid w:val="00EF51D4"/>
    <w:rsid w:val="00F00F00"/>
    <w:rsid w:val="00F06866"/>
    <w:rsid w:val="00F10051"/>
    <w:rsid w:val="00F12A41"/>
    <w:rsid w:val="00F15956"/>
    <w:rsid w:val="00F24CFC"/>
    <w:rsid w:val="00F2709B"/>
    <w:rsid w:val="00F3170F"/>
    <w:rsid w:val="00F34034"/>
    <w:rsid w:val="00F3484B"/>
    <w:rsid w:val="00F35C89"/>
    <w:rsid w:val="00F36A54"/>
    <w:rsid w:val="00F36A65"/>
    <w:rsid w:val="00F42E06"/>
    <w:rsid w:val="00F51447"/>
    <w:rsid w:val="00F52E4B"/>
    <w:rsid w:val="00F6093A"/>
    <w:rsid w:val="00F60F5D"/>
    <w:rsid w:val="00F6366C"/>
    <w:rsid w:val="00F654D3"/>
    <w:rsid w:val="00F66363"/>
    <w:rsid w:val="00F6693B"/>
    <w:rsid w:val="00F66DAF"/>
    <w:rsid w:val="00F66E93"/>
    <w:rsid w:val="00F74507"/>
    <w:rsid w:val="00F81198"/>
    <w:rsid w:val="00F823C8"/>
    <w:rsid w:val="00F85BD8"/>
    <w:rsid w:val="00F976B0"/>
    <w:rsid w:val="00FA102E"/>
    <w:rsid w:val="00FA60E5"/>
    <w:rsid w:val="00FA6DE7"/>
    <w:rsid w:val="00FB0BD2"/>
    <w:rsid w:val="00FB1F72"/>
    <w:rsid w:val="00FB3312"/>
    <w:rsid w:val="00FB4B16"/>
    <w:rsid w:val="00FB4FEA"/>
    <w:rsid w:val="00FC0A8E"/>
    <w:rsid w:val="00FC173F"/>
    <w:rsid w:val="00FC24FD"/>
    <w:rsid w:val="00FC2A56"/>
    <w:rsid w:val="00FD3705"/>
    <w:rsid w:val="00FD6E15"/>
    <w:rsid w:val="00FE07DE"/>
    <w:rsid w:val="00FE2909"/>
    <w:rsid w:val="00FE2FA6"/>
    <w:rsid w:val="00FE3DF2"/>
    <w:rsid w:val="00FE7515"/>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 w:type="paragraph" w:styleId="FootnoteText">
    <w:name w:val="footnote text"/>
    <w:basedOn w:val="Normal"/>
    <w:link w:val="FootnoteTextChar"/>
    <w:uiPriority w:val="99"/>
    <w:semiHidden/>
    <w:unhideWhenUsed/>
    <w:rsid w:val="00880869"/>
    <w:rPr>
      <w:sz w:val="20"/>
      <w:szCs w:val="20"/>
    </w:rPr>
  </w:style>
  <w:style w:type="character" w:customStyle="1" w:styleId="FootnoteTextChar">
    <w:name w:val="Footnote Text Char"/>
    <w:basedOn w:val="DefaultParagraphFont"/>
    <w:link w:val="FootnoteText"/>
    <w:uiPriority w:val="99"/>
    <w:semiHidden/>
    <w:rsid w:val="00880869"/>
  </w:style>
  <w:style w:type="character" w:styleId="FootnoteReference">
    <w:name w:val="footnote reference"/>
    <w:basedOn w:val="DefaultParagraphFont"/>
    <w:uiPriority w:val="99"/>
    <w:semiHidden/>
    <w:unhideWhenUsed/>
    <w:rsid w:val="008808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 w:type="paragraph" w:styleId="FootnoteText">
    <w:name w:val="footnote text"/>
    <w:basedOn w:val="Normal"/>
    <w:link w:val="FootnoteTextChar"/>
    <w:uiPriority w:val="99"/>
    <w:semiHidden/>
    <w:unhideWhenUsed/>
    <w:rsid w:val="00880869"/>
    <w:rPr>
      <w:sz w:val="20"/>
      <w:szCs w:val="20"/>
    </w:rPr>
  </w:style>
  <w:style w:type="character" w:customStyle="1" w:styleId="FootnoteTextChar">
    <w:name w:val="Footnote Text Char"/>
    <w:basedOn w:val="DefaultParagraphFont"/>
    <w:link w:val="FootnoteText"/>
    <w:uiPriority w:val="99"/>
    <w:semiHidden/>
    <w:rsid w:val="00880869"/>
  </w:style>
  <w:style w:type="character" w:styleId="FootnoteReference">
    <w:name w:val="footnote reference"/>
    <w:basedOn w:val="DefaultParagraphFont"/>
    <w:uiPriority w:val="99"/>
    <w:semiHidden/>
    <w:unhideWhenUsed/>
    <w:rsid w:val="00880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2103">
      <w:bodyDiv w:val="1"/>
      <w:marLeft w:val="0"/>
      <w:marRight w:val="0"/>
      <w:marTop w:val="0"/>
      <w:marBottom w:val="0"/>
      <w:divBdr>
        <w:top w:val="none" w:sz="0" w:space="0" w:color="auto"/>
        <w:left w:val="none" w:sz="0" w:space="0" w:color="auto"/>
        <w:bottom w:val="none" w:sz="0" w:space="0" w:color="auto"/>
        <w:right w:val="none" w:sz="0" w:space="0" w:color="auto"/>
      </w:divBdr>
    </w:div>
    <w:div w:id="168377145">
      <w:bodyDiv w:val="1"/>
      <w:marLeft w:val="0"/>
      <w:marRight w:val="0"/>
      <w:marTop w:val="0"/>
      <w:marBottom w:val="0"/>
      <w:divBdr>
        <w:top w:val="none" w:sz="0" w:space="0" w:color="auto"/>
        <w:left w:val="none" w:sz="0" w:space="0" w:color="auto"/>
        <w:bottom w:val="none" w:sz="0" w:space="0" w:color="auto"/>
        <w:right w:val="none" w:sz="0" w:space="0" w:color="auto"/>
      </w:divBdr>
    </w:div>
    <w:div w:id="505897814">
      <w:bodyDiv w:val="1"/>
      <w:marLeft w:val="0"/>
      <w:marRight w:val="0"/>
      <w:marTop w:val="0"/>
      <w:marBottom w:val="0"/>
      <w:divBdr>
        <w:top w:val="none" w:sz="0" w:space="0" w:color="auto"/>
        <w:left w:val="none" w:sz="0" w:space="0" w:color="auto"/>
        <w:bottom w:val="none" w:sz="0" w:space="0" w:color="auto"/>
        <w:right w:val="none" w:sz="0" w:space="0" w:color="auto"/>
      </w:divBdr>
    </w:div>
    <w:div w:id="547957476">
      <w:bodyDiv w:val="1"/>
      <w:marLeft w:val="0"/>
      <w:marRight w:val="0"/>
      <w:marTop w:val="0"/>
      <w:marBottom w:val="0"/>
      <w:divBdr>
        <w:top w:val="none" w:sz="0" w:space="0" w:color="auto"/>
        <w:left w:val="none" w:sz="0" w:space="0" w:color="auto"/>
        <w:bottom w:val="none" w:sz="0" w:space="0" w:color="auto"/>
        <w:right w:val="none" w:sz="0" w:space="0" w:color="auto"/>
      </w:divBdr>
    </w:div>
    <w:div w:id="1682273046">
      <w:marLeft w:val="0"/>
      <w:marRight w:val="0"/>
      <w:marTop w:val="0"/>
      <w:marBottom w:val="0"/>
      <w:divBdr>
        <w:top w:val="none" w:sz="0" w:space="0" w:color="auto"/>
        <w:left w:val="none" w:sz="0" w:space="0" w:color="auto"/>
        <w:bottom w:val="none" w:sz="0" w:space="0" w:color="auto"/>
        <w:right w:val="none" w:sz="0" w:space="0" w:color="auto"/>
      </w:divBdr>
    </w:div>
    <w:div w:id="1682273047">
      <w:marLeft w:val="0"/>
      <w:marRight w:val="0"/>
      <w:marTop w:val="0"/>
      <w:marBottom w:val="0"/>
      <w:divBdr>
        <w:top w:val="none" w:sz="0" w:space="0" w:color="auto"/>
        <w:left w:val="none" w:sz="0" w:space="0" w:color="auto"/>
        <w:bottom w:val="none" w:sz="0" w:space="0" w:color="auto"/>
        <w:right w:val="none" w:sz="0" w:space="0" w:color="auto"/>
      </w:divBdr>
    </w:div>
    <w:div w:id="1682273048">
      <w:marLeft w:val="0"/>
      <w:marRight w:val="0"/>
      <w:marTop w:val="0"/>
      <w:marBottom w:val="0"/>
      <w:divBdr>
        <w:top w:val="none" w:sz="0" w:space="0" w:color="auto"/>
        <w:left w:val="none" w:sz="0" w:space="0" w:color="auto"/>
        <w:bottom w:val="none" w:sz="0" w:space="0" w:color="auto"/>
        <w:right w:val="none" w:sz="0" w:space="0" w:color="auto"/>
      </w:divBdr>
    </w:div>
    <w:div w:id="1715427882">
      <w:bodyDiv w:val="1"/>
      <w:marLeft w:val="0"/>
      <w:marRight w:val="0"/>
      <w:marTop w:val="0"/>
      <w:marBottom w:val="0"/>
      <w:divBdr>
        <w:top w:val="none" w:sz="0" w:space="0" w:color="auto"/>
        <w:left w:val="none" w:sz="0" w:space="0" w:color="auto"/>
        <w:bottom w:val="none" w:sz="0" w:space="0" w:color="auto"/>
        <w:right w:val="none" w:sz="0" w:space="0" w:color="auto"/>
      </w:divBdr>
    </w:div>
    <w:div w:id="2048219364">
      <w:bodyDiv w:val="1"/>
      <w:marLeft w:val="0"/>
      <w:marRight w:val="0"/>
      <w:marTop w:val="0"/>
      <w:marBottom w:val="0"/>
      <w:divBdr>
        <w:top w:val="none" w:sz="0" w:space="0" w:color="auto"/>
        <w:left w:val="none" w:sz="0" w:space="0" w:color="auto"/>
        <w:bottom w:val="none" w:sz="0" w:space="0" w:color="auto"/>
        <w:right w:val="none" w:sz="0" w:space="0" w:color="auto"/>
      </w:divBdr>
    </w:div>
    <w:div w:id="2140607293">
      <w:bodyDiv w:val="1"/>
      <w:marLeft w:val="0"/>
      <w:marRight w:val="0"/>
      <w:marTop w:val="0"/>
      <w:marBottom w:val="0"/>
      <w:divBdr>
        <w:top w:val="none" w:sz="0" w:space="0" w:color="auto"/>
        <w:left w:val="none" w:sz="0" w:space="0" w:color="auto"/>
        <w:bottom w:val="none" w:sz="0" w:space="0" w:color="auto"/>
        <w:right w:val="none" w:sz="0" w:space="0" w:color="auto"/>
      </w:divBdr>
    </w:div>
    <w:div w:id="21417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theatlantic.com/magazine/archive/2019/04/why-americans-dont-cheat-on-their-taxes/583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6410-DC55-4B7F-8406-C37ACBB0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2019-04-16T12:17:00Z</cp:lastPrinted>
  <dcterms:created xsi:type="dcterms:W3CDTF">2019-08-15T19:25:00Z</dcterms:created>
  <dcterms:modified xsi:type="dcterms:W3CDTF">2019-08-15T19:25:00Z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