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0DEC8" w14:textId="77777777" w:rsidR="00AF1157" w:rsidRPr="007A5D4B" w:rsidRDefault="00AF1157" w:rsidP="00FC2035">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9AF93FF" w14:textId="77777777" w:rsidR="00AF1157" w:rsidRPr="00BF5C2D" w:rsidRDefault="00AF1157" w:rsidP="00FC2035">
      <w:pPr>
        <w:suppressAutoHyphens/>
        <w:jc w:val="center"/>
        <w:rPr>
          <w:rFonts w:ascii="Arial" w:hAnsi="Arial" w:cs="Arial"/>
          <w:b/>
          <w:sz w:val="28"/>
          <w:szCs w:val="28"/>
        </w:rPr>
      </w:pPr>
    </w:p>
    <w:p w14:paraId="7FCD627E" w14:textId="77777777" w:rsidR="00AF1157" w:rsidRPr="007A5D4B" w:rsidRDefault="00AF1157" w:rsidP="00FC2035">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5487935" w14:textId="77777777" w:rsidR="00AF1157" w:rsidRPr="00BF5C2D" w:rsidRDefault="00AF1157" w:rsidP="00FC2035">
      <w:pPr>
        <w:suppressAutoHyphens/>
        <w:jc w:val="center"/>
        <w:rPr>
          <w:rFonts w:ascii="Arial" w:hAnsi="Arial" w:cs="Arial"/>
          <w:b/>
          <w:sz w:val="28"/>
          <w:szCs w:val="28"/>
        </w:rPr>
      </w:pPr>
    </w:p>
    <w:p w14:paraId="485E9C6D" w14:textId="77777777" w:rsidR="00AF1157" w:rsidRPr="007A5D4B" w:rsidRDefault="00AF1157" w:rsidP="00FC2035">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70A3E7F2" w14:textId="77777777" w:rsidR="00AF1157" w:rsidRPr="00BF5C2D" w:rsidRDefault="00AF1157" w:rsidP="00FC2035">
      <w:pPr>
        <w:suppressAutoHyphens/>
        <w:jc w:val="center"/>
        <w:rPr>
          <w:rFonts w:ascii="Arial" w:hAnsi="Arial" w:cs="Arial"/>
          <w:b/>
          <w:sz w:val="28"/>
          <w:szCs w:val="28"/>
        </w:rPr>
      </w:pPr>
    </w:p>
    <w:p w14:paraId="5B0633C3" w14:textId="77777777" w:rsidR="00AF1157" w:rsidRPr="00BF5C2D" w:rsidRDefault="00AF1157" w:rsidP="00FC2035">
      <w:pPr>
        <w:suppressAutoHyphens/>
        <w:jc w:val="center"/>
        <w:rPr>
          <w:rFonts w:ascii="Arial" w:hAnsi="Arial" w:cs="Arial"/>
          <w:b/>
          <w:sz w:val="22"/>
          <w:szCs w:val="22"/>
          <w:u w:val="single"/>
        </w:rPr>
      </w:pPr>
      <w:r w:rsidRPr="00BF5C2D">
        <w:rPr>
          <w:rFonts w:ascii="Arial" w:hAnsi="Arial" w:cs="Arial"/>
          <w:b/>
          <w:sz w:val="22"/>
          <w:szCs w:val="22"/>
          <w:u w:val="single"/>
        </w:rPr>
        <w:t>OMB Control Number 1513</w:t>
      </w:r>
      <w:r w:rsidR="00D73D2D" w:rsidRPr="00BF5C2D">
        <w:rPr>
          <w:rFonts w:ascii="Arial" w:hAnsi="Arial" w:cs="Arial"/>
          <w:b/>
          <w:sz w:val="22"/>
          <w:szCs w:val="22"/>
          <w:u w:val="single"/>
        </w:rPr>
        <w:t>–</w:t>
      </w:r>
      <w:r w:rsidR="006501BD" w:rsidRPr="00BF5C2D">
        <w:rPr>
          <w:rFonts w:ascii="Arial" w:hAnsi="Arial" w:cs="Arial"/>
          <w:b/>
          <w:sz w:val="22"/>
          <w:szCs w:val="22"/>
          <w:u w:val="single"/>
        </w:rPr>
        <w:t>0072</w:t>
      </w:r>
      <w:r w:rsidR="00987432" w:rsidRPr="00BF5C2D">
        <w:rPr>
          <w:rFonts w:ascii="Arial" w:hAnsi="Arial" w:cs="Arial"/>
          <w:b/>
          <w:sz w:val="22"/>
          <w:szCs w:val="22"/>
          <w:u w:val="single"/>
        </w:rPr>
        <w:t xml:space="preserve"> </w:t>
      </w:r>
    </w:p>
    <w:p w14:paraId="50EB3685" w14:textId="77777777" w:rsidR="00D73D2D" w:rsidRPr="00BF5C2D" w:rsidRDefault="00D73D2D" w:rsidP="00BF5C2D">
      <w:pPr>
        <w:suppressAutoHyphens/>
        <w:jc w:val="center"/>
        <w:rPr>
          <w:rFonts w:ascii="Arial" w:hAnsi="Arial" w:cs="Arial"/>
          <w:b/>
          <w:sz w:val="28"/>
          <w:szCs w:val="28"/>
        </w:rPr>
      </w:pPr>
    </w:p>
    <w:p w14:paraId="6078A758" w14:textId="0EABBCCD" w:rsidR="00E86B1B" w:rsidRPr="00BF5C2D" w:rsidRDefault="006501BD" w:rsidP="00BF5C2D">
      <w:pPr>
        <w:jc w:val="center"/>
        <w:rPr>
          <w:rFonts w:ascii="Arial" w:hAnsi="Arial" w:cs="Arial"/>
          <w:b/>
          <w:sz w:val="22"/>
          <w:szCs w:val="22"/>
        </w:rPr>
      </w:pPr>
      <w:r w:rsidRPr="00BF5C2D">
        <w:rPr>
          <w:rFonts w:ascii="Arial" w:hAnsi="Arial" w:cs="Arial"/>
          <w:b/>
          <w:sz w:val="22"/>
          <w:szCs w:val="22"/>
        </w:rPr>
        <w:t>Applications and Notices</w:t>
      </w:r>
      <w:r w:rsidR="00FA0F1C" w:rsidRPr="00BF5C2D">
        <w:rPr>
          <w:rFonts w:ascii="Arial" w:hAnsi="Arial" w:cs="Arial"/>
          <w:b/>
          <w:sz w:val="22"/>
          <w:szCs w:val="22"/>
        </w:rPr>
        <w:t>—</w:t>
      </w:r>
      <w:r w:rsidRPr="00BF5C2D">
        <w:rPr>
          <w:rFonts w:ascii="Arial" w:hAnsi="Arial" w:cs="Arial"/>
          <w:b/>
          <w:sz w:val="22"/>
          <w:szCs w:val="22"/>
        </w:rPr>
        <w:t>Manufacturers of Nonbeverage Products</w:t>
      </w:r>
      <w:r w:rsidR="00FA0F1C" w:rsidRPr="00BF5C2D">
        <w:rPr>
          <w:rFonts w:ascii="Arial" w:hAnsi="Arial" w:cs="Arial"/>
          <w:b/>
          <w:sz w:val="22"/>
          <w:szCs w:val="22"/>
        </w:rPr>
        <w:t xml:space="preserve"> (</w:t>
      </w:r>
      <w:r w:rsidRPr="00BF5C2D">
        <w:rPr>
          <w:rFonts w:ascii="Arial" w:hAnsi="Arial" w:cs="Arial"/>
          <w:b/>
          <w:sz w:val="22"/>
          <w:szCs w:val="22"/>
        </w:rPr>
        <w:t>TTB REC 5530/1</w:t>
      </w:r>
      <w:r w:rsidR="00FA0F1C" w:rsidRPr="00BF5C2D">
        <w:rPr>
          <w:rFonts w:ascii="Arial" w:hAnsi="Arial" w:cs="Arial"/>
          <w:b/>
          <w:sz w:val="22"/>
          <w:szCs w:val="22"/>
        </w:rPr>
        <w:t>)</w:t>
      </w:r>
      <w:r w:rsidRPr="00BF5C2D">
        <w:rPr>
          <w:rFonts w:ascii="Arial" w:hAnsi="Arial" w:cs="Arial"/>
          <w:b/>
          <w:sz w:val="22"/>
          <w:szCs w:val="22"/>
        </w:rPr>
        <w:t>.</w:t>
      </w:r>
      <w:r w:rsidR="00BF5C2D">
        <w:rPr>
          <w:rFonts w:ascii="Arial" w:hAnsi="Arial" w:cs="Arial"/>
          <w:b/>
          <w:sz w:val="22"/>
          <w:szCs w:val="22"/>
        </w:rPr>
        <w:t xml:space="preserve"> </w:t>
      </w:r>
    </w:p>
    <w:p w14:paraId="0FB8CEA9" w14:textId="77777777" w:rsidR="006501BD" w:rsidRPr="00BF5C2D" w:rsidRDefault="006501BD" w:rsidP="00FC2035">
      <w:pPr>
        <w:rPr>
          <w:rFonts w:ascii="Arial" w:hAnsi="Arial" w:cs="Arial"/>
          <w:sz w:val="36"/>
          <w:szCs w:val="36"/>
          <w:highlight w:val="yellow"/>
        </w:rPr>
      </w:pPr>
    </w:p>
    <w:p w14:paraId="15A5875E" w14:textId="77777777" w:rsidR="00AF1157" w:rsidRPr="007A5D4B" w:rsidRDefault="00AF1157" w:rsidP="00FC203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A46D5C0" w14:textId="77777777" w:rsidR="00AF1157" w:rsidRPr="007A5D4B" w:rsidRDefault="00AF1157" w:rsidP="00FC2035">
      <w:pPr>
        <w:suppressAutoHyphens/>
        <w:rPr>
          <w:rFonts w:ascii="Arial" w:hAnsi="Arial" w:cs="Arial"/>
          <w:sz w:val="22"/>
          <w:szCs w:val="22"/>
        </w:rPr>
      </w:pPr>
    </w:p>
    <w:p w14:paraId="5A82EDDB" w14:textId="77777777" w:rsidR="00AF1157" w:rsidRPr="007A5D4B" w:rsidRDefault="00D73D2D" w:rsidP="00FC2035">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BEBD2DB" w14:textId="77777777" w:rsidR="00AF1157" w:rsidRDefault="00AF1157" w:rsidP="00FC2035">
      <w:pPr>
        <w:ind w:left="360"/>
        <w:rPr>
          <w:rFonts w:ascii="Arial" w:hAnsi="Arial" w:cs="Arial"/>
          <w:sz w:val="22"/>
          <w:szCs w:val="22"/>
        </w:rPr>
      </w:pPr>
    </w:p>
    <w:p w14:paraId="510515C4" w14:textId="36617B1F" w:rsidR="003A4DFA" w:rsidRDefault="00B06EE5" w:rsidP="00FC2035">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w:t>
      </w:r>
      <w:r w:rsidR="00BF5C2D">
        <w:rPr>
          <w:rFonts w:ascii="Arial" w:hAnsi="Arial" w:cs="Arial"/>
          <w:sz w:val="22"/>
          <w:szCs w:val="22"/>
        </w:rPr>
        <w:t xml:space="preserve">(the Secretary) </w:t>
      </w:r>
      <w:r w:rsidR="003A4DFA" w:rsidRPr="00987432">
        <w:rPr>
          <w:rFonts w:ascii="Arial" w:hAnsi="Arial" w:cs="Arial"/>
          <w:sz w:val="22"/>
          <w:szCs w:val="22"/>
        </w:rPr>
        <w:t xml:space="preserve">has delegated certain IRC administrative and enforcement authorities to TTB through Treasury Order 120–01. </w:t>
      </w:r>
    </w:p>
    <w:p w14:paraId="4B20E3EF" w14:textId="77777777" w:rsidR="000B6799" w:rsidRDefault="000B6799" w:rsidP="00FC2035">
      <w:pPr>
        <w:ind w:left="360"/>
        <w:rPr>
          <w:rFonts w:ascii="Arial" w:hAnsi="Arial" w:cs="Arial"/>
          <w:sz w:val="22"/>
          <w:szCs w:val="22"/>
        </w:rPr>
      </w:pPr>
    </w:p>
    <w:p w14:paraId="10AB3AB4" w14:textId="123BF2ED" w:rsidR="00BC35C8" w:rsidRDefault="00BC35C8" w:rsidP="00BC35C8">
      <w:pPr>
        <w:tabs>
          <w:tab w:val="left" w:pos="540"/>
        </w:tabs>
        <w:ind w:left="360"/>
        <w:rPr>
          <w:rFonts w:ascii="Arial" w:hAnsi="Arial" w:cs="Arial"/>
          <w:sz w:val="22"/>
          <w:szCs w:val="22"/>
        </w:rPr>
      </w:pPr>
      <w:r>
        <w:rPr>
          <w:rFonts w:ascii="Arial" w:hAnsi="Arial" w:cs="Arial"/>
          <w:sz w:val="22"/>
          <w:szCs w:val="22"/>
        </w:rPr>
        <w:t>In general, t</w:t>
      </w:r>
      <w:r w:rsidRPr="00CD0FD9">
        <w:rPr>
          <w:rFonts w:ascii="Arial" w:hAnsi="Arial" w:cs="Arial"/>
          <w:sz w:val="22"/>
          <w:szCs w:val="22"/>
        </w:rPr>
        <w:t xml:space="preserve">he IRC at 26 U.S.C. 5001 imposes Federal excise tax </w:t>
      </w:r>
      <w:r>
        <w:rPr>
          <w:rFonts w:ascii="Arial" w:hAnsi="Arial" w:cs="Arial"/>
          <w:sz w:val="22"/>
          <w:szCs w:val="22"/>
        </w:rPr>
        <w:t xml:space="preserve">on each proof gallon of </w:t>
      </w:r>
      <w:r w:rsidRPr="00CD0FD9">
        <w:rPr>
          <w:rFonts w:ascii="Arial" w:hAnsi="Arial" w:cs="Arial"/>
          <w:sz w:val="22"/>
          <w:szCs w:val="22"/>
        </w:rPr>
        <w:t xml:space="preserve">distilled spirits produced in or imported into the United States.  </w:t>
      </w:r>
      <w:r>
        <w:rPr>
          <w:rFonts w:ascii="Arial" w:hAnsi="Arial" w:cs="Arial"/>
          <w:sz w:val="22"/>
          <w:szCs w:val="22"/>
        </w:rPr>
        <w:t>However, u</w:t>
      </w:r>
      <w:r w:rsidRPr="00CD0FD9">
        <w:rPr>
          <w:rFonts w:ascii="Arial" w:hAnsi="Arial" w:cs="Arial"/>
          <w:sz w:val="22"/>
          <w:szCs w:val="22"/>
        </w:rPr>
        <w:t xml:space="preserve">nder the IRC at 26 U.S.C. 5111–5114, persons using distilled spirits to produce medicines, medicinal preparations, food products, flavors, flavoring extracts, or perfume may claim drawback (refund) of all but $1.00 per proof gallon of the Federal excise tax paid on </w:t>
      </w:r>
      <w:r>
        <w:rPr>
          <w:rFonts w:ascii="Arial" w:hAnsi="Arial" w:cs="Arial"/>
          <w:sz w:val="22"/>
          <w:szCs w:val="22"/>
        </w:rPr>
        <w:t xml:space="preserve">the distilled </w:t>
      </w:r>
      <w:r w:rsidRPr="00CD0FD9">
        <w:rPr>
          <w:rFonts w:ascii="Arial" w:hAnsi="Arial" w:cs="Arial"/>
          <w:sz w:val="22"/>
          <w:szCs w:val="22"/>
        </w:rPr>
        <w:t>spirits used to make such nonbeverage products, subject to regulation</w:t>
      </w:r>
      <w:r>
        <w:rPr>
          <w:rFonts w:ascii="Arial" w:hAnsi="Arial" w:cs="Arial"/>
          <w:sz w:val="22"/>
          <w:szCs w:val="22"/>
        </w:rPr>
        <w:t xml:space="preserve">s issued by the Secretary “to secure the Treasury against frauds.” </w:t>
      </w:r>
    </w:p>
    <w:p w14:paraId="20E3191C" w14:textId="1AA07BF1" w:rsidR="00DC3C70" w:rsidRDefault="00DC3C70" w:rsidP="00BC35C8">
      <w:pPr>
        <w:tabs>
          <w:tab w:val="left" w:pos="540"/>
        </w:tabs>
        <w:ind w:left="360"/>
        <w:rPr>
          <w:rFonts w:ascii="Arial" w:hAnsi="Arial" w:cs="Arial"/>
          <w:sz w:val="22"/>
          <w:szCs w:val="22"/>
        </w:rPr>
      </w:pPr>
    </w:p>
    <w:p w14:paraId="23809F29" w14:textId="3640F73A" w:rsidR="006501BD" w:rsidRPr="006501BD" w:rsidRDefault="00DC3C70" w:rsidP="00153733">
      <w:pPr>
        <w:ind w:left="360"/>
        <w:rPr>
          <w:rFonts w:ascii="Arial" w:hAnsi="Arial" w:cs="Arial"/>
          <w:sz w:val="22"/>
          <w:szCs w:val="22"/>
        </w:rPr>
      </w:pPr>
      <w:r>
        <w:rPr>
          <w:rFonts w:ascii="Arial" w:hAnsi="Arial" w:cs="Arial"/>
          <w:sz w:val="22"/>
          <w:szCs w:val="22"/>
        </w:rPr>
        <w:t xml:space="preserve">Under those IRC authorities, </w:t>
      </w:r>
      <w:r w:rsidR="002C4702">
        <w:rPr>
          <w:rFonts w:ascii="Arial" w:hAnsi="Arial" w:cs="Arial"/>
          <w:sz w:val="22"/>
          <w:szCs w:val="22"/>
        </w:rPr>
        <w:t xml:space="preserve">the </w:t>
      </w:r>
      <w:r>
        <w:rPr>
          <w:rFonts w:ascii="Arial" w:hAnsi="Arial" w:cs="Arial"/>
          <w:sz w:val="22"/>
          <w:szCs w:val="22"/>
        </w:rPr>
        <w:t>TTB regulations in 27 CFR part 17</w:t>
      </w:r>
      <w:r w:rsidR="002C4702">
        <w:rPr>
          <w:rFonts w:ascii="Arial" w:hAnsi="Arial" w:cs="Arial"/>
          <w:sz w:val="22"/>
          <w:szCs w:val="22"/>
        </w:rPr>
        <w:t xml:space="preserve"> </w:t>
      </w:r>
      <w:r>
        <w:rPr>
          <w:rFonts w:ascii="Arial" w:hAnsi="Arial" w:cs="Arial"/>
          <w:sz w:val="22"/>
          <w:szCs w:val="22"/>
        </w:rPr>
        <w:t xml:space="preserve">require </w:t>
      </w:r>
      <w:r w:rsidR="00FC2035">
        <w:rPr>
          <w:rFonts w:ascii="Arial" w:hAnsi="Arial" w:cs="Arial"/>
          <w:sz w:val="22"/>
          <w:szCs w:val="22"/>
        </w:rPr>
        <w:t xml:space="preserve">manufacturers </w:t>
      </w:r>
      <w:r>
        <w:rPr>
          <w:rFonts w:ascii="Arial" w:hAnsi="Arial" w:cs="Arial"/>
          <w:sz w:val="22"/>
          <w:szCs w:val="22"/>
        </w:rPr>
        <w:t xml:space="preserve">to </w:t>
      </w:r>
      <w:r w:rsidR="00FC2035">
        <w:rPr>
          <w:rFonts w:ascii="Arial" w:hAnsi="Arial" w:cs="Arial"/>
          <w:sz w:val="22"/>
          <w:szCs w:val="22"/>
        </w:rPr>
        <w:t xml:space="preserve">submit </w:t>
      </w:r>
      <w:r w:rsidR="002C4702">
        <w:rPr>
          <w:rFonts w:ascii="Arial" w:hAnsi="Arial" w:cs="Arial"/>
          <w:sz w:val="22"/>
          <w:szCs w:val="22"/>
        </w:rPr>
        <w:t xml:space="preserve">certain </w:t>
      </w:r>
      <w:r>
        <w:rPr>
          <w:rFonts w:ascii="Arial" w:hAnsi="Arial" w:cs="Arial"/>
          <w:sz w:val="22"/>
          <w:szCs w:val="22"/>
        </w:rPr>
        <w:t>a</w:t>
      </w:r>
      <w:r w:rsidR="00FC2035">
        <w:rPr>
          <w:rFonts w:ascii="Arial" w:hAnsi="Arial" w:cs="Arial"/>
          <w:sz w:val="22"/>
          <w:szCs w:val="22"/>
        </w:rPr>
        <w:t>pplications</w:t>
      </w:r>
      <w:r w:rsidR="002C4702">
        <w:rPr>
          <w:rFonts w:ascii="Arial" w:hAnsi="Arial" w:cs="Arial"/>
          <w:sz w:val="22"/>
          <w:szCs w:val="22"/>
        </w:rPr>
        <w:t xml:space="preserve"> and notices to TTB</w:t>
      </w:r>
      <w:r w:rsidR="00D227B8">
        <w:rPr>
          <w:rFonts w:ascii="Arial" w:hAnsi="Arial" w:cs="Arial"/>
          <w:sz w:val="22"/>
          <w:szCs w:val="22"/>
        </w:rPr>
        <w:t xml:space="preserve"> regarding their use of distilled spirits in the production of nonbeverage products </w:t>
      </w:r>
      <w:r w:rsidR="00B85C53">
        <w:rPr>
          <w:rFonts w:ascii="Arial" w:hAnsi="Arial" w:cs="Arial"/>
          <w:sz w:val="22"/>
          <w:szCs w:val="22"/>
        </w:rPr>
        <w:t xml:space="preserve">eligible for </w:t>
      </w:r>
      <w:r w:rsidR="00D227B8">
        <w:rPr>
          <w:rFonts w:ascii="Arial" w:hAnsi="Arial" w:cs="Arial"/>
          <w:sz w:val="22"/>
          <w:szCs w:val="22"/>
        </w:rPr>
        <w:t xml:space="preserve">drawback.  </w:t>
      </w:r>
      <w:r w:rsidR="002C4702">
        <w:rPr>
          <w:rFonts w:ascii="Arial" w:hAnsi="Arial" w:cs="Arial"/>
          <w:sz w:val="22"/>
          <w:szCs w:val="22"/>
        </w:rPr>
        <w:t xml:space="preserve">The </w:t>
      </w:r>
      <w:r w:rsidR="00B85C53">
        <w:rPr>
          <w:rFonts w:ascii="Arial" w:hAnsi="Arial" w:cs="Arial"/>
          <w:sz w:val="22"/>
          <w:szCs w:val="22"/>
        </w:rPr>
        <w:t xml:space="preserve">required </w:t>
      </w:r>
      <w:r w:rsidR="002C4702">
        <w:rPr>
          <w:rFonts w:ascii="Arial" w:hAnsi="Arial" w:cs="Arial"/>
          <w:sz w:val="22"/>
          <w:szCs w:val="22"/>
        </w:rPr>
        <w:t xml:space="preserve">applications, </w:t>
      </w:r>
      <w:r w:rsidR="00FC2035">
        <w:rPr>
          <w:rFonts w:ascii="Arial" w:hAnsi="Arial" w:cs="Arial"/>
          <w:sz w:val="22"/>
          <w:szCs w:val="22"/>
        </w:rPr>
        <w:t xml:space="preserve">which require TTB approval, </w:t>
      </w:r>
      <w:r w:rsidR="002C4702">
        <w:rPr>
          <w:rFonts w:ascii="Arial" w:hAnsi="Arial" w:cs="Arial"/>
          <w:sz w:val="22"/>
          <w:szCs w:val="22"/>
        </w:rPr>
        <w:t xml:space="preserve">cover </w:t>
      </w:r>
      <w:r w:rsidR="00B85C53">
        <w:rPr>
          <w:rFonts w:ascii="Arial" w:hAnsi="Arial" w:cs="Arial"/>
          <w:sz w:val="22"/>
          <w:szCs w:val="22"/>
        </w:rPr>
        <w:t xml:space="preserve">nonbeverage </w:t>
      </w:r>
      <w:r>
        <w:rPr>
          <w:rFonts w:ascii="Arial" w:hAnsi="Arial" w:cs="Arial"/>
          <w:sz w:val="22"/>
          <w:szCs w:val="22"/>
        </w:rPr>
        <w:t>a</w:t>
      </w:r>
      <w:r w:rsidR="00FC2035">
        <w:rPr>
          <w:rFonts w:ascii="Arial" w:hAnsi="Arial" w:cs="Arial"/>
          <w:sz w:val="22"/>
          <w:szCs w:val="22"/>
        </w:rPr>
        <w:t>ctivities that present significant jeopardy to the revenue</w:t>
      </w:r>
      <w:r w:rsidR="002C4702">
        <w:rPr>
          <w:rFonts w:ascii="Arial" w:hAnsi="Arial" w:cs="Arial"/>
          <w:sz w:val="22"/>
          <w:szCs w:val="22"/>
        </w:rPr>
        <w:t>, while the required notices</w:t>
      </w:r>
      <w:r w:rsidR="00FC2035">
        <w:rPr>
          <w:rFonts w:ascii="Arial" w:hAnsi="Arial" w:cs="Arial"/>
          <w:sz w:val="22"/>
          <w:szCs w:val="22"/>
        </w:rPr>
        <w:t xml:space="preserve">, which do not require TTB approval, </w:t>
      </w:r>
      <w:r w:rsidR="002C4702">
        <w:rPr>
          <w:rFonts w:ascii="Arial" w:hAnsi="Arial" w:cs="Arial"/>
          <w:sz w:val="22"/>
          <w:szCs w:val="22"/>
        </w:rPr>
        <w:t xml:space="preserve">cover </w:t>
      </w:r>
      <w:r w:rsidR="00FC2035">
        <w:rPr>
          <w:rFonts w:ascii="Arial" w:hAnsi="Arial" w:cs="Arial"/>
          <w:sz w:val="22"/>
          <w:szCs w:val="22"/>
        </w:rPr>
        <w:t xml:space="preserve">activities that present less jeopardy to the revenue.  </w:t>
      </w:r>
      <w:r w:rsidR="002C4702">
        <w:rPr>
          <w:rFonts w:ascii="Arial" w:hAnsi="Arial" w:cs="Arial"/>
          <w:sz w:val="22"/>
          <w:szCs w:val="22"/>
        </w:rPr>
        <w:t xml:space="preserve">This </w:t>
      </w:r>
      <w:r w:rsidR="00D227B8">
        <w:rPr>
          <w:rFonts w:ascii="Arial" w:hAnsi="Arial" w:cs="Arial"/>
          <w:sz w:val="22"/>
          <w:szCs w:val="22"/>
        </w:rPr>
        <w:t xml:space="preserve">information </w:t>
      </w:r>
      <w:r w:rsidR="002C4702">
        <w:rPr>
          <w:rFonts w:ascii="Arial" w:hAnsi="Arial" w:cs="Arial"/>
          <w:sz w:val="22"/>
          <w:szCs w:val="22"/>
        </w:rPr>
        <w:t xml:space="preserve">collection is necessary to protect the revenue as it helps prevent diversion of distilled spirits to beverage use and ensures </w:t>
      </w:r>
      <w:r w:rsidR="006501BD" w:rsidRPr="006501BD">
        <w:rPr>
          <w:rFonts w:ascii="Arial" w:hAnsi="Arial" w:cs="Arial"/>
          <w:sz w:val="22"/>
          <w:szCs w:val="22"/>
        </w:rPr>
        <w:t xml:space="preserve">that </w:t>
      </w:r>
      <w:r w:rsidR="002C4702">
        <w:rPr>
          <w:rFonts w:ascii="Arial" w:hAnsi="Arial" w:cs="Arial"/>
          <w:sz w:val="22"/>
          <w:szCs w:val="22"/>
        </w:rPr>
        <w:t xml:space="preserve">nonbeverage </w:t>
      </w:r>
      <w:r w:rsidR="00D227B8">
        <w:rPr>
          <w:rFonts w:ascii="Arial" w:hAnsi="Arial" w:cs="Arial"/>
          <w:sz w:val="22"/>
          <w:szCs w:val="22"/>
        </w:rPr>
        <w:t xml:space="preserve">product </w:t>
      </w:r>
      <w:r w:rsidR="006501BD" w:rsidRPr="006501BD">
        <w:rPr>
          <w:rFonts w:ascii="Arial" w:hAnsi="Arial" w:cs="Arial"/>
          <w:sz w:val="22"/>
          <w:szCs w:val="22"/>
        </w:rPr>
        <w:t>activit</w:t>
      </w:r>
      <w:r w:rsidR="00D227B8">
        <w:rPr>
          <w:rFonts w:ascii="Arial" w:hAnsi="Arial" w:cs="Arial"/>
          <w:sz w:val="22"/>
          <w:szCs w:val="22"/>
        </w:rPr>
        <w:t>ies</w:t>
      </w:r>
      <w:r w:rsidR="006501BD" w:rsidRPr="006501BD">
        <w:rPr>
          <w:rFonts w:ascii="Arial" w:hAnsi="Arial" w:cs="Arial"/>
          <w:sz w:val="22"/>
          <w:szCs w:val="22"/>
        </w:rPr>
        <w:t xml:space="preserve"> </w:t>
      </w:r>
      <w:r w:rsidR="00D227B8">
        <w:rPr>
          <w:rFonts w:ascii="Arial" w:hAnsi="Arial" w:cs="Arial"/>
          <w:sz w:val="22"/>
          <w:szCs w:val="22"/>
        </w:rPr>
        <w:t xml:space="preserve">comply </w:t>
      </w:r>
      <w:r w:rsidR="002C4702">
        <w:rPr>
          <w:rFonts w:ascii="Arial" w:hAnsi="Arial" w:cs="Arial"/>
          <w:sz w:val="22"/>
          <w:szCs w:val="22"/>
        </w:rPr>
        <w:t>with the law and TTB regulations.</w:t>
      </w:r>
      <w:r w:rsidR="00A07689">
        <w:rPr>
          <w:rFonts w:ascii="Arial" w:hAnsi="Arial" w:cs="Arial"/>
          <w:sz w:val="22"/>
          <w:szCs w:val="22"/>
        </w:rPr>
        <w:t xml:space="preserve"> </w:t>
      </w:r>
    </w:p>
    <w:p w14:paraId="1866AAA9" w14:textId="77777777" w:rsidR="006501BD" w:rsidRPr="006501BD" w:rsidRDefault="006501BD" w:rsidP="00FC2035">
      <w:pPr>
        <w:autoSpaceDE w:val="0"/>
        <w:autoSpaceDN w:val="0"/>
        <w:adjustRightInd w:val="0"/>
        <w:ind w:left="360"/>
        <w:rPr>
          <w:rFonts w:ascii="Arial" w:hAnsi="Arial" w:cs="Arial"/>
          <w:sz w:val="22"/>
          <w:szCs w:val="22"/>
        </w:rPr>
      </w:pPr>
    </w:p>
    <w:p w14:paraId="35ADC2CD" w14:textId="44C0784C" w:rsidR="006501BD" w:rsidRPr="006501BD" w:rsidRDefault="006501BD" w:rsidP="00FC2035">
      <w:pPr>
        <w:autoSpaceDE w:val="0"/>
        <w:autoSpaceDN w:val="0"/>
        <w:adjustRightInd w:val="0"/>
        <w:ind w:left="360"/>
        <w:rPr>
          <w:rFonts w:ascii="Arial" w:hAnsi="Arial" w:cs="Arial"/>
          <w:sz w:val="22"/>
          <w:szCs w:val="22"/>
        </w:rPr>
      </w:pPr>
      <w:r w:rsidRPr="006501BD">
        <w:rPr>
          <w:rFonts w:ascii="Arial" w:hAnsi="Arial" w:cs="Arial"/>
          <w:sz w:val="22"/>
          <w:szCs w:val="22"/>
        </w:rPr>
        <w:t xml:space="preserve">The following </w:t>
      </w:r>
      <w:r w:rsidR="002C4702">
        <w:rPr>
          <w:rFonts w:ascii="Arial" w:hAnsi="Arial" w:cs="Arial"/>
          <w:sz w:val="22"/>
          <w:szCs w:val="22"/>
        </w:rPr>
        <w:t xml:space="preserve">regulations in </w:t>
      </w:r>
      <w:r w:rsidR="00A07689">
        <w:rPr>
          <w:rFonts w:ascii="Arial" w:hAnsi="Arial" w:cs="Arial"/>
          <w:sz w:val="22"/>
          <w:szCs w:val="22"/>
        </w:rPr>
        <w:t xml:space="preserve">27 CFR Part 17, Drawback on Taxpaid Distilled Spirits Used in Manufacturing Nonbeverage Products, </w:t>
      </w:r>
      <w:r w:rsidR="002C4702">
        <w:rPr>
          <w:rFonts w:ascii="Arial" w:hAnsi="Arial" w:cs="Arial"/>
          <w:sz w:val="22"/>
          <w:szCs w:val="22"/>
        </w:rPr>
        <w:t xml:space="preserve">contain the application and notice requirements covered under this information collection: </w:t>
      </w:r>
    </w:p>
    <w:p w14:paraId="66170F28" w14:textId="77777777" w:rsidR="006501BD" w:rsidRPr="006501BD" w:rsidRDefault="006501BD" w:rsidP="00FC2035">
      <w:pPr>
        <w:tabs>
          <w:tab w:val="left" w:pos="540"/>
        </w:tabs>
        <w:autoSpaceDE w:val="0"/>
        <w:autoSpaceDN w:val="0"/>
        <w:adjustRightInd w:val="0"/>
        <w:ind w:left="540" w:hanging="540"/>
        <w:rPr>
          <w:rFonts w:ascii="Arial" w:hAnsi="Arial" w:cs="Arial"/>
          <w:sz w:val="22"/>
          <w:szCs w:val="22"/>
        </w:rPr>
      </w:pPr>
    </w:p>
    <w:p w14:paraId="409EDF4B" w14:textId="77777777" w:rsidR="00274440" w:rsidRDefault="006501BD" w:rsidP="00274440">
      <w:pPr>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6501BD">
        <w:rPr>
          <w:rFonts w:ascii="Arial" w:hAnsi="Arial" w:cs="Arial"/>
          <w:sz w:val="22"/>
          <w:szCs w:val="22"/>
        </w:rPr>
        <w:t>17.3</w:t>
      </w:r>
      <w:r w:rsidRPr="006501BD">
        <w:rPr>
          <w:rFonts w:ascii="Arial" w:hAnsi="Arial" w:cs="Arial"/>
          <w:sz w:val="22"/>
          <w:szCs w:val="22"/>
        </w:rPr>
        <w:tab/>
        <w:t>17.111</w:t>
      </w:r>
      <w:r w:rsidRPr="006501BD">
        <w:rPr>
          <w:rFonts w:ascii="Arial" w:hAnsi="Arial" w:cs="Arial"/>
          <w:sz w:val="22"/>
          <w:szCs w:val="22"/>
        </w:rPr>
        <w:tab/>
        <w:t>17.112</w:t>
      </w:r>
      <w:r w:rsidRPr="006501BD">
        <w:rPr>
          <w:rFonts w:ascii="Arial" w:hAnsi="Arial" w:cs="Arial"/>
          <w:sz w:val="22"/>
          <w:szCs w:val="22"/>
        </w:rPr>
        <w:tab/>
      </w:r>
      <w:r w:rsidR="00442A02">
        <w:rPr>
          <w:rFonts w:ascii="Arial" w:hAnsi="Arial" w:cs="Arial"/>
          <w:sz w:val="22"/>
          <w:szCs w:val="22"/>
        </w:rPr>
        <w:t>17.122</w:t>
      </w:r>
      <w:r w:rsidR="00A07689">
        <w:rPr>
          <w:rFonts w:ascii="Arial" w:hAnsi="Arial" w:cs="Arial"/>
          <w:sz w:val="22"/>
          <w:szCs w:val="22"/>
        </w:rPr>
        <w:t xml:space="preserve"> </w:t>
      </w:r>
      <w:r w:rsidR="00274440">
        <w:rPr>
          <w:rFonts w:ascii="Arial" w:hAnsi="Arial" w:cs="Arial"/>
          <w:sz w:val="22"/>
          <w:szCs w:val="22"/>
        </w:rPr>
        <w:tab/>
      </w:r>
      <w:r w:rsidRPr="006501BD">
        <w:rPr>
          <w:rFonts w:ascii="Arial" w:hAnsi="Arial" w:cs="Arial"/>
          <w:sz w:val="22"/>
          <w:szCs w:val="22"/>
        </w:rPr>
        <w:t>17.123</w:t>
      </w:r>
      <w:r w:rsidRPr="006501BD">
        <w:rPr>
          <w:rFonts w:ascii="Arial" w:hAnsi="Arial" w:cs="Arial"/>
          <w:sz w:val="22"/>
          <w:szCs w:val="22"/>
        </w:rPr>
        <w:tab/>
        <w:t>17.124</w:t>
      </w:r>
      <w:r w:rsidR="00274440">
        <w:rPr>
          <w:rFonts w:ascii="Arial" w:hAnsi="Arial" w:cs="Arial"/>
          <w:sz w:val="22"/>
          <w:szCs w:val="22"/>
        </w:rPr>
        <w:t xml:space="preserve"> </w:t>
      </w:r>
    </w:p>
    <w:p w14:paraId="41B8C597" w14:textId="37C4B331" w:rsidR="00274440" w:rsidRDefault="006501BD" w:rsidP="00274440">
      <w:pPr>
        <w:tabs>
          <w:tab w:val="left" w:pos="2160"/>
          <w:tab w:val="left" w:pos="3600"/>
          <w:tab w:val="left" w:pos="5040"/>
          <w:tab w:val="left" w:pos="6480"/>
          <w:tab w:val="left" w:pos="7920"/>
        </w:tabs>
        <w:autoSpaceDE w:val="0"/>
        <w:autoSpaceDN w:val="0"/>
        <w:adjustRightInd w:val="0"/>
        <w:spacing w:after="120"/>
        <w:ind w:left="720"/>
        <w:rPr>
          <w:rFonts w:ascii="Arial" w:hAnsi="Arial" w:cs="Arial"/>
          <w:sz w:val="22"/>
          <w:szCs w:val="22"/>
        </w:rPr>
      </w:pPr>
      <w:r w:rsidRPr="006501BD">
        <w:rPr>
          <w:rFonts w:ascii="Arial" w:hAnsi="Arial" w:cs="Arial"/>
          <w:sz w:val="22"/>
          <w:szCs w:val="22"/>
        </w:rPr>
        <w:t>17.125</w:t>
      </w:r>
      <w:r w:rsidRPr="006501BD">
        <w:rPr>
          <w:rFonts w:ascii="Arial" w:hAnsi="Arial" w:cs="Arial"/>
          <w:sz w:val="22"/>
          <w:szCs w:val="22"/>
        </w:rPr>
        <w:tab/>
      </w:r>
      <w:r w:rsidR="005D3C33">
        <w:rPr>
          <w:rFonts w:ascii="Arial" w:hAnsi="Arial" w:cs="Arial"/>
          <w:sz w:val="22"/>
          <w:szCs w:val="22"/>
        </w:rPr>
        <w:t>17.126</w:t>
      </w:r>
      <w:r w:rsidR="00274440">
        <w:rPr>
          <w:rFonts w:ascii="Arial" w:hAnsi="Arial" w:cs="Arial"/>
          <w:sz w:val="22"/>
          <w:szCs w:val="22"/>
        </w:rPr>
        <w:tab/>
      </w:r>
      <w:r w:rsidR="00442A02">
        <w:rPr>
          <w:rFonts w:ascii="Arial" w:hAnsi="Arial" w:cs="Arial"/>
          <w:sz w:val="22"/>
          <w:szCs w:val="22"/>
        </w:rPr>
        <w:t>17.1</w:t>
      </w:r>
      <w:r w:rsidR="005D3C33">
        <w:rPr>
          <w:rFonts w:ascii="Arial" w:hAnsi="Arial" w:cs="Arial"/>
          <w:sz w:val="22"/>
          <w:szCs w:val="22"/>
        </w:rPr>
        <w:t>27</w:t>
      </w:r>
      <w:r w:rsidR="005D3C33">
        <w:rPr>
          <w:rFonts w:ascii="Arial" w:hAnsi="Arial" w:cs="Arial"/>
          <w:sz w:val="22"/>
          <w:szCs w:val="22"/>
        </w:rPr>
        <w:tab/>
        <w:t>17.143</w:t>
      </w:r>
      <w:r w:rsidR="005D3C33">
        <w:rPr>
          <w:rFonts w:ascii="Arial" w:hAnsi="Arial" w:cs="Arial"/>
          <w:sz w:val="22"/>
          <w:szCs w:val="22"/>
        </w:rPr>
        <w:tab/>
        <w:t>17.167</w:t>
      </w:r>
      <w:r w:rsidR="005D3C33">
        <w:rPr>
          <w:rFonts w:ascii="Arial" w:hAnsi="Arial" w:cs="Arial"/>
          <w:sz w:val="22"/>
          <w:szCs w:val="22"/>
        </w:rPr>
        <w:tab/>
        <w:t>17.168</w:t>
      </w:r>
      <w:r w:rsidR="0094709D">
        <w:rPr>
          <w:rFonts w:ascii="Arial" w:hAnsi="Arial" w:cs="Arial"/>
          <w:sz w:val="22"/>
          <w:szCs w:val="22"/>
        </w:rPr>
        <w:t xml:space="preserve"> </w:t>
      </w:r>
    </w:p>
    <w:p w14:paraId="3982E0DE" w14:textId="6880FF08" w:rsidR="006501BD" w:rsidRPr="006501BD" w:rsidRDefault="006501BD" w:rsidP="00274440">
      <w:pPr>
        <w:tabs>
          <w:tab w:val="left" w:pos="2160"/>
          <w:tab w:val="left" w:pos="3600"/>
          <w:tab w:val="left" w:pos="5040"/>
          <w:tab w:val="left" w:pos="6480"/>
          <w:tab w:val="left" w:pos="7920"/>
        </w:tabs>
        <w:autoSpaceDE w:val="0"/>
        <w:autoSpaceDN w:val="0"/>
        <w:adjustRightInd w:val="0"/>
        <w:ind w:left="720"/>
        <w:rPr>
          <w:rFonts w:ascii="Arial" w:hAnsi="Arial" w:cs="Arial"/>
          <w:sz w:val="22"/>
          <w:szCs w:val="22"/>
        </w:rPr>
      </w:pPr>
      <w:r w:rsidRPr="006501BD">
        <w:rPr>
          <w:rFonts w:ascii="Arial" w:hAnsi="Arial" w:cs="Arial"/>
          <w:sz w:val="22"/>
          <w:szCs w:val="22"/>
        </w:rPr>
        <w:t>17.183</w:t>
      </w:r>
      <w:r w:rsidRPr="006501BD">
        <w:rPr>
          <w:rFonts w:ascii="Arial" w:hAnsi="Arial" w:cs="Arial"/>
          <w:sz w:val="22"/>
          <w:szCs w:val="22"/>
        </w:rPr>
        <w:tab/>
      </w:r>
      <w:r w:rsidR="00A07689">
        <w:rPr>
          <w:rFonts w:ascii="Arial" w:hAnsi="Arial" w:cs="Arial"/>
          <w:sz w:val="22"/>
          <w:szCs w:val="22"/>
        </w:rPr>
        <w:t xml:space="preserve">17.187. </w:t>
      </w:r>
    </w:p>
    <w:p w14:paraId="2947668E" w14:textId="77777777" w:rsidR="00DC3C70" w:rsidRPr="006501BD" w:rsidRDefault="00DC3C70" w:rsidP="00966451">
      <w:pPr>
        <w:tabs>
          <w:tab w:val="left" w:pos="540"/>
        </w:tabs>
        <w:autoSpaceDE w:val="0"/>
        <w:autoSpaceDN w:val="0"/>
        <w:adjustRightInd w:val="0"/>
        <w:ind w:left="547" w:hanging="547"/>
        <w:rPr>
          <w:rFonts w:ascii="Arial" w:hAnsi="Arial" w:cs="Arial"/>
          <w:sz w:val="22"/>
          <w:szCs w:val="22"/>
        </w:rPr>
      </w:pPr>
    </w:p>
    <w:p w14:paraId="72F48B0B" w14:textId="77777777" w:rsidR="005E4F99" w:rsidRPr="00ED4A03" w:rsidRDefault="005E4F99" w:rsidP="00966451">
      <w:pPr>
        <w:suppressAutoHyphens/>
        <w:spacing w:after="120"/>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A871F0E" w14:textId="775F55A6" w:rsidR="00ED4A03" w:rsidRPr="00ED4A03" w:rsidRDefault="00ED4A03" w:rsidP="00966451">
      <w:pPr>
        <w:numPr>
          <w:ilvl w:val="0"/>
          <w:numId w:val="1"/>
        </w:numPr>
        <w:suppressAutoHyphens/>
        <w:spacing w:after="120"/>
        <w:ind w:left="1080"/>
        <w:rPr>
          <w:rFonts w:ascii="Arial" w:hAnsi="Arial" w:cs="Arial"/>
          <w:sz w:val="22"/>
          <w:szCs w:val="22"/>
        </w:rPr>
      </w:pPr>
      <w:r w:rsidRPr="00966451">
        <w:rPr>
          <w:rFonts w:ascii="Arial" w:hAnsi="Arial" w:cs="Arial"/>
          <w:sz w:val="22"/>
          <w:szCs w:val="22"/>
          <w:u w:val="single"/>
        </w:rPr>
        <w:t>Line of Business/Sub-function:</w:t>
      </w:r>
      <w:r w:rsidRPr="00ED4A03">
        <w:rPr>
          <w:rFonts w:ascii="Arial" w:hAnsi="Arial" w:cs="Arial"/>
          <w:sz w:val="22"/>
          <w:szCs w:val="22"/>
        </w:rPr>
        <w:t xml:space="preserve">  </w:t>
      </w:r>
      <w:r w:rsidR="00A07689">
        <w:rPr>
          <w:rFonts w:ascii="Arial" w:hAnsi="Arial" w:cs="Arial"/>
          <w:sz w:val="22"/>
          <w:szCs w:val="22"/>
        </w:rPr>
        <w:t>General Government/Taxation Management.</w:t>
      </w:r>
      <w:r>
        <w:rPr>
          <w:rFonts w:ascii="Arial" w:hAnsi="Arial" w:cs="Arial"/>
          <w:sz w:val="22"/>
          <w:szCs w:val="22"/>
        </w:rPr>
        <w:t xml:space="preserve"> </w:t>
      </w:r>
    </w:p>
    <w:p w14:paraId="1CBF31E2" w14:textId="58AFA963" w:rsidR="005E4F99" w:rsidRPr="00ED4A03" w:rsidRDefault="00ED4A03" w:rsidP="00FC2035">
      <w:pPr>
        <w:numPr>
          <w:ilvl w:val="0"/>
          <w:numId w:val="1"/>
        </w:numPr>
        <w:suppressAutoHyphens/>
        <w:spacing w:before="80"/>
        <w:ind w:left="1080"/>
        <w:rPr>
          <w:rFonts w:ascii="Arial" w:hAnsi="Arial" w:cs="Arial"/>
          <w:sz w:val="22"/>
          <w:szCs w:val="22"/>
        </w:rPr>
      </w:pPr>
      <w:r w:rsidRPr="00966451">
        <w:rPr>
          <w:rFonts w:ascii="Arial" w:hAnsi="Arial" w:cs="Arial"/>
          <w:sz w:val="22"/>
          <w:szCs w:val="22"/>
          <w:u w:val="single"/>
        </w:rPr>
        <w:t>IT Investment:</w:t>
      </w:r>
      <w:r w:rsidRPr="00ED4A03">
        <w:rPr>
          <w:rFonts w:ascii="Arial" w:hAnsi="Arial" w:cs="Arial"/>
          <w:sz w:val="22"/>
          <w:szCs w:val="22"/>
        </w:rPr>
        <w:t xml:space="preserve">  </w:t>
      </w:r>
      <w:r w:rsidR="00A07689">
        <w:rPr>
          <w:rFonts w:ascii="Arial" w:hAnsi="Arial" w:cs="Arial"/>
          <w:sz w:val="22"/>
          <w:szCs w:val="22"/>
        </w:rPr>
        <w:t>Tax Major Application System</w:t>
      </w:r>
      <w:r w:rsidR="00987432">
        <w:rPr>
          <w:rFonts w:ascii="Arial" w:hAnsi="Arial" w:cs="Arial"/>
          <w:sz w:val="22"/>
          <w:szCs w:val="22"/>
        </w:rPr>
        <w:t xml:space="preserve">. </w:t>
      </w:r>
    </w:p>
    <w:p w14:paraId="6DE95DC0" w14:textId="77777777" w:rsidR="005E4F99" w:rsidRPr="00090251" w:rsidRDefault="005E4F99" w:rsidP="00FC2035">
      <w:pPr>
        <w:suppressAutoHyphens/>
        <w:rPr>
          <w:rFonts w:ascii="Arial" w:hAnsi="Arial" w:cs="Arial"/>
          <w:sz w:val="36"/>
          <w:szCs w:val="36"/>
        </w:rPr>
      </w:pPr>
    </w:p>
    <w:p w14:paraId="2CBE86DD" w14:textId="77777777" w:rsidR="00AF1157" w:rsidRPr="007A5D4B" w:rsidRDefault="00AF1157" w:rsidP="00FC2035">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448865B" w14:textId="77777777" w:rsidR="00AF1157" w:rsidRDefault="00AF1157" w:rsidP="00FC2035">
      <w:pPr>
        <w:suppressAutoHyphens/>
        <w:ind w:left="360"/>
        <w:rPr>
          <w:rFonts w:ascii="Arial" w:hAnsi="Arial" w:cs="Arial"/>
          <w:sz w:val="22"/>
          <w:szCs w:val="22"/>
        </w:rPr>
      </w:pPr>
    </w:p>
    <w:p w14:paraId="0D572222" w14:textId="09DE3CFA" w:rsidR="00561DA3" w:rsidRPr="00561DA3" w:rsidRDefault="00966451" w:rsidP="00FC2035">
      <w:pPr>
        <w:autoSpaceDE w:val="0"/>
        <w:autoSpaceDN w:val="0"/>
        <w:adjustRightInd w:val="0"/>
        <w:ind w:left="360"/>
        <w:rPr>
          <w:rFonts w:ascii="Arial" w:hAnsi="Arial" w:cs="Arial"/>
          <w:sz w:val="22"/>
          <w:szCs w:val="22"/>
        </w:rPr>
      </w:pPr>
      <w:r>
        <w:rPr>
          <w:rFonts w:ascii="Arial" w:hAnsi="Arial" w:cs="Arial"/>
          <w:sz w:val="22"/>
          <w:szCs w:val="22"/>
        </w:rPr>
        <w:t xml:space="preserve">TTB uses the required </w:t>
      </w:r>
      <w:r w:rsidRPr="00966451">
        <w:rPr>
          <w:rFonts w:ascii="Arial" w:hAnsi="Arial" w:cs="Arial"/>
          <w:sz w:val="22"/>
          <w:szCs w:val="22"/>
        </w:rPr>
        <w:t>applications and notices serve to protect the revenue</w:t>
      </w:r>
      <w:r>
        <w:rPr>
          <w:rFonts w:ascii="Arial" w:hAnsi="Arial" w:cs="Arial"/>
          <w:sz w:val="22"/>
          <w:szCs w:val="22"/>
        </w:rPr>
        <w:t>, as they help assist T</w:t>
      </w:r>
      <w:r w:rsidRPr="00966451">
        <w:rPr>
          <w:rFonts w:ascii="Arial" w:hAnsi="Arial" w:cs="Arial"/>
          <w:sz w:val="22"/>
          <w:szCs w:val="22"/>
        </w:rPr>
        <w:t xml:space="preserve">TB to determine if </w:t>
      </w:r>
      <w:r>
        <w:rPr>
          <w:rFonts w:ascii="Arial" w:hAnsi="Arial" w:cs="Arial"/>
          <w:sz w:val="22"/>
          <w:szCs w:val="22"/>
        </w:rPr>
        <w:t xml:space="preserve">the distilled </w:t>
      </w:r>
      <w:r w:rsidRPr="00966451">
        <w:rPr>
          <w:rFonts w:ascii="Arial" w:hAnsi="Arial" w:cs="Arial"/>
          <w:sz w:val="22"/>
          <w:szCs w:val="22"/>
        </w:rPr>
        <w:t xml:space="preserve">spirits on which nonbeverage product drawback </w:t>
      </w:r>
      <w:r>
        <w:rPr>
          <w:rFonts w:ascii="Arial" w:hAnsi="Arial" w:cs="Arial"/>
          <w:sz w:val="22"/>
          <w:szCs w:val="22"/>
        </w:rPr>
        <w:t xml:space="preserve">is </w:t>
      </w:r>
      <w:r w:rsidRPr="00966451">
        <w:rPr>
          <w:rFonts w:ascii="Arial" w:hAnsi="Arial" w:cs="Arial"/>
          <w:sz w:val="22"/>
          <w:szCs w:val="22"/>
        </w:rPr>
        <w:t xml:space="preserve">claimed have been diverted to beverage use.  </w:t>
      </w:r>
      <w:r>
        <w:rPr>
          <w:rFonts w:ascii="Arial" w:hAnsi="Arial" w:cs="Arial"/>
          <w:sz w:val="22"/>
          <w:szCs w:val="22"/>
        </w:rPr>
        <w:t xml:space="preserve">In addition, </w:t>
      </w:r>
      <w:r w:rsidR="00561DA3" w:rsidRPr="00561DA3">
        <w:rPr>
          <w:rFonts w:ascii="Arial" w:hAnsi="Arial" w:cs="Arial"/>
          <w:sz w:val="22"/>
          <w:szCs w:val="22"/>
        </w:rPr>
        <w:t>T</w:t>
      </w:r>
      <w:r w:rsidR="001D6570">
        <w:rPr>
          <w:rFonts w:ascii="Arial" w:hAnsi="Arial" w:cs="Arial"/>
          <w:sz w:val="22"/>
          <w:szCs w:val="22"/>
        </w:rPr>
        <w:t>TB uses t</w:t>
      </w:r>
      <w:r>
        <w:rPr>
          <w:rFonts w:ascii="Arial" w:hAnsi="Arial" w:cs="Arial"/>
          <w:sz w:val="22"/>
          <w:szCs w:val="22"/>
        </w:rPr>
        <w:t>he applications and notices</w:t>
      </w:r>
      <w:r w:rsidR="00561DA3" w:rsidRPr="00561DA3">
        <w:rPr>
          <w:rFonts w:ascii="Arial" w:hAnsi="Arial" w:cs="Arial"/>
          <w:sz w:val="22"/>
          <w:szCs w:val="22"/>
        </w:rPr>
        <w:t xml:space="preserve"> to ensure that </w:t>
      </w:r>
      <w:r>
        <w:rPr>
          <w:rFonts w:ascii="Arial" w:hAnsi="Arial" w:cs="Arial"/>
          <w:sz w:val="22"/>
          <w:szCs w:val="22"/>
        </w:rPr>
        <w:t xml:space="preserve">nonbeverage product manufacturers </w:t>
      </w:r>
      <w:r w:rsidR="00561DA3" w:rsidRPr="00561DA3">
        <w:rPr>
          <w:rFonts w:ascii="Arial" w:hAnsi="Arial" w:cs="Arial"/>
          <w:sz w:val="22"/>
          <w:szCs w:val="22"/>
        </w:rPr>
        <w:t xml:space="preserve">conduct </w:t>
      </w:r>
      <w:r>
        <w:rPr>
          <w:rFonts w:ascii="Arial" w:hAnsi="Arial" w:cs="Arial"/>
          <w:sz w:val="22"/>
          <w:szCs w:val="22"/>
        </w:rPr>
        <w:t xml:space="preserve">their </w:t>
      </w:r>
      <w:r w:rsidR="00561DA3" w:rsidRPr="00561DA3">
        <w:rPr>
          <w:rFonts w:ascii="Arial" w:hAnsi="Arial" w:cs="Arial"/>
          <w:sz w:val="22"/>
          <w:szCs w:val="22"/>
        </w:rPr>
        <w:t>operations in compliance</w:t>
      </w:r>
      <w:r>
        <w:rPr>
          <w:rFonts w:ascii="Arial" w:hAnsi="Arial" w:cs="Arial"/>
          <w:sz w:val="22"/>
          <w:szCs w:val="22"/>
        </w:rPr>
        <w:t xml:space="preserve"> with the law and regulations. </w:t>
      </w:r>
    </w:p>
    <w:p w14:paraId="62C53A5B" w14:textId="77777777" w:rsidR="00AF1157" w:rsidRPr="00090251" w:rsidRDefault="00AF1157" w:rsidP="00FC2035">
      <w:pPr>
        <w:ind w:left="576" w:hanging="576"/>
        <w:rPr>
          <w:rFonts w:ascii="Arial" w:hAnsi="Arial" w:cs="Arial"/>
          <w:sz w:val="36"/>
          <w:szCs w:val="36"/>
        </w:rPr>
      </w:pPr>
    </w:p>
    <w:p w14:paraId="435CA441" w14:textId="77777777" w:rsidR="00AF1157" w:rsidRPr="007A5D4B" w:rsidRDefault="00CA7E3C" w:rsidP="00FC203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54161A5E" w14:textId="77777777" w:rsidR="00AF1157" w:rsidRPr="007A5D4B" w:rsidRDefault="00AF1157" w:rsidP="00FC2035">
      <w:pPr>
        <w:suppressAutoHyphens/>
        <w:rPr>
          <w:rFonts w:ascii="Arial" w:hAnsi="Arial" w:cs="Arial"/>
          <w:sz w:val="22"/>
          <w:szCs w:val="22"/>
        </w:rPr>
      </w:pPr>
    </w:p>
    <w:p w14:paraId="6EFE704C" w14:textId="0852F356" w:rsidR="00F10C50" w:rsidRDefault="00966451" w:rsidP="00966451">
      <w:pPr>
        <w:suppressAutoHyphens/>
        <w:spacing w:line="240" w:lineRule="atLeast"/>
        <w:ind w:left="360"/>
        <w:rPr>
          <w:rFonts w:ascii="Arial" w:hAnsi="Arial" w:cs="Arial"/>
          <w:sz w:val="22"/>
          <w:szCs w:val="22"/>
          <w:highlight w:val="yellow"/>
        </w:rPr>
      </w:pPr>
      <w:r>
        <w:rPr>
          <w:rFonts w:ascii="Arial" w:hAnsi="Arial" w:cs="Arial"/>
          <w:sz w:val="22"/>
          <w:szCs w:val="22"/>
        </w:rPr>
        <w:t xml:space="preserve">The letterhead applications and notices covered under this information collection are generated by respondents, which, at their discretion, may </w:t>
      </w:r>
      <w:r w:rsidR="00D227B8">
        <w:rPr>
          <w:rFonts w:ascii="Arial" w:hAnsi="Arial" w:cs="Arial"/>
          <w:sz w:val="22"/>
          <w:szCs w:val="22"/>
        </w:rPr>
        <w:t xml:space="preserve">use </w:t>
      </w:r>
      <w:r>
        <w:rPr>
          <w:rFonts w:ascii="Arial" w:hAnsi="Arial" w:cs="Arial"/>
          <w:sz w:val="22"/>
          <w:szCs w:val="22"/>
        </w:rPr>
        <w:t xml:space="preserve">improved information technology. </w:t>
      </w:r>
    </w:p>
    <w:p w14:paraId="3226FFE2" w14:textId="77777777" w:rsidR="00AF1157" w:rsidRPr="00090251" w:rsidRDefault="00AF1157" w:rsidP="00FC2035">
      <w:pPr>
        <w:suppressAutoHyphens/>
        <w:rPr>
          <w:rFonts w:ascii="Arial" w:hAnsi="Arial" w:cs="Arial"/>
          <w:sz w:val="36"/>
          <w:szCs w:val="36"/>
        </w:rPr>
      </w:pPr>
    </w:p>
    <w:p w14:paraId="1D3346B6" w14:textId="77777777" w:rsidR="00AF1157" w:rsidRPr="007A5D4B" w:rsidRDefault="00CA7E3C" w:rsidP="00FC203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532C8424" w14:textId="77777777" w:rsidR="00AF1157" w:rsidRPr="007A5D4B" w:rsidRDefault="00AF1157" w:rsidP="00FC2035">
      <w:pPr>
        <w:suppressAutoHyphens/>
        <w:ind w:left="480" w:hanging="480"/>
        <w:rPr>
          <w:rFonts w:ascii="Arial" w:hAnsi="Arial" w:cs="Arial"/>
          <w:sz w:val="22"/>
          <w:szCs w:val="22"/>
        </w:rPr>
      </w:pPr>
    </w:p>
    <w:p w14:paraId="6DD6329D" w14:textId="31D21931" w:rsidR="00D50640" w:rsidRPr="00D50640" w:rsidRDefault="00561DA3" w:rsidP="00FC2035">
      <w:pPr>
        <w:ind w:left="360"/>
        <w:rPr>
          <w:rFonts w:ascii="Arial" w:hAnsi="Arial" w:cs="Arial"/>
          <w:sz w:val="22"/>
          <w:szCs w:val="22"/>
        </w:rPr>
      </w:pPr>
      <w:r>
        <w:rPr>
          <w:rFonts w:ascii="Arial" w:hAnsi="Arial" w:cs="Arial"/>
          <w:sz w:val="22"/>
          <w:szCs w:val="22"/>
        </w:rPr>
        <w:t>The</w:t>
      </w:r>
      <w:r w:rsidR="00966451">
        <w:rPr>
          <w:rFonts w:ascii="Arial" w:hAnsi="Arial" w:cs="Arial"/>
          <w:sz w:val="22"/>
          <w:szCs w:val="22"/>
        </w:rPr>
        <w:t xml:space="preserve"> required </w:t>
      </w:r>
      <w:r>
        <w:rPr>
          <w:rFonts w:ascii="Arial" w:hAnsi="Arial" w:cs="Arial"/>
          <w:sz w:val="22"/>
          <w:szCs w:val="22"/>
        </w:rPr>
        <w:t>applications and notices</w:t>
      </w:r>
      <w:r w:rsidR="00D414AB" w:rsidRPr="00F10C50">
        <w:rPr>
          <w:rFonts w:ascii="Arial" w:hAnsi="Arial" w:cs="Arial"/>
          <w:sz w:val="22"/>
          <w:szCs w:val="22"/>
        </w:rPr>
        <w:t xml:space="preserve"> </w:t>
      </w:r>
      <w:r w:rsidR="00D50640" w:rsidRPr="00F10C50">
        <w:rPr>
          <w:rFonts w:ascii="Arial" w:hAnsi="Arial" w:cs="Arial"/>
          <w:sz w:val="22"/>
          <w:szCs w:val="22"/>
        </w:rPr>
        <w:t>contain information pertinent to each respondent and applicable to the</w:t>
      </w:r>
      <w:r w:rsidR="00966451">
        <w:rPr>
          <w:rFonts w:ascii="Arial" w:hAnsi="Arial" w:cs="Arial"/>
          <w:sz w:val="22"/>
          <w:szCs w:val="22"/>
        </w:rPr>
        <w:t>ir use of distilled spirits in the manufacture of specific n</w:t>
      </w:r>
      <w:r>
        <w:rPr>
          <w:rFonts w:ascii="Arial" w:hAnsi="Arial" w:cs="Arial"/>
          <w:sz w:val="22"/>
          <w:szCs w:val="22"/>
        </w:rPr>
        <w:t>onbeverage</w:t>
      </w:r>
      <w:r w:rsidR="00A87E58">
        <w:rPr>
          <w:rFonts w:ascii="Arial" w:hAnsi="Arial" w:cs="Arial"/>
          <w:sz w:val="22"/>
          <w:szCs w:val="22"/>
        </w:rPr>
        <w:t xml:space="preserve"> </w:t>
      </w:r>
      <w:r w:rsidR="00966451">
        <w:rPr>
          <w:rFonts w:ascii="Arial" w:hAnsi="Arial" w:cs="Arial"/>
          <w:sz w:val="22"/>
          <w:szCs w:val="22"/>
        </w:rPr>
        <w:t>p</w:t>
      </w:r>
      <w:r>
        <w:rPr>
          <w:rFonts w:ascii="Arial" w:hAnsi="Arial" w:cs="Arial"/>
          <w:sz w:val="22"/>
          <w:szCs w:val="22"/>
        </w:rPr>
        <w:t>roducts</w:t>
      </w:r>
      <w:r w:rsidR="00966451">
        <w:rPr>
          <w:rFonts w:ascii="Arial" w:hAnsi="Arial" w:cs="Arial"/>
          <w:sz w:val="22"/>
          <w:szCs w:val="22"/>
        </w:rPr>
        <w:t xml:space="preserve"> eligible for drawback</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4D60B38F" w14:textId="77777777" w:rsidR="007A5D4B" w:rsidRPr="00090251" w:rsidRDefault="007A5D4B" w:rsidP="00FC2035">
      <w:pPr>
        <w:suppressAutoHyphens/>
        <w:rPr>
          <w:rFonts w:ascii="Arial" w:hAnsi="Arial" w:cs="Arial"/>
          <w:sz w:val="36"/>
          <w:szCs w:val="36"/>
        </w:rPr>
      </w:pPr>
    </w:p>
    <w:p w14:paraId="11D55EFA" w14:textId="77777777" w:rsidR="00AF1157" w:rsidRPr="007A5D4B" w:rsidRDefault="007A5D4B" w:rsidP="00FC2035">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41A9511F" w14:textId="77777777" w:rsidR="007A5D4B" w:rsidRPr="007A5D4B" w:rsidRDefault="007A5D4B" w:rsidP="00FC2035">
      <w:pPr>
        <w:suppressAutoHyphens/>
        <w:ind w:left="480" w:hanging="480"/>
        <w:rPr>
          <w:rFonts w:ascii="Arial" w:hAnsi="Arial" w:cs="Arial"/>
          <w:sz w:val="22"/>
          <w:szCs w:val="22"/>
        </w:rPr>
      </w:pPr>
    </w:p>
    <w:p w14:paraId="1799E3DD" w14:textId="591278B6" w:rsidR="007A5D4B" w:rsidRPr="007A5D4B" w:rsidRDefault="0004708F" w:rsidP="00FC2035">
      <w:pPr>
        <w:ind w:left="360"/>
        <w:rPr>
          <w:rFonts w:ascii="Arial" w:hAnsi="Arial" w:cs="Arial"/>
          <w:sz w:val="22"/>
          <w:szCs w:val="22"/>
        </w:rPr>
      </w:pPr>
      <w:r w:rsidRPr="00853E85">
        <w:rPr>
          <w:rFonts w:ascii="Arial" w:hAnsi="Arial" w:cs="Arial"/>
          <w:sz w:val="22"/>
          <w:szCs w:val="22"/>
        </w:rPr>
        <w:t>All entities</w:t>
      </w:r>
      <w:r w:rsidR="000F5ACE">
        <w:rPr>
          <w:rFonts w:ascii="Arial" w:hAnsi="Arial" w:cs="Arial"/>
          <w:sz w:val="22"/>
          <w:szCs w:val="22"/>
        </w:rPr>
        <w:t xml:space="preserve"> claiming drawback</w:t>
      </w:r>
      <w:r w:rsidRPr="00853E85">
        <w:rPr>
          <w:rFonts w:ascii="Arial" w:hAnsi="Arial" w:cs="Arial"/>
          <w:sz w:val="22"/>
          <w:szCs w:val="22"/>
        </w:rPr>
        <w:t xml:space="preserve">, regardless of size, are required by </w:t>
      </w:r>
      <w:r w:rsidR="00C207CA">
        <w:rPr>
          <w:rFonts w:ascii="Arial" w:hAnsi="Arial" w:cs="Arial"/>
          <w:sz w:val="22"/>
          <w:szCs w:val="22"/>
        </w:rPr>
        <w:t>27 CFR part 17</w:t>
      </w:r>
      <w:r w:rsidR="00F10C50" w:rsidRPr="00853E85">
        <w:rPr>
          <w:rFonts w:ascii="Arial" w:hAnsi="Arial" w:cs="Arial"/>
          <w:sz w:val="22"/>
          <w:szCs w:val="22"/>
        </w:rPr>
        <w:t xml:space="preserve"> to </w:t>
      </w:r>
      <w:r w:rsidR="00DD1B61">
        <w:rPr>
          <w:rFonts w:ascii="Arial" w:hAnsi="Arial" w:cs="Arial"/>
          <w:sz w:val="22"/>
          <w:szCs w:val="22"/>
        </w:rPr>
        <w:t xml:space="preserve">submit </w:t>
      </w:r>
      <w:r w:rsidR="00274440">
        <w:rPr>
          <w:rFonts w:ascii="Arial" w:hAnsi="Arial" w:cs="Arial"/>
          <w:sz w:val="22"/>
          <w:szCs w:val="22"/>
        </w:rPr>
        <w:t xml:space="preserve">the required </w:t>
      </w:r>
      <w:r w:rsidR="00DD1B61">
        <w:rPr>
          <w:rFonts w:ascii="Arial" w:hAnsi="Arial" w:cs="Arial"/>
          <w:sz w:val="22"/>
          <w:szCs w:val="22"/>
        </w:rPr>
        <w:t xml:space="preserve">applications and notices regarding the manufacture of nonbeverage </w:t>
      </w:r>
      <w:r w:rsidR="00A87E58">
        <w:rPr>
          <w:rFonts w:ascii="Arial" w:hAnsi="Arial" w:cs="Arial"/>
          <w:sz w:val="22"/>
          <w:szCs w:val="22"/>
        </w:rPr>
        <w:t xml:space="preserve">alcohol </w:t>
      </w:r>
      <w:r w:rsidR="00DD1B61">
        <w:rPr>
          <w:rFonts w:ascii="Arial" w:hAnsi="Arial" w:cs="Arial"/>
          <w:sz w:val="22"/>
          <w:szCs w:val="22"/>
        </w:rPr>
        <w:t>products</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w:t>
      </w:r>
      <w:r w:rsidR="00A07689">
        <w:rPr>
          <w:rFonts w:ascii="Arial" w:hAnsi="Arial" w:cs="Arial"/>
          <w:sz w:val="22"/>
          <w:szCs w:val="22"/>
        </w:rPr>
        <w:t>w</w:t>
      </w:r>
      <w:r w:rsidRPr="00853E85">
        <w:rPr>
          <w:rFonts w:ascii="Arial" w:hAnsi="Arial" w:cs="Arial"/>
          <w:sz w:val="22"/>
          <w:szCs w:val="22"/>
        </w:rPr>
        <w:t xml:space="preserve">ould </w:t>
      </w:r>
      <w:r w:rsidR="00DD1B61">
        <w:rPr>
          <w:rFonts w:ascii="Arial" w:hAnsi="Arial" w:cs="Arial"/>
          <w:sz w:val="22"/>
          <w:szCs w:val="22"/>
        </w:rPr>
        <w:t>jeopard</w:t>
      </w:r>
      <w:r w:rsidR="00A07689">
        <w:rPr>
          <w:rFonts w:ascii="Arial" w:hAnsi="Arial" w:cs="Arial"/>
          <w:sz w:val="22"/>
          <w:szCs w:val="22"/>
        </w:rPr>
        <w:t>ize the</w:t>
      </w:r>
      <w:r w:rsidR="00DD1B61">
        <w:rPr>
          <w:rFonts w:ascii="Arial" w:hAnsi="Arial" w:cs="Arial"/>
          <w:sz w:val="22"/>
          <w:szCs w:val="22"/>
        </w:rPr>
        <w:t xml:space="preserve"> revenue</w:t>
      </w:r>
      <w:r w:rsidRPr="00853E85">
        <w:rPr>
          <w:rFonts w:ascii="Arial" w:hAnsi="Arial" w:cs="Arial"/>
          <w:sz w:val="22"/>
          <w:szCs w:val="22"/>
        </w:rPr>
        <w:t>.</w:t>
      </w:r>
      <w:r w:rsidR="007A5D4B" w:rsidRPr="007A5D4B">
        <w:rPr>
          <w:rFonts w:ascii="Arial" w:hAnsi="Arial" w:cs="Arial"/>
          <w:sz w:val="22"/>
          <w:szCs w:val="22"/>
        </w:rPr>
        <w:t xml:space="preserve"> </w:t>
      </w:r>
    </w:p>
    <w:p w14:paraId="05C74159" w14:textId="77777777" w:rsidR="007A5D4B" w:rsidRPr="00090251" w:rsidRDefault="007A5D4B" w:rsidP="00FC2035">
      <w:pPr>
        <w:suppressAutoHyphens/>
        <w:rPr>
          <w:rFonts w:ascii="Arial" w:hAnsi="Arial" w:cs="Arial"/>
          <w:sz w:val="36"/>
          <w:szCs w:val="36"/>
        </w:rPr>
      </w:pPr>
    </w:p>
    <w:p w14:paraId="48229F51" w14:textId="77777777" w:rsidR="00AF1157" w:rsidRPr="007A5D4B" w:rsidRDefault="007A5D4B" w:rsidP="00FC2035">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346B1CD" w14:textId="77777777" w:rsidR="00AF1157" w:rsidRPr="007A5D4B" w:rsidRDefault="00AF1157" w:rsidP="00FC2035">
      <w:pPr>
        <w:suppressAutoHyphens/>
        <w:ind w:left="480" w:hanging="480"/>
        <w:rPr>
          <w:rFonts w:ascii="Arial" w:hAnsi="Arial" w:cs="Arial"/>
          <w:sz w:val="22"/>
          <w:szCs w:val="22"/>
        </w:rPr>
      </w:pPr>
    </w:p>
    <w:p w14:paraId="7A1FFB55" w14:textId="6C49546A" w:rsidR="007675A0" w:rsidRPr="00B44EC4" w:rsidRDefault="00D227B8" w:rsidP="00FC2035">
      <w:pPr>
        <w:ind w:left="360"/>
        <w:rPr>
          <w:rFonts w:ascii="Arial" w:hAnsi="Arial" w:cs="Arial"/>
          <w:sz w:val="22"/>
          <w:szCs w:val="22"/>
        </w:rPr>
      </w:pPr>
      <w:r>
        <w:rPr>
          <w:rFonts w:ascii="Arial" w:hAnsi="Arial" w:cs="Arial"/>
          <w:sz w:val="22"/>
          <w:szCs w:val="22"/>
        </w:rPr>
        <w:t>TTB considers t</w:t>
      </w:r>
      <w:r w:rsidR="007675A0" w:rsidRPr="00B44EC4">
        <w:rPr>
          <w:rFonts w:ascii="Arial" w:hAnsi="Arial" w:cs="Arial"/>
          <w:sz w:val="22"/>
          <w:szCs w:val="22"/>
        </w:rPr>
        <w:t>he</w:t>
      </w:r>
      <w:r>
        <w:rPr>
          <w:rFonts w:ascii="Arial" w:hAnsi="Arial" w:cs="Arial"/>
          <w:sz w:val="22"/>
          <w:szCs w:val="22"/>
        </w:rPr>
        <w:t xml:space="preserve"> required applications and notices </w:t>
      </w:r>
      <w:r w:rsidR="007675A0" w:rsidRPr="00B44EC4">
        <w:rPr>
          <w:rFonts w:ascii="Arial" w:hAnsi="Arial" w:cs="Arial"/>
          <w:sz w:val="22"/>
          <w:szCs w:val="22"/>
        </w:rPr>
        <w:t>to be the minimum necessary to ensure compliance</w:t>
      </w:r>
      <w:r w:rsidR="007675A0">
        <w:rPr>
          <w:rFonts w:ascii="Arial" w:hAnsi="Arial" w:cs="Arial"/>
          <w:sz w:val="22"/>
          <w:szCs w:val="22"/>
        </w:rPr>
        <w:t xml:space="preserve"> with the IRC and the TTB regulations related to </w:t>
      </w:r>
      <w:r>
        <w:rPr>
          <w:rFonts w:ascii="Arial" w:hAnsi="Arial" w:cs="Arial"/>
          <w:sz w:val="22"/>
          <w:szCs w:val="22"/>
        </w:rPr>
        <w:t xml:space="preserve">the manufacture of </w:t>
      </w:r>
      <w:r w:rsidR="007675A0">
        <w:rPr>
          <w:rFonts w:ascii="Arial" w:hAnsi="Arial" w:cs="Arial"/>
          <w:sz w:val="22"/>
          <w:szCs w:val="22"/>
        </w:rPr>
        <w:t>nonbeverage products</w:t>
      </w:r>
      <w:r w:rsidR="007675A0" w:rsidRPr="00B44EC4">
        <w:rPr>
          <w:rFonts w:ascii="Arial" w:hAnsi="Arial" w:cs="Arial"/>
          <w:sz w:val="22"/>
          <w:szCs w:val="22"/>
        </w:rPr>
        <w:t>.  Less frequent collection of this information would pose jeopardy to the revenue.</w:t>
      </w:r>
      <w:r w:rsidR="007675A0">
        <w:rPr>
          <w:rFonts w:ascii="Arial" w:hAnsi="Arial" w:cs="Arial"/>
          <w:sz w:val="22"/>
          <w:szCs w:val="22"/>
        </w:rPr>
        <w:t xml:space="preserve"> </w:t>
      </w:r>
    </w:p>
    <w:p w14:paraId="37F9E171" w14:textId="77777777" w:rsidR="007A5D4B" w:rsidRPr="00090251" w:rsidRDefault="007A5D4B" w:rsidP="00FC2035">
      <w:pPr>
        <w:suppressAutoHyphens/>
        <w:rPr>
          <w:rFonts w:ascii="Arial" w:hAnsi="Arial" w:cs="Arial"/>
          <w:sz w:val="36"/>
          <w:szCs w:val="36"/>
        </w:rPr>
      </w:pPr>
    </w:p>
    <w:p w14:paraId="5ED76545" w14:textId="77777777" w:rsidR="00747CE7" w:rsidRPr="00866539" w:rsidRDefault="00747CE7" w:rsidP="00747CE7">
      <w:pPr>
        <w:suppressAutoHyphens/>
        <w:rPr>
          <w:rFonts w:ascii="Arial" w:hAnsi="Arial" w:cs="Arial"/>
          <w:i/>
          <w:iCs/>
          <w:sz w:val="22"/>
          <w:szCs w:val="22"/>
        </w:rPr>
      </w:pPr>
      <w:r>
        <w:rPr>
          <w:rFonts w:ascii="Arial" w:hAnsi="Arial" w:cs="Arial"/>
          <w:i/>
          <w:iCs/>
          <w:sz w:val="22"/>
          <w:szCs w:val="22"/>
        </w:rPr>
        <w:lastRenderedPageBreak/>
        <w:t xml:space="preserve">7. </w:t>
      </w:r>
      <w:r w:rsidRPr="00866539">
        <w:rPr>
          <w:rFonts w:ascii="Arial" w:hAnsi="Arial" w:cs="Arial"/>
          <w:i/>
          <w:iCs/>
          <w:sz w:val="22"/>
          <w:szCs w:val="22"/>
        </w:rPr>
        <w:t xml:space="preserve"> Are there any special circumstances associated with this information collection that would require it to be conducted in a manner in</w:t>
      </w:r>
      <w:r>
        <w:rPr>
          <w:rFonts w:ascii="Arial" w:hAnsi="Arial" w:cs="Arial"/>
          <w:i/>
          <w:iCs/>
          <w:sz w:val="22"/>
          <w:szCs w:val="22"/>
        </w:rPr>
        <w:t xml:space="preserve">consistent with OMB guidelines? </w:t>
      </w:r>
      <w:r w:rsidRPr="00866539">
        <w:rPr>
          <w:rFonts w:ascii="Arial" w:hAnsi="Arial" w:cs="Arial"/>
          <w:i/>
          <w:iCs/>
          <w:sz w:val="22"/>
          <w:szCs w:val="22"/>
        </w:rPr>
        <w:t xml:space="preserve"> (See 5 CFR 1320.5(d)(2).) </w:t>
      </w:r>
    </w:p>
    <w:p w14:paraId="0854FC0F" w14:textId="77777777" w:rsidR="00747CE7" w:rsidRPr="00866539" w:rsidRDefault="00747CE7" w:rsidP="00747CE7">
      <w:pPr>
        <w:suppressAutoHyphens/>
        <w:rPr>
          <w:rFonts w:ascii="Arial" w:hAnsi="Arial" w:cs="Arial"/>
          <w:sz w:val="22"/>
          <w:szCs w:val="22"/>
        </w:rPr>
      </w:pPr>
    </w:p>
    <w:p w14:paraId="3F5685D2" w14:textId="77777777" w:rsidR="00747CE7" w:rsidRDefault="00747CE7" w:rsidP="00747CE7">
      <w:pPr>
        <w:suppressAutoHyphens/>
        <w:ind w:left="360"/>
        <w:rPr>
          <w:rFonts w:ascii="Arial" w:hAnsi="Arial" w:cs="Arial"/>
          <w:sz w:val="22"/>
          <w:szCs w:val="22"/>
        </w:rPr>
      </w:pPr>
      <w:r w:rsidRPr="00866539">
        <w:rPr>
          <w:rFonts w:ascii="Arial" w:hAnsi="Arial" w:cs="Arial"/>
          <w:sz w:val="22"/>
          <w:szCs w:val="22"/>
        </w:rPr>
        <w:t xml:space="preserve">There are no special circumstances associated with this information collection that </w:t>
      </w:r>
      <w:r>
        <w:rPr>
          <w:rFonts w:ascii="Arial" w:hAnsi="Arial" w:cs="Arial"/>
          <w:sz w:val="22"/>
          <w:szCs w:val="22"/>
        </w:rPr>
        <w:t xml:space="preserve">would </w:t>
      </w:r>
      <w:r w:rsidRPr="00866539">
        <w:rPr>
          <w:rFonts w:ascii="Arial" w:hAnsi="Arial" w:cs="Arial"/>
          <w:sz w:val="22"/>
          <w:szCs w:val="22"/>
        </w:rPr>
        <w:t xml:space="preserve">require it to be inconsistent with OMB guidelines. </w:t>
      </w:r>
    </w:p>
    <w:p w14:paraId="75588FDE" w14:textId="77777777" w:rsidR="00747CE7" w:rsidRPr="0047170F" w:rsidRDefault="00747CE7" w:rsidP="00747CE7">
      <w:pPr>
        <w:suppressAutoHyphens/>
        <w:rPr>
          <w:rFonts w:ascii="Arial" w:hAnsi="Arial" w:cs="Arial"/>
          <w:sz w:val="36"/>
          <w:szCs w:val="36"/>
        </w:rPr>
      </w:pPr>
    </w:p>
    <w:p w14:paraId="61943BE5" w14:textId="77777777" w:rsidR="00747CE7" w:rsidRPr="007A5D4B" w:rsidRDefault="00747CE7" w:rsidP="00747CE7">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14:paraId="0ECAB0F6" w14:textId="77777777" w:rsidR="00747CE7" w:rsidRPr="00AF7551" w:rsidRDefault="00747CE7" w:rsidP="00747CE7">
      <w:pPr>
        <w:suppressAutoHyphens/>
        <w:ind w:left="480" w:hanging="480"/>
        <w:rPr>
          <w:rFonts w:ascii="Arial" w:hAnsi="Arial" w:cs="Arial"/>
          <w:sz w:val="22"/>
          <w:szCs w:val="22"/>
        </w:rPr>
      </w:pPr>
    </w:p>
    <w:p w14:paraId="10F38F02" w14:textId="77777777" w:rsidR="00747CE7" w:rsidRPr="005D3B4D" w:rsidRDefault="00747CE7" w:rsidP="00747CE7">
      <w:pPr>
        <w:ind w:left="360"/>
        <w:rPr>
          <w:rFonts w:ascii="Arial" w:hAnsi="Arial" w:cs="Arial"/>
          <w:sz w:val="22"/>
          <w:szCs w:val="22"/>
        </w:rPr>
      </w:pPr>
      <w:r w:rsidRPr="005D3B4D">
        <w:rPr>
          <w:rFonts w:ascii="Arial" w:hAnsi="Arial" w:cs="Arial"/>
          <w:sz w:val="22"/>
          <w:szCs w:val="22"/>
        </w:rPr>
        <w:t xml:space="preserve">To solicit comments from the general public, TTB published a “60-day” comment request notice for this information collection in the Federal Register on </w:t>
      </w:r>
      <w:r>
        <w:rPr>
          <w:rFonts w:ascii="Arial" w:hAnsi="Arial" w:cs="Arial"/>
          <w:sz w:val="22"/>
          <w:szCs w:val="22"/>
        </w:rPr>
        <w:t xml:space="preserve">May 21, 2019, at 84 FR 23157.  </w:t>
      </w:r>
      <w:r w:rsidRPr="005D3B4D">
        <w:rPr>
          <w:rFonts w:ascii="Arial" w:hAnsi="Arial" w:cs="Arial"/>
          <w:sz w:val="22"/>
          <w:szCs w:val="22"/>
        </w:rPr>
        <w:t xml:space="preserve">TTB received no comments on this information collection in response. </w:t>
      </w:r>
    </w:p>
    <w:p w14:paraId="673F2B43" w14:textId="77777777" w:rsidR="00734B25" w:rsidRPr="00090251" w:rsidRDefault="00734B25" w:rsidP="00FC2035">
      <w:pPr>
        <w:suppressAutoHyphens/>
        <w:rPr>
          <w:rFonts w:ascii="Arial" w:hAnsi="Arial" w:cs="Arial"/>
          <w:sz w:val="36"/>
          <w:szCs w:val="36"/>
        </w:rPr>
      </w:pPr>
    </w:p>
    <w:p w14:paraId="7D6B8D37" w14:textId="77777777" w:rsidR="00EC4FC3" w:rsidRPr="00D656EA" w:rsidRDefault="005E4F9B" w:rsidP="00FC203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2157C0E" w14:textId="77777777" w:rsidR="00EC4FC3" w:rsidRPr="007A5D4B" w:rsidRDefault="00EC4FC3" w:rsidP="00FC2035">
      <w:pPr>
        <w:suppressAutoHyphens/>
        <w:rPr>
          <w:rFonts w:ascii="Arial" w:hAnsi="Arial" w:cs="Arial"/>
          <w:sz w:val="22"/>
          <w:szCs w:val="22"/>
        </w:rPr>
      </w:pPr>
    </w:p>
    <w:p w14:paraId="2D44EF57" w14:textId="10F02963" w:rsidR="00EC4FC3" w:rsidRPr="007A5D4B" w:rsidRDefault="00EC4FC3" w:rsidP="00FC2035">
      <w:pPr>
        <w:suppressAutoHyphens/>
        <w:ind w:left="360"/>
        <w:rPr>
          <w:rFonts w:ascii="Arial" w:hAnsi="Arial" w:cs="Arial"/>
          <w:sz w:val="22"/>
          <w:szCs w:val="22"/>
        </w:rPr>
      </w:pPr>
      <w:r w:rsidRPr="008603B9">
        <w:rPr>
          <w:rFonts w:ascii="Arial" w:hAnsi="Arial" w:cs="Arial"/>
          <w:sz w:val="22"/>
          <w:szCs w:val="22"/>
        </w:rPr>
        <w:t>No payment or gift is associated with this</w:t>
      </w:r>
      <w:r w:rsidR="00747CE7">
        <w:rPr>
          <w:rFonts w:ascii="Arial" w:hAnsi="Arial" w:cs="Arial"/>
          <w:sz w:val="22"/>
          <w:szCs w:val="22"/>
        </w:rPr>
        <w:t xml:space="preserve"> information</w:t>
      </w:r>
      <w:r w:rsidRPr="008603B9">
        <w:rPr>
          <w:rFonts w:ascii="Arial" w:hAnsi="Arial" w:cs="Arial"/>
          <w:sz w:val="22"/>
          <w:szCs w:val="22"/>
        </w:rPr>
        <w:t xml:space="preserve"> collection.</w:t>
      </w:r>
      <w:r w:rsidR="00D656EA">
        <w:rPr>
          <w:rFonts w:ascii="Arial" w:hAnsi="Arial" w:cs="Arial"/>
          <w:sz w:val="22"/>
          <w:szCs w:val="22"/>
        </w:rPr>
        <w:t xml:space="preserve"> </w:t>
      </w:r>
    </w:p>
    <w:p w14:paraId="489EB6AB" w14:textId="77777777" w:rsidR="00EC4FC3" w:rsidRPr="00090251" w:rsidRDefault="00EC4FC3" w:rsidP="00FC2035">
      <w:pPr>
        <w:suppressAutoHyphens/>
        <w:rPr>
          <w:rFonts w:ascii="Arial" w:hAnsi="Arial" w:cs="Arial"/>
          <w:sz w:val="36"/>
          <w:szCs w:val="36"/>
        </w:rPr>
      </w:pPr>
    </w:p>
    <w:p w14:paraId="0BD2A4B4" w14:textId="77777777" w:rsidR="00EC4FC3" w:rsidRPr="00D656EA" w:rsidRDefault="00D656EA" w:rsidP="00FC2035">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B05340E" w14:textId="77777777" w:rsidR="00EC4FC3" w:rsidRPr="007A5D4B" w:rsidRDefault="00EC4FC3" w:rsidP="00FC2035">
      <w:pPr>
        <w:rPr>
          <w:rFonts w:ascii="Arial" w:hAnsi="Arial" w:cs="Arial"/>
          <w:sz w:val="22"/>
          <w:szCs w:val="22"/>
        </w:rPr>
      </w:pPr>
    </w:p>
    <w:p w14:paraId="270EFD39" w14:textId="77777777" w:rsidR="00747CE7" w:rsidRPr="00747CE7" w:rsidRDefault="00747CE7" w:rsidP="00747CE7">
      <w:pPr>
        <w:autoSpaceDE w:val="0"/>
        <w:autoSpaceDN w:val="0"/>
        <w:adjustRightInd w:val="0"/>
        <w:ind w:left="360"/>
        <w:rPr>
          <w:rFonts w:ascii="Arial" w:hAnsi="Arial" w:cs="Arial"/>
          <w:sz w:val="22"/>
          <w:szCs w:val="22"/>
        </w:rPr>
      </w:pPr>
      <w:r w:rsidRPr="00747CE7">
        <w:rPr>
          <w:rFonts w:ascii="Arial" w:hAnsi="Arial" w:cs="Arial"/>
          <w:sz w:val="22"/>
          <w:szCs w:val="22"/>
        </w:rPr>
        <w:t xml:space="preserve">No specific assurance of confidentiality is provided for this information collection.  However, Federal law at 5 U.S.C. 552(b)(4) protects the confidentiality of proprietary information obtained by the Government from regulated businesses and individuals, and 26 U.S.C. 6103 prohibits disclosure of tax returns and related information unless disclosure is specifically authorized by the IRC.  TTB maintains the collected information in secure office space and computer systems with controlled access. </w:t>
      </w:r>
    </w:p>
    <w:p w14:paraId="1071A5E1" w14:textId="77777777" w:rsidR="00AF1157" w:rsidRPr="00A5320B" w:rsidRDefault="00AF1157" w:rsidP="00FC2035">
      <w:pPr>
        <w:suppressAutoHyphens/>
        <w:rPr>
          <w:rFonts w:ascii="Arial" w:hAnsi="Arial" w:cs="Arial"/>
          <w:sz w:val="36"/>
          <w:szCs w:val="36"/>
        </w:rPr>
      </w:pPr>
    </w:p>
    <w:p w14:paraId="72F55D43" w14:textId="77777777" w:rsidR="00A201BF" w:rsidRPr="00A07689" w:rsidRDefault="00A201BF" w:rsidP="00A07689">
      <w:pPr>
        <w:rPr>
          <w:rFonts w:ascii="Arial" w:hAnsi="Arial" w:cs="Arial"/>
          <w:i/>
          <w:sz w:val="22"/>
          <w:szCs w:val="22"/>
        </w:rPr>
      </w:pPr>
      <w:r w:rsidRPr="00A07689">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4A07D0D8" w14:textId="77777777" w:rsidR="00A201BF" w:rsidRPr="00A07689" w:rsidRDefault="00A201BF" w:rsidP="00A07689">
      <w:pPr>
        <w:rPr>
          <w:rFonts w:ascii="Arial" w:hAnsi="Arial" w:cs="Arial"/>
          <w:sz w:val="22"/>
          <w:szCs w:val="22"/>
        </w:rPr>
      </w:pPr>
    </w:p>
    <w:p w14:paraId="28E3D1E6" w14:textId="77777777" w:rsidR="00A5167D" w:rsidRDefault="00A5167D" w:rsidP="00FC2035">
      <w:pPr>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46F83FD1" w14:textId="77777777" w:rsidR="00A201BF" w:rsidRPr="00A5320B" w:rsidRDefault="00A201BF" w:rsidP="00FC2035">
      <w:pPr>
        <w:suppressAutoHyphens/>
        <w:rPr>
          <w:rFonts w:ascii="Arial" w:hAnsi="Arial" w:cs="Arial"/>
          <w:sz w:val="36"/>
          <w:szCs w:val="36"/>
        </w:rPr>
      </w:pPr>
    </w:p>
    <w:p w14:paraId="3CB517E8" w14:textId="33134199" w:rsidR="00AF1157" w:rsidRPr="00AF060A" w:rsidRDefault="00AF060A" w:rsidP="00FC2035">
      <w:pPr>
        <w:suppressAutoHyphens/>
        <w:rPr>
          <w:rFonts w:ascii="Arial" w:hAnsi="Arial" w:cs="Arial"/>
          <w:i/>
          <w:sz w:val="22"/>
          <w:szCs w:val="22"/>
        </w:rPr>
      </w:pPr>
      <w:r w:rsidRPr="00B85C53">
        <w:rPr>
          <w:rFonts w:ascii="Arial" w:hAnsi="Arial" w:cs="Arial"/>
          <w:i/>
          <w:sz w:val="22"/>
          <w:szCs w:val="22"/>
        </w:rPr>
        <w:t xml:space="preserve">12.  </w:t>
      </w:r>
      <w:r w:rsidR="00AF1157" w:rsidRPr="00B85C53">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0A62F71A" w14:textId="77777777" w:rsidR="00AF1157" w:rsidRPr="007A5D4B" w:rsidRDefault="00AF1157" w:rsidP="00FC2035">
      <w:pPr>
        <w:suppressAutoHyphens/>
        <w:rPr>
          <w:rFonts w:ascii="Arial" w:hAnsi="Arial" w:cs="Arial"/>
          <w:sz w:val="22"/>
          <w:szCs w:val="22"/>
        </w:rPr>
      </w:pPr>
    </w:p>
    <w:p w14:paraId="11AE4F6E" w14:textId="47746295" w:rsidR="00D414AB" w:rsidRDefault="007F6E23" w:rsidP="00FC2035">
      <w:pPr>
        <w:ind w:left="360"/>
        <w:rPr>
          <w:rFonts w:ascii="Arial" w:hAnsi="Arial" w:cs="Arial"/>
          <w:sz w:val="22"/>
          <w:szCs w:val="22"/>
        </w:rPr>
      </w:pPr>
      <w:r>
        <w:rPr>
          <w:rFonts w:ascii="Arial" w:hAnsi="Arial" w:cs="Arial"/>
          <w:sz w:val="22"/>
        </w:rPr>
        <w:t xml:space="preserve">Based on recent experience, </w:t>
      </w:r>
      <w:r w:rsidR="007675A0" w:rsidRPr="006F3564">
        <w:rPr>
          <w:rFonts w:ascii="Arial" w:hAnsi="Arial" w:cs="Arial"/>
          <w:sz w:val="22"/>
        </w:rPr>
        <w:t xml:space="preserve">TTB estimates that </w:t>
      </w:r>
      <w:r w:rsidR="00B85C53">
        <w:rPr>
          <w:rFonts w:ascii="Arial" w:hAnsi="Arial" w:cs="Arial"/>
          <w:sz w:val="22"/>
        </w:rPr>
        <w:t>350</w:t>
      </w:r>
      <w:r>
        <w:rPr>
          <w:rFonts w:ascii="Arial" w:hAnsi="Arial" w:cs="Arial"/>
          <w:sz w:val="22"/>
        </w:rPr>
        <w:t xml:space="preserve"> respondents will file </w:t>
      </w:r>
      <w:r w:rsidR="00B85C53">
        <w:rPr>
          <w:rFonts w:ascii="Arial" w:hAnsi="Arial" w:cs="Arial"/>
          <w:sz w:val="22"/>
        </w:rPr>
        <w:t xml:space="preserve">an average of </w:t>
      </w:r>
      <w:r w:rsidR="007675A0" w:rsidRPr="006F3564">
        <w:rPr>
          <w:rFonts w:ascii="Arial" w:hAnsi="Arial" w:cs="Arial"/>
          <w:sz w:val="22"/>
        </w:rPr>
        <w:t xml:space="preserve">two applications or notices </w:t>
      </w:r>
      <w:r w:rsidR="00B85C53">
        <w:rPr>
          <w:rFonts w:ascii="Arial" w:hAnsi="Arial" w:cs="Arial"/>
          <w:sz w:val="22"/>
        </w:rPr>
        <w:t>per</w:t>
      </w:r>
      <w:r>
        <w:rPr>
          <w:rFonts w:ascii="Arial" w:hAnsi="Arial" w:cs="Arial"/>
          <w:sz w:val="22"/>
        </w:rPr>
        <w:t xml:space="preserve"> year, for a total of </w:t>
      </w:r>
      <w:r w:rsidR="00B85C53">
        <w:rPr>
          <w:rFonts w:ascii="Arial" w:hAnsi="Arial" w:cs="Arial"/>
          <w:sz w:val="22"/>
        </w:rPr>
        <w:t xml:space="preserve">700 annual </w:t>
      </w:r>
      <w:r>
        <w:rPr>
          <w:rFonts w:ascii="Arial" w:hAnsi="Arial" w:cs="Arial"/>
          <w:sz w:val="22"/>
        </w:rPr>
        <w:t>responses, and that each response will require 0.5 hours (30 minutes)</w:t>
      </w:r>
      <w:r w:rsidR="00B85C53">
        <w:rPr>
          <w:rFonts w:ascii="Arial" w:hAnsi="Arial" w:cs="Arial"/>
          <w:sz w:val="22"/>
        </w:rPr>
        <w:t xml:space="preserve"> to complete</w:t>
      </w:r>
      <w:r>
        <w:rPr>
          <w:rFonts w:ascii="Arial" w:hAnsi="Arial" w:cs="Arial"/>
          <w:sz w:val="22"/>
        </w:rPr>
        <w:t xml:space="preserve">.  Therefore, </w:t>
      </w:r>
      <w:r w:rsidR="00B85C53">
        <w:rPr>
          <w:rFonts w:ascii="Arial" w:hAnsi="Arial" w:cs="Arial"/>
          <w:sz w:val="22"/>
        </w:rPr>
        <w:t xml:space="preserve">TTB estimates that the </w:t>
      </w:r>
      <w:r>
        <w:rPr>
          <w:rFonts w:ascii="Arial" w:hAnsi="Arial" w:cs="Arial"/>
          <w:sz w:val="22"/>
        </w:rPr>
        <w:t xml:space="preserve">total annual burden for this information collection </w:t>
      </w:r>
      <w:r w:rsidR="00B85C53">
        <w:rPr>
          <w:rFonts w:ascii="Arial" w:hAnsi="Arial" w:cs="Arial"/>
          <w:sz w:val="22"/>
        </w:rPr>
        <w:t xml:space="preserve">is 350 hours. </w:t>
      </w:r>
    </w:p>
    <w:p w14:paraId="361B21CE" w14:textId="77777777" w:rsidR="007F6E23" w:rsidRDefault="007F6E23" w:rsidP="00FC2035">
      <w:pPr>
        <w:ind w:left="360"/>
        <w:rPr>
          <w:rFonts w:ascii="Arial" w:hAnsi="Arial" w:cs="Arial"/>
          <w:sz w:val="22"/>
          <w:szCs w:val="22"/>
        </w:rPr>
      </w:pPr>
    </w:p>
    <w:p w14:paraId="49ECB5E6" w14:textId="19E2D376" w:rsidR="007F6E23" w:rsidRDefault="007F6E23" w:rsidP="00FC2035">
      <w:pPr>
        <w:ind w:left="360"/>
        <w:rPr>
          <w:rFonts w:ascii="Arial" w:hAnsi="Arial" w:cs="Arial"/>
          <w:sz w:val="22"/>
          <w:szCs w:val="22"/>
        </w:rPr>
      </w:pPr>
      <w:r>
        <w:rPr>
          <w:rFonts w:ascii="Arial" w:hAnsi="Arial" w:cs="Arial"/>
          <w:sz w:val="22"/>
          <w:szCs w:val="22"/>
        </w:rPr>
        <w:t>(</w:t>
      </w:r>
      <w:r w:rsidR="00B85C53">
        <w:rPr>
          <w:rFonts w:ascii="Arial" w:hAnsi="Arial" w:cs="Arial"/>
          <w:sz w:val="22"/>
          <w:szCs w:val="22"/>
        </w:rPr>
        <w:t>350</w:t>
      </w:r>
      <w:r>
        <w:rPr>
          <w:rFonts w:ascii="Arial" w:hAnsi="Arial" w:cs="Arial"/>
          <w:sz w:val="22"/>
          <w:szCs w:val="22"/>
        </w:rPr>
        <w:t xml:space="preserve"> respondents X 2 responses/year = </w:t>
      </w:r>
      <w:r w:rsidR="00B85C53">
        <w:rPr>
          <w:rFonts w:ascii="Arial" w:hAnsi="Arial" w:cs="Arial"/>
          <w:sz w:val="22"/>
          <w:szCs w:val="22"/>
        </w:rPr>
        <w:t xml:space="preserve">700 </w:t>
      </w:r>
      <w:r>
        <w:rPr>
          <w:rFonts w:ascii="Arial" w:hAnsi="Arial" w:cs="Arial"/>
          <w:sz w:val="22"/>
          <w:szCs w:val="22"/>
        </w:rPr>
        <w:t xml:space="preserve">responses/year X 0.5 hours/response = </w:t>
      </w:r>
      <w:r w:rsidR="00B85C53">
        <w:rPr>
          <w:rFonts w:ascii="Arial" w:hAnsi="Arial" w:cs="Arial"/>
          <w:sz w:val="22"/>
          <w:szCs w:val="22"/>
        </w:rPr>
        <w:t>350</w:t>
      </w:r>
      <w:r>
        <w:rPr>
          <w:rFonts w:ascii="Arial" w:hAnsi="Arial" w:cs="Arial"/>
          <w:sz w:val="22"/>
          <w:szCs w:val="22"/>
        </w:rPr>
        <w:t xml:space="preserve"> total annual burden hours.)</w:t>
      </w:r>
      <w:r w:rsidR="008E4C7C">
        <w:rPr>
          <w:rFonts w:ascii="Arial" w:hAnsi="Arial" w:cs="Arial"/>
          <w:sz w:val="22"/>
          <w:szCs w:val="22"/>
        </w:rPr>
        <w:t xml:space="preserve"> </w:t>
      </w:r>
    </w:p>
    <w:p w14:paraId="6729DE2A" w14:textId="77777777" w:rsidR="00AF060A" w:rsidRPr="00A5320B" w:rsidRDefault="00AF060A" w:rsidP="00FC2035">
      <w:pPr>
        <w:rPr>
          <w:rFonts w:ascii="Arial" w:hAnsi="Arial" w:cs="Arial"/>
          <w:sz w:val="36"/>
          <w:szCs w:val="36"/>
        </w:rPr>
      </w:pPr>
    </w:p>
    <w:p w14:paraId="4C3CDBBB" w14:textId="77777777" w:rsidR="00101DE7" w:rsidRPr="00AF060A" w:rsidRDefault="00AF060A" w:rsidP="00FC2035">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5C6730B" w14:textId="77777777" w:rsidR="00101DE7" w:rsidRPr="007A5D4B" w:rsidRDefault="00101DE7" w:rsidP="00FC2035">
      <w:pPr>
        <w:suppressAutoHyphens/>
        <w:ind w:left="480" w:hanging="480"/>
        <w:rPr>
          <w:rFonts w:ascii="Arial" w:hAnsi="Arial" w:cs="Arial"/>
          <w:sz w:val="22"/>
          <w:szCs w:val="22"/>
        </w:rPr>
      </w:pPr>
    </w:p>
    <w:p w14:paraId="39384C3B" w14:textId="123D5F5D" w:rsidR="00AF1157" w:rsidRDefault="00AF1157" w:rsidP="00FC2035">
      <w:pPr>
        <w:suppressAutoHyphens/>
        <w:ind w:left="360"/>
        <w:rPr>
          <w:rFonts w:ascii="Arial" w:hAnsi="Arial" w:cs="Arial"/>
          <w:sz w:val="22"/>
          <w:szCs w:val="22"/>
        </w:rPr>
      </w:pPr>
      <w:r w:rsidRPr="00E56E11">
        <w:rPr>
          <w:rFonts w:ascii="Arial" w:hAnsi="Arial" w:cs="Arial"/>
          <w:sz w:val="22"/>
          <w:szCs w:val="22"/>
        </w:rPr>
        <w:t xml:space="preserve">There </w:t>
      </w:r>
      <w:r w:rsidR="00B85C53">
        <w:rPr>
          <w:rFonts w:ascii="Arial" w:hAnsi="Arial" w:cs="Arial"/>
          <w:sz w:val="22"/>
          <w:szCs w:val="22"/>
        </w:rPr>
        <w:t xml:space="preserve">are no annualized costs to respondents </w:t>
      </w:r>
      <w:r w:rsidRPr="00E56E11">
        <w:rPr>
          <w:rFonts w:ascii="Arial" w:hAnsi="Arial" w:cs="Arial"/>
          <w:sz w:val="22"/>
          <w:szCs w:val="22"/>
        </w:rPr>
        <w:t>associated with this</w:t>
      </w:r>
      <w:r w:rsidR="00B85C53">
        <w:rPr>
          <w:rFonts w:ascii="Arial" w:hAnsi="Arial" w:cs="Arial"/>
          <w:sz w:val="22"/>
          <w:szCs w:val="22"/>
        </w:rPr>
        <w:t xml:space="preserve"> occasional information </w:t>
      </w:r>
      <w:r w:rsidRPr="00E56E11">
        <w:rPr>
          <w:rFonts w:ascii="Arial" w:hAnsi="Arial" w:cs="Arial"/>
          <w:sz w:val="22"/>
          <w:szCs w:val="22"/>
        </w:rPr>
        <w:t>collection.</w:t>
      </w:r>
      <w:r w:rsidR="00AF060A">
        <w:rPr>
          <w:rFonts w:ascii="Arial" w:hAnsi="Arial" w:cs="Arial"/>
          <w:sz w:val="22"/>
          <w:szCs w:val="22"/>
        </w:rPr>
        <w:t xml:space="preserve"> </w:t>
      </w:r>
    </w:p>
    <w:p w14:paraId="3FD1481A" w14:textId="77777777" w:rsidR="00AF1157" w:rsidRPr="00A5320B" w:rsidRDefault="00AF1157" w:rsidP="00FC2035">
      <w:pPr>
        <w:suppressAutoHyphens/>
        <w:rPr>
          <w:rFonts w:ascii="Arial" w:hAnsi="Arial" w:cs="Arial"/>
          <w:sz w:val="36"/>
          <w:szCs w:val="36"/>
        </w:rPr>
      </w:pPr>
    </w:p>
    <w:p w14:paraId="5AC7F106" w14:textId="77777777" w:rsidR="00AF1157" w:rsidRPr="00AF060A" w:rsidRDefault="00AF060A" w:rsidP="00FC2035">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3765C61" w14:textId="77777777" w:rsidR="00AF1157" w:rsidRPr="007A5D4B" w:rsidRDefault="00AF1157" w:rsidP="00FC2035">
      <w:pPr>
        <w:suppressAutoHyphens/>
        <w:ind w:left="480" w:hanging="480"/>
        <w:rPr>
          <w:rFonts w:ascii="Arial" w:hAnsi="Arial" w:cs="Arial"/>
          <w:sz w:val="22"/>
          <w:szCs w:val="22"/>
        </w:rPr>
      </w:pPr>
    </w:p>
    <w:p w14:paraId="2EC2CFFA" w14:textId="29823473" w:rsidR="00D6325C" w:rsidRDefault="007675A0" w:rsidP="00FC2035">
      <w:pPr>
        <w:ind w:left="360"/>
        <w:rPr>
          <w:rFonts w:ascii="Arial" w:hAnsi="Arial" w:cs="Arial"/>
          <w:sz w:val="22"/>
          <w:szCs w:val="22"/>
        </w:rPr>
      </w:pPr>
      <w:r>
        <w:rPr>
          <w:rFonts w:ascii="Arial" w:hAnsi="Arial" w:cs="Arial"/>
          <w:sz w:val="22"/>
          <w:szCs w:val="22"/>
        </w:rPr>
        <w:t xml:space="preserve">There </w:t>
      </w:r>
      <w:r w:rsidR="00B85C53">
        <w:rPr>
          <w:rFonts w:ascii="Arial" w:hAnsi="Arial" w:cs="Arial"/>
          <w:sz w:val="22"/>
          <w:szCs w:val="22"/>
        </w:rPr>
        <w:t xml:space="preserve">are </w:t>
      </w:r>
      <w:r>
        <w:rPr>
          <w:rFonts w:ascii="Arial" w:hAnsi="Arial" w:cs="Arial"/>
          <w:sz w:val="22"/>
          <w:szCs w:val="22"/>
        </w:rPr>
        <w:t>no annualized cost</w:t>
      </w:r>
      <w:r w:rsidR="00B85C53">
        <w:rPr>
          <w:rFonts w:ascii="Arial" w:hAnsi="Arial" w:cs="Arial"/>
          <w:sz w:val="22"/>
          <w:szCs w:val="22"/>
        </w:rPr>
        <w:t>s</w:t>
      </w:r>
      <w:r>
        <w:rPr>
          <w:rFonts w:ascii="Arial" w:hAnsi="Arial" w:cs="Arial"/>
          <w:sz w:val="22"/>
          <w:szCs w:val="22"/>
        </w:rPr>
        <w:t xml:space="preserve"> to the Federal Government associated with this </w:t>
      </w:r>
      <w:r w:rsidR="00B85C53">
        <w:rPr>
          <w:rFonts w:ascii="Arial" w:hAnsi="Arial" w:cs="Arial"/>
          <w:sz w:val="22"/>
          <w:szCs w:val="22"/>
        </w:rPr>
        <w:t xml:space="preserve">information </w:t>
      </w:r>
      <w:r>
        <w:rPr>
          <w:rFonts w:ascii="Arial" w:hAnsi="Arial" w:cs="Arial"/>
          <w:sz w:val="22"/>
          <w:szCs w:val="22"/>
        </w:rPr>
        <w:t>collection.</w:t>
      </w:r>
      <w:r w:rsidR="00B85C53">
        <w:rPr>
          <w:rFonts w:ascii="Arial" w:hAnsi="Arial" w:cs="Arial"/>
          <w:sz w:val="22"/>
          <w:szCs w:val="22"/>
        </w:rPr>
        <w:t xml:space="preserve"> </w:t>
      </w:r>
    </w:p>
    <w:p w14:paraId="02B18264" w14:textId="77777777" w:rsidR="00D6325C" w:rsidRPr="00A5320B" w:rsidRDefault="00D6325C" w:rsidP="00FC2035">
      <w:pPr>
        <w:rPr>
          <w:rFonts w:ascii="Arial" w:hAnsi="Arial" w:cs="Arial"/>
          <w:sz w:val="36"/>
          <w:szCs w:val="36"/>
        </w:rPr>
      </w:pPr>
    </w:p>
    <w:p w14:paraId="6EE3DE43" w14:textId="77777777" w:rsidR="00AF1157" w:rsidRPr="00AF060A" w:rsidRDefault="00AF060A" w:rsidP="00FC203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36D2A96D" w14:textId="77777777" w:rsidR="00AF1157" w:rsidRDefault="00AF1157" w:rsidP="00FC2035">
      <w:pPr>
        <w:suppressAutoHyphens/>
        <w:rPr>
          <w:rFonts w:ascii="Arial" w:hAnsi="Arial" w:cs="Arial"/>
          <w:sz w:val="22"/>
          <w:szCs w:val="22"/>
        </w:rPr>
      </w:pPr>
    </w:p>
    <w:p w14:paraId="4ABA9988" w14:textId="57C370E6" w:rsidR="0069718A" w:rsidRDefault="0069718A" w:rsidP="00FC2035">
      <w:pPr>
        <w:ind w:left="360"/>
        <w:rPr>
          <w:rFonts w:ascii="Arial" w:hAnsi="Arial" w:cs="Arial"/>
          <w:sz w:val="22"/>
          <w:szCs w:val="22"/>
        </w:rPr>
      </w:pPr>
      <w:r w:rsidRPr="007675A0">
        <w:rPr>
          <w:rFonts w:ascii="Arial" w:hAnsi="Arial" w:cs="Arial"/>
          <w:sz w:val="22"/>
          <w:szCs w:val="22"/>
        </w:rPr>
        <w:t>There are no program changes associated with this</w:t>
      </w:r>
      <w:r w:rsidR="00B85C53">
        <w:rPr>
          <w:rFonts w:ascii="Arial" w:hAnsi="Arial" w:cs="Arial"/>
          <w:sz w:val="22"/>
          <w:szCs w:val="22"/>
        </w:rPr>
        <w:t xml:space="preserve"> </w:t>
      </w:r>
      <w:r w:rsidRPr="007675A0">
        <w:rPr>
          <w:rFonts w:ascii="Arial" w:hAnsi="Arial" w:cs="Arial"/>
          <w:sz w:val="22"/>
          <w:szCs w:val="22"/>
        </w:rPr>
        <w:t>collection.</w:t>
      </w:r>
      <w:r w:rsidRPr="0069718A">
        <w:rPr>
          <w:rFonts w:ascii="Arial" w:hAnsi="Arial" w:cs="Arial"/>
          <w:sz w:val="22"/>
          <w:szCs w:val="22"/>
        </w:rPr>
        <w:t xml:space="preserve"> </w:t>
      </w:r>
      <w:r w:rsidR="007F6E23">
        <w:rPr>
          <w:rFonts w:ascii="Arial" w:hAnsi="Arial" w:cs="Arial"/>
          <w:sz w:val="22"/>
          <w:szCs w:val="22"/>
        </w:rPr>
        <w:t xml:space="preserve"> As for adjustments, </w:t>
      </w:r>
      <w:r w:rsidR="00B85C53">
        <w:rPr>
          <w:rFonts w:ascii="Arial" w:hAnsi="Arial" w:cs="Arial"/>
          <w:sz w:val="22"/>
          <w:szCs w:val="22"/>
        </w:rPr>
        <w:t>due to a change in agency estimates</w:t>
      </w:r>
      <w:r w:rsidR="00D110FC">
        <w:rPr>
          <w:rFonts w:ascii="Arial" w:hAnsi="Arial" w:cs="Arial"/>
          <w:sz w:val="22"/>
          <w:szCs w:val="22"/>
        </w:rPr>
        <w:t>,</w:t>
      </w:r>
      <w:r w:rsidR="00B85C53">
        <w:rPr>
          <w:rFonts w:ascii="Arial" w:hAnsi="Arial" w:cs="Arial"/>
          <w:sz w:val="22"/>
          <w:szCs w:val="22"/>
        </w:rPr>
        <w:t xml:space="preserve"> TTB is decreasing </w:t>
      </w:r>
      <w:r w:rsidR="007F6E23">
        <w:rPr>
          <w:rFonts w:ascii="Arial" w:hAnsi="Arial" w:cs="Arial"/>
          <w:sz w:val="22"/>
          <w:szCs w:val="22"/>
        </w:rPr>
        <w:t xml:space="preserve">the number of respondents </w:t>
      </w:r>
      <w:r w:rsidR="00B85C53">
        <w:rPr>
          <w:rFonts w:ascii="Arial" w:hAnsi="Arial" w:cs="Arial"/>
          <w:sz w:val="22"/>
          <w:szCs w:val="22"/>
        </w:rPr>
        <w:t xml:space="preserve">to this information collection from </w:t>
      </w:r>
      <w:r w:rsidR="007F6E23">
        <w:rPr>
          <w:rFonts w:ascii="Arial" w:hAnsi="Arial" w:cs="Arial"/>
          <w:sz w:val="22"/>
          <w:szCs w:val="22"/>
        </w:rPr>
        <w:t>515</w:t>
      </w:r>
      <w:r w:rsidR="00B85C53">
        <w:rPr>
          <w:rFonts w:ascii="Arial" w:hAnsi="Arial" w:cs="Arial"/>
          <w:sz w:val="22"/>
          <w:szCs w:val="22"/>
        </w:rPr>
        <w:t xml:space="preserve"> to 350, and is decreasing the number of annual responses from 1,030 to 700.  I</w:t>
      </w:r>
      <w:r w:rsidR="007F6E23">
        <w:rPr>
          <w:rFonts w:ascii="Arial" w:hAnsi="Arial" w:cs="Arial"/>
          <w:sz w:val="22"/>
          <w:szCs w:val="22"/>
        </w:rPr>
        <w:t>n turn, this results in a</w:t>
      </w:r>
      <w:r w:rsidR="00B85C53">
        <w:rPr>
          <w:rFonts w:ascii="Arial" w:hAnsi="Arial" w:cs="Arial"/>
          <w:sz w:val="22"/>
          <w:szCs w:val="22"/>
        </w:rPr>
        <w:t xml:space="preserve"> decrease in this information collection’s estimated total annual burden, from </w:t>
      </w:r>
      <w:r w:rsidR="007F6E23">
        <w:rPr>
          <w:rFonts w:ascii="Arial" w:hAnsi="Arial" w:cs="Arial"/>
          <w:sz w:val="22"/>
          <w:szCs w:val="22"/>
        </w:rPr>
        <w:t>515</w:t>
      </w:r>
      <w:r w:rsidR="00B85C53">
        <w:rPr>
          <w:rFonts w:ascii="Arial" w:hAnsi="Arial" w:cs="Arial"/>
          <w:sz w:val="22"/>
          <w:szCs w:val="22"/>
        </w:rPr>
        <w:t xml:space="preserve"> hours to 350. </w:t>
      </w:r>
      <w:r w:rsidR="00D110FC">
        <w:rPr>
          <w:rFonts w:ascii="Arial" w:hAnsi="Arial" w:cs="Arial"/>
          <w:sz w:val="22"/>
          <w:szCs w:val="22"/>
        </w:rPr>
        <w:t xml:space="preserve"> This change in agency estimates </w:t>
      </w:r>
      <w:r w:rsidR="003E6B4C">
        <w:rPr>
          <w:rFonts w:ascii="Arial" w:hAnsi="Arial" w:cs="Arial"/>
          <w:sz w:val="22"/>
          <w:szCs w:val="22"/>
        </w:rPr>
        <w:t xml:space="preserve">results </w:t>
      </w:r>
      <w:r w:rsidR="00D110FC" w:rsidRPr="00D110FC">
        <w:rPr>
          <w:rFonts w:ascii="Arial" w:hAnsi="Arial" w:cs="Arial"/>
          <w:sz w:val="22"/>
          <w:szCs w:val="22"/>
        </w:rPr>
        <w:t xml:space="preserve">from TTB’s use of improved information technology, which has improved TTB accounting of the </w:t>
      </w:r>
      <w:r w:rsidR="00362A16">
        <w:rPr>
          <w:rFonts w:ascii="Arial" w:hAnsi="Arial" w:cs="Arial"/>
          <w:sz w:val="22"/>
          <w:szCs w:val="22"/>
        </w:rPr>
        <w:t xml:space="preserve">letterhead applications and notices submitted to the agency. </w:t>
      </w:r>
    </w:p>
    <w:p w14:paraId="73A0D590" w14:textId="77777777" w:rsidR="00AF060A" w:rsidRPr="000B6799" w:rsidRDefault="00AF060A" w:rsidP="00FC2035">
      <w:pPr>
        <w:suppressAutoHyphens/>
        <w:rPr>
          <w:rFonts w:ascii="Arial" w:hAnsi="Arial" w:cs="Arial"/>
          <w:sz w:val="36"/>
          <w:szCs w:val="36"/>
        </w:rPr>
      </w:pPr>
    </w:p>
    <w:p w14:paraId="7C2DE960" w14:textId="77777777" w:rsidR="00AF1157" w:rsidRPr="00AF060A" w:rsidRDefault="00AF060A" w:rsidP="00FC203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085EEFA8" w14:textId="77777777" w:rsidR="00AF1157" w:rsidRPr="007A5D4B" w:rsidRDefault="00AF1157" w:rsidP="00FC2035">
      <w:pPr>
        <w:suppressAutoHyphens/>
        <w:ind w:left="480" w:hanging="480"/>
        <w:rPr>
          <w:rFonts w:ascii="Arial" w:hAnsi="Arial" w:cs="Arial"/>
          <w:sz w:val="22"/>
          <w:szCs w:val="22"/>
        </w:rPr>
      </w:pPr>
    </w:p>
    <w:p w14:paraId="3D1CA32C" w14:textId="74BAACCD" w:rsidR="00AF1157" w:rsidRPr="007A5D4B" w:rsidRDefault="00B773A3" w:rsidP="00FC2035">
      <w:pPr>
        <w:suppressAutoHyphens/>
        <w:ind w:left="360"/>
        <w:rPr>
          <w:rFonts w:ascii="Arial" w:hAnsi="Arial" w:cs="Arial"/>
          <w:sz w:val="22"/>
          <w:szCs w:val="22"/>
        </w:rPr>
      </w:pPr>
      <w:r>
        <w:rPr>
          <w:rFonts w:ascii="Arial" w:hAnsi="Arial" w:cs="Arial"/>
          <w:sz w:val="22"/>
          <w:szCs w:val="22"/>
        </w:rPr>
        <w:t>T</w:t>
      </w:r>
      <w:r w:rsidR="00276081" w:rsidRPr="0069718A">
        <w:rPr>
          <w:rFonts w:ascii="Arial" w:hAnsi="Arial" w:cs="Arial"/>
          <w:sz w:val="22"/>
          <w:szCs w:val="22"/>
        </w:rPr>
        <w:t>TB will not publish t</w:t>
      </w:r>
      <w:r w:rsidR="00AF1157" w:rsidRPr="0069718A">
        <w:rPr>
          <w:rFonts w:ascii="Arial" w:hAnsi="Arial" w:cs="Arial"/>
          <w:sz w:val="22"/>
          <w:szCs w:val="22"/>
        </w:rPr>
        <w:t xml:space="preserve">he </w:t>
      </w:r>
      <w:r w:rsidR="00276081" w:rsidRPr="0069718A">
        <w:rPr>
          <w:rFonts w:ascii="Arial" w:hAnsi="Arial" w:cs="Arial"/>
          <w:sz w:val="22"/>
          <w:szCs w:val="22"/>
        </w:rPr>
        <w:t>result</w:t>
      </w:r>
      <w:r w:rsidR="00AF1157" w:rsidRPr="0069718A">
        <w:rPr>
          <w:rFonts w:ascii="Arial" w:hAnsi="Arial" w:cs="Arial"/>
          <w:sz w:val="22"/>
          <w:szCs w:val="22"/>
        </w:rPr>
        <w:t xml:space="preserve">s of this </w:t>
      </w:r>
      <w:r w:rsidR="00B85C53">
        <w:rPr>
          <w:rFonts w:ascii="Arial" w:hAnsi="Arial" w:cs="Arial"/>
          <w:sz w:val="22"/>
          <w:szCs w:val="22"/>
        </w:rPr>
        <w:t xml:space="preserve">information </w:t>
      </w:r>
      <w:r w:rsidR="00AF1157" w:rsidRPr="0069718A">
        <w:rPr>
          <w:rFonts w:ascii="Arial" w:hAnsi="Arial" w:cs="Arial"/>
          <w:sz w:val="22"/>
          <w:szCs w:val="22"/>
        </w:rPr>
        <w:t>collection.</w:t>
      </w:r>
      <w:r w:rsidR="00AF060A">
        <w:rPr>
          <w:rFonts w:ascii="Arial" w:hAnsi="Arial" w:cs="Arial"/>
          <w:sz w:val="22"/>
          <w:szCs w:val="22"/>
        </w:rPr>
        <w:t xml:space="preserve"> </w:t>
      </w:r>
    </w:p>
    <w:p w14:paraId="0EACB018" w14:textId="77777777" w:rsidR="00AF1157" w:rsidRPr="00A5320B" w:rsidRDefault="00AF1157" w:rsidP="00FC2035">
      <w:pPr>
        <w:suppressAutoHyphens/>
        <w:rPr>
          <w:rFonts w:ascii="Arial" w:hAnsi="Arial" w:cs="Arial"/>
          <w:sz w:val="36"/>
          <w:szCs w:val="36"/>
        </w:rPr>
      </w:pPr>
    </w:p>
    <w:p w14:paraId="11EC4BC8" w14:textId="77777777" w:rsidR="00AF1157" w:rsidRPr="007A5D4B" w:rsidRDefault="00AF060A" w:rsidP="00FC2035">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312400F0" w14:textId="77777777" w:rsidR="00AF1157" w:rsidRPr="007A5D4B" w:rsidRDefault="00AF1157" w:rsidP="00FC2035">
      <w:pPr>
        <w:suppressAutoHyphens/>
        <w:rPr>
          <w:rFonts w:ascii="Arial" w:hAnsi="Arial" w:cs="Arial"/>
          <w:sz w:val="22"/>
          <w:szCs w:val="22"/>
        </w:rPr>
      </w:pPr>
    </w:p>
    <w:p w14:paraId="4D44C364" w14:textId="71E10BE9" w:rsidR="00851169" w:rsidRDefault="00851169" w:rsidP="00FC2035">
      <w:pPr>
        <w:autoSpaceDE w:val="0"/>
        <w:autoSpaceDN w:val="0"/>
        <w:ind w:left="360"/>
        <w:rPr>
          <w:rFonts w:ascii="Arial" w:hAnsi="Arial" w:cs="Arial"/>
          <w:sz w:val="22"/>
          <w:szCs w:val="22"/>
        </w:rPr>
      </w:pPr>
      <w:r w:rsidRPr="00851169">
        <w:rPr>
          <w:rFonts w:ascii="Arial" w:hAnsi="Arial" w:cs="Arial"/>
          <w:sz w:val="22"/>
          <w:szCs w:val="22"/>
        </w:rPr>
        <w:t xml:space="preserve">There is no prescribed TTB form for this </w:t>
      </w:r>
      <w:r w:rsidR="00A47E42">
        <w:rPr>
          <w:rFonts w:ascii="Arial" w:hAnsi="Arial" w:cs="Arial"/>
          <w:sz w:val="22"/>
          <w:szCs w:val="22"/>
        </w:rPr>
        <w:t xml:space="preserve">information </w:t>
      </w:r>
      <w:r w:rsidRPr="00851169">
        <w:rPr>
          <w:rFonts w:ascii="Arial" w:hAnsi="Arial" w:cs="Arial"/>
          <w:sz w:val="22"/>
          <w:szCs w:val="22"/>
        </w:rPr>
        <w:t>collection</w:t>
      </w:r>
      <w:r w:rsidR="00A47E42">
        <w:rPr>
          <w:rFonts w:ascii="Arial" w:hAnsi="Arial" w:cs="Arial"/>
          <w:sz w:val="22"/>
          <w:szCs w:val="22"/>
        </w:rPr>
        <w:t xml:space="preserve">, and, as such, </w:t>
      </w:r>
      <w:r w:rsidRPr="00851169">
        <w:rPr>
          <w:rFonts w:ascii="Arial" w:hAnsi="Arial" w:cs="Arial"/>
          <w:sz w:val="22"/>
          <w:szCs w:val="22"/>
        </w:rPr>
        <w:t xml:space="preserve">there is no medium for TTB to display the </w:t>
      </w:r>
      <w:r w:rsidR="00A47E42">
        <w:rPr>
          <w:rFonts w:ascii="Arial" w:hAnsi="Arial" w:cs="Arial"/>
          <w:sz w:val="22"/>
          <w:szCs w:val="22"/>
        </w:rPr>
        <w:t xml:space="preserve">collection’s </w:t>
      </w:r>
      <w:r w:rsidRPr="00851169">
        <w:rPr>
          <w:rFonts w:ascii="Arial" w:hAnsi="Arial" w:cs="Arial"/>
          <w:sz w:val="22"/>
          <w:szCs w:val="22"/>
        </w:rPr>
        <w:t>OMB approval expiration date.</w:t>
      </w:r>
      <w:r w:rsidR="000B6799">
        <w:rPr>
          <w:rFonts w:ascii="Arial" w:hAnsi="Arial" w:cs="Arial"/>
          <w:sz w:val="22"/>
          <w:szCs w:val="22"/>
        </w:rPr>
        <w:t xml:space="preserve"> </w:t>
      </w:r>
    </w:p>
    <w:p w14:paraId="6208A2C0" w14:textId="77777777" w:rsidR="00014CEB" w:rsidRPr="000B6799" w:rsidRDefault="00014CEB" w:rsidP="007F6E23">
      <w:pPr>
        <w:autoSpaceDE w:val="0"/>
        <w:autoSpaceDN w:val="0"/>
        <w:rPr>
          <w:rFonts w:ascii="Arial" w:hAnsi="Arial" w:cs="Arial"/>
          <w:sz w:val="36"/>
          <w:szCs w:val="36"/>
        </w:rPr>
      </w:pPr>
    </w:p>
    <w:p w14:paraId="00588E46" w14:textId="77777777" w:rsidR="00AF1157" w:rsidRPr="00FD18EE" w:rsidRDefault="00BA1A21" w:rsidP="00FC2035">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056C3D5" w14:textId="77777777" w:rsidR="00AF1157" w:rsidRPr="00FD18EE" w:rsidRDefault="00AF1157" w:rsidP="00FC2035">
      <w:pPr>
        <w:suppressAutoHyphens/>
        <w:ind w:left="360"/>
        <w:rPr>
          <w:rFonts w:ascii="Arial" w:hAnsi="Arial" w:cs="Arial"/>
          <w:sz w:val="22"/>
          <w:szCs w:val="22"/>
        </w:rPr>
      </w:pPr>
    </w:p>
    <w:p w14:paraId="7BA3A941" w14:textId="77777777" w:rsidR="00851169" w:rsidRPr="00A5320B" w:rsidRDefault="00851169" w:rsidP="00A47E42">
      <w:pPr>
        <w:spacing w:after="120"/>
        <w:ind w:left="360"/>
        <w:rPr>
          <w:rFonts w:ascii="Arial" w:hAnsi="Arial" w:cs="Arial"/>
          <w:sz w:val="22"/>
          <w:szCs w:val="22"/>
        </w:rPr>
      </w:pPr>
      <w:r w:rsidRPr="00A5320B">
        <w:rPr>
          <w:rFonts w:ascii="Arial" w:hAnsi="Arial" w:cs="Arial"/>
          <w:sz w:val="22"/>
          <w:szCs w:val="22"/>
        </w:rPr>
        <w:t xml:space="preserve">(c)  See item 5 above. </w:t>
      </w:r>
    </w:p>
    <w:p w14:paraId="50A119E6" w14:textId="77777777" w:rsidR="00851169" w:rsidRPr="00A5320B" w:rsidRDefault="00851169" w:rsidP="00A47E42">
      <w:pPr>
        <w:spacing w:after="120"/>
        <w:ind w:left="360"/>
        <w:rPr>
          <w:rFonts w:ascii="Arial" w:hAnsi="Arial" w:cs="Arial"/>
          <w:sz w:val="22"/>
          <w:szCs w:val="22"/>
        </w:rPr>
      </w:pPr>
      <w:r w:rsidRPr="00A5320B">
        <w:rPr>
          <w:rFonts w:ascii="Arial" w:hAnsi="Arial" w:cs="Arial"/>
          <w:sz w:val="22"/>
          <w:szCs w:val="22"/>
        </w:rPr>
        <w:t xml:space="preserve">(i)   No statistics are involved. </w:t>
      </w:r>
    </w:p>
    <w:p w14:paraId="4F6B6CFD" w14:textId="77777777" w:rsidR="00851169" w:rsidRPr="00A5320B" w:rsidRDefault="00851169" w:rsidP="00FC2035">
      <w:pPr>
        <w:ind w:left="360"/>
        <w:rPr>
          <w:rFonts w:ascii="Arial" w:hAnsi="Arial" w:cs="Arial"/>
          <w:sz w:val="22"/>
          <w:szCs w:val="22"/>
        </w:rPr>
      </w:pPr>
      <w:r w:rsidRPr="00A5320B">
        <w:rPr>
          <w:rFonts w:ascii="Arial" w:hAnsi="Arial" w:cs="Arial"/>
          <w:sz w:val="22"/>
          <w:szCs w:val="22"/>
        </w:rPr>
        <w:t xml:space="preserve">(j)   See item 3 above. </w:t>
      </w:r>
    </w:p>
    <w:p w14:paraId="1972E48D" w14:textId="77777777" w:rsidR="00A47E42" w:rsidRPr="007F6E23" w:rsidRDefault="00A47E42" w:rsidP="00FC2035">
      <w:pPr>
        <w:rPr>
          <w:rFonts w:ascii="Arial" w:hAnsi="Arial" w:cs="Arial"/>
          <w:sz w:val="36"/>
          <w:szCs w:val="36"/>
        </w:rPr>
      </w:pPr>
    </w:p>
    <w:p w14:paraId="424FE98E" w14:textId="77777777" w:rsidR="00BD3333" w:rsidRPr="007A5D4B" w:rsidRDefault="00BD3333" w:rsidP="00FC2035">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0EBFB56B" w14:textId="77777777" w:rsidR="00BD3333" w:rsidRPr="007A5D4B" w:rsidRDefault="00BD3333" w:rsidP="00FC2035">
      <w:pPr>
        <w:pStyle w:val="Header"/>
        <w:tabs>
          <w:tab w:val="clear" w:pos="4320"/>
          <w:tab w:val="clear" w:pos="8640"/>
        </w:tabs>
        <w:rPr>
          <w:rFonts w:ascii="Arial" w:hAnsi="Arial" w:cs="Arial"/>
          <w:sz w:val="22"/>
          <w:szCs w:val="22"/>
        </w:rPr>
      </w:pPr>
    </w:p>
    <w:p w14:paraId="63C8EC46" w14:textId="6AAC6A9C" w:rsidR="00BA1A21" w:rsidRPr="007A5D4B" w:rsidRDefault="00BD3333" w:rsidP="00362A16">
      <w:pPr>
        <w:pStyle w:val="Header"/>
        <w:tabs>
          <w:tab w:val="clear" w:pos="4320"/>
          <w:tab w:val="clear" w:pos="8640"/>
        </w:tabs>
        <w:ind w:left="360"/>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FD93D" w14:textId="77777777" w:rsidR="00705D29" w:rsidRDefault="00705D29">
      <w:r>
        <w:separator/>
      </w:r>
    </w:p>
  </w:endnote>
  <w:endnote w:type="continuationSeparator" w:id="0">
    <w:p w14:paraId="39D4F6F3" w14:textId="77777777" w:rsidR="00705D29" w:rsidRDefault="00705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F80E0" w14:textId="77777777" w:rsidR="00AC46D8" w:rsidRDefault="00AC46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5E58E" w14:textId="77777777" w:rsidR="00705D29" w:rsidRPr="007A5D4B" w:rsidRDefault="00705D29"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6236A" w14:textId="1C83BA74" w:rsidR="00705D29" w:rsidRPr="007A5D4B" w:rsidRDefault="00D227B8" w:rsidP="00D227B8">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 xml:space="preserve">1513–0072 Supporting Statement (08–2019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78744" w14:textId="77777777" w:rsidR="00705D29" w:rsidRDefault="00705D29">
      <w:r>
        <w:separator/>
      </w:r>
    </w:p>
  </w:footnote>
  <w:footnote w:type="continuationSeparator" w:id="0">
    <w:p w14:paraId="6E1DB3EA" w14:textId="77777777" w:rsidR="00705D29" w:rsidRDefault="00705D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F2405" w14:textId="77777777" w:rsidR="00AC46D8" w:rsidRDefault="00AC4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073A1E" w14:textId="216A457C" w:rsidR="00705D29" w:rsidRPr="007A5D4B" w:rsidRDefault="00705D29"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F62BC">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4DA82" w14:textId="77777777" w:rsidR="00705D29" w:rsidRPr="007A5D4B" w:rsidRDefault="00705D29"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5F53"/>
    <w:rsid w:val="000A2E33"/>
    <w:rsid w:val="000A4E1A"/>
    <w:rsid w:val="000B3E08"/>
    <w:rsid w:val="000B6799"/>
    <w:rsid w:val="000D6313"/>
    <w:rsid w:val="000F5ACE"/>
    <w:rsid w:val="00101DE7"/>
    <w:rsid w:val="00122461"/>
    <w:rsid w:val="00153733"/>
    <w:rsid w:val="001608E4"/>
    <w:rsid w:val="0018642E"/>
    <w:rsid w:val="001D6570"/>
    <w:rsid w:val="001E7BDE"/>
    <w:rsid w:val="001F2913"/>
    <w:rsid w:val="00207E00"/>
    <w:rsid w:val="0022156B"/>
    <w:rsid w:val="00236738"/>
    <w:rsid w:val="00250066"/>
    <w:rsid w:val="00273CEE"/>
    <w:rsid w:val="00274440"/>
    <w:rsid w:val="00276081"/>
    <w:rsid w:val="00281EFC"/>
    <w:rsid w:val="002A5811"/>
    <w:rsid w:val="002B47FB"/>
    <w:rsid w:val="002C4702"/>
    <w:rsid w:val="002D1324"/>
    <w:rsid w:val="002E6145"/>
    <w:rsid w:val="002E6F97"/>
    <w:rsid w:val="002F34DC"/>
    <w:rsid w:val="002F62BC"/>
    <w:rsid w:val="0032779F"/>
    <w:rsid w:val="003301DA"/>
    <w:rsid w:val="0033260C"/>
    <w:rsid w:val="00362A16"/>
    <w:rsid w:val="00381FFC"/>
    <w:rsid w:val="0038747C"/>
    <w:rsid w:val="003A4DFA"/>
    <w:rsid w:val="003C0937"/>
    <w:rsid w:val="003C1FD2"/>
    <w:rsid w:val="003D6947"/>
    <w:rsid w:val="003E6B4C"/>
    <w:rsid w:val="004235D9"/>
    <w:rsid w:val="00424D53"/>
    <w:rsid w:val="00442A02"/>
    <w:rsid w:val="0044522E"/>
    <w:rsid w:val="00447B6B"/>
    <w:rsid w:val="00451EB0"/>
    <w:rsid w:val="00472E31"/>
    <w:rsid w:val="0047631A"/>
    <w:rsid w:val="00497F3E"/>
    <w:rsid w:val="004A3DE5"/>
    <w:rsid w:val="004C3724"/>
    <w:rsid w:val="004D086A"/>
    <w:rsid w:val="004D1808"/>
    <w:rsid w:val="004D3468"/>
    <w:rsid w:val="004D4299"/>
    <w:rsid w:val="004E2C89"/>
    <w:rsid w:val="004F62C7"/>
    <w:rsid w:val="0050368E"/>
    <w:rsid w:val="005278E4"/>
    <w:rsid w:val="00536D29"/>
    <w:rsid w:val="00561DA3"/>
    <w:rsid w:val="005800D5"/>
    <w:rsid w:val="005A6AF2"/>
    <w:rsid w:val="005C282B"/>
    <w:rsid w:val="005D3C33"/>
    <w:rsid w:val="005E4F99"/>
    <w:rsid w:val="005E4F9B"/>
    <w:rsid w:val="005E5429"/>
    <w:rsid w:val="006244FF"/>
    <w:rsid w:val="00631780"/>
    <w:rsid w:val="00631967"/>
    <w:rsid w:val="006501BD"/>
    <w:rsid w:val="00663972"/>
    <w:rsid w:val="0069718A"/>
    <w:rsid w:val="006A35C6"/>
    <w:rsid w:val="006F2142"/>
    <w:rsid w:val="006F3564"/>
    <w:rsid w:val="00705D29"/>
    <w:rsid w:val="00721C76"/>
    <w:rsid w:val="00734B25"/>
    <w:rsid w:val="00736DD6"/>
    <w:rsid w:val="00747CE7"/>
    <w:rsid w:val="007675A0"/>
    <w:rsid w:val="007A5D4B"/>
    <w:rsid w:val="007B4E08"/>
    <w:rsid w:val="007D5727"/>
    <w:rsid w:val="007E319C"/>
    <w:rsid w:val="007E57D5"/>
    <w:rsid w:val="007F40E3"/>
    <w:rsid w:val="007F6E23"/>
    <w:rsid w:val="00804B0C"/>
    <w:rsid w:val="00811A04"/>
    <w:rsid w:val="00827956"/>
    <w:rsid w:val="0084443A"/>
    <w:rsid w:val="0084640C"/>
    <w:rsid w:val="00851169"/>
    <w:rsid w:val="00853E85"/>
    <w:rsid w:val="008603B9"/>
    <w:rsid w:val="00874C51"/>
    <w:rsid w:val="008B146B"/>
    <w:rsid w:val="008C399F"/>
    <w:rsid w:val="008E4C7C"/>
    <w:rsid w:val="00945EFC"/>
    <w:rsid w:val="0094709D"/>
    <w:rsid w:val="0096457D"/>
    <w:rsid w:val="00965E7F"/>
    <w:rsid w:val="00966451"/>
    <w:rsid w:val="00984A4C"/>
    <w:rsid w:val="00987432"/>
    <w:rsid w:val="00990656"/>
    <w:rsid w:val="009A1CD5"/>
    <w:rsid w:val="009A6532"/>
    <w:rsid w:val="009E4E4C"/>
    <w:rsid w:val="00A07689"/>
    <w:rsid w:val="00A11F51"/>
    <w:rsid w:val="00A17E04"/>
    <w:rsid w:val="00A201BF"/>
    <w:rsid w:val="00A26878"/>
    <w:rsid w:val="00A47E42"/>
    <w:rsid w:val="00A5167D"/>
    <w:rsid w:val="00A5320B"/>
    <w:rsid w:val="00A73A1C"/>
    <w:rsid w:val="00A87E58"/>
    <w:rsid w:val="00AA3F8F"/>
    <w:rsid w:val="00AA6881"/>
    <w:rsid w:val="00AC46D8"/>
    <w:rsid w:val="00AC686F"/>
    <w:rsid w:val="00AF060A"/>
    <w:rsid w:val="00AF1157"/>
    <w:rsid w:val="00B06EE5"/>
    <w:rsid w:val="00B1047F"/>
    <w:rsid w:val="00B23FF6"/>
    <w:rsid w:val="00B31E02"/>
    <w:rsid w:val="00B508E9"/>
    <w:rsid w:val="00B61DF6"/>
    <w:rsid w:val="00B72AC4"/>
    <w:rsid w:val="00B773A3"/>
    <w:rsid w:val="00B85C53"/>
    <w:rsid w:val="00B95061"/>
    <w:rsid w:val="00BA1A21"/>
    <w:rsid w:val="00BA1FEE"/>
    <w:rsid w:val="00BB67E5"/>
    <w:rsid w:val="00BC1D1F"/>
    <w:rsid w:val="00BC35C8"/>
    <w:rsid w:val="00BD3333"/>
    <w:rsid w:val="00BE3C19"/>
    <w:rsid w:val="00BF5C2D"/>
    <w:rsid w:val="00C1362D"/>
    <w:rsid w:val="00C207CA"/>
    <w:rsid w:val="00C25F6F"/>
    <w:rsid w:val="00C271EA"/>
    <w:rsid w:val="00C63E60"/>
    <w:rsid w:val="00C71838"/>
    <w:rsid w:val="00CA07BF"/>
    <w:rsid w:val="00CA7E3C"/>
    <w:rsid w:val="00CC2DE7"/>
    <w:rsid w:val="00CD21EC"/>
    <w:rsid w:val="00CF1C87"/>
    <w:rsid w:val="00D004D6"/>
    <w:rsid w:val="00D01AA2"/>
    <w:rsid w:val="00D03A61"/>
    <w:rsid w:val="00D059BB"/>
    <w:rsid w:val="00D110FC"/>
    <w:rsid w:val="00D227B8"/>
    <w:rsid w:val="00D414AB"/>
    <w:rsid w:val="00D50640"/>
    <w:rsid w:val="00D56B01"/>
    <w:rsid w:val="00D6325C"/>
    <w:rsid w:val="00D656EA"/>
    <w:rsid w:val="00D73D2D"/>
    <w:rsid w:val="00D742EE"/>
    <w:rsid w:val="00D76DF0"/>
    <w:rsid w:val="00D81136"/>
    <w:rsid w:val="00D85E10"/>
    <w:rsid w:val="00DA29D8"/>
    <w:rsid w:val="00DB7DD5"/>
    <w:rsid w:val="00DC3C70"/>
    <w:rsid w:val="00DD1B61"/>
    <w:rsid w:val="00DF5F98"/>
    <w:rsid w:val="00E115FD"/>
    <w:rsid w:val="00E323CD"/>
    <w:rsid w:val="00E414F9"/>
    <w:rsid w:val="00E41ED9"/>
    <w:rsid w:val="00E45CBA"/>
    <w:rsid w:val="00E51AD7"/>
    <w:rsid w:val="00E56E11"/>
    <w:rsid w:val="00E63DAA"/>
    <w:rsid w:val="00E86B1B"/>
    <w:rsid w:val="00EC4FC3"/>
    <w:rsid w:val="00ED4A03"/>
    <w:rsid w:val="00ED7233"/>
    <w:rsid w:val="00EE4237"/>
    <w:rsid w:val="00F03208"/>
    <w:rsid w:val="00F058FA"/>
    <w:rsid w:val="00F10C50"/>
    <w:rsid w:val="00F4015D"/>
    <w:rsid w:val="00F618E0"/>
    <w:rsid w:val="00F95A6D"/>
    <w:rsid w:val="00FA0F1C"/>
    <w:rsid w:val="00FA228E"/>
    <w:rsid w:val="00FC2035"/>
    <w:rsid w:val="00FD18EE"/>
    <w:rsid w:val="00FD74E4"/>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E51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2019-08-09T19:39:00Z</dcterms:created>
  <dcterms:modified xsi:type="dcterms:W3CDTF">2019-08-09T19:39:00Z</dcterms:modified>
</cp:coreProperties>
</file>