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3F1A" w:rsidR="000D3F1A" w:rsidP="000D3F1A" w:rsidRDefault="000D3F1A">
      <w:pPr>
        <w:widowControl w:val="0"/>
        <w:rPr>
          <w:rFonts w:eastAsia="Times New Roman"/>
          <w:sz w:val="24"/>
          <w:szCs w:val="24"/>
          <w:lang w:eastAsia="en-US"/>
        </w:rPr>
      </w:pPr>
      <w:r w:rsidRPr="000D3F1A">
        <w:rPr>
          <w:rFonts w:eastAsia="Times New Roman"/>
          <w:sz w:val="24"/>
          <w:szCs w:val="24"/>
          <w:lang w:eastAsia="en-US"/>
        </w:rPr>
        <w:t>Supporting Statement for Paperwork Reduction Act Submissions</w:t>
      </w:r>
    </w:p>
    <w:p w:rsidRPr="000D3F1A" w:rsidR="000D3F1A" w:rsidP="000D3F1A" w:rsidRDefault="000D3F1A">
      <w:pPr>
        <w:widowControl w:val="0"/>
        <w:rPr>
          <w:rFonts w:eastAsia="Times New Roman"/>
          <w:sz w:val="24"/>
          <w:szCs w:val="24"/>
          <w:lang w:eastAsia="en-US"/>
        </w:rPr>
      </w:pPr>
      <w:r w:rsidRPr="000D3F1A">
        <w:rPr>
          <w:rFonts w:eastAsia="Times New Roman"/>
          <w:sz w:val="24"/>
          <w:szCs w:val="24"/>
          <w:lang w:eastAsia="en-US"/>
        </w:rPr>
        <w:t>New Collection</w:t>
      </w:r>
    </w:p>
    <w:p w:rsidRPr="000D3F1A" w:rsidR="000D3F1A" w:rsidP="000D3F1A" w:rsidRDefault="000D3F1A">
      <w:pPr>
        <w:widowControl w:val="0"/>
        <w:rPr>
          <w:rFonts w:eastAsia="Times New Roman"/>
          <w:sz w:val="24"/>
          <w:szCs w:val="24"/>
          <w:lang w:eastAsia="en-US"/>
        </w:rPr>
      </w:pPr>
      <w:r w:rsidRPr="000D3F1A">
        <w:rPr>
          <w:rFonts w:eastAsia="Times New Roman"/>
          <w:sz w:val="24"/>
          <w:szCs w:val="24"/>
          <w:lang w:eastAsia="en-US"/>
        </w:rPr>
        <w:t>FBI Special Agent Application Process Review</w:t>
      </w:r>
    </w:p>
    <w:p w:rsidRPr="000D3F1A" w:rsidR="000D3F1A" w:rsidP="000D3F1A" w:rsidRDefault="000D3F1A">
      <w:pPr>
        <w:widowControl w:val="0"/>
        <w:rPr>
          <w:rFonts w:eastAsia="Times New Roman"/>
          <w:sz w:val="24"/>
          <w:szCs w:val="24"/>
          <w:lang w:eastAsia="en-US"/>
        </w:rPr>
      </w:pPr>
    </w:p>
    <w:p w:rsidRPr="000D3F1A" w:rsidR="000D3F1A" w:rsidP="000D3F1A" w:rsidRDefault="000D3F1A">
      <w:pPr>
        <w:widowControl w:val="0"/>
        <w:rPr>
          <w:rFonts w:eastAsia="Times New Roman"/>
          <w:b/>
          <w:bCs/>
          <w:sz w:val="24"/>
          <w:szCs w:val="24"/>
          <w:lang w:eastAsia="en-US"/>
        </w:rPr>
      </w:pPr>
      <w:r w:rsidRPr="000D3F1A">
        <w:rPr>
          <w:rFonts w:eastAsia="Times New Roman"/>
          <w:b/>
          <w:bCs/>
          <w:sz w:val="24"/>
          <w:szCs w:val="24"/>
          <w:lang w:eastAsia="en-US"/>
        </w:rPr>
        <w:t>OMB Control # 1110-xxxx</w:t>
      </w:r>
    </w:p>
    <w:p w:rsidR="00A66541" w:rsidP="00A66541" w:rsidRDefault="00A66541">
      <w:pPr>
        <w:rPr>
          <w:b/>
          <w:sz w:val="24"/>
          <w:szCs w:val="24"/>
        </w:rPr>
      </w:pPr>
    </w:p>
    <w:p w:rsidR="00D01D3E" w:rsidP="00A66541" w:rsidRDefault="00D01D3E">
      <w:pPr>
        <w:rPr>
          <w:b/>
          <w:sz w:val="24"/>
          <w:szCs w:val="24"/>
        </w:rPr>
      </w:pPr>
    </w:p>
    <w:p w:rsidR="00A66541" w:rsidP="00A66541" w:rsidRDefault="00A66541">
      <w:pPr>
        <w:rPr>
          <w:sz w:val="24"/>
          <w:szCs w:val="24"/>
        </w:rPr>
      </w:pPr>
      <w:r>
        <w:rPr>
          <w:b/>
          <w:sz w:val="24"/>
          <w:szCs w:val="24"/>
        </w:rPr>
        <w:t>B. Collection of Information Employing Statistical Methods</w:t>
      </w:r>
    </w:p>
    <w:p w:rsidR="00A66541" w:rsidP="00A66541" w:rsidRDefault="00A66541">
      <w:pPr>
        <w:rPr>
          <w:sz w:val="24"/>
          <w:szCs w:val="24"/>
        </w:rPr>
      </w:pPr>
    </w:p>
    <w:p w:rsidRPr="006472AF" w:rsidR="006472AF" w:rsidP="006472AF" w:rsidRDefault="006472AF">
      <w:pPr>
        <w:rPr>
          <w:bCs/>
          <w:iCs/>
          <w:sz w:val="24"/>
          <w:szCs w:val="24"/>
        </w:rPr>
      </w:pPr>
    </w:p>
    <w:p w:rsidR="000D3F1A" w:rsidP="008160DA" w:rsidRDefault="008160DA">
      <w:pPr>
        <w:pStyle w:val="ListParagraph"/>
        <w:numPr>
          <w:ilvl w:val="0"/>
          <w:numId w:val="5"/>
        </w:numPr>
        <w:rPr>
          <w:bCs/>
          <w:iCs/>
          <w:sz w:val="24"/>
          <w:szCs w:val="24"/>
        </w:rPr>
      </w:pPr>
      <w:r w:rsidRPr="000D3F1A">
        <w:rPr>
          <w:bCs/>
          <w:iCs/>
          <w:sz w:val="24"/>
          <w:szCs w:val="24"/>
        </w:rPr>
        <w:t>Anyone who has filled out any part of the FBI Special Agent Application in the previous three (3) years or otherwise been recruited may be contacted for this collection. Internal records from previous annual applicant counts allow us to estimate that roughly 60,000 individuals have applied to the Special Agent pos</w:t>
      </w:r>
      <w:r w:rsidRPr="000D3F1A" w:rsidR="00CD7EA6">
        <w:rPr>
          <w:bCs/>
          <w:iCs/>
          <w:sz w:val="24"/>
          <w:szCs w:val="24"/>
        </w:rPr>
        <w:t>ition at the FBI in the past three (3) years. W</w:t>
      </w:r>
      <w:r w:rsidRPr="000D3F1A">
        <w:rPr>
          <w:bCs/>
          <w:iCs/>
          <w:sz w:val="24"/>
          <w:szCs w:val="24"/>
        </w:rPr>
        <w:t xml:space="preserve">e reserve the right to solicit this entire population to participate in the voluntary survey </w:t>
      </w:r>
      <w:r w:rsidRPr="000D3F1A" w:rsidR="006B0607">
        <w:rPr>
          <w:bCs/>
          <w:iCs/>
          <w:sz w:val="24"/>
          <w:szCs w:val="24"/>
        </w:rPr>
        <w:t>al</w:t>
      </w:r>
      <w:r w:rsidRPr="000D3F1A">
        <w:rPr>
          <w:bCs/>
          <w:iCs/>
          <w:sz w:val="24"/>
          <w:szCs w:val="24"/>
        </w:rPr>
        <w:t>though it is un</w:t>
      </w:r>
      <w:r w:rsidRPr="000D3F1A" w:rsidR="007B3EAD">
        <w:rPr>
          <w:bCs/>
          <w:iCs/>
          <w:sz w:val="24"/>
          <w:szCs w:val="24"/>
        </w:rPr>
        <w:t xml:space="preserve">likely all 60,000 will respond, however, we will not use any selective sampling or other selection methods to narrow the potential respondent pool. </w:t>
      </w:r>
    </w:p>
    <w:p w:rsidR="000D3F1A" w:rsidP="000D3F1A" w:rsidRDefault="000D3F1A">
      <w:pPr>
        <w:pStyle w:val="ListParagraph"/>
        <w:ind w:left="360"/>
        <w:rPr>
          <w:bCs/>
          <w:iCs/>
          <w:sz w:val="24"/>
          <w:szCs w:val="24"/>
        </w:rPr>
      </w:pPr>
    </w:p>
    <w:p w:rsidRPr="000D3F1A" w:rsidR="00F00DE8" w:rsidP="000D3F1A" w:rsidRDefault="00F00DE8">
      <w:pPr>
        <w:pStyle w:val="ListParagraph"/>
        <w:ind w:left="360"/>
        <w:rPr>
          <w:bCs/>
          <w:iCs/>
          <w:sz w:val="24"/>
          <w:szCs w:val="24"/>
        </w:rPr>
      </w:pPr>
      <w:r w:rsidRPr="000D3F1A">
        <w:rPr>
          <w:bCs/>
          <w:iCs/>
          <w:sz w:val="24"/>
          <w:szCs w:val="24"/>
        </w:rPr>
        <w:t>Research from Pew Research Center and the Journal of Multidisciplinary Education state that average external survey response rates vary between 3.5% and 30%, we anticipate approximately 10% of the solicite</w:t>
      </w:r>
      <w:r w:rsidRPr="000D3F1A" w:rsidR="00F66165">
        <w:rPr>
          <w:bCs/>
          <w:iCs/>
          <w:sz w:val="24"/>
          <w:szCs w:val="24"/>
        </w:rPr>
        <w:t>d individuals will respond, giving</w:t>
      </w:r>
      <w:r w:rsidRPr="000D3F1A">
        <w:rPr>
          <w:bCs/>
          <w:iCs/>
          <w:sz w:val="24"/>
          <w:szCs w:val="24"/>
        </w:rPr>
        <w:t xml:space="preserve"> us an overall response of approximately 6,000 individuals. </w:t>
      </w:r>
    </w:p>
    <w:p w:rsidRPr="00002719" w:rsidR="00F00DE8" w:rsidP="008160DA" w:rsidRDefault="00F00DE8">
      <w:pPr>
        <w:rPr>
          <w:bCs/>
          <w:iCs/>
          <w:sz w:val="24"/>
          <w:szCs w:val="24"/>
        </w:rPr>
      </w:pPr>
    </w:p>
    <w:tbl>
      <w:tblPr>
        <w:tblStyle w:val="TableGrid"/>
        <w:tblW w:w="0" w:type="auto"/>
        <w:tblInd w:w="2110" w:type="dxa"/>
        <w:tblLook w:val="04A0" w:firstRow="1" w:lastRow="0" w:firstColumn="1" w:lastColumn="0" w:noHBand="0" w:noVBand="1"/>
      </w:tblPr>
      <w:tblGrid>
        <w:gridCol w:w="3746"/>
        <w:gridCol w:w="1379"/>
      </w:tblGrid>
      <w:tr w:rsidRPr="00002719" w:rsidR="00002719" w:rsidTr="00F00DE8">
        <w:trPr>
          <w:trHeight w:val="291"/>
        </w:trPr>
        <w:tc>
          <w:tcPr>
            <w:tcW w:w="3746" w:type="dxa"/>
          </w:tcPr>
          <w:p w:rsidRPr="00002719" w:rsidR="00F00DE8" w:rsidP="008160DA" w:rsidRDefault="00F00DE8">
            <w:pPr>
              <w:rPr>
                <w:bCs/>
                <w:iCs/>
                <w:sz w:val="24"/>
                <w:szCs w:val="24"/>
              </w:rPr>
            </w:pPr>
            <w:r w:rsidRPr="00002719">
              <w:rPr>
                <w:bCs/>
                <w:iCs/>
                <w:sz w:val="24"/>
                <w:szCs w:val="24"/>
              </w:rPr>
              <w:t>Potential Respondent Universe</w:t>
            </w:r>
          </w:p>
        </w:tc>
        <w:tc>
          <w:tcPr>
            <w:tcW w:w="1379" w:type="dxa"/>
          </w:tcPr>
          <w:p w:rsidRPr="00002719" w:rsidR="00F00DE8" w:rsidP="008160DA" w:rsidRDefault="00F00DE8">
            <w:pPr>
              <w:rPr>
                <w:bCs/>
                <w:iCs/>
                <w:sz w:val="24"/>
                <w:szCs w:val="24"/>
              </w:rPr>
            </w:pPr>
            <w:r w:rsidRPr="00002719">
              <w:rPr>
                <w:bCs/>
                <w:iCs/>
                <w:sz w:val="24"/>
                <w:szCs w:val="24"/>
              </w:rPr>
              <w:t>60,000</w:t>
            </w:r>
          </w:p>
        </w:tc>
      </w:tr>
      <w:tr w:rsidRPr="00002719" w:rsidR="00F00DE8" w:rsidTr="00F00DE8">
        <w:trPr>
          <w:trHeight w:val="291"/>
        </w:trPr>
        <w:tc>
          <w:tcPr>
            <w:tcW w:w="3746" w:type="dxa"/>
          </w:tcPr>
          <w:p w:rsidRPr="00002719" w:rsidR="00F00DE8" w:rsidP="008160DA" w:rsidRDefault="00F00DE8">
            <w:pPr>
              <w:rPr>
                <w:bCs/>
                <w:iCs/>
                <w:sz w:val="24"/>
                <w:szCs w:val="24"/>
              </w:rPr>
            </w:pPr>
            <w:r w:rsidRPr="00002719">
              <w:rPr>
                <w:bCs/>
                <w:iCs/>
                <w:sz w:val="24"/>
                <w:szCs w:val="24"/>
              </w:rPr>
              <w:t>Sample Solicited in Collection</w:t>
            </w:r>
          </w:p>
        </w:tc>
        <w:tc>
          <w:tcPr>
            <w:tcW w:w="1379" w:type="dxa"/>
          </w:tcPr>
          <w:p w:rsidRPr="00002719" w:rsidR="00F00DE8" w:rsidP="008160DA" w:rsidRDefault="00F00DE8">
            <w:pPr>
              <w:rPr>
                <w:bCs/>
                <w:iCs/>
                <w:sz w:val="24"/>
                <w:szCs w:val="24"/>
              </w:rPr>
            </w:pPr>
            <w:r w:rsidRPr="00002719">
              <w:rPr>
                <w:bCs/>
                <w:iCs/>
                <w:sz w:val="24"/>
                <w:szCs w:val="24"/>
              </w:rPr>
              <w:t>60,000</w:t>
            </w:r>
          </w:p>
        </w:tc>
      </w:tr>
    </w:tbl>
    <w:p w:rsidRPr="006472AF" w:rsidR="00A66541" w:rsidP="00A66541" w:rsidRDefault="00A66541">
      <w:pPr>
        <w:rPr>
          <w:i/>
          <w:sz w:val="24"/>
          <w:szCs w:val="24"/>
        </w:rPr>
      </w:pPr>
    </w:p>
    <w:p w:rsidRPr="000D3F1A" w:rsidR="000D3F1A" w:rsidP="00F00DE8" w:rsidRDefault="00F00DE8">
      <w:pPr>
        <w:pStyle w:val="ListParagraph"/>
        <w:numPr>
          <w:ilvl w:val="0"/>
          <w:numId w:val="5"/>
        </w:numPr>
        <w:ind w:right="432"/>
        <w:rPr>
          <w:b/>
          <w:bCs/>
          <w:iCs/>
          <w:sz w:val="24"/>
          <w:szCs w:val="24"/>
        </w:rPr>
      </w:pPr>
      <w:r w:rsidRPr="000D3F1A">
        <w:rPr>
          <w:bCs/>
          <w:iCs/>
          <w:sz w:val="24"/>
          <w:szCs w:val="24"/>
        </w:rPr>
        <w:t>The entire applicable population will be allowed to respond without selecti</w:t>
      </w:r>
      <w:r w:rsidRPr="000D3F1A" w:rsidR="00F66165">
        <w:rPr>
          <w:bCs/>
          <w:iCs/>
          <w:sz w:val="24"/>
          <w:szCs w:val="24"/>
        </w:rPr>
        <w:t>ve sampling or stratification. W</w:t>
      </w:r>
      <w:r w:rsidRPr="000D3F1A">
        <w:rPr>
          <w:bCs/>
          <w:iCs/>
          <w:sz w:val="24"/>
          <w:szCs w:val="24"/>
        </w:rPr>
        <w:t>e will sample 100% of the available population of applicants within the given timeframe (previous three years), resulting in approximately 60,000 individuals</w:t>
      </w:r>
      <w:r w:rsidRPr="000D3F1A" w:rsidR="00F66165">
        <w:rPr>
          <w:bCs/>
          <w:iCs/>
          <w:sz w:val="24"/>
          <w:szCs w:val="24"/>
        </w:rPr>
        <w:t xml:space="preserve"> within the possible universe</w:t>
      </w:r>
      <w:r w:rsidRPr="000D3F1A">
        <w:rPr>
          <w:bCs/>
          <w:iCs/>
          <w:sz w:val="24"/>
          <w:szCs w:val="24"/>
        </w:rPr>
        <w:t xml:space="preserve">. </w:t>
      </w:r>
    </w:p>
    <w:p w:rsidR="000D3F1A" w:rsidP="000D3F1A" w:rsidRDefault="000D3F1A">
      <w:pPr>
        <w:pStyle w:val="ListParagraph"/>
        <w:ind w:left="360" w:right="432"/>
        <w:rPr>
          <w:bCs/>
          <w:iCs/>
          <w:sz w:val="24"/>
          <w:szCs w:val="24"/>
        </w:rPr>
      </w:pPr>
    </w:p>
    <w:p w:rsidRPr="000D3F1A" w:rsidR="00E53FAC" w:rsidP="000D3F1A" w:rsidRDefault="00F00DE8">
      <w:pPr>
        <w:pStyle w:val="ListParagraph"/>
        <w:ind w:left="360" w:right="432"/>
        <w:rPr>
          <w:b/>
          <w:bCs/>
          <w:iCs/>
          <w:sz w:val="24"/>
          <w:szCs w:val="24"/>
        </w:rPr>
      </w:pPr>
      <w:r w:rsidRPr="000D3F1A">
        <w:rPr>
          <w:bCs/>
          <w:iCs/>
          <w:sz w:val="24"/>
          <w:szCs w:val="24"/>
        </w:rPr>
        <w:t xml:space="preserve">Given that there will be no sampling or stratification, there is no estimation procedure, </w:t>
      </w:r>
      <w:r w:rsidRPr="000D3F1A" w:rsidR="00F66165">
        <w:rPr>
          <w:bCs/>
          <w:iCs/>
          <w:sz w:val="24"/>
          <w:szCs w:val="24"/>
        </w:rPr>
        <w:t xml:space="preserve">no </w:t>
      </w:r>
      <w:r w:rsidRPr="000D3F1A">
        <w:rPr>
          <w:bCs/>
          <w:iCs/>
          <w:sz w:val="24"/>
          <w:szCs w:val="24"/>
        </w:rPr>
        <w:t>concern</w:t>
      </w:r>
      <w:r w:rsidRPr="000D3F1A" w:rsidR="00F66165">
        <w:rPr>
          <w:bCs/>
          <w:iCs/>
          <w:sz w:val="24"/>
          <w:szCs w:val="24"/>
        </w:rPr>
        <w:t>s</w:t>
      </w:r>
      <w:r w:rsidRPr="000D3F1A">
        <w:rPr>
          <w:bCs/>
          <w:iCs/>
          <w:sz w:val="24"/>
          <w:szCs w:val="24"/>
        </w:rPr>
        <w:t xml:space="preserve"> about accuracy, or concerns for specialized procedures. Additionally, given that this data will be collected only as needed, </w:t>
      </w:r>
      <w:r w:rsidRPr="000D3F1A" w:rsidR="00F66165">
        <w:rPr>
          <w:bCs/>
          <w:iCs/>
          <w:sz w:val="24"/>
          <w:szCs w:val="24"/>
        </w:rPr>
        <w:t xml:space="preserve">the </w:t>
      </w:r>
      <w:r w:rsidRPr="000D3F1A">
        <w:rPr>
          <w:bCs/>
          <w:iCs/>
          <w:sz w:val="24"/>
          <w:szCs w:val="24"/>
        </w:rPr>
        <w:t>burden has already been substantially reduced.</w:t>
      </w:r>
    </w:p>
    <w:p w:rsidR="00A66541" w:rsidP="00A66541" w:rsidRDefault="00A66541">
      <w:pPr>
        <w:ind w:left="432" w:right="432"/>
        <w:rPr>
          <w:sz w:val="24"/>
          <w:szCs w:val="24"/>
        </w:rPr>
      </w:pPr>
    </w:p>
    <w:p w:rsidR="000D3F1A" w:rsidP="000D3F1A" w:rsidRDefault="00A66541">
      <w:pPr>
        <w:pStyle w:val="ListParagraph"/>
        <w:numPr>
          <w:ilvl w:val="0"/>
          <w:numId w:val="5"/>
        </w:numPr>
        <w:rPr>
          <w:bCs/>
          <w:iCs/>
          <w:sz w:val="24"/>
          <w:szCs w:val="24"/>
        </w:rPr>
      </w:pPr>
      <w:r w:rsidRPr="000D3F1A">
        <w:rPr>
          <w:b/>
          <w:iCs/>
          <w:sz w:val="24"/>
          <w:szCs w:val="24"/>
        </w:rPr>
        <w:t xml:space="preserve"> </w:t>
      </w:r>
      <w:r w:rsidRPr="000D3F1A" w:rsidR="008160DA">
        <w:rPr>
          <w:bCs/>
          <w:iCs/>
          <w:sz w:val="24"/>
          <w:szCs w:val="24"/>
        </w:rPr>
        <w:t>T</w:t>
      </w:r>
      <w:r w:rsidRPr="000D3F1A" w:rsidR="00F00DE8">
        <w:rPr>
          <w:bCs/>
          <w:iCs/>
          <w:sz w:val="24"/>
          <w:szCs w:val="24"/>
        </w:rPr>
        <w:t>o increase response rates t</w:t>
      </w:r>
      <w:r w:rsidRPr="000D3F1A" w:rsidR="008160DA">
        <w:rPr>
          <w:bCs/>
          <w:iCs/>
          <w:sz w:val="24"/>
          <w:szCs w:val="24"/>
        </w:rPr>
        <w:t>he survey</w:t>
      </w:r>
      <w:r w:rsidRPr="000D3F1A" w:rsidR="00F00DE8">
        <w:rPr>
          <w:bCs/>
          <w:iCs/>
          <w:sz w:val="24"/>
          <w:szCs w:val="24"/>
        </w:rPr>
        <w:t xml:space="preserve"> consists of the smallest </w:t>
      </w:r>
      <w:r w:rsidRPr="000D3F1A" w:rsidR="00F66165">
        <w:rPr>
          <w:bCs/>
          <w:iCs/>
          <w:sz w:val="24"/>
          <w:szCs w:val="24"/>
        </w:rPr>
        <w:t>possible number of questions (31</w:t>
      </w:r>
      <w:r w:rsidRPr="000D3F1A" w:rsidR="00F00DE8">
        <w:rPr>
          <w:bCs/>
          <w:iCs/>
          <w:sz w:val="24"/>
          <w:szCs w:val="24"/>
        </w:rPr>
        <w:t xml:space="preserve"> questions) and is anticipated to take fewer than 10 minutes to complete for </w:t>
      </w:r>
      <w:r w:rsidRPr="000D3F1A" w:rsidR="00F66165">
        <w:rPr>
          <w:bCs/>
          <w:iCs/>
          <w:sz w:val="24"/>
          <w:szCs w:val="24"/>
        </w:rPr>
        <w:t>the majority of</w:t>
      </w:r>
      <w:r w:rsidRPr="000D3F1A" w:rsidR="00F00DE8">
        <w:rPr>
          <w:bCs/>
          <w:iCs/>
          <w:sz w:val="24"/>
          <w:szCs w:val="24"/>
        </w:rPr>
        <w:t xml:space="preserve"> participants. Additionally, the survey will be sent out via email and will employ empirically valid methods for increasing response rates such as incorporating a request for help and clearly stating the audience and use of the</w:t>
      </w:r>
      <w:r w:rsidRPr="000D3F1A" w:rsidR="00C11CB0">
        <w:rPr>
          <w:bCs/>
          <w:iCs/>
          <w:sz w:val="24"/>
          <w:szCs w:val="24"/>
        </w:rPr>
        <w:t xml:space="preserve"> survey</w:t>
      </w:r>
      <w:r w:rsidRPr="000D3F1A" w:rsidR="00F00DE8">
        <w:rPr>
          <w:bCs/>
          <w:iCs/>
          <w:sz w:val="24"/>
          <w:szCs w:val="24"/>
        </w:rPr>
        <w:t xml:space="preserve"> data. The email will also be sent by an official FBI email address to add the appeal to authority, and confidentiality and privacy will be assured in the email. All of these tactics are known methods to increase survey response rates.</w:t>
      </w:r>
    </w:p>
    <w:p w:rsidR="000D3F1A" w:rsidP="000D3F1A" w:rsidRDefault="000D3F1A">
      <w:pPr>
        <w:pStyle w:val="ListParagraph"/>
        <w:ind w:left="360"/>
        <w:rPr>
          <w:bCs/>
          <w:iCs/>
          <w:sz w:val="24"/>
          <w:szCs w:val="24"/>
        </w:rPr>
      </w:pPr>
    </w:p>
    <w:p w:rsidRPr="000D3F1A" w:rsidR="00801C67" w:rsidP="000D3F1A" w:rsidRDefault="00C11CB0">
      <w:pPr>
        <w:pStyle w:val="ListParagraph"/>
        <w:ind w:left="360"/>
        <w:rPr>
          <w:bCs/>
          <w:iCs/>
          <w:sz w:val="24"/>
          <w:szCs w:val="24"/>
        </w:rPr>
      </w:pPr>
      <w:r w:rsidRPr="000D3F1A">
        <w:rPr>
          <w:bCs/>
          <w:iCs/>
          <w:sz w:val="24"/>
          <w:szCs w:val="24"/>
        </w:rPr>
        <w:lastRenderedPageBreak/>
        <w:t>Non-response is not a concern with this survey, but to ensure the random population of respondents is representative of the total population we will compare the demographic characteristics of the responding population with those of the total population. This will allow us to state with confidence that the results to the survey questions are both accurate and reliable for the total population.</w:t>
      </w:r>
    </w:p>
    <w:p w:rsidR="00212FF2" w:rsidP="00A66541" w:rsidRDefault="00212FF2">
      <w:pPr>
        <w:rPr>
          <w:b/>
          <w:bCs/>
          <w:iCs/>
          <w:sz w:val="24"/>
          <w:szCs w:val="24"/>
        </w:rPr>
      </w:pPr>
    </w:p>
    <w:p w:rsidRPr="000D3F1A" w:rsidR="006472AF" w:rsidP="008D4CFB" w:rsidRDefault="00A66541">
      <w:pPr>
        <w:pStyle w:val="ListParagraph"/>
        <w:numPr>
          <w:ilvl w:val="0"/>
          <w:numId w:val="5"/>
        </w:numPr>
        <w:autoSpaceDE/>
        <w:autoSpaceDN/>
        <w:adjustRightInd/>
        <w:spacing w:after="200" w:line="276" w:lineRule="auto"/>
        <w:rPr>
          <w:bCs/>
          <w:iCs/>
          <w:sz w:val="24"/>
          <w:szCs w:val="24"/>
        </w:rPr>
      </w:pPr>
      <w:r w:rsidRPr="000D3F1A">
        <w:rPr>
          <w:b/>
          <w:bCs/>
          <w:iCs/>
          <w:sz w:val="24"/>
          <w:szCs w:val="24"/>
        </w:rPr>
        <w:t xml:space="preserve"> </w:t>
      </w:r>
      <w:r w:rsidRPr="000D3F1A" w:rsidR="00C11CB0">
        <w:rPr>
          <w:bCs/>
          <w:iCs/>
          <w:sz w:val="24"/>
          <w:szCs w:val="24"/>
        </w:rPr>
        <w:t xml:space="preserve">We will not be conducting any tests of procedures or methods externally. We have previously conducted internal pilot testing of these questions within our project work team to help clarify and simplify the question/answer format. Additionally, we have worked with our executive management and legal team to limit the number of necessary questions and reduce the needed time to complete the survey. </w:t>
      </w:r>
    </w:p>
    <w:p w:rsidRPr="000D3F1A" w:rsidR="00184790" w:rsidP="00B35659" w:rsidRDefault="00184790">
      <w:pPr>
        <w:pStyle w:val="ListParagraph"/>
        <w:numPr>
          <w:ilvl w:val="0"/>
          <w:numId w:val="5"/>
        </w:numPr>
        <w:autoSpaceDE/>
        <w:autoSpaceDN/>
        <w:adjustRightInd/>
        <w:spacing w:after="200" w:line="276" w:lineRule="auto"/>
        <w:rPr>
          <w:bCs/>
          <w:iCs/>
          <w:sz w:val="24"/>
          <w:szCs w:val="24"/>
        </w:rPr>
      </w:pPr>
      <w:bookmarkStart w:name="_GoBack" w:id="0"/>
      <w:bookmarkEnd w:id="0"/>
      <w:r w:rsidRPr="000D3F1A">
        <w:rPr>
          <w:bCs/>
          <w:iCs/>
          <w:sz w:val="24"/>
          <w:szCs w:val="24"/>
        </w:rPr>
        <w:t xml:space="preserve">Section Chief Tonya Odom from the Office </w:t>
      </w:r>
      <w:r w:rsidRPr="000D3F1A" w:rsidR="00777C43">
        <w:rPr>
          <w:bCs/>
          <w:iCs/>
          <w:sz w:val="24"/>
          <w:szCs w:val="24"/>
        </w:rPr>
        <w:t>of Diversity and Inclusion, Section Chief Michael Marino and Unit Chief Jessica Davis from the Analytics, Reporting and Modeling Unit, and Unit Chief Benjamin Gray from the Resource Planning Office were consulted on design</w:t>
      </w:r>
      <w:r w:rsidRPr="000D3F1A">
        <w:rPr>
          <w:bCs/>
          <w:iCs/>
          <w:sz w:val="24"/>
          <w:szCs w:val="24"/>
        </w:rPr>
        <w:t xml:space="preserve"> aspects of the survey</w:t>
      </w:r>
      <w:r w:rsidRPr="000D3F1A" w:rsidR="00777C43">
        <w:rPr>
          <w:bCs/>
          <w:iCs/>
          <w:sz w:val="24"/>
          <w:szCs w:val="24"/>
        </w:rPr>
        <w:t>.</w:t>
      </w:r>
    </w:p>
    <w:p w:rsidRPr="00002719" w:rsidR="00777C43" w:rsidP="00777C43" w:rsidRDefault="00777C43">
      <w:pPr>
        <w:pStyle w:val="ListParagraph"/>
        <w:numPr>
          <w:ilvl w:val="0"/>
          <w:numId w:val="8"/>
        </w:numPr>
        <w:ind w:left="630" w:hanging="270"/>
        <w:rPr>
          <w:bCs/>
          <w:iCs/>
          <w:sz w:val="24"/>
          <w:szCs w:val="24"/>
        </w:rPr>
      </w:pPr>
      <w:r w:rsidRPr="00002719">
        <w:rPr>
          <w:bCs/>
          <w:iCs/>
          <w:sz w:val="24"/>
          <w:szCs w:val="24"/>
        </w:rPr>
        <w:t>SC Odom:</w:t>
      </w:r>
      <w:r w:rsidRPr="00002719" w:rsidR="00F66165">
        <w:rPr>
          <w:bCs/>
          <w:iCs/>
          <w:sz w:val="24"/>
          <w:szCs w:val="24"/>
        </w:rPr>
        <w:t xml:space="preserve"> </w:t>
      </w:r>
      <w:r w:rsidRPr="00002719" w:rsidR="00DE375C">
        <w:rPr>
          <w:bCs/>
          <w:iCs/>
          <w:sz w:val="24"/>
          <w:szCs w:val="24"/>
        </w:rPr>
        <w:t>202-324-3838</w:t>
      </w:r>
    </w:p>
    <w:p w:rsidRPr="00002719" w:rsidR="00777C43" w:rsidP="00777C43" w:rsidRDefault="00777C43">
      <w:pPr>
        <w:pStyle w:val="ListParagraph"/>
        <w:numPr>
          <w:ilvl w:val="0"/>
          <w:numId w:val="8"/>
        </w:numPr>
        <w:ind w:left="630" w:hanging="270"/>
        <w:rPr>
          <w:bCs/>
          <w:iCs/>
          <w:sz w:val="24"/>
          <w:szCs w:val="24"/>
        </w:rPr>
      </w:pPr>
      <w:r w:rsidRPr="00002719">
        <w:rPr>
          <w:bCs/>
          <w:iCs/>
          <w:sz w:val="24"/>
          <w:szCs w:val="24"/>
        </w:rPr>
        <w:t>SC Marino:</w:t>
      </w:r>
      <w:r w:rsidRPr="00002719" w:rsidR="00DE375C">
        <w:rPr>
          <w:bCs/>
          <w:iCs/>
          <w:sz w:val="24"/>
          <w:szCs w:val="24"/>
        </w:rPr>
        <w:t xml:space="preserve"> 202-324-8291</w:t>
      </w:r>
    </w:p>
    <w:p w:rsidRPr="00002719" w:rsidR="00777C43" w:rsidP="00777C43" w:rsidRDefault="00777C43">
      <w:pPr>
        <w:pStyle w:val="ListParagraph"/>
        <w:numPr>
          <w:ilvl w:val="0"/>
          <w:numId w:val="8"/>
        </w:numPr>
        <w:ind w:left="630" w:hanging="270"/>
        <w:rPr>
          <w:bCs/>
          <w:iCs/>
          <w:sz w:val="24"/>
          <w:szCs w:val="24"/>
        </w:rPr>
      </w:pPr>
      <w:r w:rsidRPr="00002719">
        <w:rPr>
          <w:bCs/>
          <w:iCs/>
          <w:sz w:val="24"/>
          <w:szCs w:val="24"/>
        </w:rPr>
        <w:t>UC Davis:</w:t>
      </w:r>
      <w:r w:rsidRPr="00002719" w:rsidR="00DE375C">
        <w:rPr>
          <w:bCs/>
          <w:iCs/>
          <w:sz w:val="24"/>
          <w:szCs w:val="24"/>
        </w:rPr>
        <w:t xml:space="preserve"> 202-324-9768</w:t>
      </w:r>
    </w:p>
    <w:p w:rsidRPr="00002719" w:rsidR="00184790" w:rsidP="00777C43" w:rsidRDefault="00777C43">
      <w:pPr>
        <w:pStyle w:val="ListParagraph"/>
        <w:numPr>
          <w:ilvl w:val="0"/>
          <w:numId w:val="8"/>
        </w:numPr>
        <w:ind w:left="630" w:hanging="270"/>
        <w:rPr>
          <w:bCs/>
          <w:iCs/>
          <w:sz w:val="24"/>
          <w:szCs w:val="24"/>
        </w:rPr>
      </w:pPr>
      <w:r w:rsidRPr="00002719">
        <w:rPr>
          <w:bCs/>
          <w:iCs/>
          <w:sz w:val="24"/>
          <w:szCs w:val="24"/>
        </w:rPr>
        <w:t xml:space="preserve">UC Gray: </w:t>
      </w:r>
      <w:r w:rsidRPr="00002719" w:rsidR="00DE375C">
        <w:rPr>
          <w:bCs/>
          <w:iCs/>
          <w:sz w:val="24"/>
          <w:szCs w:val="24"/>
        </w:rPr>
        <w:t>202-324-6379</w:t>
      </w:r>
    </w:p>
    <w:p w:rsidRPr="00002719" w:rsidR="00777C43" w:rsidP="00777C43" w:rsidRDefault="00777C43">
      <w:pPr>
        <w:rPr>
          <w:bCs/>
          <w:iCs/>
          <w:sz w:val="24"/>
          <w:szCs w:val="24"/>
        </w:rPr>
      </w:pPr>
    </w:p>
    <w:p w:rsidRPr="00002719" w:rsidR="00625A5D" w:rsidP="00625A5D" w:rsidRDefault="00CD7EA6">
      <w:pPr>
        <w:rPr>
          <w:bCs/>
          <w:iCs/>
          <w:sz w:val="24"/>
          <w:szCs w:val="24"/>
        </w:rPr>
      </w:pPr>
      <w:r w:rsidRPr="00002719">
        <w:rPr>
          <w:bCs/>
          <w:iCs/>
          <w:sz w:val="24"/>
          <w:szCs w:val="24"/>
        </w:rPr>
        <w:t xml:space="preserve">Supervisory Management and Program Analyst Ashley Watson, and </w:t>
      </w:r>
      <w:r w:rsidRPr="00002719" w:rsidR="00777C43">
        <w:rPr>
          <w:bCs/>
          <w:iCs/>
          <w:sz w:val="24"/>
          <w:szCs w:val="24"/>
        </w:rPr>
        <w:t>Management an</w:t>
      </w:r>
      <w:r w:rsidRPr="00002719" w:rsidR="0054757E">
        <w:rPr>
          <w:bCs/>
          <w:iCs/>
          <w:sz w:val="24"/>
          <w:szCs w:val="24"/>
        </w:rPr>
        <w:t>d Program Analysts</w:t>
      </w:r>
      <w:r w:rsidRPr="00002719" w:rsidR="00DE375C">
        <w:rPr>
          <w:bCs/>
          <w:iCs/>
          <w:sz w:val="24"/>
          <w:szCs w:val="24"/>
        </w:rPr>
        <w:t xml:space="preserve"> Stacy Culler,</w:t>
      </w:r>
      <w:r w:rsidRPr="00002719" w:rsidR="0054757E">
        <w:rPr>
          <w:bCs/>
          <w:iCs/>
          <w:sz w:val="24"/>
          <w:szCs w:val="24"/>
        </w:rPr>
        <w:t xml:space="preserve"> Daphne</w:t>
      </w:r>
      <w:r w:rsidRPr="00002719" w:rsidR="00DE375C">
        <w:rPr>
          <w:bCs/>
          <w:iCs/>
          <w:sz w:val="24"/>
          <w:szCs w:val="24"/>
        </w:rPr>
        <w:t xml:space="preserve"> Heflin, and </w:t>
      </w:r>
      <w:r w:rsidRPr="00002719" w:rsidR="00777C43">
        <w:rPr>
          <w:bCs/>
          <w:iCs/>
          <w:sz w:val="24"/>
          <w:szCs w:val="24"/>
        </w:rPr>
        <w:t xml:space="preserve">Kathleen Oltman from </w:t>
      </w:r>
      <w:r w:rsidRPr="00002719" w:rsidR="00625A5D">
        <w:rPr>
          <w:bCs/>
          <w:iCs/>
          <w:sz w:val="24"/>
          <w:szCs w:val="24"/>
        </w:rPr>
        <w:t>the Office</w:t>
      </w:r>
      <w:r w:rsidRPr="00002719" w:rsidR="0054757E">
        <w:rPr>
          <w:bCs/>
          <w:iCs/>
          <w:sz w:val="24"/>
          <w:szCs w:val="24"/>
        </w:rPr>
        <w:t xml:space="preserve"> of Diversity and Inclusion will</w:t>
      </w:r>
      <w:r w:rsidRPr="00002719" w:rsidR="00625A5D">
        <w:rPr>
          <w:bCs/>
          <w:iCs/>
          <w:sz w:val="24"/>
          <w:szCs w:val="24"/>
        </w:rPr>
        <w:t xml:space="preserve"> assist in collecting data from the survey</w:t>
      </w:r>
      <w:r w:rsidRPr="00002719" w:rsidR="00777C43">
        <w:rPr>
          <w:bCs/>
          <w:iCs/>
          <w:sz w:val="24"/>
          <w:szCs w:val="24"/>
        </w:rPr>
        <w:t>.</w:t>
      </w:r>
    </w:p>
    <w:p w:rsidRPr="00002719" w:rsidR="00CD7EA6" w:rsidP="00777C43" w:rsidRDefault="00002719">
      <w:pPr>
        <w:pStyle w:val="ListParagraph"/>
        <w:numPr>
          <w:ilvl w:val="0"/>
          <w:numId w:val="11"/>
        </w:numPr>
        <w:ind w:left="630" w:hanging="270"/>
        <w:rPr>
          <w:bCs/>
          <w:iCs/>
          <w:sz w:val="24"/>
          <w:szCs w:val="24"/>
        </w:rPr>
      </w:pPr>
      <w:r>
        <w:rPr>
          <w:bCs/>
          <w:iCs/>
          <w:sz w:val="24"/>
          <w:szCs w:val="24"/>
        </w:rPr>
        <w:t xml:space="preserve">SMAPA </w:t>
      </w:r>
      <w:r w:rsidRPr="00002719" w:rsidR="00CD7EA6">
        <w:rPr>
          <w:bCs/>
          <w:iCs/>
          <w:sz w:val="24"/>
          <w:szCs w:val="24"/>
        </w:rPr>
        <w:t>Watson: 202-323-0953</w:t>
      </w:r>
    </w:p>
    <w:p w:rsidRPr="00002719" w:rsidR="00DE375C" w:rsidP="00777C43" w:rsidRDefault="00DE375C">
      <w:pPr>
        <w:pStyle w:val="ListParagraph"/>
        <w:numPr>
          <w:ilvl w:val="0"/>
          <w:numId w:val="11"/>
        </w:numPr>
        <w:ind w:left="630" w:hanging="270"/>
        <w:rPr>
          <w:bCs/>
          <w:iCs/>
          <w:sz w:val="24"/>
          <w:szCs w:val="24"/>
        </w:rPr>
      </w:pPr>
      <w:r w:rsidRPr="00002719">
        <w:rPr>
          <w:bCs/>
          <w:iCs/>
          <w:sz w:val="24"/>
          <w:szCs w:val="24"/>
        </w:rPr>
        <w:t>MAPA Culler: 202-323-8147</w:t>
      </w:r>
    </w:p>
    <w:p w:rsidRPr="00002719" w:rsidR="00625A5D" w:rsidP="00777C43" w:rsidRDefault="00777C43">
      <w:pPr>
        <w:pStyle w:val="ListParagraph"/>
        <w:numPr>
          <w:ilvl w:val="0"/>
          <w:numId w:val="11"/>
        </w:numPr>
        <w:ind w:left="630" w:hanging="270"/>
        <w:rPr>
          <w:bCs/>
          <w:iCs/>
          <w:sz w:val="24"/>
          <w:szCs w:val="24"/>
        </w:rPr>
      </w:pPr>
      <w:r w:rsidRPr="00002719">
        <w:rPr>
          <w:bCs/>
          <w:iCs/>
          <w:sz w:val="24"/>
          <w:szCs w:val="24"/>
        </w:rPr>
        <w:t>MAPA Heflin</w:t>
      </w:r>
      <w:r w:rsidRPr="00002719" w:rsidR="00F66165">
        <w:rPr>
          <w:bCs/>
          <w:iCs/>
          <w:sz w:val="24"/>
          <w:szCs w:val="24"/>
        </w:rPr>
        <w:t>:</w:t>
      </w:r>
      <w:r w:rsidRPr="00002719" w:rsidR="00DE375C">
        <w:rPr>
          <w:bCs/>
          <w:iCs/>
          <w:sz w:val="24"/>
          <w:szCs w:val="24"/>
        </w:rPr>
        <w:t xml:space="preserve"> 202-323-6315</w:t>
      </w:r>
    </w:p>
    <w:p w:rsidRPr="00002719" w:rsidR="00777C43" w:rsidP="00777C43" w:rsidRDefault="00777C43">
      <w:pPr>
        <w:pStyle w:val="ListParagraph"/>
        <w:numPr>
          <w:ilvl w:val="0"/>
          <w:numId w:val="11"/>
        </w:numPr>
        <w:ind w:left="630" w:hanging="270"/>
        <w:rPr>
          <w:bCs/>
          <w:iCs/>
          <w:sz w:val="24"/>
          <w:szCs w:val="24"/>
        </w:rPr>
      </w:pPr>
      <w:r w:rsidRPr="00002719">
        <w:rPr>
          <w:bCs/>
          <w:iCs/>
          <w:sz w:val="24"/>
          <w:szCs w:val="24"/>
        </w:rPr>
        <w:t>MAPA Oltman</w:t>
      </w:r>
      <w:r w:rsidRPr="00002719" w:rsidR="00F66165">
        <w:rPr>
          <w:bCs/>
          <w:iCs/>
          <w:sz w:val="24"/>
          <w:szCs w:val="24"/>
        </w:rPr>
        <w:t>:</w:t>
      </w:r>
      <w:r w:rsidRPr="00002719" w:rsidR="00DE375C">
        <w:rPr>
          <w:bCs/>
          <w:iCs/>
          <w:sz w:val="24"/>
          <w:szCs w:val="24"/>
        </w:rPr>
        <w:t xml:space="preserve"> 202-324-1209</w:t>
      </w:r>
    </w:p>
    <w:p w:rsidRPr="00002719" w:rsidR="00625A5D" w:rsidP="00625A5D" w:rsidRDefault="00625A5D">
      <w:pPr>
        <w:rPr>
          <w:bCs/>
          <w:iCs/>
          <w:sz w:val="24"/>
          <w:szCs w:val="24"/>
        </w:rPr>
      </w:pPr>
    </w:p>
    <w:p w:rsidRPr="00002719" w:rsidR="00625A5D" w:rsidP="00625A5D" w:rsidRDefault="00625A5D">
      <w:pPr>
        <w:rPr>
          <w:bCs/>
          <w:iCs/>
          <w:sz w:val="24"/>
          <w:szCs w:val="24"/>
        </w:rPr>
      </w:pPr>
      <w:r w:rsidRPr="00002719">
        <w:rPr>
          <w:bCs/>
          <w:iCs/>
          <w:sz w:val="24"/>
          <w:szCs w:val="24"/>
        </w:rPr>
        <w:t xml:space="preserve">Management and Program Analyst Kathleen Oltman </w:t>
      </w:r>
      <w:r w:rsidRPr="00002719" w:rsidR="00777C43">
        <w:rPr>
          <w:bCs/>
          <w:iCs/>
          <w:sz w:val="24"/>
          <w:szCs w:val="24"/>
        </w:rPr>
        <w:t xml:space="preserve">from the Office of Diversity and Inclusion, </w:t>
      </w:r>
      <w:r w:rsidRPr="00002719" w:rsidR="00525E76">
        <w:rPr>
          <w:bCs/>
          <w:iCs/>
          <w:sz w:val="24"/>
          <w:szCs w:val="24"/>
        </w:rPr>
        <w:t>Supervisory Management and Program Analyst Kelley Kling</w:t>
      </w:r>
      <w:r w:rsidRPr="00002719" w:rsidR="00777C43">
        <w:rPr>
          <w:bCs/>
          <w:iCs/>
          <w:sz w:val="24"/>
          <w:szCs w:val="24"/>
        </w:rPr>
        <w:t xml:space="preserve"> and </w:t>
      </w:r>
      <w:r w:rsidRPr="00002719" w:rsidR="00525E76">
        <w:rPr>
          <w:bCs/>
          <w:iCs/>
          <w:sz w:val="24"/>
          <w:szCs w:val="24"/>
        </w:rPr>
        <w:t>Management and Program Analyst Rachel Dimston</w:t>
      </w:r>
      <w:r w:rsidRPr="00002719" w:rsidR="0054757E">
        <w:rPr>
          <w:bCs/>
          <w:iCs/>
          <w:sz w:val="24"/>
          <w:szCs w:val="24"/>
        </w:rPr>
        <w:t xml:space="preserve"> from the Resource Planning Office</w:t>
      </w:r>
      <w:r w:rsidRPr="00002719" w:rsidR="00777C43">
        <w:rPr>
          <w:bCs/>
          <w:iCs/>
          <w:sz w:val="24"/>
          <w:szCs w:val="24"/>
        </w:rPr>
        <w:t>, and Contractor Stephen Woskov from the Analytics, Reporting, and Modeling Unit</w:t>
      </w:r>
      <w:r w:rsidRPr="00002719" w:rsidR="00525E76">
        <w:rPr>
          <w:bCs/>
          <w:iCs/>
          <w:sz w:val="24"/>
          <w:szCs w:val="24"/>
        </w:rPr>
        <w:t xml:space="preserve"> may assist with analysis of information</w:t>
      </w:r>
      <w:r w:rsidRPr="00002719" w:rsidR="00777C43">
        <w:rPr>
          <w:bCs/>
          <w:iCs/>
          <w:sz w:val="24"/>
          <w:szCs w:val="24"/>
        </w:rPr>
        <w:t>.</w:t>
      </w:r>
    </w:p>
    <w:p w:rsidRPr="00002719" w:rsidR="00525E76" w:rsidP="00777C43" w:rsidRDefault="00777C43">
      <w:pPr>
        <w:pStyle w:val="ListParagraph"/>
        <w:numPr>
          <w:ilvl w:val="0"/>
          <w:numId w:val="12"/>
        </w:numPr>
        <w:rPr>
          <w:bCs/>
          <w:iCs/>
          <w:sz w:val="24"/>
          <w:szCs w:val="24"/>
        </w:rPr>
      </w:pPr>
      <w:r w:rsidRPr="00002719">
        <w:rPr>
          <w:bCs/>
          <w:iCs/>
          <w:sz w:val="24"/>
          <w:szCs w:val="24"/>
        </w:rPr>
        <w:t>MAPA Oltman</w:t>
      </w:r>
      <w:r w:rsidRPr="00002719" w:rsidR="00F66165">
        <w:rPr>
          <w:bCs/>
          <w:iCs/>
          <w:sz w:val="24"/>
          <w:szCs w:val="24"/>
        </w:rPr>
        <w:t>:</w:t>
      </w:r>
      <w:r w:rsidRPr="00002719" w:rsidR="00DE375C">
        <w:rPr>
          <w:bCs/>
          <w:iCs/>
          <w:sz w:val="24"/>
          <w:szCs w:val="24"/>
        </w:rPr>
        <w:t xml:space="preserve"> 202-324-1209</w:t>
      </w:r>
    </w:p>
    <w:p w:rsidRPr="00002719" w:rsidR="00777C43" w:rsidP="00777C43" w:rsidRDefault="00777C43">
      <w:pPr>
        <w:pStyle w:val="ListParagraph"/>
        <w:numPr>
          <w:ilvl w:val="0"/>
          <w:numId w:val="12"/>
        </w:numPr>
        <w:rPr>
          <w:bCs/>
          <w:iCs/>
          <w:sz w:val="24"/>
          <w:szCs w:val="24"/>
        </w:rPr>
      </w:pPr>
      <w:r w:rsidRPr="00002719">
        <w:rPr>
          <w:bCs/>
          <w:iCs/>
          <w:sz w:val="24"/>
          <w:szCs w:val="24"/>
        </w:rPr>
        <w:t>SMAPA Kling</w:t>
      </w:r>
      <w:r w:rsidRPr="00002719" w:rsidR="00F66165">
        <w:rPr>
          <w:bCs/>
          <w:iCs/>
          <w:sz w:val="24"/>
          <w:szCs w:val="24"/>
        </w:rPr>
        <w:t>:</w:t>
      </w:r>
      <w:r w:rsidRPr="00002719" w:rsidR="00DE375C">
        <w:rPr>
          <w:bCs/>
          <w:iCs/>
          <w:sz w:val="24"/>
          <w:szCs w:val="24"/>
        </w:rPr>
        <w:t xml:space="preserve"> 202-324-3949</w:t>
      </w:r>
    </w:p>
    <w:p w:rsidRPr="00002719" w:rsidR="00777C43" w:rsidP="00777C43" w:rsidRDefault="00777C43">
      <w:pPr>
        <w:pStyle w:val="ListParagraph"/>
        <w:numPr>
          <w:ilvl w:val="0"/>
          <w:numId w:val="12"/>
        </w:numPr>
        <w:rPr>
          <w:bCs/>
          <w:iCs/>
          <w:sz w:val="24"/>
          <w:szCs w:val="24"/>
        </w:rPr>
      </w:pPr>
      <w:r w:rsidRPr="00002719">
        <w:rPr>
          <w:bCs/>
          <w:iCs/>
          <w:sz w:val="24"/>
          <w:szCs w:val="24"/>
        </w:rPr>
        <w:t>MAPA Dimston</w:t>
      </w:r>
      <w:r w:rsidRPr="00002719" w:rsidR="00F66165">
        <w:rPr>
          <w:bCs/>
          <w:iCs/>
          <w:sz w:val="24"/>
          <w:szCs w:val="24"/>
        </w:rPr>
        <w:t>:</w:t>
      </w:r>
      <w:r w:rsidRPr="00002719" w:rsidR="00DE375C">
        <w:rPr>
          <w:bCs/>
          <w:iCs/>
          <w:sz w:val="24"/>
          <w:szCs w:val="24"/>
        </w:rPr>
        <w:t xml:space="preserve"> 202-323-0739</w:t>
      </w:r>
    </w:p>
    <w:p w:rsidRPr="00002719" w:rsidR="00777C43" w:rsidP="00777C43" w:rsidRDefault="00777C43">
      <w:pPr>
        <w:pStyle w:val="ListParagraph"/>
        <w:numPr>
          <w:ilvl w:val="0"/>
          <w:numId w:val="12"/>
        </w:numPr>
        <w:rPr>
          <w:bCs/>
          <w:iCs/>
          <w:sz w:val="24"/>
          <w:szCs w:val="24"/>
        </w:rPr>
      </w:pPr>
      <w:r w:rsidRPr="00002719">
        <w:rPr>
          <w:bCs/>
          <w:iCs/>
          <w:sz w:val="24"/>
          <w:szCs w:val="24"/>
        </w:rPr>
        <w:t>Contractor Woskov</w:t>
      </w:r>
      <w:r w:rsidRPr="00002719" w:rsidR="00F66165">
        <w:rPr>
          <w:bCs/>
          <w:iCs/>
          <w:sz w:val="24"/>
          <w:szCs w:val="24"/>
        </w:rPr>
        <w:t>:</w:t>
      </w:r>
      <w:r w:rsidRPr="00002719" w:rsidR="00DE375C">
        <w:rPr>
          <w:bCs/>
          <w:iCs/>
          <w:sz w:val="24"/>
          <w:szCs w:val="24"/>
        </w:rPr>
        <w:t xml:space="preserve"> 202-465-6150</w:t>
      </w:r>
    </w:p>
    <w:p w:rsidRPr="00002719" w:rsidR="00525E76" w:rsidP="00625A5D" w:rsidRDefault="00525E76">
      <w:pPr>
        <w:rPr>
          <w:bCs/>
          <w:iCs/>
          <w:sz w:val="24"/>
          <w:szCs w:val="24"/>
        </w:rPr>
      </w:pPr>
    </w:p>
    <w:p w:rsidRPr="00002719" w:rsidR="00625A5D" w:rsidP="00625A5D" w:rsidRDefault="00625A5D">
      <w:pPr>
        <w:rPr>
          <w:bCs/>
          <w:iCs/>
          <w:sz w:val="24"/>
          <w:szCs w:val="24"/>
        </w:rPr>
      </w:pPr>
    </w:p>
    <w:p w:rsidRPr="00002719" w:rsidR="00625A5D" w:rsidP="00625A5D" w:rsidRDefault="00625A5D">
      <w:pPr>
        <w:rPr>
          <w:bCs/>
          <w:iCs/>
          <w:sz w:val="24"/>
          <w:szCs w:val="24"/>
        </w:rPr>
      </w:pPr>
    </w:p>
    <w:p w:rsidRPr="00002719" w:rsidR="00184790" w:rsidP="00184790" w:rsidRDefault="00184790">
      <w:pPr>
        <w:rPr>
          <w:bCs/>
          <w:iCs/>
          <w:sz w:val="24"/>
          <w:szCs w:val="24"/>
        </w:rPr>
      </w:pPr>
    </w:p>
    <w:p w:rsidRPr="00002719" w:rsidR="00184790" w:rsidP="00184790" w:rsidRDefault="00184790">
      <w:pPr>
        <w:rPr>
          <w:bCs/>
          <w:iCs/>
          <w:sz w:val="24"/>
          <w:szCs w:val="24"/>
        </w:rPr>
      </w:pPr>
    </w:p>
    <w:p w:rsidRPr="00002719" w:rsidR="00184790" w:rsidP="00184790" w:rsidRDefault="00184790">
      <w:pPr>
        <w:rPr>
          <w:b/>
          <w:bCs/>
          <w:iCs/>
          <w:sz w:val="24"/>
          <w:szCs w:val="24"/>
        </w:rPr>
      </w:pPr>
    </w:p>
    <w:p w:rsidRPr="00002719" w:rsidR="00A66541" w:rsidP="00A66541" w:rsidRDefault="00A66541"/>
    <w:p w:rsidR="007727D7" w:rsidRDefault="007727D7"/>
    <w:sectPr w:rsidR="007727D7" w:rsidSect="0077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D6" w:rsidRDefault="00705CD6" w:rsidP="00547F26">
      <w:r>
        <w:separator/>
      </w:r>
    </w:p>
  </w:endnote>
  <w:endnote w:type="continuationSeparator" w:id="0">
    <w:p w:rsidR="00705CD6" w:rsidRDefault="00705CD6" w:rsidP="005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D6" w:rsidRDefault="00705CD6" w:rsidP="00547F26">
      <w:r>
        <w:separator/>
      </w:r>
    </w:p>
  </w:footnote>
  <w:footnote w:type="continuationSeparator" w:id="0">
    <w:p w:rsidR="00705CD6" w:rsidRDefault="00705CD6" w:rsidP="00547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7388"/>
    <w:multiLevelType w:val="hybridMultilevel"/>
    <w:tmpl w:val="42AE8726"/>
    <w:lvl w:ilvl="0" w:tplc="0882E1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02508D"/>
    <w:multiLevelType w:val="hybridMultilevel"/>
    <w:tmpl w:val="E968E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55469"/>
    <w:multiLevelType w:val="hybridMultilevel"/>
    <w:tmpl w:val="4052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BF93099"/>
    <w:multiLevelType w:val="hybridMultilevel"/>
    <w:tmpl w:val="31AE5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6063AD"/>
    <w:multiLevelType w:val="hybridMultilevel"/>
    <w:tmpl w:val="7BA0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7F71"/>
    <w:multiLevelType w:val="hybridMultilevel"/>
    <w:tmpl w:val="D4926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DA778D"/>
    <w:multiLevelType w:val="hybridMultilevel"/>
    <w:tmpl w:val="6B342828"/>
    <w:lvl w:ilvl="0" w:tplc="050E6A3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FD4183"/>
    <w:multiLevelType w:val="hybridMultilevel"/>
    <w:tmpl w:val="346C7436"/>
    <w:lvl w:ilvl="0" w:tplc="B71C1D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6"/>
  </w:num>
  <w:num w:numId="8">
    <w:abstractNumId w:val="8"/>
  </w:num>
  <w:num w:numId="9">
    <w:abstractNumId w:val="3"/>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41"/>
    <w:rsid w:val="00002719"/>
    <w:rsid w:val="00050194"/>
    <w:rsid w:val="000501B4"/>
    <w:rsid w:val="000D3F1A"/>
    <w:rsid w:val="00184790"/>
    <w:rsid w:val="00212FF2"/>
    <w:rsid w:val="002C2E83"/>
    <w:rsid w:val="002C7AFE"/>
    <w:rsid w:val="003508C6"/>
    <w:rsid w:val="00394163"/>
    <w:rsid w:val="003C0600"/>
    <w:rsid w:val="004F40AB"/>
    <w:rsid w:val="00525E76"/>
    <w:rsid w:val="0054757E"/>
    <w:rsid w:val="00547F26"/>
    <w:rsid w:val="005623A1"/>
    <w:rsid w:val="00575D42"/>
    <w:rsid w:val="00621023"/>
    <w:rsid w:val="00625A5D"/>
    <w:rsid w:val="006472AF"/>
    <w:rsid w:val="00696478"/>
    <w:rsid w:val="006A38B6"/>
    <w:rsid w:val="006B0607"/>
    <w:rsid w:val="006B4D69"/>
    <w:rsid w:val="00705CD6"/>
    <w:rsid w:val="00726EE1"/>
    <w:rsid w:val="007727D7"/>
    <w:rsid w:val="00777C43"/>
    <w:rsid w:val="00782DE1"/>
    <w:rsid w:val="007839E9"/>
    <w:rsid w:val="007B3EAD"/>
    <w:rsid w:val="00801C67"/>
    <w:rsid w:val="008160DA"/>
    <w:rsid w:val="00925908"/>
    <w:rsid w:val="009614D7"/>
    <w:rsid w:val="00A66541"/>
    <w:rsid w:val="00B66117"/>
    <w:rsid w:val="00B74F1D"/>
    <w:rsid w:val="00BD0D46"/>
    <w:rsid w:val="00C11CB0"/>
    <w:rsid w:val="00C62E13"/>
    <w:rsid w:val="00C954C7"/>
    <w:rsid w:val="00CD7EA6"/>
    <w:rsid w:val="00D01D3E"/>
    <w:rsid w:val="00DE375C"/>
    <w:rsid w:val="00E442E1"/>
    <w:rsid w:val="00E53FAC"/>
    <w:rsid w:val="00F00DE8"/>
    <w:rsid w:val="00F66165"/>
    <w:rsid w:val="00FB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9BCED70-997E-4C6C-955E-6A992D00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74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F1D"/>
    <w:rPr>
      <w:rFonts w:ascii="Segoe UI" w:eastAsia="SimSun" w:hAnsi="Segoe UI" w:cs="Segoe UI"/>
      <w:sz w:val="18"/>
      <w:szCs w:val="18"/>
      <w:lang w:eastAsia="zh-CN"/>
    </w:rPr>
  </w:style>
  <w:style w:type="table" w:styleId="TableGrid">
    <w:name w:val="Table Grid"/>
    <w:basedOn w:val="TableNormal"/>
    <w:uiPriority w:val="59"/>
    <w:rsid w:val="00F0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123154">
      <w:bodyDiv w:val="1"/>
      <w:marLeft w:val="0"/>
      <w:marRight w:val="0"/>
      <w:marTop w:val="0"/>
      <w:marBottom w:val="0"/>
      <w:divBdr>
        <w:top w:val="none" w:sz="0" w:space="0" w:color="auto"/>
        <w:left w:val="none" w:sz="0" w:space="0" w:color="auto"/>
        <w:bottom w:val="none" w:sz="0" w:space="0" w:color="auto"/>
        <w:right w:val="none" w:sz="0" w:space="0" w:color="auto"/>
      </w:divBdr>
    </w:div>
    <w:div w:id="851652031">
      <w:bodyDiv w:val="1"/>
      <w:marLeft w:val="0"/>
      <w:marRight w:val="0"/>
      <w:marTop w:val="0"/>
      <w:marBottom w:val="0"/>
      <w:divBdr>
        <w:top w:val="none" w:sz="0" w:space="0" w:color="auto"/>
        <w:left w:val="none" w:sz="0" w:space="0" w:color="auto"/>
        <w:bottom w:val="none" w:sz="0" w:space="0" w:color="auto"/>
        <w:right w:val="none" w:sz="0" w:space="0" w:color="auto"/>
      </w:divBdr>
    </w:div>
    <w:div w:id="962272852">
      <w:bodyDiv w:val="1"/>
      <w:marLeft w:val="0"/>
      <w:marRight w:val="0"/>
      <w:marTop w:val="0"/>
      <w:marBottom w:val="0"/>
      <w:divBdr>
        <w:top w:val="none" w:sz="0" w:space="0" w:color="auto"/>
        <w:left w:val="none" w:sz="0" w:space="0" w:color="auto"/>
        <w:bottom w:val="none" w:sz="0" w:space="0" w:color="auto"/>
        <w:right w:val="none" w:sz="0" w:space="0" w:color="auto"/>
      </w:divBdr>
    </w:div>
    <w:div w:id="2057967053">
      <w:bodyDiv w:val="1"/>
      <w:marLeft w:val="0"/>
      <w:marRight w:val="0"/>
      <w:marTop w:val="0"/>
      <w:marBottom w:val="0"/>
      <w:divBdr>
        <w:top w:val="none" w:sz="0" w:space="0" w:color="auto"/>
        <w:left w:val="none" w:sz="0" w:space="0" w:color="auto"/>
        <w:bottom w:val="none" w:sz="0" w:space="0" w:color="auto"/>
        <w:right w:val="none" w:sz="0" w:space="0" w:color="auto"/>
      </w:divBdr>
    </w:div>
    <w:div w:id="20746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AF1F4-78BE-4E92-B632-E791B9C1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constance d willis</dc:creator>
  <cp:lastModifiedBy>Mejia-Garcia, Ana D. (DO) (FBI)</cp:lastModifiedBy>
  <cp:revision>4</cp:revision>
  <cp:lastPrinted>2020-01-16T20:03:00Z</cp:lastPrinted>
  <dcterms:created xsi:type="dcterms:W3CDTF">2020-01-28T18:08:00Z</dcterms:created>
  <dcterms:modified xsi:type="dcterms:W3CDTF">2020-02-06T11:34:00Z</dcterms:modified>
</cp:coreProperties>
</file>