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9D640" w14:textId="77777777" w:rsidR="00185D66" w:rsidRDefault="00BF7526" w:rsidP="00BF7526">
      <w:pPr>
        <w:jc w:val="center"/>
        <w:rPr>
          <w:b/>
          <w:sz w:val="24"/>
          <w:szCs w:val="24"/>
        </w:rPr>
      </w:pPr>
      <w:bookmarkStart w:id="0" w:name="_GoBack"/>
      <w:bookmarkEnd w:id="0"/>
      <w:r w:rsidRPr="00BF7526">
        <w:rPr>
          <w:b/>
          <w:sz w:val="24"/>
          <w:szCs w:val="24"/>
        </w:rPr>
        <w:t xml:space="preserve">Supporting Justification for the OMB New Request for Clearance of the </w:t>
      </w:r>
    </w:p>
    <w:p w14:paraId="7D916585" w14:textId="22D514C0" w:rsidR="00E304A2" w:rsidRPr="00BF7526" w:rsidRDefault="00BF7526" w:rsidP="00BF7526">
      <w:pPr>
        <w:jc w:val="center"/>
        <w:rPr>
          <w:b/>
          <w:sz w:val="24"/>
          <w:szCs w:val="24"/>
        </w:rPr>
      </w:pPr>
      <w:r w:rsidRPr="00BF7526">
        <w:rPr>
          <w:b/>
          <w:sz w:val="24"/>
          <w:szCs w:val="24"/>
        </w:rPr>
        <w:t>“Youth Engagement in Sports (YES)</w:t>
      </w:r>
      <w:r w:rsidR="00CA7D7D">
        <w:rPr>
          <w:b/>
          <w:sz w:val="24"/>
          <w:szCs w:val="24"/>
        </w:rPr>
        <w:t xml:space="preserve"> </w:t>
      </w:r>
      <w:r w:rsidRPr="00BF7526">
        <w:rPr>
          <w:b/>
          <w:sz w:val="24"/>
          <w:szCs w:val="24"/>
        </w:rPr>
        <w:t>Performance Measures”</w:t>
      </w:r>
    </w:p>
    <w:p w14:paraId="4DF09208" w14:textId="77777777" w:rsidR="00E304A2" w:rsidRPr="00BF7526" w:rsidRDefault="00E304A2" w:rsidP="00BF7526">
      <w:pPr>
        <w:jc w:val="center"/>
        <w:rPr>
          <w:sz w:val="24"/>
          <w:szCs w:val="24"/>
        </w:rPr>
      </w:pPr>
    </w:p>
    <w:p w14:paraId="211F1A58" w14:textId="77777777" w:rsidR="00E304A2" w:rsidRPr="00EB5D6D" w:rsidRDefault="00E304A2" w:rsidP="00BF7526">
      <w:pPr>
        <w:jc w:val="center"/>
      </w:pPr>
    </w:p>
    <w:p w14:paraId="414268DA" w14:textId="77777777" w:rsidR="00E304A2" w:rsidRDefault="00E304A2" w:rsidP="00BF7526">
      <w:pPr>
        <w:spacing w:line="276" w:lineRule="auto"/>
        <w:jc w:val="center"/>
        <w:rPr>
          <w:rStyle w:val="CharacterStyle5"/>
          <w:bCs w:val="0"/>
          <w:spacing w:val="-5"/>
          <w:szCs w:val="32"/>
        </w:rPr>
      </w:pPr>
    </w:p>
    <w:p w14:paraId="2BBD4698" w14:textId="77777777" w:rsidR="00E304A2" w:rsidRDefault="00E304A2" w:rsidP="00E304A2">
      <w:pPr>
        <w:spacing w:line="276" w:lineRule="auto"/>
        <w:jc w:val="center"/>
        <w:rPr>
          <w:rStyle w:val="CharacterStyle5"/>
          <w:bCs w:val="0"/>
          <w:spacing w:val="-5"/>
          <w:szCs w:val="32"/>
        </w:rPr>
      </w:pPr>
    </w:p>
    <w:p w14:paraId="1749EF11" w14:textId="77777777" w:rsidR="00E304A2" w:rsidRDefault="00E304A2" w:rsidP="00E304A2">
      <w:pPr>
        <w:spacing w:line="276" w:lineRule="auto"/>
        <w:jc w:val="center"/>
        <w:rPr>
          <w:rStyle w:val="CharacterStyle5"/>
          <w:bCs w:val="0"/>
          <w:spacing w:val="-5"/>
          <w:szCs w:val="32"/>
        </w:rPr>
      </w:pPr>
    </w:p>
    <w:p w14:paraId="0A651B59" w14:textId="7A7A7941" w:rsidR="00E304A2" w:rsidRPr="00BF7526" w:rsidRDefault="00E304A2" w:rsidP="00E304A2">
      <w:pPr>
        <w:spacing w:line="276" w:lineRule="auto"/>
        <w:jc w:val="center"/>
        <w:rPr>
          <w:rStyle w:val="CharacterStyle5"/>
          <w:b w:val="0"/>
          <w:bCs w:val="0"/>
          <w:i/>
          <w:spacing w:val="42"/>
          <w:sz w:val="32"/>
          <w:szCs w:val="32"/>
        </w:rPr>
      </w:pPr>
      <w:r w:rsidRPr="00CD4DD3">
        <w:rPr>
          <w:rStyle w:val="CharacterStyle5"/>
          <w:bCs w:val="0"/>
          <w:i/>
          <w:spacing w:val="-5"/>
          <w:sz w:val="32"/>
          <w:szCs w:val="32"/>
        </w:rPr>
        <w:t>Supporting Statement</w:t>
      </w:r>
      <w:r w:rsidR="00B837B5">
        <w:rPr>
          <w:rStyle w:val="CharacterStyle5"/>
          <w:bCs w:val="0"/>
          <w:i/>
          <w:spacing w:val="-5"/>
          <w:sz w:val="32"/>
          <w:szCs w:val="32"/>
        </w:rPr>
        <w:t xml:space="preserve"> B</w:t>
      </w:r>
      <w:r w:rsidR="00BF7526">
        <w:rPr>
          <w:rStyle w:val="CharacterStyle5"/>
          <w:bCs w:val="0"/>
          <w:i/>
          <w:spacing w:val="-5"/>
          <w:sz w:val="32"/>
          <w:szCs w:val="32"/>
        </w:rPr>
        <w:t xml:space="preserve">: </w:t>
      </w:r>
      <w:r w:rsidR="009A2476" w:rsidRPr="009A2476">
        <w:rPr>
          <w:rStyle w:val="CharacterStyle5"/>
          <w:bCs w:val="0"/>
          <w:i/>
          <w:spacing w:val="-5"/>
          <w:sz w:val="32"/>
          <w:szCs w:val="32"/>
        </w:rPr>
        <w:t xml:space="preserve">Statistical Methods for the Collection </w:t>
      </w:r>
    </w:p>
    <w:p w14:paraId="63D6D356" w14:textId="77777777" w:rsidR="00E304A2" w:rsidRPr="00EB5D6D" w:rsidRDefault="00E304A2" w:rsidP="00E304A2">
      <w:pPr>
        <w:spacing w:line="276" w:lineRule="auto"/>
        <w:jc w:val="center"/>
        <w:rPr>
          <w:rStyle w:val="CharacterStyle5"/>
          <w:bCs w:val="0"/>
          <w:spacing w:val="42"/>
          <w:sz w:val="32"/>
          <w:szCs w:val="32"/>
        </w:rPr>
      </w:pPr>
      <w:r w:rsidRPr="00EB5D6D">
        <w:rPr>
          <w:rStyle w:val="CharacterStyle5"/>
          <w:bCs w:val="0"/>
          <w:spacing w:val="42"/>
          <w:sz w:val="32"/>
          <w:szCs w:val="32"/>
        </w:rPr>
        <w:br/>
      </w:r>
    </w:p>
    <w:p w14:paraId="43767850" w14:textId="77777777" w:rsidR="00E304A2" w:rsidRPr="00EB5D6D" w:rsidRDefault="00E304A2" w:rsidP="00E304A2">
      <w:pPr>
        <w:jc w:val="center"/>
        <w:rPr>
          <w:rStyle w:val="CharacterStyle5"/>
          <w:b w:val="0"/>
          <w:bCs w:val="0"/>
          <w:i/>
          <w:iCs/>
          <w:spacing w:val="61"/>
          <w:sz w:val="30"/>
          <w:szCs w:val="30"/>
        </w:rPr>
      </w:pPr>
    </w:p>
    <w:p w14:paraId="32F26862" w14:textId="77777777" w:rsidR="00E304A2" w:rsidRPr="00EB5D6D" w:rsidRDefault="00E304A2" w:rsidP="00E304A2">
      <w:pPr>
        <w:jc w:val="center"/>
      </w:pPr>
    </w:p>
    <w:p w14:paraId="189B50D8" w14:textId="77777777" w:rsidR="00E304A2" w:rsidRPr="00EB5D6D" w:rsidRDefault="00E304A2" w:rsidP="00E304A2">
      <w:pPr>
        <w:jc w:val="center"/>
        <w:rPr>
          <w:sz w:val="28"/>
          <w:szCs w:val="28"/>
        </w:rPr>
      </w:pPr>
    </w:p>
    <w:p w14:paraId="19792EC3" w14:textId="77777777" w:rsidR="00E304A2" w:rsidRPr="00EB5D6D" w:rsidRDefault="00E304A2" w:rsidP="00E304A2">
      <w:pPr>
        <w:jc w:val="center"/>
        <w:rPr>
          <w:sz w:val="28"/>
          <w:szCs w:val="28"/>
        </w:rPr>
      </w:pPr>
    </w:p>
    <w:p w14:paraId="59039C78" w14:textId="3D4B1379" w:rsidR="00DA732D" w:rsidRDefault="0079296A" w:rsidP="00930C13">
      <w:pPr>
        <w:widowControl/>
        <w:autoSpaceDE/>
        <w:autoSpaceDN/>
        <w:adjustRightInd/>
        <w:spacing w:after="160" w:line="259" w:lineRule="auto"/>
        <w:jc w:val="center"/>
        <w:rPr>
          <w:sz w:val="28"/>
          <w:szCs w:val="28"/>
        </w:rPr>
      </w:pPr>
      <w:r>
        <w:rPr>
          <w:sz w:val="28"/>
          <w:szCs w:val="28"/>
        </w:rPr>
        <w:t xml:space="preserve">August, </w:t>
      </w:r>
      <w:r w:rsidR="00BF7526">
        <w:rPr>
          <w:sz w:val="28"/>
          <w:szCs w:val="28"/>
        </w:rPr>
        <w:t>2019</w:t>
      </w:r>
    </w:p>
    <w:p w14:paraId="7A96992F" w14:textId="77777777" w:rsidR="00930C13" w:rsidRDefault="00930C13">
      <w:pPr>
        <w:widowControl/>
        <w:autoSpaceDE/>
        <w:autoSpaceDN/>
        <w:adjustRightInd/>
        <w:spacing w:after="160" w:line="259" w:lineRule="auto"/>
      </w:pPr>
    </w:p>
    <w:p w14:paraId="7E7F87FF" w14:textId="77777777" w:rsidR="00DA732D" w:rsidRDefault="00DA732D">
      <w:pPr>
        <w:widowControl/>
        <w:autoSpaceDE/>
        <w:autoSpaceDN/>
        <w:adjustRightInd/>
        <w:spacing w:after="160" w:line="259" w:lineRule="auto"/>
      </w:pPr>
    </w:p>
    <w:p w14:paraId="7D913F70" w14:textId="77777777" w:rsidR="00DA732D" w:rsidRDefault="00DA732D">
      <w:pPr>
        <w:widowControl/>
        <w:autoSpaceDE/>
        <w:autoSpaceDN/>
        <w:adjustRightInd/>
        <w:spacing w:after="160" w:line="259" w:lineRule="auto"/>
      </w:pPr>
    </w:p>
    <w:p w14:paraId="483BAAFE" w14:textId="77777777" w:rsidR="00DA732D" w:rsidRDefault="00DA732D">
      <w:pPr>
        <w:widowControl/>
        <w:autoSpaceDE/>
        <w:autoSpaceDN/>
        <w:adjustRightInd/>
        <w:spacing w:after="160" w:line="259" w:lineRule="auto"/>
      </w:pPr>
    </w:p>
    <w:p w14:paraId="341B9D21" w14:textId="77777777" w:rsidR="00DA732D" w:rsidRPr="00EB5D6D" w:rsidRDefault="00DA732D" w:rsidP="00DA732D">
      <w:pPr>
        <w:jc w:val="center"/>
        <w:rPr>
          <w:sz w:val="28"/>
          <w:szCs w:val="28"/>
        </w:rPr>
      </w:pPr>
      <w:r w:rsidRPr="00EB5D6D">
        <w:rPr>
          <w:sz w:val="28"/>
          <w:szCs w:val="28"/>
        </w:rPr>
        <w:t>Submitted by:</w:t>
      </w:r>
    </w:p>
    <w:p w14:paraId="2267C013" w14:textId="77777777" w:rsidR="00DA732D" w:rsidRPr="00EB5D6D" w:rsidRDefault="00DA732D" w:rsidP="00DA732D">
      <w:pPr>
        <w:jc w:val="center"/>
        <w:rPr>
          <w:sz w:val="28"/>
          <w:szCs w:val="28"/>
        </w:rPr>
      </w:pPr>
    </w:p>
    <w:p w14:paraId="01405E84" w14:textId="77777777" w:rsidR="00DA732D" w:rsidRDefault="00DA732D" w:rsidP="00DA732D">
      <w:pPr>
        <w:jc w:val="center"/>
        <w:rPr>
          <w:sz w:val="28"/>
          <w:szCs w:val="28"/>
        </w:rPr>
      </w:pPr>
      <w:r>
        <w:rPr>
          <w:sz w:val="28"/>
          <w:szCs w:val="28"/>
        </w:rPr>
        <w:t>US Department of Health and Human Services (HHS)</w:t>
      </w:r>
    </w:p>
    <w:p w14:paraId="1D76979E" w14:textId="77777777" w:rsidR="00DA732D" w:rsidRDefault="00DA732D" w:rsidP="00DA732D">
      <w:pPr>
        <w:jc w:val="center"/>
        <w:rPr>
          <w:sz w:val="28"/>
          <w:szCs w:val="28"/>
        </w:rPr>
      </w:pPr>
      <w:r>
        <w:rPr>
          <w:sz w:val="28"/>
          <w:szCs w:val="28"/>
        </w:rPr>
        <w:t>Office of the Assistant Secretary (OASH)</w:t>
      </w:r>
    </w:p>
    <w:p w14:paraId="69A33B93" w14:textId="77777777" w:rsidR="00DA732D" w:rsidRPr="00EB5D6D" w:rsidRDefault="00DA732D" w:rsidP="00DA732D">
      <w:pPr>
        <w:jc w:val="center"/>
        <w:rPr>
          <w:sz w:val="28"/>
          <w:szCs w:val="28"/>
        </w:rPr>
      </w:pPr>
      <w:r w:rsidRPr="00EB5D6D">
        <w:rPr>
          <w:sz w:val="28"/>
          <w:szCs w:val="28"/>
        </w:rPr>
        <w:t>Office of Minority Health</w:t>
      </w:r>
      <w:r>
        <w:rPr>
          <w:sz w:val="28"/>
          <w:szCs w:val="28"/>
        </w:rPr>
        <w:t xml:space="preserve"> (OMH)</w:t>
      </w:r>
    </w:p>
    <w:p w14:paraId="36315E11" w14:textId="77777777" w:rsidR="00DA732D" w:rsidRPr="00EB5D6D" w:rsidRDefault="00DA732D" w:rsidP="00DA732D">
      <w:pPr>
        <w:jc w:val="center"/>
        <w:rPr>
          <w:noProof/>
          <w:sz w:val="28"/>
          <w:szCs w:val="28"/>
        </w:rPr>
      </w:pPr>
      <w:r w:rsidRPr="00EB5D6D">
        <w:rPr>
          <w:noProof/>
          <w:sz w:val="28"/>
          <w:szCs w:val="28"/>
        </w:rPr>
        <w:t>1101 Woot</w:t>
      </w:r>
      <w:r>
        <w:rPr>
          <w:noProof/>
          <w:sz w:val="28"/>
          <w:szCs w:val="28"/>
        </w:rPr>
        <w:t>t</w:t>
      </w:r>
      <w:r w:rsidRPr="00EB5D6D">
        <w:rPr>
          <w:noProof/>
          <w:sz w:val="28"/>
          <w:szCs w:val="28"/>
        </w:rPr>
        <w:t>on Parkway, Suite 600</w:t>
      </w:r>
    </w:p>
    <w:p w14:paraId="1EF2844D" w14:textId="77777777" w:rsidR="00DA732D" w:rsidRPr="00EB5D6D" w:rsidRDefault="00DA732D" w:rsidP="00DA732D">
      <w:pPr>
        <w:jc w:val="center"/>
        <w:rPr>
          <w:noProof/>
          <w:sz w:val="28"/>
          <w:szCs w:val="28"/>
        </w:rPr>
      </w:pPr>
      <w:smartTag w:uri="urn:schemas-microsoft-com:office:smarttags" w:element="place">
        <w:smartTag w:uri="urn:schemas-microsoft-com:office:smarttags" w:element="City">
          <w:r w:rsidRPr="00EB5D6D">
            <w:rPr>
              <w:noProof/>
              <w:sz w:val="28"/>
              <w:szCs w:val="28"/>
            </w:rPr>
            <w:t>Rockville</w:t>
          </w:r>
        </w:smartTag>
        <w:r w:rsidRPr="00EB5D6D">
          <w:rPr>
            <w:noProof/>
            <w:sz w:val="28"/>
            <w:szCs w:val="28"/>
          </w:rPr>
          <w:t xml:space="preserve">, </w:t>
        </w:r>
        <w:smartTag w:uri="urn:schemas-microsoft-com:office:smarttags" w:element="State">
          <w:r w:rsidRPr="00EB5D6D">
            <w:rPr>
              <w:noProof/>
              <w:sz w:val="28"/>
              <w:szCs w:val="28"/>
            </w:rPr>
            <w:t>MD</w:t>
          </w:r>
        </w:smartTag>
        <w:r w:rsidRPr="00EB5D6D">
          <w:rPr>
            <w:noProof/>
            <w:sz w:val="28"/>
            <w:szCs w:val="28"/>
          </w:rPr>
          <w:t xml:space="preserve"> </w:t>
        </w:r>
        <w:smartTag w:uri="urn:schemas-microsoft-com:office:smarttags" w:element="PostalCode">
          <w:r w:rsidRPr="00EB5D6D">
            <w:rPr>
              <w:noProof/>
              <w:sz w:val="28"/>
              <w:szCs w:val="28"/>
            </w:rPr>
            <w:t>20852</w:t>
          </w:r>
        </w:smartTag>
      </w:smartTag>
    </w:p>
    <w:p w14:paraId="58CA3472" w14:textId="77777777" w:rsidR="00BF7526" w:rsidRDefault="00BF7526" w:rsidP="00BF7526">
      <w:pPr>
        <w:widowControl/>
        <w:autoSpaceDE/>
        <w:autoSpaceDN/>
        <w:adjustRightInd/>
        <w:spacing w:after="160" w:line="259" w:lineRule="auto"/>
        <w:jc w:val="right"/>
      </w:pPr>
    </w:p>
    <w:p w14:paraId="604AD546" w14:textId="77777777" w:rsidR="00BF7526" w:rsidRDefault="00BF7526" w:rsidP="00BF7526">
      <w:pPr>
        <w:widowControl/>
        <w:autoSpaceDE/>
        <w:autoSpaceDN/>
        <w:adjustRightInd/>
        <w:spacing w:after="160" w:line="259" w:lineRule="auto"/>
        <w:jc w:val="right"/>
      </w:pPr>
    </w:p>
    <w:p w14:paraId="31E4D2CB" w14:textId="77777777" w:rsidR="00BF7526" w:rsidRPr="00727E85" w:rsidRDefault="00BF7526" w:rsidP="00BF7526">
      <w:pPr>
        <w:widowControl/>
        <w:autoSpaceDE/>
        <w:autoSpaceDN/>
        <w:adjustRightInd/>
        <w:spacing w:after="160" w:line="259" w:lineRule="auto"/>
        <w:jc w:val="center"/>
      </w:pPr>
      <w:r>
        <w:t>Project Officer: Dianne Rucinski, PhD</w:t>
      </w:r>
      <w:r w:rsidR="007F678A">
        <w:br w:type="page"/>
      </w:r>
    </w:p>
    <w:p w14:paraId="327792F5" w14:textId="77777777" w:rsidR="00BF7526" w:rsidRPr="00BF7526" w:rsidRDefault="00BF7526">
      <w:pPr>
        <w:widowControl/>
        <w:autoSpaceDE/>
        <w:autoSpaceDN/>
        <w:adjustRightInd/>
        <w:spacing w:after="160" w:line="259" w:lineRule="auto"/>
      </w:pPr>
    </w:p>
    <w:p w14:paraId="304D9958" w14:textId="77777777" w:rsidR="00DA732D" w:rsidRDefault="00DA732D">
      <w:pPr>
        <w:widowControl/>
        <w:autoSpaceDE/>
        <w:autoSpaceDN/>
        <w:adjustRightInd/>
        <w:spacing w:after="160" w:line="259" w:lineRule="auto"/>
      </w:pPr>
    </w:p>
    <w:p w14:paraId="4C87D15B" w14:textId="77777777" w:rsidR="00B837B5" w:rsidRDefault="00B837B5" w:rsidP="00B837B5">
      <w:pPr>
        <w:pStyle w:val="Heading1Black"/>
      </w:pPr>
      <w:bookmarkStart w:id="1" w:name="_Toc383429896"/>
      <w:bookmarkStart w:id="2" w:name="_Toc448728852"/>
      <w:bookmarkStart w:id="3" w:name="_Toc448730394"/>
      <w:bookmarkStart w:id="4" w:name="_Toc448731860"/>
      <w:bookmarkStart w:id="5" w:name="_Toc11857466"/>
      <w:r>
        <w:t>CONTENTS</w:t>
      </w:r>
      <w:bookmarkEnd w:id="1"/>
      <w:bookmarkEnd w:id="2"/>
      <w:bookmarkEnd w:id="3"/>
      <w:bookmarkEnd w:id="4"/>
      <w:bookmarkEnd w:id="5"/>
    </w:p>
    <w:p w14:paraId="06B38C19" w14:textId="73FAF185" w:rsidR="009A2476" w:rsidRDefault="00B837B5">
      <w:pPr>
        <w:pStyle w:val="TOC1"/>
        <w:rPr>
          <w:rFonts w:asciiTheme="minorHAnsi" w:eastAsiaTheme="minorEastAsia" w:hAnsiTheme="minorHAnsi" w:cstheme="minorBidi"/>
          <w:b w:val="0"/>
          <w:noProof/>
          <w:sz w:val="22"/>
          <w:szCs w:val="22"/>
        </w:rPr>
      </w:pPr>
      <w:r>
        <w:rPr>
          <w:rFonts w:ascii="Lucida Sans" w:hAnsi="Lucida Sans" w:cs="Lucida Sans"/>
          <w:b w:val="0"/>
          <w:sz w:val="22"/>
          <w:szCs w:val="20"/>
        </w:rPr>
        <w:fldChar w:fldCharType="begin"/>
      </w:r>
      <w:r>
        <w:rPr>
          <w:rFonts w:cs="Lucida Sans"/>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val="0"/>
          <w:sz w:val="22"/>
          <w:szCs w:val="20"/>
        </w:rPr>
        <w:fldChar w:fldCharType="separate"/>
      </w:r>
      <w:r w:rsidR="009A2476">
        <w:rPr>
          <w:noProof/>
        </w:rPr>
        <w:t>CONTENTS</w:t>
      </w:r>
      <w:r w:rsidR="009A2476">
        <w:rPr>
          <w:noProof/>
          <w:webHidden/>
        </w:rPr>
        <w:tab/>
      </w:r>
      <w:r w:rsidR="009A2476">
        <w:rPr>
          <w:noProof/>
          <w:webHidden/>
        </w:rPr>
        <w:fldChar w:fldCharType="begin"/>
      </w:r>
      <w:r w:rsidR="009A2476">
        <w:rPr>
          <w:noProof/>
          <w:webHidden/>
        </w:rPr>
        <w:instrText xml:space="preserve"> PAGEREF _Toc11857466 \h </w:instrText>
      </w:r>
      <w:r w:rsidR="009A2476">
        <w:rPr>
          <w:noProof/>
          <w:webHidden/>
        </w:rPr>
      </w:r>
      <w:r w:rsidR="009A2476">
        <w:rPr>
          <w:noProof/>
          <w:webHidden/>
        </w:rPr>
        <w:fldChar w:fldCharType="separate"/>
      </w:r>
      <w:r w:rsidR="0074211B">
        <w:rPr>
          <w:noProof/>
          <w:webHidden/>
        </w:rPr>
        <w:t>ii</w:t>
      </w:r>
      <w:r w:rsidR="009A2476">
        <w:rPr>
          <w:noProof/>
          <w:webHidden/>
        </w:rPr>
        <w:fldChar w:fldCharType="end"/>
      </w:r>
    </w:p>
    <w:p w14:paraId="31125899" w14:textId="238D9247" w:rsidR="009A2476" w:rsidRDefault="009A2476">
      <w:pPr>
        <w:pStyle w:val="TOC1"/>
        <w:rPr>
          <w:rFonts w:asciiTheme="minorHAnsi" w:eastAsiaTheme="minorEastAsia" w:hAnsiTheme="minorHAnsi" w:cstheme="minorBidi"/>
          <w:b w:val="0"/>
          <w:noProof/>
          <w:sz w:val="22"/>
          <w:szCs w:val="22"/>
        </w:rPr>
      </w:pPr>
      <w:r>
        <w:rPr>
          <w:noProof/>
        </w:rPr>
        <w:t>TABLES</w:t>
      </w:r>
      <w:r>
        <w:rPr>
          <w:noProof/>
          <w:webHidden/>
        </w:rPr>
        <w:tab/>
      </w:r>
      <w:r>
        <w:rPr>
          <w:noProof/>
          <w:webHidden/>
        </w:rPr>
        <w:fldChar w:fldCharType="begin"/>
      </w:r>
      <w:r>
        <w:rPr>
          <w:noProof/>
          <w:webHidden/>
        </w:rPr>
        <w:instrText xml:space="preserve"> PAGEREF _Toc11857467 \h </w:instrText>
      </w:r>
      <w:r>
        <w:rPr>
          <w:noProof/>
          <w:webHidden/>
        </w:rPr>
      </w:r>
      <w:r>
        <w:rPr>
          <w:noProof/>
          <w:webHidden/>
        </w:rPr>
        <w:fldChar w:fldCharType="separate"/>
      </w:r>
      <w:r w:rsidR="0074211B">
        <w:rPr>
          <w:noProof/>
          <w:webHidden/>
        </w:rPr>
        <w:t>ii</w:t>
      </w:r>
      <w:r>
        <w:rPr>
          <w:noProof/>
          <w:webHidden/>
        </w:rPr>
        <w:fldChar w:fldCharType="end"/>
      </w:r>
    </w:p>
    <w:p w14:paraId="27DDC44B" w14:textId="6F8D86E6" w:rsidR="009A2476" w:rsidRDefault="009A2476">
      <w:pPr>
        <w:pStyle w:val="TOC1"/>
        <w:rPr>
          <w:rFonts w:asciiTheme="minorHAnsi" w:eastAsiaTheme="minorEastAsia" w:hAnsiTheme="minorHAnsi" w:cstheme="minorBidi"/>
          <w:b w:val="0"/>
          <w:noProof/>
          <w:sz w:val="22"/>
          <w:szCs w:val="22"/>
        </w:rPr>
      </w:pPr>
      <w:r>
        <w:rPr>
          <w:noProof/>
        </w:rPr>
        <w:t>ATTACHMENTS</w:t>
      </w:r>
      <w:r>
        <w:rPr>
          <w:noProof/>
          <w:webHidden/>
        </w:rPr>
        <w:tab/>
      </w:r>
      <w:r>
        <w:rPr>
          <w:noProof/>
          <w:webHidden/>
        </w:rPr>
        <w:fldChar w:fldCharType="begin"/>
      </w:r>
      <w:r>
        <w:rPr>
          <w:noProof/>
          <w:webHidden/>
        </w:rPr>
        <w:instrText xml:space="preserve"> PAGEREF _Toc11857468 \h </w:instrText>
      </w:r>
      <w:r>
        <w:rPr>
          <w:noProof/>
          <w:webHidden/>
        </w:rPr>
      </w:r>
      <w:r>
        <w:rPr>
          <w:noProof/>
          <w:webHidden/>
        </w:rPr>
        <w:fldChar w:fldCharType="separate"/>
      </w:r>
      <w:r w:rsidR="0074211B">
        <w:rPr>
          <w:noProof/>
          <w:webHidden/>
        </w:rPr>
        <w:t>iii</w:t>
      </w:r>
      <w:r>
        <w:rPr>
          <w:noProof/>
          <w:webHidden/>
        </w:rPr>
        <w:fldChar w:fldCharType="end"/>
      </w:r>
    </w:p>
    <w:p w14:paraId="01C03B81" w14:textId="37BCD018" w:rsidR="009A2476" w:rsidRDefault="009A2476">
      <w:pPr>
        <w:pStyle w:val="TOC1"/>
        <w:rPr>
          <w:rFonts w:asciiTheme="minorHAnsi" w:eastAsiaTheme="minorEastAsia" w:hAnsiTheme="minorHAnsi" w:cstheme="minorBidi"/>
          <w:b w:val="0"/>
          <w:noProof/>
          <w:sz w:val="22"/>
          <w:szCs w:val="22"/>
        </w:rPr>
      </w:pPr>
      <w:r w:rsidRPr="004D2E35">
        <w:rPr>
          <w:rFonts w:eastAsia="Calibri"/>
          <w:noProof/>
        </w:rPr>
        <w:t>PART B INTRODUCTION</w:t>
      </w:r>
      <w:r>
        <w:rPr>
          <w:noProof/>
          <w:webHidden/>
        </w:rPr>
        <w:tab/>
      </w:r>
      <w:r>
        <w:rPr>
          <w:noProof/>
          <w:webHidden/>
        </w:rPr>
        <w:fldChar w:fldCharType="begin"/>
      </w:r>
      <w:r>
        <w:rPr>
          <w:noProof/>
          <w:webHidden/>
        </w:rPr>
        <w:instrText xml:space="preserve"> PAGEREF _Toc11857469 \h </w:instrText>
      </w:r>
      <w:r>
        <w:rPr>
          <w:noProof/>
          <w:webHidden/>
        </w:rPr>
      </w:r>
      <w:r>
        <w:rPr>
          <w:noProof/>
          <w:webHidden/>
        </w:rPr>
        <w:fldChar w:fldCharType="separate"/>
      </w:r>
      <w:r w:rsidR="0074211B">
        <w:rPr>
          <w:noProof/>
          <w:webHidden/>
        </w:rPr>
        <w:t>4</w:t>
      </w:r>
      <w:r>
        <w:rPr>
          <w:noProof/>
          <w:webHidden/>
        </w:rPr>
        <w:fldChar w:fldCharType="end"/>
      </w:r>
    </w:p>
    <w:p w14:paraId="46B77790" w14:textId="65A6D9FF" w:rsidR="009A2476" w:rsidRDefault="009A2476">
      <w:pPr>
        <w:pStyle w:val="TOC2"/>
        <w:tabs>
          <w:tab w:val="left" w:pos="880"/>
          <w:tab w:val="right" w:leader="dot" w:pos="9350"/>
        </w:tabs>
        <w:rPr>
          <w:rFonts w:asciiTheme="minorHAnsi" w:eastAsiaTheme="minorEastAsia" w:hAnsiTheme="minorHAnsi" w:cstheme="minorBidi"/>
          <w:noProof/>
          <w:sz w:val="22"/>
          <w:szCs w:val="22"/>
        </w:rPr>
      </w:pPr>
      <w:r>
        <w:rPr>
          <w:noProof/>
        </w:rPr>
        <w:t>B1.</w:t>
      </w:r>
      <w:r>
        <w:rPr>
          <w:rFonts w:asciiTheme="minorHAnsi" w:eastAsiaTheme="minorEastAsia" w:hAnsiTheme="minorHAnsi" w:cstheme="minorBidi"/>
          <w:noProof/>
          <w:sz w:val="22"/>
          <w:szCs w:val="22"/>
        </w:rPr>
        <w:tab/>
      </w:r>
      <w:r>
        <w:rPr>
          <w:noProof/>
        </w:rPr>
        <w:t>Respondent Universe and Sampling Methods</w:t>
      </w:r>
      <w:r>
        <w:rPr>
          <w:noProof/>
          <w:webHidden/>
        </w:rPr>
        <w:tab/>
      </w:r>
      <w:r>
        <w:rPr>
          <w:noProof/>
          <w:webHidden/>
        </w:rPr>
        <w:fldChar w:fldCharType="begin"/>
      </w:r>
      <w:r>
        <w:rPr>
          <w:noProof/>
          <w:webHidden/>
        </w:rPr>
        <w:instrText xml:space="preserve"> PAGEREF _Toc11857470 \h </w:instrText>
      </w:r>
      <w:r>
        <w:rPr>
          <w:noProof/>
          <w:webHidden/>
        </w:rPr>
      </w:r>
      <w:r>
        <w:rPr>
          <w:noProof/>
          <w:webHidden/>
        </w:rPr>
        <w:fldChar w:fldCharType="separate"/>
      </w:r>
      <w:r w:rsidR="0074211B">
        <w:rPr>
          <w:noProof/>
          <w:webHidden/>
        </w:rPr>
        <w:t>5</w:t>
      </w:r>
      <w:r>
        <w:rPr>
          <w:noProof/>
          <w:webHidden/>
        </w:rPr>
        <w:fldChar w:fldCharType="end"/>
      </w:r>
    </w:p>
    <w:p w14:paraId="0772B5E5" w14:textId="558745D6" w:rsidR="009A2476" w:rsidRDefault="009A2476">
      <w:pPr>
        <w:pStyle w:val="TOC2"/>
        <w:tabs>
          <w:tab w:val="left" w:pos="880"/>
          <w:tab w:val="right" w:leader="dot" w:pos="9350"/>
        </w:tabs>
        <w:rPr>
          <w:rFonts w:asciiTheme="minorHAnsi" w:eastAsiaTheme="minorEastAsia" w:hAnsiTheme="minorHAnsi" w:cstheme="minorBidi"/>
          <w:noProof/>
          <w:sz w:val="22"/>
          <w:szCs w:val="22"/>
        </w:rPr>
      </w:pPr>
      <w:r>
        <w:rPr>
          <w:noProof/>
        </w:rPr>
        <w:t>B2.</w:t>
      </w:r>
      <w:r>
        <w:rPr>
          <w:rFonts w:asciiTheme="minorHAnsi" w:eastAsiaTheme="minorEastAsia" w:hAnsiTheme="minorHAnsi" w:cstheme="minorBidi"/>
          <w:noProof/>
          <w:sz w:val="22"/>
          <w:szCs w:val="22"/>
        </w:rPr>
        <w:tab/>
      </w:r>
      <w:r>
        <w:rPr>
          <w:noProof/>
        </w:rPr>
        <w:t>Procedures for Collection of Information</w:t>
      </w:r>
      <w:r>
        <w:rPr>
          <w:noProof/>
          <w:webHidden/>
        </w:rPr>
        <w:tab/>
      </w:r>
      <w:r>
        <w:rPr>
          <w:noProof/>
          <w:webHidden/>
        </w:rPr>
        <w:fldChar w:fldCharType="begin"/>
      </w:r>
      <w:r>
        <w:rPr>
          <w:noProof/>
          <w:webHidden/>
        </w:rPr>
        <w:instrText xml:space="preserve"> PAGEREF _Toc11857471 \h </w:instrText>
      </w:r>
      <w:r>
        <w:rPr>
          <w:noProof/>
          <w:webHidden/>
        </w:rPr>
      </w:r>
      <w:r>
        <w:rPr>
          <w:noProof/>
          <w:webHidden/>
        </w:rPr>
        <w:fldChar w:fldCharType="separate"/>
      </w:r>
      <w:r w:rsidR="0074211B">
        <w:rPr>
          <w:noProof/>
          <w:webHidden/>
        </w:rPr>
        <w:t>6</w:t>
      </w:r>
      <w:r>
        <w:rPr>
          <w:noProof/>
          <w:webHidden/>
        </w:rPr>
        <w:fldChar w:fldCharType="end"/>
      </w:r>
    </w:p>
    <w:p w14:paraId="56B8CFDB" w14:textId="593E24AD" w:rsidR="009A2476" w:rsidRDefault="009A2476">
      <w:pPr>
        <w:pStyle w:val="TOC2"/>
        <w:tabs>
          <w:tab w:val="left" w:pos="880"/>
          <w:tab w:val="right" w:leader="dot" w:pos="9350"/>
        </w:tabs>
        <w:rPr>
          <w:rFonts w:asciiTheme="minorHAnsi" w:eastAsiaTheme="minorEastAsia" w:hAnsiTheme="minorHAnsi" w:cstheme="minorBidi"/>
          <w:noProof/>
          <w:sz w:val="22"/>
          <w:szCs w:val="22"/>
        </w:rPr>
      </w:pPr>
      <w:r>
        <w:rPr>
          <w:noProof/>
        </w:rPr>
        <w:t>B3.</w:t>
      </w:r>
      <w:r>
        <w:rPr>
          <w:rFonts w:asciiTheme="minorHAnsi" w:eastAsiaTheme="minorEastAsia" w:hAnsiTheme="minorHAnsi" w:cstheme="minorBidi"/>
          <w:noProof/>
          <w:sz w:val="22"/>
          <w:szCs w:val="22"/>
        </w:rPr>
        <w:tab/>
      </w:r>
      <w:r>
        <w:rPr>
          <w:noProof/>
        </w:rPr>
        <w:t>Methods to Maximize Response Rates and Deal with Non-Response</w:t>
      </w:r>
      <w:r>
        <w:rPr>
          <w:noProof/>
          <w:webHidden/>
        </w:rPr>
        <w:tab/>
      </w:r>
      <w:r>
        <w:rPr>
          <w:noProof/>
          <w:webHidden/>
        </w:rPr>
        <w:fldChar w:fldCharType="begin"/>
      </w:r>
      <w:r>
        <w:rPr>
          <w:noProof/>
          <w:webHidden/>
        </w:rPr>
        <w:instrText xml:space="preserve"> PAGEREF _Toc11857472 \h </w:instrText>
      </w:r>
      <w:r>
        <w:rPr>
          <w:noProof/>
          <w:webHidden/>
        </w:rPr>
      </w:r>
      <w:r>
        <w:rPr>
          <w:noProof/>
          <w:webHidden/>
        </w:rPr>
        <w:fldChar w:fldCharType="separate"/>
      </w:r>
      <w:r w:rsidR="0074211B">
        <w:rPr>
          <w:noProof/>
          <w:webHidden/>
        </w:rPr>
        <w:t>8</w:t>
      </w:r>
      <w:r>
        <w:rPr>
          <w:noProof/>
          <w:webHidden/>
        </w:rPr>
        <w:fldChar w:fldCharType="end"/>
      </w:r>
    </w:p>
    <w:p w14:paraId="0B0AF135" w14:textId="3A7C7113" w:rsidR="009A2476" w:rsidRDefault="009A2476">
      <w:pPr>
        <w:pStyle w:val="TOC2"/>
        <w:tabs>
          <w:tab w:val="left" w:pos="880"/>
          <w:tab w:val="right" w:leader="dot" w:pos="9350"/>
        </w:tabs>
        <w:rPr>
          <w:rFonts w:asciiTheme="minorHAnsi" w:eastAsiaTheme="minorEastAsia" w:hAnsiTheme="minorHAnsi" w:cstheme="minorBidi"/>
          <w:noProof/>
          <w:sz w:val="22"/>
          <w:szCs w:val="22"/>
        </w:rPr>
      </w:pPr>
      <w:r>
        <w:rPr>
          <w:noProof/>
        </w:rPr>
        <w:t>B4.</w:t>
      </w:r>
      <w:r>
        <w:rPr>
          <w:rFonts w:asciiTheme="minorHAnsi" w:eastAsiaTheme="minorEastAsia" w:hAnsiTheme="minorHAnsi" w:cstheme="minorBidi"/>
          <w:noProof/>
          <w:sz w:val="22"/>
          <w:szCs w:val="22"/>
        </w:rPr>
        <w:tab/>
      </w:r>
      <w:r>
        <w:rPr>
          <w:noProof/>
        </w:rPr>
        <w:t>Test of Procedures or Methods to be Undertaken</w:t>
      </w:r>
      <w:r>
        <w:rPr>
          <w:noProof/>
          <w:webHidden/>
        </w:rPr>
        <w:tab/>
      </w:r>
      <w:r>
        <w:rPr>
          <w:noProof/>
          <w:webHidden/>
        </w:rPr>
        <w:fldChar w:fldCharType="begin"/>
      </w:r>
      <w:r>
        <w:rPr>
          <w:noProof/>
          <w:webHidden/>
        </w:rPr>
        <w:instrText xml:space="preserve"> PAGEREF _Toc11857473 \h </w:instrText>
      </w:r>
      <w:r>
        <w:rPr>
          <w:noProof/>
          <w:webHidden/>
        </w:rPr>
      </w:r>
      <w:r>
        <w:rPr>
          <w:noProof/>
          <w:webHidden/>
        </w:rPr>
        <w:fldChar w:fldCharType="separate"/>
      </w:r>
      <w:r w:rsidR="0074211B">
        <w:rPr>
          <w:noProof/>
          <w:webHidden/>
        </w:rPr>
        <w:t>9</w:t>
      </w:r>
      <w:r>
        <w:rPr>
          <w:noProof/>
          <w:webHidden/>
        </w:rPr>
        <w:fldChar w:fldCharType="end"/>
      </w:r>
    </w:p>
    <w:p w14:paraId="3DD44044" w14:textId="10244A17" w:rsidR="009A2476" w:rsidRDefault="009A2476">
      <w:pPr>
        <w:pStyle w:val="TOC2"/>
        <w:tabs>
          <w:tab w:val="left" w:pos="880"/>
          <w:tab w:val="right" w:leader="dot" w:pos="9350"/>
        </w:tabs>
        <w:rPr>
          <w:rFonts w:asciiTheme="minorHAnsi" w:eastAsiaTheme="minorEastAsia" w:hAnsiTheme="minorHAnsi" w:cstheme="minorBidi"/>
          <w:noProof/>
          <w:sz w:val="22"/>
          <w:szCs w:val="22"/>
        </w:rPr>
      </w:pPr>
      <w:r>
        <w:rPr>
          <w:noProof/>
        </w:rPr>
        <w:t>B5.</w:t>
      </w:r>
      <w:r>
        <w:rPr>
          <w:rFonts w:asciiTheme="minorHAnsi" w:eastAsiaTheme="minorEastAsia" w:hAnsiTheme="minorHAnsi" w:cstheme="minorBidi"/>
          <w:noProof/>
          <w:sz w:val="22"/>
          <w:szCs w:val="22"/>
        </w:rPr>
        <w:tab/>
      </w:r>
      <w:r>
        <w:rPr>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_Toc11857474 \h </w:instrText>
      </w:r>
      <w:r>
        <w:rPr>
          <w:noProof/>
          <w:webHidden/>
        </w:rPr>
      </w:r>
      <w:r>
        <w:rPr>
          <w:noProof/>
          <w:webHidden/>
        </w:rPr>
        <w:fldChar w:fldCharType="separate"/>
      </w:r>
      <w:r w:rsidR="0074211B">
        <w:rPr>
          <w:noProof/>
          <w:webHidden/>
        </w:rPr>
        <w:t>9</w:t>
      </w:r>
      <w:r>
        <w:rPr>
          <w:noProof/>
          <w:webHidden/>
        </w:rPr>
        <w:fldChar w:fldCharType="end"/>
      </w:r>
    </w:p>
    <w:p w14:paraId="635CFBC0" w14:textId="0D5B680E" w:rsidR="00B837B5" w:rsidRPr="00FC1F32" w:rsidRDefault="00B837B5" w:rsidP="00B837B5">
      <w:pPr>
        <w:pStyle w:val="Heading1Black"/>
      </w:pPr>
      <w:r>
        <w:fldChar w:fldCharType="end"/>
      </w:r>
      <w:bookmarkStart w:id="6" w:name="_Toc383429897"/>
      <w:bookmarkStart w:id="7" w:name="_Toc448728853"/>
      <w:bookmarkStart w:id="8" w:name="_Toc448730395"/>
      <w:bookmarkStart w:id="9" w:name="_Toc448731861"/>
      <w:bookmarkStart w:id="10" w:name="_Toc11857467"/>
      <w:r w:rsidRPr="00FC1F32">
        <w:t>TABLES</w:t>
      </w:r>
      <w:bookmarkEnd w:id="6"/>
      <w:bookmarkEnd w:id="7"/>
      <w:bookmarkEnd w:id="8"/>
      <w:bookmarkEnd w:id="9"/>
      <w:bookmarkEnd w:id="10"/>
    </w:p>
    <w:p w14:paraId="0132D93C" w14:textId="1F4A8BEA" w:rsidR="00B837B5" w:rsidRDefault="00B837B5" w:rsidP="00B837B5">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Pr>
          <w:noProof/>
        </w:rPr>
        <w:t>B1.1. Minimum Detectible Impacts fo</w:t>
      </w:r>
      <w:r w:rsidR="00185D66">
        <w:rPr>
          <w:noProof/>
        </w:rPr>
        <w:t>r The Federal Evaluation of YES Initiative</w:t>
      </w:r>
      <w:r>
        <w:rPr>
          <w:noProof/>
          <w:webHidden/>
        </w:rPr>
        <w:tab/>
      </w:r>
      <w:r>
        <w:rPr>
          <w:noProof/>
          <w:webHidden/>
        </w:rPr>
        <w:fldChar w:fldCharType="begin"/>
      </w:r>
      <w:r>
        <w:rPr>
          <w:noProof/>
          <w:webHidden/>
        </w:rPr>
        <w:instrText xml:space="preserve"> PAGEREF _Toc448731872 \h </w:instrText>
      </w:r>
      <w:r>
        <w:rPr>
          <w:noProof/>
          <w:webHidden/>
        </w:rPr>
      </w:r>
      <w:r>
        <w:rPr>
          <w:noProof/>
          <w:webHidden/>
        </w:rPr>
        <w:fldChar w:fldCharType="separate"/>
      </w:r>
      <w:r w:rsidR="0074211B">
        <w:rPr>
          <w:noProof/>
          <w:webHidden/>
        </w:rPr>
        <w:t>6</w:t>
      </w:r>
      <w:r>
        <w:rPr>
          <w:noProof/>
          <w:webHidden/>
        </w:rPr>
        <w:fldChar w:fldCharType="end"/>
      </w:r>
    </w:p>
    <w:p w14:paraId="16C4762A" w14:textId="77777777" w:rsidR="00B837B5" w:rsidRDefault="00B837B5" w:rsidP="00B837B5">
      <w:pPr>
        <w:spacing w:before="240" w:after="240"/>
        <w:rPr>
          <w:rFonts w:ascii="Arial" w:hAnsi="Arial" w:cs="Arial"/>
        </w:rPr>
      </w:pPr>
      <w:r>
        <w:rPr>
          <w:rFonts w:ascii="Arial" w:hAnsi="Arial" w:cs="Arial"/>
        </w:rPr>
        <w:fldChar w:fldCharType="end"/>
      </w:r>
    </w:p>
    <w:p w14:paraId="09F5F8E9" w14:textId="77777777" w:rsidR="00B837B5" w:rsidRDefault="00B837B5" w:rsidP="00B837B5">
      <w:pPr>
        <w:spacing w:after="240"/>
        <w:rPr>
          <w:rFonts w:ascii="Arial" w:hAnsi="Arial" w:cs="Arial"/>
        </w:rPr>
      </w:pPr>
      <w:r>
        <w:rPr>
          <w:rFonts w:ascii="Arial" w:hAnsi="Arial" w:cs="Arial"/>
        </w:rPr>
        <w:br w:type="page"/>
      </w:r>
    </w:p>
    <w:p w14:paraId="3C5AC4D8" w14:textId="77777777" w:rsidR="00B837B5" w:rsidRPr="002A6036" w:rsidRDefault="00B837B5" w:rsidP="00B837B5">
      <w:pPr>
        <w:pStyle w:val="Heading1Black"/>
      </w:pPr>
      <w:bookmarkStart w:id="11" w:name="_Toc385322232"/>
      <w:bookmarkStart w:id="12" w:name="_Toc396921845"/>
      <w:bookmarkStart w:id="13" w:name="_Toc448728854"/>
      <w:bookmarkStart w:id="14" w:name="_Toc448730396"/>
      <w:bookmarkStart w:id="15" w:name="_Toc448731862"/>
      <w:bookmarkStart w:id="16" w:name="_Toc11857468"/>
      <w:bookmarkStart w:id="17" w:name="_Toc383429898"/>
      <w:r w:rsidRPr="002A6036">
        <w:t>ATTACHMENTS</w:t>
      </w:r>
      <w:bookmarkEnd w:id="11"/>
      <w:bookmarkEnd w:id="12"/>
      <w:bookmarkEnd w:id="13"/>
      <w:bookmarkEnd w:id="14"/>
      <w:bookmarkEnd w:id="15"/>
      <w:bookmarkEnd w:id="16"/>
    </w:p>
    <w:p w14:paraId="013E6B86" w14:textId="3C087BBF" w:rsidR="00B837B5" w:rsidRPr="002A6036" w:rsidRDefault="00B837B5" w:rsidP="00B837B5">
      <w:pPr>
        <w:pStyle w:val="TOC8"/>
        <w:tabs>
          <w:tab w:val="left" w:pos="1980"/>
        </w:tabs>
        <w:spacing w:after="120"/>
        <w:ind w:left="1980" w:hanging="1962"/>
        <w:rPr>
          <w:sz w:val="22"/>
          <w:szCs w:val="22"/>
        </w:rPr>
      </w:pPr>
      <w:r w:rsidRPr="002A6036">
        <w:rPr>
          <w:sz w:val="22"/>
          <w:szCs w:val="22"/>
        </w:rPr>
        <w:t>ATTAC</w:t>
      </w:r>
      <w:r>
        <w:rPr>
          <w:sz w:val="22"/>
          <w:szCs w:val="22"/>
        </w:rPr>
        <w:t>HMENT A</w:t>
      </w:r>
      <w:r w:rsidRPr="002A6036">
        <w:rPr>
          <w:sz w:val="22"/>
          <w:szCs w:val="22"/>
        </w:rPr>
        <w:t>:</w:t>
      </w:r>
      <w:r w:rsidRPr="002A6036">
        <w:rPr>
          <w:sz w:val="22"/>
          <w:szCs w:val="22"/>
        </w:rPr>
        <w:tab/>
        <w:t xml:space="preserve">QUESTION BY QUESTION SOURCE LIST FOR THE </w:t>
      </w:r>
      <w:r w:rsidR="003A2160">
        <w:rPr>
          <w:sz w:val="22"/>
          <w:szCs w:val="22"/>
        </w:rPr>
        <w:t>PHYSICAL ACTIVITY AND NUTRITION SURVEY</w:t>
      </w:r>
      <w:r w:rsidRPr="002A6036">
        <w:rPr>
          <w:sz w:val="22"/>
          <w:szCs w:val="22"/>
        </w:rPr>
        <w:t xml:space="preserve"> </w:t>
      </w:r>
    </w:p>
    <w:p w14:paraId="39DD01FD" w14:textId="1A47A39B" w:rsidR="00B837B5" w:rsidRPr="002A6036" w:rsidRDefault="00B837B5" w:rsidP="00B837B5">
      <w:pPr>
        <w:pStyle w:val="TOC8"/>
        <w:tabs>
          <w:tab w:val="left" w:pos="1980"/>
        </w:tabs>
        <w:spacing w:after="120"/>
        <w:ind w:left="1980" w:hanging="1962"/>
        <w:rPr>
          <w:sz w:val="22"/>
          <w:szCs w:val="22"/>
        </w:rPr>
      </w:pPr>
      <w:r>
        <w:rPr>
          <w:sz w:val="22"/>
          <w:szCs w:val="22"/>
        </w:rPr>
        <w:t xml:space="preserve">ATTACHMENT </w:t>
      </w:r>
      <w:r w:rsidR="003A2160">
        <w:rPr>
          <w:sz w:val="22"/>
          <w:szCs w:val="22"/>
        </w:rPr>
        <w:t>B</w:t>
      </w:r>
      <w:r w:rsidRPr="002A6036">
        <w:rPr>
          <w:sz w:val="22"/>
          <w:szCs w:val="22"/>
        </w:rPr>
        <w:t>:</w:t>
      </w:r>
      <w:r w:rsidRPr="002A6036">
        <w:rPr>
          <w:sz w:val="22"/>
          <w:szCs w:val="22"/>
        </w:rPr>
        <w:tab/>
        <w:t xml:space="preserve">PERSONS CONSULTED ON INSTRUMENT DEVELOPMENT AND/OR ANALYSIS OF THE </w:t>
      </w:r>
      <w:r w:rsidR="003273D9">
        <w:rPr>
          <w:sz w:val="22"/>
          <w:szCs w:val="22"/>
        </w:rPr>
        <w:t xml:space="preserve">YES INITIATIVE INFORMATION COLLECTION </w:t>
      </w:r>
    </w:p>
    <w:p w14:paraId="6EA2076C" w14:textId="71B68543" w:rsidR="00B837B5" w:rsidRPr="007F3E18" w:rsidRDefault="00B837B5" w:rsidP="00B837B5">
      <w:pPr>
        <w:pStyle w:val="TOC8"/>
        <w:tabs>
          <w:tab w:val="left" w:pos="1980"/>
        </w:tabs>
        <w:spacing w:after="120"/>
        <w:ind w:left="1980" w:hanging="1962"/>
        <w:rPr>
          <w:sz w:val="22"/>
          <w:szCs w:val="22"/>
        </w:rPr>
      </w:pPr>
      <w:r w:rsidRPr="00DC5FFD">
        <w:rPr>
          <w:sz w:val="22"/>
          <w:szCs w:val="22"/>
        </w:rPr>
        <w:t xml:space="preserve">ATTACHMENT </w:t>
      </w:r>
      <w:r w:rsidR="003A2160">
        <w:rPr>
          <w:sz w:val="22"/>
          <w:szCs w:val="22"/>
        </w:rPr>
        <w:t>C</w:t>
      </w:r>
      <w:r w:rsidRPr="00DC5FFD">
        <w:rPr>
          <w:sz w:val="22"/>
          <w:szCs w:val="22"/>
        </w:rPr>
        <w:t>:</w:t>
      </w:r>
      <w:r w:rsidRPr="00DC5FFD">
        <w:rPr>
          <w:sz w:val="22"/>
          <w:szCs w:val="22"/>
        </w:rPr>
        <w:tab/>
      </w:r>
      <w:r w:rsidR="00A76ACE">
        <w:rPr>
          <w:sz w:val="22"/>
          <w:szCs w:val="22"/>
        </w:rPr>
        <w:t xml:space="preserve">NONDISCLOSURE AGREEMENT </w:t>
      </w:r>
    </w:p>
    <w:p w14:paraId="5903A322" w14:textId="02235720" w:rsidR="00B837B5" w:rsidRPr="00356F70" w:rsidRDefault="00B837B5" w:rsidP="00B837B5">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w:t>
      </w:r>
      <w:r w:rsidR="003A2160">
        <w:rPr>
          <w:rFonts w:cs="Arial"/>
          <w:sz w:val="22"/>
          <w:szCs w:val="22"/>
        </w:rPr>
        <w:t>D</w:t>
      </w:r>
      <w:r w:rsidRPr="004B1D46">
        <w:rPr>
          <w:rFonts w:cs="Arial"/>
          <w:sz w:val="22"/>
          <w:szCs w:val="22"/>
        </w:rPr>
        <w:t>:</w:t>
      </w:r>
      <w:r w:rsidRPr="004B1D46">
        <w:rPr>
          <w:rFonts w:cs="Arial"/>
          <w:sz w:val="22"/>
          <w:szCs w:val="22"/>
        </w:rPr>
        <w:tab/>
        <w:t>ANALYSIS PLAN</w:t>
      </w:r>
    </w:p>
    <w:p w14:paraId="7B963494" w14:textId="20D21CCD" w:rsidR="00B837B5" w:rsidRPr="00356F70" w:rsidRDefault="00B837B5" w:rsidP="00B837B5">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w:t>
      </w:r>
      <w:r w:rsidR="003A2160">
        <w:rPr>
          <w:rFonts w:cs="Arial"/>
          <w:sz w:val="22"/>
          <w:szCs w:val="22"/>
        </w:rPr>
        <w:t>E</w:t>
      </w:r>
      <w:r>
        <w:rPr>
          <w:rFonts w:cs="Arial"/>
          <w:sz w:val="22"/>
          <w:szCs w:val="22"/>
        </w:rPr>
        <w:tab/>
      </w:r>
      <w:r w:rsidRPr="00185D66">
        <w:rPr>
          <w:rFonts w:cs="Arial"/>
          <w:caps/>
          <w:sz w:val="22"/>
          <w:szCs w:val="22"/>
        </w:rPr>
        <w:t>60 day federal register notice</w:t>
      </w:r>
    </w:p>
    <w:p w14:paraId="4C6BFAD1" w14:textId="77777777" w:rsidR="00B837B5" w:rsidRPr="001E583B" w:rsidRDefault="00B837B5" w:rsidP="00B837B5"/>
    <w:p w14:paraId="6581F0E0" w14:textId="77777777" w:rsidR="00B837B5" w:rsidRPr="00994024" w:rsidRDefault="00B837B5" w:rsidP="00B837B5">
      <w:pPr>
        <w:spacing w:after="240"/>
        <w:jc w:val="center"/>
        <w:rPr>
          <w:rFonts w:ascii="Arial" w:hAnsi="Arial" w:cs="Arial"/>
          <w:b/>
        </w:rPr>
      </w:pPr>
      <w:r>
        <w:rPr>
          <w:rFonts w:ascii="Arial" w:hAnsi="Arial" w:cs="Arial"/>
          <w:b/>
        </w:rPr>
        <w:t>INSTRUMENTS</w:t>
      </w:r>
    </w:p>
    <w:p w14:paraId="1D3F86C3" w14:textId="77777777" w:rsidR="00F947DB" w:rsidRDefault="00F947DB" w:rsidP="00B837B5">
      <w:pPr>
        <w:spacing w:after="120"/>
        <w:rPr>
          <w:rFonts w:ascii="Arial" w:hAnsi="Arial" w:cs="Arial"/>
          <w:caps/>
          <w:sz w:val="22"/>
          <w:szCs w:val="22"/>
        </w:rPr>
      </w:pPr>
    </w:p>
    <w:p w14:paraId="442EBDF2" w14:textId="40DF8CA9" w:rsidR="00F947DB" w:rsidRDefault="00F947DB" w:rsidP="00F947DB">
      <w:pPr>
        <w:spacing w:after="120"/>
        <w:rPr>
          <w:rFonts w:ascii="Arial" w:hAnsi="Arial" w:cs="Arial"/>
          <w:caps/>
          <w:sz w:val="22"/>
          <w:szCs w:val="22"/>
        </w:rPr>
      </w:pPr>
      <w:r w:rsidRPr="00994024">
        <w:rPr>
          <w:rFonts w:ascii="Arial" w:hAnsi="Arial" w:cs="Arial"/>
          <w:caps/>
          <w:sz w:val="22"/>
          <w:szCs w:val="22"/>
        </w:rPr>
        <w:t xml:space="preserve">Instrument </w:t>
      </w:r>
      <w:r>
        <w:rPr>
          <w:rFonts w:ascii="Arial" w:hAnsi="Arial" w:cs="Arial"/>
          <w:caps/>
          <w:sz w:val="22"/>
          <w:szCs w:val="22"/>
        </w:rPr>
        <w:t>1:</w:t>
      </w:r>
      <w:r>
        <w:rPr>
          <w:rFonts w:ascii="Arial" w:hAnsi="Arial" w:cs="Arial"/>
          <w:caps/>
          <w:sz w:val="22"/>
          <w:szCs w:val="22"/>
        </w:rPr>
        <w:tab/>
      </w:r>
      <w:r w:rsidRPr="00F947DB">
        <w:rPr>
          <w:rFonts w:ascii="Arial" w:hAnsi="Arial" w:cs="Arial"/>
          <w:caps/>
          <w:sz w:val="22"/>
          <w:szCs w:val="22"/>
        </w:rPr>
        <w:t xml:space="preserve">Program Performance and Implementation Measures </w:t>
      </w:r>
    </w:p>
    <w:p w14:paraId="4502B01E" w14:textId="5447CDB4" w:rsidR="00B837B5" w:rsidRDefault="00B837B5" w:rsidP="00B837B5">
      <w:pPr>
        <w:spacing w:after="120"/>
        <w:rPr>
          <w:rFonts w:ascii="Arial" w:hAnsi="Arial" w:cs="Arial"/>
          <w:caps/>
          <w:sz w:val="22"/>
          <w:szCs w:val="22"/>
        </w:rPr>
      </w:pPr>
      <w:r w:rsidRPr="00994024">
        <w:rPr>
          <w:rFonts w:ascii="Arial" w:hAnsi="Arial" w:cs="Arial"/>
          <w:caps/>
          <w:sz w:val="22"/>
          <w:szCs w:val="22"/>
        </w:rPr>
        <w:t xml:space="preserve">Instrument </w:t>
      </w:r>
      <w:r w:rsidR="00F947DB">
        <w:rPr>
          <w:rFonts w:ascii="Arial" w:hAnsi="Arial" w:cs="Arial"/>
          <w:caps/>
          <w:sz w:val="22"/>
          <w:szCs w:val="22"/>
        </w:rPr>
        <w:t>2:</w:t>
      </w:r>
      <w:r w:rsidR="00F947DB">
        <w:rPr>
          <w:rFonts w:ascii="Arial" w:hAnsi="Arial" w:cs="Arial"/>
          <w:caps/>
          <w:sz w:val="22"/>
          <w:szCs w:val="22"/>
        </w:rPr>
        <w:tab/>
      </w:r>
      <w:r w:rsidR="00F947DB" w:rsidRPr="00F947DB">
        <w:rPr>
          <w:rFonts w:ascii="Arial" w:hAnsi="Arial" w:cs="Arial"/>
          <w:caps/>
          <w:sz w:val="22"/>
          <w:szCs w:val="22"/>
        </w:rPr>
        <w:t>Physical Activity and Nutrition Survey</w:t>
      </w:r>
      <w:r w:rsidRPr="00F947DB">
        <w:rPr>
          <w:rFonts w:ascii="Arial" w:hAnsi="Arial" w:cs="Arial"/>
          <w:caps/>
          <w:sz w:val="22"/>
          <w:szCs w:val="22"/>
        </w:rPr>
        <w:t xml:space="preserve"> </w:t>
      </w:r>
      <w:r w:rsidRPr="00994024">
        <w:rPr>
          <w:rFonts w:ascii="Arial" w:hAnsi="Arial" w:cs="Arial"/>
          <w:caps/>
          <w:sz w:val="22"/>
          <w:szCs w:val="22"/>
        </w:rPr>
        <w:t xml:space="preserve"> </w:t>
      </w:r>
    </w:p>
    <w:p w14:paraId="25EDDEC0" w14:textId="7356280A" w:rsidR="00F947DB" w:rsidRDefault="00F947DB" w:rsidP="00F947DB">
      <w:pPr>
        <w:spacing w:after="120"/>
        <w:rPr>
          <w:rFonts w:ascii="Arial" w:hAnsi="Arial" w:cs="Arial"/>
          <w:caps/>
          <w:sz w:val="22"/>
          <w:szCs w:val="22"/>
        </w:rPr>
      </w:pPr>
      <w:r>
        <w:rPr>
          <w:rFonts w:ascii="Arial" w:hAnsi="Arial" w:cs="Arial"/>
          <w:caps/>
          <w:sz w:val="22"/>
          <w:szCs w:val="22"/>
        </w:rPr>
        <w:t>Instrument 3:</w:t>
      </w:r>
      <w:r>
        <w:rPr>
          <w:rFonts w:ascii="Arial" w:hAnsi="Arial" w:cs="Arial"/>
          <w:caps/>
          <w:sz w:val="22"/>
          <w:szCs w:val="22"/>
        </w:rPr>
        <w:tab/>
        <w:t xml:space="preserve">PLAYBasic </w:t>
      </w:r>
    </w:p>
    <w:p w14:paraId="74D7CFC6" w14:textId="68216A4B" w:rsidR="00F947DB" w:rsidRDefault="00F947DB" w:rsidP="00F947DB">
      <w:pPr>
        <w:spacing w:after="120"/>
        <w:rPr>
          <w:rFonts w:ascii="Arial" w:hAnsi="Arial" w:cs="Arial"/>
          <w:caps/>
          <w:sz w:val="22"/>
          <w:szCs w:val="22"/>
        </w:rPr>
      </w:pPr>
      <w:r>
        <w:rPr>
          <w:rFonts w:ascii="Arial" w:hAnsi="Arial" w:cs="Arial"/>
          <w:caps/>
          <w:sz w:val="22"/>
          <w:szCs w:val="22"/>
        </w:rPr>
        <w:t xml:space="preserve">Instrument 4: </w:t>
      </w:r>
      <w:r>
        <w:rPr>
          <w:rFonts w:ascii="Arial" w:hAnsi="Arial" w:cs="Arial"/>
          <w:caps/>
          <w:sz w:val="22"/>
          <w:szCs w:val="22"/>
        </w:rPr>
        <w:tab/>
        <w:t>PLAYInventory</w:t>
      </w:r>
      <w:r w:rsidRPr="00994024">
        <w:rPr>
          <w:rFonts w:ascii="Arial" w:hAnsi="Arial" w:cs="Arial"/>
          <w:caps/>
          <w:sz w:val="22"/>
          <w:szCs w:val="22"/>
        </w:rPr>
        <w:t xml:space="preserve"> </w:t>
      </w:r>
    </w:p>
    <w:p w14:paraId="132B5A93" w14:textId="2CA87E4A" w:rsidR="00B837B5" w:rsidRDefault="00B837B5" w:rsidP="00B837B5">
      <w:pPr>
        <w:spacing w:after="120"/>
        <w:rPr>
          <w:rFonts w:ascii="Arial" w:hAnsi="Arial" w:cs="Arial"/>
          <w:caps/>
          <w:sz w:val="22"/>
          <w:szCs w:val="22"/>
        </w:rPr>
      </w:pPr>
    </w:p>
    <w:p w14:paraId="013E6D8E" w14:textId="77777777" w:rsidR="00B837B5" w:rsidRDefault="00B837B5" w:rsidP="00B837B5">
      <w:pPr>
        <w:sectPr w:rsidR="00B837B5" w:rsidSect="00AB1363">
          <w:footerReference w:type="default" r:id="rId13"/>
          <w:endnotePr>
            <w:numFmt w:val="decimal"/>
          </w:endnotePr>
          <w:pgSz w:w="12240" w:h="15840" w:code="1"/>
          <w:pgMar w:top="1440" w:right="1440" w:bottom="1440" w:left="1440" w:header="720" w:footer="576" w:gutter="0"/>
          <w:pgNumType w:fmt="lowerRoman"/>
          <w:cols w:space="720"/>
          <w:docGrid w:linePitch="150"/>
        </w:sectPr>
      </w:pPr>
    </w:p>
    <w:p w14:paraId="52FDA43F" w14:textId="77777777" w:rsidR="00B837B5" w:rsidRDefault="00B837B5" w:rsidP="007416F2">
      <w:pPr>
        <w:pStyle w:val="Heading1Black"/>
        <w:jc w:val="left"/>
        <w:rPr>
          <w:rFonts w:eastAsia="Calibri"/>
          <w:caps w:val="0"/>
        </w:rPr>
      </w:pPr>
      <w:bookmarkStart w:id="18" w:name="_Toc11857469"/>
      <w:bookmarkEnd w:id="17"/>
      <w:r w:rsidRPr="002A6036">
        <w:rPr>
          <w:rFonts w:eastAsia="Calibri"/>
          <w:caps w:val="0"/>
        </w:rPr>
        <w:t xml:space="preserve">PART B </w:t>
      </w:r>
      <w:r>
        <w:rPr>
          <w:rFonts w:eastAsia="Calibri"/>
          <w:caps w:val="0"/>
        </w:rPr>
        <w:t>INTRODUCTION</w:t>
      </w:r>
      <w:bookmarkEnd w:id="18"/>
      <w:r>
        <w:rPr>
          <w:rFonts w:eastAsia="Calibri"/>
          <w:caps w:val="0"/>
        </w:rPr>
        <w:t xml:space="preserve"> </w:t>
      </w:r>
    </w:p>
    <w:p w14:paraId="6792DF8D" w14:textId="75A8751E" w:rsidR="00B837B5" w:rsidRDefault="00B837B5" w:rsidP="007416F2">
      <w:pPr>
        <w:pStyle w:val="NormalSS"/>
        <w:jc w:val="left"/>
      </w:pPr>
      <w:bookmarkStart w:id="19" w:name="_Toc320884919"/>
      <w:bookmarkStart w:id="20" w:name="_Toc324845910"/>
      <w:bookmarkStart w:id="21" w:name="_Toc396921847"/>
      <w:bookmarkStart w:id="22" w:name="_Toc437596008"/>
      <w:r>
        <w:t xml:space="preserve">Under the authority of </w:t>
      </w:r>
      <w:r w:rsidRPr="00CE1DCA">
        <w:t>42 U.S.C. § 300 u-6, (Public Health Service Act § section 1707) and in support of Executive Order 13824 which intends to increase youth participation in sports and reduce barriers to play</w:t>
      </w:r>
      <w:r>
        <w:t>, th</w:t>
      </w:r>
      <w:r w:rsidRPr="00CE1DCA">
        <w:t>e HHS Office of Minority Health (OMH)</w:t>
      </w:r>
      <w:r>
        <w:t xml:space="preserve"> and the Office of Women’s Health (OWH)</w:t>
      </w:r>
      <w:r w:rsidRPr="00CE1DCA">
        <w:t xml:space="preserve"> </w:t>
      </w:r>
      <w:r>
        <w:t xml:space="preserve">intend to </w:t>
      </w:r>
      <w:r w:rsidRPr="00CE1DCA">
        <w:t xml:space="preserve">awards </w:t>
      </w:r>
      <w:r>
        <w:t xml:space="preserve">grants in FY19 </w:t>
      </w:r>
      <w:r w:rsidRPr="00CE1DCA">
        <w:t xml:space="preserve">for the Youth Engagement in Sports: Collaboration to Improve Adolescent Physical Activity </w:t>
      </w:r>
      <w:r>
        <w:t>and Nutrition (YES Initiative)</w:t>
      </w:r>
      <w:r w:rsidRPr="00CE1DCA">
        <w:t xml:space="preserve">. The YES Initiative </w:t>
      </w:r>
      <w:r>
        <w:t xml:space="preserve">is intended to increase opportunities for and participation in sports and physical activity among </w:t>
      </w:r>
      <w:r w:rsidRPr="00CE1DCA">
        <w:t>racial/ethnic minority and/or socio-economically disadvantaged male and female 6th, 7th and/or 8th grade</w:t>
      </w:r>
      <w:r w:rsidR="0016154C">
        <w:t xml:space="preserve"> student</w:t>
      </w:r>
      <w:r w:rsidRPr="00CE1DCA">
        <w:t>s</w:t>
      </w:r>
      <w:r>
        <w:t>.  Primary outcomes are to diversify youth populations participating in sports and the range of sports acti</w:t>
      </w:r>
      <w:r w:rsidR="009A2476">
        <w:t>vities (e.g., increase the prop</w:t>
      </w:r>
      <w:r>
        <w:t xml:space="preserve">ortion of girls and ethnic/racial minorities participating in sports and the number of sports in which youth participate) and to increase amount of daily physical activity.  Additional outcomes are to increase physical literacy; increase </w:t>
      </w:r>
      <w:r w:rsidR="00900C23">
        <w:t>the number of days consuming</w:t>
      </w:r>
      <w:r>
        <w:t xml:space="preserve"> fruits/vegetables, and; decrease </w:t>
      </w:r>
      <w:r w:rsidR="00900C23">
        <w:t xml:space="preserve">the number of days consuming </w:t>
      </w:r>
      <w:r>
        <w:t xml:space="preserve">sugar-sweetened beverages. </w:t>
      </w:r>
    </w:p>
    <w:p w14:paraId="6217BF17" w14:textId="76E474BF" w:rsidR="009A2476" w:rsidRDefault="00B837B5" w:rsidP="007416F2">
      <w:pPr>
        <w:pStyle w:val="NormalSS"/>
        <w:jc w:val="left"/>
      </w:pPr>
      <w:r>
        <w:t>The OMH and OWH plan to use performance and outcome measures to manage the YES initiative and to assess the relative effectiveness of the YES Initiative programs implemented by grantee organizations</w:t>
      </w:r>
      <w:r w:rsidR="00C82E09">
        <w:t xml:space="preserve"> compared to a comparison group</w:t>
      </w:r>
      <w:r>
        <w:t xml:space="preserve">. </w:t>
      </w:r>
      <w:r w:rsidRPr="00BF7526">
        <w:t>The collection of performance measures from its grantees</w:t>
      </w:r>
      <w:r>
        <w:t xml:space="preserve"> is critical to OMH and OWH</w:t>
      </w:r>
      <w:r w:rsidRPr="00BF7526">
        <w:t xml:space="preserve"> because it provides</w:t>
      </w:r>
      <w:r>
        <w:t xml:space="preserve"> the agencies</w:t>
      </w:r>
      <w:r w:rsidRPr="00BF7526">
        <w:t xml:space="preserve"> with data to both effectively manage the </w:t>
      </w:r>
      <w:r>
        <w:t>YES Initiative</w:t>
      </w:r>
      <w:r w:rsidRPr="00BF7526">
        <w:t xml:space="preserve">, and to comply with accountability and federal performance requirements for the 1993 Government Performance and Results Act (P.L. 103-62). </w:t>
      </w:r>
      <w:r w:rsidR="00EA3AE5">
        <w:t>C</w:t>
      </w:r>
      <w:r w:rsidRPr="00BF7526">
        <w:t>ollecting and reporting on data for performance measures are funding requirements for the grants, as stated in the funding opportunity an</w:t>
      </w:r>
      <w:r>
        <w:t>nouncement.  Data will help</w:t>
      </w:r>
      <w:r w:rsidRPr="00BF7526">
        <w:t xml:space="preserve"> grantees to make continuous qual</w:t>
      </w:r>
      <w:r>
        <w:t xml:space="preserve">ity improvements in programming. Finally, in accordance with the President’s Management Agenda CAP Goal 8, data will allow for the assessment of the effectiveness of the YES Initiative in increasing participation in sports and physical activity among </w:t>
      </w:r>
      <w:r w:rsidRPr="00CE1DCA">
        <w:t>racial/ethnic minority and/or socio-economically disadvantaged male and female 6th, 7th and/or 8th grade</w:t>
      </w:r>
      <w:r w:rsidR="00150FB1">
        <w:t xml:space="preserve"> students</w:t>
      </w:r>
      <w:r>
        <w:t xml:space="preserve"> to guide policy recommendations. </w:t>
      </w:r>
      <w:r w:rsidR="009A2476">
        <w:t xml:space="preserve"> </w:t>
      </w:r>
    </w:p>
    <w:p w14:paraId="583C4BEA" w14:textId="0395909D" w:rsidR="00EA3AE5" w:rsidRDefault="00B837B5" w:rsidP="007416F2">
      <w:pPr>
        <w:pStyle w:val="NormalSS"/>
        <w:jc w:val="left"/>
      </w:pPr>
      <w:r>
        <w:t xml:space="preserve">With this submission, OMH and OWH are requesting OMB approval for </w:t>
      </w:r>
      <w:r w:rsidR="00EA3AE5">
        <w:t xml:space="preserve">the reporting on </w:t>
      </w:r>
      <w:r>
        <w:t xml:space="preserve">a set of </w:t>
      </w:r>
      <w:r w:rsidR="00EA3AE5">
        <w:t xml:space="preserve">program participation measures and of </w:t>
      </w:r>
      <w:r>
        <w:t>survey and observational instruments which will be used to collect data from study participants</w:t>
      </w:r>
      <w:r w:rsidR="009A2476">
        <w:t xml:space="preserve"> (see </w:t>
      </w:r>
      <w:r w:rsidR="00F947DB">
        <w:t>Instrument 1: Program Performance and Implementation Measures</w:t>
      </w:r>
      <w:r w:rsidR="009A2476">
        <w:t>)</w:t>
      </w:r>
      <w:r>
        <w:t xml:space="preserve">. </w:t>
      </w:r>
      <w:r w:rsidR="00EA3AE5">
        <w:t xml:space="preserve"> Grantee staff members will record and report several aggregate program participation measures: number of unique (de-duplicated) youth actively participating in </w:t>
      </w:r>
      <w:r w:rsidR="00900C23">
        <w:t xml:space="preserve">the </w:t>
      </w:r>
      <w:r w:rsidR="00EA3AE5">
        <w:t>program (quarterly and annual); number of youth exiting the program (quarterly and annual); proportion of unique youth completing at least 85% of the intended dosage of the program; number of sessions attended by youth (median, mean and mode), and; p</w:t>
      </w:r>
      <w:r w:rsidR="00EA3AE5" w:rsidRPr="00EA3AE5">
        <w:t>rogram participation rate for population</w:t>
      </w:r>
      <w:r w:rsidR="00EA3AE5">
        <w:t xml:space="preserve"> of interest</w:t>
      </w:r>
      <w:r w:rsidR="00EA3AE5" w:rsidRPr="00EA3AE5">
        <w:t>.</w:t>
      </w:r>
    </w:p>
    <w:p w14:paraId="7EBF43DD" w14:textId="77777777" w:rsidR="00DF60E0" w:rsidRDefault="00581B12" w:rsidP="007416F2">
      <w:pPr>
        <w:pStyle w:val="NormalSS"/>
        <w:jc w:val="left"/>
      </w:pPr>
      <w:r>
        <w:t xml:space="preserve">Each youth participant for whom consent and assent are secured will be administered three instruments. </w:t>
      </w:r>
      <w:r w:rsidR="00B837B5">
        <w:t xml:space="preserve">The </w:t>
      </w:r>
      <w:r w:rsidR="00447961">
        <w:t xml:space="preserve">(1) </w:t>
      </w:r>
      <w:r w:rsidR="00B837B5">
        <w:t xml:space="preserve">Physical Activity and Nutrition Survey and </w:t>
      </w:r>
      <w:r w:rsidR="00447961">
        <w:t xml:space="preserve">(2) </w:t>
      </w:r>
      <w:r w:rsidR="00B837B5">
        <w:t xml:space="preserve">PLAYBasic will be administered at baseline and approximately 3 and 6 months post-baseline. The </w:t>
      </w:r>
      <w:r w:rsidR="00447961">
        <w:t xml:space="preserve">(3) </w:t>
      </w:r>
      <w:r w:rsidR="00B837B5">
        <w:t>PLAYInventory, a record of sporting activities</w:t>
      </w:r>
      <w:r>
        <w:t>,</w:t>
      </w:r>
      <w:r w:rsidR="00B837B5">
        <w:t xml:space="preserve"> will be administered at baseline and 6 mo</w:t>
      </w:r>
      <w:r w:rsidR="009A2476">
        <w:t>nths post-baseline.</w:t>
      </w:r>
    </w:p>
    <w:p w14:paraId="014A19D3" w14:textId="75F61F63" w:rsidR="0083486D" w:rsidRDefault="00F947DB" w:rsidP="007416F2">
      <w:pPr>
        <w:pStyle w:val="NormalSS"/>
        <w:jc w:val="left"/>
      </w:pPr>
      <w:r>
        <w:t xml:space="preserve">The Physical Activity and Nutrition Survey </w:t>
      </w:r>
      <w:r w:rsidR="00900C23">
        <w:t xml:space="preserve">instrument was </w:t>
      </w:r>
      <w:r>
        <w:t>derived</w:t>
      </w:r>
      <w:r w:rsidR="00900C23">
        <w:t xml:space="preserve"> by OMH and OWH</w:t>
      </w:r>
      <w:r>
        <w:t xml:space="preserve"> from the Youth </w:t>
      </w:r>
      <w:r w:rsidR="007C7290">
        <w:t xml:space="preserve">Risk </w:t>
      </w:r>
      <w:r w:rsidR="003273D9">
        <w:t xml:space="preserve">Behavior </w:t>
      </w:r>
      <w:r w:rsidR="000524C4">
        <w:t xml:space="preserve">Surveys (YRBS). </w:t>
      </w:r>
      <w:r w:rsidR="0083486D">
        <w:t xml:space="preserve">The proposed </w:t>
      </w:r>
      <w:r w:rsidR="0083486D" w:rsidRPr="0083486D">
        <w:t xml:space="preserve">measure of physical activity is </w:t>
      </w:r>
      <w:r w:rsidR="00DF60E0">
        <w:t xml:space="preserve">adapted from the 2019 </w:t>
      </w:r>
      <w:r w:rsidR="0083486D" w:rsidRPr="0083486D">
        <w:t xml:space="preserve">Youth Risk Behavior Survey middle school instrument. The same question also appears in the 2019 National Youth Risk Behavior Survey high school instrument. Proposed measures of whole fresh fruit, green leafy vegetables, orange vegetables, other vegetables, </w:t>
      </w:r>
      <w:r w:rsidR="005730B1">
        <w:t>sugar-</w:t>
      </w:r>
      <w:r w:rsidR="0083486D" w:rsidRPr="0083486D">
        <w:t xml:space="preserve">sweetened beverage consumption are </w:t>
      </w:r>
      <w:r w:rsidR="0083486D">
        <w:t xml:space="preserve">adapted </w:t>
      </w:r>
      <w:r w:rsidR="0083486D" w:rsidRPr="0083486D">
        <w:t xml:space="preserve">from the </w:t>
      </w:r>
      <w:r w:rsidR="005730B1">
        <w:t>2019</w:t>
      </w:r>
      <w:r w:rsidR="0083486D" w:rsidRPr="0083486D">
        <w:t xml:space="preserve"> National Youth Risk Behavior Survey high school instrument.  No comparable</w:t>
      </w:r>
      <w:r w:rsidR="0083486D">
        <w:t xml:space="preserve"> nutrition </w:t>
      </w:r>
      <w:r w:rsidR="0083486D" w:rsidRPr="0083486D">
        <w:t>questions appear on the 2019 Youth Risk Behavior Survey middle school instrument, nor have dietary behavior items appeared since 1997.</w:t>
      </w:r>
      <w:r w:rsidR="0083486D">
        <w:t xml:space="preserve"> Q</w:t>
      </w:r>
      <w:r w:rsidR="0083486D" w:rsidRPr="0083486D">
        <w:t xml:space="preserve">uestions from </w:t>
      </w:r>
      <w:r w:rsidR="0083486D">
        <w:t xml:space="preserve">the </w:t>
      </w:r>
      <w:r w:rsidR="0083486D" w:rsidRPr="0083486D">
        <w:t>1997 Youth Risk Behavior Survey middle school instrument ask only about the previous day (“Yesterday, how many times did you eat fruit?”)</w:t>
      </w:r>
      <w:r w:rsidR="0083486D">
        <w:t xml:space="preserve">.  Attachment </w:t>
      </w:r>
      <w:r w:rsidR="009A2476">
        <w:t>A</w:t>
      </w:r>
      <w:r w:rsidR="00B837B5">
        <w:t xml:space="preserve"> provides a question-by-question review of items on the Physical Activity and Nutrition Su</w:t>
      </w:r>
      <w:r w:rsidR="009A2476">
        <w:t>r</w:t>
      </w:r>
      <w:r w:rsidR="00B837B5">
        <w:t xml:space="preserve">vey and their source.  </w:t>
      </w:r>
    </w:p>
    <w:p w14:paraId="241917ED" w14:textId="0DD55A17" w:rsidR="00B837B5" w:rsidRPr="008A348A" w:rsidRDefault="00B837B5" w:rsidP="007416F2">
      <w:pPr>
        <w:pStyle w:val="NormalSS"/>
        <w:jc w:val="left"/>
      </w:pPr>
      <w:r>
        <w:t>The PLAYBasic and PLAYInventory were developed by Dr. Dean Kriellaars, University of Manitoba, for the Sports for Life Society, and have been used in multi-cultural contexts, including with First Nation youth, to measure physical literacy and sports participation in youth.</w:t>
      </w:r>
      <w:r w:rsidR="00963FD9">
        <w:t xml:space="preserve"> The PLAYBasic is a shorter version of PLAYFun, </w:t>
      </w:r>
      <w:r w:rsidR="00E3154E">
        <w:t xml:space="preserve">has </w:t>
      </w:r>
      <w:r w:rsidR="0043046C">
        <w:t>demonstrated moderate internal consistency (α = 0.61-.62) and is moderately correlated (</w:t>
      </w:r>
      <w:r w:rsidR="0043046C" w:rsidRPr="00AB07FF">
        <w:rPr>
          <w:i/>
        </w:rPr>
        <w:t>r</w:t>
      </w:r>
      <w:r w:rsidR="0043046C">
        <w:t xml:space="preserve"> = 0.40-0.61) with the CAMSA obstacle course, an objective assessment of of movement competency for children 8-12 years of age.</w:t>
      </w:r>
      <w:r w:rsidR="0043046C">
        <w:rPr>
          <w:rStyle w:val="FootnoteReference"/>
        </w:rPr>
        <w:footnoteReference w:id="1"/>
      </w:r>
      <w:r w:rsidR="00DF60E0">
        <w:t xml:space="preserve"> The PLAYBasic is a </w:t>
      </w:r>
      <w:r w:rsidR="00963FD9">
        <w:t xml:space="preserve">concise tool for </w:t>
      </w:r>
      <w:r w:rsidR="00DF60E0">
        <w:t xml:space="preserve">providing </w:t>
      </w:r>
      <w:r w:rsidR="00963FD9" w:rsidRPr="00963FD9">
        <w:t>a snapshot of a child’s level of physical literacy</w:t>
      </w:r>
      <w:r w:rsidR="00DF60E0">
        <w:t xml:space="preserve">. </w:t>
      </w:r>
      <w:r w:rsidR="00581B12" w:rsidRPr="00963FD9">
        <w:t xml:space="preserve"> </w:t>
      </w:r>
    </w:p>
    <w:p w14:paraId="71B7A0BB" w14:textId="01D03FC1" w:rsidR="00B837B5" w:rsidRDefault="00B837B5" w:rsidP="007416F2">
      <w:pPr>
        <w:pStyle w:val="NormalSS"/>
        <w:jc w:val="left"/>
      </w:pPr>
      <w:bookmarkStart w:id="23" w:name="_Toc11857470"/>
      <w:r w:rsidRPr="002A6036">
        <w:t>B1.</w:t>
      </w:r>
      <w:r w:rsidRPr="002A6036">
        <w:tab/>
        <w:t>Respondent Universe and Sampling Methods</w:t>
      </w:r>
      <w:bookmarkEnd w:id="19"/>
      <w:bookmarkEnd w:id="20"/>
      <w:bookmarkEnd w:id="21"/>
      <w:bookmarkEnd w:id="22"/>
      <w:bookmarkEnd w:id="23"/>
    </w:p>
    <w:p w14:paraId="2C9E2AA2" w14:textId="0AAF6CC2" w:rsidR="00B837B5" w:rsidRDefault="00B837B5" w:rsidP="007416F2">
      <w:pPr>
        <w:pStyle w:val="NormalSS"/>
        <w:jc w:val="left"/>
      </w:pPr>
      <w:r w:rsidRPr="00C6253E">
        <w:t xml:space="preserve">The </w:t>
      </w:r>
      <w:r>
        <w:t>evaluation</w:t>
      </w:r>
      <w:r w:rsidRPr="00C6253E">
        <w:t xml:space="preserve"> will be conducted in </w:t>
      </w:r>
      <w:r w:rsidR="00EA3AE5">
        <w:t>14</w:t>
      </w:r>
      <w:r>
        <w:t xml:space="preserve"> communities</w:t>
      </w:r>
      <w:r w:rsidRPr="00C6253E">
        <w:t xml:space="preserve">, </w:t>
      </w:r>
      <w:r>
        <w:t>with approximate</w:t>
      </w:r>
      <w:r w:rsidR="00921287">
        <w:t>ly 350 youth per community (175 intervention, 175</w:t>
      </w:r>
      <w:r>
        <w:t xml:space="preserve"> control)</w:t>
      </w:r>
      <w:r w:rsidR="00921287">
        <w:t xml:space="preserve"> for a total of 4,900 (2,450 intervention and 2,450 control)</w:t>
      </w:r>
      <w:r w:rsidRPr="00C6253E">
        <w:t xml:space="preserve">. </w:t>
      </w:r>
      <w:r>
        <w:t xml:space="preserve"> Community settings may include schools, park districts, YMCA/YWCA, Boys and Girls Clubs, and other NGOs.</w:t>
      </w:r>
      <w:r w:rsidR="00921287">
        <w:t xml:space="preserve"> The</w:t>
      </w:r>
      <w:r w:rsidR="007416F2">
        <w:t>se</w:t>
      </w:r>
      <w:r w:rsidR="00921287">
        <w:t xml:space="preserve"> figures </w:t>
      </w:r>
      <w:r w:rsidR="007416F2">
        <w:t xml:space="preserve">and the figures </w:t>
      </w:r>
      <w:r w:rsidR="00921287">
        <w:t xml:space="preserve">below are based on conducting the evaluation at the end of the second year of the program.  If OMH and OWH determine to fund an additional year of the YES Initiative, an ICR revision will be submitted for review and an updated analysis plan will be presented. </w:t>
      </w:r>
    </w:p>
    <w:p w14:paraId="4AD656B4" w14:textId="3AFE2869" w:rsidR="00B837B5" w:rsidRDefault="00B837B5" w:rsidP="007416F2">
      <w:pPr>
        <w:pStyle w:val="NormalSS"/>
        <w:jc w:val="left"/>
      </w:pPr>
      <w:r>
        <w:t>It is expected that all</w:t>
      </w:r>
      <w:r w:rsidRPr="00C6253E">
        <w:t xml:space="preserve"> youth in the study will be </w:t>
      </w:r>
      <w:r>
        <w:t>6</w:t>
      </w:r>
      <w:r w:rsidRPr="009C530C">
        <w:rPr>
          <w:vertAlign w:val="superscript"/>
        </w:rPr>
        <w:t>th</w:t>
      </w:r>
      <w:r>
        <w:t>, 7</w:t>
      </w:r>
      <w:r w:rsidRPr="009C530C">
        <w:rPr>
          <w:vertAlign w:val="superscript"/>
        </w:rPr>
        <w:t>th</w:t>
      </w:r>
      <w:r>
        <w:t xml:space="preserve"> and 8</w:t>
      </w:r>
      <w:r w:rsidRPr="009C530C">
        <w:rPr>
          <w:vertAlign w:val="superscript"/>
        </w:rPr>
        <w:t>th</w:t>
      </w:r>
      <w:r>
        <w:t xml:space="preserve"> </w:t>
      </w:r>
      <w:r w:rsidRPr="00C6253E">
        <w:t>grade</w:t>
      </w:r>
      <w:r w:rsidR="006F4D14">
        <w:t xml:space="preserve"> </w:t>
      </w:r>
      <w:r w:rsidRPr="00C6253E">
        <w:t>s</w:t>
      </w:r>
      <w:r w:rsidR="006F4D14">
        <w:t>tudents</w:t>
      </w:r>
      <w:r>
        <w:t xml:space="preserve">. Youth will be randomized to one of </w:t>
      </w:r>
      <w:r w:rsidRPr="00C219EE">
        <w:t>two conditions</w:t>
      </w:r>
      <w:r>
        <w:t>:</w:t>
      </w:r>
      <w:r w:rsidRPr="00C219EE">
        <w:t xml:space="preserve"> (1) </w:t>
      </w:r>
      <w:r>
        <w:t>a</w:t>
      </w:r>
      <w:r w:rsidR="006F4D14">
        <w:t>n</w:t>
      </w:r>
      <w:r>
        <w:t xml:space="preserve"> intervention group </w:t>
      </w:r>
      <w:r w:rsidR="009A2476">
        <w:t>participa</w:t>
      </w:r>
      <w:r>
        <w:t xml:space="preserve">ting </w:t>
      </w:r>
      <w:r w:rsidR="001512FA">
        <w:t xml:space="preserve">in </w:t>
      </w:r>
      <w:r>
        <w:t xml:space="preserve">the YES Initiative programming </w:t>
      </w:r>
      <w:r w:rsidRPr="00C219EE">
        <w:t xml:space="preserve">or (2) a control group that </w:t>
      </w:r>
      <w:r>
        <w:t>is not participating in the YES Initiative yet has access to community sports and recreation resources (i.e., a business-as-usual control condition)</w:t>
      </w:r>
      <w:r w:rsidRPr="00C219EE">
        <w:t xml:space="preserve">. </w:t>
      </w:r>
    </w:p>
    <w:p w14:paraId="1BC906AB" w14:textId="593E5BF4" w:rsidR="00B837B5" w:rsidRDefault="00B837B5" w:rsidP="0083486D">
      <w:pPr>
        <w:pStyle w:val="NormalSS"/>
        <w:jc w:val="left"/>
      </w:pPr>
      <w:r w:rsidRPr="00C3485F">
        <w:t xml:space="preserve">Eligible evaluation youth will be those </w:t>
      </w:r>
      <w:r>
        <w:t>6</w:t>
      </w:r>
      <w:r w:rsidRPr="006645FE">
        <w:rPr>
          <w:vertAlign w:val="superscript"/>
        </w:rPr>
        <w:t>th</w:t>
      </w:r>
      <w:r>
        <w:t>, 7</w:t>
      </w:r>
      <w:r w:rsidRPr="006645FE">
        <w:rPr>
          <w:vertAlign w:val="superscript"/>
        </w:rPr>
        <w:t>th</w:t>
      </w:r>
      <w:r>
        <w:t>, and 8</w:t>
      </w:r>
      <w:r w:rsidRPr="006645FE">
        <w:rPr>
          <w:vertAlign w:val="superscript"/>
        </w:rPr>
        <w:t>th</w:t>
      </w:r>
      <w:r>
        <w:t xml:space="preserve"> grade youth participating in youth programming in Yes Initiative organizations (schools, park districts, YMCA/YWCA, Boys and Girls Clubs, and other NGOs</w:t>
      </w:r>
      <w:r w:rsidR="00292E80">
        <w:t>) in the 14</w:t>
      </w:r>
      <w:r>
        <w:t xml:space="preserve"> Yes Initiative communities. We </w:t>
      </w:r>
      <w:r w:rsidR="00292E80">
        <w:t xml:space="preserve">anticipate that a total of </w:t>
      </w:r>
      <w:r w:rsidR="00B150AF">
        <w:t xml:space="preserve">3,066 </w:t>
      </w:r>
      <w:r w:rsidRPr="00110F47">
        <w:t>youth</w:t>
      </w:r>
      <w:r w:rsidR="00C82E09">
        <w:t xml:space="preserve"> </w:t>
      </w:r>
      <w:r>
        <w:t xml:space="preserve">will be </w:t>
      </w:r>
      <w:r w:rsidRPr="00110F47">
        <w:t xml:space="preserve">enrolled in </w:t>
      </w:r>
      <w:r>
        <w:t xml:space="preserve">the Yes Initiative intervention and </w:t>
      </w:r>
      <w:r w:rsidR="00B150AF">
        <w:t>3,066</w:t>
      </w:r>
      <w:r w:rsidR="00C82E09">
        <w:t xml:space="preserve"> </w:t>
      </w:r>
      <w:r>
        <w:t xml:space="preserve">youth will be in the control condition. </w:t>
      </w:r>
      <w:r w:rsidR="00C82E09">
        <w:t xml:space="preserve">No youth will be denied the opportunity to participate in YES program activities nor control condition activities.  Based on previous OMH experience, we expect more youth to participate in the programs that we expect to consent to participating in the evaluation. </w:t>
      </w:r>
      <w:r w:rsidRPr="00110F47">
        <w:t>We expect to consent</w:t>
      </w:r>
      <w:r w:rsidR="00E33320">
        <w:t xml:space="preserve"> approximately</w:t>
      </w:r>
      <w:r w:rsidRPr="00110F47">
        <w:t xml:space="preserve"> </w:t>
      </w:r>
      <w:r>
        <w:t>80</w:t>
      </w:r>
      <w:r w:rsidRPr="00110F47">
        <w:t xml:space="preserve"> percent</w:t>
      </w:r>
      <w:r w:rsidR="00887C2A">
        <w:t xml:space="preserve"> (79.91%)</w:t>
      </w:r>
      <w:r w:rsidRPr="00110F47">
        <w:t xml:space="preserve"> of the eligible youth</w:t>
      </w:r>
      <w:r w:rsidR="008221B6">
        <w:t xml:space="preserve"> into the evaluation</w:t>
      </w:r>
      <w:r w:rsidRPr="00110F47">
        <w:t xml:space="preserve">, </w:t>
      </w:r>
      <w:r>
        <w:t xml:space="preserve">for a total </w:t>
      </w:r>
      <w:r w:rsidR="008221B6">
        <w:t xml:space="preserve">evaluation </w:t>
      </w:r>
      <w:r>
        <w:t xml:space="preserve">sample </w:t>
      </w:r>
      <w:r w:rsidR="00292E80">
        <w:t xml:space="preserve">size of 4900.  We anticipate collecting data from 2800 youth in year 1, and 2800 youth in year 2 of whom 2100 are expected to be new to the YES Initiative in Year 2. Of the 4,900 youth consenting, </w:t>
      </w:r>
      <w:r w:rsidR="00B150AF">
        <w:t xml:space="preserve">88 </w:t>
      </w:r>
      <w:r>
        <w:t>percent are expected to complete the baseline survey</w:t>
      </w:r>
      <w:r w:rsidR="00A4537B">
        <w:t xml:space="preserve"> (n=</w:t>
      </w:r>
      <w:r w:rsidR="00887C2A">
        <w:t xml:space="preserve"> 4,312</w:t>
      </w:r>
      <w:r w:rsidR="00A4537B">
        <w:t>)</w:t>
      </w:r>
      <w:r>
        <w:t>.  W</w:t>
      </w:r>
      <w:r w:rsidRPr="00110F47">
        <w:t>e expect</w:t>
      </w:r>
      <w:r w:rsidR="006625F1">
        <w:t xml:space="preserve"> 8 percent to move within the six month period at a uniform rate. We anticipate</w:t>
      </w:r>
      <w:r w:rsidRPr="00110F47">
        <w:t xml:space="preserve"> </w:t>
      </w:r>
      <w:r w:rsidR="00A4537B">
        <w:t>67</w:t>
      </w:r>
      <w:r w:rsidRPr="00110F47">
        <w:t xml:space="preserve"> percent </w:t>
      </w:r>
      <w:r w:rsidR="00292E80">
        <w:t xml:space="preserve">will </w:t>
      </w:r>
      <w:r w:rsidRPr="00110F47">
        <w:t>complete the</w:t>
      </w:r>
      <w:r>
        <w:t xml:space="preserve"> </w:t>
      </w:r>
      <w:r w:rsidR="00292E80">
        <w:t>3-month f</w:t>
      </w:r>
      <w:r>
        <w:t>ollow-</w:t>
      </w:r>
      <w:r w:rsidR="00292E80">
        <w:t>up survey (</w:t>
      </w:r>
      <w:r w:rsidR="006625F1">
        <w:t xml:space="preserve">inclusive of moving, </w:t>
      </w:r>
      <w:r w:rsidR="00292E80">
        <w:t>n=</w:t>
      </w:r>
      <w:r w:rsidR="00887C2A">
        <w:t>3,152</w:t>
      </w:r>
      <w:r w:rsidRPr="00110F47">
        <w:t xml:space="preserve">) and </w:t>
      </w:r>
      <w:r w:rsidR="00A4537B">
        <w:t>61</w:t>
      </w:r>
      <w:r w:rsidRPr="00110F47">
        <w:t xml:space="preserve"> percent will complete the second</w:t>
      </w:r>
      <w:r>
        <w:t xml:space="preserve"> follow-up survey</w:t>
      </w:r>
      <w:r w:rsidRPr="00110F47">
        <w:t xml:space="preserve"> (</w:t>
      </w:r>
      <w:r w:rsidR="006625F1">
        <w:t xml:space="preserve">inclusive of moving, </w:t>
      </w:r>
      <w:r w:rsidRPr="00110F47">
        <w:t>n=</w:t>
      </w:r>
      <w:r w:rsidR="00A4537B">
        <w:t>2,753</w:t>
      </w:r>
      <w:r w:rsidRPr="00110F47">
        <w:t xml:space="preserve">). </w:t>
      </w:r>
      <w:r>
        <w:t xml:space="preserve">To promote high response rates, </w:t>
      </w:r>
      <w:r w:rsidRPr="00331873">
        <w:t xml:space="preserve">a small gift or monetary incentive of $5-10 is commensurate with the level of effort </w:t>
      </w:r>
      <w:r>
        <w:t xml:space="preserve">are allowable and encouraged. These expected response rates are in line with other federally funded </w:t>
      </w:r>
      <w:r w:rsidR="00D037AD">
        <w:t xml:space="preserve">physical activity </w:t>
      </w:r>
      <w:r>
        <w:t xml:space="preserve">projects focusing on youth, such as </w:t>
      </w:r>
      <w:r w:rsidR="00D037AD" w:rsidRPr="00D037AD">
        <w:t xml:space="preserve">The WRTC program, U58-DP524470 (Steps to a Healthier Cleveland), U58DP00107 (Racial and Ethnic Approaches to Community Health), and U48DP005030 (Prevention Research Centers Program), all funded by the Centers for Disease Control and Prevention. </w:t>
      </w:r>
      <w:r w:rsidR="00D037AD">
        <w:t>The WRTC program wa</w:t>
      </w:r>
      <w:r w:rsidR="00D037AD" w:rsidRPr="00D037AD">
        <w:t>s a youth fitness program implemented across a large metropolitan school district where most (85%) students are from racial/ethnic minority groups and from low-income households</w:t>
      </w:r>
      <w:r w:rsidR="0091644D">
        <w:t>. The twelve to fourteen-week response rate is 88%</w:t>
      </w:r>
      <w:r w:rsidR="0091644D">
        <w:rPr>
          <w:rStyle w:val="FootnoteReference"/>
        </w:rPr>
        <w:footnoteReference w:id="2"/>
      </w:r>
      <w:r w:rsidR="0091644D">
        <w:t xml:space="preserve">. </w:t>
      </w:r>
      <w:r>
        <w:t xml:space="preserve">While not all YES Initiative grantees will be school-based, all will be site-based (e.g., YMCA/YWCA, Boys and Girls clubs).  </w:t>
      </w:r>
      <w:r w:rsidRPr="00AE7F2B">
        <w:t xml:space="preserve">Similarly, on </w:t>
      </w:r>
      <w:r w:rsidR="0091644D" w:rsidRPr="0091644D">
        <w:t xml:space="preserve">The Eat Well and Keep Moving Program </w:t>
      </w:r>
      <w:r w:rsidR="0091644D">
        <w:t xml:space="preserve">in Baltimore </w:t>
      </w:r>
      <w:r w:rsidRPr="00AE7F2B">
        <w:t>school-based site</w:t>
      </w:r>
      <w:r w:rsidR="0091644D">
        <w:t>s</w:t>
      </w:r>
      <w:r w:rsidRPr="00AE7F2B">
        <w:t xml:space="preserve"> (</w:t>
      </w:r>
      <w:r w:rsidR="0091644D" w:rsidRPr="0091644D">
        <w:t>Department of Education-PEP Grant; Walton Foundation</w:t>
      </w:r>
      <w:r w:rsidR="0091644D">
        <w:t>)</w:t>
      </w:r>
      <w:r w:rsidRPr="00AE7F2B">
        <w:t xml:space="preserve">) the follow-up response rate was </w:t>
      </w:r>
      <w:r w:rsidR="0091644D">
        <w:t>66</w:t>
      </w:r>
      <w:r w:rsidRPr="00AE7F2B">
        <w:t xml:space="preserve"> percent and </w:t>
      </w:r>
      <w:r w:rsidR="00403B15">
        <w:t>61 percent</w:t>
      </w:r>
      <w:r w:rsidR="00403B15">
        <w:rPr>
          <w:rStyle w:val="FootnoteReference"/>
        </w:rPr>
        <w:footnoteReference w:id="3"/>
      </w:r>
      <w:r w:rsidRPr="00AE7F2B">
        <w:t>.</w:t>
      </w:r>
      <w:r>
        <w:t xml:space="preserve"> </w:t>
      </w:r>
    </w:p>
    <w:p w14:paraId="0A118858" w14:textId="698BE29D" w:rsidR="00B837B5" w:rsidRPr="009F4DF4" w:rsidRDefault="00403B15" w:rsidP="007416F2">
      <w:pPr>
        <w:pStyle w:val="NormalSS"/>
        <w:jc w:val="left"/>
      </w:pPr>
      <w:r>
        <w:t>Although individual site variation may exist</w:t>
      </w:r>
      <w:r w:rsidR="00C918AF">
        <w:t xml:space="preserve">, </w:t>
      </w:r>
      <w:r>
        <w:t xml:space="preserve">the </w:t>
      </w:r>
      <w:r w:rsidR="00B837B5">
        <w:t>evaluation sampl</w:t>
      </w:r>
      <w:r w:rsidR="00C918AF">
        <w:t>e of all participating sites</w:t>
      </w:r>
      <w:r w:rsidR="00B837B5">
        <w:t xml:space="preserve"> is expected to </w:t>
      </w:r>
      <w:r w:rsidR="00C918AF">
        <w:t>be equally</w:t>
      </w:r>
      <w:r w:rsidR="00B837B5">
        <w:t xml:space="preserve"> male and female, primarily African American or Hispanic (at least 75 percent of the sample), and low-income (with more than 75 percent of the sample qualifying for free and reduced price lunch). </w:t>
      </w:r>
      <w:r w:rsidR="006C266C">
        <w:t>These expectations are consistent with past OMH grant programs.  For example, in FY15 data across all OMH grant programs, grantees reported over 80% African American or Hispanic and 44% male/56% female participants.</w:t>
      </w:r>
    </w:p>
    <w:p w14:paraId="5DA8509D" w14:textId="33869BFD" w:rsidR="00B837B5" w:rsidRDefault="00B837B5" w:rsidP="007416F2">
      <w:pPr>
        <w:pStyle w:val="NormalSS"/>
        <w:jc w:val="left"/>
      </w:pPr>
      <w:r>
        <w:rPr>
          <w:b/>
          <w:i/>
        </w:rPr>
        <w:t xml:space="preserve">Statistical Power. </w:t>
      </w:r>
      <w:r w:rsidR="00403B15">
        <w:t xml:space="preserve">Based on similar </w:t>
      </w:r>
      <w:r w:rsidR="00887C2A">
        <w:t>programs</w:t>
      </w:r>
      <w:r w:rsidR="00403B15">
        <w:t xml:space="preserve"> described above</w:t>
      </w:r>
      <w:r>
        <w:t xml:space="preserve">, we anticipate response rates for the YES Initiative evaluation to be </w:t>
      </w:r>
      <w:r w:rsidR="00403B15">
        <w:t>88% at the baseline, 66</w:t>
      </w:r>
      <w:r>
        <w:t xml:space="preserve">% at 3-month </w:t>
      </w:r>
      <w:r w:rsidR="00B138A0">
        <w:t xml:space="preserve">follow-up </w:t>
      </w:r>
      <w:r>
        <w:t xml:space="preserve">and </w:t>
      </w:r>
      <w:r w:rsidR="00403B15">
        <w:t>61</w:t>
      </w:r>
      <w:r>
        <w:t>% 6-month</w:t>
      </w:r>
      <w:r w:rsidR="00B138A0">
        <w:t xml:space="preserve"> follow-up. We expect to retain all 14</w:t>
      </w:r>
      <w:r>
        <w:t xml:space="preserve"> communities participating in the YES Initiative evaluation, and calculations are based on retaining all </w:t>
      </w:r>
      <w:r w:rsidR="00921287">
        <w:t xml:space="preserve">14 for the final analytic </w:t>
      </w:r>
      <w:r>
        <w:t>sample.</w:t>
      </w:r>
    </w:p>
    <w:p w14:paraId="1D297D2A" w14:textId="7502C35F" w:rsidR="00B837B5" w:rsidRPr="00AB07FF" w:rsidRDefault="00B837B5" w:rsidP="00AB07FF">
      <w:pPr>
        <w:pStyle w:val="NormalSS"/>
      </w:pPr>
      <w:r w:rsidRPr="000F0992">
        <w:t xml:space="preserve">The primary impact analysis will focus on </w:t>
      </w:r>
      <w:r w:rsidR="00403B15">
        <w:t>a difference-in</w:t>
      </w:r>
      <w:r w:rsidR="00887C2A">
        <w:t xml:space="preserve">-difference analysis between baseline and the 6-month </w:t>
      </w:r>
      <w:r w:rsidRPr="000F0992">
        <w:t>follow-up survey data, regardless of their level of participation in the program</w:t>
      </w:r>
      <w:r>
        <w:t xml:space="preserve">. This will enable the </w:t>
      </w:r>
      <w:r w:rsidRPr="000F0992">
        <w:t>team to conduct a rigorous</w:t>
      </w:r>
      <w:r w:rsidR="00E33320">
        <w:t xml:space="preserve"> </w:t>
      </w:r>
      <w:r w:rsidRPr="000F0992">
        <w:t xml:space="preserve"> impact analysis that meets the standards of the HHS Evidence Review. </w:t>
      </w:r>
      <w:r>
        <w:t>As noted above, w</w:t>
      </w:r>
      <w:r w:rsidRPr="0090139A">
        <w:t>e expect som</w:t>
      </w:r>
      <w:r>
        <w:t xml:space="preserve">e non-response to the surveys. We expect that </w:t>
      </w:r>
      <w:r w:rsidR="006625F1">
        <w:t>88</w:t>
      </w:r>
      <w:r>
        <w:t xml:space="preserve"> percent </w:t>
      </w:r>
      <w:r w:rsidRPr="0090139A">
        <w:t>of consented youth will complete the baseline survey (n=</w:t>
      </w:r>
      <w:r w:rsidR="00B138A0">
        <w:t>4,</w:t>
      </w:r>
      <w:r w:rsidR="006625F1">
        <w:t>312</w:t>
      </w:r>
      <w:r>
        <w:t>),</w:t>
      </w:r>
      <w:r w:rsidR="006625F1">
        <w:t xml:space="preserve"> 8 percent to move within a six month period at a uniform rate,</w:t>
      </w:r>
      <w:r>
        <w:t xml:space="preserve"> </w:t>
      </w:r>
      <w:r w:rsidR="006625F1">
        <w:t>67</w:t>
      </w:r>
      <w:r>
        <w:t xml:space="preserve"> percent </w:t>
      </w:r>
      <w:r w:rsidRPr="0090139A">
        <w:t xml:space="preserve">will complete the </w:t>
      </w:r>
      <w:r>
        <w:t>3 month follow</w:t>
      </w:r>
      <w:r w:rsidRPr="0090139A">
        <w:t>-up (</w:t>
      </w:r>
      <w:r w:rsidR="006625F1">
        <w:t xml:space="preserve">inclusive of moving, </w:t>
      </w:r>
      <w:r w:rsidRPr="0090139A">
        <w:t>n=</w:t>
      </w:r>
      <w:r w:rsidR="006625F1">
        <w:t>3,152</w:t>
      </w:r>
      <w:r>
        <w:t xml:space="preserve">), and </w:t>
      </w:r>
      <w:r w:rsidR="006625F1">
        <w:t>61</w:t>
      </w:r>
      <w:r>
        <w:t xml:space="preserve"> percent </w:t>
      </w:r>
      <w:r w:rsidRPr="0090139A">
        <w:t xml:space="preserve">will complete </w:t>
      </w:r>
      <w:r w:rsidR="00B138A0">
        <w:t>the 6-month follow-up (</w:t>
      </w:r>
      <w:r w:rsidR="006625F1">
        <w:t xml:space="preserve">inclusive of moving, </w:t>
      </w:r>
      <w:r w:rsidR="00B138A0">
        <w:t>n=</w:t>
      </w:r>
      <w:r w:rsidR="006625F1">
        <w:t>2,753</w:t>
      </w:r>
      <w:r>
        <w:t xml:space="preserve">). At the </w:t>
      </w:r>
      <w:r w:rsidR="006625F1">
        <w:t>6</w:t>
      </w:r>
      <w:r>
        <w:t>-month follow-up</w:t>
      </w:r>
      <w:r w:rsidR="006625F1">
        <w:t xml:space="preserve"> when compared to the baseline</w:t>
      </w:r>
      <w:r>
        <w:t xml:space="preserve">, </w:t>
      </w:r>
      <w:r>
        <w:rPr>
          <w:color w:val="000000" w:themeColor="text1"/>
        </w:rPr>
        <w:t>f</w:t>
      </w:r>
      <w:r w:rsidRPr="006434F5">
        <w:rPr>
          <w:color w:val="000000" w:themeColor="text1"/>
        </w:rPr>
        <w:t xml:space="preserve">or a </w:t>
      </w:r>
      <w:r>
        <w:rPr>
          <w:color w:val="000000" w:themeColor="text1"/>
        </w:rPr>
        <w:t xml:space="preserve">prevalence </w:t>
      </w:r>
      <w:r w:rsidRPr="006434F5">
        <w:rPr>
          <w:color w:val="000000" w:themeColor="text1"/>
        </w:rPr>
        <w:t xml:space="preserve">rate of </w:t>
      </w:r>
      <w:r w:rsidR="006625F1">
        <w:rPr>
          <w:color w:val="000000" w:themeColor="text1"/>
        </w:rPr>
        <w:t>90</w:t>
      </w:r>
      <w:r w:rsidRPr="006434F5">
        <w:rPr>
          <w:color w:val="000000" w:themeColor="text1"/>
        </w:rPr>
        <w:t xml:space="preserve"> percent (such as </w:t>
      </w:r>
      <w:r w:rsidR="006625F1">
        <w:rPr>
          <w:color w:val="000000" w:themeColor="text1"/>
        </w:rPr>
        <w:t>eating a fruit or vegetable on a weekly basis</w:t>
      </w:r>
      <w:r>
        <w:rPr>
          <w:color w:val="000000" w:themeColor="text1"/>
        </w:rPr>
        <w:t xml:space="preserve">) </w:t>
      </w:r>
      <w:r w:rsidRPr="006434F5">
        <w:rPr>
          <w:color w:val="000000" w:themeColor="text1"/>
        </w:rPr>
        <w:t xml:space="preserve">we can detect a </w:t>
      </w:r>
      <w:r w:rsidR="006625F1">
        <w:rPr>
          <w:color w:val="000000" w:themeColor="text1"/>
        </w:rPr>
        <w:t xml:space="preserve">3 </w:t>
      </w:r>
      <w:r>
        <w:rPr>
          <w:color w:val="000000" w:themeColor="text1"/>
        </w:rPr>
        <w:t>percentage</w:t>
      </w:r>
      <w:r w:rsidRPr="006434F5">
        <w:rPr>
          <w:color w:val="000000" w:themeColor="text1"/>
        </w:rPr>
        <w:t xml:space="preserve"> point differ</w:t>
      </w:r>
      <w:r>
        <w:rPr>
          <w:color w:val="000000" w:themeColor="text1"/>
        </w:rPr>
        <w:t xml:space="preserve">ence between the two groups; </w:t>
      </w:r>
      <w:r w:rsidRPr="006434F5">
        <w:rPr>
          <w:color w:val="000000" w:themeColor="text1"/>
        </w:rPr>
        <w:t xml:space="preserve">for a prevalence rate of </w:t>
      </w:r>
      <w:r w:rsidR="006625F1">
        <w:rPr>
          <w:color w:val="000000" w:themeColor="text1"/>
        </w:rPr>
        <w:t>50</w:t>
      </w:r>
      <w:r w:rsidRPr="006434F5">
        <w:rPr>
          <w:color w:val="000000" w:themeColor="text1"/>
        </w:rPr>
        <w:t xml:space="preserve"> percent (such as</w:t>
      </w:r>
      <w:r>
        <w:rPr>
          <w:color w:val="000000" w:themeColor="text1"/>
        </w:rPr>
        <w:t xml:space="preserve"> participation of girls in sports programming</w:t>
      </w:r>
      <w:r w:rsidRPr="006434F5">
        <w:rPr>
          <w:color w:val="000000" w:themeColor="text1"/>
        </w:rPr>
        <w:t>), we can detect a</w:t>
      </w:r>
      <w:r>
        <w:rPr>
          <w:color w:val="000000" w:themeColor="text1"/>
        </w:rPr>
        <w:t xml:space="preserve">n </w:t>
      </w:r>
      <w:r w:rsidR="006625F1">
        <w:rPr>
          <w:color w:val="000000" w:themeColor="text1"/>
        </w:rPr>
        <w:t>5</w:t>
      </w:r>
      <w:r w:rsidRPr="006434F5">
        <w:rPr>
          <w:color w:val="000000" w:themeColor="text1"/>
        </w:rPr>
        <w:t>percentage point difference between the two groups.</w:t>
      </w:r>
      <w:r>
        <w:rPr>
          <w:color w:val="000000" w:themeColor="text1"/>
        </w:rPr>
        <w:t xml:space="preserve"> </w:t>
      </w:r>
      <w:r w:rsidR="00716E7C">
        <w:rPr>
          <w:color w:val="000000" w:themeColor="text1"/>
        </w:rPr>
        <w:t xml:space="preserve">Not all outcomes are binary, the PlayBASIC offers a </w:t>
      </w:r>
      <w:r w:rsidR="00716E7C" w:rsidRPr="00716E7C">
        <w:rPr>
          <w:color w:val="000000" w:themeColor="text1"/>
        </w:rPr>
        <w:t xml:space="preserve">continuous </w:t>
      </w:r>
      <w:r w:rsidR="00716E7C">
        <w:rPr>
          <w:color w:val="000000" w:themeColor="text1"/>
        </w:rPr>
        <w:t xml:space="preserve">visual </w:t>
      </w:r>
      <w:r w:rsidR="00716E7C" w:rsidRPr="00716E7C">
        <w:rPr>
          <w:color w:val="000000" w:themeColor="text1"/>
        </w:rPr>
        <w:t>analogue scale</w:t>
      </w:r>
      <w:r w:rsidR="00716E7C">
        <w:rPr>
          <w:color w:val="000000" w:themeColor="text1"/>
        </w:rPr>
        <w:t xml:space="preserve"> </w:t>
      </w:r>
      <w:r w:rsidR="00716E7C" w:rsidRPr="00716E7C">
        <w:rPr>
          <w:color w:val="000000" w:themeColor="text1"/>
        </w:rPr>
        <w:t xml:space="preserve">(0–100) </w:t>
      </w:r>
      <w:r w:rsidR="00716E7C">
        <w:rPr>
          <w:color w:val="000000" w:themeColor="text1"/>
        </w:rPr>
        <w:t xml:space="preserve">with a </w:t>
      </w:r>
      <w:r w:rsidR="002B11CC">
        <w:rPr>
          <w:color w:val="000000" w:themeColor="text1"/>
        </w:rPr>
        <w:t xml:space="preserve">reported </w:t>
      </w:r>
      <w:r w:rsidR="00716E7C">
        <w:rPr>
          <w:color w:val="000000" w:themeColor="text1"/>
        </w:rPr>
        <w:t>standard deviation amongst one hundred 8 to 14 year olds of 9.5 and a mean of 65.</w:t>
      </w:r>
      <w:r w:rsidR="002B11CC">
        <w:rPr>
          <w:color w:val="000000" w:themeColor="text1"/>
        </w:rPr>
        <w:t xml:space="preserve"> At the 6-month follow-up when compared to the baseline, we can detect a 1.04 point difference between the two groups.</w:t>
      </w:r>
    </w:p>
    <w:p w14:paraId="5BB37DD6" w14:textId="7894380A" w:rsidR="00B837B5" w:rsidRPr="00CE2E6C" w:rsidRDefault="00B837B5" w:rsidP="009A2476">
      <w:pPr>
        <w:pStyle w:val="NormalSS"/>
      </w:pPr>
      <w:bookmarkStart w:id="24" w:name="_Toc396896776"/>
      <w:bookmarkStart w:id="25" w:name="_Toc448731872"/>
      <w:r w:rsidRPr="002A6036">
        <w:t>Table B1.1. Minimum Detectible Impacts for</w:t>
      </w:r>
      <w:bookmarkEnd w:id="24"/>
      <w:r w:rsidR="00B138A0">
        <w:t xml:space="preserve"> </w:t>
      </w:r>
      <w:r>
        <w:t xml:space="preserve">Federal Evaluation of YES Initiative </w:t>
      </w:r>
      <w:bookmarkEnd w:id="25"/>
    </w:p>
    <w:tbl>
      <w:tblPr>
        <w:tblStyle w:val="MPRBaseTable"/>
        <w:tblW w:w="5000" w:type="pct"/>
        <w:tblLook w:val="04A0" w:firstRow="1" w:lastRow="0" w:firstColumn="1" w:lastColumn="0" w:noHBand="0" w:noVBand="1"/>
      </w:tblPr>
      <w:tblGrid>
        <w:gridCol w:w="4205"/>
        <w:gridCol w:w="2628"/>
        <w:gridCol w:w="2743"/>
      </w:tblGrid>
      <w:tr w:rsidR="00B837B5" w:rsidRPr="00D31680" w14:paraId="4560D11C" w14:textId="77777777" w:rsidTr="00AB07FF">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2196" w:type="pct"/>
            <w:tcBorders>
              <w:bottom w:val="single" w:sz="2" w:space="0" w:color="auto"/>
            </w:tcBorders>
            <w:noWrap/>
            <w:hideMark/>
          </w:tcPr>
          <w:p w14:paraId="0FEF62D2" w14:textId="77777777" w:rsidR="00B837B5" w:rsidRPr="00AC0487" w:rsidRDefault="00B837B5" w:rsidP="009A2476">
            <w:pPr>
              <w:rPr>
                <w:highlight w:val="lightGray"/>
              </w:rPr>
            </w:pPr>
          </w:p>
        </w:tc>
        <w:tc>
          <w:tcPr>
            <w:tcW w:w="1372" w:type="pct"/>
            <w:tcBorders>
              <w:bottom w:val="single" w:sz="2" w:space="0" w:color="auto"/>
            </w:tcBorders>
            <w:hideMark/>
          </w:tcPr>
          <w:p w14:paraId="6DAED13A" w14:textId="494B2910" w:rsidR="00B837B5" w:rsidRPr="00C53BAC" w:rsidRDefault="00716E7C" w:rsidP="009A2476">
            <w:pPr>
              <w:cnfStyle w:val="100000000000" w:firstRow="1" w:lastRow="0" w:firstColumn="0" w:lastColumn="0" w:oddVBand="0" w:evenVBand="0" w:oddHBand="0" w:evenHBand="0" w:firstRowFirstColumn="0" w:firstRowLastColumn="0" w:lastRowFirstColumn="0" w:lastRowLastColumn="0"/>
            </w:pPr>
            <w:r>
              <w:t xml:space="preserve">Baseline to </w:t>
            </w:r>
            <w:r w:rsidR="00B837B5" w:rsidRPr="00C53BAC">
              <w:t xml:space="preserve">First follow-up </w:t>
            </w:r>
            <w:r w:rsidR="00B837B5" w:rsidRPr="00C53BAC">
              <w:br/>
              <w:t>(</w:t>
            </w:r>
            <w:r w:rsidR="006625F1">
              <w:t>67</w:t>
            </w:r>
            <w:r w:rsidR="00B837B5" w:rsidRPr="00C53BAC">
              <w:t>% response rate)</w:t>
            </w:r>
          </w:p>
        </w:tc>
        <w:tc>
          <w:tcPr>
            <w:tcW w:w="1432" w:type="pct"/>
            <w:tcBorders>
              <w:bottom w:val="single" w:sz="2" w:space="0" w:color="auto"/>
            </w:tcBorders>
            <w:hideMark/>
          </w:tcPr>
          <w:p w14:paraId="669D8E16" w14:textId="63733642" w:rsidR="00B837B5" w:rsidRPr="00C53BAC" w:rsidRDefault="00716E7C" w:rsidP="009A2476">
            <w:pPr>
              <w:cnfStyle w:val="100000000000" w:firstRow="1" w:lastRow="0" w:firstColumn="0" w:lastColumn="0" w:oddVBand="0" w:evenVBand="0" w:oddHBand="0" w:evenHBand="0" w:firstRowFirstColumn="0" w:firstRowLastColumn="0" w:lastRowFirstColumn="0" w:lastRowLastColumn="0"/>
            </w:pPr>
            <w:r>
              <w:t xml:space="preserve">Baseline to </w:t>
            </w:r>
            <w:r w:rsidR="00B837B5" w:rsidRPr="00C53BAC">
              <w:t>Second follow-up</w:t>
            </w:r>
            <w:r w:rsidR="00B837B5" w:rsidRPr="00C53BAC">
              <w:br/>
              <w:t>(</w:t>
            </w:r>
            <w:r w:rsidR="006625F1">
              <w:t>61</w:t>
            </w:r>
            <w:r w:rsidR="00B837B5" w:rsidRPr="00C53BAC">
              <w:t>% response rate)</w:t>
            </w:r>
          </w:p>
        </w:tc>
      </w:tr>
      <w:tr w:rsidR="00B837B5" w:rsidRPr="00D31680" w14:paraId="676F4763" w14:textId="77777777" w:rsidTr="00AB07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6" w:type="pct"/>
            <w:tcBorders>
              <w:top w:val="single" w:sz="2" w:space="0" w:color="auto"/>
            </w:tcBorders>
            <w:noWrap/>
            <w:hideMark/>
          </w:tcPr>
          <w:p w14:paraId="2E430753" w14:textId="6EC7B5EF" w:rsidR="00B837B5" w:rsidRPr="00CE2E6C" w:rsidRDefault="00B837B5" w:rsidP="009A2476">
            <w:r w:rsidRPr="00CE2E6C">
              <w:t>MDES</w:t>
            </w:r>
            <w:r w:rsidR="002B11CC">
              <w:t>, binary</w:t>
            </w:r>
          </w:p>
        </w:tc>
        <w:tc>
          <w:tcPr>
            <w:tcW w:w="1372" w:type="pct"/>
            <w:tcBorders>
              <w:top w:val="single" w:sz="2" w:space="0" w:color="auto"/>
            </w:tcBorders>
            <w:noWrap/>
            <w:hideMark/>
          </w:tcPr>
          <w:p w14:paraId="5C7CC10F" w14:textId="55F56DF2" w:rsidR="00B837B5" w:rsidRPr="00CE2E6C" w:rsidRDefault="00B837B5" w:rsidP="00716E7C">
            <w:pPr>
              <w:cnfStyle w:val="000000100000" w:firstRow="0" w:lastRow="0" w:firstColumn="0" w:lastColumn="0" w:oddVBand="0" w:evenVBand="0" w:oddHBand="1" w:evenHBand="0" w:firstRowFirstColumn="0" w:firstRowLastColumn="0" w:lastRowFirstColumn="0" w:lastRowLastColumn="0"/>
            </w:pPr>
            <w:r w:rsidRPr="00CE2E6C">
              <w:t>0.</w:t>
            </w:r>
            <w:r w:rsidR="00716E7C">
              <w:t>10</w:t>
            </w:r>
          </w:p>
        </w:tc>
        <w:tc>
          <w:tcPr>
            <w:tcW w:w="1432" w:type="pct"/>
            <w:tcBorders>
              <w:top w:val="single" w:sz="2" w:space="0" w:color="auto"/>
            </w:tcBorders>
            <w:noWrap/>
            <w:hideMark/>
          </w:tcPr>
          <w:p w14:paraId="39074859" w14:textId="4387D34D" w:rsidR="00B837B5" w:rsidRPr="00CE2E6C" w:rsidRDefault="00B837B5" w:rsidP="009A2476">
            <w:pPr>
              <w:cnfStyle w:val="000000100000" w:firstRow="0" w:lastRow="0" w:firstColumn="0" w:lastColumn="0" w:oddVBand="0" w:evenVBand="0" w:oddHBand="1" w:evenHBand="0" w:firstRowFirstColumn="0" w:firstRowLastColumn="0" w:lastRowFirstColumn="0" w:lastRowLastColumn="0"/>
            </w:pPr>
            <w:r>
              <w:t>0.</w:t>
            </w:r>
            <w:r w:rsidR="00716E7C">
              <w:t>11</w:t>
            </w:r>
          </w:p>
        </w:tc>
      </w:tr>
      <w:tr w:rsidR="00B837B5" w:rsidRPr="00D31680" w14:paraId="4D788BF7" w14:textId="77777777" w:rsidTr="00AB07F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6" w:type="pct"/>
            <w:noWrap/>
            <w:hideMark/>
          </w:tcPr>
          <w:p w14:paraId="33127EA0" w14:textId="4CC20A83" w:rsidR="00B837B5" w:rsidRPr="00CE2E6C" w:rsidRDefault="002B11CC" w:rsidP="009A2476">
            <w:r>
              <w:t xml:space="preserve">   </w:t>
            </w:r>
            <w:r w:rsidR="00B138A0">
              <w:t>MDI (</w:t>
            </w:r>
            <w:r w:rsidR="006625F1">
              <w:t>90</w:t>
            </w:r>
            <w:r w:rsidR="00B837B5" w:rsidRPr="00CE2E6C">
              <w:t>% prevalence rate in control group)</w:t>
            </w:r>
          </w:p>
        </w:tc>
        <w:tc>
          <w:tcPr>
            <w:tcW w:w="1372" w:type="pct"/>
            <w:noWrap/>
            <w:hideMark/>
          </w:tcPr>
          <w:p w14:paraId="67909BE9" w14:textId="4B1A1FC0" w:rsidR="00B837B5" w:rsidRPr="00CE2E6C" w:rsidRDefault="00716E7C" w:rsidP="009A2476">
            <w:pPr>
              <w:cnfStyle w:val="000000010000" w:firstRow="0" w:lastRow="0" w:firstColumn="0" w:lastColumn="0" w:oddVBand="0" w:evenVBand="0" w:oddHBand="0" w:evenHBand="1" w:firstRowFirstColumn="0" w:firstRowLastColumn="0" w:lastRowFirstColumn="0" w:lastRowLastColumn="0"/>
            </w:pPr>
            <w:r>
              <w:t>3</w:t>
            </w:r>
            <w:r w:rsidR="00B837B5">
              <w:t xml:space="preserve"> percentage points</w:t>
            </w:r>
          </w:p>
        </w:tc>
        <w:tc>
          <w:tcPr>
            <w:tcW w:w="1432" w:type="pct"/>
            <w:noWrap/>
            <w:hideMark/>
          </w:tcPr>
          <w:p w14:paraId="31BA270B" w14:textId="4440F2A0" w:rsidR="00B837B5" w:rsidRPr="00CE2E6C" w:rsidRDefault="00716E7C" w:rsidP="009A2476">
            <w:pPr>
              <w:cnfStyle w:val="000000010000" w:firstRow="0" w:lastRow="0" w:firstColumn="0" w:lastColumn="0" w:oddVBand="0" w:evenVBand="0" w:oddHBand="0" w:evenHBand="1" w:firstRowFirstColumn="0" w:firstRowLastColumn="0" w:lastRowFirstColumn="0" w:lastRowLastColumn="0"/>
            </w:pPr>
            <w:r>
              <w:t>3</w:t>
            </w:r>
            <w:r w:rsidR="00B837B5">
              <w:t xml:space="preserve"> </w:t>
            </w:r>
            <w:r w:rsidR="00B837B5" w:rsidRPr="00997B9C">
              <w:t>percentage points</w:t>
            </w:r>
          </w:p>
        </w:tc>
      </w:tr>
      <w:tr w:rsidR="00B837B5" w:rsidRPr="00D31680" w14:paraId="17794563" w14:textId="77777777" w:rsidTr="00AB07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6" w:type="pct"/>
            <w:noWrap/>
            <w:hideMark/>
          </w:tcPr>
          <w:p w14:paraId="249E5AB3" w14:textId="0AA8B0DB" w:rsidR="00B837B5" w:rsidRPr="00CE2E6C" w:rsidRDefault="002B11CC" w:rsidP="009A2476">
            <w:r>
              <w:t xml:space="preserve">   </w:t>
            </w:r>
            <w:r w:rsidR="00B837B5" w:rsidRPr="00CE2E6C">
              <w:t>MDI (</w:t>
            </w:r>
            <w:r w:rsidR="006625F1">
              <w:t>50</w:t>
            </w:r>
            <w:r w:rsidR="00B837B5" w:rsidRPr="00CE2E6C">
              <w:t>% prevalence rate in control group)</w:t>
            </w:r>
          </w:p>
        </w:tc>
        <w:tc>
          <w:tcPr>
            <w:tcW w:w="1372" w:type="pct"/>
            <w:noWrap/>
            <w:hideMark/>
          </w:tcPr>
          <w:p w14:paraId="6A0A41F1" w14:textId="0495750A" w:rsidR="00B837B5" w:rsidRPr="00CE2E6C" w:rsidRDefault="00716E7C" w:rsidP="009A2476">
            <w:pPr>
              <w:cnfStyle w:val="000000100000" w:firstRow="0" w:lastRow="0" w:firstColumn="0" w:lastColumn="0" w:oddVBand="0" w:evenVBand="0" w:oddHBand="1" w:evenHBand="0" w:firstRowFirstColumn="0" w:firstRowLastColumn="0" w:lastRowFirstColumn="0" w:lastRowLastColumn="0"/>
            </w:pPr>
            <w:r>
              <w:t>5</w:t>
            </w:r>
            <w:r w:rsidR="00B837B5">
              <w:t xml:space="preserve"> </w:t>
            </w:r>
            <w:r w:rsidR="00B837B5" w:rsidRPr="00997B9C">
              <w:t>percentage points</w:t>
            </w:r>
          </w:p>
        </w:tc>
        <w:tc>
          <w:tcPr>
            <w:tcW w:w="1432" w:type="pct"/>
            <w:noWrap/>
            <w:hideMark/>
          </w:tcPr>
          <w:p w14:paraId="2690AE3E" w14:textId="74B7ABF0" w:rsidR="00B837B5" w:rsidRPr="00CE2E6C" w:rsidRDefault="00716E7C" w:rsidP="009A2476">
            <w:pPr>
              <w:cnfStyle w:val="000000100000" w:firstRow="0" w:lastRow="0" w:firstColumn="0" w:lastColumn="0" w:oddVBand="0" w:evenVBand="0" w:oddHBand="1" w:evenHBand="0" w:firstRowFirstColumn="0" w:firstRowLastColumn="0" w:lastRowFirstColumn="0" w:lastRowLastColumn="0"/>
            </w:pPr>
            <w:r>
              <w:t>5</w:t>
            </w:r>
            <w:r w:rsidR="00B837B5" w:rsidRPr="00997B9C">
              <w:t xml:space="preserve"> percentage points</w:t>
            </w:r>
          </w:p>
        </w:tc>
      </w:tr>
      <w:tr w:rsidR="002B11CC" w:rsidRPr="00D31680" w14:paraId="0A84AD70" w14:textId="77777777" w:rsidTr="00AB07F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6" w:type="pct"/>
            <w:noWrap/>
          </w:tcPr>
          <w:p w14:paraId="791F1FAC" w14:textId="74B4C0A0" w:rsidR="002B11CC" w:rsidRDefault="002B11CC" w:rsidP="009A2476">
            <w:r>
              <w:t>MDES, continuous</w:t>
            </w:r>
          </w:p>
        </w:tc>
        <w:tc>
          <w:tcPr>
            <w:tcW w:w="1372" w:type="pct"/>
            <w:noWrap/>
          </w:tcPr>
          <w:p w14:paraId="3A0F10E1" w14:textId="6096BC14" w:rsidR="002B11CC" w:rsidRDefault="002B11CC" w:rsidP="009A2476">
            <w:pPr>
              <w:cnfStyle w:val="000000010000" w:firstRow="0" w:lastRow="0" w:firstColumn="0" w:lastColumn="0" w:oddVBand="0" w:evenVBand="0" w:oddHBand="0" w:evenHBand="1" w:firstRowFirstColumn="0" w:firstRowLastColumn="0" w:lastRowFirstColumn="0" w:lastRowLastColumn="0"/>
            </w:pPr>
            <w:r>
              <w:t>0.10</w:t>
            </w:r>
          </w:p>
        </w:tc>
        <w:tc>
          <w:tcPr>
            <w:tcW w:w="1432" w:type="pct"/>
            <w:noWrap/>
          </w:tcPr>
          <w:p w14:paraId="6F076A44" w14:textId="5C310B98" w:rsidR="002B11CC" w:rsidRDefault="002B11CC" w:rsidP="009A2476">
            <w:pPr>
              <w:cnfStyle w:val="000000010000" w:firstRow="0" w:lastRow="0" w:firstColumn="0" w:lastColumn="0" w:oddVBand="0" w:evenVBand="0" w:oddHBand="0" w:evenHBand="1" w:firstRowFirstColumn="0" w:firstRowLastColumn="0" w:lastRowFirstColumn="0" w:lastRowLastColumn="0"/>
            </w:pPr>
            <w:r>
              <w:t>0.11</w:t>
            </w:r>
          </w:p>
        </w:tc>
      </w:tr>
      <w:tr w:rsidR="002B11CC" w:rsidRPr="00D31680" w14:paraId="70C29AAD" w14:textId="77777777" w:rsidTr="00AB07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6" w:type="pct"/>
            <w:noWrap/>
          </w:tcPr>
          <w:p w14:paraId="7760905A" w14:textId="488E376B" w:rsidR="002B11CC" w:rsidRDefault="002B11CC" w:rsidP="009A2476">
            <w:r>
              <w:t xml:space="preserve">   MDI (9.5 SD)</w:t>
            </w:r>
          </w:p>
        </w:tc>
        <w:tc>
          <w:tcPr>
            <w:tcW w:w="1372" w:type="pct"/>
            <w:noWrap/>
          </w:tcPr>
          <w:p w14:paraId="4E8EBB70" w14:textId="11BA40C2" w:rsidR="002B11CC" w:rsidRDefault="002B11CC" w:rsidP="009A2476">
            <w:pPr>
              <w:cnfStyle w:val="000000100000" w:firstRow="0" w:lastRow="0" w:firstColumn="0" w:lastColumn="0" w:oddVBand="0" w:evenVBand="0" w:oddHBand="1" w:evenHBand="0" w:firstRowFirstColumn="0" w:firstRowLastColumn="0" w:lastRowFirstColumn="0" w:lastRowLastColumn="0"/>
            </w:pPr>
            <w:r>
              <w:t>0.99 point difference</w:t>
            </w:r>
          </w:p>
        </w:tc>
        <w:tc>
          <w:tcPr>
            <w:tcW w:w="1432" w:type="pct"/>
            <w:noWrap/>
          </w:tcPr>
          <w:p w14:paraId="54B9A382" w14:textId="3C59CD98" w:rsidR="002B11CC" w:rsidRDefault="002B11CC" w:rsidP="009A2476">
            <w:pPr>
              <w:cnfStyle w:val="000000100000" w:firstRow="0" w:lastRow="0" w:firstColumn="0" w:lastColumn="0" w:oddVBand="0" w:evenVBand="0" w:oddHBand="1" w:evenHBand="0" w:firstRowFirstColumn="0" w:firstRowLastColumn="0" w:lastRowFirstColumn="0" w:lastRowLastColumn="0"/>
            </w:pPr>
            <w:r>
              <w:t>1.04 point difference</w:t>
            </w:r>
          </w:p>
        </w:tc>
      </w:tr>
    </w:tbl>
    <w:p w14:paraId="226797AC" w14:textId="7AAF3E61" w:rsidR="00B837B5" w:rsidRPr="009A2476" w:rsidRDefault="00B837B5" w:rsidP="002B11CC">
      <w:pPr>
        <w:pStyle w:val="NormalSS"/>
      </w:pPr>
      <w:r>
        <w:t>Note:</w:t>
      </w:r>
      <w:r w:rsidR="002B11CC">
        <w:t xml:space="preserve"> </w:t>
      </w:r>
      <w:r w:rsidRPr="009A2476">
        <w:t>These calculations assume a</w:t>
      </w:r>
      <w:r w:rsidR="002B11CC">
        <w:t xml:space="preserve"> level of significance of 0.05, with a two-sided test, 80 percent power, and a 0 </w:t>
      </w:r>
      <w:r w:rsidR="00AB07FF">
        <w:t>percent</w:t>
      </w:r>
      <w:r w:rsidR="00AB07FF" w:rsidRPr="009A2476">
        <w:t xml:space="preserve"> of</w:t>
      </w:r>
      <w:r w:rsidRPr="009A2476">
        <w:t xml:space="preserve"> individual-level variance in the outcome explained</w:t>
      </w:r>
      <w:r w:rsidR="002B11CC">
        <w:t xml:space="preserve"> by covariates</w:t>
      </w:r>
      <w:r w:rsidRPr="009A2476">
        <w:t>;</w:t>
      </w:r>
      <w:r w:rsidR="002B11CC">
        <w:t xml:space="preserve"> </w:t>
      </w:r>
      <w:r w:rsidR="004B7937">
        <w:t xml:space="preserve">Calculations include enrollment, (unit level) non-response, and moving rates. Item level non-response is not included in the calculations. </w:t>
      </w:r>
    </w:p>
    <w:p w14:paraId="7B325781" w14:textId="77777777" w:rsidR="00B837B5" w:rsidRDefault="00B837B5" w:rsidP="009A2476">
      <w:pPr>
        <w:pStyle w:val="NormalSS"/>
      </w:pPr>
      <w:r>
        <w:t>MDES = Minimum Detecti</w:t>
      </w:r>
      <w:r w:rsidRPr="00CE2E6C">
        <w:t>ble Effect Size</w:t>
      </w:r>
    </w:p>
    <w:p w14:paraId="7A7546D6" w14:textId="748C02F1" w:rsidR="002B11CC" w:rsidRPr="00CE2E6C" w:rsidRDefault="002B11CC" w:rsidP="009A2476">
      <w:pPr>
        <w:pStyle w:val="NormalSS"/>
      </w:pPr>
      <w:r>
        <w:t xml:space="preserve">MDI = </w:t>
      </w:r>
      <w:r w:rsidRPr="002B11CC">
        <w:t>Minimum Detectable Impact</w:t>
      </w:r>
    </w:p>
    <w:p w14:paraId="5553EEA4" w14:textId="77777777" w:rsidR="00B837B5" w:rsidRPr="00886088" w:rsidRDefault="00B837B5" w:rsidP="009A2476">
      <w:pPr>
        <w:pStyle w:val="NormalSS"/>
      </w:pPr>
      <w:r w:rsidRPr="00886088">
        <w:rPr>
          <w:rStyle w:val="NormalSSChar"/>
        </w:rPr>
        <w:t xml:space="preserve">We also plan </w:t>
      </w:r>
      <w:r>
        <w:rPr>
          <w:rStyle w:val="NormalSSChar"/>
        </w:rPr>
        <w:t>to conduct</w:t>
      </w:r>
      <w:r w:rsidRPr="00886088">
        <w:rPr>
          <w:rStyle w:val="NormalSSChar"/>
        </w:rPr>
        <w:t xml:space="preserve"> analyses on subgroups defined by baseline measures. These analyses will be considered exploratory, and </w:t>
      </w:r>
      <w:r>
        <w:rPr>
          <w:rStyle w:val="NormalSSChar"/>
        </w:rPr>
        <w:t xml:space="preserve">will </w:t>
      </w:r>
      <w:r w:rsidRPr="00886088">
        <w:rPr>
          <w:rStyle w:val="NormalSSChar"/>
        </w:rPr>
        <w:t xml:space="preserve">not </w:t>
      </w:r>
      <w:r>
        <w:rPr>
          <w:rStyle w:val="NormalSSChar"/>
        </w:rPr>
        <w:t xml:space="preserve">be </w:t>
      </w:r>
      <w:r w:rsidRPr="00886088">
        <w:rPr>
          <w:rStyle w:val="NormalSSChar"/>
        </w:rPr>
        <w:t>used as a primary</w:t>
      </w:r>
      <w:r w:rsidRPr="00886088">
        <w:t xml:space="preserve"> test of the effectiveness of the intervention. Instead, they are intended to help program providers and practitioners understand </w:t>
      </w:r>
      <w:r>
        <w:t xml:space="preserve">whether </w:t>
      </w:r>
      <w:r w:rsidRPr="00886088">
        <w:t xml:space="preserve">the pattern of the findings for the full sample is similar </w:t>
      </w:r>
      <w:r>
        <w:t xml:space="preserve">to </w:t>
      </w:r>
      <w:r w:rsidRPr="00886088">
        <w:t xml:space="preserve">or different </w:t>
      </w:r>
      <w:r>
        <w:t xml:space="preserve">from </w:t>
      </w:r>
      <w:r w:rsidRPr="00886088">
        <w:t>trends obse</w:t>
      </w:r>
      <w:r>
        <w:t xml:space="preserve">rved for particular subgroups. </w:t>
      </w:r>
      <w:r w:rsidRPr="00886088">
        <w:t xml:space="preserve">We will observe trends for subgroups defined by (1) </w:t>
      </w:r>
      <w:r>
        <w:t>sex</w:t>
      </w:r>
      <w:r w:rsidRPr="00886088">
        <w:t xml:space="preserve">, and (2) </w:t>
      </w:r>
      <w:r>
        <w:t xml:space="preserve">sport participation </w:t>
      </w:r>
      <w:r w:rsidRPr="00886088">
        <w:t xml:space="preserve">at baseline. </w:t>
      </w:r>
    </w:p>
    <w:p w14:paraId="0FF6F04F" w14:textId="77777777" w:rsidR="00B837B5" w:rsidRPr="00CE2E6C" w:rsidRDefault="00B837B5" w:rsidP="009A2476">
      <w:pPr>
        <w:pStyle w:val="NormalSS"/>
      </w:pPr>
      <w:r w:rsidRPr="00886088">
        <w:t>We acknowledge that statistical power for these exploratory analyses may be insufficient due to smaller sample sizes within the s</w:t>
      </w:r>
      <w:r>
        <w:t>ubgroups. For that reason, the</w:t>
      </w:r>
      <w:r w:rsidRPr="00886088">
        <w:t xml:space="preserve"> analyses are intended </w:t>
      </w:r>
      <w:r>
        <w:t xml:space="preserve">not </w:t>
      </w:r>
      <w:r w:rsidRPr="00886088">
        <w:t xml:space="preserve">as a primary test of the intervention’s effectiveness, but instead </w:t>
      </w:r>
      <w:r>
        <w:t xml:space="preserve">as a means </w:t>
      </w:r>
      <w:r w:rsidRPr="00886088">
        <w:t>to understand whether the overall pattern of findings are similar to trends observed within and across particular subgroups.</w:t>
      </w:r>
      <w:r>
        <w:t xml:space="preserve">  </w:t>
      </w:r>
    </w:p>
    <w:p w14:paraId="0F6DBB4D" w14:textId="77777777" w:rsidR="00B837B5" w:rsidRPr="002A6036" w:rsidRDefault="00B837B5" w:rsidP="009A2476">
      <w:pPr>
        <w:pStyle w:val="NormalSS"/>
      </w:pPr>
      <w:bookmarkStart w:id="26" w:name="_Toc320884920"/>
      <w:bookmarkStart w:id="27" w:name="_Toc324845911"/>
      <w:bookmarkStart w:id="28" w:name="_Toc396921848"/>
      <w:bookmarkStart w:id="29" w:name="_Toc437596009"/>
      <w:bookmarkStart w:id="30" w:name="_Toc11857471"/>
      <w:r w:rsidRPr="002A6036">
        <w:t>B2.</w:t>
      </w:r>
      <w:r w:rsidRPr="002A6036">
        <w:tab/>
        <w:t>Procedures for Collection of Information</w:t>
      </w:r>
      <w:bookmarkEnd w:id="26"/>
      <w:bookmarkEnd w:id="27"/>
      <w:bookmarkEnd w:id="28"/>
      <w:bookmarkEnd w:id="29"/>
      <w:bookmarkEnd w:id="30"/>
      <w:r>
        <w:t xml:space="preserve"> </w:t>
      </w:r>
    </w:p>
    <w:p w14:paraId="7FB74013" w14:textId="1131FD73" w:rsidR="00B837B5" w:rsidRPr="002A6036" w:rsidRDefault="00B837B5" w:rsidP="004F7617">
      <w:pPr>
        <w:pStyle w:val="NormalSS"/>
        <w:jc w:val="left"/>
      </w:pPr>
      <w:r>
        <w:t xml:space="preserve">In each of the schools, </w:t>
      </w:r>
      <w:r w:rsidRPr="002A6036">
        <w:t xml:space="preserve">all youth </w:t>
      </w:r>
      <w:r>
        <w:t xml:space="preserve">with parental consent </w:t>
      </w:r>
      <w:r w:rsidRPr="002A6036">
        <w:t xml:space="preserve">will be considered for </w:t>
      </w:r>
      <w:r>
        <w:t>follow-up data collection</w:t>
      </w:r>
      <w:r w:rsidRPr="002A6036">
        <w:t xml:space="preserve">. </w:t>
      </w:r>
      <w:r>
        <w:t>OMH, OWH and</w:t>
      </w:r>
      <w:r w:rsidR="009A2476">
        <w:t xml:space="preserve"> their </w:t>
      </w:r>
      <w:r>
        <w:t xml:space="preserve">evaluation contractor, NORC, staff </w:t>
      </w:r>
      <w:r w:rsidRPr="002A6036">
        <w:t xml:space="preserve">will work with </w:t>
      </w:r>
      <w:r>
        <w:t xml:space="preserve">grantee sites prior to 3 and 6 month follow-up data collection </w:t>
      </w:r>
      <w:r w:rsidRPr="002A6036">
        <w:t>to</w:t>
      </w:r>
      <w:r w:rsidRPr="00B22E8A">
        <w:t xml:space="preserve"> </w:t>
      </w:r>
      <w:r>
        <w:t xml:space="preserve">ensure that they identify which YES Initiative participants are still enrolled and which have moved or transferred to another school. </w:t>
      </w:r>
    </w:p>
    <w:p w14:paraId="3E5D77A8" w14:textId="77777777" w:rsidR="00631039" w:rsidRDefault="00B837B5" w:rsidP="004F7617">
      <w:pPr>
        <w:pStyle w:val="NormalSS"/>
        <w:jc w:val="left"/>
      </w:pPr>
      <w:r w:rsidRPr="00254CCF">
        <w:t xml:space="preserve">The data collection plan for the </w:t>
      </w:r>
      <w:r>
        <w:t xml:space="preserve">follow-up </w:t>
      </w:r>
      <w:r w:rsidRPr="00254CCF">
        <w:t xml:space="preserve">survey </w:t>
      </w:r>
      <w:r>
        <w:t xml:space="preserve">is the same across all participating sites and </w:t>
      </w:r>
      <w:r w:rsidRPr="00254CCF">
        <w:t xml:space="preserve">reflects sensitivity to issues of efficiency, accuracy, and respondent burden. </w:t>
      </w:r>
      <w:r>
        <w:t xml:space="preserve">The Physical Activity and Nutrition survey and PLAYBasic will be administered to consented youth </w:t>
      </w:r>
      <w:r w:rsidR="004F7617">
        <w:t xml:space="preserve">at baseline and </w:t>
      </w:r>
      <w:r>
        <w:t>approximately 3 months after completing the baseline survey and again approximately 6 months after completing the baseline survey.</w:t>
      </w:r>
      <w:r w:rsidR="00631039">
        <w:t xml:space="preserve"> The PLAYInventory will be administered at baseline and at 6-month post-baseline.</w:t>
      </w:r>
      <w:r>
        <w:t xml:space="preserve"> </w:t>
      </w:r>
    </w:p>
    <w:p w14:paraId="4683A191" w14:textId="7BC68C98" w:rsidR="00631039" w:rsidRDefault="00B837B5" w:rsidP="007416F2">
      <w:pPr>
        <w:pStyle w:val="NormalSS"/>
        <w:jc w:val="left"/>
      </w:pPr>
      <w:r>
        <w:t xml:space="preserve">As with the baseline Physical Activity and Nutrition survey, the </w:t>
      </w:r>
      <w:r w:rsidR="004F7617">
        <w:t xml:space="preserve">3 and 6-month </w:t>
      </w:r>
      <w:r>
        <w:t>follow-up Physical Activity and Nutrition survey</w:t>
      </w:r>
      <w:r w:rsidR="004F7617">
        <w:t>s</w:t>
      </w:r>
      <w:r>
        <w:t xml:space="preserve"> will be paper</w:t>
      </w:r>
      <w:r w:rsidRPr="00460E29">
        <w:t xml:space="preserve">-based </w:t>
      </w:r>
      <w:r>
        <w:t>and</w:t>
      </w:r>
      <w:r w:rsidRPr="00460E29">
        <w:t xml:space="preserve"> administered in </w:t>
      </w:r>
      <w:r>
        <w:t>a group setting at each</w:t>
      </w:r>
      <w:r w:rsidR="004F7617">
        <w:t xml:space="preserve"> site</w:t>
      </w:r>
      <w:r w:rsidRPr="00254CCF">
        <w:t xml:space="preserve">. </w:t>
      </w:r>
      <w:r w:rsidR="004F7617">
        <w:t xml:space="preserve"> The Physical Activity and Nutrition survey will be </w:t>
      </w:r>
      <w:r w:rsidR="005F107C">
        <w:t xml:space="preserve">completed </w:t>
      </w:r>
      <w:r w:rsidR="005761B4">
        <w:t>for</w:t>
      </w:r>
      <w:r w:rsidR="004F7617">
        <w:t xml:space="preserve"> ten</w:t>
      </w:r>
      <w:r w:rsidR="00AF7194">
        <w:t>-</w:t>
      </w:r>
      <w:r w:rsidR="004F7617">
        <w:t>day</w:t>
      </w:r>
      <w:r w:rsidR="005761B4">
        <w:t>s</w:t>
      </w:r>
      <w:r w:rsidR="004F7617">
        <w:t xml:space="preserve"> by youth and </w:t>
      </w:r>
      <w:r w:rsidR="00DF60E0">
        <w:t>will be</w:t>
      </w:r>
      <w:r w:rsidR="005F107C">
        <w:t xml:space="preserve"> </w:t>
      </w:r>
      <w:r w:rsidR="004F7617">
        <w:t>self-administered.</w:t>
      </w:r>
      <w:r w:rsidR="005F107C">
        <w:t xml:space="preserve">  A summary measure for each physical activity and nutrition outcome will be derived (e.g., proportion of days youth consumed fresh fruit; proportion of days a youth engaged in 60 minutes of moderate/vigorous physical activity) for each youth.  </w:t>
      </w:r>
      <w:r w:rsidR="00DF60E0">
        <w:t xml:space="preserve">Summary measures for each youth that encompass multiple days (up to 10) of data collection is proposed to increase the reliability of the baseline, 3- and 6-month measures and to give ample opportunity for youth to complete the surveys, militating against non-response bias.  </w:t>
      </w:r>
      <w:r w:rsidR="005F107C">
        <w:t>The Physical Activity and Nutrition survey will be administered over a</w:t>
      </w:r>
      <w:r w:rsidR="007416F2">
        <w:t xml:space="preserve"> ten</w:t>
      </w:r>
      <w:r w:rsidR="00AF7194">
        <w:t>-</w:t>
      </w:r>
      <w:r w:rsidR="007416F2">
        <w:t xml:space="preserve">day period for each youth to provide a more representative indicator of a youth’s physical activity and nutritional behavior.  It is acknowledged and is expected that not all youth will complete all ten days.  We expect most youth to complete </w:t>
      </w:r>
      <w:r w:rsidR="00AB07FF">
        <w:t>four</w:t>
      </w:r>
      <w:r w:rsidR="007416F2">
        <w:t xml:space="preserve"> or more Physical Activity and Nutrition survey</w:t>
      </w:r>
      <w:r w:rsidR="00AF7194">
        <w:t>s</w:t>
      </w:r>
      <w:r w:rsidR="007416F2">
        <w:t xml:space="preserve"> during each data collection period. </w:t>
      </w:r>
    </w:p>
    <w:p w14:paraId="04E99930" w14:textId="7FB5928D" w:rsidR="00631039" w:rsidRDefault="004F7617" w:rsidP="004F7617">
      <w:pPr>
        <w:pStyle w:val="NormalSS"/>
        <w:jc w:val="left"/>
      </w:pPr>
      <w:r>
        <w:t>Coaches and program staff will administer PLAYBasic, which involves observing youth engaged in physical activity and recording a youth’s skill in performing four activities:  locomotion, throwing, kicking, and balance.  The PLAYBasic scoring rubric will be used to determine an individual score</w:t>
      </w:r>
      <w:r w:rsidR="004B7937">
        <w:t xml:space="preserve"> (0 to 100)</w:t>
      </w:r>
      <w:r>
        <w:t xml:space="preserve"> for each youth at baseline, 3- and 6 month.</w:t>
      </w:r>
      <w:r w:rsidR="007416F2">
        <w:t xml:space="preserve">  </w:t>
      </w:r>
    </w:p>
    <w:p w14:paraId="34222791" w14:textId="1F3EFDF2" w:rsidR="00B837B5" w:rsidRPr="00B138A0" w:rsidRDefault="00631039" w:rsidP="005F107C">
      <w:pPr>
        <w:pStyle w:val="NormalSS"/>
        <w:jc w:val="left"/>
      </w:pPr>
      <w:r>
        <w:tab/>
        <w:t>The baseline PLAYInventory and 6-month follow-up will be paper</w:t>
      </w:r>
      <w:r w:rsidRPr="00460E29">
        <w:t xml:space="preserve">-based </w:t>
      </w:r>
      <w:r>
        <w:t>and</w:t>
      </w:r>
      <w:r w:rsidRPr="00460E29">
        <w:t xml:space="preserve"> </w:t>
      </w:r>
      <w:r w:rsidR="00B138A0">
        <w:t xml:space="preserve">self-administered </w:t>
      </w:r>
      <w:r w:rsidRPr="00460E29">
        <w:t xml:space="preserve">administered in </w:t>
      </w:r>
      <w:r>
        <w:t>a group setting at each site</w:t>
      </w:r>
      <w:r w:rsidRPr="00254CCF">
        <w:t xml:space="preserve">. </w:t>
      </w:r>
      <w:r>
        <w:t xml:space="preserve"> </w:t>
      </w:r>
    </w:p>
    <w:p w14:paraId="1D54B986" w14:textId="760A42EC" w:rsidR="00B837B5" w:rsidRDefault="00B837B5" w:rsidP="005F107C">
      <w:pPr>
        <w:pStyle w:val="NormalSS"/>
        <w:jc w:val="left"/>
      </w:pPr>
      <w:r>
        <w:rPr>
          <w:rFonts w:cs="Garamond"/>
        </w:rPr>
        <w:t xml:space="preserve">NORC will </w:t>
      </w:r>
      <w:r w:rsidRPr="002A6036">
        <w:rPr>
          <w:rFonts w:cs="Garamond"/>
        </w:rPr>
        <w:t xml:space="preserve">train </w:t>
      </w:r>
      <w:r w:rsidR="00631039">
        <w:rPr>
          <w:rFonts w:cs="Garamond"/>
        </w:rPr>
        <w:t xml:space="preserve">grantee </w:t>
      </w:r>
      <w:r w:rsidRPr="002A6036">
        <w:rPr>
          <w:rFonts w:cs="Garamond"/>
        </w:rPr>
        <w:t xml:space="preserve">staff on answering questions about the study, </w:t>
      </w:r>
      <w:r>
        <w:rPr>
          <w:rFonts w:cs="Garamond"/>
        </w:rPr>
        <w:t>collecting student assent,</w:t>
      </w:r>
      <w:r w:rsidRPr="002A6036">
        <w:rPr>
          <w:rFonts w:cs="Garamond"/>
        </w:rPr>
        <w:t xml:space="preserve"> </w:t>
      </w:r>
      <w:r>
        <w:rPr>
          <w:rFonts w:cs="Garamond"/>
        </w:rPr>
        <w:t xml:space="preserve">and </w:t>
      </w:r>
      <w:r w:rsidRPr="002A6036">
        <w:rPr>
          <w:rFonts w:cs="Garamond"/>
        </w:rPr>
        <w:t xml:space="preserve">administering </w:t>
      </w:r>
      <w:r>
        <w:rPr>
          <w:rFonts w:cs="Garamond"/>
        </w:rPr>
        <w:t xml:space="preserve">the follow-up </w:t>
      </w:r>
      <w:r>
        <w:t>Physical Activity and Nutrition survey</w:t>
      </w:r>
      <w:r w:rsidR="00631039">
        <w:t>, PLAYInventory</w:t>
      </w:r>
      <w:r>
        <w:t xml:space="preserve"> and PLAYBasic</w:t>
      </w:r>
      <w:r>
        <w:rPr>
          <w:rFonts w:cs="Garamond"/>
        </w:rPr>
        <w:t xml:space="preserve"> to youth.</w:t>
      </w:r>
      <w:r>
        <w:t xml:space="preserve"> The evaluation team will work with sites to determine the best day, time, and location for the group </w:t>
      </w:r>
      <w:r w:rsidRPr="008A7ABE">
        <w:t xml:space="preserve">survey </w:t>
      </w:r>
      <w:r>
        <w:t xml:space="preserve">administration. </w:t>
      </w:r>
      <w:r w:rsidR="00631039">
        <w:t xml:space="preserve">Grantees will </w:t>
      </w:r>
      <w:r>
        <w:t>begin the administration by reviewing the details of the study and obtaining youth assent.</w:t>
      </w:r>
      <w:r w:rsidRPr="00560301">
        <w:rPr>
          <w:rStyle w:val="FootnoteReference"/>
        </w:rPr>
        <w:t xml:space="preserve"> </w:t>
      </w:r>
      <w:r>
        <w:rPr>
          <w:rStyle w:val="FootnoteReference"/>
        </w:rPr>
        <w:footnoteReference w:id="4"/>
      </w:r>
      <w:r>
        <w:t xml:space="preserve"> Any student who chooses to opt out of the survey will be led to another room with students who do not have permission to participate in the study. Youth who agree to take the survey will be provided </w:t>
      </w:r>
      <w:r w:rsidR="00C1246A">
        <w:t xml:space="preserve">a </w:t>
      </w:r>
      <w:r w:rsidR="00631039">
        <w:t xml:space="preserve">paper Physical Activity and Nutrition survey, PLAYInventory and prompted to </w:t>
      </w:r>
      <w:r>
        <w:t xml:space="preserve">begin. The survey will be self-administered. Students will be instructed to begin the survey and work through at their own pace. </w:t>
      </w:r>
    </w:p>
    <w:p w14:paraId="76EC5AB3" w14:textId="4BCE56D1" w:rsidR="009F7EFC" w:rsidRDefault="00B837B5" w:rsidP="005F107C">
      <w:pPr>
        <w:pStyle w:val="NormalSS"/>
        <w:jc w:val="left"/>
      </w:pPr>
      <w:r>
        <w:t xml:space="preserve">The </w:t>
      </w:r>
      <w:r w:rsidR="00EB65FC">
        <w:t xml:space="preserve">Physical Activity and Nutrition survey </w:t>
      </w:r>
      <w:r w:rsidRPr="00A84C70">
        <w:t>ask</w:t>
      </w:r>
      <w:r>
        <w:t>s</w:t>
      </w:r>
      <w:r w:rsidRPr="00A84C70">
        <w:t xml:space="preserve"> all youth </w:t>
      </w:r>
      <w:r w:rsidR="00EB65FC">
        <w:t xml:space="preserve">to report physical activity, fruit and vegetable consumption and </w:t>
      </w:r>
      <w:r w:rsidRPr="00A84C70">
        <w:t>background information</w:t>
      </w:r>
      <w:r w:rsidR="00EB65FC">
        <w:t xml:space="preserve">. The PLAYInventory asks youth to report the number of distinct sporting activities in which the youth has engaged in the past 12 months.  In addition to 57 distinct sporting activities, youth may also record additional sport activity not listed on the PLAYInventory. </w:t>
      </w:r>
      <w:r w:rsidR="009F7EFC">
        <w:t xml:space="preserve">The PLAYBasic </w:t>
      </w:r>
      <w:r w:rsidR="005F107C">
        <w:t>is used to assess physical literacy and is completed by a coach or trained grantee staff member based on observing youth</w:t>
      </w:r>
      <w:r w:rsidR="007A0343">
        <w:t xml:space="preserve"> perform a set of physical activities</w:t>
      </w:r>
      <w:r w:rsidR="005F107C">
        <w:t>.</w:t>
      </w:r>
    </w:p>
    <w:p w14:paraId="565E06F8" w14:textId="0E48082B" w:rsidR="00B837B5" w:rsidRDefault="00EB65FC" w:rsidP="005F107C">
      <w:pPr>
        <w:pStyle w:val="NormalSS"/>
        <w:jc w:val="left"/>
      </w:pPr>
      <w:r>
        <w:t xml:space="preserve">A unique identifier will be assigned to youth completing the baseline and matched to youth for 3- and 6-month </w:t>
      </w:r>
      <w:r w:rsidR="009F7EFC">
        <w:t xml:space="preserve">Physical Activity and Nutrition survey, PLAYInventory and PLAYBasic </w:t>
      </w:r>
      <w:r>
        <w:t>data collection.</w:t>
      </w:r>
      <w:r w:rsidR="009F7EFC">
        <w:t xml:space="preserve"> The same unique identifier with a suffix will be used for each data collection form for each child (e.g., 09056-A (Physical Activity and Nutrition survey), 09056-</w:t>
      </w:r>
      <w:r w:rsidR="009F7EFC" w:rsidRPr="009F7EFC">
        <w:t>B</w:t>
      </w:r>
      <w:r>
        <w:t xml:space="preserve"> </w:t>
      </w:r>
      <w:r w:rsidR="009F7EFC">
        <w:t>(PLAYInventory) and 09056-C (PLAYBasic)</w:t>
      </w:r>
      <w:r w:rsidR="003226B6">
        <w:t>.</w:t>
      </w:r>
      <w:r w:rsidR="009F7EFC">
        <w:t xml:space="preserve"> </w:t>
      </w:r>
      <w:r w:rsidR="00B837B5">
        <w:t xml:space="preserve">No personally </w:t>
      </w:r>
      <w:r w:rsidR="00B837B5" w:rsidRPr="00A84C70">
        <w:t>identifying information will appear with</w:t>
      </w:r>
      <w:r w:rsidR="00B837B5">
        <w:t xml:space="preserve"> the survey. </w:t>
      </w:r>
      <w:r w:rsidR="00B837B5" w:rsidRPr="002A6036">
        <w:t>A question</w:t>
      </w:r>
      <w:r w:rsidR="003226B6">
        <w:t>-</w:t>
      </w:r>
      <w:r w:rsidR="00B837B5" w:rsidRPr="002A6036">
        <w:t>by</w:t>
      </w:r>
      <w:r w:rsidR="003226B6">
        <w:t>-</w:t>
      </w:r>
      <w:r w:rsidR="00B837B5" w:rsidRPr="002A6036">
        <w:t xml:space="preserve">question list of sources for the </w:t>
      </w:r>
      <w:r w:rsidR="00B837B5">
        <w:t xml:space="preserve">follow-up </w:t>
      </w:r>
      <w:r w:rsidR="00B837B5" w:rsidRPr="002A6036">
        <w:t xml:space="preserve">survey is </w:t>
      </w:r>
      <w:r w:rsidR="00B837B5" w:rsidRPr="009B309B">
        <w:t>in Attachment A, and a description of the sources refere</w:t>
      </w:r>
      <w:r w:rsidR="00B837B5">
        <w:t xml:space="preserve">nced is in Attachment B. Once they have completed the survey, </w:t>
      </w:r>
      <w:r w:rsidR="00B837B5" w:rsidRPr="00A84C70">
        <w:t xml:space="preserve">youth will </w:t>
      </w:r>
      <w:r>
        <w:t xml:space="preserve">place the completed Physical Activity and Nutrition survey form in </w:t>
      </w:r>
      <w:r w:rsidR="003226B6">
        <w:t xml:space="preserve">a </w:t>
      </w:r>
      <w:r>
        <w:t xml:space="preserve">secure box attended to by program staff.   </w:t>
      </w:r>
      <w:r w:rsidR="00B837B5">
        <w:t xml:space="preserve">When the survey administration is complete, </w:t>
      </w:r>
      <w:r w:rsidR="009D269A">
        <w:t xml:space="preserve">NORC </w:t>
      </w:r>
      <w:r w:rsidR="00B837B5">
        <w:t xml:space="preserve">staff will work with </w:t>
      </w:r>
      <w:r w:rsidR="009D269A">
        <w:t xml:space="preserve">site </w:t>
      </w:r>
      <w:r w:rsidR="00B837B5">
        <w:t>staff to arrange make-up administrations for any students who were absent</w:t>
      </w:r>
      <w:r w:rsidR="009D269A">
        <w:t xml:space="preserve"> during the administration</w:t>
      </w:r>
      <w:r w:rsidR="00B837B5">
        <w:t xml:space="preserve">. </w:t>
      </w:r>
    </w:p>
    <w:p w14:paraId="703E4842" w14:textId="508DE9B7" w:rsidR="00B837B5" w:rsidRDefault="00B837B5" w:rsidP="005F107C">
      <w:pPr>
        <w:pStyle w:val="NormalSS"/>
        <w:jc w:val="left"/>
      </w:pPr>
      <w:r>
        <w:t>At the end of the administration</w:t>
      </w:r>
      <w:r w:rsidRPr="00D7028D">
        <w:t>, youth will pl</w:t>
      </w:r>
      <w:r>
        <w:t>ace the entire survey</w:t>
      </w:r>
      <w:r w:rsidRPr="00D7028D">
        <w:t xml:space="preserve"> in the return envelope, seal it, and</w:t>
      </w:r>
      <w:r>
        <w:t xml:space="preserve"> return it to a</w:t>
      </w:r>
      <w:r w:rsidRPr="00D7028D">
        <w:t xml:space="preserve"> member</w:t>
      </w:r>
      <w:r>
        <w:t xml:space="preserve"> of the evaluation team</w:t>
      </w:r>
      <w:r w:rsidRPr="00D7028D">
        <w:t xml:space="preserve">. </w:t>
      </w:r>
      <w:r>
        <w:t xml:space="preserve">Completed surveys will be shipped immediately via FedEx to </w:t>
      </w:r>
      <w:r w:rsidR="009F7EFC">
        <w:t xml:space="preserve">NORC’s </w:t>
      </w:r>
      <w:r>
        <w:t xml:space="preserve">Survey Operations Center, where they will be logged and then checked for completeness. Any forms with identifying information, such as assent forms, will be shipped separately. </w:t>
      </w:r>
    </w:p>
    <w:p w14:paraId="206708F6" w14:textId="18B74250" w:rsidR="00B837B5" w:rsidRDefault="00B837B5" w:rsidP="007416F2">
      <w:pPr>
        <w:pStyle w:val="NormalSS"/>
        <w:jc w:val="left"/>
      </w:pPr>
      <w:r>
        <w:t>Students who have moved out of the area</w:t>
      </w:r>
      <w:r w:rsidR="00F446E4">
        <w:t xml:space="preserve"> will be considered lost-to-follow-up.  While the numbers may vary by community, we expect less than 8 percent to have moved out of the area.  This anticipated loss is incorporated in the anticipated response rates at 3 and 6-months. </w:t>
      </w:r>
    </w:p>
    <w:p w14:paraId="2BCF77F2" w14:textId="77777777" w:rsidR="00B837B5" w:rsidRPr="002A6036" w:rsidRDefault="00B837B5" w:rsidP="009A2476">
      <w:pPr>
        <w:pStyle w:val="NormalSS"/>
      </w:pPr>
      <w:bookmarkStart w:id="31" w:name="_Toc320884921"/>
      <w:bookmarkStart w:id="32" w:name="_Toc324845912"/>
      <w:bookmarkStart w:id="33" w:name="_Toc396921849"/>
      <w:bookmarkStart w:id="34" w:name="_Toc437596010"/>
      <w:bookmarkStart w:id="35" w:name="_Toc11857472"/>
      <w:r w:rsidRPr="002A6036">
        <w:t>B3.</w:t>
      </w:r>
      <w:r w:rsidRPr="002A6036">
        <w:tab/>
        <w:t>Methods to Maximize Response Rates and Deal with Non-Response</w:t>
      </w:r>
      <w:bookmarkEnd w:id="31"/>
      <w:bookmarkEnd w:id="32"/>
      <w:bookmarkEnd w:id="33"/>
      <w:bookmarkEnd w:id="34"/>
      <w:bookmarkEnd w:id="35"/>
      <w:r>
        <w:t xml:space="preserve"> </w:t>
      </w:r>
    </w:p>
    <w:p w14:paraId="513949B1" w14:textId="4773F5EC" w:rsidR="00B837B5" w:rsidRDefault="007416F2" w:rsidP="00F446E4">
      <w:pPr>
        <w:pStyle w:val="NormalSS"/>
        <w:jc w:val="left"/>
        <w:rPr>
          <w:rFonts w:cs="Garamond"/>
        </w:rPr>
      </w:pPr>
      <w:r>
        <w:rPr>
          <w:rFonts w:cs="Garamond-Bold"/>
          <w:bCs/>
        </w:rPr>
        <w:t xml:space="preserve">OMH and OWH </w:t>
      </w:r>
      <w:r w:rsidR="00B837B5">
        <w:rPr>
          <w:rFonts w:cs="Garamond-Bold"/>
          <w:bCs/>
        </w:rPr>
        <w:t>expects to</w:t>
      </w:r>
      <w:r w:rsidR="00B837B5" w:rsidRPr="000C3568">
        <w:rPr>
          <w:rFonts w:cs="Garamond"/>
        </w:rPr>
        <w:t xml:space="preserve"> achieve </w:t>
      </w:r>
      <w:r w:rsidR="00B837B5">
        <w:rPr>
          <w:rFonts w:cs="Garamond"/>
        </w:rPr>
        <w:t xml:space="preserve">a </w:t>
      </w:r>
      <w:r w:rsidR="00B837B5" w:rsidRPr="000C3568">
        <w:rPr>
          <w:rFonts w:cs="Garamond"/>
        </w:rPr>
        <w:t>response</w:t>
      </w:r>
      <w:r w:rsidR="001472F3">
        <w:rPr>
          <w:rFonts w:cs="Garamond"/>
        </w:rPr>
        <w:t xml:space="preserve"> rate of </w:t>
      </w:r>
      <w:r w:rsidR="004B7937">
        <w:rPr>
          <w:rFonts w:cs="Garamond"/>
        </w:rPr>
        <w:t>66</w:t>
      </w:r>
      <w:r w:rsidR="001472F3">
        <w:rPr>
          <w:rFonts w:cs="Garamond"/>
        </w:rPr>
        <w:t xml:space="preserve"> percent for the 3</w:t>
      </w:r>
      <w:r w:rsidR="00B837B5">
        <w:rPr>
          <w:rFonts w:cs="Garamond"/>
        </w:rPr>
        <w:t xml:space="preserve">-month follow-up </w:t>
      </w:r>
      <w:r w:rsidR="001472F3">
        <w:rPr>
          <w:rFonts w:cs="Garamond"/>
        </w:rPr>
        <w:t xml:space="preserve">and </w:t>
      </w:r>
      <w:r w:rsidR="004B7937">
        <w:rPr>
          <w:rFonts w:cs="Garamond"/>
        </w:rPr>
        <w:t>61</w:t>
      </w:r>
      <w:r w:rsidR="001472F3">
        <w:rPr>
          <w:rFonts w:cs="Garamond"/>
        </w:rPr>
        <w:t xml:space="preserve"> percent for the 6</w:t>
      </w:r>
      <w:r w:rsidR="00B837B5">
        <w:rPr>
          <w:rFonts w:cs="Garamond"/>
        </w:rPr>
        <w:t>-month follow-up</w:t>
      </w:r>
      <w:r w:rsidR="007A0343">
        <w:rPr>
          <w:rFonts w:cs="Garamond"/>
        </w:rPr>
        <w:t xml:space="preserve"> data collections</w:t>
      </w:r>
      <w:r w:rsidR="00B837B5">
        <w:rPr>
          <w:rFonts w:cs="Garamond"/>
        </w:rPr>
        <w:t xml:space="preserve">. </w:t>
      </w:r>
      <w:r w:rsidR="00B837B5" w:rsidRPr="00010E1E">
        <w:rPr>
          <w:rFonts w:cs="Garamond"/>
        </w:rPr>
        <w:t>Th</w:t>
      </w:r>
      <w:r w:rsidR="007A0343">
        <w:rPr>
          <w:rFonts w:cs="Garamond"/>
        </w:rPr>
        <w:t>ese</w:t>
      </w:r>
      <w:r w:rsidR="00B837B5">
        <w:rPr>
          <w:rFonts w:cs="Garamond"/>
        </w:rPr>
        <w:t xml:space="preserve"> </w:t>
      </w:r>
      <w:r w:rsidR="00B837B5" w:rsidRPr="00010E1E">
        <w:rPr>
          <w:rFonts w:cs="Garamond"/>
        </w:rPr>
        <w:t>expect</w:t>
      </w:r>
      <w:r w:rsidR="00B837B5">
        <w:rPr>
          <w:rFonts w:cs="Garamond"/>
        </w:rPr>
        <w:t>ation</w:t>
      </w:r>
      <w:r w:rsidR="007A0343">
        <w:rPr>
          <w:rFonts w:cs="Garamond"/>
        </w:rPr>
        <w:t>s are</w:t>
      </w:r>
      <w:r w:rsidR="00B837B5" w:rsidRPr="00010E1E">
        <w:rPr>
          <w:rFonts w:cs="Garamond"/>
        </w:rPr>
        <w:t xml:space="preserve"> based on </w:t>
      </w:r>
      <w:r w:rsidR="00B837B5">
        <w:rPr>
          <w:rFonts w:cs="Garamond"/>
        </w:rPr>
        <w:t xml:space="preserve">response rates </w:t>
      </w:r>
      <w:r w:rsidR="00B837B5" w:rsidRPr="00010E1E">
        <w:rPr>
          <w:rFonts w:cs="Garamond"/>
        </w:rPr>
        <w:t xml:space="preserve">achieved in prior </w:t>
      </w:r>
      <w:r w:rsidR="00B837B5">
        <w:rPr>
          <w:rFonts w:cs="Garamond"/>
        </w:rPr>
        <w:t xml:space="preserve">follow-up </w:t>
      </w:r>
      <w:r w:rsidR="007A0343">
        <w:rPr>
          <w:rFonts w:cs="Garamond"/>
        </w:rPr>
        <w:t xml:space="preserve">surveys with youth </w:t>
      </w:r>
      <w:r w:rsidR="00B837B5" w:rsidRPr="00010E1E">
        <w:rPr>
          <w:rFonts w:cs="Garamond"/>
        </w:rPr>
        <w:t>populations</w:t>
      </w:r>
      <w:r w:rsidR="00B837B5">
        <w:rPr>
          <w:rFonts w:cs="Garamond"/>
        </w:rPr>
        <w:t>.</w:t>
      </w:r>
      <w:r w:rsidR="00B837B5" w:rsidRPr="00010E1E">
        <w:rPr>
          <w:rFonts w:cs="Garamond"/>
        </w:rPr>
        <w:t xml:space="preserve"> </w:t>
      </w:r>
      <w:r w:rsidR="00B837B5">
        <w:rPr>
          <w:rFonts w:cs="Garamond"/>
        </w:rPr>
        <w:t>We can expect to achieve these completion rates for the Federal Evaluation of</w:t>
      </w:r>
      <w:r w:rsidR="007A0343">
        <w:rPr>
          <w:rFonts w:cs="Garamond"/>
        </w:rPr>
        <w:t xml:space="preserve"> the YES Initiative</w:t>
      </w:r>
      <w:r w:rsidR="00B837B5">
        <w:rPr>
          <w:rFonts w:cs="Garamond"/>
        </w:rPr>
        <w:t xml:space="preserve"> at the follow-up period</w:t>
      </w:r>
      <w:r w:rsidR="007A0343">
        <w:rPr>
          <w:rFonts w:cs="Garamond"/>
        </w:rPr>
        <w:t>s</w:t>
      </w:r>
      <w:r w:rsidR="00B837B5">
        <w:rPr>
          <w:rFonts w:cs="Garamond"/>
        </w:rPr>
        <w:t xml:space="preserve"> for several other reasons. First, the follow-up sur</w:t>
      </w:r>
      <w:r w:rsidR="007A0343">
        <w:rPr>
          <w:rFonts w:cs="Garamond"/>
        </w:rPr>
        <w:t xml:space="preserve">veys will occur approximately 3 and </w:t>
      </w:r>
      <w:r w:rsidR="008221B6">
        <w:rPr>
          <w:rFonts w:cs="Garamond"/>
        </w:rPr>
        <w:t>6</w:t>
      </w:r>
      <w:r w:rsidR="00B837B5">
        <w:rPr>
          <w:rFonts w:cs="Garamond"/>
        </w:rPr>
        <w:t xml:space="preserve"> months after the baseline administration. </w:t>
      </w:r>
      <w:r w:rsidR="00B837B5" w:rsidRPr="00AB4B33">
        <w:rPr>
          <w:rFonts w:cs="Garamond"/>
        </w:rPr>
        <w:t xml:space="preserve">This timing will ensure </w:t>
      </w:r>
      <w:r w:rsidR="00B837B5">
        <w:rPr>
          <w:rFonts w:cs="Garamond"/>
        </w:rPr>
        <w:t xml:space="preserve">that </w:t>
      </w:r>
      <w:r w:rsidR="00B837B5" w:rsidRPr="00AB4B33">
        <w:rPr>
          <w:rFonts w:cs="Garamond"/>
        </w:rPr>
        <w:t xml:space="preserve">contact data are </w:t>
      </w:r>
      <w:r w:rsidR="00B837B5">
        <w:rPr>
          <w:rFonts w:cs="Garamond"/>
        </w:rPr>
        <w:t xml:space="preserve">quite </w:t>
      </w:r>
      <w:r w:rsidR="00B837B5" w:rsidRPr="00AB4B33">
        <w:rPr>
          <w:rFonts w:cs="Garamond"/>
        </w:rPr>
        <w:t>current</w:t>
      </w:r>
      <w:r w:rsidR="00B837B5">
        <w:rPr>
          <w:rFonts w:cs="Garamond"/>
        </w:rPr>
        <w:t xml:space="preserve">, which should minimize location problems. In many cases, youth will be enrolled in the same </w:t>
      </w:r>
      <w:r w:rsidR="00E33320">
        <w:rPr>
          <w:rFonts w:cs="Garamond"/>
        </w:rPr>
        <w:t>programs</w:t>
      </w:r>
      <w:r w:rsidR="00B837B5">
        <w:rPr>
          <w:rFonts w:cs="Garamond"/>
        </w:rPr>
        <w:t xml:space="preserve"> at follow-up that they were enrolled in at baseline, which will simplify locating efforts and improve response rates</w:t>
      </w:r>
      <w:r w:rsidR="00B837B5" w:rsidRPr="00AB4B33">
        <w:rPr>
          <w:rFonts w:cs="Garamond"/>
        </w:rPr>
        <w:t>.</w:t>
      </w:r>
      <w:r w:rsidR="00B837B5">
        <w:rPr>
          <w:rFonts w:cs="Garamond"/>
        </w:rPr>
        <w:t xml:space="preserve">  </w:t>
      </w:r>
    </w:p>
    <w:p w14:paraId="5A179562" w14:textId="43F018EA" w:rsidR="00B837B5" w:rsidRDefault="007A0343" w:rsidP="007A0343">
      <w:pPr>
        <w:pStyle w:val="NormalSS"/>
        <w:jc w:val="left"/>
      </w:pPr>
      <w:r>
        <w:t xml:space="preserve">NORC </w:t>
      </w:r>
      <w:r w:rsidR="00B837B5">
        <w:rPr>
          <w:rFonts w:cs="Garamond"/>
        </w:rPr>
        <w:t xml:space="preserve">staff will work with </w:t>
      </w:r>
      <w:r>
        <w:rPr>
          <w:rFonts w:cs="Garamond"/>
        </w:rPr>
        <w:t xml:space="preserve">grantees </w:t>
      </w:r>
      <w:r w:rsidR="00B837B5">
        <w:rPr>
          <w:rFonts w:cs="Garamond"/>
        </w:rPr>
        <w:t xml:space="preserve">to schedule the date and time of </w:t>
      </w:r>
      <w:r>
        <w:rPr>
          <w:rFonts w:cs="Garamond"/>
        </w:rPr>
        <w:t xml:space="preserve">any </w:t>
      </w:r>
      <w:r w:rsidR="00B837B5">
        <w:rPr>
          <w:rFonts w:cs="Garamond"/>
        </w:rPr>
        <w:t xml:space="preserve">follow-up </w:t>
      </w:r>
      <w:r>
        <w:rPr>
          <w:rFonts w:cs="Garamond"/>
        </w:rPr>
        <w:t>data collections</w:t>
      </w:r>
      <w:r w:rsidR="00B837B5">
        <w:rPr>
          <w:rFonts w:cs="Garamond"/>
        </w:rPr>
        <w:t xml:space="preserve">. </w:t>
      </w:r>
      <w:r w:rsidR="00B837B5">
        <w:t xml:space="preserve">As in the baseline process, </w:t>
      </w:r>
      <w:r w:rsidR="00B837B5">
        <w:rPr>
          <w:rFonts w:cs="Garamond"/>
        </w:rPr>
        <w:t>to help attain high response rates,</w:t>
      </w:r>
      <w:r w:rsidR="00B837B5">
        <w:t xml:space="preserve"> </w:t>
      </w:r>
      <w:r>
        <w:t xml:space="preserve">NORC and grantee </w:t>
      </w:r>
      <w:r w:rsidR="00B837B5" w:rsidRPr="00B73312">
        <w:rPr>
          <w:rFonts w:cs="Garamond"/>
        </w:rPr>
        <w:t xml:space="preserve">staff will collaborate with each site to arrange additional make-up sessions for </w:t>
      </w:r>
      <w:r>
        <w:rPr>
          <w:rFonts w:cs="Garamond"/>
        </w:rPr>
        <w:t xml:space="preserve">youth </w:t>
      </w:r>
      <w:r w:rsidR="00B837B5" w:rsidRPr="00B73312">
        <w:rPr>
          <w:rFonts w:cs="Garamond"/>
        </w:rPr>
        <w:t xml:space="preserve">who are absent on the </w:t>
      </w:r>
      <w:r>
        <w:rPr>
          <w:rFonts w:cs="Garamond"/>
        </w:rPr>
        <w:t>data collection administration days</w:t>
      </w:r>
      <w:r w:rsidR="00B837B5">
        <w:t xml:space="preserve">. </w:t>
      </w:r>
    </w:p>
    <w:p w14:paraId="55CAC69D" w14:textId="14D47BFC" w:rsidR="00B837B5" w:rsidRDefault="00B837B5" w:rsidP="009A2476">
      <w:pPr>
        <w:pStyle w:val="NormalSS"/>
      </w:pPr>
      <w:r w:rsidRPr="00A15683">
        <w:t xml:space="preserve">When </w:t>
      </w:r>
      <w:r w:rsidR="007A0343" w:rsidRPr="00A15683">
        <w:t xml:space="preserve">youth </w:t>
      </w:r>
      <w:r w:rsidRPr="00A15683">
        <w:t xml:space="preserve">complete the </w:t>
      </w:r>
      <w:r w:rsidR="009F7EFC" w:rsidRPr="00A15683">
        <w:t xml:space="preserve">baseline, 3-month and 6-month </w:t>
      </w:r>
      <w:r w:rsidR="007A0343" w:rsidRPr="00A15683">
        <w:t xml:space="preserve">Physical Activity and Nutrition survey and PLAYBasic and </w:t>
      </w:r>
      <w:r w:rsidR="004D47C7" w:rsidRPr="00A15683">
        <w:t>PLAYInventory at baseline and at 6 month</w:t>
      </w:r>
      <w:r w:rsidRPr="00A15683">
        <w:t xml:space="preserve">, they will receive a small gift </w:t>
      </w:r>
      <w:r w:rsidR="004B7937">
        <w:t xml:space="preserve">or monetary incentive </w:t>
      </w:r>
      <w:r w:rsidR="004D47C7" w:rsidRPr="00A15683">
        <w:t>($5-10</w:t>
      </w:r>
      <w:r w:rsidR="004D47C7">
        <w:t>:</w:t>
      </w:r>
      <w:r>
        <w:t xml:space="preserve"> </w:t>
      </w:r>
      <w:r w:rsidR="004D47C7">
        <w:t>baseline, 3</w:t>
      </w:r>
      <w:r>
        <w:t>-month follow-up</w:t>
      </w:r>
      <w:r w:rsidR="004D47C7">
        <w:t xml:space="preserve"> and 6 month follow-up data collections).  Grantees will encouraged to employ incentives and will have discretion to tailor the exact amount per administration for youth their communities.  </w:t>
      </w:r>
      <w:r w:rsidRPr="00A84C70">
        <w:t xml:space="preserve">Research suggests that providing an incentive for earlier surveys may contribute to higher response rates for subsequent </w:t>
      </w:r>
      <w:r>
        <w:t>surveys.</w:t>
      </w:r>
      <w:r>
        <w:rPr>
          <w:rStyle w:val="FootnoteReference"/>
        </w:rPr>
        <w:footnoteReference w:id="5"/>
      </w:r>
      <w:r>
        <w:t xml:space="preserve"> </w:t>
      </w:r>
      <w:r w:rsidRPr="00A84C70">
        <w:t xml:space="preserve">Therefore, providing a small gift during </w:t>
      </w:r>
      <w:r w:rsidR="004D47C7">
        <w:t>the 3</w:t>
      </w:r>
      <w:r>
        <w:t xml:space="preserve">-month follow-up </w:t>
      </w:r>
      <w:r w:rsidRPr="00A84C70">
        <w:t>may help boost response rates during</w:t>
      </w:r>
      <w:r>
        <w:t xml:space="preserve"> subsequent rounds of data collection. The proposed incentive structure is similar to those used on other federally funded studies with similar populations, including</w:t>
      </w:r>
      <w:r w:rsidR="00232FD4" w:rsidRPr="00232FD4">
        <w:t xml:space="preserve"> The WRTC program, U58-DP524470 (Steps to a Healthier Cleveland), U58DP00107 (Racial and Ethnic Approaches to Community Health), and U48DP005030 (Prevention Research Centers Program), all funded by the Centers for Disease Control and Prevention</w:t>
      </w:r>
      <w:r>
        <w:t xml:space="preserve">, where </w:t>
      </w:r>
      <w:r w:rsidR="00232FD4">
        <w:t>the twelve week</w:t>
      </w:r>
      <w:r>
        <w:t xml:space="preserve"> response rate </w:t>
      </w:r>
      <w:r w:rsidR="00232FD4">
        <w:t>was 67</w:t>
      </w:r>
      <w:r>
        <w:t>.</w:t>
      </w:r>
    </w:p>
    <w:p w14:paraId="5F325218" w14:textId="77777777" w:rsidR="00B837B5" w:rsidRPr="00F1135C" w:rsidRDefault="00B837B5" w:rsidP="009A2476">
      <w:pPr>
        <w:pStyle w:val="NormalSS"/>
      </w:pPr>
      <w:r w:rsidRPr="00666AF9">
        <w:t xml:space="preserve">In addition, we expect that the site’s </w:t>
      </w:r>
      <w:r>
        <w:t xml:space="preserve">continued </w:t>
      </w:r>
      <w:r w:rsidRPr="00666AF9">
        <w:t>willing assistance will be very important to maximizing the response rate</w:t>
      </w:r>
      <w:r>
        <w:t>s</w:t>
      </w:r>
      <w:r w:rsidRPr="00666AF9">
        <w:t xml:space="preserve">; we will therefore invest significant effort in </w:t>
      </w:r>
      <w:r>
        <w:t xml:space="preserve">maintaining positive relationships to </w:t>
      </w:r>
      <w:r w:rsidRPr="00666AF9">
        <w:t>minimiz</w:t>
      </w:r>
      <w:r>
        <w:t>e</w:t>
      </w:r>
      <w:r w:rsidRPr="00666AF9">
        <w:t xml:space="preserve"> burden on </w:t>
      </w:r>
      <w:r>
        <w:t xml:space="preserve">the </w:t>
      </w:r>
      <w:r w:rsidRPr="00666AF9">
        <w:t>sites</w:t>
      </w:r>
      <w:r>
        <w:t xml:space="preserve"> and assure</w:t>
      </w:r>
      <w:r w:rsidRPr="00666AF9">
        <w:t xml:space="preserve"> privacy to the youth participants.</w:t>
      </w:r>
      <w:r>
        <w:t xml:space="preserve"> By applying identical methods for maximizing the response rates of the treatment and control groups, the evaluation team does not anticipate differences in response rates across research groups.</w:t>
      </w:r>
      <w:r w:rsidRPr="00666AF9">
        <w:t xml:space="preserve"> </w:t>
      </w:r>
    </w:p>
    <w:p w14:paraId="2884537D" w14:textId="77777777" w:rsidR="00B837B5" w:rsidRPr="00AB4B33" w:rsidRDefault="00B837B5" w:rsidP="009A2476">
      <w:pPr>
        <w:pStyle w:val="NormalSS"/>
        <w:rPr>
          <w:rFonts w:cs="Garamond"/>
        </w:rPr>
      </w:pPr>
      <w:r>
        <w:t>The evaluation team anticipates high response rates to follow-up surveys. Even so, the team will take steps to understand the nature of any non-response and to account for the threat it may pose to the validity of the study’s impact estimates</w:t>
      </w:r>
      <w:r w:rsidRPr="00381FE6">
        <w:t>.</w:t>
      </w:r>
      <w:r>
        <w:t xml:space="preserve"> Using data from the baseline survey, evaluation team members will first test for statistically significant differences across demographic and baseline outcome variables between the treatment and control group members who are follow-up respondents and control for these differences using covariates when estimating program impacts</w:t>
      </w:r>
      <w:r w:rsidRPr="00843898">
        <w:t xml:space="preserve"> (</w:t>
      </w:r>
      <w:r>
        <w:t>see Attachment E</w:t>
      </w:r>
      <w:r w:rsidRPr="00843898">
        <w:t xml:space="preserve">). </w:t>
      </w:r>
    </w:p>
    <w:p w14:paraId="7783A40B" w14:textId="77777777" w:rsidR="00B837B5" w:rsidRPr="002A6036" w:rsidRDefault="00B837B5" w:rsidP="009A2476">
      <w:pPr>
        <w:pStyle w:val="NormalSS"/>
      </w:pPr>
      <w:bookmarkStart w:id="36" w:name="_Toc320884922"/>
      <w:bookmarkStart w:id="37" w:name="_Toc324845913"/>
      <w:bookmarkStart w:id="38" w:name="_Toc396921850"/>
      <w:bookmarkStart w:id="39" w:name="_Toc437596011"/>
      <w:bookmarkStart w:id="40" w:name="_Toc11857473"/>
      <w:r w:rsidRPr="002A6036">
        <w:t>B4.</w:t>
      </w:r>
      <w:r w:rsidRPr="002A6036">
        <w:tab/>
        <w:t>Test of Procedures or Methods to be Undertaken</w:t>
      </w:r>
      <w:bookmarkEnd w:id="36"/>
      <w:bookmarkEnd w:id="37"/>
      <w:bookmarkEnd w:id="38"/>
      <w:bookmarkEnd w:id="39"/>
      <w:bookmarkEnd w:id="40"/>
    </w:p>
    <w:p w14:paraId="10393EB3" w14:textId="786ADF34" w:rsidR="00B837B5" w:rsidRDefault="005E6E74" w:rsidP="009A2476">
      <w:pPr>
        <w:pStyle w:val="NormalSS"/>
      </w:pPr>
      <w:r>
        <w:t xml:space="preserve">OMH and </w:t>
      </w:r>
      <w:r w:rsidR="004D47C7">
        <w:t xml:space="preserve">OWH </w:t>
      </w:r>
      <w:r w:rsidR="00B837B5">
        <w:t xml:space="preserve">have made it a priority to align measures in the </w:t>
      </w:r>
      <w:r>
        <w:t xml:space="preserve">YES Initiative </w:t>
      </w:r>
      <w:r w:rsidR="00B837B5">
        <w:t xml:space="preserve">up survey across evaluations of similar programs and populations. </w:t>
      </w:r>
      <w:r w:rsidR="00B837B5" w:rsidRPr="00254CCF">
        <w:t xml:space="preserve">Many of the items on the </w:t>
      </w:r>
      <w:r>
        <w:t>Physical Activity and Nutrition Survey</w:t>
      </w:r>
      <w:r w:rsidR="00B837B5" w:rsidRPr="00254CCF">
        <w:t xml:space="preserve"> </w:t>
      </w:r>
      <w:r w:rsidR="00B837B5">
        <w:t xml:space="preserve">are identical to the items in the already-approved </w:t>
      </w:r>
      <w:r>
        <w:t xml:space="preserve">Youth Behavioral Risk Survey </w:t>
      </w:r>
      <w:r w:rsidR="00B837B5">
        <w:t>(OMB Control Number</w:t>
      </w:r>
      <w:r w:rsidR="008A691B" w:rsidRPr="008A691B">
        <w:t xml:space="preserve"> 0920-0493</w:t>
      </w:r>
      <w:r w:rsidR="00B837B5">
        <w:t xml:space="preserve">). </w:t>
      </w:r>
      <w:r w:rsidR="008A691B">
        <w:t xml:space="preserve"> The </w:t>
      </w:r>
      <w:r w:rsidR="00A8653C">
        <w:t>concept of “physical literacy” is relatively new in the literature, but a recent study found i</w:t>
      </w:r>
      <w:r w:rsidR="00A8653C" w:rsidRPr="00A8653C">
        <w:t xml:space="preserve">nter-rater reliability of the PLAYbasic </w:t>
      </w:r>
      <w:r w:rsidR="00A8653C">
        <w:t xml:space="preserve">was </w:t>
      </w:r>
      <w:r w:rsidR="00A8653C" w:rsidRPr="00A8653C">
        <w:t>good-to-excellent for average measures and moderate-to-good for single measures.</w:t>
      </w:r>
      <w:r w:rsidR="00A8653C">
        <w:rPr>
          <w:rStyle w:val="FootnoteReference"/>
        </w:rPr>
        <w:footnoteReference w:id="6"/>
      </w:r>
      <w:r w:rsidR="00A8653C">
        <w:t xml:space="preserve"> </w:t>
      </w:r>
    </w:p>
    <w:p w14:paraId="6CF56CCD" w14:textId="77777777" w:rsidR="00B837B5" w:rsidRDefault="00B837B5" w:rsidP="009A2476">
      <w:pPr>
        <w:pStyle w:val="NormalSS"/>
      </w:pPr>
      <w:bookmarkStart w:id="41" w:name="_Toc320884923"/>
      <w:bookmarkStart w:id="42" w:name="_Toc324845914"/>
      <w:bookmarkStart w:id="43" w:name="_Toc352328731"/>
      <w:bookmarkStart w:id="44" w:name="_Toc353957900"/>
      <w:bookmarkStart w:id="45" w:name="_Toc355704764"/>
      <w:bookmarkStart w:id="46" w:name="_Toc437596012"/>
      <w:bookmarkStart w:id="47" w:name="_Toc11857474"/>
      <w:r>
        <w:t>B5.</w:t>
      </w:r>
      <w:r>
        <w:tab/>
      </w:r>
      <w:r w:rsidRPr="000C3568">
        <w:t>Individuals Consulted on Statistical Aspects and Individuals Collecting and/or Analyzing Data</w:t>
      </w:r>
      <w:bookmarkEnd w:id="41"/>
      <w:bookmarkEnd w:id="42"/>
      <w:bookmarkEnd w:id="43"/>
      <w:bookmarkEnd w:id="44"/>
      <w:bookmarkEnd w:id="45"/>
      <w:bookmarkEnd w:id="46"/>
      <w:bookmarkEnd w:id="47"/>
      <w:r>
        <w:t xml:space="preserve"> </w:t>
      </w:r>
    </w:p>
    <w:p w14:paraId="1E5BE16C" w14:textId="0A9B0DEA" w:rsidR="00B837B5" w:rsidRDefault="00B837B5" w:rsidP="009A2476">
      <w:pPr>
        <w:pStyle w:val="NormalSS"/>
      </w:pPr>
      <w:r>
        <w:t>F</w:t>
      </w:r>
      <w:r w:rsidRPr="00AC0487">
        <w:t xml:space="preserve">ollow-up survey data for the impact study will be collected and analyzed by </w:t>
      </w:r>
      <w:r w:rsidR="00A8653C">
        <w:t xml:space="preserve">OMH and OWH’s </w:t>
      </w:r>
      <w:r w:rsidRPr="00AC0487">
        <w:t xml:space="preserve">prime contracting organization, </w:t>
      </w:r>
      <w:r w:rsidR="00A8653C">
        <w:t>NORC</w:t>
      </w:r>
      <w:r w:rsidRPr="00AC0487">
        <w:t>.</w:t>
      </w:r>
      <w:r w:rsidRPr="003A241E">
        <w:t xml:space="preserve"> </w:t>
      </w:r>
      <w:r w:rsidR="0079296A">
        <w:t xml:space="preserve">See Attachment B for a list of </w:t>
      </w:r>
      <w:r>
        <w:t xml:space="preserve">individuals </w:t>
      </w:r>
      <w:r w:rsidR="0079296A">
        <w:t xml:space="preserve">OMH and OWH consulted </w:t>
      </w:r>
      <w:r>
        <w:t>on follow-up instrument development, and on the data collection and analysis plan.</w:t>
      </w:r>
    </w:p>
    <w:p w14:paraId="6F940F64" w14:textId="4674F334" w:rsidR="003273D9" w:rsidRDefault="003273D9" w:rsidP="00AB07FF">
      <w:pPr>
        <w:pStyle w:val="NormalSS"/>
        <w:ind w:firstLine="0"/>
        <w:rPr>
          <w:rFonts w:eastAsia="Lucida Sans"/>
          <w:b/>
        </w:rPr>
      </w:pPr>
    </w:p>
    <w:sectPr w:rsidR="003273D9" w:rsidSect="00CE5098">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72C16" w14:textId="77777777" w:rsidR="005B3DB0" w:rsidRDefault="005B3DB0" w:rsidP="00CE5098">
      <w:r>
        <w:separator/>
      </w:r>
    </w:p>
  </w:endnote>
  <w:endnote w:type="continuationSeparator" w:id="0">
    <w:p w14:paraId="469D3125" w14:textId="77777777" w:rsidR="005B3DB0" w:rsidRDefault="005B3DB0" w:rsidP="00CE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4E483" w14:textId="77777777" w:rsidR="00B837B5" w:rsidRPr="00843124" w:rsidRDefault="00B837B5" w:rsidP="00AB1363">
    <w:pPr>
      <w:pStyle w:val="Footer"/>
      <w:pBdr>
        <w:bottom w:val="single" w:sz="4" w:space="1" w:color="000000" w:themeColor="text1"/>
      </w:pBdr>
      <w:tabs>
        <w:tab w:val="clear" w:pos="9360"/>
      </w:tabs>
      <w:rPr>
        <w:rFonts w:cs="Arial"/>
        <w:snapToGrid w:val="0"/>
      </w:rPr>
    </w:pPr>
  </w:p>
  <w:p w14:paraId="17BF3C40" w14:textId="77777777" w:rsidR="00B837B5" w:rsidRDefault="00B837B5" w:rsidP="00436B9F">
    <w:pPr>
      <w:pStyle w:val="Footer"/>
      <w:rPr>
        <w:rStyle w:val="PageNumber"/>
        <w:rFonts w:cs="Arial"/>
      </w:rPr>
    </w:pPr>
  </w:p>
  <w:p w14:paraId="1E7721BE" w14:textId="4BE8109F" w:rsidR="00B837B5" w:rsidRPr="004B75AD" w:rsidRDefault="00B837B5" w:rsidP="00436B9F">
    <w:pPr>
      <w:pStyle w:val="Foote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F008CF">
      <w:rPr>
        <w:rStyle w:val="PageNumber"/>
        <w:rFonts w:cs="Arial"/>
        <w:noProof/>
      </w:rPr>
      <w:t>i</w:t>
    </w:r>
    <w:r w:rsidRPr="00843124">
      <w:rPr>
        <w:rStyle w:val="PageNumbe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627102"/>
      <w:docPartObj>
        <w:docPartGallery w:val="Page Numbers (Bottom of Page)"/>
        <w:docPartUnique/>
      </w:docPartObj>
    </w:sdtPr>
    <w:sdtEndPr>
      <w:rPr>
        <w:noProof/>
      </w:rPr>
    </w:sdtEndPr>
    <w:sdtContent>
      <w:p w14:paraId="5FBAEF98" w14:textId="755451AA" w:rsidR="00CE5098" w:rsidRDefault="00CE5098">
        <w:pPr>
          <w:pStyle w:val="Footer"/>
          <w:jc w:val="right"/>
        </w:pPr>
        <w:r>
          <w:fldChar w:fldCharType="begin"/>
        </w:r>
        <w:r>
          <w:instrText xml:space="preserve"> PAGE   \* MERGEFORMAT </w:instrText>
        </w:r>
        <w:r>
          <w:fldChar w:fldCharType="separate"/>
        </w:r>
        <w:r w:rsidR="007E23D9">
          <w:rPr>
            <w:noProof/>
          </w:rPr>
          <w:t>10</w:t>
        </w:r>
        <w:r>
          <w:rPr>
            <w:noProof/>
          </w:rPr>
          <w:fldChar w:fldCharType="end"/>
        </w:r>
      </w:p>
    </w:sdtContent>
  </w:sdt>
  <w:p w14:paraId="21867BED" w14:textId="77777777" w:rsidR="00CE5098" w:rsidRDefault="00CE5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72193" w14:textId="77777777" w:rsidR="005B3DB0" w:rsidRDefault="005B3DB0" w:rsidP="00CE5098">
      <w:r>
        <w:separator/>
      </w:r>
    </w:p>
  </w:footnote>
  <w:footnote w:type="continuationSeparator" w:id="0">
    <w:p w14:paraId="0D28BAE6" w14:textId="77777777" w:rsidR="005B3DB0" w:rsidRDefault="005B3DB0" w:rsidP="00CE5098">
      <w:r>
        <w:continuationSeparator/>
      </w:r>
    </w:p>
  </w:footnote>
  <w:footnote w:id="1">
    <w:p w14:paraId="24A5CB1D" w14:textId="15F9250B" w:rsidR="0043046C" w:rsidRDefault="0043046C" w:rsidP="0043046C">
      <w:pPr>
        <w:pStyle w:val="FootnoteText"/>
      </w:pPr>
      <w:r>
        <w:rPr>
          <w:rStyle w:val="FootnoteReference"/>
        </w:rPr>
        <w:footnoteRef/>
      </w:r>
      <w:r w:rsidRPr="0043046C">
        <w:t>Stearns, J. A., Wohlers, B., McHugh, T. L. F., Kuzik, N., &amp; Spence, J. C. (2019). Reliability and Validity of the PLAY fun Tool with Children and Youth in Northern Canada. Measurement in Physical Education and Exercise Science, 23(1), 47-57.</w:t>
      </w:r>
      <w:r>
        <w:t xml:space="preserve"> DOI: 10.1080/1091367X.2018.1500368</w:t>
      </w:r>
    </w:p>
  </w:footnote>
  <w:footnote w:id="2">
    <w:p w14:paraId="37A5A3B0" w14:textId="69F97886" w:rsidR="0091644D" w:rsidRDefault="0091644D">
      <w:pPr>
        <w:pStyle w:val="FootnoteText"/>
      </w:pPr>
      <w:r>
        <w:rPr>
          <w:rStyle w:val="FootnoteReference"/>
        </w:rPr>
        <w:footnoteRef/>
      </w:r>
      <w:r>
        <w:t xml:space="preserve"> </w:t>
      </w:r>
      <w:r w:rsidRPr="0091644D">
        <w:t>Borawski EA, Jones SD, Yoder LD, Taylor T, Clint BA, Goodwin M, et al. We Run This City: Impact of a Community–School Fitness Program on Obesity, Health, and Fitness. Prev Chronic Dis 2018;15:160471. DOI: https://doi.org/10.5888/pcd15.160471.</w:t>
      </w:r>
    </w:p>
  </w:footnote>
  <w:footnote w:id="3">
    <w:p w14:paraId="371CFD5C" w14:textId="5111B990" w:rsidR="00403B15" w:rsidRDefault="00403B15">
      <w:pPr>
        <w:pStyle w:val="FootnoteText"/>
      </w:pPr>
      <w:r>
        <w:rPr>
          <w:rStyle w:val="FootnoteReference"/>
        </w:rPr>
        <w:footnoteRef/>
      </w:r>
      <w:r>
        <w:t xml:space="preserve"> </w:t>
      </w:r>
      <w:r w:rsidRPr="00403B15">
        <w:t>Gortmaker SL, Cheung LWY, Peterson KE, et al. Impact of a School-Based Interdisciplinary Intervention on Diet and Physical Activity Among Urban Primary School Children: Eat Well and Keep Moving. Arch Pediatr Adolesc Med. 1999;153(9):975–983. doi:10.1001/archpedi.153.9.975</w:t>
      </w:r>
    </w:p>
  </w:footnote>
  <w:footnote w:id="4">
    <w:p w14:paraId="0DC9A240" w14:textId="5B417B24" w:rsidR="00B837B5" w:rsidRDefault="00B837B5" w:rsidP="00B837B5">
      <w:pPr>
        <w:pStyle w:val="FootnoteText"/>
      </w:pPr>
      <w:r>
        <w:rPr>
          <w:rStyle w:val="FootnoteReference"/>
        </w:rPr>
        <w:footnoteRef/>
      </w:r>
      <w:r>
        <w:t xml:space="preserve"> Youth assent is obtained prior to each round of data collection (baseline, </w:t>
      </w:r>
      <w:r w:rsidR="00631039">
        <w:t>3</w:t>
      </w:r>
      <w:r>
        <w:t>-month</w:t>
      </w:r>
      <w:r w:rsidR="00631039">
        <w:t xml:space="preserve"> follow-up </w:t>
      </w:r>
      <w:r>
        <w:t xml:space="preserve">and </w:t>
      </w:r>
      <w:r w:rsidR="00631039">
        <w:t>6</w:t>
      </w:r>
      <w:r>
        <w:t xml:space="preserve">-month follow-up).   </w:t>
      </w:r>
    </w:p>
  </w:footnote>
  <w:footnote w:id="5">
    <w:p w14:paraId="0B6223AE" w14:textId="79266B11" w:rsidR="00B837B5" w:rsidRPr="001B2D5A" w:rsidRDefault="00B837B5" w:rsidP="00B837B5">
      <w:pPr>
        <w:pStyle w:val="FootnoteText"/>
      </w:pPr>
      <w:r w:rsidRPr="0051675D">
        <w:rPr>
          <w:rStyle w:val="FootnoteReference"/>
        </w:rPr>
        <w:footnoteRef/>
      </w:r>
      <w:r w:rsidRPr="001B2D5A">
        <w:t xml:space="preserve"> </w:t>
      </w:r>
      <w:r w:rsidR="00185D66" w:rsidRPr="00185D66">
        <w:t xml:space="preserve">Singer, E., &amp; Ye, C. (2013). The use and effects of incentives in surveys. </w:t>
      </w:r>
      <w:r w:rsidR="00185D66" w:rsidRPr="00185D66">
        <w:rPr>
          <w:i/>
        </w:rPr>
        <w:t>The ANNALS of the American Academy of Political and Social Science</w:t>
      </w:r>
      <w:r w:rsidR="00185D66" w:rsidRPr="00185D66">
        <w:t>, 645(1), 112-141.</w:t>
      </w:r>
    </w:p>
  </w:footnote>
  <w:footnote w:id="6">
    <w:p w14:paraId="3701C2A1" w14:textId="62B5A962" w:rsidR="00A8653C" w:rsidRDefault="00A8653C">
      <w:pPr>
        <w:pStyle w:val="FootnoteText"/>
      </w:pPr>
      <w:r>
        <w:rPr>
          <w:rStyle w:val="FootnoteReference"/>
        </w:rPr>
        <w:footnoteRef/>
      </w:r>
      <w:r>
        <w:t xml:space="preserve"> </w:t>
      </w:r>
      <w:r>
        <w:rPr>
          <w:color w:val="222222"/>
        </w:rPr>
        <w:t xml:space="preserve">Stearns, </w:t>
      </w:r>
      <w:r w:rsidR="00AB07FF">
        <w:rPr>
          <w:color w:val="222222"/>
        </w:rPr>
        <w:t xml:space="preserve">et al,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98A"/>
    <w:multiLevelType w:val="hybridMultilevel"/>
    <w:tmpl w:val="74765B84"/>
    <w:lvl w:ilvl="0" w:tplc="B01CBDBA">
      <w:start w:val="1"/>
      <w:numFmt w:val="decimal"/>
      <w:pStyle w:val="List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2171E"/>
    <w:multiLevelType w:val="hybridMultilevel"/>
    <w:tmpl w:val="22C2EED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73192"/>
    <w:multiLevelType w:val="hybridMultilevel"/>
    <w:tmpl w:val="9E86F9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2670A"/>
    <w:multiLevelType w:val="hybridMultilevel"/>
    <w:tmpl w:val="096CD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F21D25"/>
    <w:multiLevelType w:val="hybridMultilevel"/>
    <w:tmpl w:val="824E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A5085A"/>
    <w:multiLevelType w:val="hybridMultilevel"/>
    <w:tmpl w:val="440033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DA7D3D"/>
    <w:multiLevelType w:val="hybridMultilevel"/>
    <w:tmpl w:val="A3AE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A2"/>
    <w:rsid w:val="00003FFB"/>
    <w:rsid w:val="00007A70"/>
    <w:rsid w:val="000354F1"/>
    <w:rsid w:val="00044D84"/>
    <w:rsid w:val="00050626"/>
    <w:rsid w:val="000524C4"/>
    <w:rsid w:val="000A5C4B"/>
    <w:rsid w:val="000B76B1"/>
    <w:rsid w:val="000D57CC"/>
    <w:rsid w:val="000F4DFB"/>
    <w:rsid w:val="0010621A"/>
    <w:rsid w:val="001323E4"/>
    <w:rsid w:val="001400D3"/>
    <w:rsid w:val="001472F3"/>
    <w:rsid w:val="00150FB1"/>
    <w:rsid w:val="001512FA"/>
    <w:rsid w:val="001609F5"/>
    <w:rsid w:val="0016154C"/>
    <w:rsid w:val="00165941"/>
    <w:rsid w:val="00184DB5"/>
    <w:rsid w:val="00185D66"/>
    <w:rsid w:val="00190AE8"/>
    <w:rsid w:val="0019210C"/>
    <w:rsid w:val="00193B81"/>
    <w:rsid w:val="001F4C0B"/>
    <w:rsid w:val="00202296"/>
    <w:rsid w:val="002024A3"/>
    <w:rsid w:val="002027DE"/>
    <w:rsid w:val="002201E7"/>
    <w:rsid w:val="002226E7"/>
    <w:rsid w:val="00232FD4"/>
    <w:rsid w:val="0024634C"/>
    <w:rsid w:val="00292E80"/>
    <w:rsid w:val="002B11CC"/>
    <w:rsid w:val="002B6D1C"/>
    <w:rsid w:val="002C03B1"/>
    <w:rsid w:val="002C49DF"/>
    <w:rsid w:val="002D280F"/>
    <w:rsid w:val="002F748E"/>
    <w:rsid w:val="00307770"/>
    <w:rsid w:val="00317992"/>
    <w:rsid w:val="003226B6"/>
    <w:rsid w:val="00322951"/>
    <w:rsid w:val="003273D9"/>
    <w:rsid w:val="003377C2"/>
    <w:rsid w:val="00341AF0"/>
    <w:rsid w:val="003545F2"/>
    <w:rsid w:val="00383942"/>
    <w:rsid w:val="00386E8F"/>
    <w:rsid w:val="003A2160"/>
    <w:rsid w:val="003A36C3"/>
    <w:rsid w:val="003D7C6B"/>
    <w:rsid w:val="003E0D68"/>
    <w:rsid w:val="003E3AC3"/>
    <w:rsid w:val="00403B15"/>
    <w:rsid w:val="0042512B"/>
    <w:rsid w:val="0043046C"/>
    <w:rsid w:val="004379E1"/>
    <w:rsid w:val="00447961"/>
    <w:rsid w:val="00456E3D"/>
    <w:rsid w:val="004704DB"/>
    <w:rsid w:val="00492D4E"/>
    <w:rsid w:val="004B3CF2"/>
    <w:rsid w:val="004B7937"/>
    <w:rsid w:val="004C57AD"/>
    <w:rsid w:val="004C6932"/>
    <w:rsid w:val="004D47C7"/>
    <w:rsid w:val="004D7C20"/>
    <w:rsid w:val="004E047B"/>
    <w:rsid w:val="004F7617"/>
    <w:rsid w:val="00543715"/>
    <w:rsid w:val="00546732"/>
    <w:rsid w:val="005718EB"/>
    <w:rsid w:val="005730B1"/>
    <w:rsid w:val="005761B4"/>
    <w:rsid w:val="00581B12"/>
    <w:rsid w:val="00592E04"/>
    <w:rsid w:val="005B1B38"/>
    <w:rsid w:val="005B3DB0"/>
    <w:rsid w:val="005D0978"/>
    <w:rsid w:val="005E6E74"/>
    <w:rsid w:val="005F107C"/>
    <w:rsid w:val="005F6B9D"/>
    <w:rsid w:val="00631039"/>
    <w:rsid w:val="0063579B"/>
    <w:rsid w:val="0064583F"/>
    <w:rsid w:val="006625F1"/>
    <w:rsid w:val="006B2AB5"/>
    <w:rsid w:val="006B7CDA"/>
    <w:rsid w:val="006C266C"/>
    <w:rsid w:val="006E09E4"/>
    <w:rsid w:val="006F4D14"/>
    <w:rsid w:val="00701BC8"/>
    <w:rsid w:val="00713DF5"/>
    <w:rsid w:val="00716E7C"/>
    <w:rsid w:val="007323B2"/>
    <w:rsid w:val="007416F2"/>
    <w:rsid w:val="0074211B"/>
    <w:rsid w:val="00743CF2"/>
    <w:rsid w:val="00756BAB"/>
    <w:rsid w:val="00762C9F"/>
    <w:rsid w:val="00774B54"/>
    <w:rsid w:val="007771B8"/>
    <w:rsid w:val="00781DD4"/>
    <w:rsid w:val="00787C7E"/>
    <w:rsid w:val="0079296A"/>
    <w:rsid w:val="007930DE"/>
    <w:rsid w:val="0079549F"/>
    <w:rsid w:val="007A0343"/>
    <w:rsid w:val="007B04F6"/>
    <w:rsid w:val="007C46AC"/>
    <w:rsid w:val="007C7290"/>
    <w:rsid w:val="007E10B7"/>
    <w:rsid w:val="007E1511"/>
    <w:rsid w:val="007E23D9"/>
    <w:rsid w:val="007F1B0B"/>
    <w:rsid w:val="007F678A"/>
    <w:rsid w:val="0080091E"/>
    <w:rsid w:val="00803177"/>
    <w:rsid w:val="008221B6"/>
    <w:rsid w:val="0082478F"/>
    <w:rsid w:val="00827F69"/>
    <w:rsid w:val="00831E55"/>
    <w:rsid w:val="0083486D"/>
    <w:rsid w:val="008533FC"/>
    <w:rsid w:val="00887C2A"/>
    <w:rsid w:val="00893D97"/>
    <w:rsid w:val="008A691B"/>
    <w:rsid w:val="008C1497"/>
    <w:rsid w:val="008C17C3"/>
    <w:rsid w:val="008C57F6"/>
    <w:rsid w:val="008D46B1"/>
    <w:rsid w:val="008E0E63"/>
    <w:rsid w:val="00900C23"/>
    <w:rsid w:val="00913A7A"/>
    <w:rsid w:val="0091644D"/>
    <w:rsid w:val="00921287"/>
    <w:rsid w:val="009239EE"/>
    <w:rsid w:val="00930C13"/>
    <w:rsid w:val="00952C33"/>
    <w:rsid w:val="00963FD9"/>
    <w:rsid w:val="00977308"/>
    <w:rsid w:val="0099041E"/>
    <w:rsid w:val="00991210"/>
    <w:rsid w:val="00992B5E"/>
    <w:rsid w:val="00993BF1"/>
    <w:rsid w:val="009A2476"/>
    <w:rsid w:val="009A3260"/>
    <w:rsid w:val="009C5DE0"/>
    <w:rsid w:val="009C67C1"/>
    <w:rsid w:val="009D269A"/>
    <w:rsid w:val="009F7EFC"/>
    <w:rsid w:val="00A15683"/>
    <w:rsid w:val="00A4537B"/>
    <w:rsid w:val="00A522DC"/>
    <w:rsid w:val="00A63A56"/>
    <w:rsid w:val="00A75516"/>
    <w:rsid w:val="00A75CAD"/>
    <w:rsid w:val="00A76ACE"/>
    <w:rsid w:val="00A8653C"/>
    <w:rsid w:val="00AA6911"/>
    <w:rsid w:val="00AB07FF"/>
    <w:rsid w:val="00AC3B11"/>
    <w:rsid w:val="00AE7D70"/>
    <w:rsid w:val="00AF7194"/>
    <w:rsid w:val="00B01FE2"/>
    <w:rsid w:val="00B138A0"/>
    <w:rsid w:val="00B150AF"/>
    <w:rsid w:val="00B16CA3"/>
    <w:rsid w:val="00B22E21"/>
    <w:rsid w:val="00B37599"/>
    <w:rsid w:val="00B837B5"/>
    <w:rsid w:val="00B93129"/>
    <w:rsid w:val="00B93FF3"/>
    <w:rsid w:val="00BD338A"/>
    <w:rsid w:val="00BD494A"/>
    <w:rsid w:val="00BE70C2"/>
    <w:rsid w:val="00BF18BF"/>
    <w:rsid w:val="00BF7526"/>
    <w:rsid w:val="00C050F0"/>
    <w:rsid w:val="00C1246A"/>
    <w:rsid w:val="00C24C73"/>
    <w:rsid w:val="00C25D4F"/>
    <w:rsid w:val="00C607E2"/>
    <w:rsid w:val="00C66BE6"/>
    <w:rsid w:val="00C82E09"/>
    <w:rsid w:val="00C90619"/>
    <w:rsid w:val="00C918AF"/>
    <w:rsid w:val="00C92C7A"/>
    <w:rsid w:val="00CA4C08"/>
    <w:rsid w:val="00CA7D7D"/>
    <w:rsid w:val="00CC00A6"/>
    <w:rsid w:val="00CD0F80"/>
    <w:rsid w:val="00CD133A"/>
    <w:rsid w:val="00CE1DCA"/>
    <w:rsid w:val="00CE5098"/>
    <w:rsid w:val="00CF121A"/>
    <w:rsid w:val="00D037AD"/>
    <w:rsid w:val="00D167B1"/>
    <w:rsid w:val="00D17E73"/>
    <w:rsid w:val="00D27933"/>
    <w:rsid w:val="00D50926"/>
    <w:rsid w:val="00D8574C"/>
    <w:rsid w:val="00DA732D"/>
    <w:rsid w:val="00DB7EAB"/>
    <w:rsid w:val="00DF60E0"/>
    <w:rsid w:val="00E07C60"/>
    <w:rsid w:val="00E2111A"/>
    <w:rsid w:val="00E27BC5"/>
    <w:rsid w:val="00E304A2"/>
    <w:rsid w:val="00E30CA1"/>
    <w:rsid w:val="00E3154E"/>
    <w:rsid w:val="00E33320"/>
    <w:rsid w:val="00E471F9"/>
    <w:rsid w:val="00E51E0A"/>
    <w:rsid w:val="00E5545C"/>
    <w:rsid w:val="00E738F7"/>
    <w:rsid w:val="00E74940"/>
    <w:rsid w:val="00E97814"/>
    <w:rsid w:val="00EA3AE5"/>
    <w:rsid w:val="00EB65FC"/>
    <w:rsid w:val="00F008CF"/>
    <w:rsid w:val="00F351F6"/>
    <w:rsid w:val="00F446E4"/>
    <w:rsid w:val="00F63FF9"/>
    <w:rsid w:val="00F64967"/>
    <w:rsid w:val="00F74AF7"/>
    <w:rsid w:val="00F822F0"/>
    <w:rsid w:val="00F947DB"/>
    <w:rsid w:val="00FA5ABB"/>
    <w:rsid w:val="00FB708D"/>
    <w:rsid w:val="161CE6F8"/>
    <w:rsid w:val="17DB6C44"/>
    <w:rsid w:val="30BD78CA"/>
    <w:rsid w:val="461AD131"/>
    <w:rsid w:val="669DC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123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nhideWhenUsed/>
    <w:qFormat/>
    <w:rsid w:val="00CE5098"/>
    <w:pPr>
      <w:tabs>
        <w:tab w:val="center" w:pos="4680"/>
        <w:tab w:val="right" w:pos="9360"/>
      </w:tabs>
    </w:pPr>
  </w:style>
  <w:style w:type="character" w:customStyle="1" w:styleId="HeaderChar">
    <w:name w:val="Header Char"/>
    <w:basedOn w:val="DefaultParagraphFont"/>
    <w:link w:val="Header"/>
    <w:rsid w:val="00CE5098"/>
    <w:rPr>
      <w:rFonts w:ascii="Times New Roman" w:eastAsia="Times New Roman" w:hAnsi="Times New Roman" w:cs="Times New Roman"/>
      <w:sz w:val="20"/>
      <w:szCs w:val="20"/>
    </w:rPr>
  </w:style>
  <w:style w:type="paragraph" w:styleId="Footer">
    <w:name w:val="footer"/>
    <w:basedOn w:val="Normal"/>
    <w:link w:val="FooterChar"/>
    <w:unhideWhenUsed/>
    <w:qFormat/>
    <w:rsid w:val="00CE5098"/>
    <w:pPr>
      <w:tabs>
        <w:tab w:val="center" w:pos="4680"/>
        <w:tab w:val="right" w:pos="9360"/>
      </w:tabs>
    </w:pPr>
  </w:style>
  <w:style w:type="character" w:customStyle="1" w:styleId="FooterChar">
    <w:name w:val="Footer Char"/>
    <w:basedOn w:val="DefaultParagraphFont"/>
    <w:link w:val="Footer"/>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unhideWhenUsed/>
    <w:rsid w:val="00F63FF9"/>
  </w:style>
  <w:style w:type="character" w:customStyle="1" w:styleId="CommentTextChar">
    <w:name w:val="Comment Text Char"/>
    <w:basedOn w:val="DefaultParagraphFont"/>
    <w:link w:val="CommentText"/>
    <w:uiPriority w:val="99"/>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 w:type="paragraph" w:styleId="FootnoteText">
    <w:name w:val="footnote text"/>
    <w:aliases w:val="F1"/>
    <w:basedOn w:val="Normal"/>
    <w:link w:val="FootnoteTextChar"/>
    <w:unhideWhenUsed/>
    <w:qFormat/>
    <w:rsid w:val="002024A3"/>
  </w:style>
  <w:style w:type="character" w:customStyle="1" w:styleId="FootnoteTextChar">
    <w:name w:val="Footnote Text Char"/>
    <w:aliases w:val="F1 Char"/>
    <w:basedOn w:val="DefaultParagraphFont"/>
    <w:link w:val="FootnoteText"/>
    <w:rsid w:val="002024A3"/>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2024A3"/>
    <w:rPr>
      <w:vertAlign w:val="superscript"/>
    </w:rPr>
  </w:style>
  <w:style w:type="character" w:styleId="Hyperlink">
    <w:name w:val="Hyperlink"/>
    <w:basedOn w:val="DefaultParagraphFont"/>
    <w:uiPriority w:val="99"/>
    <w:unhideWhenUsed/>
    <w:rsid w:val="00165941"/>
    <w:rPr>
      <w:color w:val="0000FF"/>
      <w:u w:val="single"/>
    </w:rPr>
  </w:style>
  <w:style w:type="paragraph" w:customStyle="1" w:styleId="Default">
    <w:name w:val="Default"/>
    <w:rsid w:val="002C49DF"/>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B837B5"/>
    <w:pPr>
      <w:spacing w:after="100"/>
      <w:ind w:left="200"/>
    </w:pPr>
  </w:style>
  <w:style w:type="paragraph" w:styleId="TOC8">
    <w:name w:val="toc 8"/>
    <w:basedOn w:val="Normal"/>
    <w:next w:val="Normal"/>
    <w:autoRedefine/>
    <w:uiPriority w:val="39"/>
    <w:semiHidden/>
    <w:unhideWhenUsed/>
    <w:rsid w:val="00B837B5"/>
    <w:pPr>
      <w:spacing w:after="100"/>
      <w:ind w:left="1400"/>
    </w:pPr>
  </w:style>
  <w:style w:type="paragraph" w:customStyle="1" w:styleId="DashLASTSS">
    <w:name w:val="Dash (LAST SS)"/>
    <w:basedOn w:val="Normal"/>
    <w:next w:val="NormalSS"/>
    <w:qFormat/>
    <w:rsid w:val="00B837B5"/>
    <w:pPr>
      <w:widowControl/>
      <w:numPr>
        <w:numId w:val="7"/>
      </w:numPr>
      <w:tabs>
        <w:tab w:val="left" w:pos="288"/>
        <w:tab w:val="left" w:pos="432"/>
      </w:tabs>
      <w:autoSpaceDE/>
      <w:autoSpaceDN/>
      <w:adjustRightInd/>
      <w:spacing w:after="240"/>
      <w:jc w:val="both"/>
    </w:pPr>
    <w:rPr>
      <w:rFonts w:ascii="Garamond" w:hAnsi="Garamond"/>
      <w:sz w:val="24"/>
      <w:szCs w:val="24"/>
    </w:rPr>
  </w:style>
  <w:style w:type="paragraph" w:customStyle="1" w:styleId="NormalSS">
    <w:name w:val="NormalSS"/>
    <w:basedOn w:val="Normal"/>
    <w:link w:val="NormalSSChar"/>
    <w:qFormat/>
    <w:rsid w:val="00B837B5"/>
    <w:pPr>
      <w:widowControl/>
      <w:tabs>
        <w:tab w:val="left" w:pos="432"/>
      </w:tabs>
      <w:autoSpaceDE/>
      <w:autoSpaceDN/>
      <w:adjustRightInd/>
      <w:spacing w:after="240"/>
      <w:ind w:firstLine="432"/>
      <w:jc w:val="both"/>
    </w:pPr>
    <w:rPr>
      <w:rFonts w:ascii="Garamond" w:hAnsi="Garamond"/>
      <w:sz w:val="24"/>
      <w:szCs w:val="24"/>
    </w:rPr>
  </w:style>
  <w:style w:type="paragraph" w:customStyle="1" w:styleId="NormalSScontinued">
    <w:name w:val="NormalSS (continued)"/>
    <w:basedOn w:val="NormalSS"/>
    <w:next w:val="NormalSS"/>
    <w:qFormat/>
    <w:rsid w:val="00B837B5"/>
    <w:pPr>
      <w:ind w:firstLine="0"/>
    </w:pPr>
  </w:style>
  <w:style w:type="character" w:styleId="PageNumber">
    <w:name w:val="page number"/>
    <w:basedOn w:val="DefaultParagraphFont"/>
    <w:qFormat/>
    <w:rsid w:val="00B837B5"/>
    <w:rPr>
      <w:rFonts w:ascii="Arial" w:hAnsi="Arial"/>
      <w:color w:val="auto"/>
      <w:sz w:val="20"/>
      <w:bdr w:val="none" w:sz="0" w:space="0" w:color="auto"/>
    </w:rPr>
  </w:style>
  <w:style w:type="paragraph" w:customStyle="1" w:styleId="TableFootnoteCaption">
    <w:name w:val="Table Footnote_Caption"/>
    <w:qFormat/>
    <w:rsid w:val="00B837B5"/>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Normal"/>
    <w:qFormat/>
    <w:rsid w:val="00B837B5"/>
    <w:pPr>
      <w:widowControl/>
      <w:tabs>
        <w:tab w:val="left" w:pos="432"/>
      </w:tabs>
      <w:autoSpaceDE/>
      <w:autoSpaceDN/>
      <w:adjustRightInd/>
      <w:spacing w:before="120" w:after="60"/>
      <w:jc w:val="center"/>
    </w:pPr>
    <w:rPr>
      <w:rFonts w:ascii="Arial" w:hAnsi="Arial"/>
      <w:b/>
      <w:color w:val="FFFFFF" w:themeColor="background1"/>
      <w:sz w:val="18"/>
      <w:szCs w:val="24"/>
    </w:rPr>
  </w:style>
  <w:style w:type="paragraph" w:styleId="TableofFigures">
    <w:name w:val="table of figures"/>
    <w:basedOn w:val="Normal"/>
    <w:next w:val="Normal"/>
    <w:uiPriority w:val="99"/>
    <w:rsid w:val="00B837B5"/>
    <w:pPr>
      <w:widowControl/>
      <w:tabs>
        <w:tab w:val="left" w:pos="432"/>
        <w:tab w:val="right" w:leader="dot" w:pos="9360"/>
      </w:tabs>
      <w:autoSpaceDE/>
      <w:autoSpaceDN/>
      <w:adjustRightInd/>
      <w:spacing w:after="180" w:line="240" w:lineRule="exact"/>
      <w:ind w:left="720" w:right="720" w:hanging="720"/>
      <w:jc w:val="both"/>
    </w:pPr>
    <w:rPr>
      <w:rFonts w:ascii="Arial" w:hAnsi="Arial"/>
      <w:szCs w:val="24"/>
    </w:rPr>
  </w:style>
  <w:style w:type="paragraph" w:customStyle="1" w:styleId="TableText">
    <w:name w:val="Table Text"/>
    <w:basedOn w:val="Normal"/>
    <w:qFormat/>
    <w:rsid w:val="00B837B5"/>
    <w:pPr>
      <w:widowControl/>
      <w:tabs>
        <w:tab w:val="left" w:pos="432"/>
      </w:tabs>
      <w:autoSpaceDE/>
      <w:autoSpaceDN/>
      <w:adjustRightInd/>
      <w:jc w:val="both"/>
    </w:pPr>
    <w:rPr>
      <w:rFonts w:ascii="Arial" w:hAnsi="Arial"/>
      <w:sz w:val="18"/>
      <w:szCs w:val="24"/>
    </w:rPr>
  </w:style>
  <w:style w:type="paragraph" w:customStyle="1" w:styleId="TableSourceCaption">
    <w:name w:val="Table Source_Caption"/>
    <w:qFormat/>
    <w:rsid w:val="00B837B5"/>
    <w:pPr>
      <w:tabs>
        <w:tab w:val="left" w:pos="792"/>
      </w:tabs>
      <w:spacing w:before="60" w:after="0" w:line="240" w:lineRule="auto"/>
      <w:ind w:left="792" w:hanging="792"/>
    </w:pPr>
    <w:rPr>
      <w:rFonts w:ascii="Arial" w:eastAsia="Times New Roman" w:hAnsi="Arial" w:cs="Times New Roman"/>
      <w:sz w:val="18"/>
      <w:szCs w:val="20"/>
    </w:rPr>
  </w:style>
  <w:style w:type="table" w:customStyle="1" w:styleId="MPRBaseTable">
    <w:name w:val="MPR Base Table"/>
    <w:basedOn w:val="TableNormal"/>
    <w:uiPriority w:val="99"/>
    <w:rsid w:val="00B837B5"/>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B837B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_Black"/>
    <w:basedOn w:val="Normal"/>
    <w:next w:val="Normal"/>
    <w:qFormat/>
    <w:rsid w:val="00B837B5"/>
    <w:pPr>
      <w:widowControl/>
      <w:tabs>
        <w:tab w:val="left" w:pos="432"/>
      </w:tabs>
      <w:autoSpaceDE/>
      <w:autoSpaceDN/>
      <w:adjustRightInd/>
      <w:spacing w:before="240" w:after="240"/>
      <w:jc w:val="center"/>
      <w:outlineLvl w:val="0"/>
    </w:pPr>
    <w:rPr>
      <w:rFonts w:ascii="Arial" w:hAnsi="Arial"/>
      <w:b/>
      <w:caps/>
      <w:sz w:val="24"/>
      <w:szCs w:val="24"/>
    </w:rPr>
  </w:style>
  <w:style w:type="paragraph" w:customStyle="1" w:styleId="MarkforTableHeading">
    <w:name w:val="Mark for Table Heading"/>
    <w:basedOn w:val="Normal"/>
    <w:next w:val="Normal"/>
    <w:qFormat/>
    <w:rsid w:val="00B837B5"/>
    <w:pPr>
      <w:keepNext/>
      <w:widowControl/>
      <w:tabs>
        <w:tab w:val="left" w:pos="432"/>
      </w:tabs>
      <w:autoSpaceDE/>
      <w:autoSpaceDN/>
      <w:adjustRightInd/>
      <w:spacing w:after="60"/>
      <w:jc w:val="both"/>
    </w:pPr>
    <w:rPr>
      <w:rFonts w:ascii="Arial" w:hAnsi="Arial"/>
      <w:b/>
      <w:sz w:val="18"/>
      <w:szCs w:val="24"/>
    </w:rPr>
  </w:style>
  <w:style w:type="paragraph" w:customStyle="1" w:styleId="Heading2Black">
    <w:name w:val="Heading 2_Black"/>
    <w:basedOn w:val="Normal"/>
    <w:next w:val="Normal"/>
    <w:qFormat/>
    <w:rsid w:val="00B837B5"/>
    <w:pPr>
      <w:keepNext/>
      <w:widowControl/>
      <w:tabs>
        <w:tab w:val="left" w:pos="432"/>
      </w:tabs>
      <w:autoSpaceDE/>
      <w:autoSpaceDN/>
      <w:adjustRightInd/>
      <w:spacing w:after="240"/>
      <w:ind w:left="432" w:hanging="432"/>
      <w:jc w:val="both"/>
      <w:outlineLvl w:val="1"/>
    </w:pPr>
    <w:rPr>
      <w:rFonts w:ascii="Arial" w:hAnsi="Arial"/>
      <w:b/>
      <w:sz w:val="24"/>
      <w:szCs w:val="24"/>
    </w:rPr>
  </w:style>
  <w:style w:type="character" w:customStyle="1" w:styleId="NormalSSChar">
    <w:name w:val="NormalSS Char"/>
    <w:basedOn w:val="DefaultParagraphFont"/>
    <w:link w:val="NormalSS"/>
    <w:rsid w:val="00B837B5"/>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6E09E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nhideWhenUsed/>
    <w:qFormat/>
    <w:rsid w:val="00CE5098"/>
    <w:pPr>
      <w:tabs>
        <w:tab w:val="center" w:pos="4680"/>
        <w:tab w:val="right" w:pos="9360"/>
      </w:tabs>
    </w:pPr>
  </w:style>
  <w:style w:type="character" w:customStyle="1" w:styleId="HeaderChar">
    <w:name w:val="Header Char"/>
    <w:basedOn w:val="DefaultParagraphFont"/>
    <w:link w:val="Header"/>
    <w:rsid w:val="00CE5098"/>
    <w:rPr>
      <w:rFonts w:ascii="Times New Roman" w:eastAsia="Times New Roman" w:hAnsi="Times New Roman" w:cs="Times New Roman"/>
      <w:sz w:val="20"/>
      <w:szCs w:val="20"/>
    </w:rPr>
  </w:style>
  <w:style w:type="paragraph" w:styleId="Footer">
    <w:name w:val="footer"/>
    <w:basedOn w:val="Normal"/>
    <w:link w:val="FooterChar"/>
    <w:unhideWhenUsed/>
    <w:qFormat/>
    <w:rsid w:val="00CE5098"/>
    <w:pPr>
      <w:tabs>
        <w:tab w:val="center" w:pos="4680"/>
        <w:tab w:val="right" w:pos="9360"/>
      </w:tabs>
    </w:pPr>
  </w:style>
  <w:style w:type="character" w:customStyle="1" w:styleId="FooterChar">
    <w:name w:val="Footer Char"/>
    <w:basedOn w:val="DefaultParagraphFont"/>
    <w:link w:val="Footer"/>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unhideWhenUsed/>
    <w:rsid w:val="00F63FF9"/>
  </w:style>
  <w:style w:type="character" w:customStyle="1" w:styleId="CommentTextChar">
    <w:name w:val="Comment Text Char"/>
    <w:basedOn w:val="DefaultParagraphFont"/>
    <w:link w:val="CommentText"/>
    <w:uiPriority w:val="99"/>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 w:type="paragraph" w:styleId="FootnoteText">
    <w:name w:val="footnote text"/>
    <w:aliases w:val="F1"/>
    <w:basedOn w:val="Normal"/>
    <w:link w:val="FootnoteTextChar"/>
    <w:unhideWhenUsed/>
    <w:qFormat/>
    <w:rsid w:val="002024A3"/>
  </w:style>
  <w:style w:type="character" w:customStyle="1" w:styleId="FootnoteTextChar">
    <w:name w:val="Footnote Text Char"/>
    <w:aliases w:val="F1 Char"/>
    <w:basedOn w:val="DefaultParagraphFont"/>
    <w:link w:val="FootnoteText"/>
    <w:rsid w:val="002024A3"/>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2024A3"/>
    <w:rPr>
      <w:vertAlign w:val="superscript"/>
    </w:rPr>
  </w:style>
  <w:style w:type="character" w:styleId="Hyperlink">
    <w:name w:val="Hyperlink"/>
    <w:basedOn w:val="DefaultParagraphFont"/>
    <w:uiPriority w:val="99"/>
    <w:unhideWhenUsed/>
    <w:rsid w:val="00165941"/>
    <w:rPr>
      <w:color w:val="0000FF"/>
      <w:u w:val="single"/>
    </w:rPr>
  </w:style>
  <w:style w:type="paragraph" w:customStyle="1" w:styleId="Default">
    <w:name w:val="Default"/>
    <w:rsid w:val="002C49DF"/>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B837B5"/>
    <w:pPr>
      <w:spacing w:after="100"/>
      <w:ind w:left="200"/>
    </w:pPr>
  </w:style>
  <w:style w:type="paragraph" w:styleId="TOC8">
    <w:name w:val="toc 8"/>
    <w:basedOn w:val="Normal"/>
    <w:next w:val="Normal"/>
    <w:autoRedefine/>
    <w:uiPriority w:val="39"/>
    <w:semiHidden/>
    <w:unhideWhenUsed/>
    <w:rsid w:val="00B837B5"/>
    <w:pPr>
      <w:spacing w:after="100"/>
      <w:ind w:left="1400"/>
    </w:pPr>
  </w:style>
  <w:style w:type="paragraph" w:customStyle="1" w:styleId="DashLASTSS">
    <w:name w:val="Dash (LAST SS)"/>
    <w:basedOn w:val="Normal"/>
    <w:next w:val="NormalSS"/>
    <w:qFormat/>
    <w:rsid w:val="00B837B5"/>
    <w:pPr>
      <w:widowControl/>
      <w:numPr>
        <w:numId w:val="7"/>
      </w:numPr>
      <w:tabs>
        <w:tab w:val="left" w:pos="288"/>
        <w:tab w:val="left" w:pos="432"/>
      </w:tabs>
      <w:autoSpaceDE/>
      <w:autoSpaceDN/>
      <w:adjustRightInd/>
      <w:spacing w:after="240"/>
      <w:jc w:val="both"/>
    </w:pPr>
    <w:rPr>
      <w:rFonts w:ascii="Garamond" w:hAnsi="Garamond"/>
      <w:sz w:val="24"/>
      <w:szCs w:val="24"/>
    </w:rPr>
  </w:style>
  <w:style w:type="paragraph" w:customStyle="1" w:styleId="NormalSS">
    <w:name w:val="NormalSS"/>
    <w:basedOn w:val="Normal"/>
    <w:link w:val="NormalSSChar"/>
    <w:qFormat/>
    <w:rsid w:val="00B837B5"/>
    <w:pPr>
      <w:widowControl/>
      <w:tabs>
        <w:tab w:val="left" w:pos="432"/>
      </w:tabs>
      <w:autoSpaceDE/>
      <w:autoSpaceDN/>
      <w:adjustRightInd/>
      <w:spacing w:after="240"/>
      <w:ind w:firstLine="432"/>
      <w:jc w:val="both"/>
    </w:pPr>
    <w:rPr>
      <w:rFonts w:ascii="Garamond" w:hAnsi="Garamond"/>
      <w:sz w:val="24"/>
      <w:szCs w:val="24"/>
    </w:rPr>
  </w:style>
  <w:style w:type="paragraph" w:customStyle="1" w:styleId="NormalSScontinued">
    <w:name w:val="NormalSS (continued)"/>
    <w:basedOn w:val="NormalSS"/>
    <w:next w:val="NormalSS"/>
    <w:qFormat/>
    <w:rsid w:val="00B837B5"/>
    <w:pPr>
      <w:ind w:firstLine="0"/>
    </w:pPr>
  </w:style>
  <w:style w:type="character" w:styleId="PageNumber">
    <w:name w:val="page number"/>
    <w:basedOn w:val="DefaultParagraphFont"/>
    <w:qFormat/>
    <w:rsid w:val="00B837B5"/>
    <w:rPr>
      <w:rFonts w:ascii="Arial" w:hAnsi="Arial"/>
      <w:color w:val="auto"/>
      <w:sz w:val="20"/>
      <w:bdr w:val="none" w:sz="0" w:space="0" w:color="auto"/>
    </w:rPr>
  </w:style>
  <w:style w:type="paragraph" w:customStyle="1" w:styleId="TableFootnoteCaption">
    <w:name w:val="Table Footnote_Caption"/>
    <w:qFormat/>
    <w:rsid w:val="00B837B5"/>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Normal"/>
    <w:qFormat/>
    <w:rsid w:val="00B837B5"/>
    <w:pPr>
      <w:widowControl/>
      <w:tabs>
        <w:tab w:val="left" w:pos="432"/>
      </w:tabs>
      <w:autoSpaceDE/>
      <w:autoSpaceDN/>
      <w:adjustRightInd/>
      <w:spacing w:before="120" w:after="60"/>
      <w:jc w:val="center"/>
    </w:pPr>
    <w:rPr>
      <w:rFonts w:ascii="Arial" w:hAnsi="Arial"/>
      <w:b/>
      <w:color w:val="FFFFFF" w:themeColor="background1"/>
      <w:sz w:val="18"/>
      <w:szCs w:val="24"/>
    </w:rPr>
  </w:style>
  <w:style w:type="paragraph" w:styleId="TableofFigures">
    <w:name w:val="table of figures"/>
    <w:basedOn w:val="Normal"/>
    <w:next w:val="Normal"/>
    <w:uiPriority w:val="99"/>
    <w:rsid w:val="00B837B5"/>
    <w:pPr>
      <w:widowControl/>
      <w:tabs>
        <w:tab w:val="left" w:pos="432"/>
        <w:tab w:val="right" w:leader="dot" w:pos="9360"/>
      </w:tabs>
      <w:autoSpaceDE/>
      <w:autoSpaceDN/>
      <w:adjustRightInd/>
      <w:spacing w:after="180" w:line="240" w:lineRule="exact"/>
      <w:ind w:left="720" w:right="720" w:hanging="720"/>
      <w:jc w:val="both"/>
    </w:pPr>
    <w:rPr>
      <w:rFonts w:ascii="Arial" w:hAnsi="Arial"/>
      <w:szCs w:val="24"/>
    </w:rPr>
  </w:style>
  <w:style w:type="paragraph" w:customStyle="1" w:styleId="TableText">
    <w:name w:val="Table Text"/>
    <w:basedOn w:val="Normal"/>
    <w:qFormat/>
    <w:rsid w:val="00B837B5"/>
    <w:pPr>
      <w:widowControl/>
      <w:tabs>
        <w:tab w:val="left" w:pos="432"/>
      </w:tabs>
      <w:autoSpaceDE/>
      <w:autoSpaceDN/>
      <w:adjustRightInd/>
      <w:jc w:val="both"/>
    </w:pPr>
    <w:rPr>
      <w:rFonts w:ascii="Arial" w:hAnsi="Arial"/>
      <w:sz w:val="18"/>
      <w:szCs w:val="24"/>
    </w:rPr>
  </w:style>
  <w:style w:type="paragraph" w:customStyle="1" w:styleId="TableSourceCaption">
    <w:name w:val="Table Source_Caption"/>
    <w:qFormat/>
    <w:rsid w:val="00B837B5"/>
    <w:pPr>
      <w:tabs>
        <w:tab w:val="left" w:pos="792"/>
      </w:tabs>
      <w:spacing w:before="60" w:after="0" w:line="240" w:lineRule="auto"/>
      <w:ind w:left="792" w:hanging="792"/>
    </w:pPr>
    <w:rPr>
      <w:rFonts w:ascii="Arial" w:eastAsia="Times New Roman" w:hAnsi="Arial" w:cs="Times New Roman"/>
      <w:sz w:val="18"/>
      <w:szCs w:val="20"/>
    </w:rPr>
  </w:style>
  <w:style w:type="table" w:customStyle="1" w:styleId="MPRBaseTable">
    <w:name w:val="MPR Base Table"/>
    <w:basedOn w:val="TableNormal"/>
    <w:uiPriority w:val="99"/>
    <w:rsid w:val="00B837B5"/>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B837B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_Black"/>
    <w:basedOn w:val="Normal"/>
    <w:next w:val="Normal"/>
    <w:qFormat/>
    <w:rsid w:val="00B837B5"/>
    <w:pPr>
      <w:widowControl/>
      <w:tabs>
        <w:tab w:val="left" w:pos="432"/>
      </w:tabs>
      <w:autoSpaceDE/>
      <w:autoSpaceDN/>
      <w:adjustRightInd/>
      <w:spacing w:before="240" w:after="240"/>
      <w:jc w:val="center"/>
      <w:outlineLvl w:val="0"/>
    </w:pPr>
    <w:rPr>
      <w:rFonts w:ascii="Arial" w:hAnsi="Arial"/>
      <w:b/>
      <w:caps/>
      <w:sz w:val="24"/>
      <w:szCs w:val="24"/>
    </w:rPr>
  </w:style>
  <w:style w:type="paragraph" w:customStyle="1" w:styleId="MarkforTableHeading">
    <w:name w:val="Mark for Table Heading"/>
    <w:basedOn w:val="Normal"/>
    <w:next w:val="Normal"/>
    <w:qFormat/>
    <w:rsid w:val="00B837B5"/>
    <w:pPr>
      <w:keepNext/>
      <w:widowControl/>
      <w:tabs>
        <w:tab w:val="left" w:pos="432"/>
      </w:tabs>
      <w:autoSpaceDE/>
      <w:autoSpaceDN/>
      <w:adjustRightInd/>
      <w:spacing w:after="60"/>
      <w:jc w:val="both"/>
    </w:pPr>
    <w:rPr>
      <w:rFonts w:ascii="Arial" w:hAnsi="Arial"/>
      <w:b/>
      <w:sz w:val="18"/>
      <w:szCs w:val="24"/>
    </w:rPr>
  </w:style>
  <w:style w:type="paragraph" w:customStyle="1" w:styleId="Heading2Black">
    <w:name w:val="Heading 2_Black"/>
    <w:basedOn w:val="Normal"/>
    <w:next w:val="Normal"/>
    <w:qFormat/>
    <w:rsid w:val="00B837B5"/>
    <w:pPr>
      <w:keepNext/>
      <w:widowControl/>
      <w:tabs>
        <w:tab w:val="left" w:pos="432"/>
      </w:tabs>
      <w:autoSpaceDE/>
      <w:autoSpaceDN/>
      <w:adjustRightInd/>
      <w:spacing w:after="240"/>
      <w:ind w:left="432" w:hanging="432"/>
      <w:jc w:val="both"/>
      <w:outlineLvl w:val="1"/>
    </w:pPr>
    <w:rPr>
      <w:rFonts w:ascii="Arial" w:hAnsi="Arial"/>
      <w:b/>
      <w:sz w:val="24"/>
      <w:szCs w:val="24"/>
    </w:rPr>
  </w:style>
  <w:style w:type="character" w:customStyle="1" w:styleId="NormalSSChar">
    <w:name w:val="NormalSS Char"/>
    <w:basedOn w:val="DefaultParagraphFont"/>
    <w:link w:val="NormalSS"/>
    <w:rsid w:val="00B837B5"/>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6E0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3019">
      <w:bodyDiv w:val="1"/>
      <w:marLeft w:val="0"/>
      <w:marRight w:val="0"/>
      <w:marTop w:val="0"/>
      <w:marBottom w:val="0"/>
      <w:divBdr>
        <w:top w:val="none" w:sz="0" w:space="0" w:color="auto"/>
        <w:left w:val="none" w:sz="0" w:space="0" w:color="auto"/>
        <w:bottom w:val="none" w:sz="0" w:space="0" w:color="auto"/>
        <w:right w:val="none" w:sz="0" w:space="0" w:color="auto"/>
      </w:divBdr>
    </w:div>
    <w:div w:id="207500235">
      <w:bodyDiv w:val="1"/>
      <w:marLeft w:val="0"/>
      <w:marRight w:val="0"/>
      <w:marTop w:val="0"/>
      <w:marBottom w:val="0"/>
      <w:divBdr>
        <w:top w:val="none" w:sz="0" w:space="0" w:color="auto"/>
        <w:left w:val="none" w:sz="0" w:space="0" w:color="auto"/>
        <w:bottom w:val="none" w:sz="0" w:space="0" w:color="auto"/>
        <w:right w:val="none" w:sz="0" w:space="0" w:color="auto"/>
      </w:divBdr>
    </w:div>
    <w:div w:id="407115471">
      <w:bodyDiv w:val="1"/>
      <w:marLeft w:val="0"/>
      <w:marRight w:val="0"/>
      <w:marTop w:val="0"/>
      <w:marBottom w:val="0"/>
      <w:divBdr>
        <w:top w:val="none" w:sz="0" w:space="0" w:color="auto"/>
        <w:left w:val="none" w:sz="0" w:space="0" w:color="auto"/>
        <w:bottom w:val="none" w:sz="0" w:space="0" w:color="auto"/>
        <w:right w:val="none" w:sz="0" w:space="0" w:color="auto"/>
      </w:divBdr>
    </w:div>
    <w:div w:id="611325893">
      <w:bodyDiv w:val="1"/>
      <w:marLeft w:val="0"/>
      <w:marRight w:val="0"/>
      <w:marTop w:val="0"/>
      <w:marBottom w:val="0"/>
      <w:divBdr>
        <w:top w:val="none" w:sz="0" w:space="0" w:color="auto"/>
        <w:left w:val="none" w:sz="0" w:space="0" w:color="auto"/>
        <w:bottom w:val="none" w:sz="0" w:space="0" w:color="auto"/>
        <w:right w:val="none" w:sz="0" w:space="0" w:color="auto"/>
      </w:divBdr>
    </w:div>
    <w:div w:id="774592189">
      <w:bodyDiv w:val="1"/>
      <w:marLeft w:val="0"/>
      <w:marRight w:val="0"/>
      <w:marTop w:val="0"/>
      <w:marBottom w:val="0"/>
      <w:divBdr>
        <w:top w:val="none" w:sz="0" w:space="0" w:color="auto"/>
        <w:left w:val="none" w:sz="0" w:space="0" w:color="auto"/>
        <w:bottom w:val="none" w:sz="0" w:space="0" w:color="auto"/>
        <w:right w:val="none" w:sz="0" w:space="0" w:color="auto"/>
      </w:divBdr>
    </w:div>
    <w:div w:id="1040277480">
      <w:bodyDiv w:val="1"/>
      <w:marLeft w:val="0"/>
      <w:marRight w:val="0"/>
      <w:marTop w:val="0"/>
      <w:marBottom w:val="0"/>
      <w:divBdr>
        <w:top w:val="none" w:sz="0" w:space="0" w:color="auto"/>
        <w:left w:val="none" w:sz="0" w:space="0" w:color="auto"/>
        <w:bottom w:val="none" w:sz="0" w:space="0" w:color="auto"/>
        <w:right w:val="none" w:sz="0" w:space="0" w:color="auto"/>
      </w:divBdr>
    </w:div>
    <w:div w:id="1088844038">
      <w:bodyDiv w:val="1"/>
      <w:marLeft w:val="0"/>
      <w:marRight w:val="0"/>
      <w:marTop w:val="0"/>
      <w:marBottom w:val="0"/>
      <w:divBdr>
        <w:top w:val="none" w:sz="0" w:space="0" w:color="auto"/>
        <w:left w:val="none" w:sz="0" w:space="0" w:color="auto"/>
        <w:bottom w:val="none" w:sz="0" w:space="0" w:color="auto"/>
        <w:right w:val="none" w:sz="0" w:space="0" w:color="auto"/>
      </w:divBdr>
    </w:div>
    <w:div w:id="1328362835">
      <w:bodyDiv w:val="1"/>
      <w:marLeft w:val="0"/>
      <w:marRight w:val="0"/>
      <w:marTop w:val="0"/>
      <w:marBottom w:val="0"/>
      <w:divBdr>
        <w:top w:val="none" w:sz="0" w:space="0" w:color="auto"/>
        <w:left w:val="none" w:sz="0" w:space="0" w:color="auto"/>
        <w:bottom w:val="none" w:sz="0" w:space="0" w:color="auto"/>
        <w:right w:val="none" w:sz="0" w:space="0" w:color="auto"/>
      </w:divBdr>
    </w:div>
    <w:div w:id="1761675452">
      <w:bodyDiv w:val="1"/>
      <w:marLeft w:val="0"/>
      <w:marRight w:val="0"/>
      <w:marTop w:val="0"/>
      <w:marBottom w:val="0"/>
      <w:divBdr>
        <w:top w:val="none" w:sz="0" w:space="0" w:color="auto"/>
        <w:left w:val="none" w:sz="0" w:space="0" w:color="auto"/>
        <w:bottom w:val="none" w:sz="0" w:space="0" w:color="auto"/>
        <w:right w:val="none" w:sz="0" w:space="0" w:color="auto"/>
      </w:divBdr>
    </w:div>
    <w:div w:id="1834105129">
      <w:bodyDiv w:val="1"/>
      <w:marLeft w:val="0"/>
      <w:marRight w:val="0"/>
      <w:marTop w:val="0"/>
      <w:marBottom w:val="0"/>
      <w:divBdr>
        <w:top w:val="none" w:sz="0" w:space="0" w:color="auto"/>
        <w:left w:val="none" w:sz="0" w:space="0" w:color="auto"/>
        <w:bottom w:val="none" w:sz="0" w:space="0" w:color="auto"/>
        <w:right w:val="none" w:sz="0" w:space="0" w:color="auto"/>
      </w:divBdr>
    </w:div>
    <w:div w:id="19937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4659E0A54FA4182595027A8BC18F7" ma:contentTypeVersion="1" ma:contentTypeDescription="Create a new document." ma:contentTypeScope="" ma:versionID="5f36164983defce5af5156d9c6d34ac6">
  <xsd:schema xmlns:xsd="http://www.w3.org/2001/XMLSchema" xmlns:xs="http://www.w3.org/2001/XMLSchema" xmlns:p="http://schemas.microsoft.com/office/2006/metadata/properties" xmlns:ns2="528385ab-af94-4070-b15d-2d293732201d" targetNamespace="http://schemas.microsoft.com/office/2006/metadata/properties" ma:root="true" ma:fieldsID="38bdbbfe4fcfd6b347e1ed9abe35a500" ns2:_="">
    <xsd:import namespace="528385ab-af94-4070-b15d-2d293732201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385ab-af94-4070-b15d-2d29373220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28385ab-af94-4070-b15d-2d293732201d">AFUUJCC23RV5-306063024-320</_dlc_DocId>
    <_dlc_DocIdUrl xmlns="528385ab-af94-4070-b15d-2d293732201d">
      <Url>https://omh.hhs.gov/foa/_layouts/15/DocIdRedir.aspx?ID=AFUUJCC23RV5-306063024-320</Url>
      <Description>AFUUJCC23RV5-306063024-320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990C-0F1D-4CD0-AF80-2A14B703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385ab-af94-4070-b15d-2d293732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FBE8C-9866-4FB5-AAC9-BDEE15C2C0E8}">
  <ds:schemaRefs>
    <ds:schemaRef ds:uri="http://schemas.microsoft.com/sharepoint/v3/contenttype/forms"/>
  </ds:schemaRefs>
</ds:datastoreItem>
</file>

<file path=customXml/itemProps3.xml><?xml version="1.0" encoding="utf-8"?>
<ds:datastoreItem xmlns:ds="http://schemas.openxmlformats.org/officeDocument/2006/customXml" ds:itemID="{39140B66-CFEA-4FE4-9BFF-9B1F14161172}">
  <ds:schemaRefs>
    <ds:schemaRef ds:uri="http://schemas.microsoft.com/sharepoint/events"/>
  </ds:schemaRefs>
</ds:datastoreItem>
</file>

<file path=customXml/itemProps4.xml><?xml version="1.0" encoding="utf-8"?>
<ds:datastoreItem xmlns:ds="http://schemas.openxmlformats.org/officeDocument/2006/customXml" ds:itemID="{095B3358-D242-46CB-A060-D87E93CE22E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8385ab-af94-4070-b15d-2d293732201d"/>
    <ds:schemaRef ds:uri="http://www.w3.org/XML/1998/namespace"/>
    <ds:schemaRef ds:uri="http://purl.org/dc/dcmitype/"/>
  </ds:schemaRefs>
</ds:datastoreItem>
</file>

<file path=customXml/itemProps5.xml><?xml version="1.0" encoding="utf-8"?>
<ds:datastoreItem xmlns:ds="http://schemas.openxmlformats.org/officeDocument/2006/customXml" ds:itemID="{2CDD92B6-0622-4F4E-B4C3-5A018593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Noelle Miesfeld</dc:creator>
  <cp:lastModifiedBy>SYSTEM</cp:lastModifiedBy>
  <cp:revision>2</cp:revision>
  <cp:lastPrinted>2019-06-21T13:16:00Z</cp:lastPrinted>
  <dcterms:created xsi:type="dcterms:W3CDTF">2019-08-14T20:42:00Z</dcterms:created>
  <dcterms:modified xsi:type="dcterms:W3CDTF">2019-08-14T20:42:00Z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0x0101009BD4659E0A54FA4182595027A8BC18F7</vt:lpwstr>
  </property>
  <property fmtid="{D5CDD505-2E9C-101B-9397-08002B2CF9AE}" pid="3" name="IsMyDocuments">
    <vt:bool>true</vt:bool>
  </property>
  <property fmtid="{D5CDD505-2E9C-101B-9397-08002B2CF9AE}" pid="4" name="_dlc_DocIdItemGuid">
    <vt:lpwstr>8bc6571e-2a97-4ff0-81c9-7bbe655e45e4</vt:lpwstr>
  </property>
</Properties>
</file>