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97D32"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bookmarkStart w:id="0" w:name="_GoBack"/>
      <w:bookmarkEnd w:id="0"/>
    </w:p>
    <w:p w14:paraId="2A74A7E8" w14:textId="77777777" w:rsidR="00E35DD1" w:rsidRPr="008942E9" w:rsidRDefault="00E35DD1" w:rsidP="00767C53">
      <w:pPr>
        <w:pStyle w:val="P1-StandPara"/>
        <w:tabs>
          <w:tab w:val="left" w:pos="720"/>
          <w:tab w:val="right" w:leader="dot" w:pos="9504"/>
        </w:tabs>
        <w:spacing w:before="120" w:after="120"/>
        <w:ind w:firstLine="0"/>
        <w:jc w:val="center"/>
        <w:rPr>
          <w:rFonts w:ascii="Calibri" w:hAnsi="Calibri"/>
          <w:szCs w:val="22"/>
        </w:rPr>
      </w:pPr>
      <w:r w:rsidRPr="008942E9">
        <w:rPr>
          <w:rFonts w:ascii="Calibri" w:hAnsi="Calibri"/>
          <w:szCs w:val="22"/>
        </w:rPr>
        <w:t>Supporting Statement A for</w:t>
      </w:r>
    </w:p>
    <w:p w14:paraId="65033FB3" w14:textId="67165990" w:rsidR="004B2D22" w:rsidRPr="008942E9" w:rsidRDefault="009D6762">
      <w:pPr>
        <w:pStyle w:val="P1-StandPara"/>
        <w:tabs>
          <w:tab w:val="left" w:pos="720"/>
          <w:tab w:val="right" w:leader="dot" w:pos="9504"/>
        </w:tabs>
        <w:spacing w:before="120" w:after="120"/>
        <w:ind w:firstLine="0"/>
        <w:jc w:val="center"/>
        <w:rPr>
          <w:rFonts w:ascii="Calibri" w:hAnsi="Calibri"/>
          <w:szCs w:val="22"/>
        </w:rPr>
      </w:pPr>
      <w:r>
        <w:rPr>
          <w:rFonts w:ascii="Calibri" w:hAnsi="Calibri"/>
          <w:szCs w:val="22"/>
        </w:rPr>
        <w:t>National Cancer Institute</w:t>
      </w:r>
      <w:r w:rsidR="008D16E5">
        <w:rPr>
          <w:rFonts w:ascii="Calibri" w:hAnsi="Calibri"/>
          <w:szCs w:val="22"/>
        </w:rPr>
        <w:t xml:space="preserve"> (NCI)</w:t>
      </w:r>
      <w:r w:rsidR="004D1C8A">
        <w:rPr>
          <w:rFonts w:ascii="Calibri" w:hAnsi="Calibri"/>
          <w:szCs w:val="22"/>
        </w:rPr>
        <w:t xml:space="preserve"> </w:t>
      </w:r>
      <w:r w:rsidR="004B2D22">
        <w:rPr>
          <w:rFonts w:ascii="Calibri" w:hAnsi="Calibri"/>
          <w:szCs w:val="22"/>
        </w:rPr>
        <w:t xml:space="preserve">Future Fellows </w:t>
      </w:r>
      <w:r w:rsidR="00761396">
        <w:rPr>
          <w:rFonts w:ascii="Calibri" w:hAnsi="Calibri"/>
          <w:szCs w:val="22"/>
        </w:rPr>
        <w:t>Resume Databank</w:t>
      </w:r>
      <w:r w:rsidR="004B2D22">
        <w:rPr>
          <w:rFonts w:ascii="Calibri" w:hAnsi="Calibri"/>
          <w:szCs w:val="22"/>
        </w:rPr>
        <w:t xml:space="preserve"> </w:t>
      </w:r>
    </w:p>
    <w:p w14:paraId="48AF99D5"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p>
    <w:p w14:paraId="13AD581F" w14:textId="60A5A1A4" w:rsidR="00E35DD1" w:rsidRPr="008942E9" w:rsidRDefault="00E35DD1" w:rsidP="00024899">
      <w:pPr>
        <w:pStyle w:val="P1-StandPara"/>
        <w:tabs>
          <w:tab w:val="left" w:pos="720"/>
          <w:tab w:val="right" w:leader="dot" w:pos="9504"/>
        </w:tabs>
        <w:spacing w:before="120" w:after="120"/>
        <w:ind w:firstLine="0"/>
        <w:rPr>
          <w:rFonts w:ascii="Calibri" w:hAnsi="Calibri"/>
          <w:szCs w:val="22"/>
        </w:rPr>
      </w:pPr>
    </w:p>
    <w:p w14:paraId="7C1A6BA2" w14:textId="77777777" w:rsidR="00024899"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1CA025E8" w14:textId="3C1FEC50" w:rsidR="00E35DD1" w:rsidRPr="008942E9" w:rsidRDefault="00E35DD1" w:rsidP="001B5A3C">
      <w:pPr>
        <w:pStyle w:val="P1-StandPara"/>
        <w:tabs>
          <w:tab w:val="left" w:pos="720"/>
          <w:tab w:val="right" w:leader="dot" w:pos="9504"/>
        </w:tabs>
        <w:spacing w:before="120" w:after="120"/>
        <w:ind w:firstLine="0"/>
        <w:rPr>
          <w:rFonts w:ascii="Calibri" w:hAnsi="Calibri"/>
          <w:szCs w:val="22"/>
        </w:rPr>
      </w:pPr>
      <w:r w:rsidRPr="004E7F62">
        <w:rPr>
          <w:rFonts w:ascii="Calibri" w:hAnsi="Calibri"/>
          <w:szCs w:val="22"/>
        </w:rPr>
        <w:t>Date</w:t>
      </w:r>
      <w:r w:rsidR="00BE76A7" w:rsidRPr="004E7F62">
        <w:rPr>
          <w:rFonts w:ascii="Calibri" w:hAnsi="Calibri"/>
          <w:szCs w:val="22"/>
        </w:rPr>
        <w:t xml:space="preserve">: </w:t>
      </w:r>
      <w:r w:rsidR="00A022FB">
        <w:rPr>
          <w:rFonts w:ascii="Calibri" w:hAnsi="Calibri"/>
          <w:szCs w:val="22"/>
        </w:rPr>
        <w:t>December 11</w:t>
      </w:r>
      <w:r w:rsidR="004B2D22" w:rsidRPr="004E7F62">
        <w:rPr>
          <w:rFonts w:ascii="Calibri" w:hAnsi="Calibri"/>
          <w:szCs w:val="22"/>
        </w:rPr>
        <w:t>, 2018</w:t>
      </w:r>
      <w:r w:rsidRPr="008942E9">
        <w:rPr>
          <w:rFonts w:ascii="Calibri" w:hAnsi="Calibri"/>
          <w:szCs w:val="22"/>
        </w:rPr>
        <w:t xml:space="preserve">                        </w:t>
      </w:r>
    </w:p>
    <w:p w14:paraId="46DAF917"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Name:</w:t>
      </w:r>
      <w:r w:rsidR="004B2D22">
        <w:rPr>
          <w:rFonts w:ascii="Calibri" w:hAnsi="Calibri"/>
          <w:szCs w:val="22"/>
        </w:rPr>
        <w:t xml:space="preserve"> Angela R. Jones</w:t>
      </w:r>
    </w:p>
    <w:p w14:paraId="5992CFF4" w14:textId="5194BC78" w:rsidR="00054C87"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Address:</w:t>
      </w:r>
      <w:r w:rsidR="004B2D22">
        <w:rPr>
          <w:rFonts w:ascii="Calibri" w:hAnsi="Calibri"/>
          <w:szCs w:val="22"/>
        </w:rPr>
        <w:t xml:space="preserve"> 9609 Medical Center Drive, Room 2W-236</w:t>
      </w:r>
      <w:r w:rsidR="00054C87">
        <w:rPr>
          <w:rFonts w:ascii="Calibri" w:hAnsi="Calibri"/>
          <w:szCs w:val="22"/>
        </w:rPr>
        <w:t xml:space="preserve">, Bethesda, </w:t>
      </w:r>
      <w:r w:rsidR="00F625DD">
        <w:rPr>
          <w:rFonts w:ascii="Calibri" w:hAnsi="Calibri"/>
          <w:szCs w:val="22"/>
        </w:rPr>
        <w:t>Maryland 20892</w:t>
      </w:r>
      <w:r w:rsidR="00054C87">
        <w:rPr>
          <w:rFonts w:ascii="Calibri" w:hAnsi="Calibri"/>
          <w:szCs w:val="22"/>
        </w:rPr>
        <w:t>-9776</w:t>
      </w:r>
    </w:p>
    <w:p w14:paraId="7040B35B"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Telephone:</w:t>
      </w:r>
      <w:r w:rsidR="004B2D22">
        <w:rPr>
          <w:rFonts w:ascii="Calibri" w:hAnsi="Calibri"/>
          <w:szCs w:val="22"/>
        </w:rPr>
        <w:t xml:space="preserve"> 240-276-5631</w:t>
      </w:r>
    </w:p>
    <w:p w14:paraId="7D2DA397"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Fax:</w:t>
      </w:r>
      <w:r w:rsidR="004B2D22">
        <w:rPr>
          <w:rFonts w:ascii="Calibri" w:hAnsi="Calibri"/>
          <w:szCs w:val="22"/>
        </w:rPr>
        <w:t xml:space="preserve"> 240-276-5659</w:t>
      </w:r>
    </w:p>
    <w:p w14:paraId="5AE9C9AC" w14:textId="77777777" w:rsidR="00E35DD1" w:rsidRPr="008942E9" w:rsidRDefault="00E35DD1"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Email:</w:t>
      </w:r>
      <w:r w:rsidR="004B2D22">
        <w:rPr>
          <w:rFonts w:ascii="Calibri" w:hAnsi="Calibri"/>
          <w:szCs w:val="22"/>
        </w:rPr>
        <w:t xml:space="preserve"> </w:t>
      </w:r>
      <w:hyperlink r:id="rId9" w:history="1">
        <w:r w:rsidR="004B2D22" w:rsidRPr="00F263A2">
          <w:rPr>
            <w:rStyle w:val="Hyperlink"/>
            <w:rFonts w:ascii="Calibri" w:hAnsi="Calibri"/>
            <w:szCs w:val="22"/>
          </w:rPr>
          <w:t>jonesangel@mail.nih.gov</w:t>
        </w:r>
      </w:hyperlink>
      <w:r w:rsidR="004B2D22">
        <w:rPr>
          <w:rFonts w:ascii="Calibri" w:hAnsi="Calibri"/>
          <w:szCs w:val="22"/>
        </w:rPr>
        <w:t xml:space="preserve">  </w:t>
      </w:r>
    </w:p>
    <w:p w14:paraId="55EAA207" w14:textId="77777777" w:rsidR="006A45F9" w:rsidRPr="008942E9" w:rsidRDefault="006A45F9" w:rsidP="00BE76A7">
      <w:pPr>
        <w:pStyle w:val="P1-StandPara"/>
        <w:tabs>
          <w:tab w:val="left" w:pos="720"/>
          <w:tab w:val="right" w:leader="dot" w:pos="9504"/>
        </w:tabs>
        <w:spacing w:before="120" w:line="240" w:lineRule="auto"/>
        <w:ind w:firstLine="0"/>
        <w:rPr>
          <w:rFonts w:ascii="Calibri" w:hAnsi="Calibri"/>
          <w:szCs w:val="22"/>
        </w:rPr>
      </w:pPr>
    </w:p>
    <w:p w14:paraId="2556B884" w14:textId="77777777" w:rsidR="004D1C8A" w:rsidRDefault="004D1C8A" w:rsidP="00BE76A7">
      <w:pPr>
        <w:pStyle w:val="P1-StandPara"/>
        <w:tabs>
          <w:tab w:val="left" w:pos="720"/>
          <w:tab w:val="right" w:leader="dot" w:pos="9504"/>
        </w:tabs>
        <w:spacing w:before="120" w:line="240" w:lineRule="auto"/>
        <w:ind w:firstLine="0"/>
        <w:rPr>
          <w:rFonts w:ascii="Calibri" w:hAnsi="Calibri"/>
          <w:szCs w:val="22"/>
        </w:rPr>
      </w:pPr>
    </w:p>
    <w:p w14:paraId="0AF16EDB" w14:textId="77777777" w:rsidR="004D1C8A" w:rsidRDefault="004D1C8A" w:rsidP="00BE76A7">
      <w:pPr>
        <w:pStyle w:val="P1-StandPara"/>
        <w:tabs>
          <w:tab w:val="left" w:pos="720"/>
          <w:tab w:val="right" w:leader="dot" w:pos="9504"/>
        </w:tabs>
        <w:spacing w:before="120" w:line="240" w:lineRule="auto"/>
        <w:ind w:firstLine="0"/>
        <w:rPr>
          <w:rFonts w:ascii="Calibri" w:hAnsi="Calibri"/>
          <w:szCs w:val="22"/>
        </w:rPr>
      </w:pPr>
    </w:p>
    <w:p w14:paraId="6B36854C" w14:textId="77777777" w:rsidR="004D1C8A" w:rsidRDefault="004D1C8A" w:rsidP="00BE76A7">
      <w:pPr>
        <w:pStyle w:val="P1-StandPara"/>
        <w:tabs>
          <w:tab w:val="left" w:pos="720"/>
          <w:tab w:val="right" w:leader="dot" w:pos="9504"/>
        </w:tabs>
        <w:spacing w:before="120" w:line="240" w:lineRule="auto"/>
        <w:ind w:firstLine="0"/>
        <w:rPr>
          <w:rFonts w:ascii="Calibri" w:hAnsi="Calibri"/>
          <w:szCs w:val="22"/>
        </w:rPr>
      </w:pPr>
    </w:p>
    <w:p w14:paraId="25A4A83A" w14:textId="77777777" w:rsidR="004D1C8A" w:rsidRDefault="004D1C8A" w:rsidP="00BE76A7">
      <w:pPr>
        <w:pStyle w:val="P1-StandPara"/>
        <w:tabs>
          <w:tab w:val="left" w:pos="720"/>
          <w:tab w:val="right" w:leader="dot" w:pos="9504"/>
        </w:tabs>
        <w:spacing w:before="120" w:line="240" w:lineRule="auto"/>
        <w:ind w:firstLine="0"/>
        <w:rPr>
          <w:rFonts w:ascii="Calibri" w:hAnsi="Calibri"/>
          <w:szCs w:val="22"/>
        </w:rPr>
      </w:pPr>
    </w:p>
    <w:p w14:paraId="38D67709" w14:textId="77777777" w:rsidR="004D1C8A" w:rsidRDefault="004D1C8A" w:rsidP="00BE76A7">
      <w:pPr>
        <w:pStyle w:val="P1-StandPara"/>
        <w:tabs>
          <w:tab w:val="left" w:pos="720"/>
          <w:tab w:val="right" w:leader="dot" w:pos="9504"/>
        </w:tabs>
        <w:spacing w:before="120" w:line="240" w:lineRule="auto"/>
        <w:ind w:firstLine="0"/>
        <w:rPr>
          <w:rFonts w:ascii="Calibri" w:hAnsi="Calibri"/>
          <w:szCs w:val="22"/>
        </w:rPr>
      </w:pPr>
    </w:p>
    <w:p w14:paraId="16A1766E" w14:textId="77777777" w:rsidR="00BE76A7" w:rsidRPr="008942E9" w:rsidRDefault="00BE76A7" w:rsidP="00BE76A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4B490B7D" w14:textId="77777777" w:rsidR="0030270C" w:rsidRDefault="00BE76A7" w:rsidP="006A45F9">
      <w:pPr>
        <w:numPr>
          <w:ilvl w:val="0"/>
          <w:numId w:val="11"/>
        </w:numPr>
        <w:spacing w:after="0" w:line="240" w:lineRule="auto"/>
      </w:pPr>
      <w:r>
        <w:t xml:space="preserve">New </w:t>
      </w:r>
    </w:p>
    <w:p w14:paraId="4C4A96B9" w14:textId="77777777" w:rsidR="006A45F9" w:rsidRDefault="00BE76A7" w:rsidP="006A45F9">
      <w:pPr>
        <w:numPr>
          <w:ilvl w:val="0"/>
          <w:numId w:val="11"/>
        </w:numPr>
        <w:spacing w:after="0" w:line="240" w:lineRule="auto"/>
      </w:pPr>
      <w:r>
        <w:t>Revision</w:t>
      </w:r>
      <w:r w:rsidR="006A45F9">
        <w:tab/>
      </w:r>
      <w:r w:rsidR="006A45F9">
        <w:tab/>
      </w:r>
      <w:r w:rsidR="006A45F9">
        <w:tab/>
      </w:r>
    </w:p>
    <w:p w14:paraId="648508A7" w14:textId="77777777" w:rsidR="006A45F9" w:rsidRDefault="006A45F9" w:rsidP="006A45F9">
      <w:pPr>
        <w:numPr>
          <w:ilvl w:val="0"/>
          <w:numId w:val="11"/>
        </w:numPr>
        <w:spacing w:after="0" w:line="240" w:lineRule="auto"/>
      </w:pPr>
      <w:r>
        <w:t>Reinstatement with Change</w:t>
      </w:r>
    </w:p>
    <w:p w14:paraId="5EA9D984" w14:textId="77777777" w:rsidR="00BE76A7" w:rsidRDefault="00BE76A7" w:rsidP="00BE76A7">
      <w:pPr>
        <w:numPr>
          <w:ilvl w:val="0"/>
          <w:numId w:val="11"/>
        </w:numPr>
        <w:spacing w:after="0" w:line="240" w:lineRule="auto"/>
      </w:pPr>
      <w:r>
        <w:t>Reinstatement with</w:t>
      </w:r>
      <w:r w:rsidR="006A45F9">
        <w:t>out</w:t>
      </w:r>
      <w:r>
        <w:t xml:space="preserve"> Change</w:t>
      </w:r>
    </w:p>
    <w:p w14:paraId="350A778B" w14:textId="77777777" w:rsidR="006A45F9" w:rsidRDefault="006A45F9" w:rsidP="001E3218">
      <w:pPr>
        <w:numPr>
          <w:ilvl w:val="0"/>
          <w:numId w:val="11"/>
        </w:numPr>
        <w:spacing w:after="0" w:line="240" w:lineRule="auto"/>
      </w:pPr>
      <w:r>
        <w:t>Extension</w:t>
      </w:r>
    </w:p>
    <w:p w14:paraId="6D98DA1F" w14:textId="28CF544D" w:rsidR="006A45F9" w:rsidRDefault="006A45F9" w:rsidP="00322603">
      <w:pPr>
        <w:numPr>
          <w:ilvl w:val="0"/>
          <w:numId w:val="11"/>
        </w:numPr>
        <w:spacing w:after="0" w:line="360" w:lineRule="auto"/>
      </w:pPr>
      <w:r>
        <w:t>Emergency</w:t>
      </w:r>
    </w:p>
    <w:p w14:paraId="34E1CE90" w14:textId="07EEC05B" w:rsidR="00D60270" w:rsidRPr="00D60270" w:rsidRDefault="00D60270" w:rsidP="00853573">
      <w:pPr>
        <w:spacing w:after="0" w:line="240" w:lineRule="auto"/>
        <w:ind w:left="720" w:hanging="270"/>
        <w:rPr>
          <w:b/>
        </w:rPr>
      </w:pPr>
      <w:r w:rsidRPr="00D60270">
        <w:rPr>
          <w:b/>
        </w:rPr>
        <w:t xml:space="preserve">X </w:t>
      </w:r>
      <w:r w:rsidR="00322603">
        <w:rPr>
          <w:b/>
        </w:rPr>
        <w:tab/>
      </w:r>
      <w:r w:rsidRPr="00D60270">
        <w:rPr>
          <w:b/>
        </w:rPr>
        <w:t>Existing Collection Without an OMB Number</w:t>
      </w:r>
    </w:p>
    <w:p w14:paraId="1453207A" w14:textId="77777777" w:rsidR="001E3218" w:rsidRDefault="00D43186" w:rsidP="001E3218">
      <w:pPr>
        <w:spacing w:after="0" w:line="240" w:lineRule="auto"/>
        <w:ind w:left="360"/>
        <w:rPr>
          <w:b/>
        </w:rPr>
      </w:pPr>
      <w:r>
        <w:rPr>
          <w:b/>
        </w:rPr>
        <w:t xml:space="preserve"> </w:t>
      </w:r>
    </w:p>
    <w:p w14:paraId="1A7C47AC" w14:textId="77777777" w:rsidR="00BE76A7" w:rsidRPr="008942E9" w:rsidRDefault="00BE76A7" w:rsidP="001E3218">
      <w:pPr>
        <w:pStyle w:val="P1-StandPara"/>
        <w:tabs>
          <w:tab w:val="left" w:pos="720"/>
          <w:tab w:val="right" w:leader="dot" w:pos="9504"/>
        </w:tabs>
        <w:spacing w:line="240" w:lineRule="auto"/>
        <w:rPr>
          <w:rFonts w:ascii="Calibri" w:hAnsi="Calibri"/>
          <w:szCs w:val="22"/>
        </w:rPr>
      </w:pPr>
    </w:p>
    <w:p w14:paraId="2CD640FE" w14:textId="77777777" w:rsidR="004D1C8A" w:rsidRDefault="004D1C8A">
      <w:pPr>
        <w:spacing w:after="0" w:line="240" w:lineRule="auto"/>
        <w:rPr>
          <w:rFonts w:eastAsia="Times New Roman"/>
          <w:b/>
          <w:u w:val="single"/>
        </w:rPr>
      </w:pPr>
      <w:r>
        <w:rPr>
          <w:b/>
          <w:u w:val="single"/>
        </w:rPr>
        <w:br w:type="page"/>
      </w:r>
    </w:p>
    <w:p w14:paraId="0923CEAA" w14:textId="77777777" w:rsidR="00DF5319" w:rsidRPr="000D042C" w:rsidRDefault="00DF5319" w:rsidP="00DF5319">
      <w:pPr>
        <w:tabs>
          <w:tab w:val="center" w:pos="4680"/>
        </w:tabs>
        <w:spacing w:after="0" w:line="480" w:lineRule="auto"/>
        <w:jc w:val="center"/>
        <w:rPr>
          <w:rFonts w:ascii="Times New Roman" w:hAnsi="Times New Roman"/>
          <w:sz w:val="24"/>
        </w:rPr>
      </w:pPr>
      <w:r w:rsidRPr="000D042C">
        <w:rPr>
          <w:rFonts w:ascii="Times New Roman" w:hAnsi="Times New Roman"/>
          <w:b/>
          <w:bCs/>
          <w:sz w:val="24"/>
        </w:rPr>
        <w:lastRenderedPageBreak/>
        <w:t>TABLE OF CONTENTS</w:t>
      </w:r>
    </w:p>
    <w:p w14:paraId="6F313959" w14:textId="77777777" w:rsidR="00DF5319" w:rsidRPr="00DF5319" w:rsidRDefault="00DF5319" w:rsidP="00DF5319">
      <w:pPr>
        <w:tabs>
          <w:tab w:val="left" w:pos="-1440"/>
          <w:tab w:val="left" w:pos="-720"/>
          <w:tab w:val="left" w:pos="0"/>
          <w:tab w:val="left" w:pos="720"/>
          <w:tab w:val="right" w:leader="dot" w:pos="9360"/>
        </w:tabs>
        <w:spacing w:after="0" w:line="480" w:lineRule="auto"/>
        <w:rPr>
          <w:b/>
          <w:sz w:val="24"/>
          <w:szCs w:val="24"/>
        </w:rPr>
      </w:pPr>
      <w:r w:rsidRPr="00DF5319">
        <w:rPr>
          <w:b/>
          <w:sz w:val="24"/>
          <w:szCs w:val="24"/>
        </w:rPr>
        <w:t>A.</w:t>
      </w:r>
      <w:r w:rsidRPr="00DF5319">
        <w:rPr>
          <w:b/>
          <w:sz w:val="24"/>
          <w:szCs w:val="24"/>
        </w:rPr>
        <w:tab/>
        <w:t>JUSTIFICATION</w:t>
      </w:r>
      <w:r w:rsidRPr="00DF5319">
        <w:rPr>
          <w:b/>
          <w:sz w:val="24"/>
          <w:szCs w:val="24"/>
        </w:rPr>
        <w:tab/>
        <w:t>1</w:t>
      </w:r>
    </w:p>
    <w:p w14:paraId="4E71FEF2" w14:textId="77777777"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A.1</w:t>
      </w:r>
      <w:r w:rsidRPr="00DF5319">
        <w:rPr>
          <w:sz w:val="24"/>
          <w:szCs w:val="24"/>
        </w:rPr>
        <w:tab/>
        <w:t>Circumstances Making the Collection of Information Necessary</w:t>
      </w:r>
      <w:r w:rsidRPr="00DF5319">
        <w:rPr>
          <w:sz w:val="24"/>
          <w:szCs w:val="24"/>
        </w:rPr>
        <w:tab/>
        <w:t>1</w:t>
      </w:r>
    </w:p>
    <w:p w14:paraId="064E6E3F" w14:textId="573DD8FF"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A.2</w:t>
      </w:r>
      <w:r w:rsidRPr="00DF5319">
        <w:rPr>
          <w:sz w:val="24"/>
          <w:szCs w:val="24"/>
        </w:rPr>
        <w:tab/>
        <w:t>Purpose and Use of the Information Collection</w:t>
      </w:r>
      <w:r w:rsidRPr="00DF5319">
        <w:rPr>
          <w:sz w:val="24"/>
          <w:szCs w:val="24"/>
        </w:rPr>
        <w:tab/>
      </w:r>
      <w:r w:rsidR="00FA72E3">
        <w:rPr>
          <w:sz w:val="24"/>
          <w:szCs w:val="24"/>
        </w:rPr>
        <w:t>1</w:t>
      </w:r>
    </w:p>
    <w:p w14:paraId="09E822AF" w14:textId="44FD4B51"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A.3</w:t>
      </w:r>
      <w:r w:rsidRPr="00DF5319">
        <w:rPr>
          <w:sz w:val="24"/>
          <w:szCs w:val="24"/>
        </w:rPr>
        <w:tab/>
        <w:t>Use of Improved Information Technology and Burden Reduction</w:t>
      </w:r>
      <w:r w:rsidRPr="00DF5319">
        <w:rPr>
          <w:sz w:val="24"/>
          <w:szCs w:val="24"/>
        </w:rPr>
        <w:tab/>
      </w:r>
      <w:r w:rsidR="00FA72E3">
        <w:rPr>
          <w:sz w:val="24"/>
          <w:szCs w:val="24"/>
        </w:rPr>
        <w:t>3</w:t>
      </w:r>
    </w:p>
    <w:p w14:paraId="2987451B" w14:textId="1140432B"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A.4</w:t>
      </w:r>
      <w:r w:rsidRPr="00DF5319">
        <w:rPr>
          <w:sz w:val="24"/>
          <w:szCs w:val="24"/>
        </w:rPr>
        <w:tab/>
        <w:t>Efforts to Identify Duplication and Use Similar Information</w:t>
      </w:r>
      <w:r w:rsidRPr="00DF5319">
        <w:rPr>
          <w:sz w:val="24"/>
          <w:szCs w:val="24"/>
        </w:rPr>
        <w:tab/>
      </w:r>
      <w:r w:rsidR="00FA72E3">
        <w:rPr>
          <w:sz w:val="24"/>
          <w:szCs w:val="24"/>
        </w:rPr>
        <w:t>3</w:t>
      </w:r>
    </w:p>
    <w:p w14:paraId="4572D2C2" w14:textId="03DC672D"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A.5</w:t>
      </w:r>
      <w:r w:rsidRPr="00DF5319">
        <w:rPr>
          <w:sz w:val="24"/>
          <w:szCs w:val="24"/>
        </w:rPr>
        <w:tab/>
        <w:t>Impact on Small Businesses or Other Small Entities</w:t>
      </w:r>
      <w:r w:rsidRPr="00DF5319">
        <w:rPr>
          <w:sz w:val="24"/>
          <w:szCs w:val="24"/>
        </w:rPr>
        <w:tab/>
      </w:r>
      <w:r w:rsidR="00FA72E3">
        <w:rPr>
          <w:sz w:val="24"/>
          <w:szCs w:val="24"/>
        </w:rPr>
        <w:t>4</w:t>
      </w:r>
    </w:p>
    <w:p w14:paraId="610C2DEC" w14:textId="396ECE10"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A.6</w:t>
      </w:r>
      <w:r w:rsidRPr="00DF5319">
        <w:rPr>
          <w:sz w:val="24"/>
          <w:szCs w:val="24"/>
        </w:rPr>
        <w:tab/>
        <w:t xml:space="preserve">Consequences of Collecting the Information Less Frequently </w:t>
      </w:r>
      <w:r w:rsidRPr="00DF5319">
        <w:rPr>
          <w:sz w:val="24"/>
          <w:szCs w:val="24"/>
        </w:rPr>
        <w:tab/>
      </w:r>
      <w:r w:rsidR="00FA72E3">
        <w:rPr>
          <w:sz w:val="24"/>
          <w:szCs w:val="24"/>
        </w:rPr>
        <w:t>4</w:t>
      </w:r>
    </w:p>
    <w:p w14:paraId="2B4AA195" w14:textId="6AE415CD"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A.7</w:t>
      </w:r>
      <w:r w:rsidRPr="00DF5319">
        <w:rPr>
          <w:sz w:val="24"/>
          <w:szCs w:val="24"/>
        </w:rPr>
        <w:tab/>
        <w:t>Special Circumstances Relating to the Guidelines of 5 CFR 1320.5</w:t>
      </w:r>
      <w:r w:rsidRPr="00DF5319">
        <w:rPr>
          <w:sz w:val="24"/>
          <w:szCs w:val="24"/>
        </w:rPr>
        <w:tab/>
      </w:r>
      <w:r w:rsidR="00FA72E3">
        <w:rPr>
          <w:sz w:val="24"/>
          <w:szCs w:val="24"/>
        </w:rPr>
        <w:t>4</w:t>
      </w:r>
    </w:p>
    <w:p w14:paraId="6925ABB7" w14:textId="77777777"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A.8</w:t>
      </w:r>
      <w:r w:rsidRPr="00DF5319">
        <w:rPr>
          <w:sz w:val="24"/>
          <w:szCs w:val="24"/>
        </w:rPr>
        <w:tab/>
        <w:t xml:space="preserve">Comments in Response to Federal Register Notice and Efforts To </w:t>
      </w:r>
    </w:p>
    <w:p w14:paraId="65397C78" w14:textId="4B253915"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b/>
        <w:t>Consult Outside the Agency</w:t>
      </w:r>
      <w:r w:rsidRPr="00DF5319">
        <w:rPr>
          <w:sz w:val="24"/>
          <w:szCs w:val="24"/>
        </w:rPr>
        <w:tab/>
      </w:r>
      <w:r w:rsidR="00FA72E3">
        <w:rPr>
          <w:sz w:val="24"/>
          <w:szCs w:val="24"/>
        </w:rPr>
        <w:t>4</w:t>
      </w:r>
    </w:p>
    <w:p w14:paraId="7CDE7478" w14:textId="6E0BABC6"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A.9</w:t>
      </w:r>
      <w:r w:rsidRPr="00DF5319">
        <w:rPr>
          <w:sz w:val="24"/>
          <w:szCs w:val="24"/>
        </w:rPr>
        <w:tab/>
        <w:t>Explanation of Any Payment or Gift to Respondents</w:t>
      </w:r>
      <w:r w:rsidRPr="00DF5319">
        <w:rPr>
          <w:sz w:val="24"/>
          <w:szCs w:val="24"/>
        </w:rPr>
        <w:tab/>
      </w:r>
      <w:r w:rsidR="00FA72E3">
        <w:rPr>
          <w:sz w:val="24"/>
          <w:szCs w:val="24"/>
        </w:rPr>
        <w:t>4</w:t>
      </w:r>
    </w:p>
    <w:p w14:paraId="5F57F9BC" w14:textId="50C9C044" w:rsidR="00DF5319" w:rsidRPr="00DF5319" w:rsidRDefault="00DF5319" w:rsidP="00DF5319">
      <w:pPr>
        <w:tabs>
          <w:tab w:val="left" w:pos="-1440"/>
          <w:tab w:val="left" w:pos="-720"/>
          <w:tab w:val="left" w:pos="0"/>
          <w:tab w:val="left" w:pos="720"/>
          <w:tab w:val="right" w:leader="dot" w:pos="9360"/>
        </w:tabs>
        <w:spacing w:after="0" w:line="480" w:lineRule="auto"/>
        <w:ind w:left="720" w:hanging="720"/>
        <w:rPr>
          <w:sz w:val="24"/>
          <w:szCs w:val="24"/>
        </w:rPr>
      </w:pPr>
      <w:r w:rsidRPr="00DF5319">
        <w:rPr>
          <w:sz w:val="24"/>
          <w:szCs w:val="24"/>
        </w:rPr>
        <w:t>A.10</w:t>
      </w:r>
      <w:r w:rsidRPr="00DF5319">
        <w:rPr>
          <w:sz w:val="24"/>
          <w:szCs w:val="24"/>
        </w:rPr>
        <w:tab/>
        <w:t>Assurance of Confidentiality Provided to Respondents</w:t>
      </w:r>
      <w:r w:rsidRPr="00DF5319">
        <w:rPr>
          <w:sz w:val="24"/>
          <w:szCs w:val="24"/>
        </w:rPr>
        <w:tab/>
      </w:r>
      <w:r w:rsidR="00FA72E3">
        <w:rPr>
          <w:sz w:val="24"/>
          <w:szCs w:val="24"/>
        </w:rPr>
        <w:t xml:space="preserve">5 </w:t>
      </w:r>
    </w:p>
    <w:p w14:paraId="2AAFC6BE" w14:textId="66E1DBEC"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A.11</w:t>
      </w:r>
      <w:r w:rsidRPr="00DF5319">
        <w:rPr>
          <w:sz w:val="24"/>
          <w:szCs w:val="24"/>
        </w:rPr>
        <w:tab/>
        <w:t>Justification for Sensitive Questions</w:t>
      </w:r>
      <w:r w:rsidRPr="00DF5319">
        <w:rPr>
          <w:sz w:val="24"/>
          <w:szCs w:val="24"/>
        </w:rPr>
        <w:tab/>
      </w:r>
      <w:r w:rsidR="00FA72E3">
        <w:rPr>
          <w:sz w:val="24"/>
          <w:szCs w:val="24"/>
        </w:rPr>
        <w:t>5</w:t>
      </w:r>
    </w:p>
    <w:p w14:paraId="34683E77" w14:textId="01BEEA2B"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A.12</w:t>
      </w:r>
      <w:r w:rsidRPr="00DF5319">
        <w:rPr>
          <w:sz w:val="24"/>
          <w:szCs w:val="24"/>
        </w:rPr>
        <w:tab/>
        <w:t xml:space="preserve">Estimates of Annualized Burden Hours and Costs </w:t>
      </w:r>
      <w:r w:rsidRPr="00DF5319">
        <w:rPr>
          <w:sz w:val="24"/>
          <w:szCs w:val="24"/>
        </w:rPr>
        <w:tab/>
      </w:r>
      <w:r w:rsidR="00FA72E3">
        <w:rPr>
          <w:sz w:val="24"/>
          <w:szCs w:val="24"/>
        </w:rPr>
        <w:t>5</w:t>
      </w:r>
    </w:p>
    <w:p w14:paraId="1E313419" w14:textId="142A29A6"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A.13</w:t>
      </w:r>
      <w:r w:rsidRPr="00DF5319">
        <w:rPr>
          <w:sz w:val="24"/>
          <w:szCs w:val="24"/>
        </w:rPr>
        <w:tab/>
        <w:t>Estimate of Other Total Annual Cost Burden to Respondents and Record keepers</w:t>
      </w:r>
      <w:r w:rsidRPr="00DF5319">
        <w:rPr>
          <w:sz w:val="24"/>
          <w:szCs w:val="24"/>
        </w:rPr>
        <w:tab/>
      </w:r>
      <w:r w:rsidR="00FA72E3">
        <w:rPr>
          <w:sz w:val="24"/>
          <w:szCs w:val="24"/>
        </w:rPr>
        <w:t>6</w:t>
      </w:r>
    </w:p>
    <w:p w14:paraId="60A866E4" w14:textId="308C775C"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A.14</w:t>
      </w:r>
      <w:r w:rsidRPr="00DF5319">
        <w:rPr>
          <w:sz w:val="24"/>
          <w:szCs w:val="24"/>
        </w:rPr>
        <w:tab/>
        <w:t>Annualized Cost to the Federal Government</w:t>
      </w:r>
      <w:r w:rsidRPr="00DF5319">
        <w:rPr>
          <w:sz w:val="24"/>
          <w:szCs w:val="24"/>
        </w:rPr>
        <w:tab/>
      </w:r>
      <w:r w:rsidR="00FA72E3">
        <w:rPr>
          <w:sz w:val="24"/>
          <w:szCs w:val="24"/>
        </w:rPr>
        <w:t>6</w:t>
      </w:r>
    </w:p>
    <w:p w14:paraId="3780216E" w14:textId="17CBDBCB" w:rsidR="00DF5319" w:rsidRPr="00DF5319" w:rsidRDefault="00DF5319" w:rsidP="00DF5319">
      <w:pPr>
        <w:tabs>
          <w:tab w:val="left" w:pos="-1440"/>
          <w:tab w:val="left" w:pos="-720"/>
          <w:tab w:val="left" w:pos="0"/>
          <w:tab w:val="left" w:pos="720"/>
          <w:tab w:val="right" w:leader="dot" w:pos="9360"/>
        </w:tabs>
        <w:spacing w:after="0" w:line="480" w:lineRule="auto"/>
        <w:ind w:left="720" w:hanging="720"/>
        <w:rPr>
          <w:sz w:val="24"/>
          <w:szCs w:val="24"/>
        </w:rPr>
      </w:pPr>
      <w:r w:rsidRPr="00DF5319">
        <w:rPr>
          <w:sz w:val="24"/>
          <w:szCs w:val="24"/>
        </w:rPr>
        <w:t>A.15</w:t>
      </w:r>
      <w:r w:rsidRPr="00DF5319">
        <w:rPr>
          <w:sz w:val="24"/>
          <w:szCs w:val="24"/>
        </w:rPr>
        <w:tab/>
        <w:t>Explanation for Program Changes or Adjustments</w:t>
      </w:r>
      <w:r w:rsidRPr="00DF5319">
        <w:rPr>
          <w:sz w:val="24"/>
          <w:szCs w:val="24"/>
        </w:rPr>
        <w:tab/>
      </w:r>
      <w:r w:rsidR="00FA72E3">
        <w:rPr>
          <w:sz w:val="24"/>
          <w:szCs w:val="24"/>
        </w:rPr>
        <w:t>7</w:t>
      </w:r>
    </w:p>
    <w:p w14:paraId="498F4251" w14:textId="3A95B328" w:rsidR="00DF5319" w:rsidRPr="00DF5319" w:rsidRDefault="00DF5319" w:rsidP="00DF5319">
      <w:pPr>
        <w:tabs>
          <w:tab w:val="left" w:pos="-1440"/>
          <w:tab w:val="left" w:pos="-720"/>
          <w:tab w:val="left" w:pos="0"/>
          <w:tab w:val="left" w:pos="720"/>
          <w:tab w:val="right" w:leader="dot" w:pos="9360"/>
        </w:tabs>
        <w:spacing w:after="0" w:line="480" w:lineRule="auto"/>
        <w:rPr>
          <w:sz w:val="24"/>
          <w:szCs w:val="24"/>
        </w:rPr>
      </w:pPr>
      <w:r w:rsidRPr="00DF5319">
        <w:rPr>
          <w:sz w:val="24"/>
          <w:szCs w:val="24"/>
        </w:rPr>
        <w:t>A.16</w:t>
      </w:r>
      <w:r w:rsidRPr="00DF5319">
        <w:rPr>
          <w:sz w:val="24"/>
          <w:szCs w:val="24"/>
        </w:rPr>
        <w:tab/>
        <w:t>Plans for Tabulation and Publication and Project Time Schedule</w:t>
      </w:r>
      <w:r w:rsidRPr="00DF5319">
        <w:rPr>
          <w:sz w:val="24"/>
          <w:szCs w:val="24"/>
        </w:rPr>
        <w:tab/>
      </w:r>
      <w:r w:rsidR="00FA72E3">
        <w:rPr>
          <w:sz w:val="24"/>
          <w:szCs w:val="24"/>
        </w:rPr>
        <w:t>7</w:t>
      </w:r>
    </w:p>
    <w:p w14:paraId="17EFF099" w14:textId="411E9AF9" w:rsidR="00DF5319" w:rsidRPr="00DF5319" w:rsidRDefault="00DF5319" w:rsidP="00DF5319">
      <w:pPr>
        <w:tabs>
          <w:tab w:val="left" w:pos="-1440"/>
          <w:tab w:val="left" w:pos="-720"/>
          <w:tab w:val="left" w:pos="0"/>
          <w:tab w:val="left" w:pos="720"/>
          <w:tab w:val="right" w:leader="dot" w:pos="9360"/>
        </w:tabs>
        <w:spacing w:after="0" w:line="480" w:lineRule="auto"/>
        <w:ind w:left="720" w:hanging="720"/>
        <w:rPr>
          <w:sz w:val="24"/>
          <w:szCs w:val="24"/>
        </w:rPr>
      </w:pPr>
      <w:r w:rsidRPr="00DF5319">
        <w:rPr>
          <w:sz w:val="24"/>
          <w:szCs w:val="24"/>
        </w:rPr>
        <w:t>A.17</w:t>
      </w:r>
      <w:r w:rsidRPr="00DF5319">
        <w:rPr>
          <w:sz w:val="24"/>
          <w:szCs w:val="24"/>
        </w:rPr>
        <w:tab/>
        <w:t>Reason(s) Display of OMB Expiration Date in Inappropriate</w:t>
      </w:r>
      <w:r w:rsidRPr="00DF5319">
        <w:rPr>
          <w:sz w:val="24"/>
          <w:szCs w:val="24"/>
        </w:rPr>
        <w:tab/>
      </w:r>
      <w:r w:rsidR="00FA72E3">
        <w:rPr>
          <w:sz w:val="24"/>
          <w:szCs w:val="24"/>
        </w:rPr>
        <w:t>7</w:t>
      </w:r>
    </w:p>
    <w:p w14:paraId="6AEDE8E2" w14:textId="6DBFAF4A" w:rsidR="00DF5319" w:rsidRPr="00DF5319" w:rsidRDefault="00DF5319" w:rsidP="00DF5319">
      <w:pPr>
        <w:tabs>
          <w:tab w:val="left" w:pos="-1440"/>
          <w:tab w:val="left" w:pos="-720"/>
          <w:tab w:val="left" w:pos="0"/>
          <w:tab w:val="left" w:pos="720"/>
          <w:tab w:val="right" w:leader="dot" w:pos="9360"/>
        </w:tabs>
        <w:spacing w:after="0" w:line="480" w:lineRule="auto"/>
        <w:ind w:left="720" w:hanging="720"/>
        <w:rPr>
          <w:sz w:val="24"/>
          <w:szCs w:val="24"/>
        </w:rPr>
      </w:pPr>
      <w:r w:rsidRPr="00DF5319">
        <w:rPr>
          <w:sz w:val="24"/>
          <w:szCs w:val="24"/>
        </w:rPr>
        <w:t>A.18</w:t>
      </w:r>
      <w:r w:rsidRPr="00DF5319">
        <w:rPr>
          <w:sz w:val="24"/>
          <w:szCs w:val="24"/>
        </w:rPr>
        <w:tab/>
        <w:t>Exceptions to Certification for Paperwork Reduction Act Submission</w:t>
      </w:r>
      <w:r w:rsidRPr="00DF5319">
        <w:rPr>
          <w:sz w:val="24"/>
          <w:szCs w:val="24"/>
        </w:rPr>
        <w:tab/>
      </w:r>
      <w:r w:rsidR="00FA72E3">
        <w:rPr>
          <w:sz w:val="24"/>
          <w:szCs w:val="24"/>
        </w:rPr>
        <w:t>7</w:t>
      </w:r>
    </w:p>
    <w:p w14:paraId="440C14FF" w14:textId="77777777" w:rsidR="00DF5319" w:rsidRPr="00DF5319" w:rsidRDefault="00DF5319" w:rsidP="00DF5319">
      <w:pPr>
        <w:rPr>
          <w:rFonts w:ascii="Times New Roman" w:hAnsi="Times New Roman"/>
          <w:sz w:val="24"/>
          <w:szCs w:val="24"/>
        </w:rPr>
      </w:pPr>
    </w:p>
    <w:p w14:paraId="43E17B56" w14:textId="77777777" w:rsidR="00DF5319" w:rsidRDefault="00DF5319">
      <w:pPr>
        <w:spacing w:after="0" w:line="240" w:lineRule="auto"/>
        <w:rPr>
          <w:rFonts w:eastAsia="Times New Roman"/>
          <w:b/>
          <w:i/>
        </w:rPr>
      </w:pPr>
      <w:r>
        <w:rPr>
          <w:b/>
          <w:i/>
        </w:rPr>
        <w:br w:type="page"/>
      </w:r>
    </w:p>
    <w:p w14:paraId="634C56B6" w14:textId="61AFFBC2" w:rsidR="00DF5319" w:rsidRPr="00DF5319" w:rsidRDefault="00DF5319" w:rsidP="00DF5319">
      <w:pPr>
        <w:pStyle w:val="P1-StandPara"/>
        <w:ind w:firstLine="0"/>
        <w:jc w:val="center"/>
        <w:rPr>
          <w:rFonts w:eastAsia="Calibri"/>
          <w:b/>
          <w:bCs/>
          <w:sz w:val="24"/>
          <w:szCs w:val="22"/>
        </w:rPr>
      </w:pPr>
      <w:r w:rsidRPr="00DF5319">
        <w:rPr>
          <w:rFonts w:eastAsia="Calibri"/>
          <w:b/>
          <w:bCs/>
          <w:sz w:val="24"/>
          <w:szCs w:val="22"/>
        </w:rPr>
        <w:lastRenderedPageBreak/>
        <w:t>List of Attachments</w:t>
      </w:r>
    </w:p>
    <w:p w14:paraId="02A76202" w14:textId="77777777" w:rsidR="00DF5319" w:rsidRPr="00DF5319" w:rsidRDefault="00DF5319" w:rsidP="00DF5319">
      <w:pPr>
        <w:pStyle w:val="P1-StandPara"/>
        <w:ind w:firstLine="0"/>
        <w:rPr>
          <w:rFonts w:ascii="Calibri" w:hAnsi="Calibri"/>
          <w:sz w:val="24"/>
          <w:szCs w:val="22"/>
        </w:rPr>
      </w:pPr>
      <w:r w:rsidRPr="00DF5319">
        <w:rPr>
          <w:rFonts w:ascii="Calibri" w:hAnsi="Calibri"/>
          <w:sz w:val="24"/>
          <w:szCs w:val="22"/>
        </w:rPr>
        <w:t>Attachment 1:  Screenshots of Future Fellows Website</w:t>
      </w:r>
    </w:p>
    <w:p w14:paraId="6A678AB1" w14:textId="67E4D9F1" w:rsidR="00DF5319" w:rsidRDefault="00DF5319" w:rsidP="00DF5319">
      <w:pPr>
        <w:pStyle w:val="P1-StandPara"/>
        <w:ind w:firstLine="0"/>
        <w:rPr>
          <w:rFonts w:ascii="Calibri" w:hAnsi="Calibri"/>
          <w:sz w:val="24"/>
          <w:szCs w:val="22"/>
        </w:rPr>
      </w:pPr>
      <w:r w:rsidRPr="00DF5319">
        <w:rPr>
          <w:rFonts w:ascii="Calibri" w:hAnsi="Calibri"/>
          <w:sz w:val="24"/>
          <w:szCs w:val="22"/>
        </w:rPr>
        <w:t xml:space="preserve">Attachment 2:  </w:t>
      </w:r>
      <w:r w:rsidR="009F3DB0">
        <w:rPr>
          <w:rFonts w:ascii="Calibri" w:hAnsi="Calibri"/>
          <w:sz w:val="24"/>
          <w:szCs w:val="22"/>
        </w:rPr>
        <w:t>Privacy Impact Assessment</w:t>
      </w:r>
    </w:p>
    <w:p w14:paraId="1E8E4DE2" w14:textId="2FF944E5" w:rsidR="00DF5319" w:rsidRPr="000D042C" w:rsidRDefault="009F3DB0" w:rsidP="009F3DB0">
      <w:pPr>
        <w:pStyle w:val="P1-StandPara"/>
        <w:ind w:firstLine="0"/>
        <w:rPr>
          <w:b/>
          <w:bCs/>
          <w:sz w:val="24"/>
        </w:rPr>
      </w:pPr>
      <w:r>
        <w:rPr>
          <w:rFonts w:ascii="Calibri" w:hAnsi="Calibri"/>
          <w:sz w:val="24"/>
          <w:szCs w:val="22"/>
        </w:rPr>
        <w:t xml:space="preserve">Attachment 3:  </w:t>
      </w:r>
      <w:r w:rsidRPr="00DF5319">
        <w:rPr>
          <w:rFonts w:ascii="Calibri" w:hAnsi="Calibri"/>
          <w:sz w:val="24"/>
          <w:szCs w:val="22"/>
        </w:rPr>
        <w:t>Privacy Act Memo</w:t>
      </w:r>
    </w:p>
    <w:p w14:paraId="616C5375" w14:textId="77777777" w:rsidR="00D307FF" w:rsidRDefault="00D307FF" w:rsidP="00BE76A7">
      <w:pPr>
        <w:pStyle w:val="P1-StandPara"/>
        <w:tabs>
          <w:tab w:val="left" w:pos="720"/>
          <w:tab w:val="right" w:leader="dot" w:pos="9504"/>
        </w:tabs>
        <w:spacing w:before="120" w:after="120" w:line="240" w:lineRule="auto"/>
        <w:ind w:firstLine="0"/>
        <w:rPr>
          <w:rFonts w:ascii="Calibri" w:hAnsi="Calibri"/>
          <w:b/>
          <w:szCs w:val="22"/>
        </w:rPr>
        <w:sectPr w:rsidR="00D307FF" w:rsidSect="005B5359">
          <w:footerReference w:type="even" r:id="rId10"/>
          <w:footerReference w:type="default" r:id="rId11"/>
          <w:pgSz w:w="12240" w:h="15840"/>
          <w:pgMar w:top="1296" w:right="1296" w:bottom="1296" w:left="1296" w:header="720" w:footer="720" w:gutter="0"/>
          <w:pgNumType w:fmt="lowerRoman" w:start="1"/>
          <w:cols w:space="720"/>
          <w:titlePg/>
          <w:docGrid w:linePitch="360"/>
        </w:sectPr>
      </w:pPr>
    </w:p>
    <w:p w14:paraId="13CA93E9" w14:textId="77777777" w:rsidR="006A45F9" w:rsidRPr="008942E9" w:rsidRDefault="006A45F9" w:rsidP="00BE76A7">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b/>
          <w:szCs w:val="22"/>
        </w:rPr>
        <w:t xml:space="preserve">A. </w:t>
      </w:r>
      <w:r w:rsidR="00BE76A7" w:rsidRPr="008942E9">
        <w:rPr>
          <w:rFonts w:ascii="Calibri" w:hAnsi="Calibri"/>
          <w:b/>
          <w:szCs w:val="22"/>
        </w:rPr>
        <w:t>Justification</w:t>
      </w:r>
    </w:p>
    <w:p w14:paraId="54B0AD8D" w14:textId="01FA4827" w:rsidR="004B2D22" w:rsidRDefault="004B2D22" w:rsidP="001E3218">
      <w:pPr>
        <w:pStyle w:val="P1-StandPara"/>
        <w:tabs>
          <w:tab w:val="left" w:pos="720"/>
          <w:tab w:val="right" w:leader="dot" w:pos="9504"/>
        </w:tabs>
        <w:spacing w:line="240" w:lineRule="auto"/>
        <w:ind w:firstLine="0"/>
        <w:rPr>
          <w:rFonts w:ascii="Calibri" w:hAnsi="Calibri"/>
          <w:szCs w:val="22"/>
        </w:rPr>
      </w:pPr>
      <w:r>
        <w:rPr>
          <w:rFonts w:ascii="Calibri" w:hAnsi="Calibri"/>
          <w:szCs w:val="22"/>
        </w:rPr>
        <w:t>This is a request for approval of an “Existing Collection in Use Without an OMB Control Number”</w:t>
      </w:r>
      <w:r w:rsidR="001E3218">
        <w:rPr>
          <w:rFonts w:ascii="Calibri" w:hAnsi="Calibri"/>
          <w:szCs w:val="22"/>
        </w:rPr>
        <w:t xml:space="preserve"> for three years.</w:t>
      </w:r>
      <w:r>
        <w:rPr>
          <w:rFonts w:ascii="Calibri" w:hAnsi="Calibri"/>
          <w:szCs w:val="22"/>
        </w:rPr>
        <w:t xml:space="preserve">  The National Cancer Institute, Center for Cancer Training mission is to catalyze the development of the 21</w:t>
      </w:r>
      <w:r w:rsidRPr="004B2D22">
        <w:rPr>
          <w:rFonts w:ascii="Calibri" w:hAnsi="Calibri"/>
          <w:szCs w:val="22"/>
          <w:vertAlign w:val="superscript"/>
        </w:rPr>
        <w:t>st</w:t>
      </w:r>
      <w:r>
        <w:rPr>
          <w:rFonts w:ascii="Calibri" w:hAnsi="Calibri"/>
          <w:szCs w:val="22"/>
        </w:rPr>
        <w:t xml:space="preserve"> century workforce capable of advancing cancer research through a scientifically integrated approach.  This is accomplished by</w:t>
      </w:r>
      <w:r w:rsidR="00D307FF">
        <w:rPr>
          <w:rFonts w:ascii="Calibri" w:hAnsi="Calibri"/>
          <w:szCs w:val="22"/>
        </w:rPr>
        <w:t>,</w:t>
      </w:r>
      <w:r>
        <w:rPr>
          <w:rFonts w:ascii="Calibri" w:hAnsi="Calibri"/>
          <w:szCs w:val="22"/>
        </w:rPr>
        <w:t xml:space="preserve"> 1) c</w:t>
      </w:r>
      <w:r w:rsidRPr="004B2D22">
        <w:rPr>
          <w:rFonts w:ascii="Calibri" w:hAnsi="Calibri"/>
          <w:szCs w:val="22"/>
        </w:rPr>
        <w:t>oordinating and providing research training and career development activities for fellows and trainees in NCI's laboratories, clin</w:t>
      </w:r>
      <w:r>
        <w:rPr>
          <w:rFonts w:ascii="Calibri" w:hAnsi="Calibri"/>
          <w:szCs w:val="22"/>
        </w:rPr>
        <w:t>ics, and other research groups</w:t>
      </w:r>
      <w:r w:rsidR="00D307FF">
        <w:rPr>
          <w:rFonts w:ascii="Calibri" w:hAnsi="Calibri"/>
          <w:szCs w:val="22"/>
        </w:rPr>
        <w:t>,</w:t>
      </w:r>
      <w:r>
        <w:rPr>
          <w:rFonts w:ascii="Calibri" w:hAnsi="Calibri"/>
          <w:szCs w:val="22"/>
        </w:rPr>
        <w:t xml:space="preserve"> 2) </w:t>
      </w:r>
      <w:r w:rsidR="00D307FF">
        <w:rPr>
          <w:rFonts w:ascii="Calibri" w:hAnsi="Calibri"/>
          <w:szCs w:val="22"/>
        </w:rPr>
        <w:t>d</w:t>
      </w:r>
      <w:r w:rsidRPr="004B2D22">
        <w:rPr>
          <w:rFonts w:ascii="Calibri" w:hAnsi="Calibri"/>
          <w:szCs w:val="22"/>
        </w:rPr>
        <w:t>eveloping, coordinating, and implementing opportunities in support of cancer research training, career development, and education at institutions nationwide</w:t>
      </w:r>
      <w:r w:rsidR="00D307FF">
        <w:rPr>
          <w:rFonts w:ascii="Calibri" w:hAnsi="Calibri"/>
          <w:szCs w:val="22"/>
        </w:rPr>
        <w:t>, and</w:t>
      </w:r>
      <w:r>
        <w:rPr>
          <w:rFonts w:ascii="Calibri" w:hAnsi="Calibri"/>
          <w:szCs w:val="22"/>
        </w:rPr>
        <w:t xml:space="preserve"> 3) </w:t>
      </w:r>
      <w:r w:rsidR="00D307FF">
        <w:rPr>
          <w:rFonts w:ascii="Calibri" w:hAnsi="Calibri"/>
          <w:szCs w:val="22"/>
        </w:rPr>
        <w:t>i</w:t>
      </w:r>
      <w:r w:rsidRPr="004B2D22">
        <w:rPr>
          <w:rFonts w:ascii="Calibri" w:hAnsi="Calibri"/>
          <w:szCs w:val="22"/>
        </w:rPr>
        <w:t>dentifying workforce needs in cancer research and adapting NCI's training and career development programs and funding opportunities to address these needs.</w:t>
      </w:r>
      <w:r w:rsidR="00D307FF">
        <w:rPr>
          <w:rFonts w:ascii="Calibri" w:hAnsi="Calibri"/>
          <w:szCs w:val="22"/>
        </w:rPr>
        <w:t xml:space="preserve">  The proposed information collection involves a website </w:t>
      </w:r>
      <w:r w:rsidR="00491D98">
        <w:rPr>
          <w:rFonts w:ascii="Calibri" w:hAnsi="Calibri"/>
          <w:szCs w:val="22"/>
        </w:rPr>
        <w:t>to collect and maintain resumes of interested candidates to be considered for postdoctoral fellowshi</w:t>
      </w:r>
      <w:r w:rsidR="00A4489F">
        <w:rPr>
          <w:rFonts w:ascii="Calibri" w:hAnsi="Calibri"/>
          <w:szCs w:val="22"/>
        </w:rPr>
        <w:t>ps and</w:t>
      </w:r>
      <w:r w:rsidR="00491D98">
        <w:rPr>
          <w:rFonts w:ascii="Calibri" w:hAnsi="Calibri"/>
          <w:szCs w:val="22"/>
        </w:rPr>
        <w:t xml:space="preserve"> intern</w:t>
      </w:r>
      <w:r w:rsidR="00A4489F">
        <w:rPr>
          <w:rFonts w:ascii="Calibri" w:hAnsi="Calibri"/>
          <w:szCs w:val="22"/>
        </w:rPr>
        <w:t>ships</w:t>
      </w:r>
      <w:r w:rsidR="00491D98">
        <w:rPr>
          <w:rFonts w:ascii="Calibri" w:hAnsi="Calibri"/>
          <w:szCs w:val="22"/>
        </w:rPr>
        <w:t xml:space="preserve"> in science.  After posting their resume in the database, </w:t>
      </w:r>
      <w:r w:rsidR="00A4489F">
        <w:rPr>
          <w:rFonts w:ascii="Calibri" w:hAnsi="Calibri"/>
          <w:szCs w:val="22"/>
        </w:rPr>
        <w:t>NCI Scientists</w:t>
      </w:r>
      <w:r w:rsidR="00491D98">
        <w:rPr>
          <w:rFonts w:ascii="Calibri" w:hAnsi="Calibri"/>
          <w:szCs w:val="22"/>
        </w:rPr>
        <w:t xml:space="preserve"> can view and </w:t>
      </w:r>
      <w:r w:rsidR="00A4489F">
        <w:rPr>
          <w:rFonts w:ascii="Calibri" w:hAnsi="Calibri"/>
          <w:szCs w:val="22"/>
        </w:rPr>
        <w:t>select candidates</w:t>
      </w:r>
      <w:r w:rsidR="00491D98">
        <w:rPr>
          <w:rFonts w:ascii="Calibri" w:hAnsi="Calibri"/>
          <w:szCs w:val="22"/>
        </w:rPr>
        <w:t xml:space="preserve"> for current fellowship and intern</w:t>
      </w:r>
      <w:r w:rsidR="00A4489F">
        <w:rPr>
          <w:rFonts w:ascii="Calibri" w:hAnsi="Calibri"/>
          <w:szCs w:val="22"/>
        </w:rPr>
        <w:t xml:space="preserve">ship </w:t>
      </w:r>
      <w:r w:rsidR="00491D98">
        <w:rPr>
          <w:rFonts w:ascii="Calibri" w:hAnsi="Calibri"/>
          <w:szCs w:val="22"/>
        </w:rPr>
        <w:t xml:space="preserve">opportunities offered at NCI.  </w:t>
      </w:r>
      <w:r w:rsidR="00D307FF">
        <w:rPr>
          <w:rFonts w:ascii="Calibri" w:hAnsi="Calibri"/>
          <w:szCs w:val="22"/>
        </w:rPr>
        <w:t xml:space="preserve"> </w:t>
      </w:r>
    </w:p>
    <w:p w14:paraId="18FED6E9" w14:textId="77777777" w:rsidR="00054C87" w:rsidRPr="004B2D22" w:rsidRDefault="00054C87" w:rsidP="001E3218">
      <w:pPr>
        <w:pStyle w:val="P1-StandPara"/>
        <w:tabs>
          <w:tab w:val="left" w:pos="720"/>
          <w:tab w:val="right" w:leader="dot" w:pos="9504"/>
        </w:tabs>
        <w:spacing w:line="240" w:lineRule="auto"/>
        <w:rPr>
          <w:rFonts w:ascii="Calibri" w:hAnsi="Calibri"/>
          <w:szCs w:val="22"/>
        </w:rPr>
      </w:pPr>
    </w:p>
    <w:p w14:paraId="03877693" w14:textId="77777777" w:rsidR="000F3043" w:rsidRPr="008942E9" w:rsidRDefault="000F3043" w:rsidP="00D60270">
      <w:pPr>
        <w:pStyle w:val="P1-StandPara"/>
        <w:tabs>
          <w:tab w:val="left" w:pos="720"/>
          <w:tab w:val="right" w:leader="dot" w:pos="9504"/>
        </w:tabs>
        <w:ind w:firstLine="0"/>
        <w:rPr>
          <w:rFonts w:ascii="Calibri" w:hAnsi="Calibri"/>
          <w:b/>
          <w:szCs w:val="22"/>
        </w:rPr>
      </w:pPr>
      <w:r w:rsidRPr="008942E9">
        <w:rPr>
          <w:rFonts w:ascii="Calibri" w:hAnsi="Calibri"/>
          <w:b/>
          <w:szCs w:val="22"/>
        </w:rPr>
        <w:t>A.1</w:t>
      </w:r>
      <w:r w:rsidRPr="008942E9">
        <w:rPr>
          <w:rFonts w:ascii="Calibri" w:hAnsi="Calibri"/>
          <w:b/>
          <w:szCs w:val="22"/>
        </w:rPr>
        <w:tab/>
        <w:t>Circumstances Making the Collection of Information Necessary</w:t>
      </w:r>
    </w:p>
    <w:p w14:paraId="7EDC9547" w14:textId="70273850" w:rsidR="00E23F18" w:rsidRPr="00E23F18" w:rsidRDefault="00054C87" w:rsidP="00D60270">
      <w:pPr>
        <w:pStyle w:val="Heading2"/>
        <w:tabs>
          <w:tab w:val="clear" w:pos="1152"/>
          <w:tab w:val="left" w:pos="720"/>
        </w:tabs>
        <w:spacing w:after="0" w:line="480" w:lineRule="auto"/>
        <w:ind w:left="0" w:firstLine="0"/>
        <w:rPr>
          <w:rFonts w:ascii="Calibri" w:eastAsia="Calibri" w:hAnsi="Calibri"/>
          <w:b w:val="0"/>
          <w:szCs w:val="22"/>
        </w:rPr>
      </w:pPr>
      <w:bookmarkStart w:id="1" w:name="_Toc443881743"/>
      <w:bookmarkStart w:id="2" w:name="_Toc451592232"/>
      <w:bookmarkStart w:id="3" w:name="_Toc5610273"/>
      <w:bookmarkStart w:id="4" w:name="_Toc99178779"/>
      <w:r>
        <w:rPr>
          <w:rFonts w:ascii="Calibri" w:eastAsia="Calibri" w:hAnsi="Calibri"/>
          <w:b w:val="0"/>
          <w:szCs w:val="22"/>
        </w:rPr>
        <w:tab/>
      </w:r>
      <w:r w:rsidR="00E23F18" w:rsidRPr="00E23F18">
        <w:rPr>
          <w:rFonts w:ascii="Calibri" w:eastAsia="Calibri" w:hAnsi="Calibri"/>
          <w:b w:val="0"/>
          <w:szCs w:val="22"/>
        </w:rPr>
        <w:t xml:space="preserve">The National Cancer Institute’s (NCI) </w:t>
      </w:r>
      <w:r w:rsidR="00E23F18">
        <w:rPr>
          <w:rFonts w:ascii="Calibri" w:eastAsia="Calibri" w:hAnsi="Calibri"/>
          <w:b w:val="0"/>
          <w:szCs w:val="22"/>
        </w:rPr>
        <w:t>Center for Cancer Training (CCT)</w:t>
      </w:r>
      <w:r w:rsidR="00E23F18" w:rsidRPr="00E23F18">
        <w:rPr>
          <w:rFonts w:ascii="Calibri" w:eastAsia="Calibri" w:hAnsi="Calibri"/>
          <w:b w:val="0"/>
          <w:szCs w:val="22"/>
        </w:rPr>
        <w:t xml:space="preserve"> support</w:t>
      </w:r>
      <w:r w:rsidR="00E23F18">
        <w:rPr>
          <w:rFonts w:ascii="Calibri" w:eastAsia="Calibri" w:hAnsi="Calibri"/>
          <w:b w:val="0"/>
          <w:szCs w:val="22"/>
        </w:rPr>
        <w:t xml:space="preserve">s NCI’s goal of training cancer </w:t>
      </w:r>
      <w:r w:rsidR="00E23F18" w:rsidRPr="00E23F18">
        <w:rPr>
          <w:rFonts w:ascii="Calibri" w:eastAsia="Calibri" w:hAnsi="Calibri"/>
          <w:b w:val="0"/>
          <w:szCs w:val="22"/>
        </w:rPr>
        <w:t>researcher</w:t>
      </w:r>
      <w:r w:rsidR="00E23F18">
        <w:rPr>
          <w:rFonts w:ascii="Calibri" w:eastAsia="Calibri" w:hAnsi="Calibri"/>
          <w:b w:val="0"/>
          <w:szCs w:val="22"/>
        </w:rPr>
        <w:t>s for the 21st century. The CCT</w:t>
      </w:r>
      <w:r w:rsidR="00E23F18" w:rsidRPr="00E23F18">
        <w:rPr>
          <w:rFonts w:ascii="Calibri" w:eastAsia="Calibri" w:hAnsi="Calibri"/>
          <w:b w:val="0"/>
          <w:szCs w:val="22"/>
        </w:rPr>
        <w:t xml:space="preserve"> supports that goal by providing state-of-the-art training in cancer </w:t>
      </w:r>
      <w:r w:rsidR="009B0EA4">
        <w:rPr>
          <w:rFonts w:ascii="Calibri" w:eastAsia="Calibri" w:hAnsi="Calibri"/>
          <w:b w:val="0"/>
          <w:szCs w:val="22"/>
        </w:rPr>
        <w:t>research</w:t>
      </w:r>
      <w:r w:rsidR="00E23F18" w:rsidRPr="00E23F18">
        <w:rPr>
          <w:rFonts w:ascii="Calibri" w:eastAsia="Calibri" w:hAnsi="Calibri"/>
          <w:b w:val="0"/>
          <w:szCs w:val="22"/>
        </w:rPr>
        <w:t xml:space="preserve"> to a cadre of scientist</w:t>
      </w:r>
      <w:r w:rsidR="009B0EA4">
        <w:rPr>
          <w:rFonts w:ascii="Calibri" w:eastAsia="Calibri" w:hAnsi="Calibri"/>
          <w:b w:val="0"/>
          <w:szCs w:val="22"/>
        </w:rPr>
        <w:t>s</w:t>
      </w:r>
      <w:r w:rsidR="00E23F18" w:rsidRPr="00E23F18">
        <w:rPr>
          <w:rFonts w:ascii="Calibri" w:eastAsia="Calibri" w:hAnsi="Calibri"/>
          <w:b w:val="0"/>
          <w:szCs w:val="22"/>
        </w:rPr>
        <w:t xml:space="preserve"> and clinicians.  The legal authority granted to </w:t>
      </w:r>
      <w:r w:rsidR="0016580F">
        <w:rPr>
          <w:rFonts w:ascii="Calibri" w:eastAsia="Calibri" w:hAnsi="Calibri"/>
          <w:b w:val="0"/>
          <w:szCs w:val="22"/>
        </w:rPr>
        <w:t>NCI</w:t>
      </w:r>
      <w:r w:rsidR="0016580F" w:rsidRPr="00E23F18">
        <w:rPr>
          <w:rFonts w:ascii="Calibri" w:eastAsia="Calibri" w:hAnsi="Calibri"/>
          <w:b w:val="0"/>
          <w:szCs w:val="22"/>
        </w:rPr>
        <w:t xml:space="preserve"> </w:t>
      </w:r>
      <w:r w:rsidR="00E23F18" w:rsidRPr="00E23F18">
        <w:rPr>
          <w:rFonts w:ascii="Calibri" w:eastAsia="Calibri" w:hAnsi="Calibri"/>
          <w:b w:val="0"/>
          <w:szCs w:val="22"/>
        </w:rPr>
        <w:t xml:space="preserve">to train future biomedical scientists comes from </w:t>
      </w:r>
      <w:r w:rsidR="0016580F">
        <w:rPr>
          <w:rFonts w:ascii="Calibri" w:eastAsia="Calibri" w:hAnsi="Calibri"/>
          <w:b w:val="0"/>
          <w:szCs w:val="22"/>
        </w:rPr>
        <w:t>Section 413 (b)(3) of the Public Health Service Act, 42 USC 285a-2(b)(3) which states the NCI Director, in carrying out th</w:t>
      </w:r>
      <w:r w:rsidR="00A4489F">
        <w:rPr>
          <w:rFonts w:ascii="Calibri" w:eastAsia="Calibri" w:hAnsi="Calibri"/>
          <w:b w:val="0"/>
          <w:szCs w:val="22"/>
        </w:rPr>
        <w:t>e</w:t>
      </w:r>
      <w:r w:rsidR="0016580F">
        <w:rPr>
          <w:rFonts w:ascii="Calibri" w:eastAsia="Calibri" w:hAnsi="Calibri"/>
          <w:b w:val="0"/>
          <w:szCs w:val="22"/>
        </w:rPr>
        <w:t xml:space="preserve"> National Cancer Program, shall support appropriate programs of education and training.  </w:t>
      </w:r>
    </w:p>
    <w:p w14:paraId="6F57C79D" w14:textId="2BA83CEA" w:rsidR="00E23F18" w:rsidRDefault="00E23F18" w:rsidP="001E3218">
      <w:pPr>
        <w:pStyle w:val="Heading2"/>
        <w:spacing w:after="0" w:line="480" w:lineRule="auto"/>
        <w:ind w:left="0" w:firstLine="720"/>
        <w:rPr>
          <w:rFonts w:ascii="Calibri" w:eastAsia="Calibri" w:hAnsi="Calibri"/>
          <w:b w:val="0"/>
          <w:szCs w:val="22"/>
        </w:rPr>
      </w:pPr>
      <w:r w:rsidRPr="00E23F18">
        <w:rPr>
          <w:rFonts w:ascii="Calibri" w:eastAsia="Calibri" w:hAnsi="Calibri"/>
          <w:b w:val="0"/>
          <w:szCs w:val="22"/>
        </w:rPr>
        <w:t>The</w:t>
      </w:r>
      <w:r>
        <w:rPr>
          <w:rFonts w:ascii="Calibri" w:eastAsia="Calibri" w:hAnsi="Calibri"/>
          <w:b w:val="0"/>
          <w:szCs w:val="22"/>
        </w:rPr>
        <w:t xml:space="preserve"> CCT</w:t>
      </w:r>
      <w:r w:rsidRPr="00E23F18">
        <w:rPr>
          <w:rFonts w:ascii="Calibri" w:eastAsia="Calibri" w:hAnsi="Calibri"/>
          <w:b w:val="0"/>
          <w:szCs w:val="22"/>
        </w:rPr>
        <w:t xml:space="preserve"> recruits fellows on an annual basis </w:t>
      </w:r>
      <w:r w:rsidR="00CC5FFB">
        <w:rPr>
          <w:rFonts w:ascii="Calibri" w:eastAsia="Calibri" w:hAnsi="Calibri"/>
          <w:b w:val="0"/>
          <w:szCs w:val="22"/>
        </w:rPr>
        <w:t xml:space="preserve">through </w:t>
      </w:r>
      <w:r w:rsidRPr="00E23F18">
        <w:rPr>
          <w:rFonts w:ascii="Calibri" w:eastAsia="Calibri" w:hAnsi="Calibri"/>
          <w:b w:val="0"/>
          <w:szCs w:val="22"/>
        </w:rPr>
        <w:t xml:space="preserve">a web-based application system. The </w:t>
      </w:r>
      <w:r>
        <w:rPr>
          <w:rFonts w:ascii="Calibri" w:eastAsia="Calibri" w:hAnsi="Calibri"/>
          <w:b w:val="0"/>
          <w:szCs w:val="22"/>
        </w:rPr>
        <w:t xml:space="preserve">database is designed to allow people who interested in a fellowship in </w:t>
      </w:r>
      <w:r w:rsidRPr="00E23F18">
        <w:rPr>
          <w:rFonts w:ascii="Calibri" w:eastAsia="Calibri" w:hAnsi="Calibri"/>
          <w:b w:val="0"/>
          <w:szCs w:val="22"/>
        </w:rPr>
        <w:t>NCI’</w:t>
      </w:r>
      <w:r>
        <w:rPr>
          <w:rFonts w:ascii="Calibri" w:eastAsia="Calibri" w:hAnsi="Calibri"/>
          <w:b w:val="0"/>
          <w:szCs w:val="22"/>
        </w:rPr>
        <w:t xml:space="preserve">s intramural </w:t>
      </w:r>
      <w:r w:rsidR="00CC5FFB">
        <w:rPr>
          <w:rFonts w:ascii="Calibri" w:eastAsia="Calibri" w:hAnsi="Calibri"/>
          <w:b w:val="0"/>
          <w:szCs w:val="22"/>
        </w:rPr>
        <w:t xml:space="preserve">and extramural </w:t>
      </w:r>
      <w:r>
        <w:rPr>
          <w:rFonts w:ascii="Calibri" w:eastAsia="Calibri" w:hAnsi="Calibri"/>
          <w:b w:val="0"/>
          <w:szCs w:val="22"/>
        </w:rPr>
        <w:t>program</w:t>
      </w:r>
      <w:r w:rsidR="00CC5FFB">
        <w:rPr>
          <w:rFonts w:ascii="Calibri" w:eastAsia="Calibri" w:hAnsi="Calibri"/>
          <w:b w:val="0"/>
          <w:szCs w:val="22"/>
        </w:rPr>
        <w:t>s</w:t>
      </w:r>
      <w:r w:rsidRPr="00E23F18">
        <w:rPr>
          <w:rFonts w:ascii="Calibri" w:eastAsia="Calibri" w:hAnsi="Calibri"/>
          <w:b w:val="0"/>
          <w:szCs w:val="22"/>
        </w:rPr>
        <w:t xml:space="preserve"> </w:t>
      </w:r>
      <w:r>
        <w:rPr>
          <w:rFonts w:ascii="Calibri" w:eastAsia="Calibri" w:hAnsi="Calibri"/>
          <w:b w:val="0"/>
          <w:szCs w:val="22"/>
        </w:rPr>
        <w:t xml:space="preserve">to upload their resume.  </w:t>
      </w:r>
    </w:p>
    <w:p w14:paraId="1715B615" w14:textId="19536A20" w:rsidR="000F3043" w:rsidRDefault="000F3043" w:rsidP="00E23F18">
      <w:pPr>
        <w:pStyle w:val="Heading2"/>
        <w:spacing w:after="0" w:line="480" w:lineRule="auto"/>
        <w:ind w:left="0" w:firstLine="0"/>
        <w:rPr>
          <w:rFonts w:ascii="Calibri" w:hAnsi="Calibri"/>
          <w:szCs w:val="22"/>
        </w:rPr>
      </w:pPr>
      <w:r w:rsidRPr="008942E9">
        <w:rPr>
          <w:rFonts w:ascii="Calibri" w:hAnsi="Calibri"/>
          <w:szCs w:val="22"/>
        </w:rPr>
        <w:t xml:space="preserve">A.2    </w:t>
      </w:r>
      <w:r w:rsidR="00BA53DB">
        <w:rPr>
          <w:rFonts w:ascii="Calibri" w:hAnsi="Calibri"/>
          <w:szCs w:val="22"/>
        </w:rPr>
        <w:t xml:space="preserve">    </w:t>
      </w:r>
      <w:r w:rsidRPr="008942E9">
        <w:rPr>
          <w:rFonts w:ascii="Calibri" w:hAnsi="Calibri"/>
          <w:szCs w:val="22"/>
        </w:rPr>
        <w:t>Purpose and Use of the Information</w:t>
      </w:r>
      <w:bookmarkEnd w:id="1"/>
      <w:bookmarkEnd w:id="2"/>
      <w:bookmarkEnd w:id="3"/>
      <w:bookmarkEnd w:id="4"/>
      <w:r w:rsidRPr="008942E9">
        <w:rPr>
          <w:rFonts w:ascii="Calibri" w:hAnsi="Calibri"/>
          <w:szCs w:val="22"/>
        </w:rPr>
        <w:t xml:space="preserve"> Collection</w:t>
      </w:r>
    </w:p>
    <w:p w14:paraId="36F6F755" w14:textId="3E56A9FD" w:rsidR="00BF0B29" w:rsidRDefault="009F4FBB" w:rsidP="001E3218">
      <w:pPr>
        <w:pStyle w:val="P1-StandPara"/>
        <w:rPr>
          <w:rFonts w:asciiTheme="minorHAnsi" w:hAnsiTheme="minorHAnsi"/>
        </w:rPr>
      </w:pPr>
      <w:r>
        <w:rPr>
          <w:rFonts w:asciiTheme="minorHAnsi" w:hAnsiTheme="minorHAnsi"/>
        </w:rPr>
        <w:t xml:space="preserve">The purpose of the </w:t>
      </w:r>
      <w:r w:rsidR="00762305" w:rsidRPr="00762305">
        <w:rPr>
          <w:rFonts w:asciiTheme="minorHAnsi" w:hAnsiTheme="minorHAnsi"/>
        </w:rPr>
        <w:t xml:space="preserve">NCI Future Fellows website </w:t>
      </w:r>
      <w:r w:rsidRPr="009F4FBB">
        <w:rPr>
          <w:rFonts w:asciiTheme="minorHAnsi" w:hAnsiTheme="minorHAnsi"/>
        </w:rPr>
        <w:t xml:space="preserve">is to assure that prospective trainees to the </w:t>
      </w:r>
      <w:r>
        <w:rPr>
          <w:rFonts w:asciiTheme="minorHAnsi" w:hAnsiTheme="minorHAnsi"/>
        </w:rPr>
        <w:t xml:space="preserve">National Cancer Institute (NCI) </w:t>
      </w:r>
      <w:r w:rsidRPr="009F4FBB">
        <w:rPr>
          <w:rFonts w:asciiTheme="minorHAnsi" w:hAnsiTheme="minorHAnsi"/>
        </w:rPr>
        <w:t xml:space="preserve">meet basic eligibility requirements; to assess their potential as future scientists; to determine where mutual research interests exist; and to make decisions regarding which </w:t>
      </w:r>
      <w:r w:rsidR="004E465F">
        <w:rPr>
          <w:rFonts w:asciiTheme="minorHAnsi" w:hAnsiTheme="minorHAnsi"/>
        </w:rPr>
        <w:t>candidate</w:t>
      </w:r>
      <w:r w:rsidRPr="009F4FBB">
        <w:rPr>
          <w:rFonts w:asciiTheme="minorHAnsi" w:hAnsiTheme="minorHAnsi"/>
        </w:rPr>
        <w:t xml:space="preserve">s will be eligible and invited to </w:t>
      </w:r>
      <w:r>
        <w:rPr>
          <w:rFonts w:asciiTheme="minorHAnsi" w:hAnsiTheme="minorHAnsi"/>
        </w:rPr>
        <w:t>attend program p</w:t>
      </w:r>
      <w:r w:rsidR="00762305" w:rsidRPr="00762305">
        <w:rPr>
          <w:rFonts w:asciiTheme="minorHAnsi" w:hAnsiTheme="minorHAnsi"/>
        </w:rPr>
        <w:t>ositions that may have future openings</w:t>
      </w:r>
      <w:r w:rsidR="00762305">
        <w:rPr>
          <w:rFonts w:asciiTheme="minorHAnsi" w:hAnsiTheme="minorHAnsi"/>
        </w:rPr>
        <w:t xml:space="preserve">. </w:t>
      </w:r>
      <w:r w:rsidR="00762305" w:rsidRPr="00762305">
        <w:rPr>
          <w:rFonts w:asciiTheme="minorHAnsi" w:hAnsiTheme="minorHAnsi"/>
        </w:rPr>
        <w:t xml:space="preserve"> </w:t>
      </w:r>
      <w:r w:rsidR="00BF0B29">
        <w:rPr>
          <w:rFonts w:asciiTheme="minorHAnsi" w:hAnsiTheme="minorHAnsi"/>
        </w:rPr>
        <w:t xml:space="preserve">Though </w:t>
      </w:r>
      <w:r w:rsidR="008D16E5">
        <w:rPr>
          <w:rFonts w:asciiTheme="minorHAnsi" w:hAnsiTheme="minorHAnsi"/>
        </w:rPr>
        <w:t>a</w:t>
      </w:r>
      <w:r w:rsidR="00BF0B29">
        <w:rPr>
          <w:rFonts w:asciiTheme="minorHAnsi" w:hAnsiTheme="minorHAnsi"/>
        </w:rPr>
        <w:t xml:space="preserve"> </w:t>
      </w:r>
      <w:r w:rsidR="004E465F">
        <w:rPr>
          <w:rFonts w:asciiTheme="minorHAnsi" w:hAnsiTheme="minorHAnsi"/>
        </w:rPr>
        <w:t>candidate</w:t>
      </w:r>
      <w:r w:rsidR="00BF0B29">
        <w:rPr>
          <w:rFonts w:asciiTheme="minorHAnsi" w:hAnsiTheme="minorHAnsi"/>
        </w:rPr>
        <w:t xml:space="preserve"> could apply directly for fellowship positions through the Center for Cancer Research, Division of Cancer Epidemiology and Genetics, and Division of Cancer Prevention</w:t>
      </w:r>
      <w:r w:rsidR="00667F87">
        <w:rPr>
          <w:rFonts w:asciiTheme="minorHAnsi" w:hAnsiTheme="minorHAnsi"/>
        </w:rPr>
        <w:t xml:space="preserve"> websites</w:t>
      </w:r>
      <w:r w:rsidR="00BF0B29">
        <w:rPr>
          <w:rFonts w:asciiTheme="minorHAnsi" w:hAnsiTheme="minorHAnsi"/>
        </w:rPr>
        <w:t xml:space="preserve">, </w:t>
      </w:r>
      <w:r w:rsidR="00667F87">
        <w:rPr>
          <w:rFonts w:asciiTheme="minorHAnsi" w:hAnsiTheme="minorHAnsi"/>
        </w:rPr>
        <w:t xml:space="preserve">by answering these questions and uploading a resume </w:t>
      </w:r>
      <w:r w:rsidR="00BF0B29">
        <w:rPr>
          <w:rFonts w:asciiTheme="minorHAnsi" w:hAnsiTheme="minorHAnsi"/>
        </w:rPr>
        <w:t xml:space="preserve">this allows NCI to </w:t>
      </w:r>
      <w:r w:rsidR="00667F87">
        <w:rPr>
          <w:rFonts w:asciiTheme="minorHAnsi" w:hAnsiTheme="minorHAnsi"/>
        </w:rPr>
        <w:t>pre-</w:t>
      </w:r>
      <w:r w:rsidR="00BF0B29">
        <w:rPr>
          <w:rFonts w:asciiTheme="minorHAnsi" w:hAnsiTheme="minorHAnsi"/>
        </w:rPr>
        <w:t xml:space="preserve">screen </w:t>
      </w:r>
      <w:r w:rsidR="00667F87">
        <w:rPr>
          <w:rFonts w:asciiTheme="minorHAnsi" w:hAnsiTheme="minorHAnsi"/>
        </w:rPr>
        <w:t xml:space="preserve">and match </w:t>
      </w:r>
      <w:r w:rsidR="00BF0B29">
        <w:rPr>
          <w:rFonts w:asciiTheme="minorHAnsi" w:hAnsiTheme="minorHAnsi"/>
        </w:rPr>
        <w:t>potential candidates</w:t>
      </w:r>
      <w:r w:rsidR="00667F87">
        <w:rPr>
          <w:rFonts w:asciiTheme="minorHAnsi" w:hAnsiTheme="minorHAnsi"/>
        </w:rPr>
        <w:t xml:space="preserve"> based on the experience and interests.  Should a position open up at NCI that fits this match, then the </w:t>
      </w:r>
      <w:r w:rsidR="004E465F">
        <w:rPr>
          <w:rFonts w:asciiTheme="minorHAnsi" w:hAnsiTheme="minorHAnsi"/>
        </w:rPr>
        <w:t>candidate</w:t>
      </w:r>
      <w:r w:rsidR="00667F87">
        <w:rPr>
          <w:rFonts w:asciiTheme="minorHAnsi" w:hAnsiTheme="minorHAnsi"/>
        </w:rPr>
        <w:t xml:space="preserve"> is </w:t>
      </w:r>
      <w:r w:rsidR="0000477C">
        <w:rPr>
          <w:rFonts w:asciiTheme="minorHAnsi" w:hAnsiTheme="minorHAnsi"/>
        </w:rPr>
        <w:t>contacted,</w:t>
      </w:r>
      <w:r w:rsidR="00667F87">
        <w:rPr>
          <w:rFonts w:asciiTheme="minorHAnsi" w:hAnsiTheme="minorHAnsi"/>
        </w:rPr>
        <w:t xml:space="preserve"> and a formal interview is requested.</w:t>
      </w:r>
      <w:r w:rsidR="00041A21">
        <w:rPr>
          <w:rFonts w:asciiTheme="minorHAnsi" w:hAnsiTheme="minorHAnsi"/>
        </w:rPr>
        <w:t xml:space="preserve">  </w:t>
      </w:r>
      <w:r w:rsidR="00B5539C">
        <w:rPr>
          <w:rFonts w:asciiTheme="minorHAnsi" w:hAnsiTheme="minorHAnsi" w:cs="Arial"/>
          <w:szCs w:val="22"/>
        </w:rPr>
        <w:t xml:space="preserve">In addition, </w:t>
      </w:r>
      <w:r w:rsidR="004E465F">
        <w:rPr>
          <w:rFonts w:asciiTheme="minorHAnsi" w:hAnsiTheme="minorHAnsi" w:cs="Arial"/>
          <w:szCs w:val="22"/>
        </w:rPr>
        <w:t>candidate</w:t>
      </w:r>
      <w:r w:rsidR="00B5539C">
        <w:rPr>
          <w:rFonts w:asciiTheme="minorHAnsi" w:hAnsiTheme="minorHAnsi" w:cs="Arial"/>
          <w:szCs w:val="22"/>
        </w:rPr>
        <w:t>s are able to submit their r</w:t>
      </w:r>
      <w:r w:rsidR="00B5539C" w:rsidRPr="0069709F">
        <w:rPr>
          <w:rFonts w:asciiTheme="minorHAnsi" w:hAnsiTheme="minorHAnsi" w:cs="Arial"/>
          <w:szCs w:val="22"/>
        </w:rPr>
        <w:t xml:space="preserve">esumes to this databank year-round whereas other areas in NCI, resumes can only be submitted during specific times. </w:t>
      </w:r>
      <w:r w:rsidR="00041A21" w:rsidRPr="00AE3623">
        <w:rPr>
          <w:rFonts w:asciiTheme="minorHAnsi" w:hAnsiTheme="minorHAnsi"/>
        </w:rPr>
        <w:t xml:space="preserve">This resume databank will also benefit all </w:t>
      </w:r>
      <w:r w:rsidR="00AE3623">
        <w:rPr>
          <w:rFonts w:asciiTheme="minorHAnsi" w:hAnsiTheme="minorHAnsi"/>
        </w:rPr>
        <w:t xml:space="preserve">the </w:t>
      </w:r>
      <w:r w:rsidR="00041A21" w:rsidRPr="00AE3623">
        <w:rPr>
          <w:rFonts w:asciiTheme="minorHAnsi" w:hAnsiTheme="minorHAnsi"/>
        </w:rPr>
        <w:t>National Cancer Institute organizations that do not have a specific resume collection process.</w:t>
      </w:r>
      <w:r w:rsidR="00041A21">
        <w:rPr>
          <w:rFonts w:asciiTheme="minorHAnsi" w:hAnsiTheme="minorHAnsi"/>
        </w:rPr>
        <w:t xml:space="preserve"> </w:t>
      </w:r>
    </w:p>
    <w:p w14:paraId="3B7B3818" w14:textId="4E5CFF58" w:rsidR="009F4FBB" w:rsidRPr="009F4FBB" w:rsidRDefault="009F4FBB" w:rsidP="00AE3623">
      <w:pPr>
        <w:pStyle w:val="P1-StandPara"/>
        <w:rPr>
          <w:rFonts w:asciiTheme="minorHAnsi" w:hAnsiTheme="minorHAnsi"/>
        </w:rPr>
      </w:pPr>
      <w:r>
        <w:rPr>
          <w:rFonts w:asciiTheme="minorHAnsi" w:hAnsiTheme="minorHAnsi"/>
        </w:rPr>
        <w:t>NCI</w:t>
      </w:r>
      <w:r w:rsidRPr="009F4FBB">
        <w:rPr>
          <w:rFonts w:asciiTheme="minorHAnsi" w:hAnsiTheme="minorHAnsi"/>
        </w:rPr>
        <w:t xml:space="preserve"> has been using the </w:t>
      </w:r>
      <w:r>
        <w:rPr>
          <w:rFonts w:asciiTheme="minorHAnsi" w:hAnsiTheme="minorHAnsi"/>
        </w:rPr>
        <w:t>website</w:t>
      </w:r>
      <w:r w:rsidRPr="009F4FBB">
        <w:rPr>
          <w:rFonts w:asciiTheme="minorHAnsi" w:hAnsiTheme="minorHAnsi"/>
        </w:rPr>
        <w:t xml:space="preserve"> to collect information since 20</w:t>
      </w:r>
      <w:r>
        <w:rPr>
          <w:rFonts w:asciiTheme="minorHAnsi" w:hAnsiTheme="minorHAnsi"/>
        </w:rPr>
        <w:t>1</w:t>
      </w:r>
      <w:r w:rsidR="00B33A24">
        <w:rPr>
          <w:rFonts w:asciiTheme="minorHAnsi" w:hAnsiTheme="minorHAnsi"/>
        </w:rPr>
        <w:t>3</w:t>
      </w:r>
      <w:r>
        <w:rPr>
          <w:rFonts w:asciiTheme="minorHAnsi" w:hAnsiTheme="minorHAnsi"/>
        </w:rPr>
        <w:t>.  During a routine audit of all websites</w:t>
      </w:r>
      <w:r w:rsidRPr="009F4FBB">
        <w:rPr>
          <w:rFonts w:asciiTheme="minorHAnsi" w:hAnsiTheme="minorHAnsi"/>
        </w:rPr>
        <w:t xml:space="preserve">, </w:t>
      </w:r>
      <w:r>
        <w:rPr>
          <w:rFonts w:asciiTheme="minorHAnsi" w:hAnsiTheme="minorHAnsi"/>
        </w:rPr>
        <w:t>the NCI Office of Communication and Public Liaison contacted us and</w:t>
      </w:r>
      <w:r w:rsidRPr="009F4FBB">
        <w:rPr>
          <w:rFonts w:asciiTheme="minorHAnsi" w:hAnsiTheme="minorHAnsi"/>
        </w:rPr>
        <w:t xml:space="preserve"> made us aware that PRA OMB Clearance was required for the collection of information. We immediately started the</w:t>
      </w:r>
      <w:r>
        <w:rPr>
          <w:rFonts w:asciiTheme="minorHAnsi" w:hAnsiTheme="minorHAnsi"/>
        </w:rPr>
        <w:t xml:space="preserve"> </w:t>
      </w:r>
      <w:r w:rsidRPr="009F4FBB">
        <w:rPr>
          <w:rFonts w:asciiTheme="minorHAnsi" w:hAnsiTheme="minorHAnsi"/>
        </w:rPr>
        <w:t>process for obtaining clearance. For this reason, we are submitting an Existing Collection without an OMB Number ICR.</w:t>
      </w:r>
    </w:p>
    <w:p w14:paraId="0123BDC0" w14:textId="35C31F64" w:rsidR="00477B6F" w:rsidRDefault="009F4FBB" w:rsidP="00477B6F">
      <w:pPr>
        <w:pStyle w:val="P1-StandPara"/>
        <w:ind w:firstLine="0"/>
        <w:rPr>
          <w:rFonts w:asciiTheme="minorHAnsi" w:hAnsiTheme="minorHAnsi"/>
        </w:rPr>
      </w:pPr>
      <w:r w:rsidRPr="009F4FBB">
        <w:rPr>
          <w:rFonts w:asciiTheme="minorHAnsi" w:hAnsiTheme="minorHAnsi"/>
        </w:rPr>
        <w:t xml:space="preserve">The </w:t>
      </w:r>
      <w:r w:rsidR="00477B6F">
        <w:rPr>
          <w:rFonts w:asciiTheme="minorHAnsi" w:hAnsiTheme="minorHAnsi"/>
        </w:rPr>
        <w:t xml:space="preserve">resumes </w:t>
      </w:r>
      <w:r w:rsidRPr="009F4FBB">
        <w:rPr>
          <w:rFonts w:asciiTheme="minorHAnsi" w:hAnsiTheme="minorHAnsi"/>
        </w:rPr>
        <w:t xml:space="preserve">are used to recruit prospective </w:t>
      </w:r>
      <w:r w:rsidR="00CC5FFB">
        <w:rPr>
          <w:rFonts w:asciiTheme="minorHAnsi" w:hAnsiTheme="minorHAnsi"/>
        </w:rPr>
        <w:t>candidates</w:t>
      </w:r>
      <w:r w:rsidR="00CC5FFB" w:rsidRPr="009F4FBB">
        <w:rPr>
          <w:rFonts w:asciiTheme="minorHAnsi" w:hAnsiTheme="minorHAnsi"/>
        </w:rPr>
        <w:t xml:space="preserve"> </w:t>
      </w:r>
      <w:r w:rsidRPr="009F4FBB">
        <w:rPr>
          <w:rFonts w:asciiTheme="minorHAnsi" w:hAnsiTheme="minorHAnsi"/>
        </w:rPr>
        <w:t xml:space="preserve">to the </w:t>
      </w:r>
      <w:r>
        <w:rPr>
          <w:rFonts w:asciiTheme="minorHAnsi" w:hAnsiTheme="minorHAnsi"/>
        </w:rPr>
        <w:t xml:space="preserve">National Cancer Institute’s Intramural </w:t>
      </w:r>
      <w:r w:rsidR="00CC5FFB">
        <w:rPr>
          <w:rFonts w:asciiTheme="minorHAnsi" w:hAnsiTheme="minorHAnsi"/>
        </w:rPr>
        <w:t xml:space="preserve">and Extramural </w:t>
      </w:r>
      <w:r>
        <w:rPr>
          <w:rFonts w:asciiTheme="minorHAnsi" w:hAnsiTheme="minorHAnsi"/>
        </w:rPr>
        <w:t xml:space="preserve">Programs. </w:t>
      </w:r>
      <w:r w:rsidR="00F625DD" w:rsidRPr="00AE3623">
        <w:rPr>
          <w:rFonts w:asciiTheme="minorHAnsi" w:hAnsiTheme="minorHAnsi"/>
        </w:rPr>
        <w:t>The Future Fellows web</w:t>
      </w:r>
      <w:r w:rsidR="00F625DD" w:rsidRPr="00EC1D10">
        <w:rPr>
          <w:rFonts w:asciiTheme="minorHAnsi" w:hAnsiTheme="minorHAnsi"/>
        </w:rPr>
        <w:t xml:space="preserve">site has received approximately 825 resumes over the last five years. </w:t>
      </w:r>
      <w:r w:rsidR="005B707E" w:rsidRPr="00EC1D10">
        <w:rPr>
          <w:rFonts w:asciiTheme="minorHAnsi" w:hAnsiTheme="minorHAnsi"/>
        </w:rPr>
        <w:t xml:space="preserve">  </w:t>
      </w:r>
    </w:p>
    <w:p w14:paraId="3EA30ACF" w14:textId="740565CF" w:rsidR="00477B6F" w:rsidRPr="00A973C9" w:rsidRDefault="009F4FBB" w:rsidP="00EC1D10">
      <w:pPr>
        <w:pStyle w:val="P1-StandPara"/>
        <w:rPr>
          <w:rFonts w:asciiTheme="minorHAnsi" w:hAnsiTheme="minorHAnsi"/>
        </w:rPr>
      </w:pPr>
      <w:r w:rsidRPr="009F4FBB">
        <w:rPr>
          <w:rFonts w:asciiTheme="minorHAnsi" w:hAnsiTheme="minorHAnsi"/>
        </w:rPr>
        <w:t>The</w:t>
      </w:r>
      <w:r w:rsidR="00BC206C">
        <w:rPr>
          <w:rFonts w:asciiTheme="minorHAnsi" w:hAnsiTheme="minorHAnsi"/>
        </w:rPr>
        <w:t xml:space="preserve"> Future Fellows </w:t>
      </w:r>
      <w:r w:rsidR="00477B6F">
        <w:rPr>
          <w:rFonts w:asciiTheme="minorHAnsi" w:hAnsiTheme="minorHAnsi"/>
        </w:rPr>
        <w:t>website collects contact information, j</w:t>
      </w:r>
      <w:r w:rsidR="009C1F28" w:rsidRPr="00A973C9">
        <w:rPr>
          <w:rFonts w:asciiTheme="minorHAnsi" w:hAnsiTheme="minorHAnsi"/>
        </w:rPr>
        <w:t xml:space="preserve">ob </w:t>
      </w:r>
      <w:r w:rsidR="00477B6F">
        <w:rPr>
          <w:rFonts w:asciiTheme="minorHAnsi" w:hAnsiTheme="minorHAnsi"/>
        </w:rPr>
        <w:t>c</w:t>
      </w:r>
      <w:r w:rsidR="009C1F28" w:rsidRPr="00A973C9">
        <w:rPr>
          <w:rFonts w:asciiTheme="minorHAnsi" w:hAnsiTheme="minorHAnsi"/>
        </w:rPr>
        <w:t>ategory (Postdoctoral Fellowship,</w:t>
      </w:r>
      <w:r w:rsidR="00477B6F">
        <w:rPr>
          <w:rFonts w:asciiTheme="minorHAnsi" w:hAnsiTheme="minorHAnsi"/>
        </w:rPr>
        <w:t xml:space="preserve"> </w:t>
      </w:r>
      <w:r w:rsidR="009C1F28" w:rsidRPr="00A973C9">
        <w:rPr>
          <w:rFonts w:asciiTheme="minorHAnsi" w:hAnsiTheme="minorHAnsi"/>
        </w:rPr>
        <w:t>Postdoctoral Fellowship (Foreign Visiting Fellow)</w:t>
      </w:r>
      <w:r w:rsidR="00477B6F">
        <w:rPr>
          <w:rFonts w:asciiTheme="minorHAnsi" w:hAnsiTheme="minorHAnsi"/>
        </w:rPr>
        <w:t>, c</w:t>
      </w:r>
      <w:r w:rsidR="009C1F28" w:rsidRPr="00A973C9">
        <w:rPr>
          <w:rFonts w:asciiTheme="minorHAnsi" w:hAnsiTheme="minorHAnsi"/>
        </w:rPr>
        <w:t>itizenship</w:t>
      </w:r>
      <w:r w:rsidR="00477B6F">
        <w:rPr>
          <w:rFonts w:asciiTheme="minorHAnsi" w:hAnsiTheme="minorHAnsi"/>
        </w:rPr>
        <w:t>, u</w:t>
      </w:r>
      <w:r w:rsidR="009C1F28" w:rsidRPr="00A973C9">
        <w:rPr>
          <w:rFonts w:asciiTheme="minorHAnsi" w:hAnsiTheme="minorHAnsi"/>
        </w:rPr>
        <w:t>ndergraduate Degree</w:t>
      </w:r>
      <w:r w:rsidR="00EC1D10">
        <w:rPr>
          <w:rFonts w:asciiTheme="minorHAnsi" w:hAnsiTheme="minorHAnsi"/>
        </w:rPr>
        <w:t>,</w:t>
      </w:r>
      <w:r w:rsidR="009C1F28" w:rsidRPr="00A973C9">
        <w:rPr>
          <w:rFonts w:asciiTheme="minorHAnsi" w:hAnsiTheme="minorHAnsi"/>
        </w:rPr>
        <w:t xml:space="preserve"> </w:t>
      </w:r>
      <w:r w:rsidR="00EC1D10">
        <w:rPr>
          <w:rFonts w:asciiTheme="minorHAnsi" w:hAnsiTheme="minorHAnsi"/>
        </w:rPr>
        <w:t xml:space="preserve">and </w:t>
      </w:r>
      <w:r w:rsidR="009C1F28" w:rsidRPr="00A973C9">
        <w:rPr>
          <w:rFonts w:asciiTheme="minorHAnsi" w:hAnsiTheme="minorHAnsi"/>
        </w:rPr>
        <w:t>G</w:t>
      </w:r>
      <w:r w:rsidR="00EC1D10">
        <w:rPr>
          <w:rFonts w:asciiTheme="minorHAnsi" w:hAnsiTheme="minorHAnsi"/>
        </w:rPr>
        <w:t>rade Point Average (G</w:t>
      </w:r>
      <w:r w:rsidR="009C1F28" w:rsidRPr="00A973C9">
        <w:rPr>
          <w:rFonts w:asciiTheme="minorHAnsi" w:hAnsiTheme="minorHAnsi"/>
        </w:rPr>
        <w:t>PA</w:t>
      </w:r>
      <w:r w:rsidR="00EC1D10">
        <w:rPr>
          <w:rFonts w:asciiTheme="minorHAnsi" w:hAnsiTheme="minorHAnsi"/>
        </w:rPr>
        <w:t>)</w:t>
      </w:r>
      <w:r w:rsidR="00477B6F">
        <w:rPr>
          <w:rFonts w:asciiTheme="minorHAnsi" w:hAnsiTheme="minorHAnsi"/>
        </w:rPr>
        <w:t>, and c</w:t>
      </w:r>
      <w:r w:rsidR="009C1F28" w:rsidRPr="00A973C9">
        <w:rPr>
          <w:rFonts w:asciiTheme="minorHAnsi" w:hAnsiTheme="minorHAnsi"/>
        </w:rPr>
        <w:t xml:space="preserve">ompleted </w:t>
      </w:r>
      <w:r w:rsidR="00477B6F">
        <w:rPr>
          <w:rFonts w:asciiTheme="minorHAnsi" w:hAnsiTheme="minorHAnsi"/>
        </w:rPr>
        <w:t>e</w:t>
      </w:r>
      <w:r w:rsidR="009C1F28" w:rsidRPr="00A973C9">
        <w:rPr>
          <w:rFonts w:asciiTheme="minorHAnsi" w:hAnsiTheme="minorHAnsi"/>
        </w:rPr>
        <w:t xml:space="preserve">ducation </w:t>
      </w:r>
      <w:r w:rsidR="00477B6F">
        <w:rPr>
          <w:rFonts w:asciiTheme="minorHAnsi" w:hAnsiTheme="minorHAnsi"/>
        </w:rPr>
        <w:t>l</w:t>
      </w:r>
      <w:r w:rsidR="009C1F28" w:rsidRPr="00A973C9">
        <w:rPr>
          <w:rFonts w:asciiTheme="minorHAnsi" w:hAnsiTheme="minorHAnsi"/>
        </w:rPr>
        <w:t>evels (DDS, DO, DSc, DVM, JD, MD, MPH, PhD, PharmD, ScD)</w:t>
      </w:r>
      <w:r w:rsidR="009F3DB0">
        <w:rPr>
          <w:rFonts w:asciiTheme="minorHAnsi" w:hAnsiTheme="minorHAnsi"/>
        </w:rPr>
        <w:t xml:space="preserve"> (Attachment 1)</w:t>
      </w:r>
      <w:r w:rsidR="00477B6F">
        <w:rPr>
          <w:rFonts w:asciiTheme="minorHAnsi" w:hAnsiTheme="minorHAnsi"/>
        </w:rPr>
        <w:t>.</w:t>
      </w:r>
      <w:r w:rsidR="00862AA6">
        <w:rPr>
          <w:rFonts w:asciiTheme="minorHAnsi" w:hAnsiTheme="minorHAnsi"/>
        </w:rPr>
        <w:t xml:space="preserve"> </w:t>
      </w:r>
      <w:r w:rsidR="00F625DD">
        <w:rPr>
          <w:rFonts w:asciiTheme="minorHAnsi" w:hAnsiTheme="minorHAnsi"/>
        </w:rPr>
        <w:t xml:space="preserve"> </w:t>
      </w:r>
      <w:r w:rsidR="00EC1D10">
        <w:rPr>
          <w:rFonts w:asciiTheme="minorHAnsi" w:hAnsiTheme="minorHAnsi"/>
        </w:rPr>
        <w:t>All th</w:t>
      </w:r>
      <w:r w:rsidR="00F625DD">
        <w:rPr>
          <w:rFonts w:asciiTheme="minorHAnsi" w:hAnsiTheme="minorHAnsi"/>
        </w:rPr>
        <w:t xml:space="preserve">is information is collected to verify eligibility </w:t>
      </w:r>
      <w:r w:rsidR="00B975DF">
        <w:rPr>
          <w:rFonts w:asciiTheme="minorHAnsi" w:hAnsiTheme="minorHAnsi"/>
        </w:rPr>
        <w:t>for specific programs.</w:t>
      </w:r>
      <w:r w:rsidR="00EC1D10">
        <w:rPr>
          <w:rFonts w:asciiTheme="minorHAnsi" w:hAnsiTheme="minorHAnsi"/>
        </w:rPr>
        <w:t xml:space="preserve">  Some fellowships only accept fellows with a certain citizenship and GPA.</w:t>
      </w:r>
      <w:r w:rsidR="00B975DF">
        <w:rPr>
          <w:rFonts w:asciiTheme="minorHAnsi" w:hAnsiTheme="minorHAnsi"/>
        </w:rPr>
        <w:t xml:space="preserve">  </w:t>
      </w:r>
      <w:r w:rsidR="0000477C">
        <w:rPr>
          <w:rFonts w:asciiTheme="minorHAnsi" w:hAnsiTheme="minorHAnsi"/>
        </w:rPr>
        <w:t>The website</w:t>
      </w:r>
      <w:r w:rsidR="00862AA6">
        <w:rPr>
          <w:rFonts w:asciiTheme="minorHAnsi" w:hAnsiTheme="minorHAnsi"/>
        </w:rPr>
        <w:t xml:space="preserve"> also requests information </w:t>
      </w:r>
      <w:r w:rsidR="0000477C">
        <w:rPr>
          <w:rFonts w:asciiTheme="minorHAnsi" w:hAnsiTheme="minorHAnsi"/>
        </w:rPr>
        <w:t>about research interests,</w:t>
      </w:r>
      <w:r w:rsidR="00862AA6">
        <w:rPr>
          <w:rFonts w:asciiTheme="minorHAnsi" w:hAnsiTheme="minorHAnsi"/>
        </w:rPr>
        <w:t xml:space="preserve"> title of positions held, length of time </w:t>
      </w:r>
      <w:r w:rsidR="0000477C">
        <w:rPr>
          <w:rFonts w:asciiTheme="minorHAnsi" w:hAnsiTheme="minorHAnsi"/>
        </w:rPr>
        <w:t>employed, availability date,</w:t>
      </w:r>
      <w:r w:rsidR="00862AA6">
        <w:rPr>
          <w:rFonts w:asciiTheme="minorHAnsi" w:hAnsiTheme="minorHAnsi"/>
        </w:rPr>
        <w:t xml:space="preserve"> </w:t>
      </w:r>
      <w:r w:rsidR="0000477C">
        <w:rPr>
          <w:rFonts w:asciiTheme="minorHAnsi" w:hAnsiTheme="minorHAnsi"/>
        </w:rPr>
        <w:t xml:space="preserve">reason for seeking a fellowship, and </w:t>
      </w:r>
      <w:r w:rsidR="00862AA6">
        <w:rPr>
          <w:rFonts w:asciiTheme="minorHAnsi" w:hAnsiTheme="minorHAnsi"/>
        </w:rPr>
        <w:t>how they heard about the NCI fellowship.</w:t>
      </w:r>
      <w:r w:rsidR="00F45EBC">
        <w:rPr>
          <w:rFonts w:asciiTheme="minorHAnsi" w:hAnsiTheme="minorHAnsi"/>
        </w:rPr>
        <w:t xml:space="preserve">  In addition to the above information and their resume, the potential candidate is requested to select up to five scientific focus areas from the following list:</w:t>
      </w:r>
    </w:p>
    <w:p w14:paraId="2FCD7FFA" w14:textId="74B0E893"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Biomedical Engineering/Biophysics/Physics, </w:t>
      </w:r>
    </w:p>
    <w:p w14:paraId="79B35C5A" w14:textId="77777777" w:rsidR="00E127E6" w:rsidRPr="00A973C9"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Cancer Biology,</w:t>
      </w:r>
    </w:p>
    <w:p w14:paraId="70EAF449"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Chemistry/Chemical Biology, </w:t>
      </w:r>
    </w:p>
    <w:p w14:paraId="00AA7DA6"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Chromosome Biology/Epigenetics, </w:t>
      </w:r>
    </w:p>
    <w:p w14:paraId="27A2F6CA" w14:textId="77777777" w:rsidR="00E127E6" w:rsidRPr="00A973C9"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Clinical Research,</w:t>
      </w:r>
    </w:p>
    <w:p w14:paraId="31E260AD"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Computational Biology/Bioinformatics/Biostatistics/Mathematics, </w:t>
      </w:r>
    </w:p>
    <w:p w14:paraId="54A3A227" w14:textId="77777777" w:rsidR="00E127E6" w:rsidRPr="00A973C9"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Developmental Biology,</w:t>
      </w:r>
    </w:p>
    <w:p w14:paraId="24909770"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Epidemiology/Population Sciences, </w:t>
      </w:r>
    </w:p>
    <w:p w14:paraId="5A0E56A3"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Genetics/Genomics, </w:t>
      </w:r>
    </w:p>
    <w:p w14:paraId="731E98D5"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Health Disparities, </w:t>
      </w:r>
    </w:p>
    <w:p w14:paraId="77DA199D"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Immunology, </w:t>
      </w:r>
    </w:p>
    <w:p w14:paraId="05158E28"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Microbiology/Infectious diseases (non-viral), </w:t>
      </w:r>
    </w:p>
    <w:p w14:paraId="26FB3A39"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Molecular Biology/Biochemistry, </w:t>
      </w:r>
    </w:p>
    <w:p w14:paraId="0EF55E33"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Molecular Pharmacology/Toxicology, </w:t>
      </w:r>
    </w:p>
    <w:p w14:paraId="762B748F"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Neuroscience/Neurophysiology/Neurodevelopment, </w:t>
      </w:r>
    </w:p>
    <w:p w14:paraId="7C238E54"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Social and Behavioral Sciences, </w:t>
      </w:r>
    </w:p>
    <w:p w14:paraId="7B181A6F" w14:textId="77777777" w:rsidR="00F45EBC"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 xml:space="preserve">Stem Cells/Induced Pluripotent Stem Cells, </w:t>
      </w:r>
      <w:r w:rsidR="00F45EBC">
        <w:rPr>
          <w:rFonts w:asciiTheme="minorHAnsi" w:hAnsiTheme="minorHAnsi"/>
        </w:rPr>
        <w:t>and</w:t>
      </w:r>
    </w:p>
    <w:p w14:paraId="5FB5828C" w14:textId="7C691B3A" w:rsidR="005B707E" w:rsidRPr="00A973C9" w:rsidRDefault="009C1F28" w:rsidP="00EC1D10">
      <w:pPr>
        <w:pStyle w:val="P1-StandPara"/>
        <w:numPr>
          <w:ilvl w:val="0"/>
          <w:numId w:val="13"/>
        </w:numPr>
        <w:spacing w:line="240" w:lineRule="auto"/>
        <w:rPr>
          <w:rFonts w:asciiTheme="minorHAnsi" w:hAnsiTheme="minorHAnsi"/>
        </w:rPr>
      </w:pPr>
      <w:r w:rsidRPr="00A973C9">
        <w:rPr>
          <w:rFonts w:asciiTheme="minorHAnsi" w:hAnsiTheme="minorHAnsi"/>
        </w:rPr>
        <w:t>Structural Biology</w:t>
      </w:r>
    </w:p>
    <w:p w14:paraId="2F0173F8" w14:textId="77777777" w:rsidR="00762305" w:rsidRDefault="00762305" w:rsidP="00115FFC">
      <w:pPr>
        <w:pStyle w:val="P1-StandPara"/>
        <w:spacing w:line="240" w:lineRule="auto"/>
        <w:ind w:left="720" w:firstLine="0"/>
      </w:pPr>
    </w:p>
    <w:p w14:paraId="65CAB37A" w14:textId="1A750535" w:rsidR="0000477C" w:rsidRDefault="0000477C" w:rsidP="00115FFC">
      <w:pPr>
        <w:pStyle w:val="P1-StandPara"/>
        <w:ind w:firstLine="0"/>
        <w:rPr>
          <w:rFonts w:asciiTheme="minorHAnsi" w:hAnsiTheme="minorHAnsi"/>
        </w:rPr>
      </w:pPr>
      <w:r>
        <w:rPr>
          <w:rFonts w:asciiTheme="minorHAnsi" w:hAnsiTheme="minorHAnsi"/>
        </w:rPr>
        <w:t xml:space="preserve">The </w:t>
      </w:r>
      <w:r w:rsidR="008F3D4A">
        <w:rPr>
          <w:rFonts w:asciiTheme="minorHAnsi" w:hAnsiTheme="minorHAnsi"/>
        </w:rPr>
        <w:t>candidate</w:t>
      </w:r>
      <w:r>
        <w:rPr>
          <w:rFonts w:asciiTheme="minorHAnsi" w:hAnsiTheme="minorHAnsi"/>
        </w:rPr>
        <w:t>’s</w:t>
      </w:r>
      <w:r w:rsidRPr="00762305">
        <w:rPr>
          <w:rFonts w:asciiTheme="minorHAnsi" w:hAnsiTheme="minorHAnsi"/>
        </w:rPr>
        <w:t xml:space="preserve"> contact</w:t>
      </w:r>
      <w:r>
        <w:rPr>
          <w:rFonts w:asciiTheme="minorHAnsi" w:hAnsiTheme="minorHAnsi"/>
        </w:rPr>
        <w:t xml:space="preserve"> information and resume are </w:t>
      </w:r>
      <w:r w:rsidRPr="00762305">
        <w:rPr>
          <w:rFonts w:asciiTheme="minorHAnsi" w:hAnsiTheme="minorHAnsi"/>
        </w:rPr>
        <w:t xml:space="preserve">kept on file </w:t>
      </w:r>
      <w:r>
        <w:rPr>
          <w:rFonts w:asciiTheme="minorHAnsi" w:hAnsiTheme="minorHAnsi"/>
        </w:rPr>
        <w:t xml:space="preserve">for six months from the date the resume is posted </w:t>
      </w:r>
      <w:r w:rsidRPr="00115FFC">
        <w:rPr>
          <w:rFonts w:asciiTheme="minorHAnsi" w:hAnsiTheme="minorHAnsi"/>
        </w:rPr>
        <w:t>then the information is deleted</w:t>
      </w:r>
      <w:r w:rsidR="00B975DF" w:rsidRPr="00115FFC">
        <w:rPr>
          <w:rFonts w:asciiTheme="minorHAnsi" w:hAnsiTheme="minorHAnsi"/>
        </w:rPr>
        <w:t>.</w:t>
      </w:r>
    </w:p>
    <w:p w14:paraId="3919DDC0" w14:textId="713AB673" w:rsidR="00A00CF8" w:rsidRPr="008942E9" w:rsidRDefault="00A00CF8" w:rsidP="007602E8">
      <w:pPr>
        <w:spacing w:after="0" w:line="480" w:lineRule="auto"/>
        <w:rPr>
          <w:b/>
          <w:color w:val="000000"/>
        </w:rPr>
      </w:pPr>
      <w:r w:rsidRPr="008942E9">
        <w:rPr>
          <w:b/>
          <w:color w:val="000000"/>
        </w:rPr>
        <w:t xml:space="preserve">A.3     </w:t>
      </w:r>
      <w:r w:rsidR="001173A8">
        <w:rPr>
          <w:b/>
          <w:color w:val="000000"/>
        </w:rPr>
        <w:t xml:space="preserve">   </w:t>
      </w:r>
      <w:r w:rsidRPr="008942E9">
        <w:rPr>
          <w:b/>
          <w:color w:val="000000"/>
        </w:rPr>
        <w:t>Use of Information Technology and Burden Reduction</w:t>
      </w:r>
    </w:p>
    <w:p w14:paraId="305CDACE" w14:textId="2B9EF18B" w:rsidR="00896F1E" w:rsidRDefault="00896F1E" w:rsidP="007602E8">
      <w:pPr>
        <w:spacing w:after="0" w:line="480" w:lineRule="auto"/>
        <w:ind w:firstLine="720"/>
        <w:rPr>
          <w:color w:val="000000"/>
        </w:rPr>
      </w:pPr>
      <w:r w:rsidRPr="00896F1E">
        <w:rPr>
          <w:color w:val="000000"/>
        </w:rPr>
        <w:t>Prospect</w:t>
      </w:r>
      <w:r>
        <w:rPr>
          <w:color w:val="000000"/>
        </w:rPr>
        <w:t xml:space="preserve">ive trainees for </w:t>
      </w:r>
      <w:r w:rsidR="00E23F18">
        <w:rPr>
          <w:color w:val="000000"/>
        </w:rPr>
        <w:t xml:space="preserve">can apply </w:t>
      </w:r>
      <w:r w:rsidRPr="00896F1E">
        <w:rPr>
          <w:color w:val="000000"/>
        </w:rPr>
        <w:t>directly to</w:t>
      </w:r>
      <w:r>
        <w:rPr>
          <w:color w:val="000000"/>
        </w:rPr>
        <w:t xml:space="preserve"> NCI Future Fellows website by uploading their resume</w:t>
      </w:r>
      <w:r w:rsidR="009C1F28">
        <w:rPr>
          <w:color w:val="000000"/>
        </w:rPr>
        <w:t>, completing basic fields</w:t>
      </w:r>
      <w:r>
        <w:rPr>
          <w:color w:val="000000"/>
        </w:rPr>
        <w:t xml:space="preserve"> and answering four questions</w:t>
      </w:r>
      <w:r w:rsidRPr="00896F1E">
        <w:rPr>
          <w:color w:val="000000"/>
        </w:rPr>
        <w:t xml:space="preserve">.  The </w:t>
      </w:r>
      <w:r>
        <w:rPr>
          <w:color w:val="000000"/>
        </w:rPr>
        <w:t>submissions</w:t>
      </w:r>
      <w:r w:rsidRPr="00896F1E">
        <w:rPr>
          <w:color w:val="000000"/>
        </w:rPr>
        <w:t xml:space="preserve"> are web based and accessible through the web site</w:t>
      </w:r>
      <w:r w:rsidR="00D307FF">
        <w:rPr>
          <w:color w:val="000000"/>
        </w:rPr>
        <w:t xml:space="preserve"> </w:t>
      </w:r>
      <w:r w:rsidR="00D307FF" w:rsidRPr="00D307FF">
        <w:rPr>
          <w:color w:val="000000"/>
        </w:rPr>
        <w:t>https://futurefellows.cancer.gov/</w:t>
      </w:r>
      <w:r w:rsidRPr="00896F1E">
        <w:rPr>
          <w:color w:val="000000"/>
        </w:rPr>
        <w:t xml:space="preserve"> </w:t>
      </w:r>
      <w:r>
        <w:rPr>
          <w:color w:val="000000"/>
        </w:rPr>
        <w:t>under the “Apply” tab</w:t>
      </w:r>
      <w:r w:rsidRPr="00115FFC">
        <w:rPr>
          <w:color w:val="000000"/>
        </w:rPr>
        <w:t xml:space="preserve">. </w:t>
      </w:r>
      <w:r w:rsidR="00041A21" w:rsidRPr="00115FFC">
        <w:rPr>
          <w:color w:val="000000"/>
        </w:rPr>
        <w:t xml:space="preserve">  This online resume databank </w:t>
      </w:r>
      <w:r w:rsidR="008F3C50" w:rsidRPr="00115FFC">
        <w:rPr>
          <w:color w:val="000000"/>
        </w:rPr>
        <w:t>w</w:t>
      </w:r>
      <w:r w:rsidR="00041A21" w:rsidRPr="00115FFC">
        <w:rPr>
          <w:color w:val="000000"/>
        </w:rPr>
        <w:t xml:space="preserve">ill enhance a previous hard copy resume system that included either college career fairs or receiving unsolicited resumes by mail.   </w:t>
      </w:r>
      <w:r w:rsidR="00115FFC" w:rsidRPr="00115FFC">
        <w:rPr>
          <w:color w:val="000000"/>
        </w:rPr>
        <w:t>In addition, once the resume is</w:t>
      </w:r>
      <w:r w:rsidR="00041A21" w:rsidRPr="00115FFC">
        <w:rPr>
          <w:color w:val="000000"/>
        </w:rPr>
        <w:t xml:space="preserve"> electronically capture</w:t>
      </w:r>
      <w:r w:rsidR="00115FFC" w:rsidRPr="00115FFC">
        <w:rPr>
          <w:color w:val="000000"/>
        </w:rPr>
        <w:t xml:space="preserve">d, </w:t>
      </w:r>
      <w:r w:rsidR="00041A21" w:rsidRPr="00115FFC">
        <w:rPr>
          <w:color w:val="000000"/>
        </w:rPr>
        <w:t xml:space="preserve">the resume information </w:t>
      </w:r>
      <w:r w:rsidR="00115FFC" w:rsidRPr="00115FFC">
        <w:rPr>
          <w:color w:val="000000"/>
        </w:rPr>
        <w:t xml:space="preserve">and keywords will be </w:t>
      </w:r>
      <w:r w:rsidR="00041A21" w:rsidRPr="00115FFC">
        <w:rPr>
          <w:color w:val="000000"/>
        </w:rPr>
        <w:t>searchable</w:t>
      </w:r>
      <w:r w:rsidR="008F3C50" w:rsidRPr="00115FFC">
        <w:rPr>
          <w:color w:val="000000"/>
        </w:rPr>
        <w:t>.</w:t>
      </w:r>
    </w:p>
    <w:p w14:paraId="7542D252" w14:textId="2E4E2FA8" w:rsidR="00896F1E" w:rsidRPr="00615921" w:rsidRDefault="007602E8" w:rsidP="007602E8">
      <w:pPr>
        <w:autoSpaceDE w:val="0"/>
        <w:autoSpaceDN w:val="0"/>
        <w:adjustRightInd w:val="0"/>
        <w:spacing w:after="0" w:line="480" w:lineRule="auto"/>
        <w:ind w:firstLine="720"/>
        <w:rPr>
          <w:rFonts w:asciiTheme="minorHAnsi" w:eastAsia="MS Mincho" w:hAnsiTheme="minorHAnsi" w:cs="Arial"/>
          <w:szCs w:val="24"/>
          <w:lang w:eastAsia="ja-JP"/>
        </w:rPr>
      </w:pPr>
      <w:r w:rsidRPr="006D5583">
        <w:rPr>
          <w:rFonts w:asciiTheme="minorHAnsi" w:eastAsia="MS Mincho" w:hAnsiTheme="minorHAnsi" w:cs="Arial"/>
          <w:szCs w:val="24"/>
          <w:lang w:eastAsia="ja-JP"/>
        </w:rPr>
        <w:t xml:space="preserve">The NCI Privacy Act Coordinator was consulted, and it was determined that a </w:t>
      </w:r>
      <w:r w:rsidR="00896F1E" w:rsidRPr="006D5583">
        <w:rPr>
          <w:rFonts w:asciiTheme="minorHAnsi" w:eastAsia="MS Mincho" w:hAnsiTheme="minorHAnsi" w:cs="Arial"/>
          <w:szCs w:val="24"/>
          <w:lang w:eastAsia="ja-JP"/>
        </w:rPr>
        <w:t xml:space="preserve">Privacy Impact </w:t>
      </w:r>
      <w:r w:rsidR="00615921" w:rsidRPr="006D5583">
        <w:rPr>
          <w:rFonts w:asciiTheme="minorHAnsi" w:eastAsia="MS Mincho" w:hAnsiTheme="minorHAnsi" w:cs="Arial"/>
          <w:szCs w:val="24"/>
          <w:lang w:eastAsia="ja-JP"/>
        </w:rPr>
        <w:t xml:space="preserve">Assessment (PIA) is </w:t>
      </w:r>
      <w:r w:rsidRPr="006D5583">
        <w:rPr>
          <w:rFonts w:asciiTheme="minorHAnsi" w:eastAsia="MS Mincho" w:hAnsiTheme="minorHAnsi" w:cs="Arial"/>
          <w:szCs w:val="24"/>
          <w:lang w:eastAsia="ja-JP"/>
        </w:rPr>
        <w:t xml:space="preserve">needed.  A PIA </w:t>
      </w:r>
      <w:r w:rsidR="009F3DB0">
        <w:rPr>
          <w:rFonts w:asciiTheme="minorHAnsi" w:eastAsia="MS Mincho" w:hAnsiTheme="minorHAnsi" w:cs="Arial"/>
          <w:szCs w:val="24"/>
          <w:lang w:eastAsia="ja-JP"/>
        </w:rPr>
        <w:t>has been submitted and approved by NIH (Attachment 2).</w:t>
      </w:r>
    </w:p>
    <w:p w14:paraId="1F8B8A8D" w14:textId="77777777" w:rsidR="00685B30" w:rsidRDefault="00685B30" w:rsidP="0000477C">
      <w:pPr>
        <w:pStyle w:val="Heading2"/>
        <w:spacing w:after="0" w:line="480" w:lineRule="auto"/>
        <w:ind w:left="720" w:hanging="720"/>
        <w:rPr>
          <w:rFonts w:ascii="Calibri" w:hAnsi="Calibri"/>
          <w:szCs w:val="22"/>
        </w:rPr>
      </w:pPr>
      <w:bookmarkStart w:id="5" w:name="_Toc443881745"/>
      <w:bookmarkStart w:id="6" w:name="_Toc451592234"/>
      <w:bookmarkStart w:id="7" w:name="_Toc5610275"/>
      <w:bookmarkStart w:id="8" w:name="_Toc99178781"/>
      <w:r w:rsidRPr="00615921">
        <w:rPr>
          <w:rFonts w:ascii="Calibri" w:hAnsi="Calibri"/>
          <w:szCs w:val="22"/>
        </w:rPr>
        <w:t>A.4</w:t>
      </w:r>
      <w:r w:rsidRPr="00615921">
        <w:rPr>
          <w:rFonts w:ascii="Calibri" w:hAnsi="Calibri"/>
          <w:szCs w:val="22"/>
        </w:rPr>
        <w:tab/>
        <w:t>Efforts to Identify Duplication and Use of Similar Information</w:t>
      </w:r>
      <w:bookmarkEnd w:id="5"/>
      <w:bookmarkEnd w:id="6"/>
      <w:bookmarkEnd w:id="7"/>
      <w:bookmarkEnd w:id="8"/>
    </w:p>
    <w:p w14:paraId="6D4E35AD" w14:textId="36391632" w:rsidR="0082562D" w:rsidRDefault="00FF70FE" w:rsidP="007B380A">
      <w:pPr>
        <w:pStyle w:val="NormalWeb"/>
        <w:spacing w:before="0" w:beforeAutospacing="0" w:after="0" w:afterAutospacing="0" w:line="480" w:lineRule="auto"/>
        <w:ind w:firstLine="720"/>
        <w:rPr>
          <w:rFonts w:asciiTheme="minorHAnsi" w:hAnsiTheme="minorHAnsi" w:cs="Arial"/>
          <w:sz w:val="22"/>
          <w:szCs w:val="22"/>
        </w:rPr>
      </w:pPr>
      <w:r w:rsidRPr="00C63E2B">
        <w:rPr>
          <w:rFonts w:asciiTheme="minorHAnsi" w:hAnsiTheme="minorHAnsi" w:cs="Arial"/>
          <w:sz w:val="22"/>
          <w:szCs w:val="22"/>
        </w:rPr>
        <w:t xml:space="preserve">This information </w:t>
      </w:r>
      <w:r w:rsidR="005B707E" w:rsidRPr="00C63E2B">
        <w:rPr>
          <w:rFonts w:asciiTheme="minorHAnsi" w:hAnsiTheme="minorHAnsi" w:cs="Arial"/>
          <w:sz w:val="22"/>
          <w:szCs w:val="22"/>
        </w:rPr>
        <w:t xml:space="preserve">is similar to other information collections that exist, however this website acts as a </w:t>
      </w:r>
      <w:r w:rsidR="0082562D">
        <w:rPr>
          <w:rFonts w:asciiTheme="minorHAnsi" w:hAnsiTheme="minorHAnsi" w:cs="Arial"/>
          <w:sz w:val="22"/>
          <w:szCs w:val="22"/>
        </w:rPr>
        <w:t xml:space="preserve">single </w:t>
      </w:r>
      <w:r w:rsidR="005B707E" w:rsidRPr="00C63E2B">
        <w:rPr>
          <w:rFonts w:asciiTheme="minorHAnsi" w:hAnsiTheme="minorHAnsi" w:cs="Arial"/>
          <w:sz w:val="22"/>
          <w:szCs w:val="22"/>
        </w:rPr>
        <w:t xml:space="preserve">porthole and consolidates all the fellowship options for NCI.  </w:t>
      </w:r>
      <w:r w:rsidR="0082562D" w:rsidRPr="0069709F">
        <w:rPr>
          <w:rFonts w:asciiTheme="minorHAnsi" w:hAnsiTheme="minorHAnsi" w:cs="Arial"/>
          <w:sz w:val="22"/>
          <w:szCs w:val="22"/>
        </w:rPr>
        <w:t xml:space="preserve">This resume databank will benefit all </w:t>
      </w:r>
      <w:r w:rsidR="0082562D">
        <w:rPr>
          <w:rFonts w:asciiTheme="minorHAnsi" w:hAnsiTheme="minorHAnsi" w:cs="Arial"/>
          <w:sz w:val="22"/>
          <w:szCs w:val="22"/>
        </w:rPr>
        <w:t xml:space="preserve">of the </w:t>
      </w:r>
      <w:r w:rsidR="0082562D" w:rsidRPr="0069709F">
        <w:rPr>
          <w:rFonts w:asciiTheme="minorHAnsi" w:hAnsiTheme="minorHAnsi" w:cs="Arial"/>
          <w:sz w:val="22"/>
          <w:szCs w:val="22"/>
        </w:rPr>
        <w:t>National</w:t>
      </w:r>
      <w:r w:rsidR="0082562D" w:rsidRPr="0082562D">
        <w:rPr>
          <w:rFonts w:asciiTheme="minorHAnsi" w:hAnsiTheme="minorHAnsi" w:cs="Arial"/>
          <w:sz w:val="22"/>
          <w:szCs w:val="22"/>
        </w:rPr>
        <w:t xml:space="preserve"> Cancer Institute organizations that do not have a specific resume collection process.</w:t>
      </w:r>
      <w:r w:rsidR="0082562D">
        <w:rPr>
          <w:rFonts w:asciiTheme="minorHAnsi" w:hAnsiTheme="minorHAnsi" w:cs="Arial"/>
          <w:sz w:val="22"/>
          <w:szCs w:val="22"/>
        </w:rPr>
        <w:t xml:space="preserve"> </w:t>
      </w:r>
      <w:r w:rsidR="00D60270">
        <w:rPr>
          <w:rFonts w:asciiTheme="minorHAnsi" w:hAnsiTheme="minorHAnsi" w:cs="Arial"/>
          <w:sz w:val="22"/>
          <w:szCs w:val="22"/>
        </w:rPr>
        <w:t>Though NCI’s Division of Cancer Epidemiology and Genetics (</w:t>
      </w:r>
      <w:r w:rsidR="00D60270" w:rsidRPr="00C63E2B">
        <w:rPr>
          <w:rFonts w:asciiTheme="minorHAnsi" w:hAnsiTheme="minorHAnsi" w:cs="Arial"/>
          <w:sz w:val="22"/>
          <w:szCs w:val="22"/>
        </w:rPr>
        <w:t>DCEG</w:t>
      </w:r>
      <w:r w:rsidR="00D60270">
        <w:rPr>
          <w:rFonts w:asciiTheme="minorHAnsi" w:hAnsiTheme="minorHAnsi" w:cs="Arial"/>
          <w:sz w:val="22"/>
          <w:szCs w:val="22"/>
        </w:rPr>
        <w:t>) (OMB No. 0925-0716, Expiration Date 5/31/2021)</w:t>
      </w:r>
      <w:r w:rsidR="00D60270" w:rsidRPr="00C63E2B">
        <w:rPr>
          <w:rFonts w:asciiTheme="minorHAnsi" w:hAnsiTheme="minorHAnsi" w:cs="Arial"/>
          <w:sz w:val="22"/>
          <w:szCs w:val="22"/>
        </w:rPr>
        <w:t xml:space="preserve"> </w:t>
      </w:r>
      <w:r w:rsidR="00D60270">
        <w:rPr>
          <w:rFonts w:asciiTheme="minorHAnsi" w:hAnsiTheme="minorHAnsi" w:cs="Arial"/>
          <w:sz w:val="22"/>
          <w:szCs w:val="22"/>
        </w:rPr>
        <w:t xml:space="preserve">and </w:t>
      </w:r>
      <w:r w:rsidR="00FE7687">
        <w:rPr>
          <w:rFonts w:asciiTheme="minorHAnsi" w:hAnsiTheme="minorHAnsi" w:cs="Arial"/>
          <w:sz w:val="22"/>
          <w:szCs w:val="22"/>
        </w:rPr>
        <w:t>Cancer Prevention Fellowship Program and Summer Curriculum Applicants (</w:t>
      </w:r>
      <w:r w:rsidR="00D60270">
        <w:rPr>
          <w:rFonts w:asciiTheme="minorHAnsi" w:hAnsiTheme="minorHAnsi" w:cs="Arial"/>
          <w:sz w:val="22"/>
          <w:szCs w:val="22"/>
        </w:rPr>
        <w:t>CPFP</w:t>
      </w:r>
      <w:r w:rsidR="00FE7687">
        <w:rPr>
          <w:rFonts w:asciiTheme="minorHAnsi" w:hAnsiTheme="minorHAnsi" w:cs="Arial"/>
          <w:sz w:val="22"/>
          <w:szCs w:val="22"/>
        </w:rPr>
        <w:t>)</w:t>
      </w:r>
      <w:r w:rsidR="00D60270">
        <w:rPr>
          <w:rFonts w:asciiTheme="minorHAnsi" w:hAnsiTheme="minorHAnsi" w:cs="Arial"/>
          <w:sz w:val="22"/>
          <w:szCs w:val="22"/>
        </w:rPr>
        <w:t xml:space="preserve"> (OMB No. 0925-</w:t>
      </w:r>
      <w:r w:rsidR="00FE7687">
        <w:rPr>
          <w:rFonts w:asciiTheme="minorHAnsi" w:hAnsiTheme="minorHAnsi" w:cs="Arial"/>
          <w:sz w:val="22"/>
          <w:szCs w:val="22"/>
        </w:rPr>
        <w:t>0749</w:t>
      </w:r>
      <w:r w:rsidR="00D60270">
        <w:rPr>
          <w:rFonts w:asciiTheme="minorHAnsi" w:hAnsiTheme="minorHAnsi" w:cs="Arial"/>
          <w:sz w:val="22"/>
          <w:szCs w:val="22"/>
        </w:rPr>
        <w:t>, Expiration Date 12/</w:t>
      </w:r>
      <w:r w:rsidR="00FE7687">
        <w:rPr>
          <w:rFonts w:asciiTheme="minorHAnsi" w:hAnsiTheme="minorHAnsi" w:cs="Arial"/>
          <w:sz w:val="22"/>
          <w:szCs w:val="22"/>
        </w:rPr>
        <w:t>31/2019)</w:t>
      </w:r>
      <w:r w:rsidR="00D60270">
        <w:rPr>
          <w:rFonts w:asciiTheme="minorHAnsi" w:hAnsiTheme="minorHAnsi" w:cs="Arial"/>
          <w:sz w:val="22"/>
          <w:szCs w:val="22"/>
        </w:rPr>
        <w:t xml:space="preserve"> also</w:t>
      </w:r>
      <w:r w:rsidR="00D60270" w:rsidRPr="00C63E2B">
        <w:rPr>
          <w:rFonts w:asciiTheme="minorHAnsi" w:hAnsiTheme="minorHAnsi" w:cs="Arial"/>
          <w:sz w:val="22"/>
          <w:szCs w:val="22"/>
        </w:rPr>
        <w:t xml:space="preserve"> ask research interests</w:t>
      </w:r>
      <w:r w:rsidR="00D60270">
        <w:rPr>
          <w:rFonts w:asciiTheme="minorHAnsi" w:hAnsiTheme="minorHAnsi" w:cs="Arial"/>
          <w:sz w:val="22"/>
          <w:szCs w:val="22"/>
        </w:rPr>
        <w:t xml:space="preserve"> and similar questions of their </w:t>
      </w:r>
      <w:r w:rsidR="008F3D4A">
        <w:rPr>
          <w:rFonts w:asciiTheme="minorHAnsi" w:hAnsiTheme="minorHAnsi" w:cs="Arial"/>
          <w:sz w:val="22"/>
          <w:szCs w:val="22"/>
        </w:rPr>
        <w:t>candidate</w:t>
      </w:r>
      <w:r w:rsidR="00D60270">
        <w:rPr>
          <w:rFonts w:asciiTheme="minorHAnsi" w:hAnsiTheme="minorHAnsi" w:cs="Arial"/>
          <w:sz w:val="22"/>
          <w:szCs w:val="22"/>
        </w:rPr>
        <w:t xml:space="preserve">s, this is a broader application that will encompass many different trainings and fellowships at NCI.  </w:t>
      </w:r>
      <w:r w:rsidR="00FE7687">
        <w:rPr>
          <w:rFonts w:asciiTheme="minorHAnsi" w:hAnsiTheme="minorHAnsi" w:cs="Arial"/>
          <w:sz w:val="22"/>
          <w:szCs w:val="22"/>
        </w:rPr>
        <w:t>There have been discussions that i</w:t>
      </w:r>
      <w:r w:rsidR="0082562D" w:rsidRPr="0082562D">
        <w:rPr>
          <w:rFonts w:asciiTheme="minorHAnsi" w:hAnsiTheme="minorHAnsi" w:cs="Arial"/>
          <w:sz w:val="22"/>
          <w:szCs w:val="22"/>
        </w:rPr>
        <w:t>n the future, this resume databank may replace other existing resume collections</w:t>
      </w:r>
      <w:r w:rsidR="0082562D">
        <w:rPr>
          <w:rFonts w:asciiTheme="minorHAnsi" w:hAnsiTheme="minorHAnsi" w:cs="Arial"/>
          <w:sz w:val="22"/>
          <w:szCs w:val="22"/>
        </w:rPr>
        <w:t xml:space="preserve"> and application systems</w:t>
      </w:r>
      <w:r w:rsidR="0082562D" w:rsidRPr="0082562D">
        <w:rPr>
          <w:rFonts w:asciiTheme="minorHAnsi" w:hAnsiTheme="minorHAnsi" w:cs="Arial"/>
          <w:sz w:val="22"/>
          <w:szCs w:val="22"/>
        </w:rPr>
        <w:t xml:space="preserve"> at NCI.</w:t>
      </w:r>
    </w:p>
    <w:p w14:paraId="19072DC1" w14:textId="298341D8" w:rsidR="007B380A" w:rsidRPr="00C63E2B" w:rsidRDefault="007B380A" w:rsidP="007B380A">
      <w:pPr>
        <w:pStyle w:val="NormalWeb"/>
        <w:spacing w:before="0" w:beforeAutospacing="0" w:after="0" w:afterAutospacing="0" w:line="480" w:lineRule="auto"/>
        <w:ind w:firstLine="720"/>
        <w:rPr>
          <w:rFonts w:asciiTheme="minorHAnsi" w:hAnsiTheme="minorHAnsi" w:cs="Arial"/>
          <w:sz w:val="22"/>
          <w:szCs w:val="22"/>
        </w:rPr>
      </w:pPr>
      <w:r w:rsidRPr="00C63E2B">
        <w:rPr>
          <w:rFonts w:asciiTheme="minorHAnsi" w:hAnsiTheme="minorHAnsi" w:cs="Arial"/>
          <w:sz w:val="22"/>
          <w:szCs w:val="22"/>
        </w:rPr>
        <w:t>Though the NIH Office of Intramural Training and Education</w:t>
      </w:r>
      <w:r w:rsidR="00C63E2B" w:rsidRPr="00C63E2B">
        <w:rPr>
          <w:rFonts w:asciiTheme="minorHAnsi" w:hAnsiTheme="minorHAnsi" w:cs="Arial"/>
          <w:sz w:val="22"/>
          <w:szCs w:val="22"/>
        </w:rPr>
        <w:t xml:space="preserve"> (OITE)</w:t>
      </w:r>
      <w:r w:rsidRPr="00C63E2B">
        <w:rPr>
          <w:rFonts w:asciiTheme="minorHAnsi" w:hAnsiTheme="minorHAnsi" w:cs="Arial"/>
          <w:sz w:val="22"/>
          <w:szCs w:val="22"/>
        </w:rPr>
        <w:t>, which is part of the NIH Office of the Director, Office of Intramural Research, (NIH/OD/OIR/OITE) (OMB No. 0925-0299 Expiration Date 06/30/2019) has a fellowship application and review process</w:t>
      </w:r>
      <w:r w:rsidR="0082562D">
        <w:rPr>
          <w:rFonts w:asciiTheme="minorHAnsi" w:hAnsiTheme="minorHAnsi" w:cs="Arial"/>
          <w:sz w:val="22"/>
          <w:szCs w:val="22"/>
        </w:rPr>
        <w:t>, the</w:t>
      </w:r>
      <w:r w:rsidRPr="00C63E2B">
        <w:rPr>
          <w:rFonts w:asciiTheme="minorHAnsi" w:hAnsiTheme="minorHAnsi" w:cs="Arial"/>
          <w:sz w:val="22"/>
          <w:szCs w:val="22"/>
        </w:rPr>
        <w:t xml:space="preserve"> OITE application</w:t>
      </w:r>
      <w:r w:rsidR="00C63E2B" w:rsidRPr="00C63E2B">
        <w:rPr>
          <w:rFonts w:asciiTheme="minorHAnsi" w:hAnsiTheme="minorHAnsi" w:cs="Arial"/>
          <w:sz w:val="22"/>
          <w:szCs w:val="22"/>
        </w:rPr>
        <w:t xml:space="preserve"> does not target candidates interested in cancer fellowships, and it also does n</w:t>
      </w:r>
      <w:r w:rsidRPr="00C63E2B">
        <w:rPr>
          <w:rFonts w:asciiTheme="minorHAnsi" w:hAnsiTheme="minorHAnsi" w:cs="Arial"/>
          <w:sz w:val="22"/>
          <w:szCs w:val="22"/>
        </w:rPr>
        <w:t xml:space="preserve">ot include </w:t>
      </w:r>
      <w:r w:rsidR="00C63E2B" w:rsidRPr="00C63E2B">
        <w:rPr>
          <w:rFonts w:asciiTheme="minorHAnsi" w:hAnsiTheme="minorHAnsi" w:cs="Arial"/>
          <w:sz w:val="22"/>
          <w:szCs w:val="22"/>
        </w:rPr>
        <w:t xml:space="preserve">research interest </w:t>
      </w:r>
      <w:r w:rsidRPr="00C63E2B">
        <w:rPr>
          <w:rFonts w:asciiTheme="minorHAnsi" w:hAnsiTheme="minorHAnsi" w:cs="Arial"/>
          <w:sz w:val="22"/>
          <w:szCs w:val="22"/>
        </w:rPr>
        <w:t xml:space="preserve">questions designed to </w:t>
      </w:r>
      <w:r w:rsidR="00C63E2B" w:rsidRPr="00C63E2B">
        <w:rPr>
          <w:rFonts w:asciiTheme="minorHAnsi" w:hAnsiTheme="minorHAnsi" w:cs="Arial"/>
          <w:sz w:val="22"/>
          <w:szCs w:val="22"/>
        </w:rPr>
        <w:t>match a</w:t>
      </w:r>
      <w:r w:rsidR="008F3D4A">
        <w:rPr>
          <w:rFonts w:asciiTheme="minorHAnsi" w:hAnsiTheme="minorHAnsi" w:cs="Arial"/>
          <w:sz w:val="22"/>
          <w:szCs w:val="22"/>
        </w:rPr>
        <w:t xml:space="preserve"> candidate</w:t>
      </w:r>
      <w:r w:rsidR="00C63E2B" w:rsidRPr="00C63E2B">
        <w:rPr>
          <w:rFonts w:asciiTheme="minorHAnsi" w:hAnsiTheme="minorHAnsi" w:cs="Arial"/>
          <w:sz w:val="22"/>
          <w:szCs w:val="22"/>
        </w:rPr>
        <w:t xml:space="preserve"> to an open position.  </w:t>
      </w:r>
      <w:r w:rsidR="008F3C50" w:rsidRPr="0082562D">
        <w:rPr>
          <w:rFonts w:asciiTheme="minorHAnsi" w:hAnsiTheme="minorHAnsi" w:cs="Arial"/>
          <w:sz w:val="22"/>
          <w:szCs w:val="22"/>
        </w:rPr>
        <w:t xml:space="preserve"> </w:t>
      </w:r>
    </w:p>
    <w:p w14:paraId="408B06F3" w14:textId="77777777" w:rsidR="00685B30" w:rsidRPr="00FF70FE" w:rsidRDefault="00685B30" w:rsidP="007602E8">
      <w:pPr>
        <w:pStyle w:val="Heading2"/>
        <w:spacing w:after="0" w:line="480" w:lineRule="auto"/>
        <w:ind w:left="720" w:hanging="720"/>
        <w:rPr>
          <w:rFonts w:asciiTheme="minorHAnsi" w:hAnsiTheme="minorHAnsi"/>
          <w:szCs w:val="22"/>
        </w:rPr>
      </w:pPr>
      <w:bookmarkStart w:id="9" w:name="_Toc443881746"/>
      <w:bookmarkStart w:id="10" w:name="_Toc451592235"/>
      <w:bookmarkStart w:id="11" w:name="_Toc5610276"/>
      <w:bookmarkStart w:id="12" w:name="_Toc99178782"/>
      <w:r w:rsidRPr="00FF70FE">
        <w:rPr>
          <w:rFonts w:asciiTheme="minorHAnsi" w:hAnsiTheme="minorHAnsi"/>
          <w:szCs w:val="22"/>
        </w:rPr>
        <w:t>A.5</w:t>
      </w:r>
      <w:r w:rsidRPr="00FF70FE">
        <w:rPr>
          <w:rFonts w:asciiTheme="minorHAnsi" w:hAnsiTheme="minorHAnsi"/>
          <w:szCs w:val="22"/>
        </w:rPr>
        <w:tab/>
      </w:r>
      <w:r w:rsidRPr="00615921">
        <w:rPr>
          <w:rFonts w:asciiTheme="minorHAnsi" w:hAnsiTheme="minorHAnsi"/>
          <w:szCs w:val="22"/>
        </w:rPr>
        <w:t>Impact on Small Businesses or Other Small Entities</w:t>
      </w:r>
      <w:bookmarkEnd w:id="9"/>
      <w:bookmarkEnd w:id="10"/>
      <w:bookmarkEnd w:id="11"/>
      <w:bookmarkEnd w:id="12"/>
    </w:p>
    <w:p w14:paraId="30967FE8" w14:textId="77777777" w:rsidR="004716CF" w:rsidRPr="00FF70FE" w:rsidRDefault="00FF70FE" w:rsidP="007602E8">
      <w:pPr>
        <w:pStyle w:val="P1-StandPara"/>
        <w:rPr>
          <w:rFonts w:asciiTheme="minorHAnsi" w:hAnsiTheme="minorHAnsi"/>
        </w:rPr>
      </w:pPr>
      <w:r w:rsidRPr="00FF70FE">
        <w:rPr>
          <w:rFonts w:asciiTheme="minorHAnsi" w:hAnsiTheme="minorHAnsi"/>
        </w:rPr>
        <w:t xml:space="preserve">No Small businesses or other small entities are affected.  </w:t>
      </w:r>
    </w:p>
    <w:p w14:paraId="0B326850" w14:textId="77777777" w:rsidR="00685B30" w:rsidRPr="008942E9" w:rsidRDefault="00685B30" w:rsidP="0000477C">
      <w:pPr>
        <w:pStyle w:val="Heading2"/>
        <w:spacing w:after="0" w:line="480" w:lineRule="auto"/>
        <w:ind w:left="720" w:hanging="720"/>
        <w:rPr>
          <w:rFonts w:ascii="Calibri" w:hAnsi="Calibri"/>
          <w:szCs w:val="22"/>
        </w:rPr>
      </w:pPr>
      <w:bookmarkStart w:id="13" w:name="_Toc443881747"/>
      <w:bookmarkStart w:id="14" w:name="_Toc451592236"/>
      <w:bookmarkStart w:id="15" w:name="_Toc5610277"/>
      <w:bookmarkStart w:id="16" w:name="_Toc99178783"/>
      <w:r w:rsidRPr="008942E9">
        <w:rPr>
          <w:rFonts w:ascii="Calibri" w:hAnsi="Calibri"/>
          <w:szCs w:val="22"/>
        </w:rPr>
        <w:t>A.6</w:t>
      </w:r>
      <w:r w:rsidRPr="008942E9">
        <w:rPr>
          <w:rFonts w:ascii="Calibri" w:hAnsi="Calibri"/>
          <w:szCs w:val="22"/>
        </w:rPr>
        <w:tab/>
      </w:r>
      <w:r w:rsidRPr="00615921">
        <w:rPr>
          <w:rFonts w:ascii="Calibri" w:hAnsi="Calibri"/>
          <w:szCs w:val="22"/>
        </w:rPr>
        <w:t>Consequences of Collecting the Information Less Frequently</w:t>
      </w:r>
      <w:bookmarkEnd w:id="13"/>
      <w:bookmarkEnd w:id="14"/>
      <w:bookmarkEnd w:id="15"/>
      <w:bookmarkEnd w:id="16"/>
    </w:p>
    <w:p w14:paraId="52B2429F" w14:textId="4F62C965" w:rsidR="00321F5F" w:rsidRDefault="00FF70FE" w:rsidP="007602E8">
      <w:pPr>
        <w:spacing w:after="0" w:line="480" w:lineRule="auto"/>
        <w:ind w:firstLine="720"/>
      </w:pPr>
      <w:r w:rsidRPr="00FF70FE">
        <w:t xml:space="preserve">This information </w:t>
      </w:r>
      <w:r w:rsidR="007314AA">
        <w:t xml:space="preserve">will be </w:t>
      </w:r>
      <w:r w:rsidRPr="00FF70FE">
        <w:t>collect</w:t>
      </w:r>
      <w:r w:rsidR="007314AA">
        <w:t xml:space="preserve">ed when a candidate is interested in posting their resume on the website.  The resume is available to NCI for review for six months then it is deleted.  </w:t>
      </w:r>
      <w:r w:rsidR="00EA4992">
        <w:t>So,</w:t>
      </w:r>
      <w:r w:rsidR="007314AA">
        <w:t xml:space="preserve"> a candidate could potentially submit their information and resume twice per year. </w:t>
      </w:r>
      <w:r w:rsidR="00D9764F">
        <w:t> </w:t>
      </w:r>
    </w:p>
    <w:p w14:paraId="4FBC1BF6" w14:textId="1243D583" w:rsidR="007314AA" w:rsidRDefault="00321F5F" w:rsidP="007602E8">
      <w:pPr>
        <w:spacing w:after="0" w:line="480" w:lineRule="auto"/>
        <w:ind w:firstLine="720"/>
      </w:pPr>
      <w:r>
        <w:t xml:space="preserve">The resumes are only kept for a period of six months so that the database holds current candidate information, GPA, and status of degrees, as well as making the </w:t>
      </w:r>
      <w:r w:rsidR="00D9764F" w:rsidRPr="00D9764F">
        <w:t xml:space="preserve">system more </w:t>
      </w:r>
      <w:r>
        <w:t xml:space="preserve">accurate and </w:t>
      </w:r>
      <w:r w:rsidR="00D9764F" w:rsidRPr="00D9764F">
        <w:t>efficient</w:t>
      </w:r>
      <w:r w:rsidR="00D9764F">
        <w:t>.</w:t>
      </w:r>
      <w:r w:rsidR="00EA4992">
        <w:t xml:space="preserve"> </w:t>
      </w:r>
    </w:p>
    <w:p w14:paraId="396C5716" w14:textId="77777777" w:rsidR="00685B30" w:rsidRDefault="00FF70FE" w:rsidP="0000477C">
      <w:pPr>
        <w:pStyle w:val="Heading2"/>
        <w:spacing w:after="0" w:line="480" w:lineRule="auto"/>
        <w:ind w:left="0" w:firstLine="0"/>
        <w:rPr>
          <w:rFonts w:ascii="Calibri" w:hAnsi="Calibri"/>
          <w:szCs w:val="22"/>
        </w:rPr>
      </w:pPr>
      <w:bookmarkStart w:id="17" w:name="_Toc443881748"/>
      <w:bookmarkStart w:id="18" w:name="_Toc451592237"/>
      <w:bookmarkStart w:id="19" w:name="_Toc5610278"/>
      <w:bookmarkStart w:id="20" w:name="_Toc99178784"/>
      <w:r>
        <w:rPr>
          <w:rFonts w:ascii="Calibri" w:hAnsi="Calibri"/>
          <w:szCs w:val="22"/>
        </w:rPr>
        <w:t xml:space="preserve">A.7          </w:t>
      </w:r>
      <w:r w:rsidR="00685B30" w:rsidRPr="00615921">
        <w:rPr>
          <w:rFonts w:ascii="Calibri" w:hAnsi="Calibri"/>
          <w:szCs w:val="22"/>
        </w:rPr>
        <w:t>Special Circumstances Relating to the Guidelines of 5 CFR 1320.5</w:t>
      </w:r>
      <w:bookmarkEnd w:id="17"/>
      <w:bookmarkEnd w:id="18"/>
      <w:bookmarkEnd w:id="19"/>
      <w:bookmarkEnd w:id="20"/>
    </w:p>
    <w:p w14:paraId="0C55B991" w14:textId="6048B133" w:rsidR="00FF70FE" w:rsidRPr="00FF70FE" w:rsidRDefault="00FF70FE" w:rsidP="0000477C">
      <w:pPr>
        <w:pStyle w:val="P1-StandPara"/>
        <w:ind w:left="720" w:firstLine="0"/>
        <w:rPr>
          <w:rFonts w:asciiTheme="minorHAnsi" w:hAnsiTheme="minorHAnsi"/>
        </w:rPr>
      </w:pPr>
      <w:r>
        <w:rPr>
          <w:rFonts w:asciiTheme="minorHAnsi" w:hAnsiTheme="minorHAnsi"/>
        </w:rPr>
        <w:t xml:space="preserve"> </w:t>
      </w:r>
      <w:r w:rsidRPr="00FF70FE">
        <w:rPr>
          <w:rFonts w:asciiTheme="minorHAnsi" w:hAnsiTheme="minorHAnsi"/>
        </w:rPr>
        <w:t>This information collection is consistent with the</w:t>
      </w:r>
      <w:r w:rsidR="00321F5F">
        <w:rPr>
          <w:rFonts w:asciiTheme="minorHAnsi" w:hAnsiTheme="minorHAnsi"/>
        </w:rPr>
        <w:t xml:space="preserve"> 5 CRF 1320.5</w:t>
      </w:r>
      <w:r w:rsidRPr="00FF70FE">
        <w:rPr>
          <w:rFonts w:asciiTheme="minorHAnsi" w:hAnsiTheme="minorHAnsi"/>
        </w:rPr>
        <w:t xml:space="preserve"> guidelines. </w:t>
      </w:r>
    </w:p>
    <w:p w14:paraId="4FBCA998" w14:textId="428C7774" w:rsidR="0036208F" w:rsidRPr="008942E9" w:rsidRDefault="00685B30" w:rsidP="007602E8">
      <w:pPr>
        <w:pStyle w:val="Heading2"/>
        <w:spacing w:after="0" w:line="480" w:lineRule="auto"/>
        <w:ind w:left="720" w:hanging="720"/>
        <w:rPr>
          <w:rFonts w:ascii="Calibri" w:hAnsi="Calibri"/>
          <w:szCs w:val="22"/>
        </w:rPr>
      </w:pPr>
      <w:bookmarkStart w:id="21" w:name="_Toc443881749"/>
      <w:bookmarkStart w:id="22" w:name="_Toc451592238"/>
      <w:bookmarkStart w:id="23" w:name="_Toc5610279"/>
      <w:bookmarkStart w:id="24" w:name="_Toc99178785"/>
      <w:r w:rsidRPr="008942E9">
        <w:rPr>
          <w:rFonts w:ascii="Calibri" w:hAnsi="Calibri"/>
          <w:szCs w:val="22"/>
        </w:rPr>
        <w:t>A.8</w:t>
      </w:r>
      <w:r w:rsidR="00D72965">
        <w:rPr>
          <w:rFonts w:ascii="Calibri" w:hAnsi="Calibri"/>
          <w:szCs w:val="22"/>
        </w:rPr>
        <w:t>.1</w:t>
      </w:r>
      <w:r w:rsidRPr="008942E9">
        <w:rPr>
          <w:rFonts w:ascii="Calibri" w:hAnsi="Calibri"/>
          <w:szCs w:val="22"/>
        </w:rPr>
        <w:tab/>
      </w:r>
      <w:r w:rsidRPr="009C1F28">
        <w:rPr>
          <w:rFonts w:ascii="Calibri" w:hAnsi="Calibri"/>
          <w:color w:val="000000" w:themeColor="text1"/>
          <w:szCs w:val="22"/>
        </w:rPr>
        <w:t xml:space="preserve">Comments in Response to the Federal Register Notice </w:t>
      </w:r>
      <w:r w:rsidR="004F7A19">
        <w:rPr>
          <w:rFonts w:ascii="Calibri" w:hAnsi="Calibri"/>
          <w:color w:val="000000" w:themeColor="text1"/>
          <w:szCs w:val="22"/>
        </w:rPr>
        <w:t xml:space="preserve">and </w:t>
      </w:r>
      <w:r w:rsidR="004F7A19" w:rsidRPr="008942E9">
        <w:rPr>
          <w:rFonts w:ascii="Calibri" w:hAnsi="Calibri"/>
          <w:szCs w:val="22"/>
        </w:rPr>
        <w:t>Efforts to Consult Outside Agency</w:t>
      </w:r>
    </w:p>
    <w:p w14:paraId="1BC1CD64" w14:textId="546EF9A2" w:rsidR="00A106C2" w:rsidRPr="006D0777" w:rsidRDefault="005B707E" w:rsidP="007602E8">
      <w:pPr>
        <w:spacing w:after="0" w:line="480" w:lineRule="auto"/>
      </w:pPr>
      <w:r>
        <w:tab/>
      </w:r>
      <w:bookmarkEnd w:id="21"/>
      <w:bookmarkEnd w:id="22"/>
      <w:bookmarkEnd w:id="23"/>
      <w:bookmarkEnd w:id="24"/>
      <w:r w:rsidR="00B567CC" w:rsidRPr="006D0777">
        <w:t xml:space="preserve">The 60-day Federal Register Notice was </w:t>
      </w:r>
      <w:r w:rsidR="00685B30" w:rsidRPr="006D0777">
        <w:t>published</w:t>
      </w:r>
      <w:r w:rsidR="00B567CC" w:rsidRPr="006D0777">
        <w:t xml:space="preserve"> on </w:t>
      </w:r>
      <w:r w:rsidR="006D0777" w:rsidRPr="006D0777">
        <w:t>August 13, 2018 (83 FR 40071)</w:t>
      </w:r>
      <w:r w:rsidR="00B567CC" w:rsidRPr="006D0777">
        <w:t>.</w:t>
      </w:r>
      <w:r w:rsidR="00685B30" w:rsidRPr="006D0777">
        <w:t xml:space="preserve"> </w:t>
      </w:r>
      <w:r w:rsidR="00D72965">
        <w:t xml:space="preserve">  </w:t>
      </w:r>
      <w:r w:rsidR="00D72965" w:rsidRPr="006D0777">
        <w:t xml:space="preserve">No public comments were received.  </w:t>
      </w:r>
    </w:p>
    <w:p w14:paraId="79628C45" w14:textId="406BB144" w:rsidR="00FF70FE" w:rsidRPr="00FF70FE" w:rsidRDefault="00D72965" w:rsidP="00D72965">
      <w:pPr>
        <w:spacing w:after="0" w:line="480" w:lineRule="auto"/>
        <w:rPr>
          <w:rFonts w:asciiTheme="minorHAnsi" w:hAnsiTheme="minorHAnsi"/>
        </w:rPr>
      </w:pPr>
      <w:r w:rsidRPr="00D72965">
        <w:rPr>
          <w:b/>
        </w:rPr>
        <w:t>A.8.2</w:t>
      </w:r>
      <w:r>
        <w:tab/>
      </w:r>
      <w:r w:rsidR="00A106C2" w:rsidRPr="006D0777">
        <w:t xml:space="preserve"> </w:t>
      </w:r>
      <w:r w:rsidR="00FF70FE" w:rsidRPr="00FF70FE">
        <w:rPr>
          <w:rFonts w:asciiTheme="minorHAnsi" w:hAnsiTheme="minorHAnsi"/>
        </w:rPr>
        <w:t xml:space="preserve">No outside agency has been consulted. </w:t>
      </w:r>
    </w:p>
    <w:p w14:paraId="796C662D" w14:textId="77777777" w:rsidR="005B707E" w:rsidRDefault="00685B30" w:rsidP="007602E8">
      <w:pPr>
        <w:pStyle w:val="P1-StandPara"/>
        <w:ind w:firstLine="0"/>
        <w:rPr>
          <w:rFonts w:ascii="Calibri" w:hAnsi="Calibri"/>
          <w:b/>
          <w:szCs w:val="22"/>
        </w:rPr>
      </w:pPr>
      <w:r w:rsidRPr="008942E9">
        <w:rPr>
          <w:rFonts w:ascii="Calibri" w:hAnsi="Calibri"/>
          <w:b/>
          <w:szCs w:val="22"/>
        </w:rPr>
        <w:t>A.9</w:t>
      </w:r>
      <w:r w:rsidRPr="008942E9">
        <w:rPr>
          <w:rFonts w:ascii="Calibri" w:hAnsi="Calibri"/>
          <w:b/>
          <w:szCs w:val="22"/>
        </w:rPr>
        <w:tab/>
        <w:t>Explanation of Any Payment of Gift to Respondents</w:t>
      </w:r>
      <w:r w:rsidR="00A973C9">
        <w:rPr>
          <w:rFonts w:ascii="Calibri" w:hAnsi="Calibri"/>
          <w:b/>
          <w:szCs w:val="22"/>
        </w:rPr>
        <w:t xml:space="preserve"> </w:t>
      </w:r>
    </w:p>
    <w:p w14:paraId="54AC1E10" w14:textId="31EDC998" w:rsidR="004F7A19" w:rsidRDefault="00FF70FE" w:rsidP="001078B6">
      <w:pPr>
        <w:pStyle w:val="P1-StandPara"/>
        <w:rPr>
          <w:rFonts w:asciiTheme="minorHAnsi" w:hAnsiTheme="minorHAnsi"/>
        </w:rPr>
      </w:pPr>
      <w:r w:rsidRPr="00615921">
        <w:rPr>
          <w:rFonts w:asciiTheme="minorHAnsi" w:hAnsiTheme="minorHAnsi"/>
        </w:rPr>
        <w:t xml:space="preserve">Neither payments nor gifts will be provided to respondents. </w:t>
      </w:r>
    </w:p>
    <w:p w14:paraId="5E1A7A90" w14:textId="77777777" w:rsidR="00685B30" w:rsidRPr="008942E9" w:rsidRDefault="00685B30" w:rsidP="007602E8">
      <w:pPr>
        <w:pStyle w:val="P1-StandPara"/>
        <w:ind w:firstLine="0"/>
        <w:rPr>
          <w:rFonts w:ascii="Calibri" w:hAnsi="Calibri"/>
          <w:b/>
          <w:szCs w:val="22"/>
        </w:rPr>
      </w:pPr>
      <w:r w:rsidRPr="008942E9">
        <w:rPr>
          <w:rFonts w:ascii="Calibri" w:hAnsi="Calibri"/>
          <w:b/>
          <w:szCs w:val="22"/>
        </w:rPr>
        <w:t>A.10</w:t>
      </w:r>
      <w:r w:rsidRPr="008942E9">
        <w:rPr>
          <w:rFonts w:ascii="Calibri" w:hAnsi="Calibri"/>
          <w:b/>
          <w:szCs w:val="22"/>
        </w:rPr>
        <w:tab/>
        <w:t>Assurance of Confidentiality Provided to Respondents</w:t>
      </w:r>
    </w:p>
    <w:p w14:paraId="56E584D9" w14:textId="77777777" w:rsidR="00BA4DCF" w:rsidRDefault="00FF70FE" w:rsidP="00BA4DCF">
      <w:pPr>
        <w:pStyle w:val="P1-StandPara"/>
        <w:ind w:firstLine="0"/>
        <w:rPr>
          <w:rFonts w:ascii="Calibri" w:hAnsi="Calibri"/>
          <w:szCs w:val="22"/>
        </w:rPr>
      </w:pPr>
      <w:r w:rsidRPr="00FF70FE">
        <w:rPr>
          <w:rFonts w:ascii="Calibri" w:hAnsi="Calibri"/>
          <w:szCs w:val="22"/>
        </w:rPr>
        <w:t xml:space="preserve">All information will be kept private to the extent allowable by law. Additionally, principal investigators of the NCI will have access to the applications. These individuals are assigned login credentials, including "strong" passwords that conform to standards used by the NIH Center for Information Technology, and the online tools these individuals use to access </w:t>
      </w:r>
      <w:r w:rsidR="008F3D4A">
        <w:rPr>
          <w:rFonts w:ascii="Calibri" w:hAnsi="Calibri"/>
          <w:szCs w:val="22"/>
        </w:rPr>
        <w:t>candidate</w:t>
      </w:r>
      <w:r w:rsidR="00321F5F">
        <w:rPr>
          <w:rFonts w:ascii="Calibri" w:hAnsi="Calibri"/>
          <w:szCs w:val="22"/>
        </w:rPr>
        <w:t>’s</w:t>
      </w:r>
      <w:r w:rsidRPr="00FF70FE">
        <w:rPr>
          <w:rFonts w:ascii="Calibri" w:hAnsi="Calibri"/>
          <w:szCs w:val="22"/>
        </w:rPr>
        <w:t xml:space="preserve"> data are restricted to </w:t>
      </w:r>
      <w:r>
        <w:rPr>
          <w:rFonts w:ascii="Calibri" w:hAnsi="Calibri"/>
          <w:szCs w:val="22"/>
        </w:rPr>
        <w:t xml:space="preserve">NCI </w:t>
      </w:r>
      <w:r w:rsidR="00615921">
        <w:rPr>
          <w:rFonts w:ascii="Calibri" w:hAnsi="Calibri"/>
          <w:szCs w:val="22"/>
        </w:rPr>
        <w:t xml:space="preserve">approved users. </w:t>
      </w:r>
    </w:p>
    <w:p w14:paraId="530B096B" w14:textId="3E265C6A" w:rsidR="00BA4DCF" w:rsidRPr="008942E9" w:rsidRDefault="00BA4DCF" w:rsidP="00BA4DCF">
      <w:pPr>
        <w:pStyle w:val="P1-StandPara"/>
        <w:ind w:firstLine="0"/>
        <w:rPr>
          <w:rFonts w:ascii="Calibri" w:hAnsi="Calibri"/>
          <w:szCs w:val="22"/>
        </w:rPr>
      </w:pPr>
      <w:r w:rsidRPr="00BA4DCF">
        <w:rPr>
          <w:rFonts w:ascii="Calibri" w:hAnsi="Calibri"/>
          <w:szCs w:val="22"/>
        </w:rPr>
        <w:t>The Privacy Act is applicable as determined by the NIH Privacy Officer in the Privacy Act Memo (Attachment 3). The applicable SORN is NIH Privacy Act System of Record 09-25-0158; “Administration: Records of Applicants and Awardees of the NIH Intramural Research Training Awards Program, HHS/NIH/OD/OIR/OE.”</w:t>
      </w:r>
    </w:p>
    <w:p w14:paraId="38DCD79B" w14:textId="2577713C" w:rsidR="00B61623" w:rsidRDefault="00B61623" w:rsidP="00321F5F">
      <w:pPr>
        <w:pStyle w:val="P1-StandPara"/>
        <w:rPr>
          <w:rFonts w:ascii="Calibri" w:hAnsi="Calibri"/>
          <w:szCs w:val="22"/>
        </w:rPr>
      </w:pPr>
    </w:p>
    <w:p w14:paraId="250E83D4" w14:textId="77777777" w:rsidR="00685B30" w:rsidRPr="008942E9" w:rsidRDefault="00685B30" w:rsidP="0000477C">
      <w:pPr>
        <w:pStyle w:val="P1-StandPara"/>
        <w:ind w:firstLine="0"/>
        <w:rPr>
          <w:rFonts w:ascii="Calibri" w:hAnsi="Calibri"/>
          <w:b/>
          <w:szCs w:val="22"/>
        </w:rPr>
      </w:pPr>
      <w:r w:rsidRPr="008942E9">
        <w:rPr>
          <w:rFonts w:ascii="Calibri" w:hAnsi="Calibri"/>
          <w:b/>
          <w:szCs w:val="22"/>
        </w:rPr>
        <w:t>A.11</w:t>
      </w:r>
      <w:r w:rsidRPr="008942E9">
        <w:rPr>
          <w:rFonts w:ascii="Calibri" w:hAnsi="Calibri"/>
          <w:b/>
          <w:szCs w:val="22"/>
        </w:rPr>
        <w:tab/>
      </w:r>
      <w:r w:rsidRPr="00615921">
        <w:rPr>
          <w:rFonts w:ascii="Calibri" w:hAnsi="Calibri"/>
          <w:b/>
          <w:szCs w:val="22"/>
        </w:rPr>
        <w:t>Justification for Sensitive Questions</w:t>
      </w:r>
    </w:p>
    <w:p w14:paraId="38E43209" w14:textId="00396B96" w:rsidR="00FF70FE" w:rsidRPr="00FF70FE" w:rsidRDefault="00321F5F" w:rsidP="0000477C">
      <w:pPr>
        <w:pStyle w:val="P1-StandPara"/>
        <w:rPr>
          <w:rFonts w:ascii="Calibri" w:hAnsi="Calibri"/>
          <w:szCs w:val="22"/>
        </w:rPr>
      </w:pPr>
      <w:r>
        <w:rPr>
          <w:rFonts w:ascii="Calibri" w:hAnsi="Calibri"/>
          <w:szCs w:val="22"/>
        </w:rPr>
        <w:t>There are n</w:t>
      </w:r>
      <w:r w:rsidR="00FF70FE" w:rsidRPr="00FF70FE">
        <w:rPr>
          <w:rFonts w:ascii="Calibri" w:hAnsi="Calibri"/>
          <w:szCs w:val="22"/>
        </w:rPr>
        <w:t xml:space="preserve">o sensitive questions </w:t>
      </w:r>
      <w:r>
        <w:rPr>
          <w:rFonts w:ascii="Calibri" w:hAnsi="Calibri"/>
          <w:szCs w:val="22"/>
        </w:rPr>
        <w:t xml:space="preserve">asked </w:t>
      </w:r>
      <w:r w:rsidR="00FF70FE" w:rsidRPr="00FF70FE">
        <w:rPr>
          <w:rFonts w:ascii="Calibri" w:hAnsi="Calibri"/>
          <w:szCs w:val="22"/>
        </w:rPr>
        <w:t>in this information collection. Personal Identifiable Information (PII) is collected including: name, contact information, education, and employment history.  Federal regulations for the protection of human subjects do</w:t>
      </w:r>
      <w:r w:rsidR="00E364F9">
        <w:rPr>
          <w:rFonts w:ascii="Calibri" w:hAnsi="Calibri"/>
          <w:szCs w:val="22"/>
        </w:rPr>
        <w:t>es</w:t>
      </w:r>
      <w:r w:rsidR="00FF70FE" w:rsidRPr="00FF70FE">
        <w:rPr>
          <w:rFonts w:ascii="Calibri" w:hAnsi="Calibri"/>
          <w:szCs w:val="22"/>
        </w:rPr>
        <w:t xml:space="preserve"> not apply to this activity.  </w:t>
      </w:r>
    </w:p>
    <w:p w14:paraId="3C026689" w14:textId="572BE5F2" w:rsidR="00685B30" w:rsidRPr="00E35DD1" w:rsidRDefault="00685B30" w:rsidP="00BB7BC1">
      <w:pPr>
        <w:spacing w:after="0" w:line="480" w:lineRule="auto"/>
        <w:rPr>
          <w:b/>
        </w:rPr>
      </w:pPr>
      <w:r w:rsidRPr="00E35DD1">
        <w:rPr>
          <w:b/>
        </w:rPr>
        <w:t>A.12</w:t>
      </w:r>
      <w:r w:rsidRPr="00E35DD1">
        <w:rPr>
          <w:b/>
        </w:rPr>
        <w:tab/>
        <w:t>Est</w:t>
      </w:r>
      <w:r w:rsidR="00B51624">
        <w:rPr>
          <w:b/>
        </w:rPr>
        <w:t xml:space="preserve">imates of </w:t>
      </w:r>
      <w:r w:rsidR="009A69D6">
        <w:rPr>
          <w:b/>
        </w:rPr>
        <w:t>Annualized Burden Hours</w:t>
      </w:r>
      <w:r w:rsidR="00B51624">
        <w:rPr>
          <w:b/>
        </w:rPr>
        <w:t xml:space="preserve"> and Costs</w:t>
      </w:r>
    </w:p>
    <w:p w14:paraId="43247BBF" w14:textId="0A9E4199" w:rsidR="009810A0" w:rsidRDefault="009C1F28" w:rsidP="007314AA">
      <w:pPr>
        <w:spacing w:after="0" w:line="480" w:lineRule="auto"/>
        <w:ind w:firstLine="720"/>
      </w:pPr>
      <w:r>
        <w:t>The Future Fellows website is a database for storing prospective trainees resumes</w:t>
      </w:r>
      <w:r w:rsidR="005E2422">
        <w:t>, contact information, research interests, and education background</w:t>
      </w:r>
      <w:r>
        <w:t xml:space="preserve">.  </w:t>
      </w:r>
      <w:r w:rsidR="005E2422">
        <w:t>The Future Fellows website r</w:t>
      </w:r>
      <w:r>
        <w:t>eceive</w:t>
      </w:r>
      <w:r w:rsidR="005E2422">
        <w:t>s</w:t>
      </w:r>
      <w:r>
        <w:t xml:space="preserve"> about </w:t>
      </w:r>
      <w:r w:rsidR="005E2422">
        <w:t>1</w:t>
      </w:r>
      <w:r w:rsidR="004E7F62">
        <w:t xml:space="preserve">50 to </w:t>
      </w:r>
      <w:r w:rsidR="005E2422">
        <w:t>2</w:t>
      </w:r>
      <w:r w:rsidR="004E7F62">
        <w:t>00 resumes every year</w:t>
      </w:r>
      <w:r w:rsidR="00CA6706">
        <w:t xml:space="preserve"> and t</w:t>
      </w:r>
      <w:r w:rsidR="004E7F62">
        <w:t xml:space="preserve">he process for </w:t>
      </w:r>
      <w:r w:rsidR="005E2422">
        <w:t>uploading th</w:t>
      </w:r>
      <w:r w:rsidR="004E7F62">
        <w:t xml:space="preserve">e resume and completing the fields on the site </w:t>
      </w:r>
      <w:r w:rsidR="005E2422">
        <w:t xml:space="preserve">will take about 30 </w:t>
      </w:r>
      <w:r w:rsidR="004E7F62">
        <w:t xml:space="preserve">minutes.  </w:t>
      </w:r>
      <w:r w:rsidR="004F7A19">
        <w:t>A</w:t>
      </w:r>
      <w:r w:rsidR="005E2422">
        <w:t xml:space="preserve"> </w:t>
      </w:r>
      <w:r w:rsidR="004F7A19">
        <w:t xml:space="preserve">post doctorate </w:t>
      </w:r>
      <w:r w:rsidR="005E2422">
        <w:t>candidate, should they be interested, could apply twice per year</w:t>
      </w:r>
      <w:r w:rsidR="00C47404">
        <w:t xml:space="preserve">, since resumes and information </w:t>
      </w:r>
      <w:r w:rsidR="004F7A19">
        <w:t>are</w:t>
      </w:r>
      <w:r w:rsidR="00C47404">
        <w:t xml:space="preserve"> only retained for six months</w:t>
      </w:r>
      <w:r w:rsidR="005E2422">
        <w:t>.  The</w:t>
      </w:r>
      <w:r w:rsidR="00CA6706">
        <w:t xml:space="preserve"> annual estimate of burden is expected to be </w:t>
      </w:r>
      <w:r w:rsidR="005E2422">
        <w:t>200 hours</w:t>
      </w:r>
      <w:r w:rsidR="00CA6706">
        <w:t xml:space="preserve"> for 200 </w:t>
      </w:r>
      <w:r w:rsidR="004F7A19">
        <w:t xml:space="preserve">post doctorate </w:t>
      </w:r>
      <w:r w:rsidR="00CA6706">
        <w:t>candidates (Table A.12-1).  This averages to 600 hours over a three-year information collection period</w:t>
      </w:r>
      <w:r w:rsidR="005E2422">
        <w:t xml:space="preserve">.  </w:t>
      </w:r>
      <w:r w:rsidR="004E7F62">
        <w:t xml:space="preserve"> </w:t>
      </w:r>
    </w:p>
    <w:p w14:paraId="3A7FC5F0" w14:textId="77777777" w:rsidR="00C47404" w:rsidRDefault="009810A0" w:rsidP="00C47404">
      <w:pPr>
        <w:spacing w:after="0" w:line="480" w:lineRule="auto"/>
        <w:rPr>
          <w:b/>
        </w:rPr>
      </w:pPr>
      <w:r>
        <w:rPr>
          <w:b/>
        </w:rPr>
        <w:t xml:space="preserve">                                              </w:t>
      </w:r>
    </w:p>
    <w:p w14:paraId="786FF9C3" w14:textId="77777777" w:rsidR="00C47404" w:rsidRDefault="00C47404">
      <w:pPr>
        <w:spacing w:after="0" w:line="240" w:lineRule="auto"/>
        <w:rPr>
          <w:b/>
        </w:rPr>
      </w:pPr>
      <w:r>
        <w:rPr>
          <w:b/>
        </w:rPr>
        <w:br w:type="page"/>
      </w:r>
    </w:p>
    <w:p w14:paraId="0DC95CA6" w14:textId="52D96120" w:rsidR="009810A0" w:rsidRPr="00B51624" w:rsidRDefault="009810A0" w:rsidP="00C47404">
      <w:pPr>
        <w:spacing w:after="0" w:line="480" w:lineRule="auto"/>
        <w:jc w:val="center"/>
      </w:pPr>
      <w:r w:rsidRPr="00B51624">
        <w:t>A.12-1 Estimated Annualized Burden Hours</w:t>
      </w:r>
    </w:p>
    <w:tbl>
      <w:tblPr>
        <w:tblW w:w="9180" w:type="dxa"/>
        <w:jc w:val="center"/>
        <w:tblLayout w:type="fixed"/>
        <w:tblCellMar>
          <w:left w:w="100" w:type="dxa"/>
          <w:right w:w="100" w:type="dxa"/>
        </w:tblCellMar>
        <w:tblLook w:val="0000" w:firstRow="0" w:lastRow="0" w:firstColumn="0" w:lastColumn="0" w:noHBand="0" w:noVBand="0"/>
      </w:tblPr>
      <w:tblGrid>
        <w:gridCol w:w="1993"/>
        <w:gridCol w:w="1620"/>
        <w:gridCol w:w="1967"/>
        <w:gridCol w:w="1620"/>
        <w:gridCol w:w="1980"/>
      </w:tblGrid>
      <w:tr w:rsidR="00F146C0" w:rsidRPr="008942E9" w14:paraId="48301161" w14:textId="77777777" w:rsidTr="00F146C0">
        <w:trPr>
          <w:cantSplit/>
          <w:trHeight w:val="372"/>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CC2F46" w14:textId="2D42EFE9" w:rsidR="00F146C0" w:rsidRPr="005E2422" w:rsidRDefault="00BA4DCF" w:rsidP="00F146C0">
            <w:pPr>
              <w:spacing w:after="0" w:line="240" w:lineRule="auto"/>
              <w:ind w:left="350" w:firstLine="10"/>
              <w:jc w:val="center"/>
            </w:pPr>
            <w:r>
              <w:t>Type</w:t>
            </w:r>
            <w:r w:rsidR="00F146C0">
              <w:t xml:space="preserve"> </w:t>
            </w:r>
            <w:r w:rsidR="00F146C0" w:rsidRPr="005E2422">
              <w:t>of Respondent</w:t>
            </w:r>
          </w:p>
        </w:tc>
        <w:tc>
          <w:tcPr>
            <w:tcW w:w="1620" w:type="dxa"/>
            <w:tcBorders>
              <w:top w:val="single" w:sz="6" w:space="0" w:color="auto"/>
              <w:left w:val="single" w:sz="4" w:space="0" w:color="auto"/>
            </w:tcBorders>
            <w:vAlign w:val="center"/>
          </w:tcPr>
          <w:p w14:paraId="043E5302" w14:textId="77777777" w:rsidR="00F146C0" w:rsidRPr="005E2422" w:rsidRDefault="00F146C0" w:rsidP="005E2422">
            <w:pPr>
              <w:spacing w:after="0" w:line="240" w:lineRule="auto"/>
              <w:jc w:val="center"/>
            </w:pPr>
            <w:r w:rsidRPr="005E2422">
              <w:t>Number of Respondents</w:t>
            </w:r>
          </w:p>
        </w:tc>
        <w:tc>
          <w:tcPr>
            <w:tcW w:w="1967" w:type="dxa"/>
            <w:tcBorders>
              <w:top w:val="single" w:sz="6" w:space="0" w:color="auto"/>
              <w:left w:val="single" w:sz="6" w:space="0" w:color="auto"/>
            </w:tcBorders>
            <w:vAlign w:val="center"/>
          </w:tcPr>
          <w:p w14:paraId="660322E4" w14:textId="77777777" w:rsidR="00F146C0" w:rsidRPr="005E2422" w:rsidRDefault="00F146C0" w:rsidP="005E2422">
            <w:pPr>
              <w:spacing w:after="0" w:line="240" w:lineRule="auto"/>
              <w:jc w:val="center"/>
            </w:pPr>
            <w:r w:rsidRPr="005E2422">
              <w:t>Number of Responses per Respondent</w:t>
            </w:r>
          </w:p>
        </w:tc>
        <w:tc>
          <w:tcPr>
            <w:tcW w:w="1620" w:type="dxa"/>
            <w:tcBorders>
              <w:top w:val="single" w:sz="6" w:space="0" w:color="auto"/>
              <w:left w:val="single" w:sz="6" w:space="0" w:color="auto"/>
            </w:tcBorders>
            <w:vAlign w:val="center"/>
          </w:tcPr>
          <w:p w14:paraId="215E7F00" w14:textId="10C408D6" w:rsidR="00F146C0" w:rsidRPr="005E2422" w:rsidRDefault="00BA4DCF" w:rsidP="005E2422">
            <w:pPr>
              <w:spacing w:after="0" w:line="240" w:lineRule="auto"/>
              <w:jc w:val="center"/>
            </w:pPr>
            <w:r>
              <w:t xml:space="preserve">Average </w:t>
            </w:r>
            <w:r w:rsidR="00F146C0" w:rsidRPr="005E2422">
              <w:t>Time Per Response</w:t>
            </w:r>
          </w:p>
          <w:p w14:paraId="413AF007" w14:textId="721AC0CB" w:rsidR="00F146C0" w:rsidRPr="005E2422" w:rsidRDefault="00F146C0" w:rsidP="005E2422">
            <w:pPr>
              <w:spacing w:after="0" w:line="240" w:lineRule="auto"/>
              <w:jc w:val="center"/>
            </w:pPr>
            <w:r w:rsidRPr="005E2422">
              <w:t>(in hours)</w:t>
            </w:r>
          </w:p>
        </w:tc>
        <w:tc>
          <w:tcPr>
            <w:tcW w:w="1980" w:type="dxa"/>
            <w:tcBorders>
              <w:top w:val="single" w:sz="6" w:space="0" w:color="auto"/>
              <w:left w:val="single" w:sz="6" w:space="0" w:color="auto"/>
              <w:right w:val="single" w:sz="6" w:space="0" w:color="auto"/>
            </w:tcBorders>
            <w:vAlign w:val="center"/>
          </w:tcPr>
          <w:p w14:paraId="0D170BE5" w14:textId="315F70A1" w:rsidR="00F146C0" w:rsidRPr="005E2422" w:rsidRDefault="00F146C0" w:rsidP="005E2422">
            <w:pPr>
              <w:spacing w:after="0" w:line="240" w:lineRule="auto"/>
              <w:jc w:val="center"/>
            </w:pPr>
            <w:r>
              <w:t xml:space="preserve">Total </w:t>
            </w:r>
            <w:r w:rsidR="00BA4DCF">
              <w:t xml:space="preserve">Annual </w:t>
            </w:r>
            <w:r w:rsidRPr="005E2422">
              <w:t>Burden Hour</w:t>
            </w:r>
            <w:r>
              <w:t>s</w:t>
            </w:r>
          </w:p>
        </w:tc>
      </w:tr>
      <w:tr w:rsidR="00F146C0" w:rsidRPr="008942E9" w14:paraId="070F793D" w14:textId="77777777" w:rsidTr="00F146C0">
        <w:trPr>
          <w:cantSplit/>
          <w:trHeight w:val="372"/>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C22274" w14:textId="5C9F823D" w:rsidR="00F146C0" w:rsidRPr="005E2422" w:rsidRDefault="00F146C0" w:rsidP="00DD5DF1">
            <w:pPr>
              <w:spacing w:after="0" w:line="240" w:lineRule="auto"/>
              <w:jc w:val="center"/>
            </w:pPr>
            <w:r>
              <w:t>Individuals</w:t>
            </w:r>
          </w:p>
        </w:tc>
        <w:tc>
          <w:tcPr>
            <w:tcW w:w="1620" w:type="dxa"/>
            <w:tcBorders>
              <w:top w:val="single" w:sz="6" w:space="0" w:color="auto"/>
              <w:left w:val="single" w:sz="4" w:space="0" w:color="auto"/>
            </w:tcBorders>
            <w:vAlign w:val="center"/>
          </w:tcPr>
          <w:p w14:paraId="02B07457" w14:textId="5DEF1B52" w:rsidR="00F146C0" w:rsidRPr="005E2422" w:rsidRDefault="00F146C0" w:rsidP="00DD5DF1">
            <w:pPr>
              <w:spacing w:after="0" w:line="240" w:lineRule="auto"/>
              <w:jc w:val="center"/>
            </w:pPr>
            <w:r w:rsidRPr="005E2422">
              <w:t>200</w:t>
            </w:r>
          </w:p>
        </w:tc>
        <w:tc>
          <w:tcPr>
            <w:tcW w:w="1967" w:type="dxa"/>
            <w:tcBorders>
              <w:top w:val="single" w:sz="6" w:space="0" w:color="auto"/>
              <w:left w:val="single" w:sz="6" w:space="0" w:color="auto"/>
            </w:tcBorders>
            <w:vAlign w:val="center"/>
          </w:tcPr>
          <w:p w14:paraId="466BE9EC" w14:textId="607D3546" w:rsidR="00F146C0" w:rsidRPr="005E2422" w:rsidRDefault="00F146C0" w:rsidP="00DD5DF1">
            <w:pPr>
              <w:spacing w:after="0" w:line="240" w:lineRule="auto"/>
              <w:jc w:val="center"/>
            </w:pPr>
            <w:r w:rsidRPr="005E2422">
              <w:t>2</w:t>
            </w:r>
          </w:p>
        </w:tc>
        <w:tc>
          <w:tcPr>
            <w:tcW w:w="1620" w:type="dxa"/>
            <w:tcBorders>
              <w:top w:val="single" w:sz="6" w:space="0" w:color="auto"/>
              <w:left w:val="single" w:sz="6" w:space="0" w:color="auto"/>
            </w:tcBorders>
            <w:vAlign w:val="center"/>
          </w:tcPr>
          <w:p w14:paraId="34F9E50B" w14:textId="5408596A" w:rsidR="00F146C0" w:rsidRPr="005E2422" w:rsidRDefault="00F146C0" w:rsidP="00DD5DF1">
            <w:pPr>
              <w:spacing w:after="0" w:line="240" w:lineRule="auto"/>
              <w:jc w:val="center"/>
            </w:pPr>
            <w:r>
              <w:t>30</w:t>
            </w:r>
            <w:r w:rsidRPr="005E2422">
              <w:t>/60</w:t>
            </w:r>
          </w:p>
        </w:tc>
        <w:tc>
          <w:tcPr>
            <w:tcW w:w="1980" w:type="dxa"/>
            <w:tcBorders>
              <w:top w:val="single" w:sz="6" w:space="0" w:color="auto"/>
              <w:left w:val="single" w:sz="6" w:space="0" w:color="auto"/>
              <w:right w:val="single" w:sz="6" w:space="0" w:color="auto"/>
            </w:tcBorders>
            <w:vAlign w:val="center"/>
          </w:tcPr>
          <w:p w14:paraId="71D4AD76" w14:textId="455EC1DD" w:rsidR="00F146C0" w:rsidRPr="005E2422" w:rsidRDefault="00F146C0" w:rsidP="00DD5DF1">
            <w:pPr>
              <w:spacing w:after="0" w:line="240" w:lineRule="auto"/>
              <w:jc w:val="center"/>
            </w:pPr>
            <w:r>
              <w:t>2</w:t>
            </w:r>
            <w:r w:rsidRPr="005E2422">
              <w:t>00</w:t>
            </w:r>
          </w:p>
        </w:tc>
      </w:tr>
      <w:tr w:rsidR="00F146C0" w:rsidRPr="008942E9" w14:paraId="02BBA05C" w14:textId="77777777" w:rsidTr="00F146C0">
        <w:trPr>
          <w:cantSplit/>
          <w:trHeight w:val="399"/>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76A686" w14:textId="0420C6E5" w:rsidR="00F146C0" w:rsidRPr="005E2422" w:rsidRDefault="00F146C0" w:rsidP="00DD5DF1">
            <w:pPr>
              <w:spacing w:after="0" w:line="240" w:lineRule="auto"/>
              <w:jc w:val="center"/>
            </w:pPr>
            <w:r>
              <w:t>Total</w:t>
            </w:r>
            <w:r w:rsidR="00102896">
              <w:t>s</w:t>
            </w:r>
          </w:p>
        </w:tc>
        <w:tc>
          <w:tcPr>
            <w:tcW w:w="1620" w:type="dxa"/>
            <w:tcBorders>
              <w:top w:val="single" w:sz="6" w:space="0" w:color="auto"/>
              <w:left w:val="single" w:sz="4" w:space="0" w:color="auto"/>
              <w:bottom w:val="single" w:sz="4" w:space="0" w:color="auto"/>
            </w:tcBorders>
            <w:vAlign w:val="center"/>
          </w:tcPr>
          <w:p w14:paraId="7BDF55B1" w14:textId="37498F03" w:rsidR="00F146C0" w:rsidRPr="005E2422" w:rsidRDefault="00F146C0" w:rsidP="00DD5DF1">
            <w:pPr>
              <w:spacing w:after="0" w:line="240" w:lineRule="auto"/>
              <w:jc w:val="center"/>
            </w:pPr>
            <w:r w:rsidRPr="005E2422">
              <w:t>200</w:t>
            </w:r>
          </w:p>
        </w:tc>
        <w:tc>
          <w:tcPr>
            <w:tcW w:w="1967" w:type="dxa"/>
            <w:tcBorders>
              <w:top w:val="single" w:sz="6" w:space="0" w:color="auto"/>
              <w:left w:val="single" w:sz="6" w:space="0" w:color="auto"/>
              <w:bottom w:val="single" w:sz="4" w:space="0" w:color="auto"/>
            </w:tcBorders>
            <w:vAlign w:val="center"/>
          </w:tcPr>
          <w:p w14:paraId="41E7609C" w14:textId="759EA954" w:rsidR="00F146C0" w:rsidRPr="005E2422" w:rsidRDefault="00F146C0" w:rsidP="00DD5DF1">
            <w:pPr>
              <w:spacing w:after="0" w:line="240" w:lineRule="auto"/>
              <w:jc w:val="center"/>
            </w:pPr>
            <w:r>
              <w:t>400</w:t>
            </w:r>
          </w:p>
        </w:tc>
        <w:tc>
          <w:tcPr>
            <w:tcW w:w="1620" w:type="dxa"/>
            <w:tcBorders>
              <w:top w:val="single" w:sz="6" w:space="0" w:color="auto"/>
              <w:left w:val="single" w:sz="6" w:space="0" w:color="auto"/>
              <w:bottom w:val="single" w:sz="4" w:space="0" w:color="auto"/>
            </w:tcBorders>
            <w:vAlign w:val="center"/>
          </w:tcPr>
          <w:p w14:paraId="64721D82" w14:textId="77777777" w:rsidR="00F146C0" w:rsidRPr="005E2422" w:rsidRDefault="00F146C0" w:rsidP="00DD5DF1">
            <w:pPr>
              <w:spacing w:after="0" w:line="240" w:lineRule="auto"/>
              <w:jc w:val="center"/>
            </w:pPr>
          </w:p>
        </w:tc>
        <w:tc>
          <w:tcPr>
            <w:tcW w:w="1980" w:type="dxa"/>
            <w:tcBorders>
              <w:top w:val="single" w:sz="6" w:space="0" w:color="auto"/>
              <w:left w:val="single" w:sz="6" w:space="0" w:color="auto"/>
              <w:bottom w:val="single" w:sz="4" w:space="0" w:color="auto"/>
              <w:right w:val="single" w:sz="6" w:space="0" w:color="auto"/>
            </w:tcBorders>
            <w:vAlign w:val="center"/>
          </w:tcPr>
          <w:p w14:paraId="08E2E018" w14:textId="2244C9F9" w:rsidR="00F146C0" w:rsidRPr="005E2422" w:rsidRDefault="00F146C0" w:rsidP="00DD5DF1">
            <w:pPr>
              <w:spacing w:after="0" w:line="240" w:lineRule="auto"/>
              <w:jc w:val="center"/>
            </w:pPr>
            <w:r>
              <w:t>2</w:t>
            </w:r>
            <w:r w:rsidRPr="005E2422">
              <w:t>00</w:t>
            </w:r>
          </w:p>
        </w:tc>
      </w:tr>
    </w:tbl>
    <w:p w14:paraId="7303A044" w14:textId="53F6E019" w:rsidR="009810A0" w:rsidRDefault="009810A0" w:rsidP="00BB7BC1">
      <w:pPr>
        <w:spacing w:after="0" w:line="480" w:lineRule="auto"/>
      </w:pPr>
    </w:p>
    <w:p w14:paraId="37CC3E18" w14:textId="2DA0BBAF" w:rsidR="005E2422" w:rsidRPr="00B51624" w:rsidRDefault="007D4198" w:rsidP="001078B6">
      <w:pPr>
        <w:spacing w:after="0" w:line="480" w:lineRule="auto"/>
        <w:jc w:val="center"/>
      </w:pPr>
      <w:r>
        <w:t>A.12-</w:t>
      </w:r>
      <w:r w:rsidR="005E2422" w:rsidRPr="00B51624">
        <w:t>2</w:t>
      </w:r>
      <w:r w:rsidR="005E2422" w:rsidRPr="00B51624">
        <w:tab/>
        <w:t>Annualized Cost to Respondents</w:t>
      </w:r>
    </w:p>
    <w:p w14:paraId="16F699BE" w14:textId="0D86BAFD" w:rsidR="00B51624" w:rsidRPr="00B51624" w:rsidRDefault="0076697F" w:rsidP="00B51624">
      <w:pPr>
        <w:autoSpaceDE w:val="0"/>
        <w:autoSpaceDN w:val="0"/>
        <w:adjustRightInd w:val="0"/>
        <w:spacing w:line="480" w:lineRule="auto"/>
        <w:ind w:firstLine="720"/>
      </w:pPr>
      <w:r>
        <w:t>The average of lowest and highest stipend levels</w:t>
      </w:r>
      <w:r w:rsidR="007D4198">
        <w:t xml:space="preserve"> for post doctorate candidates</w:t>
      </w:r>
      <w:r>
        <w:t xml:space="preserve"> was ca</w:t>
      </w:r>
      <w:r w:rsidR="00D04303">
        <w:t>lculated and then divided for the candidate’s</w:t>
      </w:r>
      <w:r>
        <w:t xml:space="preserve"> average hourly rate</w:t>
      </w:r>
      <w:r w:rsidR="00D04303">
        <w:t xml:space="preserve"> ($36.13)</w:t>
      </w:r>
      <w:r>
        <w:t>.</w:t>
      </w:r>
      <w:r w:rsidR="00B51624" w:rsidRPr="00B51624">
        <w:t xml:space="preserve">  The annual respondent costs are estimated to be $</w:t>
      </w:r>
      <w:r>
        <w:t>7</w:t>
      </w:r>
      <w:r w:rsidR="00DD5DF1">
        <w:t>,</w:t>
      </w:r>
      <w:r>
        <w:t>2</w:t>
      </w:r>
      <w:r w:rsidR="00DD5DF1">
        <w:t>26</w:t>
      </w:r>
      <w:r w:rsidR="00B51624" w:rsidRPr="00B51624">
        <w:t xml:space="preserve"> (Table A.12-2), or approximately $</w:t>
      </w:r>
      <w:r w:rsidR="00DD5DF1">
        <w:t>2</w:t>
      </w:r>
      <w:r w:rsidR="00AE6A8C">
        <w:t>1</w:t>
      </w:r>
      <w:r w:rsidR="00DD5DF1">
        <w:t>,</w:t>
      </w:r>
      <w:r w:rsidR="00AE6A8C">
        <w:t>6</w:t>
      </w:r>
      <w:r w:rsidR="00DD5DF1">
        <w:t>78</w:t>
      </w:r>
      <w:r w:rsidR="00B51624" w:rsidRPr="00B51624">
        <w:t xml:space="preserve"> over a three-year information collection period.  </w:t>
      </w:r>
    </w:p>
    <w:tbl>
      <w:tblPr>
        <w:tblW w:w="9352" w:type="dxa"/>
        <w:jc w:val="center"/>
        <w:tblLayout w:type="fixed"/>
        <w:tblCellMar>
          <w:left w:w="100" w:type="dxa"/>
          <w:right w:w="100" w:type="dxa"/>
        </w:tblCellMar>
        <w:tblLook w:val="0000" w:firstRow="0" w:lastRow="0" w:firstColumn="0" w:lastColumn="0" w:noHBand="0" w:noVBand="0"/>
      </w:tblPr>
      <w:tblGrid>
        <w:gridCol w:w="2242"/>
        <w:gridCol w:w="2700"/>
        <w:gridCol w:w="2700"/>
        <w:gridCol w:w="1710"/>
      </w:tblGrid>
      <w:tr w:rsidR="00F113B1" w:rsidRPr="008942E9" w14:paraId="5DAFBF1A" w14:textId="77777777" w:rsidTr="00F113B1">
        <w:trPr>
          <w:cantSplit/>
          <w:trHeight w:val="372"/>
          <w:jc w:val="center"/>
        </w:trPr>
        <w:tc>
          <w:tcPr>
            <w:tcW w:w="2242" w:type="dxa"/>
            <w:tcBorders>
              <w:top w:val="single" w:sz="6" w:space="0" w:color="auto"/>
              <w:left w:val="single" w:sz="6" w:space="0" w:color="auto"/>
            </w:tcBorders>
            <w:vAlign w:val="center"/>
          </w:tcPr>
          <w:p w14:paraId="63B81098" w14:textId="0C1B7006" w:rsidR="00F113B1" w:rsidRPr="001078B6" w:rsidRDefault="00BA4DCF" w:rsidP="001078B6">
            <w:pPr>
              <w:spacing w:after="0" w:line="240" w:lineRule="auto"/>
              <w:jc w:val="center"/>
            </w:pPr>
            <w:r>
              <w:t>Type</w:t>
            </w:r>
            <w:r w:rsidR="00102896">
              <w:t xml:space="preserve"> </w:t>
            </w:r>
            <w:r w:rsidR="00102896" w:rsidRPr="005E2422">
              <w:t>of Respondent</w:t>
            </w:r>
            <w:r w:rsidR="00102896">
              <w:t xml:space="preserve">                                                                                                                                                                                                                                                                                                                                                               </w:t>
            </w:r>
          </w:p>
        </w:tc>
        <w:tc>
          <w:tcPr>
            <w:tcW w:w="2700" w:type="dxa"/>
            <w:tcBorders>
              <w:top w:val="single" w:sz="6" w:space="0" w:color="auto"/>
              <w:left w:val="single" w:sz="6" w:space="0" w:color="auto"/>
            </w:tcBorders>
            <w:vAlign w:val="center"/>
          </w:tcPr>
          <w:p w14:paraId="649F0B8E" w14:textId="45CD3532" w:rsidR="00F113B1" w:rsidRPr="001078B6" w:rsidRDefault="00F113B1" w:rsidP="001078B6">
            <w:pPr>
              <w:spacing w:after="0" w:line="240" w:lineRule="auto"/>
              <w:jc w:val="center"/>
            </w:pPr>
            <w:r>
              <w:t xml:space="preserve">Total </w:t>
            </w:r>
            <w:r w:rsidR="00BA4DCF">
              <w:t xml:space="preserve">Annual </w:t>
            </w:r>
            <w:r>
              <w:t>Burden Hours</w:t>
            </w:r>
          </w:p>
        </w:tc>
        <w:tc>
          <w:tcPr>
            <w:tcW w:w="2700" w:type="dxa"/>
            <w:tcBorders>
              <w:top w:val="single" w:sz="6" w:space="0" w:color="auto"/>
              <w:left w:val="single" w:sz="6" w:space="0" w:color="auto"/>
            </w:tcBorders>
            <w:vAlign w:val="center"/>
          </w:tcPr>
          <w:p w14:paraId="2C679639" w14:textId="37C72BBA" w:rsidR="00F113B1" w:rsidRPr="001078B6" w:rsidRDefault="00F113B1" w:rsidP="001078B6">
            <w:pPr>
              <w:spacing w:after="0" w:line="240" w:lineRule="auto"/>
              <w:jc w:val="center"/>
            </w:pPr>
            <w:r w:rsidRPr="001078B6">
              <w:t>Hourly Wage Rate*</w:t>
            </w:r>
          </w:p>
        </w:tc>
        <w:tc>
          <w:tcPr>
            <w:tcW w:w="1710" w:type="dxa"/>
            <w:tcBorders>
              <w:top w:val="single" w:sz="6" w:space="0" w:color="auto"/>
              <w:left w:val="single" w:sz="6" w:space="0" w:color="auto"/>
              <w:right w:val="single" w:sz="6" w:space="0" w:color="auto"/>
            </w:tcBorders>
            <w:vAlign w:val="center"/>
          </w:tcPr>
          <w:p w14:paraId="1CFAD450" w14:textId="6D55DD01" w:rsidR="00F113B1" w:rsidRPr="001078B6" w:rsidRDefault="00BA4DCF" w:rsidP="001078B6">
            <w:pPr>
              <w:spacing w:after="0" w:line="240" w:lineRule="auto"/>
              <w:jc w:val="center"/>
            </w:pPr>
            <w:r>
              <w:t>Respondent</w:t>
            </w:r>
            <w:r w:rsidR="00102896">
              <w:t xml:space="preserve"> </w:t>
            </w:r>
            <w:r w:rsidR="00F113B1" w:rsidRPr="001078B6">
              <w:t>Cost</w:t>
            </w:r>
          </w:p>
        </w:tc>
      </w:tr>
      <w:tr w:rsidR="00F113B1" w:rsidRPr="008942E9" w14:paraId="22CB9F81" w14:textId="77777777" w:rsidTr="00F146C0">
        <w:trPr>
          <w:cantSplit/>
          <w:trHeight w:val="372"/>
          <w:jc w:val="center"/>
        </w:trPr>
        <w:tc>
          <w:tcPr>
            <w:tcW w:w="2242" w:type="dxa"/>
            <w:tcBorders>
              <w:top w:val="single" w:sz="6" w:space="0" w:color="auto"/>
              <w:left w:val="single" w:sz="6" w:space="0" w:color="auto"/>
            </w:tcBorders>
            <w:vAlign w:val="center"/>
          </w:tcPr>
          <w:p w14:paraId="3A433192" w14:textId="24C6964B" w:rsidR="00F113B1" w:rsidRPr="001078B6" w:rsidRDefault="00F113B1" w:rsidP="00F146C0">
            <w:pPr>
              <w:spacing w:after="0" w:line="240" w:lineRule="auto"/>
              <w:jc w:val="center"/>
              <w:rPr>
                <w:highlight w:val="yellow"/>
              </w:rPr>
            </w:pPr>
            <w:r>
              <w:t>Individuals</w:t>
            </w:r>
          </w:p>
        </w:tc>
        <w:tc>
          <w:tcPr>
            <w:tcW w:w="2700" w:type="dxa"/>
            <w:tcBorders>
              <w:top w:val="single" w:sz="6" w:space="0" w:color="auto"/>
              <w:left w:val="single" w:sz="6" w:space="0" w:color="auto"/>
            </w:tcBorders>
            <w:vAlign w:val="center"/>
          </w:tcPr>
          <w:p w14:paraId="3ED181CF" w14:textId="7BAE42DF" w:rsidR="00F113B1" w:rsidRPr="001078B6" w:rsidRDefault="00F113B1" w:rsidP="00F146C0">
            <w:pPr>
              <w:spacing w:after="0" w:line="240" w:lineRule="auto"/>
              <w:jc w:val="center"/>
            </w:pPr>
            <w:r w:rsidRPr="001078B6">
              <w:t>200</w:t>
            </w:r>
          </w:p>
        </w:tc>
        <w:tc>
          <w:tcPr>
            <w:tcW w:w="2700" w:type="dxa"/>
            <w:tcBorders>
              <w:top w:val="single" w:sz="6" w:space="0" w:color="auto"/>
              <w:left w:val="single" w:sz="6" w:space="0" w:color="auto"/>
            </w:tcBorders>
            <w:vAlign w:val="center"/>
          </w:tcPr>
          <w:p w14:paraId="3B40D864" w14:textId="072FDA6C" w:rsidR="00F113B1" w:rsidRPr="001078B6" w:rsidRDefault="00F113B1" w:rsidP="00DD5DF1">
            <w:pPr>
              <w:spacing w:after="0" w:line="240" w:lineRule="auto"/>
              <w:jc w:val="center"/>
            </w:pPr>
            <w:r w:rsidRPr="001078B6">
              <w:t>$</w:t>
            </w:r>
            <w:r>
              <w:t>36.13</w:t>
            </w:r>
          </w:p>
        </w:tc>
        <w:tc>
          <w:tcPr>
            <w:tcW w:w="1710" w:type="dxa"/>
            <w:tcBorders>
              <w:top w:val="single" w:sz="6" w:space="0" w:color="auto"/>
              <w:left w:val="single" w:sz="6" w:space="0" w:color="auto"/>
              <w:right w:val="single" w:sz="6" w:space="0" w:color="auto"/>
            </w:tcBorders>
            <w:vAlign w:val="center"/>
          </w:tcPr>
          <w:p w14:paraId="41BA4A92" w14:textId="5F0614D7" w:rsidR="00F113B1" w:rsidRPr="001078B6" w:rsidRDefault="00F113B1" w:rsidP="00DD5DF1">
            <w:pPr>
              <w:spacing w:after="0" w:line="240" w:lineRule="auto"/>
              <w:jc w:val="center"/>
            </w:pPr>
            <w:r w:rsidRPr="001078B6">
              <w:t>$</w:t>
            </w:r>
            <w:r>
              <w:t>7,226</w:t>
            </w:r>
            <w:r w:rsidRPr="001078B6">
              <w:t>.00</w:t>
            </w:r>
          </w:p>
        </w:tc>
      </w:tr>
      <w:tr w:rsidR="00F113B1" w:rsidRPr="008942E9" w14:paraId="4BB91FE3" w14:textId="77777777" w:rsidTr="00F146C0">
        <w:trPr>
          <w:cantSplit/>
          <w:trHeight w:val="354"/>
          <w:jc w:val="center"/>
        </w:trPr>
        <w:tc>
          <w:tcPr>
            <w:tcW w:w="2242" w:type="dxa"/>
            <w:tcBorders>
              <w:top w:val="single" w:sz="6" w:space="0" w:color="auto"/>
              <w:left w:val="single" w:sz="6" w:space="0" w:color="auto"/>
              <w:bottom w:val="single" w:sz="4" w:space="0" w:color="auto"/>
            </w:tcBorders>
            <w:vAlign w:val="center"/>
          </w:tcPr>
          <w:p w14:paraId="49FE7AD7" w14:textId="0569F5B8" w:rsidR="00F113B1" w:rsidRPr="001078B6" w:rsidRDefault="00F113B1" w:rsidP="00DD5DF1">
            <w:pPr>
              <w:spacing w:after="0" w:line="240" w:lineRule="auto"/>
              <w:jc w:val="center"/>
              <w:rPr>
                <w:highlight w:val="yellow"/>
              </w:rPr>
            </w:pPr>
            <w:r w:rsidRPr="001078B6">
              <w:t>Total</w:t>
            </w:r>
          </w:p>
        </w:tc>
        <w:tc>
          <w:tcPr>
            <w:tcW w:w="2700" w:type="dxa"/>
            <w:tcBorders>
              <w:top w:val="single" w:sz="6" w:space="0" w:color="auto"/>
              <w:left w:val="single" w:sz="6" w:space="0" w:color="auto"/>
              <w:bottom w:val="single" w:sz="4" w:space="0" w:color="auto"/>
            </w:tcBorders>
            <w:vAlign w:val="center"/>
          </w:tcPr>
          <w:p w14:paraId="42BB546F" w14:textId="78958705" w:rsidR="00F113B1" w:rsidRPr="001078B6" w:rsidRDefault="00F113B1" w:rsidP="00DD5DF1">
            <w:pPr>
              <w:spacing w:after="0" w:line="240" w:lineRule="auto"/>
              <w:jc w:val="center"/>
            </w:pPr>
            <w:r w:rsidRPr="001078B6">
              <w:t>200</w:t>
            </w:r>
          </w:p>
        </w:tc>
        <w:tc>
          <w:tcPr>
            <w:tcW w:w="2700" w:type="dxa"/>
            <w:tcBorders>
              <w:top w:val="single" w:sz="6" w:space="0" w:color="auto"/>
              <w:left w:val="single" w:sz="6" w:space="0" w:color="auto"/>
              <w:bottom w:val="single" w:sz="4" w:space="0" w:color="auto"/>
            </w:tcBorders>
            <w:vAlign w:val="center"/>
          </w:tcPr>
          <w:p w14:paraId="345E1084" w14:textId="0A8CF411" w:rsidR="00F113B1" w:rsidRPr="001078B6" w:rsidRDefault="00F113B1" w:rsidP="00DD5DF1">
            <w:pPr>
              <w:spacing w:after="0" w:line="240" w:lineRule="auto"/>
              <w:jc w:val="center"/>
            </w:pPr>
          </w:p>
        </w:tc>
        <w:tc>
          <w:tcPr>
            <w:tcW w:w="1710" w:type="dxa"/>
            <w:tcBorders>
              <w:top w:val="single" w:sz="6" w:space="0" w:color="auto"/>
              <w:left w:val="single" w:sz="6" w:space="0" w:color="auto"/>
              <w:bottom w:val="single" w:sz="4" w:space="0" w:color="auto"/>
              <w:right w:val="single" w:sz="6" w:space="0" w:color="auto"/>
            </w:tcBorders>
            <w:vAlign w:val="center"/>
          </w:tcPr>
          <w:p w14:paraId="17AC655B" w14:textId="21F42B57" w:rsidR="00F113B1" w:rsidRPr="001078B6" w:rsidRDefault="00F113B1" w:rsidP="00DD5DF1">
            <w:pPr>
              <w:spacing w:after="0" w:line="240" w:lineRule="auto"/>
              <w:jc w:val="center"/>
            </w:pPr>
            <w:r>
              <w:t>$7,226</w:t>
            </w:r>
            <w:r w:rsidRPr="001078B6">
              <w:t>.00</w:t>
            </w:r>
          </w:p>
        </w:tc>
      </w:tr>
    </w:tbl>
    <w:p w14:paraId="341B3D15" w14:textId="51DD766F" w:rsidR="004F7A19" w:rsidRPr="004F7A19" w:rsidRDefault="004F7A19" w:rsidP="004F7A19">
      <w:pPr>
        <w:spacing w:after="0" w:line="240" w:lineRule="auto"/>
      </w:pPr>
      <w:r>
        <w:rPr>
          <w:b/>
        </w:rPr>
        <w:t>*</w:t>
      </w:r>
      <w:r w:rsidRPr="004F7A19">
        <w:t xml:space="preserve"> </w:t>
      </w:r>
      <w:r w:rsidR="007D4198">
        <w:t xml:space="preserve">Hourly wage rates are </w:t>
      </w:r>
      <w:r w:rsidRPr="00B51624">
        <w:t>based on the NCI</w:t>
      </w:r>
      <w:r w:rsidR="007D4198">
        <w:t xml:space="preserve"> </w:t>
      </w:r>
      <w:r w:rsidRPr="00B51624">
        <w:t>Cancer Research Training (CRTA) stipend charts (</w:t>
      </w:r>
      <w:hyperlink r:id="rId12" w:history="1">
        <w:r w:rsidR="007D4198" w:rsidRPr="007D4198">
          <w:rPr>
            <w:rStyle w:val="Hyperlink"/>
          </w:rPr>
          <w:t>https://www.cancer.gov/grants-training/training/at-nci/crta/crta.pdf</w:t>
        </w:r>
      </w:hyperlink>
      <w:r>
        <w:t xml:space="preserve">) (Appendix 1, Category 5) </w:t>
      </w:r>
      <w:r w:rsidRPr="00B51624">
        <w:t xml:space="preserve">to </w:t>
      </w:r>
      <w:r>
        <w:t xml:space="preserve">estimate respondent </w:t>
      </w:r>
      <w:r w:rsidRPr="00B51624">
        <w:t>costs.</w:t>
      </w:r>
      <w:r>
        <w:t xml:space="preserve">  </w:t>
      </w:r>
    </w:p>
    <w:p w14:paraId="342FB15D" w14:textId="77777777" w:rsidR="004F7A19" w:rsidRDefault="004F7A19" w:rsidP="004F7A19">
      <w:pPr>
        <w:spacing w:after="0" w:line="480" w:lineRule="auto"/>
        <w:rPr>
          <w:b/>
        </w:rPr>
      </w:pPr>
    </w:p>
    <w:p w14:paraId="2B217B6E" w14:textId="21722CDC" w:rsidR="00FF72FC" w:rsidRPr="00E35DD1" w:rsidRDefault="00FF72FC" w:rsidP="004F7A19">
      <w:pPr>
        <w:spacing w:after="0" w:line="480" w:lineRule="auto"/>
        <w:rPr>
          <w:b/>
        </w:rPr>
      </w:pPr>
      <w:r w:rsidRPr="00E35DD1">
        <w:rPr>
          <w:b/>
        </w:rPr>
        <w:t>A.13</w:t>
      </w:r>
      <w:r w:rsidRPr="00E35DD1">
        <w:rPr>
          <w:b/>
        </w:rPr>
        <w:tab/>
        <w:t>Estimate of Other Total Annual Cost Burden to Respondents or Record Keepers</w:t>
      </w:r>
    </w:p>
    <w:p w14:paraId="3E8906D3" w14:textId="77777777" w:rsidR="00AC5E11" w:rsidRPr="001B5A3C" w:rsidRDefault="001B5A3C" w:rsidP="0084561D">
      <w:pPr>
        <w:spacing w:after="0" w:line="480" w:lineRule="auto"/>
        <w:ind w:firstLine="720"/>
        <w:rPr>
          <w:b/>
        </w:rPr>
      </w:pPr>
      <w:r w:rsidRPr="001B5A3C">
        <w:t>There are no capital costs, operating costs, or maintenance costs to report.</w:t>
      </w:r>
      <w:r w:rsidR="00FF72FC" w:rsidRPr="00E35DD1">
        <w:t xml:space="preserve">  </w:t>
      </w:r>
    </w:p>
    <w:p w14:paraId="29D79AA8" w14:textId="77777777" w:rsidR="00FF72FC" w:rsidRPr="008942E9" w:rsidRDefault="00FF72FC" w:rsidP="0000477C">
      <w:pPr>
        <w:pStyle w:val="Heading2"/>
        <w:tabs>
          <w:tab w:val="clear" w:pos="1152"/>
          <w:tab w:val="left" w:pos="720"/>
        </w:tabs>
        <w:spacing w:after="0" w:line="480" w:lineRule="auto"/>
        <w:ind w:left="0" w:firstLine="0"/>
        <w:rPr>
          <w:rFonts w:ascii="Calibri" w:hAnsi="Calibri"/>
          <w:szCs w:val="22"/>
        </w:rPr>
      </w:pPr>
      <w:r w:rsidRPr="008942E9">
        <w:rPr>
          <w:rFonts w:ascii="Calibri" w:hAnsi="Calibri"/>
          <w:szCs w:val="22"/>
        </w:rPr>
        <w:t>A.14</w:t>
      </w:r>
      <w:r w:rsidRPr="008942E9">
        <w:rPr>
          <w:rFonts w:ascii="Calibri" w:hAnsi="Calibri"/>
          <w:szCs w:val="22"/>
        </w:rPr>
        <w:tab/>
        <w:t xml:space="preserve">Annualized Cost to the Federal Government  </w:t>
      </w:r>
    </w:p>
    <w:p w14:paraId="299393D8" w14:textId="34990DCD" w:rsidR="00D04303" w:rsidRPr="00D04303" w:rsidRDefault="00D04303" w:rsidP="00AE58C8">
      <w:pPr>
        <w:autoSpaceDE w:val="0"/>
        <w:autoSpaceDN w:val="0"/>
        <w:adjustRightInd w:val="0"/>
        <w:spacing w:after="0" w:line="480" w:lineRule="auto"/>
        <w:ind w:firstLine="720"/>
      </w:pPr>
      <w:r w:rsidRPr="00D04303">
        <w:t>The annualized cost to the government is $</w:t>
      </w:r>
      <w:r w:rsidR="0082222C">
        <w:t>18,633.80</w:t>
      </w:r>
      <w:r w:rsidRPr="00D04303">
        <w:t xml:space="preserve">. </w:t>
      </w:r>
      <w:r w:rsidR="00A255A6">
        <w:t xml:space="preserve"> </w:t>
      </w:r>
      <w:r w:rsidR="00AE58C8">
        <w:t xml:space="preserve">CCT </w:t>
      </w:r>
      <w:r w:rsidRPr="00D04303">
        <w:t xml:space="preserve">works with </w:t>
      </w:r>
      <w:r w:rsidR="00AE58C8">
        <w:t>a</w:t>
      </w:r>
      <w:r w:rsidRPr="00D04303">
        <w:t xml:space="preserve"> contractor on setting up and managing the application system for the </w:t>
      </w:r>
      <w:r w:rsidR="00AE58C8">
        <w:t>resumes and candidate’s information</w:t>
      </w:r>
      <w:r w:rsidRPr="00D04303">
        <w:t xml:space="preserve">.  The contractor is responsible for setting up and managing the web-based system.  The </w:t>
      </w:r>
      <w:r w:rsidR="00AE58C8">
        <w:t>NCI</w:t>
      </w:r>
      <w:r w:rsidRPr="00D04303">
        <w:t xml:space="preserve"> staff person manages the review and distribution of the applications.  The annual contractor cost to the Federal government is estimated at </w:t>
      </w:r>
      <w:r w:rsidR="00A255A6">
        <w:t>$4,5</w:t>
      </w:r>
      <w:r w:rsidRPr="00D04303">
        <w:t>00 (Table A.14-1).</w:t>
      </w:r>
    </w:p>
    <w:p w14:paraId="28158B8C" w14:textId="77777777" w:rsidR="00F113B1" w:rsidRDefault="00F113B1" w:rsidP="00AE58C8">
      <w:pPr>
        <w:autoSpaceDE w:val="0"/>
        <w:autoSpaceDN w:val="0"/>
        <w:adjustRightInd w:val="0"/>
        <w:spacing w:after="0" w:line="480" w:lineRule="auto"/>
        <w:jc w:val="center"/>
      </w:pPr>
    </w:p>
    <w:p w14:paraId="48A619D0" w14:textId="77777777" w:rsidR="00F146C0" w:rsidRDefault="00F146C0">
      <w:pPr>
        <w:spacing w:after="0" w:line="240" w:lineRule="auto"/>
      </w:pPr>
      <w:r>
        <w:br w:type="page"/>
      </w:r>
    </w:p>
    <w:p w14:paraId="50ACBA4C" w14:textId="08FC0DB2" w:rsidR="00D04303" w:rsidRPr="00D04303" w:rsidRDefault="00D04303" w:rsidP="00AE58C8">
      <w:pPr>
        <w:autoSpaceDE w:val="0"/>
        <w:autoSpaceDN w:val="0"/>
        <w:adjustRightInd w:val="0"/>
        <w:spacing w:after="0" w:line="480" w:lineRule="auto"/>
        <w:jc w:val="center"/>
      </w:pPr>
      <w:r w:rsidRPr="00D04303">
        <w:t>Table A14-1. Annualized Cost to the Federal Government</w:t>
      </w:r>
    </w:p>
    <w:tbl>
      <w:tblPr>
        <w:tblW w:w="95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5"/>
        <w:gridCol w:w="1260"/>
        <w:gridCol w:w="1260"/>
        <w:gridCol w:w="1440"/>
        <w:gridCol w:w="1530"/>
        <w:gridCol w:w="1597"/>
      </w:tblGrid>
      <w:tr w:rsidR="00D04303" w14:paraId="42C8B7D7" w14:textId="77777777" w:rsidTr="00AE58C8">
        <w:trPr>
          <w:trHeight w:val="620"/>
        </w:trPr>
        <w:tc>
          <w:tcPr>
            <w:tcW w:w="2435" w:type="dxa"/>
            <w:shd w:val="clear" w:color="auto" w:fill="auto"/>
            <w:noWrap/>
            <w:tcMar>
              <w:top w:w="0" w:type="dxa"/>
              <w:left w:w="108" w:type="dxa"/>
              <w:bottom w:w="0" w:type="dxa"/>
              <w:right w:w="108" w:type="dxa"/>
            </w:tcMar>
            <w:vAlign w:val="center"/>
            <w:hideMark/>
          </w:tcPr>
          <w:p w14:paraId="30854DF5" w14:textId="77777777" w:rsidR="00D04303" w:rsidRPr="00D04303" w:rsidRDefault="00D04303" w:rsidP="00AE58C8">
            <w:pPr>
              <w:spacing w:after="0" w:line="240" w:lineRule="auto"/>
              <w:jc w:val="center"/>
            </w:pPr>
            <w:r w:rsidRPr="00D04303">
              <w:t>Cost Descriptions</w:t>
            </w:r>
          </w:p>
        </w:tc>
        <w:tc>
          <w:tcPr>
            <w:tcW w:w="1260" w:type="dxa"/>
            <w:shd w:val="clear" w:color="auto" w:fill="auto"/>
            <w:vAlign w:val="center"/>
          </w:tcPr>
          <w:p w14:paraId="4AEBEDD7" w14:textId="77777777" w:rsidR="00D04303" w:rsidRPr="00D04303" w:rsidRDefault="00D04303" w:rsidP="00AE58C8">
            <w:pPr>
              <w:spacing w:after="0" w:line="240" w:lineRule="auto"/>
              <w:jc w:val="center"/>
            </w:pPr>
            <w:r w:rsidRPr="00D04303">
              <w:t>Grade/Step</w:t>
            </w:r>
          </w:p>
        </w:tc>
        <w:tc>
          <w:tcPr>
            <w:tcW w:w="1260" w:type="dxa"/>
            <w:shd w:val="clear" w:color="auto" w:fill="auto"/>
            <w:tcMar>
              <w:top w:w="0" w:type="dxa"/>
              <w:left w:w="108" w:type="dxa"/>
              <w:bottom w:w="0" w:type="dxa"/>
              <w:right w:w="108" w:type="dxa"/>
            </w:tcMar>
            <w:vAlign w:val="center"/>
            <w:hideMark/>
          </w:tcPr>
          <w:p w14:paraId="58103E5A" w14:textId="6260A751" w:rsidR="00D04303" w:rsidRPr="00D04303" w:rsidRDefault="00D04303" w:rsidP="00AE58C8">
            <w:pPr>
              <w:spacing w:after="0" w:line="240" w:lineRule="auto"/>
              <w:jc w:val="center"/>
            </w:pPr>
            <w:r w:rsidRPr="00D04303">
              <w:t>Salary</w:t>
            </w:r>
            <w:r w:rsidR="00C47404">
              <w:t>*</w:t>
            </w:r>
            <w:r w:rsidR="007D4198">
              <w:t>*</w:t>
            </w:r>
          </w:p>
        </w:tc>
        <w:tc>
          <w:tcPr>
            <w:tcW w:w="1440" w:type="dxa"/>
            <w:shd w:val="clear" w:color="auto" w:fill="auto"/>
            <w:tcMar>
              <w:top w:w="0" w:type="dxa"/>
              <w:left w:w="108" w:type="dxa"/>
              <w:bottom w:w="0" w:type="dxa"/>
              <w:right w:w="108" w:type="dxa"/>
            </w:tcMar>
            <w:vAlign w:val="center"/>
            <w:hideMark/>
          </w:tcPr>
          <w:p w14:paraId="0234D618" w14:textId="77777777" w:rsidR="00D04303" w:rsidRPr="00D04303" w:rsidRDefault="00D04303" w:rsidP="00AE58C8">
            <w:pPr>
              <w:spacing w:after="0" w:line="240" w:lineRule="auto"/>
              <w:jc w:val="center"/>
            </w:pPr>
            <w:r w:rsidRPr="00D04303">
              <w:t>Percent Effort</w:t>
            </w:r>
          </w:p>
        </w:tc>
        <w:tc>
          <w:tcPr>
            <w:tcW w:w="1530" w:type="dxa"/>
            <w:shd w:val="clear" w:color="auto" w:fill="auto"/>
            <w:vAlign w:val="center"/>
          </w:tcPr>
          <w:p w14:paraId="67D9AD78" w14:textId="77777777" w:rsidR="00AE58C8" w:rsidRDefault="00D04303" w:rsidP="00AE58C8">
            <w:pPr>
              <w:spacing w:after="0" w:line="240" w:lineRule="auto"/>
              <w:jc w:val="center"/>
            </w:pPr>
            <w:r w:rsidRPr="00D04303">
              <w:t xml:space="preserve">Fringe </w:t>
            </w:r>
          </w:p>
          <w:p w14:paraId="40061090" w14:textId="3452CEF0" w:rsidR="00D04303" w:rsidRPr="00D04303" w:rsidRDefault="00D04303" w:rsidP="00AE58C8">
            <w:pPr>
              <w:spacing w:after="0" w:line="240" w:lineRule="auto"/>
              <w:jc w:val="center"/>
            </w:pPr>
            <w:r w:rsidRPr="00D04303">
              <w:t>(if applicable)</w:t>
            </w:r>
          </w:p>
        </w:tc>
        <w:tc>
          <w:tcPr>
            <w:tcW w:w="1597" w:type="dxa"/>
            <w:shd w:val="clear" w:color="auto" w:fill="auto"/>
            <w:vAlign w:val="center"/>
          </w:tcPr>
          <w:p w14:paraId="43B646D8" w14:textId="77777777" w:rsidR="00D04303" w:rsidRPr="00D04303" w:rsidRDefault="00D04303" w:rsidP="00AE58C8">
            <w:pPr>
              <w:spacing w:after="0" w:line="240" w:lineRule="auto"/>
              <w:jc w:val="center"/>
            </w:pPr>
            <w:r w:rsidRPr="00D04303">
              <w:t>Total Cost to Gov’t</w:t>
            </w:r>
          </w:p>
        </w:tc>
      </w:tr>
      <w:tr w:rsidR="00D04303" w14:paraId="2A8C42E5" w14:textId="77777777" w:rsidTr="00AE58C8">
        <w:trPr>
          <w:trHeight w:val="300"/>
        </w:trPr>
        <w:tc>
          <w:tcPr>
            <w:tcW w:w="2435" w:type="dxa"/>
            <w:noWrap/>
            <w:tcMar>
              <w:top w:w="0" w:type="dxa"/>
              <w:left w:w="108" w:type="dxa"/>
              <w:bottom w:w="0" w:type="dxa"/>
              <w:right w:w="108" w:type="dxa"/>
            </w:tcMar>
            <w:vAlign w:val="bottom"/>
          </w:tcPr>
          <w:p w14:paraId="2941981C" w14:textId="77777777" w:rsidR="00D04303" w:rsidRPr="007D4198" w:rsidRDefault="00D04303" w:rsidP="00AE58C8">
            <w:pPr>
              <w:spacing w:after="0" w:line="360" w:lineRule="auto"/>
              <w:rPr>
                <w:b/>
              </w:rPr>
            </w:pPr>
            <w:r w:rsidRPr="007D4198">
              <w:rPr>
                <w:b/>
              </w:rPr>
              <w:t>Federal Oversight</w:t>
            </w:r>
          </w:p>
        </w:tc>
        <w:tc>
          <w:tcPr>
            <w:tcW w:w="1260" w:type="dxa"/>
            <w:shd w:val="pct20" w:color="auto" w:fill="auto"/>
          </w:tcPr>
          <w:p w14:paraId="54753E51" w14:textId="77777777" w:rsidR="00D04303" w:rsidRPr="00D04303" w:rsidRDefault="00D04303" w:rsidP="00AE58C8">
            <w:pPr>
              <w:spacing w:after="0" w:line="360" w:lineRule="auto"/>
              <w:jc w:val="right"/>
            </w:pPr>
          </w:p>
        </w:tc>
        <w:tc>
          <w:tcPr>
            <w:tcW w:w="1260" w:type="dxa"/>
            <w:shd w:val="pct20" w:color="auto" w:fill="auto"/>
            <w:noWrap/>
            <w:tcMar>
              <w:top w:w="0" w:type="dxa"/>
              <w:left w:w="108" w:type="dxa"/>
              <w:bottom w:w="0" w:type="dxa"/>
              <w:right w:w="108" w:type="dxa"/>
            </w:tcMar>
            <w:vAlign w:val="bottom"/>
          </w:tcPr>
          <w:p w14:paraId="30E48297" w14:textId="77777777" w:rsidR="00D04303" w:rsidRPr="001249FF" w:rsidRDefault="00D04303" w:rsidP="00AE58C8">
            <w:pPr>
              <w:spacing w:after="0" w:line="360" w:lineRule="auto"/>
            </w:pPr>
          </w:p>
        </w:tc>
        <w:tc>
          <w:tcPr>
            <w:tcW w:w="1440" w:type="dxa"/>
            <w:shd w:val="pct20" w:color="auto" w:fill="auto"/>
            <w:noWrap/>
            <w:tcMar>
              <w:top w:w="0" w:type="dxa"/>
              <w:left w:w="108" w:type="dxa"/>
              <w:bottom w:w="0" w:type="dxa"/>
              <w:right w:w="108" w:type="dxa"/>
            </w:tcMar>
            <w:vAlign w:val="bottom"/>
          </w:tcPr>
          <w:p w14:paraId="4972BA8A" w14:textId="77777777" w:rsidR="00D04303" w:rsidRPr="001249FF" w:rsidRDefault="00D04303" w:rsidP="00AE58C8">
            <w:pPr>
              <w:spacing w:after="0" w:line="360" w:lineRule="auto"/>
            </w:pPr>
          </w:p>
        </w:tc>
        <w:tc>
          <w:tcPr>
            <w:tcW w:w="1530" w:type="dxa"/>
            <w:shd w:val="clear" w:color="auto" w:fill="BFBFBF" w:themeFill="background1" w:themeFillShade="BF"/>
          </w:tcPr>
          <w:p w14:paraId="516B183F" w14:textId="77777777" w:rsidR="00D04303" w:rsidRPr="001249FF" w:rsidRDefault="00D04303" w:rsidP="00AE58C8">
            <w:pPr>
              <w:spacing w:after="0" w:line="360" w:lineRule="auto"/>
            </w:pPr>
          </w:p>
        </w:tc>
        <w:tc>
          <w:tcPr>
            <w:tcW w:w="1597" w:type="dxa"/>
            <w:shd w:val="clear" w:color="auto" w:fill="auto"/>
            <w:vAlign w:val="center"/>
          </w:tcPr>
          <w:p w14:paraId="148E1A1B" w14:textId="6E7318E3" w:rsidR="00D04303" w:rsidRPr="00D04303" w:rsidRDefault="00D04303" w:rsidP="00AE58C8">
            <w:pPr>
              <w:spacing w:after="0" w:line="360" w:lineRule="auto"/>
              <w:jc w:val="center"/>
            </w:pPr>
          </w:p>
        </w:tc>
      </w:tr>
      <w:tr w:rsidR="00D04303" w14:paraId="578C5C31" w14:textId="77777777" w:rsidTr="00AE58C8">
        <w:trPr>
          <w:trHeight w:val="300"/>
        </w:trPr>
        <w:tc>
          <w:tcPr>
            <w:tcW w:w="2435" w:type="dxa"/>
            <w:noWrap/>
            <w:tcMar>
              <w:top w:w="0" w:type="dxa"/>
              <w:left w:w="108" w:type="dxa"/>
              <w:bottom w:w="0" w:type="dxa"/>
              <w:right w:w="108" w:type="dxa"/>
            </w:tcMar>
            <w:vAlign w:val="center"/>
          </w:tcPr>
          <w:p w14:paraId="61EF10CC" w14:textId="77777777" w:rsidR="00D04303" w:rsidRPr="001249FF" w:rsidRDefault="00D04303" w:rsidP="00AE58C8">
            <w:pPr>
              <w:spacing w:after="0" w:line="360" w:lineRule="auto"/>
              <w:jc w:val="center"/>
            </w:pPr>
            <w:r>
              <w:t>Program Analyst</w:t>
            </w:r>
          </w:p>
        </w:tc>
        <w:tc>
          <w:tcPr>
            <w:tcW w:w="1260" w:type="dxa"/>
            <w:vAlign w:val="center"/>
          </w:tcPr>
          <w:p w14:paraId="2B64587F" w14:textId="77777777" w:rsidR="00D04303" w:rsidRPr="001249FF" w:rsidRDefault="00D04303" w:rsidP="00AE58C8">
            <w:pPr>
              <w:spacing w:after="0" w:line="360" w:lineRule="auto"/>
              <w:jc w:val="center"/>
            </w:pPr>
            <w:r>
              <w:t>13/10</w:t>
            </w:r>
          </w:p>
        </w:tc>
        <w:tc>
          <w:tcPr>
            <w:tcW w:w="1260" w:type="dxa"/>
            <w:noWrap/>
            <w:tcMar>
              <w:top w:w="0" w:type="dxa"/>
              <w:left w:w="108" w:type="dxa"/>
              <w:bottom w:w="0" w:type="dxa"/>
              <w:right w:w="108" w:type="dxa"/>
            </w:tcMar>
            <w:vAlign w:val="center"/>
          </w:tcPr>
          <w:p w14:paraId="43A3D9AD" w14:textId="77777777" w:rsidR="00D04303" w:rsidRPr="001249FF" w:rsidRDefault="00D04303" w:rsidP="00AE58C8">
            <w:pPr>
              <w:spacing w:after="0" w:line="360" w:lineRule="auto"/>
              <w:jc w:val="center"/>
            </w:pPr>
            <w:r>
              <w:t>$126,062</w:t>
            </w:r>
          </w:p>
        </w:tc>
        <w:tc>
          <w:tcPr>
            <w:tcW w:w="1440" w:type="dxa"/>
            <w:noWrap/>
            <w:tcMar>
              <w:top w:w="0" w:type="dxa"/>
              <w:left w:w="108" w:type="dxa"/>
              <w:bottom w:w="0" w:type="dxa"/>
              <w:right w:w="108" w:type="dxa"/>
            </w:tcMar>
            <w:vAlign w:val="center"/>
          </w:tcPr>
          <w:p w14:paraId="7FE29E02" w14:textId="53587DA3" w:rsidR="00D04303" w:rsidRPr="001249FF" w:rsidRDefault="00D04303" w:rsidP="00AE58C8">
            <w:pPr>
              <w:spacing w:after="0" w:line="360" w:lineRule="auto"/>
              <w:jc w:val="center"/>
            </w:pPr>
            <w:r>
              <w:t>10</w:t>
            </w:r>
            <w:r w:rsidR="00C47404">
              <w:t>%</w:t>
            </w:r>
          </w:p>
        </w:tc>
        <w:tc>
          <w:tcPr>
            <w:tcW w:w="1530" w:type="dxa"/>
            <w:shd w:val="clear" w:color="auto" w:fill="BFBFBF" w:themeFill="background1" w:themeFillShade="BF"/>
            <w:vAlign w:val="center"/>
          </w:tcPr>
          <w:p w14:paraId="33D49C9A" w14:textId="77777777" w:rsidR="00D04303" w:rsidRPr="00C47404" w:rsidRDefault="00D04303" w:rsidP="00AE58C8">
            <w:pPr>
              <w:spacing w:after="0" w:line="360" w:lineRule="auto"/>
              <w:jc w:val="center"/>
            </w:pPr>
          </w:p>
        </w:tc>
        <w:tc>
          <w:tcPr>
            <w:tcW w:w="1597" w:type="dxa"/>
            <w:vAlign w:val="center"/>
          </w:tcPr>
          <w:p w14:paraId="7E888CBE" w14:textId="52258BB7" w:rsidR="00D04303" w:rsidRPr="001249FF" w:rsidRDefault="00D04303" w:rsidP="00AE58C8">
            <w:pPr>
              <w:spacing w:after="0" w:line="360" w:lineRule="auto"/>
              <w:jc w:val="center"/>
            </w:pPr>
            <w:r>
              <w:t>$</w:t>
            </w:r>
            <w:r w:rsidR="00C47404">
              <w:t>12</w:t>
            </w:r>
            <w:r>
              <w:t>,</w:t>
            </w:r>
            <w:r w:rsidR="00C47404">
              <w:t>606.20</w:t>
            </w:r>
          </w:p>
        </w:tc>
      </w:tr>
      <w:tr w:rsidR="0031551B" w14:paraId="6CD43D48" w14:textId="77777777" w:rsidTr="00AE58C8">
        <w:trPr>
          <w:trHeight w:val="300"/>
        </w:trPr>
        <w:tc>
          <w:tcPr>
            <w:tcW w:w="2435" w:type="dxa"/>
            <w:noWrap/>
            <w:tcMar>
              <w:top w:w="0" w:type="dxa"/>
              <w:left w:w="108" w:type="dxa"/>
              <w:bottom w:w="0" w:type="dxa"/>
              <w:right w:w="108" w:type="dxa"/>
            </w:tcMar>
            <w:vAlign w:val="center"/>
          </w:tcPr>
          <w:p w14:paraId="280E1E9C" w14:textId="655E1638" w:rsidR="0031551B" w:rsidRDefault="00C47404" w:rsidP="00AE58C8">
            <w:pPr>
              <w:spacing w:after="0" w:line="360" w:lineRule="auto"/>
              <w:jc w:val="center"/>
            </w:pPr>
            <w:r>
              <w:t>Program Director</w:t>
            </w:r>
          </w:p>
        </w:tc>
        <w:tc>
          <w:tcPr>
            <w:tcW w:w="1260" w:type="dxa"/>
            <w:vAlign w:val="center"/>
          </w:tcPr>
          <w:p w14:paraId="40B90949" w14:textId="32449BFF" w:rsidR="0031551B" w:rsidRDefault="00C47404" w:rsidP="00AE58C8">
            <w:pPr>
              <w:spacing w:after="0" w:line="360" w:lineRule="auto"/>
              <w:jc w:val="center"/>
            </w:pPr>
            <w:r>
              <w:t>15/5</w:t>
            </w:r>
          </w:p>
        </w:tc>
        <w:tc>
          <w:tcPr>
            <w:tcW w:w="1260" w:type="dxa"/>
            <w:noWrap/>
            <w:tcMar>
              <w:top w:w="0" w:type="dxa"/>
              <w:left w:w="108" w:type="dxa"/>
              <w:bottom w:w="0" w:type="dxa"/>
              <w:right w:w="108" w:type="dxa"/>
            </w:tcMar>
            <w:vAlign w:val="center"/>
          </w:tcPr>
          <w:p w14:paraId="15A5FB5B" w14:textId="46445993" w:rsidR="0031551B" w:rsidRDefault="00E31790" w:rsidP="00AE58C8">
            <w:pPr>
              <w:spacing w:after="0" w:line="360" w:lineRule="auto"/>
              <w:jc w:val="center"/>
            </w:pPr>
            <w:r>
              <w:t>$152,760</w:t>
            </w:r>
          </w:p>
        </w:tc>
        <w:tc>
          <w:tcPr>
            <w:tcW w:w="1440" w:type="dxa"/>
            <w:noWrap/>
            <w:tcMar>
              <w:top w:w="0" w:type="dxa"/>
              <w:left w:w="108" w:type="dxa"/>
              <w:bottom w:w="0" w:type="dxa"/>
              <w:right w:w="108" w:type="dxa"/>
            </w:tcMar>
            <w:vAlign w:val="center"/>
          </w:tcPr>
          <w:p w14:paraId="1BA890A0" w14:textId="54BA5898" w:rsidR="0031551B" w:rsidRDefault="00C47404" w:rsidP="00AE58C8">
            <w:pPr>
              <w:spacing w:after="0" w:line="360" w:lineRule="auto"/>
              <w:jc w:val="center"/>
            </w:pPr>
            <w:r>
              <w:t>1%</w:t>
            </w:r>
          </w:p>
        </w:tc>
        <w:tc>
          <w:tcPr>
            <w:tcW w:w="1530" w:type="dxa"/>
            <w:shd w:val="clear" w:color="auto" w:fill="BFBFBF" w:themeFill="background1" w:themeFillShade="BF"/>
            <w:vAlign w:val="center"/>
          </w:tcPr>
          <w:p w14:paraId="2CC1174D" w14:textId="77777777" w:rsidR="0031551B" w:rsidRPr="00C47404" w:rsidRDefault="0031551B" w:rsidP="00AE58C8">
            <w:pPr>
              <w:spacing w:after="0" w:line="360" w:lineRule="auto"/>
              <w:jc w:val="center"/>
            </w:pPr>
          </w:p>
        </w:tc>
        <w:tc>
          <w:tcPr>
            <w:tcW w:w="1597" w:type="dxa"/>
            <w:vAlign w:val="center"/>
          </w:tcPr>
          <w:p w14:paraId="06A7C243" w14:textId="3175E84A" w:rsidR="0031551B" w:rsidRDefault="00C47404" w:rsidP="00AE58C8">
            <w:pPr>
              <w:spacing w:after="0" w:line="360" w:lineRule="auto"/>
              <w:jc w:val="center"/>
            </w:pPr>
            <w:r>
              <w:t>$1,527.60</w:t>
            </w:r>
          </w:p>
        </w:tc>
      </w:tr>
      <w:tr w:rsidR="00D04303" w14:paraId="05BE334B" w14:textId="77777777" w:rsidTr="00AE58C8">
        <w:trPr>
          <w:trHeight w:val="300"/>
        </w:trPr>
        <w:tc>
          <w:tcPr>
            <w:tcW w:w="2435" w:type="dxa"/>
            <w:noWrap/>
            <w:tcMar>
              <w:top w:w="0" w:type="dxa"/>
              <w:left w:w="108" w:type="dxa"/>
              <w:bottom w:w="0" w:type="dxa"/>
              <w:right w:w="108" w:type="dxa"/>
            </w:tcMar>
            <w:vAlign w:val="bottom"/>
          </w:tcPr>
          <w:p w14:paraId="3EB9B7B7" w14:textId="77777777" w:rsidR="00D04303" w:rsidRPr="007D4198" w:rsidRDefault="00D04303" w:rsidP="00AE58C8">
            <w:pPr>
              <w:spacing w:after="0" w:line="360" w:lineRule="auto"/>
              <w:rPr>
                <w:b/>
              </w:rPr>
            </w:pPr>
            <w:r w:rsidRPr="007D4198">
              <w:rPr>
                <w:b/>
              </w:rPr>
              <w:t>Contractor Cost</w:t>
            </w:r>
          </w:p>
        </w:tc>
        <w:tc>
          <w:tcPr>
            <w:tcW w:w="1260" w:type="dxa"/>
            <w:shd w:val="clear" w:color="auto" w:fill="BFBFBF" w:themeFill="background1" w:themeFillShade="BF"/>
          </w:tcPr>
          <w:p w14:paraId="75C9C13E" w14:textId="77777777" w:rsidR="00D04303" w:rsidRPr="001249FF" w:rsidRDefault="00D04303" w:rsidP="00AE58C8">
            <w:pPr>
              <w:spacing w:after="0" w:line="360" w:lineRule="auto"/>
            </w:pPr>
          </w:p>
        </w:tc>
        <w:tc>
          <w:tcPr>
            <w:tcW w:w="1260" w:type="dxa"/>
            <w:noWrap/>
            <w:tcMar>
              <w:top w:w="0" w:type="dxa"/>
              <w:left w:w="108" w:type="dxa"/>
              <w:bottom w:w="0" w:type="dxa"/>
              <w:right w:w="108" w:type="dxa"/>
            </w:tcMar>
            <w:vAlign w:val="bottom"/>
          </w:tcPr>
          <w:p w14:paraId="58075897" w14:textId="77777777" w:rsidR="00D04303" w:rsidRPr="001249FF" w:rsidRDefault="00D04303" w:rsidP="00AE58C8">
            <w:pPr>
              <w:spacing w:after="0" w:line="360" w:lineRule="auto"/>
            </w:pPr>
          </w:p>
        </w:tc>
        <w:tc>
          <w:tcPr>
            <w:tcW w:w="1440" w:type="dxa"/>
            <w:noWrap/>
            <w:tcMar>
              <w:top w:w="0" w:type="dxa"/>
              <w:left w:w="108" w:type="dxa"/>
              <w:bottom w:w="0" w:type="dxa"/>
              <w:right w:w="108" w:type="dxa"/>
            </w:tcMar>
            <w:vAlign w:val="bottom"/>
          </w:tcPr>
          <w:p w14:paraId="2CDE7671" w14:textId="77777777" w:rsidR="00D04303" w:rsidRPr="001249FF" w:rsidRDefault="00D04303" w:rsidP="00AE58C8">
            <w:pPr>
              <w:spacing w:after="0" w:line="360" w:lineRule="auto"/>
            </w:pPr>
          </w:p>
        </w:tc>
        <w:tc>
          <w:tcPr>
            <w:tcW w:w="1530" w:type="dxa"/>
          </w:tcPr>
          <w:p w14:paraId="6D72A1DE" w14:textId="77777777" w:rsidR="00D04303" w:rsidRPr="001249FF" w:rsidRDefault="00D04303" w:rsidP="00AE58C8">
            <w:pPr>
              <w:spacing w:after="0" w:line="360" w:lineRule="auto"/>
            </w:pPr>
          </w:p>
        </w:tc>
        <w:tc>
          <w:tcPr>
            <w:tcW w:w="1597" w:type="dxa"/>
            <w:vAlign w:val="center"/>
          </w:tcPr>
          <w:p w14:paraId="61B8B32A" w14:textId="586F0979" w:rsidR="00D04303" w:rsidRPr="00D04303" w:rsidRDefault="00D04303" w:rsidP="00AE58C8">
            <w:pPr>
              <w:spacing w:after="0" w:line="360" w:lineRule="auto"/>
              <w:jc w:val="center"/>
            </w:pPr>
            <w:r w:rsidRPr="00D04303">
              <w:t>$4,500</w:t>
            </w:r>
            <w:r w:rsidR="00C47404">
              <w:t>.00</w:t>
            </w:r>
          </w:p>
        </w:tc>
      </w:tr>
      <w:tr w:rsidR="00D04303" w14:paraId="6FB5444D" w14:textId="77777777" w:rsidTr="00AE58C8">
        <w:trPr>
          <w:trHeight w:val="300"/>
        </w:trPr>
        <w:tc>
          <w:tcPr>
            <w:tcW w:w="2435" w:type="dxa"/>
            <w:noWrap/>
            <w:tcMar>
              <w:top w:w="0" w:type="dxa"/>
              <w:left w:w="108" w:type="dxa"/>
              <w:bottom w:w="0" w:type="dxa"/>
              <w:right w:w="108" w:type="dxa"/>
            </w:tcMar>
            <w:vAlign w:val="bottom"/>
          </w:tcPr>
          <w:p w14:paraId="4D67DF03" w14:textId="77777777" w:rsidR="00D04303" w:rsidRPr="001249FF" w:rsidRDefault="00D04303" w:rsidP="00AE58C8">
            <w:pPr>
              <w:spacing w:after="0" w:line="360" w:lineRule="auto"/>
            </w:pPr>
            <w:r>
              <w:t>Travel</w:t>
            </w:r>
          </w:p>
        </w:tc>
        <w:tc>
          <w:tcPr>
            <w:tcW w:w="1260" w:type="dxa"/>
            <w:shd w:val="clear" w:color="auto" w:fill="BFBFBF" w:themeFill="background1" w:themeFillShade="BF"/>
          </w:tcPr>
          <w:p w14:paraId="24E36596" w14:textId="77777777" w:rsidR="00D04303" w:rsidRPr="001249FF" w:rsidRDefault="00D04303" w:rsidP="00AE58C8">
            <w:pPr>
              <w:spacing w:after="0" w:line="360" w:lineRule="auto"/>
            </w:pPr>
          </w:p>
        </w:tc>
        <w:tc>
          <w:tcPr>
            <w:tcW w:w="1260" w:type="dxa"/>
            <w:shd w:val="clear" w:color="auto" w:fill="BFBFBF" w:themeFill="background1" w:themeFillShade="BF"/>
            <w:noWrap/>
            <w:tcMar>
              <w:top w:w="0" w:type="dxa"/>
              <w:left w:w="108" w:type="dxa"/>
              <w:bottom w:w="0" w:type="dxa"/>
              <w:right w:w="108" w:type="dxa"/>
            </w:tcMar>
            <w:vAlign w:val="bottom"/>
          </w:tcPr>
          <w:p w14:paraId="42BCE9C2" w14:textId="77777777" w:rsidR="00D04303" w:rsidRPr="001249FF" w:rsidRDefault="00D04303" w:rsidP="00AE58C8">
            <w:pPr>
              <w:spacing w:after="0" w:line="360" w:lineRule="auto"/>
            </w:pPr>
          </w:p>
        </w:tc>
        <w:tc>
          <w:tcPr>
            <w:tcW w:w="1440" w:type="dxa"/>
            <w:shd w:val="clear" w:color="auto" w:fill="BFBFBF" w:themeFill="background1" w:themeFillShade="BF"/>
            <w:noWrap/>
            <w:tcMar>
              <w:top w:w="0" w:type="dxa"/>
              <w:left w:w="108" w:type="dxa"/>
              <w:bottom w:w="0" w:type="dxa"/>
              <w:right w:w="108" w:type="dxa"/>
            </w:tcMar>
            <w:vAlign w:val="bottom"/>
          </w:tcPr>
          <w:p w14:paraId="64608F24" w14:textId="77777777" w:rsidR="00D04303" w:rsidRPr="001249FF" w:rsidRDefault="00D04303" w:rsidP="00AE58C8">
            <w:pPr>
              <w:spacing w:after="0" w:line="360" w:lineRule="auto"/>
            </w:pPr>
          </w:p>
        </w:tc>
        <w:tc>
          <w:tcPr>
            <w:tcW w:w="1530" w:type="dxa"/>
            <w:shd w:val="clear" w:color="auto" w:fill="BFBFBF" w:themeFill="background1" w:themeFillShade="BF"/>
          </w:tcPr>
          <w:p w14:paraId="676045D9" w14:textId="77777777" w:rsidR="00D04303" w:rsidRPr="001249FF" w:rsidRDefault="00D04303" w:rsidP="00AE58C8">
            <w:pPr>
              <w:spacing w:after="0" w:line="360" w:lineRule="auto"/>
            </w:pPr>
          </w:p>
        </w:tc>
        <w:tc>
          <w:tcPr>
            <w:tcW w:w="1597" w:type="dxa"/>
            <w:vAlign w:val="center"/>
          </w:tcPr>
          <w:p w14:paraId="736473A4" w14:textId="5B15AC43" w:rsidR="00D04303" w:rsidRPr="001249FF" w:rsidRDefault="00C47404" w:rsidP="00AE58C8">
            <w:pPr>
              <w:spacing w:after="0" w:line="360" w:lineRule="auto"/>
              <w:jc w:val="center"/>
            </w:pPr>
            <w:r>
              <w:t>$</w:t>
            </w:r>
            <w:r w:rsidR="00D04303">
              <w:t>0</w:t>
            </w:r>
          </w:p>
        </w:tc>
      </w:tr>
      <w:tr w:rsidR="00D04303" w14:paraId="2239FFB5" w14:textId="77777777" w:rsidTr="00AE58C8">
        <w:trPr>
          <w:trHeight w:val="300"/>
        </w:trPr>
        <w:tc>
          <w:tcPr>
            <w:tcW w:w="2435" w:type="dxa"/>
            <w:noWrap/>
            <w:tcMar>
              <w:top w:w="0" w:type="dxa"/>
              <w:left w:w="108" w:type="dxa"/>
              <w:bottom w:w="0" w:type="dxa"/>
              <w:right w:w="108" w:type="dxa"/>
            </w:tcMar>
            <w:vAlign w:val="bottom"/>
          </w:tcPr>
          <w:p w14:paraId="180A2334" w14:textId="77777777" w:rsidR="00D04303" w:rsidRPr="00D04303" w:rsidRDefault="00D04303" w:rsidP="00AE58C8">
            <w:pPr>
              <w:spacing w:after="0" w:line="360" w:lineRule="auto"/>
            </w:pPr>
            <w:r w:rsidRPr="0000358B">
              <w:t>Other Cost</w:t>
            </w:r>
          </w:p>
        </w:tc>
        <w:tc>
          <w:tcPr>
            <w:tcW w:w="1260" w:type="dxa"/>
            <w:shd w:val="clear" w:color="auto" w:fill="BFBFBF" w:themeFill="background1" w:themeFillShade="BF"/>
          </w:tcPr>
          <w:p w14:paraId="57F544A7" w14:textId="77777777" w:rsidR="00D04303" w:rsidRPr="00D04303" w:rsidRDefault="00D04303" w:rsidP="00AE58C8">
            <w:pPr>
              <w:spacing w:after="0" w:line="360" w:lineRule="auto"/>
            </w:pPr>
          </w:p>
        </w:tc>
        <w:tc>
          <w:tcPr>
            <w:tcW w:w="1260" w:type="dxa"/>
            <w:shd w:val="clear" w:color="auto" w:fill="BFBFBF" w:themeFill="background1" w:themeFillShade="BF"/>
            <w:noWrap/>
            <w:tcMar>
              <w:top w:w="0" w:type="dxa"/>
              <w:left w:w="108" w:type="dxa"/>
              <w:bottom w:w="0" w:type="dxa"/>
              <w:right w:w="108" w:type="dxa"/>
            </w:tcMar>
            <w:vAlign w:val="bottom"/>
          </w:tcPr>
          <w:p w14:paraId="77578E6F" w14:textId="77777777" w:rsidR="00D04303" w:rsidRPr="001249FF" w:rsidRDefault="00D04303" w:rsidP="00AE58C8">
            <w:pPr>
              <w:spacing w:after="0" w:line="360" w:lineRule="auto"/>
            </w:pPr>
          </w:p>
        </w:tc>
        <w:tc>
          <w:tcPr>
            <w:tcW w:w="1440" w:type="dxa"/>
            <w:shd w:val="clear" w:color="auto" w:fill="BFBFBF" w:themeFill="background1" w:themeFillShade="BF"/>
            <w:noWrap/>
            <w:tcMar>
              <w:top w:w="0" w:type="dxa"/>
              <w:left w:w="108" w:type="dxa"/>
              <w:bottom w:w="0" w:type="dxa"/>
              <w:right w:w="108" w:type="dxa"/>
            </w:tcMar>
            <w:vAlign w:val="bottom"/>
          </w:tcPr>
          <w:p w14:paraId="75003B5F" w14:textId="77777777" w:rsidR="00D04303" w:rsidRPr="001249FF" w:rsidRDefault="00D04303" w:rsidP="00AE58C8">
            <w:pPr>
              <w:spacing w:after="0" w:line="360" w:lineRule="auto"/>
            </w:pPr>
          </w:p>
        </w:tc>
        <w:tc>
          <w:tcPr>
            <w:tcW w:w="1530" w:type="dxa"/>
            <w:shd w:val="clear" w:color="auto" w:fill="BFBFBF" w:themeFill="background1" w:themeFillShade="BF"/>
          </w:tcPr>
          <w:p w14:paraId="24F29FE1" w14:textId="77777777" w:rsidR="00D04303" w:rsidRPr="001249FF" w:rsidRDefault="00D04303" w:rsidP="00AE58C8">
            <w:pPr>
              <w:spacing w:after="0" w:line="360" w:lineRule="auto"/>
            </w:pPr>
          </w:p>
        </w:tc>
        <w:tc>
          <w:tcPr>
            <w:tcW w:w="1597" w:type="dxa"/>
            <w:vAlign w:val="center"/>
          </w:tcPr>
          <w:p w14:paraId="0AEC31AA" w14:textId="697E6858" w:rsidR="00D04303" w:rsidRPr="001249FF" w:rsidRDefault="00C47404" w:rsidP="00AE58C8">
            <w:pPr>
              <w:spacing w:after="0" w:line="360" w:lineRule="auto"/>
              <w:jc w:val="center"/>
            </w:pPr>
            <w:r>
              <w:t>$</w:t>
            </w:r>
            <w:r w:rsidR="00D04303">
              <w:t>0</w:t>
            </w:r>
          </w:p>
        </w:tc>
      </w:tr>
      <w:tr w:rsidR="00D04303" w14:paraId="2E6287B7" w14:textId="77777777" w:rsidTr="00AE58C8">
        <w:trPr>
          <w:trHeight w:val="300"/>
        </w:trPr>
        <w:tc>
          <w:tcPr>
            <w:tcW w:w="2435" w:type="dxa"/>
            <w:noWrap/>
            <w:tcMar>
              <w:top w:w="0" w:type="dxa"/>
              <w:left w:w="108" w:type="dxa"/>
              <w:bottom w:w="0" w:type="dxa"/>
              <w:right w:w="108" w:type="dxa"/>
            </w:tcMar>
            <w:vAlign w:val="bottom"/>
            <w:hideMark/>
          </w:tcPr>
          <w:p w14:paraId="26137808" w14:textId="77777777" w:rsidR="00D04303" w:rsidRPr="00D04303" w:rsidRDefault="00D04303" w:rsidP="00AE58C8">
            <w:pPr>
              <w:spacing w:after="0" w:line="360" w:lineRule="auto"/>
            </w:pPr>
            <w:r w:rsidRPr="00D04303">
              <w:t>Total</w:t>
            </w:r>
          </w:p>
        </w:tc>
        <w:tc>
          <w:tcPr>
            <w:tcW w:w="1260" w:type="dxa"/>
            <w:shd w:val="pct25" w:color="auto" w:fill="auto"/>
          </w:tcPr>
          <w:p w14:paraId="53F08400" w14:textId="77777777" w:rsidR="00D04303" w:rsidRPr="0013116C" w:rsidRDefault="00D04303" w:rsidP="00AE58C8">
            <w:pPr>
              <w:spacing w:after="0" w:line="360" w:lineRule="auto"/>
            </w:pPr>
          </w:p>
        </w:tc>
        <w:tc>
          <w:tcPr>
            <w:tcW w:w="1260" w:type="dxa"/>
            <w:shd w:val="pct25" w:color="auto" w:fill="auto"/>
            <w:noWrap/>
            <w:tcMar>
              <w:top w:w="0" w:type="dxa"/>
              <w:left w:w="108" w:type="dxa"/>
              <w:bottom w:w="0" w:type="dxa"/>
              <w:right w:w="108" w:type="dxa"/>
            </w:tcMar>
            <w:vAlign w:val="bottom"/>
            <w:hideMark/>
          </w:tcPr>
          <w:p w14:paraId="4D04DD93" w14:textId="77777777" w:rsidR="00D04303" w:rsidRPr="00D04303" w:rsidRDefault="00D04303" w:rsidP="00AE58C8">
            <w:pPr>
              <w:spacing w:after="0" w:line="360" w:lineRule="auto"/>
            </w:pPr>
          </w:p>
        </w:tc>
        <w:tc>
          <w:tcPr>
            <w:tcW w:w="1440" w:type="dxa"/>
            <w:shd w:val="pct25" w:color="auto" w:fill="auto"/>
            <w:noWrap/>
            <w:tcMar>
              <w:top w:w="0" w:type="dxa"/>
              <w:left w:w="108" w:type="dxa"/>
              <w:bottom w:w="0" w:type="dxa"/>
              <w:right w:w="108" w:type="dxa"/>
            </w:tcMar>
            <w:vAlign w:val="bottom"/>
            <w:hideMark/>
          </w:tcPr>
          <w:p w14:paraId="4EB5279E" w14:textId="77777777" w:rsidR="00D04303" w:rsidRPr="00D04303" w:rsidRDefault="00D04303" w:rsidP="00AE58C8">
            <w:pPr>
              <w:spacing w:after="0" w:line="360" w:lineRule="auto"/>
            </w:pPr>
          </w:p>
        </w:tc>
        <w:tc>
          <w:tcPr>
            <w:tcW w:w="1530" w:type="dxa"/>
            <w:shd w:val="pct25" w:color="auto" w:fill="auto"/>
          </w:tcPr>
          <w:p w14:paraId="16BDC2B9" w14:textId="77777777" w:rsidR="00D04303" w:rsidRPr="00D04303" w:rsidRDefault="00D04303" w:rsidP="00AE58C8">
            <w:pPr>
              <w:spacing w:after="0" w:line="360" w:lineRule="auto"/>
            </w:pPr>
          </w:p>
        </w:tc>
        <w:tc>
          <w:tcPr>
            <w:tcW w:w="1597" w:type="dxa"/>
            <w:vAlign w:val="center"/>
          </w:tcPr>
          <w:p w14:paraId="08E40362" w14:textId="22278304" w:rsidR="00D04303" w:rsidRPr="00D04303" w:rsidRDefault="00D04303" w:rsidP="00AE58C8">
            <w:pPr>
              <w:spacing w:after="0" w:line="360" w:lineRule="auto"/>
              <w:jc w:val="center"/>
            </w:pPr>
            <w:r w:rsidRPr="00D04303">
              <w:t>$1</w:t>
            </w:r>
            <w:r w:rsidR="00C47404">
              <w:t>8</w:t>
            </w:r>
            <w:r w:rsidRPr="00D04303">
              <w:t>,</w:t>
            </w:r>
            <w:r w:rsidR="00C47404">
              <w:t>633.80</w:t>
            </w:r>
          </w:p>
        </w:tc>
      </w:tr>
    </w:tbl>
    <w:p w14:paraId="0DDC5736" w14:textId="72CDF5EE" w:rsidR="007D4198" w:rsidRDefault="00C47404" w:rsidP="00E31790">
      <w:pPr>
        <w:rPr>
          <w:rStyle w:val="Hyperlink"/>
          <w:rFonts w:asciiTheme="minorHAnsi" w:hAnsiTheme="minorHAnsi"/>
          <w:bCs/>
          <w:szCs w:val="20"/>
          <w:lang w:eastAsia="zh-CN"/>
        </w:rPr>
      </w:pPr>
      <w:r>
        <w:t>*</w:t>
      </w:r>
      <w:r w:rsidR="007D4198">
        <w:t>*</w:t>
      </w:r>
      <w:r>
        <w:t xml:space="preserve"> </w:t>
      </w:r>
      <w:hyperlink r:id="rId13" w:history="1">
        <w:r w:rsidR="007D4198" w:rsidRPr="007D4198">
          <w:rPr>
            <w:rStyle w:val="Hyperlink"/>
            <w:rFonts w:asciiTheme="minorHAnsi" w:hAnsiTheme="minorHAnsi"/>
            <w:bCs/>
            <w:szCs w:val="20"/>
            <w:lang w:eastAsia="zh-CN"/>
          </w:rPr>
          <w:t>https://www.opm.gov/policy-data-oversight/pay-leave/salaries-wages/salary-tables/18Tables/html/DCB.aspx</w:t>
        </w:r>
      </w:hyperlink>
    </w:p>
    <w:p w14:paraId="7BF8700A" w14:textId="16B3E171" w:rsidR="00FF72FC" w:rsidRPr="00E35DD1" w:rsidRDefault="00FF72FC" w:rsidP="00E31790">
      <w:pPr>
        <w:rPr>
          <w:b/>
        </w:rPr>
      </w:pPr>
      <w:r w:rsidRPr="00E35DD1">
        <w:rPr>
          <w:b/>
        </w:rPr>
        <w:t>A.15</w:t>
      </w:r>
      <w:r w:rsidRPr="00E35DD1">
        <w:rPr>
          <w:b/>
        </w:rPr>
        <w:tab/>
        <w:t>Explanation for Program Changes or Adjustments</w:t>
      </w:r>
    </w:p>
    <w:p w14:paraId="246DD927" w14:textId="116C17A3" w:rsidR="00F52557" w:rsidRPr="00E2214D" w:rsidRDefault="001B5A3C" w:rsidP="00E2214D">
      <w:pPr>
        <w:pStyle w:val="P1-StandPara"/>
        <w:rPr>
          <w:rFonts w:asciiTheme="minorHAnsi" w:hAnsiTheme="minorHAnsi"/>
        </w:rPr>
      </w:pPr>
      <w:r w:rsidRPr="00B33A24">
        <w:rPr>
          <w:rFonts w:asciiTheme="minorHAnsi" w:eastAsia="Calibri" w:hAnsiTheme="minorHAnsi" w:cstheme="minorHAnsi"/>
          <w:szCs w:val="22"/>
        </w:rPr>
        <w:t>This is an Existing Collection in Use Without an OMB Control</w:t>
      </w:r>
      <w:r w:rsidR="00255CAC" w:rsidRPr="00B33A24">
        <w:rPr>
          <w:rFonts w:asciiTheme="minorHAnsi" w:eastAsia="Calibri" w:hAnsiTheme="minorHAnsi" w:cstheme="minorHAnsi"/>
          <w:szCs w:val="22"/>
        </w:rPr>
        <w:t xml:space="preserve"> </w:t>
      </w:r>
      <w:r w:rsidR="00B33A24">
        <w:rPr>
          <w:rFonts w:asciiTheme="minorHAnsi" w:eastAsia="Calibri" w:hAnsiTheme="minorHAnsi" w:cstheme="minorHAnsi"/>
          <w:szCs w:val="22"/>
        </w:rPr>
        <w:t>Number.</w:t>
      </w:r>
      <w:r w:rsidR="00B33A24" w:rsidRPr="00B33A24">
        <w:rPr>
          <w:rFonts w:asciiTheme="minorHAnsi" w:eastAsia="Calibri" w:hAnsiTheme="minorHAnsi" w:cstheme="minorHAnsi"/>
          <w:szCs w:val="22"/>
        </w:rPr>
        <w:t xml:space="preserve"> During a routine audit </w:t>
      </w:r>
      <w:r w:rsidR="00B33A24">
        <w:rPr>
          <w:rFonts w:asciiTheme="minorHAnsi" w:eastAsia="Calibri" w:hAnsiTheme="minorHAnsi" w:cstheme="minorHAnsi"/>
          <w:szCs w:val="22"/>
        </w:rPr>
        <w:t xml:space="preserve">by NCI, the Center for Cancer Training was made </w:t>
      </w:r>
      <w:r w:rsidR="00B33A24" w:rsidRPr="00B33A24">
        <w:rPr>
          <w:rFonts w:asciiTheme="minorHAnsi" w:eastAsia="Calibri" w:hAnsiTheme="minorHAnsi" w:cstheme="minorHAnsi"/>
          <w:szCs w:val="22"/>
        </w:rPr>
        <w:t>aware that PRA OMB Clearance was required for the collection of information</w:t>
      </w:r>
      <w:r w:rsidR="00B33A24">
        <w:rPr>
          <w:rFonts w:asciiTheme="minorHAnsi" w:eastAsia="Calibri" w:hAnsiTheme="minorHAnsi" w:cstheme="minorHAnsi"/>
          <w:szCs w:val="22"/>
        </w:rPr>
        <w:t xml:space="preserve"> and a clearance was immediately </w:t>
      </w:r>
      <w:r w:rsidR="00B33A24" w:rsidRPr="00B33A24">
        <w:rPr>
          <w:rFonts w:asciiTheme="minorHAnsi" w:eastAsia="Calibri" w:hAnsiTheme="minorHAnsi" w:cstheme="minorHAnsi"/>
          <w:szCs w:val="22"/>
        </w:rPr>
        <w:t>started</w:t>
      </w:r>
      <w:r w:rsidR="00B33A24">
        <w:rPr>
          <w:rFonts w:asciiTheme="minorHAnsi" w:hAnsiTheme="minorHAnsi"/>
        </w:rPr>
        <w:t xml:space="preserve">. </w:t>
      </w:r>
      <w:r w:rsidR="00B33A24" w:rsidRPr="00AE3623">
        <w:rPr>
          <w:rFonts w:asciiTheme="minorHAnsi" w:hAnsiTheme="minorHAnsi"/>
        </w:rPr>
        <w:t>The Future Fellows web</w:t>
      </w:r>
      <w:r w:rsidR="00B33A24" w:rsidRPr="00EC1D10">
        <w:rPr>
          <w:rFonts w:asciiTheme="minorHAnsi" w:hAnsiTheme="minorHAnsi"/>
        </w:rPr>
        <w:t xml:space="preserve">site has received approximately 825 resumes over the last five </w:t>
      </w:r>
      <w:r w:rsidR="00B33A24">
        <w:rPr>
          <w:rFonts w:asciiTheme="minorHAnsi" w:hAnsiTheme="minorHAnsi"/>
        </w:rPr>
        <w:t>y</w:t>
      </w:r>
      <w:r w:rsidR="00B33A24" w:rsidRPr="00EC1D10">
        <w:rPr>
          <w:rFonts w:asciiTheme="minorHAnsi" w:hAnsiTheme="minorHAnsi"/>
        </w:rPr>
        <w:t>ears</w:t>
      </w:r>
      <w:r w:rsidR="00E2214D">
        <w:rPr>
          <w:rFonts w:asciiTheme="minorHAnsi" w:hAnsiTheme="minorHAnsi"/>
        </w:rPr>
        <w:t xml:space="preserve">.  The </w:t>
      </w:r>
      <w:r w:rsidR="00B33A24">
        <w:rPr>
          <w:rFonts w:asciiTheme="minorHAnsi" w:hAnsiTheme="minorHAnsi"/>
        </w:rPr>
        <w:t>website stopped collecting in</w:t>
      </w:r>
      <w:r w:rsidR="00E2214D">
        <w:rPr>
          <w:rFonts w:asciiTheme="minorHAnsi" w:hAnsiTheme="minorHAnsi"/>
        </w:rPr>
        <w:t>formation once CCT was notified OMB clearance was needed.</w:t>
      </w:r>
      <w:r w:rsidR="00A86220" w:rsidRPr="008942E9">
        <w:rPr>
          <w:color w:val="000000"/>
        </w:rPr>
        <w:t>                                                                               </w:t>
      </w:r>
      <w:bookmarkStart w:id="25" w:name="_Toc443881759"/>
      <w:bookmarkStart w:id="26" w:name="_Toc451592246"/>
      <w:bookmarkStart w:id="27" w:name="_Toc5610287"/>
      <w:bookmarkStart w:id="28" w:name="_Toc99178793"/>
    </w:p>
    <w:p w14:paraId="2530637E" w14:textId="77777777" w:rsidR="00FF72FC" w:rsidRPr="008942E9" w:rsidRDefault="00FF72FC" w:rsidP="0000477C">
      <w:pPr>
        <w:pStyle w:val="Heading2"/>
        <w:tabs>
          <w:tab w:val="clear" w:pos="1152"/>
          <w:tab w:val="left" w:pos="720"/>
        </w:tabs>
        <w:spacing w:after="0" w:line="480" w:lineRule="auto"/>
        <w:ind w:left="0"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bookmarkEnd w:id="25"/>
      <w:bookmarkEnd w:id="26"/>
      <w:bookmarkEnd w:id="27"/>
      <w:bookmarkEnd w:id="28"/>
    </w:p>
    <w:p w14:paraId="4C65A6B3" w14:textId="05ABC188" w:rsidR="00FF72FC" w:rsidRPr="00E35DD1" w:rsidRDefault="001B5A3C" w:rsidP="00AD182B">
      <w:pPr>
        <w:spacing w:after="0" w:line="480" w:lineRule="auto"/>
        <w:ind w:firstLine="720"/>
      </w:pPr>
      <w:r w:rsidRPr="001B5A3C">
        <w:t xml:space="preserve">There are no plans for tabulation since this is an application.  </w:t>
      </w:r>
      <w:r w:rsidR="00BB7BC1">
        <w:t>Since this project has already been completed</w:t>
      </w:r>
      <w:r w:rsidR="00255CAC">
        <w:t xml:space="preserve">.  When OMB review is complete and approved, the website will be reinstated and </w:t>
      </w:r>
      <w:r w:rsidR="007B0692">
        <w:t xml:space="preserve">begin </w:t>
      </w:r>
      <w:r w:rsidR="00255CAC">
        <w:t>collect</w:t>
      </w:r>
      <w:r w:rsidR="007B0692">
        <w:t xml:space="preserve">ing resumes and </w:t>
      </w:r>
      <w:r w:rsidR="00255CAC">
        <w:t>information</w:t>
      </w:r>
      <w:r w:rsidR="00BB7BC1">
        <w:t>.</w:t>
      </w:r>
    </w:p>
    <w:p w14:paraId="35213CFB" w14:textId="77777777" w:rsidR="00FF72FC" w:rsidRPr="00255CAC" w:rsidRDefault="00FF72FC" w:rsidP="00BB7BC1">
      <w:pPr>
        <w:spacing w:after="0" w:line="480" w:lineRule="auto"/>
        <w:rPr>
          <w:b/>
        </w:rPr>
      </w:pPr>
      <w:r w:rsidRPr="00255CAC">
        <w:rPr>
          <w:b/>
        </w:rPr>
        <w:t>A.17</w:t>
      </w:r>
      <w:r w:rsidRPr="00255CAC">
        <w:rPr>
          <w:b/>
        </w:rPr>
        <w:tab/>
        <w:t>Reason(s) Display of OMB Expiration Date is Inappropriate</w:t>
      </w:r>
    </w:p>
    <w:p w14:paraId="572D4BDD" w14:textId="77777777" w:rsidR="001B5A3C" w:rsidRDefault="001B5A3C" w:rsidP="00BB7BC1">
      <w:pPr>
        <w:spacing w:after="0" w:line="480" w:lineRule="auto"/>
        <w:ind w:firstLine="720"/>
      </w:pPr>
      <w:r w:rsidRPr="001B5A3C">
        <w:t xml:space="preserve">There is no request for exemption from displaying the expiration date for OMB approval </w:t>
      </w:r>
    </w:p>
    <w:p w14:paraId="7C2914F2" w14:textId="1C48A1B9" w:rsidR="00BB7BC1" w:rsidRPr="00255CAC" w:rsidRDefault="00FF72FC" w:rsidP="00BB7BC1">
      <w:pPr>
        <w:spacing w:after="0" w:line="480" w:lineRule="auto"/>
        <w:rPr>
          <w:b/>
        </w:rPr>
      </w:pPr>
      <w:r w:rsidRPr="00255CAC">
        <w:rPr>
          <w:b/>
        </w:rPr>
        <w:t>A.18</w:t>
      </w:r>
      <w:r w:rsidRPr="00255CAC">
        <w:rPr>
          <w:b/>
        </w:rPr>
        <w:tab/>
        <w:t>Exceptions to Certification for Paperwork Reduction Act Submissions</w:t>
      </w:r>
    </w:p>
    <w:p w14:paraId="718B32B7" w14:textId="21159479" w:rsidR="009A69D6" w:rsidRPr="0012690E" w:rsidRDefault="001B5A3C" w:rsidP="0012690E">
      <w:pPr>
        <w:spacing w:after="0" w:line="480" w:lineRule="auto"/>
        <w:ind w:firstLine="720"/>
      </w:pPr>
      <w:r w:rsidRPr="001B5A3C">
        <w:t>There are no exceptions to the Certification for Paperwork Reduction Act Submissions.</w:t>
      </w:r>
    </w:p>
    <w:sectPr w:rsidR="009A69D6" w:rsidRPr="0012690E" w:rsidSect="0000477C">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AFB22" w14:textId="77777777" w:rsidR="007723C2" w:rsidRDefault="007723C2">
      <w:pPr>
        <w:spacing w:after="0" w:line="240" w:lineRule="auto"/>
      </w:pPr>
      <w:r>
        <w:separator/>
      </w:r>
    </w:p>
  </w:endnote>
  <w:endnote w:type="continuationSeparator" w:id="0">
    <w:p w14:paraId="2CA3B98F" w14:textId="77777777" w:rsidR="007723C2" w:rsidRDefault="0077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06C2D" w14:textId="77777777"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92FBAD" w14:textId="77777777" w:rsidR="009667B2" w:rsidRDefault="009667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E52AF" w14:textId="7DF07DF1" w:rsidR="009667B2" w:rsidRDefault="00E35DD1"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3F30">
      <w:rPr>
        <w:rStyle w:val="PageNumber"/>
        <w:noProof/>
      </w:rPr>
      <w:t>ii</w:t>
    </w:r>
    <w:r>
      <w:rPr>
        <w:rStyle w:val="PageNumber"/>
      </w:rPr>
      <w:fldChar w:fldCharType="end"/>
    </w:r>
  </w:p>
  <w:p w14:paraId="2E06CF2E" w14:textId="77777777" w:rsidR="009667B2" w:rsidRDefault="009667B2" w:rsidP="009667B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6FD37" w14:textId="77777777" w:rsidR="007723C2" w:rsidRDefault="007723C2">
      <w:pPr>
        <w:spacing w:after="0" w:line="240" w:lineRule="auto"/>
      </w:pPr>
      <w:r>
        <w:separator/>
      </w:r>
    </w:p>
  </w:footnote>
  <w:footnote w:type="continuationSeparator" w:id="0">
    <w:p w14:paraId="205E565A" w14:textId="77777777" w:rsidR="007723C2" w:rsidRDefault="007723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4310"/>
    <w:multiLevelType w:val="hybridMultilevel"/>
    <w:tmpl w:val="DFE8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B72A2"/>
    <w:multiLevelType w:val="hybridMultilevel"/>
    <w:tmpl w:val="93BC135C"/>
    <w:lvl w:ilvl="0" w:tplc="BC465FF4">
      <w:start w:val="1"/>
      <w:numFmt w:val="decimal"/>
      <w:lvlText w:val="(%1)"/>
      <w:lvlJc w:val="left"/>
      <w:pPr>
        <w:ind w:left="720" w:hanging="360"/>
      </w:pPr>
      <w:rPr>
        <w:color w:val="4472C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517E3"/>
    <w:multiLevelType w:val="hybridMultilevel"/>
    <w:tmpl w:val="06B8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1"/>
  </w:num>
  <w:num w:numId="4">
    <w:abstractNumId w:val="2"/>
  </w:num>
  <w:num w:numId="5">
    <w:abstractNumId w:val="6"/>
  </w:num>
  <w:num w:numId="6">
    <w:abstractNumId w:val="5"/>
  </w:num>
  <w:num w:numId="7">
    <w:abstractNumId w:val="8"/>
  </w:num>
  <w:num w:numId="8">
    <w:abstractNumId w:val="10"/>
  </w:num>
  <w:num w:numId="9">
    <w:abstractNumId w:val="9"/>
  </w:num>
  <w:num w:numId="10">
    <w:abstractNumId w:val="12"/>
  </w:num>
  <w:num w:numId="11">
    <w:abstractNumId w:val="3"/>
  </w:num>
  <w:num w:numId="12">
    <w:abstractNumId w:val="0"/>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rovitch-Kelley, Vivian (NIH/NCI) [E]">
    <w15:presenceInfo w15:providerId="Windows Live" w15:userId="ceb4be5a-1b77-450a-90d4-d437397b8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QzMLQwNza3NLEwNTNT0lEKTi0uzszPAykwrAUAj1rwciwAAAA="/>
  </w:docVars>
  <w:rsids>
    <w:rsidRoot w:val="000F3043"/>
    <w:rsid w:val="0000477C"/>
    <w:rsid w:val="00024899"/>
    <w:rsid w:val="00041A21"/>
    <w:rsid w:val="00051406"/>
    <w:rsid w:val="000547B1"/>
    <w:rsid w:val="00054C87"/>
    <w:rsid w:val="000B79A6"/>
    <w:rsid w:val="000C483F"/>
    <w:rsid w:val="000F3043"/>
    <w:rsid w:val="00102896"/>
    <w:rsid w:val="00105FDB"/>
    <w:rsid w:val="001078B6"/>
    <w:rsid w:val="00115FFC"/>
    <w:rsid w:val="001173A8"/>
    <w:rsid w:val="00120D59"/>
    <w:rsid w:val="0012690E"/>
    <w:rsid w:val="00147F01"/>
    <w:rsid w:val="0016580F"/>
    <w:rsid w:val="00170EC9"/>
    <w:rsid w:val="00190E4A"/>
    <w:rsid w:val="001B5A3C"/>
    <w:rsid w:val="001C35E7"/>
    <w:rsid w:val="001E3218"/>
    <w:rsid w:val="001F0269"/>
    <w:rsid w:val="001F22A8"/>
    <w:rsid w:val="001F60E7"/>
    <w:rsid w:val="00245089"/>
    <w:rsid w:val="00255CAC"/>
    <w:rsid w:val="00255F7C"/>
    <w:rsid w:val="002670CD"/>
    <w:rsid w:val="002A044E"/>
    <w:rsid w:val="002F4317"/>
    <w:rsid w:val="0030270C"/>
    <w:rsid w:val="00312856"/>
    <w:rsid w:val="0031551B"/>
    <w:rsid w:val="00321F5F"/>
    <w:rsid w:val="00322603"/>
    <w:rsid w:val="00343F30"/>
    <w:rsid w:val="0036208F"/>
    <w:rsid w:val="00372900"/>
    <w:rsid w:val="003B1F8A"/>
    <w:rsid w:val="003E5C04"/>
    <w:rsid w:val="00452046"/>
    <w:rsid w:val="004716CF"/>
    <w:rsid w:val="00477B6F"/>
    <w:rsid w:val="00480B8B"/>
    <w:rsid w:val="00486AC8"/>
    <w:rsid w:val="00491D98"/>
    <w:rsid w:val="00497B81"/>
    <w:rsid w:val="004B2D22"/>
    <w:rsid w:val="004D03A9"/>
    <w:rsid w:val="004D1C8A"/>
    <w:rsid w:val="004E434B"/>
    <w:rsid w:val="004E465F"/>
    <w:rsid w:val="004E7F62"/>
    <w:rsid w:val="004F7A19"/>
    <w:rsid w:val="005150E7"/>
    <w:rsid w:val="005267A4"/>
    <w:rsid w:val="005410EA"/>
    <w:rsid w:val="005B5359"/>
    <w:rsid w:val="005B707E"/>
    <w:rsid w:val="005C1E57"/>
    <w:rsid w:val="005E2422"/>
    <w:rsid w:val="005F4A54"/>
    <w:rsid w:val="00603CB2"/>
    <w:rsid w:val="006101E5"/>
    <w:rsid w:val="00615921"/>
    <w:rsid w:val="00622D56"/>
    <w:rsid w:val="006333C6"/>
    <w:rsid w:val="00643D2B"/>
    <w:rsid w:val="00667F87"/>
    <w:rsid w:val="006760FD"/>
    <w:rsid w:val="006825BB"/>
    <w:rsid w:val="006838EC"/>
    <w:rsid w:val="00685B30"/>
    <w:rsid w:val="0069709F"/>
    <w:rsid w:val="006A45F9"/>
    <w:rsid w:val="006D0777"/>
    <w:rsid w:val="006D5583"/>
    <w:rsid w:val="006D65CD"/>
    <w:rsid w:val="007063F8"/>
    <w:rsid w:val="00717158"/>
    <w:rsid w:val="007240B5"/>
    <w:rsid w:val="007314AA"/>
    <w:rsid w:val="007602E8"/>
    <w:rsid w:val="00761396"/>
    <w:rsid w:val="00762305"/>
    <w:rsid w:val="0076697F"/>
    <w:rsid w:val="00767C53"/>
    <w:rsid w:val="007723C2"/>
    <w:rsid w:val="007B0692"/>
    <w:rsid w:val="007B380A"/>
    <w:rsid w:val="007D11BF"/>
    <w:rsid w:val="007D4198"/>
    <w:rsid w:val="007E0F97"/>
    <w:rsid w:val="00801DD0"/>
    <w:rsid w:val="0082222C"/>
    <w:rsid w:val="00824D7E"/>
    <w:rsid w:val="0082562D"/>
    <w:rsid w:val="008359FA"/>
    <w:rsid w:val="008365AA"/>
    <w:rsid w:val="0084561D"/>
    <w:rsid w:val="00853573"/>
    <w:rsid w:val="0086248B"/>
    <w:rsid w:val="00862AA6"/>
    <w:rsid w:val="00863149"/>
    <w:rsid w:val="008942E9"/>
    <w:rsid w:val="00894FF4"/>
    <w:rsid w:val="00896F1E"/>
    <w:rsid w:val="008D16E5"/>
    <w:rsid w:val="008D56C9"/>
    <w:rsid w:val="008F1D26"/>
    <w:rsid w:val="008F3C50"/>
    <w:rsid w:val="008F3D4A"/>
    <w:rsid w:val="00903553"/>
    <w:rsid w:val="00932A20"/>
    <w:rsid w:val="00935150"/>
    <w:rsid w:val="00941822"/>
    <w:rsid w:val="009667B2"/>
    <w:rsid w:val="00975E12"/>
    <w:rsid w:val="009810A0"/>
    <w:rsid w:val="009A69D6"/>
    <w:rsid w:val="009B0EA4"/>
    <w:rsid w:val="009C0287"/>
    <w:rsid w:val="009C1F28"/>
    <w:rsid w:val="009C3E9D"/>
    <w:rsid w:val="009C6DC2"/>
    <w:rsid w:val="009D6762"/>
    <w:rsid w:val="009F00B2"/>
    <w:rsid w:val="009F3DB0"/>
    <w:rsid w:val="009F4FBB"/>
    <w:rsid w:val="00A00CF8"/>
    <w:rsid w:val="00A022FB"/>
    <w:rsid w:val="00A106C2"/>
    <w:rsid w:val="00A255A6"/>
    <w:rsid w:val="00A27354"/>
    <w:rsid w:val="00A32C8B"/>
    <w:rsid w:val="00A33624"/>
    <w:rsid w:val="00A4489F"/>
    <w:rsid w:val="00A74BE6"/>
    <w:rsid w:val="00A86220"/>
    <w:rsid w:val="00A973C9"/>
    <w:rsid w:val="00AA32B4"/>
    <w:rsid w:val="00AB5D88"/>
    <w:rsid w:val="00AC5E11"/>
    <w:rsid w:val="00AD182B"/>
    <w:rsid w:val="00AD4EF2"/>
    <w:rsid w:val="00AE3623"/>
    <w:rsid w:val="00AE58C8"/>
    <w:rsid w:val="00AE6A8C"/>
    <w:rsid w:val="00B00EB3"/>
    <w:rsid w:val="00B03736"/>
    <w:rsid w:val="00B33A24"/>
    <w:rsid w:val="00B51624"/>
    <w:rsid w:val="00B5539C"/>
    <w:rsid w:val="00B567CC"/>
    <w:rsid w:val="00B61623"/>
    <w:rsid w:val="00B975DF"/>
    <w:rsid w:val="00BA4DCF"/>
    <w:rsid w:val="00BA53DB"/>
    <w:rsid w:val="00BB7BC1"/>
    <w:rsid w:val="00BC206C"/>
    <w:rsid w:val="00BE5EFA"/>
    <w:rsid w:val="00BE76A7"/>
    <w:rsid w:val="00BF0B29"/>
    <w:rsid w:val="00BF0C39"/>
    <w:rsid w:val="00BF491C"/>
    <w:rsid w:val="00C1701E"/>
    <w:rsid w:val="00C37E21"/>
    <w:rsid w:val="00C47404"/>
    <w:rsid w:val="00C63E2B"/>
    <w:rsid w:val="00CA65C1"/>
    <w:rsid w:val="00CA6706"/>
    <w:rsid w:val="00CC3C71"/>
    <w:rsid w:val="00CC5FFB"/>
    <w:rsid w:val="00D04303"/>
    <w:rsid w:val="00D071A5"/>
    <w:rsid w:val="00D233BF"/>
    <w:rsid w:val="00D307FF"/>
    <w:rsid w:val="00D34BE5"/>
    <w:rsid w:val="00D43186"/>
    <w:rsid w:val="00D60270"/>
    <w:rsid w:val="00D70447"/>
    <w:rsid w:val="00D7280E"/>
    <w:rsid w:val="00D72965"/>
    <w:rsid w:val="00D9764F"/>
    <w:rsid w:val="00DB1217"/>
    <w:rsid w:val="00DD5DF1"/>
    <w:rsid w:val="00DE2956"/>
    <w:rsid w:val="00DE5570"/>
    <w:rsid w:val="00DF5319"/>
    <w:rsid w:val="00E03967"/>
    <w:rsid w:val="00E10ACB"/>
    <w:rsid w:val="00E2214D"/>
    <w:rsid w:val="00E23F18"/>
    <w:rsid w:val="00E26338"/>
    <w:rsid w:val="00E31790"/>
    <w:rsid w:val="00E35DD1"/>
    <w:rsid w:val="00E364F9"/>
    <w:rsid w:val="00E56374"/>
    <w:rsid w:val="00E67B10"/>
    <w:rsid w:val="00E72390"/>
    <w:rsid w:val="00EA4992"/>
    <w:rsid w:val="00EC1D10"/>
    <w:rsid w:val="00EC5FC7"/>
    <w:rsid w:val="00EE245F"/>
    <w:rsid w:val="00EE76B7"/>
    <w:rsid w:val="00EE76F2"/>
    <w:rsid w:val="00EF7F62"/>
    <w:rsid w:val="00F0339D"/>
    <w:rsid w:val="00F113B1"/>
    <w:rsid w:val="00F146C0"/>
    <w:rsid w:val="00F33485"/>
    <w:rsid w:val="00F45EBC"/>
    <w:rsid w:val="00F52557"/>
    <w:rsid w:val="00F625DD"/>
    <w:rsid w:val="00F97EA0"/>
    <w:rsid w:val="00FA496A"/>
    <w:rsid w:val="00FA72E3"/>
    <w:rsid w:val="00FB346E"/>
    <w:rsid w:val="00FC6477"/>
    <w:rsid w:val="00FE6EA5"/>
    <w:rsid w:val="00FE7687"/>
    <w:rsid w:val="00FF70F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B2D22"/>
    <w:rPr>
      <w:color w:val="808080"/>
      <w:shd w:val="clear" w:color="auto" w:fill="E6E6E6"/>
    </w:rPr>
  </w:style>
  <w:style w:type="character" w:styleId="CommentReference">
    <w:name w:val="annotation reference"/>
    <w:basedOn w:val="DefaultParagraphFont"/>
    <w:uiPriority w:val="99"/>
    <w:semiHidden/>
    <w:unhideWhenUsed/>
    <w:rsid w:val="004D1C8A"/>
    <w:rPr>
      <w:sz w:val="16"/>
      <w:szCs w:val="16"/>
    </w:rPr>
  </w:style>
  <w:style w:type="paragraph" w:styleId="CommentText">
    <w:name w:val="annotation text"/>
    <w:basedOn w:val="Normal"/>
    <w:link w:val="CommentTextChar"/>
    <w:uiPriority w:val="99"/>
    <w:semiHidden/>
    <w:unhideWhenUsed/>
    <w:rsid w:val="004D1C8A"/>
    <w:pPr>
      <w:spacing w:line="240" w:lineRule="auto"/>
    </w:pPr>
    <w:rPr>
      <w:sz w:val="20"/>
      <w:szCs w:val="20"/>
    </w:rPr>
  </w:style>
  <w:style w:type="character" w:customStyle="1" w:styleId="CommentTextChar">
    <w:name w:val="Comment Text Char"/>
    <w:basedOn w:val="DefaultParagraphFont"/>
    <w:link w:val="CommentText"/>
    <w:uiPriority w:val="99"/>
    <w:semiHidden/>
    <w:rsid w:val="004D1C8A"/>
  </w:style>
  <w:style w:type="paragraph" w:styleId="CommentSubject">
    <w:name w:val="annotation subject"/>
    <w:basedOn w:val="CommentText"/>
    <w:next w:val="CommentText"/>
    <w:link w:val="CommentSubjectChar"/>
    <w:uiPriority w:val="99"/>
    <w:semiHidden/>
    <w:unhideWhenUsed/>
    <w:rsid w:val="004D1C8A"/>
    <w:rPr>
      <w:b/>
      <w:bCs/>
    </w:rPr>
  </w:style>
  <w:style w:type="character" w:customStyle="1" w:styleId="CommentSubjectChar">
    <w:name w:val="Comment Subject Char"/>
    <w:basedOn w:val="CommentTextChar"/>
    <w:link w:val="CommentSubject"/>
    <w:uiPriority w:val="99"/>
    <w:semiHidden/>
    <w:rsid w:val="004D1C8A"/>
    <w:rPr>
      <w:b/>
      <w:bCs/>
    </w:rPr>
  </w:style>
  <w:style w:type="character" w:styleId="FollowedHyperlink">
    <w:name w:val="FollowedHyperlink"/>
    <w:basedOn w:val="DefaultParagraphFont"/>
    <w:uiPriority w:val="99"/>
    <w:semiHidden/>
    <w:unhideWhenUsed/>
    <w:rsid w:val="00D307FF"/>
    <w:rPr>
      <w:color w:val="800080" w:themeColor="followedHyperlink"/>
      <w:u w:val="single"/>
    </w:rPr>
  </w:style>
  <w:style w:type="paragraph" w:styleId="Header">
    <w:name w:val="header"/>
    <w:basedOn w:val="Normal"/>
    <w:link w:val="HeaderChar"/>
    <w:uiPriority w:val="99"/>
    <w:unhideWhenUsed/>
    <w:rsid w:val="001F0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269"/>
    <w:rPr>
      <w:sz w:val="22"/>
      <w:szCs w:val="22"/>
    </w:rPr>
  </w:style>
  <w:style w:type="paragraph" w:styleId="Revision">
    <w:name w:val="Revision"/>
    <w:hidden/>
    <w:uiPriority w:val="99"/>
    <w:semiHidden/>
    <w:rsid w:val="00BB7BC1"/>
    <w:rPr>
      <w:sz w:val="22"/>
      <w:szCs w:val="22"/>
    </w:rPr>
  </w:style>
  <w:style w:type="paragraph" w:styleId="NormalWeb">
    <w:name w:val="Normal (Web)"/>
    <w:basedOn w:val="Normal"/>
    <w:uiPriority w:val="99"/>
    <w:rsid w:val="007B380A"/>
    <w:pPr>
      <w:spacing w:before="100" w:beforeAutospacing="1" w:after="100" w:afterAutospacing="1" w:line="240" w:lineRule="auto"/>
    </w:pPr>
    <w:rPr>
      <w:rFonts w:ascii="Times New Roman" w:eastAsia="MS Mincho" w:hAnsi="Times New Roman"/>
      <w:sz w:val="24"/>
      <w:szCs w:val="24"/>
      <w:lang w:eastAsia="ja-JP"/>
    </w:rPr>
  </w:style>
  <w:style w:type="paragraph" w:styleId="TOC2">
    <w:name w:val="toc 2"/>
    <w:basedOn w:val="Normal"/>
    <w:next w:val="Normal"/>
    <w:autoRedefine/>
    <w:uiPriority w:val="39"/>
    <w:unhideWhenUsed/>
    <w:rsid w:val="00975E1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B2D22"/>
    <w:rPr>
      <w:color w:val="808080"/>
      <w:shd w:val="clear" w:color="auto" w:fill="E6E6E6"/>
    </w:rPr>
  </w:style>
  <w:style w:type="character" w:styleId="CommentReference">
    <w:name w:val="annotation reference"/>
    <w:basedOn w:val="DefaultParagraphFont"/>
    <w:uiPriority w:val="99"/>
    <w:semiHidden/>
    <w:unhideWhenUsed/>
    <w:rsid w:val="004D1C8A"/>
    <w:rPr>
      <w:sz w:val="16"/>
      <w:szCs w:val="16"/>
    </w:rPr>
  </w:style>
  <w:style w:type="paragraph" w:styleId="CommentText">
    <w:name w:val="annotation text"/>
    <w:basedOn w:val="Normal"/>
    <w:link w:val="CommentTextChar"/>
    <w:uiPriority w:val="99"/>
    <w:semiHidden/>
    <w:unhideWhenUsed/>
    <w:rsid w:val="004D1C8A"/>
    <w:pPr>
      <w:spacing w:line="240" w:lineRule="auto"/>
    </w:pPr>
    <w:rPr>
      <w:sz w:val="20"/>
      <w:szCs w:val="20"/>
    </w:rPr>
  </w:style>
  <w:style w:type="character" w:customStyle="1" w:styleId="CommentTextChar">
    <w:name w:val="Comment Text Char"/>
    <w:basedOn w:val="DefaultParagraphFont"/>
    <w:link w:val="CommentText"/>
    <w:uiPriority w:val="99"/>
    <w:semiHidden/>
    <w:rsid w:val="004D1C8A"/>
  </w:style>
  <w:style w:type="paragraph" w:styleId="CommentSubject">
    <w:name w:val="annotation subject"/>
    <w:basedOn w:val="CommentText"/>
    <w:next w:val="CommentText"/>
    <w:link w:val="CommentSubjectChar"/>
    <w:uiPriority w:val="99"/>
    <w:semiHidden/>
    <w:unhideWhenUsed/>
    <w:rsid w:val="004D1C8A"/>
    <w:rPr>
      <w:b/>
      <w:bCs/>
    </w:rPr>
  </w:style>
  <w:style w:type="character" w:customStyle="1" w:styleId="CommentSubjectChar">
    <w:name w:val="Comment Subject Char"/>
    <w:basedOn w:val="CommentTextChar"/>
    <w:link w:val="CommentSubject"/>
    <w:uiPriority w:val="99"/>
    <w:semiHidden/>
    <w:rsid w:val="004D1C8A"/>
    <w:rPr>
      <w:b/>
      <w:bCs/>
    </w:rPr>
  </w:style>
  <w:style w:type="character" w:styleId="FollowedHyperlink">
    <w:name w:val="FollowedHyperlink"/>
    <w:basedOn w:val="DefaultParagraphFont"/>
    <w:uiPriority w:val="99"/>
    <w:semiHidden/>
    <w:unhideWhenUsed/>
    <w:rsid w:val="00D307FF"/>
    <w:rPr>
      <w:color w:val="800080" w:themeColor="followedHyperlink"/>
      <w:u w:val="single"/>
    </w:rPr>
  </w:style>
  <w:style w:type="paragraph" w:styleId="Header">
    <w:name w:val="header"/>
    <w:basedOn w:val="Normal"/>
    <w:link w:val="HeaderChar"/>
    <w:uiPriority w:val="99"/>
    <w:unhideWhenUsed/>
    <w:rsid w:val="001F0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269"/>
    <w:rPr>
      <w:sz w:val="22"/>
      <w:szCs w:val="22"/>
    </w:rPr>
  </w:style>
  <w:style w:type="paragraph" w:styleId="Revision">
    <w:name w:val="Revision"/>
    <w:hidden/>
    <w:uiPriority w:val="99"/>
    <w:semiHidden/>
    <w:rsid w:val="00BB7BC1"/>
    <w:rPr>
      <w:sz w:val="22"/>
      <w:szCs w:val="22"/>
    </w:rPr>
  </w:style>
  <w:style w:type="paragraph" w:styleId="NormalWeb">
    <w:name w:val="Normal (Web)"/>
    <w:basedOn w:val="Normal"/>
    <w:uiPriority w:val="99"/>
    <w:rsid w:val="007B380A"/>
    <w:pPr>
      <w:spacing w:before="100" w:beforeAutospacing="1" w:after="100" w:afterAutospacing="1" w:line="240" w:lineRule="auto"/>
    </w:pPr>
    <w:rPr>
      <w:rFonts w:ascii="Times New Roman" w:eastAsia="MS Mincho" w:hAnsi="Times New Roman"/>
      <w:sz w:val="24"/>
      <w:szCs w:val="24"/>
      <w:lang w:eastAsia="ja-JP"/>
    </w:rPr>
  </w:style>
  <w:style w:type="paragraph" w:styleId="TOC2">
    <w:name w:val="toc 2"/>
    <w:basedOn w:val="Normal"/>
    <w:next w:val="Normal"/>
    <w:autoRedefine/>
    <w:uiPriority w:val="39"/>
    <w:unhideWhenUsed/>
    <w:rsid w:val="00975E1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761">
      <w:bodyDiv w:val="1"/>
      <w:marLeft w:val="0"/>
      <w:marRight w:val="0"/>
      <w:marTop w:val="0"/>
      <w:marBottom w:val="0"/>
      <w:divBdr>
        <w:top w:val="none" w:sz="0" w:space="0" w:color="auto"/>
        <w:left w:val="none" w:sz="0" w:space="0" w:color="auto"/>
        <w:bottom w:val="none" w:sz="0" w:space="0" w:color="auto"/>
        <w:right w:val="none" w:sz="0" w:space="0" w:color="auto"/>
      </w:divBdr>
    </w:div>
    <w:div w:id="330646907">
      <w:bodyDiv w:val="1"/>
      <w:marLeft w:val="0"/>
      <w:marRight w:val="0"/>
      <w:marTop w:val="0"/>
      <w:marBottom w:val="0"/>
      <w:divBdr>
        <w:top w:val="none" w:sz="0" w:space="0" w:color="auto"/>
        <w:left w:val="none" w:sz="0" w:space="0" w:color="auto"/>
        <w:bottom w:val="none" w:sz="0" w:space="0" w:color="auto"/>
        <w:right w:val="none" w:sz="0" w:space="0" w:color="auto"/>
      </w:divBdr>
    </w:div>
    <w:div w:id="576019932">
      <w:bodyDiv w:val="1"/>
      <w:marLeft w:val="0"/>
      <w:marRight w:val="0"/>
      <w:marTop w:val="0"/>
      <w:marBottom w:val="0"/>
      <w:divBdr>
        <w:top w:val="none" w:sz="0" w:space="0" w:color="auto"/>
        <w:left w:val="none" w:sz="0" w:space="0" w:color="auto"/>
        <w:bottom w:val="none" w:sz="0" w:space="0" w:color="auto"/>
        <w:right w:val="none" w:sz="0" w:space="0" w:color="auto"/>
      </w:divBdr>
    </w:div>
    <w:div w:id="961226707">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18Tables/html/DCB.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ancer.gov/grants-training/training/at-nci/crta/crta.pdf"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onesangel@mail.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16415</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SYSTEM</cp:lastModifiedBy>
  <cp:revision>2</cp:revision>
  <dcterms:created xsi:type="dcterms:W3CDTF">2018-12-20T20:09:00Z</dcterms:created>
  <dcterms:modified xsi:type="dcterms:W3CDTF">2018-12-20T20:09:00Z</dcterms:modified>
</cp:coreProperties>
</file>