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0989" w14:textId="77777777" w:rsidR="009218EE" w:rsidRDefault="009218EE" w:rsidP="009218EE">
      <w:pPr>
        <w:ind w:left="1440" w:hanging="1440"/>
        <w:jc w:val="center"/>
        <w:outlineLvl w:val="0"/>
        <w:rPr>
          <w:b/>
        </w:rPr>
      </w:pPr>
      <w:bookmarkStart w:id="0" w:name="_GoBack"/>
      <w:bookmarkEnd w:id="0"/>
    </w:p>
    <w:p w14:paraId="39A5098A" w14:textId="77777777" w:rsidR="009218EE" w:rsidRDefault="009218EE" w:rsidP="009218EE">
      <w:pPr>
        <w:ind w:left="1440" w:hanging="1440"/>
        <w:jc w:val="center"/>
        <w:outlineLvl w:val="0"/>
        <w:rPr>
          <w:b/>
        </w:rPr>
      </w:pPr>
    </w:p>
    <w:p w14:paraId="39A5098B" w14:textId="77777777" w:rsidR="009218EE" w:rsidRDefault="009218EE" w:rsidP="009218EE">
      <w:pPr>
        <w:ind w:left="1440" w:hanging="1440"/>
        <w:jc w:val="center"/>
        <w:outlineLvl w:val="0"/>
        <w:rPr>
          <w:b/>
        </w:rPr>
      </w:pPr>
    </w:p>
    <w:p w14:paraId="39A5098C" w14:textId="77777777" w:rsidR="009218EE" w:rsidRDefault="009218EE" w:rsidP="009218EE">
      <w:pPr>
        <w:ind w:left="1440" w:hanging="1440"/>
        <w:jc w:val="center"/>
        <w:outlineLvl w:val="0"/>
        <w:rPr>
          <w:b/>
        </w:rPr>
      </w:pPr>
    </w:p>
    <w:p w14:paraId="39A5098D" w14:textId="77777777" w:rsidR="009218EE" w:rsidRDefault="009218EE" w:rsidP="009218EE">
      <w:pPr>
        <w:ind w:left="1440" w:hanging="1440"/>
        <w:jc w:val="center"/>
        <w:outlineLvl w:val="0"/>
        <w:rPr>
          <w:b/>
        </w:rPr>
      </w:pPr>
    </w:p>
    <w:p w14:paraId="39A5098E" w14:textId="77777777" w:rsidR="009218EE" w:rsidRDefault="009218EE" w:rsidP="009218EE">
      <w:pPr>
        <w:ind w:left="1440" w:hanging="1440"/>
        <w:jc w:val="center"/>
        <w:outlineLvl w:val="0"/>
        <w:rPr>
          <w:b/>
        </w:rPr>
      </w:pPr>
    </w:p>
    <w:p w14:paraId="39A5098F" w14:textId="77777777" w:rsidR="009218EE" w:rsidRDefault="009218EE" w:rsidP="009218EE">
      <w:pPr>
        <w:ind w:left="1440" w:hanging="1440"/>
        <w:jc w:val="center"/>
        <w:outlineLvl w:val="0"/>
        <w:rPr>
          <w:b/>
        </w:rPr>
      </w:pPr>
    </w:p>
    <w:p w14:paraId="39A50990" w14:textId="77777777" w:rsidR="009218EE" w:rsidRDefault="009218EE" w:rsidP="009218EE">
      <w:pPr>
        <w:ind w:left="1440" w:hanging="1440"/>
        <w:jc w:val="center"/>
        <w:outlineLvl w:val="0"/>
        <w:rPr>
          <w:b/>
        </w:rPr>
      </w:pPr>
    </w:p>
    <w:p w14:paraId="5FA23837" w14:textId="77777777" w:rsidR="00B1541E" w:rsidRPr="00B1541E" w:rsidRDefault="00B1541E" w:rsidP="00B1541E">
      <w:pPr>
        <w:jc w:val="center"/>
        <w:outlineLvl w:val="0"/>
        <w:rPr>
          <w:b/>
          <w:sz w:val="32"/>
          <w:szCs w:val="32"/>
        </w:rPr>
      </w:pPr>
      <w:bookmarkStart w:id="1" w:name="_Toc455558059"/>
      <w:bookmarkStart w:id="2" w:name="_Toc455558883"/>
      <w:r w:rsidRPr="00B1541E">
        <w:rPr>
          <w:b/>
          <w:sz w:val="32"/>
          <w:szCs w:val="32"/>
        </w:rPr>
        <w:t>Prevalence Survey of Healthcare-Associated Infections and Antimicrobial Use in U.S.</w:t>
      </w:r>
      <w:bookmarkStart w:id="3" w:name="_Toc455558060"/>
      <w:bookmarkEnd w:id="1"/>
      <w:r w:rsidRPr="00B1541E">
        <w:rPr>
          <w:b/>
          <w:sz w:val="32"/>
          <w:szCs w:val="32"/>
        </w:rPr>
        <w:t xml:space="preserve"> Hospitals</w:t>
      </w:r>
      <w:bookmarkStart w:id="4" w:name="_Toc455558061"/>
      <w:bookmarkEnd w:id="2"/>
      <w:bookmarkEnd w:id="3"/>
    </w:p>
    <w:p w14:paraId="6D53725D" w14:textId="77777777" w:rsidR="00B1541E" w:rsidRPr="00B1541E" w:rsidRDefault="00B1541E" w:rsidP="00B1541E">
      <w:pPr>
        <w:ind w:left="1440" w:hanging="1440"/>
        <w:jc w:val="center"/>
        <w:outlineLvl w:val="0"/>
        <w:rPr>
          <w:b/>
          <w:sz w:val="32"/>
          <w:szCs w:val="32"/>
        </w:rPr>
      </w:pPr>
    </w:p>
    <w:p w14:paraId="35575891" w14:textId="20784F51" w:rsidR="00B1541E" w:rsidRPr="00B1541E" w:rsidRDefault="00B1541E" w:rsidP="00B1541E">
      <w:pPr>
        <w:ind w:left="1440" w:hanging="1440"/>
        <w:jc w:val="center"/>
        <w:outlineLvl w:val="0"/>
        <w:rPr>
          <w:b/>
        </w:rPr>
      </w:pPr>
      <w:bookmarkStart w:id="5" w:name="_Toc455558884"/>
      <w:r w:rsidRPr="00B1541E">
        <w:rPr>
          <w:b/>
        </w:rPr>
        <w:t xml:space="preserve">(OMB Control No. </w:t>
      </w:r>
      <w:r w:rsidR="00756B22">
        <w:rPr>
          <w:b/>
        </w:rPr>
        <w:t>0920-0852, Expiration 12/31/2019</w:t>
      </w:r>
      <w:r w:rsidRPr="00B1541E">
        <w:rPr>
          <w:b/>
        </w:rPr>
        <w:t>)</w:t>
      </w:r>
      <w:bookmarkEnd w:id="4"/>
      <w:bookmarkEnd w:id="5"/>
    </w:p>
    <w:p w14:paraId="72ED7309" w14:textId="77777777" w:rsidR="00B1541E" w:rsidRPr="00B1541E" w:rsidRDefault="00B1541E" w:rsidP="00B1541E">
      <w:pPr>
        <w:ind w:left="1440" w:hanging="1440"/>
        <w:jc w:val="center"/>
        <w:outlineLvl w:val="0"/>
        <w:rPr>
          <w:b/>
          <w:sz w:val="32"/>
          <w:szCs w:val="32"/>
        </w:rPr>
      </w:pPr>
      <w:r w:rsidRPr="00B1541E">
        <w:rPr>
          <w:b/>
          <w:sz w:val="32"/>
          <w:szCs w:val="32"/>
        </w:rPr>
        <w:t xml:space="preserve"> </w:t>
      </w:r>
    </w:p>
    <w:p w14:paraId="1A632199" w14:textId="7CB47FA0" w:rsidR="00B1541E" w:rsidRPr="00B1541E" w:rsidRDefault="00FB3B49" w:rsidP="00B1541E">
      <w:pPr>
        <w:ind w:left="1440" w:hanging="1440"/>
        <w:jc w:val="center"/>
        <w:outlineLvl w:val="0"/>
        <w:rPr>
          <w:b/>
          <w:sz w:val="32"/>
          <w:szCs w:val="32"/>
        </w:rPr>
      </w:pPr>
      <w:bookmarkStart w:id="6" w:name="_Toc455558885"/>
      <w:r>
        <w:rPr>
          <w:b/>
        </w:rPr>
        <w:t>Extension</w:t>
      </w:r>
      <w:r w:rsidR="00B1541E" w:rsidRPr="00B1541E">
        <w:rPr>
          <w:b/>
        </w:rPr>
        <w:t xml:space="preserve"> ICR</w:t>
      </w:r>
      <w:bookmarkEnd w:id="6"/>
    </w:p>
    <w:p w14:paraId="680CB1D6" w14:textId="77777777" w:rsidR="00B1541E" w:rsidRPr="00B1541E" w:rsidRDefault="00B1541E" w:rsidP="00B1541E">
      <w:pPr>
        <w:ind w:left="1440" w:hanging="1440"/>
        <w:jc w:val="center"/>
        <w:rPr>
          <w:b/>
        </w:rPr>
      </w:pPr>
    </w:p>
    <w:p w14:paraId="4A0F54FB" w14:textId="1E6A1957" w:rsidR="00B1541E" w:rsidRPr="00B1541E" w:rsidRDefault="00B1541E" w:rsidP="00B1541E">
      <w:pPr>
        <w:ind w:left="1440" w:hanging="1440"/>
        <w:jc w:val="center"/>
        <w:rPr>
          <w:b/>
        </w:rPr>
      </w:pPr>
      <w:r w:rsidRPr="00B1541E">
        <w:rPr>
          <w:b/>
        </w:rPr>
        <w:t xml:space="preserve">Supporting Statement </w:t>
      </w:r>
      <w:r>
        <w:rPr>
          <w:b/>
        </w:rPr>
        <w:t>B</w:t>
      </w:r>
    </w:p>
    <w:p w14:paraId="493BECC9" w14:textId="77777777" w:rsidR="00B1541E" w:rsidRPr="00B1541E" w:rsidRDefault="00B1541E" w:rsidP="00B1541E">
      <w:pPr>
        <w:ind w:left="1440" w:hanging="1440"/>
        <w:jc w:val="center"/>
        <w:rPr>
          <w:b/>
        </w:rPr>
      </w:pPr>
    </w:p>
    <w:p w14:paraId="1AF7BF6D" w14:textId="5B76A429" w:rsidR="00B1541E" w:rsidRPr="00B1541E" w:rsidRDefault="00B1541E" w:rsidP="00B1541E">
      <w:pPr>
        <w:ind w:left="1440" w:hanging="1440"/>
        <w:jc w:val="center"/>
        <w:rPr>
          <w:b/>
        </w:rPr>
      </w:pPr>
      <w:r w:rsidRPr="00B1541E">
        <w:rPr>
          <w:b/>
        </w:rPr>
        <w:fldChar w:fldCharType="begin"/>
      </w:r>
      <w:r w:rsidRPr="00B1541E">
        <w:rPr>
          <w:b/>
        </w:rPr>
        <w:instrText xml:space="preserve"> DATE \@ "MMMM d, yyyy" </w:instrText>
      </w:r>
      <w:r w:rsidRPr="00B1541E">
        <w:rPr>
          <w:b/>
        </w:rPr>
        <w:fldChar w:fldCharType="separate"/>
      </w:r>
      <w:r w:rsidR="005D609D">
        <w:rPr>
          <w:b/>
          <w:noProof/>
        </w:rPr>
        <w:t>October 17, 2019</w:t>
      </w:r>
      <w:r w:rsidRPr="00B1541E">
        <w:rPr>
          <w:b/>
        </w:rPr>
        <w:fldChar w:fldCharType="end"/>
      </w:r>
    </w:p>
    <w:p w14:paraId="39A5099B" w14:textId="77777777" w:rsidR="00F67650" w:rsidRDefault="00F67650" w:rsidP="00F67650">
      <w:pPr>
        <w:ind w:left="1440" w:hanging="1440"/>
        <w:jc w:val="center"/>
        <w:rPr>
          <w:b/>
        </w:rPr>
      </w:pPr>
    </w:p>
    <w:p w14:paraId="39A5099C" w14:textId="77777777" w:rsidR="004B482A" w:rsidRDefault="004B482A" w:rsidP="00B45413">
      <w:pPr>
        <w:pStyle w:val="TOCHeading"/>
      </w:pPr>
    </w:p>
    <w:p w14:paraId="39A5099D" w14:textId="77777777" w:rsidR="00F67650" w:rsidRDefault="00F67650" w:rsidP="00F67650">
      <w:pPr>
        <w:ind w:left="1440" w:hanging="1440"/>
        <w:outlineLvl w:val="0"/>
        <w:rPr>
          <w:b/>
        </w:rPr>
      </w:pPr>
    </w:p>
    <w:p w14:paraId="39A5099E" w14:textId="77777777" w:rsidR="00F67650" w:rsidRDefault="00F67650" w:rsidP="00F67650">
      <w:pPr>
        <w:ind w:left="1440" w:hanging="1440"/>
        <w:outlineLvl w:val="0"/>
        <w:rPr>
          <w:b/>
        </w:rPr>
      </w:pPr>
    </w:p>
    <w:p w14:paraId="39A5099F" w14:textId="77777777" w:rsidR="00F67650" w:rsidRDefault="00F67650" w:rsidP="00F67650">
      <w:pPr>
        <w:ind w:left="1440" w:hanging="1440"/>
        <w:outlineLvl w:val="0"/>
        <w:rPr>
          <w:b/>
        </w:rPr>
      </w:pPr>
    </w:p>
    <w:p w14:paraId="39A509A0" w14:textId="77777777" w:rsidR="00F67650" w:rsidRDefault="00F67650" w:rsidP="00F67650">
      <w:pPr>
        <w:ind w:left="1440" w:hanging="1440"/>
        <w:outlineLvl w:val="0"/>
        <w:rPr>
          <w:b/>
        </w:rPr>
      </w:pPr>
    </w:p>
    <w:p w14:paraId="39A509A1" w14:textId="77777777" w:rsidR="00F67650" w:rsidRDefault="00F67650" w:rsidP="00F67650">
      <w:pPr>
        <w:ind w:left="1440" w:hanging="1440"/>
        <w:outlineLvl w:val="0"/>
        <w:rPr>
          <w:b/>
        </w:rPr>
      </w:pPr>
    </w:p>
    <w:p w14:paraId="39A509A2" w14:textId="77777777" w:rsidR="00F67650" w:rsidRDefault="00F67650" w:rsidP="00F67650">
      <w:pPr>
        <w:ind w:left="1440" w:hanging="1440"/>
        <w:outlineLvl w:val="0"/>
        <w:rPr>
          <w:b/>
        </w:rPr>
      </w:pPr>
    </w:p>
    <w:p w14:paraId="39A509A3" w14:textId="77777777" w:rsidR="00F67650" w:rsidRDefault="00F67650" w:rsidP="00F67650">
      <w:pPr>
        <w:ind w:left="1440" w:hanging="1440"/>
        <w:outlineLvl w:val="0"/>
        <w:rPr>
          <w:b/>
        </w:rPr>
      </w:pPr>
    </w:p>
    <w:p w14:paraId="39A509A4" w14:textId="77777777" w:rsidR="00F67650" w:rsidRDefault="00F67650" w:rsidP="00F67650">
      <w:pPr>
        <w:ind w:left="1440" w:hanging="1440"/>
        <w:outlineLvl w:val="0"/>
        <w:rPr>
          <w:b/>
        </w:rPr>
      </w:pPr>
    </w:p>
    <w:p w14:paraId="39A509A5" w14:textId="77777777" w:rsidR="00F67650" w:rsidRDefault="00F67650" w:rsidP="00F67650">
      <w:pPr>
        <w:ind w:left="1440" w:hanging="1440"/>
        <w:outlineLvl w:val="0"/>
        <w:rPr>
          <w:b/>
        </w:rPr>
      </w:pPr>
    </w:p>
    <w:p w14:paraId="39A509A6" w14:textId="77777777" w:rsidR="00F67650" w:rsidRDefault="00F67650" w:rsidP="00F67650">
      <w:pPr>
        <w:ind w:left="1440" w:hanging="1440"/>
        <w:outlineLvl w:val="0"/>
        <w:rPr>
          <w:b/>
        </w:rPr>
      </w:pPr>
    </w:p>
    <w:p w14:paraId="39A509A7" w14:textId="77777777" w:rsidR="00F67650" w:rsidRDefault="00F67650" w:rsidP="00F67650">
      <w:pPr>
        <w:ind w:left="1440" w:hanging="1440"/>
        <w:outlineLvl w:val="0"/>
        <w:rPr>
          <w:b/>
        </w:rPr>
      </w:pPr>
    </w:p>
    <w:p w14:paraId="39A509A8" w14:textId="77777777" w:rsidR="00F67650" w:rsidRDefault="00F67650" w:rsidP="00F67650">
      <w:pPr>
        <w:ind w:left="1440" w:hanging="1440"/>
        <w:outlineLvl w:val="0"/>
        <w:rPr>
          <w:b/>
        </w:rPr>
      </w:pPr>
    </w:p>
    <w:p w14:paraId="39A509A9" w14:textId="77777777" w:rsidR="00F67650" w:rsidRDefault="00F67650" w:rsidP="00F67650">
      <w:pPr>
        <w:ind w:left="1440" w:hanging="1440"/>
        <w:outlineLvl w:val="0"/>
        <w:rPr>
          <w:b/>
        </w:rPr>
      </w:pPr>
    </w:p>
    <w:p w14:paraId="39A509AA" w14:textId="77777777" w:rsidR="00F67650" w:rsidRDefault="00F67650" w:rsidP="00F67650">
      <w:pPr>
        <w:ind w:left="1440" w:hanging="1440"/>
        <w:outlineLvl w:val="0"/>
        <w:rPr>
          <w:b/>
        </w:rPr>
      </w:pPr>
    </w:p>
    <w:p w14:paraId="39A509AB" w14:textId="77777777" w:rsidR="00F67650" w:rsidRDefault="00F67650" w:rsidP="00F67650">
      <w:pPr>
        <w:ind w:left="1440" w:hanging="1440"/>
        <w:outlineLvl w:val="0"/>
        <w:rPr>
          <w:b/>
        </w:rPr>
      </w:pPr>
    </w:p>
    <w:p w14:paraId="39A509AE" w14:textId="77777777" w:rsidR="00F67650" w:rsidRDefault="00F67650" w:rsidP="00F67650">
      <w:pPr>
        <w:ind w:left="1440" w:hanging="1440"/>
        <w:outlineLvl w:val="0"/>
        <w:rPr>
          <w:b/>
        </w:rPr>
      </w:pPr>
      <w:bookmarkStart w:id="7" w:name="_Toc455558886"/>
      <w:r w:rsidRPr="003F70F9">
        <w:rPr>
          <w:b/>
        </w:rPr>
        <w:t>Contact:</w:t>
      </w:r>
      <w:bookmarkEnd w:id="7"/>
    </w:p>
    <w:p w14:paraId="6137A76A" w14:textId="77777777" w:rsidR="00FD792C" w:rsidRPr="00FD792C" w:rsidRDefault="00FD792C" w:rsidP="00FD792C">
      <w:pPr>
        <w:pStyle w:val="TOCHeading"/>
        <w:keepNext/>
        <w:keepLines/>
        <w:rPr>
          <w:b w:val="0"/>
        </w:rPr>
      </w:pPr>
      <w:r w:rsidRPr="00FD792C">
        <w:rPr>
          <w:b w:val="0"/>
        </w:rPr>
        <w:t>Nancy Khalil, J.D.</w:t>
      </w:r>
    </w:p>
    <w:p w14:paraId="2F1E7343" w14:textId="77777777" w:rsidR="00FD792C" w:rsidRPr="00FD792C" w:rsidRDefault="00FD792C" w:rsidP="00FD792C">
      <w:pPr>
        <w:pStyle w:val="TOCHeading"/>
        <w:keepNext/>
        <w:keepLines/>
        <w:rPr>
          <w:b w:val="0"/>
        </w:rPr>
      </w:pPr>
      <w:r w:rsidRPr="00FD792C">
        <w:rPr>
          <w:b w:val="0"/>
        </w:rPr>
        <w:t>MS H16-5</w:t>
      </w:r>
    </w:p>
    <w:p w14:paraId="3E389E71" w14:textId="77777777" w:rsidR="00FD792C" w:rsidRPr="00FD792C" w:rsidRDefault="00FD792C" w:rsidP="00FD792C">
      <w:pPr>
        <w:pStyle w:val="TOCHeading"/>
        <w:keepNext/>
        <w:keepLines/>
        <w:rPr>
          <w:b w:val="0"/>
        </w:rPr>
      </w:pPr>
      <w:r w:rsidRPr="00FD792C">
        <w:rPr>
          <w:b w:val="0"/>
        </w:rPr>
        <w:t>Centers for Disease Control and Prevention</w:t>
      </w:r>
    </w:p>
    <w:p w14:paraId="1D232B5F" w14:textId="77777777" w:rsidR="00FD792C" w:rsidRPr="00FD792C" w:rsidRDefault="00FD792C" w:rsidP="00FD792C">
      <w:pPr>
        <w:pStyle w:val="TOCHeading"/>
        <w:keepNext/>
        <w:keepLines/>
        <w:rPr>
          <w:b w:val="0"/>
        </w:rPr>
      </w:pPr>
      <w:r w:rsidRPr="00FD792C">
        <w:rPr>
          <w:b w:val="0"/>
        </w:rPr>
        <w:t xml:space="preserve">1600 Clifton Road NE </w:t>
      </w:r>
    </w:p>
    <w:p w14:paraId="69439893" w14:textId="77777777" w:rsidR="00FD792C" w:rsidRPr="00FD792C" w:rsidRDefault="00FD792C" w:rsidP="00FD792C">
      <w:pPr>
        <w:pStyle w:val="TOCHeading"/>
        <w:keepNext/>
        <w:keepLines/>
        <w:rPr>
          <w:b w:val="0"/>
        </w:rPr>
      </w:pPr>
      <w:r w:rsidRPr="00FD792C">
        <w:rPr>
          <w:b w:val="0"/>
        </w:rPr>
        <w:t xml:space="preserve">Atlanta, Georgia 30329-4027 </w:t>
      </w:r>
    </w:p>
    <w:p w14:paraId="61414107" w14:textId="77777777" w:rsidR="00FD792C" w:rsidRPr="00FD792C" w:rsidRDefault="00FD792C" w:rsidP="00FD792C">
      <w:pPr>
        <w:pStyle w:val="TOCHeading"/>
        <w:keepNext/>
        <w:keepLines/>
        <w:rPr>
          <w:b w:val="0"/>
        </w:rPr>
      </w:pPr>
      <w:r w:rsidRPr="00FD792C">
        <w:rPr>
          <w:b w:val="0"/>
        </w:rPr>
        <w:t xml:space="preserve">Phone: (770) 488-2070 </w:t>
      </w:r>
    </w:p>
    <w:p w14:paraId="1F688C87" w14:textId="77777777" w:rsidR="00FD792C" w:rsidRPr="00FD792C" w:rsidRDefault="00FD792C" w:rsidP="00FD792C">
      <w:pPr>
        <w:pStyle w:val="TOCHeading"/>
        <w:rPr>
          <w:b w:val="0"/>
        </w:rPr>
      </w:pPr>
      <w:r w:rsidRPr="00FD792C">
        <w:rPr>
          <w:b w:val="0"/>
        </w:rPr>
        <w:t xml:space="preserve">Email: </w:t>
      </w:r>
      <w:hyperlink r:id="rId13" w:history="1">
        <w:r w:rsidRPr="00FD792C">
          <w:rPr>
            <w:rStyle w:val="Hyperlink"/>
            <w:b w:val="0"/>
          </w:rPr>
          <w:t>kuj2@cdc.gov</w:t>
        </w:r>
      </w:hyperlink>
    </w:p>
    <w:p w14:paraId="0705BC34" w14:textId="278BF7D8" w:rsidR="005D4954" w:rsidRDefault="005D4954" w:rsidP="00F67650">
      <w:pPr>
        <w:outlineLvl w:val="0"/>
      </w:pPr>
    </w:p>
    <w:p w14:paraId="3FAFD64D" w14:textId="77777777" w:rsidR="00E30997" w:rsidRDefault="00E30997" w:rsidP="00F67650">
      <w:pPr>
        <w:outlineLvl w:val="0"/>
      </w:pPr>
    </w:p>
    <w:p w14:paraId="228F3A50" w14:textId="77777777" w:rsidR="009B6025" w:rsidRDefault="009B6025" w:rsidP="00F67650">
      <w:pPr>
        <w:outlineLvl w:val="0"/>
      </w:pPr>
    </w:p>
    <w:sdt>
      <w:sdtPr>
        <w:rPr>
          <w:b w:val="0"/>
        </w:rPr>
        <w:id w:val="103394429"/>
        <w:docPartObj>
          <w:docPartGallery w:val="Table of Contents"/>
          <w:docPartUnique/>
        </w:docPartObj>
      </w:sdtPr>
      <w:sdtEndPr>
        <w:rPr>
          <w:bCs/>
          <w:noProof/>
        </w:rPr>
      </w:sdtEndPr>
      <w:sdtContent>
        <w:p w14:paraId="0D86C84D" w14:textId="2CD56F56" w:rsidR="005D4954" w:rsidRPr="005D4954" w:rsidRDefault="005D4954" w:rsidP="005D4954">
          <w:pPr>
            <w:pStyle w:val="TOCHeading"/>
            <w:jc w:val="center"/>
            <w:rPr>
              <w:sz w:val="28"/>
              <w:szCs w:val="28"/>
            </w:rPr>
          </w:pPr>
          <w:r w:rsidRPr="005D4954">
            <w:rPr>
              <w:sz w:val="28"/>
              <w:szCs w:val="28"/>
            </w:rPr>
            <w:t>Table of Contents</w:t>
          </w:r>
        </w:p>
        <w:p w14:paraId="547C8C05" w14:textId="77777777" w:rsidR="005D4954" w:rsidRPr="005D4954" w:rsidRDefault="005D4954" w:rsidP="005D4954"/>
        <w:p w14:paraId="50599662" w14:textId="4F8A7D49" w:rsidR="005D4954" w:rsidRDefault="005D4954" w:rsidP="005D4954">
          <w:pPr>
            <w:pStyle w:val="TOC1"/>
            <w:tabs>
              <w:tab w:val="right" w:leader="dot" w:pos="9350"/>
            </w:tabs>
            <w:spacing w:line="276" w:lineRule="auto"/>
            <w:rPr>
              <w:noProof/>
            </w:rPr>
          </w:pPr>
          <w:r>
            <w:fldChar w:fldCharType="begin"/>
          </w:r>
          <w:r>
            <w:instrText xml:space="preserve"> TOC \o "1-3" \h \z \u </w:instrText>
          </w:r>
          <w:r>
            <w:fldChar w:fldCharType="separate"/>
          </w:r>
          <w:hyperlink w:anchor="_Toc455558891" w:history="1">
            <w:r w:rsidRPr="00702431">
              <w:rPr>
                <w:rStyle w:val="Hyperlink"/>
                <w:noProof/>
              </w:rPr>
              <w:t>1.  Respondent Universe and Sampling Methods</w:t>
            </w:r>
            <w:r>
              <w:rPr>
                <w:noProof/>
                <w:webHidden/>
              </w:rPr>
              <w:tab/>
            </w:r>
            <w:r>
              <w:rPr>
                <w:noProof/>
                <w:webHidden/>
              </w:rPr>
              <w:fldChar w:fldCharType="begin"/>
            </w:r>
            <w:r>
              <w:rPr>
                <w:noProof/>
                <w:webHidden/>
              </w:rPr>
              <w:instrText xml:space="preserve"> PAGEREF _Toc455558891 \h </w:instrText>
            </w:r>
            <w:r>
              <w:rPr>
                <w:noProof/>
                <w:webHidden/>
              </w:rPr>
            </w:r>
            <w:r>
              <w:rPr>
                <w:noProof/>
                <w:webHidden/>
              </w:rPr>
              <w:fldChar w:fldCharType="separate"/>
            </w:r>
            <w:r w:rsidR="00F83EC8">
              <w:rPr>
                <w:noProof/>
                <w:webHidden/>
              </w:rPr>
              <w:t>3</w:t>
            </w:r>
            <w:r>
              <w:rPr>
                <w:noProof/>
                <w:webHidden/>
              </w:rPr>
              <w:fldChar w:fldCharType="end"/>
            </w:r>
          </w:hyperlink>
        </w:p>
        <w:p w14:paraId="17EAFB9B" w14:textId="072C7A97" w:rsidR="005D4954" w:rsidRDefault="005D609D" w:rsidP="005D4954">
          <w:pPr>
            <w:pStyle w:val="TOC1"/>
            <w:tabs>
              <w:tab w:val="right" w:leader="dot" w:pos="9350"/>
            </w:tabs>
            <w:spacing w:line="276" w:lineRule="auto"/>
            <w:rPr>
              <w:noProof/>
            </w:rPr>
          </w:pPr>
          <w:hyperlink w:anchor="_Toc455558892" w:history="1">
            <w:r w:rsidR="005D4954" w:rsidRPr="00702431">
              <w:rPr>
                <w:rStyle w:val="Hyperlink"/>
                <w:noProof/>
              </w:rPr>
              <w:t>2.  Procedures for the Collection of Information</w:t>
            </w:r>
            <w:r w:rsidR="005D4954">
              <w:rPr>
                <w:noProof/>
                <w:webHidden/>
              </w:rPr>
              <w:tab/>
            </w:r>
            <w:r w:rsidR="005D4954">
              <w:rPr>
                <w:noProof/>
                <w:webHidden/>
              </w:rPr>
              <w:fldChar w:fldCharType="begin"/>
            </w:r>
            <w:r w:rsidR="005D4954">
              <w:rPr>
                <w:noProof/>
                <w:webHidden/>
              </w:rPr>
              <w:instrText xml:space="preserve"> PAGEREF _Toc455558892 \h </w:instrText>
            </w:r>
            <w:r w:rsidR="005D4954">
              <w:rPr>
                <w:noProof/>
                <w:webHidden/>
              </w:rPr>
            </w:r>
            <w:r w:rsidR="005D4954">
              <w:rPr>
                <w:noProof/>
                <w:webHidden/>
              </w:rPr>
              <w:fldChar w:fldCharType="separate"/>
            </w:r>
            <w:r w:rsidR="00F83EC8">
              <w:rPr>
                <w:noProof/>
                <w:webHidden/>
              </w:rPr>
              <w:t>4</w:t>
            </w:r>
            <w:r w:rsidR="005D4954">
              <w:rPr>
                <w:noProof/>
                <w:webHidden/>
              </w:rPr>
              <w:fldChar w:fldCharType="end"/>
            </w:r>
          </w:hyperlink>
        </w:p>
        <w:p w14:paraId="2CC32028" w14:textId="56BD0BCE" w:rsidR="005D4954" w:rsidRDefault="005D609D" w:rsidP="005D4954">
          <w:pPr>
            <w:pStyle w:val="TOC1"/>
            <w:tabs>
              <w:tab w:val="right" w:leader="dot" w:pos="9350"/>
            </w:tabs>
            <w:spacing w:line="276" w:lineRule="auto"/>
            <w:rPr>
              <w:noProof/>
            </w:rPr>
          </w:pPr>
          <w:hyperlink w:anchor="_Toc455558893" w:history="1">
            <w:r w:rsidR="005D4954" w:rsidRPr="00702431">
              <w:rPr>
                <w:rStyle w:val="Hyperlink"/>
                <w:noProof/>
              </w:rPr>
              <w:t>3.  Methods to Maximize Response Rates and Deal with Nonresponse</w:t>
            </w:r>
            <w:r w:rsidR="005D4954">
              <w:rPr>
                <w:noProof/>
                <w:webHidden/>
              </w:rPr>
              <w:tab/>
            </w:r>
            <w:r w:rsidR="005D4954">
              <w:rPr>
                <w:noProof/>
                <w:webHidden/>
              </w:rPr>
              <w:fldChar w:fldCharType="begin"/>
            </w:r>
            <w:r w:rsidR="005D4954">
              <w:rPr>
                <w:noProof/>
                <w:webHidden/>
              </w:rPr>
              <w:instrText xml:space="preserve"> PAGEREF _Toc455558893 \h </w:instrText>
            </w:r>
            <w:r w:rsidR="005D4954">
              <w:rPr>
                <w:noProof/>
                <w:webHidden/>
              </w:rPr>
            </w:r>
            <w:r w:rsidR="005D4954">
              <w:rPr>
                <w:noProof/>
                <w:webHidden/>
              </w:rPr>
              <w:fldChar w:fldCharType="separate"/>
            </w:r>
            <w:r w:rsidR="00F83EC8">
              <w:rPr>
                <w:noProof/>
                <w:webHidden/>
              </w:rPr>
              <w:t>6</w:t>
            </w:r>
            <w:r w:rsidR="005D4954">
              <w:rPr>
                <w:noProof/>
                <w:webHidden/>
              </w:rPr>
              <w:fldChar w:fldCharType="end"/>
            </w:r>
          </w:hyperlink>
        </w:p>
        <w:p w14:paraId="54B576DF" w14:textId="32F2519B" w:rsidR="005D4954" w:rsidRDefault="005D609D" w:rsidP="005D4954">
          <w:pPr>
            <w:pStyle w:val="TOC1"/>
            <w:tabs>
              <w:tab w:val="right" w:leader="dot" w:pos="9350"/>
            </w:tabs>
            <w:spacing w:line="276" w:lineRule="auto"/>
            <w:rPr>
              <w:noProof/>
            </w:rPr>
          </w:pPr>
          <w:hyperlink w:anchor="_Toc455558894" w:history="1">
            <w:r w:rsidR="005D4954" w:rsidRPr="00702431">
              <w:rPr>
                <w:rStyle w:val="Hyperlink"/>
                <w:noProof/>
              </w:rPr>
              <w:t>4.  Tests of Procedures or Methods to be Undertaken</w:t>
            </w:r>
            <w:r w:rsidR="005D4954">
              <w:rPr>
                <w:noProof/>
                <w:webHidden/>
              </w:rPr>
              <w:tab/>
            </w:r>
            <w:r w:rsidR="005D4954">
              <w:rPr>
                <w:noProof/>
                <w:webHidden/>
              </w:rPr>
              <w:fldChar w:fldCharType="begin"/>
            </w:r>
            <w:r w:rsidR="005D4954">
              <w:rPr>
                <w:noProof/>
                <w:webHidden/>
              </w:rPr>
              <w:instrText xml:space="preserve"> PAGEREF _Toc455558894 \h </w:instrText>
            </w:r>
            <w:r w:rsidR="005D4954">
              <w:rPr>
                <w:noProof/>
                <w:webHidden/>
              </w:rPr>
            </w:r>
            <w:r w:rsidR="005D4954">
              <w:rPr>
                <w:noProof/>
                <w:webHidden/>
              </w:rPr>
              <w:fldChar w:fldCharType="separate"/>
            </w:r>
            <w:r w:rsidR="00F83EC8">
              <w:rPr>
                <w:noProof/>
                <w:webHidden/>
              </w:rPr>
              <w:t>6</w:t>
            </w:r>
            <w:r w:rsidR="005D4954">
              <w:rPr>
                <w:noProof/>
                <w:webHidden/>
              </w:rPr>
              <w:fldChar w:fldCharType="end"/>
            </w:r>
          </w:hyperlink>
        </w:p>
        <w:p w14:paraId="70C29A27" w14:textId="70897D1B" w:rsidR="008469A0" w:rsidRDefault="005D609D" w:rsidP="00CE732C">
          <w:pPr>
            <w:pStyle w:val="TOC1"/>
            <w:tabs>
              <w:tab w:val="right" w:leader="dot" w:pos="9350"/>
            </w:tabs>
            <w:spacing w:line="276" w:lineRule="auto"/>
            <w:rPr>
              <w:b/>
              <w:bCs/>
              <w:noProof/>
            </w:rPr>
          </w:pPr>
          <w:hyperlink w:anchor="_Toc455558895" w:history="1">
            <w:r w:rsidR="005D4954" w:rsidRPr="00702431">
              <w:rPr>
                <w:rStyle w:val="Hyperlink"/>
                <w:noProof/>
              </w:rPr>
              <w:t>5.</w:t>
            </w:r>
            <w:r w:rsidR="005D4954">
              <w:rPr>
                <w:rStyle w:val="Hyperlink"/>
                <w:noProof/>
              </w:rPr>
              <w:t xml:space="preserve"> </w:t>
            </w:r>
            <w:r w:rsidR="005D4954" w:rsidRPr="00702431">
              <w:rPr>
                <w:rStyle w:val="Hyperlink"/>
                <w:noProof/>
              </w:rPr>
              <w:t>Individuals Consulted on Statistical Aspects and Individuals Collecting and/or Analyzing Data</w:t>
            </w:r>
            <w:r w:rsidR="005D4954">
              <w:rPr>
                <w:noProof/>
                <w:webHidden/>
              </w:rPr>
              <w:tab/>
            </w:r>
            <w:r w:rsidR="005D4954">
              <w:rPr>
                <w:noProof/>
                <w:webHidden/>
              </w:rPr>
              <w:fldChar w:fldCharType="begin"/>
            </w:r>
            <w:r w:rsidR="005D4954">
              <w:rPr>
                <w:noProof/>
                <w:webHidden/>
              </w:rPr>
              <w:instrText xml:space="preserve"> PAGEREF _Toc455558895 \h </w:instrText>
            </w:r>
            <w:r w:rsidR="005D4954">
              <w:rPr>
                <w:noProof/>
                <w:webHidden/>
              </w:rPr>
            </w:r>
            <w:r w:rsidR="005D4954">
              <w:rPr>
                <w:noProof/>
                <w:webHidden/>
              </w:rPr>
              <w:fldChar w:fldCharType="separate"/>
            </w:r>
            <w:r w:rsidR="00F83EC8">
              <w:rPr>
                <w:noProof/>
                <w:webHidden/>
              </w:rPr>
              <w:t>7</w:t>
            </w:r>
            <w:r w:rsidR="005D4954">
              <w:rPr>
                <w:noProof/>
                <w:webHidden/>
              </w:rPr>
              <w:fldChar w:fldCharType="end"/>
            </w:r>
          </w:hyperlink>
          <w:r w:rsidR="005D4954">
            <w:rPr>
              <w:b/>
              <w:bCs/>
              <w:noProof/>
            </w:rPr>
            <w:fldChar w:fldCharType="end"/>
          </w:r>
        </w:p>
        <w:p w14:paraId="39A509B6" w14:textId="4F3F906C" w:rsidR="00706F62" w:rsidRPr="008469A0" w:rsidRDefault="008469A0" w:rsidP="008469A0">
          <w:r>
            <w:t>6. References …...............................................................................................................................7</w:t>
          </w:r>
        </w:p>
      </w:sdtContent>
    </w:sdt>
    <w:p w14:paraId="08888AAF" w14:textId="77777777" w:rsidR="00706F62" w:rsidRPr="00706F62" w:rsidRDefault="00706F62" w:rsidP="00706F62"/>
    <w:p w14:paraId="35A560D6" w14:textId="77777777" w:rsidR="00706F62" w:rsidRPr="00706F62" w:rsidRDefault="00706F62" w:rsidP="00706F62"/>
    <w:p w14:paraId="7B17AFEB" w14:textId="77777777" w:rsidR="00706F62" w:rsidRPr="00706F62" w:rsidRDefault="00706F62" w:rsidP="00706F62"/>
    <w:p w14:paraId="57E9AC25" w14:textId="77777777" w:rsidR="00706F62" w:rsidRPr="00706F62" w:rsidRDefault="00706F62" w:rsidP="00706F62"/>
    <w:p w14:paraId="0E4BC9E3" w14:textId="77777777" w:rsidR="00706F62" w:rsidRPr="00706F62" w:rsidRDefault="00706F62" w:rsidP="00706F62"/>
    <w:p w14:paraId="0E309B9D" w14:textId="77777777" w:rsidR="00706F62" w:rsidRPr="00706F62" w:rsidRDefault="00706F62" w:rsidP="00706F62"/>
    <w:p w14:paraId="054743B4" w14:textId="77777777" w:rsidR="00706F62" w:rsidRPr="00706F62" w:rsidRDefault="00706F62" w:rsidP="00706F62"/>
    <w:p w14:paraId="1A05F346" w14:textId="77777777" w:rsidR="00706F62" w:rsidRPr="00706F62" w:rsidRDefault="00706F62" w:rsidP="00706F62"/>
    <w:p w14:paraId="0367559D" w14:textId="77777777" w:rsidR="00706F62" w:rsidRPr="00706F62" w:rsidRDefault="00706F62" w:rsidP="00706F62"/>
    <w:p w14:paraId="33457845" w14:textId="2E4C161E" w:rsidR="00706F62" w:rsidRDefault="00706F62" w:rsidP="00706F62"/>
    <w:p w14:paraId="16AA8E90" w14:textId="77777777" w:rsidR="00706F62" w:rsidRPr="00706F62" w:rsidRDefault="00706F62" w:rsidP="00706F62"/>
    <w:p w14:paraId="37F94B93" w14:textId="42C339B0" w:rsidR="00706F62" w:rsidRDefault="00706F62" w:rsidP="00706F62">
      <w:pPr>
        <w:tabs>
          <w:tab w:val="left" w:pos="5595"/>
        </w:tabs>
      </w:pPr>
      <w:r>
        <w:tab/>
      </w:r>
    </w:p>
    <w:p w14:paraId="374CD005" w14:textId="18D51CEC" w:rsidR="00F67650" w:rsidRPr="00706F62" w:rsidRDefault="00706F62" w:rsidP="00706F62">
      <w:pPr>
        <w:tabs>
          <w:tab w:val="left" w:pos="5595"/>
        </w:tabs>
        <w:sectPr w:rsidR="00F67650" w:rsidRPr="00706F62" w:rsidSect="00F67650">
          <w:footerReference w:type="even" r:id="rId14"/>
          <w:footerReference w:type="default" r:id="rId15"/>
          <w:pgSz w:w="12240" w:h="15840" w:code="1"/>
          <w:pgMar w:top="1440" w:right="1440" w:bottom="1440" w:left="1440" w:header="720" w:footer="720" w:gutter="0"/>
          <w:cols w:space="720"/>
          <w:titlePg/>
          <w:docGrid w:linePitch="360"/>
        </w:sectPr>
      </w:pPr>
      <w:r>
        <w:tab/>
      </w:r>
    </w:p>
    <w:p w14:paraId="39A509C5" w14:textId="66FA86F7" w:rsidR="00C3696A" w:rsidRPr="0009584F" w:rsidRDefault="00C3696A" w:rsidP="0015019C">
      <w:pPr>
        <w:rPr>
          <w:rFonts w:ascii="Cambria" w:hAnsi="Cambria"/>
          <w:color w:val="365F91"/>
          <w:lang w:eastAsia="ja-JP"/>
        </w:rPr>
      </w:pPr>
      <w:r w:rsidRPr="0009584F">
        <w:rPr>
          <w:b/>
          <w:u w:val="single"/>
        </w:rPr>
        <w:lastRenderedPageBreak/>
        <w:t>B.  Collections of Information Employing Statistical Methods</w:t>
      </w:r>
    </w:p>
    <w:p w14:paraId="39A509C6" w14:textId="77777777" w:rsidR="00C3696A" w:rsidRPr="0009584F" w:rsidRDefault="00C3696A" w:rsidP="00C3696A">
      <w:pPr>
        <w:ind w:left="720" w:hanging="720"/>
      </w:pPr>
    </w:p>
    <w:p w14:paraId="39A509C7" w14:textId="77777777" w:rsidR="00C3696A" w:rsidRPr="0009584F" w:rsidRDefault="00C3696A" w:rsidP="00B45413">
      <w:pPr>
        <w:pStyle w:val="Heading1"/>
      </w:pPr>
      <w:bookmarkStart w:id="8" w:name="_Toc455558891"/>
      <w:r w:rsidRPr="0009584F">
        <w:t>1.  Respondent Universe and Sampling Methods</w:t>
      </w:r>
      <w:bookmarkEnd w:id="8"/>
    </w:p>
    <w:p w14:paraId="39A509C8" w14:textId="77777777" w:rsidR="0015019C" w:rsidRPr="0009584F" w:rsidRDefault="0015019C" w:rsidP="00686D3A"/>
    <w:p w14:paraId="52260D2D" w14:textId="77777777" w:rsidR="00773573" w:rsidRDefault="00C3696A" w:rsidP="00686D3A">
      <w:r w:rsidRPr="0009584F">
        <w:t xml:space="preserve">Respondents </w:t>
      </w:r>
      <w:r w:rsidR="007F43DF" w:rsidRPr="0009584F">
        <w:t xml:space="preserve">for the </w:t>
      </w:r>
      <w:r w:rsidR="00F940FF" w:rsidRPr="0009584F">
        <w:t>prevalence survey</w:t>
      </w:r>
      <w:r w:rsidR="007F43DF" w:rsidRPr="0009584F">
        <w:t xml:space="preserve"> </w:t>
      </w:r>
      <w:r w:rsidRPr="0009584F">
        <w:t xml:space="preserve">are </w:t>
      </w:r>
      <w:r w:rsidR="0014758B" w:rsidRPr="0009584F">
        <w:t xml:space="preserve">hospitals </w:t>
      </w:r>
      <w:r w:rsidRPr="0009584F">
        <w:t xml:space="preserve">in states with </w:t>
      </w:r>
      <w:r w:rsidR="00DD6CB3" w:rsidRPr="0009584F">
        <w:t>Emerging Infections Program (</w:t>
      </w:r>
      <w:r w:rsidRPr="0009584F">
        <w:t>EIP</w:t>
      </w:r>
      <w:r w:rsidR="00DD6CB3" w:rsidRPr="0009584F">
        <w:t>)</w:t>
      </w:r>
      <w:r w:rsidRPr="0009584F">
        <w:t xml:space="preserve"> sites.</w:t>
      </w:r>
      <w:r w:rsidR="0015019C" w:rsidRPr="0009584F">
        <w:t xml:space="preserve"> </w:t>
      </w:r>
      <w:r w:rsidR="007629F3" w:rsidRPr="0009584F">
        <w:t>There were</w:t>
      </w:r>
      <w:r w:rsidRPr="0009584F">
        <w:t xml:space="preserve"> approximately </w:t>
      </w:r>
      <w:r w:rsidR="00F940FF" w:rsidRPr="0009584F">
        <w:t xml:space="preserve">420 </w:t>
      </w:r>
      <w:r w:rsidR="0014758B" w:rsidRPr="0009584F">
        <w:t>hospitals</w:t>
      </w:r>
      <w:r w:rsidRPr="0009584F">
        <w:t xml:space="preserve"> in the 10 EIP site</w:t>
      </w:r>
      <w:r w:rsidR="007629F3" w:rsidRPr="0009584F">
        <w:t xml:space="preserve"> survey catchment area</w:t>
      </w:r>
      <w:r w:rsidRPr="0009584F">
        <w:t>s</w:t>
      </w:r>
      <w:r w:rsidR="00F940FF" w:rsidRPr="0009584F">
        <w:t xml:space="preserve"> in 2015</w:t>
      </w:r>
      <w:r w:rsidRPr="0009584F">
        <w:t xml:space="preserve"> (CA, CO, CT</w:t>
      </w:r>
      <w:r w:rsidR="00182622" w:rsidRPr="0009584F">
        <w:t xml:space="preserve">, GA, MD, MN, NM, NY, OR, TN). </w:t>
      </w:r>
      <w:r w:rsidR="00A46D5B" w:rsidRPr="0009584F">
        <w:t xml:space="preserve">In some EIP sites, catchment areas consist of a few counties within a particular region of the state. In other EIP sites, catchment areas </w:t>
      </w:r>
      <w:r w:rsidR="00F940FF" w:rsidRPr="0009584F">
        <w:t>are</w:t>
      </w:r>
      <w:r w:rsidR="00A46D5B" w:rsidRPr="0009584F">
        <w:t xml:space="preserve"> the entire state. </w:t>
      </w:r>
    </w:p>
    <w:p w14:paraId="60667F3E" w14:textId="77777777" w:rsidR="00773573" w:rsidRDefault="00773573" w:rsidP="00686D3A"/>
    <w:p w14:paraId="17EA7400" w14:textId="77777777" w:rsidR="007872AC" w:rsidRDefault="007872AC" w:rsidP="007872AC">
      <w:pPr>
        <w:autoSpaceDE w:val="0"/>
        <w:autoSpaceDN w:val="0"/>
        <w:adjustRightInd w:val="0"/>
        <w:contextualSpacing/>
        <w:rPr>
          <w:rFonts w:cstheme="minorHAnsi"/>
        </w:rPr>
      </w:pPr>
      <w:r>
        <w:t>The population of the EIP surveillance catchment area has been shown to be similar to the U.S. population with respect to certain demographic characteristics and health indicators [1, 2, unpublished data], although the catchment area may differ by EIP project. The prevalence survey is not population-based, and therefore it is more important to consider the similarity of the survey sample of hospitals and patients to all hospitals and patients in the nation. The</w:t>
      </w:r>
      <w:r w:rsidRPr="001E0FD7">
        <w:rPr>
          <w:rFonts w:cstheme="minorHAnsi"/>
        </w:rPr>
        <w:t xml:space="preserve"> </w:t>
      </w:r>
      <w:r>
        <w:rPr>
          <w:rFonts w:cstheme="minorHAnsi"/>
        </w:rPr>
        <w:t xml:space="preserve">hospital stratified random </w:t>
      </w:r>
      <w:r w:rsidRPr="001E0FD7">
        <w:rPr>
          <w:rFonts w:cstheme="minorHAnsi"/>
        </w:rPr>
        <w:t>sampling scheme</w:t>
      </w:r>
      <w:r>
        <w:rPr>
          <w:rFonts w:cstheme="minorHAnsi"/>
        </w:rPr>
        <w:t xml:space="preserve"> based on acute care staffed bed size that was</w:t>
      </w:r>
      <w:r w:rsidRPr="001E0FD7">
        <w:rPr>
          <w:rFonts w:cstheme="minorHAnsi"/>
        </w:rPr>
        <w:t xml:space="preserve"> developed for the </w:t>
      </w:r>
      <w:r>
        <w:rPr>
          <w:rFonts w:cstheme="minorHAnsi"/>
        </w:rPr>
        <w:t xml:space="preserve">prevalence </w:t>
      </w:r>
      <w:r w:rsidRPr="001E0FD7">
        <w:rPr>
          <w:rFonts w:cstheme="minorHAnsi"/>
        </w:rPr>
        <w:t xml:space="preserve">survey was designed to approximate the </w:t>
      </w:r>
      <w:r>
        <w:rPr>
          <w:rFonts w:cstheme="minorHAnsi"/>
        </w:rPr>
        <w:t xml:space="preserve">hospital </w:t>
      </w:r>
      <w:r w:rsidRPr="001E0FD7">
        <w:rPr>
          <w:rFonts w:cstheme="minorHAnsi"/>
        </w:rPr>
        <w:t>bed size distribution in the EIP sites as a whole, rather than the nation.</w:t>
      </w:r>
      <w:r>
        <w:rPr>
          <w:rFonts w:cstheme="minorHAnsi"/>
        </w:rPr>
        <w:t xml:space="preserve"> </w:t>
      </w:r>
      <w:r w:rsidRPr="001E0FD7">
        <w:rPr>
          <w:rFonts w:cstheme="minorHAnsi"/>
        </w:rPr>
        <w:t xml:space="preserve">However, when we compare </w:t>
      </w:r>
      <w:r>
        <w:rPr>
          <w:rFonts w:cstheme="minorHAnsi"/>
        </w:rPr>
        <w:t xml:space="preserve">selected </w:t>
      </w:r>
      <w:r w:rsidRPr="001E0FD7">
        <w:rPr>
          <w:rFonts w:cstheme="minorHAnsi"/>
        </w:rPr>
        <w:t>characteristics of hospitals included in the EIP survey, they are similar to characteristics of all acute care hospitals in the United States. For example</w:t>
      </w:r>
      <w:r>
        <w:rPr>
          <w:rFonts w:cstheme="minorHAnsi"/>
        </w:rPr>
        <w:t xml:space="preserve">, </w:t>
      </w:r>
      <w:r w:rsidRPr="001E0FD7">
        <w:rPr>
          <w:rFonts w:cstheme="minorHAnsi"/>
        </w:rPr>
        <w:t>staffed bed size</w:t>
      </w:r>
      <w:r>
        <w:rPr>
          <w:rFonts w:cstheme="minorHAnsi"/>
        </w:rPr>
        <w:t>, intensive care unit bed numbers, and the mean number of hospital epidemiologists</w:t>
      </w:r>
      <w:r w:rsidRPr="001E0FD7">
        <w:rPr>
          <w:rFonts w:cstheme="minorHAnsi"/>
        </w:rPr>
        <w:t xml:space="preserve"> in 2015 prevalence survey hospitals was similar to that of </w:t>
      </w:r>
      <w:r>
        <w:rPr>
          <w:rFonts w:cstheme="minorHAnsi"/>
        </w:rPr>
        <w:t>the 3883 acute care</w:t>
      </w:r>
      <w:r w:rsidRPr="001E0FD7">
        <w:rPr>
          <w:rFonts w:cstheme="minorHAnsi"/>
        </w:rPr>
        <w:t xml:space="preserve"> hospitals participating in </w:t>
      </w:r>
      <w:r>
        <w:rPr>
          <w:rFonts w:cstheme="minorHAnsi"/>
        </w:rPr>
        <w:t>the National Healthcare Safety Network (NHSN)</w:t>
      </w:r>
      <w:r w:rsidRPr="001E0FD7">
        <w:rPr>
          <w:rFonts w:cstheme="minorHAnsi"/>
        </w:rPr>
        <w:t xml:space="preserve"> in 2018. Hospital prevalence survey patients are also similar with respect to age distribution when compared </w:t>
      </w:r>
      <w:r>
        <w:rPr>
          <w:rFonts w:cstheme="minorHAnsi"/>
        </w:rPr>
        <w:t xml:space="preserve">to the National Inpatient Sample (NIS, Healthcare Cost and Utilization Project, Agency for Healthcare Research and Quality) (2015 prevalence survey: mean age 51 years, median age 58 years, interquartile range 32-73 years, vs. 2014 NIS: mean age 49, median age 52, interquartile range 31-71 years). Age has been shown to be an important risk factor for HAIs [3, 4]. Hospital length of stay, which has also been shown to be a risk factor for HAIs [3, 4], was longer among 2015 prevalence survey patients than in the NIS. This is an expected consequence of the prevalence survey method, which is biased toward inclusion of longer stay patients. Among 2015 prevalence survey patients, the median length of stay was 5 days (interquartile range 3-11 days), whereas in the 2014 NIS the median length of stay was 2.43 days (interquartile range 1.35-4.57 days). </w:t>
      </w:r>
    </w:p>
    <w:p w14:paraId="1870D6F4" w14:textId="77777777" w:rsidR="007872AC" w:rsidRDefault="007872AC" w:rsidP="007872AC"/>
    <w:p w14:paraId="3BF315E6" w14:textId="77777777" w:rsidR="007872AC" w:rsidRDefault="007872AC" w:rsidP="007872AC">
      <w:pPr>
        <w:autoSpaceDE w:val="0"/>
        <w:autoSpaceDN w:val="0"/>
        <w:adjustRightInd w:val="0"/>
        <w:contextualSpacing/>
        <w:rPr>
          <w:rFonts w:cstheme="minorHAnsi"/>
        </w:rPr>
      </w:pPr>
      <w:r>
        <w:rPr>
          <w:rFonts w:cstheme="minorHAnsi"/>
        </w:rPr>
        <w:t xml:space="preserve">In addition to burden estimation, a main objective of the </w:t>
      </w:r>
      <w:r w:rsidRPr="001E0FD7">
        <w:t>EIP HAI and AU Prevalence Survey</w:t>
      </w:r>
      <w:r>
        <w:t xml:space="preserve"> is to describe changes over time in HAI prevalence and antimicrobial use in hospitals. Overall, 183 hospitals participated in the 2011 survey and 199 hospitals in the 2015 survey; of these, 148 participated in both surveys. The large number of hospitals participating in both surveys facilitated comparisons of HAI prevalence and distribution in 2011 and 2015 [3]. We observed that the percentage of patients with HAIs in the 2015 survey was significantly lower than in the 2011 survey (2015: 3.2%, 95% confidence interval 2.9 to 2.5%, vs. 2011: 4.0%, 95% confidence interval 3.7 to 4.4%), suggesting progress in prevention of HAIs. Recognizing that even among the same group of hospitals, the characteristics of the hospitals and their inpatients may change over time and affect HAI prevalence, we performed multivariable log-binomial regression modeling to adjust for key differences between 2011 and 2015 hospitals and patients [3]. The final model adjusted for patient age, the presence of medical devices, hospital size, and days from hospital admission to the survey date. After adjusting for these factors, patients in the 2015 survey were 16% less likely to have an HAI than patients in the 2011 survey [3].</w:t>
      </w:r>
    </w:p>
    <w:p w14:paraId="779BE86D" w14:textId="77777777" w:rsidR="007872AC" w:rsidRDefault="007872AC" w:rsidP="007872AC">
      <w:pPr>
        <w:autoSpaceDE w:val="0"/>
        <w:autoSpaceDN w:val="0"/>
        <w:adjustRightInd w:val="0"/>
        <w:contextualSpacing/>
      </w:pPr>
    </w:p>
    <w:p w14:paraId="5B08F865" w14:textId="33308F91" w:rsidR="00773573" w:rsidRDefault="007872AC" w:rsidP="007872AC">
      <w:pPr>
        <w:autoSpaceDE w:val="0"/>
        <w:autoSpaceDN w:val="0"/>
        <w:adjustRightInd w:val="0"/>
        <w:contextualSpacing/>
        <w:rPr>
          <w:rFonts w:cstheme="minorHAnsi"/>
        </w:rPr>
      </w:pPr>
      <w:r>
        <w:t>Although the population of hospitals and patients included in the EIP HAI and AU Prevalence Surveys may not be nationally representative, a number of factors build confidence in the robustness and usefulness of the survey results. These include: 1) the similarity of the survey sample of hospitals and patients to the populations of hospitals and inpatients in the United States based on selected key characteristics; 2) participation of a large group of the same hospitals in the 2011 and the 2015 surveys; 3) adjustment for differences in survey hospitals and patients between 2011 and 2015; and 4) the multiple sensitivity analyses we performed [3].</w:t>
      </w:r>
      <w:r w:rsidR="00773573">
        <w:rPr>
          <w:rFonts w:cstheme="minorHAnsi"/>
        </w:rPr>
        <w:t xml:space="preserve"> </w:t>
      </w:r>
    </w:p>
    <w:p w14:paraId="0A47DC92" w14:textId="77777777" w:rsidR="00773573" w:rsidRDefault="00773573" w:rsidP="00686D3A"/>
    <w:p w14:paraId="39A509C9" w14:textId="723FA074" w:rsidR="001E06BE" w:rsidRPr="0009584F" w:rsidRDefault="007629F3" w:rsidP="00686D3A">
      <w:r w:rsidRPr="0009584F">
        <w:t>H</w:t>
      </w:r>
      <w:r w:rsidR="0014758B" w:rsidRPr="0009584F">
        <w:t xml:space="preserve">ospitals </w:t>
      </w:r>
      <w:r w:rsidR="00F940FF" w:rsidRPr="0009584F">
        <w:t>a</w:t>
      </w:r>
      <w:r w:rsidR="00182622" w:rsidRPr="0009584F">
        <w:t>re selected for participation using a stratified random sampling schem</w:t>
      </w:r>
      <w:r w:rsidR="0014758B" w:rsidRPr="0009584F">
        <w:t>e. General acute care hospitals</w:t>
      </w:r>
      <w:r w:rsidR="00182622" w:rsidRPr="0009584F">
        <w:t xml:space="preserve"> (including children’s hospitals) in each of the 10 EIP site catchment areas </w:t>
      </w:r>
      <w:r w:rsidR="00F940FF" w:rsidRPr="0009584F">
        <w:t>a</w:t>
      </w:r>
      <w:r w:rsidR="00182622" w:rsidRPr="0009584F">
        <w:t xml:space="preserve">re divided into three bed size strata: small (&lt;150 staffed beds), medium (150-399 staffed beds) and large (400+ staffed beds). </w:t>
      </w:r>
      <w:r w:rsidR="0014758B" w:rsidRPr="0009584F">
        <w:t>Hospitals</w:t>
      </w:r>
      <w:r w:rsidR="00182622" w:rsidRPr="0009584F">
        <w:t xml:space="preserve"> </w:t>
      </w:r>
      <w:r w:rsidR="00F940FF" w:rsidRPr="0009584F">
        <w:t>a</w:t>
      </w:r>
      <w:r w:rsidR="00182622" w:rsidRPr="0009584F">
        <w:t xml:space="preserve">re randomly selected for participation within each stratum, with a goal in each EIP site of recruiting </w:t>
      </w:r>
      <w:r w:rsidR="00686D3A" w:rsidRPr="0009584F">
        <w:t>25 hospitals: 13 small hospitals</w:t>
      </w:r>
      <w:r w:rsidR="006C5294" w:rsidRPr="0009584F">
        <w:t xml:space="preserve"> (52% </w:t>
      </w:r>
      <w:r w:rsidR="00DE2C60" w:rsidRPr="0009584F">
        <w:t xml:space="preserve">of </w:t>
      </w:r>
      <w:r w:rsidR="006C5294" w:rsidRPr="0009584F">
        <w:t>total)</w:t>
      </w:r>
      <w:r w:rsidR="00686D3A" w:rsidRPr="0009584F">
        <w:t>, 9 medium hospitals</w:t>
      </w:r>
      <w:r w:rsidR="006C5294" w:rsidRPr="0009584F">
        <w:t xml:space="preserve"> (36% of total)</w:t>
      </w:r>
      <w:r w:rsidR="00686D3A" w:rsidRPr="0009584F">
        <w:t>, and 3 large hospitals</w:t>
      </w:r>
      <w:r w:rsidR="006C5294" w:rsidRPr="0009584F">
        <w:t xml:space="preserve"> (12% of total)</w:t>
      </w:r>
      <w:r w:rsidR="00B91DAA" w:rsidRPr="0009584F">
        <w:t xml:space="preserve">. </w:t>
      </w:r>
      <w:r w:rsidR="00686D3A" w:rsidRPr="0009584F">
        <w:t xml:space="preserve">This distribution of hospitals approximates the distribution across the 10 EIP site catchment areas. </w:t>
      </w:r>
      <w:r w:rsidR="00B91DAA" w:rsidRPr="0009584F">
        <w:t xml:space="preserve">EIP sites may recruit </w:t>
      </w:r>
      <w:r w:rsidR="0014758B" w:rsidRPr="0009584F">
        <w:t>additional hospitals, for a total of 30.</w:t>
      </w:r>
    </w:p>
    <w:p w14:paraId="39A509CA" w14:textId="77777777" w:rsidR="001E06BE" w:rsidRPr="0009584F" w:rsidRDefault="001E06BE" w:rsidP="00686D3A"/>
    <w:p w14:paraId="39A509CB" w14:textId="0DFB75C2" w:rsidR="001E06BE" w:rsidRPr="0009584F" w:rsidRDefault="001E06BE" w:rsidP="00686D3A">
      <w:r w:rsidRPr="0009584F">
        <w:t xml:space="preserve">In some cases, EIP sites did not </w:t>
      </w:r>
      <w:r w:rsidR="0014758B" w:rsidRPr="0009584F">
        <w:t>meet the 25-hospital</w:t>
      </w:r>
      <w:r w:rsidRPr="0009584F">
        <w:t xml:space="preserve"> target </w:t>
      </w:r>
      <w:r w:rsidR="00F940FF" w:rsidRPr="0009584F">
        <w:t>in previous surveys</w:t>
      </w:r>
      <w:r w:rsidRPr="0009584F">
        <w:t>;</w:t>
      </w:r>
      <w:r w:rsidR="003C0B38" w:rsidRPr="0009584F">
        <w:t xml:space="preserve"> this may have been due to a limited number of </w:t>
      </w:r>
      <w:r w:rsidR="0014758B" w:rsidRPr="0009584F">
        <w:t>hospitals</w:t>
      </w:r>
      <w:r w:rsidRPr="0009584F">
        <w:t xml:space="preserve"> within a particular bed size stratum, or due to competing priorities and re</w:t>
      </w:r>
      <w:r w:rsidR="0014758B" w:rsidRPr="0009584F">
        <w:t>source limitations of hospitals</w:t>
      </w:r>
      <w:r w:rsidRPr="0009584F">
        <w:t xml:space="preserve"> selected for participation. EIP sites establish the catchment areas they use for the prevalence survey based on catchment areas used for other EIP surveillance projects. In some cases, EIP sites expanded to additional counties or to the entire state to increase the</w:t>
      </w:r>
      <w:r w:rsidR="00DD6CB3" w:rsidRPr="0009584F">
        <w:t>ir</w:t>
      </w:r>
      <w:r w:rsidR="0014758B" w:rsidRPr="0009584F">
        <w:t xml:space="preserve"> number of eligible hospitals</w:t>
      </w:r>
      <w:r w:rsidRPr="0009584F">
        <w:t>. The decision as to whether an individual EIP site expand</w:t>
      </w:r>
      <w:r w:rsidR="00F940FF" w:rsidRPr="0009584F">
        <w:t>s</w:t>
      </w:r>
      <w:r w:rsidRPr="0009584F">
        <w:t xml:space="preserve"> its catchment area </w:t>
      </w:r>
      <w:r w:rsidR="00F940FF" w:rsidRPr="0009584F">
        <w:t xml:space="preserve">is </w:t>
      </w:r>
      <w:r w:rsidR="00DD6CB3" w:rsidRPr="0009584F">
        <w:t xml:space="preserve">made by the </w:t>
      </w:r>
      <w:r w:rsidRPr="0009584F">
        <w:t>EIP site</w:t>
      </w:r>
      <w:r w:rsidR="00773573">
        <w:t xml:space="preserve"> in consultation with CDC, and depends on resources available from CDC to support the expansion</w:t>
      </w:r>
      <w:r w:rsidRPr="0009584F">
        <w:t xml:space="preserve">. </w:t>
      </w:r>
      <w:r w:rsidR="00F940FF" w:rsidRPr="0009584F">
        <w:t>In the 20</w:t>
      </w:r>
      <w:r w:rsidR="00DD6CB3" w:rsidRPr="0009584F">
        <w:t xml:space="preserve">15 survey, </w:t>
      </w:r>
      <w:r w:rsidR="00FF646F" w:rsidRPr="0009584F">
        <w:t xml:space="preserve">148 </w:t>
      </w:r>
      <w:r w:rsidR="00F94744" w:rsidRPr="0009584F">
        <w:t>of 199</w:t>
      </w:r>
      <w:r w:rsidR="00F940FF" w:rsidRPr="0009584F">
        <w:t xml:space="preserve"> participating hospitals (</w:t>
      </w:r>
      <w:r w:rsidR="00FF646F" w:rsidRPr="0009584F">
        <w:t>74</w:t>
      </w:r>
      <w:r w:rsidR="00F940FF" w:rsidRPr="0009584F">
        <w:t>%) had previously participated in the 2011 survey; 2011 survey participants were prioritized for 2015 participation</w:t>
      </w:r>
      <w:r w:rsidR="008306E4" w:rsidRPr="0009584F">
        <w:t xml:space="preserve"> [</w:t>
      </w:r>
      <w:r w:rsidR="007872AC">
        <w:t>3</w:t>
      </w:r>
      <w:r w:rsidR="008306E4" w:rsidRPr="0009584F">
        <w:t>]</w:t>
      </w:r>
      <w:r w:rsidR="00E001C2" w:rsidRPr="0009584F">
        <w:t xml:space="preserve">. </w:t>
      </w:r>
    </w:p>
    <w:p w14:paraId="39A509D1" w14:textId="77777777" w:rsidR="00E469EB" w:rsidRPr="0009584F" w:rsidRDefault="00E469EB" w:rsidP="00686D3A"/>
    <w:p w14:paraId="39A509D3" w14:textId="02E15172" w:rsidR="00C3696A" w:rsidRPr="0009584F" w:rsidRDefault="001E06BE" w:rsidP="00686D3A">
      <w:r w:rsidRPr="0009584F">
        <w:t>Because a goal of the prevalence survey</w:t>
      </w:r>
      <w:r w:rsidR="007444F8" w:rsidRPr="0009584F">
        <w:t xml:space="preserve"> </w:t>
      </w:r>
      <w:r w:rsidRPr="0009584F">
        <w:t xml:space="preserve">is to assess changes in </w:t>
      </w:r>
      <w:r w:rsidR="00DD6CB3" w:rsidRPr="0009584F">
        <w:t>Healthcare-Associated Infections (</w:t>
      </w:r>
      <w:r w:rsidRPr="0009584F">
        <w:t>HAI</w:t>
      </w:r>
      <w:r w:rsidR="00DD6CB3" w:rsidRPr="0009584F">
        <w:t>s)</w:t>
      </w:r>
      <w:r w:rsidRPr="0009584F">
        <w:t xml:space="preserve"> a</w:t>
      </w:r>
      <w:r w:rsidR="00DD6CB3" w:rsidRPr="0009584F">
        <w:t>nd Antimicrobial U</w:t>
      </w:r>
      <w:r w:rsidRPr="0009584F">
        <w:t>se</w:t>
      </w:r>
      <w:r w:rsidR="00DD6CB3" w:rsidRPr="0009584F">
        <w:t xml:space="preserve"> (AU)</w:t>
      </w:r>
      <w:r w:rsidRPr="0009584F">
        <w:t xml:space="preserve"> prevalence and distribution over time, </w:t>
      </w:r>
      <w:r w:rsidR="00DD6CB3" w:rsidRPr="0009584F">
        <w:t>in 2020</w:t>
      </w:r>
      <w:r w:rsidR="00711C01" w:rsidRPr="0009584F">
        <w:t xml:space="preserve"> </w:t>
      </w:r>
      <w:r w:rsidR="005C0163" w:rsidRPr="0009584F">
        <w:t>EIP sites will seek participation f</w:t>
      </w:r>
      <w:r w:rsidR="0014758B" w:rsidRPr="0009584F">
        <w:t>rom the same group of hospitals</w:t>
      </w:r>
      <w:r w:rsidR="005C0163" w:rsidRPr="0009584F">
        <w:t xml:space="preserve"> </w:t>
      </w:r>
      <w:r w:rsidR="00AC6AFD" w:rsidRPr="0009584F">
        <w:t>that participated</w:t>
      </w:r>
      <w:r w:rsidR="005C0163" w:rsidRPr="0009584F">
        <w:t xml:space="preserve"> in </w:t>
      </w:r>
      <w:r w:rsidR="00F940FF" w:rsidRPr="0009584F">
        <w:t>the 2011 and 2015 surveys</w:t>
      </w:r>
      <w:r w:rsidR="005C0163" w:rsidRPr="0009584F">
        <w:t xml:space="preserve">. In addition, each EIP site </w:t>
      </w:r>
      <w:r w:rsidR="00DD6CB3" w:rsidRPr="0009584F">
        <w:t xml:space="preserve">will have the option to recruit </w:t>
      </w:r>
      <w:r w:rsidR="0014758B" w:rsidRPr="0009584F">
        <w:t>additional hospitals</w:t>
      </w:r>
      <w:r w:rsidR="00AC6AFD" w:rsidRPr="0009584F">
        <w:t xml:space="preserve">, for a total of </w:t>
      </w:r>
      <w:r w:rsidR="005C0163" w:rsidRPr="0009584F">
        <w:t xml:space="preserve">up to </w:t>
      </w:r>
      <w:r w:rsidR="00B91DAA" w:rsidRPr="0009584F">
        <w:t>30</w:t>
      </w:r>
      <w:r w:rsidR="0014758B" w:rsidRPr="0009584F">
        <w:t xml:space="preserve"> hospitals</w:t>
      </w:r>
      <w:r w:rsidR="00AC6AFD" w:rsidRPr="0009584F">
        <w:t xml:space="preserve"> per EIP site. </w:t>
      </w:r>
      <w:r w:rsidR="00A46D5B" w:rsidRPr="0009584F">
        <w:t>EIP sites that did not expand</w:t>
      </w:r>
      <w:r w:rsidR="00DD6CB3" w:rsidRPr="0009584F">
        <w:t xml:space="preserve"> their catchment areas</w:t>
      </w:r>
      <w:r w:rsidR="00A46D5B" w:rsidRPr="0009584F">
        <w:t xml:space="preserve"> state-wide in </w:t>
      </w:r>
      <w:r w:rsidR="00F940FF" w:rsidRPr="0009584F">
        <w:t>previous surveys</w:t>
      </w:r>
      <w:r w:rsidR="00A46D5B" w:rsidRPr="0009584F">
        <w:t xml:space="preserve"> </w:t>
      </w:r>
      <w:r w:rsidR="00DD6CB3" w:rsidRPr="0009584F">
        <w:t xml:space="preserve">will again </w:t>
      </w:r>
      <w:r w:rsidR="006935C9" w:rsidRPr="0009584F">
        <w:t>have the option to do so</w:t>
      </w:r>
      <w:r w:rsidR="00A46D5B" w:rsidRPr="0009584F">
        <w:t>, wher</w:t>
      </w:r>
      <w:r w:rsidR="00DD6CB3" w:rsidRPr="0009584F">
        <w:t>e possible, in the next survey</w:t>
      </w:r>
      <w:r w:rsidR="00F70F6A" w:rsidRPr="0009584F">
        <w:t>. W</w:t>
      </w:r>
      <w:r w:rsidR="006935C9" w:rsidRPr="0009584F">
        <w:t xml:space="preserve">here state-wide expansion is not feasible, EIP sites </w:t>
      </w:r>
      <w:r w:rsidR="00DD6CB3" w:rsidRPr="0009584F">
        <w:t xml:space="preserve">will </w:t>
      </w:r>
      <w:r w:rsidR="006935C9" w:rsidRPr="0009584F">
        <w:t>also have the option</w:t>
      </w:r>
      <w:r w:rsidR="00773573">
        <w:t xml:space="preserve">, depending on resources, </w:t>
      </w:r>
      <w:r w:rsidR="006935C9" w:rsidRPr="0009584F">
        <w:t>to increase the number of counties included in the</w:t>
      </w:r>
      <w:r w:rsidR="00DD6CB3" w:rsidRPr="0009584F">
        <w:t>ir</w:t>
      </w:r>
      <w:r w:rsidR="006935C9" w:rsidRPr="0009584F">
        <w:t xml:space="preserve"> catchment area</w:t>
      </w:r>
      <w:r w:rsidR="00DD6CB3" w:rsidRPr="0009584F">
        <w:t>s</w:t>
      </w:r>
      <w:r w:rsidR="00A46D5B" w:rsidRPr="0009584F">
        <w:t xml:space="preserve">. </w:t>
      </w:r>
    </w:p>
    <w:p w14:paraId="39A509D4" w14:textId="77777777" w:rsidR="00C3696A" w:rsidRPr="0009584F" w:rsidRDefault="00C3696A" w:rsidP="00C3696A"/>
    <w:p w14:paraId="39A509D5" w14:textId="260C46E0" w:rsidR="00C3696A" w:rsidRPr="0009584F" w:rsidRDefault="00F940FF" w:rsidP="00AC6AFD">
      <w:r w:rsidRPr="0009584F">
        <w:t>Hospital p</w:t>
      </w:r>
      <w:r w:rsidR="00C3696A" w:rsidRPr="0009584F">
        <w:t>articipati</w:t>
      </w:r>
      <w:r w:rsidR="00A52E57" w:rsidRPr="0009584F">
        <w:t xml:space="preserve">on in the survey is voluntary. </w:t>
      </w:r>
      <w:r w:rsidR="00C3696A" w:rsidRPr="0009584F">
        <w:t xml:space="preserve">EIP </w:t>
      </w:r>
      <w:r w:rsidR="00DD6CB3" w:rsidRPr="0009584F">
        <w:t xml:space="preserve">site </w:t>
      </w:r>
      <w:r w:rsidR="00C3696A" w:rsidRPr="0009584F">
        <w:t>personnel will recruit</w:t>
      </w:r>
      <w:r w:rsidR="0014758B" w:rsidRPr="0009584F">
        <w:t xml:space="preserve"> hospitals</w:t>
      </w:r>
      <w:r w:rsidR="00DD6CB3" w:rsidRPr="0009584F">
        <w:t xml:space="preserve"> to participate via</w:t>
      </w:r>
      <w:r w:rsidR="00C3696A" w:rsidRPr="0009584F">
        <w:t xml:space="preserve"> email, </w:t>
      </w:r>
      <w:r w:rsidR="00DD6CB3" w:rsidRPr="0009584F">
        <w:t>mail, telephone, fax,</w:t>
      </w:r>
      <w:r w:rsidR="00C3696A" w:rsidRPr="0009584F">
        <w:t xml:space="preserve"> and in-person communications</w:t>
      </w:r>
      <w:r w:rsidR="00A52E57" w:rsidRPr="0009584F">
        <w:t>.</w:t>
      </w:r>
      <w:r w:rsidR="00B91DAA" w:rsidRPr="0009584F">
        <w:t xml:space="preserve"> </w:t>
      </w:r>
      <w:r w:rsidR="001C0E8D" w:rsidRPr="0009584F">
        <w:t>An example of an informational document provided to facilities participating in the 2015 survey is included in Part A, Attachment M. This informational document will be updated for the 2020 hospital survey.</w:t>
      </w:r>
      <w:r w:rsidR="00A52E57" w:rsidRPr="0009584F">
        <w:t xml:space="preserve"> </w:t>
      </w:r>
      <w:r w:rsidR="00C3696A" w:rsidRPr="0009584F">
        <w:t>Based on the long-standing relationships</w:t>
      </w:r>
      <w:r w:rsidR="00DD6CB3" w:rsidRPr="0009584F">
        <w:t xml:space="preserve"> that EIP sites have with </w:t>
      </w:r>
      <w:r w:rsidR="0014758B" w:rsidRPr="0009584F">
        <w:t>hospitals</w:t>
      </w:r>
      <w:r w:rsidR="00DD6CB3" w:rsidRPr="0009584F">
        <w:t xml:space="preserve"> in their catchment areas</w:t>
      </w:r>
      <w:r w:rsidR="00C3696A" w:rsidRPr="0009584F">
        <w:t>, a</w:t>
      </w:r>
      <w:r w:rsidR="0014758B" w:rsidRPr="0009584F">
        <w:t>nd based on the response from hospitals</w:t>
      </w:r>
      <w:r w:rsidR="00DD6CB3" w:rsidRPr="0009584F">
        <w:t xml:space="preserve"> that previously participated</w:t>
      </w:r>
      <w:r w:rsidR="00C3696A" w:rsidRPr="0009584F">
        <w:t xml:space="preserve">, we anticipate that we </w:t>
      </w:r>
      <w:r w:rsidR="00DD6CB3" w:rsidRPr="0009584F">
        <w:t xml:space="preserve">will meet our recruitment goals in 2020. </w:t>
      </w:r>
    </w:p>
    <w:p w14:paraId="0A075127" w14:textId="77777777" w:rsidR="00DD6CB3" w:rsidRPr="0009584F" w:rsidRDefault="00DD6CB3" w:rsidP="00AC6AFD"/>
    <w:p w14:paraId="39A509D7" w14:textId="301F793A" w:rsidR="006B3587" w:rsidRPr="0009584F" w:rsidRDefault="003D75A5" w:rsidP="006B3587">
      <w:r w:rsidRPr="0009584F">
        <w:t>In the survey, d</w:t>
      </w:r>
      <w:r w:rsidR="00C3696A" w:rsidRPr="0009584F">
        <w:t>ata will be collected on a sample of eligible acute care inpatient</w:t>
      </w:r>
      <w:r w:rsidR="0014758B" w:rsidRPr="0009584F">
        <w:t>s in each participating hospital</w:t>
      </w:r>
      <w:r w:rsidR="00C3696A" w:rsidRPr="0009584F">
        <w:t xml:space="preserve">.  Patients will be randomly selected from the acute care </w:t>
      </w:r>
      <w:r w:rsidR="00EF1440" w:rsidRPr="0009584F">
        <w:t>in</w:t>
      </w:r>
      <w:r w:rsidR="00C3696A" w:rsidRPr="0009584F">
        <w:t>patient population in ea</w:t>
      </w:r>
      <w:r w:rsidR="0014758B" w:rsidRPr="0009584F">
        <w:t xml:space="preserve">ch hospital on the </w:t>
      </w:r>
      <w:r w:rsidR="00C3696A" w:rsidRPr="0009584F">
        <w:t xml:space="preserve">survey date. </w:t>
      </w:r>
      <w:r w:rsidR="00A52E57" w:rsidRPr="0009584F">
        <w:t xml:space="preserve"> </w:t>
      </w:r>
      <w:r w:rsidR="00C6030B" w:rsidRPr="0009584F">
        <w:t>T</w:t>
      </w:r>
      <w:r w:rsidR="00355330" w:rsidRPr="0009584F">
        <w:t>o allow for comparisons of da</w:t>
      </w:r>
      <w:r w:rsidR="00C6030B" w:rsidRPr="0009584F">
        <w:t xml:space="preserve">ta collected in the </w:t>
      </w:r>
      <w:r w:rsidR="00F940FF" w:rsidRPr="0009584F">
        <w:t>previous phases</w:t>
      </w:r>
      <w:r w:rsidR="00355330" w:rsidRPr="0009584F">
        <w:t xml:space="preserve">, </w:t>
      </w:r>
      <w:r w:rsidR="0014758B" w:rsidRPr="0009584F">
        <w:t>in</w:t>
      </w:r>
      <w:r w:rsidR="00A52E57" w:rsidRPr="0009584F">
        <w:t>patient s</w:t>
      </w:r>
      <w:r w:rsidR="00C3696A" w:rsidRPr="0009584F">
        <w:t xml:space="preserve">ample size targets will </w:t>
      </w:r>
      <w:r w:rsidR="0014758B" w:rsidRPr="0009584F">
        <w:t>be established for each hospital</w:t>
      </w:r>
      <w:r w:rsidR="00C3696A" w:rsidRPr="0009584F">
        <w:t xml:space="preserve"> based on </w:t>
      </w:r>
      <w:r w:rsidR="00A52E57" w:rsidRPr="0009584F">
        <w:t>the number</w:t>
      </w:r>
      <w:r w:rsidR="00C3696A" w:rsidRPr="0009584F">
        <w:t xml:space="preserve"> of </w:t>
      </w:r>
      <w:r w:rsidR="00A52E57" w:rsidRPr="0009584F">
        <w:t xml:space="preserve">staffed </w:t>
      </w:r>
      <w:r w:rsidR="00C3696A" w:rsidRPr="0009584F">
        <w:t>acu</w:t>
      </w:r>
      <w:r w:rsidR="00C6030B" w:rsidRPr="0009584F">
        <w:t xml:space="preserve">te care beds in the </w:t>
      </w:r>
      <w:r w:rsidR="0014758B" w:rsidRPr="0009584F">
        <w:t>hospital</w:t>
      </w:r>
      <w:r w:rsidR="0035332F" w:rsidRPr="0009584F">
        <w:t xml:space="preserve">. </w:t>
      </w:r>
      <w:r w:rsidR="00C6030B" w:rsidRPr="0009584F">
        <w:t xml:space="preserve">Based on experience in prior surveys, having a fixed number of </w:t>
      </w:r>
      <w:r w:rsidR="0014758B" w:rsidRPr="0009584F">
        <w:t>in</w:t>
      </w:r>
      <w:r w:rsidR="00C6030B" w:rsidRPr="0009584F">
        <w:t>patients’ medical records to review per hospital makes resource planning and allocation easier for hospitals and EIP site personnel. In 2020, s</w:t>
      </w:r>
      <w:r w:rsidR="00A52E57" w:rsidRPr="0009584F">
        <w:t xml:space="preserve">mall and medium hospitals </w:t>
      </w:r>
      <w:r w:rsidR="00C6030B" w:rsidRPr="0009584F">
        <w:t xml:space="preserve">will be </w:t>
      </w:r>
      <w:r w:rsidR="00E34135" w:rsidRPr="0009584F">
        <w:t>asked to</w:t>
      </w:r>
      <w:r w:rsidR="00A52E57" w:rsidRPr="0009584F">
        <w:t xml:space="preserve"> review medical records of 75 randomly-selected acute care inpatients (or the total number of acute care inpatients, where the number is &lt;75). </w:t>
      </w:r>
      <w:r w:rsidR="0035332F" w:rsidRPr="0009584F">
        <w:t xml:space="preserve">Large hospitals </w:t>
      </w:r>
      <w:r w:rsidR="00C6030B" w:rsidRPr="0009584F">
        <w:t>will be</w:t>
      </w:r>
      <w:r w:rsidR="00E34135" w:rsidRPr="0009584F">
        <w:t xml:space="preserve"> asked to </w:t>
      </w:r>
      <w:r w:rsidR="0035332F" w:rsidRPr="0009584F">
        <w:t>review medical records of 100 randomly-selected acute care inpatients.</w:t>
      </w:r>
      <w:r w:rsidR="0014758B" w:rsidRPr="0009584F">
        <w:t xml:space="preserve"> This is the same approach applied in 2015.</w:t>
      </w:r>
      <w:r w:rsidR="0035332F" w:rsidRPr="0009584F">
        <w:t xml:space="preserve"> </w:t>
      </w:r>
      <w:r w:rsidR="00FF646F" w:rsidRPr="0009584F">
        <w:t>If it becomes necessary to reduce the survey sample due to resource limitations, hospitals may be asked to review a slightly smaller number of patients than noted above.</w:t>
      </w:r>
    </w:p>
    <w:p w14:paraId="39A509D8" w14:textId="77777777" w:rsidR="0035332F" w:rsidRPr="0009584F" w:rsidRDefault="0035332F" w:rsidP="00C3696A"/>
    <w:p w14:paraId="39A509D9" w14:textId="3C35ABEC" w:rsidR="00C3696A" w:rsidRPr="0009584F" w:rsidRDefault="0035332F" w:rsidP="00C3696A">
      <w:r w:rsidRPr="0009584F">
        <w:t>To assist in generation of the</w:t>
      </w:r>
      <w:r w:rsidR="0014758B" w:rsidRPr="0009584F">
        <w:t xml:space="preserve"> random sample, hospitals</w:t>
      </w:r>
      <w:r w:rsidR="00C3696A" w:rsidRPr="0009584F">
        <w:t xml:space="preserve"> will supply lists of </w:t>
      </w:r>
      <w:r w:rsidR="00A52E57" w:rsidRPr="0009584F">
        <w:t>staffed</w:t>
      </w:r>
      <w:r w:rsidR="00C3696A" w:rsidRPr="0009584F">
        <w:t xml:space="preserve"> bed numbers (those beds that could potentially hold eligible </w:t>
      </w:r>
      <w:r w:rsidR="0014758B" w:rsidRPr="0009584F">
        <w:t>in</w:t>
      </w:r>
      <w:r w:rsidR="00C3696A" w:rsidRPr="0009584F">
        <w:t>patients)</w:t>
      </w:r>
      <w:r w:rsidR="00C6030B" w:rsidRPr="0009584F">
        <w:t xml:space="preserve"> to EIP site personnel</w:t>
      </w:r>
      <w:r w:rsidR="00C3696A" w:rsidRPr="0009584F">
        <w:t xml:space="preserve"> in advance of the survey date; these lists will be randomly sorted using a random number generator tool.  The randomly sorted bed</w:t>
      </w:r>
      <w:r w:rsidR="00A52E57" w:rsidRPr="0009584F">
        <w:t xml:space="preserve"> number</w:t>
      </w:r>
      <w:r w:rsidR="00C3696A" w:rsidRPr="0009584F">
        <w:t xml:space="preserve"> list</w:t>
      </w:r>
      <w:r w:rsidR="0014758B" w:rsidRPr="0009584F">
        <w:t xml:space="preserve"> will be matched to the hospital</w:t>
      </w:r>
      <w:r w:rsidR="00C3696A" w:rsidRPr="0009584F">
        <w:t xml:space="preserve">’s </w:t>
      </w:r>
      <w:r w:rsidR="0014758B" w:rsidRPr="0009584F">
        <w:t>in</w:t>
      </w:r>
      <w:r w:rsidR="00C3696A" w:rsidRPr="0009584F">
        <w:t xml:space="preserve">patient census list </w:t>
      </w:r>
      <w:r w:rsidR="00A52E57" w:rsidRPr="0009584F">
        <w:t xml:space="preserve">on the morning of the survey. </w:t>
      </w:r>
      <w:r w:rsidR="00C3696A" w:rsidRPr="0009584F">
        <w:t xml:space="preserve">Medical records will be reviewed for each </w:t>
      </w:r>
      <w:r w:rsidR="0014758B" w:rsidRPr="0009584F">
        <w:t>in</w:t>
      </w:r>
      <w:r w:rsidR="00C3696A" w:rsidRPr="0009584F">
        <w:t>patient on the census list occupying a bed included in the randomly sorted bed number list,</w:t>
      </w:r>
      <w:r w:rsidRPr="0009584F">
        <w:t xml:space="preserve"> up to the target sample size</w:t>
      </w:r>
      <w:r w:rsidR="0014758B" w:rsidRPr="0009584F">
        <w:t xml:space="preserve"> for the hospital</w:t>
      </w:r>
      <w:r w:rsidRPr="0009584F">
        <w:t xml:space="preserve">. </w:t>
      </w:r>
      <w:r w:rsidR="00C3696A" w:rsidRPr="0009584F">
        <w:t xml:space="preserve">Patients in outpatient </w:t>
      </w:r>
      <w:r w:rsidR="0014758B" w:rsidRPr="0009584F">
        <w:t xml:space="preserve">areas of hospitals </w:t>
      </w:r>
      <w:r w:rsidR="00C3696A" w:rsidRPr="0009584F">
        <w:t>will be excluded.</w:t>
      </w:r>
    </w:p>
    <w:p w14:paraId="39A509DA" w14:textId="77777777" w:rsidR="00C3696A" w:rsidRPr="0009584F" w:rsidRDefault="00C3696A" w:rsidP="00C3696A">
      <w:pPr>
        <w:ind w:left="720" w:hanging="720"/>
      </w:pPr>
    </w:p>
    <w:p w14:paraId="39A509DB" w14:textId="77777777" w:rsidR="00C3696A" w:rsidRPr="0009584F" w:rsidRDefault="00C3696A" w:rsidP="00B45413">
      <w:pPr>
        <w:pStyle w:val="Heading1"/>
      </w:pPr>
      <w:bookmarkStart w:id="9" w:name="_Toc455558892"/>
      <w:r w:rsidRPr="0009584F">
        <w:t>2.   Procedures for the Collection of Information</w:t>
      </w:r>
      <w:bookmarkEnd w:id="9"/>
    </w:p>
    <w:p w14:paraId="39A509DC" w14:textId="77777777" w:rsidR="0035332F" w:rsidRPr="0009584F" w:rsidRDefault="0035332F" w:rsidP="00C3696A">
      <w:pPr>
        <w:rPr>
          <w:b/>
        </w:rPr>
      </w:pPr>
    </w:p>
    <w:p w14:paraId="39A509DD" w14:textId="751E5B9F" w:rsidR="006911E3" w:rsidRPr="0009584F" w:rsidRDefault="0014758B" w:rsidP="00C3696A">
      <w:r w:rsidRPr="0009584F">
        <w:t>Hospitals</w:t>
      </w:r>
      <w:r w:rsidR="00D43F10" w:rsidRPr="0009584F">
        <w:t xml:space="preserve"> will be selected </w:t>
      </w:r>
      <w:r w:rsidR="006911E3" w:rsidRPr="0009584F">
        <w:t xml:space="preserve">through a stratified random </w:t>
      </w:r>
      <w:r w:rsidRPr="0009584F">
        <w:t>sampling process, based on hospital</w:t>
      </w:r>
      <w:r w:rsidR="006911E3" w:rsidRPr="0009584F">
        <w:t xml:space="preserve"> staff</w:t>
      </w:r>
      <w:r w:rsidR="004703DD" w:rsidRPr="0009584F">
        <w:t>ed</w:t>
      </w:r>
      <w:r w:rsidR="006911E3" w:rsidRPr="0009584F">
        <w:t xml:space="preserve"> bed size. Patients</w:t>
      </w:r>
      <w:r w:rsidRPr="0009584F">
        <w:t xml:space="preserve"> within participating hospitals</w:t>
      </w:r>
      <w:r w:rsidR="006911E3" w:rsidRPr="0009584F">
        <w:t xml:space="preserve"> will be randomly selected from the morning inpatient census on the survey date</w:t>
      </w:r>
      <w:r w:rsidR="00B16C33" w:rsidRPr="0009584F">
        <w:t xml:space="preserve"> as described in Section B.1</w:t>
      </w:r>
      <w:r w:rsidR="006911E3" w:rsidRPr="0009584F">
        <w:t xml:space="preserve">. </w:t>
      </w:r>
    </w:p>
    <w:p w14:paraId="39A509DE" w14:textId="77777777" w:rsidR="006911E3" w:rsidRPr="0009584F" w:rsidRDefault="006911E3" w:rsidP="00C3696A"/>
    <w:p w14:paraId="39A509DF" w14:textId="182AEEA8" w:rsidR="00871E65" w:rsidRPr="0009584F" w:rsidRDefault="00C3696A" w:rsidP="00871E65">
      <w:r w:rsidRPr="0009584F">
        <w:t xml:space="preserve">The sample size formula for random samples can be used to </w:t>
      </w:r>
      <w:r w:rsidR="006911E3" w:rsidRPr="0009584F">
        <w:t>estimate the</w:t>
      </w:r>
      <w:r w:rsidRPr="0009584F">
        <w:t xml:space="preserve"> number of </w:t>
      </w:r>
      <w:r w:rsidR="0014758B" w:rsidRPr="0009584F">
        <w:t>in</w:t>
      </w:r>
      <w:r w:rsidRPr="0009584F">
        <w:t>patients targeted for inclusion in t</w:t>
      </w:r>
      <w:r w:rsidR="00871E65" w:rsidRPr="0009584F">
        <w:t>he survey across all EIP sites:</w:t>
      </w:r>
    </w:p>
    <w:p w14:paraId="39A509E0" w14:textId="77777777" w:rsidR="00871E65" w:rsidRPr="0009584F" w:rsidRDefault="00871E65" w:rsidP="00871E65"/>
    <w:p w14:paraId="39A509E1" w14:textId="77777777" w:rsidR="00871E65" w:rsidRPr="0009584F" w:rsidRDefault="00871E65" w:rsidP="00871E65">
      <w:r w:rsidRPr="0009584F">
        <w:t xml:space="preserve">N ≥   </w:t>
      </w:r>
      <w:r w:rsidRPr="0009584F">
        <w:rPr>
          <w:u w:val="single"/>
        </w:rPr>
        <w:t>Zα/2</w:t>
      </w:r>
      <w:r w:rsidRPr="0009584F">
        <w:t xml:space="preserve"> </w:t>
      </w:r>
      <w:r w:rsidRPr="0009584F">
        <w:rPr>
          <w:vertAlign w:val="superscript"/>
        </w:rPr>
        <w:t>2</w:t>
      </w:r>
      <w:r w:rsidRPr="0009584F">
        <w:t xml:space="preserve">  x P x (1-P)</w:t>
      </w:r>
    </w:p>
    <w:p w14:paraId="39A509E2" w14:textId="77777777" w:rsidR="00871E65" w:rsidRPr="0009584F" w:rsidRDefault="00871E65" w:rsidP="00871E65">
      <w:pPr>
        <w:rPr>
          <w:i/>
        </w:rPr>
      </w:pPr>
      <w:r w:rsidRPr="0009584F">
        <w:t xml:space="preserve">           </w:t>
      </w:r>
      <w:r w:rsidRPr="0009584F">
        <w:rPr>
          <w:i/>
        </w:rPr>
        <w:t>m</w:t>
      </w:r>
    </w:p>
    <w:p w14:paraId="39A509E3" w14:textId="77777777" w:rsidR="00871E65" w:rsidRPr="0009584F" w:rsidRDefault="00871E65" w:rsidP="00871E65"/>
    <w:p w14:paraId="39A509E4" w14:textId="37FDECF0" w:rsidR="003D75A5" w:rsidRPr="0009584F" w:rsidRDefault="00871E65" w:rsidP="00871E65">
      <w:r w:rsidRPr="0009584F">
        <w:t xml:space="preserve">where Zα/2 = 1.96, P = expected proportion of </w:t>
      </w:r>
      <w:r w:rsidR="0014758B" w:rsidRPr="0009584F">
        <w:t>in</w:t>
      </w:r>
      <w:r w:rsidRPr="0009584F">
        <w:t xml:space="preserve">patients with HAIs (or </w:t>
      </w:r>
      <w:r w:rsidR="003D75A5" w:rsidRPr="0009584F">
        <w:t xml:space="preserve">for whom </w:t>
      </w:r>
      <w:r w:rsidRPr="0009584F">
        <w:t>antimicrobials</w:t>
      </w:r>
      <w:r w:rsidR="003D75A5" w:rsidRPr="0009584F">
        <w:t xml:space="preserve"> were incorrectly prescribed</w:t>
      </w:r>
      <w:r w:rsidRPr="0009584F">
        <w:t xml:space="preserve">), and </w:t>
      </w:r>
      <w:r w:rsidRPr="0009584F">
        <w:rPr>
          <w:i/>
        </w:rPr>
        <w:t>m</w:t>
      </w:r>
      <w:r w:rsidRPr="0009584F">
        <w:t xml:space="preserve"> = precision of the estimate (half the width of the desired confidence interval). </w:t>
      </w:r>
    </w:p>
    <w:p w14:paraId="39A509EC" w14:textId="77777777" w:rsidR="00A31D28" w:rsidRPr="0009584F" w:rsidRDefault="00A31D28" w:rsidP="00A31D28"/>
    <w:p w14:paraId="3F8339DE" w14:textId="66286F18" w:rsidR="00C051AF" w:rsidRPr="0009584F" w:rsidRDefault="00507723" w:rsidP="00871E65">
      <w:r w:rsidRPr="0009584F">
        <w:t xml:space="preserve">In </w:t>
      </w:r>
      <w:r w:rsidR="00DE4E01" w:rsidRPr="0009584F">
        <w:t>previous survey</w:t>
      </w:r>
      <w:r w:rsidRPr="0009584F">
        <w:t xml:space="preserve">s, </w:t>
      </w:r>
      <w:r w:rsidR="00DC6D40" w:rsidRPr="0009584F">
        <w:t>we based th</w:t>
      </w:r>
      <w:r w:rsidR="003D75A5" w:rsidRPr="0009584F">
        <w:t>e sample size</w:t>
      </w:r>
      <w:r w:rsidR="00DC6D40" w:rsidRPr="0009584F">
        <w:t xml:space="preserve"> calculation on a desired precision in the </w:t>
      </w:r>
      <w:r w:rsidR="00871E65" w:rsidRPr="0009584F">
        <w:t xml:space="preserve">overall </w:t>
      </w:r>
      <w:r w:rsidR="00DC6D40" w:rsidRPr="0009584F">
        <w:t>HAI prevalence estimate of +/- 1%</w:t>
      </w:r>
      <w:r w:rsidR="0088790C" w:rsidRPr="0009584F">
        <w:t xml:space="preserve"> and an estimated HAI prevalence of 7%</w:t>
      </w:r>
      <w:r w:rsidR="00DC6D40" w:rsidRPr="0009584F">
        <w:t xml:space="preserve">. The number of </w:t>
      </w:r>
      <w:r w:rsidR="0014758B" w:rsidRPr="0009584F">
        <w:t>in</w:t>
      </w:r>
      <w:r w:rsidR="00DC6D40" w:rsidRPr="0009584F">
        <w:t xml:space="preserve">patients necessary </w:t>
      </w:r>
      <w:r w:rsidR="00871E65" w:rsidRPr="0009584F">
        <w:t>to achieve this precision was 2</w:t>
      </w:r>
      <w:r w:rsidR="00DC6D40" w:rsidRPr="0009584F">
        <w:t>500. To increase the utility of data for an individual state health department</w:t>
      </w:r>
      <w:r w:rsidR="00B16C33" w:rsidRPr="0009584F">
        <w:t xml:space="preserve"> or EIP site</w:t>
      </w:r>
      <w:r w:rsidR="00DC6D40" w:rsidRPr="0009584F">
        <w:t xml:space="preserve">, </w:t>
      </w:r>
      <w:r w:rsidR="00FC2B20" w:rsidRPr="0009584F">
        <w:t xml:space="preserve">and to have the ability to describe the distribution of different HAI types, </w:t>
      </w:r>
      <w:r w:rsidR="00DC6D40" w:rsidRPr="0009584F">
        <w:t>we needed to survey a larger number of patients</w:t>
      </w:r>
      <w:r w:rsidR="00945CCF" w:rsidRPr="0009584F">
        <w:t xml:space="preserve">. </w:t>
      </w:r>
      <w:r w:rsidR="00E34135" w:rsidRPr="0009584F">
        <w:t>The actual overa</w:t>
      </w:r>
      <w:r w:rsidR="00B16C33" w:rsidRPr="0009584F">
        <w:t>ll HAI p</w:t>
      </w:r>
      <w:r w:rsidR="00092A3F" w:rsidRPr="0009584F">
        <w:t xml:space="preserve">revalence in the 2015 </w:t>
      </w:r>
      <w:r w:rsidR="00B16C33" w:rsidRPr="0009584F">
        <w:t>survey was lower (3.2</w:t>
      </w:r>
      <w:r w:rsidR="00E34135" w:rsidRPr="0009584F">
        <w:t>%), but because o</w:t>
      </w:r>
      <w:r w:rsidR="00945CCF" w:rsidRPr="0009584F">
        <w:t>ur total sample size i</w:t>
      </w:r>
      <w:r w:rsidR="00B16C33" w:rsidRPr="0009584F">
        <w:t xml:space="preserve">n </w:t>
      </w:r>
      <w:r w:rsidR="00092A3F" w:rsidRPr="0009584F">
        <w:t>2015</w:t>
      </w:r>
      <w:r w:rsidR="00B16C33" w:rsidRPr="0009584F">
        <w:t xml:space="preserve"> was 12,299</w:t>
      </w:r>
      <w:r w:rsidR="00E34135" w:rsidRPr="0009584F">
        <w:t xml:space="preserve"> patients, we had</w:t>
      </w:r>
      <w:r w:rsidR="00945CCF" w:rsidRPr="0009584F">
        <w:t xml:space="preserve"> acceptable precision of the o</w:t>
      </w:r>
      <w:r w:rsidR="00E34135" w:rsidRPr="0009584F">
        <w:t xml:space="preserve">verall HAI </w:t>
      </w:r>
      <w:r w:rsidR="00945CCF" w:rsidRPr="0009584F">
        <w:t xml:space="preserve">and </w:t>
      </w:r>
      <w:r w:rsidR="00B16C33" w:rsidRPr="0009584F">
        <w:t>AU</w:t>
      </w:r>
      <w:r w:rsidR="00E34135" w:rsidRPr="0009584F">
        <w:t xml:space="preserve"> prevalence estimates</w:t>
      </w:r>
      <w:r w:rsidR="00EF1440" w:rsidRPr="0009584F">
        <w:t xml:space="preserve"> [1]</w:t>
      </w:r>
      <w:r w:rsidR="00945CCF" w:rsidRPr="0009584F">
        <w:t xml:space="preserve">. </w:t>
      </w:r>
    </w:p>
    <w:p w14:paraId="3161B445" w14:textId="77777777" w:rsidR="00773573" w:rsidRDefault="00773573" w:rsidP="006911E3"/>
    <w:p w14:paraId="39A509EF" w14:textId="1E7CB613" w:rsidR="00C3696A" w:rsidRPr="0009584F" w:rsidRDefault="00E34135" w:rsidP="006911E3">
      <w:r w:rsidRPr="0009584F">
        <w:t xml:space="preserve">Advantages to increasing the overall </w:t>
      </w:r>
      <w:r w:rsidR="00DE4E01" w:rsidRPr="0009584F">
        <w:t xml:space="preserve">survey </w:t>
      </w:r>
      <w:r w:rsidRPr="0009584F">
        <w:t xml:space="preserve">sample size include increased precision of prevalence estimates for individual HAI types as well as for HAI and </w:t>
      </w:r>
      <w:r w:rsidR="00B16C33" w:rsidRPr="0009584F">
        <w:t>AU</w:t>
      </w:r>
      <w:r w:rsidRPr="0009584F">
        <w:t xml:space="preserve"> prevalence within individual </w:t>
      </w:r>
      <w:r w:rsidR="00B16C33" w:rsidRPr="0009584F">
        <w:t>EIP sites</w:t>
      </w:r>
      <w:r w:rsidRPr="0009584F">
        <w:t xml:space="preserve">. However, due to resource constraints, expansion may not be feasible. </w:t>
      </w:r>
      <w:r w:rsidR="00EF1440" w:rsidRPr="0009584F">
        <w:t>For the 2020 survey</w:t>
      </w:r>
      <w:r w:rsidR="00EF476B" w:rsidRPr="0009584F">
        <w:t xml:space="preserve">, we will aim to </w:t>
      </w:r>
      <w:r w:rsidRPr="0009584F">
        <w:t xml:space="preserve">achieve approximately the same sample size as we did in </w:t>
      </w:r>
      <w:r w:rsidR="00DE4E01" w:rsidRPr="0009584F">
        <w:t xml:space="preserve">the 2011 and 2015 surveys (~12,000 </w:t>
      </w:r>
      <w:r w:rsidR="00C74CF6" w:rsidRPr="0009584F">
        <w:t>in</w:t>
      </w:r>
      <w:r w:rsidR="00DE4E01" w:rsidRPr="0009584F">
        <w:t>patients)</w:t>
      </w:r>
      <w:r w:rsidRPr="0009584F">
        <w:t xml:space="preserve">, with the possibility of including more </w:t>
      </w:r>
      <w:r w:rsidR="0014758B" w:rsidRPr="0009584F">
        <w:t>in</w:t>
      </w:r>
      <w:r w:rsidRPr="0009584F">
        <w:t xml:space="preserve">patients depending on resource availability (up to a maximum of </w:t>
      </w:r>
      <w:r w:rsidR="00DE4E01" w:rsidRPr="0009584F">
        <w:t>18,764</w:t>
      </w:r>
      <w:r w:rsidR="00EF1440" w:rsidRPr="0009584F">
        <w:t xml:space="preserve"> </w:t>
      </w:r>
      <w:r w:rsidR="00C74CF6" w:rsidRPr="0009584F">
        <w:t>in</w:t>
      </w:r>
      <w:r w:rsidR="00EF1440" w:rsidRPr="0009584F">
        <w:t>patients</w:t>
      </w:r>
      <w:r w:rsidR="00F3614A" w:rsidRPr="0009584F">
        <w:t xml:space="preserve"> as described in Part A, Section 12</w:t>
      </w:r>
      <w:r w:rsidR="007409FE" w:rsidRPr="0009584F">
        <w:t xml:space="preserve">). </w:t>
      </w:r>
    </w:p>
    <w:p w14:paraId="39A509F0" w14:textId="77777777" w:rsidR="00C3696A" w:rsidRPr="0009584F" w:rsidRDefault="00C3696A" w:rsidP="00C3696A">
      <w:pPr>
        <w:ind w:firstLine="720"/>
      </w:pPr>
      <w:r w:rsidRPr="0009584F">
        <w:t xml:space="preserve">   </w:t>
      </w:r>
    </w:p>
    <w:p w14:paraId="39A509F3" w14:textId="15440BF6" w:rsidR="001C7B10" w:rsidRPr="0009584F" w:rsidRDefault="001C7B10" w:rsidP="00C3696A">
      <w:r w:rsidRPr="0009584F">
        <w:t>As</w:t>
      </w:r>
      <w:r w:rsidR="00B16C33" w:rsidRPr="0009584F">
        <w:t xml:space="preserve"> stated in Part A, </w:t>
      </w:r>
      <w:r w:rsidRPr="0009584F">
        <w:t xml:space="preserve">surveys are anticipated to be conducted </w:t>
      </w:r>
      <w:r w:rsidR="00EF1440" w:rsidRPr="0009584F">
        <w:t>intermittently (i.e.</w:t>
      </w:r>
      <w:r w:rsidR="00E13FF0" w:rsidRPr="0009584F">
        <w:t>,</w:t>
      </w:r>
      <w:r w:rsidR="00DE4E01" w:rsidRPr="0009584F">
        <w:t xml:space="preserve"> </w:t>
      </w:r>
      <w:r w:rsidR="00B16C33" w:rsidRPr="0009584F">
        <w:t xml:space="preserve">once every 3-5 </w:t>
      </w:r>
      <w:r w:rsidR="00DE4E01" w:rsidRPr="0009584F">
        <w:t>years)</w:t>
      </w:r>
      <w:r w:rsidR="00092A3F" w:rsidRPr="0009584F">
        <w:t xml:space="preserve"> to reduce the burden of </w:t>
      </w:r>
      <w:r w:rsidRPr="0009584F">
        <w:t>data collection</w:t>
      </w:r>
      <w:r w:rsidR="00DE4E01" w:rsidRPr="0009584F">
        <w:t>.</w:t>
      </w:r>
      <w:r w:rsidR="00B16C33" w:rsidRPr="0009584F">
        <w:t xml:space="preserve"> </w:t>
      </w:r>
      <w:r w:rsidRPr="0009584F">
        <w:t>The</w:t>
      </w:r>
      <w:r w:rsidR="0092550E" w:rsidRPr="0009584F">
        <w:t xml:space="preserve"> survey</w:t>
      </w:r>
      <w:r w:rsidRPr="0009584F">
        <w:t xml:space="preserve"> data will be collect</w:t>
      </w:r>
      <w:r w:rsidR="00A13439" w:rsidRPr="0009584F">
        <w:t xml:space="preserve">ed by hospital </w:t>
      </w:r>
      <w:r w:rsidRPr="0009584F">
        <w:t xml:space="preserve">staff and by EIP </w:t>
      </w:r>
      <w:r w:rsidR="00B16C33" w:rsidRPr="0009584F">
        <w:t xml:space="preserve">site </w:t>
      </w:r>
      <w:r w:rsidRPr="0009584F">
        <w:t>personnel</w:t>
      </w:r>
      <w:r w:rsidR="00B16C33" w:rsidRPr="0009584F">
        <w:t xml:space="preserve"> (Note: Data collection by EIP site personnel is </w:t>
      </w:r>
      <w:r w:rsidR="00092A3F" w:rsidRPr="0009584F">
        <w:t xml:space="preserve">not </w:t>
      </w:r>
      <w:r w:rsidR="00B16C33" w:rsidRPr="0009584F">
        <w:t>considered public burden</w:t>
      </w:r>
      <w:r w:rsidR="00EF1440" w:rsidRPr="0009584F">
        <w:t>, See Part A, Section 14</w:t>
      </w:r>
      <w:r w:rsidR="00B16C33" w:rsidRPr="0009584F">
        <w:t>)</w:t>
      </w:r>
      <w:r w:rsidRPr="0009584F">
        <w:t xml:space="preserve">. </w:t>
      </w:r>
      <w:r w:rsidR="00441C03" w:rsidRPr="0009584F">
        <w:t>Data will be obtained from medical records and/or oth</w:t>
      </w:r>
      <w:r w:rsidR="00B16C33" w:rsidRPr="0009584F">
        <w:t xml:space="preserve">er hospital information systems. </w:t>
      </w:r>
      <w:r w:rsidR="00441C03" w:rsidRPr="0009584F">
        <w:t>To obtain information about the prese</w:t>
      </w:r>
      <w:r w:rsidR="00092A3F" w:rsidRPr="0009584F">
        <w:t>nce of medical devices (i.e.</w:t>
      </w:r>
      <w:r w:rsidR="00E13FF0" w:rsidRPr="0009584F">
        <w:t>,</w:t>
      </w:r>
      <w:r w:rsidR="00092A3F" w:rsidRPr="0009584F">
        <w:t xml:space="preserve"> central lines, </w:t>
      </w:r>
      <w:r w:rsidR="00441C03" w:rsidRPr="0009584F">
        <w:t>urinary catheters</w:t>
      </w:r>
      <w:r w:rsidR="00092A3F" w:rsidRPr="0009584F">
        <w:t xml:space="preserve">, and ventilators) and pressure </w:t>
      </w:r>
      <w:r w:rsidR="00507723" w:rsidRPr="0009584F">
        <w:t xml:space="preserve">injuries and </w:t>
      </w:r>
      <w:r w:rsidR="00092A3F" w:rsidRPr="0009584F">
        <w:t xml:space="preserve">ulcers, </w:t>
      </w:r>
      <w:r w:rsidR="00441C03" w:rsidRPr="0009584F">
        <w:t>data collectors may review medical records an</w:t>
      </w:r>
      <w:r w:rsidR="00A13439" w:rsidRPr="0009584F">
        <w:t xml:space="preserve">d/or consult with hospital </w:t>
      </w:r>
      <w:r w:rsidR="00B16C33" w:rsidRPr="0009584F">
        <w:t xml:space="preserve">staff on inpatient units. Patients will not be </w:t>
      </w:r>
      <w:r w:rsidR="00441C03" w:rsidRPr="0009584F">
        <w:t xml:space="preserve">interviewed. To obtain information needed to complete the </w:t>
      </w:r>
      <w:r w:rsidR="00B16C33" w:rsidRPr="0009584F">
        <w:t>H</w:t>
      </w:r>
      <w:r w:rsidR="00A31D28" w:rsidRPr="0009584F">
        <w:t>ealthca</w:t>
      </w:r>
      <w:r w:rsidR="00B16C33" w:rsidRPr="0009584F">
        <w:t>re F</w:t>
      </w:r>
      <w:r w:rsidR="00A31D28" w:rsidRPr="0009584F">
        <w:t xml:space="preserve">acility </w:t>
      </w:r>
      <w:r w:rsidR="00B16C33" w:rsidRPr="0009584F">
        <w:t>A</w:t>
      </w:r>
      <w:r w:rsidR="00441C03" w:rsidRPr="0009584F">
        <w:t>ssessment</w:t>
      </w:r>
      <w:r w:rsidR="00B16C33" w:rsidRPr="0009584F">
        <w:t xml:space="preserve"> (HFA) form</w:t>
      </w:r>
      <w:r w:rsidR="00441C03" w:rsidRPr="0009584F">
        <w:t xml:space="preserve">, </w:t>
      </w:r>
      <w:r w:rsidR="00541279" w:rsidRPr="0009584F">
        <w:t xml:space="preserve">the hospital staff member completing the assessment </w:t>
      </w:r>
      <w:r w:rsidR="00F70F6A" w:rsidRPr="0009584F">
        <w:t>or EIP team member providi</w:t>
      </w:r>
      <w:r w:rsidR="00A13439" w:rsidRPr="0009584F">
        <w:t xml:space="preserve">ng assistance </w:t>
      </w:r>
      <w:r w:rsidR="00F70F6A" w:rsidRPr="0009584F">
        <w:t xml:space="preserve">may need to consult with others </w:t>
      </w:r>
      <w:r w:rsidR="00A13439" w:rsidRPr="0009584F">
        <w:t>within the hospital</w:t>
      </w:r>
      <w:r w:rsidR="00541279" w:rsidRPr="0009584F">
        <w:t xml:space="preserve">. </w:t>
      </w:r>
    </w:p>
    <w:p w14:paraId="39A509F4" w14:textId="77777777" w:rsidR="00541279" w:rsidRPr="0009584F" w:rsidRDefault="00541279" w:rsidP="00C3696A"/>
    <w:p w14:paraId="39A509F5" w14:textId="49798C15" w:rsidR="00541279" w:rsidRPr="0009584F" w:rsidRDefault="00541279" w:rsidP="00C3696A">
      <w:r w:rsidRPr="0009584F">
        <w:t>Data collectors will receive training in data collection procedures. This training will be developed and conducted by CDC personnel and/or by EIP</w:t>
      </w:r>
      <w:r w:rsidR="00B16C33" w:rsidRPr="0009584F">
        <w:t xml:space="preserve"> site</w:t>
      </w:r>
      <w:r w:rsidRPr="0009584F">
        <w:t xml:space="preserve"> personnel. In </w:t>
      </w:r>
      <w:r w:rsidR="00B16C33" w:rsidRPr="0009584F">
        <w:t>previous surveys</w:t>
      </w:r>
      <w:r w:rsidRPr="0009584F">
        <w:t>, webinar training was provided to data col</w:t>
      </w:r>
      <w:r w:rsidR="00A13439" w:rsidRPr="0009584F">
        <w:t>lectors in hospitals</w:t>
      </w:r>
      <w:r w:rsidRPr="0009584F">
        <w:t xml:space="preserve">. EIP </w:t>
      </w:r>
      <w:r w:rsidR="00B16C33" w:rsidRPr="0009584F">
        <w:t xml:space="preserve">site </w:t>
      </w:r>
      <w:r w:rsidRPr="0009584F">
        <w:t xml:space="preserve">personnel received in-person </w:t>
      </w:r>
      <w:r w:rsidR="00507723" w:rsidRPr="0009584F">
        <w:t xml:space="preserve">training </w:t>
      </w:r>
      <w:r w:rsidR="00B16C33" w:rsidRPr="0009584F">
        <w:t xml:space="preserve">at CDC </w:t>
      </w:r>
      <w:r w:rsidRPr="0009584F">
        <w:t xml:space="preserve">and webinar-based training. </w:t>
      </w:r>
    </w:p>
    <w:p w14:paraId="39A509F6" w14:textId="77777777" w:rsidR="00541279" w:rsidRPr="0009584F" w:rsidRDefault="00541279" w:rsidP="00C3696A"/>
    <w:p w14:paraId="39A509F7" w14:textId="174FF17B" w:rsidR="00DE4E01" w:rsidRPr="0009584F" w:rsidRDefault="00A13439" w:rsidP="00C3696A">
      <w:r w:rsidRPr="0009584F">
        <w:t>Each hospital</w:t>
      </w:r>
      <w:r w:rsidR="00541279" w:rsidRPr="0009584F">
        <w:t xml:space="preserve"> and/or EIP </w:t>
      </w:r>
      <w:r w:rsidR="00B16C33" w:rsidRPr="0009584F">
        <w:t xml:space="preserve">site </w:t>
      </w:r>
      <w:r w:rsidR="00541279" w:rsidRPr="0009584F">
        <w:t>will decide</w:t>
      </w:r>
      <w:r w:rsidR="00194C1D" w:rsidRPr="0009584F">
        <w:t xml:space="preserve"> in advance</w:t>
      </w:r>
      <w:r w:rsidR="00541279" w:rsidRPr="0009584F">
        <w:t xml:space="preserve"> the date on which </w:t>
      </w:r>
      <w:r w:rsidR="00CE732C" w:rsidRPr="0009584F">
        <w:t>the survey</w:t>
      </w:r>
      <w:r w:rsidR="00541279" w:rsidRPr="0009584F">
        <w:t xml:space="preserve"> will be conducted. The survey is perfo</w:t>
      </w:r>
      <w:r w:rsidRPr="0009584F">
        <w:t>rmed on one day in each hospital</w:t>
      </w:r>
      <w:r w:rsidR="00541279" w:rsidRPr="0009584F">
        <w:t xml:space="preserve">. A range of acceptable survey dates from which to choose will be provided. In </w:t>
      </w:r>
      <w:r w:rsidR="00BF46B8" w:rsidRPr="0009584F">
        <w:t>previous s</w:t>
      </w:r>
      <w:r w:rsidR="00B16C33" w:rsidRPr="0009584F">
        <w:t>urveys</w:t>
      </w:r>
      <w:r w:rsidR="00BF46B8" w:rsidRPr="0009584F">
        <w:t>, dates were scheduled</w:t>
      </w:r>
      <w:r w:rsidR="00541279" w:rsidRPr="0009584F">
        <w:t xml:space="preserve"> between May and September. </w:t>
      </w:r>
      <w:r w:rsidR="00DE4E01" w:rsidRPr="0009584F">
        <w:t>This time period was selected to avoid influenza season in the United States.</w:t>
      </w:r>
    </w:p>
    <w:p w14:paraId="39A509FB" w14:textId="19511C58" w:rsidR="00F3794E" w:rsidRPr="0009584F" w:rsidRDefault="00F3794E" w:rsidP="00C3696A"/>
    <w:p w14:paraId="39A509FC" w14:textId="2F687D2F" w:rsidR="00F3794E" w:rsidRPr="0009584F" w:rsidRDefault="00F3794E" w:rsidP="00C3696A">
      <w:r w:rsidRPr="0009584F">
        <w:t>If resources are available, a validation component will be incorp</w:t>
      </w:r>
      <w:r w:rsidR="00FA5F73" w:rsidRPr="0009584F">
        <w:t>orated into the 2020 survey</w:t>
      </w:r>
      <w:r w:rsidR="00EF1440" w:rsidRPr="0009584F">
        <w:t xml:space="preserve"> and </w:t>
      </w:r>
      <w:r w:rsidR="00FA5F73" w:rsidRPr="0009584F">
        <w:t xml:space="preserve">will be performed by EIP site personnel. </w:t>
      </w:r>
      <w:r w:rsidR="00EF1440" w:rsidRPr="0009584F">
        <w:t>In prior surveys, this was proposed to be conducted by external contractors</w:t>
      </w:r>
      <w:r w:rsidR="00507723" w:rsidRPr="0009584F">
        <w:t>. We have modified this proposal to utilize EIP site personnel, if possible, as use of EIP site personnel is more cost-effective.</w:t>
      </w:r>
      <w:r w:rsidR="00EF1440" w:rsidRPr="0009584F">
        <w:t xml:space="preserve"> </w:t>
      </w:r>
    </w:p>
    <w:p w14:paraId="331796E7" w14:textId="13D4ADD0" w:rsidR="00FA5F73" w:rsidRPr="0009584F" w:rsidRDefault="00FA5F73" w:rsidP="00C3696A"/>
    <w:p w14:paraId="39A509FE" w14:textId="48921B18" w:rsidR="00910A75" w:rsidRPr="0009584F" w:rsidRDefault="00894C5B" w:rsidP="00C3696A">
      <w:r w:rsidRPr="0009584F">
        <w:t>O</w:t>
      </w:r>
      <w:r w:rsidR="00910A75" w:rsidRPr="0009584F">
        <w:t xml:space="preserve">ther quality control measures used in </w:t>
      </w:r>
      <w:r w:rsidR="00FA5F73" w:rsidRPr="0009584F">
        <w:t>2015</w:t>
      </w:r>
      <w:r w:rsidR="00910A75" w:rsidRPr="0009584F">
        <w:t xml:space="preserve"> will continue to be used in the </w:t>
      </w:r>
      <w:r w:rsidR="002E547B" w:rsidRPr="0009584F">
        <w:t>20</w:t>
      </w:r>
      <w:r w:rsidR="00FA5F73" w:rsidRPr="0009584F">
        <w:t>20</w:t>
      </w:r>
      <w:r w:rsidR="002E547B" w:rsidRPr="0009584F">
        <w:t xml:space="preserve"> </w:t>
      </w:r>
      <w:r w:rsidR="00910A75" w:rsidRPr="0009584F">
        <w:t xml:space="preserve">survey. The </w:t>
      </w:r>
      <w:r w:rsidR="00FA5F73" w:rsidRPr="0009584F">
        <w:t xml:space="preserve">CDC-developed, </w:t>
      </w:r>
      <w:r w:rsidR="00910A75" w:rsidRPr="0009584F">
        <w:t xml:space="preserve">web-based data management system includes multiple business rules that prevent erroneous data entry </w:t>
      </w:r>
      <w:r w:rsidR="009517A5" w:rsidRPr="0009584F">
        <w:t>(e.g.</w:t>
      </w:r>
      <w:r w:rsidR="00E13FF0" w:rsidRPr="0009584F">
        <w:t>,</w:t>
      </w:r>
      <w:r w:rsidR="00910A75" w:rsidRPr="0009584F">
        <w:t xml:space="preserve"> entry of a hospital admission date that is after the survey date).</w:t>
      </w:r>
      <w:r w:rsidR="00ED221D" w:rsidRPr="0009584F">
        <w:t xml:space="preserve"> CDC personnel will conduct a full-scale review of these business rules and perform </w:t>
      </w:r>
      <w:r w:rsidR="009517A5" w:rsidRPr="0009584F">
        <w:t xml:space="preserve">system </w:t>
      </w:r>
      <w:r w:rsidR="00ED221D" w:rsidRPr="0009584F">
        <w:t xml:space="preserve">testing using sample data to identify other opportunities for quality improvement. </w:t>
      </w:r>
      <w:r w:rsidR="00910A75" w:rsidRPr="0009584F">
        <w:t xml:space="preserve"> In addition</w:t>
      </w:r>
      <w:r w:rsidR="009517A5" w:rsidRPr="0009584F">
        <w:t xml:space="preserve"> as survey data becomes available</w:t>
      </w:r>
      <w:r w:rsidR="00910A75" w:rsidRPr="0009584F">
        <w:t xml:space="preserve">, CDC personnel </w:t>
      </w:r>
      <w:r w:rsidRPr="0009584F">
        <w:t xml:space="preserve">will </w:t>
      </w:r>
      <w:r w:rsidR="00ED221D" w:rsidRPr="0009584F">
        <w:t xml:space="preserve">query </w:t>
      </w:r>
      <w:r w:rsidR="00910A75" w:rsidRPr="0009584F">
        <w:t xml:space="preserve">submitted data to identify </w:t>
      </w:r>
      <w:r w:rsidR="00ED221D" w:rsidRPr="0009584F">
        <w:t xml:space="preserve">outliers or unusual values </w:t>
      </w:r>
      <w:r w:rsidR="00910A75" w:rsidRPr="0009584F">
        <w:t xml:space="preserve">to be </w:t>
      </w:r>
      <w:r w:rsidRPr="0009584F">
        <w:t>verified</w:t>
      </w:r>
      <w:r w:rsidR="00910A75" w:rsidRPr="0009584F">
        <w:t xml:space="preserve"> by </w:t>
      </w:r>
      <w:r w:rsidR="00ED221D" w:rsidRPr="0009584F">
        <w:t>EIP site personnel</w:t>
      </w:r>
      <w:r w:rsidR="009517A5" w:rsidRPr="0009584F">
        <w:t xml:space="preserve"> (e.g.</w:t>
      </w:r>
      <w:r w:rsidR="00E13FF0" w:rsidRPr="0009584F">
        <w:t>,</w:t>
      </w:r>
      <w:r w:rsidR="009517A5" w:rsidRPr="0009584F">
        <w:t xml:space="preserve"> </w:t>
      </w:r>
      <w:r w:rsidR="00910A75" w:rsidRPr="0009584F">
        <w:t xml:space="preserve">adult </w:t>
      </w:r>
      <w:r w:rsidR="00A13439" w:rsidRPr="0009584F">
        <w:t>in</w:t>
      </w:r>
      <w:r w:rsidR="00910A75" w:rsidRPr="0009584F">
        <w:t xml:space="preserve">patients located in pediatric </w:t>
      </w:r>
      <w:r w:rsidR="00A13439" w:rsidRPr="0009584F">
        <w:t>in</w:t>
      </w:r>
      <w:r w:rsidR="00910A75" w:rsidRPr="0009584F">
        <w:t xml:space="preserve">patient units, </w:t>
      </w:r>
      <w:r w:rsidR="00A13439" w:rsidRPr="0009584F">
        <w:t>in</w:t>
      </w:r>
      <w:r w:rsidR="00910A75" w:rsidRPr="0009584F">
        <w:t xml:space="preserve">patients who have very long hospital stays, </w:t>
      </w:r>
      <w:r w:rsidR="00A13439" w:rsidRPr="0009584F">
        <w:t>in</w:t>
      </w:r>
      <w:r w:rsidR="00910A75" w:rsidRPr="0009584F">
        <w:t xml:space="preserve">patients receiving antimicrobial agents for unusual indications, </w:t>
      </w:r>
      <w:r w:rsidRPr="0009584F">
        <w:t>etc.</w:t>
      </w:r>
      <w:r w:rsidR="009517A5" w:rsidRPr="0009584F">
        <w:t>).</w:t>
      </w:r>
      <w:r w:rsidRPr="0009584F">
        <w:t xml:space="preserve"> </w:t>
      </w:r>
    </w:p>
    <w:p w14:paraId="73C89A77" w14:textId="77777777" w:rsidR="00EF4285" w:rsidRPr="0009584F" w:rsidRDefault="00EF4285" w:rsidP="00C3696A"/>
    <w:p w14:paraId="39A50A00" w14:textId="77777777" w:rsidR="00894C5B" w:rsidRPr="0009584F" w:rsidRDefault="00C3696A" w:rsidP="00B45413">
      <w:pPr>
        <w:pStyle w:val="Heading1"/>
      </w:pPr>
      <w:bookmarkStart w:id="10" w:name="_Toc455558893"/>
      <w:r w:rsidRPr="0009584F">
        <w:t>3.  Methods to Maximize Response Rates and Deal with Nonresponse</w:t>
      </w:r>
      <w:bookmarkEnd w:id="10"/>
    </w:p>
    <w:p w14:paraId="39A50A01" w14:textId="77777777" w:rsidR="00894C5B" w:rsidRPr="0009584F" w:rsidRDefault="00894C5B" w:rsidP="00894C5B">
      <w:pPr>
        <w:ind w:left="720" w:hanging="720"/>
        <w:rPr>
          <w:b/>
        </w:rPr>
      </w:pPr>
    </w:p>
    <w:p w14:paraId="133596D4" w14:textId="65BBD5BB" w:rsidR="00407B4A" w:rsidRPr="0009584F" w:rsidRDefault="00C3696A" w:rsidP="00894C5B">
      <w:r w:rsidRPr="0009584F">
        <w:t xml:space="preserve">This project is an assessment of </w:t>
      </w:r>
      <w:r w:rsidR="00845C26" w:rsidRPr="0009584F">
        <w:t xml:space="preserve">antimicrobial prescribing quality and </w:t>
      </w:r>
      <w:r w:rsidRPr="0009584F">
        <w:t xml:space="preserve">HAI </w:t>
      </w:r>
      <w:r w:rsidR="001D6CD5" w:rsidRPr="0009584F">
        <w:t xml:space="preserve">and AU </w:t>
      </w:r>
      <w:r w:rsidRPr="0009584F">
        <w:t xml:space="preserve">prevalence and </w:t>
      </w:r>
      <w:r w:rsidR="001D6CD5" w:rsidRPr="0009584F">
        <w:t>epidemiology</w:t>
      </w:r>
      <w:r w:rsidRPr="0009584F">
        <w:t xml:space="preserve"> in U.S. </w:t>
      </w:r>
      <w:r w:rsidR="00A13439" w:rsidRPr="0009584F">
        <w:t xml:space="preserve">acute care </w:t>
      </w:r>
      <w:r w:rsidR="00894C5B" w:rsidRPr="0009584F">
        <w:t xml:space="preserve">hospitals. </w:t>
      </w:r>
      <w:r w:rsidR="00A13439" w:rsidRPr="0009584F">
        <w:t>Hospitals</w:t>
      </w:r>
      <w:r w:rsidRPr="0009584F">
        <w:t xml:space="preserve"> will be identified for participation based on location within EIP catchment areas or more broadly with</w:t>
      </w:r>
      <w:r w:rsidR="00407B4A" w:rsidRPr="0009584F">
        <w:t>in states</w:t>
      </w:r>
      <w:r w:rsidR="00A13439" w:rsidRPr="0009584F">
        <w:t xml:space="preserve"> that have EIP sites. Hospitals</w:t>
      </w:r>
      <w:r w:rsidR="00407B4A" w:rsidRPr="0009584F">
        <w:t xml:space="preserve"> that participated in the 2015 or 2011 surveys will be prio</w:t>
      </w:r>
      <w:r w:rsidR="00A13439" w:rsidRPr="0009584F">
        <w:t>ritized; however, new hospitals are also eligible</w:t>
      </w:r>
      <w:r w:rsidR="00407B4A" w:rsidRPr="0009584F">
        <w:t xml:space="preserve">. </w:t>
      </w:r>
    </w:p>
    <w:p w14:paraId="4CA465CA" w14:textId="77777777" w:rsidR="00407B4A" w:rsidRPr="0009584F" w:rsidRDefault="00407B4A" w:rsidP="00894C5B"/>
    <w:p w14:paraId="193BD2AE" w14:textId="30471067" w:rsidR="00773573" w:rsidRDefault="00773573" w:rsidP="00773573">
      <w:pPr>
        <w:autoSpaceDE w:val="0"/>
        <w:autoSpaceDN w:val="0"/>
        <w:adjustRightInd w:val="0"/>
        <w:contextualSpacing/>
        <w:rPr>
          <w:rFonts w:cstheme="minorHAnsi"/>
        </w:rPr>
      </w:pPr>
      <w:r>
        <w:t>The population of the EIP surveillance catchment area has been shown to be similar to the U.S. population with respect to certain demographic characteristics and health indicators [1, 2, unpublished data], although the catchment area may differ by EIP project. The prevalence survey is not population-based, and therefore it is more important to consider the similarity of the survey sample of hospitals and patients to all hospitals and patients in the nation. The</w:t>
      </w:r>
      <w:r w:rsidRPr="001E0FD7">
        <w:rPr>
          <w:rFonts w:cstheme="minorHAnsi"/>
        </w:rPr>
        <w:t xml:space="preserve"> </w:t>
      </w:r>
      <w:r>
        <w:rPr>
          <w:rFonts w:cstheme="minorHAnsi"/>
        </w:rPr>
        <w:t xml:space="preserve">hospital stratified random </w:t>
      </w:r>
      <w:r w:rsidRPr="001E0FD7">
        <w:rPr>
          <w:rFonts w:cstheme="minorHAnsi"/>
        </w:rPr>
        <w:t>sampling scheme</w:t>
      </w:r>
      <w:r>
        <w:rPr>
          <w:rFonts w:cstheme="minorHAnsi"/>
        </w:rPr>
        <w:t xml:space="preserve"> based on acute care staffed bed size that was</w:t>
      </w:r>
      <w:r w:rsidRPr="001E0FD7">
        <w:rPr>
          <w:rFonts w:cstheme="minorHAnsi"/>
        </w:rPr>
        <w:t xml:space="preserve"> developed for the </w:t>
      </w:r>
      <w:r>
        <w:rPr>
          <w:rFonts w:cstheme="minorHAnsi"/>
        </w:rPr>
        <w:t xml:space="preserve">prevalence </w:t>
      </w:r>
      <w:r w:rsidRPr="001E0FD7">
        <w:rPr>
          <w:rFonts w:cstheme="minorHAnsi"/>
        </w:rPr>
        <w:t xml:space="preserve">survey was designed to approximate the </w:t>
      </w:r>
      <w:r>
        <w:rPr>
          <w:rFonts w:cstheme="minorHAnsi"/>
        </w:rPr>
        <w:t xml:space="preserve">hospital </w:t>
      </w:r>
      <w:r w:rsidRPr="001E0FD7">
        <w:rPr>
          <w:rFonts w:cstheme="minorHAnsi"/>
        </w:rPr>
        <w:t>bed size distribution in the EIP sites as a whole, rather than the nation.</w:t>
      </w:r>
      <w:r>
        <w:rPr>
          <w:rFonts w:cstheme="minorHAnsi"/>
        </w:rPr>
        <w:t xml:space="preserve"> </w:t>
      </w:r>
      <w:r w:rsidRPr="001E0FD7">
        <w:rPr>
          <w:rFonts w:cstheme="minorHAnsi"/>
        </w:rPr>
        <w:t xml:space="preserve">However, when we compare </w:t>
      </w:r>
      <w:r>
        <w:rPr>
          <w:rFonts w:cstheme="minorHAnsi"/>
        </w:rPr>
        <w:t xml:space="preserve">selected </w:t>
      </w:r>
      <w:r w:rsidRPr="001E0FD7">
        <w:rPr>
          <w:rFonts w:cstheme="minorHAnsi"/>
        </w:rPr>
        <w:t>characteristics of hospitals included in the EIP survey, they are similar to characteristics of all acute care hospitals in the United States. For example</w:t>
      </w:r>
      <w:r>
        <w:rPr>
          <w:rFonts w:cstheme="minorHAnsi"/>
        </w:rPr>
        <w:t xml:space="preserve">, </w:t>
      </w:r>
      <w:r w:rsidRPr="001E0FD7">
        <w:rPr>
          <w:rFonts w:cstheme="minorHAnsi"/>
        </w:rPr>
        <w:t>staffed bed size</w:t>
      </w:r>
      <w:r>
        <w:rPr>
          <w:rFonts w:cstheme="minorHAnsi"/>
        </w:rPr>
        <w:t>, intensive care unit bed numbers, and the mean number of hospital epidemiologists</w:t>
      </w:r>
      <w:r w:rsidRPr="001E0FD7">
        <w:rPr>
          <w:rFonts w:cstheme="minorHAnsi"/>
        </w:rPr>
        <w:t xml:space="preserve"> in 2015 prevalence survey hospitals was similar to that of </w:t>
      </w:r>
      <w:r>
        <w:rPr>
          <w:rFonts w:cstheme="minorHAnsi"/>
        </w:rPr>
        <w:t>the 3883 acute care</w:t>
      </w:r>
      <w:r w:rsidRPr="001E0FD7">
        <w:rPr>
          <w:rFonts w:cstheme="minorHAnsi"/>
        </w:rPr>
        <w:t xml:space="preserve"> hospitals participating in </w:t>
      </w:r>
      <w:r>
        <w:rPr>
          <w:rFonts w:cstheme="minorHAnsi"/>
        </w:rPr>
        <w:t>the National Healthcare Safety Network (NHSN)</w:t>
      </w:r>
      <w:r w:rsidRPr="001E0FD7">
        <w:rPr>
          <w:rFonts w:cstheme="minorHAnsi"/>
        </w:rPr>
        <w:t xml:space="preserve"> in 2018. Hospital prevalence survey patients are also similar with respect to age distribution when compared </w:t>
      </w:r>
      <w:r>
        <w:rPr>
          <w:rFonts w:cstheme="minorHAnsi"/>
        </w:rPr>
        <w:t>to the National Inpatient Sample (NIS, Healthcare Cost and Utilization Project, Agency for Healthcare Research and Quality) (2015 prevalence survey: mean age 51 years, median age 58 years, interquartile range 32-73 years, vs. 2014 NIS: mean age 49, median age 52, interquartile range 31-71 years). Age has been shown to be an important risk factor for HAIs [</w:t>
      </w:r>
      <w:r w:rsidR="0022586E">
        <w:rPr>
          <w:rFonts w:cstheme="minorHAnsi"/>
        </w:rPr>
        <w:t>3</w:t>
      </w:r>
      <w:r>
        <w:rPr>
          <w:rFonts w:cstheme="minorHAnsi"/>
        </w:rPr>
        <w:t>, 4]. Hospital length of stay, which has also been shown to be a risk factor for HAIs [</w:t>
      </w:r>
      <w:r w:rsidR="0022586E">
        <w:rPr>
          <w:rFonts w:cstheme="minorHAnsi"/>
        </w:rPr>
        <w:t>3</w:t>
      </w:r>
      <w:r>
        <w:rPr>
          <w:rFonts w:cstheme="minorHAnsi"/>
        </w:rPr>
        <w:t xml:space="preserve">, 4], was longer among 2015 prevalence survey patients than in the NIS. This is an expected consequence of the prevalence survey method, which is biased toward inclusion of longer stay patients. Among 2015 prevalence survey patients, the median length of stay was 5 days (interquartile range 3-11 days), whereas in the 2014 NIS the median length of stay was 2.43 days (interquartile range 1.35-4.57 days). </w:t>
      </w:r>
    </w:p>
    <w:p w14:paraId="510E488B" w14:textId="77777777" w:rsidR="00773573" w:rsidRDefault="00773573" w:rsidP="00894C5B"/>
    <w:p w14:paraId="275DBD66" w14:textId="7CC7C2C1" w:rsidR="00773573" w:rsidRDefault="00773573" w:rsidP="00773573">
      <w:pPr>
        <w:autoSpaceDE w:val="0"/>
        <w:autoSpaceDN w:val="0"/>
        <w:adjustRightInd w:val="0"/>
        <w:contextualSpacing/>
        <w:rPr>
          <w:rFonts w:cstheme="minorHAnsi"/>
        </w:rPr>
      </w:pPr>
      <w:r>
        <w:rPr>
          <w:rFonts w:cstheme="minorHAnsi"/>
        </w:rPr>
        <w:t xml:space="preserve">In addition to burden estimation, a main objective of the </w:t>
      </w:r>
      <w:r w:rsidRPr="001E0FD7">
        <w:t>EIP HAI and AU Prevalence Survey</w:t>
      </w:r>
      <w:r>
        <w:t xml:space="preserve"> is to describe changes over time in HAI prevalence and antimicrobial use in hospitals. Overall, 183 hospitals participated in the 2011 survey and 199 hospitals in the 2015 survey; of these, 148 participated in both surveys. The large number of hospitals participating in both surveys facilitated comparisons of HAI prevalence and distribution in 2011 and 2015 [</w:t>
      </w:r>
      <w:r w:rsidR="0022586E">
        <w:t>3</w:t>
      </w:r>
      <w:r>
        <w:t>]. We observed that the percentage of patients with HAIs in the 2015 survey was significantly lower than in the 2011 survey (2015: 3.2%, 95% confidence interval 2.9 to 2.5%, vs. 2011: 4.0%, 95% confidence interval 3.7 to 4.4%), suggesting progress in prevention of HAIs. Recognizing that even among the same group of hospitals, the characteristics of the hospitals and their inpatients may change over time and affect HAI prevalence, we performed multivariable log-binomial regression modeling to adjust for key differences between 2011 and 2015 hospitals and patients [</w:t>
      </w:r>
      <w:r w:rsidR="0022586E">
        <w:t>3</w:t>
      </w:r>
      <w:r>
        <w:t>]. The final model adjusted for patient age, the presence of medical devices, hospital size, and days from hospital admission to the survey date. After adjusting for these factors, patients in the 2015 survey were 16% less likely to have an HAI than patients in the 2011 survey [</w:t>
      </w:r>
      <w:r w:rsidR="0022586E">
        <w:t>3</w:t>
      </w:r>
      <w:r>
        <w:t>].</w:t>
      </w:r>
    </w:p>
    <w:p w14:paraId="18671B92" w14:textId="77777777" w:rsidR="0022586E" w:rsidRDefault="0022586E" w:rsidP="0022586E">
      <w:pPr>
        <w:autoSpaceDE w:val="0"/>
        <w:autoSpaceDN w:val="0"/>
        <w:adjustRightInd w:val="0"/>
        <w:contextualSpacing/>
      </w:pPr>
    </w:p>
    <w:p w14:paraId="2B4C4073" w14:textId="5F844348" w:rsidR="0022586E" w:rsidRDefault="0022586E" w:rsidP="0022586E">
      <w:pPr>
        <w:autoSpaceDE w:val="0"/>
        <w:autoSpaceDN w:val="0"/>
        <w:adjustRightInd w:val="0"/>
        <w:contextualSpacing/>
        <w:rPr>
          <w:rFonts w:cstheme="minorHAnsi"/>
        </w:rPr>
      </w:pPr>
      <w:r>
        <w:t>Although the population of hospitals and patients included in the EIP HAI and AU Prevalence Surveys may not be nationally representative, a number of factors build confidence in the robustness and usefulness of the survey results. These include: 1) the similarity of the survey sample of hospitals and patients to the populations of hospitals and inpatients in the United States based on selected key characteristics; 2) participation of a large group of the same hospitals in the 2011 and the 2015 surveys; 3) adjustment for differences in survey hospitals and patients between 2011 and 2015; and 4) the multiple sensitivity analyses we performed [3].</w:t>
      </w:r>
    </w:p>
    <w:p w14:paraId="12A83791" w14:textId="77777777" w:rsidR="0022586E" w:rsidRDefault="0022586E" w:rsidP="00894C5B"/>
    <w:p w14:paraId="39A50A02" w14:textId="18FE3E36" w:rsidR="00C3696A" w:rsidRDefault="00A13439" w:rsidP="00894C5B">
      <w:r w:rsidRPr="0009584F">
        <w:t>Many hospitals</w:t>
      </w:r>
      <w:r w:rsidR="00C3696A" w:rsidRPr="0009584F">
        <w:t xml:space="preserve"> in EIP catchment areas already have working relationships with EIP </w:t>
      </w:r>
      <w:r w:rsidR="00407B4A" w:rsidRPr="0009584F">
        <w:t xml:space="preserve">site </w:t>
      </w:r>
      <w:r w:rsidR="00C3696A" w:rsidRPr="0009584F">
        <w:t xml:space="preserve">personnel. EIP site personnel will send emails and/or make phone </w:t>
      </w:r>
      <w:r w:rsidR="00407B4A" w:rsidRPr="0009584F">
        <w:t xml:space="preserve">calls and in-person </w:t>
      </w:r>
      <w:r w:rsidR="00C3696A" w:rsidRPr="0009584F">
        <w:t>visits to infection con</w:t>
      </w:r>
      <w:r w:rsidRPr="0009584F">
        <w:t>trol practitioners at hospitals</w:t>
      </w:r>
      <w:r w:rsidR="00C3696A" w:rsidRPr="0009584F">
        <w:t xml:space="preserve"> in their catchment are</w:t>
      </w:r>
      <w:r w:rsidR="00894C5B" w:rsidRPr="0009584F">
        <w:t xml:space="preserve">as </w:t>
      </w:r>
      <w:r w:rsidR="00407B4A" w:rsidRPr="0009584F">
        <w:t>to provide information on the survey.</w:t>
      </w:r>
      <w:r w:rsidR="00894C5B" w:rsidRPr="0009584F">
        <w:t xml:space="preserve"> </w:t>
      </w:r>
      <w:r w:rsidR="00407B4A" w:rsidRPr="0009584F">
        <w:t>Based on prior experience and current national HAI and AU efforts, w</w:t>
      </w:r>
      <w:r w:rsidRPr="0009584F">
        <w:t>e believe that hospitals</w:t>
      </w:r>
      <w:r w:rsidR="00C3696A" w:rsidRPr="0009584F">
        <w:t xml:space="preserve"> will </w:t>
      </w:r>
      <w:r w:rsidR="00407B4A" w:rsidRPr="0009584F">
        <w:t>be motivated to participate.</w:t>
      </w:r>
      <w:r w:rsidR="00FA0623" w:rsidRPr="0009584F">
        <w:t xml:space="preserve"> In </w:t>
      </w:r>
      <w:r w:rsidR="00407B4A" w:rsidRPr="0009584F">
        <w:t>2011</w:t>
      </w:r>
      <w:r w:rsidR="00FA0623" w:rsidRPr="0009584F">
        <w:t>, d</w:t>
      </w:r>
      <w:r w:rsidR="00C3696A" w:rsidRPr="0009584F">
        <w:t>espite a number of competing priorities occurring at the same</w:t>
      </w:r>
      <w:r w:rsidR="00407B4A" w:rsidRPr="0009584F">
        <w:t xml:space="preserve"> time as the survey (e.g.</w:t>
      </w:r>
      <w:r w:rsidR="008A4726" w:rsidRPr="0009584F">
        <w:t>,</w:t>
      </w:r>
      <w:r w:rsidR="00C3696A" w:rsidRPr="0009584F">
        <w:t xml:space="preserve"> new state legislative HAI reporting mandates enacte</w:t>
      </w:r>
      <w:r w:rsidR="00407B4A" w:rsidRPr="0009584F">
        <w:t xml:space="preserve">d), EIP sites </w:t>
      </w:r>
      <w:r w:rsidR="00C3696A" w:rsidRPr="0009584F">
        <w:t xml:space="preserve">were able to recruit </w:t>
      </w:r>
      <w:r w:rsidR="00FA0623" w:rsidRPr="0009584F">
        <w:t>79</w:t>
      </w:r>
      <w:r w:rsidR="00C3696A" w:rsidRPr="0009584F">
        <w:t>% of the total recruitment goal</w:t>
      </w:r>
      <w:r w:rsidR="00EF1440" w:rsidRPr="0009584F">
        <w:t xml:space="preserve"> [2]</w:t>
      </w:r>
      <w:r w:rsidR="00C3696A" w:rsidRPr="0009584F">
        <w:t xml:space="preserve">. </w:t>
      </w:r>
      <w:r w:rsidR="00407B4A" w:rsidRPr="0009584F">
        <w:t>In 2015</w:t>
      </w:r>
      <w:r w:rsidR="00DE4E01" w:rsidRPr="0009584F">
        <w:t xml:space="preserve">, </w:t>
      </w:r>
      <w:r w:rsidR="00407B4A" w:rsidRPr="0009584F">
        <w:t xml:space="preserve">the majority of </w:t>
      </w:r>
      <w:r w:rsidR="00DE4E01" w:rsidRPr="0009584F">
        <w:t>hospitals that had participated in 2011 agreed to participate again, despite competing priorities</w:t>
      </w:r>
      <w:r w:rsidR="00EF1440" w:rsidRPr="0009584F">
        <w:t xml:space="preserve"> [</w:t>
      </w:r>
      <w:r w:rsidR="007872AC">
        <w:t>3</w:t>
      </w:r>
      <w:r w:rsidR="00EF1440" w:rsidRPr="0009584F">
        <w:t>]</w:t>
      </w:r>
      <w:r w:rsidR="00DE4E01" w:rsidRPr="0009584F">
        <w:t xml:space="preserve">. </w:t>
      </w:r>
      <w:r w:rsidR="00C3696A" w:rsidRPr="0009584F">
        <w:t xml:space="preserve">We expect a similar </w:t>
      </w:r>
      <w:r w:rsidR="00FA0623" w:rsidRPr="0009584F">
        <w:t xml:space="preserve">or better </w:t>
      </w:r>
      <w:r w:rsidR="00C3696A" w:rsidRPr="0009584F">
        <w:t xml:space="preserve">response </w:t>
      </w:r>
      <w:r w:rsidR="00DE4E01" w:rsidRPr="0009584F">
        <w:t>for the 20</w:t>
      </w:r>
      <w:r w:rsidR="00407B4A" w:rsidRPr="0009584F">
        <w:t xml:space="preserve">20 </w:t>
      </w:r>
      <w:r w:rsidR="00DE4E01" w:rsidRPr="0009584F">
        <w:t>survey</w:t>
      </w:r>
      <w:r w:rsidR="00C3696A" w:rsidRPr="0009584F">
        <w:t>.</w:t>
      </w:r>
    </w:p>
    <w:p w14:paraId="0B0B0BD1" w14:textId="77777777" w:rsidR="0022586E" w:rsidRPr="0009584F" w:rsidRDefault="0022586E" w:rsidP="00894C5B"/>
    <w:p w14:paraId="58BF799D" w14:textId="31D62368" w:rsidR="00BF46B8" w:rsidRPr="0009584F" w:rsidRDefault="00BF46B8" w:rsidP="00BF46B8">
      <w:r w:rsidRPr="0009584F">
        <w:t>EIP site personnel will provide informatio</w:t>
      </w:r>
      <w:r w:rsidR="00A13439" w:rsidRPr="0009584F">
        <w:t>n about the survey to hospitals</w:t>
      </w:r>
      <w:r w:rsidRPr="0009584F">
        <w:t xml:space="preserve"> in their catchment areas through electronic, in-person, and telephone communications. </w:t>
      </w:r>
      <w:r w:rsidR="001C0E8D" w:rsidRPr="0009584F">
        <w:t xml:space="preserve">An example of an informational document provided to facilities participating in the 2015 survey is included in Part A, Attachment M. This informational document will be updated for the 2020 hospital survey. </w:t>
      </w:r>
      <w:r w:rsidRPr="0009584F">
        <w:t>CDC and/or EIP sites may also work with key stakeholder professional organizations [e.g.</w:t>
      </w:r>
      <w:r w:rsidR="00BF2528" w:rsidRPr="0009584F">
        <w:t>,</w:t>
      </w:r>
      <w:r w:rsidRPr="0009584F">
        <w:t xml:space="preserve"> the Society for Healthcare Epidemiology of America (SHEA) and the Association of Professionals in Infection Control and Epidemiology (APIC), etc.] to disseminate information about the survey to m</w:t>
      </w:r>
      <w:r w:rsidR="00A13439" w:rsidRPr="0009584F">
        <w:t>embers and to encourage hospital</w:t>
      </w:r>
      <w:r w:rsidRPr="0009584F">
        <w:t xml:space="preserve"> participation.</w:t>
      </w:r>
    </w:p>
    <w:p w14:paraId="39A50A05" w14:textId="77777777" w:rsidR="00C3696A" w:rsidRPr="0009584F" w:rsidRDefault="00C3696A" w:rsidP="00FA0623"/>
    <w:p w14:paraId="39A50A06" w14:textId="77777777" w:rsidR="00FA0623" w:rsidRPr="0009584F" w:rsidRDefault="00C3696A" w:rsidP="00B45413">
      <w:pPr>
        <w:pStyle w:val="Heading1"/>
      </w:pPr>
      <w:bookmarkStart w:id="11" w:name="_Toc455558894"/>
      <w:r w:rsidRPr="0009584F">
        <w:t>4.  Tests of Procedures or Methods to be Undertaken</w:t>
      </w:r>
      <w:bookmarkEnd w:id="11"/>
    </w:p>
    <w:p w14:paraId="39A50A07" w14:textId="77777777" w:rsidR="00FA0623" w:rsidRPr="0009584F" w:rsidRDefault="00FA0623" w:rsidP="00FA0623">
      <w:pPr>
        <w:ind w:left="720" w:hanging="720"/>
        <w:rPr>
          <w:b/>
        </w:rPr>
      </w:pPr>
    </w:p>
    <w:p w14:paraId="39A50A08" w14:textId="386A5684" w:rsidR="00C3696A" w:rsidRPr="0009584F" w:rsidRDefault="00C3696A" w:rsidP="00FA0623">
      <w:r w:rsidRPr="0009584F">
        <w:t xml:space="preserve">As mentioned previously, </w:t>
      </w:r>
      <w:r w:rsidR="005A2FB9" w:rsidRPr="0009584F">
        <w:t>t</w:t>
      </w:r>
      <w:r w:rsidR="00EF4285" w:rsidRPr="0009584F">
        <w:t>he survey was developed in four</w:t>
      </w:r>
      <w:r w:rsidR="005A2FB9" w:rsidRPr="0009584F">
        <w:t xml:space="preserve"> phases. Phase 1 (2009) was a pilot survey involving fewer than 10 </w:t>
      </w:r>
      <w:r w:rsidR="00A13439" w:rsidRPr="0009584F">
        <w:t>hospitals</w:t>
      </w:r>
      <w:r w:rsidR="005A2FB9" w:rsidRPr="0009584F">
        <w:t xml:space="preserve">. </w:t>
      </w:r>
      <w:r w:rsidRPr="0009584F">
        <w:t>Phase 2</w:t>
      </w:r>
      <w:r w:rsidR="00E72BA7" w:rsidRPr="0009584F">
        <w:t xml:space="preserve"> (2010)</w:t>
      </w:r>
      <w:r w:rsidRPr="0009584F">
        <w:t xml:space="preserve"> was a limited roll-out</w:t>
      </w:r>
      <w:r w:rsidR="00FA0623" w:rsidRPr="0009584F">
        <w:t xml:space="preserve"> effort </w:t>
      </w:r>
      <w:r w:rsidR="00A13439" w:rsidRPr="0009584F">
        <w:t>in 22 hospitals</w:t>
      </w:r>
      <w:r w:rsidR="00E72BA7" w:rsidRPr="0009584F">
        <w:t xml:space="preserve">. </w:t>
      </w:r>
      <w:r w:rsidRPr="0009584F">
        <w:t xml:space="preserve">Phase 3 </w:t>
      </w:r>
      <w:r w:rsidR="00E72BA7" w:rsidRPr="0009584F">
        <w:t xml:space="preserve">(2011) was a full-scale survey conducted in </w:t>
      </w:r>
      <w:r w:rsidR="00F75A24" w:rsidRPr="0009584F">
        <w:t xml:space="preserve">183 </w:t>
      </w:r>
      <w:r w:rsidR="00A13439" w:rsidRPr="0009584F">
        <w:t>hospitals</w:t>
      </w:r>
      <w:r w:rsidR="00E72BA7" w:rsidRPr="0009584F">
        <w:t xml:space="preserve">. Phase 4 (2015) was a second full-scale survey conducted in </w:t>
      </w:r>
      <w:r w:rsidR="00F94744" w:rsidRPr="0009584F">
        <w:t xml:space="preserve">199 </w:t>
      </w:r>
      <w:r w:rsidR="00A13439" w:rsidRPr="0009584F">
        <w:t>hospitals</w:t>
      </w:r>
      <w:r w:rsidR="00E72BA7" w:rsidRPr="0009584F">
        <w:t xml:space="preserve">. </w:t>
      </w:r>
      <w:r w:rsidR="00EF1440" w:rsidRPr="0009584F">
        <w:t>M</w:t>
      </w:r>
      <w:r w:rsidRPr="0009584F">
        <w:t xml:space="preserve">odifications to the </w:t>
      </w:r>
      <w:r w:rsidR="00E72BA7" w:rsidRPr="0009584F">
        <w:t xml:space="preserve">two primary </w:t>
      </w:r>
      <w:r w:rsidRPr="0009584F">
        <w:t xml:space="preserve">data collection </w:t>
      </w:r>
      <w:r w:rsidR="005A2FB9" w:rsidRPr="0009584F">
        <w:t>instruments</w:t>
      </w:r>
      <w:r w:rsidR="00EF1440" w:rsidRPr="0009584F">
        <w:t xml:space="preserve"> (Healthcare-Facility Assessment and Patient Information Form)</w:t>
      </w:r>
      <w:r w:rsidR="005A2FB9" w:rsidRPr="0009584F">
        <w:t xml:space="preserve"> </w:t>
      </w:r>
      <w:r w:rsidR="00E72BA7" w:rsidRPr="0009584F">
        <w:t xml:space="preserve">have been made based on our </w:t>
      </w:r>
      <w:r w:rsidR="009A13C0" w:rsidRPr="0009584F">
        <w:t xml:space="preserve">most recent </w:t>
      </w:r>
      <w:r w:rsidR="00E72BA7" w:rsidRPr="0009584F">
        <w:t>experiences in Phase 4</w:t>
      </w:r>
      <w:r w:rsidR="009A13C0" w:rsidRPr="0009584F">
        <w:t xml:space="preserve"> (2015) and on plans for future use of data</w:t>
      </w:r>
      <w:r w:rsidR="00E72BA7" w:rsidRPr="0009584F">
        <w:t>.</w:t>
      </w:r>
      <w:r w:rsidR="00EF1440" w:rsidRPr="0009584F">
        <w:t xml:space="preserve"> P</w:t>
      </w:r>
      <w:r w:rsidR="00EF4285" w:rsidRPr="0009584F">
        <w:t>lease refer to Part A, Section 15</w:t>
      </w:r>
      <w:r w:rsidR="00EF1440" w:rsidRPr="0009584F">
        <w:t xml:space="preserve">, for a detailed description of these changes. </w:t>
      </w:r>
      <w:r w:rsidR="00E72BA7" w:rsidRPr="0009584F">
        <w:t xml:space="preserve"> </w:t>
      </w:r>
    </w:p>
    <w:p w14:paraId="29E96721" w14:textId="77777777" w:rsidR="00E72BA7" w:rsidRPr="0009584F" w:rsidRDefault="00E72BA7" w:rsidP="00FA0623"/>
    <w:p w14:paraId="39A50A09" w14:textId="3E33F203" w:rsidR="00C3696A" w:rsidRPr="0009584F" w:rsidRDefault="00C3696A" w:rsidP="00F94744">
      <w:pPr>
        <w:rPr>
          <w:b/>
        </w:rPr>
      </w:pPr>
    </w:p>
    <w:p w14:paraId="69D82937" w14:textId="04BEBF6F" w:rsidR="00F94744" w:rsidRPr="0009584F" w:rsidRDefault="00F94744" w:rsidP="00F94744">
      <w:pPr>
        <w:rPr>
          <w:b/>
        </w:rPr>
      </w:pPr>
    </w:p>
    <w:p w14:paraId="24C2B189" w14:textId="7ACC08E2" w:rsidR="00F94744" w:rsidRPr="0009584F" w:rsidRDefault="00F94744" w:rsidP="00F94744">
      <w:pPr>
        <w:rPr>
          <w:b/>
        </w:rPr>
      </w:pPr>
    </w:p>
    <w:p w14:paraId="007DC0B0" w14:textId="7791C381" w:rsidR="00F94744" w:rsidRPr="0009584F" w:rsidRDefault="00F94744" w:rsidP="00F94744">
      <w:pPr>
        <w:rPr>
          <w:b/>
        </w:rPr>
      </w:pPr>
    </w:p>
    <w:p w14:paraId="2E062E77" w14:textId="13904659" w:rsidR="00F94744" w:rsidRPr="0009584F" w:rsidRDefault="00F94744" w:rsidP="00F94744">
      <w:pPr>
        <w:rPr>
          <w:b/>
        </w:rPr>
      </w:pPr>
    </w:p>
    <w:p w14:paraId="39A50A0A" w14:textId="73267DCC" w:rsidR="00C3696A" w:rsidRPr="0009584F" w:rsidRDefault="00C3696A" w:rsidP="00B45413">
      <w:pPr>
        <w:pStyle w:val="Heading1"/>
        <w:ind w:left="0" w:firstLine="0"/>
      </w:pPr>
      <w:bookmarkStart w:id="12" w:name="_Toc455558895"/>
      <w:r w:rsidRPr="0009584F">
        <w:t>5.   Individuals Consulted on Statistical Aspects an</w:t>
      </w:r>
      <w:r w:rsidR="00B45413" w:rsidRPr="0009584F">
        <w:t xml:space="preserve">d Individuals Collecting and/or </w:t>
      </w:r>
      <w:r w:rsidRPr="0009584F">
        <w:t>Analyzing Data</w:t>
      </w:r>
      <w:bookmarkEnd w:id="12"/>
    </w:p>
    <w:p w14:paraId="39A50A0B" w14:textId="77777777" w:rsidR="005A2FB9" w:rsidRPr="0009584F" w:rsidRDefault="005A2FB9" w:rsidP="00C3696A">
      <w:pPr>
        <w:rPr>
          <w:b/>
        </w:rPr>
      </w:pPr>
    </w:p>
    <w:p w14:paraId="39A50A0C" w14:textId="77777777" w:rsidR="00C3696A" w:rsidRPr="0009584F" w:rsidRDefault="00C3696A" w:rsidP="00C3696A">
      <w:r w:rsidRPr="0009584F">
        <w:t>CDC statistician consulted for project design and data analysis:</w:t>
      </w:r>
    </w:p>
    <w:p w14:paraId="2BAF6AC1" w14:textId="77777777" w:rsidR="004B519F" w:rsidRPr="0009584F" w:rsidRDefault="004B519F" w:rsidP="004B519F">
      <w:pPr>
        <w:outlineLvl w:val="0"/>
      </w:pPr>
      <w:bookmarkStart w:id="13" w:name="_Toc455558896"/>
    </w:p>
    <w:p w14:paraId="39A50A0D" w14:textId="039F3C31" w:rsidR="00C3696A" w:rsidRPr="0009584F" w:rsidRDefault="00C3696A" w:rsidP="004B519F">
      <w:pPr>
        <w:outlineLvl w:val="0"/>
      </w:pPr>
      <w:r w:rsidRPr="0009584F">
        <w:t>Jonathan R. Edwards, MStat</w:t>
      </w:r>
      <w:bookmarkEnd w:id="13"/>
      <w:r w:rsidRPr="0009584F">
        <w:t xml:space="preserve"> </w:t>
      </w:r>
    </w:p>
    <w:p w14:paraId="39A50A0E" w14:textId="77777777" w:rsidR="00C3696A" w:rsidRPr="0009584F" w:rsidRDefault="00C3696A" w:rsidP="004B519F">
      <w:pPr>
        <w:outlineLvl w:val="0"/>
      </w:pPr>
      <w:bookmarkStart w:id="14" w:name="_Toc455558897"/>
      <w:r w:rsidRPr="0009584F">
        <w:t>Leader, Statistics Team</w:t>
      </w:r>
      <w:bookmarkEnd w:id="14"/>
    </w:p>
    <w:p w14:paraId="39A50A0F" w14:textId="77777777" w:rsidR="00C3696A" w:rsidRPr="0009584F" w:rsidRDefault="00C3696A" w:rsidP="004B519F">
      <w:r w:rsidRPr="0009584F">
        <w:t>Surveillance Branch, Division of Healthcare Quality Promotion</w:t>
      </w:r>
    </w:p>
    <w:p w14:paraId="39A50A10" w14:textId="77777777" w:rsidR="00C3696A" w:rsidRPr="0009584F" w:rsidRDefault="00C3696A" w:rsidP="004B519F">
      <w:r w:rsidRPr="0009584F">
        <w:t>Centers for Disease Control and Prevention</w:t>
      </w:r>
    </w:p>
    <w:p w14:paraId="19E2D0C7" w14:textId="77777777" w:rsidR="004B519F" w:rsidRPr="0009584F" w:rsidRDefault="00C3696A" w:rsidP="004B519F">
      <w:r w:rsidRPr="0009584F">
        <w:t>1600 Clifton Rd, NE</w:t>
      </w:r>
    </w:p>
    <w:p w14:paraId="39A50A12" w14:textId="2D702727" w:rsidR="00C3696A" w:rsidRPr="0009584F" w:rsidRDefault="00C3696A" w:rsidP="004B519F">
      <w:r w:rsidRPr="0009584F">
        <w:t>Atlanta, GA 30333</w:t>
      </w:r>
    </w:p>
    <w:p w14:paraId="39A50A13" w14:textId="77777777" w:rsidR="00C3696A" w:rsidRPr="0009584F" w:rsidRDefault="00C3696A" w:rsidP="004B519F">
      <w:r w:rsidRPr="0009584F">
        <w:t>(404) 639-4177</w:t>
      </w:r>
    </w:p>
    <w:p w14:paraId="39A50A14" w14:textId="77777777" w:rsidR="00C3696A" w:rsidRPr="0009584F" w:rsidRDefault="00C3696A" w:rsidP="004B519F">
      <w:r w:rsidRPr="0009584F">
        <w:t xml:space="preserve">Email: </w:t>
      </w:r>
      <w:hyperlink r:id="rId16" w:history="1">
        <w:r w:rsidRPr="0009584F">
          <w:rPr>
            <w:rStyle w:val="Hyperlink"/>
          </w:rPr>
          <w:t>JREdwards@cdc.gov</w:t>
        </w:r>
      </w:hyperlink>
    </w:p>
    <w:p w14:paraId="39A50A15" w14:textId="77777777" w:rsidR="00C3696A" w:rsidRPr="0009584F" w:rsidRDefault="00C3696A" w:rsidP="00C3696A">
      <w:pPr>
        <w:ind w:left="1440"/>
      </w:pPr>
    </w:p>
    <w:p w14:paraId="39A50A16" w14:textId="76FDDA88" w:rsidR="00F47C1C" w:rsidRPr="0009584F" w:rsidRDefault="00C3696A" w:rsidP="00AE46C1">
      <w:r w:rsidRPr="0009584F">
        <w:t xml:space="preserve">Data will be collected by EIP </w:t>
      </w:r>
      <w:r w:rsidR="00E72BA7" w:rsidRPr="0009584F">
        <w:t xml:space="preserve">site </w:t>
      </w:r>
      <w:r w:rsidR="00A13439" w:rsidRPr="0009584F">
        <w:t xml:space="preserve">personnel and by hospital </w:t>
      </w:r>
      <w:r w:rsidRPr="0009584F">
        <w:t xml:space="preserve">staff, as described previously. Identification of </w:t>
      </w:r>
      <w:r w:rsidR="00A13439" w:rsidRPr="0009584F">
        <w:t xml:space="preserve">the specific EIP site personnel and local hospital staff </w:t>
      </w:r>
      <w:r w:rsidRPr="0009584F">
        <w:t>members who will participate in training and data collection activities is at the discretion of the EIP site or the</w:t>
      </w:r>
      <w:r w:rsidR="00A13439" w:rsidRPr="0009584F">
        <w:t xml:space="preserve"> hospital</w:t>
      </w:r>
      <w:r w:rsidR="00AE46C1" w:rsidRPr="0009584F">
        <w:t>, respectively.</w:t>
      </w:r>
    </w:p>
    <w:p w14:paraId="7099D21F" w14:textId="68375A30" w:rsidR="008469A0" w:rsidRPr="0009584F" w:rsidRDefault="008469A0" w:rsidP="00AE46C1"/>
    <w:p w14:paraId="2E8BC811" w14:textId="77777777" w:rsidR="008469A0" w:rsidRPr="0009584F" w:rsidRDefault="008469A0" w:rsidP="00AE46C1"/>
    <w:p w14:paraId="4CD6E716" w14:textId="26D23FB9" w:rsidR="008469A0" w:rsidRPr="0009584F" w:rsidRDefault="008469A0" w:rsidP="0014758B">
      <w:pPr>
        <w:pStyle w:val="Heading1"/>
      </w:pPr>
      <w:r w:rsidRPr="0009584F">
        <w:t>6.   References</w:t>
      </w:r>
    </w:p>
    <w:p w14:paraId="6AE352E7" w14:textId="42A348D5" w:rsidR="008469A0" w:rsidRPr="0009584F" w:rsidRDefault="008469A0" w:rsidP="008469A0"/>
    <w:p w14:paraId="496FAB71" w14:textId="77777777" w:rsidR="007872AC" w:rsidRPr="001E0FD7" w:rsidRDefault="007872AC" w:rsidP="007872AC">
      <w:pPr>
        <w:pStyle w:val="ListParagraph"/>
        <w:numPr>
          <w:ilvl w:val="0"/>
          <w:numId w:val="7"/>
        </w:numPr>
        <w:spacing w:after="160" w:line="259" w:lineRule="auto"/>
        <w:rPr>
          <w:rStyle w:val="Hyperlink"/>
          <w:color w:val="211D1E"/>
          <w:u w:val="none"/>
        </w:rPr>
      </w:pPr>
      <w:r w:rsidRPr="001E0FD7">
        <w:rPr>
          <w:color w:val="000000"/>
        </w:rPr>
        <w:t xml:space="preserve">Pinner RW, Rebmann CA, Schuchat A, Hughes JM. Disease </w:t>
      </w:r>
      <w:r w:rsidRPr="001E0FD7">
        <w:rPr>
          <w:color w:val="211D1E"/>
        </w:rPr>
        <w:t xml:space="preserve">surveillance and the academic, clinical, and public health communities. </w:t>
      </w:r>
      <w:r w:rsidRPr="001E0FD7">
        <w:rPr>
          <w:i/>
          <w:color w:val="211D1E"/>
        </w:rPr>
        <w:t>Emerg Infect Dis</w:t>
      </w:r>
      <w:r w:rsidRPr="001E0FD7">
        <w:rPr>
          <w:color w:val="211D1E"/>
        </w:rPr>
        <w:t xml:space="preserve"> 2003;9:781–7. </w:t>
      </w:r>
    </w:p>
    <w:p w14:paraId="22F6D584" w14:textId="77777777" w:rsidR="007872AC" w:rsidRDefault="007872AC" w:rsidP="007872AC">
      <w:pPr>
        <w:pStyle w:val="ListParagraph"/>
        <w:numPr>
          <w:ilvl w:val="0"/>
          <w:numId w:val="7"/>
        </w:numPr>
      </w:pPr>
      <w:r w:rsidRPr="001E0FD7">
        <w:rPr>
          <w:rStyle w:val="xml-surname"/>
        </w:rPr>
        <w:t>Hardnett </w:t>
      </w:r>
      <w:r w:rsidRPr="001E0FD7">
        <w:rPr>
          <w:rStyle w:val="xml-given-names"/>
        </w:rPr>
        <w:t>FP</w:t>
      </w:r>
      <w:r w:rsidRPr="001E0FD7">
        <w:t xml:space="preserve">, </w:t>
      </w:r>
      <w:r w:rsidRPr="001E0FD7">
        <w:rPr>
          <w:rStyle w:val="xml-surname"/>
        </w:rPr>
        <w:t>Hoekstra </w:t>
      </w:r>
      <w:r w:rsidRPr="001E0FD7">
        <w:rPr>
          <w:rStyle w:val="xml-given-names"/>
        </w:rPr>
        <w:t>RM</w:t>
      </w:r>
      <w:r w:rsidRPr="001E0FD7">
        <w:t xml:space="preserve">, </w:t>
      </w:r>
      <w:r w:rsidRPr="001E0FD7">
        <w:rPr>
          <w:rStyle w:val="xml-surname"/>
        </w:rPr>
        <w:t xml:space="preserve">Kennedy </w:t>
      </w:r>
      <w:r w:rsidRPr="001E0FD7">
        <w:rPr>
          <w:rStyle w:val="xml-given-names"/>
        </w:rPr>
        <w:t>MH</w:t>
      </w:r>
      <w:r w:rsidRPr="001E0FD7">
        <w:t xml:space="preserve">, </w:t>
      </w:r>
      <w:r w:rsidRPr="001E0FD7">
        <w:rPr>
          <w:rStyle w:val="xml-surname"/>
        </w:rPr>
        <w:t>Angulo </w:t>
      </w:r>
      <w:r w:rsidRPr="001E0FD7">
        <w:rPr>
          <w:rStyle w:val="xml-given-names"/>
        </w:rPr>
        <w:t>FJ</w:t>
      </w:r>
      <w:r w:rsidRPr="001E0FD7">
        <w:t xml:space="preserve">; </w:t>
      </w:r>
      <w:r w:rsidRPr="001E0FD7">
        <w:rPr>
          <w:rStyle w:val="xml-collab"/>
        </w:rPr>
        <w:t>EIP Foodnet Working Group</w:t>
      </w:r>
      <w:r w:rsidRPr="001E0FD7">
        <w:t xml:space="preserve">. Comparability of FoodNet and United States populations. March </w:t>
      </w:r>
      <w:r>
        <w:t xml:space="preserve">24–27, 2002. </w:t>
      </w:r>
      <w:r w:rsidRPr="001E0FD7">
        <w:t>International Conference on Emerging Infectious Diseases. Atlanta, G</w:t>
      </w:r>
      <w:r>
        <w:t>A</w:t>
      </w:r>
      <w:r w:rsidRPr="001E0FD7">
        <w:t>.</w:t>
      </w:r>
    </w:p>
    <w:p w14:paraId="1896AD56" w14:textId="26303891" w:rsidR="008469A0" w:rsidRPr="0009584F" w:rsidRDefault="008469A0" w:rsidP="007872AC">
      <w:pPr>
        <w:pStyle w:val="ListParagraph"/>
        <w:numPr>
          <w:ilvl w:val="0"/>
          <w:numId w:val="7"/>
        </w:numPr>
      </w:pPr>
      <w:r w:rsidRPr="0009584F">
        <w:t xml:space="preserve">Magill SS, O’Leary E, Janelle S, et al. Changes in Prevalence of Health Care-Associated Infections in U.S. Hospitals. </w:t>
      </w:r>
      <w:r w:rsidRPr="0009584F">
        <w:rPr>
          <w:i/>
        </w:rPr>
        <w:t>N Engl J Med</w:t>
      </w:r>
      <w:r w:rsidRPr="0009584F">
        <w:t xml:space="preserve"> 2018;</w:t>
      </w:r>
      <w:r w:rsidR="00A13439" w:rsidRPr="0009584F">
        <w:t xml:space="preserve"> </w:t>
      </w:r>
      <w:r w:rsidRPr="0009584F">
        <w:t>379:1732-44.</w:t>
      </w:r>
    </w:p>
    <w:p w14:paraId="16EBBBD2" w14:textId="720D8C5C" w:rsidR="008469A0" w:rsidRPr="0009584F" w:rsidRDefault="008469A0" w:rsidP="008469A0">
      <w:pPr>
        <w:pStyle w:val="ListParagraph"/>
        <w:numPr>
          <w:ilvl w:val="0"/>
          <w:numId w:val="7"/>
        </w:numPr>
      </w:pPr>
      <w:r w:rsidRPr="0009584F">
        <w:t xml:space="preserve">Magill SS, Edwards J, Bamberg W, et al. Multistate Point-Prevalence Survey of Health Care-Associated Infections. </w:t>
      </w:r>
      <w:r w:rsidRPr="0009584F">
        <w:rPr>
          <w:i/>
        </w:rPr>
        <w:t>N Engl J Med</w:t>
      </w:r>
      <w:r w:rsidRPr="0009584F">
        <w:t xml:space="preserve"> 2014;</w:t>
      </w:r>
      <w:r w:rsidR="00A13439" w:rsidRPr="0009584F">
        <w:t xml:space="preserve"> </w:t>
      </w:r>
      <w:r w:rsidRPr="0009584F">
        <w:t>370:1198-208.</w:t>
      </w:r>
    </w:p>
    <w:p w14:paraId="0D2DD9D1" w14:textId="46F54739" w:rsidR="008469A0" w:rsidRPr="008469A0" w:rsidRDefault="008469A0" w:rsidP="008469A0">
      <w:pPr>
        <w:pStyle w:val="ListParagraph"/>
        <w:ind w:left="1080"/>
      </w:pPr>
    </w:p>
    <w:p w14:paraId="5E594A3F" w14:textId="77777777" w:rsidR="008469A0" w:rsidRDefault="008469A0" w:rsidP="00AE46C1"/>
    <w:sectPr w:rsidR="00846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50A19" w14:textId="77777777" w:rsidR="00E541ED" w:rsidRDefault="00E541ED">
      <w:r>
        <w:separator/>
      </w:r>
    </w:p>
  </w:endnote>
  <w:endnote w:type="continuationSeparator" w:id="0">
    <w:p w14:paraId="39A50A1A" w14:textId="77777777" w:rsidR="00E541ED" w:rsidRDefault="00E5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0A1D" w14:textId="77777777" w:rsidR="00E541ED" w:rsidRDefault="00E541ED"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50A1E" w14:textId="77777777" w:rsidR="00E541ED" w:rsidRDefault="00E541ED" w:rsidP="00F67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0A1F" w14:textId="191A10BB" w:rsidR="00E541ED" w:rsidRPr="004F2001" w:rsidRDefault="00E541ED"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5D609D">
      <w:rPr>
        <w:rStyle w:val="PageNumber"/>
        <w:noProof/>
        <w:sz w:val="20"/>
        <w:szCs w:val="20"/>
      </w:rPr>
      <w:t>2</w:t>
    </w:r>
    <w:r w:rsidRPr="004F2001">
      <w:rPr>
        <w:rStyle w:val="PageNumber"/>
        <w:sz w:val="20"/>
        <w:szCs w:val="20"/>
      </w:rPr>
      <w:fldChar w:fldCharType="end"/>
    </w:r>
  </w:p>
  <w:p w14:paraId="39A50A20" w14:textId="77777777" w:rsidR="00E541ED" w:rsidRPr="004F2001" w:rsidRDefault="00E541ED" w:rsidP="00F67650">
    <w:pPr>
      <w:pStyle w:val="Footer"/>
      <w:rPr>
        <w:sz w:val="20"/>
        <w:szCs w:val="20"/>
      </w:rPr>
    </w:pPr>
  </w:p>
  <w:p w14:paraId="39A50A21" w14:textId="77777777" w:rsidR="00E541ED" w:rsidRDefault="00E541ED" w:rsidP="00F6765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50A17" w14:textId="77777777" w:rsidR="00E541ED" w:rsidRDefault="00E541ED">
      <w:r>
        <w:separator/>
      </w:r>
    </w:p>
  </w:footnote>
  <w:footnote w:type="continuationSeparator" w:id="0">
    <w:p w14:paraId="39A50A18" w14:textId="77777777" w:rsidR="00E541ED" w:rsidRDefault="00E54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765A4"/>
    <w:multiLevelType w:val="hybridMultilevel"/>
    <w:tmpl w:val="23DC11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965E3"/>
    <w:multiLevelType w:val="hybridMultilevel"/>
    <w:tmpl w:val="8A46284C"/>
    <w:lvl w:ilvl="0" w:tplc="A9EC5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E48B0"/>
    <w:multiLevelType w:val="hybridMultilevel"/>
    <w:tmpl w:val="F57415F8"/>
    <w:lvl w:ilvl="0" w:tplc="59A2FA38">
      <w:start w:val="1"/>
      <w:numFmt w:val="upp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AF14D76"/>
    <w:multiLevelType w:val="hybridMultilevel"/>
    <w:tmpl w:val="B9EC3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6A"/>
    <w:rsid w:val="0002736C"/>
    <w:rsid w:val="00064E02"/>
    <w:rsid w:val="000656A4"/>
    <w:rsid w:val="00092A3F"/>
    <w:rsid w:val="0009584F"/>
    <w:rsid w:val="0014758B"/>
    <w:rsid w:val="0015019C"/>
    <w:rsid w:val="00167FD5"/>
    <w:rsid w:val="00172294"/>
    <w:rsid w:val="0018182E"/>
    <w:rsid w:val="00182622"/>
    <w:rsid w:val="00185C0C"/>
    <w:rsid w:val="00194C1D"/>
    <w:rsid w:val="001C0E8D"/>
    <w:rsid w:val="001C7B10"/>
    <w:rsid w:val="001D6CD5"/>
    <w:rsid w:val="001E06BE"/>
    <w:rsid w:val="0022586E"/>
    <w:rsid w:val="00231F13"/>
    <w:rsid w:val="0027549B"/>
    <w:rsid w:val="002B32F4"/>
    <w:rsid w:val="002E547B"/>
    <w:rsid w:val="003357AC"/>
    <w:rsid w:val="0035332F"/>
    <w:rsid w:val="00355330"/>
    <w:rsid w:val="003A41CD"/>
    <w:rsid w:val="003C0B38"/>
    <w:rsid w:val="003D75A5"/>
    <w:rsid w:val="00407B4A"/>
    <w:rsid w:val="004414C1"/>
    <w:rsid w:val="00441C03"/>
    <w:rsid w:val="00465B0C"/>
    <w:rsid w:val="004703DD"/>
    <w:rsid w:val="004B482A"/>
    <w:rsid w:val="004B519F"/>
    <w:rsid w:val="00507723"/>
    <w:rsid w:val="00525059"/>
    <w:rsid w:val="00541279"/>
    <w:rsid w:val="005823E5"/>
    <w:rsid w:val="005A2FB9"/>
    <w:rsid w:val="005C0163"/>
    <w:rsid w:val="005D4954"/>
    <w:rsid w:val="005D609D"/>
    <w:rsid w:val="005F7513"/>
    <w:rsid w:val="00686D3A"/>
    <w:rsid w:val="0069009D"/>
    <w:rsid w:val="006911E3"/>
    <w:rsid w:val="006935C9"/>
    <w:rsid w:val="006B3587"/>
    <w:rsid w:val="006C5294"/>
    <w:rsid w:val="006D04BB"/>
    <w:rsid w:val="006F04E7"/>
    <w:rsid w:val="0070515C"/>
    <w:rsid w:val="00706F62"/>
    <w:rsid w:val="00711C01"/>
    <w:rsid w:val="00740770"/>
    <w:rsid w:val="007409FE"/>
    <w:rsid w:val="007444F8"/>
    <w:rsid w:val="00756B22"/>
    <w:rsid w:val="007629F3"/>
    <w:rsid w:val="00773573"/>
    <w:rsid w:val="00773EC2"/>
    <w:rsid w:val="007872AC"/>
    <w:rsid w:val="007E0DA2"/>
    <w:rsid w:val="007F43DF"/>
    <w:rsid w:val="00813D57"/>
    <w:rsid w:val="008260CB"/>
    <w:rsid w:val="008306E4"/>
    <w:rsid w:val="00830EC3"/>
    <w:rsid w:val="00845C26"/>
    <w:rsid w:val="008469A0"/>
    <w:rsid w:val="00871E65"/>
    <w:rsid w:val="0088790C"/>
    <w:rsid w:val="00894C5B"/>
    <w:rsid w:val="008A4726"/>
    <w:rsid w:val="008C12F8"/>
    <w:rsid w:val="00910A75"/>
    <w:rsid w:val="009218EE"/>
    <w:rsid w:val="0092550E"/>
    <w:rsid w:val="00945CCF"/>
    <w:rsid w:val="009517A5"/>
    <w:rsid w:val="009A13C0"/>
    <w:rsid w:val="009B6025"/>
    <w:rsid w:val="00A13439"/>
    <w:rsid w:val="00A31D28"/>
    <w:rsid w:val="00A46D5B"/>
    <w:rsid w:val="00A52E57"/>
    <w:rsid w:val="00AC6AFD"/>
    <w:rsid w:val="00AE46C1"/>
    <w:rsid w:val="00B1541E"/>
    <w:rsid w:val="00B16C33"/>
    <w:rsid w:val="00B45413"/>
    <w:rsid w:val="00B91DAA"/>
    <w:rsid w:val="00BD3E50"/>
    <w:rsid w:val="00BF2528"/>
    <w:rsid w:val="00BF46B8"/>
    <w:rsid w:val="00C051AF"/>
    <w:rsid w:val="00C3696A"/>
    <w:rsid w:val="00C42D70"/>
    <w:rsid w:val="00C6030B"/>
    <w:rsid w:val="00C74CF6"/>
    <w:rsid w:val="00CE732C"/>
    <w:rsid w:val="00D43F10"/>
    <w:rsid w:val="00DB4D42"/>
    <w:rsid w:val="00DC6D40"/>
    <w:rsid w:val="00DD1596"/>
    <w:rsid w:val="00DD6CB3"/>
    <w:rsid w:val="00DE2C60"/>
    <w:rsid w:val="00DE4E01"/>
    <w:rsid w:val="00E001C2"/>
    <w:rsid w:val="00E13FF0"/>
    <w:rsid w:val="00E30997"/>
    <w:rsid w:val="00E34135"/>
    <w:rsid w:val="00E45EF3"/>
    <w:rsid w:val="00E469EB"/>
    <w:rsid w:val="00E541ED"/>
    <w:rsid w:val="00E72BA7"/>
    <w:rsid w:val="00EB2C75"/>
    <w:rsid w:val="00EB6A0F"/>
    <w:rsid w:val="00ED221D"/>
    <w:rsid w:val="00EF1440"/>
    <w:rsid w:val="00EF4285"/>
    <w:rsid w:val="00EF476B"/>
    <w:rsid w:val="00F02994"/>
    <w:rsid w:val="00F05C18"/>
    <w:rsid w:val="00F22B4A"/>
    <w:rsid w:val="00F32B4F"/>
    <w:rsid w:val="00F3614A"/>
    <w:rsid w:val="00F3794E"/>
    <w:rsid w:val="00F47C1C"/>
    <w:rsid w:val="00F67650"/>
    <w:rsid w:val="00F70F6A"/>
    <w:rsid w:val="00F75A24"/>
    <w:rsid w:val="00F77F30"/>
    <w:rsid w:val="00F83EC8"/>
    <w:rsid w:val="00F940FF"/>
    <w:rsid w:val="00F94744"/>
    <w:rsid w:val="00FA0623"/>
    <w:rsid w:val="00FA5F73"/>
    <w:rsid w:val="00FB3B49"/>
    <w:rsid w:val="00FB5A61"/>
    <w:rsid w:val="00FC2B20"/>
    <w:rsid w:val="00FD4BEE"/>
    <w:rsid w:val="00FD792C"/>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5413"/>
    <w:pPr>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B45413"/>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D4954"/>
    <w:pPr>
      <w:spacing w:after="100"/>
    </w:pPr>
  </w:style>
  <w:style w:type="character" w:styleId="CommentReference">
    <w:name w:val="annotation reference"/>
    <w:basedOn w:val="DefaultParagraphFont"/>
    <w:uiPriority w:val="99"/>
    <w:semiHidden/>
    <w:unhideWhenUsed/>
    <w:rsid w:val="00E72BA7"/>
    <w:rPr>
      <w:sz w:val="16"/>
      <w:szCs w:val="16"/>
    </w:rPr>
  </w:style>
  <w:style w:type="paragraph" w:styleId="CommentText">
    <w:name w:val="annotation text"/>
    <w:basedOn w:val="Normal"/>
    <w:link w:val="CommentTextChar"/>
    <w:uiPriority w:val="99"/>
    <w:semiHidden/>
    <w:unhideWhenUsed/>
    <w:rsid w:val="00E72BA7"/>
    <w:rPr>
      <w:sz w:val="20"/>
      <w:szCs w:val="20"/>
    </w:rPr>
  </w:style>
  <w:style w:type="character" w:customStyle="1" w:styleId="CommentTextChar">
    <w:name w:val="Comment Text Char"/>
    <w:basedOn w:val="DefaultParagraphFont"/>
    <w:link w:val="CommentText"/>
    <w:uiPriority w:val="99"/>
    <w:semiHidden/>
    <w:rsid w:val="00E72B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BA7"/>
    <w:rPr>
      <w:b/>
      <w:bCs/>
    </w:rPr>
  </w:style>
  <w:style w:type="character" w:customStyle="1" w:styleId="CommentSubjectChar">
    <w:name w:val="Comment Subject Char"/>
    <w:basedOn w:val="CommentTextChar"/>
    <w:link w:val="CommentSubject"/>
    <w:uiPriority w:val="99"/>
    <w:semiHidden/>
    <w:rsid w:val="00E72BA7"/>
    <w:rPr>
      <w:rFonts w:ascii="Times New Roman" w:eastAsia="Times New Roman" w:hAnsi="Times New Roman" w:cs="Times New Roman"/>
      <w:b/>
      <w:bCs/>
      <w:sz w:val="20"/>
      <w:szCs w:val="20"/>
    </w:rPr>
  </w:style>
  <w:style w:type="character" w:customStyle="1" w:styleId="xml-surname">
    <w:name w:val="xml-surname"/>
    <w:basedOn w:val="DefaultParagraphFont"/>
    <w:rsid w:val="007872AC"/>
  </w:style>
  <w:style w:type="character" w:customStyle="1" w:styleId="xml-given-names">
    <w:name w:val="xml-given-names"/>
    <w:basedOn w:val="DefaultParagraphFont"/>
    <w:rsid w:val="007872AC"/>
  </w:style>
  <w:style w:type="character" w:customStyle="1" w:styleId="xml-collab">
    <w:name w:val="xml-collab"/>
    <w:basedOn w:val="DefaultParagraphFont"/>
    <w:rsid w:val="00787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5413"/>
    <w:pPr>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B45413"/>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D4954"/>
    <w:pPr>
      <w:spacing w:after="100"/>
    </w:pPr>
  </w:style>
  <w:style w:type="character" w:styleId="CommentReference">
    <w:name w:val="annotation reference"/>
    <w:basedOn w:val="DefaultParagraphFont"/>
    <w:uiPriority w:val="99"/>
    <w:semiHidden/>
    <w:unhideWhenUsed/>
    <w:rsid w:val="00E72BA7"/>
    <w:rPr>
      <w:sz w:val="16"/>
      <w:szCs w:val="16"/>
    </w:rPr>
  </w:style>
  <w:style w:type="paragraph" w:styleId="CommentText">
    <w:name w:val="annotation text"/>
    <w:basedOn w:val="Normal"/>
    <w:link w:val="CommentTextChar"/>
    <w:uiPriority w:val="99"/>
    <w:semiHidden/>
    <w:unhideWhenUsed/>
    <w:rsid w:val="00E72BA7"/>
    <w:rPr>
      <w:sz w:val="20"/>
      <w:szCs w:val="20"/>
    </w:rPr>
  </w:style>
  <w:style w:type="character" w:customStyle="1" w:styleId="CommentTextChar">
    <w:name w:val="Comment Text Char"/>
    <w:basedOn w:val="DefaultParagraphFont"/>
    <w:link w:val="CommentText"/>
    <w:uiPriority w:val="99"/>
    <w:semiHidden/>
    <w:rsid w:val="00E72B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BA7"/>
    <w:rPr>
      <w:b/>
      <w:bCs/>
    </w:rPr>
  </w:style>
  <w:style w:type="character" w:customStyle="1" w:styleId="CommentSubjectChar">
    <w:name w:val="Comment Subject Char"/>
    <w:basedOn w:val="CommentTextChar"/>
    <w:link w:val="CommentSubject"/>
    <w:uiPriority w:val="99"/>
    <w:semiHidden/>
    <w:rsid w:val="00E72BA7"/>
    <w:rPr>
      <w:rFonts w:ascii="Times New Roman" w:eastAsia="Times New Roman" w:hAnsi="Times New Roman" w:cs="Times New Roman"/>
      <w:b/>
      <w:bCs/>
      <w:sz w:val="20"/>
      <w:szCs w:val="20"/>
    </w:rPr>
  </w:style>
  <w:style w:type="character" w:customStyle="1" w:styleId="xml-surname">
    <w:name w:val="xml-surname"/>
    <w:basedOn w:val="DefaultParagraphFont"/>
    <w:rsid w:val="007872AC"/>
  </w:style>
  <w:style w:type="character" w:customStyle="1" w:styleId="xml-given-names">
    <w:name w:val="xml-given-names"/>
    <w:basedOn w:val="DefaultParagraphFont"/>
    <w:rsid w:val="007872AC"/>
  </w:style>
  <w:style w:type="character" w:customStyle="1" w:styleId="xml-collab">
    <w:name w:val="xml-collab"/>
    <w:basedOn w:val="DefaultParagraphFont"/>
    <w:rsid w:val="0078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j2@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REdwards@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PFY6PPX2AYTS-2589-1232</_dlc_DocId>
    <_dlc_DocIdUrl xmlns="81daf041-c113-401c-bf82-107f5d396711">
      <Url>https://esp.cdc.gov/sites/ncezid/OD/policy/PRA/_layouts/15/DocIdRedir.aspx?ID=PFY6PPX2AYTS-2589-1232</Url>
      <Description>PFY6PPX2AYTS-2589-1232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968E-81A7-45AC-9517-C81909167007}">
  <ds:schemaRefs>
    <ds:schemaRef ds:uri="http://schemas.microsoft.com/sharepoint/v3/contenttype/forms"/>
  </ds:schemaRefs>
</ds:datastoreItem>
</file>

<file path=customXml/itemProps2.xml><?xml version="1.0" encoding="utf-8"?>
<ds:datastoreItem xmlns:ds="http://schemas.openxmlformats.org/officeDocument/2006/customXml" ds:itemID="{69C281F9-CBF7-42B4-86FD-39D5E365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09A7A-26AC-4CC3-9F33-B2CEBD3C2AE5}">
  <ds:schemaRefs>
    <ds:schemaRef ds:uri="http://purl.org/dc/terms/"/>
    <ds:schemaRef ds:uri="http://purl.org/dc/dcmitype/"/>
    <ds:schemaRef ds:uri="d335559b-c20a-4874-978e-77d2be77e01f"/>
    <ds:schemaRef ds:uri="http://schemas.microsoft.com/office/2006/metadata/properties"/>
    <ds:schemaRef ds:uri="81daf041-c113-401c-bf82-107f5d39671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60B5783-ABDD-4F62-B4B2-6F18049CBC2E}">
  <ds:schemaRefs>
    <ds:schemaRef ds:uri="http://schemas.microsoft.com/sharepoint/events"/>
  </ds:schemaRefs>
</ds:datastoreItem>
</file>

<file path=customXml/itemProps5.xml><?xml version="1.0" encoding="utf-8"?>
<ds:datastoreItem xmlns:ds="http://schemas.openxmlformats.org/officeDocument/2006/customXml" ds:itemID="{765921BF-F569-44AD-B3F8-1C7C50A1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Magill, Shelley (CDC/DDID/NCEZID/DHQP)</dc:creator>
  <cp:lastModifiedBy>SYSTEM</cp:lastModifiedBy>
  <cp:revision>2</cp:revision>
  <cp:lastPrinted>2019-02-07T14:59:00Z</cp:lastPrinted>
  <dcterms:created xsi:type="dcterms:W3CDTF">2019-10-17T14:05:00Z</dcterms:created>
  <dcterms:modified xsi:type="dcterms:W3CDTF">2019-10-17T14:05:00Z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93ed3434-8f18-46da-9561-64fd9b26ed4d</vt:lpwstr>
  </property>
</Properties>
</file>